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leftChars="-257" w:firstLine="678" w:firstLineChars="225"/>
        <w:rPr>
          <w:rFonts w:ascii="黑体" w:eastAsia="黑体"/>
          <w:b/>
          <w:sz w:val="30"/>
          <w:szCs w:val="30"/>
        </w:rPr>
      </w:pPr>
    </w:p>
    <w:p>
      <w:pPr>
        <w:spacing w:line="360" w:lineRule="auto"/>
        <w:ind w:firstLine="480"/>
        <w:jc w:val="center"/>
        <w:rPr>
          <w:rFonts w:hint="eastAsia" w:ascii="宋体" w:hAnsi="宋体"/>
          <w:b/>
          <w:sz w:val="36"/>
          <w:szCs w:val="36"/>
        </w:rPr>
      </w:pPr>
    </w:p>
    <w:p>
      <w:pPr>
        <w:spacing w:line="360" w:lineRule="auto"/>
        <w:ind w:firstLine="480"/>
        <w:jc w:val="center"/>
        <w:rPr>
          <w:rFonts w:hint="eastAsia" w:ascii="宋体" w:hAnsi="宋体"/>
          <w:b/>
          <w:sz w:val="36"/>
          <w:szCs w:val="36"/>
        </w:rPr>
      </w:pPr>
    </w:p>
    <w:p>
      <w:pPr>
        <w:spacing w:line="360" w:lineRule="auto"/>
        <w:ind w:firstLine="480"/>
        <w:jc w:val="center"/>
        <w:rPr>
          <w:rFonts w:ascii="宋体" w:hAnsi="宋体"/>
          <w:b/>
          <w:sz w:val="36"/>
          <w:szCs w:val="36"/>
        </w:rPr>
      </w:pPr>
      <w:r>
        <w:rPr>
          <w:rFonts w:hint="eastAsia" w:ascii="宋体" w:hAnsi="宋体"/>
          <w:b/>
          <w:sz w:val="36"/>
          <w:szCs w:val="36"/>
        </w:rPr>
        <w:t>钴铬钨系合金粉末化学分析方法</w:t>
      </w:r>
    </w:p>
    <w:p>
      <w:pPr>
        <w:pStyle w:val="14"/>
        <w:numPr>
          <w:ilvl w:val="0"/>
          <w:numId w:val="0"/>
        </w:numPr>
        <w:spacing w:beforeLines="0" w:afterLines="0" w:line="360" w:lineRule="auto"/>
        <w:jc w:val="center"/>
        <w:rPr>
          <w:rFonts w:hAnsi="黑体"/>
          <w:sz w:val="36"/>
          <w:szCs w:val="36"/>
        </w:rPr>
      </w:pPr>
      <w:r>
        <w:rPr>
          <w:rFonts w:hint="eastAsia" w:hAnsi="黑体"/>
          <w:sz w:val="36"/>
          <w:szCs w:val="36"/>
        </w:rPr>
        <w:t>第 8 部分：氧含量的测定 惰气熔融红外法</w:t>
      </w:r>
    </w:p>
    <w:p>
      <w:pPr>
        <w:spacing w:line="360" w:lineRule="auto"/>
        <w:ind w:firstLine="480"/>
        <w:jc w:val="center"/>
        <w:rPr>
          <w:rFonts w:ascii="宋体" w:hAnsi="宋体"/>
          <w:sz w:val="36"/>
          <w:szCs w:val="36"/>
        </w:rPr>
      </w:pPr>
    </w:p>
    <w:p>
      <w:pPr>
        <w:spacing w:line="360" w:lineRule="auto"/>
        <w:ind w:firstLine="480"/>
        <w:jc w:val="center"/>
        <w:rPr>
          <w:rFonts w:ascii="宋体" w:hAnsi="宋体"/>
          <w:b/>
          <w:bCs/>
          <w:sz w:val="32"/>
          <w:szCs w:val="32"/>
        </w:rPr>
      </w:pPr>
      <w:r>
        <w:rPr>
          <w:rFonts w:hint="eastAsia" w:ascii="宋体" w:hAnsi="宋体"/>
          <w:b/>
          <w:bCs/>
          <w:sz w:val="32"/>
          <w:szCs w:val="32"/>
        </w:rPr>
        <w:t>编制说明</w:t>
      </w:r>
    </w:p>
    <w:p>
      <w:pPr>
        <w:spacing w:line="360" w:lineRule="auto"/>
        <w:ind w:firstLine="480"/>
        <w:jc w:val="center"/>
        <w:rPr>
          <w:rFonts w:ascii="宋体" w:hAnsi="宋体"/>
          <w:b/>
          <w:bCs/>
          <w:sz w:val="44"/>
          <w:szCs w:val="44"/>
        </w:rPr>
      </w:pPr>
      <w:r>
        <w:rPr>
          <w:rStyle w:val="18"/>
          <w:rFonts w:hint="eastAsia"/>
          <w:b/>
          <w:sz w:val="24"/>
          <w:szCs w:val="24"/>
        </w:rPr>
        <w:t>（讨论稿）</w:t>
      </w: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ind w:firstLine="480"/>
        <w:jc w:val="center"/>
        <w:rPr>
          <w:rFonts w:ascii="宋体" w:hAnsi="宋体"/>
          <w:sz w:val="44"/>
          <w:szCs w:val="44"/>
        </w:rPr>
      </w:pPr>
    </w:p>
    <w:p>
      <w:pPr>
        <w:spacing w:line="360" w:lineRule="auto"/>
        <w:rPr>
          <w:rFonts w:ascii="宋体" w:hAnsi="宋体"/>
          <w:kern w:val="0"/>
          <w:sz w:val="30"/>
          <w:szCs w:val="30"/>
        </w:rPr>
      </w:pPr>
    </w:p>
    <w:p>
      <w:pPr>
        <w:spacing w:line="360" w:lineRule="auto"/>
        <w:rPr>
          <w:rFonts w:ascii="宋体" w:hAnsi="宋体"/>
          <w:kern w:val="0"/>
          <w:sz w:val="30"/>
          <w:szCs w:val="30"/>
        </w:rPr>
      </w:pPr>
    </w:p>
    <w:p>
      <w:pPr>
        <w:spacing w:line="360" w:lineRule="auto"/>
        <w:rPr>
          <w:rFonts w:ascii="宋体" w:hAnsi="宋体"/>
          <w:kern w:val="0"/>
          <w:sz w:val="30"/>
          <w:szCs w:val="30"/>
        </w:rPr>
      </w:pPr>
    </w:p>
    <w:p>
      <w:pPr>
        <w:spacing w:line="360" w:lineRule="auto"/>
        <w:rPr>
          <w:rFonts w:ascii="宋体" w:hAnsi="宋体"/>
          <w:kern w:val="0"/>
          <w:sz w:val="30"/>
          <w:szCs w:val="30"/>
        </w:rPr>
      </w:pPr>
    </w:p>
    <w:p>
      <w:pPr>
        <w:spacing w:line="360" w:lineRule="auto"/>
        <w:jc w:val="center"/>
        <w:rPr>
          <w:rFonts w:ascii="宋体" w:hAnsi="宋体"/>
          <w:b/>
          <w:bCs/>
          <w:kern w:val="0"/>
          <w:sz w:val="28"/>
          <w:szCs w:val="28"/>
        </w:rPr>
      </w:pPr>
      <w:r>
        <w:rPr>
          <w:rFonts w:hint="eastAsia" w:ascii="宋体" w:hAnsi="宋体"/>
          <w:b/>
          <w:bCs/>
          <w:kern w:val="0"/>
          <w:sz w:val="28"/>
          <w:szCs w:val="28"/>
        </w:rPr>
        <w:t>广东省科学院工业分析检测中心</w:t>
      </w:r>
    </w:p>
    <w:p>
      <w:pPr>
        <w:spacing w:line="360" w:lineRule="auto"/>
        <w:jc w:val="center"/>
        <w:rPr>
          <w:rFonts w:ascii="宋体" w:hAnsi="宋体"/>
          <w:b/>
          <w:bCs/>
          <w:kern w:val="0"/>
          <w:sz w:val="28"/>
          <w:szCs w:val="28"/>
        </w:rPr>
      </w:pPr>
      <w:r>
        <w:rPr>
          <w:rFonts w:hint="eastAsia" w:ascii="宋体" w:hAnsi="宋体"/>
          <w:b/>
          <w:bCs/>
          <w:kern w:val="0"/>
          <w:sz w:val="28"/>
          <w:szCs w:val="28"/>
        </w:rPr>
        <w:t>二O二0年八月</w:t>
      </w:r>
    </w:p>
    <w:p>
      <w:pPr>
        <w:spacing w:line="360" w:lineRule="auto"/>
        <w:ind w:left="-540" w:leftChars="-257" w:firstLine="678" w:firstLineChars="225"/>
        <w:rPr>
          <w:rFonts w:ascii="黑体" w:eastAsia="黑体"/>
          <w:b/>
          <w:sz w:val="30"/>
          <w:szCs w:val="30"/>
        </w:rPr>
      </w:pPr>
    </w:p>
    <w:p>
      <w:pPr>
        <w:spacing w:line="360" w:lineRule="auto"/>
        <w:ind w:left="-540" w:leftChars="-257" w:firstLine="678" w:firstLineChars="225"/>
        <w:rPr>
          <w:rFonts w:ascii="黑体" w:eastAsia="黑体"/>
          <w:b/>
          <w:sz w:val="30"/>
          <w:szCs w:val="30"/>
        </w:rPr>
      </w:pPr>
    </w:p>
    <w:p>
      <w:pPr>
        <w:spacing w:line="360" w:lineRule="auto"/>
        <w:ind w:left="-540" w:leftChars="-257" w:firstLine="678" w:firstLineChars="225"/>
        <w:rPr>
          <w:rFonts w:ascii="黑体" w:eastAsia="黑体"/>
          <w:b/>
          <w:sz w:val="30"/>
          <w:szCs w:val="30"/>
        </w:rPr>
      </w:pPr>
    </w:p>
    <w:p>
      <w:pPr>
        <w:spacing w:line="440" w:lineRule="exact"/>
        <w:jc w:val="center"/>
        <w:rPr>
          <w:rFonts w:ascii="黑体" w:eastAsia="黑体"/>
          <w:bCs/>
          <w:sz w:val="32"/>
          <w:szCs w:val="32"/>
        </w:rPr>
      </w:pPr>
      <w:r>
        <w:rPr>
          <w:rFonts w:hint="eastAsia" w:ascii="黑体" w:eastAsia="黑体"/>
          <w:bCs/>
          <w:sz w:val="32"/>
          <w:szCs w:val="32"/>
        </w:rPr>
        <w:t>钴铬钨系合金粉末化学分析方法</w:t>
      </w:r>
    </w:p>
    <w:p>
      <w:pPr>
        <w:pStyle w:val="14"/>
        <w:numPr>
          <w:ilvl w:val="0"/>
          <w:numId w:val="0"/>
        </w:numPr>
        <w:spacing w:beforeLines="0" w:afterLines="0" w:line="360" w:lineRule="auto"/>
        <w:jc w:val="center"/>
        <w:rPr>
          <w:rFonts w:hAnsi="黑体"/>
          <w:sz w:val="32"/>
          <w:szCs w:val="32"/>
        </w:rPr>
      </w:pPr>
      <w:r>
        <w:rPr>
          <w:rFonts w:hint="eastAsia" w:hAnsi="黑体"/>
          <w:sz w:val="32"/>
          <w:szCs w:val="32"/>
        </w:rPr>
        <w:t>第 8 部分：氧含量的测定 惰气熔融红外法</w:t>
      </w:r>
    </w:p>
    <w:p>
      <w:pPr>
        <w:pStyle w:val="14"/>
        <w:numPr>
          <w:ilvl w:val="0"/>
          <w:numId w:val="0"/>
        </w:numPr>
        <w:spacing w:beforeLines="0" w:afterLines="0" w:line="360" w:lineRule="auto"/>
        <w:jc w:val="center"/>
        <w:rPr>
          <w:sz w:val="32"/>
          <w:szCs w:val="32"/>
        </w:rPr>
      </w:pPr>
      <w:r>
        <w:rPr>
          <w:rFonts w:hint="eastAsia"/>
          <w:sz w:val="32"/>
          <w:szCs w:val="32"/>
        </w:rPr>
        <w:t>编制说明</w:t>
      </w:r>
    </w:p>
    <w:p>
      <w:pPr>
        <w:pStyle w:val="15"/>
        <w:ind w:firstLine="440"/>
      </w:pPr>
    </w:p>
    <w:p>
      <w:pPr>
        <w:pStyle w:val="14"/>
        <w:numPr>
          <w:ilvl w:val="0"/>
          <w:numId w:val="0"/>
        </w:numPr>
        <w:spacing w:beforeLines="0" w:afterLines="0" w:line="360" w:lineRule="auto"/>
        <w:rPr>
          <w:rFonts w:hAnsi="黑体"/>
          <w:b/>
          <w:bCs/>
        </w:rPr>
      </w:pPr>
      <w:r>
        <w:rPr>
          <w:rFonts w:hint="eastAsia" w:hAnsi="黑体"/>
          <w:b/>
          <w:bCs/>
        </w:rPr>
        <w:t>1  任务来源</w:t>
      </w:r>
    </w:p>
    <w:p>
      <w:pPr>
        <w:spacing w:line="276" w:lineRule="auto"/>
        <w:rPr>
          <w:rFonts w:ascii="宋体" w:hAnsi="宋体" w:cs="宋体"/>
          <w:szCs w:val="21"/>
        </w:rPr>
      </w:pPr>
      <w:r>
        <w:rPr>
          <w:rFonts w:hint="eastAsia"/>
          <w:szCs w:val="21"/>
        </w:rPr>
        <w:t xml:space="preserve">    根据工业和信息化部标准计划项目（2018-2042T-YS~2018-2049T-YS）的安排要求，</w:t>
      </w:r>
      <w:r>
        <w:rPr>
          <w:szCs w:val="21"/>
        </w:rPr>
        <w:t>全国有色金属标准化技术委员会</w:t>
      </w:r>
      <w:r>
        <w:rPr>
          <w:rFonts w:hint="eastAsia"/>
          <w:szCs w:val="21"/>
        </w:rPr>
        <w:t>于</w:t>
      </w:r>
      <w:r>
        <w:rPr>
          <w:szCs w:val="21"/>
        </w:rPr>
        <w:t>20</w:t>
      </w:r>
      <w:r>
        <w:rPr>
          <w:rFonts w:hint="eastAsia"/>
          <w:szCs w:val="21"/>
        </w:rPr>
        <w:t>19</w:t>
      </w:r>
      <w:r>
        <w:rPr>
          <w:szCs w:val="21"/>
        </w:rPr>
        <w:t>年</w:t>
      </w:r>
      <w:r>
        <w:rPr>
          <w:rFonts w:hint="eastAsia"/>
          <w:szCs w:val="21"/>
        </w:rPr>
        <w:t>5</w:t>
      </w:r>
      <w:r>
        <w:rPr>
          <w:szCs w:val="21"/>
        </w:rPr>
        <w:t>月</w:t>
      </w:r>
      <w:r>
        <w:rPr>
          <w:rFonts w:hint="eastAsia"/>
          <w:szCs w:val="21"/>
        </w:rPr>
        <w:t>28日~30</w:t>
      </w:r>
      <w:r>
        <w:rPr>
          <w:szCs w:val="21"/>
        </w:rPr>
        <w:t>日在</w:t>
      </w:r>
      <w:r>
        <w:rPr>
          <w:rFonts w:hint="eastAsia"/>
          <w:szCs w:val="21"/>
        </w:rPr>
        <w:t>新疆乌鲁木齐组织</w:t>
      </w:r>
      <w:r>
        <w:rPr>
          <w:szCs w:val="21"/>
        </w:rPr>
        <w:t>召开</w:t>
      </w:r>
      <w:r>
        <w:rPr>
          <w:rFonts w:hint="eastAsia"/>
          <w:szCs w:val="21"/>
        </w:rPr>
        <w:t>了《钴铬钨系合金粉末化学分析方法》系列标准（共8个部分）任务落实会，会上确定了各部分负责起草单位、验证单位及工作进度安排。</w:t>
      </w:r>
      <w:r>
        <w:rPr>
          <w:rFonts w:hint="eastAsia" w:ascii="宋体" w:hAnsi="宋体" w:cs="宋体"/>
          <w:color w:val="000000"/>
          <w:szCs w:val="21"/>
        </w:rPr>
        <w:t>《</w:t>
      </w:r>
      <w:r>
        <w:rPr>
          <w:rFonts w:hint="eastAsia" w:ascii="宋体" w:hAnsi="宋体" w:cs="宋体"/>
          <w:szCs w:val="21"/>
        </w:rPr>
        <w:t>钴铬钨系合金粉末化学分析方法  第8部分  氧含量的测定  惰气熔融红外法》</w:t>
      </w:r>
      <w:r>
        <w:rPr>
          <w:rFonts w:hint="eastAsia" w:ascii="宋体" w:hAnsi="宋体" w:cs="宋体"/>
          <w:color w:val="000000"/>
          <w:szCs w:val="21"/>
        </w:rPr>
        <w:t>由</w:t>
      </w:r>
      <w:r>
        <w:rPr>
          <w:rFonts w:hint="eastAsia" w:ascii="宋体" w:hAnsi="宋体" w:cs="宋体"/>
          <w:szCs w:val="21"/>
        </w:rPr>
        <w:t>广东省科学院工业分析检测中心</w:t>
      </w:r>
      <w:r>
        <w:rPr>
          <w:rFonts w:hint="eastAsia" w:ascii="宋体" w:hAnsi="宋体" w:cs="宋体"/>
          <w:color w:val="000000"/>
          <w:szCs w:val="21"/>
        </w:rPr>
        <w:t>承担</w:t>
      </w:r>
      <w:r>
        <w:rPr>
          <w:rFonts w:hint="eastAsia" w:ascii="宋体" w:hAnsi="宋体" w:cs="宋体"/>
          <w:szCs w:val="21"/>
        </w:rPr>
        <w:t>起草任务，国标（北京）检验认证有限公司、国家钨与稀土产品质量监督检验中心、北矿新材科技有限公司等单位协助起草，项目编号：</w:t>
      </w:r>
      <w:r>
        <w:rPr>
          <w:rFonts w:hint="eastAsia"/>
          <w:szCs w:val="21"/>
        </w:rPr>
        <w:t>2018-2049T-YS，</w:t>
      </w:r>
      <w:r>
        <w:rPr>
          <w:rFonts w:hint="eastAsia" w:ascii="宋体" w:hAnsi="宋体" w:cs="宋体"/>
          <w:szCs w:val="21"/>
        </w:rPr>
        <w:t>完成年限</w:t>
      </w:r>
      <w:r>
        <w:rPr>
          <w:rFonts w:hint="eastAsia" w:ascii="宋体" w:hAnsi="宋体" w:cs="宋体"/>
          <w:color w:val="000000" w:themeColor="text1"/>
          <w:szCs w:val="21"/>
        </w:rPr>
        <w:t>2020</w:t>
      </w:r>
      <w:r>
        <w:rPr>
          <w:rFonts w:hint="eastAsia" w:ascii="宋体" w:hAnsi="宋体" w:cs="宋体"/>
          <w:szCs w:val="21"/>
        </w:rPr>
        <w:t>年。</w:t>
      </w:r>
    </w:p>
    <w:p>
      <w:pPr>
        <w:spacing w:line="276" w:lineRule="auto"/>
        <w:rPr>
          <w:rFonts w:ascii="宋体" w:hAnsi="宋体"/>
          <w:b/>
          <w:bCs/>
          <w:szCs w:val="21"/>
        </w:rPr>
      </w:pPr>
      <w:r>
        <w:rPr>
          <w:rFonts w:hint="eastAsia" w:ascii="宋体" w:hAnsi="宋体"/>
          <w:b/>
          <w:bCs/>
          <w:szCs w:val="21"/>
        </w:rPr>
        <w:t>2  承担单位情况</w:t>
      </w:r>
    </w:p>
    <w:p>
      <w:pPr>
        <w:spacing w:line="288" w:lineRule="auto"/>
        <w:ind w:firstLine="420" w:firstLineChars="200"/>
        <w:rPr>
          <w:rFonts w:ascii="宋体" w:hAnsi="宋体" w:cs="宋体"/>
          <w:szCs w:val="21"/>
        </w:rPr>
      </w:pPr>
      <w:r>
        <w:rPr>
          <w:rFonts w:hint="eastAsia" w:ascii="宋体" w:hAnsi="宋体" w:cs="宋体"/>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pPr>
        <w:widowControl/>
        <w:spacing w:line="288" w:lineRule="auto"/>
        <w:ind w:firstLine="420" w:firstLineChars="200"/>
        <w:jc w:val="left"/>
        <w:rPr>
          <w:rFonts w:ascii="宋体" w:hAnsi="宋体" w:cs="宋体"/>
          <w:szCs w:val="21"/>
        </w:rPr>
      </w:pPr>
      <w:r>
        <w:rPr>
          <w:rFonts w:hint="eastAsia" w:ascii="宋体" w:hAnsi="宋体"/>
          <w:szCs w:val="21"/>
        </w:rPr>
        <w:t>该单位为本标准的主编单位，</w:t>
      </w:r>
      <w:r>
        <w:rPr>
          <w:rFonts w:ascii="宋体" w:hAnsi="宋体"/>
          <w:szCs w:val="21"/>
        </w:rPr>
        <w:t>负责该标准项目的调研</w:t>
      </w:r>
      <w:r>
        <w:rPr>
          <w:rFonts w:hint="eastAsia" w:ascii="宋体" w:hAnsi="宋体"/>
          <w:szCs w:val="21"/>
        </w:rPr>
        <w:t>、资料收集和</w:t>
      </w:r>
      <w:r>
        <w:rPr>
          <w:rFonts w:ascii="宋体" w:hAnsi="宋体"/>
          <w:szCs w:val="21"/>
        </w:rPr>
        <w:t>制定试验方案</w:t>
      </w:r>
      <w:r>
        <w:rPr>
          <w:rFonts w:hint="eastAsia" w:ascii="宋体" w:hAnsi="宋体"/>
          <w:szCs w:val="21"/>
        </w:rPr>
        <w:t>，</w:t>
      </w:r>
      <w:r>
        <w:rPr>
          <w:rFonts w:ascii="宋体" w:hAnsi="宋体"/>
          <w:szCs w:val="21"/>
        </w:rPr>
        <w:t>负责具体的试验</w:t>
      </w:r>
      <w:r>
        <w:rPr>
          <w:rFonts w:hint="eastAsia" w:ascii="宋体" w:hAnsi="宋体"/>
          <w:szCs w:val="21"/>
        </w:rPr>
        <w:t>，</w:t>
      </w:r>
      <w:r>
        <w:rPr>
          <w:rFonts w:ascii="宋体" w:hAnsi="宋体"/>
          <w:szCs w:val="21"/>
        </w:rPr>
        <w:t>技术参数的确定以及标准</w:t>
      </w:r>
      <w:r>
        <w:rPr>
          <w:rFonts w:hint="eastAsia" w:ascii="宋体" w:hAnsi="宋体"/>
          <w:szCs w:val="21"/>
        </w:rPr>
        <w:t>资料</w:t>
      </w:r>
      <w:r>
        <w:rPr>
          <w:rFonts w:ascii="宋体" w:hAnsi="宋体"/>
          <w:szCs w:val="21"/>
        </w:rPr>
        <w:t>的编写</w:t>
      </w:r>
      <w:r>
        <w:rPr>
          <w:rFonts w:hint="eastAsia" w:ascii="宋体" w:hAnsi="宋体"/>
          <w:szCs w:val="21"/>
        </w:rPr>
        <w:t>、</w:t>
      </w:r>
      <w:r>
        <w:rPr>
          <w:rFonts w:ascii="宋体" w:hAnsi="宋体"/>
          <w:szCs w:val="21"/>
        </w:rPr>
        <w:t>上报</w:t>
      </w:r>
      <w:r>
        <w:rPr>
          <w:rFonts w:hint="eastAsia" w:ascii="宋体" w:hAnsi="宋体"/>
          <w:szCs w:val="21"/>
        </w:rPr>
        <w:t>等</w:t>
      </w:r>
      <w:r>
        <w:rPr>
          <w:rFonts w:ascii="宋体" w:hAnsi="宋体"/>
          <w:szCs w:val="21"/>
        </w:rPr>
        <w:t>工作</w:t>
      </w:r>
      <w:r>
        <w:rPr>
          <w:rFonts w:hint="eastAsia" w:ascii="宋体" w:hAnsi="宋体"/>
          <w:szCs w:val="21"/>
        </w:rPr>
        <w:t>。</w:t>
      </w:r>
    </w:p>
    <w:p>
      <w:pPr>
        <w:spacing w:line="276" w:lineRule="auto"/>
        <w:rPr>
          <w:rFonts w:ascii="宋体" w:hAnsi="宋体"/>
          <w:b/>
          <w:bCs/>
          <w:spacing w:val="6"/>
          <w:szCs w:val="21"/>
        </w:rPr>
      </w:pPr>
      <w:r>
        <w:rPr>
          <w:rFonts w:hint="eastAsia" w:ascii="宋体" w:hAnsi="宋体"/>
          <w:b/>
          <w:bCs/>
          <w:spacing w:val="6"/>
          <w:szCs w:val="21"/>
        </w:rPr>
        <w:t>3  工作过程</w:t>
      </w:r>
    </w:p>
    <w:p>
      <w:pPr>
        <w:spacing w:line="276" w:lineRule="auto"/>
        <w:rPr>
          <w:rFonts w:ascii="宋体" w:hAnsi="宋体"/>
          <w:b/>
          <w:bCs/>
          <w:spacing w:val="6"/>
          <w:szCs w:val="21"/>
        </w:rPr>
      </w:pPr>
      <w:r>
        <w:rPr>
          <w:rFonts w:hint="eastAsia" w:ascii="宋体" w:hAnsi="宋体"/>
          <w:b/>
          <w:bCs/>
          <w:spacing w:val="6"/>
          <w:szCs w:val="21"/>
        </w:rPr>
        <w:t>3.1进度安排</w:t>
      </w:r>
    </w:p>
    <w:p>
      <w:pPr>
        <w:spacing w:line="276" w:lineRule="auto"/>
        <w:ind w:firstLine="432"/>
        <w:rPr>
          <w:szCs w:val="21"/>
        </w:rPr>
      </w:pPr>
      <w:r>
        <w:rPr>
          <w:rFonts w:hint="eastAsia" w:ascii="宋体" w:hAnsi="宋体" w:cs="黑体"/>
          <w:szCs w:val="21"/>
        </w:rPr>
        <w:t>1、</w:t>
      </w:r>
      <w:r>
        <w:rPr>
          <w:rFonts w:hint="eastAsia"/>
          <w:szCs w:val="21"/>
        </w:rPr>
        <w:t>2019年6月~7月，组建《钴铬钨系合金粉末化学分析方法》起草小组，落实标准起草小组组长及成员的任务、收集标准用样品；</w:t>
      </w:r>
    </w:p>
    <w:p>
      <w:pPr>
        <w:spacing w:line="276" w:lineRule="auto"/>
        <w:ind w:firstLine="432"/>
        <w:rPr>
          <w:szCs w:val="21"/>
        </w:rPr>
      </w:pPr>
      <w:r>
        <w:rPr>
          <w:rFonts w:hint="eastAsia"/>
          <w:szCs w:val="21"/>
        </w:rPr>
        <w:t>2、2019年8月~2020年5月，完成相应的分析方法研究内容，形成相应的征求意见稿、研究报告、征求意见表等；</w:t>
      </w:r>
    </w:p>
    <w:p>
      <w:pPr>
        <w:spacing w:line="276" w:lineRule="auto"/>
        <w:ind w:firstLine="432"/>
        <w:rPr>
          <w:szCs w:val="21"/>
        </w:rPr>
      </w:pPr>
      <w:r>
        <w:rPr>
          <w:rFonts w:hint="eastAsia"/>
          <w:szCs w:val="21"/>
        </w:rPr>
        <w:t>3、2020年6月，将相应分析方法标准文本、研究报告、征求意见表、验证样品分别寄往各验证单位（一验单位要验证全部条件试验；二验单位只做精密度试验）；</w:t>
      </w:r>
    </w:p>
    <w:p>
      <w:pPr>
        <w:spacing w:line="276" w:lineRule="auto"/>
        <w:ind w:firstLine="432"/>
        <w:rPr>
          <w:szCs w:val="21"/>
        </w:rPr>
      </w:pPr>
      <w:r>
        <w:rPr>
          <w:rFonts w:hint="eastAsia" w:ascii="宋体" w:hAnsi="宋体" w:cs="黑体"/>
          <w:szCs w:val="21"/>
        </w:rPr>
        <w:t>4、</w:t>
      </w:r>
      <w:r>
        <w:rPr>
          <w:rFonts w:hint="eastAsia"/>
          <w:szCs w:val="21"/>
        </w:rPr>
        <w:t>2020年8月，标准讨论会；</w:t>
      </w:r>
    </w:p>
    <w:p>
      <w:pPr>
        <w:spacing w:line="276" w:lineRule="auto"/>
        <w:ind w:firstLine="432"/>
        <w:rPr>
          <w:szCs w:val="21"/>
        </w:rPr>
      </w:pPr>
      <w:r>
        <w:rPr>
          <w:rFonts w:hint="eastAsia"/>
          <w:szCs w:val="21"/>
        </w:rPr>
        <w:t>5、2020年月，标准预审会；</w:t>
      </w:r>
    </w:p>
    <w:p>
      <w:pPr>
        <w:spacing w:line="276" w:lineRule="auto"/>
        <w:ind w:firstLine="432"/>
        <w:rPr>
          <w:rFonts w:ascii="宋体" w:hAnsi="宋体" w:cs="黑体"/>
          <w:szCs w:val="21"/>
        </w:rPr>
      </w:pPr>
      <w:r>
        <w:rPr>
          <w:rFonts w:hint="eastAsia"/>
          <w:szCs w:val="21"/>
        </w:rPr>
        <w:t>6、2020年月，标准审定会。</w:t>
      </w:r>
    </w:p>
    <w:p>
      <w:pPr>
        <w:spacing w:line="276" w:lineRule="auto"/>
        <w:ind w:firstLine="444" w:firstLineChars="200"/>
        <w:rPr>
          <w:rFonts w:ascii="宋体" w:hAnsi="宋体"/>
          <w:spacing w:val="6"/>
          <w:szCs w:val="21"/>
        </w:rPr>
      </w:pPr>
      <w:r>
        <w:rPr>
          <w:rFonts w:hint="eastAsia" w:ascii="宋体" w:hAnsi="宋体"/>
          <w:spacing w:val="6"/>
          <w:szCs w:val="21"/>
        </w:rPr>
        <w:t>由于新型冠状病毒肺炎疫情的影响，各项工作进度延后。</w:t>
      </w:r>
    </w:p>
    <w:p>
      <w:pPr>
        <w:spacing w:line="276" w:lineRule="auto"/>
        <w:rPr>
          <w:rFonts w:ascii="宋体" w:hAnsi="宋体"/>
          <w:b/>
          <w:bCs/>
          <w:spacing w:val="6"/>
          <w:szCs w:val="21"/>
        </w:rPr>
      </w:pPr>
      <w:r>
        <w:rPr>
          <w:rFonts w:hint="eastAsia" w:ascii="宋体" w:hAnsi="宋体"/>
          <w:b/>
          <w:bCs/>
          <w:spacing w:val="6"/>
          <w:szCs w:val="21"/>
        </w:rPr>
        <w:t>3.2  实验部分</w:t>
      </w:r>
    </w:p>
    <w:p>
      <w:pPr>
        <w:spacing w:line="276" w:lineRule="auto"/>
        <w:rPr>
          <w:rFonts w:ascii="宋体" w:hAnsi="宋体"/>
          <w:spacing w:val="6"/>
          <w:szCs w:val="21"/>
        </w:rPr>
      </w:pPr>
      <w:r>
        <w:rPr>
          <w:rFonts w:hint="eastAsia" w:ascii="宋体" w:hAnsi="宋体"/>
          <w:spacing w:val="6"/>
          <w:szCs w:val="21"/>
        </w:rPr>
        <w:t xml:space="preserve">    实验部分见附件1：试验报告。</w:t>
      </w:r>
    </w:p>
    <w:p>
      <w:pPr>
        <w:spacing w:line="276" w:lineRule="auto"/>
        <w:rPr>
          <w:rFonts w:ascii="宋体" w:hAnsi="宋体"/>
          <w:b/>
          <w:bCs/>
          <w:szCs w:val="21"/>
        </w:rPr>
      </w:pPr>
      <w:r>
        <w:rPr>
          <w:rFonts w:hint="eastAsia" w:ascii="宋体" w:hAnsi="宋体"/>
          <w:b/>
          <w:bCs/>
          <w:szCs w:val="21"/>
        </w:rPr>
        <w:t>4  标准编写原则和编写格式</w:t>
      </w:r>
    </w:p>
    <w:p>
      <w:pPr>
        <w:spacing w:line="288" w:lineRule="auto"/>
        <w:ind w:firstLine="420" w:firstLineChars="200"/>
        <w:rPr>
          <w:rFonts w:ascii="宋体" w:hAnsi="宋体"/>
          <w:szCs w:val="21"/>
        </w:rPr>
      </w:pPr>
      <w:r>
        <w:rPr>
          <w:rFonts w:hint="eastAsia" w:ascii="宋体" w:hAnsi="宋体"/>
          <w:szCs w:val="21"/>
        </w:rPr>
        <w:t>本标准是根据</w:t>
      </w:r>
      <w:r>
        <w:rPr>
          <w:rFonts w:ascii="宋体" w:hAnsi="宋体"/>
          <w:szCs w:val="21"/>
        </w:rPr>
        <w:t>GB/T1.1-20</w:t>
      </w:r>
      <w:r>
        <w:rPr>
          <w:rFonts w:hint="eastAsia" w:ascii="宋体" w:hAnsi="宋体"/>
          <w:szCs w:val="21"/>
        </w:rPr>
        <w:t>20《标准化工作导则 第</w:t>
      </w:r>
      <w:r>
        <w:rPr>
          <w:rFonts w:ascii="宋体" w:hAnsi="宋体"/>
          <w:szCs w:val="21"/>
        </w:rPr>
        <w:t>1</w:t>
      </w:r>
      <w:r>
        <w:rPr>
          <w:rFonts w:hint="eastAsia" w:ascii="宋体" w:hAnsi="宋体"/>
          <w:szCs w:val="21"/>
        </w:rPr>
        <w:t>部分：标准的结构和编写规则》和</w:t>
      </w:r>
      <w:r>
        <w:rPr>
          <w:rFonts w:ascii="宋体" w:hAnsi="宋体"/>
          <w:szCs w:val="21"/>
        </w:rPr>
        <w:t>GB/T20001.4-2001</w:t>
      </w:r>
      <w:r>
        <w:rPr>
          <w:rFonts w:hint="eastAsia" w:ascii="宋体" w:hAnsi="宋体"/>
          <w:szCs w:val="21"/>
        </w:rPr>
        <w:t>《标准编写规则第</w:t>
      </w:r>
      <w:r>
        <w:rPr>
          <w:rFonts w:ascii="宋体" w:hAnsi="宋体"/>
          <w:szCs w:val="21"/>
        </w:rPr>
        <w:t>4</w:t>
      </w:r>
      <w:r>
        <w:rPr>
          <w:rFonts w:hint="eastAsia" w:ascii="宋体" w:hAnsi="宋体"/>
          <w:szCs w:val="21"/>
        </w:rPr>
        <w:t>部分：化学分析方法》的要求进行编写的。编制本标准的目的是以能满足</w:t>
      </w:r>
      <w:r>
        <w:rPr>
          <w:rFonts w:hint="eastAsia" w:ascii="Verdana" w:hAnsi="Verdana"/>
          <w:color w:val="000000"/>
          <w:szCs w:val="21"/>
        </w:rPr>
        <w:t>《</w:t>
      </w:r>
      <w:r>
        <w:rPr>
          <w:rFonts w:hint="eastAsia"/>
          <w:szCs w:val="21"/>
        </w:rPr>
        <w:t xml:space="preserve">钴铬钨系合金粉末化学分析方法 </w:t>
      </w:r>
      <w:r>
        <w:rPr>
          <w:rFonts w:hint="eastAsia" w:ascii="宋体" w:hAnsi="宋体" w:cs="宋体"/>
          <w:szCs w:val="21"/>
        </w:rPr>
        <w:t xml:space="preserve"> 第8部分  氧含量的测定  惰气熔融红外法</w:t>
      </w:r>
      <w:r>
        <w:rPr>
          <w:rFonts w:hint="eastAsia"/>
          <w:szCs w:val="21"/>
        </w:rPr>
        <w:t>》</w:t>
      </w:r>
      <w:r>
        <w:rPr>
          <w:rFonts w:hint="eastAsia" w:ascii="宋体" w:hAnsi="宋体"/>
          <w:szCs w:val="21"/>
        </w:rPr>
        <w:t>准确快速测定要求为基础。编制本标准的原则是准确、具有一定的先进性和操作简单性。根据国情制订技术规范并力求与国外先进技术接轨。</w:t>
      </w:r>
    </w:p>
    <w:p>
      <w:pPr>
        <w:spacing w:line="276" w:lineRule="auto"/>
        <w:rPr>
          <w:rFonts w:ascii="宋体" w:hAnsi="宋体"/>
          <w:b/>
          <w:bCs/>
          <w:szCs w:val="21"/>
        </w:rPr>
      </w:pPr>
      <w:r>
        <w:rPr>
          <w:rFonts w:hint="eastAsia" w:ascii="宋体" w:hAnsi="宋体"/>
          <w:b/>
          <w:bCs/>
          <w:szCs w:val="21"/>
        </w:rPr>
        <w:t>5  标准编写的目的和意义</w:t>
      </w:r>
    </w:p>
    <w:p>
      <w:pPr>
        <w:spacing w:line="276" w:lineRule="auto"/>
        <w:ind w:firstLine="444" w:firstLineChars="200"/>
        <w:rPr>
          <w:rFonts w:ascii="宋体" w:hAnsi="宋体"/>
          <w:spacing w:val="6"/>
          <w:szCs w:val="21"/>
        </w:rPr>
      </w:pPr>
      <w:r>
        <w:rPr>
          <w:rFonts w:hint="eastAsia" w:ascii="宋体" w:hAnsi="宋体"/>
          <w:spacing w:val="6"/>
          <w:szCs w:val="21"/>
        </w:rPr>
        <w:t>钴铬钨</w:t>
      </w:r>
      <w:r>
        <w:rPr>
          <w:rFonts w:hAnsi="宋体"/>
          <w:spacing w:val="6"/>
          <w:szCs w:val="21"/>
        </w:rPr>
        <w:t>（</w:t>
      </w:r>
      <w:r>
        <w:rPr>
          <w:spacing w:val="6"/>
          <w:szCs w:val="21"/>
        </w:rPr>
        <w:t>CoCrW</w:t>
      </w:r>
      <w:r>
        <w:rPr>
          <w:rFonts w:hAnsi="宋体"/>
          <w:spacing w:val="6"/>
          <w:szCs w:val="21"/>
        </w:rPr>
        <w:t>）</w:t>
      </w:r>
      <w:r>
        <w:rPr>
          <w:rFonts w:hint="eastAsia" w:ascii="宋体" w:hAnsi="宋体"/>
          <w:spacing w:val="6"/>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pPr>
        <w:spacing w:line="276" w:lineRule="auto"/>
        <w:ind w:firstLine="444" w:firstLineChars="200"/>
        <w:rPr>
          <w:rFonts w:ascii="宋体" w:hAnsi="宋体"/>
          <w:spacing w:val="6"/>
          <w:szCs w:val="21"/>
        </w:rPr>
      </w:pPr>
      <w:r>
        <w:rPr>
          <w:rFonts w:hint="eastAsia" w:ascii="宋体" w:hAnsi="宋体"/>
          <w:spacing w:val="6"/>
          <w:szCs w:val="21"/>
        </w:rPr>
        <w:t>钴铬钨</w:t>
      </w:r>
      <w:r>
        <w:rPr>
          <w:rFonts w:hAnsi="宋体"/>
          <w:spacing w:val="6"/>
          <w:szCs w:val="21"/>
        </w:rPr>
        <w:t>（</w:t>
      </w:r>
      <w:r>
        <w:rPr>
          <w:spacing w:val="6"/>
          <w:szCs w:val="21"/>
        </w:rPr>
        <w:t>CoCrW</w:t>
      </w:r>
      <w:r>
        <w:rPr>
          <w:rFonts w:hAnsi="宋体"/>
          <w:spacing w:val="6"/>
          <w:szCs w:val="21"/>
        </w:rPr>
        <w:t>）</w:t>
      </w:r>
      <w:r>
        <w:rPr>
          <w:rFonts w:hint="eastAsia" w:ascii="宋体" w:hAnsi="宋体"/>
          <w:spacing w:val="6"/>
          <w:szCs w:val="21"/>
        </w:rPr>
        <w:t>合金粉末主要是采用在钴铬钨</w:t>
      </w:r>
      <w:r>
        <w:rPr>
          <w:rFonts w:hAnsi="宋体"/>
          <w:spacing w:val="6"/>
          <w:szCs w:val="21"/>
        </w:rPr>
        <w:t>（</w:t>
      </w:r>
      <w:r>
        <w:rPr>
          <w:spacing w:val="6"/>
          <w:szCs w:val="21"/>
        </w:rPr>
        <w:t>CoCrW</w:t>
      </w:r>
      <w:r>
        <w:rPr>
          <w:rFonts w:hAnsi="宋体"/>
          <w:spacing w:val="6"/>
          <w:szCs w:val="21"/>
        </w:rPr>
        <w:t>）</w:t>
      </w:r>
      <w:r>
        <w:rPr>
          <w:rFonts w:hint="eastAsia" w:ascii="宋体" w:hAnsi="宋体"/>
          <w:spacing w:val="6"/>
          <w:szCs w:val="21"/>
        </w:rPr>
        <w:t>合金中添加一定含量的碳，使碳在合金中形成</w:t>
      </w:r>
      <w:r>
        <w:rPr>
          <w:spacing w:val="6"/>
          <w:szCs w:val="21"/>
        </w:rPr>
        <w:t>WC</w:t>
      </w:r>
      <w:r>
        <w:rPr>
          <w:rFonts w:hAnsi="宋体"/>
          <w:spacing w:val="6"/>
          <w:szCs w:val="21"/>
        </w:rPr>
        <w:t>、</w:t>
      </w:r>
      <w:r>
        <w:rPr>
          <w:spacing w:val="6"/>
          <w:szCs w:val="21"/>
        </w:rPr>
        <w:t>W</w:t>
      </w:r>
      <w:r>
        <w:rPr>
          <w:spacing w:val="6"/>
          <w:szCs w:val="21"/>
          <w:vertAlign w:val="subscript"/>
        </w:rPr>
        <w:t>2</w:t>
      </w:r>
      <w:r>
        <w:rPr>
          <w:spacing w:val="6"/>
          <w:szCs w:val="21"/>
        </w:rPr>
        <w:t>C</w:t>
      </w:r>
      <w:r>
        <w:rPr>
          <w:rFonts w:hAnsi="宋体"/>
          <w:spacing w:val="6"/>
          <w:szCs w:val="21"/>
        </w:rPr>
        <w:t>、</w:t>
      </w:r>
      <w:r>
        <w:rPr>
          <w:spacing w:val="6"/>
          <w:szCs w:val="21"/>
        </w:rPr>
        <w:t>M</w:t>
      </w:r>
      <w:r>
        <w:rPr>
          <w:spacing w:val="6"/>
          <w:szCs w:val="21"/>
          <w:vertAlign w:val="subscript"/>
        </w:rPr>
        <w:t>6</w:t>
      </w:r>
      <w:r>
        <w:rPr>
          <w:spacing w:val="6"/>
          <w:szCs w:val="21"/>
        </w:rPr>
        <w:t>C(Co</w:t>
      </w:r>
      <w:r>
        <w:rPr>
          <w:spacing w:val="6"/>
          <w:szCs w:val="21"/>
          <w:vertAlign w:val="subscript"/>
        </w:rPr>
        <w:t>3</w:t>
      </w:r>
      <w:r>
        <w:rPr>
          <w:spacing w:val="6"/>
          <w:szCs w:val="21"/>
        </w:rPr>
        <w:t>W</w:t>
      </w:r>
      <w:r>
        <w:rPr>
          <w:spacing w:val="6"/>
          <w:szCs w:val="21"/>
          <w:vertAlign w:val="subscript"/>
        </w:rPr>
        <w:t>3</w:t>
      </w:r>
      <w:r>
        <w:rPr>
          <w:spacing w:val="6"/>
          <w:szCs w:val="21"/>
        </w:rPr>
        <w:t>C•Co</w:t>
      </w:r>
      <w:r>
        <w:rPr>
          <w:spacing w:val="6"/>
          <w:szCs w:val="21"/>
          <w:vertAlign w:val="subscript"/>
        </w:rPr>
        <w:t>2</w:t>
      </w:r>
      <w:r>
        <w:rPr>
          <w:spacing w:val="6"/>
          <w:szCs w:val="21"/>
        </w:rPr>
        <w:t>W</w:t>
      </w:r>
      <w:r>
        <w:rPr>
          <w:spacing w:val="6"/>
          <w:szCs w:val="21"/>
          <w:vertAlign w:val="subscript"/>
        </w:rPr>
        <w:t>4</w:t>
      </w:r>
      <w:r>
        <w:rPr>
          <w:spacing w:val="6"/>
          <w:szCs w:val="21"/>
        </w:rPr>
        <w:t>C)</w:t>
      </w:r>
      <w:r>
        <w:rPr>
          <w:rFonts w:hint="eastAsia" w:ascii="宋体" w:hAnsi="宋体"/>
          <w:spacing w:val="6"/>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spacing w:val="6"/>
          <w:szCs w:val="21"/>
        </w:rPr>
        <w:t>在</w:t>
      </w:r>
      <w:r>
        <w:rPr>
          <w:rFonts w:ascii="宋体" w:hAnsi="宋体"/>
          <w:spacing w:val="6"/>
          <w:szCs w:val="21"/>
        </w:rPr>
        <w:t>1%</w:t>
      </w:r>
      <w:r>
        <w:rPr>
          <w:rFonts w:hint="eastAsia" w:ascii="宋体" w:hAnsi="宋体"/>
          <w:spacing w:val="6"/>
          <w:szCs w:val="21"/>
        </w:rPr>
        <w:t>左右。为了改善涂层的韧性，在合金中添加一定含量的</w:t>
      </w:r>
      <w:r>
        <w:rPr>
          <w:spacing w:val="6"/>
          <w:szCs w:val="21"/>
        </w:rPr>
        <w:t>Ni</w:t>
      </w:r>
      <w:r>
        <w:rPr>
          <w:rFonts w:hAnsi="宋体"/>
          <w:spacing w:val="6"/>
          <w:szCs w:val="21"/>
        </w:rPr>
        <w:t>、</w:t>
      </w:r>
      <w:r>
        <w:rPr>
          <w:spacing w:val="6"/>
          <w:szCs w:val="21"/>
        </w:rPr>
        <w:t>Fe</w:t>
      </w:r>
      <w:r>
        <w:rPr>
          <w:rFonts w:hint="eastAsia" w:ascii="宋体" w:hAnsi="宋体"/>
          <w:spacing w:val="6"/>
          <w:szCs w:val="21"/>
        </w:rPr>
        <w:t>等合金元素。为了增加合金的流动性和抗高温氧化性，在合金中加入少量的（1%左右）</w:t>
      </w:r>
      <w:r>
        <w:rPr>
          <w:spacing w:val="6"/>
          <w:szCs w:val="21"/>
        </w:rPr>
        <w:t>Mn</w:t>
      </w:r>
      <w:r>
        <w:rPr>
          <w:rFonts w:hAnsi="宋体"/>
          <w:spacing w:val="6"/>
          <w:szCs w:val="21"/>
        </w:rPr>
        <w:t>和</w:t>
      </w:r>
      <w:r>
        <w:rPr>
          <w:spacing w:val="6"/>
          <w:szCs w:val="21"/>
        </w:rPr>
        <w:t>Si</w:t>
      </w:r>
      <w:r>
        <w:rPr>
          <w:rFonts w:hint="eastAsia" w:ascii="宋体" w:hAnsi="宋体"/>
          <w:spacing w:val="6"/>
          <w:szCs w:val="21"/>
        </w:rPr>
        <w:t>元素。</w:t>
      </w:r>
      <w:r>
        <w:rPr>
          <w:rFonts w:hint="eastAsia" w:ascii="宋体" w:hAnsi="宋体"/>
          <w:kern w:val="0"/>
          <w:szCs w:val="21"/>
        </w:rPr>
        <w:t>无论是在生产该合金粉末还是以该合金粉末作为原材料在选取过程中，对各杂质元素的含量要求十分严格，氧含量过高会严重影响产品性能，</w:t>
      </w:r>
      <w:r>
        <w:rPr>
          <w:rFonts w:hint="eastAsia" w:ascii="宋体" w:hAnsi="宋体" w:cs="宋体"/>
          <w:kern w:val="0"/>
          <w:szCs w:val="21"/>
        </w:rPr>
        <w:t>《钴铬钨（CoCrW）系合金粉末》产品标准中对氧含量有要求，目前无钴铬钨系合金粉末氧含量分析方法，为规范检测市场,满足市场交易需求,起草</w:t>
      </w:r>
      <w:r>
        <w:rPr>
          <w:rFonts w:hint="eastAsia" w:ascii="宋体" w:hAnsi="宋体"/>
          <w:spacing w:val="6"/>
          <w:szCs w:val="21"/>
        </w:rPr>
        <w:t>本标准。</w:t>
      </w:r>
    </w:p>
    <w:p>
      <w:pPr>
        <w:spacing w:line="276" w:lineRule="auto"/>
        <w:rPr>
          <w:rFonts w:ascii="宋体" w:hAnsi="宋体"/>
          <w:b/>
          <w:bCs/>
          <w:spacing w:val="6"/>
          <w:szCs w:val="21"/>
        </w:rPr>
      </w:pPr>
      <w:r>
        <w:rPr>
          <w:rFonts w:hint="eastAsia" w:ascii="宋体" w:hAnsi="宋体"/>
          <w:b/>
          <w:bCs/>
          <w:spacing w:val="6"/>
          <w:szCs w:val="21"/>
        </w:rPr>
        <w:t>6  国内外有关工作情况</w:t>
      </w:r>
    </w:p>
    <w:p>
      <w:pPr>
        <w:spacing w:line="276" w:lineRule="auto"/>
        <w:ind w:firstLine="444" w:firstLineChars="200"/>
        <w:rPr>
          <w:rFonts w:ascii="宋体" w:hAnsi="宋体"/>
          <w:spacing w:val="6"/>
          <w:szCs w:val="21"/>
        </w:rPr>
      </w:pPr>
      <w:r>
        <w:rPr>
          <w:rFonts w:hint="eastAsia" w:hAnsi="宋体"/>
          <w:spacing w:val="6"/>
          <w:szCs w:val="21"/>
        </w:rPr>
        <w:t>国内外尚未查询到已发布的</w:t>
      </w:r>
      <w:r>
        <w:rPr>
          <w:rFonts w:hint="eastAsia" w:hAnsi="宋体"/>
          <w:szCs w:val="21"/>
        </w:rPr>
        <w:t>钴铬钨系合金粉末中氧含量分析检测标准。</w:t>
      </w:r>
      <w:r>
        <w:rPr>
          <w:rFonts w:hint="eastAsia" w:ascii="宋体" w:hAnsi="宋体"/>
          <w:spacing w:val="6"/>
          <w:szCs w:val="21"/>
        </w:rPr>
        <w:t>目前金属、合金、粉末样品等无机材料中氧含量测定主流方法为惰气熔融红外法，该方法快速，准确度高，本标准采用惰气熔融红外法测定钴铬钨系合金粉末中氧含量,对测试条件进行了仔细研究。</w:t>
      </w:r>
    </w:p>
    <w:p>
      <w:pPr>
        <w:pStyle w:val="14"/>
        <w:numPr>
          <w:ilvl w:val="0"/>
          <w:numId w:val="0"/>
        </w:numPr>
        <w:spacing w:beforeLines="0" w:afterLines="0" w:line="360" w:lineRule="auto"/>
        <w:rPr>
          <w:rFonts w:hAnsi="黑体"/>
          <w:b/>
          <w:bCs/>
        </w:rPr>
      </w:pPr>
      <w:r>
        <w:rPr>
          <w:rFonts w:hint="eastAsia" w:hAnsi="黑体"/>
          <w:b/>
          <w:bCs/>
        </w:rPr>
        <w:t>7标准适用范围</w:t>
      </w:r>
    </w:p>
    <w:p>
      <w:pPr>
        <w:spacing w:line="360" w:lineRule="auto"/>
        <w:ind w:firstLine="420" w:firstLineChars="200"/>
        <w:rPr>
          <w:rFonts w:ascii="宋体"/>
          <w:szCs w:val="21"/>
        </w:rPr>
      </w:pPr>
      <w:r>
        <w:rPr>
          <w:rFonts w:hint="eastAsia" w:ascii="宋体" w:hAnsi="宋体"/>
        </w:rPr>
        <w:t>本标准适用于钴铬钨系合金粉末中氧含量的测定。测定范围：0.0050%</w:t>
      </w:r>
      <w:r>
        <w:rPr>
          <w:rFonts w:hint="eastAsia" w:ascii="宋体" w:hAnsi="宋体" w:cs="宋体"/>
          <w:szCs w:val="21"/>
        </w:rPr>
        <w:t>～</w:t>
      </w:r>
      <w:r>
        <w:rPr>
          <w:rFonts w:hint="eastAsia" w:ascii="宋体" w:hAnsi="宋体"/>
        </w:rPr>
        <w:t>0.50%。</w:t>
      </w:r>
    </w:p>
    <w:p>
      <w:pPr>
        <w:pStyle w:val="15"/>
        <w:spacing w:line="400" w:lineRule="exact"/>
        <w:ind w:firstLine="0" w:firstLineChars="0"/>
        <w:rPr>
          <w:rFonts w:ascii="Times New Roman"/>
          <w:b/>
          <w:szCs w:val="21"/>
        </w:rPr>
      </w:pPr>
      <w:r>
        <w:rPr>
          <w:rFonts w:hint="eastAsia" w:ascii="Times New Roman"/>
          <w:b/>
          <w:szCs w:val="21"/>
        </w:rPr>
        <w:t>8  标准制订的主要内容与依据</w:t>
      </w:r>
    </w:p>
    <w:p>
      <w:pPr>
        <w:pStyle w:val="15"/>
        <w:spacing w:line="400" w:lineRule="exact"/>
        <w:ind w:firstLine="408" w:firstLineChars="0"/>
        <w:rPr>
          <w:rFonts w:ascii="Times New Roman"/>
          <w:szCs w:val="21"/>
        </w:rPr>
      </w:pPr>
      <w:r>
        <w:rPr>
          <w:rFonts w:hint="eastAsia" w:ascii="Times New Roman"/>
          <w:szCs w:val="21"/>
        </w:rPr>
        <w:t>见附件1：试验报告</w:t>
      </w:r>
    </w:p>
    <w:p>
      <w:pPr>
        <w:pStyle w:val="15"/>
        <w:spacing w:line="400" w:lineRule="exact"/>
        <w:ind w:firstLine="0" w:firstLineChars="0"/>
        <w:rPr>
          <w:rFonts w:hAnsi="宋体"/>
          <w:b/>
          <w:szCs w:val="21"/>
        </w:rPr>
      </w:pPr>
      <w:r>
        <w:rPr>
          <w:rFonts w:hint="eastAsia" w:hAnsi="宋体"/>
          <w:b/>
          <w:szCs w:val="21"/>
        </w:rPr>
        <w:t>9  协同试验</w:t>
      </w:r>
    </w:p>
    <w:p>
      <w:pPr>
        <w:pStyle w:val="15"/>
        <w:spacing w:line="400" w:lineRule="exact"/>
        <w:ind w:firstLine="0" w:firstLineChars="0"/>
        <w:rPr>
          <w:rFonts w:hAnsi="宋体"/>
          <w:b/>
          <w:szCs w:val="21"/>
        </w:rPr>
      </w:pPr>
      <w:r>
        <w:rPr>
          <w:rFonts w:hint="eastAsia" w:hAnsi="宋体"/>
          <w:b/>
          <w:szCs w:val="21"/>
        </w:rPr>
        <w:t>9.1  精密度试验</w:t>
      </w:r>
    </w:p>
    <w:p>
      <w:pPr>
        <w:spacing w:line="276" w:lineRule="auto"/>
        <w:ind w:firstLine="420" w:firstLineChars="200"/>
        <w:jc w:val="left"/>
        <w:rPr>
          <w:szCs w:val="21"/>
        </w:rPr>
      </w:pPr>
      <w:r>
        <w:rPr>
          <w:rFonts w:hint="eastAsia"/>
          <w:szCs w:val="21"/>
        </w:rPr>
        <w:t>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）的规定，对收到的全部数据进行统计分析。原始数据及统计结果见附件</w:t>
      </w:r>
      <w:r>
        <w:rPr>
          <w:szCs w:val="21"/>
        </w:rPr>
        <w:t>2</w:t>
      </w:r>
      <w:r>
        <w:rPr>
          <w:rFonts w:hint="eastAsia"/>
          <w:szCs w:val="21"/>
        </w:rPr>
        <w:t>。</w:t>
      </w:r>
    </w:p>
    <w:p>
      <w:pPr>
        <w:spacing w:line="276" w:lineRule="auto"/>
        <w:rPr>
          <w:rFonts w:ascii="宋体" w:hAnsi="宋体"/>
          <w:b/>
          <w:szCs w:val="21"/>
        </w:rPr>
      </w:pPr>
      <w:r>
        <w:rPr>
          <w:rFonts w:hint="eastAsia" w:ascii="宋体" w:hAnsi="宋体"/>
          <w:b/>
          <w:szCs w:val="21"/>
        </w:rPr>
        <w:t>9.2  重复性</w:t>
      </w:r>
    </w:p>
    <w:p>
      <w:pPr>
        <w:adjustRightInd w:val="0"/>
        <w:snapToGrid w:val="0"/>
        <w:spacing w:before="50" w:after="50" w:line="276" w:lineRule="auto"/>
        <w:ind w:firstLine="444" w:firstLineChars="200"/>
        <w:rPr>
          <w:rFonts w:ascii="宋体" w:hAnsi="宋体"/>
          <w:szCs w:val="21"/>
        </w:rPr>
      </w:pPr>
      <w:r>
        <w:rPr>
          <w:rFonts w:hint="eastAsia" w:ascii="宋体" w:hAnsi="宋体"/>
          <w:spacing w:val="6"/>
          <w:szCs w:val="21"/>
        </w:rPr>
        <w:t>在重复性条件下获得的两次独立测试结果的测定值，在以下给出的平均值范围内，这两个测试结果的绝对差值不超过重复性限（</w:t>
      </w:r>
      <w:r>
        <w:rPr>
          <w:rFonts w:ascii="宋体" w:hAnsi="宋体"/>
          <w:i/>
          <w:spacing w:val="6"/>
          <w:szCs w:val="21"/>
        </w:rPr>
        <w:t>r</w:t>
      </w:r>
      <w:r>
        <w:rPr>
          <w:rFonts w:hint="eastAsia" w:ascii="宋体" w:hAnsi="宋体"/>
          <w:spacing w:val="6"/>
          <w:szCs w:val="21"/>
        </w:rPr>
        <w:t>），超过重复性限（</w:t>
      </w:r>
      <w:r>
        <w:rPr>
          <w:rFonts w:ascii="宋体" w:hAnsi="宋体"/>
          <w:i/>
          <w:spacing w:val="6"/>
          <w:szCs w:val="21"/>
        </w:rPr>
        <w:t>r</w:t>
      </w:r>
      <w:r>
        <w:rPr>
          <w:rFonts w:hint="eastAsia" w:ascii="宋体" w:hAnsi="宋体"/>
          <w:spacing w:val="6"/>
          <w:szCs w:val="21"/>
        </w:rPr>
        <w:t>）的情况不超过</w:t>
      </w:r>
      <w:r>
        <w:rPr>
          <w:rFonts w:ascii="宋体" w:hAnsi="宋体"/>
          <w:spacing w:val="6"/>
          <w:szCs w:val="21"/>
        </w:rPr>
        <w:t>5%</w:t>
      </w:r>
      <w:r>
        <w:rPr>
          <w:rFonts w:hint="eastAsia" w:ascii="宋体" w:hAnsi="宋体"/>
          <w:spacing w:val="6"/>
          <w:szCs w:val="21"/>
        </w:rPr>
        <w:t>，重复性限（</w:t>
      </w:r>
      <w:r>
        <w:rPr>
          <w:rFonts w:ascii="宋体" w:hAnsi="宋体"/>
          <w:i/>
          <w:spacing w:val="6"/>
          <w:szCs w:val="21"/>
        </w:rPr>
        <w:t>r</w:t>
      </w:r>
      <w:r>
        <w:rPr>
          <w:rFonts w:hint="eastAsia" w:ascii="宋体" w:hAnsi="宋体"/>
          <w:spacing w:val="6"/>
          <w:szCs w:val="21"/>
        </w:rPr>
        <w:t>）按表</w:t>
      </w:r>
      <w:r>
        <w:rPr>
          <w:rFonts w:ascii="宋体" w:hAnsi="宋体"/>
          <w:spacing w:val="6"/>
          <w:szCs w:val="21"/>
        </w:rPr>
        <w:t>2</w:t>
      </w:r>
      <w:r>
        <w:rPr>
          <w:rFonts w:hint="eastAsia" w:ascii="宋体" w:hAnsi="宋体"/>
          <w:spacing w:val="6"/>
          <w:szCs w:val="21"/>
        </w:rPr>
        <w:t>数据采用线性内插法或外延法求得：</w:t>
      </w:r>
    </w:p>
    <w:p>
      <w:pPr>
        <w:pStyle w:val="3"/>
        <w:spacing w:line="276" w:lineRule="auto"/>
        <w:ind w:firstLine="0" w:firstLineChars="0"/>
        <w:jc w:val="center"/>
        <w:rPr>
          <w:rFonts w:ascii="宋体" w:hAnsi="宋体"/>
          <w:bCs/>
          <w:szCs w:val="21"/>
        </w:rPr>
      </w:pPr>
      <w:r>
        <w:rPr>
          <w:rFonts w:hint="eastAsia" w:ascii="宋体" w:hAnsi="宋体"/>
          <w:bCs/>
          <w:szCs w:val="21"/>
        </w:rPr>
        <w:t>表2 重复性限</w:t>
      </w:r>
    </w:p>
    <w:tbl>
      <w:tblPr>
        <w:tblStyle w:val="10"/>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19"/>
        <w:gridCol w:w="1421"/>
        <w:gridCol w:w="142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5"/>
              <w:widowControl w:val="0"/>
              <w:tabs>
                <w:tab w:val="center" w:pos="4201"/>
                <w:tab w:val="right" w:leader="dot" w:pos="9298"/>
              </w:tabs>
              <w:spacing w:line="276" w:lineRule="auto"/>
              <w:ind w:firstLine="0" w:firstLineChars="0"/>
              <w:jc w:val="center"/>
              <w:rPr>
                <w:rFonts w:hAnsi="宋体"/>
                <w:szCs w:val="21"/>
              </w:rPr>
            </w:pPr>
            <w:r>
              <w:rPr>
                <w:rFonts w:hAnsi="宋体"/>
                <w:i/>
                <w:szCs w:val="21"/>
              </w:rPr>
              <w:t>w</w:t>
            </w:r>
            <w:r>
              <w:rPr>
                <w:rFonts w:hint="eastAsia" w:hAnsi="宋体"/>
                <w:i/>
                <w:szCs w:val="21"/>
                <w:vertAlign w:val="subscript"/>
              </w:rPr>
              <w:t>O</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 w:val="18"/>
                <w:szCs w:val="18"/>
              </w:rPr>
              <w:t>0.010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 w:val="18"/>
                <w:szCs w:val="18"/>
              </w:rPr>
              <w:t>0.042</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olor w:val="000000"/>
                <w:sz w:val="18"/>
                <w:szCs w:val="18"/>
              </w:rPr>
              <w:t>0.21</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olor w:val="000000"/>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5"/>
              <w:widowControl w:val="0"/>
              <w:tabs>
                <w:tab w:val="center" w:pos="4201"/>
                <w:tab w:val="right" w:leader="dot" w:pos="9298"/>
              </w:tabs>
              <w:spacing w:line="276" w:lineRule="auto"/>
              <w:ind w:firstLine="0" w:firstLineChars="0"/>
              <w:jc w:val="center"/>
              <w:rPr>
                <w:rFonts w:hAnsi="宋体"/>
                <w:szCs w:val="21"/>
              </w:rPr>
            </w:pPr>
            <w:r>
              <w:rPr>
                <w:rFonts w:hAnsi="宋体"/>
                <w:i/>
                <w:szCs w:val="21"/>
              </w:rPr>
              <w:t>r</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r>
    </w:tbl>
    <w:p>
      <w:pPr>
        <w:spacing w:line="276" w:lineRule="auto"/>
        <w:rPr>
          <w:rFonts w:ascii="宋体" w:hAnsi="宋体"/>
          <w:b/>
          <w:szCs w:val="21"/>
        </w:rPr>
      </w:pPr>
      <w:r>
        <w:rPr>
          <w:rFonts w:hint="eastAsia" w:ascii="宋体" w:hAnsi="宋体"/>
          <w:b/>
          <w:szCs w:val="21"/>
        </w:rPr>
        <w:t>9.3  再现性</w:t>
      </w:r>
    </w:p>
    <w:p>
      <w:pPr>
        <w:adjustRightInd w:val="0"/>
        <w:snapToGrid w:val="0"/>
        <w:spacing w:before="50" w:after="50" w:line="276" w:lineRule="auto"/>
        <w:ind w:firstLine="444" w:firstLineChars="200"/>
        <w:rPr>
          <w:rFonts w:ascii="宋体" w:hAnsi="宋体"/>
          <w:spacing w:val="6"/>
          <w:szCs w:val="21"/>
        </w:rPr>
      </w:pPr>
      <w:r>
        <w:rPr>
          <w:rFonts w:hint="eastAsia" w:ascii="宋体" w:hAnsi="宋体"/>
          <w:spacing w:val="6"/>
          <w:szCs w:val="21"/>
        </w:rPr>
        <w:t>在再现性条件下获得的两次独立测试结果的测定值，在以下给出的平均值范围内，这两个测试结果的绝对差值不超过再现性限（</w:t>
      </w:r>
      <w:r>
        <w:rPr>
          <w:rFonts w:ascii="宋体" w:hAnsi="宋体"/>
          <w:i/>
          <w:spacing w:val="6"/>
          <w:szCs w:val="21"/>
        </w:rPr>
        <w:t>R</w:t>
      </w:r>
      <w:r>
        <w:rPr>
          <w:rFonts w:hint="eastAsia" w:ascii="宋体" w:hAnsi="宋体"/>
          <w:spacing w:val="6"/>
          <w:szCs w:val="21"/>
        </w:rPr>
        <w:t>），超过再现性限（</w:t>
      </w:r>
      <w:r>
        <w:rPr>
          <w:rFonts w:ascii="宋体" w:hAnsi="宋体"/>
          <w:i/>
          <w:spacing w:val="6"/>
          <w:szCs w:val="21"/>
        </w:rPr>
        <w:t>R</w:t>
      </w:r>
      <w:r>
        <w:rPr>
          <w:rFonts w:hint="eastAsia" w:ascii="宋体" w:hAnsi="宋体"/>
          <w:spacing w:val="6"/>
          <w:szCs w:val="21"/>
        </w:rPr>
        <w:t>）的情况不超过</w:t>
      </w:r>
      <w:r>
        <w:rPr>
          <w:rFonts w:ascii="宋体" w:hAnsi="宋体"/>
          <w:spacing w:val="6"/>
          <w:szCs w:val="21"/>
        </w:rPr>
        <w:t>5%</w:t>
      </w:r>
      <w:r>
        <w:rPr>
          <w:rFonts w:hint="eastAsia" w:ascii="宋体" w:hAnsi="宋体"/>
          <w:spacing w:val="6"/>
          <w:szCs w:val="21"/>
        </w:rPr>
        <w:t>，再现性限（</w:t>
      </w:r>
      <w:r>
        <w:rPr>
          <w:rFonts w:ascii="宋体" w:hAnsi="宋体"/>
          <w:i/>
          <w:spacing w:val="6"/>
          <w:szCs w:val="21"/>
        </w:rPr>
        <w:t>R</w:t>
      </w:r>
      <w:r>
        <w:rPr>
          <w:rFonts w:hint="eastAsia" w:ascii="宋体" w:hAnsi="宋体"/>
          <w:spacing w:val="6"/>
          <w:szCs w:val="21"/>
        </w:rPr>
        <w:t>）按表</w:t>
      </w:r>
      <w:r>
        <w:rPr>
          <w:rFonts w:ascii="宋体" w:hAnsi="宋体"/>
          <w:spacing w:val="6"/>
          <w:szCs w:val="21"/>
        </w:rPr>
        <w:t>4</w:t>
      </w:r>
      <w:r>
        <w:rPr>
          <w:rFonts w:hint="eastAsia" w:ascii="宋体" w:hAnsi="宋体"/>
          <w:spacing w:val="6"/>
          <w:szCs w:val="21"/>
        </w:rPr>
        <w:t>数据采用线性内插法或外延法求得：</w:t>
      </w:r>
    </w:p>
    <w:p>
      <w:pPr>
        <w:pStyle w:val="3"/>
        <w:spacing w:line="276" w:lineRule="auto"/>
        <w:ind w:firstLine="0" w:firstLineChars="0"/>
        <w:jc w:val="center"/>
        <w:rPr>
          <w:rFonts w:ascii="宋体" w:hAnsi="宋体"/>
          <w:bCs/>
          <w:szCs w:val="21"/>
        </w:rPr>
      </w:pPr>
      <w:r>
        <w:rPr>
          <w:rFonts w:hint="eastAsia" w:ascii="宋体" w:hAnsi="宋体"/>
          <w:bCs/>
          <w:szCs w:val="21"/>
        </w:rPr>
        <w:t>表</w:t>
      </w:r>
      <w:r>
        <w:rPr>
          <w:rFonts w:ascii="宋体" w:hAnsi="宋体"/>
          <w:bCs/>
          <w:szCs w:val="21"/>
        </w:rPr>
        <w:t>3</w:t>
      </w:r>
      <w:r>
        <w:rPr>
          <w:rFonts w:hint="eastAsia" w:ascii="宋体" w:hAnsi="宋体"/>
          <w:bCs/>
          <w:szCs w:val="21"/>
        </w:rPr>
        <w:t xml:space="preserve"> 再现性限</w:t>
      </w:r>
    </w:p>
    <w:tbl>
      <w:tblPr>
        <w:tblStyle w:val="10"/>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19"/>
        <w:gridCol w:w="1421"/>
        <w:gridCol w:w="142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5"/>
              <w:widowControl w:val="0"/>
              <w:tabs>
                <w:tab w:val="center" w:pos="4201"/>
                <w:tab w:val="right" w:leader="dot" w:pos="9298"/>
              </w:tabs>
              <w:spacing w:line="276" w:lineRule="auto"/>
              <w:ind w:firstLine="0" w:firstLineChars="0"/>
              <w:jc w:val="center"/>
              <w:rPr>
                <w:rFonts w:hAnsi="宋体"/>
                <w:szCs w:val="21"/>
              </w:rPr>
            </w:pPr>
            <w:r>
              <w:rPr>
                <w:rFonts w:hAnsi="宋体"/>
                <w:i/>
                <w:szCs w:val="21"/>
              </w:rPr>
              <w:t>w</w:t>
            </w:r>
            <w:r>
              <w:rPr>
                <w:rFonts w:hint="eastAsia" w:hAnsi="宋体"/>
                <w:i/>
                <w:szCs w:val="21"/>
                <w:vertAlign w:val="subscript"/>
              </w:rPr>
              <w:t>O</w:t>
            </w:r>
            <w:r>
              <w:rPr>
                <w:rFonts w:hAnsi="宋体"/>
                <w:szCs w:val="21"/>
              </w:rPr>
              <w:t>/ %</w:t>
            </w:r>
            <w:r>
              <w:rPr>
                <w:rFonts w:hAnsi="宋体"/>
                <w:bCs/>
                <w:szCs w:val="21"/>
              </w:rPr>
              <w:tab/>
            </w:r>
            <w:r>
              <w:rPr>
                <w:rFonts w:hAnsi="宋体"/>
                <w:i/>
                <w:szCs w:val="21"/>
              </w:rPr>
              <w:t>w</w:t>
            </w:r>
            <w:r>
              <w:rPr>
                <w:rFonts w:hint="eastAsia" w:hAnsi="宋体"/>
                <w:i/>
                <w:szCs w:val="21"/>
                <w:vertAlign w:val="subscript"/>
              </w:rPr>
              <w:t>Fe</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 w:val="18"/>
                <w:szCs w:val="18"/>
              </w:rPr>
              <w:t>0.010</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 w:val="18"/>
                <w:szCs w:val="18"/>
              </w:rPr>
              <w:t>0.042</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olor w:val="000000"/>
                <w:sz w:val="18"/>
                <w:szCs w:val="18"/>
              </w:rPr>
              <w:t>0.21</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olor w:val="000000"/>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5"/>
              <w:widowControl w:val="0"/>
              <w:tabs>
                <w:tab w:val="center" w:pos="4201"/>
                <w:tab w:val="right" w:leader="dot" w:pos="9298"/>
              </w:tabs>
              <w:spacing w:line="276" w:lineRule="auto"/>
              <w:ind w:firstLine="0" w:firstLineChars="0"/>
              <w:jc w:val="center"/>
              <w:rPr>
                <w:rFonts w:hAnsi="宋体"/>
                <w:szCs w:val="21"/>
              </w:rPr>
            </w:pPr>
            <w:r>
              <w:rPr>
                <w:rFonts w:hint="eastAsia" w:hAnsi="宋体"/>
                <w:i/>
                <w:szCs w:val="21"/>
              </w:rPr>
              <w:t>R</w:t>
            </w:r>
            <w:r>
              <w:rPr>
                <w:rFonts w:hAnsi="宋体"/>
                <w:szCs w:val="21"/>
              </w:rPr>
              <w:t>/ %</w:t>
            </w: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21"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20"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vAlign w:val="bottom"/>
          </w:tcPr>
          <w:p>
            <w:pPr>
              <w:spacing w:line="276" w:lineRule="auto"/>
              <w:jc w:val="center"/>
              <w:rPr>
                <w:rFonts w:ascii="宋体" w:hAnsi="宋体" w:cs="宋体"/>
                <w:szCs w:val="21"/>
              </w:rPr>
            </w:pPr>
          </w:p>
        </w:tc>
      </w:tr>
    </w:tbl>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10  标准征求意见稿意见汇总与处理</w:t>
      </w:r>
    </w:p>
    <w:p>
      <w:pPr>
        <w:pStyle w:val="15"/>
        <w:tabs>
          <w:tab w:val="center" w:pos="4201"/>
          <w:tab w:val="right" w:leader="dot" w:pos="9298"/>
        </w:tabs>
        <w:spacing w:line="276" w:lineRule="auto"/>
        <w:ind w:firstLine="440"/>
        <w:rPr>
          <w:rFonts w:hAnsi="宋体"/>
          <w:szCs w:val="21"/>
        </w:rPr>
      </w:pPr>
      <w:r>
        <w:rPr>
          <w:rFonts w:hint="eastAsia" w:hAnsi="宋体"/>
          <w:szCs w:val="21"/>
        </w:rPr>
        <w:t>在协同试验和标准预审过程中，征求的意见以及对意见的分析处理，详见《意见汇总表》。</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11  标准水平分析</w:t>
      </w:r>
    </w:p>
    <w:p>
      <w:pPr>
        <w:spacing w:line="276" w:lineRule="auto"/>
        <w:ind w:firstLine="420" w:firstLineChars="200"/>
        <w:rPr>
          <w:rFonts w:ascii="宋体" w:hAnsi="宋体"/>
          <w:szCs w:val="21"/>
        </w:rPr>
      </w:pPr>
      <w:r>
        <w:rPr>
          <w:rFonts w:hint="eastAsia" w:ascii="宋体" w:hAnsi="宋体"/>
          <w:szCs w:val="21"/>
        </w:rPr>
        <w:t>本标准在技术内容、文本结构上与相应的国内标准等同。</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12  与有关的现行法律、法规和强制性国家标准的关系</w:t>
      </w:r>
    </w:p>
    <w:p>
      <w:pPr>
        <w:spacing w:line="276" w:lineRule="auto"/>
        <w:ind w:firstLine="420" w:firstLineChars="200"/>
        <w:rPr>
          <w:rFonts w:ascii="宋体" w:hAnsi="宋体"/>
          <w:szCs w:val="21"/>
        </w:rPr>
      </w:pPr>
      <w:r>
        <w:rPr>
          <w:rFonts w:hint="eastAsia" w:ascii="宋体" w:hAnsi="宋体"/>
          <w:szCs w:val="21"/>
        </w:rPr>
        <w:t>本标准符合相关现行法律、法规和强制性国家标准，没有冲突。</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13  重大分歧意见的处理经过和依据</w:t>
      </w:r>
    </w:p>
    <w:p>
      <w:pPr>
        <w:spacing w:line="276" w:lineRule="auto"/>
        <w:ind w:firstLine="420" w:firstLineChars="200"/>
        <w:rPr>
          <w:rFonts w:ascii="宋体" w:hAnsi="宋体"/>
          <w:szCs w:val="21"/>
        </w:rPr>
      </w:pPr>
      <w:r>
        <w:rPr>
          <w:rFonts w:hint="eastAsia" w:ascii="宋体" w:hAnsi="宋体"/>
          <w:szCs w:val="21"/>
        </w:rPr>
        <w:t>无。</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14  贯彻标准的要求和措施建议</w:t>
      </w:r>
    </w:p>
    <w:p>
      <w:pPr>
        <w:spacing w:line="276" w:lineRule="auto"/>
        <w:ind w:firstLine="420" w:firstLineChars="200"/>
        <w:rPr>
          <w:rFonts w:ascii="宋体" w:hAnsi="宋体"/>
          <w:szCs w:val="21"/>
        </w:rPr>
      </w:pPr>
      <w:r>
        <w:rPr>
          <w:rFonts w:hint="eastAsia" w:ascii="宋体" w:hAnsi="宋体"/>
          <w:szCs w:val="21"/>
        </w:rPr>
        <w:t>建议颁布本标准为推荐性行业标准，供相关组织参考采用。</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15  废止现行有关标准的建议</w:t>
      </w:r>
    </w:p>
    <w:p>
      <w:pPr>
        <w:spacing w:line="276" w:lineRule="auto"/>
        <w:ind w:firstLine="420" w:firstLineChars="200"/>
        <w:rPr>
          <w:rFonts w:ascii="宋体" w:hAnsi="宋体"/>
          <w:szCs w:val="21"/>
        </w:rPr>
      </w:pPr>
      <w:r>
        <w:rPr>
          <w:rFonts w:hint="eastAsia" w:ascii="宋体" w:hAnsi="宋体"/>
          <w:szCs w:val="21"/>
        </w:rPr>
        <w:t>无。</w:t>
      </w:r>
    </w:p>
    <w:p>
      <w:pPr>
        <w:pStyle w:val="14"/>
        <w:numPr>
          <w:ilvl w:val="0"/>
          <w:numId w:val="0"/>
        </w:numPr>
        <w:tabs>
          <w:tab w:val="left" w:pos="360"/>
        </w:tabs>
        <w:spacing w:beforeLines="0" w:afterLines="0"/>
        <w:rPr>
          <w:rFonts w:ascii="宋体" w:hAnsi="宋体" w:eastAsia="宋体"/>
          <w:b/>
          <w:bCs/>
          <w:szCs w:val="21"/>
        </w:rPr>
      </w:pPr>
      <w:r>
        <w:rPr>
          <w:rFonts w:hint="eastAsia" w:ascii="宋体" w:hAnsi="宋体" w:eastAsia="宋体"/>
          <w:b/>
          <w:bCs/>
          <w:szCs w:val="21"/>
        </w:rPr>
        <w:t>16  其他应予说明的事项</w:t>
      </w:r>
    </w:p>
    <w:p>
      <w:pPr>
        <w:spacing w:line="276" w:lineRule="auto"/>
        <w:ind w:firstLine="420"/>
        <w:rPr>
          <w:rFonts w:ascii="宋体" w:hAnsi="宋体"/>
          <w:szCs w:val="21"/>
        </w:rPr>
      </w:pPr>
      <w:r>
        <w:rPr>
          <w:rFonts w:hint="eastAsia" w:ascii="宋体" w:hAnsi="宋体"/>
          <w:szCs w:val="21"/>
        </w:rPr>
        <w:t>本标准遵守下列基础标准：</w:t>
      </w:r>
    </w:p>
    <w:p>
      <w:pPr>
        <w:spacing w:line="276" w:lineRule="auto"/>
        <w:ind w:firstLine="420"/>
        <w:rPr>
          <w:rFonts w:ascii="宋体" w:hAnsi="宋体"/>
          <w:szCs w:val="21"/>
        </w:rPr>
      </w:pPr>
      <w:r>
        <w:rPr>
          <w:rFonts w:hint="eastAsia" w:ascii="宋体" w:hAnsi="宋体"/>
          <w:szCs w:val="21"/>
        </w:rPr>
        <w:t>GB/T 1.1标准化工作导则第1部分：标准的结构和编写规则</w:t>
      </w:r>
    </w:p>
    <w:p>
      <w:pPr>
        <w:spacing w:line="276" w:lineRule="auto"/>
        <w:ind w:firstLine="420"/>
        <w:rPr>
          <w:rFonts w:ascii="宋体" w:hAnsi="宋体"/>
          <w:szCs w:val="21"/>
        </w:rPr>
      </w:pPr>
      <w:r>
        <w:rPr>
          <w:rFonts w:hint="eastAsia" w:ascii="宋体" w:hAnsi="宋体"/>
          <w:szCs w:val="21"/>
        </w:rPr>
        <w:t>GB/T 20001标准编写规则第4部分：化学分析方法</w:t>
      </w:r>
    </w:p>
    <w:p>
      <w:pPr>
        <w:spacing w:line="276" w:lineRule="auto"/>
        <w:ind w:firstLine="420"/>
        <w:rPr>
          <w:rFonts w:ascii="宋体" w:hAnsi="宋体"/>
          <w:szCs w:val="21"/>
        </w:rPr>
      </w:pPr>
      <w:r>
        <w:rPr>
          <w:rFonts w:hint="eastAsia" w:ascii="宋体" w:hAnsi="宋体"/>
          <w:szCs w:val="21"/>
        </w:rPr>
        <w:t>GB/T 17433冶金产品化学分析基础术语</w:t>
      </w:r>
    </w:p>
    <w:p>
      <w:pPr>
        <w:spacing w:line="276" w:lineRule="auto"/>
        <w:ind w:left="420"/>
        <w:rPr>
          <w:rFonts w:ascii="宋体" w:hAnsi="宋体"/>
          <w:szCs w:val="21"/>
        </w:rPr>
      </w:pPr>
      <w:r>
        <w:rPr>
          <w:rFonts w:hint="eastAsia" w:ascii="宋体" w:hAnsi="宋体"/>
          <w:szCs w:val="21"/>
        </w:rPr>
        <w:t>GB/T 11792测试方法的精密度在重现性或再现性条件下所得测试结果可接受的检查和最终测试结果的确定。</w:t>
      </w:r>
    </w:p>
    <w:p>
      <w:pPr>
        <w:spacing w:line="360" w:lineRule="auto"/>
        <w:rPr>
          <w:rFonts w:ascii="黑体" w:eastAsia="黑体"/>
          <w:sz w:val="48"/>
          <w:szCs w:val="48"/>
        </w:rPr>
      </w:pPr>
    </w:p>
    <w:p>
      <w:pPr>
        <w:spacing w:line="360" w:lineRule="auto"/>
        <w:rPr>
          <w:rFonts w:ascii="黑体" w:eastAsia="黑体"/>
          <w:sz w:val="30"/>
          <w:szCs w:val="30"/>
        </w:rPr>
      </w:pPr>
      <w:r>
        <w:rPr>
          <w:rFonts w:ascii="黑体" w:eastAsia="黑体"/>
          <w:sz w:val="30"/>
          <w:szCs w:val="30"/>
        </w:rPr>
        <w:t>附件</w:t>
      </w:r>
      <w:r>
        <w:rPr>
          <w:rFonts w:hint="eastAsia" w:ascii="黑体" w:eastAsia="黑体"/>
          <w:sz w:val="30"/>
          <w:szCs w:val="30"/>
        </w:rPr>
        <w:t>1：</w:t>
      </w:r>
      <w:r>
        <w:rPr>
          <w:rFonts w:ascii="黑体" w:eastAsia="黑体"/>
          <w:sz w:val="30"/>
          <w:szCs w:val="30"/>
        </w:rPr>
        <w:t>试验报告</w:t>
      </w:r>
    </w:p>
    <w:p>
      <w:pPr>
        <w:rPr>
          <w:rFonts w:ascii="黑体" w:hAnsi="黑体" w:eastAsia="黑体" w:cs="黑体"/>
          <w:sz w:val="30"/>
          <w:szCs w:val="30"/>
        </w:rPr>
      </w:pPr>
      <w:r>
        <w:rPr>
          <w:rFonts w:hint="eastAsia" w:ascii="黑体" w:hAnsi="黑体" w:eastAsia="黑体" w:cs="黑体"/>
          <w:sz w:val="30"/>
          <w:szCs w:val="30"/>
        </w:rPr>
        <w:t>附件2：数据处理汇总表</w:t>
      </w:r>
    </w:p>
    <w:p>
      <w:pPr>
        <w:jc w:val="left"/>
        <w:rPr>
          <w:rFonts w:ascii="黑体" w:eastAsia="黑体"/>
          <w:sz w:val="30"/>
          <w:szCs w:val="30"/>
        </w:rPr>
      </w:pPr>
      <w:r>
        <w:rPr>
          <w:rFonts w:ascii="黑体" w:eastAsia="黑体"/>
          <w:sz w:val="30"/>
          <w:szCs w:val="30"/>
        </w:rPr>
        <w:t>附件</w:t>
      </w:r>
      <w:r>
        <w:rPr>
          <w:rFonts w:hint="eastAsia" w:ascii="黑体" w:eastAsia="黑体"/>
          <w:sz w:val="30"/>
          <w:szCs w:val="30"/>
        </w:rPr>
        <w:t>1：</w:t>
      </w:r>
      <w:r>
        <w:rPr>
          <w:rFonts w:ascii="黑体" w:eastAsia="黑体"/>
          <w:sz w:val="30"/>
          <w:szCs w:val="30"/>
        </w:rPr>
        <w:t>试验报告</w:t>
      </w:r>
    </w:p>
    <w:p>
      <w:pPr>
        <w:jc w:val="center"/>
        <w:rPr>
          <w:b/>
          <w:sz w:val="32"/>
          <w:szCs w:val="32"/>
        </w:rPr>
      </w:pPr>
      <w:r>
        <w:rPr>
          <w:rFonts w:hint="eastAsia"/>
          <w:b/>
          <w:sz w:val="32"/>
          <w:szCs w:val="32"/>
        </w:rPr>
        <w:t>钴铬钨系合金粉末化学分析方法</w:t>
      </w:r>
    </w:p>
    <w:p>
      <w:pPr>
        <w:jc w:val="center"/>
        <w:rPr>
          <w:b/>
          <w:sz w:val="32"/>
          <w:szCs w:val="32"/>
        </w:rPr>
      </w:pPr>
      <w:r>
        <w:rPr>
          <w:rFonts w:hint="eastAsia"/>
          <w:b/>
          <w:sz w:val="32"/>
          <w:szCs w:val="32"/>
        </w:rPr>
        <w:t>第8部分  氧含量的测定 惰气熔融</w:t>
      </w:r>
      <w:r>
        <w:rPr>
          <w:b/>
          <w:sz w:val="32"/>
          <w:szCs w:val="32"/>
        </w:rPr>
        <w:t>红外法</w:t>
      </w:r>
    </w:p>
    <w:p>
      <w:pPr>
        <w:spacing w:line="360" w:lineRule="auto"/>
        <w:rPr>
          <w:rFonts w:ascii="黑体" w:eastAsia="黑体"/>
          <w:sz w:val="30"/>
          <w:szCs w:val="30"/>
        </w:rPr>
      </w:pPr>
    </w:p>
    <w:p>
      <w:pPr>
        <w:rPr>
          <w:rFonts w:ascii="黑体" w:eastAsia="黑体"/>
          <w:sz w:val="48"/>
          <w:szCs w:val="48"/>
        </w:rPr>
      </w:pPr>
      <w:r>
        <w:rPr>
          <w:rFonts w:hint="eastAsia" w:ascii="宋体" w:hAnsi="宋体" w:cs="宋体"/>
          <w:b/>
          <w:bCs/>
          <w:sz w:val="24"/>
        </w:rPr>
        <w:t>前言</w:t>
      </w:r>
    </w:p>
    <w:p>
      <w:pPr>
        <w:rPr>
          <w:szCs w:val="21"/>
        </w:rPr>
      </w:pPr>
      <w:r>
        <w:rPr>
          <w:rFonts w:hint="eastAsia" w:ascii="Verdana" w:hAnsi="Verdana" w:cs="宋体"/>
          <w:color w:val="000000"/>
          <w:szCs w:val="21"/>
        </w:rPr>
        <w:t xml:space="preserve">    根据工业和信息化部标准计划项目2018-2049T-YS的安排要求，2019年5月</w:t>
      </w:r>
      <w:r>
        <w:rPr>
          <w:rFonts w:hint="eastAsia" w:ascii="Verdana" w:hAnsi="Verdana"/>
          <w:color w:val="000000"/>
          <w:szCs w:val="21"/>
        </w:rPr>
        <w:t>全国有色金属标准化技术委员会召开任务落实会议，我中心承担《</w:t>
      </w:r>
      <w:r>
        <w:rPr>
          <w:rFonts w:hint="eastAsia"/>
          <w:szCs w:val="21"/>
        </w:rPr>
        <w:t>钴铬钨系合金粉末化学分析方法 第8部分 氧含量的测定 惰气熔融</w:t>
      </w:r>
      <w:r>
        <w:rPr>
          <w:szCs w:val="21"/>
        </w:rPr>
        <w:t>红外法</w:t>
      </w:r>
      <w:r>
        <w:rPr>
          <w:rFonts w:hint="eastAsia"/>
          <w:szCs w:val="21"/>
        </w:rPr>
        <w:t>》起草任务。</w:t>
      </w:r>
    </w:p>
    <w:p>
      <w:pPr>
        <w:pStyle w:val="5"/>
        <w:numPr>
          <w:ilvl w:val="0"/>
          <w:numId w:val="2"/>
        </w:numPr>
        <w:spacing w:beforeLines="50" w:afterLines="50" w:line="240" w:lineRule="auto"/>
        <w:rPr>
          <w:rFonts w:hAnsi="宋体"/>
          <w:b/>
          <w:sz w:val="24"/>
          <w:szCs w:val="24"/>
        </w:rPr>
      </w:pPr>
      <w:r>
        <w:rPr>
          <w:rFonts w:hint="eastAsia" w:hAnsi="宋体"/>
          <w:b/>
          <w:sz w:val="24"/>
          <w:szCs w:val="24"/>
        </w:rPr>
        <w:t>范围</w:t>
      </w:r>
    </w:p>
    <w:p>
      <w:pPr>
        <w:ind w:firstLine="420" w:firstLineChars="200"/>
        <w:rPr>
          <w:rFonts w:ascii="宋体" w:hAnsi="宋体"/>
        </w:rPr>
      </w:pPr>
      <w:r>
        <w:rPr>
          <w:rFonts w:hint="eastAsia" w:ascii="宋体" w:hAnsi="宋体"/>
        </w:rPr>
        <w:t>测定范围：0.0050%</w:t>
      </w:r>
      <w:r>
        <w:rPr>
          <w:rFonts w:hint="eastAsia" w:ascii="宋体" w:hAnsi="宋体" w:cs="宋体"/>
          <w:szCs w:val="21"/>
        </w:rPr>
        <w:t>～</w:t>
      </w:r>
      <w:r>
        <w:rPr>
          <w:rFonts w:hint="eastAsia" w:ascii="宋体" w:hAnsi="宋体"/>
        </w:rPr>
        <w:t>0.50%。</w:t>
      </w:r>
    </w:p>
    <w:p>
      <w:pPr>
        <w:pStyle w:val="5"/>
        <w:numPr>
          <w:ilvl w:val="0"/>
          <w:numId w:val="2"/>
        </w:numPr>
        <w:spacing w:beforeLines="50" w:afterLines="50" w:line="240" w:lineRule="auto"/>
        <w:rPr>
          <w:rFonts w:hAnsi="宋体"/>
          <w:b/>
          <w:sz w:val="24"/>
          <w:szCs w:val="24"/>
        </w:rPr>
      </w:pPr>
      <w:r>
        <w:rPr>
          <w:rFonts w:hint="eastAsia" w:hAnsi="宋体"/>
          <w:b/>
          <w:sz w:val="24"/>
          <w:szCs w:val="24"/>
        </w:rPr>
        <w:t>原理</w:t>
      </w:r>
    </w:p>
    <w:p>
      <w:pPr>
        <w:pStyle w:val="9"/>
        <w:ind w:firstLine="0" w:firstLineChars="0"/>
        <w:rPr>
          <w:rFonts w:ascii="宋体" w:hAnsi="宋体"/>
        </w:rPr>
      </w:pPr>
      <w:r>
        <w:rPr>
          <w:rFonts w:hint="eastAsia" w:ascii="宋体" w:hAnsi="宋体"/>
        </w:rPr>
        <w:t xml:space="preserve">    将试样与助熔剂加入高温脱气石墨坩埚中，在惰性气体（氦气）保护下加热熔融，试样中氧与石墨坩埚中碳结合形成一氧化碳和少量二氧化碳，混合气体被载气载带进入红外检测器，一氧化碳直接检测或经加热的稀土氧化铜转化成二氧化碳后被检测，二氧化碳直接检测，计算系统通过与标准样品氧含量比对给出试样氧含量。</w:t>
      </w:r>
    </w:p>
    <w:p>
      <w:pPr>
        <w:pStyle w:val="5"/>
        <w:spacing w:beforeLines="50" w:afterLines="50" w:line="240" w:lineRule="auto"/>
        <w:rPr>
          <w:b/>
        </w:rPr>
      </w:pPr>
      <w:r>
        <w:rPr>
          <w:rFonts w:hint="eastAsia"/>
          <w:b/>
        </w:rPr>
        <w:t>3</w:t>
      </w:r>
      <w:r>
        <w:rPr>
          <w:rFonts w:hint="eastAsia" w:hAnsi="宋体"/>
          <w:b/>
        </w:rPr>
        <w:t>仪器和</w:t>
      </w:r>
      <w:r>
        <w:rPr>
          <w:rFonts w:hint="eastAsia"/>
          <w:b/>
        </w:rPr>
        <w:t>试剂</w:t>
      </w:r>
    </w:p>
    <w:p>
      <w:pPr>
        <w:rPr>
          <w:rFonts w:ascii="宋体" w:hAnsi="宋体" w:cs="宋体"/>
        </w:rPr>
      </w:pPr>
      <w:r>
        <w:rPr>
          <w:rFonts w:hint="eastAsia" w:ascii="宋体" w:hAnsi="宋体" w:cs="宋体"/>
          <w:color w:val="000000"/>
        </w:rPr>
        <w:t xml:space="preserve">    氧氮氢分析仪（ONH836，美国LECO公司）；</w:t>
      </w:r>
      <w:r>
        <w:rPr>
          <w:rFonts w:hint="eastAsia" w:ascii="宋体" w:hAnsi="宋体" w:cs="宋体"/>
          <w:szCs w:val="21"/>
        </w:rPr>
        <w:t>镍囊，0.36g/个，西安科睿博新材料科技有限公司；镍箔，钢铁研究总院；锡囊，0.14g/个，北京有色金属研究总院；石墨套坩埚；纯氦，≥99.995%；</w:t>
      </w:r>
      <w:r>
        <w:rPr>
          <w:rFonts w:hint="eastAsia" w:ascii="宋体" w:hAnsi="宋体"/>
        </w:rPr>
        <w:t>电子天平，sartorius，</w:t>
      </w:r>
      <w:r>
        <w:rPr>
          <w:rFonts w:hint="eastAsia" w:ascii="宋体" w:hAnsi="宋体"/>
          <w:i/>
          <w:iCs/>
        </w:rPr>
        <w:t xml:space="preserve">d </w:t>
      </w:r>
      <w:r>
        <w:rPr>
          <w:rFonts w:hint="eastAsia" w:ascii="宋体" w:hAnsi="宋体"/>
        </w:rPr>
        <w:t>=0.0001；电子天平，METTLER，</w:t>
      </w:r>
      <w:r>
        <w:rPr>
          <w:rFonts w:hint="eastAsia" w:ascii="宋体" w:hAnsi="宋体"/>
          <w:i/>
          <w:iCs/>
        </w:rPr>
        <w:t xml:space="preserve">d </w:t>
      </w:r>
      <w:r>
        <w:rPr>
          <w:rFonts w:hint="eastAsia" w:ascii="宋体" w:hAnsi="宋体"/>
        </w:rPr>
        <w:t>=0.000001。</w:t>
      </w:r>
    </w:p>
    <w:p>
      <w:pPr>
        <w:rPr>
          <w:rFonts w:ascii="宋体" w:hAnsi="宋体"/>
        </w:rPr>
      </w:pPr>
      <w:r>
        <w:rPr>
          <w:rFonts w:hint="eastAsia" w:ascii="宋体" w:hAnsi="宋体"/>
        </w:rPr>
        <w:t>标准样品：GSB03-2465-2008（钢，O%：0.0038%）</w:t>
      </w:r>
    </w:p>
    <w:p>
      <w:pPr>
        <w:ind w:left="420" w:leftChars="200"/>
        <w:rPr>
          <w:rFonts w:ascii="宋体" w:hAnsi="宋体"/>
        </w:rPr>
      </w:pPr>
      <w:r>
        <w:rPr>
          <w:rFonts w:hint="eastAsia" w:ascii="宋体" w:hAnsi="宋体"/>
        </w:rPr>
        <w:t xml:space="preserve">          YSBC11930-2007（钢，O%：0.0197%）</w:t>
      </w:r>
    </w:p>
    <w:p>
      <w:pPr>
        <w:ind w:left="420" w:leftChars="200"/>
        <w:rPr>
          <w:rFonts w:ascii="宋体" w:hAnsi="宋体"/>
        </w:rPr>
      </w:pPr>
      <w:r>
        <w:rPr>
          <w:rFonts w:hint="eastAsia" w:ascii="宋体" w:hAnsi="宋体"/>
        </w:rPr>
        <w:t xml:space="preserve">          502-399（铁粉，O%：0.69%）</w:t>
      </w:r>
    </w:p>
    <w:p>
      <w:pPr>
        <w:jc w:val="left"/>
        <w:rPr>
          <w:rFonts w:ascii="宋体" w:hAnsi="宋体"/>
        </w:rPr>
      </w:pPr>
      <w:r>
        <w:rPr>
          <w:rFonts w:hint="eastAsia" w:ascii="宋体" w:hAnsi="宋体"/>
          <w:b/>
        </w:rPr>
        <w:t xml:space="preserve">4 </w:t>
      </w:r>
      <w:r>
        <w:rPr>
          <w:rFonts w:hint="eastAsia" w:hAnsi="宋体"/>
          <w:b/>
        </w:rPr>
        <w:t xml:space="preserve"> 分析步骤</w:t>
      </w:r>
    </w:p>
    <w:p>
      <w:pPr>
        <w:jc w:val="left"/>
        <w:rPr>
          <w:rFonts w:ascii="宋体" w:hAnsi="宋体"/>
        </w:rPr>
      </w:pPr>
      <w:r>
        <w:rPr>
          <w:rFonts w:hint="eastAsia" w:ascii="宋体" w:hAnsi="宋体"/>
          <w:b/>
        </w:rPr>
        <w:t>4.1</w:t>
      </w:r>
      <w:r>
        <w:rPr>
          <w:rFonts w:hint="eastAsia" w:ascii="宋体" w:hAnsi="宋体"/>
        </w:rPr>
        <w:t xml:space="preserve"> 按仪器使用说明书检查仪器，使仪器处于正常稳定状态。</w:t>
      </w:r>
    </w:p>
    <w:p>
      <w:pPr>
        <w:ind w:left="1" w:leftChars="-100" w:hanging="211" w:hangingChars="100"/>
        <w:jc w:val="left"/>
        <w:rPr>
          <w:rFonts w:ascii="宋体" w:hAnsi="宋体"/>
        </w:rPr>
      </w:pPr>
      <w:r>
        <w:rPr>
          <w:rFonts w:hint="eastAsia" w:ascii="宋体" w:hAnsi="宋体"/>
          <w:b/>
        </w:rPr>
        <w:t xml:space="preserve">  4.2 </w:t>
      </w:r>
      <w:r>
        <w:rPr>
          <w:rFonts w:hint="eastAsia" w:ascii="宋体" w:hAnsi="宋体"/>
        </w:rPr>
        <w:t>设置分析条件：吹扫时间10S，延迟时间20S，比较器水平2，最短时限30S。脱气功率5800W，分析功率4800W，</w:t>
      </w:r>
    </w:p>
    <w:p>
      <w:pPr>
        <w:jc w:val="left"/>
        <w:rPr>
          <w:rFonts w:ascii="宋体" w:hAnsi="宋体"/>
        </w:rPr>
      </w:pPr>
      <w:r>
        <w:rPr>
          <w:rFonts w:hint="eastAsia" w:ascii="宋体" w:hAnsi="宋体"/>
          <w:b/>
        </w:rPr>
        <w:t>4.3</w:t>
      </w:r>
      <w:r>
        <w:rPr>
          <w:rFonts w:hint="eastAsia" w:ascii="宋体" w:hAnsi="宋体"/>
        </w:rPr>
        <w:t xml:space="preserve"> 空白试验</w:t>
      </w:r>
    </w:p>
    <w:p>
      <w:pPr>
        <w:ind w:firstLine="420"/>
        <w:jc w:val="left"/>
        <w:rPr>
          <w:rFonts w:ascii="宋体" w:hAnsi="宋体"/>
        </w:rPr>
      </w:pPr>
      <w:r>
        <w:rPr>
          <w:rFonts w:hint="eastAsia" w:ascii="宋体" w:hAnsi="宋体"/>
        </w:rPr>
        <w:t>测试镍囊或镍箔空白值，取平均值，进行空白校正。</w:t>
      </w:r>
    </w:p>
    <w:p>
      <w:pPr>
        <w:jc w:val="left"/>
        <w:rPr>
          <w:rFonts w:ascii="宋体" w:hAnsi="宋体"/>
          <w:color w:val="000000"/>
        </w:rPr>
      </w:pPr>
      <w:r>
        <w:rPr>
          <w:rFonts w:hint="eastAsia" w:ascii="宋体" w:hAnsi="宋体"/>
          <w:b/>
        </w:rPr>
        <w:t>4.4</w:t>
      </w:r>
      <w:r>
        <w:rPr>
          <w:rFonts w:hint="eastAsia" w:ascii="宋体" w:hAnsi="宋体"/>
          <w:color w:val="000000"/>
        </w:rPr>
        <w:t>校准试验</w:t>
      </w:r>
    </w:p>
    <w:p>
      <w:pPr>
        <w:ind w:firstLine="420"/>
        <w:jc w:val="left"/>
        <w:rPr>
          <w:rFonts w:ascii="宋体" w:hAnsi="宋体"/>
          <w:color w:val="000000"/>
        </w:rPr>
      </w:pPr>
      <w:r>
        <w:rPr>
          <w:rFonts w:hint="eastAsia" w:ascii="宋体" w:hAnsi="宋体"/>
          <w:color w:val="000000"/>
        </w:rPr>
        <w:t>选择与样品氧含量相近的</w:t>
      </w:r>
      <w:r>
        <w:rPr>
          <w:rFonts w:hint="eastAsia" w:ascii="宋体" w:hAnsi="宋体"/>
        </w:rPr>
        <w:t>标准物质进行</w:t>
      </w:r>
      <w:r>
        <w:rPr>
          <w:rFonts w:hint="eastAsia" w:ascii="宋体" w:hAnsi="宋体"/>
          <w:color w:val="000000"/>
        </w:rPr>
        <w:t>测试并校准。</w:t>
      </w:r>
    </w:p>
    <w:p>
      <w:pPr>
        <w:jc w:val="left"/>
        <w:rPr>
          <w:rFonts w:ascii="宋体" w:hAnsi="宋体"/>
        </w:rPr>
      </w:pPr>
      <w:r>
        <w:rPr>
          <w:rFonts w:hint="eastAsia" w:ascii="宋体" w:hAnsi="宋体"/>
          <w:b/>
        </w:rPr>
        <w:t>4.5</w:t>
      </w:r>
      <w:r>
        <w:rPr>
          <w:rFonts w:hint="eastAsia" w:ascii="宋体" w:hAnsi="宋体"/>
        </w:rPr>
        <w:t xml:space="preserve"> 样品分析   </w:t>
      </w:r>
    </w:p>
    <w:p>
      <w:pPr>
        <w:ind w:left="420" w:leftChars="200"/>
        <w:rPr>
          <w:rFonts w:ascii="宋体" w:hAnsi="宋体"/>
        </w:rPr>
      </w:pPr>
      <w:r>
        <w:rPr>
          <w:rFonts w:hint="eastAsia" w:ascii="宋体" w:hAnsi="宋体"/>
        </w:rPr>
        <w:t>称取0.10g~0.30g样品，用镍囊或镍箔进行包裹，在设定好的方法中按仪器操作方法开始分析。</w:t>
      </w:r>
    </w:p>
    <w:p>
      <w:pPr>
        <w:ind w:left="420" w:leftChars="200"/>
        <w:rPr>
          <w:b/>
          <w:szCs w:val="21"/>
        </w:rPr>
      </w:pPr>
    </w:p>
    <w:p>
      <w:pPr>
        <w:rPr>
          <w:b/>
          <w:szCs w:val="21"/>
        </w:rPr>
      </w:pPr>
      <w:r>
        <w:rPr>
          <w:rFonts w:hint="eastAsia" w:ascii="宋体" w:hAnsi="宋体"/>
          <w:b/>
          <w:sz w:val="24"/>
        </w:rPr>
        <w:t xml:space="preserve">5  </w:t>
      </w:r>
      <w:r>
        <w:rPr>
          <w:rFonts w:hint="eastAsia"/>
          <w:b/>
          <w:szCs w:val="21"/>
        </w:rPr>
        <w:t>结果与讨论</w:t>
      </w:r>
    </w:p>
    <w:p>
      <w:pPr>
        <w:pStyle w:val="8"/>
        <w:rPr>
          <w:color w:val="000000"/>
          <w:sz w:val="21"/>
          <w:szCs w:val="21"/>
        </w:rPr>
      </w:pPr>
      <w:r>
        <w:rPr>
          <w:rFonts w:hint="eastAsia"/>
          <w:b/>
          <w:color w:val="000000"/>
          <w:sz w:val="21"/>
          <w:szCs w:val="21"/>
        </w:rPr>
        <w:t>5.1　助熔剂选择</w:t>
      </w:r>
    </w:p>
    <w:p>
      <w:pPr>
        <w:pStyle w:val="8"/>
        <w:ind w:firstLine="420"/>
        <w:rPr>
          <w:sz w:val="21"/>
          <w:szCs w:val="21"/>
        </w:rPr>
      </w:pPr>
      <w:r>
        <w:rPr>
          <w:rFonts w:hint="eastAsia"/>
          <w:sz w:val="21"/>
          <w:szCs w:val="21"/>
        </w:rPr>
        <w:t>本方法样品为金属粉末，需进行包裹进样，可考虑选用镍囊、镍箔、锡囊作为助熔剂，分别对镍囊、镍箔、锡囊本身氧含量进行考查，结果见表1。</w:t>
      </w:r>
    </w:p>
    <w:p>
      <w:pPr>
        <w:pStyle w:val="8"/>
        <w:jc w:val="center"/>
        <w:rPr>
          <w:rFonts w:cs="Arial"/>
          <w:color w:val="000000"/>
          <w:sz w:val="21"/>
          <w:szCs w:val="21"/>
        </w:rPr>
      </w:pPr>
      <w:r>
        <w:rPr>
          <w:rFonts w:hint="eastAsia" w:cs="Arial"/>
          <w:b/>
          <w:color w:val="000000"/>
          <w:sz w:val="18"/>
          <w:szCs w:val="18"/>
        </w:rPr>
        <w:t>表1  助熔剂氧含量</w:t>
      </w:r>
    </w:p>
    <w:tbl>
      <w:tblPr>
        <w:tblStyle w:val="10"/>
        <w:tblpPr w:leftFromText="180" w:rightFromText="180" w:vertAnchor="text" w:horzAnchor="page" w:tblpX="1778"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797"/>
        <w:gridCol w:w="272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noWrap/>
            <w:vAlign w:val="center"/>
          </w:tcPr>
          <w:p>
            <w:pPr>
              <w:pStyle w:val="8"/>
              <w:jc w:val="center"/>
              <w:rPr>
                <w:rFonts w:cs="Arial"/>
                <w:color w:val="000000"/>
                <w:sz w:val="18"/>
                <w:szCs w:val="18"/>
              </w:rPr>
            </w:pPr>
            <w:r>
              <w:rPr>
                <w:rFonts w:hint="eastAsia"/>
                <w:sz w:val="18"/>
                <w:szCs w:val="18"/>
              </w:rPr>
              <w:t>助熔剂</w:t>
            </w:r>
          </w:p>
        </w:tc>
        <w:tc>
          <w:tcPr>
            <w:tcW w:w="2797" w:type="dxa"/>
            <w:noWrap/>
            <w:vAlign w:val="center"/>
          </w:tcPr>
          <w:p>
            <w:pPr>
              <w:pStyle w:val="8"/>
              <w:jc w:val="center"/>
              <w:rPr>
                <w:rFonts w:cs="Arial"/>
                <w:color w:val="000000"/>
                <w:sz w:val="18"/>
                <w:szCs w:val="18"/>
              </w:rPr>
            </w:pPr>
            <w:r>
              <w:rPr>
                <w:rFonts w:hint="eastAsia"/>
                <w:sz w:val="18"/>
                <w:szCs w:val="18"/>
              </w:rPr>
              <w:t>镍囊</w:t>
            </w:r>
          </w:p>
        </w:tc>
        <w:tc>
          <w:tcPr>
            <w:tcW w:w="2721" w:type="dxa"/>
            <w:noWrap/>
            <w:vAlign w:val="center"/>
          </w:tcPr>
          <w:p>
            <w:pPr>
              <w:pStyle w:val="8"/>
              <w:jc w:val="center"/>
              <w:rPr>
                <w:rFonts w:cs="Arial"/>
                <w:color w:val="000000"/>
                <w:sz w:val="18"/>
                <w:szCs w:val="18"/>
              </w:rPr>
            </w:pPr>
            <w:r>
              <w:rPr>
                <w:rFonts w:hint="eastAsia"/>
                <w:sz w:val="18"/>
                <w:szCs w:val="18"/>
              </w:rPr>
              <w:t>镍箔</w:t>
            </w:r>
          </w:p>
        </w:tc>
        <w:tc>
          <w:tcPr>
            <w:tcW w:w="2389" w:type="dxa"/>
            <w:noWrap/>
            <w:vAlign w:val="center"/>
          </w:tcPr>
          <w:p>
            <w:pPr>
              <w:pStyle w:val="8"/>
              <w:jc w:val="center"/>
              <w:rPr>
                <w:rFonts w:cs="Arial"/>
                <w:color w:val="000000"/>
                <w:sz w:val="18"/>
                <w:szCs w:val="18"/>
              </w:rPr>
            </w:pPr>
            <w:r>
              <w:rPr>
                <w:rFonts w:hint="eastAsia"/>
                <w:sz w:val="18"/>
                <w:szCs w:val="18"/>
              </w:rPr>
              <w:t>锡囊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258" w:type="dxa"/>
            <w:noWrap/>
            <w:vAlign w:val="center"/>
          </w:tcPr>
          <w:p>
            <w:pPr>
              <w:pStyle w:val="8"/>
              <w:jc w:val="center"/>
              <w:rPr>
                <w:rFonts w:cs="Arial"/>
                <w:color w:val="000000"/>
                <w:sz w:val="18"/>
                <w:szCs w:val="18"/>
              </w:rPr>
            </w:pPr>
            <w:r>
              <w:rPr>
                <w:rFonts w:hint="eastAsia"/>
                <w:sz w:val="18"/>
                <w:szCs w:val="18"/>
              </w:rPr>
              <w:t>氧含量/%</w:t>
            </w:r>
          </w:p>
        </w:tc>
        <w:tc>
          <w:tcPr>
            <w:tcW w:w="2797" w:type="dxa"/>
            <w:noWrap/>
            <w:vAlign w:val="center"/>
          </w:tcPr>
          <w:p>
            <w:pPr>
              <w:pStyle w:val="8"/>
              <w:jc w:val="center"/>
              <w:rPr>
                <w:rFonts w:cs="Arial"/>
                <w:color w:val="000000"/>
                <w:sz w:val="18"/>
                <w:szCs w:val="18"/>
              </w:rPr>
            </w:pPr>
            <w:r>
              <w:rPr>
                <w:rFonts w:hint="eastAsia" w:cs="Arial"/>
                <w:color w:val="000000"/>
                <w:sz w:val="18"/>
                <w:szCs w:val="18"/>
              </w:rPr>
              <w:t>0.001028  0.001002</w:t>
            </w:r>
          </w:p>
          <w:p>
            <w:pPr>
              <w:pStyle w:val="8"/>
              <w:jc w:val="center"/>
              <w:rPr>
                <w:rFonts w:cs="Arial"/>
                <w:color w:val="000000"/>
                <w:sz w:val="18"/>
                <w:szCs w:val="18"/>
              </w:rPr>
            </w:pPr>
            <w:r>
              <w:rPr>
                <w:rFonts w:hint="eastAsia" w:cs="Arial"/>
                <w:color w:val="000000"/>
                <w:sz w:val="18"/>
                <w:szCs w:val="18"/>
              </w:rPr>
              <w:t xml:space="preserve"> 0.0009265  0.001060</w:t>
            </w:r>
          </w:p>
          <w:p>
            <w:pPr>
              <w:pStyle w:val="8"/>
              <w:jc w:val="center"/>
              <w:rPr>
                <w:rFonts w:cs="Arial"/>
                <w:color w:val="000000"/>
                <w:sz w:val="18"/>
                <w:szCs w:val="18"/>
              </w:rPr>
            </w:pPr>
            <w:r>
              <w:rPr>
                <w:rFonts w:hint="eastAsia" w:cs="Arial"/>
                <w:color w:val="000000"/>
                <w:sz w:val="18"/>
                <w:szCs w:val="18"/>
              </w:rPr>
              <w:t xml:space="preserve"> 0.0008681  0.0009482  </w:t>
            </w:r>
          </w:p>
        </w:tc>
        <w:tc>
          <w:tcPr>
            <w:tcW w:w="2721" w:type="dxa"/>
            <w:noWrap/>
            <w:vAlign w:val="center"/>
          </w:tcPr>
          <w:p>
            <w:pPr>
              <w:pStyle w:val="8"/>
              <w:jc w:val="center"/>
              <w:rPr>
                <w:rFonts w:cs="Arial"/>
                <w:color w:val="000000"/>
                <w:sz w:val="18"/>
                <w:szCs w:val="18"/>
              </w:rPr>
            </w:pPr>
            <w:r>
              <w:rPr>
                <w:rFonts w:hint="eastAsia" w:cs="Arial"/>
                <w:color w:val="000000"/>
                <w:sz w:val="18"/>
                <w:szCs w:val="18"/>
              </w:rPr>
              <w:t>0.002332 0.002205</w:t>
            </w:r>
          </w:p>
          <w:p>
            <w:pPr>
              <w:pStyle w:val="8"/>
              <w:jc w:val="center"/>
              <w:rPr>
                <w:rFonts w:cs="Arial"/>
                <w:color w:val="000000"/>
                <w:sz w:val="18"/>
                <w:szCs w:val="18"/>
              </w:rPr>
            </w:pPr>
            <w:r>
              <w:rPr>
                <w:rFonts w:hint="eastAsia" w:cs="Arial"/>
                <w:color w:val="000000"/>
                <w:sz w:val="18"/>
                <w:szCs w:val="18"/>
              </w:rPr>
              <w:t xml:space="preserve"> 0.002517 0.002215 </w:t>
            </w:r>
          </w:p>
          <w:p>
            <w:pPr>
              <w:pStyle w:val="8"/>
              <w:jc w:val="center"/>
              <w:rPr>
                <w:rFonts w:cs="Arial"/>
                <w:color w:val="000000"/>
                <w:sz w:val="18"/>
                <w:szCs w:val="18"/>
              </w:rPr>
            </w:pPr>
            <w:r>
              <w:rPr>
                <w:rFonts w:hint="eastAsia" w:cs="Arial"/>
                <w:color w:val="000000"/>
                <w:sz w:val="18"/>
                <w:szCs w:val="18"/>
              </w:rPr>
              <w:t>0.002231 0.002270</w:t>
            </w:r>
          </w:p>
        </w:tc>
        <w:tc>
          <w:tcPr>
            <w:tcW w:w="2389" w:type="dxa"/>
            <w:noWrap/>
            <w:vAlign w:val="center"/>
          </w:tcPr>
          <w:p>
            <w:pPr>
              <w:pStyle w:val="8"/>
              <w:jc w:val="center"/>
              <w:rPr>
                <w:rFonts w:cs="Arial"/>
                <w:color w:val="000000"/>
                <w:sz w:val="18"/>
                <w:szCs w:val="18"/>
              </w:rPr>
            </w:pPr>
            <w:r>
              <w:rPr>
                <w:rFonts w:hint="eastAsia" w:cs="Arial"/>
                <w:color w:val="000000"/>
                <w:sz w:val="18"/>
                <w:szCs w:val="18"/>
              </w:rPr>
              <w:t>0.005602 0.007001 0.006223 0.005879 0.003597 0.003406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58" w:type="dxa"/>
            <w:noWrap/>
            <w:vAlign w:val="center"/>
          </w:tcPr>
          <w:p>
            <w:pPr>
              <w:pStyle w:val="8"/>
              <w:jc w:val="center"/>
              <w:rPr>
                <w:sz w:val="18"/>
                <w:szCs w:val="18"/>
              </w:rPr>
            </w:pPr>
            <w:r>
              <w:rPr>
                <w:rFonts w:hint="eastAsia"/>
                <w:sz w:val="18"/>
                <w:szCs w:val="18"/>
              </w:rPr>
              <w:t>平均值/%</w:t>
            </w:r>
          </w:p>
        </w:tc>
        <w:tc>
          <w:tcPr>
            <w:tcW w:w="2797" w:type="dxa"/>
            <w:noWrap/>
            <w:vAlign w:val="center"/>
          </w:tcPr>
          <w:p>
            <w:pPr>
              <w:pStyle w:val="8"/>
              <w:jc w:val="center"/>
              <w:rPr>
                <w:rFonts w:cs="Arial"/>
                <w:color w:val="000000"/>
                <w:sz w:val="18"/>
                <w:szCs w:val="18"/>
              </w:rPr>
            </w:pPr>
            <w:r>
              <w:rPr>
                <w:rFonts w:hint="eastAsia" w:cs="Arial"/>
                <w:color w:val="000000"/>
                <w:sz w:val="18"/>
                <w:szCs w:val="18"/>
              </w:rPr>
              <w:t>0.0010</w:t>
            </w:r>
          </w:p>
        </w:tc>
        <w:tc>
          <w:tcPr>
            <w:tcW w:w="2721" w:type="dxa"/>
            <w:noWrap/>
            <w:vAlign w:val="center"/>
          </w:tcPr>
          <w:p>
            <w:pPr>
              <w:pStyle w:val="8"/>
              <w:jc w:val="center"/>
              <w:rPr>
                <w:rFonts w:cs="Arial"/>
                <w:color w:val="000000"/>
                <w:sz w:val="18"/>
                <w:szCs w:val="18"/>
              </w:rPr>
            </w:pPr>
            <w:r>
              <w:rPr>
                <w:rFonts w:hint="eastAsia" w:cs="Arial"/>
                <w:color w:val="000000"/>
                <w:sz w:val="18"/>
                <w:szCs w:val="18"/>
              </w:rPr>
              <w:t>0.0023</w:t>
            </w:r>
          </w:p>
        </w:tc>
        <w:tc>
          <w:tcPr>
            <w:tcW w:w="2389" w:type="dxa"/>
            <w:noWrap/>
            <w:vAlign w:val="center"/>
          </w:tcPr>
          <w:p>
            <w:pPr>
              <w:pStyle w:val="8"/>
              <w:jc w:val="center"/>
              <w:rPr>
                <w:rFonts w:cs="Arial"/>
                <w:color w:val="000000"/>
                <w:sz w:val="18"/>
                <w:szCs w:val="18"/>
              </w:rPr>
            </w:pPr>
            <w:r>
              <w:rPr>
                <w:rFonts w:hint="eastAsia" w:cs="Arial"/>
                <w:color w:val="000000"/>
                <w:sz w:val="18"/>
                <w:szCs w:val="18"/>
              </w:rPr>
              <w:t>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58" w:type="dxa"/>
            <w:noWrap/>
            <w:vAlign w:val="center"/>
          </w:tcPr>
          <w:p>
            <w:pPr>
              <w:pStyle w:val="8"/>
              <w:jc w:val="center"/>
              <w:rPr>
                <w:sz w:val="18"/>
                <w:szCs w:val="18"/>
              </w:rPr>
            </w:pPr>
            <w:r>
              <w:rPr>
                <w:rFonts w:hint="eastAsia"/>
                <w:sz w:val="18"/>
                <w:szCs w:val="18"/>
              </w:rPr>
              <w:t>RSD/%</w:t>
            </w:r>
          </w:p>
        </w:tc>
        <w:tc>
          <w:tcPr>
            <w:tcW w:w="2797" w:type="dxa"/>
            <w:noWrap/>
            <w:vAlign w:val="center"/>
          </w:tcPr>
          <w:p>
            <w:pPr>
              <w:pStyle w:val="8"/>
              <w:jc w:val="center"/>
              <w:rPr>
                <w:rFonts w:cs="Arial"/>
                <w:color w:val="000000"/>
                <w:sz w:val="18"/>
                <w:szCs w:val="18"/>
              </w:rPr>
            </w:pPr>
            <w:r>
              <w:rPr>
                <w:rFonts w:hint="eastAsia" w:cs="Arial"/>
                <w:color w:val="000000"/>
                <w:sz w:val="18"/>
                <w:szCs w:val="18"/>
              </w:rPr>
              <w:t>7.7</w:t>
            </w:r>
          </w:p>
        </w:tc>
        <w:tc>
          <w:tcPr>
            <w:tcW w:w="2721" w:type="dxa"/>
            <w:noWrap/>
            <w:vAlign w:val="center"/>
          </w:tcPr>
          <w:p>
            <w:pPr>
              <w:pStyle w:val="8"/>
              <w:jc w:val="center"/>
              <w:rPr>
                <w:rFonts w:cs="Arial"/>
                <w:color w:val="000000"/>
                <w:sz w:val="18"/>
                <w:szCs w:val="18"/>
              </w:rPr>
            </w:pPr>
            <w:r>
              <w:rPr>
                <w:rFonts w:hint="eastAsia" w:cs="Arial"/>
                <w:color w:val="000000"/>
                <w:sz w:val="18"/>
                <w:szCs w:val="18"/>
              </w:rPr>
              <w:t>5.13</w:t>
            </w:r>
          </w:p>
        </w:tc>
        <w:tc>
          <w:tcPr>
            <w:tcW w:w="2389" w:type="dxa"/>
            <w:noWrap/>
            <w:vAlign w:val="center"/>
          </w:tcPr>
          <w:p>
            <w:pPr>
              <w:pStyle w:val="8"/>
              <w:jc w:val="center"/>
              <w:rPr>
                <w:rFonts w:cs="Arial"/>
                <w:color w:val="000000"/>
                <w:sz w:val="18"/>
                <w:szCs w:val="18"/>
              </w:rPr>
            </w:pPr>
            <w:r>
              <w:rPr>
                <w:rFonts w:hint="eastAsia" w:cs="Arial"/>
                <w:color w:val="000000"/>
                <w:sz w:val="18"/>
                <w:szCs w:val="18"/>
              </w:rPr>
              <w:t>27.6</w:t>
            </w:r>
          </w:p>
        </w:tc>
      </w:tr>
    </w:tbl>
    <w:p>
      <w:pPr>
        <w:pStyle w:val="8"/>
        <w:ind w:firstLine="464" w:firstLineChars="221"/>
        <w:jc w:val="both"/>
        <w:rPr>
          <w:sz w:val="21"/>
          <w:szCs w:val="21"/>
        </w:rPr>
      </w:pPr>
    </w:p>
    <w:p>
      <w:pPr>
        <w:pStyle w:val="8"/>
        <w:ind w:firstLine="464" w:firstLineChars="221"/>
        <w:jc w:val="both"/>
        <w:rPr>
          <w:sz w:val="21"/>
          <w:szCs w:val="21"/>
        </w:rPr>
      </w:pPr>
      <w:r>
        <w:rPr>
          <w:rFonts w:hint="eastAsia"/>
          <w:sz w:val="21"/>
          <w:szCs w:val="21"/>
        </w:rPr>
        <w:t>由表1结果可知，镍囊、镍箔本身氧含量较低且稳定，锡囊氧含量高且稳定性差，因此本方法用锡囊不适合。</w:t>
      </w:r>
    </w:p>
    <w:p>
      <w:pPr>
        <w:pStyle w:val="8"/>
        <w:ind w:firstLine="464" w:firstLineChars="221"/>
        <w:jc w:val="both"/>
        <w:rPr>
          <w:rFonts w:cs="Arial"/>
          <w:color w:val="000000"/>
          <w:sz w:val="21"/>
          <w:szCs w:val="21"/>
        </w:rPr>
      </w:pPr>
      <w:r>
        <w:rPr>
          <w:rFonts w:hint="eastAsia"/>
          <w:sz w:val="21"/>
          <w:szCs w:val="21"/>
        </w:rPr>
        <w:t>镍囊无需清洗，在试验中使用方便；镍箔本身氧含量低，可通过修剪镍箔大小获取所需质量。称取约0.1g样品分别对镍囊、镍箔的助熔效果进行条件试验，</w:t>
      </w:r>
      <w:r>
        <w:rPr>
          <w:rFonts w:hint="eastAsia" w:cs="Arial"/>
          <w:color w:val="000000"/>
          <w:sz w:val="21"/>
          <w:szCs w:val="21"/>
        </w:rPr>
        <w:t>结果见表2。</w:t>
      </w:r>
    </w:p>
    <w:p>
      <w:pPr>
        <w:pStyle w:val="8"/>
        <w:ind w:firstLine="465"/>
        <w:jc w:val="center"/>
        <w:rPr>
          <w:rFonts w:cs="Arial"/>
          <w:b/>
          <w:color w:val="000000"/>
          <w:sz w:val="18"/>
          <w:szCs w:val="18"/>
        </w:rPr>
      </w:pPr>
      <w:r>
        <w:rPr>
          <w:rFonts w:hint="eastAsia" w:cs="Arial"/>
          <w:b/>
          <w:color w:val="000000"/>
          <w:sz w:val="18"/>
          <w:szCs w:val="18"/>
        </w:rPr>
        <w:t>表2  助熔剂选择</w:t>
      </w:r>
    </w:p>
    <w:tbl>
      <w:tblPr>
        <w:tblStyle w:val="10"/>
        <w:tblpPr w:leftFromText="180" w:rightFromText="180" w:vertAnchor="text" w:horzAnchor="margin" w:tblpX="216" w:tblpY="201"/>
        <w:tblOverlap w:val="never"/>
        <w:tblW w:w="818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5"/>
        <w:gridCol w:w="2681"/>
        <w:gridCol w:w="417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335" w:type="dxa"/>
            <w:tcBorders>
              <w:bottom w:val="single" w:color="auto" w:sz="4" w:space="0"/>
            </w:tcBorders>
            <w:noWrap/>
            <w:vAlign w:val="center"/>
          </w:tcPr>
          <w:p>
            <w:pPr>
              <w:widowControl/>
              <w:ind w:right="360"/>
              <w:jc w:val="right"/>
              <w:rPr>
                <w:rFonts w:ascii="宋体" w:hAnsi="宋体" w:cs="宋体"/>
                <w:kern w:val="0"/>
                <w:sz w:val="18"/>
                <w:szCs w:val="18"/>
              </w:rPr>
            </w:pPr>
            <w:r>
              <w:rPr>
                <w:rFonts w:hint="eastAsia" w:ascii="宋体" w:hAnsi="宋体" w:cs="宋体"/>
                <w:kern w:val="0"/>
                <w:sz w:val="18"/>
                <w:szCs w:val="18"/>
              </w:rPr>
              <w:t>助熔剂</w:t>
            </w:r>
          </w:p>
        </w:tc>
        <w:tc>
          <w:tcPr>
            <w:tcW w:w="2681" w:type="dxa"/>
            <w:tcBorders>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氧含量</w:t>
            </w:r>
            <w:r>
              <w:rPr>
                <w:rFonts w:hint="eastAsia" w:ascii="宋体" w:hAnsi="宋体"/>
                <w:sz w:val="18"/>
                <w:szCs w:val="18"/>
              </w:rPr>
              <w:t>（%）</w:t>
            </w:r>
          </w:p>
        </w:tc>
        <w:tc>
          <w:tcPr>
            <w:tcW w:w="4172" w:type="dxa"/>
            <w:tcBorders>
              <w:bottom w:val="single" w:color="auto" w:sz="4" w:space="0"/>
            </w:tcBorders>
            <w:noWrap/>
            <w:vAlign w:val="center"/>
          </w:tcPr>
          <w:p>
            <w:pPr>
              <w:widowControl/>
              <w:jc w:val="center"/>
              <w:rPr>
                <w:rFonts w:ascii="宋体" w:hAnsi="宋体"/>
                <w:color w:val="000000"/>
                <w:sz w:val="18"/>
                <w:szCs w:val="18"/>
              </w:rPr>
            </w:pPr>
            <w:r>
              <w:rPr>
                <w:rFonts w:hint="eastAsia" w:ascii="宋体" w:hAnsi="宋体" w:cs="宋体"/>
                <w:kern w:val="0"/>
                <w:sz w:val="18"/>
                <w:szCs w:val="18"/>
              </w:rPr>
              <w:t>出峰曲线、熔体</w:t>
            </w:r>
            <w:r>
              <w:rPr>
                <w:rFonts w:hint="eastAsia" w:ascii="宋体" w:hAnsi="宋体"/>
                <w:color w:val="000000"/>
                <w:sz w:val="18"/>
                <w:szCs w:val="18"/>
              </w:rPr>
              <w:t>熔融情况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35" w:type="dxa"/>
            <w:tcBorders>
              <w:top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镍囊</w:t>
            </w:r>
          </w:p>
        </w:tc>
        <w:tc>
          <w:tcPr>
            <w:tcW w:w="2681" w:type="dxa"/>
            <w:tcBorders>
              <w:top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0.04295 0.04377 0.04359</w:t>
            </w:r>
          </w:p>
        </w:tc>
        <w:tc>
          <w:tcPr>
            <w:tcW w:w="4172" w:type="dxa"/>
            <w:tcBorders>
              <w:top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峰形正常，熔体散开、表面光滑、有金属光泽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35"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镍箔</w:t>
            </w:r>
          </w:p>
        </w:tc>
        <w:tc>
          <w:tcPr>
            <w:tcW w:w="2681"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0.04317 0.04289 0.04450</w:t>
            </w:r>
          </w:p>
        </w:tc>
        <w:tc>
          <w:tcPr>
            <w:tcW w:w="4172" w:type="dxa"/>
            <w:noWrap/>
            <w:vAlign w:val="center"/>
          </w:tcPr>
          <w:p>
            <w:pPr>
              <w:jc w:val="center"/>
              <w:rPr>
                <w:rFonts w:ascii="宋体" w:hAnsi="宋体"/>
                <w:color w:val="000000"/>
                <w:sz w:val="18"/>
                <w:szCs w:val="18"/>
              </w:rPr>
            </w:pPr>
            <w:r>
              <w:rPr>
                <w:rFonts w:hint="eastAsia" w:ascii="宋体" w:hAnsi="宋体"/>
                <w:color w:val="000000"/>
                <w:sz w:val="18"/>
                <w:szCs w:val="18"/>
              </w:rPr>
              <w:t>峰形正常，熔体散开、表面光滑、有金属光泽</w:t>
            </w:r>
          </w:p>
        </w:tc>
      </w:tr>
    </w:tbl>
    <w:p>
      <w:pPr>
        <w:tabs>
          <w:tab w:val="left" w:pos="4051"/>
        </w:tabs>
        <w:ind w:firstLine="420" w:firstLineChars="200"/>
        <w:rPr>
          <w:rFonts w:hint="eastAsia" w:ascii="宋体" w:hAnsi="宋体" w:cs="宋体"/>
          <w:bCs/>
          <w:szCs w:val="21"/>
        </w:rPr>
      </w:pPr>
    </w:p>
    <w:p>
      <w:pPr>
        <w:tabs>
          <w:tab w:val="left" w:pos="4051"/>
        </w:tabs>
        <w:ind w:firstLine="420" w:firstLineChars="200"/>
        <w:rPr>
          <w:rFonts w:ascii="宋体" w:hAnsi="宋体" w:cs="宋体"/>
          <w:bCs/>
          <w:szCs w:val="21"/>
        </w:rPr>
      </w:pPr>
      <w:r>
        <w:rPr>
          <w:rFonts w:hint="eastAsia" w:ascii="宋体" w:hAnsi="宋体" w:cs="宋体"/>
          <w:bCs/>
          <w:szCs w:val="21"/>
        </w:rPr>
        <w:t>从表2实验数据可知，用</w:t>
      </w:r>
      <w:r>
        <w:rPr>
          <w:rFonts w:hint="eastAsia"/>
          <w:bCs/>
          <w:szCs w:val="21"/>
        </w:rPr>
        <w:t>镍囊、镍箔对钴铬钨合金粉末进行包裹，氧含量均能完全释放，熔融效果一致，所以镍囊、镍箔均可以作为助熔剂。</w:t>
      </w:r>
    </w:p>
    <w:p>
      <w:pPr>
        <w:rPr>
          <w:rFonts w:ascii="宋体" w:hAnsi="宋体" w:cs="宋体"/>
          <w:color w:val="444444"/>
          <w:szCs w:val="21"/>
        </w:rPr>
      </w:pPr>
      <w:r>
        <w:rPr>
          <w:rFonts w:hint="eastAsia" w:ascii="宋体" w:hAnsi="宋体" w:cs="宋体"/>
          <w:b/>
          <w:color w:val="000000"/>
          <w:szCs w:val="21"/>
        </w:rPr>
        <w:t>5.2　分析功率选择</w:t>
      </w:r>
    </w:p>
    <w:p>
      <w:pPr>
        <w:pStyle w:val="8"/>
        <w:ind w:leftChars="-100" w:hanging="210" w:hangingChars="100"/>
        <w:rPr>
          <w:rFonts w:cs="Arial"/>
          <w:color w:val="000000"/>
          <w:sz w:val="21"/>
          <w:szCs w:val="21"/>
        </w:rPr>
      </w:pPr>
      <w:r>
        <w:rPr>
          <w:rFonts w:hint="eastAsia"/>
          <w:sz w:val="21"/>
          <w:szCs w:val="21"/>
        </w:rPr>
        <w:t xml:space="preserve">      称取0.1g样品于镍囊中，排出空气后进行包裹，</w:t>
      </w:r>
      <w:r>
        <w:rPr>
          <w:rFonts w:hint="eastAsia" w:cs="Arial"/>
          <w:color w:val="000000"/>
          <w:sz w:val="21"/>
          <w:szCs w:val="21"/>
        </w:rPr>
        <w:t>在脱气功率5800W，分析功率3500W-5200W进行试验，测试结果见表3。</w:t>
      </w:r>
    </w:p>
    <w:p>
      <w:pPr>
        <w:pStyle w:val="8"/>
        <w:jc w:val="center"/>
      </w:pPr>
      <w:r>
        <w:rPr>
          <w:rFonts w:hint="eastAsia" w:cs="Arial"/>
          <w:b/>
          <w:color w:val="000000"/>
          <w:sz w:val="18"/>
          <w:szCs w:val="18"/>
        </w:rPr>
        <w:t>表3 分析功率选择</w:t>
      </w:r>
    </w:p>
    <w:tbl>
      <w:tblPr>
        <w:tblStyle w:val="10"/>
        <w:tblpPr w:leftFromText="180" w:rightFromText="180" w:vertAnchor="text" w:horzAnchor="page" w:tblpX="1847" w:tblpY="97"/>
        <w:tblOverlap w:val="never"/>
        <w:tblW w:w="887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10"/>
        <w:gridCol w:w="1105"/>
        <w:gridCol w:w="2497"/>
        <w:gridCol w:w="1457"/>
        <w:gridCol w:w="25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7" w:hRule="atLeast"/>
        </w:trPr>
        <w:tc>
          <w:tcPr>
            <w:tcW w:w="1310" w:type="dxa"/>
            <w:vMerge w:val="restart"/>
            <w:noWrap/>
            <w:vAlign w:val="center"/>
          </w:tcPr>
          <w:p>
            <w:pPr>
              <w:widowControl/>
              <w:ind w:right="540"/>
              <w:jc w:val="right"/>
              <w:rPr>
                <w:rFonts w:hint="eastAsia" w:ascii="宋体" w:hAnsi="宋体" w:cs="宋体"/>
                <w:kern w:val="0"/>
                <w:sz w:val="18"/>
                <w:szCs w:val="18"/>
              </w:rPr>
            </w:pPr>
            <w:r>
              <w:rPr>
                <w:rFonts w:hint="eastAsia" w:ascii="宋体" w:hAnsi="宋体" w:cs="宋体"/>
                <w:kern w:val="0"/>
                <w:sz w:val="18"/>
                <w:szCs w:val="18"/>
              </w:rPr>
              <w:t>分析</w:t>
            </w:r>
          </w:p>
          <w:p>
            <w:pPr>
              <w:widowControl/>
              <w:ind w:right="450"/>
              <w:jc w:val="right"/>
              <w:rPr>
                <w:rFonts w:ascii="宋体" w:hAnsi="宋体" w:cs="宋体"/>
                <w:kern w:val="0"/>
                <w:sz w:val="18"/>
                <w:szCs w:val="18"/>
              </w:rPr>
            </w:pPr>
            <w:r>
              <w:rPr>
                <w:rFonts w:hint="eastAsia" w:ascii="宋体" w:hAnsi="宋体" w:cs="宋体"/>
                <w:kern w:val="0"/>
                <w:sz w:val="18"/>
                <w:szCs w:val="18"/>
              </w:rPr>
              <w:t>功率/W</w:t>
            </w:r>
          </w:p>
        </w:tc>
        <w:tc>
          <w:tcPr>
            <w:tcW w:w="3602" w:type="dxa"/>
            <w:gridSpan w:val="2"/>
            <w:noWrap/>
            <w:vAlign w:val="center"/>
          </w:tcPr>
          <w:p>
            <w:pPr>
              <w:jc w:val="center"/>
              <w:rPr>
                <w:rFonts w:ascii="宋体" w:hAnsi="宋体" w:cs="宋体"/>
                <w:kern w:val="0"/>
                <w:sz w:val="18"/>
                <w:szCs w:val="18"/>
              </w:rPr>
            </w:pPr>
            <w:r>
              <w:rPr>
                <w:rFonts w:hint="eastAsia"/>
                <w:sz w:val="18"/>
                <w:szCs w:val="18"/>
              </w:rPr>
              <w:t>镍囊</w:t>
            </w:r>
          </w:p>
        </w:tc>
        <w:tc>
          <w:tcPr>
            <w:tcW w:w="3960" w:type="dxa"/>
            <w:gridSpan w:val="2"/>
            <w:tcBorders>
              <w:bottom w:val="single" w:color="auto" w:sz="4" w:space="0"/>
            </w:tcBorders>
            <w:noWrap/>
            <w:vAlign w:val="center"/>
          </w:tcPr>
          <w:p>
            <w:pPr>
              <w:jc w:val="center"/>
              <w:rPr>
                <w:sz w:val="18"/>
                <w:szCs w:val="18"/>
              </w:rPr>
            </w:pPr>
            <w:r>
              <w:rPr>
                <w:rFonts w:hint="eastAsia" w:ascii="宋体" w:hAnsi="宋体" w:cs="宋体"/>
                <w:sz w:val="18"/>
                <w:szCs w:val="18"/>
              </w:rPr>
              <w:t>镍箔</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7" w:hRule="atLeast"/>
        </w:trPr>
        <w:tc>
          <w:tcPr>
            <w:tcW w:w="1310" w:type="dxa"/>
            <w:vMerge w:val="continue"/>
            <w:tcBorders>
              <w:bottom w:val="single" w:color="auto" w:sz="4" w:space="0"/>
            </w:tcBorders>
            <w:noWrap/>
            <w:vAlign w:val="center"/>
          </w:tcPr>
          <w:p>
            <w:pPr>
              <w:jc w:val="center"/>
              <w:rPr>
                <w:sz w:val="18"/>
                <w:szCs w:val="18"/>
              </w:rPr>
            </w:pPr>
          </w:p>
        </w:tc>
        <w:tc>
          <w:tcPr>
            <w:tcW w:w="1105" w:type="dxa"/>
            <w:tcBorders>
              <w:bottom w:val="single" w:color="auto" w:sz="4" w:space="0"/>
            </w:tcBorders>
            <w:noWrap/>
            <w:vAlign w:val="center"/>
          </w:tcPr>
          <w:p>
            <w:pPr>
              <w:jc w:val="center"/>
              <w:rPr>
                <w:sz w:val="18"/>
                <w:szCs w:val="18"/>
              </w:rPr>
            </w:pPr>
            <w:r>
              <w:rPr>
                <w:rFonts w:hint="eastAsia" w:ascii="宋体" w:hAnsi="宋体" w:cs="宋体"/>
                <w:kern w:val="0"/>
                <w:sz w:val="18"/>
                <w:szCs w:val="18"/>
              </w:rPr>
              <w:t>氧含量</w:t>
            </w:r>
            <w:r>
              <w:rPr>
                <w:rFonts w:hint="eastAsia" w:ascii="宋体" w:hAnsi="宋体"/>
                <w:sz w:val="18"/>
                <w:szCs w:val="18"/>
              </w:rPr>
              <w:t>（%）</w:t>
            </w:r>
          </w:p>
        </w:tc>
        <w:tc>
          <w:tcPr>
            <w:tcW w:w="2497" w:type="dxa"/>
            <w:tcBorders>
              <w:bottom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出峰曲线、熔体</w:t>
            </w:r>
            <w:r>
              <w:rPr>
                <w:rFonts w:hint="eastAsia" w:ascii="宋体" w:hAnsi="宋体"/>
                <w:color w:val="000000"/>
                <w:sz w:val="18"/>
                <w:szCs w:val="18"/>
              </w:rPr>
              <w:t>熔融情况</w:t>
            </w:r>
          </w:p>
        </w:tc>
        <w:tc>
          <w:tcPr>
            <w:tcW w:w="1457" w:type="dxa"/>
            <w:tcBorders>
              <w:bottom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 xml:space="preserve">  氧含量</w:t>
            </w:r>
            <w:r>
              <w:rPr>
                <w:rFonts w:hint="eastAsia" w:ascii="宋体" w:hAnsi="宋体"/>
                <w:sz w:val="18"/>
                <w:szCs w:val="18"/>
              </w:rPr>
              <w:t>（%）</w:t>
            </w:r>
          </w:p>
        </w:tc>
        <w:tc>
          <w:tcPr>
            <w:tcW w:w="2503" w:type="dxa"/>
            <w:tcBorders>
              <w:bottom w:val="single" w:color="auto" w:sz="4" w:space="0"/>
            </w:tcBorders>
            <w:noWrap/>
            <w:vAlign w:val="center"/>
          </w:tcPr>
          <w:p>
            <w:pPr>
              <w:jc w:val="center"/>
              <w:rPr>
                <w:rFonts w:ascii="宋体" w:hAnsi="宋体" w:cs="宋体"/>
                <w:sz w:val="18"/>
                <w:szCs w:val="18"/>
              </w:rPr>
            </w:pPr>
            <w:r>
              <w:rPr>
                <w:rFonts w:hint="eastAsia" w:ascii="宋体" w:hAnsi="宋体" w:cs="宋体"/>
                <w:kern w:val="0"/>
                <w:sz w:val="18"/>
                <w:szCs w:val="18"/>
              </w:rPr>
              <w:t>出峰曲线、</w:t>
            </w:r>
            <w:r>
              <w:rPr>
                <w:rFonts w:hint="eastAsia" w:ascii="宋体" w:hAnsi="宋体"/>
                <w:color w:val="000000"/>
                <w:sz w:val="18"/>
                <w:szCs w:val="18"/>
              </w:rPr>
              <w:t>熔融情况</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w:t>
            </w:r>
          </w:p>
        </w:tc>
        <w:tc>
          <w:tcPr>
            <w:tcW w:w="2497" w:type="dxa"/>
            <w:vMerge w:val="restart"/>
            <w:tcBorders>
              <w:top w:val="nil"/>
            </w:tcBorders>
            <w:noWrap/>
            <w:vAlign w:val="center"/>
          </w:tcPr>
          <w:p>
            <w:pPr>
              <w:rPr>
                <w:rFonts w:ascii="宋体" w:hAnsi="宋体"/>
                <w:color w:val="000000"/>
                <w:sz w:val="18"/>
                <w:szCs w:val="18"/>
              </w:rPr>
            </w:pPr>
            <w:r>
              <w:rPr>
                <w:rFonts w:hint="eastAsia" w:ascii="宋体" w:hAnsi="宋体"/>
                <w:color w:val="000000"/>
                <w:sz w:val="18"/>
                <w:szCs w:val="18"/>
              </w:rPr>
              <w:t>峰形正常，熔体散开、表面光滑、有金属光泽</w:t>
            </w: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0.042</w:t>
            </w:r>
          </w:p>
        </w:tc>
        <w:tc>
          <w:tcPr>
            <w:tcW w:w="2503" w:type="dxa"/>
            <w:vMerge w:val="restart"/>
            <w:tcBorders>
              <w:top w:val="nil"/>
            </w:tcBorders>
            <w:noWrap/>
            <w:vAlign w:val="center"/>
          </w:tcPr>
          <w:p>
            <w:pPr>
              <w:rPr>
                <w:rFonts w:ascii="宋体" w:hAnsi="宋体"/>
                <w:color w:val="000000"/>
                <w:sz w:val="18"/>
                <w:szCs w:val="18"/>
              </w:rPr>
            </w:pPr>
            <w:r>
              <w:rPr>
                <w:rFonts w:hint="eastAsia" w:ascii="宋体" w:hAnsi="宋体"/>
                <w:color w:val="000000"/>
                <w:sz w:val="18"/>
                <w:szCs w:val="18"/>
              </w:rPr>
              <w:t>峰形正常，熔体散开、表面光滑、有金属光泽</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w:t>
            </w:r>
          </w:p>
        </w:tc>
        <w:tc>
          <w:tcPr>
            <w:tcW w:w="2497" w:type="dxa"/>
            <w:vMerge w:val="continue"/>
            <w:noWrap/>
            <w:vAlign w:val="center"/>
          </w:tcPr>
          <w:p>
            <w:pPr>
              <w:jc w:val="center"/>
              <w:rPr>
                <w:rFonts w:ascii="宋体" w:hAnsi="宋体"/>
                <w:color w:val="000000"/>
                <w:sz w:val="18"/>
                <w:szCs w:val="18"/>
              </w:rPr>
            </w:pP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0.043</w:t>
            </w:r>
          </w:p>
        </w:tc>
        <w:tc>
          <w:tcPr>
            <w:tcW w:w="2503" w:type="dxa"/>
            <w:vMerge w:val="continue"/>
            <w:noWrap/>
            <w:vAlign w:val="center"/>
          </w:tcPr>
          <w:p>
            <w:pPr>
              <w:jc w:val="center"/>
              <w:rPr>
                <w:rFonts w:ascii="宋体" w:hAnsi="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w:t>
            </w:r>
          </w:p>
        </w:tc>
        <w:tc>
          <w:tcPr>
            <w:tcW w:w="2497" w:type="dxa"/>
            <w:vMerge w:val="continue"/>
            <w:noWrap/>
            <w:vAlign w:val="center"/>
          </w:tcPr>
          <w:p>
            <w:pPr>
              <w:jc w:val="center"/>
              <w:rPr>
                <w:rFonts w:ascii="宋体" w:hAnsi="宋体"/>
                <w:color w:val="000000"/>
                <w:sz w:val="18"/>
                <w:szCs w:val="18"/>
              </w:rPr>
            </w:pP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0.043</w:t>
            </w:r>
          </w:p>
        </w:tc>
        <w:tc>
          <w:tcPr>
            <w:tcW w:w="2503" w:type="dxa"/>
            <w:vMerge w:val="continue"/>
            <w:noWrap/>
            <w:vAlign w:val="center"/>
          </w:tcPr>
          <w:p>
            <w:pPr>
              <w:jc w:val="center"/>
              <w:rPr>
                <w:rFonts w:ascii="宋体" w:hAnsi="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w:t>
            </w:r>
          </w:p>
        </w:tc>
        <w:tc>
          <w:tcPr>
            <w:tcW w:w="2497" w:type="dxa"/>
            <w:vMerge w:val="continue"/>
            <w:noWrap/>
            <w:vAlign w:val="center"/>
          </w:tcPr>
          <w:p>
            <w:pPr>
              <w:jc w:val="center"/>
              <w:rPr>
                <w:rFonts w:ascii="宋体" w:hAnsi="宋体"/>
                <w:color w:val="000000"/>
                <w:sz w:val="18"/>
                <w:szCs w:val="18"/>
              </w:rPr>
            </w:pP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0.044</w:t>
            </w:r>
          </w:p>
        </w:tc>
        <w:tc>
          <w:tcPr>
            <w:tcW w:w="2503" w:type="dxa"/>
            <w:vMerge w:val="continue"/>
            <w:noWrap/>
            <w:vAlign w:val="center"/>
          </w:tcPr>
          <w:p>
            <w:pPr>
              <w:jc w:val="center"/>
              <w:rPr>
                <w:rFonts w:ascii="宋体" w:hAnsi="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w:t>
            </w:r>
          </w:p>
        </w:tc>
        <w:tc>
          <w:tcPr>
            <w:tcW w:w="2497" w:type="dxa"/>
            <w:vMerge w:val="continue"/>
            <w:noWrap/>
            <w:vAlign w:val="center"/>
          </w:tcPr>
          <w:p>
            <w:pPr>
              <w:jc w:val="center"/>
              <w:rPr>
                <w:rFonts w:ascii="宋体" w:hAnsi="宋体"/>
                <w:color w:val="000000"/>
                <w:sz w:val="18"/>
                <w:szCs w:val="18"/>
              </w:rPr>
            </w:pP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0.043</w:t>
            </w:r>
          </w:p>
        </w:tc>
        <w:tc>
          <w:tcPr>
            <w:tcW w:w="2503" w:type="dxa"/>
            <w:vMerge w:val="continue"/>
            <w:noWrap/>
            <w:vAlign w:val="center"/>
          </w:tcPr>
          <w:p>
            <w:pPr>
              <w:jc w:val="center"/>
              <w:rPr>
                <w:rFonts w:ascii="宋体" w:hAnsi="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w:t>
            </w:r>
          </w:p>
        </w:tc>
        <w:tc>
          <w:tcPr>
            <w:tcW w:w="1105" w:type="dxa"/>
            <w:tcBorders>
              <w:top w:val="nil"/>
              <w:bottom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0.043</w:t>
            </w:r>
          </w:p>
        </w:tc>
        <w:tc>
          <w:tcPr>
            <w:tcW w:w="2497" w:type="dxa"/>
            <w:vMerge w:val="continue"/>
            <w:noWrap/>
            <w:vAlign w:val="center"/>
          </w:tcPr>
          <w:p>
            <w:pPr>
              <w:jc w:val="center"/>
              <w:rPr>
                <w:rFonts w:ascii="宋体" w:hAnsi="宋体"/>
                <w:color w:val="000000"/>
                <w:sz w:val="18"/>
                <w:szCs w:val="18"/>
              </w:rPr>
            </w:pPr>
          </w:p>
        </w:tc>
        <w:tc>
          <w:tcPr>
            <w:tcW w:w="1457" w:type="dxa"/>
            <w:tcBorders>
              <w:top w:val="nil"/>
              <w:bottom w:val="nil"/>
            </w:tcBorders>
            <w:noWrap/>
            <w:vAlign w:val="center"/>
          </w:tcPr>
          <w:p>
            <w:pPr>
              <w:jc w:val="center"/>
              <w:rPr>
                <w:rFonts w:ascii="宋体" w:hAnsi="宋体"/>
                <w:color w:val="000000"/>
                <w:sz w:val="18"/>
                <w:szCs w:val="18"/>
              </w:rPr>
            </w:pPr>
            <w:r>
              <w:rPr>
                <w:rFonts w:hint="eastAsia" w:ascii="宋体" w:hAnsi="宋体"/>
                <w:color w:val="000000"/>
                <w:sz w:val="18"/>
                <w:szCs w:val="18"/>
              </w:rPr>
              <w:t>0.042</w:t>
            </w:r>
          </w:p>
        </w:tc>
        <w:tc>
          <w:tcPr>
            <w:tcW w:w="2503" w:type="dxa"/>
            <w:vMerge w:val="continue"/>
            <w:noWrap/>
            <w:vAlign w:val="center"/>
          </w:tcPr>
          <w:p>
            <w:pPr>
              <w:jc w:val="center"/>
              <w:rPr>
                <w:rFonts w:ascii="宋体" w:hAnsi="宋体"/>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9" w:hRule="atLeast"/>
        </w:trPr>
        <w:tc>
          <w:tcPr>
            <w:tcW w:w="1310" w:type="dxa"/>
            <w:tcBorders>
              <w:top w:val="nil"/>
              <w:bottom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w:t>
            </w:r>
          </w:p>
        </w:tc>
        <w:tc>
          <w:tcPr>
            <w:tcW w:w="1105" w:type="dxa"/>
            <w:tcBorders>
              <w:top w:val="nil"/>
              <w:bottom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0.044</w:t>
            </w:r>
          </w:p>
        </w:tc>
        <w:tc>
          <w:tcPr>
            <w:tcW w:w="2497" w:type="dxa"/>
            <w:vMerge w:val="continue"/>
            <w:tcBorders>
              <w:bottom w:val="single" w:color="auto" w:sz="4" w:space="0"/>
            </w:tcBorders>
            <w:noWrap/>
            <w:vAlign w:val="center"/>
          </w:tcPr>
          <w:p>
            <w:pPr>
              <w:jc w:val="center"/>
              <w:rPr>
                <w:rFonts w:ascii="宋体" w:hAnsi="宋体"/>
                <w:color w:val="000000"/>
                <w:sz w:val="18"/>
                <w:szCs w:val="18"/>
              </w:rPr>
            </w:pPr>
          </w:p>
        </w:tc>
        <w:tc>
          <w:tcPr>
            <w:tcW w:w="1457" w:type="dxa"/>
            <w:tcBorders>
              <w:top w:val="nil"/>
              <w:bottom w:val="single" w:color="auto" w:sz="4" w:space="0"/>
            </w:tcBorders>
            <w:noWrap/>
            <w:vAlign w:val="center"/>
          </w:tcPr>
          <w:p>
            <w:pPr>
              <w:jc w:val="center"/>
              <w:rPr>
                <w:rFonts w:ascii="宋体" w:hAnsi="宋体"/>
                <w:color w:val="000000"/>
                <w:sz w:val="18"/>
                <w:szCs w:val="18"/>
              </w:rPr>
            </w:pPr>
            <w:r>
              <w:rPr>
                <w:rFonts w:hint="eastAsia" w:ascii="宋体" w:hAnsi="宋体"/>
                <w:color w:val="000000"/>
                <w:sz w:val="18"/>
                <w:szCs w:val="18"/>
              </w:rPr>
              <w:t>0.043</w:t>
            </w:r>
          </w:p>
        </w:tc>
        <w:tc>
          <w:tcPr>
            <w:tcW w:w="2503" w:type="dxa"/>
            <w:vMerge w:val="continue"/>
            <w:tcBorders>
              <w:bottom w:val="single" w:color="auto" w:sz="4" w:space="0"/>
            </w:tcBorders>
            <w:noWrap/>
            <w:vAlign w:val="center"/>
          </w:tcPr>
          <w:p>
            <w:pPr>
              <w:jc w:val="center"/>
              <w:rPr>
                <w:rFonts w:ascii="宋体" w:hAnsi="宋体"/>
                <w:color w:val="000000"/>
                <w:sz w:val="18"/>
                <w:szCs w:val="18"/>
              </w:rPr>
            </w:pPr>
          </w:p>
        </w:tc>
      </w:tr>
    </w:tbl>
    <w:p>
      <w:pPr>
        <w:pStyle w:val="8"/>
        <w:ind w:left="210" w:hanging="210" w:hangingChars="100"/>
        <w:rPr>
          <w:rFonts w:cs="Arial"/>
          <w:color w:val="000000"/>
          <w:sz w:val="21"/>
          <w:szCs w:val="21"/>
        </w:rPr>
      </w:pPr>
    </w:p>
    <w:p>
      <w:pPr>
        <w:pStyle w:val="8"/>
        <w:rPr>
          <w:rFonts w:cs="Arial"/>
          <w:color w:val="000000"/>
          <w:sz w:val="21"/>
          <w:szCs w:val="21"/>
        </w:rPr>
      </w:pPr>
      <w:r>
        <w:rPr>
          <w:rFonts w:hint="eastAsia" w:cs="Arial"/>
          <w:color w:val="000000"/>
          <w:sz w:val="21"/>
          <w:szCs w:val="21"/>
        </w:rPr>
        <w:t xml:space="preserve">    以上结果和试验现象表明：分析功率小于3500W时出峰不顺畅，熔体未完全散开，分析功率在3800W-5200W之间，氧含量结果无明显差异，熔融情况均良好。由于本试验采用钢铁类标准样品进行校准，为保证标准样品中氧含量完全释放，采用分析功率5000W，不同实验室根据各自仪器情况而定。</w:t>
      </w:r>
    </w:p>
    <w:p>
      <w:pPr>
        <w:pStyle w:val="8"/>
        <w:rPr>
          <w:b/>
          <w:color w:val="000000" w:themeColor="text1"/>
          <w:sz w:val="21"/>
          <w:szCs w:val="21"/>
        </w:rPr>
      </w:pPr>
      <w:r>
        <w:rPr>
          <w:rFonts w:hint="eastAsia"/>
          <w:b/>
          <w:color w:val="444444"/>
          <w:sz w:val="21"/>
          <w:szCs w:val="21"/>
        </w:rPr>
        <w:t xml:space="preserve">5.3称样量选择 </w:t>
      </w:r>
    </w:p>
    <w:p>
      <w:pPr>
        <w:pStyle w:val="8"/>
        <w:ind w:left="29" w:leftChars="14" w:firstLine="210" w:firstLineChars="100"/>
        <w:rPr>
          <w:b/>
          <w:color w:val="444444"/>
          <w:sz w:val="21"/>
          <w:szCs w:val="21"/>
        </w:rPr>
      </w:pPr>
      <w:r>
        <w:rPr>
          <w:rFonts w:hint="eastAsia"/>
          <w:color w:val="000000"/>
          <w:sz w:val="21"/>
          <w:szCs w:val="21"/>
        </w:rPr>
        <w:t xml:space="preserve">  于3.2选定的分析功率条件下，分别用镍囊、镍箔包裹，改变称样量进行氧含量测定，结果见表4。</w:t>
      </w:r>
    </w:p>
    <w:tbl>
      <w:tblPr>
        <w:tblStyle w:val="10"/>
        <w:tblpPr w:leftFromText="180" w:rightFromText="180" w:vertAnchor="text" w:horzAnchor="margin" w:tblpY="507"/>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68"/>
        <w:gridCol w:w="1418"/>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70" w:type="dxa"/>
            <w:gridSpan w:val="3"/>
            <w:noWrap/>
          </w:tcPr>
          <w:p>
            <w:pPr>
              <w:jc w:val="center"/>
              <w:rPr>
                <w:rFonts w:ascii="宋体" w:hAnsi="宋体" w:cs="宋体"/>
                <w:color w:val="000000"/>
                <w:sz w:val="18"/>
                <w:szCs w:val="18"/>
              </w:rPr>
            </w:pPr>
            <w:r>
              <w:rPr>
                <w:rFonts w:hint="eastAsia" w:ascii="宋体" w:hAnsi="宋体" w:cs="宋体"/>
                <w:color w:val="000000"/>
                <w:sz w:val="18"/>
                <w:szCs w:val="18"/>
              </w:rPr>
              <w:t>镍囊</w:t>
            </w:r>
          </w:p>
        </w:tc>
        <w:tc>
          <w:tcPr>
            <w:tcW w:w="3828" w:type="dxa"/>
            <w:gridSpan w:val="3"/>
            <w:noWrap/>
          </w:tcPr>
          <w:p>
            <w:pPr>
              <w:jc w:val="center"/>
              <w:rPr>
                <w:rFonts w:ascii="宋体" w:hAnsi="宋体" w:cs="宋体"/>
                <w:color w:val="000000"/>
                <w:sz w:val="18"/>
                <w:szCs w:val="18"/>
              </w:rPr>
            </w:pPr>
            <w:r>
              <w:rPr>
                <w:rFonts w:hint="eastAsia" w:ascii="宋体" w:hAnsi="宋体" w:cs="宋体"/>
                <w:color w:val="000000"/>
                <w:sz w:val="18"/>
                <w:szCs w:val="18"/>
              </w:rPr>
              <w:t>镍箔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1" w:type="dxa"/>
            <w:noWrap/>
          </w:tcPr>
          <w:p>
            <w:pPr>
              <w:jc w:val="center"/>
              <w:rPr>
                <w:rFonts w:ascii="宋体" w:hAnsi="宋体" w:cs="宋体"/>
                <w:color w:val="000000"/>
                <w:sz w:val="18"/>
                <w:szCs w:val="18"/>
              </w:rPr>
            </w:pPr>
            <w:r>
              <w:rPr>
                <w:rFonts w:hint="eastAsia" w:ascii="宋体" w:hAnsi="宋体" w:cs="宋体"/>
                <w:color w:val="000000"/>
                <w:sz w:val="18"/>
                <w:szCs w:val="18"/>
              </w:rPr>
              <w:t>称样量/g</w:t>
            </w:r>
          </w:p>
        </w:tc>
        <w:tc>
          <w:tcPr>
            <w:tcW w:w="1701" w:type="dxa"/>
            <w:noWrap/>
          </w:tcPr>
          <w:p>
            <w:pPr>
              <w:jc w:val="center"/>
              <w:rPr>
                <w:rFonts w:ascii="宋体" w:hAnsi="宋体" w:cs="宋体"/>
                <w:sz w:val="18"/>
                <w:szCs w:val="18"/>
              </w:rPr>
            </w:pPr>
            <w:r>
              <w:rPr>
                <w:rFonts w:hint="eastAsia" w:ascii="宋体" w:hAnsi="宋体" w:cs="宋体"/>
                <w:sz w:val="18"/>
                <w:szCs w:val="18"/>
              </w:rPr>
              <w:t>氧含量/%</w:t>
            </w:r>
          </w:p>
        </w:tc>
        <w:tc>
          <w:tcPr>
            <w:tcW w:w="1768" w:type="dxa"/>
            <w:noWrap/>
          </w:tcPr>
          <w:p>
            <w:pPr>
              <w:jc w:val="center"/>
              <w:rPr>
                <w:rFonts w:ascii="宋体" w:hAnsi="宋体" w:cs="宋体"/>
                <w:sz w:val="18"/>
                <w:szCs w:val="18"/>
              </w:rPr>
            </w:pPr>
            <w:r>
              <w:rPr>
                <w:rFonts w:hint="eastAsia" w:ascii="宋体" w:hAnsi="宋体" w:cs="宋体"/>
                <w:color w:val="000000"/>
                <w:sz w:val="18"/>
                <w:szCs w:val="18"/>
              </w:rPr>
              <w:t>熔融、出峰情况</w:t>
            </w:r>
          </w:p>
        </w:tc>
        <w:tc>
          <w:tcPr>
            <w:tcW w:w="1418" w:type="dxa"/>
            <w:noWrap/>
          </w:tcPr>
          <w:p>
            <w:pPr>
              <w:jc w:val="center"/>
              <w:rPr>
                <w:rFonts w:ascii="宋体" w:hAnsi="宋体" w:cs="宋体"/>
                <w:color w:val="000000"/>
                <w:sz w:val="18"/>
                <w:szCs w:val="18"/>
              </w:rPr>
            </w:pPr>
            <w:r>
              <w:rPr>
                <w:rFonts w:hint="eastAsia" w:ascii="宋体" w:hAnsi="宋体" w:cs="宋体"/>
                <w:color w:val="000000"/>
                <w:sz w:val="18"/>
                <w:szCs w:val="18"/>
              </w:rPr>
              <w:t>镍箔/称样量</w:t>
            </w:r>
          </w:p>
        </w:tc>
        <w:tc>
          <w:tcPr>
            <w:tcW w:w="992" w:type="dxa"/>
            <w:noWrap/>
          </w:tcPr>
          <w:p>
            <w:pPr>
              <w:jc w:val="center"/>
              <w:rPr>
                <w:rFonts w:ascii="宋体" w:hAnsi="宋体" w:cs="宋体"/>
                <w:color w:val="000000"/>
                <w:sz w:val="18"/>
                <w:szCs w:val="18"/>
              </w:rPr>
            </w:pPr>
            <w:r>
              <w:rPr>
                <w:rFonts w:hint="eastAsia" w:ascii="宋体" w:hAnsi="宋体" w:cs="宋体"/>
                <w:sz w:val="18"/>
                <w:szCs w:val="18"/>
              </w:rPr>
              <w:t>氧含量/%</w:t>
            </w:r>
          </w:p>
        </w:tc>
        <w:tc>
          <w:tcPr>
            <w:tcW w:w="1418" w:type="dxa"/>
            <w:noWrap/>
          </w:tcPr>
          <w:p>
            <w:pPr>
              <w:jc w:val="center"/>
              <w:rPr>
                <w:rFonts w:ascii="宋体" w:hAnsi="宋体" w:cs="宋体"/>
                <w:color w:val="000000"/>
                <w:sz w:val="18"/>
                <w:szCs w:val="18"/>
              </w:rPr>
            </w:pPr>
            <w:r>
              <w:rPr>
                <w:rFonts w:hint="eastAsia" w:ascii="宋体" w:hAnsi="宋体" w:cs="宋体"/>
                <w:color w:val="000000"/>
                <w:sz w:val="18"/>
                <w:szCs w:val="18"/>
              </w:rPr>
              <w:t>熔融、出峰情况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01" w:type="dxa"/>
            <w:noWrap/>
          </w:tcPr>
          <w:p>
            <w:pPr>
              <w:jc w:val="center"/>
              <w:rPr>
                <w:rFonts w:ascii="宋体" w:hAnsi="宋体" w:cs="宋体"/>
                <w:color w:val="000000"/>
                <w:sz w:val="18"/>
                <w:szCs w:val="18"/>
              </w:rPr>
            </w:pPr>
            <w:r>
              <w:rPr>
                <w:rFonts w:hint="eastAsia" w:ascii="宋体" w:hAnsi="宋体" w:cs="宋体"/>
                <w:color w:val="000000"/>
                <w:sz w:val="18"/>
                <w:szCs w:val="18"/>
              </w:rPr>
              <w:t>0.1</w:t>
            </w:r>
          </w:p>
        </w:tc>
        <w:tc>
          <w:tcPr>
            <w:tcW w:w="1701" w:type="dxa"/>
            <w:noWrap/>
          </w:tcPr>
          <w:p>
            <w:pPr>
              <w:jc w:val="center"/>
              <w:rPr>
                <w:rFonts w:ascii="宋体" w:hAnsi="宋体" w:cs="宋体"/>
                <w:color w:val="000000"/>
                <w:sz w:val="18"/>
                <w:szCs w:val="18"/>
              </w:rPr>
            </w:pPr>
            <w:r>
              <w:rPr>
                <w:rFonts w:hint="eastAsia" w:ascii="宋体" w:hAnsi="宋体" w:cs="宋体"/>
                <w:color w:val="000000"/>
                <w:sz w:val="18"/>
                <w:szCs w:val="18"/>
              </w:rPr>
              <w:t>0.04276  0.04141</w:t>
            </w:r>
          </w:p>
        </w:tc>
        <w:tc>
          <w:tcPr>
            <w:tcW w:w="1768" w:type="dxa"/>
            <w:vMerge w:val="restart"/>
            <w:noWrap/>
          </w:tcPr>
          <w:p>
            <w:pPr>
              <w:jc w:val="center"/>
              <w:rPr>
                <w:rFonts w:ascii="宋体" w:hAnsi="宋体" w:cs="宋体"/>
                <w:color w:val="000000"/>
                <w:sz w:val="18"/>
                <w:szCs w:val="18"/>
              </w:rPr>
            </w:pPr>
            <w:r>
              <w:rPr>
                <w:rFonts w:hint="eastAsia" w:ascii="宋体" w:hAnsi="宋体"/>
                <w:color w:val="000000"/>
                <w:sz w:val="18"/>
                <w:szCs w:val="18"/>
              </w:rPr>
              <w:t>峰形正常，熔体散开、表面光滑、有金属光泽</w:t>
            </w:r>
          </w:p>
        </w:tc>
        <w:tc>
          <w:tcPr>
            <w:tcW w:w="1418" w:type="dxa"/>
            <w:noWrap/>
          </w:tcPr>
          <w:p>
            <w:pPr>
              <w:rPr>
                <w:rFonts w:ascii="宋体" w:hAnsi="宋体" w:cs="宋体"/>
                <w:color w:val="000000"/>
                <w:sz w:val="18"/>
                <w:szCs w:val="18"/>
              </w:rPr>
            </w:pPr>
            <w:r>
              <w:rPr>
                <w:rFonts w:hint="eastAsia" w:ascii="宋体" w:hAnsi="宋体" w:cs="宋体"/>
                <w:color w:val="000000"/>
                <w:sz w:val="18"/>
                <w:szCs w:val="18"/>
              </w:rPr>
              <w:t>0.1667/0.0982</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0.04321</w:t>
            </w:r>
          </w:p>
        </w:tc>
        <w:tc>
          <w:tcPr>
            <w:tcW w:w="1418" w:type="dxa"/>
            <w:vMerge w:val="restart"/>
            <w:noWrap/>
          </w:tcPr>
          <w:p>
            <w:pPr>
              <w:jc w:val="center"/>
              <w:rPr>
                <w:rFonts w:ascii="宋体" w:hAnsi="宋体" w:cs="宋体"/>
                <w:color w:val="000000"/>
                <w:sz w:val="18"/>
                <w:szCs w:val="18"/>
              </w:rPr>
            </w:pPr>
            <w:r>
              <w:rPr>
                <w:rFonts w:hint="eastAsia" w:ascii="宋体" w:hAnsi="宋体"/>
                <w:color w:val="000000"/>
                <w:sz w:val="18"/>
                <w:szCs w:val="18"/>
              </w:rPr>
              <w:t>峰形正常，熔体散开、表面光滑、有金属光泽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01" w:type="dxa"/>
            <w:noWrap/>
          </w:tcPr>
          <w:p>
            <w:pPr>
              <w:jc w:val="center"/>
              <w:rPr>
                <w:rFonts w:ascii="宋体" w:hAnsi="宋体" w:cs="宋体"/>
                <w:color w:val="000000"/>
                <w:sz w:val="18"/>
                <w:szCs w:val="18"/>
              </w:rPr>
            </w:pPr>
            <w:r>
              <w:rPr>
                <w:rFonts w:hint="eastAsia" w:ascii="宋体" w:hAnsi="宋体" w:cs="宋体"/>
                <w:color w:val="000000"/>
                <w:sz w:val="18"/>
                <w:szCs w:val="18"/>
              </w:rPr>
              <w:t>0.2</w:t>
            </w:r>
          </w:p>
        </w:tc>
        <w:tc>
          <w:tcPr>
            <w:tcW w:w="1701" w:type="dxa"/>
            <w:noWrap/>
          </w:tcPr>
          <w:p>
            <w:pPr>
              <w:jc w:val="center"/>
              <w:rPr>
                <w:rFonts w:ascii="宋体" w:hAnsi="宋体" w:cs="宋体"/>
                <w:color w:val="000000"/>
                <w:sz w:val="18"/>
                <w:szCs w:val="18"/>
              </w:rPr>
            </w:pPr>
            <w:r>
              <w:rPr>
                <w:rFonts w:hint="eastAsia" w:ascii="宋体" w:hAnsi="宋体" w:cs="宋体"/>
                <w:color w:val="000000"/>
                <w:sz w:val="18"/>
                <w:szCs w:val="18"/>
              </w:rPr>
              <w:t>0.04331  0.04278</w:t>
            </w:r>
          </w:p>
        </w:tc>
        <w:tc>
          <w:tcPr>
            <w:tcW w:w="1768" w:type="dxa"/>
            <w:vMerge w:val="continue"/>
            <w:noWrap/>
          </w:tcPr>
          <w:p>
            <w:pPr>
              <w:jc w:val="center"/>
              <w:rPr>
                <w:rFonts w:ascii="宋体" w:hAnsi="宋体" w:cs="宋体"/>
                <w:color w:val="000000"/>
                <w:sz w:val="18"/>
                <w:szCs w:val="18"/>
              </w:rPr>
            </w:pPr>
          </w:p>
        </w:tc>
        <w:tc>
          <w:tcPr>
            <w:tcW w:w="1418" w:type="dxa"/>
            <w:noWrap/>
          </w:tcPr>
          <w:p>
            <w:pPr>
              <w:rPr>
                <w:rFonts w:ascii="宋体" w:hAnsi="宋体" w:cs="宋体"/>
                <w:color w:val="000000"/>
                <w:sz w:val="18"/>
                <w:szCs w:val="18"/>
              </w:rPr>
            </w:pPr>
            <w:r>
              <w:rPr>
                <w:rFonts w:hint="eastAsia" w:ascii="宋体" w:hAnsi="宋体" w:cs="宋体"/>
                <w:color w:val="000000"/>
                <w:sz w:val="18"/>
                <w:szCs w:val="18"/>
              </w:rPr>
              <w:t>0.2367/0.1075</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0.04145</w:t>
            </w:r>
          </w:p>
        </w:tc>
        <w:tc>
          <w:tcPr>
            <w:tcW w:w="1418" w:type="dxa"/>
            <w:vMerge w:val="continue"/>
            <w:noWrap/>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1" w:type="dxa"/>
            <w:noWrap/>
          </w:tcPr>
          <w:p>
            <w:pPr>
              <w:jc w:val="center"/>
              <w:rPr>
                <w:rFonts w:ascii="宋体" w:hAnsi="宋体" w:cs="宋体"/>
                <w:color w:val="000000"/>
                <w:sz w:val="18"/>
                <w:szCs w:val="18"/>
              </w:rPr>
            </w:pPr>
            <w:r>
              <w:rPr>
                <w:rFonts w:hint="eastAsia" w:ascii="宋体" w:hAnsi="宋体" w:cs="宋体"/>
                <w:color w:val="000000"/>
                <w:sz w:val="18"/>
                <w:szCs w:val="18"/>
              </w:rPr>
              <w:t>0.3</w:t>
            </w:r>
          </w:p>
        </w:tc>
        <w:tc>
          <w:tcPr>
            <w:tcW w:w="1701" w:type="dxa"/>
            <w:noWrap/>
          </w:tcPr>
          <w:p>
            <w:pPr>
              <w:jc w:val="center"/>
              <w:rPr>
                <w:rFonts w:ascii="宋体" w:hAnsi="宋体" w:cs="宋体"/>
                <w:color w:val="000000"/>
                <w:sz w:val="18"/>
                <w:szCs w:val="18"/>
              </w:rPr>
            </w:pPr>
            <w:r>
              <w:rPr>
                <w:rFonts w:hint="eastAsia" w:ascii="宋体" w:hAnsi="宋体" w:cs="宋体"/>
                <w:color w:val="000000"/>
                <w:sz w:val="18"/>
                <w:szCs w:val="18"/>
              </w:rPr>
              <w:t>0.04278  0.04235</w:t>
            </w:r>
          </w:p>
        </w:tc>
        <w:tc>
          <w:tcPr>
            <w:tcW w:w="1768" w:type="dxa"/>
            <w:vMerge w:val="continue"/>
            <w:noWrap/>
          </w:tcPr>
          <w:p>
            <w:pPr>
              <w:jc w:val="center"/>
              <w:rPr>
                <w:rFonts w:ascii="宋体" w:hAnsi="宋体" w:cs="宋体"/>
                <w:color w:val="000000"/>
                <w:sz w:val="18"/>
                <w:szCs w:val="18"/>
              </w:rPr>
            </w:pPr>
          </w:p>
        </w:tc>
        <w:tc>
          <w:tcPr>
            <w:tcW w:w="1418" w:type="dxa"/>
            <w:noWrap/>
          </w:tcPr>
          <w:p>
            <w:pPr>
              <w:rPr>
                <w:rFonts w:ascii="宋体" w:hAnsi="宋体" w:cs="宋体"/>
                <w:color w:val="000000"/>
                <w:sz w:val="18"/>
                <w:szCs w:val="18"/>
              </w:rPr>
            </w:pPr>
            <w:r>
              <w:rPr>
                <w:rFonts w:hint="eastAsia" w:ascii="宋体" w:hAnsi="宋体" w:cs="宋体"/>
                <w:color w:val="000000"/>
                <w:sz w:val="18"/>
                <w:szCs w:val="18"/>
              </w:rPr>
              <w:t>0.1483/0.1164</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0.04377</w:t>
            </w:r>
          </w:p>
        </w:tc>
        <w:tc>
          <w:tcPr>
            <w:tcW w:w="1418" w:type="dxa"/>
            <w:vMerge w:val="continue"/>
            <w:noWrap/>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01" w:type="dxa"/>
            <w:noWrap/>
          </w:tcPr>
          <w:p>
            <w:pPr>
              <w:jc w:val="center"/>
              <w:rPr>
                <w:rFonts w:ascii="宋体" w:hAnsi="宋体" w:cs="宋体"/>
                <w:color w:val="000000"/>
                <w:sz w:val="18"/>
                <w:szCs w:val="18"/>
              </w:rPr>
            </w:pPr>
            <w:r>
              <w:rPr>
                <w:rFonts w:hint="eastAsia" w:ascii="宋体" w:hAnsi="宋体" w:cs="宋体"/>
                <w:color w:val="000000"/>
                <w:sz w:val="18"/>
                <w:szCs w:val="18"/>
              </w:rPr>
              <w:t>0.4</w:t>
            </w:r>
          </w:p>
        </w:tc>
        <w:tc>
          <w:tcPr>
            <w:tcW w:w="1701" w:type="dxa"/>
            <w:noWrap/>
          </w:tcPr>
          <w:p>
            <w:pPr>
              <w:jc w:val="center"/>
              <w:rPr>
                <w:rFonts w:ascii="宋体" w:hAnsi="宋体" w:cs="宋体"/>
                <w:color w:val="000000"/>
                <w:sz w:val="18"/>
                <w:szCs w:val="18"/>
              </w:rPr>
            </w:pPr>
            <w:r>
              <w:rPr>
                <w:rFonts w:hint="eastAsia" w:ascii="宋体" w:hAnsi="宋体" w:cs="宋体"/>
                <w:color w:val="000000"/>
                <w:sz w:val="18"/>
                <w:szCs w:val="18"/>
              </w:rPr>
              <w:t>0.04287  0.04386</w:t>
            </w:r>
          </w:p>
        </w:tc>
        <w:tc>
          <w:tcPr>
            <w:tcW w:w="1768" w:type="dxa"/>
            <w:vMerge w:val="continue"/>
            <w:noWrap/>
          </w:tcPr>
          <w:p>
            <w:pPr>
              <w:jc w:val="center"/>
              <w:rPr>
                <w:rFonts w:ascii="宋体" w:hAnsi="宋体" w:cs="宋体"/>
                <w:color w:val="000000"/>
                <w:sz w:val="18"/>
                <w:szCs w:val="18"/>
              </w:rPr>
            </w:pPr>
          </w:p>
        </w:tc>
        <w:tc>
          <w:tcPr>
            <w:tcW w:w="1418" w:type="dxa"/>
            <w:noWrap/>
          </w:tcPr>
          <w:p>
            <w:pPr>
              <w:rPr>
                <w:rFonts w:ascii="宋体" w:hAnsi="宋体" w:cs="宋体"/>
                <w:color w:val="000000"/>
                <w:sz w:val="18"/>
                <w:szCs w:val="18"/>
              </w:rPr>
            </w:pPr>
            <w:r>
              <w:rPr>
                <w:rFonts w:hint="eastAsia" w:ascii="宋体" w:hAnsi="宋体" w:cs="宋体"/>
                <w:color w:val="000000"/>
                <w:sz w:val="18"/>
                <w:szCs w:val="18"/>
              </w:rPr>
              <w:t>0.1616/0.1556</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0.04186</w:t>
            </w:r>
          </w:p>
        </w:tc>
        <w:tc>
          <w:tcPr>
            <w:tcW w:w="1418" w:type="dxa"/>
            <w:vMerge w:val="continue"/>
            <w:noWrap/>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01" w:type="dxa"/>
            <w:vMerge w:val="restart"/>
            <w:noWrap/>
          </w:tcPr>
          <w:p>
            <w:pPr>
              <w:jc w:val="center"/>
              <w:rPr>
                <w:rFonts w:ascii="宋体" w:hAnsi="宋体" w:cs="宋体"/>
                <w:color w:val="000000"/>
                <w:sz w:val="18"/>
                <w:szCs w:val="18"/>
              </w:rPr>
            </w:pPr>
            <w:r>
              <w:rPr>
                <w:rFonts w:hint="eastAsia" w:ascii="宋体" w:hAnsi="宋体" w:cs="宋体"/>
                <w:color w:val="000000"/>
                <w:sz w:val="18"/>
                <w:szCs w:val="18"/>
              </w:rPr>
              <w:t>0.5</w:t>
            </w:r>
          </w:p>
        </w:tc>
        <w:tc>
          <w:tcPr>
            <w:tcW w:w="1701" w:type="dxa"/>
            <w:vMerge w:val="restart"/>
            <w:noWrap/>
          </w:tcPr>
          <w:p>
            <w:pPr>
              <w:jc w:val="center"/>
              <w:rPr>
                <w:rFonts w:ascii="宋体" w:hAnsi="宋体" w:cs="宋体"/>
                <w:color w:val="000000"/>
                <w:sz w:val="18"/>
                <w:szCs w:val="18"/>
              </w:rPr>
            </w:pPr>
            <w:r>
              <w:rPr>
                <w:rFonts w:hint="eastAsia" w:ascii="宋体" w:hAnsi="宋体" w:cs="宋体"/>
                <w:color w:val="000000"/>
                <w:sz w:val="18"/>
                <w:szCs w:val="18"/>
              </w:rPr>
              <w:t>0.04402  0.04358</w:t>
            </w:r>
          </w:p>
        </w:tc>
        <w:tc>
          <w:tcPr>
            <w:tcW w:w="1768" w:type="dxa"/>
            <w:vMerge w:val="restart"/>
            <w:noWrap/>
          </w:tcPr>
          <w:p>
            <w:pPr>
              <w:jc w:val="center"/>
              <w:rPr>
                <w:rFonts w:ascii="宋体" w:hAnsi="宋体" w:cs="宋体"/>
                <w:color w:val="000000"/>
                <w:sz w:val="18"/>
                <w:szCs w:val="18"/>
              </w:rPr>
            </w:pPr>
            <w:r>
              <w:rPr>
                <w:rFonts w:hint="eastAsia" w:ascii="宋体" w:hAnsi="宋体" w:cs="宋体"/>
                <w:color w:val="000000"/>
                <w:sz w:val="18"/>
                <w:szCs w:val="18"/>
              </w:rPr>
              <w:t>熔体边缘呈锯齿状,其它正常</w:t>
            </w:r>
          </w:p>
        </w:tc>
        <w:tc>
          <w:tcPr>
            <w:tcW w:w="1418" w:type="dxa"/>
            <w:noWrap/>
          </w:tcPr>
          <w:p>
            <w:pPr>
              <w:rPr>
                <w:rFonts w:ascii="宋体" w:hAnsi="宋体" w:cs="宋体"/>
                <w:color w:val="000000"/>
                <w:sz w:val="18"/>
                <w:szCs w:val="18"/>
              </w:rPr>
            </w:pPr>
            <w:r>
              <w:rPr>
                <w:rFonts w:hint="eastAsia" w:ascii="宋体" w:hAnsi="宋体" w:cs="宋体"/>
                <w:color w:val="000000"/>
                <w:sz w:val="18"/>
                <w:szCs w:val="18"/>
              </w:rPr>
              <w:t>0.1525/0.2231</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0.04295</w:t>
            </w:r>
          </w:p>
        </w:tc>
        <w:tc>
          <w:tcPr>
            <w:tcW w:w="1418" w:type="dxa"/>
            <w:vMerge w:val="continue"/>
            <w:noWrap/>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01" w:type="dxa"/>
            <w:vMerge w:val="continue"/>
            <w:noWrap/>
          </w:tcPr>
          <w:p>
            <w:pPr>
              <w:jc w:val="center"/>
              <w:rPr>
                <w:rFonts w:ascii="宋体" w:hAnsi="宋体" w:cs="宋体"/>
                <w:color w:val="000000"/>
                <w:sz w:val="18"/>
                <w:szCs w:val="18"/>
              </w:rPr>
            </w:pPr>
          </w:p>
        </w:tc>
        <w:tc>
          <w:tcPr>
            <w:tcW w:w="1701" w:type="dxa"/>
            <w:vMerge w:val="continue"/>
            <w:noWrap/>
          </w:tcPr>
          <w:p>
            <w:pPr>
              <w:jc w:val="center"/>
              <w:rPr>
                <w:rFonts w:ascii="宋体" w:hAnsi="宋体" w:cs="宋体"/>
                <w:color w:val="000000"/>
                <w:sz w:val="18"/>
                <w:szCs w:val="18"/>
              </w:rPr>
            </w:pPr>
          </w:p>
        </w:tc>
        <w:tc>
          <w:tcPr>
            <w:tcW w:w="1768" w:type="dxa"/>
            <w:vMerge w:val="continue"/>
            <w:noWrap/>
          </w:tcPr>
          <w:p>
            <w:pPr>
              <w:jc w:val="center"/>
              <w:rPr>
                <w:rFonts w:ascii="宋体" w:hAnsi="宋体" w:cs="宋体"/>
                <w:color w:val="000000"/>
                <w:sz w:val="18"/>
                <w:szCs w:val="18"/>
              </w:rPr>
            </w:pPr>
          </w:p>
        </w:tc>
        <w:tc>
          <w:tcPr>
            <w:tcW w:w="1418" w:type="dxa"/>
            <w:noWrap/>
          </w:tcPr>
          <w:p>
            <w:pPr>
              <w:rPr>
                <w:rFonts w:ascii="宋体" w:hAnsi="宋体" w:cs="宋体"/>
                <w:color w:val="000000"/>
                <w:sz w:val="18"/>
                <w:szCs w:val="18"/>
              </w:rPr>
            </w:pPr>
            <w:r>
              <w:rPr>
                <w:rFonts w:hint="eastAsia" w:ascii="宋体" w:hAnsi="宋体" w:cs="宋体"/>
                <w:color w:val="000000"/>
                <w:sz w:val="18"/>
                <w:szCs w:val="18"/>
              </w:rPr>
              <w:t>0.1543/0.2919</w:t>
            </w:r>
          </w:p>
        </w:tc>
        <w:tc>
          <w:tcPr>
            <w:tcW w:w="992" w:type="dxa"/>
            <w:noWrap/>
          </w:tcPr>
          <w:p>
            <w:pPr>
              <w:jc w:val="center"/>
              <w:rPr>
                <w:rFonts w:ascii="宋体" w:hAnsi="宋体" w:cs="宋体"/>
                <w:color w:val="000000"/>
                <w:sz w:val="18"/>
                <w:szCs w:val="18"/>
              </w:rPr>
            </w:pPr>
            <w:r>
              <w:rPr>
                <w:rFonts w:hint="eastAsia" w:ascii="宋体" w:hAnsi="宋体" w:cs="宋体"/>
                <w:color w:val="000000"/>
                <w:sz w:val="18"/>
                <w:szCs w:val="18"/>
              </w:rPr>
              <w:t>0.04359</w:t>
            </w:r>
          </w:p>
        </w:tc>
        <w:tc>
          <w:tcPr>
            <w:tcW w:w="1418" w:type="dxa"/>
            <w:vMerge w:val="continue"/>
            <w:noWrap/>
          </w:tcPr>
          <w:p>
            <w:pPr>
              <w:jc w:val="center"/>
              <w:rPr>
                <w:rFonts w:ascii="宋体" w:hAnsi="宋体" w:cs="宋体"/>
                <w:color w:val="000000"/>
                <w:sz w:val="18"/>
                <w:szCs w:val="18"/>
              </w:rPr>
            </w:pPr>
          </w:p>
        </w:tc>
      </w:tr>
    </w:tbl>
    <w:p>
      <w:pPr>
        <w:pStyle w:val="8"/>
        <w:spacing w:line="360" w:lineRule="auto"/>
        <w:jc w:val="center"/>
        <w:rPr>
          <w:b/>
          <w:color w:val="444444"/>
          <w:sz w:val="18"/>
          <w:szCs w:val="18"/>
        </w:rPr>
      </w:pPr>
      <w:r>
        <w:rPr>
          <w:rFonts w:hint="eastAsia" w:cs="Arial"/>
          <w:b/>
          <w:color w:val="000000"/>
          <w:sz w:val="18"/>
          <w:szCs w:val="18"/>
        </w:rPr>
        <w:t xml:space="preserve">表4 </w:t>
      </w:r>
      <w:r>
        <w:rPr>
          <w:rFonts w:hint="eastAsia"/>
          <w:b/>
          <w:color w:val="000000"/>
          <w:sz w:val="18"/>
          <w:szCs w:val="18"/>
        </w:rPr>
        <w:t>称样</w:t>
      </w:r>
      <w:r>
        <w:rPr>
          <w:rFonts w:hint="eastAsia" w:cs="Arial"/>
          <w:b/>
          <w:color w:val="000000"/>
          <w:sz w:val="18"/>
          <w:szCs w:val="18"/>
        </w:rPr>
        <w:t>量的选择</w:t>
      </w:r>
    </w:p>
    <w:p>
      <w:pPr>
        <w:rPr>
          <w:rFonts w:ascii="宋体" w:hAnsi="宋体" w:cs="宋体"/>
          <w:color w:val="000000"/>
          <w:szCs w:val="21"/>
        </w:rPr>
      </w:pPr>
      <w:r>
        <w:rPr>
          <w:rFonts w:hint="eastAsia"/>
          <w:color w:val="000000"/>
          <w:szCs w:val="21"/>
        </w:rPr>
        <w:t xml:space="preserve">    由试验结果可以看出，改变称样量或</w:t>
      </w:r>
      <w:r>
        <w:rPr>
          <w:rFonts w:hint="eastAsia" w:ascii="宋体" w:hAnsi="宋体" w:cs="宋体"/>
          <w:color w:val="000000"/>
          <w:szCs w:val="21"/>
        </w:rPr>
        <w:t>镍箔/称样量比例，测定结果相差不明显。考虑到金属粉末称样   量太少代表性差且空白值影响相对增大，从分析功率试验可以看出钴铬钨粉末易熔融，所以选定称样量最少0.10g；镍箔/称样量比例小于0.5时不方便包裹且容易漏样，粉末样品称量多体积大不方便包裹和排气，本试验选取称样量0.10~0.30g。</w:t>
      </w:r>
    </w:p>
    <w:p>
      <w:pPr>
        <w:rPr>
          <w:rFonts w:ascii="宋体" w:hAnsi="宋体" w:cs="宋体"/>
          <w:b/>
          <w:color w:val="000000"/>
          <w:szCs w:val="21"/>
        </w:rPr>
      </w:pPr>
      <w:r>
        <w:rPr>
          <w:rFonts w:hint="eastAsia" w:ascii="宋体" w:hAnsi="宋体" w:cs="宋体"/>
          <w:b/>
          <w:color w:val="000000"/>
          <w:szCs w:val="21"/>
        </w:rPr>
        <w:t>5.4方法校准</w:t>
      </w:r>
    </w:p>
    <w:p>
      <w:pPr>
        <w:rPr>
          <w:rFonts w:ascii="宋体" w:hAnsi="宋体"/>
        </w:rPr>
      </w:pPr>
      <w:r>
        <w:rPr>
          <w:rFonts w:hint="eastAsia" w:ascii="宋体" w:hAnsi="宋体" w:cs="宋体"/>
          <w:color w:val="000000"/>
          <w:szCs w:val="21"/>
        </w:rPr>
        <w:t xml:space="preserve">    选用标准样品</w:t>
      </w:r>
      <w:r>
        <w:rPr>
          <w:rFonts w:hint="eastAsia" w:ascii="宋体" w:hAnsi="宋体"/>
        </w:rPr>
        <w:t>502-399（铁粉，O%：0.69%）校准，同时测定</w:t>
      </w:r>
      <w:r>
        <w:rPr>
          <w:rFonts w:hint="eastAsia" w:ascii="宋体" w:hAnsi="宋体" w:cs="宋体"/>
          <w:color w:val="000000"/>
          <w:szCs w:val="21"/>
        </w:rPr>
        <w:t>标准样品</w:t>
      </w:r>
      <w:r>
        <w:rPr>
          <w:rFonts w:hint="eastAsia" w:ascii="宋体" w:hAnsi="宋体"/>
        </w:rPr>
        <w:t>GSB03-2465-2008（钢，O%：0.0038%）和YSBC11930-2007（钢，O%：0.0197%），氧含量结果均在不确定度范围内。</w:t>
      </w:r>
    </w:p>
    <w:p>
      <w:pPr>
        <w:rPr>
          <w:rFonts w:ascii="宋体" w:hAnsi="宋体" w:cs="宋体"/>
          <w:b/>
          <w:color w:val="444444"/>
          <w:szCs w:val="21"/>
        </w:rPr>
      </w:pPr>
      <w:r>
        <w:rPr>
          <w:rFonts w:hint="eastAsia" w:ascii="宋体" w:hAnsi="宋体" w:cs="宋体"/>
          <w:b/>
          <w:color w:val="444444"/>
          <w:szCs w:val="21"/>
        </w:rPr>
        <w:t>5.5 方法检出限和测定下限</w:t>
      </w:r>
    </w:p>
    <w:p>
      <w:pPr>
        <w:rPr>
          <w:rFonts w:ascii="Verdana" w:hAnsi="Verdana" w:cs="宋体"/>
          <w:color w:val="444444"/>
          <w:szCs w:val="21"/>
        </w:rPr>
      </w:pPr>
      <w:r>
        <w:rPr>
          <w:rFonts w:hint="eastAsia" w:ascii="Verdana" w:hAnsi="Verdana" w:cs="宋体"/>
          <w:color w:val="444444"/>
          <w:szCs w:val="21"/>
        </w:rPr>
        <w:t xml:space="preserve">    以镍囊为助熔剂，连续测定空白值11次，考查方法测定下限。</w:t>
      </w:r>
    </w:p>
    <w:p>
      <w:pPr>
        <w:jc w:val="center"/>
        <w:rPr>
          <w:rFonts w:ascii="Verdana" w:hAnsi="Verdana" w:cs="宋体"/>
          <w:b/>
          <w:color w:val="444444"/>
          <w:sz w:val="18"/>
          <w:szCs w:val="18"/>
        </w:rPr>
      </w:pPr>
      <w:r>
        <w:rPr>
          <w:rFonts w:hint="eastAsia" w:ascii="Verdana" w:hAnsi="Verdana" w:cs="宋体"/>
          <w:b/>
          <w:color w:val="444444"/>
          <w:sz w:val="18"/>
          <w:szCs w:val="18"/>
        </w:rPr>
        <w:t>表5 检出限及测定下限试验</w:t>
      </w:r>
    </w:p>
    <w:tbl>
      <w:tblPr>
        <w:tblStyle w:val="10"/>
        <w:tblpPr w:leftFromText="180" w:rightFromText="180" w:vertAnchor="text" w:horzAnchor="page" w:tblpX="2043" w:tblpY="199"/>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368"/>
        <w:gridCol w:w="127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993" w:type="dxa"/>
            <w:noWrap/>
          </w:tcPr>
          <w:p>
            <w:pPr>
              <w:rPr>
                <w:rFonts w:ascii="Verdana" w:hAnsi="Verdana" w:cs="宋体"/>
                <w:color w:val="444444"/>
                <w:sz w:val="18"/>
                <w:szCs w:val="18"/>
              </w:rPr>
            </w:pPr>
            <w:r>
              <w:rPr>
                <w:rFonts w:hint="eastAsia" w:ascii="Verdana" w:hAnsi="Verdana" w:cs="宋体"/>
                <w:color w:val="444444"/>
                <w:sz w:val="18"/>
                <w:szCs w:val="18"/>
              </w:rPr>
              <w:t>助熔剂</w:t>
            </w:r>
          </w:p>
        </w:tc>
        <w:tc>
          <w:tcPr>
            <w:tcW w:w="3368" w:type="dxa"/>
            <w:noWrap/>
          </w:tcPr>
          <w:p>
            <w:pPr>
              <w:jc w:val="center"/>
              <w:rPr>
                <w:rFonts w:ascii="Verdana" w:hAnsi="Verdana" w:cs="宋体"/>
                <w:color w:val="444444"/>
                <w:sz w:val="18"/>
                <w:szCs w:val="18"/>
              </w:rPr>
            </w:pPr>
            <w:r>
              <w:rPr>
                <w:rFonts w:hint="eastAsia" w:ascii="Verdana" w:hAnsi="Verdana" w:cs="宋体"/>
                <w:color w:val="444444"/>
                <w:sz w:val="18"/>
                <w:szCs w:val="18"/>
              </w:rPr>
              <w:t>空白值/%</w:t>
            </w:r>
          </w:p>
        </w:tc>
        <w:tc>
          <w:tcPr>
            <w:tcW w:w="1276" w:type="dxa"/>
            <w:noWrap/>
          </w:tcPr>
          <w:p>
            <w:pPr>
              <w:jc w:val="center"/>
              <w:rPr>
                <w:rFonts w:ascii="Verdana" w:hAnsi="Verdana" w:cs="宋体"/>
                <w:color w:val="444444"/>
                <w:sz w:val="18"/>
                <w:szCs w:val="18"/>
              </w:rPr>
            </w:pPr>
            <w:r>
              <w:rPr>
                <w:rFonts w:hint="eastAsia" w:ascii="Verdana" w:hAnsi="Verdana" w:cs="宋体"/>
                <w:color w:val="444444"/>
                <w:sz w:val="18"/>
                <w:szCs w:val="18"/>
              </w:rPr>
              <w:t>平均值/%</w:t>
            </w:r>
          </w:p>
        </w:tc>
        <w:tc>
          <w:tcPr>
            <w:tcW w:w="1417" w:type="dxa"/>
            <w:noWrap/>
          </w:tcPr>
          <w:p>
            <w:pPr>
              <w:jc w:val="center"/>
              <w:rPr>
                <w:rFonts w:ascii="Verdana" w:hAnsi="Verdana" w:cs="宋体"/>
                <w:color w:val="444444"/>
                <w:sz w:val="18"/>
                <w:szCs w:val="18"/>
              </w:rPr>
            </w:pPr>
            <w:r>
              <w:rPr>
                <w:rFonts w:hint="eastAsia" w:ascii="Verdana" w:hAnsi="Verdana" w:cs="宋体"/>
                <w:color w:val="444444"/>
                <w:sz w:val="18"/>
                <w:szCs w:val="18"/>
              </w:rPr>
              <w:t>标准偏差/%</w:t>
            </w:r>
          </w:p>
        </w:tc>
        <w:tc>
          <w:tcPr>
            <w:tcW w:w="1276" w:type="dxa"/>
            <w:noWrap/>
          </w:tcPr>
          <w:p>
            <w:pPr>
              <w:jc w:val="center"/>
              <w:rPr>
                <w:rFonts w:ascii="Verdana" w:hAnsi="Verdana" w:cs="宋体"/>
                <w:color w:val="444444"/>
                <w:sz w:val="18"/>
                <w:szCs w:val="18"/>
              </w:rPr>
            </w:pPr>
            <w:r>
              <w:rPr>
                <w:rFonts w:hint="eastAsia" w:ascii="Verdana" w:hAnsi="Verdana" w:cs="宋体"/>
                <w:color w:val="444444"/>
                <w:sz w:val="18"/>
                <w:szCs w:val="18"/>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93" w:type="dxa"/>
            <w:noWrap/>
            <w:vAlign w:val="center"/>
          </w:tcPr>
          <w:p>
            <w:pPr>
              <w:jc w:val="center"/>
              <w:rPr>
                <w:rFonts w:cs="Arial"/>
                <w:color w:val="000000"/>
                <w:sz w:val="18"/>
                <w:szCs w:val="18"/>
              </w:rPr>
            </w:pPr>
            <w:r>
              <w:rPr>
                <w:rFonts w:hint="eastAsia" w:cs="Arial"/>
                <w:color w:val="000000"/>
                <w:sz w:val="18"/>
                <w:szCs w:val="18"/>
              </w:rPr>
              <w:t>镍囊</w:t>
            </w:r>
          </w:p>
        </w:tc>
        <w:tc>
          <w:tcPr>
            <w:tcW w:w="3368" w:type="dxa"/>
            <w:noWrap/>
            <w:vAlign w:val="center"/>
          </w:tcPr>
          <w:p>
            <w:pPr>
              <w:pStyle w:val="8"/>
              <w:jc w:val="center"/>
              <w:rPr>
                <w:rFonts w:hint="eastAsia" w:cs="Arial"/>
                <w:color w:val="000000"/>
                <w:sz w:val="18"/>
                <w:szCs w:val="18"/>
              </w:rPr>
            </w:pPr>
            <w:r>
              <w:rPr>
                <w:rFonts w:hint="eastAsia" w:cs="Arial"/>
                <w:color w:val="000000"/>
                <w:sz w:val="18"/>
                <w:szCs w:val="18"/>
              </w:rPr>
              <w:t xml:space="preserve">0.0003851  0.0003748 0.0002598 0.0003585 0.0004699 0.0003211  0.0003508 0.0002942 0.0003441 </w:t>
            </w:r>
          </w:p>
          <w:p>
            <w:pPr>
              <w:pStyle w:val="8"/>
              <w:jc w:val="center"/>
              <w:rPr>
                <w:rFonts w:ascii="Verdana" w:hAnsi="Verdana"/>
                <w:color w:val="444444"/>
                <w:sz w:val="18"/>
                <w:szCs w:val="18"/>
              </w:rPr>
            </w:pPr>
            <w:r>
              <w:rPr>
                <w:rFonts w:hint="eastAsia" w:cs="Arial"/>
                <w:color w:val="000000"/>
                <w:sz w:val="18"/>
                <w:szCs w:val="18"/>
              </w:rPr>
              <w:t>0.0003922 0.0004995</w:t>
            </w:r>
          </w:p>
        </w:tc>
        <w:tc>
          <w:tcPr>
            <w:tcW w:w="1276" w:type="dxa"/>
            <w:noWrap/>
            <w:vAlign w:val="center"/>
          </w:tcPr>
          <w:p>
            <w:pPr>
              <w:jc w:val="center"/>
              <w:rPr>
                <w:rFonts w:ascii="Verdana" w:hAnsi="Verdana" w:cs="宋体"/>
                <w:color w:val="444444"/>
                <w:sz w:val="18"/>
                <w:szCs w:val="18"/>
              </w:rPr>
            </w:pPr>
            <w:r>
              <w:rPr>
                <w:rFonts w:hint="eastAsia" w:ascii="Verdana" w:hAnsi="Verdana" w:cs="宋体"/>
                <w:color w:val="444444"/>
                <w:sz w:val="18"/>
                <w:szCs w:val="18"/>
              </w:rPr>
              <w:t>0.0003682</w:t>
            </w:r>
          </w:p>
        </w:tc>
        <w:tc>
          <w:tcPr>
            <w:tcW w:w="1417" w:type="dxa"/>
            <w:noWrap/>
            <w:vAlign w:val="center"/>
          </w:tcPr>
          <w:p>
            <w:pPr>
              <w:jc w:val="center"/>
              <w:rPr>
                <w:rFonts w:ascii="Verdana" w:hAnsi="Verdana" w:cs="宋体"/>
                <w:color w:val="444444"/>
                <w:sz w:val="18"/>
                <w:szCs w:val="18"/>
              </w:rPr>
            </w:pPr>
            <w:r>
              <w:rPr>
                <w:rFonts w:hint="eastAsia" w:ascii="Verdana" w:hAnsi="Verdana" w:cs="宋体"/>
                <w:color w:val="444444"/>
                <w:sz w:val="18"/>
                <w:szCs w:val="18"/>
              </w:rPr>
              <w:t>0.00006994</w:t>
            </w:r>
          </w:p>
        </w:tc>
        <w:tc>
          <w:tcPr>
            <w:tcW w:w="1276" w:type="dxa"/>
            <w:noWrap/>
            <w:vAlign w:val="center"/>
          </w:tcPr>
          <w:p>
            <w:pPr>
              <w:jc w:val="center"/>
              <w:rPr>
                <w:rFonts w:ascii="Verdana" w:hAnsi="Verdana" w:cs="宋体"/>
                <w:color w:val="000000"/>
                <w:sz w:val="18"/>
                <w:szCs w:val="18"/>
              </w:rPr>
            </w:pPr>
            <w:r>
              <w:rPr>
                <w:rFonts w:hint="eastAsia" w:ascii="Verdana" w:hAnsi="Verdana" w:cs="宋体"/>
                <w:color w:val="000000"/>
                <w:sz w:val="18"/>
                <w:szCs w:val="18"/>
              </w:rPr>
              <w:t>0.0007</w:t>
            </w:r>
          </w:p>
        </w:tc>
      </w:tr>
    </w:tbl>
    <w:p>
      <w:pPr>
        <w:spacing w:line="360" w:lineRule="auto"/>
        <w:rPr>
          <w:rFonts w:ascii="Verdana" w:hAnsi="Verdana" w:cs="宋体"/>
          <w:color w:val="444444"/>
          <w:szCs w:val="21"/>
        </w:rPr>
      </w:pPr>
      <w:r>
        <w:rPr>
          <w:rFonts w:hint="eastAsia" w:ascii="Verdana" w:hAnsi="Verdana" w:cs="宋体"/>
          <w:color w:val="444444"/>
          <w:szCs w:val="21"/>
        </w:rPr>
        <w:t xml:space="preserve">    从表5结果可知，本试验方法测定下限0.0007%能满足方法要求（0.0050%）。</w:t>
      </w:r>
    </w:p>
    <w:p>
      <w:pPr>
        <w:rPr>
          <w:rFonts w:ascii="Verdana" w:hAnsi="Verdana" w:cs="宋体"/>
          <w:b/>
          <w:color w:val="444444"/>
          <w:szCs w:val="21"/>
        </w:rPr>
      </w:pPr>
      <w:r>
        <w:rPr>
          <w:rFonts w:hint="eastAsia" w:ascii="宋体" w:hAnsi="宋体" w:cs="宋体"/>
          <w:b/>
          <w:color w:val="444444"/>
          <w:szCs w:val="21"/>
        </w:rPr>
        <w:t>5.6</w:t>
      </w:r>
      <w:r>
        <w:rPr>
          <w:rFonts w:hint="eastAsia" w:ascii="Verdana" w:hAnsi="Verdana" w:cs="宋体"/>
          <w:b/>
          <w:color w:val="444444"/>
          <w:szCs w:val="21"/>
        </w:rPr>
        <w:t>　精密度</w:t>
      </w:r>
    </w:p>
    <w:p>
      <w:pPr>
        <w:rPr>
          <w:rFonts w:ascii="Verdana" w:hAnsi="Verdana" w:cs="宋体"/>
          <w:color w:val="444444"/>
          <w:szCs w:val="21"/>
        </w:rPr>
      </w:pPr>
      <w:r>
        <w:rPr>
          <w:rFonts w:hint="eastAsia" w:ascii="Verdana" w:hAnsi="Verdana" w:cs="宋体"/>
          <w:color w:val="444444"/>
          <w:szCs w:val="21"/>
        </w:rPr>
        <w:t xml:space="preserve">    选用4个不同氧含量样品，各自连续测定11次进行精密度试验。</w:t>
      </w:r>
    </w:p>
    <w:p>
      <w:pPr>
        <w:jc w:val="center"/>
        <w:rPr>
          <w:rFonts w:ascii="宋体" w:hAnsi="宋体" w:cs="宋体"/>
          <w:b/>
          <w:color w:val="444444"/>
          <w:sz w:val="18"/>
          <w:szCs w:val="18"/>
        </w:rPr>
      </w:pPr>
      <w:r>
        <w:rPr>
          <w:rFonts w:hint="eastAsia" w:ascii="Verdana" w:hAnsi="Verdana" w:cs="宋体"/>
          <w:b/>
          <w:color w:val="444444"/>
          <w:sz w:val="18"/>
          <w:szCs w:val="18"/>
        </w:rPr>
        <w:t>表6 精密度数据</w:t>
      </w:r>
    </w:p>
    <w:tbl>
      <w:tblPr>
        <w:tblStyle w:val="10"/>
        <w:tblpPr w:leftFromText="180" w:rightFromText="180" w:vertAnchor="text" w:horzAnchor="page" w:tblpX="2068" w:tblpY="160"/>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645"/>
        <w:gridCol w:w="1063"/>
        <w:gridCol w:w="117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ign w:val="center"/>
          </w:tcPr>
          <w:p>
            <w:pPr>
              <w:jc w:val="center"/>
              <w:rPr>
                <w:rFonts w:ascii="宋体" w:hAnsi="宋体" w:cs="宋体"/>
                <w:color w:val="444444"/>
                <w:sz w:val="18"/>
                <w:szCs w:val="18"/>
              </w:rPr>
            </w:pPr>
            <w:r>
              <w:rPr>
                <w:rFonts w:hint="eastAsia" w:ascii="宋体" w:hAnsi="宋体" w:cs="宋体"/>
                <w:color w:val="444444"/>
                <w:sz w:val="18"/>
                <w:szCs w:val="18"/>
              </w:rPr>
              <w:t>试样</w:t>
            </w:r>
          </w:p>
        </w:tc>
        <w:tc>
          <w:tcPr>
            <w:tcW w:w="4645" w:type="dxa"/>
            <w:noWrap/>
            <w:vAlign w:val="center"/>
          </w:tcPr>
          <w:p>
            <w:pPr>
              <w:jc w:val="center"/>
              <w:rPr>
                <w:rFonts w:ascii="宋体" w:hAnsi="宋体" w:cs="宋体"/>
                <w:color w:val="444444"/>
                <w:sz w:val="18"/>
                <w:szCs w:val="18"/>
              </w:rPr>
            </w:pPr>
            <w:r>
              <w:rPr>
                <w:rFonts w:hint="eastAsia" w:ascii="宋体" w:hAnsi="宋体" w:cs="宋体"/>
                <w:color w:val="444444"/>
                <w:sz w:val="18"/>
                <w:szCs w:val="18"/>
              </w:rPr>
              <w:t>测定值/%</w:t>
            </w:r>
          </w:p>
        </w:tc>
        <w:tc>
          <w:tcPr>
            <w:tcW w:w="1063" w:type="dxa"/>
            <w:noWrap/>
            <w:vAlign w:val="center"/>
          </w:tcPr>
          <w:p>
            <w:pPr>
              <w:jc w:val="center"/>
              <w:rPr>
                <w:rFonts w:ascii="宋体" w:hAnsi="宋体" w:cs="宋体"/>
                <w:color w:val="444444"/>
                <w:sz w:val="18"/>
                <w:szCs w:val="18"/>
              </w:rPr>
            </w:pPr>
            <w:r>
              <w:rPr>
                <w:rFonts w:hint="eastAsia" w:ascii="宋体" w:hAnsi="宋体" w:cs="宋体"/>
                <w:color w:val="444444"/>
                <w:sz w:val="18"/>
                <w:szCs w:val="18"/>
              </w:rPr>
              <w:t>平均值/%</w:t>
            </w:r>
          </w:p>
        </w:tc>
        <w:tc>
          <w:tcPr>
            <w:tcW w:w="1172" w:type="dxa"/>
            <w:noWrap/>
            <w:vAlign w:val="center"/>
          </w:tcPr>
          <w:p>
            <w:pPr>
              <w:jc w:val="center"/>
              <w:rPr>
                <w:rFonts w:ascii="宋体" w:hAnsi="宋体" w:cs="宋体"/>
                <w:color w:val="444444"/>
                <w:sz w:val="18"/>
                <w:szCs w:val="18"/>
              </w:rPr>
            </w:pPr>
            <w:r>
              <w:rPr>
                <w:rFonts w:hint="eastAsia" w:ascii="宋体" w:hAnsi="宋体" w:cs="宋体"/>
                <w:color w:val="444444"/>
                <w:sz w:val="18"/>
                <w:szCs w:val="18"/>
              </w:rPr>
              <w:t>标准偏差</w:t>
            </w:r>
          </w:p>
        </w:tc>
        <w:tc>
          <w:tcPr>
            <w:tcW w:w="873" w:type="dxa"/>
            <w:noWrap/>
            <w:vAlign w:val="center"/>
          </w:tcPr>
          <w:p>
            <w:pPr>
              <w:jc w:val="center"/>
              <w:rPr>
                <w:rFonts w:ascii="宋体" w:hAnsi="宋体" w:cs="宋体"/>
                <w:color w:val="444444"/>
                <w:sz w:val="18"/>
                <w:szCs w:val="18"/>
              </w:rPr>
            </w:pPr>
            <w:r>
              <w:rPr>
                <w:rFonts w:hint="eastAsia" w:ascii="宋体" w:hAnsi="宋体" w:cs="宋体"/>
                <w:color w:val="444444"/>
                <w:sz w:val="18"/>
                <w:szCs w:val="18"/>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884" w:type="dxa"/>
            <w:noWrap/>
            <w:vAlign w:val="center"/>
          </w:tcPr>
          <w:p>
            <w:pPr>
              <w:ind w:left="54" w:leftChars="-79" w:hanging="220" w:hangingChars="69"/>
              <w:jc w:val="center"/>
              <w:rPr>
                <w:color w:val="444444"/>
                <w:sz w:val="32"/>
                <w:szCs w:val="32"/>
                <w:vertAlign w:val="subscript"/>
              </w:rPr>
            </w:pPr>
            <w:r>
              <w:rPr>
                <w:color w:val="444444"/>
                <w:sz w:val="32"/>
                <w:szCs w:val="32"/>
                <w:vertAlign w:val="subscript"/>
              </w:rPr>
              <w:t>1#</w:t>
            </w:r>
          </w:p>
        </w:tc>
        <w:tc>
          <w:tcPr>
            <w:tcW w:w="4645" w:type="dxa"/>
            <w:noWrap/>
          </w:tcPr>
          <w:p>
            <w:pPr>
              <w:rPr>
                <w:color w:val="444444"/>
                <w:szCs w:val="21"/>
              </w:rPr>
            </w:pPr>
            <w:r>
              <w:rPr>
                <w:color w:val="444444"/>
                <w:szCs w:val="21"/>
              </w:rPr>
              <w:t>0.01111 0.01114 0.00980 0.00</w:t>
            </w:r>
            <w:r>
              <w:rPr>
                <w:rFonts w:hint="eastAsia"/>
                <w:color w:val="444444"/>
                <w:szCs w:val="21"/>
              </w:rPr>
              <w:t>9</w:t>
            </w:r>
            <w:r>
              <w:rPr>
                <w:color w:val="444444"/>
                <w:szCs w:val="21"/>
              </w:rPr>
              <w:t>83 0.01083 0.01100 0.01318 0.00</w:t>
            </w:r>
            <w:r>
              <w:rPr>
                <w:rFonts w:hint="eastAsia"/>
                <w:color w:val="444444"/>
                <w:szCs w:val="21"/>
              </w:rPr>
              <w:t>9</w:t>
            </w:r>
            <w:r>
              <w:rPr>
                <w:color w:val="444444"/>
                <w:szCs w:val="21"/>
              </w:rPr>
              <w:t>82 0.01032 0.01045 0.00986</w:t>
            </w:r>
          </w:p>
        </w:tc>
        <w:tc>
          <w:tcPr>
            <w:tcW w:w="1063" w:type="dxa"/>
            <w:noWrap/>
            <w:vAlign w:val="center"/>
          </w:tcPr>
          <w:p>
            <w:pPr>
              <w:jc w:val="center"/>
              <w:rPr>
                <w:color w:val="444444"/>
                <w:szCs w:val="21"/>
              </w:rPr>
            </w:pPr>
            <w:r>
              <w:rPr>
                <w:color w:val="444444"/>
                <w:szCs w:val="21"/>
              </w:rPr>
              <w:t>0.010</w:t>
            </w:r>
            <w:r>
              <w:rPr>
                <w:rFonts w:hint="eastAsia"/>
                <w:color w:val="444444"/>
                <w:szCs w:val="21"/>
              </w:rPr>
              <w:t>67</w:t>
            </w:r>
          </w:p>
        </w:tc>
        <w:tc>
          <w:tcPr>
            <w:tcW w:w="1172" w:type="dxa"/>
            <w:noWrap/>
            <w:vAlign w:val="center"/>
          </w:tcPr>
          <w:p>
            <w:pPr>
              <w:jc w:val="center"/>
              <w:rPr>
                <w:color w:val="444444"/>
                <w:szCs w:val="21"/>
              </w:rPr>
            </w:pPr>
            <w:r>
              <w:rPr>
                <w:color w:val="444444"/>
                <w:szCs w:val="21"/>
              </w:rPr>
              <w:t>0.00</w:t>
            </w:r>
            <w:r>
              <w:rPr>
                <w:rFonts w:hint="eastAsia"/>
                <w:color w:val="444444"/>
                <w:szCs w:val="21"/>
              </w:rPr>
              <w:t>0993</w:t>
            </w:r>
          </w:p>
        </w:tc>
        <w:tc>
          <w:tcPr>
            <w:tcW w:w="873" w:type="dxa"/>
            <w:noWrap/>
            <w:vAlign w:val="center"/>
          </w:tcPr>
          <w:p>
            <w:pPr>
              <w:jc w:val="center"/>
              <w:rPr>
                <w:color w:val="444444"/>
                <w:szCs w:val="21"/>
              </w:rPr>
            </w:pPr>
            <w:r>
              <w:rPr>
                <w:rFonts w:hint="eastAsia"/>
                <w:color w:val="444444"/>
                <w:szCs w:val="21"/>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884" w:type="dxa"/>
            <w:noWrap/>
            <w:vAlign w:val="center"/>
          </w:tcPr>
          <w:p>
            <w:pPr>
              <w:ind w:firstLine="160" w:firstLineChars="50"/>
              <w:rPr>
                <w:color w:val="444444"/>
                <w:sz w:val="32"/>
                <w:szCs w:val="32"/>
                <w:vertAlign w:val="subscript"/>
              </w:rPr>
            </w:pPr>
            <w:r>
              <w:rPr>
                <w:color w:val="444444"/>
                <w:sz w:val="32"/>
                <w:szCs w:val="32"/>
                <w:vertAlign w:val="subscript"/>
              </w:rPr>
              <w:t>2#</w:t>
            </w:r>
          </w:p>
        </w:tc>
        <w:tc>
          <w:tcPr>
            <w:tcW w:w="4645" w:type="dxa"/>
            <w:noWrap/>
          </w:tcPr>
          <w:p>
            <w:pPr>
              <w:rPr>
                <w:color w:val="444444"/>
                <w:szCs w:val="21"/>
              </w:rPr>
            </w:pPr>
            <w:r>
              <w:rPr>
                <w:color w:val="444444"/>
                <w:szCs w:val="21"/>
              </w:rPr>
              <w:t>0.04276 0.04005 0.04331 0.04278 0.04235 0.04386 0.04287 0.04285 0.04140 0.04285 0.04215</w:t>
            </w:r>
          </w:p>
        </w:tc>
        <w:tc>
          <w:tcPr>
            <w:tcW w:w="1063" w:type="dxa"/>
            <w:noWrap/>
            <w:vAlign w:val="center"/>
          </w:tcPr>
          <w:p>
            <w:pPr>
              <w:rPr>
                <w:color w:val="444444"/>
                <w:szCs w:val="21"/>
              </w:rPr>
            </w:pPr>
            <w:r>
              <w:rPr>
                <w:color w:val="444444"/>
                <w:szCs w:val="21"/>
              </w:rPr>
              <w:t>0.04250</w:t>
            </w:r>
          </w:p>
        </w:tc>
        <w:tc>
          <w:tcPr>
            <w:tcW w:w="1172" w:type="dxa"/>
            <w:noWrap/>
            <w:vAlign w:val="center"/>
          </w:tcPr>
          <w:p>
            <w:pPr>
              <w:jc w:val="center"/>
              <w:rPr>
                <w:color w:val="444444"/>
                <w:szCs w:val="21"/>
              </w:rPr>
            </w:pPr>
            <w:r>
              <w:rPr>
                <w:color w:val="444444"/>
                <w:szCs w:val="21"/>
              </w:rPr>
              <w:t>0.001019</w:t>
            </w:r>
          </w:p>
        </w:tc>
        <w:tc>
          <w:tcPr>
            <w:tcW w:w="873" w:type="dxa"/>
            <w:noWrap/>
            <w:vAlign w:val="center"/>
          </w:tcPr>
          <w:p>
            <w:pPr>
              <w:jc w:val="center"/>
              <w:rPr>
                <w:color w:val="444444"/>
                <w:szCs w:val="21"/>
              </w:rPr>
            </w:pPr>
            <w:r>
              <w:rPr>
                <w:color w:val="444444"/>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84" w:type="dxa"/>
            <w:noWrap/>
            <w:vAlign w:val="center"/>
          </w:tcPr>
          <w:p>
            <w:pPr>
              <w:ind w:left="54" w:leftChars="-79" w:hanging="220" w:hangingChars="69"/>
              <w:jc w:val="center"/>
              <w:rPr>
                <w:color w:val="444444"/>
                <w:sz w:val="32"/>
                <w:szCs w:val="32"/>
                <w:vertAlign w:val="subscript"/>
              </w:rPr>
            </w:pPr>
            <w:r>
              <w:rPr>
                <w:color w:val="444444"/>
                <w:sz w:val="32"/>
                <w:szCs w:val="32"/>
                <w:vertAlign w:val="subscript"/>
              </w:rPr>
              <w:t>3#</w:t>
            </w:r>
          </w:p>
        </w:tc>
        <w:tc>
          <w:tcPr>
            <w:tcW w:w="4645" w:type="dxa"/>
            <w:noWrap/>
          </w:tcPr>
          <w:p>
            <w:pPr>
              <w:jc w:val="left"/>
              <w:rPr>
                <w:color w:val="444444"/>
                <w:szCs w:val="21"/>
              </w:rPr>
            </w:pPr>
            <w:r>
              <w:rPr>
                <w:color w:val="444444"/>
                <w:szCs w:val="21"/>
              </w:rPr>
              <w:t>0.2258  0.2143  0.2164  0.2139  0.2090 0.2146  0.2130  0.2113  0.2084  0.2167 0.2166</w:t>
            </w:r>
          </w:p>
        </w:tc>
        <w:tc>
          <w:tcPr>
            <w:tcW w:w="1063" w:type="dxa"/>
            <w:noWrap/>
            <w:vAlign w:val="center"/>
          </w:tcPr>
          <w:p>
            <w:pPr>
              <w:jc w:val="center"/>
              <w:rPr>
                <w:color w:val="000000"/>
                <w:szCs w:val="21"/>
              </w:rPr>
            </w:pPr>
            <w:r>
              <w:rPr>
                <w:color w:val="000000"/>
                <w:szCs w:val="21"/>
              </w:rPr>
              <w:t>0.2145</w:t>
            </w:r>
          </w:p>
        </w:tc>
        <w:tc>
          <w:tcPr>
            <w:tcW w:w="1172" w:type="dxa"/>
            <w:noWrap/>
            <w:vAlign w:val="center"/>
          </w:tcPr>
          <w:p>
            <w:pPr>
              <w:jc w:val="center"/>
              <w:rPr>
                <w:color w:val="000000"/>
                <w:szCs w:val="21"/>
              </w:rPr>
            </w:pPr>
            <w:r>
              <w:rPr>
                <w:color w:val="000000"/>
                <w:szCs w:val="21"/>
              </w:rPr>
              <w:t>0.00470</w:t>
            </w:r>
          </w:p>
        </w:tc>
        <w:tc>
          <w:tcPr>
            <w:tcW w:w="873" w:type="dxa"/>
            <w:noWrap/>
            <w:vAlign w:val="center"/>
          </w:tcPr>
          <w:p>
            <w:pPr>
              <w:jc w:val="center"/>
              <w:rPr>
                <w:color w:val="000000"/>
                <w:szCs w:val="21"/>
              </w:rPr>
            </w:pPr>
            <w:r>
              <w:rPr>
                <w:color w:val="00000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884" w:type="dxa"/>
            <w:noWrap/>
            <w:vAlign w:val="center"/>
          </w:tcPr>
          <w:p>
            <w:pPr>
              <w:ind w:left="54" w:leftChars="-79" w:hanging="220" w:hangingChars="69"/>
              <w:jc w:val="center"/>
              <w:rPr>
                <w:color w:val="444444"/>
                <w:sz w:val="32"/>
                <w:szCs w:val="32"/>
                <w:vertAlign w:val="subscript"/>
              </w:rPr>
            </w:pPr>
            <w:r>
              <w:rPr>
                <w:color w:val="444444"/>
                <w:sz w:val="32"/>
                <w:szCs w:val="32"/>
                <w:vertAlign w:val="subscript"/>
              </w:rPr>
              <w:t>4#</w:t>
            </w:r>
          </w:p>
        </w:tc>
        <w:tc>
          <w:tcPr>
            <w:tcW w:w="4645" w:type="dxa"/>
            <w:noWrap/>
          </w:tcPr>
          <w:p>
            <w:pPr>
              <w:rPr>
                <w:color w:val="000000"/>
                <w:szCs w:val="21"/>
              </w:rPr>
            </w:pPr>
            <w:r>
              <w:rPr>
                <w:color w:val="000000"/>
                <w:szCs w:val="21"/>
              </w:rPr>
              <w:t xml:space="preserve">0.4486 0.4557 0.4630 0.4527 0.4515 0.4528 </w:t>
            </w:r>
          </w:p>
          <w:p>
            <w:pPr>
              <w:rPr>
                <w:color w:val="000000"/>
                <w:szCs w:val="21"/>
              </w:rPr>
            </w:pPr>
            <w:r>
              <w:rPr>
                <w:color w:val="000000"/>
                <w:szCs w:val="21"/>
              </w:rPr>
              <w:t>0.4547 0.4589 0.4600 0.45870.4602</w:t>
            </w:r>
          </w:p>
        </w:tc>
        <w:tc>
          <w:tcPr>
            <w:tcW w:w="1063" w:type="dxa"/>
            <w:noWrap/>
            <w:vAlign w:val="center"/>
          </w:tcPr>
          <w:p>
            <w:pPr>
              <w:jc w:val="center"/>
              <w:rPr>
                <w:color w:val="000000"/>
                <w:szCs w:val="21"/>
              </w:rPr>
            </w:pPr>
            <w:r>
              <w:rPr>
                <w:color w:val="000000"/>
                <w:szCs w:val="21"/>
              </w:rPr>
              <w:t>0.4561</w:t>
            </w:r>
          </w:p>
        </w:tc>
        <w:tc>
          <w:tcPr>
            <w:tcW w:w="1172" w:type="dxa"/>
            <w:noWrap/>
            <w:vAlign w:val="center"/>
          </w:tcPr>
          <w:p>
            <w:pPr>
              <w:jc w:val="center"/>
              <w:rPr>
                <w:color w:val="000000"/>
                <w:szCs w:val="21"/>
              </w:rPr>
            </w:pPr>
            <w:r>
              <w:rPr>
                <w:color w:val="000000"/>
                <w:szCs w:val="21"/>
              </w:rPr>
              <w:t>0.00443</w:t>
            </w:r>
          </w:p>
        </w:tc>
        <w:tc>
          <w:tcPr>
            <w:tcW w:w="873" w:type="dxa"/>
            <w:noWrap/>
            <w:vAlign w:val="center"/>
          </w:tcPr>
          <w:p>
            <w:pPr>
              <w:jc w:val="center"/>
              <w:rPr>
                <w:color w:val="000000"/>
                <w:szCs w:val="21"/>
              </w:rPr>
            </w:pPr>
            <w:r>
              <w:rPr>
                <w:color w:val="000000"/>
                <w:szCs w:val="21"/>
              </w:rPr>
              <w:t>0.98</w:t>
            </w:r>
          </w:p>
        </w:tc>
      </w:tr>
    </w:tbl>
    <w:p>
      <w:pPr>
        <w:rPr>
          <w:rFonts w:ascii="宋体" w:hAnsi="宋体" w:cs="宋体"/>
          <w:b/>
          <w:color w:val="444444"/>
          <w:szCs w:val="21"/>
        </w:rPr>
      </w:pPr>
    </w:p>
    <w:p>
      <w:pPr>
        <w:rPr>
          <w:rFonts w:ascii="宋体" w:hAnsi="宋体" w:cs="宋体"/>
          <w:b/>
          <w:szCs w:val="21"/>
        </w:rPr>
      </w:pPr>
      <w:r>
        <w:rPr>
          <w:rFonts w:hint="eastAsia" w:ascii="宋体" w:hAnsi="宋体" w:cs="宋体"/>
          <w:b/>
          <w:szCs w:val="21"/>
        </w:rPr>
        <w:t>5.7 加标回收</w:t>
      </w:r>
    </w:p>
    <w:p>
      <w:pPr>
        <w:ind w:firstLine="420"/>
      </w:pPr>
      <w:r>
        <w:rPr>
          <w:rFonts w:hint="eastAsia"/>
        </w:rPr>
        <w:t>按照试验方法，在2#、3# 样品中加入标准样品（502-399）进行回收试验，结果见表7。</w:t>
      </w:r>
    </w:p>
    <w:p>
      <w:pPr>
        <w:jc w:val="center"/>
        <w:rPr>
          <w:rFonts w:ascii="宋体" w:hAnsi="宋体" w:cs="宋体"/>
          <w:b/>
          <w:sz w:val="18"/>
          <w:szCs w:val="18"/>
        </w:rPr>
      </w:pPr>
      <w:r>
        <w:rPr>
          <w:rFonts w:hint="eastAsia" w:ascii="Verdana" w:hAnsi="Verdana" w:cs="宋体"/>
          <w:b/>
          <w:sz w:val="18"/>
          <w:szCs w:val="18"/>
        </w:rPr>
        <w:t>表7 加标回收试验</w:t>
      </w:r>
    </w:p>
    <w:tbl>
      <w:tblPr>
        <w:tblStyle w:val="10"/>
        <w:tblpPr w:leftFromText="180" w:rightFromText="180" w:vertAnchor="text" w:horzAnchor="margin" w:tblpX="324" w:tblpY="149"/>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276"/>
        <w:gridCol w:w="1134"/>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5" w:type="dxa"/>
            <w:noWrap/>
            <w:vAlign w:val="center"/>
          </w:tcPr>
          <w:p>
            <w:pPr>
              <w:jc w:val="center"/>
              <w:rPr>
                <w:sz w:val="18"/>
                <w:szCs w:val="18"/>
              </w:rPr>
            </w:pPr>
            <w:r>
              <w:rPr>
                <w:rFonts w:hint="eastAsia"/>
                <w:sz w:val="18"/>
                <w:szCs w:val="18"/>
              </w:rPr>
              <w:t>样品</w:t>
            </w:r>
          </w:p>
        </w:tc>
        <w:tc>
          <w:tcPr>
            <w:tcW w:w="1134" w:type="dxa"/>
            <w:noWrap/>
            <w:vAlign w:val="center"/>
          </w:tcPr>
          <w:p>
            <w:pPr>
              <w:jc w:val="center"/>
              <w:rPr>
                <w:sz w:val="18"/>
                <w:szCs w:val="18"/>
              </w:rPr>
            </w:pPr>
            <w:r>
              <w:rPr>
                <w:rFonts w:hint="eastAsia"/>
                <w:sz w:val="18"/>
                <w:szCs w:val="18"/>
              </w:rPr>
              <w:t>样品氧含量/%</w:t>
            </w:r>
          </w:p>
        </w:tc>
        <w:tc>
          <w:tcPr>
            <w:tcW w:w="1276" w:type="dxa"/>
            <w:noWrap/>
            <w:vAlign w:val="center"/>
          </w:tcPr>
          <w:p>
            <w:pPr>
              <w:jc w:val="center"/>
            </w:pPr>
            <w:r>
              <w:rPr>
                <w:rFonts w:hint="eastAsia"/>
              </w:rPr>
              <w:t>加入标准样品质量/g</w:t>
            </w:r>
          </w:p>
        </w:tc>
        <w:tc>
          <w:tcPr>
            <w:tcW w:w="1134" w:type="dxa"/>
            <w:noWrap/>
            <w:vAlign w:val="center"/>
          </w:tcPr>
          <w:p>
            <w:pPr>
              <w:jc w:val="center"/>
              <w:rPr>
                <w:sz w:val="18"/>
                <w:szCs w:val="18"/>
              </w:rPr>
            </w:pPr>
            <w:r>
              <w:rPr>
                <w:rFonts w:hint="eastAsia"/>
                <w:sz w:val="18"/>
                <w:szCs w:val="18"/>
              </w:rPr>
              <w:t>加入氧量/ug</w:t>
            </w:r>
          </w:p>
        </w:tc>
        <w:tc>
          <w:tcPr>
            <w:tcW w:w="1134" w:type="dxa"/>
            <w:noWrap/>
            <w:vAlign w:val="center"/>
          </w:tcPr>
          <w:p>
            <w:pPr>
              <w:jc w:val="center"/>
              <w:rPr>
                <w:sz w:val="18"/>
                <w:szCs w:val="18"/>
              </w:rPr>
            </w:pPr>
            <w:r>
              <w:rPr>
                <w:rFonts w:hint="eastAsia"/>
                <w:sz w:val="18"/>
                <w:szCs w:val="18"/>
              </w:rPr>
              <w:t>测得总氧</w:t>
            </w:r>
          </w:p>
          <w:p>
            <w:pPr>
              <w:jc w:val="center"/>
              <w:rPr>
                <w:sz w:val="18"/>
                <w:szCs w:val="18"/>
              </w:rPr>
            </w:pPr>
            <w:r>
              <w:rPr>
                <w:rFonts w:hint="eastAsia"/>
                <w:sz w:val="18"/>
                <w:szCs w:val="18"/>
              </w:rPr>
              <w:t>/ug</w:t>
            </w:r>
          </w:p>
        </w:tc>
        <w:tc>
          <w:tcPr>
            <w:tcW w:w="1134" w:type="dxa"/>
            <w:noWrap/>
            <w:vAlign w:val="center"/>
          </w:tcPr>
          <w:p>
            <w:pPr>
              <w:jc w:val="center"/>
              <w:rPr>
                <w:sz w:val="18"/>
                <w:szCs w:val="18"/>
              </w:rPr>
            </w:pPr>
            <w:r>
              <w:rPr>
                <w:rFonts w:hint="eastAsia"/>
                <w:sz w:val="18"/>
                <w:szCs w:val="18"/>
              </w:rPr>
              <w:t>样品氧含量/ug</w:t>
            </w:r>
          </w:p>
        </w:tc>
        <w:tc>
          <w:tcPr>
            <w:tcW w:w="1134" w:type="dxa"/>
            <w:noWrap/>
            <w:vAlign w:val="center"/>
          </w:tcPr>
          <w:p>
            <w:pPr>
              <w:jc w:val="center"/>
              <w:rPr>
                <w:sz w:val="18"/>
                <w:szCs w:val="18"/>
              </w:rPr>
            </w:pPr>
            <w:r>
              <w:rPr>
                <w:rFonts w:hint="eastAsia"/>
                <w:sz w:val="18"/>
                <w:szCs w:val="18"/>
              </w:rPr>
              <w:t>回收氧量</w:t>
            </w:r>
          </w:p>
          <w:p>
            <w:pPr>
              <w:jc w:val="center"/>
              <w:rPr>
                <w:sz w:val="18"/>
                <w:szCs w:val="18"/>
              </w:rPr>
            </w:pPr>
            <w:r>
              <w:rPr>
                <w:rFonts w:hint="eastAsia"/>
                <w:sz w:val="18"/>
                <w:szCs w:val="18"/>
              </w:rPr>
              <w:t>/ug</w:t>
            </w:r>
          </w:p>
        </w:tc>
        <w:tc>
          <w:tcPr>
            <w:tcW w:w="992" w:type="dxa"/>
            <w:noWrap/>
            <w:vAlign w:val="center"/>
          </w:tcPr>
          <w:p>
            <w:pPr>
              <w:jc w:val="center"/>
              <w:rPr>
                <w:sz w:val="18"/>
                <w:szCs w:val="18"/>
              </w:rPr>
            </w:pPr>
            <w:r>
              <w:rPr>
                <w:rFonts w:hint="eastAsia"/>
                <w:sz w:val="18"/>
                <w:szCs w:val="18"/>
              </w:rPr>
              <w:t>回收率</w:t>
            </w:r>
          </w:p>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ign w:val="center"/>
          </w:tcPr>
          <w:p>
            <w:pPr>
              <w:jc w:val="center"/>
              <w:rPr>
                <w:sz w:val="32"/>
                <w:szCs w:val="32"/>
              </w:rPr>
            </w:pPr>
            <w:r>
              <w:rPr>
                <w:color w:val="444444"/>
                <w:sz w:val="32"/>
                <w:szCs w:val="32"/>
                <w:vertAlign w:val="subscript"/>
              </w:rPr>
              <w:t>2#</w:t>
            </w:r>
          </w:p>
        </w:tc>
        <w:tc>
          <w:tcPr>
            <w:tcW w:w="1134" w:type="dxa"/>
            <w:vMerge w:val="restart"/>
            <w:noWrap/>
            <w:vAlign w:val="center"/>
          </w:tcPr>
          <w:p>
            <w:r>
              <w:rPr>
                <w:color w:val="444444"/>
                <w:sz w:val="18"/>
                <w:szCs w:val="18"/>
              </w:rPr>
              <w:t>0.04250</w:t>
            </w:r>
          </w:p>
        </w:tc>
        <w:tc>
          <w:tcPr>
            <w:tcW w:w="1276" w:type="dxa"/>
            <w:noWrap/>
            <w:vAlign w:val="center"/>
          </w:tcPr>
          <w:p>
            <w:pPr>
              <w:jc w:val="center"/>
            </w:pPr>
            <w:r>
              <w:t>0.0027</w:t>
            </w:r>
          </w:p>
        </w:tc>
        <w:tc>
          <w:tcPr>
            <w:tcW w:w="1134" w:type="dxa"/>
            <w:noWrap/>
            <w:vAlign w:val="center"/>
          </w:tcPr>
          <w:p>
            <w:pPr>
              <w:jc w:val="center"/>
            </w:pPr>
            <w:r>
              <w:t>18.63</w:t>
            </w:r>
          </w:p>
        </w:tc>
        <w:tc>
          <w:tcPr>
            <w:tcW w:w="1134" w:type="dxa"/>
            <w:noWrap/>
            <w:vAlign w:val="center"/>
          </w:tcPr>
          <w:p>
            <w:pPr>
              <w:jc w:val="center"/>
            </w:pPr>
            <w:r>
              <w:t>84.02</w:t>
            </w:r>
          </w:p>
        </w:tc>
        <w:tc>
          <w:tcPr>
            <w:tcW w:w="1134" w:type="dxa"/>
            <w:noWrap/>
            <w:vAlign w:val="center"/>
          </w:tcPr>
          <w:p>
            <w:pPr>
              <w:jc w:val="center"/>
            </w:pPr>
            <w:r>
              <w:rPr>
                <w:rFonts w:hint="eastAsia"/>
              </w:rPr>
              <w:t>63.96</w:t>
            </w:r>
          </w:p>
        </w:tc>
        <w:tc>
          <w:tcPr>
            <w:tcW w:w="1134" w:type="dxa"/>
            <w:noWrap/>
            <w:vAlign w:val="center"/>
          </w:tcPr>
          <w:p>
            <w:pPr>
              <w:jc w:val="center"/>
            </w:pPr>
            <w:r>
              <w:rPr>
                <w:rFonts w:hint="eastAsia"/>
              </w:rPr>
              <w:t>20.06</w:t>
            </w:r>
          </w:p>
        </w:tc>
        <w:tc>
          <w:tcPr>
            <w:tcW w:w="992" w:type="dxa"/>
            <w:noWrap/>
            <w:vAlign w:val="center"/>
          </w:tcPr>
          <w:p>
            <w:pPr>
              <w:jc w:val="center"/>
            </w:pPr>
            <w:r>
              <w:rPr>
                <w:rFonts w:hint="eastAsia"/>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noWrap/>
            <w:vAlign w:val="center"/>
          </w:tcPr>
          <w:p>
            <w:pPr>
              <w:jc w:val="center"/>
              <w:rPr>
                <w:sz w:val="32"/>
                <w:szCs w:val="32"/>
              </w:rPr>
            </w:pPr>
          </w:p>
        </w:tc>
        <w:tc>
          <w:tcPr>
            <w:tcW w:w="1134" w:type="dxa"/>
            <w:vMerge w:val="continue"/>
            <w:noWrap/>
            <w:vAlign w:val="center"/>
          </w:tcPr>
          <w:p>
            <w:pPr>
              <w:jc w:val="center"/>
            </w:pPr>
          </w:p>
        </w:tc>
        <w:tc>
          <w:tcPr>
            <w:tcW w:w="1276" w:type="dxa"/>
            <w:noWrap/>
            <w:vAlign w:val="center"/>
          </w:tcPr>
          <w:p>
            <w:pPr>
              <w:jc w:val="center"/>
            </w:pPr>
            <w:r>
              <w:t>0.0090</w:t>
            </w:r>
          </w:p>
        </w:tc>
        <w:tc>
          <w:tcPr>
            <w:tcW w:w="1134" w:type="dxa"/>
            <w:noWrap/>
            <w:vAlign w:val="center"/>
          </w:tcPr>
          <w:p>
            <w:pPr>
              <w:jc w:val="center"/>
            </w:pPr>
            <w:r>
              <w:t>62.10</w:t>
            </w:r>
          </w:p>
        </w:tc>
        <w:tc>
          <w:tcPr>
            <w:tcW w:w="1134" w:type="dxa"/>
            <w:noWrap/>
            <w:vAlign w:val="center"/>
          </w:tcPr>
          <w:p>
            <w:pPr>
              <w:jc w:val="center"/>
            </w:pPr>
            <w:r>
              <w:t>112.46</w:t>
            </w:r>
          </w:p>
        </w:tc>
        <w:tc>
          <w:tcPr>
            <w:tcW w:w="1134" w:type="dxa"/>
            <w:noWrap/>
            <w:vAlign w:val="center"/>
          </w:tcPr>
          <w:p>
            <w:pPr>
              <w:jc w:val="center"/>
            </w:pPr>
            <w:r>
              <w:rPr>
                <w:rFonts w:hint="eastAsia"/>
              </w:rPr>
              <w:t>50.70</w:t>
            </w:r>
          </w:p>
        </w:tc>
        <w:tc>
          <w:tcPr>
            <w:tcW w:w="1134" w:type="dxa"/>
            <w:noWrap/>
            <w:vAlign w:val="center"/>
          </w:tcPr>
          <w:p>
            <w:pPr>
              <w:jc w:val="center"/>
            </w:pPr>
            <w:r>
              <w:rPr>
                <w:rFonts w:hint="eastAsia"/>
              </w:rPr>
              <w:t>61.76</w:t>
            </w:r>
          </w:p>
        </w:tc>
        <w:tc>
          <w:tcPr>
            <w:tcW w:w="992" w:type="dxa"/>
            <w:noWrap/>
            <w:vAlign w:val="center"/>
          </w:tcPr>
          <w:p>
            <w:pPr>
              <w:jc w:val="center"/>
            </w:pPr>
            <w:r>
              <w:rPr>
                <w:rFonts w:hint="eastAsia"/>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continue"/>
            <w:noWrap/>
            <w:vAlign w:val="center"/>
          </w:tcPr>
          <w:p>
            <w:pPr>
              <w:jc w:val="center"/>
              <w:rPr>
                <w:sz w:val="32"/>
                <w:szCs w:val="32"/>
              </w:rPr>
            </w:pPr>
          </w:p>
        </w:tc>
        <w:tc>
          <w:tcPr>
            <w:tcW w:w="1134" w:type="dxa"/>
            <w:vMerge w:val="continue"/>
            <w:noWrap/>
            <w:vAlign w:val="center"/>
          </w:tcPr>
          <w:p>
            <w:pPr>
              <w:jc w:val="center"/>
            </w:pPr>
          </w:p>
        </w:tc>
        <w:tc>
          <w:tcPr>
            <w:tcW w:w="1276" w:type="dxa"/>
            <w:noWrap/>
            <w:vAlign w:val="center"/>
          </w:tcPr>
          <w:p>
            <w:pPr>
              <w:jc w:val="center"/>
            </w:pPr>
            <w:r>
              <w:t>0.0217</w:t>
            </w:r>
          </w:p>
        </w:tc>
        <w:tc>
          <w:tcPr>
            <w:tcW w:w="1134" w:type="dxa"/>
            <w:noWrap/>
            <w:vAlign w:val="center"/>
          </w:tcPr>
          <w:p>
            <w:pPr>
              <w:jc w:val="center"/>
            </w:pPr>
            <w:r>
              <w:t>149.73</w:t>
            </w:r>
          </w:p>
        </w:tc>
        <w:tc>
          <w:tcPr>
            <w:tcW w:w="1134" w:type="dxa"/>
            <w:noWrap/>
            <w:vAlign w:val="center"/>
          </w:tcPr>
          <w:p>
            <w:pPr>
              <w:jc w:val="center"/>
            </w:pPr>
            <w:r>
              <w:t>190.29</w:t>
            </w:r>
          </w:p>
        </w:tc>
        <w:tc>
          <w:tcPr>
            <w:tcW w:w="1134" w:type="dxa"/>
            <w:noWrap/>
            <w:vAlign w:val="center"/>
          </w:tcPr>
          <w:p>
            <w:pPr>
              <w:jc w:val="center"/>
            </w:pPr>
            <w:r>
              <w:rPr>
                <w:rFonts w:hint="eastAsia"/>
              </w:rPr>
              <w:t>43.56</w:t>
            </w:r>
          </w:p>
        </w:tc>
        <w:tc>
          <w:tcPr>
            <w:tcW w:w="1134" w:type="dxa"/>
            <w:noWrap/>
            <w:vAlign w:val="center"/>
          </w:tcPr>
          <w:p>
            <w:pPr>
              <w:jc w:val="center"/>
            </w:pPr>
            <w:r>
              <w:rPr>
                <w:rFonts w:hint="eastAsia"/>
              </w:rPr>
              <w:t>146.73</w:t>
            </w:r>
          </w:p>
        </w:tc>
        <w:tc>
          <w:tcPr>
            <w:tcW w:w="992" w:type="dxa"/>
            <w:noWrap/>
            <w:vAlign w:val="center"/>
          </w:tcPr>
          <w:p>
            <w:pPr>
              <w:jc w:val="center"/>
            </w:pPr>
            <w:r>
              <w:rPr>
                <w:rFonts w:hint="eastAsia"/>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ign w:val="center"/>
          </w:tcPr>
          <w:p>
            <w:pPr>
              <w:jc w:val="center"/>
              <w:rPr>
                <w:sz w:val="32"/>
                <w:szCs w:val="32"/>
              </w:rPr>
            </w:pPr>
            <w:r>
              <w:rPr>
                <w:color w:val="444444"/>
                <w:sz w:val="32"/>
                <w:szCs w:val="32"/>
                <w:vertAlign w:val="subscript"/>
              </w:rPr>
              <w:t>3#</w:t>
            </w:r>
          </w:p>
        </w:tc>
        <w:tc>
          <w:tcPr>
            <w:tcW w:w="1134" w:type="dxa"/>
            <w:vMerge w:val="restart"/>
            <w:noWrap/>
            <w:vAlign w:val="center"/>
          </w:tcPr>
          <w:p>
            <w:r>
              <w:rPr>
                <w:color w:val="000000"/>
                <w:sz w:val="18"/>
                <w:szCs w:val="18"/>
              </w:rPr>
              <w:t>0.2145</w:t>
            </w:r>
          </w:p>
        </w:tc>
        <w:tc>
          <w:tcPr>
            <w:tcW w:w="1276" w:type="dxa"/>
            <w:noWrap/>
            <w:vAlign w:val="center"/>
          </w:tcPr>
          <w:p>
            <w:pPr>
              <w:jc w:val="center"/>
            </w:pPr>
            <w:r>
              <w:t>0.0144</w:t>
            </w:r>
          </w:p>
        </w:tc>
        <w:tc>
          <w:tcPr>
            <w:tcW w:w="1134" w:type="dxa"/>
            <w:noWrap/>
            <w:vAlign w:val="center"/>
          </w:tcPr>
          <w:p>
            <w:pPr>
              <w:jc w:val="center"/>
            </w:pPr>
            <w:r>
              <w:t>99.36</w:t>
            </w:r>
          </w:p>
        </w:tc>
        <w:tc>
          <w:tcPr>
            <w:tcW w:w="1134" w:type="dxa"/>
            <w:noWrap/>
            <w:vAlign w:val="center"/>
          </w:tcPr>
          <w:p>
            <w:pPr>
              <w:jc w:val="center"/>
            </w:pPr>
            <w:r>
              <w:t>346.74</w:t>
            </w:r>
          </w:p>
        </w:tc>
        <w:tc>
          <w:tcPr>
            <w:tcW w:w="1134" w:type="dxa"/>
            <w:noWrap/>
            <w:vAlign w:val="center"/>
          </w:tcPr>
          <w:p>
            <w:pPr>
              <w:jc w:val="center"/>
            </w:pPr>
            <w:r>
              <w:rPr>
                <w:rFonts w:hint="eastAsia"/>
              </w:rPr>
              <w:t>248.82</w:t>
            </w:r>
          </w:p>
        </w:tc>
        <w:tc>
          <w:tcPr>
            <w:tcW w:w="1134" w:type="dxa"/>
            <w:noWrap/>
            <w:vAlign w:val="center"/>
          </w:tcPr>
          <w:p>
            <w:pPr>
              <w:jc w:val="center"/>
            </w:pPr>
            <w:r>
              <w:rPr>
                <w:rFonts w:hint="eastAsia"/>
              </w:rPr>
              <w:t>97.92</w:t>
            </w:r>
          </w:p>
        </w:tc>
        <w:tc>
          <w:tcPr>
            <w:tcW w:w="992" w:type="dxa"/>
            <w:noWrap/>
            <w:vAlign w:val="center"/>
          </w:tcPr>
          <w:p>
            <w:pPr>
              <w:jc w:val="center"/>
            </w:pPr>
            <w:r>
              <w:rPr>
                <w:rFonts w:hint="eastAsia"/>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Merge w:val="continue"/>
            <w:noWrap/>
          </w:tcPr>
          <w:p/>
        </w:tc>
        <w:tc>
          <w:tcPr>
            <w:tcW w:w="1134" w:type="dxa"/>
            <w:vMerge w:val="continue"/>
            <w:noWrap/>
          </w:tcPr>
          <w:p/>
        </w:tc>
        <w:tc>
          <w:tcPr>
            <w:tcW w:w="1276" w:type="dxa"/>
            <w:noWrap/>
            <w:vAlign w:val="center"/>
          </w:tcPr>
          <w:p>
            <w:pPr>
              <w:jc w:val="center"/>
            </w:pPr>
            <w:r>
              <w:t>0.0323</w:t>
            </w:r>
          </w:p>
        </w:tc>
        <w:tc>
          <w:tcPr>
            <w:tcW w:w="1134" w:type="dxa"/>
            <w:noWrap/>
            <w:vAlign w:val="center"/>
          </w:tcPr>
          <w:p>
            <w:pPr>
              <w:jc w:val="center"/>
            </w:pPr>
            <w:r>
              <w:t>222.87</w:t>
            </w:r>
          </w:p>
        </w:tc>
        <w:tc>
          <w:tcPr>
            <w:tcW w:w="1134" w:type="dxa"/>
            <w:noWrap/>
            <w:vAlign w:val="center"/>
          </w:tcPr>
          <w:p>
            <w:pPr>
              <w:jc w:val="center"/>
            </w:pPr>
            <w:r>
              <w:t>504.09</w:t>
            </w:r>
          </w:p>
        </w:tc>
        <w:tc>
          <w:tcPr>
            <w:tcW w:w="1134" w:type="dxa"/>
            <w:noWrap/>
            <w:vAlign w:val="center"/>
          </w:tcPr>
          <w:p>
            <w:pPr>
              <w:jc w:val="center"/>
            </w:pPr>
            <w:r>
              <w:rPr>
                <w:rFonts w:hint="eastAsia"/>
              </w:rPr>
              <w:t>272.84</w:t>
            </w:r>
          </w:p>
        </w:tc>
        <w:tc>
          <w:tcPr>
            <w:tcW w:w="1134" w:type="dxa"/>
            <w:noWrap/>
            <w:vAlign w:val="center"/>
          </w:tcPr>
          <w:p>
            <w:pPr>
              <w:jc w:val="center"/>
            </w:pPr>
            <w:r>
              <w:rPr>
                <w:rFonts w:hint="eastAsia"/>
              </w:rPr>
              <w:t>231.25</w:t>
            </w:r>
          </w:p>
        </w:tc>
        <w:tc>
          <w:tcPr>
            <w:tcW w:w="992" w:type="dxa"/>
            <w:noWrap/>
            <w:vAlign w:val="center"/>
          </w:tcPr>
          <w:p>
            <w:pPr>
              <w:jc w:val="center"/>
            </w:pPr>
            <w:r>
              <w:rPr>
                <w:rFonts w:hint="eastAsia"/>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vMerge w:val="continue"/>
            <w:noWrap/>
          </w:tcPr>
          <w:p/>
        </w:tc>
        <w:tc>
          <w:tcPr>
            <w:tcW w:w="1134" w:type="dxa"/>
            <w:vMerge w:val="continue"/>
            <w:noWrap/>
          </w:tcPr>
          <w:p/>
        </w:tc>
        <w:tc>
          <w:tcPr>
            <w:tcW w:w="1276" w:type="dxa"/>
            <w:noWrap/>
            <w:vAlign w:val="center"/>
          </w:tcPr>
          <w:p>
            <w:pPr>
              <w:jc w:val="center"/>
            </w:pPr>
            <w:r>
              <w:t>0.0540</w:t>
            </w:r>
          </w:p>
        </w:tc>
        <w:tc>
          <w:tcPr>
            <w:tcW w:w="1134" w:type="dxa"/>
            <w:noWrap/>
            <w:vAlign w:val="center"/>
          </w:tcPr>
          <w:p>
            <w:pPr>
              <w:jc w:val="center"/>
            </w:pPr>
            <w:r>
              <w:t>372.60</w:t>
            </w:r>
          </w:p>
        </w:tc>
        <w:tc>
          <w:tcPr>
            <w:tcW w:w="1134" w:type="dxa"/>
            <w:noWrap/>
            <w:vAlign w:val="center"/>
          </w:tcPr>
          <w:p>
            <w:pPr>
              <w:jc w:val="center"/>
            </w:pPr>
            <w:r>
              <w:t>615.00</w:t>
            </w:r>
          </w:p>
        </w:tc>
        <w:tc>
          <w:tcPr>
            <w:tcW w:w="1134" w:type="dxa"/>
            <w:noWrap/>
            <w:vAlign w:val="center"/>
          </w:tcPr>
          <w:p>
            <w:pPr>
              <w:jc w:val="center"/>
            </w:pPr>
            <w:r>
              <w:rPr>
                <w:rFonts w:hint="eastAsia"/>
              </w:rPr>
              <w:t>222.22</w:t>
            </w:r>
          </w:p>
        </w:tc>
        <w:tc>
          <w:tcPr>
            <w:tcW w:w="1134" w:type="dxa"/>
            <w:noWrap/>
            <w:vAlign w:val="center"/>
          </w:tcPr>
          <w:p>
            <w:pPr>
              <w:jc w:val="center"/>
            </w:pPr>
            <w:r>
              <w:rPr>
                <w:rFonts w:hint="eastAsia"/>
              </w:rPr>
              <w:t>392.78</w:t>
            </w:r>
          </w:p>
        </w:tc>
        <w:tc>
          <w:tcPr>
            <w:tcW w:w="992" w:type="dxa"/>
            <w:noWrap/>
            <w:vAlign w:val="center"/>
          </w:tcPr>
          <w:p>
            <w:pPr>
              <w:jc w:val="center"/>
            </w:pPr>
            <w:r>
              <w:rPr>
                <w:rFonts w:hint="eastAsia"/>
              </w:rPr>
              <w:t>105.4</w:t>
            </w:r>
          </w:p>
        </w:tc>
      </w:tr>
    </w:tbl>
    <w:p>
      <w:pPr>
        <w:spacing w:line="360" w:lineRule="auto"/>
        <w:rPr>
          <w:rFonts w:ascii="Verdana" w:hAnsi="Verdana" w:cs="宋体"/>
          <w:szCs w:val="21"/>
        </w:rPr>
      </w:pPr>
      <w:r>
        <w:rPr>
          <w:rFonts w:hint="eastAsia" w:ascii="宋体" w:hAnsi="宋体" w:cs="宋体"/>
          <w:szCs w:val="21"/>
        </w:rPr>
        <w:t xml:space="preserve">    加标回收率在  98.0%~107.7%之间，回收率较好。 </w:t>
      </w:r>
    </w:p>
    <w:p>
      <w:pPr>
        <w:rPr>
          <w:rFonts w:ascii="Verdana" w:hAnsi="Verdana" w:cs="宋体"/>
          <w:b/>
          <w:color w:val="444444"/>
          <w:szCs w:val="21"/>
        </w:rPr>
      </w:pPr>
      <w:r>
        <w:rPr>
          <w:rFonts w:hint="eastAsia" w:ascii="Verdana" w:hAnsi="Verdana" w:cs="宋体"/>
          <w:b/>
          <w:color w:val="444444"/>
          <w:szCs w:val="21"/>
        </w:rPr>
        <w:t>6  结论</w:t>
      </w:r>
    </w:p>
    <w:p>
      <w:pPr>
        <w:rPr>
          <w:rFonts w:ascii="宋体" w:hAnsi="宋体" w:cs="宋体"/>
          <w:color w:val="000000"/>
        </w:rPr>
      </w:pPr>
      <w:r>
        <w:rPr>
          <w:rFonts w:hint="eastAsia" w:ascii="宋体" w:hAnsi="宋体" w:cs="宋体"/>
          <w:color w:val="000000"/>
        </w:rPr>
        <w:t xml:space="preserve">    采用惰气熔融红外法测定</w:t>
      </w:r>
      <w:r>
        <w:rPr>
          <w:rFonts w:hint="eastAsia" w:ascii="Verdana" w:hAnsi="Verdana" w:cs="宋体"/>
          <w:color w:val="000000"/>
          <w:szCs w:val="21"/>
        </w:rPr>
        <w:t>钴铬钨系合金粉末中氧含量</w:t>
      </w:r>
      <w:r>
        <w:rPr>
          <w:rFonts w:hint="eastAsia" w:ascii="宋体" w:hAnsi="宋体" w:cs="宋体"/>
          <w:color w:val="000000"/>
        </w:rPr>
        <w:t>，通过条件试验选定最佳测试条件，</w:t>
      </w:r>
      <w:r>
        <w:rPr>
          <w:rFonts w:hint="eastAsia" w:ascii="宋体" w:hAnsi="宋体"/>
        </w:rPr>
        <w:t>称取0.10g~0.30g样品，用镍囊或镍箔进行包裹测定，</w:t>
      </w:r>
      <w:r>
        <w:rPr>
          <w:rFonts w:hint="eastAsia" w:ascii="宋体" w:hAnsi="宋体" w:cs="宋体"/>
          <w:color w:val="000000"/>
        </w:rPr>
        <w:t>方法精密度好，</w:t>
      </w:r>
      <w:r>
        <w:rPr>
          <w:rFonts w:hint="eastAsia" w:ascii="Verdana" w:hAnsi="Verdana" w:cs="宋体"/>
          <w:color w:val="000000"/>
          <w:szCs w:val="21"/>
        </w:rPr>
        <w:t>加标回收率</w:t>
      </w:r>
      <w:r>
        <w:rPr>
          <w:rFonts w:hint="eastAsia"/>
          <w:color w:val="000000"/>
        </w:rPr>
        <w:t>98.0</w:t>
      </w:r>
      <w:r>
        <w:rPr>
          <w:rFonts w:hint="eastAsia" w:ascii="Verdana" w:hAnsi="Verdana" w:cs="宋体"/>
          <w:color w:val="000000"/>
          <w:szCs w:val="21"/>
        </w:rPr>
        <w:t>%~</w:t>
      </w:r>
      <w:r>
        <w:rPr>
          <w:rFonts w:hint="eastAsia"/>
          <w:color w:val="000000"/>
        </w:rPr>
        <w:t>107.7</w:t>
      </w:r>
      <w:r>
        <w:rPr>
          <w:rFonts w:hint="eastAsia" w:ascii="Verdana" w:hAnsi="Verdana" w:cs="宋体"/>
          <w:color w:val="000000"/>
          <w:szCs w:val="21"/>
        </w:rPr>
        <w:t>%，</w:t>
      </w:r>
      <w:r>
        <w:rPr>
          <w:rFonts w:hint="eastAsia" w:ascii="宋体" w:hAnsi="宋体" w:cs="宋体"/>
          <w:color w:val="000000"/>
        </w:rPr>
        <w:t>检出限低、检测速度快，推荐为行业标准方法。</w:t>
      </w:r>
    </w:p>
    <w:p>
      <w:pPr>
        <w:spacing w:line="360" w:lineRule="auto"/>
        <w:rPr>
          <w:rFonts w:ascii="黑体" w:eastAsia="黑体"/>
          <w:sz w:val="48"/>
          <w:szCs w:val="4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rPr>
          <w:rFonts w:hint="eastAsia" w:ascii="宋体" w:hAnsi="宋体"/>
          <w:szCs w:val="28"/>
        </w:rPr>
      </w:pPr>
    </w:p>
    <w:p>
      <w:pPr>
        <w:rPr>
          <w:rFonts w:hint="eastAsia" w:ascii="宋体" w:hAnsi="宋体"/>
          <w:szCs w:val="28"/>
        </w:rPr>
      </w:pPr>
    </w:p>
    <w:p>
      <w:pPr>
        <w:rPr>
          <w:rFonts w:ascii="宋体" w:hAnsi="宋体"/>
          <w:szCs w:val="28"/>
        </w:rPr>
      </w:pPr>
    </w:p>
    <w:p>
      <w:pPr>
        <w:jc w:val="left"/>
        <w:rPr>
          <w:rFonts w:ascii="黑体" w:hAnsi="黑体" w:eastAsia="黑体" w:cs="黑体"/>
          <w:sz w:val="30"/>
          <w:szCs w:val="30"/>
        </w:rPr>
      </w:pPr>
      <w:r>
        <w:rPr>
          <w:rFonts w:hint="eastAsia" w:ascii="黑体" w:hAnsi="黑体" w:eastAsia="黑体" w:cs="黑体"/>
          <w:sz w:val="30"/>
          <w:szCs w:val="30"/>
        </w:rPr>
        <w:t>附件2：数据处理汇总表</w:t>
      </w:r>
    </w:p>
    <w:tbl>
      <w:tblPr>
        <w:tblStyle w:val="11"/>
        <w:tblpPr w:leftFromText="180" w:rightFromText="180" w:vertAnchor="text" w:horzAnchor="page" w:tblpX="1504" w:tblpY="136"/>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41"/>
        <w:gridCol w:w="4276"/>
        <w:gridCol w:w="1111"/>
        <w:gridCol w:w="110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tcPr>
          <w:p>
            <w:pPr>
              <w:jc w:val="center"/>
              <w:rPr>
                <w:rFonts w:ascii="宋体" w:hAnsi="宋体" w:cs="宋体"/>
                <w:szCs w:val="21"/>
              </w:rPr>
            </w:pPr>
            <w:r>
              <w:rPr>
                <w:rFonts w:hint="eastAsia" w:ascii="宋体" w:hAnsi="宋体" w:cs="宋体"/>
                <w:szCs w:val="21"/>
              </w:rPr>
              <w:t>单位</w:t>
            </w:r>
          </w:p>
        </w:tc>
        <w:tc>
          <w:tcPr>
            <w:tcW w:w="741" w:type="dxa"/>
            <w:vAlign w:val="center"/>
          </w:tcPr>
          <w:p>
            <w:pPr>
              <w:jc w:val="center"/>
              <w:rPr>
                <w:rFonts w:ascii="宋体" w:hAnsi="宋体" w:cs="宋体"/>
                <w:szCs w:val="21"/>
              </w:rPr>
            </w:pPr>
            <w:r>
              <w:rPr>
                <w:rFonts w:hint="eastAsia" w:ascii="宋体" w:hAnsi="宋体" w:cs="宋体"/>
                <w:color w:val="444444"/>
                <w:szCs w:val="21"/>
              </w:rPr>
              <w:t>试样名称</w:t>
            </w:r>
          </w:p>
        </w:tc>
        <w:tc>
          <w:tcPr>
            <w:tcW w:w="4276" w:type="dxa"/>
            <w:vAlign w:val="center"/>
          </w:tcPr>
          <w:p>
            <w:pPr>
              <w:jc w:val="center"/>
              <w:rPr>
                <w:rFonts w:ascii="宋体" w:hAnsi="宋体" w:cs="宋体"/>
                <w:szCs w:val="21"/>
              </w:rPr>
            </w:pPr>
            <w:r>
              <w:rPr>
                <w:rFonts w:hint="eastAsia" w:ascii="宋体" w:hAnsi="宋体" w:cs="宋体"/>
                <w:color w:val="444444"/>
                <w:szCs w:val="21"/>
              </w:rPr>
              <w:t>氧测定值/%</w:t>
            </w:r>
          </w:p>
        </w:tc>
        <w:tc>
          <w:tcPr>
            <w:tcW w:w="1111" w:type="dxa"/>
            <w:vAlign w:val="center"/>
          </w:tcPr>
          <w:p>
            <w:pPr>
              <w:jc w:val="center"/>
              <w:rPr>
                <w:rFonts w:ascii="宋体" w:hAnsi="宋体" w:cs="宋体"/>
                <w:szCs w:val="21"/>
              </w:rPr>
            </w:pPr>
            <w:r>
              <w:rPr>
                <w:rFonts w:hint="eastAsia" w:ascii="宋体" w:hAnsi="宋体" w:cs="宋体"/>
                <w:color w:val="444444"/>
                <w:szCs w:val="21"/>
              </w:rPr>
              <w:t>平均值/%</w:t>
            </w:r>
          </w:p>
        </w:tc>
        <w:tc>
          <w:tcPr>
            <w:tcW w:w="1104" w:type="dxa"/>
            <w:vAlign w:val="center"/>
          </w:tcPr>
          <w:p>
            <w:pPr>
              <w:jc w:val="center"/>
              <w:rPr>
                <w:rFonts w:ascii="宋体" w:hAnsi="宋体" w:cs="宋体"/>
                <w:szCs w:val="21"/>
              </w:rPr>
            </w:pPr>
            <w:r>
              <w:rPr>
                <w:rFonts w:hint="eastAsia" w:ascii="宋体" w:hAnsi="宋体" w:cs="宋体"/>
                <w:color w:val="444444"/>
                <w:szCs w:val="21"/>
              </w:rPr>
              <w:t>标准偏差</w:t>
            </w:r>
          </w:p>
        </w:tc>
        <w:tc>
          <w:tcPr>
            <w:tcW w:w="857" w:type="dxa"/>
            <w:vAlign w:val="center"/>
          </w:tcPr>
          <w:p>
            <w:pPr>
              <w:jc w:val="center"/>
              <w:rPr>
                <w:rFonts w:ascii="宋体" w:hAnsi="宋体" w:cs="宋体"/>
                <w:szCs w:val="21"/>
              </w:rPr>
            </w:pPr>
            <w:r>
              <w:rPr>
                <w:rFonts w:hint="eastAsia" w:ascii="宋体" w:hAnsi="宋体" w:cs="宋体"/>
                <w:color w:val="444444"/>
                <w:szCs w:val="21"/>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restart"/>
            <w:vAlign w:val="center"/>
          </w:tcPr>
          <w:p>
            <w:pPr>
              <w:jc w:val="center"/>
              <w:rPr>
                <w:rFonts w:ascii="宋体" w:hAnsi="宋体" w:cs="宋体"/>
                <w:szCs w:val="21"/>
              </w:rPr>
            </w:pPr>
            <w:r>
              <w:rPr>
                <w:rFonts w:hint="eastAsia" w:ascii="宋体" w:hAnsi="宋体" w:cs="宋体"/>
                <w:szCs w:val="21"/>
              </w:rPr>
              <w:t>广东省科学院工业分析检测中心</w:t>
            </w:r>
          </w:p>
        </w:tc>
        <w:tc>
          <w:tcPr>
            <w:tcW w:w="741" w:type="dxa"/>
            <w:vAlign w:val="center"/>
          </w:tcPr>
          <w:p>
            <w:pPr>
              <w:jc w:val="center"/>
              <w:rPr>
                <w:rFonts w:ascii="宋体" w:hAnsi="宋体" w:cs="宋体"/>
                <w:szCs w:val="21"/>
              </w:rPr>
            </w:pPr>
            <w:r>
              <w:rPr>
                <w:rFonts w:hint="eastAsia" w:ascii="宋体" w:hAnsi="宋体" w:cs="宋体"/>
                <w:szCs w:val="21"/>
              </w:rPr>
              <w:t>1#</w:t>
            </w:r>
          </w:p>
        </w:tc>
        <w:tc>
          <w:tcPr>
            <w:tcW w:w="4276" w:type="dxa"/>
          </w:tcPr>
          <w:p>
            <w:pPr>
              <w:rPr>
                <w:rFonts w:ascii="宋体" w:hAnsi="宋体" w:cs="宋体"/>
                <w:szCs w:val="21"/>
              </w:rPr>
            </w:pPr>
            <w:r>
              <w:rPr>
                <w:rFonts w:hint="eastAsia" w:ascii="宋体" w:hAnsi="宋体" w:cs="宋体"/>
                <w:color w:val="444444"/>
                <w:szCs w:val="21"/>
              </w:rPr>
              <w:t>0.01111 0.01114 0.00980 0.00983 0.01083 0.01100 0.01318 0.00982 0.01032 0.01045  0.00986</w:t>
            </w:r>
          </w:p>
        </w:tc>
        <w:tc>
          <w:tcPr>
            <w:tcW w:w="1111" w:type="dxa"/>
            <w:vAlign w:val="center"/>
          </w:tcPr>
          <w:p>
            <w:pPr>
              <w:jc w:val="center"/>
              <w:rPr>
                <w:rFonts w:ascii="宋体" w:hAnsi="宋体" w:cs="宋体"/>
                <w:szCs w:val="21"/>
              </w:rPr>
            </w:pPr>
            <w:r>
              <w:rPr>
                <w:rFonts w:hint="eastAsia" w:ascii="宋体" w:hAnsi="宋体" w:cs="宋体"/>
                <w:color w:val="444444"/>
                <w:szCs w:val="21"/>
              </w:rPr>
              <w:t>0.01067</w:t>
            </w:r>
          </w:p>
        </w:tc>
        <w:tc>
          <w:tcPr>
            <w:tcW w:w="1104" w:type="dxa"/>
            <w:vAlign w:val="center"/>
          </w:tcPr>
          <w:p>
            <w:pPr>
              <w:jc w:val="center"/>
              <w:rPr>
                <w:rFonts w:ascii="宋体" w:hAnsi="宋体" w:cs="宋体"/>
                <w:szCs w:val="21"/>
              </w:rPr>
            </w:pPr>
            <w:r>
              <w:rPr>
                <w:rFonts w:hint="eastAsia" w:ascii="宋体" w:hAnsi="宋体" w:cs="宋体"/>
                <w:color w:val="444444"/>
                <w:szCs w:val="21"/>
              </w:rPr>
              <w:t>0.000993</w:t>
            </w:r>
          </w:p>
        </w:tc>
        <w:tc>
          <w:tcPr>
            <w:tcW w:w="857" w:type="dxa"/>
            <w:vAlign w:val="center"/>
          </w:tcPr>
          <w:p>
            <w:pPr>
              <w:jc w:val="center"/>
              <w:rPr>
                <w:rFonts w:ascii="宋体" w:hAnsi="宋体" w:cs="宋体"/>
                <w:szCs w:val="21"/>
              </w:rPr>
            </w:pPr>
            <w:r>
              <w:rPr>
                <w:rFonts w:hint="eastAsia" w:ascii="宋体" w:hAnsi="宋体" w:cs="宋体"/>
                <w:color w:val="444444"/>
                <w:szCs w:val="21"/>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2#</w:t>
            </w:r>
          </w:p>
        </w:tc>
        <w:tc>
          <w:tcPr>
            <w:tcW w:w="4276" w:type="dxa"/>
          </w:tcPr>
          <w:p>
            <w:pPr>
              <w:rPr>
                <w:rFonts w:ascii="宋体" w:hAnsi="宋体" w:cs="宋体"/>
                <w:szCs w:val="21"/>
              </w:rPr>
            </w:pPr>
            <w:r>
              <w:rPr>
                <w:rFonts w:hint="eastAsia" w:ascii="宋体" w:hAnsi="宋体" w:cs="宋体"/>
                <w:color w:val="444444"/>
                <w:szCs w:val="21"/>
              </w:rPr>
              <w:t>0.04276 0.04005 0.04331 0.04278 0.04235 0.04386 0.04287 0.04285 0.04140 0.04285 0.04215</w:t>
            </w:r>
          </w:p>
        </w:tc>
        <w:tc>
          <w:tcPr>
            <w:tcW w:w="1111" w:type="dxa"/>
            <w:vAlign w:val="center"/>
          </w:tcPr>
          <w:p>
            <w:pPr>
              <w:jc w:val="center"/>
              <w:rPr>
                <w:rFonts w:ascii="宋体" w:hAnsi="宋体" w:cs="宋体"/>
                <w:szCs w:val="21"/>
              </w:rPr>
            </w:pPr>
            <w:r>
              <w:rPr>
                <w:rFonts w:hint="eastAsia" w:ascii="宋体" w:hAnsi="宋体" w:cs="宋体"/>
                <w:color w:val="444444"/>
                <w:szCs w:val="21"/>
              </w:rPr>
              <w:t>0.04250</w:t>
            </w:r>
          </w:p>
        </w:tc>
        <w:tc>
          <w:tcPr>
            <w:tcW w:w="1104" w:type="dxa"/>
            <w:vAlign w:val="center"/>
          </w:tcPr>
          <w:p>
            <w:pPr>
              <w:jc w:val="center"/>
              <w:rPr>
                <w:rFonts w:ascii="宋体" w:hAnsi="宋体" w:cs="宋体"/>
                <w:szCs w:val="21"/>
              </w:rPr>
            </w:pPr>
            <w:r>
              <w:rPr>
                <w:rFonts w:hint="eastAsia" w:ascii="宋体" w:hAnsi="宋体" w:cs="宋体"/>
                <w:color w:val="444444"/>
                <w:szCs w:val="21"/>
              </w:rPr>
              <w:t>0.001019</w:t>
            </w:r>
          </w:p>
        </w:tc>
        <w:tc>
          <w:tcPr>
            <w:tcW w:w="857" w:type="dxa"/>
            <w:vAlign w:val="center"/>
          </w:tcPr>
          <w:p>
            <w:pPr>
              <w:jc w:val="center"/>
              <w:rPr>
                <w:rFonts w:ascii="宋体" w:hAnsi="宋体" w:cs="宋体"/>
                <w:szCs w:val="21"/>
              </w:rPr>
            </w:pPr>
            <w:r>
              <w:rPr>
                <w:rFonts w:hint="eastAsia" w:ascii="宋体" w:hAnsi="宋体" w:cs="宋体"/>
                <w:color w:val="444444"/>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3#</w:t>
            </w:r>
          </w:p>
        </w:tc>
        <w:tc>
          <w:tcPr>
            <w:tcW w:w="4276" w:type="dxa"/>
          </w:tcPr>
          <w:p>
            <w:pPr>
              <w:jc w:val="left"/>
              <w:rPr>
                <w:rFonts w:ascii="宋体" w:hAnsi="宋体" w:cs="宋体"/>
                <w:szCs w:val="21"/>
              </w:rPr>
            </w:pPr>
            <w:r>
              <w:rPr>
                <w:rFonts w:hint="eastAsia" w:ascii="宋体" w:hAnsi="宋体" w:cs="宋体"/>
                <w:color w:val="444444"/>
                <w:szCs w:val="21"/>
              </w:rPr>
              <w:t>0.2258  0.2143  0.2164  0.2139  0.2090  0.2146  0.2130  0.2113  0.2084  0.2167  0.2166</w:t>
            </w:r>
          </w:p>
        </w:tc>
        <w:tc>
          <w:tcPr>
            <w:tcW w:w="1111" w:type="dxa"/>
            <w:vAlign w:val="center"/>
          </w:tcPr>
          <w:p>
            <w:pPr>
              <w:jc w:val="center"/>
              <w:rPr>
                <w:rFonts w:ascii="宋体" w:hAnsi="宋体" w:cs="宋体"/>
                <w:szCs w:val="21"/>
              </w:rPr>
            </w:pPr>
            <w:r>
              <w:rPr>
                <w:rFonts w:hint="eastAsia" w:ascii="宋体" w:hAnsi="宋体" w:cs="宋体"/>
                <w:color w:val="000000"/>
                <w:szCs w:val="21"/>
              </w:rPr>
              <w:t>0.2145</w:t>
            </w:r>
          </w:p>
        </w:tc>
        <w:tc>
          <w:tcPr>
            <w:tcW w:w="1104" w:type="dxa"/>
            <w:vAlign w:val="center"/>
          </w:tcPr>
          <w:p>
            <w:pPr>
              <w:jc w:val="center"/>
              <w:rPr>
                <w:rFonts w:ascii="宋体" w:hAnsi="宋体" w:cs="宋体"/>
                <w:szCs w:val="21"/>
              </w:rPr>
            </w:pPr>
            <w:r>
              <w:rPr>
                <w:rFonts w:hint="eastAsia" w:ascii="宋体" w:hAnsi="宋体" w:cs="宋体"/>
                <w:color w:val="000000"/>
                <w:szCs w:val="21"/>
              </w:rPr>
              <w:t>0.00470</w:t>
            </w:r>
          </w:p>
        </w:tc>
        <w:tc>
          <w:tcPr>
            <w:tcW w:w="857" w:type="dxa"/>
            <w:vAlign w:val="center"/>
          </w:tcPr>
          <w:p>
            <w:pPr>
              <w:jc w:val="center"/>
              <w:rPr>
                <w:rFonts w:ascii="宋体" w:hAnsi="宋体" w:cs="宋体"/>
                <w:szCs w:val="21"/>
              </w:rPr>
            </w:pPr>
            <w:r>
              <w:rPr>
                <w:rFonts w:hint="eastAsia" w:ascii="宋体" w:hAnsi="宋体" w:cs="宋体"/>
                <w:color w:val="00000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4#</w:t>
            </w:r>
          </w:p>
        </w:tc>
        <w:tc>
          <w:tcPr>
            <w:tcW w:w="4276" w:type="dxa"/>
          </w:tcPr>
          <w:p>
            <w:pPr>
              <w:rPr>
                <w:rFonts w:ascii="宋体" w:hAnsi="宋体" w:cs="宋体"/>
                <w:szCs w:val="21"/>
              </w:rPr>
            </w:pPr>
            <w:r>
              <w:rPr>
                <w:rFonts w:hint="eastAsia" w:ascii="宋体" w:hAnsi="宋体" w:cs="宋体"/>
                <w:color w:val="000000"/>
                <w:szCs w:val="21"/>
              </w:rPr>
              <w:t>0.4486  0.4557  0.4630  0.4527  0.4515  0.4528 0.4547  0.4589  0.4600  0.4587  0.4602</w:t>
            </w:r>
          </w:p>
        </w:tc>
        <w:tc>
          <w:tcPr>
            <w:tcW w:w="1111" w:type="dxa"/>
            <w:vAlign w:val="center"/>
          </w:tcPr>
          <w:p>
            <w:pPr>
              <w:jc w:val="center"/>
              <w:rPr>
                <w:rFonts w:ascii="宋体" w:hAnsi="宋体" w:cs="宋体"/>
                <w:szCs w:val="21"/>
              </w:rPr>
            </w:pPr>
            <w:r>
              <w:rPr>
                <w:rFonts w:hint="eastAsia" w:ascii="宋体" w:hAnsi="宋体" w:cs="宋体"/>
                <w:color w:val="000000"/>
                <w:szCs w:val="21"/>
              </w:rPr>
              <w:t>0.4561</w:t>
            </w:r>
          </w:p>
        </w:tc>
        <w:tc>
          <w:tcPr>
            <w:tcW w:w="1104" w:type="dxa"/>
            <w:vAlign w:val="center"/>
          </w:tcPr>
          <w:p>
            <w:pPr>
              <w:jc w:val="center"/>
              <w:rPr>
                <w:rFonts w:ascii="宋体" w:hAnsi="宋体" w:cs="宋体"/>
                <w:szCs w:val="21"/>
              </w:rPr>
            </w:pPr>
            <w:r>
              <w:rPr>
                <w:rFonts w:hint="eastAsia" w:ascii="宋体" w:hAnsi="宋体" w:cs="宋体"/>
                <w:color w:val="000000"/>
                <w:szCs w:val="21"/>
              </w:rPr>
              <w:t>0.00443</w:t>
            </w:r>
          </w:p>
        </w:tc>
        <w:tc>
          <w:tcPr>
            <w:tcW w:w="857" w:type="dxa"/>
            <w:vAlign w:val="center"/>
          </w:tcPr>
          <w:p>
            <w:pPr>
              <w:jc w:val="center"/>
              <w:rPr>
                <w:rFonts w:ascii="宋体" w:hAnsi="宋体" w:cs="宋体"/>
                <w:szCs w:val="21"/>
              </w:rPr>
            </w:pPr>
            <w:r>
              <w:rPr>
                <w:rFonts w:hint="eastAsia" w:ascii="宋体" w:hAnsi="宋体" w:cs="宋体"/>
                <w:color w:val="000000"/>
                <w:szCs w:val="21"/>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restart"/>
            <w:vAlign w:val="center"/>
          </w:tcPr>
          <w:p>
            <w:pPr>
              <w:spacing w:line="360" w:lineRule="auto"/>
              <w:jc w:val="center"/>
              <w:rPr>
                <w:rFonts w:ascii="宋体" w:hAnsi="宋体" w:cs="宋体"/>
                <w:bCs/>
                <w:kern w:val="0"/>
                <w:szCs w:val="21"/>
              </w:rPr>
            </w:pPr>
            <w:r>
              <w:rPr>
                <w:rFonts w:hint="eastAsia" w:ascii="宋体" w:hAnsi="宋体" w:cs="宋体"/>
                <w:bCs/>
                <w:kern w:val="0"/>
                <w:szCs w:val="21"/>
              </w:rPr>
              <w:t>国标（北京）检验认证有限公司</w:t>
            </w:r>
          </w:p>
          <w:p>
            <w:pPr>
              <w:jc w:val="cente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1#</w:t>
            </w:r>
          </w:p>
        </w:tc>
        <w:tc>
          <w:tcPr>
            <w:tcW w:w="4276" w:type="dxa"/>
          </w:tcPr>
          <w:p>
            <w:pPr>
              <w:rPr>
                <w:rFonts w:ascii="宋体" w:hAnsi="宋体" w:cs="宋体"/>
                <w:szCs w:val="21"/>
              </w:rPr>
            </w:pPr>
            <w:r>
              <w:rPr>
                <w:rFonts w:hint="eastAsia" w:ascii="宋体" w:hAnsi="宋体" w:cs="宋体"/>
                <w:szCs w:val="21"/>
              </w:rPr>
              <w:t>0.0123 0.0118  0.0126  0.0125   0.0129  0.0114 0.0121  0.0129  0.0112  0.0119   0.0116</w:t>
            </w:r>
          </w:p>
        </w:tc>
        <w:tc>
          <w:tcPr>
            <w:tcW w:w="1111" w:type="dxa"/>
            <w:vAlign w:val="center"/>
          </w:tcPr>
          <w:p>
            <w:pPr>
              <w:jc w:val="center"/>
              <w:rPr>
                <w:rFonts w:ascii="宋体" w:hAnsi="宋体" w:cs="宋体"/>
                <w:szCs w:val="21"/>
              </w:rPr>
            </w:pPr>
            <w:r>
              <w:rPr>
                <w:rFonts w:hint="eastAsia" w:ascii="宋体" w:hAnsi="宋体" w:cs="宋体"/>
                <w:szCs w:val="21"/>
              </w:rPr>
              <w:t>0.0121</w:t>
            </w:r>
          </w:p>
        </w:tc>
        <w:tc>
          <w:tcPr>
            <w:tcW w:w="1104" w:type="dxa"/>
            <w:vAlign w:val="center"/>
          </w:tcPr>
          <w:p>
            <w:pPr>
              <w:jc w:val="center"/>
              <w:rPr>
                <w:rFonts w:ascii="宋体" w:hAnsi="宋体" w:cs="宋体"/>
                <w:szCs w:val="21"/>
              </w:rPr>
            </w:pPr>
            <w:r>
              <w:rPr>
                <w:rFonts w:hint="eastAsia" w:ascii="宋体" w:hAnsi="宋体" w:cs="宋体"/>
                <w:szCs w:val="21"/>
              </w:rPr>
              <w:t>0.000656</w:t>
            </w:r>
          </w:p>
        </w:tc>
        <w:tc>
          <w:tcPr>
            <w:tcW w:w="857" w:type="dxa"/>
            <w:vAlign w:val="center"/>
          </w:tcPr>
          <w:p>
            <w:pPr>
              <w:jc w:val="center"/>
              <w:rPr>
                <w:rFonts w:ascii="宋体" w:hAnsi="宋体" w:cs="宋体"/>
                <w:szCs w:val="21"/>
              </w:rPr>
            </w:pPr>
            <w:r>
              <w:rPr>
                <w:rFonts w:hint="eastAsia" w:ascii="宋体" w:hAnsi="宋体" w:cs="宋体"/>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2#</w:t>
            </w:r>
          </w:p>
        </w:tc>
        <w:tc>
          <w:tcPr>
            <w:tcW w:w="4276" w:type="dxa"/>
          </w:tcPr>
          <w:p>
            <w:pPr>
              <w:rPr>
                <w:rFonts w:ascii="宋体" w:hAnsi="宋体" w:cs="宋体"/>
                <w:szCs w:val="21"/>
              </w:rPr>
            </w:pPr>
            <w:r>
              <w:rPr>
                <w:rFonts w:hint="eastAsia" w:ascii="宋体" w:hAnsi="宋体" w:cs="宋体"/>
                <w:szCs w:val="21"/>
              </w:rPr>
              <w:t>0.0441  0.0434  0.0422  0.0443  0.0426  0.0441 0.0426  0.0413  0.0426  0.0433  0.0434</w:t>
            </w:r>
          </w:p>
        </w:tc>
        <w:tc>
          <w:tcPr>
            <w:tcW w:w="1111" w:type="dxa"/>
            <w:vAlign w:val="center"/>
          </w:tcPr>
          <w:p>
            <w:pPr>
              <w:ind w:firstLine="210" w:firstLineChars="100"/>
              <w:rPr>
                <w:rFonts w:ascii="宋体" w:hAnsi="宋体" w:cs="宋体"/>
                <w:szCs w:val="21"/>
              </w:rPr>
            </w:pPr>
            <w:r>
              <w:rPr>
                <w:rFonts w:hint="eastAsia" w:ascii="宋体" w:hAnsi="宋体" w:cs="宋体"/>
                <w:szCs w:val="21"/>
              </w:rPr>
              <w:t>0.0431</w:t>
            </w:r>
          </w:p>
        </w:tc>
        <w:tc>
          <w:tcPr>
            <w:tcW w:w="1104" w:type="dxa"/>
            <w:vAlign w:val="center"/>
          </w:tcPr>
          <w:p>
            <w:pPr>
              <w:jc w:val="center"/>
              <w:rPr>
                <w:rFonts w:ascii="宋体" w:hAnsi="宋体" w:cs="宋体"/>
                <w:szCs w:val="21"/>
              </w:rPr>
            </w:pPr>
            <w:r>
              <w:rPr>
                <w:rFonts w:hint="eastAsia" w:ascii="宋体" w:hAnsi="宋体" w:cs="宋体"/>
                <w:szCs w:val="21"/>
              </w:rPr>
              <w:t>0.00092</w:t>
            </w:r>
          </w:p>
        </w:tc>
        <w:tc>
          <w:tcPr>
            <w:tcW w:w="857" w:type="dxa"/>
            <w:vAlign w:val="center"/>
          </w:tcPr>
          <w:p>
            <w:pPr>
              <w:jc w:val="center"/>
              <w:rPr>
                <w:rFonts w:ascii="宋体" w:hAnsi="宋体" w:cs="宋体"/>
                <w:szCs w:val="21"/>
              </w:rPr>
            </w:pPr>
            <w:r>
              <w:rPr>
                <w:rFonts w:hint="eastAsia" w:ascii="宋体" w:hAnsi="宋体" w:cs="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3#</w:t>
            </w:r>
          </w:p>
        </w:tc>
        <w:tc>
          <w:tcPr>
            <w:tcW w:w="4276" w:type="dxa"/>
          </w:tcPr>
          <w:p>
            <w:pPr>
              <w:jc w:val="left"/>
              <w:rPr>
                <w:rFonts w:ascii="宋体" w:hAnsi="宋体" w:cs="宋体"/>
                <w:szCs w:val="21"/>
              </w:rPr>
            </w:pPr>
            <w:r>
              <w:rPr>
                <w:rFonts w:hint="eastAsia" w:ascii="宋体" w:hAnsi="宋体" w:cs="宋体"/>
                <w:szCs w:val="21"/>
              </w:rPr>
              <w:t xml:space="preserve">0.210  0.196  0.201  0.205  0.210 </w:t>
            </w:r>
          </w:p>
          <w:p>
            <w:pPr>
              <w:jc w:val="left"/>
              <w:rPr>
                <w:rFonts w:ascii="宋体" w:hAnsi="宋体" w:cs="宋体"/>
                <w:szCs w:val="21"/>
              </w:rPr>
            </w:pPr>
            <w:r>
              <w:rPr>
                <w:rFonts w:hint="eastAsia" w:ascii="宋体" w:hAnsi="宋体" w:cs="宋体"/>
                <w:szCs w:val="21"/>
              </w:rPr>
              <w:t>0.209  0.209  0.215  0.212  0.207</w:t>
            </w:r>
          </w:p>
          <w:p>
            <w:pPr>
              <w:jc w:val="left"/>
              <w:rPr>
                <w:rFonts w:ascii="宋体" w:hAnsi="宋体" w:cs="宋体"/>
                <w:szCs w:val="21"/>
              </w:rPr>
            </w:pPr>
            <w:r>
              <w:rPr>
                <w:rFonts w:hint="eastAsia" w:ascii="宋体" w:hAnsi="宋体" w:cs="宋体"/>
                <w:szCs w:val="21"/>
              </w:rPr>
              <w:t>0.206</w:t>
            </w:r>
          </w:p>
        </w:tc>
        <w:tc>
          <w:tcPr>
            <w:tcW w:w="1111" w:type="dxa"/>
            <w:vAlign w:val="center"/>
          </w:tcPr>
          <w:p>
            <w:pPr>
              <w:jc w:val="center"/>
              <w:rPr>
                <w:rFonts w:ascii="宋体" w:hAnsi="宋体" w:cs="宋体"/>
                <w:szCs w:val="21"/>
              </w:rPr>
            </w:pPr>
            <w:r>
              <w:rPr>
                <w:rFonts w:hint="eastAsia" w:ascii="宋体" w:hAnsi="宋体" w:cs="宋体"/>
                <w:szCs w:val="21"/>
              </w:rPr>
              <w:t>0.207</w:t>
            </w:r>
          </w:p>
        </w:tc>
        <w:tc>
          <w:tcPr>
            <w:tcW w:w="1104" w:type="dxa"/>
            <w:vAlign w:val="center"/>
          </w:tcPr>
          <w:p>
            <w:pPr>
              <w:jc w:val="center"/>
              <w:rPr>
                <w:rFonts w:ascii="宋体" w:hAnsi="宋体" w:cs="宋体"/>
                <w:szCs w:val="21"/>
              </w:rPr>
            </w:pPr>
            <w:r>
              <w:rPr>
                <w:rFonts w:hint="eastAsia" w:ascii="宋体" w:hAnsi="宋体" w:cs="宋体"/>
                <w:szCs w:val="21"/>
              </w:rPr>
              <w:t>0.0053</w:t>
            </w:r>
          </w:p>
        </w:tc>
        <w:tc>
          <w:tcPr>
            <w:tcW w:w="857" w:type="dxa"/>
            <w:vAlign w:val="center"/>
          </w:tcPr>
          <w:p>
            <w:pPr>
              <w:jc w:val="center"/>
              <w:rPr>
                <w:rFonts w:ascii="宋体" w:hAnsi="宋体" w:cs="宋体"/>
                <w:szCs w:val="21"/>
              </w:rPr>
            </w:pPr>
            <w:r>
              <w:rPr>
                <w:rFonts w:hint="eastAsia" w:ascii="宋体" w:hAnsi="宋体" w:cs="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4#</w:t>
            </w:r>
          </w:p>
        </w:tc>
        <w:tc>
          <w:tcPr>
            <w:tcW w:w="4276" w:type="dxa"/>
          </w:tcPr>
          <w:p>
            <w:pPr>
              <w:rPr>
                <w:rFonts w:ascii="宋体" w:hAnsi="宋体" w:cs="宋体"/>
                <w:szCs w:val="21"/>
              </w:rPr>
            </w:pPr>
            <w:r>
              <w:rPr>
                <w:rFonts w:hint="eastAsia" w:ascii="宋体" w:hAnsi="宋体" w:cs="宋体"/>
                <w:szCs w:val="21"/>
              </w:rPr>
              <w:t>0.452  0.438  0.442  0.451  0.446  0.4380.461  0.453  0.450  0.457</w:t>
            </w:r>
          </w:p>
          <w:p>
            <w:pPr>
              <w:rPr>
                <w:rFonts w:ascii="宋体" w:hAnsi="宋体" w:cs="宋体"/>
                <w:szCs w:val="21"/>
              </w:rPr>
            </w:pPr>
            <w:r>
              <w:rPr>
                <w:rFonts w:hint="eastAsia" w:ascii="宋体" w:hAnsi="宋体" w:cs="宋体"/>
                <w:szCs w:val="21"/>
              </w:rPr>
              <w:t>0.446</w:t>
            </w:r>
          </w:p>
        </w:tc>
        <w:tc>
          <w:tcPr>
            <w:tcW w:w="1111" w:type="dxa"/>
            <w:vAlign w:val="center"/>
          </w:tcPr>
          <w:p>
            <w:pPr>
              <w:jc w:val="center"/>
              <w:rPr>
                <w:rFonts w:ascii="宋体" w:hAnsi="宋体" w:cs="宋体"/>
                <w:szCs w:val="21"/>
              </w:rPr>
            </w:pPr>
            <w:r>
              <w:rPr>
                <w:rFonts w:hint="eastAsia" w:ascii="宋体" w:hAnsi="宋体" w:cs="宋体"/>
                <w:szCs w:val="21"/>
              </w:rPr>
              <w:t>0.449</w:t>
            </w:r>
          </w:p>
        </w:tc>
        <w:tc>
          <w:tcPr>
            <w:tcW w:w="1104" w:type="dxa"/>
            <w:vAlign w:val="center"/>
          </w:tcPr>
          <w:p>
            <w:pPr>
              <w:jc w:val="center"/>
              <w:rPr>
                <w:rFonts w:ascii="宋体" w:hAnsi="宋体" w:cs="宋体"/>
                <w:szCs w:val="21"/>
              </w:rPr>
            </w:pPr>
            <w:r>
              <w:rPr>
                <w:rFonts w:hint="eastAsia" w:ascii="宋体" w:hAnsi="宋体" w:cs="宋体"/>
                <w:szCs w:val="21"/>
              </w:rPr>
              <w:t>0.0074</w:t>
            </w:r>
          </w:p>
        </w:tc>
        <w:tc>
          <w:tcPr>
            <w:tcW w:w="857" w:type="dxa"/>
            <w:vAlign w:val="center"/>
          </w:tcPr>
          <w:p>
            <w:pPr>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restart"/>
            <w:vAlign w:val="center"/>
          </w:tcPr>
          <w:p>
            <w:pPr>
              <w:jc w:val="both"/>
              <w:rPr>
                <w:rFonts w:ascii="宋体" w:hAnsi="宋体" w:cs="宋体"/>
                <w:szCs w:val="21"/>
              </w:rPr>
            </w:pPr>
            <w:bookmarkStart w:id="0" w:name="_GoBack"/>
            <w:bookmarkEnd w:id="0"/>
            <w:r>
              <w:rPr>
                <w:rFonts w:hint="eastAsia" w:ascii="宋体" w:hAnsi="宋体" w:cs="宋体"/>
                <w:szCs w:val="21"/>
              </w:rPr>
              <w:t>国家钨与稀土产品质量监督检验中心</w:t>
            </w:r>
          </w:p>
        </w:tc>
        <w:tc>
          <w:tcPr>
            <w:tcW w:w="741" w:type="dxa"/>
            <w:vAlign w:val="center"/>
          </w:tcPr>
          <w:p>
            <w:pPr>
              <w:jc w:val="center"/>
              <w:rPr>
                <w:rFonts w:hint="eastAsia" w:ascii="宋体" w:hAnsi="宋体" w:cs="宋体"/>
                <w:szCs w:val="21"/>
              </w:rPr>
            </w:pPr>
            <w:r>
              <w:rPr>
                <w:rFonts w:hint="eastAsia" w:ascii="宋体" w:hAnsi="宋体" w:cs="宋体"/>
                <w:szCs w:val="21"/>
              </w:rPr>
              <w:t>1#</w:t>
            </w:r>
          </w:p>
        </w:tc>
        <w:tc>
          <w:tcPr>
            <w:tcW w:w="4276" w:type="dxa"/>
            <w:vAlign w:val="center"/>
          </w:tcPr>
          <w:p>
            <w:pPr>
              <w:jc w:val="both"/>
              <w:rPr>
                <w:rFonts w:hint="eastAsia"/>
                <w:color w:val="444444"/>
                <w:szCs w:val="21"/>
                <w:lang w:val="en-US" w:eastAsia="zh-CN"/>
              </w:rPr>
            </w:pPr>
            <w:r>
              <w:rPr>
                <w:rFonts w:hint="eastAsia"/>
                <w:color w:val="444444"/>
                <w:szCs w:val="21"/>
                <w:lang w:val="en-US" w:eastAsia="zh-CN"/>
              </w:rPr>
              <w:t>0.0102  0.0108  0.0100  0.0112  0.0117</w:t>
            </w:r>
          </w:p>
          <w:p>
            <w:pPr>
              <w:jc w:val="both"/>
              <w:rPr>
                <w:rFonts w:hint="eastAsia" w:ascii="宋体" w:hAnsi="宋体" w:cs="宋体"/>
                <w:szCs w:val="21"/>
              </w:rPr>
            </w:pPr>
            <w:r>
              <w:rPr>
                <w:rFonts w:hint="eastAsia"/>
                <w:color w:val="444444"/>
                <w:szCs w:val="21"/>
                <w:lang w:val="en-US" w:eastAsia="zh-CN"/>
              </w:rPr>
              <w:t>0.0108  0.0101  0.0105  0.0104  0.0101 0.0104</w:t>
            </w:r>
          </w:p>
        </w:tc>
        <w:tc>
          <w:tcPr>
            <w:tcW w:w="1111" w:type="dxa"/>
            <w:vAlign w:val="center"/>
          </w:tcPr>
          <w:p>
            <w:pPr>
              <w:jc w:val="center"/>
              <w:rPr>
                <w:rFonts w:hint="eastAsia" w:ascii="宋体" w:hAnsi="宋体" w:cs="宋体"/>
                <w:szCs w:val="21"/>
              </w:rPr>
            </w:pPr>
            <w:r>
              <w:rPr>
                <w:rFonts w:hint="eastAsia"/>
                <w:color w:val="444444"/>
                <w:szCs w:val="21"/>
                <w:lang w:val="en-US" w:eastAsia="zh-CN"/>
              </w:rPr>
              <w:t>0.0106</w:t>
            </w:r>
          </w:p>
        </w:tc>
        <w:tc>
          <w:tcPr>
            <w:tcW w:w="1104" w:type="dxa"/>
            <w:vAlign w:val="center"/>
          </w:tcPr>
          <w:p>
            <w:pPr>
              <w:jc w:val="center"/>
              <w:rPr>
                <w:rFonts w:hint="eastAsia" w:ascii="宋体" w:hAnsi="宋体" w:cs="宋体"/>
                <w:szCs w:val="21"/>
              </w:rPr>
            </w:pPr>
            <w:r>
              <w:rPr>
                <w:rFonts w:hint="eastAsia"/>
                <w:color w:val="444444"/>
                <w:szCs w:val="21"/>
              </w:rPr>
              <w:t>0.0</w:t>
            </w:r>
            <w:r>
              <w:rPr>
                <w:rFonts w:hint="eastAsia"/>
                <w:color w:val="444444"/>
                <w:szCs w:val="21"/>
                <w:lang w:val="en-US" w:eastAsia="zh-CN"/>
              </w:rPr>
              <w:t>0052</w:t>
            </w:r>
          </w:p>
        </w:tc>
        <w:tc>
          <w:tcPr>
            <w:tcW w:w="857" w:type="dxa"/>
            <w:vAlign w:val="center"/>
          </w:tcPr>
          <w:p>
            <w:pPr>
              <w:jc w:val="center"/>
              <w:rPr>
                <w:rFonts w:hint="eastAsia" w:ascii="宋体" w:hAnsi="宋体" w:cs="宋体"/>
                <w:szCs w:val="21"/>
              </w:rPr>
            </w:pPr>
            <w:r>
              <w:rPr>
                <w:rFonts w:hint="eastAsia"/>
                <w:color w:val="444444"/>
                <w:szCs w:val="21"/>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Borders/>
            <w:vAlign w:val="top"/>
          </w:tcPr>
          <w:p>
            <w:pPr>
              <w:rPr>
                <w:rFonts w:ascii="宋体" w:hAnsi="宋体" w:cs="宋体"/>
                <w:szCs w:val="21"/>
              </w:rPr>
            </w:pPr>
          </w:p>
        </w:tc>
        <w:tc>
          <w:tcPr>
            <w:tcW w:w="741" w:type="dxa"/>
            <w:vAlign w:val="center"/>
          </w:tcPr>
          <w:p>
            <w:pPr>
              <w:jc w:val="center"/>
              <w:rPr>
                <w:rFonts w:hint="eastAsia" w:ascii="宋体" w:hAnsi="宋体" w:cs="宋体"/>
                <w:szCs w:val="21"/>
              </w:rPr>
            </w:pPr>
            <w:r>
              <w:rPr>
                <w:rFonts w:hint="eastAsia" w:ascii="宋体" w:hAnsi="宋体" w:cs="宋体"/>
                <w:szCs w:val="21"/>
              </w:rPr>
              <w:t>2#</w:t>
            </w:r>
          </w:p>
        </w:tc>
        <w:tc>
          <w:tcPr>
            <w:tcW w:w="4276" w:type="dxa"/>
            <w:vAlign w:val="center"/>
          </w:tcPr>
          <w:p>
            <w:pPr>
              <w:jc w:val="left"/>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0.0438  0.0421  0.0420  0.0424  0.0436 0.0430  0.0432  0.0415  0.0428  0.0418 0.0423</w:t>
            </w:r>
          </w:p>
        </w:tc>
        <w:tc>
          <w:tcPr>
            <w:tcW w:w="1111" w:type="dxa"/>
            <w:vAlign w:val="center"/>
          </w:tcPr>
          <w:p>
            <w:pPr>
              <w:spacing w:line="360" w:lineRule="auto"/>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0.0426</w:t>
            </w:r>
          </w:p>
        </w:tc>
        <w:tc>
          <w:tcPr>
            <w:tcW w:w="1104" w:type="dxa"/>
            <w:vAlign w:val="center"/>
          </w:tcPr>
          <w:p>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0.0</w:t>
            </w:r>
            <w:r>
              <w:rPr>
                <w:rFonts w:hint="eastAsia"/>
                <w:color w:val="444444"/>
                <w:szCs w:val="21"/>
                <w:lang w:val="en-US" w:eastAsia="zh-CN"/>
              </w:rPr>
              <w:t>0075</w:t>
            </w:r>
          </w:p>
        </w:tc>
        <w:tc>
          <w:tcPr>
            <w:tcW w:w="857" w:type="dxa"/>
            <w:vAlign w:val="center"/>
          </w:tcPr>
          <w:p>
            <w:pPr>
              <w:spacing w:line="360" w:lineRule="auto"/>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Borders/>
            <w:vAlign w:val="top"/>
          </w:tcPr>
          <w:p>
            <w:pPr>
              <w:rPr>
                <w:rFonts w:ascii="宋体" w:hAnsi="宋体" w:cs="宋体"/>
                <w:szCs w:val="21"/>
              </w:rPr>
            </w:pPr>
          </w:p>
        </w:tc>
        <w:tc>
          <w:tcPr>
            <w:tcW w:w="741" w:type="dxa"/>
            <w:vAlign w:val="center"/>
          </w:tcPr>
          <w:p>
            <w:pPr>
              <w:jc w:val="center"/>
              <w:rPr>
                <w:rFonts w:hint="eastAsia" w:ascii="宋体" w:hAnsi="宋体" w:cs="宋体"/>
                <w:szCs w:val="21"/>
              </w:rPr>
            </w:pPr>
            <w:r>
              <w:rPr>
                <w:rFonts w:hint="eastAsia" w:ascii="宋体" w:hAnsi="宋体" w:cs="宋体"/>
                <w:szCs w:val="21"/>
              </w:rPr>
              <w:t>3#</w:t>
            </w:r>
          </w:p>
        </w:tc>
        <w:tc>
          <w:tcPr>
            <w:tcW w:w="4276" w:type="dxa"/>
            <w:vAlign w:val="center"/>
          </w:tcPr>
          <w:p>
            <w:pPr>
              <w:rPr>
                <w:rFonts w:hint="eastAsia" w:ascii="宋体" w:hAnsi="宋体" w:cs="宋体"/>
                <w:szCs w:val="21"/>
              </w:rPr>
            </w:pPr>
            <w:r>
              <w:rPr>
                <w:rFonts w:hint="eastAsia"/>
                <w:color w:val="444444"/>
                <w:szCs w:val="21"/>
                <w:lang w:val="en-US" w:eastAsia="zh-CN"/>
              </w:rPr>
              <w:t>0.204  0.218  0.221  0.217  0.213  0.221 0.208  0.236  0.220  0.206  0.219</w:t>
            </w:r>
          </w:p>
        </w:tc>
        <w:tc>
          <w:tcPr>
            <w:tcW w:w="1111" w:type="dxa"/>
            <w:vAlign w:val="center"/>
          </w:tcPr>
          <w:p>
            <w:pPr>
              <w:spacing w:line="360" w:lineRule="auto"/>
              <w:jc w:val="center"/>
              <w:rPr>
                <w:rFonts w:hint="eastAsia" w:ascii="宋体" w:hAnsi="宋体" w:cs="宋体"/>
                <w:szCs w:val="21"/>
              </w:rPr>
            </w:pPr>
            <w:r>
              <w:rPr>
                <w:rFonts w:hint="eastAsia"/>
                <w:color w:val="444444"/>
                <w:szCs w:val="21"/>
                <w:lang w:val="en-US" w:eastAsia="zh-CN"/>
              </w:rPr>
              <w:t>0.217</w:t>
            </w:r>
          </w:p>
        </w:tc>
        <w:tc>
          <w:tcPr>
            <w:tcW w:w="1104" w:type="dxa"/>
            <w:vAlign w:val="center"/>
          </w:tcPr>
          <w:p>
            <w:pPr>
              <w:spacing w:line="360" w:lineRule="auto"/>
              <w:jc w:val="center"/>
              <w:rPr>
                <w:rFonts w:hint="eastAsia" w:ascii="宋体" w:hAnsi="宋体" w:cs="宋体"/>
                <w:szCs w:val="21"/>
              </w:rPr>
            </w:pPr>
            <w:r>
              <w:rPr>
                <w:rFonts w:hint="eastAsia"/>
                <w:color w:val="444444"/>
                <w:szCs w:val="21"/>
              </w:rPr>
              <w:t>0.0</w:t>
            </w:r>
            <w:r>
              <w:rPr>
                <w:rFonts w:hint="eastAsia"/>
                <w:color w:val="444444"/>
                <w:szCs w:val="21"/>
                <w:lang w:val="en-US" w:eastAsia="zh-CN"/>
              </w:rPr>
              <w:t>0890</w:t>
            </w:r>
          </w:p>
        </w:tc>
        <w:tc>
          <w:tcPr>
            <w:tcW w:w="857" w:type="dxa"/>
            <w:vAlign w:val="center"/>
          </w:tcPr>
          <w:p>
            <w:pPr>
              <w:spacing w:line="360" w:lineRule="auto"/>
              <w:jc w:val="center"/>
              <w:rPr>
                <w:rFonts w:hint="eastAsia" w:ascii="宋体" w:hAnsi="宋体" w:cs="宋体"/>
                <w:szCs w:val="21"/>
              </w:rPr>
            </w:pPr>
            <w:r>
              <w:rPr>
                <w:rFonts w:hint="eastAsia"/>
                <w:color w:val="444444"/>
                <w:szCs w:val="21"/>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Borders/>
            <w:vAlign w:val="top"/>
          </w:tcPr>
          <w:p>
            <w:pPr>
              <w:rPr>
                <w:rFonts w:ascii="宋体" w:hAnsi="宋体" w:cs="宋体"/>
                <w:szCs w:val="21"/>
              </w:rPr>
            </w:pPr>
          </w:p>
        </w:tc>
        <w:tc>
          <w:tcPr>
            <w:tcW w:w="741" w:type="dxa"/>
            <w:vAlign w:val="center"/>
          </w:tcPr>
          <w:p>
            <w:pPr>
              <w:jc w:val="center"/>
              <w:rPr>
                <w:rFonts w:hint="eastAsia" w:ascii="宋体" w:hAnsi="宋体" w:cs="宋体"/>
                <w:szCs w:val="21"/>
              </w:rPr>
            </w:pPr>
            <w:r>
              <w:rPr>
                <w:rFonts w:hint="eastAsia" w:ascii="宋体" w:hAnsi="宋体" w:cs="宋体"/>
                <w:szCs w:val="21"/>
              </w:rPr>
              <w:t>4#</w:t>
            </w:r>
          </w:p>
        </w:tc>
        <w:tc>
          <w:tcPr>
            <w:tcW w:w="4276" w:type="dxa"/>
            <w:vAlign w:val="center"/>
          </w:tcPr>
          <w:p>
            <w:pPr>
              <w:jc w:val="both"/>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0.461  0.442  0.451  0.466  0.446  0.459  0.454  0.429  0.429  0.418  0.426</w:t>
            </w:r>
          </w:p>
        </w:tc>
        <w:tc>
          <w:tcPr>
            <w:tcW w:w="1111" w:type="dxa"/>
            <w:vAlign w:val="center"/>
          </w:tcPr>
          <w:p>
            <w:pPr>
              <w:spacing w:line="360" w:lineRule="auto"/>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0.444</w:t>
            </w:r>
          </w:p>
        </w:tc>
        <w:tc>
          <w:tcPr>
            <w:tcW w:w="1104" w:type="dxa"/>
            <w:vAlign w:val="center"/>
          </w:tcPr>
          <w:p>
            <w:pPr>
              <w:spacing w:line="360" w:lineRule="auto"/>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0.0161</w:t>
            </w:r>
          </w:p>
        </w:tc>
        <w:tc>
          <w:tcPr>
            <w:tcW w:w="857" w:type="dxa"/>
            <w:vAlign w:val="center"/>
          </w:tcPr>
          <w:p>
            <w:pPr>
              <w:spacing w:line="360" w:lineRule="auto"/>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lang w:val="en-US" w:eastAsia="zh-CN"/>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190" w:type="dxa"/>
            <w:vMerge w:val="restart"/>
            <w:vAlign w:val="center"/>
          </w:tcPr>
          <w:p>
            <w:pPr>
              <w:jc w:val="center"/>
              <w:rPr>
                <w:rFonts w:ascii="宋体" w:hAnsi="宋体" w:cs="宋体"/>
                <w:szCs w:val="21"/>
              </w:rPr>
            </w:pPr>
            <w:r>
              <w:rPr>
                <w:rFonts w:hint="eastAsia" w:ascii="宋体" w:hAnsi="宋体" w:cs="宋体"/>
                <w:bCs/>
                <w:kern w:val="0"/>
                <w:szCs w:val="21"/>
              </w:rPr>
              <w:t>北矿新材科技有限公司</w:t>
            </w:r>
          </w:p>
        </w:tc>
        <w:tc>
          <w:tcPr>
            <w:tcW w:w="741" w:type="dxa"/>
            <w:vAlign w:val="center"/>
          </w:tcPr>
          <w:p>
            <w:pPr>
              <w:jc w:val="center"/>
              <w:rPr>
                <w:rFonts w:ascii="宋体" w:hAnsi="宋体" w:cs="宋体"/>
                <w:szCs w:val="21"/>
              </w:rPr>
            </w:pPr>
            <w:r>
              <w:rPr>
                <w:rFonts w:hint="eastAsia" w:ascii="宋体" w:hAnsi="宋体" w:cs="宋体"/>
                <w:szCs w:val="21"/>
              </w:rPr>
              <w:t>1#</w:t>
            </w:r>
          </w:p>
        </w:tc>
        <w:tc>
          <w:tcPr>
            <w:tcW w:w="4276" w:type="dxa"/>
            <w:vAlign w:val="bottom"/>
          </w:tcPr>
          <w:p>
            <w:pPr>
              <w:rPr>
                <w:rFonts w:ascii="宋体" w:hAnsi="宋体" w:cs="宋体"/>
                <w:color w:val="000000"/>
                <w:szCs w:val="21"/>
              </w:rPr>
            </w:pPr>
            <w:r>
              <w:rPr>
                <w:rFonts w:hint="eastAsia" w:ascii="宋体" w:hAnsi="宋体" w:cs="宋体"/>
                <w:color w:val="000000"/>
                <w:szCs w:val="21"/>
              </w:rPr>
              <w:t>0.0113 0.0123  0.0112  0.0119  0.0111 0.0112  0.0107  0.0103  0.0115  0.0107    0.0116</w:t>
            </w:r>
          </w:p>
        </w:tc>
        <w:tc>
          <w:tcPr>
            <w:tcW w:w="1111" w:type="dxa"/>
            <w:vAlign w:val="center"/>
          </w:tcPr>
          <w:p>
            <w:pPr>
              <w:jc w:val="center"/>
              <w:rPr>
                <w:rFonts w:ascii="宋体" w:hAnsi="宋体" w:cs="宋体"/>
                <w:szCs w:val="21"/>
              </w:rPr>
            </w:pPr>
            <w:r>
              <w:rPr>
                <w:rFonts w:hint="eastAsia" w:ascii="宋体" w:hAnsi="宋体" w:cs="宋体"/>
                <w:szCs w:val="21"/>
              </w:rPr>
              <w:t>0.01125</w:t>
            </w:r>
          </w:p>
        </w:tc>
        <w:tc>
          <w:tcPr>
            <w:tcW w:w="1104" w:type="dxa"/>
            <w:vAlign w:val="center"/>
          </w:tcPr>
          <w:p>
            <w:pPr>
              <w:jc w:val="center"/>
              <w:rPr>
                <w:rFonts w:ascii="宋体" w:hAnsi="宋体" w:cs="宋体"/>
                <w:szCs w:val="21"/>
              </w:rPr>
            </w:pPr>
            <w:r>
              <w:rPr>
                <w:rFonts w:hint="eastAsia" w:ascii="宋体" w:hAnsi="宋体" w:cs="宋体"/>
                <w:szCs w:val="21"/>
              </w:rPr>
              <w:t>0.000570</w:t>
            </w:r>
          </w:p>
        </w:tc>
        <w:tc>
          <w:tcPr>
            <w:tcW w:w="857" w:type="dxa"/>
            <w:vAlign w:val="center"/>
          </w:tcPr>
          <w:p>
            <w:pPr>
              <w:jc w:val="center"/>
              <w:rPr>
                <w:rFonts w:ascii="宋体" w:hAnsi="宋体" w:cs="宋体"/>
                <w:szCs w:val="21"/>
              </w:rPr>
            </w:pPr>
            <w:r>
              <w:rPr>
                <w:rFonts w:hint="eastAsia" w:ascii="宋体" w:hAnsi="宋体" w:cs="宋体"/>
                <w:szCs w:val="21"/>
              </w:rPr>
              <w:t>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2#</w:t>
            </w:r>
          </w:p>
        </w:tc>
        <w:tc>
          <w:tcPr>
            <w:tcW w:w="4276" w:type="dxa"/>
            <w:vAlign w:val="bottom"/>
          </w:tcPr>
          <w:p>
            <w:pPr>
              <w:rPr>
                <w:rFonts w:ascii="宋体" w:hAnsi="宋体" w:cs="宋体"/>
                <w:color w:val="000000"/>
                <w:szCs w:val="21"/>
              </w:rPr>
            </w:pPr>
            <w:r>
              <w:rPr>
                <w:rFonts w:hint="eastAsia" w:ascii="宋体" w:hAnsi="宋体" w:cs="宋体"/>
                <w:szCs w:val="21"/>
              </w:rPr>
              <w:t>0.0416 0.0429 0.0457 0.0438 0.0444  0.0424 0.0469 0.0459 0.0413 0.0430  0.0418</w:t>
            </w:r>
          </w:p>
        </w:tc>
        <w:tc>
          <w:tcPr>
            <w:tcW w:w="1111" w:type="dxa"/>
            <w:vAlign w:val="center"/>
          </w:tcPr>
          <w:p>
            <w:pPr>
              <w:jc w:val="center"/>
              <w:rPr>
                <w:rFonts w:ascii="宋体" w:hAnsi="宋体" w:cs="宋体"/>
                <w:szCs w:val="21"/>
              </w:rPr>
            </w:pPr>
            <w:r>
              <w:rPr>
                <w:rFonts w:hint="eastAsia" w:ascii="宋体" w:hAnsi="宋体" w:cs="宋体"/>
                <w:szCs w:val="21"/>
              </w:rPr>
              <w:t>0.04361</w:t>
            </w:r>
          </w:p>
        </w:tc>
        <w:tc>
          <w:tcPr>
            <w:tcW w:w="1104" w:type="dxa"/>
            <w:vAlign w:val="center"/>
          </w:tcPr>
          <w:p>
            <w:pPr>
              <w:jc w:val="center"/>
              <w:rPr>
                <w:rFonts w:ascii="宋体" w:hAnsi="宋体" w:cs="宋体"/>
                <w:szCs w:val="21"/>
              </w:rPr>
            </w:pPr>
            <w:r>
              <w:rPr>
                <w:rFonts w:hint="eastAsia" w:ascii="宋体" w:hAnsi="宋体" w:cs="宋体"/>
                <w:szCs w:val="21"/>
              </w:rPr>
              <w:t>0.001900</w:t>
            </w:r>
          </w:p>
        </w:tc>
        <w:tc>
          <w:tcPr>
            <w:tcW w:w="857" w:type="dxa"/>
            <w:vAlign w:val="center"/>
          </w:tcPr>
          <w:p>
            <w:pPr>
              <w:jc w:val="center"/>
              <w:rPr>
                <w:rFonts w:ascii="宋体" w:hAnsi="宋体" w:cs="宋体"/>
                <w:szCs w:val="21"/>
              </w:rPr>
            </w:pPr>
            <w:r>
              <w:rPr>
                <w:rFonts w:hint="eastAsia" w:ascii="宋体" w:hAnsi="宋体" w:cs="宋体"/>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3#</w:t>
            </w:r>
          </w:p>
        </w:tc>
        <w:tc>
          <w:tcPr>
            <w:tcW w:w="4276" w:type="dxa"/>
            <w:vAlign w:val="bottom"/>
          </w:tcPr>
          <w:p>
            <w:pPr>
              <w:jc w:val="left"/>
              <w:rPr>
                <w:rFonts w:ascii="宋体" w:hAnsi="宋体" w:cs="宋体"/>
                <w:color w:val="000000"/>
                <w:szCs w:val="21"/>
              </w:rPr>
            </w:pPr>
            <w:r>
              <w:rPr>
                <w:rFonts w:hint="eastAsia" w:ascii="宋体" w:hAnsi="宋体" w:cs="宋体"/>
                <w:color w:val="000000"/>
                <w:szCs w:val="21"/>
              </w:rPr>
              <w:t xml:space="preserve">0.2070 0.2038 0.2263 0.2029 0.1956 </w:t>
            </w:r>
          </w:p>
          <w:p>
            <w:pPr>
              <w:jc w:val="left"/>
              <w:rPr>
                <w:rFonts w:ascii="宋体" w:hAnsi="宋体" w:cs="宋体"/>
                <w:color w:val="000000"/>
                <w:szCs w:val="21"/>
              </w:rPr>
            </w:pPr>
            <w:r>
              <w:rPr>
                <w:rFonts w:hint="eastAsia" w:ascii="宋体" w:hAnsi="宋体" w:cs="宋体"/>
                <w:color w:val="000000"/>
                <w:szCs w:val="21"/>
              </w:rPr>
              <w:t>0.2078 0.2272 0.2117 0.2145 0.2205</w:t>
            </w:r>
          </w:p>
          <w:p>
            <w:pPr>
              <w:jc w:val="left"/>
              <w:rPr>
                <w:rFonts w:ascii="宋体" w:hAnsi="宋体" w:cs="宋体"/>
                <w:color w:val="000000"/>
                <w:szCs w:val="21"/>
              </w:rPr>
            </w:pPr>
            <w:r>
              <w:rPr>
                <w:rFonts w:hint="eastAsia" w:ascii="宋体" w:hAnsi="宋体" w:cs="宋体"/>
                <w:color w:val="000000"/>
                <w:szCs w:val="21"/>
              </w:rPr>
              <w:t xml:space="preserve">0.2169 </w:t>
            </w:r>
          </w:p>
        </w:tc>
        <w:tc>
          <w:tcPr>
            <w:tcW w:w="1111" w:type="dxa"/>
            <w:vAlign w:val="center"/>
          </w:tcPr>
          <w:p>
            <w:pPr>
              <w:jc w:val="center"/>
              <w:rPr>
                <w:rFonts w:ascii="宋体" w:hAnsi="宋体" w:cs="宋体"/>
                <w:szCs w:val="21"/>
              </w:rPr>
            </w:pPr>
            <w:r>
              <w:rPr>
                <w:rFonts w:hint="eastAsia" w:ascii="宋体" w:hAnsi="宋体" w:cs="宋体"/>
                <w:szCs w:val="21"/>
              </w:rPr>
              <w:t>0.2122</w:t>
            </w:r>
          </w:p>
        </w:tc>
        <w:tc>
          <w:tcPr>
            <w:tcW w:w="1104" w:type="dxa"/>
            <w:vAlign w:val="center"/>
          </w:tcPr>
          <w:p>
            <w:pPr>
              <w:jc w:val="center"/>
              <w:rPr>
                <w:rFonts w:ascii="宋体" w:hAnsi="宋体" w:cs="宋体"/>
                <w:szCs w:val="21"/>
              </w:rPr>
            </w:pPr>
            <w:r>
              <w:rPr>
                <w:rFonts w:hint="eastAsia" w:ascii="宋体" w:hAnsi="宋体" w:cs="宋体"/>
                <w:szCs w:val="21"/>
              </w:rPr>
              <w:t>0.00999</w:t>
            </w:r>
          </w:p>
        </w:tc>
        <w:tc>
          <w:tcPr>
            <w:tcW w:w="857" w:type="dxa"/>
            <w:vAlign w:val="center"/>
          </w:tcPr>
          <w:p>
            <w:pPr>
              <w:jc w:val="center"/>
              <w:rPr>
                <w:rFonts w:ascii="宋体" w:hAnsi="宋体" w:cs="宋体"/>
                <w:szCs w:val="21"/>
              </w:rPr>
            </w:pPr>
            <w:r>
              <w:rPr>
                <w:rFonts w:hint="eastAsia" w:ascii="宋体" w:hAnsi="宋体" w:cs="宋体"/>
                <w:szCs w:val="21"/>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90" w:type="dxa"/>
            <w:vMerge w:val="continue"/>
          </w:tcPr>
          <w:p>
            <w:pPr>
              <w:rPr>
                <w:rFonts w:ascii="宋体" w:hAnsi="宋体" w:cs="宋体"/>
                <w:szCs w:val="21"/>
              </w:rPr>
            </w:pPr>
          </w:p>
        </w:tc>
        <w:tc>
          <w:tcPr>
            <w:tcW w:w="741" w:type="dxa"/>
            <w:vAlign w:val="center"/>
          </w:tcPr>
          <w:p>
            <w:pPr>
              <w:jc w:val="center"/>
              <w:rPr>
                <w:rFonts w:ascii="宋体" w:hAnsi="宋体" w:cs="宋体"/>
                <w:szCs w:val="21"/>
              </w:rPr>
            </w:pPr>
            <w:r>
              <w:rPr>
                <w:rFonts w:hint="eastAsia" w:ascii="宋体" w:hAnsi="宋体" w:cs="宋体"/>
                <w:szCs w:val="21"/>
              </w:rPr>
              <w:t>4#</w:t>
            </w:r>
          </w:p>
        </w:tc>
        <w:tc>
          <w:tcPr>
            <w:tcW w:w="4276" w:type="dxa"/>
            <w:vAlign w:val="bottom"/>
          </w:tcPr>
          <w:p>
            <w:pPr>
              <w:rPr>
                <w:rFonts w:ascii="宋体" w:hAnsi="宋体" w:cs="宋体"/>
                <w:color w:val="000000"/>
                <w:szCs w:val="21"/>
              </w:rPr>
            </w:pPr>
            <w:r>
              <w:rPr>
                <w:rFonts w:hint="eastAsia" w:ascii="宋体" w:hAnsi="宋体" w:cs="宋体"/>
                <w:color w:val="000000"/>
                <w:szCs w:val="21"/>
              </w:rPr>
              <w:t>0.4539 0.4445 0.4505 0.4494 0.4492</w:t>
            </w:r>
          </w:p>
          <w:p>
            <w:pPr>
              <w:jc w:val="left"/>
              <w:rPr>
                <w:rFonts w:hint="eastAsia" w:ascii="宋体" w:hAnsi="宋体" w:cs="宋体"/>
                <w:color w:val="000000"/>
                <w:szCs w:val="21"/>
              </w:rPr>
            </w:pPr>
            <w:r>
              <w:rPr>
                <w:rFonts w:hint="eastAsia" w:ascii="宋体" w:hAnsi="宋体" w:cs="宋体"/>
                <w:color w:val="000000"/>
                <w:szCs w:val="21"/>
              </w:rPr>
              <w:t>0.4411 0.4462 0.4603 0.4557 0.4508</w:t>
            </w:r>
          </w:p>
          <w:p>
            <w:pPr>
              <w:jc w:val="left"/>
              <w:rPr>
                <w:rFonts w:ascii="宋体" w:hAnsi="宋体" w:cs="宋体"/>
                <w:color w:val="000000"/>
                <w:szCs w:val="21"/>
              </w:rPr>
            </w:pPr>
            <w:r>
              <w:rPr>
                <w:rFonts w:hint="eastAsia" w:ascii="宋体" w:hAnsi="宋体" w:cs="宋体"/>
                <w:color w:val="000000"/>
                <w:szCs w:val="21"/>
              </w:rPr>
              <w:t xml:space="preserve">0.4523 </w:t>
            </w:r>
          </w:p>
        </w:tc>
        <w:tc>
          <w:tcPr>
            <w:tcW w:w="1111" w:type="dxa"/>
            <w:vAlign w:val="center"/>
          </w:tcPr>
          <w:p>
            <w:pPr>
              <w:jc w:val="center"/>
              <w:rPr>
                <w:rFonts w:ascii="宋体" w:hAnsi="宋体" w:cs="宋体"/>
                <w:szCs w:val="21"/>
              </w:rPr>
            </w:pPr>
            <w:r>
              <w:rPr>
                <w:rFonts w:hint="eastAsia" w:ascii="宋体" w:hAnsi="宋体" w:cs="宋体"/>
                <w:szCs w:val="21"/>
              </w:rPr>
              <w:t>0.4504</w:t>
            </w:r>
          </w:p>
        </w:tc>
        <w:tc>
          <w:tcPr>
            <w:tcW w:w="1104" w:type="dxa"/>
            <w:vAlign w:val="center"/>
          </w:tcPr>
          <w:p>
            <w:pPr>
              <w:jc w:val="center"/>
              <w:rPr>
                <w:rFonts w:ascii="宋体" w:hAnsi="宋体" w:cs="宋体"/>
                <w:szCs w:val="21"/>
              </w:rPr>
            </w:pPr>
            <w:r>
              <w:rPr>
                <w:rFonts w:hint="eastAsia" w:ascii="宋体" w:hAnsi="宋体" w:cs="宋体"/>
                <w:szCs w:val="21"/>
              </w:rPr>
              <w:t>0.00532</w:t>
            </w:r>
          </w:p>
        </w:tc>
        <w:tc>
          <w:tcPr>
            <w:tcW w:w="857" w:type="dxa"/>
            <w:vAlign w:val="center"/>
          </w:tcPr>
          <w:p>
            <w:pPr>
              <w:jc w:val="center"/>
              <w:rPr>
                <w:rFonts w:ascii="宋体" w:hAnsi="宋体" w:cs="宋体"/>
                <w:szCs w:val="21"/>
              </w:rPr>
            </w:pPr>
            <w:r>
              <w:rPr>
                <w:rFonts w:hint="eastAsia" w:ascii="宋体" w:hAnsi="宋体" w:cs="宋体"/>
                <w:szCs w:val="21"/>
              </w:rPr>
              <w:t>1.18</w:t>
            </w:r>
          </w:p>
        </w:tc>
      </w:tr>
    </w:tbl>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hint="default"/>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432C"/>
    <w:rsid w:val="000826B8"/>
    <w:rsid w:val="000E01E4"/>
    <w:rsid w:val="0014432C"/>
    <w:rsid w:val="00175394"/>
    <w:rsid w:val="001B1614"/>
    <w:rsid w:val="002137FB"/>
    <w:rsid w:val="0028477E"/>
    <w:rsid w:val="003516C1"/>
    <w:rsid w:val="003E4FD9"/>
    <w:rsid w:val="004811DA"/>
    <w:rsid w:val="0050274E"/>
    <w:rsid w:val="00555014"/>
    <w:rsid w:val="006322A1"/>
    <w:rsid w:val="006A1A76"/>
    <w:rsid w:val="00762D2B"/>
    <w:rsid w:val="007B49C0"/>
    <w:rsid w:val="00805E3D"/>
    <w:rsid w:val="008F45F4"/>
    <w:rsid w:val="00937963"/>
    <w:rsid w:val="00A73779"/>
    <w:rsid w:val="00B76D3E"/>
    <w:rsid w:val="00BC0582"/>
    <w:rsid w:val="00C145E1"/>
    <w:rsid w:val="00D20AB0"/>
    <w:rsid w:val="00D92360"/>
    <w:rsid w:val="00E021B3"/>
    <w:rsid w:val="00E21FDB"/>
    <w:rsid w:val="056E1FAE"/>
    <w:rsid w:val="06497CEC"/>
    <w:rsid w:val="08EB794E"/>
    <w:rsid w:val="15940379"/>
    <w:rsid w:val="16A024B6"/>
    <w:rsid w:val="17D53E3D"/>
    <w:rsid w:val="1B585518"/>
    <w:rsid w:val="204B285E"/>
    <w:rsid w:val="2B1F0FBD"/>
    <w:rsid w:val="343F6B42"/>
    <w:rsid w:val="354B3041"/>
    <w:rsid w:val="361E5BF3"/>
    <w:rsid w:val="3D4E4A6E"/>
    <w:rsid w:val="3F740B5E"/>
    <w:rsid w:val="41216C26"/>
    <w:rsid w:val="441A4487"/>
    <w:rsid w:val="4A39296E"/>
    <w:rsid w:val="4B9A45B5"/>
    <w:rsid w:val="4D65614F"/>
    <w:rsid w:val="52F93611"/>
    <w:rsid w:val="556B33D0"/>
    <w:rsid w:val="56370333"/>
    <w:rsid w:val="5A1A176F"/>
    <w:rsid w:val="613F5AE2"/>
    <w:rsid w:val="613F74A1"/>
    <w:rsid w:val="62A557C4"/>
    <w:rsid w:val="65434F20"/>
    <w:rsid w:val="68A67069"/>
    <w:rsid w:val="6D8A7C1D"/>
    <w:rsid w:val="74551C42"/>
    <w:rsid w:val="7CA82359"/>
    <w:rsid w:val="7CC41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Arial" w:hAnsi="Arial" w:eastAsia="黑体"/>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ody Text"/>
    <w:basedOn w:val="1"/>
    <w:qFormat/>
    <w:uiPriority w:val="0"/>
    <w:pPr>
      <w:spacing w:after="120"/>
    </w:pPr>
  </w:style>
  <w:style w:type="paragraph" w:styleId="5">
    <w:name w:val="Plain Text"/>
    <w:basedOn w:val="1"/>
    <w:qFormat/>
    <w:uiPriority w:val="0"/>
    <w:pPr>
      <w:widowControl/>
      <w:spacing w:after="200" w:line="276" w:lineRule="auto"/>
      <w:jc w:val="left"/>
    </w:pPr>
    <w:rPr>
      <w:rFonts w:ascii="宋体" w:hAnsi="Courier New" w:cs="Courier New"/>
      <w:kern w:val="0"/>
      <w:sz w:val="22"/>
      <w:szCs w:val="21"/>
    </w:rPr>
  </w:style>
  <w:style w:type="paragraph" w:styleId="6">
    <w:name w:val="footer"/>
    <w:basedOn w:val="1"/>
    <w:uiPriority w:val="0"/>
    <w:pPr>
      <w:tabs>
        <w:tab w:val="center" w:pos="4153"/>
        <w:tab w:val="right" w:pos="8306"/>
      </w:tabs>
      <w:snapToGrid w:val="0"/>
      <w:ind w:right="210" w:rightChars="100"/>
      <w:jc w:val="righ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Body Text First Indent"/>
    <w:basedOn w:val="4"/>
    <w:unhideWhenUsed/>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rPr>
      <w:rFonts w:ascii="Times New Roman" w:hAnsi="Times New Roman" w:eastAsia="宋体"/>
      <w:sz w:val="18"/>
    </w:rPr>
  </w:style>
  <w:style w:type="paragraph" w:customStyle="1" w:styleId="14">
    <w:name w:val="章标题"/>
    <w:next w:val="15"/>
    <w:qFormat/>
    <w:uiPriority w:val="0"/>
    <w:pPr>
      <w:numPr>
        <w:ilvl w:val="0"/>
        <w:numId w:val="1"/>
      </w:numPr>
      <w:spacing w:beforeLines="100" w:afterLines="100" w:line="276" w:lineRule="auto"/>
      <w:jc w:val="both"/>
      <w:outlineLvl w:val="1"/>
    </w:pPr>
    <w:rPr>
      <w:rFonts w:ascii="黑体" w:hAnsi="Times New Roman" w:eastAsia="黑体" w:cs="Times New Roman"/>
      <w:sz w:val="22"/>
      <w:lang w:val="en-US" w:eastAsia="zh-CN" w:bidi="ar-SA"/>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16">
    <w:name w:val="封面标准号2"/>
    <w:basedOn w:val="1"/>
    <w:qFormat/>
    <w:uiPriority w:val="0"/>
  </w:style>
  <w:style w:type="paragraph" w:customStyle="1" w:styleId="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18">
    <w:name w:val="标题 2 Char"/>
    <w:link w:val="2"/>
    <w:qFormat/>
    <w:uiPriority w:val="0"/>
    <w:rPr>
      <w:rFonts w:ascii="Arial" w:hAnsi="Arial" w:eastAsia="黑体"/>
      <w:bCs/>
      <w:kern w:val="0"/>
      <w:sz w:val="32"/>
      <w:szCs w:val="32"/>
    </w:rPr>
  </w:style>
  <w:style w:type="paragraph" w:styleId="1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4882</Words>
  <Characters>3588</Characters>
  <Lines>29</Lines>
  <Paragraphs>16</Paragraphs>
  <TotalTime>5</TotalTime>
  <ScaleCrop>false</ScaleCrop>
  <LinksUpToDate>false</LinksUpToDate>
  <CharactersWithSpaces>8454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2020-07-31T06:39:00Z</dcterms:created>
  <dc:creator>xiao</dc:creator>
  <cp:lastModifiedBy>艾</cp:lastModifiedBy>
  <dcterms:modified xsi:type="dcterms:W3CDTF">2020-08-05T00:43:21Z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