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szCs w:val="21"/>
        </w:rPr>
      </w:pPr>
      <w:r>
        <w:rPr>
          <w:szCs w:val="21"/>
        </w:rPr>
        <w:object>
          <v:shape id="_x0000_i1025" o:spt="75" type="#_x0000_t75" style="height:72.75pt;width:94.5pt;" o:ole="t" filled="f" o:preferrelative="t" stroked="f" coordsize="21600,21600">
            <v:path/>
            <v:fill on="f" focussize="0,0"/>
            <v:stroke on="f" joinstyle="miter"/>
            <v:imagedata r:id="rId7" o:title=""/>
            <o:lock v:ext="edit" aspectratio="t"/>
            <w10:wrap type="none"/>
            <w10:anchorlock/>
          </v:shape>
          <o:OLEObject Type="Embed" ProgID="Word.Picture.8" ShapeID="_x0000_i1025" DrawAspect="Content" ObjectID="_1468075725" r:id="rId6">
            <o:LockedField>false</o:LockedField>
          </o:OLEObject>
        </w:object>
      </w:r>
      <w:bookmarkStart w:id="0" w:name="_1166437142"/>
      <w:bookmarkEnd w:id="0"/>
      <w:r>
        <w:rPr>
          <w:rFonts w:ascii="宋体" w:hAnsi="Symbol"/>
          <w:szCs w:val="21"/>
        </w:rPr>
        <w:object>
          <v:shape id="_x0000_i1026" o:spt="75" type="#_x0000_t75" style="height:45pt;width:498.75pt;" o:ole="t" fillcolor="#FFFFFF" filled="f" o:preferrelative="t" stroked="f" coordsize="21600,21600">
            <v:path/>
            <v:fill on="f" focussize="0,0"/>
            <v:stroke on="f" joinstyle="miter"/>
            <v:imagedata r:id="rId9" o:title=""/>
            <o:lock v:ext="edit" aspectratio="t"/>
            <w10:wrap type="none"/>
            <w10:anchorlock/>
          </v:shape>
          <o:OLEObject Type="Embed" ProgID="Word.Picture.8" ShapeID="_x0000_i1026" DrawAspect="Content" ObjectID="_1468075726" r:id="rId8">
            <o:LockedField>false</o:LockedField>
          </o:OLEObject>
        </w:object>
      </w:r>
      <w:r>
        <w:rPr>
          <w:szCs w:val="21"/>
        </w:rPr>
        <w:pict>
          <v:line id="Line 2" o:spid="_x0000_s1026" o:spt="20" style="position:absolute;left:0pt;margin-left:72pt;margin-top:235.8pt;height:0.05pt;width:481.9pt;mso-position-horizontal-relative:page;mso-position-vertical-relative:page;z-index:251657216;mso-width-relative:page;mso-height-relative:page;" coordsize="21600,21600">
            <v:path arrowok="t"/>
            <v:fill focussize="0,0"/>
            <v:stroke/>
            <v:imagedata o:title=""/>
            <o:lock v:ext="edit"/>
            <w10:anchorlock/>
          </v:line>
        </w:pict>
      </w:r>
    </w:p>
    <w:p>
      <w:pPr>
        <w:framePr w:w="4383" w:hSpace="181" w:wrap="around" w:vAnchor="page" w:hAnchor="page" w:x="1800" w:y="1285" w:anchorLock="1"/>
        <w:rPr>
          <w:rFonts w:ascii="黑体" w:eastAsia="黑体"/>
          <w:b/>
          <w:bCs/>
          <w:szCs w:val="21"/>
        </w:rPr>
      </w:pPr>
      <w:r>
        <w:rPr>
          <w:rFonts w:ascii="黑体" w:eastAsia="黑体"/>
          <w:b/>
          <w:bCs/>
          <w:szCs w:val="21"/>
        </w:rPr>
        <w:t>ICS</w:t>
      </w:r>
      <w:r>
        <w:rPr>
          <w:rFonts w:hint="eastAsia" w:ascii="黑体" w:eastAsia="黑体"/>
          <w:b/>
          <w:bCs/>
          <w:szCs w:val="21"/>
        </w:rPr>
        <w:t xml:space="preserve"> 77.150.30</w:t>
      </w:r>
    </w:p>
    <w:p>
      <w:pPr>
        <w:framePr w:w="4383" w:hSpace="181" w:wrap="around" w:vAnchor="page" w:hAnchor="page" w:x="1800" w:y="1285" w:anchorLock="1"/>
        <w:rPr>
          <w:rFonts w:ascii="黑体" w:eastAsia="黑体"/>
          <w:b/>
          <w:bCs/>
          <w:szCs w:val="21"/>
        </w:rPr>
      </w:pPr>
      <w:r>
        <w:rPr>
          <w:rFonts w:hint="eastAsia" w:ascii="黑体" w:eastAsia="黑体"/>
          <w:b/>
          <w:bCs/>
          <w:color w:val="FF0000"/>
          <w:szCs w:val="21"/>
          <w:lang w:val="en-US" w:eastAsia="zh-CN"/>
        </w:rPr>
        <w:t>CCS</w:t>
      </w:r>
      <w:r>
        <w:rPr>
          <w:rFonts w:hint="eastAsia" w:ascii="黑体" w:eastAsia="黑体"/>
          <w:b/>
          <w:bCs/>
          <w:szCs w:val="21"/>
          <w:lang w:val="en-US" w:eastAsia="zh-CN"/>
        </w:rPr>
        <w:t xml:space="preserve"> </w:t>
      </w:r>
      <w:r>
        <w:rPr>
          <w:rFonts w:hint="eastAsia" w:ascii="黑体" w:eastAsia="黑体"/>
          <w:b/>
          <w:bCs/>
          <w:szCs w:val="21"/>
        </w:rPr>
        <w:t>H</w:t>
      </w:r>
      <w:r>
        <w:rPr>
          <w:rFonts w:hint="eastAsia" w:ascii="黑体" w:eastAsia="黑体"/>
          <w:b/>
          <w:bCs/>
          <w:szCs w:val="21"/>
          <w:lang w:val="en-US" w:eastAsia="zh-CN"/>
        </w:rPr>
        <w:t xml:space="preserve"> </w:t>
      </w:r>
      <w:r>
        <w:rPr>
          <w:rFonts w:hint="eastAsia" w:ascii="黑体" w:eastAsia="黑体"/>
          <w:b/>
          <w:bCs/>
          <w:szCs w:val="21"/>
        </w:rPr>
        <w:t>62</w:t>
      </w:r>
    </w:p>
    <w:p>
      <w:pPr>
        <w:pStyle w:val="2"/>
        <w:rPr>
          <w:szCs w:val="21"/>
        </w:rPr>
      </w:pPr>
    </w:p>
    <w:p>
      <w:pPr>
        <w:pStyle w:val="16"/>
        <w:spacing w:line="240" w:lineRule="auto"/>
        <w:rPr>
          <w:sz w:val="21"/>
          <w:szCs w:val="21"/>
        </w:rPr>
      </w:pPr>
    </w:p>
    <w:p>
      <w:pPr>
        <w:rPr>
          <w:szCs w:val="21"/>
        </w:rPr>
      </w:pPr>
    </w:p>
    <w:p>
      <w:pPr>
        <w:rPr>
          <w:szCs w:val="21"/>
        </w:rPr>
      </w:pPr>
    </w:p>
    <w:p>
      <w:pPr>
        <w:rPr>
          <w:szCs w:val="21"/>
        </w:rPr>
      </w:pPr>
    </w:p>
    <w:p>
      <w:pPr>
        <w:framePr w:w="5268" w:h="787" w:hRule="exact" w:hSpace="181" w:wrap="around" w:vAnchor="page" w:hAnchor="page" w:x="5940" w:y="3937" w:anchorLock="1"/>
        <w:ind w:right="140"/>
        <w:jc w:val="right"/>
        <w:rPr>
          <w:rFonts w:ascii="黑体" w:eastAsia="黑体"/>
          <w:bCs/>
          <w:szCs w:val="21"/>
        </w:rPr>
      </w:pPr>
      <w:r>
        <w:rPr>
          <w:rFonts w:hint="eastAsia" w:ascii="黑体" w:eastAsia="黑体"/>
          <w:bCs/>
          <w:szCs w:val="21"/>
        </w:rPr>
        <w:t>YS</w:t>
      </w:r>
      <w:r>
        <w:rPr>
          <w:rFonts w:ascii="黑体" w:eastAsia="黑体"/>
          <w:bCs/>
          <w:szCs w:val="21"/>
        </w:rPr>
        <w:t>/T XX</w:t>
      </w:r>
      <w:r>
        <w:rPr>
          <w:rFonts w:hint="eastAsia" w:ascii="黑体" w:eastAsia="黑体"/>
          <w:bCs/>
          <w:szCs w:val="21"/>
        </w:rPr>
        <w:t>X－</w:t>
      </w:r>
      <w:r>
        <w:rPr>
          <w:rFonts w:ascii="黑体" w:eastAsia="黑体"/>
          <w:bCs/>
          <w:szCs w:val="21"/>
        </w:rPr>
        <w:t>XXXX</w:t>
      </w:r>
    </w:p>
    <w:p>
      <w:pPr>
        <w:framePr w:w="5268" w:h="787" w:hRule="exact" w:hSpace="181" w:wrap="around" w:vAnchor="page" w:hAnchor="page" w:x="5940" w:y="3937" w:anchorLock="1"/>
        <w:rPr>
          <w:rFonts w:eastAsia="黑体"/>
          <w:b/>
          <w:szCs w:val="21"/>
        </w:rPr>
      </w:pPr>
    </w:p>
    <w:p>
      <w:pPr>
        <w:jc w:val="center"/>
        <w:rPr>
          <w:sz w:val="28"/>
          <w:szCs w:val="28"/>
        </w:rPr>
      </w:pPr>
      <w:r>
        <w:rPr>
          <w:sz w:val="28"/>
          <w:szCs w:val="28"/>
          <w:shd w:val="clear" w:color="auto" w:fill="FCFCFC"/>
        </w:rPr>
        <w:t>G</w:t>
      </w:r>
      <w:r>
        <w:rPr>
          <w:rFonts w:hint="eastAsia"/>
          <w:sz w:val="28"/>
          <w:szCs w:val="28"/>
          <w:shd w:val="clear" w:color="auto" w:fill="FCFCFC"/>
        </w:rPr>
        <w:t>u</w:t>
      </w:r>
      <w:r>
        <w:rPr>
          <w:sz w:val="28"/>
          <w:szCs w:val="28"/>
          <w:shd w:val="clear" w:color="auto" w:fill="FCFCFC"/>
        </w:rPr>
        <w:t>ide</w:t>
      </w:r>
      <w:r>
        <w:rPr>
          <w:rFonts w:hint="eastAsia"/>
          <w:sz w:val="28"/>
          <w:szCs w:val="28"/>
          <w:shd w:val="clear" w:color="auto" w:fill="FCFCFC"/>
        </w:rPr>
        <w:t>lines</w:t>
      </w:r>
      <w:r>
        <w:rPr>
          <w:sz w:val="28"/>
          <w:szCs w:val="28"/>
          <w:shd w:val="clear" w:color="auto" w:fill="FCFCFC"/>
        </w:rPr>
        <w:t xml:space="preserve"> </w:t>
      </w:r>
      <w:r>
        <w:rPr>
          <w:rFonts w:hint="eastAsia"/>
          <w:sz w:val="28"/>
          <w:szCs w:val="28"/>
          <w:shd w:val="clear" w:color="auto" w:fill="FCFCFC"/>
        </w:rPr>
        <w:t>for assessment of g</w:t>
      </w:r>
      <w:r>
        <w:rPr>
          <w:sz w:val="28"/>
          <w:szCs w:val="28"/>
          <w:shd w:val="clear" w:color="auto" w:fill="FCFCFC"/>
        </w:rPr>
        <w:t xml:space="preserve">reen </w:t>
      </w:r>
      <w:r>
        <w:rPr>
          <w:rFonts w:hint="eastAsia"/>
          <w:sz w:val="28"/>
          <w:szCs w:val="28"/>
          <w:shd w:val="clear" w:color="auto" w:fill="FCFCFC"/>
        </w:rPr>
        <w:t>f</w:t>
      </w:r>
      <w:r>
        <w:rPr>
          <w:sz w:val="28"/>
          <w:szCs w:val="28"/>
          <w:shd w:val="clear" w:color="auto" w:fill="FCFCFC"/>
        </w:rPr>
        <w:t xml:space="preserve">actory in </w:t>
      </w:r>
      <w:r>
        <w:rPr>
          <w:rFonts w:hint="eastAsia"/>
          <w:sz w:val="28"/>
          <w:szCs w:val="28"/>
          <w:shd w:val="clear" w:color="auto" w:fill="FCFCFC"/>
        </w:rPr>
        <w:t>c</w:t>
      </w:r>
      <w:r>
        <w:rPr>
          <w:sz w:val="28"/>
          <w:szCs w:val="28"/>
          <w:shd w:val="clear" w:color="auto" w:fill="FCFCFC"/>
        </w:rPr>
        <w:t xml:space="preserve">opper and </w:t>
      </w:r>
      <w:r>
        <w:rPr>
          <w:rFonts w:hint="eastAsia"/>
          <w:sz w:val="28"/>
          <w:szCs w:val="28"/>
          <w:shd w:val="clear" w:color="auto" w:fill="FCFCFC"/>
        </w:rPr>
        <w:t>c</w:t>
      </w:r>
      <w:r>
        <w:rPr>
          <w:sz w:val="28"/>
          <w:szCs w:val="28"/>
          <w:shd w:val="clear" w:color="auto" w:fill="FCFCFC"/>
        </w:rPr>
        <w:t xml:space="preserve">opper </w:t>
      </w:r>
      <w:r>
        <w:rPr>
          <w:rFonts w:hint="eastAsia"/>
          <w:sz w:val="28"/>
          <w:szCs w:val="28"/>
          <w:shd w:val="clear" w:color="auto" w:fill="FCFCFC"/>
        </w:rPr>
        <w:t>a</w:t>
      </w:r>
      <w:r>
        <w:rPr>
          <w:sz w:val="28"/>
          <w:szCs w:val="28"/>
          <w:shd w:val="clear" w:color="auto" w:fill="FCFCFC"/>
        </w:rPr>
        <w:t xml:space="preserve">lloy </w:t>
      </w:r>
      <w:r>
        <w:rPr>
          <w:rFonts w:hint="eastAsia"/>
          <w:sz w:val="28"/>
          <w:szCs w:val="28"/>
          <w:shd w:val="clear" w:color="auto" w:fill="FCFCFC"/>
        </w:rPr>
        <w:t>p</w:t>
      </w:r>
      <w:r>
        <w:rPr>
          <w:sz w:val="28"/>
          <w:szCs w:val="28"/>
          <w:shd w:val="clear" w:color="auto" w:fill="FCFCFC"/>
        </w:rPr>
        <w:t xml:space="preserve">rocessing </w:t>
      </w:r>
      <w:r>
        <w:rPr>
          <w:rFonts w:hint="eastAsia"/>
          <w:sz w:val="28"/>
          <w:szCs w:val="28"/>
          <w:shd w:val="clear" w:color="auto" w:fill="FCFCFC"/>
        </w:rPr>
        <w:t>i</w:t>
      </w:r>
      <w:r>
        <w:rPr>
          <w:sz w:val="28"/>
          <w:szCs w:val="28"/>
          <w:shd w:val="clear" w:color="auto" w:fill="FCFCFC"/>
        </w:rPr>
        <w:t>ndustry</w:t>
      </w:r>
    </w:p>
    <w:p>
      <w:pPr>
        <w:rPr>
          <w:szCs w:val="21"/>
        </w:rPr>
      </w:pPr>
    </w:p>
    <w:p>
      <w:pPr>
        <w:rPr>
          <w:szCs w:val="21"/>
        </w:rPr>
      </w:pPr>
      <w:r>
        <w:rPr>
          <w:rFonts w:hint="eastAsia"/>
          <w:szCs w:val="21"/>
        </w:rPr>
        <w:t>　　　　</w:t>
      </w:r>
    </w:p>
    <w:p>
      <w:pPr>
        <w:rPr>
          <w:szCs w:val="21"/>
        </w:rPr>
      </w:pPr>
    </w:p>
    <w:p>
      <w:pPr>
        <w:rPr>
          <w:szCs w:val="21"/>
        </w:rPr>
      </w:pPr>
    </w:p>
    <w:p>
      <w:pPr>
        <w:rPr>
          <w:szCs w:val="21"/>
        </w:rPr>
      </w:pPr>
    </w:p>
    <w:p>
      <w:pPr>
        <w:rPr>
          <w:szCs w:val="21"/>
        </w:rPr>
      </w:pPr>
    </w:p>
    <w:p>
      <w:pPr>
        <w:framePr w:w="8883" w:hSpace="181" w:wrap="notBeside" w:vAnchor="text" w:hAnchor="page" w:x="1587" w:y="243"/>
        <w:jc w:val="center"/>
        <w:rPr>
          <w:rFonts w:ascii="宋体" w:hAnsi="宋体"/>
          <w:sz w:val="28"/>
          <w:szCs w:val="28"/>
        </w:rPr>
      </w:pPr>
      <w:r>
        <w:rPr>
          <w:rFonts w:hint="eastAsia" w:ascii="宋体" w:hAnsi="宋体"/>
          <w:sz w:val="28"/>
          <w:szCs w:val="28"/>
        </w:rPr>
        <w:t>（</w:t>
      </w:r>
      <w:r>
        <w:rPr>
          <w:rFonts w:hint="eastAsia" w:ascii="宋体" w:hAnsi="宋体"/>
          <w:color w:val="FF0000"/>
          <w:sz w:val="28"/>
          <w:szCs w:val="28"/>
          <w:lang w:eastAsia="zh-CN"/>
        </w:rPr>
        <w:t>预审</w:t>
      </w:r>
      <w:r>
        <w:rPr>
          <w:rFonts w:hint="eastAsia" w:ascii="宋体" w:hAnsi="宋体"/>
          <w:sz w:val="28"/>
          <w:szCs w:val="28"/>
        </w:rPr>
        <w:t>稿）</w:t>
      </w:r>
    </w:p>
    <w:p>
      <w:pPr>
        <w:rPr>
          <w:szCs w:val="21"/>
        </w:rPr>
      </w:pPr>
    </w:p>
    <w:p>
      <w:pPr>
        <w:framePr w:w="9724" w:hSpace="181" w:wrap="notBeside" w:vAnchor="page" w:hAnchor="page" w:x="1397" w:y="5856" w:anchorLock="1"/>
        <w:jc w:val="center"/>
        <w:rPr>
          <w:rFonts w:ascii="黑体" w:hAnsi="宋体" w:eastAsia="黑体"/>
          <w:b/>
          <w:sz w:val="48"/>
          <w:szCs w:val="48"/>
        </w:rPr>
      </w:pPr>
      <w:r>
        <w:rPr>
          <w:rFonts w:hint="eastAsia" w:ascii="黑体" w:hAnsi="宋体" w:eastAsia="黑体"/>
          <w:b/>
          <w:sz w:val="48"/>
          <w:szCs w:val="48"/>
        </w:rPr>
        <w:t>铜及铜合金加工行业绿色工厂</w:t>
      </w:r>
    </w:p>
    <w:p>
      <w:pPr>
        <w:framePr w:w="9724" w:hSpace="181" w:wrap="notBeside" w:vAnchor="page" w:hAnchor="page" w:x="1397" w:y="5856" w:anchorLock="1"/>
        <w:jc w:val="center"/>
        <w:rPr>
          <w:rFonts w:ascii="黑体" w:eastAsia="黑体"/>
          <w:sz w:val="48"/>
          <w:szCs w:val="48"/>
        </w:rPr>
      </w:pPr>
      <w:r>
        <w:rPr>
          <w:rFonts w:hint="eastAsia" w:ascii="黑体" w:hAnsi="宋体" w:eastAsia="黑体"/>
          <w:b/>
          <w:sz w:val="48"/>
          <w:szCs w:val="48"/>
        </w:rPr>
        <w:t>评价导则</w:t>
      </w:r>
    </w:p>
    <w:p>
      <w:pPr>
        <w:rPr>
          <w:szCs w:val="21"/>
        </w:rPr>
      </w:pPr>
    </w:p>
    <w:p>
      <w:pPr>
        <w:rPr>
          <w:szCs w:val="21"/>
        </w:rPr>
      </w:pPr>
    </w:p>
    <w:p>
      <w:pPr>
        <w:rPr>
          <w:szCs w:val="21"/>
        </w:rPr>
      </w:pPr>
    </w:p>
    <w:p>
      <w:pPr>
        <w:rPr>
          <w:szCs w:val="21"/>
        </w:rPr>
      </w:pPr>
    </w:p>
    <w:p>
      <w:pPr>
        <w:framePr w:w="2343" w:h="472" w:hRule="exact" w:hSpace="181" w:wrap="around" w:vAnchor="page" w:hAnchor="page" w:x="1440" w:y="13609" w:anchorLock="1"/>
        <w:jc w:val="center"/>
        <w:rPr>
          <w:rFonts w:eastAsia="黑体"/>
          <w:sz w:val="28"/>
          <w:szCs w:val="28"/>
        </w:rPr>
      </w:pPr>
      <w:bookmarkStart w:id="1" w:name="FB"/>
      <w:r>
        <w:rPr>
          <w:rFonts w:eastAsia="黑体"/>
          <w:sz w:val="28"/>
          <w:szCs w:val="28"/>
        </w:rPr>
        <w:fldChar w:fldCharType="begin">
          <w:ffData>
            <w:name w:val="FB"/>
            <w:enabled/>
            <w:calcOnExit w:val="0"/>
            <w:textInput>
              <w:default w:val="200x-xx-xx 发布"/>
            </w:textInput>
          </w:ffData>
        </w:fldChar>
      </w:r>
      <w:r>
        <w:rPr>
          <w:rFonts w:eastAsia="黑体"/>
          <w:sz w:val="28"/>
          <w:szCs w:val="28"/>
        </w:rPr>
        <w:instrText xml:space="preserve"> FORMTEXT </w:instrText>
      </w:r>
      <w:r>
        <w:rPr>
          <w:rFonts w:eastAsia="黑体"/>
          <w:sz w:val="28"/>
          <w:szCs w:val="28"/>
        </w:rPr>
        <w:fldChar w:fldCharType="separate"/>
      </w:r>
      <w:r>
        <w:rPr>
          <w:rFonts w:hint="eastAsia" w:eastAsia="黑体"/>
          <w:sz w:val="28"/>
          <w:szCs w:val="28"/>
        </w:rPr>
        <w:t>200x-xx-xx 发布</w:t>
      </w:r>
      <w:r>
        <w:rPr>
          <w:rFonts w:eastAsia="黑体"/>
          <w:sz w:val="28"/>
          <w:szCs w:val="28"/>
        </w:rPr>
        <w:fldChar w:fldCharType="end"/>
      </w:r>
      <w:bookmarkEnd w:id="1"/>
    </w:p>
    <w:p>
      <w:pPr>
        <w:rPr>
          <w:szCs w:val="21"/>
        </w:rPr>
      </w:pPr>
      <w:r>
        <w:rPr>
          <w:szCs w:val="21"/>
        </w:rPr>
        <w:pict>
          <v:line id="Line 3" o:spid="_x0000_s1027" o:spt="20" style="position:absolute;left:0pt;margin-left:72pt;margin-top:711.6pt;height:0.05pt;width:481.9pt;mso-position-horizontal-relative:page;mso-position-vertical-relative:page;z-index:251658240;mso-width-relative:page;mso-height-relative:page;" coordsize="21600,21600">
            <v:path arrowok="t"/>
            <v:fill focussize="0,0"/>
            <v:stroke/>
            <v:imagedata o:title=""/>
            <o:lock v:ext="edit"/>
            <w10:anchorlock/>
          </v:line>
        </w:pict>
      </w:r>
    </w:p>
    <w:p>
      <w:pPr>
        <w:framePr w:w="2971" w:h="472" w:hRule="exact" w:hSpace="181" w:wrap="around" w:vAnchor="page" w:hAnchor="page" w:x="8078" w:y="13601" w:anchorLock="1"/>
        <w:jc w:val="center"/>
        <w:rPr>
          <w:rFonts w:eastAsia="黑体"/>
          <w:sz w:val="28"/>
          <w:szCs w:val="28"/>
        </w:rPr>
      </w:pPr>
      <w:r>
        <w:rPr>
          <w:rFonts w:hint="eastAsia" w:eastAsia="黑体"/>
          <w:sz w:val="28"/>
          <w:szCs w:val="28"/>
        </w:rPr>
        <w:t xml:space="preserve">     </w:t>
      </w:r>
      <w:r>
        <w:rPr>
          <w:rFonts w:eastAsia="黑体"/>
          <w:sz w:val="28"/>
          <w:szCs w:val="28"/>
        </w:rPr>
        <w:fldChar w:fldCharType="begin">
          <w:ffData>
            <w:name w:val="SS"/>
            <w:enabled/>
            <w:calcOnExit w:val="0"/>
            <w:textInput>
              <w:default w:val="200x-xx-xx 实施"/>
            </w:textInput>
          </w:ffData>
        </w:fldChar>
      </w:r>
      <w:bookmarkStart w:id="2" w:name="SS"/>
      <w:r>
        <w:rPr>
          <w:rFonts w:eastAsia="黑体"/>
          <w:sz w:val="28"/>
          <w:szCs w:val="28"/>
        </w:rPr>
        <w:instrText xml:space="preserve"> FORMTEXT </w:instrText>
      </w:r>
      <w:r>
        <w:rPr>
          <w:rFonts w:eastAsia="黑体"/>
          <w:sz w:val="28"/>
          <w:szCs w:val="28"/>
        </w:rPr>
        <w:fldChar w:fldCharType="separate"/>
      </w:r>
      <w:r>
        <w:rPr>
          <w:rFonts w:hint="eastAsia" w:eastAsia="黑体"/>
          <w:sz w:val="28"/>
          <w:szCs w:val="28"/>
        </w:rPr>
        <w:t>200x-xx-xx 实施</w:t>
      </w:r>
      <w:r>
        <w:rPr>
          <w:rFonts w:eastAsia="黑体"/>
          <w:sz w:val="28"/>
          <w:szCs w:val="28"/>
        </w:rPr>
        <w:fldChar w:fldCharType="end"/>
      </w:r>
      <w:bookmarkEnd w:id="2"/>
    </w:p>
    <w:p>
      <w:pPr>
        <w:pStyle w:val="16"/>
        <w:spacing w:line="240" w:lineRule="auto"/>
        <w:rPr>
          <w:sz w:val="21"/>
          <w:szCs w:val="21"/>
        </w:rPr>
      </w:pPr>
    </w:p>
    <w:p>
      <w:pPr>
        <w:rPr>
          <w:szCs w:val="21"/>
        </w:rPr>
      </w:pPr>
    </w:p>
    <w:p>
      <w:pPr>
        <w:rPr>
          <w:szCs w:val="21"/>
        </w:rPr>
      </w:pPr>
    </w:p>
    <w:tbl>
      <w:tblPr>
        <w:tblStyle w:val="19"/>
        <w:tblpPr w:leftFromText="180" w:rightFromText="180" w:vertAnchor="text" w:horzAnchor="margin" w:tblpXSpec="center" w:tblpY="227"/>
        <w:tblW w:w="0" w:type="auto"/>
        <w:tblInd w:w="0" w:type="dxa"/>
        <w:tblLayout w:type="fixed"/>
        <w:tblCellMar>
          <w:top w:w="0" w:type="dxa"/>
          <w:left w:w="108" w:type="dxa"/>
          <w:bottom w:w="0" w:type="dxa"/>
          <w:right w:w="108" w:type="dxa"/>
        </w:tblCellMar>
      </w:tblPr>
      <w:tblGrid>
        <w:gridCol w:w="5340"/>
        <w:gridCol w:w="1277"/>
      </w:tblGrid>
      <w:tr>
        <w:tblPrEx>
          <w:tblCellMar>
            <w:top w:w="0" w:type="dxa"/>
            <w:left w:w="108" w:type="dxa"/>
            <w:bottom w:w="0" w:type="dxa"/>
            <w:right w:w="108" w:type="dxa"/>
          </w:tblCellMar>
        </w:tblPrEx>
        <w:tc>
          <w:tcPr>
            <w:tcW w:w="5340" w:type="dxa"/>
            <w:vAlign w:val="center"/>
          </w:tcPr>
          <w:p>
            <w:pPr>
              <w:jc w:val="center"/>
              <w:rPr>
                <w:rFonts w:ascii="宋体"/>
                <w:w w:val="120"/>
                <w:sz w:val="28"/>
                <w:szCs w:val="28"/>
              </w:rPr>
            </w:pPr>
            <w:r>
              <w:rPr>
                <w:rStyle w:val="21"/>
                <w:rFonts w:hint="eastAsia"/>
                <w:sz w:val="28"/>
                <w:szCs w:val="28"/>
              </w:rPr>
              <w:t>中华人民共和国工业和信息化部</w:t>
            </w:r>
          </w:p>
        </w:tc>
        <w:tc>
          <w:tcPr>
            <w:tcW w:w="1277" w:type="dxa"/>
            <w:vAlign w:val="center"/>
          </w:tcPr>
          <w:p>
            <w:pPr>
              <w:rPr>
                <w:rFonts w:ascii="黑体"/>
                <w:szCs w:val="21"/>
              </w:rPr>
            </w:pPr>
            <w:r>
              <w:rPr>
                <w:rFonts w:hint="eastAsia" w:ascii="黑体"/>
                <w:szCs w:val="21"/>
              </w:rPr>
              <w:t>发布</w:t>
            </w:r>
          </w:p>
        </w:tc>
      </w:tr>
    </w:tbl>
    <w:p>
      <w:pPr>
        <w:wordWrap w:val="0"/>
        <w:ind w:right="640"/>
        <w:jc w:val="right"/>
        <w:rPr>
          <w:rFonts w:ascii="黑体" w:eastAsia="黑体"/>
          <w:b/>
          <w:szCs w:val="21"/>
        </w:rPr>
      </w:pPr>
      <w:r>
        <w:rPr>
          <w:rFonts w:hint="eastAsia"/>
          <w:b/>
          <w:bCs/>
          <w:szCs w:val="21"/>
        </w:rPr>
        <w:t xml:space="preserve">    </w:t>
      </w:r>
      <w:r>
        <w:rPr>
          <w:rFonts w:hint="eastAsia" w:ascii="黑体" w:eastAsia="黑体"/>
          <w:b/>
          <w:szCs w:val="21"/>
        </w:rPr>
        <w:t xml:space="preserve">    </w:t>
      </w:r>
    </w:p>
    <w:p>
      <w:pPr>
        <w:ind w:right="10"/>
        <w:jc w:val="right"/>
        <w:rPr>
          <w:rFonts w:ascii="黑体" w:eastAsia="黑体"/>
          <w:b/>
          <w:szCs w:val="21"/>
        </w:rPr>
      </w:pPr>
    </w:p>
    <w:p>
      <w:pPr>
        <w:ind w:right="10"/>
        <w:jc w:val="right"/>
        <w:rPr>
          <w:rFonts w:ascii="黑体" w:eastAsia="黑体"/>
          <w:b/>
          <w:szCs w:val="21"/>
        </w:rPr>
      </w:pPr>
    </w:p>
    <w:p>
      <w:pPr>
        <w:ind w:right="10"/>
        <w:jc w:val="right"/>
        <w:rPr>
          <w:rFonts w:ascii="黑体" w:eastAsia="黑体"/>
          <w:b/>
          <w:szCs w:val="21"/>
        </w:rPr>
      </w:pPr>
      <w:r>
        <w:rPr>
          <w:rFonts w:hint="eastAsia" w:ascii="黑体" w:eastAsia="黑体"/>
          <w:b/>
          <w:szCs w:val="21"/>
        </w:rPr>
        <w:t xml:space="preserve">YS/T </w:t>
      </w:r>
      <w:r>
        <w:rPr>
          <w:rFonts w:hint="eastAsia" w:ascii="黑体" w:eastAsia="黑体"/>
          <w:szCs w:val="21"/>
        </w:rPr>
        <w:t>×××-××××</w:t>
      </w:r>
    </w:p>
    <w:p>
      <w:pPr>
        <w:pStyle w:val="16"/>
        <w:tabs>
          <w:tab w:val="right" w:leader="dot" w:pos="9062"/>
        </w:tabs>
        <w:rPr>
          <w:rFonts w:asciiTheme="minorHAnsi" w:hAnsiTheme="minorHAnsi" w:eastAsiaTheme="minorEastAsia" w:cstheme="minorBidi"/>
          <w:kern w:val="2"/>
          <w:sz w:val="21"/>
          <w:szCs w:val="22"/>
        </w:rPr>
      </w:pPr>
      <w:r>
        <w:rPr>
          <w:szCs w:val="21"/>
        </w:rPr>
        <w:fldChar w:fldCharType="begin"/>
      </w:r>
      <w:r>
        <w:rPr>
          <w:szCs w:val="21"/>
        </w:rPr>
        <w:instrText xml:space="preserve"> TOC \o "1-3" \h \z \u </w:instrText>
      </w:r>
      <w:r>
        <w:rPr>
          <w:szCs w:val="21"/>
        </w:rPr>
        <w:fldChar w:fldCharType="separate"/>
      </w:r>
    </w:p>
    <w:p>
      <w:pPr>
        <w:pStyle w:val="16"/>
        <w:tabs>
          <w:tab w:val="right" w:leader="dot" w:pos="9062"/>
        </w:tabs>
        <w:ind w:right="240"/>
        <w:rPr>
          <w:rFonts w:asciiTheme="minorEastAsia" w:hAnsiTheme="minorEastAsia" w:eastAsiaTheme="minorEastAsia" w:cstheme="minorBidi"/>
          <w:kern w:val="2"/>
          <w:sz w:val="21"/>
          <w:szCs w:val="21"/>
        </w:rPr>
      </w:pPr>
      <w:r>
        <w:rPr>
          <w:rStyle w:val="23"/>
          <w:rFonts w:hint="eastAsia"/>
          <w:color w:val="auto"/>
        </w:rPr>
        <w:t xml:space="preserve">  </w:t>
      </w:r>
      <w:r>
        <w:rPr>
          <w:rStyle w:val="23"/>
          <w:rFonts w:asciiTheme="minorEastAsia" w:hAnsiTheme="minorEastAsia" w:eastAsiaTheme="minorEastAsia"/>
          <w:color w:val="auto"/>
          <w:sz w:val="21"/>
          <w:szCs w:val="21"/>
        </w:rPr>
        <w:fldChar w:fldCharType="begin"/>
      </w:r>
      <w:r>
        <w:rPr>
          <w:rStyle w:val="23"/>
          <w:rFonts w:asciiTheme="minorEastAsia" w:hAnsiTheme="minorEastAsia" w:eastAsiaTheme="minorEastAsia"/>
          <w:color w:val="auto"/>
          <w:sz w:val="21"/>
          <w:szCs w:val="21"/>
        </w:rPr>
        <w:instrText xml:space="preserve"> </w:instrText>
      </w:r>
      <w:r>
        <w:rPr>
          <w:rFonts w:asciiTheme="minorEastAsia" w:hAnsiTheme="minorEastAsia" w:eastAsiaTheme="minorEastAsia"/>
          <w:sz w:val="21"/>
          <w:szCs w:val="21"/>
        </w:rPr>
        <w:instrText xml:space="preserve">HYPERLINK \l "_Toc41313740"</w:instrText>
      </w:r>
      <w:r>
        <w:rPr>
          <w:rStyle w:val="23"/>
          <w:rFonts w:asciiTheme="minorEastAsia" w:hAnsiTheme="minorEastAsia" w:eastAsiaTheme="minorEastAsia"/>
          <w:color w:val="auto"/>
          <w:sz w:val="21"/>
          <w:szCs w:val="21"/>
        </w:rPr>
        <w:instrText xml:space="preserve"> </w:instrText>
      </w:r>
      <w:r>
        <w:rPr>
          <w:rStyle w:val="23"/>
          <w:rFonts w:asciiTheme="minorEastAsia" w:hAnsiTheme="minorEastAsia" w:eastAsiaTheme="minorEastAsia"/>
          <w:color w:val="auto"/>
          <w:sz w:val="21"/>
          <w:szCs w:val="21"/>
        </w:rPr>
        <w:fldChar w:fldCharType="separate"/>
      </w:r>
    </w:p>
    <w:sdt>
      <w:sdtPr>
        <w:rPr>
          <w:rFonts w:cs="Times New Roman" w:asciiTheme="minorEastAsia" w:hAnsiTheme="minorEastAsia" w:eastAsiaTheme="minorEastAsia"/>
          <w:b w:val="0"/>
          <w:bCs w:val="0"/>
          <w:color w:val="auto"/>
          <w:kern w:val="2"/>
          <w:sz w:val="21"/>
          <w:szCs w:val="21"/>
          <w:u w:val="single"/>
          <w:lang w:val="zh-CN"/>
        </w:rPr>
        <w:id w:val="5353626"/>
        <w:docPartObj>
          <w:docPartGallery w:val="Table of Contents"/>
          <w:docPartUnique/>
        </w:docPartObj>
      </w:sdtPr>
      <w:sdtEndPr>
        <w:rPr>
          <w:rFonts w:cs="Times New Roman" w:asciiTheme="minorEastAsia" w:hAnsiTheme="minorEastAsia" w:eastAsiaTheme="minorEastAsia"/>
          <w:b w:val="0"/>
          <w:bCs w:val="0"/>
          <w:color w:val="auto"/>
          <w:kern w:val="2"/>
          <w:sz w:val="21"/>
          <w:szCs w:val="21"/>
          <w:u w:val="single"/>
          <w:lang w:val="en-US"/>
        </w:rPr>
      </w:sdtEndPr>
      <w:sdtContent>
        <w:p>
          <w:pPr>
            <w:pStyle w:val="28"/>
            <w:jc w:val="center"/>
            <w:rPr>
              <w:rFonts w:asciiTheme="minorEastAsia" w:hAnsiTheme="minorEastAsia" w:eastAsiaTheme="minorEastAsia"/>
              <w:color w:val="auto"/>
              <w:sz w:val="21"/>
              <w:szCs w:val="21"/>
            </w:rPr>
          </w:pPr>
          <w:r>
            <w:rPr>
              <w:rFonts w:asciiTheme="minorEastAsia" w:hAnsiTheme="minorEastAsia" w:eastAsiaTheme="minorEastAsia"/>
              <w:color w:val="auto"/>
              <w:sz w:val="21"/>
              <w:szCs w:val="21"/>
              <w:lang w:val="zh-CN"/>
            </w:rPr>
            <w:t>目录</w:t>
          </w:r>
        </w:p>
        <w:p>
          <w:pPr>
            <w:pStyle w:val="16"/>
            <w:tabs>
              <w:tab w:val="right" w:leader="dot" w:pos="9062"/>
            </w:tabs>
            <w:rPr>
              <w:rFonts w:asciiTheme="minorEastAsia" w:hAnsiTheme="minorEastAsia" w:eastAsiaTheme="minorEastAsia" w:cstheme="minorBidi"/>
              <w:kern w:val="2"/>
              <w:sz w:val="21"/>
              <w:szCs w:val="21"/>
            </w:rPr>
          </w:pP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TOC \o "1-3" \h \z \u </w:instrText>
          </w:r>
          <w:r>
            <w:rPr>
              <w:rFonts w:asciiTheme="minorEastAsia" w:hAnsiTheme="minorEastAsia" w:eastAsiaTheme="minorEastAsia"/>
              <w:sz w:val="21"/>
              <w:szCs w:val="21"/>
            </w:rPr>
            <w:fldChar w:fldCharType="separate"/>
          </w:r>
          <w:r>
            <w:fldChar w:fldCharType="begin"/>
          </w:r>
          <w:r>
            <w:instrText xml:space="preserve"> HYPERLINK \l "_Toc41314612" </w:instrText>
          </w:r>
          <w:r>
            <w:fldChar w:fldCharType="separate"/>
          </w:r>
          <w:r>
            <w:rPr>
              <w:rStyle w:val="23"/>
              <w:rFonts w:hint="eastAsia" w:asciiTheme="minorEastAsia" w:hAnsiTheme="minorEastAsia" w:eastAsiaTheme="minorEastAsia"/>
              <w:b/>
              <w:color w:val="auto"/>
              <w:sz w:val="21"/>
              <w:szCs w:val="21"/>
            </w:rPr>
            <w:t>前</w:t>
          </w:r>
          <w:r>
            <w:rPr>
              <w:rStyle w:val="23"/>
              <w:rFonts w:asciiTheme="minorEastAsia" w:hAnsiTheme="minorEastAsia" w:eastAsiaTheme="minorEastAsia"/>
              <w:b/>
              <w:color w:val="auto"/>
              <w:sz w:val="21"/>
              <w:szCs w:val="21"/>
            </w:rPr>
            <w:t xml:space="preserve">   </w:t>
          </w:r>
          <w:r>
            <w:rPr>
              <w:rStyle w:val="23"/>
              <w:rFonts w:hint="eastAsia" w:asciiTheme="minorEastAsia" w:hAnsiTheme="minorEastAsia" w:eastAsiaTheme="minorEastAsia"/>
              <w:b/>
              <w:color w:val="auto"/>
              <w:sz w:val="21"/>
              <w:szCs w:val="21"/>
            </w:rPr>
            <w:t>言</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_Toc41314612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III</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16"/>
            <w:tabs>
              <w:tab w:val="right" w:leader="dot" w:pos="9062"/>
            </w:tabs>
            <w:rPr>
              <w:rFonts w:asciiTheme="minorEastAsia" w:hAnsiTheme="minorEastAsia" w:eastAsiaTheme="minorEastAsia" w:cstheme="minorBidi"/>
              <w:kern w:val="2"/>
              <w:sz w:val="21"/>
              <w:szCs w:val="21"/>
            </w:rPr>
          </w:pPr>
          <w:r>
            <w:fldChar w:fldCharType="begin"/>
          </w:r>
          <w:r>
            <w:instrText xml:space="preserve"> HYPERLINK \l "_Toc41314613" </w:instrText>
          </w:r>
          <w:r>
            <w:fldChar w:fldCharType="separate"/>
          </w:r>
          <w:r>
            <w:rPr>
              <w:rStyle w:val="23"/>
              <w:rFonts w:asciiTheme="minorEastAsia" w:hAnsiTheme="minorEastAsia" w:eastAsiaTheme="minorEastAsia"/>
              <w:color w:val="auto"/>
              <w:sz w:val="21"/>
              <w:szCs w:val="21"/>
            </w:rPr>
            <w:t xml:space="preserve">1  </w:t>
          </w:r>
          <w:r>
            <w:rPr>
              <w:rStyle w:val="23"/>
              <w:rFonts w:hint="eastAsia" w:asciiTheme="minorEastAsia" w:hAnsiTheme="minorEastAsia" w:eastAsiaTheme="minorEastAsia"/>
              <w:color w:val="auto"/>
              <w:sz w:val="21"/>
              <w:szCs w:val="21"/>
            </w:rPr>
            <w:t>范围</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_Toc41314613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16"/>
            <w:tabs>
              <w:tab w:val="right" w:leader="dot" w:pos="9062"/>
            </w:tabs>
            <w:rPr>
              <w:rFonts w:asciiTheme="minorEastAsia" w:hAnsiTheme="minorEastAsia" w:eastAsiaTheme="minorEastAsia" w:cstheme="minorBidi"/>
              <w:kern w:val="2"/>
              <w:sz w:val="21"/>
              <w:szCs w:val="21"/>
            </w:rPr>
          </w:pPr>
          <w:r>
            <w:fldChar w:fldCharType="begin"/>
          </w:r>
          <w:r>
            <w:instrText xml:space="preserve"> HYPERLINK \l "_Toc41314614" </w:instrText>
          </w:r>
          <w:r>
            <w:fldChar w:fldCharType="separate"/>
          </w:r>
          <w:r>
            <w:rPr>
              <w:rStyle w:val="23"/>
              <w:rFonts w:asciiTheme="minorEastAsia" w:hAnsiTheme="minorEastAsia" w:eastAsiaTheme="minorEastAsia"/>
              <w:color w:val="auto"/>
              <w:sz w:val="21"/>
              <w:szCs w:val="21"/>
            </w:rPr>
            <w:t xml:space="preserve">2  </w:t>
          </w:r>
          <w:r>
            <w:rPr>
              <w:rStyle w:val="23"/>
              <w:rFonts w:hint="eastAsia" w:asciiTheme="minorEastAsia" w:hAnsiTheme="minorEastAsia" w:eastAsiaTheme="minorEastAsia"/>
              <w:color w:val="auto"/>
              <w:sz w:val="21"/>
              <w:szCs w:val="21"/>
            </w:rPr>
            <w:t>规范性引用文件</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_Toc41314614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16"/>
            <w:tabs>
              <w:tab w:val="right" w:leader="dot" w:pos="9062"/>
            </w:tabs>
            <w:rPr>
              <w:rFonts w:asciiTheme="minorEastAsia" w:hAnsiTheme="minorEastAsia" w:eastAsiaTheme="minorEastAsia" w:cstheme="minorBidi"/>
              <w:kern w:val="2"/>
              <w:sz w:val="21"/>
              <w:szCs w:val="21"/>
            </w:rPr>
          </w:pPr>
          <w:r>
            <w:fldChar w:fldCharType="begin"/>
          </w:r>
          <w:r>
            <w:instrText xml:space="preserve"> HYPERLINK \l "_Toc41314615" </w:instrText>
          </w:r>
          <w:r>
            <w:fldChar w:fldCharType="separate"/>
          </w:r>
          <w:r>
            <w:rPr>
              <w:rStyle w:val="23"/>
              <w:rFonts w:asciiTheme="minorEastAsia" w:hAnsiTheme="minorEastAsia" w:eastAsiaTheme="minorEastAsia"/>
              <w:color w:val="auto"/>
              <w:sz w:val="21"/>
              <w:szCs w:val="21"/>
            </w:rPr>
            <w:t xml:space="preserve">3  </w:t>
          </w:r>
          <w:r>
            <w:rPr>
              <w:rStyle w:val="23"/>
              <w:rFonts w:hint="eastAsia" w:asciiTheme="minorEastAsia" w:hAnsiTheme="minorEastAsia" w:eastAsiaTheme="minorEastAsia"/>
              <w:color w:val="auto"/>
              <w:sz w:val="21"/>
              <w:szCs w:val="21"/>
            </w:rPr>
            <w:t>术语</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_Toc41314615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16"/>
            <w:tabs>
              <w:tab w:val="right" w:leader="dot" w:pos="9062"/>
            </w:tabs>
            <w:rPr>
              <w:rFonts w:asciiTheme="minorEastAsia" w:hAnsiTheme="minorEastAsia" w:eastAsiaTheme="minorEastAsia" w:cstheme="minorBidi"/>
              <w:kern w:val="2"/>
              <w:sz w:val="21"/>
              <w:szCs w:val="21"/>
            </w:rPr>
          </w:pPr>
          <w:r>
            <w:fldChar w:fldCharType="begin"/>
          </w:r>
          <w:r>
            <w:instrText xml:space="preserve"> HYPERLINK \l "_Toc41314617" </w:instrText>
          </w:r>
          <w:r>
            <w:fldChar w:fldCharType="separate"/>
          </w:r>
          <w:r>
            <w:rPr>
              <w:rStyle w:val="23"/>
              <w:rFonts w:asciiTheme="minorEastAsia" w:hAnsiTheme="minorEastAsia" w:eastAsiaTheme="minorEastAsia"/>
              <w:color w:val="auto"/>
              <w:sz w:val="21"/>
              <w:szCs w:val="21"/>
            </w:rPr>
            <w:t xml:space="preserve">4 </w:t>
          </w:r>
          <w:r>
            <w:rPr>
              <w:rStyle w:val="23"/>
              <w:rFonts w:hint="eastAsia" w:asciiTheme="minorEastAsia" w:hAnsiTheme="minorEastAsia" w:eastAsiaTheme="minorEastAsia"/>
              <w:color w:val="auto"/>
              <w:sz w:val="21"/>
              <w:szCs w:val="21"/>
            </w:rPr>
            <w:t>总则</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_Toc41314617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2</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18"/>
            <w:tabs>
              <w:tab w:val="right" w:leader="dot" w:pos="9062"/>
            </w:tabs>
            <w:rPr>
              <w:rFonts w:asciiTheme="minorEastAsia" w:hAnsiTheme="minorEastAsia" w:eastAsiaTheme="minorEastAsia" w:cstheme="minorBidi"/>
              <w:szCs w:val="21"/>
            </w:rPr>
          </w:pPr>
          <w:r>
            <w:fldChar w:fldCharType="begin"/>
          </w:r>
          <w:r>
            <w:instrText xml:space="preserve"> HYPERLINK \l "_Toc41314618" </w:instrText>
          </w:r>
          <w:r>
            <w:fldChar w:fldCharType="separate"/>
          </w:r>
          <w:r>
            <w:rPr>
              <w:rStyle w:val="23"/>
              <w:rFonts w:asciiTheme="minorEastAsia" w:hAnsiTheme="minorEastAsia" w:eastAsiaTheme="minorEastAsia"/>
              <w:color w:val="auto"/>
              <w:szCs w:val="21"/>
            </w:rPr>
            <w:t>4.1</w:t>
          </w:r>
          <w:r>
            <w:rPr>
              <w:rStyle w:val="23"/>
              <w:rFonts w:hint="eastAsia" w:asciiTheme="minorEastAsia" w:hAnsiTheme="minorEastAsia" w:eastAsiaTheme="minorEastAsia"/>
              <w:color w:val="auto"/>
              <w:szCs w:val="21"/>
            </w:rPr>
            <w:t>评价原则</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_Toc41314618 \h </w:instrText>
          </w:r>
          <w:r>
            <w:rPr>
              <w:rFonts w:asciiTheme="minorEastAsia" w:hAnsiTheme="minorEastAsia" w:eastAsiaTheme="minorEastAsia"/>
              <w:szCs w:val="21"/>
            </w:rPr>
            <w:fldChar w:fldCharType="separate"/>
          </w:r>
          <w:r>
            <w:rPr>
              <w:rFonts w:asciiTheme="minorEastAsia" w:hAnsiTheme="minorEastAsia" w:eastAsiaTheme="minorEastAsia"/>
              <w:szCs w:val="21"/>
            </w:rPr>
            <w:t>2</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pPr>
            <w:pStyle w:val="18"/>
            <w:tabs>
              <w:tab w:val="right" w:leader="dot" w:pos="9062"/>
            </w:tabs>
            <w:rPr>
              <w:rFonts w:asciiTheme="minorEastAsia" w:hAnsiTheme="minorEastAsia" w:eastAsiaTheme="minorEastAsia" w:cstheme="minorBidi"/>
              <w:szCs w:val="21"/>
            </w:rPr>
          </w:pPr>
          <w:r>
            <w:fldChar w:fldCharType="begin"/>
          </w:r>
          <w:r>
            <w:instrText xml:space="preserve"> HYPERLINK \l "_Toc41314619" </w:instrText>
          </w:r>
          <w:r>
            <w:fldChar w:fldCharType="separate"/>
          </w:r>
          <w:r>
            <w:rPr>
              <w:rStyle w:val="23"/>
              <w:rFonts w:asciiTheme="minorEastAsia" w:hAnsiTheme="minorEastAsia" w:eastAsiaTheme="minorEastAsia"/>
              <w:color w:val="auto"/>
              <w:szCs w:val="21"/>
            </w:rPr>
            <w:t>4.2</w:t>
          </w:r>
          <w:r>
            <w:rPr>
              <w:rStyle w:val="23"/>
              <w:rFonts w:hint="eastAsia" w:asciiTheme="minorEastAsia" w:hAnsiTheme="minorEastAsia" w:eastAsiaTheme="minorEastAsia"/>
              <w:color w:val="auto"/>
              <w:szCs w:val="21"/>
            </w:rPr>
            <w:t>评价指标</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_Toc41314619 \h </w:instrText>
          </w:r>
          <w:r>
            <w:rPr>
              <w:rFonts w:asciiTheme="minorEastAsia" w:hAnsiTheme="minorEastAsia" w:eastAsiaTheme="minorEastAsia"/>
              <w:szCs w:val="21"/>
            </w:rPr>
            <w:fldChar w:fldCharType="separate"/>
          </w:r>
          <w:r>
            <w:rPr>
              <w:rFonts w:asciiTheme="minorEastAsia" w:hAnsiTheme="minorEastAsia" w:eastAsiaTheme="minorEastAsia"/>
              <w:szCs w:val="21"/>
            </w:rPr>
            <w:t>2</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pPr>
            <w:pStyle w:val="18"/>
            <w:tabs>
              <w:tab w:val="right" w:leader="dot" w:pos="9062"/>
            </w:tabs>
            <w:rPr>
              <w:rFonts w:asciiTheme="minorEastAsia" w:hAnsiTheme="minorEastAsia" w:eastAsiaTheme="minorEastAsia" w:cstheme="minorBidi"/>
              <w:szCs w:val="21"/>
            </w:rPr>
          </w:pPr>
          <w:r>
            <w:fldChar w:fldCharType="begin"/>
          </w:r>
          <w:r>
            <w:instrText xml:space="preserve"> HYPERLINK \l "_Toc41314620" </w:instrText>
          </w:r>
          <w:r>
            <w:fldChar w:fldCharType="separate"/>
          </w:r>
          <w:r>
            <w:rPr>
              <w:rStyle w:val="23"/>
              <w:rFonts w:asciiTheme="minorEastAsia" w:hAnsiTheme="minorEastAsia" w:eastAsiaTheme="minorEastAsia"/>
              <w:color w:val="auto"/>
              <w:szCs w:val="21"/>
            </w:rPr>
            <w:t xml:space="preserve">4.3 </w:t>
          </w:r>
          <w:r>
            <w:rPr>
              <w:rStyle w:val="23"/>
              <w:rFonts w:hint="eastAsia" w:asciiTheme="minorEastAsia" w:hAnsiTheme="minorEastAsia" w:eastAsiaTheme="minorEastAsia"/>
              <w:color w:val="auto"/>
              <w:szCs w:val="21"/>
            </w:rPr>
            <w:t>评价方法</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_Toc41314620 \h </w:instrText>
          </w:r>
          <w:r>
            <w:rPr>
              <w:rFonts w:asciiTheme="minorEastAsia" w:hAnsiTheme="minorEastAsia" w:eastAsiaTheme="minorEastAsia"/>
              <w:szCs w:val="21"/>
            </w:rPr>
            <w:fldChar w:fldCharType="separate"/>
          </w:r>
          <w:r>
            <w:rPr>
              <w:rFonts w:asciiTheme="minorEastAsia" w:hAnsiTheme="minorEastAsia" w:eastAsiaTheme="minorEastAsia"/>
              <w:szCs w:val="21"/>
            </w:rPr>
            <w:t>3</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pPr>
            <w:pStyle w:val="16"/>
            <w:tabs>
              <w:tab w:val="right" w:leader="dot" w:pos="9062"/>
            </w:tabs>
            <w:rPr>
              <w:rFonts w:asciiTheme="minorEastAsia" w:hAnsiTheme="minorEastAsia" w:eastAsiaTheme="minorEastAsia" w:cstheme="minorBidi"/>
              <w:kern w:val="2"/>
              <w:sz w:val="21"/>
              <w:szCs w:val="21"/>
            </w:rPr>
          </w:pPr>
          <w:r>
            <w:fldChar w:fldCharType="begin"/>
          </w:r>
          <w:r>
            <w:instrText xml:space="preserve"> HYPERLINK \l "_Toc41314621" </w:instrText>
          </w:r>
          <w:r>
            <w:fldChar w:fldCharType="separate"/>
          </w:r>
          <w:r>
            <w:rPr>
              <w:rStyle w:val="23"/>
              <w:rFonts w:asciiTheme="minorEastAsia" w:hAnsiTheme="minorEastAsia" w:eastAsiaTheme="minorEastAsia"/>
              <w:color w:val="auto"/>
              <w:sz w:val="21"/>
              <w:szCs w:val="21"/>
            </w:rPr>
            <w:t xml:space="preserve">5 </w:t>
          </w:r>
          <w:r>
            <w:rPr>
              <w:rStyle w:val="23"/>
              <w:rFonts w:hint="eastAsia" w:asciiTheme="minorEastAsia" w:hAnsiTheme="minorEastAsia" w:eastAsiaTheme="minorEastAsia"/>
              <w:color w:val="auto"/>
              <w:sz w:val="21"/>
              <w:szCs w:val="21"/>
            </w:rPr>
            <w:t>评价要求</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_Toc41314621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3</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18"/>
            <w:tabs>
              <w:tab w:val="right" w:leader="dot" w:pos="9062"/>
            </w:tabs>
            <w:rPr>
              <w:rFonts w:asciiTheme="minorEastAsia" w:hAnsiTheme="minorEastAsia" w:eastAsiaTheme="minorEastAsia" w:cstheme="minorBidi"/>
              <w:szCs w:val="21"/>
            </w:rPr>
          </w:pPr>
          <w:r>
            <w:fldChar w:fldCharType="begin"/>
          </w:r>
          <w:r>
            <w:instrText xml:space="preserve"> HYPERLINK \l "_Toc41314622" </w:instrText>
          </w:r>
          <w:r>
            <w:fldChar w:fldCharType="separate"/>
          </w:r>
          <w:r>
            <w:rPr>
              <w:rStyle w:val="23"/>
              <w:rFonts w:asciiTheme="minorEastAsia" w:hAnsiTheme="minorEastAsia" w:eastAsiaTheme="minorEastAsia"/>
              <w:color w:val="auto"/>
              <w:szCs w:val="21"/>
            </w:rPr>
            <w:t>5.1</w:t>
          </w:r>
          <w:r>
            <w:rPr>
              <w:rStyle w:val="23"/>
              <w:rFonts w:hint="eastAsia" w:asciiTheme="minorEastAsia" w:hAnsiTheme="minorEastAsia" w:eastAsiaTheme="minorEastAsia"/>
              <w:color w:val="auto"/>
              <w:szCs w:val="21"/>
            </w:rPr>
            <w:t>基本要求</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_Toc41314622 \h </w:instrText>
          </w:r>
          <w:r>
            <w:rPr>
              <w:rFonts w:asciiTheme="minorEastAsia" w:hAnsiTheme="minorEastAsia" w:eastAsiaTheme="minorEastAsia"/>
              <w:szCs w:val="21"/>
            </w:rPr>
            <w:fldChar w:fldCharType="separate"/>
          </w:r>
          <w:r>
            <w:rPr>
              <w:rFonts w:asciiTheme="minorEastAsia" w:hAnsiTheme="minorEastAsia" w:eastAsiaTheme="minorEastAsia"/>
              <w:szCs w:val="21"/>
            </w:rPr>
            <w:t>3</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pPr>
            <w:pStyle w:val="18"/>
            <w:tabs>
              <w:tab w:val="right" w:leader="dot" w:pos="9062"/>
            </w:tabs>
            <w:rPr>
              <w:rFonts w:asciiTheme="minorEastAsia" w:hAnsiTheme="minorEastAsia" w:eastAsiaTheme="minorEastAsia" w:cstheme="minorBidi"/>
              <w:szCs w:val="21"/>
            </w:rPr>
          </w:pPr>
          <w:r>
            <w:fldChar w:fldCharType="begin"/>
          </w:r>
          <w:r>
            <w:instrText xml:space="preserve"> HYPERLINK \l "_Toc41314623" </w:instrText>
          </w:r>
          <w:r>
            <w:fldChar w:fldCharType="separate"/>
          </w:r>
          <w:r>
            <w:rPr>
              <w:rStyle w:val="23"/>
              <w:rFonts w:asciiTheme="minorEastAsia" w:hAnsiTheme="minorEastAsia" w:eastAsiaTheme="minorEastAsia"/>
              <w:color w:val="auto"/>
              <w:szCs w:val="21"/>
            </w:rPr>
            <w:t>5.2</w:t>
          </w:r>
          <w:r>
            <w:rPr>
              <w:rStyle w:val="23"/>
              <w:rFonts w:hint="eastAsia" w:asciiTheme="minorEastAsia" w:hAnsiTheme="minorEastAsia" w:eastAsiaTheme="minorEastAsia"/>
              <w:color w:val="auto"/>
              <w:szCs w:val="21"/>
            </w:rPr>
            <w:t>基础设施</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_Toc41314623 \h </w:instrText>
          </w:r>
          <w:r>
            <w:rPr>
              <w:rFonts w:asciiTheme="minorEastAsia" w:hAnsiTheme="minorEastAsia" w:eastAsiaTheme="minorEastAsia"/>
              <w:szCs w:val="21"/>
            </w:rPr>
            <w:fldChar w:fldCharType="separate"/>
          </w:r>
          <w:r>
            <w:rPr>
              <w:rFonts w:asciiTheme="minorEastAsia" w:hAnsiTheme="minorEastAsia" w:eastAsiaTheme="minorEastAsia"/>
              <w:szCs w:val="21"/>
            </w:rPr>
            <w:t>3</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pPr>
            <w:pStyle w:val="18"/>
            <w:tabs>
              <w:tab w:val="right" w:leader="dot" w:pos="9062"/>
            </w:tabs>
            <w:rPr>
              <w:rFonts w:asciiTheme="minorEastAsia" w:hAnsiTheme="minorEastAsia" w:eastAsiaTheme="minorEastAsia" w:cstheme="minorBidi"/>
              <w:szCs w:val="21"/>
            </w:rPr>
          </w:pPr>
          <w:r>
            <w:fldChar w:fldCharType="begin"/>
          </w:r>
          <w:r>
            <w:instrText xml:space="preserve"> HYPERLINK \l "_Toc41314624" </w:instrText>
          </w:r>
          <w:r>
            <w:fldChar w:fldCharType="separate"/>
          </w:r>
          <w:r>
            <w:rPr>
              <w:rStyle w:val="23"/>
              <w:rFonts w:asciiTheme="minorEastAsia" w:hAnsiTheme="minorEastAsia" w:eastAsiaTheme="minorEastAsia"/>
              <w:color w:val="auto"/>
              <w:szCs w:val="21"/>
            </w:rPr>
            <w:t>5.3</w:t>
          </w:r>
          <w:r>
            <w:rPr>
              <w:rStyle w:val="23"/>
              <w:rFonts w:hint="eastAsia" w:asciiTheme="minorEastAsia" w:hAnsiTheme="minorEastAsia" w:eastAsiaTheme="minorEastAsia"/>
              <w:color w:val="auto"/>
              <w:szCs w:val="21"/>
            </w:rPr>
            <w:t>管理体系</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_Toc41314624 \h </w:instrText>
          </w:r>
          <w:r>
            <w:rPr>
              <w:rFonts w:asciiTheme="minorEastAsia" w:hAnsiTheme="minorEastAsia" w:eastAsiaTheme="minorEastAsia"/>
              <w:szCs w:val="21"/>
            </w:rPr>
            <w:fldChar w:fldCharType="separate"/>
          </w:r>
          <w:r>
            <w:rPr>
              <w:rFonts w:asciiTheme="minorEastAsia" w:hAnsiTheme="minorEastAsia" w:eastAsiaTheme="minorEastAsia"/>
              <w:szCs w:val="21"/>
            </w:rPr>
            <w:t>4</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pPr>
            <w:pStyle w:val="18"/>
            <w:tabs>
              <w:tab w:val="right" w:leader="dot" w:pos="9062"/>
            </w:tabs>
            <w:rPr>
              <w:rFonts w:asciiTheme="minorEastAsia" w:hAnsiTheme="minorEastAsia" w:eastAsiaTheme="minorEastAsia" w:cstheme="minorBidi"/>
              <w:szCs w:val="21"/>
            </w:rPr>
          </w:pPr>
          <w:r>
            <w:fldChar w:fldCharType="begin"/>
          </w:r>
          <w:r>
            <w:instrText xml:space="preserve"> HYPERLINK \l "_Toc41314625" </w:instrText>
          </w:r>
          <w:r>
            <w:fldChar w:fldCharType="separate"/>
          </w:r>
          <w:r>
            <w:rPr>
              <w:rStyle w:val="23"/>
              <w:rFonts w:asciiTheme="minorEastAsia" w:hAnsiTheme="minorEastAsia" w:eastAsiaTheme="minorEastAsia"/>
              <w:color w:val="auto"/>
              <w:szCs w:val="21"/>
            </w:rPr>
            <w:t>5.4</w:t>
          </w:r>
          <w:r>
            <w:rPr>
              <w:rStyle w:val="23"/>
              <w:rFonts w:hint="eastAsia" w:asciiTheme="minorEastAsia" w:hAnsiTheme="minorEastAsia" w:eastAsiaTheme="minorEastAsia"/>
              <w:color w:val="auto"/>
              <w:szCs w:val="21"/>
            </w:rPr>
            <w:t>能源与资源投入要求</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_Toc41314625 \h </w:instrText>
          </w:r>
          <w:r>
            <w:rPr>
              <w:rFonts w:asciiTheme="minorEastAsia" w:hAnsiTheme="minorEastAsia" w:eastAsiaTheme="minorEastAsia"/>
              <w:szCs w:val="21"/>
            </w:rPr>
            <w:fldChar w:fldCharType="separate"/>
          </w:r>
          <w:r>
            <w:rPr>
              <w:rFonts w:asciiTheme="minorEastAsia" w:hAnsiTheme="minorEastAsia" w:eastAsiaTheme="minorEastAsia"/>
              <w:szCs w:val="21"/>
            </w:rPr>
            <w:t>5</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pPr>
            <w:pStyle w:val="18"/>
            <w:tabs>
              <w:tab w:val="right" w:leader="dot" w:pos="9062"/>
            </w:tabs>
            <w:rPr>
              <w:rFonts w:asciiTheme="minorEastAsia" w:hAnsiTheme="minorEastAsia" w:eastAsiaTheme="minorEastAsia" w:cstheme="minorBidi"/>
              <w:szCs w:val="21"/>
            </w:rPr>
          </w:pPr>
          <w:r>
            <w:fldChar w:fldCharType="begin"/>
          </w:r>
          <w:r>
            <w:instrText xml:space="preserve"> HYPERLINK \l "_Toc41314626" </w:instrText>
          </w:r>
          <w:r>
            <w:fldChar w:fldCharType="separate"/>
          </w:r>
          <w:r>
            <w:rPr>
              <w:rStyle w:val="23"/>
              <w:rFonts w:asciiTheme="minorEastAsia" w:hAnsiTheme="minorEastAsia" w:eastAsiaTheme="minorEastAsia"/>
              <w:color w:val="auto"/>
              <w:szCs w:val="21"/>
            </w:rPr>
            <w:t xml:space="preserve">5.5 </w:t>
          </w:r>
          <w:r>
            <w:rPr>
              <w:rStyle w:val="23"/>
              <w:rFonts w:hint="eastAsia" w:asciiTheme="minorEastAsia" w:hAnsiTheme="minorEastAsia" w:eastAsiaTheme="minorEastAsia"/>
              <w:color w:val="auto"/>
              <w:szCs w:val="21"/>
            </w:rPr>
            <w:t>产品要求</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_Toc41314626 \h </w:instrText>
          </w:r>
          <w:r>
            <w:rPr>
              <w:rFonts w:asciiTheme="minorEastAsia" w:hAnsiTheme="minorEastAsia" w:eastAsiaTheme="minorEastAsia"/>
              <w:szCs w:val="21"/>
            </w:rPr>
            <w:fldChar w:fldCharType="separate"/>
          </w:r>
          <w:r>
            <w:rPr>
              <w:rFonts w:asciiTheme="minorEastAsia" w:hAnsiTheme="minorEastAsia" w:eastAsiaTheme="minorEastAsia"/>
              <w:szCs w:val="21"/>
            </w:rPr>
            <w:t>5</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pPr>
            <w:pStyle w:val="18"/>
            <w:tabs>
              <w:tab w:val="right" w:leader="dot" w:pos="9062"/>
            </w:tabs>
            <w:rPr>
              <w:rFonts w:asciiTheme="minorEastAsia" w:hAnsiTheme="minorEastAsia" w:eastAsiaTheme="minorEastAsia" w:cstheme="minorBidi"/>
              <w:szCs w:val="21"/>
            </w:rPr>
          </w:pPr>
          <w:r>
            <w:fldChar w:fldCharType="begin"/>
          </w:r>
          <w:r>
            <w:instrText xml:space="preserve"> HYPERLINK \l "_Toc41314627" </w:instrText>
          </w:r>
          <w:r>
            <w:fldChar w:fldCharType="separate"/>
          </w:r>
          <w:r>
            <w:rPr>
              <w:rStyle w:val="23"/>
              <w:rFonts w:asciiTheme="minorEastAsia" w:hAnsiTheme="minorEastAsia" w:eastAsiaTheme="minorEastAsia"/>
              <w:color w:val="auto"/>
              <w:szCs w:val="21"/>
            </w:rPr>
            <w:t>5.6</w:t>
          </w:r>
          <w:r>
            <w:rPr>
              <w:rStyle w:val="23"/>
              <w:rFonts w:hint="eastAsia" w:asciiTheme="minorEastAsia" w:hAnsiTheme="minorEastAsia" w:eastAsiaTheme="minorEastAsia"/>
              <w:color w:val="auto"/>
              <w:szCs w:val="21"/>
            </w:rPr>
            <w:t>环境排放</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_Toc41314627 \h </w:instrText>
          </w:r>
          <w:r>
            <w:rPr>
              <w:rFonts w:asciiTheme="minorEastAsia" w:hAnsiTheme="minorEastAsia" w:eastAsiaTheme="minorEastAsia"/>
              <w:szCs w:val="21"/>
            </w:rPr>
            <w:fldChar w:fldCharType="separate"/>
          </w:r>
          <w:r>
            <w:rPr>
              <w:rFonts w:asciiTheme="minorEastAsia" w:hAnsiTheme="minorEastAsia" w:eastAsiaTheme="minorEastAsia"/>
              <w:szCs w:val="21"/>
            </w:rPr>
            <w:t>5</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pPr>
            <w:pStyle w:val="18"/>
            <w:tabs>
              <w:tab w:val="right" w:leader="dot" w:pos="9062"/>
            </w:tabs>
            <w:rPr>
              <w:rFonts w:asciiTheme="minorEastAsia" w:hAnsiTheme="minorEastAsia" w:eastAsiaTheme="minorEastAsia" w:cstheme="minorBidi"/>
              <w:szCs w:val="21"/>
            </w:rPr>
          </w:pPr>
          <w:r>
            <w:fldChar w:fldCharType="begin"/>
          </w:r>
          <w:r>
            <w:instrText xml:space="preserve"> HYPERLINK \l "_Toc41314628" </w:instrText>
          </w:r>
          <w:r>
            <w:fldChar w:fldCharType="separate"/>
          </w:r>
          <w:r>
            <w:rPr>
              <w:rStyle w:val="23"/>
              <w:rFonts w:asciiTheme="minorEastAsia" w:hAnsiTheme="minorEastAsia" w:eastAsiaTheme="minorEastAsia"/>
              <w:color w:val="auto"/>
              <w:szCs w:val="21"/>
            </w:rPr>
            <w:t xml:space="preserve">5.7 </w:t>
          </w:r>
          <w:r>
            <w:rPr>
              <w:rStyle w:val="23"/>
              <w:rFonts w:hint="eastAsia" w:asciiTheme="minorEastAsia" w:hAnsiTheme="minorEastAsia" w:eastAsiaTheme="minorEastAsia"/>
              <w:color w:val="auto"/>
              <w:szCs w:val="21"/>
            </w:rPr>
            <w:t>绩效</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_Toc41314628 \h </w:instrText>
          </w:r>
          <w:r>
            <w:rPr>
              <w:rFonts w:asciiTheme="minorEastAsia" w:hAnsiTheme="minorEastAsia" w:eastAsiaTheme="minorEastAsia"/>
              <w:szCs w:val="21"/>
            </w:rPr>
            <w:fldChar w:fldCharType="separate"/>
          </w:r>
          <w:r>
            <w:rPr>
              <w:rFonts w:asciiTheme="minorEastAsia" w:hAnsiTheme="minorEastAsia" w:eastAsiaTheme="minorEastAsia"/>
              <w:szCs w:val="21"/>
            </w:rPr>
            <w:t>6</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pPr>
            <w:pStyle w:val="16"/>
            <w:tabs>
              <w:tab w:val="right" w:leader="dot" w:pos="9062"/>
            </w:tabs>
            <w:rPr>
              <w:rFonts w:asciiTheme="minorEastAsia" w:hAnsiTheme="minorEastAsia" w:eastAsiaTheme="minorEastAsia" w:cstheme="minorBidi"/>
              <w:kern w:val="2"/>
              <w:sz w:val="21"/>
              <w:szCs w:val="21"/>
            </w:rPr>
          </w:pPr>
          <w:r>
            <w:fldChar w:fldCharType="begin"/>
          </w:r>
          <w:r>
            <w:instrText xml:space="preserve"> HYPERLINK \l "_Toc41314629" </w:instrText>
          </w:r>
          <w:r>
            <w:fldChar w:fldCharType="separate"/>
          </w:r>
          <w:r>
            <w:rPr>
              <w:rStyle w:val="23"/>
              <w:rFonts w:asciiTheme="minorEastAsia" w:hAnsiTheme="minorEastAsia" w:eastAsiaTheme="minorEastAsia"/>
              <w:color w:val="auto"/>
              <w:sz w:val="21"/>
              <w:szCs w:val="21"/>
            </w:rPr>
            <w:t xml:space="preserve">6 </w:t>
          </w:r>
          <w:r>
            <w:rPr>
              <w:rStyle w:val="23"/>
              <w:rFonts w:hint="eastAsia" w:asciiTheme="minorEastAsia" w:hAnsiTheme="minorEastAsia" w:eastAsiaTheme="minorEastAsia"/>
              <w:color w:val="auto"/>
              <w:sz w:val="21"/>
              <w:szCs w:val="21"/>
            </w:rPr>
            <w:t>评价程序</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_Toc41314629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6</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16"/>
            <w:tabs>
              <w:tab w:val="right" w:leader="dot" w:pos="9062"/>
            </w:tabs>
            <w:rPr>
              <w:rFonts w:asciiTheme="minorEastAsia" w:hAnsiTheme="minorEastAsia" w:eastAsiaTheme="minorEastAsia" w:cstheme="minorBidi"/>
              <w:kern w:val="2"/>
              <w:sz w:val="21"/>
              <w:szCs w:val="21"/>
            </w:rPr>
          </w:pPr>
          <w:r>
            <w:fldChar w:fldCharType="begin"/>
          </w:r>
          <w:r>
            <w:instrText xml:space="preserve"> HYPERLINK \l "_Toc41314630" </w:instrText>
          </w:r>
          <w:r>
            <w:fldChar w:fldCharType="separate"/>
          </w:r>
          <w:r>
            <w:rPr>
              <w:rStyle w:val="23"/>
              <w:rFonts w:asciiTheme="minorEastAsia" w:hAnsiTheme="minorEastAsia" w:eastAsiaTheme="minorEastAsia"/>
              <w:color w:val="auto"/>
              <w:sz w:val="21"/>
              <w:szCs w:val="21"/>
            </w:rPr>
            <w:t xml:space="preserve">7  </w:t>
          </w:r>
          <w:r>
            <w:rPr>
              <w:rStyle w:val="23"/>
              <w:rFonts w:hint="eastAsia" w:asciiTheme="minorEastAsia" w:hAnsiTheme="minorEastAsia" w:eastAsiaTheme="minorEastAsia"/>
              <w:color w:val="auto"/>
              <w:sz w:val="21"/>
              <w:szCs w:val="21"/>
            </w:rPr>
            <w:t>评价报告</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_Toc41314630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7</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16"/>
            <w:tabs>
              <w:tab w:val="right" w:leader="dot" w:pos="9062"/>
            </w:tabs>
            <w:rPr>
              <w:rFonts w:asciiTheme="minorEastAsia" w:hAnsiTheme="minorEastAsia" w:eastAsiaTheme="minorEastAsia" w:cstheme="minorBidi"/>
              <w:kern w:val="2"/>
              <w:sz w:val="21"/>
              <w:szCs w:val="21"/>
            </w:rPr>
          </w:pPr>
          <w:r>
            <w:fldChar w:fldCharType="begin"/>
          </w:r>
          <w:r>
            <w:instrText xml:space="preserve"> HYPERLINK \l "_Toc41314631" </w:instrText>
          </w:r>
          <w:r>
            <w:fldChar w:fldCharType="separate"/>
          </w:r>
          <w:r>
            <w:rPr>
              <w:rStyle w:val="23"/>
              <w:rFonts w:hint="eastAsia" w:asciiTheme="minorEastAsia" w:hAnsiTheme="minorEastAsia" w:eastAsiaTheme="minorEastAsia"/>
              <w:color w:val="auto"/>
              <w:sz w:val="21"/>
              <w:szCs w:val="21"/>
            </w:rPr>
            <w:t>附录</w:t>
          </w:r>
          <w:r>
            <w:rPr>
              <w:rStyle w:val="23"/>
              <w:rFonts w:asciiTheme="minorEastAsia" w:hAnsiTheme="minorEastAsia" w:eastAsiaTheme="minorEastAsia"/>
              <w:color w:val="auto"/>
              <w:sz w:val="21"/>
              <w:szCs w:val="21"/>
            </w:rPr>
            <w:t>A</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_Toc41314631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8</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rPr>
              <w:rFonts w:asciiTheme="minorEastAsia" w:hAnsiTheme="minorEastAsia" w:eastAsiaTheme="minorEastAsia"/>
              <w:szCs w:val="21"/>
            </w:rPr>
          </w:pPr>
          <w:r>
            <w:rPr>
              <w:rFonts w:asciiTheme="minorEastAsia" w:hAnsiTheme="minorEastAsia" w:eastAsiaTheme="minorEastAsia"/>
              <w:szCs w:val="21"/>
            </w:rPr>
            <w:fldChar w:fldCharType="end"/>
          </w:r>
        </w:p>
      </w:sdtContent>
    </w:sdt>
    <w:p>
      <w:pPr>
        <w:pStyle w:val="16"/>
        <w:tabs>
          <w:tab w:val="right" w:leader="dot" w:pos="9062"/>
        </w:tabs>
        <w:rPr>
          <w:rFonts w:asciiTheme="minorHAnsi" w:hAnsiTheme="minorHAnsi" w:eastAsiaTheme="minorEastAsia" w:cstheme="minorBidi"/>
          <w:kern w:val="2"/>
          <w:sz w:val="21"/>
          <w:szCs w:val="22"/>
        </w:rPr>
      </w:pPr>
      <w:r>
        <w:rPr>
          <w:rStyle w:val="23"/>
          <w:rFonts w:asciiTheme="minorEastAsia" w:hAnsiTheme="minorEastAsia" w:eastAsiaTheme="minorEastAsia"/>
          <w:color w:val="auto"/>
          <w:sz w:val="21"/>
          <w:szCs w:val="21"/>
        </w:rPr>
        <w:fldChar w:fldCharType="end"/>
      </w:r>
    </w:p>
    <w:p>
      <w:pPr>
        <w:rPr>
          <w:szCs w:val="21"/>
        </w:rPr>
      </w:pPr>
      <w:r>
        <w:rPr>
          <w:szCs w:val="21"/>
        </w:rPr>
        <w:fldChar w:fldCharType="end"/>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widowControl/>
        <w:jc w:val="left"/>
        <w:rPr>
          <w:szCs w:val="21"/>
        </w:rPr>
      </w:pPr>
    </w:p>
    <w:p>
      <w:pPr>
        <w:widowControl/>
        <w:jc w:val="left"/>
        <w:rPr>
          <w:rFonts w:ascii="黑体" w:eastAsia="黑体"/>
          <w:b/>
          <w:szCs w:val="21"/>
        </w:rPr>
      </w:pPr>
      <w:r>
        <w:rPr>
          <w:rFonts w:ascii="黑体" w:eastAsia="黑体"/>
          <w:b/>
          <w:szCs w:val="21"/>
        </w:rPr>
        <w:br w:type="page"/>
      </w:r>
    </w:p>
    <w:p>
      <w:pPr>
        <w:ind w:right="10"/>
        <w:jc w:val="right"/>
        <w:rPr>
          <w:rFonts w:ascii="黑体" w:eastAsia="黑体"/>
          <w:b/>
          <w:szCs w:val="21"/>
        </w:rPr>
      </w:pPr>
      <w:r>
        <w:rPr>
          <w:rFonts w:hint="eastAsia" w:ascii="黑体" w:eastAsia="黑体"/>
          <w:b/>
          <w:szCs w:val="21"/>
        </w:rPr>
        <w:t xml:space="preserve">YS/T </w:t>
      </w:r>
      <w:r>
        <w:rPr>
          <w:rFonts w:hint="eastAsia" w:ascii="黑体" w:eastAsia="黑体"/>
          <w:szCs w:val="21"/>
        </w:rPr>
        <w:t>×××-××××</w:t>
      </w:r>
    </w:p>
    <w:p>
      <w:pPr>
        <w:ind w:firstLine="5355"/>
        <w:jc w:val="center"/>
        <w:rPr>
          <w:rFonts w:ascii="黑体"/>
          <w:b/>
          <w:szCs w:val="21"/>
        </w:rPr>
      </w:pPr>
    </w:p>
    <w:p>
      <w:pPr>
        <w:pStyle w:val="2"/>
        <w:jc w:val="center"/>
        <w:rPr>
          <w:sz w:val="30"/>
          <w:szCs w:val="30"/>
        </w:rPr>
      </w:pPr>
      <w:bookmarkStart w:id="3" w:name="_Toc41314612"/>
      <w:bookmarkStart w:id="4" w:name="_Toc41313721"/>
      <w:r>
        <w:rPr>
          <w:rFonts w:hint="eastAsia"/>
          <w:b/>
          <w:sz w:val="30"/>
          <w:szCs w:val="30"/>
        </w:rPr>
        <w:t>前</w:t>
      </w:r>
      <w:r>
        <w:rPr>
          <w:b/>
          <w:sz w:val="30"/>
          <w:szCs w:val="30"/>
        </w:rPr>
        <w:t xml:space="preserve">   </w:t>
      </w:r>
      <w:r>
        <w:rPr>
          <w:rFonts w:hint="eastAsia"/>
          <w:b/>
          <w:sz w:val="30"/>
          <w:szCs w:val="30"/>
        </w:rPr>
        <w:t>言</w:t>
      </w:r>
      <w:bookmarkEnd w:id="3"/>
      <w:bookmarkEnd w:id="4"/>
    </w:p>
    <w:p>
      <w:pPr>
        <w:ind w:firstLine="435"/>
        <w:rPr>
          <w:szCs w:val="21"/>
        </w:rPr>
      </w:pPr>
    </w:p>
    <w:p>
      <w:pPr>
        <w:pStyle w:val="7"/>
        <w:keepNext w:val="0"/>
        <w:keepLines w:val="0"/>
        <w:pageBreakBefore w:val="0"/>
        <w:widowControl w:val="0"/>
        <w:kinsoku/>
        <w:wordWrap/>
        <w:overflowPunct/>
        <w:topLinePunct w:val="0"/>
        <w:autoSpaceDE/>
        <w:autoSpaceDN/>
        <w:bidi w:val="0"/>
        <w:adjustRightInd/>
        <w:snapToGrid w:val="0"/>
        <w:spacing w:line="380" w:lineRule="exact"/>
        <w:textAlignment w:val="auto"/>
        <w:rPr>
          <w:color w:val="FF0000"/>
          <w:szCs w:val="21"/>
        </w:rPr>
      </w:pPr>
      <w:r>
        <w:rPr>
          <w:rFonts w:hint="default" w:ascii="Times New Roman" w:hAnsi="Times New Roman" w:cs="Times New Roman"/>
          <w:color w:val="FF0000"/>
        </w:rPr>
        <w:t>本</w:t>
      </w:r>
      <w:r>
        <w:rPr>
          <w:rFonts w:hint="default" w:ascii="Times New Roman" w:hAnsi="Times New Roman" w:eastAsia="方正行楷简体" w:cs="Times New Roman"/>
          <w:color w:val="FF0000"/>
          <w:szCs w:val="21"/>
        </w:rPr>
        <w:t>文件</w:t>
      </w:r>
      <w:r>
        <w:rPr>
          <w:rFonts w:hint="default" w:ascii="Times New Roman" w:hAnsi="Times New Roman" w:cs="Times New Roman"/>
          <w:color w:val="FF0000"/>
        </w:rPr>
        <w:t>按照GB/T 1.1-20</w:t>
      </w:r>
      <w:r>
        <w:rPr>
          <w:rFonts w:hint="default" w:ascii="Times New Roman" w:hAnsi="Times New Roman" w:cs="Times New Roman"/>
          <w:color w:val="FF0000"/>
          <w:lang w:val="en-US" w:eastAsia="zh-CN"/>
        </w:rPr>
        <w:t>20</w:t>
      </w:r>
      <w:r>
        <w:rPr>
          <w:rFonts w:hint="default" w:ascii="Times New Roman" w:hAnsi="Times New Roman" w:cs="Times New Roman"/>
          <w:color w:val="FF0000"/>
        </w:rPr>
        <w:t>《</w:t>
      </w:r>
      <w:r>
        <w:rPr>
          <w:rFonts w:hint="default" w:ascii="Times New Roman" w:hAnsi="Times New Roman" w:cs="Times New Roman"/>
          <w:color w:val="FF0000"/>
          <w:szCs w:val="21"/>
        </w:rPr>
        <w:t>标准化工作导则 第1部分：标准化文件的结构和起草规则</w:t>
      </w:r>
      <w:r>
        <w:rPr>
          <w:rFonts w:hint="default" w:ascii="Times New Roman" w:hAnsi="Times New Roman" w:cs="Times New Roman"/>
          <w:color w:val="FF0000"/>
        </w:rPr>
        <w:t>》的规定起草。</w:t>
      </w:r>
    </w:p>
    <w:p>
      <w:pPr>
        <w:pStyle w:val="12"/>
        <w:ind w:left="99" w:leftChars="47" w:firstLine="315" w:firstLineChars="150"/>
        <w:rPr>
          <w:strike/>
          <w:dstrike w:val="0"/>
          <w:color w:val="FF0000"/>
          <w:szCs w:val="21"/>
        </w:rPr>
      </w:pPr>
      <w:r>
        <w:rPr>
          <w:rFonts w:hint="eastAsia"/>
          <w:strike/>
          <w:dstrike w:val="0"/>
          <w:color w:val="FF0000"/>
          <w:szCs w:val="21"/>
        </w:rPr>
        <w:t>本</w:t>
      </w:r>
      <w:r>
        <w:rPr>
          <w:rFonts w:hint="eastAsia" w:ascii="宋体"/>
          <w:strike/>
          <w:dstrike w:val="0"/>
          <w:color w:val="FF0000"/>
        </w:rPr>
        <w:t>文件</w:t>
      </w:r>
      <w:r>
        <w:rPr>
          <w:rFonts w:hint="eastAsia"/>
          <w:strike/>
          <w:dstrike w:val="0"/>
          <w:color w:val="FF0000"/>
          <w:szCs w:val="21"/>
        </w:rPr>
        <w:t>由中国有色金属工业协会提出。</w:t>
      </w:r>
    </w:p>
    <w:p>
      <w:pPr>
        <w:pStyle w:val="12"/>
        <w:ind w:left="99" w:leftChars="47" w:firstLine="315" w:firstLineChars="150"/>
        <w:rPr>
          <w:szCs w:val="21"/>
        </w:rPr>
      </w:pPr>
      <w:r>
        <w:rPr>
          <w:rFonts w:hint="eastAsia"/>
          <w:szCs w:val="21"/>
        </w:rPr>
        <w:t>本</w:t>
      </w:r>
      <w:r>
        <w:rPr>
          <w:rFonts w:hint="eastAsia" w:ascii="宋体"/>
        </w:rPr>
        <w:t>文件</w:t>
      </w:r>
      <w:r>
        <w:rPr>
          <w:rFonts w:hint="eastAsia"/>
          <w:szCs w:val="21"/>
        </w:rPr>
        <w:t>由全国有色金属标准化技术委员会（</w:t>
      </w:r>
      <w:r>
        <w:rPr>
          <w:szCs w:val="21"/>
        </w:rPr>
        <w:t>SAC/TC</w:t>
      </w:r>
      <w:r>
        <w:rPr>
          <w:rFonts w:hint="eastAsia"/>
          <w:szCs w:val="21"/>
        </w:rPr>
        <w:t xml:space="preserve"> </w:t>
      </w:r>
      <w:r>
        <w:rPr>
          <w:szCs w:val="21"/>
        </w:rPr>
        <w:t>243</w:t>
      </w:r>
      <w:r>
        <w:rPr>
          <w:rFonts w:hint="eastAsia"/>
          <w:szCs w:val="21"/>
        </w:rPr>
        <w:t>）</w:t>
      </w:r>
      <w:r>
        <w:rPr>
          <w:rFonts w:hint="eastAsia"/>
          <w:color w:val="FF0000"/>
          <w:szCs w:val="21"/>
        </w:rPr>
        <w:t>提出</w:t>
      </w:r>
      <w:r>
        <w:rPr>
          <w:rFonts w:hint="eastAsia"/>
          <w:color w:val="FF0000"/>
          <w:szCs w:val="21"/>
          <w:lang w:val="en-US" w:eastAsia="zh-CN"/>
        </w:rPr>
        <w:t>并</w:t>
      </w:r>
      <w:r>
        <w:rPr>
          <w:rFonts w:hint="eastAsia"/>
          <w:color w:val="FF0000"/>
          <w:szCs w:val="21"/>
        </w:rPr>
        <w:t>归口</w:t>
      </w:r>
      <w:r>
        <w:rPr>
          <w:rFonts w:hint="eastAsia"/>
          <w:szCs w:val="21"/>
        </w:rPr>
        <w:t>。</w:t>
      </w:r>
    </w:p>
    <w:p>
      <w:pPr>
        <w:ind w:firstLine="420" w:firstLineChars="200"/>
        <w:rPr>
          <w:szCs w:val="21"/>
        </w:rPr>
      </w:pPr>
      <w:r>
        <w:rPr>
          <w:rFonts w:hint="eastAsia" w:ascii="宋体"/>
          <w:szCs w:val="21"/>
        </w:rPr>
        <w:t>本</w:t>
      </w:r>
      <w:r>
        <w:rPr>
          <w:rFonts w:hint="eastAsia" w:ascii="宋体"/>
        </w:rPr>
        <w:t>文件</w:t>
      </w:r>
      <w:r>
        <w:rPr>
          <w:rFonts w:hint="eastAsia" w:ascii="宋体"/>
          <w:szCs w:val="21"/>
        </w:rPr>
        <w:t>起草单位：</w:t>
      </w:r>
      <w:r>
        <w:rPr>
          <w:szCs w:val="21"/>
        </w:rPr>
        <w:t xml:space="preserve"> </w:t>
      </w:r>
    </w:p>
    <w:p>
      <w:pPr>
        <w:ind w:firstLine="420" w:firstLineChars="200"/>
        <w:rPr>
          <w:rFonts w:ascii="宋体"/>
          <w:szCs w:val="21"/>
        </w:rPr>
      </w:pPr>
      <w:r>
        <w:rPr>
          <w:rFonts w:hint="eastAsia" w:ascii="宋体"/>
          <w:szCs w:val="21"/>
        </w:rPr>
        <w:t>本</w:t>
      </w:r>
      <w:r>
        <w:rPr>
          <w:rFonts w:hint="eastAsia" w:ascii="宋体"/>
        </w:rPr>
        <w:t>文件</w:t>
      </w:r>
      <w:r>
        <w:rPr>
          <w:rFonts w:hint="eastAsia" w:ascii="宋体"/>
          <w:szCs w:val="21"/>
        </w:rPr>
        <w:t>主要起草人：</w:t>
      </w:r>
    </w:p>
    <w:p>
      <w:pPr>
        <w:jc w:val="left"/>
        <w:rPr>
          <w:szCs w:val="21"/>
        </w:rPr>
      </w:pPr>
      <w:r>
        <w:rPr>
          <w:szCs w:val="21"/>
        </w:rPr>
        <w:br w:type="page"/>
      </w:r>
    </w:p>
    <w:p>
      <w:pPr>
        <w:jc w:val="right"/>
        <w:rPr>
          <w:rFonts w:ascii="黑体" w:eastAsia="黑体"/>
          <w:b/>
          <w:szCs w:val="21"/>
        </w:rPr>
      </w:pPr>
      <w:r>
        <w:rPr>
          <w:rFonts w:hint="eastAsia" w:ascii="黑体" w:eastAsia="黑体"/>
          <w:b/>
          <w:szCs w:val="21"/>
        </w:rPr>
        <w:t>YS/T ×××-××××</w:t>
      </w:r>
    </w:p>
    <w:p>
      <w:pPr>
        <w:spacing w:beforeLines="100"/>
        <w:jc w:val="center"/>
        <w:rPr>
          <w:rFonts w:ascii="黑体" w:eastAsia="黑体"/>
          <w:sz w:val="28"/>
          <w:szCs w:val="28"/>
        </w:rPr>
      </w:pPr>
      <w:bookmarkStart w:id="5" w:name="OLE_LINK1"/>
      <w:bookmarkStart w:id="6" w:name="_Toc430680185"/>
      <w:bookmarkStart w:id="7" w:name="_Toc431105881"/>
      <w:r>
        <w:rPr>
          <w:rFonts w:hint="eastAsia" w:ascii="黑体" w:eastAsia="黑体"/>
          <w:sz w:val="28"/>
          <w:szCs w:val="28"/>
        </w:rPr>
        <w:t>铜及铜合金加工行业绿色工厂评价导则</w:t>
      </w:r>
      <w:bookmarkEnd w:id="5"/>
    </w:p>
    <w:p>
      <w:pPr>
        <w:pStyle w:val="2"/>
        <w:rPr>
          <w:szCs w:val="21"/>
        </w:rPr>
      </w:pPr>
      <w:bookmarkStart w:id="8" w:name="_Toc41313722"/>
      <w:bookmarkStart w:id="9" w:name="_Toc41314613"/>
      <w:r>
        <w:rPr>
          <w:rFonts w:hint="eastAsia"/>
          <w:szCs w:val="21"/>
        </w:rPr>
        <w:t>1  范围</w:t>
      </w:r>
      <w:bookmarkEnd w:id="6"/>
      <w:bookmarkEnd w:id="7"/>
      <w:bookmarkEnd w:id="8"/>
      <w:bookmarkEnd w:id="9"/>
    </w:p>
    <w:p>
      <w:pPr>
        <w:ind w:firstLine="420" w:firstLineChars="200"/>
        <w:rPr>
          <w:rFonts w:hAnsi="宋体"/>
          <w:szCs w:val="21"/>
        </w:rPr>
      </w:pPr>
      <w:r>
        <w:rPr>
          <w:rFonts w:hint="eastAsia" w:ascii="宋体" w:hAnsi="宋体"/>
          <w:szCs w:val="21"/>
        </w:rPr>
        <w:t>本</w:t>
      </w:r>
      <w:r>
        <w:rPr>
          <w:rFonts w:hint="eastAsia" w:ascii="宋体"/>
        </w:rPr>
        <w:t>文件</w:t>
      </w:r>
      <w:r>
        <w:rPr>
          <w:rFonts w:hint="eastAsia" w:ascii="宋体" w:hAnsi="宋体"/>
          <w:szCs w:val="21"/>
        </w:rPr>
        <w:t>规定了铜及铜合金加工行业绿色工厂评价的总则</w:t>
      </w:r>
      <w:r>
        <w:rPr>
          <w:rFonts w:hint="eastAsia"/>
        </w:rPr>
        <w:t>、评价要求、评价程序及评价报告等。</w:t>
      </w:r>
    </w:p>
    <w:p>
      <w:pPr>
        <w:pStyle w:val="9"/>
        <w:spacing w:line="240" w:lineRule="auto"/>
        <w:ind w:firstLine="420" w:firstLineChars="200"/>
      </w:pPr>
      <w:r>
        <w:rPr>
          <w:rFonts w:hint="eastAsia"/>
        </w:rPr>
        <w:t>本文件适用于具有实际生产过程的铜及铜合金加工行业绿色工厂评价，并作为铜及铜加工行业制定绿色工厂评价要求的总体要求。</w:t>
      </w:r>
    </w:p>
    <w:p>
      <w:pPr>
        <w:pStyle w:val="2"/>
        <w:rPr>
          <w:szCs w:val="21"/>
        </w:rPr>
      </w:pPr>
      <w:bookmarkStart w:id="10" w:name="_Toc430680186"/>
      <w:bookmarkStart w:id="11" w:name="_Toc431105882"/>
      <w:bookmarkStart w:id="12" w:name="_Toc41313723"/>
      <w:bookmarkStart w:id="13" w:name="_Toc41314614"/>
      <w:r>
        <w:rPr>
          <w:rFonts w:hint="eastAsia"/>
          <w:szCs w:val="21"/>
        </w:rPr>
        <w:t>2  规范性引用</w:t>
      </w:r>
      <w:bookmarkEnd w:id="10"/>
      <w:bookmarkEnd w:id="11"/>
      <w:r>
        <w:rPr>
          <w:rFonts w:hint="eastAsia"/>
          <w:szCs w:val="21"/>
        </w:rPr>
        <w:t>文件</w:t>
      </w:r>
      <w:bookmarkEnd w:id="12"/>
      <w:bookmarkEnd w:id="13"/>
    </w:p>
    <w:p>
      <w:pPr>
        <w:spacing w:line="320" w:lineRule="exact"/>
        <w:ind w:firstLine="420" w:firstLineChars="200"/>
      </w:pPr>
      <w:r>
        <w:rPr>
          <w:rFonts w:hint="eastAsia"/>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ind w:firstLine="420" w:firstLineChars="200"/>
        <w:rPr>
          <w:rFonts w:ascii="宋体" w:hAnsi="宋体"/>
        </w:rPr>
      </w:pPr>
      <w:r>
        <w:rPr>
          <w:rFonts w:ascii="宋体" w:hAnsi="宋体"/>
        </w:rPr>
        <w:t>GB/T 7119</w:t>
      </w:r>
      <w:r>
        <w:rPr>
          <w:rFonts w:hint="eastAsia" w:ascii="宋体" w:hAnsi="宋体"/>
        </w:rPr>
        <w:t xml:space="preserve">    节水型企业评价导则</w:t>
      </w:r>
    </w:p>
    <w:p>
      <w:pPr>
        <w:pStyle w:val="3"/>
        <w:ind w:firstLine="420" w:firstLineChars="200"/>
        <w:rPr>
          <w:rFonts w:ascii="宋体" w:hAnsi="宋体"/>
        </w:rPr>
      </w:pPr>
      <w:r>
        <w:rPr>
          <w:rFonts w:hint="eastAsia" w:ascii="宋体" w:hAnsi="宋体"/>
        </w:rPr>
        <w:t>GB/T 11086-2013 铜及铜合金术语</w:t>
      </w:r>
    </w:p>
    <w:p>
      <w:pPr>
        <w:pStyle w:val="3"/>
        <w:ind w:firstLine="420" w:firstLineChars="200"/>
        <w:rPr>
          <w:rFonts w:ascii="宋体" w:hAnsi="宋体"/>
        </w:rPr>
      </w:pPr>
      <w:r>
        <w:rPr>
          <w:rFonts w:hint="eastAsia" w:ascii="宋体" w:hAnsi="宋体"/>
        </w:rPr>
        <w:t>GB 12348     工业企业厂界环境噪声排放标准</w:t>
      </w:r>
    </w:p>
    <w:p>
      <w:pPr>
        <w:pStyle w:val="3"/>
        <w:ind w:firstLine="420" w:firstLineChars="200"/>
        <w:rPr>
          <w:rFonts w:ascii="宋体" w:hAnsi="宋体"/>
        </w:rPr>
      </w:pPr>
      <w:r>
        <w:rPr>
          <w:rFonts w:hint="eastAsia" w:ascii="宋体" w:hAnsi="宋体"/>
        </w:rPr>
        <w:t>GB 17167     用能单位能源计量器具配备和管理通则</w:t>
      </w:r>
    </w:p>
    <w:p>
      <w:pPr>
        <w:pStyle w:val="3"/>
        <w:ind w:firstLine="420" w:firstLineChars="200"/>
        <w:rPr>
          <w:rFonts w:ascii="宋体" w:hAnsi="宋体"/>
        </w:rPr>
      </w:pPr>
      <w:r>
        <w:rPr>
          <w:rFonts w:hint="eastAsia" w:ascii="宋体" w:hAnsi="宋体"/>
        </w:rPr>
        <w:t>GB 18597     危险废物贮存污染控制标准</w:t>
      </w:r>
    </w:p>
    <w:p>
      <w:pPr>
        <w:ind w:firstLine="420" w:firstLineChars="200"/>
        <w:rPr>
          <w:rFonts w:ascii="宋体" w:hAnsi="宋体"/>
        </w:rPr>
      </w:pPr>
      <w:r>
        <w:rPr>
          <w:rFonts w:ascii="宋体" w:hAnsi="宋体"/>
        </w:rPr>
        <w:t xml:space="preserve">GB 18598 </w:t>
      </w:r>
      <w:r>
        <w:rPr>
          <w:rFonts w:hint="eastAsia" w:ascii="宋体" w:hAnsi="宋体"/>
        </w:rPr>
        <w:t xml:space="preserve">    危险废物填埋污染控制标准</w:t>
      </w:r>
    </w:p>
    <w:p>
      <w:pPr>
        <w:pStyle w:val="3"/>
        <w:ind w:firstLine="420" w:firstLineChars="200"/>
        <w:rPr>
          <w:rFonts w:ascii="宋体" w:hAnsi="宋体"/>
        </w:rPr>
      </w:pPr>
      <w:r>
        <w:rPr>
          <w:rFonts w:hint="eastAsia" w:ascii="宋体" w:hAnsi="宋体"/>
        </w:rPr>
        <w:t>GB 18599     一般工业固体废物贮存、处置污染控制标准</w:t>
      </w:r>
    </w:p>
    <w:p>
      <w:pPr>
        <w:ind w:firstLine="420" w:firstLineChars="200"/>
        <w:rPr>
          <w:rFonts w:ascii="宋体" w:hAnsi="宋体"/>
        </w:rPr>
      </w:pPr>
      <w:r>
        <w:rPr>
          <w:rFonts w:ascii="宋体" w:hAnsi="宋体"/>
        </w:rPr>
        <w:t xml:space="preserve">GB 18613 </w:t>
      </w:r>
      <w:r>
        <w:rPr>
          <w:rFonts w:hint="eastAsia" w:ascii="宋体" w:hAnsi="宋体"/>
        </w:rPr>
        <w:t xml:space="preserve">    中小型三相异步电动机能效限定值及能效等级</w:t>
      </w:r>
    </w:p>
    <w:p>
      <w:pPr>
        <w:pStyle w:val="3"/>
        <w:ind w:firstLine="420" w:firstLineChars="200"/>
        <w:rPr>
          <w:rFonts w:ascii="宋体" w:hAnsi="宋体"/>
        </w:rPr>
      </w:pPr>
      <w:r>
        <w:rPr>
          <w:rFonts w:hint="eastAsia" w:ascii="宋体" w:hAnsi="宋体"/>
        </w:rPr>
        <w:t>GB/T 19001   质量管理体系  要求</w:t>
      </w:r>
    </w:p>
    <w:p>
      <w:pPr>
        <w:ind w:firstLine="420" w:firstLineChars="200"/>
        <w:rPr>
          <w:rFonts w:ascii="宋体" w:hAnsi="宋体"/>
        </w:rPr>
      </w:pPr>
      <w:r>
        <w:rPr>
          <w:rFonts w:ascii="宋体" w:hAnsi="宋体"/>
        </w:rPr>
        <w:t xml:space="preserve">GB 19153 </w:t>
      </w:r>
      <w:r>
        <w:rPr>
          <w:rFonts w:hint="eastAsia" w:ascii="宋体" w:hAnsi="宋体"/>
        </w:rPr>
        <w:t xml:space="preserve">    容积式空气压缩机能效限定值及能效等级</w:t>
      </w:r>
    </w:p>
    <w:p>
      <w:pPr>
        <w:ind w:firstLine="420" w:firstLineChars="200"/>
        <w:rPr>
          <w:rFonts w:ascii="宋体" w:hAnsi="宋体"/>
        </w:rPr>
      </w:pPr>
      <w:r>
        <w:rPr>
          <w:rFonts w:ascii="宋体" w:hAnsi="宋体"/>
        </w:rPr>
        <w:t xml:space="preserve">GB 19576 </w:t>
      </w:r>
      <w:r>
        <w:rPr>
          <w:rFonts w:hint="eastAsia" w:ascii="宋体" w:hAnsi="宋体"/>
        </w:rPr>
        <w:t xml:space="preserve">    单元式空气调节机能效限定值及能源效率等级</w:t>
      </w:r>
    </w:p>
    <w:p>
      <w:pPr>
        <w:ind w:firstLine="420" w:firstLineChars="200"/>
        <w:rPr>
          <w:rFonts w:ascii="宋体" w:hAnsi="宋体"/>
        </w:rPr>
      </w:pPr>
      <w:r>
        <w:rPr>
          <w:rFonts w:ascii="宋体" w:hAnsi="宋体"/>
        </w:rPr>
        <w:t xml:space="preserve">GB 19577 </w:t>
      </w:r>
      <w:r>
        <w:rPr>
          <w:rFonts w:hint="eastAsia" w:ascii="宋体" w:hAnsi="宋体"/>
        </w:rPr>
        <w:t xml:space="preserve">    冷水机组能效限定值及能效等级</w:t>
      </w:r>
    </w:p>
    <w:p>
      <w:pPr>
        <w:ind w:firstLine="420" w:firstLineChars="200"/>
        <w:rPr>
          <w:rFonts w:ascii="宋体" w:hAnsi="宋体"/>
        </w:rPr>
      </w:pPr>
      <w:r>
        <w:rPr>
          <w:rFonts w:ascii="宋体" w:hAnsi="宋体"/>
        </w:rPr>
        <w:t xml:space="preserve">GB 19761 </w:t>
      </w:r>
      <w:r>
        <w:rPr>
          <w:rFonts w:hint="eastAsia" w:ascii="宋体" w:hAnsi="宋体"/>
        </w:rPr>
        <w:t xml:space="preserve">    通风机能效限定值及能效等级</w:t>
      </w:r>
    </w:p>
    <w:p>
      <w:pPr>
        <w:ind w:firstLine="420" w:firstLineChars="200"/>
        <w:rPr>
          <w:rFonts w:ascii="宋体" w:hAnsi="宋体"/>
        </w:rPr>
      </w:pPr>
      <w:r>
        <w:rPr>
          <w:rFonts w:ascii="宋体" w:hAnsi="宋体"/>
        </w:rPr>
        <w:t xml:space="preserve">GB 20052 </w:t>
      </w:r>
      <w:r>
        <w:rPr>
          <w:rFonts w:hint="eastAsia" w:ascii="宋体" w:hAnsi="宋体"/>
        </w:rPr>
        <w:t xml:space="preserve">    三相配电变压器能效限定值及能效等级</w:t>
      </w:r>
    </w:p>
    <w:p>
      <w:pPr>
        <w:pStyle w:val="3"/>
        <w:ind w:firstLine="420" w:firstLineChars="200"/>
        <w:rPr>
          <w:rFonts w:ascii="宋体" w:hAnsi="宋体"/>
        </w:rPr>
      </w:pPr>
      <w:r>
        <w:rPr>
          <w:rFonts w:hint="eastAsia" w:ascii="宋体" w:hAnsi="宋体"/>
        </w:rPr>
        <w:t>GB/T 23331   能源管理体系  要求及使用指南</w:t>
      </w:r>
    </w:p>
    <w:p>
      <w:pPr>
        <w:pStyle w:val="3"/>
        <w:ind w:firstLine="420" w:firstLineChars="200"/>
        <w:rPr>
          <w:rFonts w:ascii="宋体" w:hAnsi="宋体"/>
        </w:rPr>
      </w:pPr>
      <w:r>
        <w:rPr>
          <w:rFonts w:hint="eastAsia" w:ascii="宋体" w:hAnsi="宋体"/>
        </w:rPr>
        <w:t>GB/T 24001   环境管理体系  要求及使用指南</w:t>
      </w:r>
    </w:p>
    <w:p>
      <w:pPr>
        <w:pStyle w:val="3"/>
        <w:ind w:firstLine="420" w:firstLineChars="200"/>
        <w:rPr>
          <w:rFonts w:ascii="宋体" w:hAnsi="宋体"/>
        </w:rPr>
      </w:pPr>
      <w:r>
        <w:rPr>
          <w:rFonts w:hint="eastAsia" w:ascii="宋体" w:hAnsi="宋体"/>
        </w:rPr>
        <w:t>GB/T 24256   产品生态设计通则</w:t>
      </w:r>
    </w:p>
    <w:p>
      <w:pPr>
        <w:pStyle w:val="3"/>
        <w:ind w:firstLine="420" w:firstLineChars="200"/>
        <w:rPr>
          <w:rFonts w:ascii="宋体" w:hAnsi="宋体"/>
        </w:rPr>
      </w:pPr>
      <w:r>
        <w:rPr>
          <w:rFonts w:hint="eastAsia" w:ascii="宋体" w:hAnsi="宋体"/>
        </w:rPr>
        <w:t>GB 24789   用水单位水计量器具配备和管理通则</w:t>
      </w:r>
    </w:p>
    <w:p>
      <w:pPr>
        <w:ind w:firstLine="420"/>
        <w:rPr>
          <w:rFonts w:ascii="宋体" w:hAnsi="宋体"/>
        </w:rPr>
      </w:pPr>
      <w:r>
        <w:rPr>
          <w:rFonts w:ascii="宋体" w:hAnsi="宋体"/>
        </w:rPr>
        <w:t xml:space="preserve">GB 24790 </w:t>
      </w:r>
      <w:r>
        <w:rPr>
          <w:rFonts w:hint="eastAsia" w:ascii="宋体" w:hAnsi="宋体"/>
        </w:rPr>
        <w:t xml:space="preserve">    电力变压器能效限定值及能效等级</w:t>
      </w:r>
    </w:p>
    <w:p>
      <w:pPr>
        <w:pStyle w:val="3"/>
        <w:ind w:firstLine="420" w:firstLineChars="200"/>
        <w:rPr>
          <w:rFonts w:ascii="宋体" w:hAnsi="宋体"/>
        </w:rPr>
      </w:pPr>
      <w:r>
        <w:rPr>
          <w:rFonts w:hint="eastAsia" w:ascii="宋体" w:hAnsi="宋体"/>
        </w:rPr>
        <w:t>GB/T 45001   职业健康安全管理体系 要求及使用指南</w:t>
      </w:r>
    </w:p>
    <w:p>
      <w:pPr>
        <w:pStyle w:val="3"/>
        <w:ind w:firstLine="420" w:firstLineChars="200"/>
        <w:rPr>
          <w:rFonts w:ascii="宋体" w:hAnsi="宋体"/>
        </w:rPr>
      </w:pPr>
      <w:r>
        <w:rPr>
          <w:rFonts w:hint="eastAsia" w:ascii="宋体" w:hAnsi="宋体"/>
        </w:rPr>
        <w:t>GB 32150     工业企业室温气体排放核算和报告通则</w:t>
      </w:r>
    </w:p>
    <w:p>
      <w:pPr>
        <w:ind w:firstLine="420" w:firstLineChars="200"/>
        <w:rPr>
          <w:rFonts w:ascii="宋体" w:hAnsi="宋体"/>
        </w:rPr>
      </w:pPr>
      <w:r>
        <w:rPr>
          <w:rFonts w:hint="eastAsia" w:ascii="宋体" w:hAnsi="宋体"/>
        </w:rPr>
        <w:t>GB/T 32151.X</w:t>
      </w:r>
      <w:r>
        <w:rPr>
          <w:rFonts w:ascii="宋体" w:hAnsi="宋体"/>
        </w:rPr>
        <w:t>温室气体排放核算与报告要求：其他有色金属冶炼和压延加工业企业</w:t>
      </w:r>
    </w:p>
    <w:p>
      <w:pPr>
        <w:pStyle w:val="3"/>
        <w:ind w:firstLine="420" w:firstLineChars="200"/>
        <w:rPr>
          <w:rFonts w:ascii="宋体" w:hAnsi="宋体"/>
        </w:rPr>
      </w:pPr>
      <w:r>
        <w:rPr>
          <w:rFonts w:hint="eastAsia" w:ascii="宋体" w:hAnsi="宋体"/>
        </w:rPr>
        <w:t>GB/T 32161   生态设计产品评价通则</w:t>
      </w:r>
    </w:p>
    <w:p>
      <w:pPr>
        <w:ind w:firstLine="420" w:firstLineChars="200"/>
        <w:rPr>
          <w:rFonts w:ascii="宋体" w:hAnsi="宋体"/>
        </w:rPr>
      </w:pPr>
      <w:r>
        <w:rPr>
          <w:rFonts w:ascii="宋体" w:hAnsi="宋体"/>
        </w:rPr>
        <w:t xml:space="preserve">GB/T 36000 </w:t>
      </w:r>
      <w:r>
        <w:rPr>
          <w:rFonts w:hint="eastAsia" w:ascii="宋体" w:hAnsi="宋体"/>
        </w:rPr>
        <w:t xml:space="preserve">  社会责任指南</w:t>
      </w:r>
    </w:p>
    <w:p>
      <w:pPr>
        <w:pStyle w:val="3"/>
        <w:ind w:firstLine="420" w:firstLineChars="200"/>
        <w:rPr>
          <w:rFonts w:ascii="宋体" w:hAnsi="宋体"/>
        </w:rPr>
      </w:pPr>
      <w:r>
        <w:rPr>
          <w:rFonts w:hint="eastAsia" w:ascii="宋体" w:hAnsi="宋体"/>
        </w:rPr>
        <w:t>GB/T 36132-2018  绿色工厂评价通则</w:t>
      </w:r>
    </w:p>
    <w:p>
      <w:pPr>
        <w:pStyle w:val="3"/>
        <w:ind w:firstLine="420" w:firstLineChars="200"/>
        <w:rPr>
          <w:rFonts w:ascii="宋体" w:hAnsi="宋体"/>
        </w:rPr>
      </w:pPr>
      <w:r>
        <w:rPr>
          <w:rFonts w:hint="eastAsia" w:ascii="宋体" w:hAnsi="宋体"/>
        </w:rPr>
        <w:t>GB 50034     建筑照明设计标准</w:t>
      </w:r>
    </w:p>
    <w:p>
      <w:pPr>
        <w:ind w:firstLine="420" w:firstLineChars="200"/>
        <w:rPr>
          <w:rFonts w:ascii="宋体" w:hAnsi="宋体"/>
        </w:rPr>
      </w:pPr>
      <w:r>
        <w:rPr>
          <w:rFonts w:ascii="宋体" w:hAnsi="宋体"/>
        </w:rPr>
        <w:t xml:space="preserve">RB/T 117 </w:t>
      </w:r>
      <w:r>
        <w:rPr>
          <w:rFonts w:hint="eastAsia" w:ascii="宋体" w:hAnsi="宋体"/>
        </w:rPr>
        <w:t xml:space="preserve">   能源管理体系</w:t>
      </w:r>
      <w:r>
        <w:rPr>
          <w:rFonts w:ascii="宋体" w:hAnsi="宋体"/>
        </w:rPr>
        <w:t xml:space="preserve"> </w:t>
      </w:r>
      <w:r>
        <w:rPr>
          <w:rFonts w:hint="eastAsia" w:ascii="宋体" w:hAnsi="宋体"/>
        </w:rPr>
        <w:t>有色金属企业认证要求</w:t>
      </w:r>
    </w:p>
    <w:p>
      <w:pPr>
        <w:ind w:firstLine="420" w:firstLineChars="200"/>
        <w:rPr>
          <w:rFonts w:ascii="宋体" w:hAnsi="宋体"/>
        </w:rPr>
      </w:pPr>
      <w:r>
        <w:rPr>
          <w:rFonts w:ascii="宋体" w:hAnsi="宋体"/>
        </w:rPr>
        <w:t>Y</w:t>
      </w:r>
      <w:r>
        <w:rPr>
          <w:rFonts w:hint="eastAsia" w:ascii="宋体" w:hAnsi="宋体"/>
        </w:rPr>
        <w:t>S/T xxxx   铜加工行业能源计量器具配备和管理要求</w:t>
      </w:r>
    </w:p>
    <w:p>
      <w:pPr>
        <w:pStyle w:val="2"/>
        <w:rPr>
          <w:szCs w:val="21"/>
        </w:rPr>
      </w:pPr>
      <w:bookmarkStart w:id="14" w:name="_Toc41314615"/>
      <w:bookmarkStart w:id="15" w:name="_Toc41313724"/>
      <w:r>
        <w:rPr>
          <w:rFonts w:hint="eastAsia"/>
          <w:szCs w:val="21"/>
        </w:rPr>
        <w:t>3  术语</w:t>
      </w:r>
      <w:bookmarkEnd w:id="14"/>
      <w:bookmarkEnd w:id="15"/>
      <w:r>
        <w:rPr>
          <w:rFonts w:hint="eastAsia"/>
          <w:color w:val="FF0000"/>
        </w:rPr>
        <w:t>和定义</w:t>
      </w:r>
    </w:p>
    <w:p>
      <w:pPr>
        <w:pStyle w:val="3"/>
        <w:ind w:left="425"/>
      </w:pPr>
      <w:r>
        <w:rPr>
          <w:rFonts w:hint="eastAsia"/>
        </w:rPr>
        <w:t>下列术语和定义适用于本文件。</w:t>
      </w:r>
    </w:p>
    <w:p>
      <w:pPr>
        <w:pStyle w:val="10"/>
        <w:ind w:firstLine="0" w:firstLineChars="0"/>
        <w:rPr>
          <w:rFonts w:ascii="黑体" w:hAnsi="黑体" w:eastAsia="黑体"/>
          <w:szCs w:val="21"/>
        </w:rPr>
      </w:pPr>
      <w:r>
        <w:rPr>
          <w:rFonts w:hint="eastAsia" w:ascii="黑体" w:hAnsi="黑体" w:eastAsia="黑体"/>
          <w:szCs w:val="21"/>
        </w:rPr>
        <w:t>3.1</w:t>
      </w:r>
    </w:p>
    <w:p>
      <w:pPr>
        <w:pStyle w:val="10"/>
        <w:rPr>
          <w:rFonts w:ascii="黑体" w:hAnsi="黑体" w:eastAsia="黑体"/>
          <w:szCs w:val="21"/>
        </w:rPr>
      </w:pPr>
      <w:r>
        <w:rPr>
          <w:rFonts w:hint="eastAsia" w:ascii="黑体" w:hAnsi="黑体" w:eastAsia="黑体"/>
          <w:szCs w:val="21"/>
        </w:rPr>
        <w:t xml:space="preserve">绿色工厂  </w:t>
      </w:r>
      <w:r>
        <w:rPr>
          <w:rFonts w:ascii="黑体" w:hAnsi="黑体" w:eastAsia="黑体"/>
          <w:szCs w:val="21"/>
        </w:rPr>
        <w:t>green factory</w:t>
      </w:r>
    </w:p>
    <w:p>
      <w:pPr>
        <w:pStyle w:val="10"/>
        <w:rPr>
          <w:rFonts w:ascii="宋体" w:hAnsi="宋体"/>
          <w:szCs w:val="21"/>
        </w:rPr>
      </w:pPr>
      <w:r>
        <w:rPr>
          <w:rFonts w:hint="eastAsia" w:ascii="宋体" w:hAnsi="宋体"/>
          <w:szCs w:val="21"/>
        </w:rPr>
        <w:t>实现了用地集约化、原料无害化、生产洁净化、废物资源化、能源低碳化的工厂。</w:t>
      </w:r>
    </w:p>
    <w:p>
      <w:pPr>
        <w:pStyle w:val="10"/>
        <w:rPr>
          <w:rFonts w:ascii="宋体" w:hAnsi="宋体"/>
          <w:szCs w:val="21"/>
        </w:rPr>
      </w:pPr>
      <w:r>
        <w:rPr>
          <w:rFonts w:ascii="宋体" w:hAnsi="宋体"/>
          <w:szCs w:val="21"/>
        </w:rPr>
        <w:t>[</w:t>
      </w:r>
      <w:r>
        <w:rPr>
          <w:rFonts w:hint="default" w:ascii="Times New Roman" w:hAnsi="Times New Roman" w:cs="Times New Roman"/>
          <w:color w:val="FF0000"/>
          <w:szCs w:val="21"/>
        </w:rPr>
        <w:t>来源：</w:t>
      </w:r>
      <w:r>
        <w:rPr>
          <w:rFonts w:ascii="宋体" w:hAnsi="宋体"/>
          <w:color w:val="FF0000"/>
          <w:szCs w:val="21"/>
        </w:rPr>
        <w:t>GB/T 36132-2018</w:t>
      </w:r>
      <w:r>
        <w:rPr>
          <w:rFonts w:hint="eastAsia" w:ascii="宋体" w:hAnsi="宋体"/>
          <w:color w:val="FF0000"/>
          <w:szCs w:val="21"/>
        </w:rPr>
        <w:t>，</w:t>
      </w:r>
      <w:r>
        <w:rPr>
          <w:rFonts w:ascii="宋体" w:hAnsi="宋体"/>
          <w:color w:val="FF0000"/>
          <w:szCs w:val="21"/>
        </w:rPr>
        <w:t>3.1</w:t>
      </w:r>
      <w:r>
        <w:rPr>
          <w:rFonts w:ascii="宋体" w:hAnsi="宋体"/>
          <w:szCs w:val="21"/>
        </w:rPr>
        <w:t>]</w:t>
      </w:r>
    </w:p>
    <w:p>
      <w:pPr>
        <w:pStyle w:val="10"/>
        <w:ind w:firstLine="0" w:firstLineChars="0"/>
        <w:rPr>
          <w:rFonts w:ascii="黑体" w:hAnsi="黑体" w:eastAsia="黑体"/>
          <w:szCs w:val="21"/>
        </w:rPr>
      </w:pPr>
      <w:r>
        <w:rPr>
          <w:rFonts w:hint="eastAsia" w:ascii="黑体" w:hAnsi="黑体" w:eastAsia="黑体"/>
          <w:szCs w:val="21"/>
        </w:rPr>
        <w:t>3.2</w:t>
      </w:r>
    </w:p>
    <w:p>
      <w:pPr>
        <w:pStyle w:val="10"/>
        <w:rPr>
          <w:rFonts w:ascii="黑体" w:hAnsi="黑体" w:eastAsia="黑体"/>
          <w:szCs w:val="21"/>
        </w:rPr>
      </w:pPr>
      <w:r>
        <w:rPr>
          <w:rFonts w:hint="eastAsia" w:ascii="黑体" w:hAnsi="黑体" w:eastAsia="黑体"/>
          <w:szCs w:val="21"/>
        </w:rPr>
        <w:t>生态（绿色）设计  eco-design，green-design</w:t>
      </w:r>
    </w:p>
    <w:p>
      <w:pPr>
        <w:pStyle w:val="10"/>
        <w:rPr>
          <w:rFonts w:ascii="宋体" w:hAnsi="宋体"/>
          <w:szCs w:val="21"/>
        </w:rPr>
      </w:pPr>
      <w:r>
        <w:rPr>
          <w:rFonts w:hint="eastAsia" w:ascii="宋体" w:hAnsi="宋体"/>
          <w:szCs w:val="21"/>
        </w:rPr>
        <w:t>按照全生命周期的理念，在产品设计开发阶段系统考虑原材料选用、生产、销售、使用、回收、处理等各环节对资源环境造成的影响，力求产品在全生命周期中最大限度降低资源消耗、尽可能少用或不用含有有害物质的原材料，减少污染物产生和排放，从而实现环境保护的活动。</w:t>
      </w:r>
    </w:p>
    <w:p>
      <w:pPr>
        <w:pStyle w:val="10"/>
        <w:rPr>
          <w:rFonts w:ascii="黑体" w:hAnsi="黑体" w:eastAsia="黑体"/>
          <w:szCs w:val="21"/>
        </w:rPr>
      </w:pPr>
      <w:r>
        <w:rPr>
          <w:rFonts w:ascii="宋体" w:hAnsi="宋体"/>
          <w:szCs w:val="21"/>
        </w:rPr>
        <w:t>[</w:t>
      </w:r>
      <w:r>
        <w:rPr>
          <w:rFonts w:hint="default" w:ascii="Times New Roman" w:hAnsi="Times New Roman" w:cs="Times New Roman"/>
          <w:color w:val="FF0000"/>
          <w:szCs w:val="21"/>
        </w:rPr>
        <w:t>来源：</w:t>
      </w:r>
      <w:r>
        <w:rPr>
          <w:rFonts w:ascii="宋体" w:hAnsi="宋体"/>
          <w:color w:val="FF0000"/>
          <w:szCs w:val="21"/>
        </w:rPr>
        <w:t>GB/T 3</w:t>
      </w:r>
      <w:r>
        <w:rPr>
          <w:rFonts w:hint="eastAsia" w:ascii="宋体" w:hAnsi="宋体"/>
          <w:color w:val="FF0000"/>
          <w:szCs w:val="21"/>
        </w:rPr>
        <w:t>2161</w:t>
      </w:r>
      <w:r>
        <w:rPr>
          <w:rFonts w:ascii="宋体" w:hAnsi="宋体"/>
          <w:color w:val="FF0000"/>
          <w:szCs w:val="21"/>
        </w:rPr>
        <w:t>-2018</w:t>
      </w:r>
      <w:r>
        <w:rPr>
          <w:rFonts w:hint="eastAsia" w:ascii="宋体" w:hAnsi="宋体"/>
          <w:color w:val="FF0000"/>
          <w:szCs w:val="21"/>
        </w:rPr>
        <w:t>，</w:t>
      </w:r>
      <w:r>
        <w:rPr>
          <w:rFonts w:ascii="宋体" w:hAnsi="宋体"/>
          <w:color w:val="FF0000"/>
          <w:szCs w:val="21"/>
        </w:rPr>
        <w:t>3.</w:t>
      </w:r>
      <w:r>
        <w:rPr>
          <w:rFonts w:hint="eastAsia" w:ascii="宋体" w:hAnsi="宋体"/>
          <w:color w:val="FF0000"/>
          <w:szCs w:val="21"/>
        </w:rPr>
        <w:t>2</w:t>
      </w:r>
      <w:r>
        <w:rPr>
          <w:rFonts w:ascii="宋体" w:hAnsi="宋体"/>
          <w:szCs w:val="21"/>
        </w:rPr>
        <w:t>]</w:t>
      </w:r>
      <w:r>
        <w:rPr>
          <w:rFonts w:hint="eastAsia" w:ascii="黑体" w:hAnsi="黑体" w:eastAsia="黑体"/>
          <w:szCs w:val="21"/>
        </w:rPr>
        <w:t xml:space="preserve"> </w:t>
      </w:r>
    </w:p>
    <w:p>
      <w:pPr>
        <w:pStyle w:val="10"/>
        <w:ind w:firstLine="0" w:firstLineChars="0"/>
        <w:rPr>
          <w:rFonts w:ascii="黑体" w:hAnsi="黑体" w:eastAsia="黑体"/>
          <w:szCs w:val="21"/>
        </w:rPr>
      </w:pPr>
      <w:r>
        <w:rPr>
          <w:rFonts w:hint="eastAsia" w:ascii="黑体" w:hAnsi="黑体" w:eastAsia="黑体"/>
          <w:szCs w:val="21"/>
        </w:rPr>
        <w:t>3.3</w:t>
      </w:r>
    </w:p>
    <w:p>
      <w:pPr>
        <w:pStyle w:val="10"/>
        <w:rPr>
          <w:rFonts w:ascii="黑体" w:hAnsi="黑体" w:eastAsia="黑体"/>
          <w:szCs w:val="21"/>
        </w:rPr>
      </w:pPr>
      <w:r>
        <w:rPr>
          <w:rFonts w:hint="eastAsia" w:ascii="黑体" w:hAnsi="黑体" w:eastAsia="黑体"/>
          <w:szCs w:val="21"/>
        </w:rPr>
        <w:t xml:space="preserve">铜及铜合金加工产品  </w:t>
      </w:r>
      <w:r>
        <w:rPr>
          <w:rFonts w:hint="eastAsia" w:ascii="黑体" w:eastAsia="黑体"/>
          <w:szCs w:val="21"/>
          <w:shd w:val="clear" w:color="auto" w:fill="FCFCFC"/>
        </w:rPr>
        <w:t>copper and copper alloy processing product</w:t>
      </w:r>
    </w:p>
    <w:p>
      <w:pPr>
        <w:ind w:firstLine="420" w:firstLineChars="200"/>
        <w:rPr>
          <w:rStyle w:val="26"/>
          <w:rFonts w:ascii="宋体" w:cs="黑体"/>
          <w:b w:val="0"/>
          <w:sz w:val="21"/>
          <w:szCs w:val="21"/>
        </w:rPr>
      </w:pPr>
      <w:bookmarkStart w:id="16" w:name="_Toc41314616"/>
      <w:bookmarkStart w:id="17" w:name="_Toc41313725"/>
      <w:r>
        <w:rPr>
          <w:rStyle w:val="26"/>
          <w:rFonts w:hint="eastAsia" w:ascii="宋体" w:hAnsi="宋体" w:cs="黑体"/>
          <w:b w:val="0"/>
          <w:sz w:val="21"/>
          <w:szCs w:val="21"/>
        </w:rPr>
        <w:t>用热、冷塑性变形方法如挤压、锻造、轧制或拉伸（可单独采用或联合采用）所获得的铜及铜合金产品的统称。铜及铜合金加工产品包含管材、棒材、型材、线材、板材、带材、箔材、锻件等。</w:t>
      </w:r>
      <w:bookmarkEnd w:id="16"/>
      <w:bookmarkEnd w:id="17"/>
    </w:p>
    <w:p>
      <w:pPr>
        <w:ind w:firstLine="420" w:firstLineChars="200"/>
        <w:rPr>
          <w:rFonts w:ascii="宋体" w:hAnsi="宋体"/>
          <w:szCs w:val="21"/>
        </w:rPr>
      </w:pPr>
      <w:r>
        <w:rPr>
          <w:rFonts w:ascii="宋体" w:hAnsi="宋体"/>
          <w:szCs w:val="21"/>
        </w:rPr>
        <w:t>[</w:t>
      </w:r>
      <w:r>
        <w:rPr>
          <w:rFonts w:hint="default" w:ascii="Times New Roman" w:hAnsi="Times New Roman" w:cs="Times New Roman"/>
          <w:color w:val="FF0000"/>
          <w:szCs w:val="21"/>
        </w:rPr>
        <w:t>来源：</w:t>
      </w:r>
      <w:r>
        <w:rPr>
          <w:rFonts w:ascii="宋体" w:hAnsi="宋体"/>
          <w:color w:val="FF0000"/>
          <w:szCs w:val="21"/>
        </w:rPr>
        <w:t xml:space="preserve">GB/T </w:t>
      </w:r>
      <w:r>
        <w:rPr>
          <w:rFonts w:hint="eastAsia" w:ascii="宋体" w:hAnsi="宋体"/>
          <w:color w:val="FF0000"/>
          <w:szCs w:val="21"/>
        </w:rPr>
        <w:t>11086</w:t>
      </w:r>
      <w:r>
        <w:rPr>
          <w:rFonts w:ascii="宋体" w:hAnsi="宋体"/>
          <w:color w:val="FF0000"/>
          <w:szCs w:val="21"/>
        </w:rPr>
        <w:t>-201</w:t>
      </w:r>
      <w:r>
        <w:rPr>
          <w:rFonts w:hint="eastAsia" w:ascii="宋体" w:hAnsi="宋体"/>
          <w:color w:val="FF0000"/>
          <w:szCs w:val="21"/>
        </w:rPr>
        <w:t>3，4</w:t>
      </w:r>
      <w:r>
        <w:rPr>
          <w:rFonts w:ascii="宋体" w:hAnsi="宋体"/>
          <w:color w:val="FF0000"/>
          <w:szCs w:val="21"/>
        </w:rPr>
        <w:t>.</w:t>
      </w:r>
      <w:r>
        <w:rPr>
          <w:rFonts w:hint="eastAsia" w:ascii="宋体" w:hAnsi="宋体"/>
          <w:color w:val="FF0000"/>
          <w:szCs w:val="21"/>
        </w:rPr>
        <w:t>1</w:t>
      </w:r>
      <w:r>
        <w:rPr>
          <w:rFonts w:hint="default" w:ascii="Times New Roman" w:hAnsi="Times New Roman" w:cs="Times New Roman"/>
          <w:color w:val="FF0000"/>
          <w:szCs w:val="21"/>
        </w:rPr>
        <w:t>，有修改</w:t>
      </w:r>
      <w:r>
        <w:rPr>
          <w:rFonts w:ascii="宋体" w:hAnsi="宋体"/>
          <w:szCs w:val="21"/>
        </w:rPr>
        <w:t>]</w:t>
      </w:r>
      <w:r>
        <w:rPr>
          <w:rFonts w:hint="eastAsia" w:ascii="黑体" w:hAnsi="黑体" w:eastAsia="黑体"/>
          <w:szCs w:val="21"/>
        </w:rPr>
        <w:t xml:space="preserve"> </w:t>
      </w:r>
    </w:p>
    <w:p>
      <w:pPr>
        <w:pStyle w:val="2"/>
        <w:rPr>
          <w:rFonts w:hAnsi="黑体"/>
          <w:szCs w:val="21"/>
        </w:rPr>
      </w:pPr>
      <w:bookmarkStart w:id="18" w:name="_Toc41314617"/>
      <w:bookmarkStart w:id="19" w:name="_Toc41313726"/>
      <w:r>
        <w:rPr>
          <w:rFonts w:hint="eastAsia" w:hAnsi="黑体"/>
          <w:szCs w:val="21"/>
        </w:rPr>
        <w:t>4 总则</w:t>
      </w:r>
      <w:bookmarkEnd w:id="18"/>
      <w:bookmarkEnd w:id="19"/>
    </w:p>
    <w:p>
      <w:pPr>
        <w:pStyle w:val="5"/>
        <w:rPr>
          <w:rFonts w:ascii="黑体" w:hAnsi="黑体"/>
          <w:b w:val="0"/>
          <w:sz w:val="21"/>
          <w:szCs w:val="21"/>
        </w:rPr>
      </w:pPr>
      <w:bookmarkStart w:id="20" w:name="_Toc41314618"/>
      <w:bookmarkStart w:id="21" w:name="_Toc41313727"/>
      <w:r>
        <w:rPr>
          <w:rFonts w:ascii="黑体" w:hAnsi="黑体"/>
          <w:b w:val="0"/>
          <w:sz w:val="21"/>
          <w:szCs w:val="21"/>
        </w:rPr>
        <w:t>4.1</w:t>
      </w:r>
      <w:r>
        <w:rPr>
          <w:rFonts w:hint="eastAsia" w:ascii="黑体" w:hAnsi="黑体"/>
          <w:b w:val="0"/>
          <w:sz w:val="21"/>
          <w:szCs w:val="21"/>
        </w:rPr>
        <w:t>评价原则</w:t>
      </w:r>
      <w:bookmarkEnd w:id="20"/>
      <w:bookmarkEnd w:id="21"/>
    </w:p>
    <w:p>
      <w:pPr>
        <w:rPr>
          <w:rFonts w:ascii="黑体" w:hAnsi="黑体" w:eastAsia="黑体" w:cs="黑体"/>
        </w:rPr>
      </w:pPr>
      <w:r>
        <w:rPr>
          <w:rFonts w:ascii="黑体" w:hAnsi="黑体" w:eastAsia="黑体" w:cs="黑体"/>
        </w:rPr>
        <w:t xml:space="preserve">4.1.1 </w:t>
      </w:r>
      <w:r>
        <w:rPr>
          <w:rFonts w:hint="eastAsia" w:ascii="黑体" w:hAnsi="黑体" w:eastAsia="黑体" w:cs="黑体"/>
        </w:rPr>
        <w:t>一致性原则</w:t>
      </w:r>
    </w:p>
    <w:p>
      <w:pPr>
        <w:ind w:firstLine="420" w:firstLineChars="200"/>
        <w:rPr>
          <w:rFonts w:cs="宋体"/>
        </w:rPr>
      </w:pPr>
      <w:r>
        <w:rPr>
          <w:rFonts w:hint="eastAsia" w:cs="宋体"/>
        </w:rPr>
        <w:t>评价总体结构与</w:t>
      </w:r>
      <w:r>
        <w:rPr>
          <w:rFonts w:cs="宋体"/>
        </w:rPr>
        <w:t>GB/T 36132</w:t>
      </w:r>
      <w:r>
        <w:rPr>
          <w:rFonts w:hint="eastAsia" w:cs="宋体"/>
        </w:rPr>
        <w:t>-2018提出的相关评价指标体系和要求保持一致。</w:t>
      </w:r>
    </w:p>
    <w:p>
      <w:pPr>
        <w:rPr>
          <w:rFonts w:ascii="黑体" w:hAnsi="黑体" w:eastAsia="黑体" w:cs="黑体"/>
        </w:rPr>
      </w:pPr>
      <w:r>
        <w:rPr>
          <w:rFonts w:ascii="黑体" w:hAnsi="黑体" w:eastAsia="黑体" w:cs="黑体"/>
        </w:rPr>
        <w:t xml:space="preserve">4.1.2 </w:t>
      </w:r>
      <w:r>
        <w:rPr>
          <w:rFonts w:hint="eastAsia" w:ascii="黑体" w:hAnsi="黑体" w:eastAsia="黑体" w:cs="黑体"/>
        </w:rPr>
        <w:t>行业性原则</w:t>
      </w:r>
    </w:p>
    <w:p>
      <w:pPr>
        <w:ind w:firstLine="420" w:firstLineChars="200"/>
        <w:rPr>
          <w:rFonts w:ascii="黑体" w:eastAsia="黑体" w:cs="黑体"/>
        </w:rPr>
      </w:pPr>
      <w:r>
        <w:rPr>
          <w:rFonts w:hint="eastAsia" w:ascii="黑体" w:hAnsi="黑体" w:cs="黑体"/>
        </w:rPr>
        <w:t>评价</w:t>
      </w:r>
      <w:r>
        <w:rPr>
          <w:rFonts w:hint="eastAsia" w:cs="宋体"/>
        </w:rPr>
        <w:t>要求在</w:t>
      </w:r>
      <w:r>
        <w:rPr>
          <w:rFonts w:cs="宋体"/>
        </w:rPr>
        <w:t>GB/T 36132</w:t>
      </w:r>
      <w:r>
        <w:rPr>
          <w:rFonts w:hint="eastAsia" w:cs="宋体"/>
        </w:rPr>
        <w:t>-2018的基础上</w:t>
      </w:r>
      <w:r>
        <w:rPr>
          <w:rFonts w:hint="eastAsia" w:ascii="黑体" w:hAnsi="黑体" w:cs="黑体"/>
        </w:rPr>
        <w:t>突出铜及铜合金加工行业的特征。</w:t>
      </w:r>
    </w:p>
    <w:p>
      <w:pPr>
        <w:rPr>
          <w:rFonts w:ascii="黑体" w:hAnsi="黑体" w:eastAsia="黑体" w:cs="黑体"/>
        </w:rPr>
      </w:pPr>
      <w:r>
        <w:rPr>
          <w:rFonts w:ascii="黑体" w:hAnsi="黑体" w:eastAsia="黑体" w:cs="黑体"/>
        </w:rPr>
        <w:t xml:space="preserve">4.1.3 </w:t>
      </w:r>
      <w:r>
        <w:rPr>
          <w:rFonts w:hint="eastAsia" w:ascii="黑体" w:hAnsi="黑体" w:eastAsia="黑体" w:cs="黑体"/>
        </w:rPr>
        <w:t>系统性原则</w:t>
      </w:r>
    </w:p>
    <w:p>
      <w:pPr>
        <w:rPr>
          <w:rFonts w:ascii="黑体" w:eastAsia="黑体" w:cs="黑体"/>
        </w:rPr>
      </w:pPr>
      <w:r>
        <w:rPr>
          <w:rFonts w:ascii="黑体" w:hAnsi="黑体" w:cs="黑体"/>
        </w:rPr>
        <w:t xml:space="preserve">    </w:t>
      </w:r>
      <w:r>
        <w:rPr>
          <w:rFonts w:hint="eastAsia" w:ascii="黑体" w:hAnsi="黑体" w:cs="黑体"/>
        </w:rPr>
        <w:t>评价指标采取定性与定量相结合、过程与绩效相结合的方式，形成完整的综合性评价指标体系。</w:t>
      </w:r>
    </w:p>
    <w:p>
      <w:pPr>
        <w:pStyle w:val="5"/>
        <w:rPr>
          <w:rFonts w:ascii="黑体" w:hAnsi="黑体"/>
          <w:b w:val="0"/>
          <w:sz w:val="21"/>
          <w:szCs w:val="21"/>
        </w:rPr>
      </w:pPr>
      <w:bookmarkStart w:id="22" w:name="_Toc41313728"/>
      <w:bookmarkStart w:id="23" w:name="_Toc41314619"/>
      <w:r>
        <w:rPr>
          <w:rFonts w:hint="eastAsia" w:ascii="黑体" w:hAnsi="黑体"/>
          <w:b w:val="0"/>
          <w:sz w:val="21"/>
          <w:szCs w:val="21"/>
        </w:rPr>
        <w:t>4.2评价指标</w:t>
      </w:r>
      <w:bookmarkEnd w:id="22"/>
      <w:bookmarkEnd w:id="23"/>
    </w:p>
    <w:p>
      <w:pPr>
        <w:rPr>
          <w:rFonts w:ascii="黑体" w:hAnsi="黑体" w:eastAsia="黑体" w:cs="黑体"/>
        </w:rPr>
      </w:pPr>
      <w:r>
        <w:rPr>
          <w:rFonts w:ascii="黑体" w:hAnsi="黑体" w:eastAsia="黑体" w:cs="黑体"/>
        </w:rPr>
        <w:t>4.2.1</w:t>
      </w:r>
      <w:r>
        <w:rPr>
          <w:rFonts w:hint="eastAsia" w:ascii="黑体" w:hAnsi="黑体" w:eastAsia="黑体" w:cs="黑体"/>
        </w:rPr>
        <w:t>评价指标体系</w:t>
      </w:r>
    </w:p>
    <w:p>
      <w:pPr>
        <w:ind w:firstLine="420" w:firstLineChars="200"/>
        <w:rPr>
          <w:rFonts w:cs="宋体"/>
        </w:rPr>
      </w:pPr>
      <w:r>
        <w:rPr>
          <w:rFonts w:hint="eastAsia" w:cs="宋体"/>
        </w:rPr>
        <w:t>评价指标体系包括一级指标和二级指标，一级指标包括基本要求、基础设施、管理体系、能源与资源投入、产品、环境排放、绩效</w:t>
      </w:r>
      <w:r>
        <w:rPr>
          <w:rFonts w:cs="宋体"/>
        </w:rPr>
        <w:t>7</w:t>
      </w:r>
      <w:r>
        <w:rPr>
          <w:rFonts w:hint="eastAsia" w:cs="宋体"/>
        </w:rPr>
        <w:t>个方面，在一级指标下设二级指标，在二级指标下设具体评价要求。基本要求为工厂参与评价的基本条件，不参与评分；其他</w:t>
      </w:r>
      <w:r>
        <w:rPr>
          <w:rFonts w:cs="宋体"/>
        </w:rPr>
        <w:t>6</w:t>
      </w:r>
      <w:r>
        <w:rPr>
          <w:rFonts w:hint="eastAsia" w:cs="宋体"/>
        </w:rPr>
        <w:t>个方面为具体评价要求，通过评分来判断工厂满足要求的程度。</w:t>
      </w:r>
    </w:p>
    <w:p>
      <w:pPr>
        <w:ind w:firstLine="420" w:firstLineChars="200"/>
        <w:rPr>
          <w:rFonts w:cs="宋体"/>
        </w:rPr>
      </w:pPr>
      <w:r>
        <w:rPr>
          <w:rFonts w:hint="eastAsia" w:cs="宋体"/>
        </w:rPr>
        <w:t>具体评价要求分为必选要求和可选要求，必选要求为工厂应达到的基础性要求，必选要求不达标的不能评价为绿色工厂；可选要求为希望工厂努力达到的提高性要求，具有先进性，依据受评工厂的实际情况确定可选要求的满足程度。</w:t>
      </w:r>
    </w:p>
    <w:p>
      <w:pPr>
        <w:rPr>
          <w:rFonts w:ascii="黑体" w:hAnsi="黑体" w:eastAsia="黑体" w:cs="黑体"/>
          <w:strike w:val="0"/>
          <w:dstrike w:val="0"/>
          <w:color w:val="auto"/>
        </w:rPr>
      </w:pPr>
      <w:r>
        <w:rPr>
          <w:rFonts w:ascii="黑体" w:hAnsi="黑体" w:eastAsia="黑体" w:cs="黑体"/>
          <w:strike w:val="0"/>
          <w:dstrike w:val="0"/>
          <w:color w:val="auto"/>
        </w:rPr>
        <w:t xml:space="preserve">4.2.2 </w:t>
      </w:r>
      <w:r>
        <w:rPr>
          <w:rFonts w:hint="eastAsia" w:ascii="黑体" w:hAnsi="黑体" w:eastAsia="黑体" w:cs="黑体"/>
          <w:strike w:val="0"/>
          <w:dstrike w:val="0"/>
          <w:color w:val="auto"/>
        </w:rPr>
        <w:t>权重系数和指标分数</w:t>
      </w:r>
    </w:p>
    <w:p>
      <w:pPr>
        <w:rPr>
          <w:rFonts w:ascii="宋体" w:hAnsi="宋体"/>
          <w:strike w:val="0"/>
          <w:dstrike w:val="0"/>
          <w:color w:val="auto"/>
          <w:szCs w:val="21"/>
        </w:rPr>
      </w:pPr>
      <w:r>
        <w:rPr>
          <w:rFonts w:hint="eastAsia" w:ascii="黑体" w:hAnsi="宋体" w:eastAsia="黑体"/>
          <w:strike w:val="0"/>
          <w:dstrike w:val="0"/>
          <w:color w:val="auto"/>
          <w:szCs w:val="21"/>
        </w:rPr>
        <w:t>4.2.2.1</w:t>
      </w:r>
      <w:r>
        <w:rPr>
          <w:rFonts w:hint="eastAsia" w:ascii="宋体" w:hAnsi="宋体"/>
          <w:strike w:val="0"/>
          <w:dstrike w:val="0"/>
          <w:color w:val="auto"/>
          <w:szCs w:val="21"/>
        </w:rPr>
        <w:t xml:space="preserve"> 铜及铜合金加工行业绿色工厂评价一级指标权重系数范围为：</w:t>
      </w:r>
    </w:p>
    <w:p>
      <w:pPr>
        <w:ind w:firstLine="420" w:firstLineChars="200"/>
        <w:rPr>
          <w:rFonts w:ascii="宋体" w:hAnsi="宋体"/>
          <w:strike w:val="0"/>
          <w:dstrike w:val="0"/>
          <w:color w:val="auto"/>
          <w:szCs w:val="21"/>
        </w:rPr>
      </w:pPr>
      <w:r>
        <w:rPr>
          <w:rFonts w:ascii="宋体" w:hAnsi="宋体"/>
          <w:strike w:val="0"/>
          <w:dstrike w:val="0"/>
          <w:color w:val="auto"/>
          <w:szCs w:val="21"/>
        </w:rPr>
        <w:t>——</w:t>
      </w:r>
      <w:r>
        <w:rPr>
          <w:rFonts w:hint="eastAsia" w:ascii="宋体" w:hAnsi="宋体"/>
          <w:strike w:val="0"/>
          <w:dstrike w:val="0"/>
          <w:color w:val="auto"/>
          <w:szCs w:val="21"/>
        </w:rPr>
        <w:t>基本要求（5.1）采取一票否决制，应全部满足；</w:t>
      </w:r>
    </w:p>
    <w:p>
      <w:pPr>
        <w:ind w:firstLine="420" w:firstLineChars="200"/>
        <w:rPr>
          <w:rFonts w:ascii="宋体" w:hAnsi="宋体"/>
          <w:strike w:val="0"/>
          <w:dstrike w:val="0"/>
          <w:color w:val="auto"/>
          <w:szCs w:val="21"/>
        </w:rPr>
      </w:pPr>
      <w:r>
        <w:rPr>
          <w:rFonts w:ascii="宋体" w:hAnsi="宋体"/>
          <w:strike w:val="0"/>
          <w:dstrike w:val="0"/>
          <w:color w:val="auto"/>
          <w:szCs w:val="21"/>
        </w:rPr>
        <w:t>——</w:t>
      </w:r>
      <w:r>
        <w:rPr>
          <w:rFonts w:hint="eastAsia" w:ascii="宋体" w:hAnsi="宋体"/>
          <w:strike w:val="0"/>
          <w:dstrike w:val="0"/>
          <w:color w:val="auto"/>
          <w:szCs w:val="21"/>
        </w:rPr>
        <w:t>基础设施（5.2）</w:t>
      </w:r>
      <w:r>
        <w:rPr>
          <w:rFonts w:ascii="宋体" w:hAnsi="宋体"/>
          <w:strike w:val="0"/>
          <w:dstrike w:val="0"/>
          <w:color w:val="auto"/>
          <w:szCs w:val="21"/>
        </w:rPr>
        <w:t xml:space="preserve">  20%</w:t>
      </w:r>
      <w:r>
        <w:rPr>
          <w:rFonts w:hint="eastAsia" w:ascii="宋体" w:hAnsi="宋体"/>
          <w:strike w:val="0"/>
          <w:dstrike w:val="0"/>
          <w:color w:val="auto"/>
          <w:szCs w:val="21"/>
        </w:rPr>
        <w:t>；</w:t>
      </w:r>
    </w:p>
    <w:p>
      <w:pPr>
        <w:ind w:firstLine="420" w:firstLineChars="200"/>
        <w:rPr>
          <w:rFonts w:ascii="宋体" w:hAnsi="宋体"/>
          <w:strike w:val="0"/>
          <w:dstrike w:val="0"/>
          <w:color w:val="auto"/>
          <w:szCs w:val="21"/>
        </w:rPr>
      </w:pPr>
      <w:r>
        <w:rPr>
          <w:rFonts w:ascii="宋体" w:hAnsi="宋体"/>
          <w:strike w:val="0"/>
          <w:dstrike w:val="0"/>
          <w:color w:val="auto"/>
          <w:szCs w:val="21"/>
        </w:rPr>
        <w:t>——</w:t>
      </w:r>
      <w:r>
        <w:rPr>
          <w:rFonts w:hint="eastAsia" w:ascii="宋体" w:hAnsi="宋体"/>
          <w:strike w:val="0"/>
          <w:dstrike w:val="0"/>
          <w:color w:val="auto"/>
          <w:szCs w:val="21"/>
        </w:rPr>
        <w:t>管理体系（5.3）</w:t>
      </w:r>
      <w:r>
        <w:rPr>
          <w:rFonts w:ascii="宋体" w:hAnsi="宋体"/>
          <w:strike w:val="0"/>
          <w:dstrike w:val="0"/>
          <w:color w:val="auto"/>
          <w:szCs w:val="21"/>
        </w:rPr>
        <w:t xml:space="preserve">  15%</w:t>
      </w:r>
      <w:r>
        <w:rPr>
          <w:rFonts w:hint="eastAsia" w:ascii="宋体" w:hAnsi="宋体"/>
          <w:strike w:val="0"/>
          <w:dstrike w:val="0"/>
          <w:color w:val="auto"/>
          <w:szCs w:val="21"/>
        </w:rPr>
        <w:t>；</w:t>
      </w:r>
    </w:p>
    <w:p>
      <w:pPr>
        <w:ind w:firstLine="420" w:firstLineChars="200"/>
        <w:rPr>
          <w:rFonts w:ascii="宋体" w:hAnsi="宋体"/>
          <w:strike w:val="0"/>
          <w:dstrike w:val="0"/>
          <w:color w:val="auto"/>
          <w:szCs w:val="21"/>
        </w:rPr>
      </w:pPr>
      <w:r>
        <w:rPr>
          <w:rFonts w:ascii="宋体" w:hAnsi="宋体"/>
          <w:strike w:val="0"/>
          <w:dstrike w:val="0"/>
          <w:color w:val="auto"/>
          <w:szCs w:val="21"/>
        </w:rPr>
        <w:t>——</w:t>
      </w:r>
      <w:r>
        <w:rPr>
          <w:rFonts w:hint="eastAsia" w:ascii="宋体" w:hAnsi="宋体"/>
          <w:strike w:val="0"/>
          <w:dstrike w:val="0"/>
          <w:color w:val="auto"/>
          <w:szCs w:val="21"/>
        </w:rPr>
        <w:t>能源与资源投入（5.4）</w:t>
      </w:r>
      <w:r>
        <w:rPr>
          <w:rFonts w:ascii="宋体" w:hAnsi="宋体"/>
          <w:strike w:val="0"/>
          <w:dstrike w:val="0"/>
          <w:color w:val="auto"/>
          <w:szCs w:val="21"/>
        </w:rPr>
        <w:t xml:space="preserve">  15%</w:t>
      </w:r>
      <w:r>
        <w:rPr>
          <w:rFonts w:hint="eastAsia" w:ascii="宋体" w:hAnsi="宋体"/>
          <w:strike w:val="0"/>
          <w:dstrike w:val="0"/>
          <w:color w:val="auto"/>
          <w:szCs w:val="21"/>
        </w:rPr>
        <w:t>；</w:t>
      </w:r>
    </w:p>
    <w:p>
      <w:pPr>
        <w:ind w:firstLine="420" w:firstLineChars="200"/>
        <w:rPr>
          <w:rFonts w:ascii="宋体" w:hAnsi="宋体"/>
          <w:strike w:val="0"/>
          <w:dstrike w:val="0"/>
          <w:color w:val="auto"/>
          <w:szCs w:val="21"/>
        </w:rPr>
      </w:pPr>
      <w:r>
        <w:rPr>
          <w:rFonts w:ascii="宋体" w:hAnsi="宋体"/>
          <w:strike w:val="0"/>
          <w:dstrike w:val="0"/>
          <w:color w:val="auto"/>
          <w:szCs w:val="21"/>
        </w:rPr>
        <w:t>——</w:t>
      </w:r>
      <w:r>
        <w:rPr>
          <w:rFonts w:hint="eastAsia" w:ascii="宋体" w:hAnsi="宋体"/>
          <w:strike w:val="0"/>
          <w:dstrike w:val="0"/>
          <w:color w:val="auto"/>
          <w:szCs w:val="21"/>
        </w:rPr>
        <w:t>产品（5.5）</w:t>
      </w:r>
      <w:r>
        <w:rPr>
          <w:rFonts w:ascii="宋体" w:hAnsi="宋体"/>
          <w:strike w:val="0"/>
          <w:dstrike w:val="0"/>
          <w:color w:val="auto"/>
          <w:szCs w:val="21"/>
        </w:rPr>
        <w:t xml:space="preserve">  10%</w:t>
      </w:r>
      <w:r>
        <w:rPr>
          <w:rFonts w:hint="eastAsia" w:ascii="宋体" w:hAnsi="宋体"/>
          <w:strike w:val="0"/>
          <w:dstrike w:val="0"/>
          <w:color w:val="auto"/>
          <w:szCs w:val="21"/>
        </w:rPr>
        <w:t>；</w:t>
      </w:r>
    </w:p>
    <w:p>
      <w:pPr>
        <w:ind w:firstLine="420" w:firstLineChars="200"/>
        <w:rPr>
          <w:rFonts w:ascii="宋体" w:hAnsi="宋体"/>
          <w:strike w:val="0"/>
          <w:dstrike w:val="0"/>
          <w:color w:val="auto"/>
          <w:szCs w:val="21"/>
        </w:rPr>
      </w:pPr>
      <w:r>
        <w:rPr>
          <w:rFonts w:ascii="宋体" w:hAnsi="宋体"/>
          <w:strike w:val="0"/>
          <w:dstrike w:val="0"/>
          <w:color w:val="auto"/>
          <w:szCs w:val="21"/>
        </w:rPr>
        <w:t>——</w:t>
      </w:r>
      <w:r>
        <w:rPr>
          <w:rFonts w:hint="eastAsia" w:ascii="宋体" w:hAnsi="宋体"/>
          <w:strike w:val="0"/>
          <w:dstrike w:val="0"/>
          <w:color w:val="auto"/>
          <w:szCs w:val="21"/>
        </w:rPr>
        <w:t>环境排放（5.6）</w:t>
      </w:r>
      <w:r>
        <w:rPr>
          <w:rFonts w:ascii="宋体" w:hAnsi="宋体"/>
          <w:strike w:val="0"/>
          <w:dstrike w:val="0"/>
          <w:color w:val="auto"/>
          <w:szCs w:val="21"/>
        </w:rPr>
        <w:t xml:space="preserve">  10%</w:t>
      </w:r>
      <w:r>
        <w:rPr>
          <w:rFonts w:hint="eastAsia" w:ascii="宋体" w:hAnsi="宋体"/>
          <w:strike w:val="0"/>
          <w:dstrike w:val="0"/>
          <w:color w:val="auto"/>
          <w:szCs w:val="21"/>
        </w:rPr>
        <w:t>；；</w:t>
      </w:r>
    </w:p>
    <w:p>
      <w:pPr>
        <w:ind w:firstLine="420" w:firstLineChars="200"/>
        <w:rPr>
          <w:rFonts w:ascii="宋体" w:hAnsi="宋体"/>
          <w:strike w:val="0"/>
          <w:dstrike w:val="0"/>
          <w:color w:val="auto"/>
          <w:szCs w:val="21"/>
        </w:rPr>
      </w:pPr>
      <w:r>
        <w:rPr>
          <w:rFonts w:ascii="宋体" w:hAnsi="宋体"/>
          <w:strike w:val="0"/>
          <w:dstrike w:val="0"/>
          <w:color w:val="auto"/>
          <w:szCs w:val="21"/>
        </w:rPr>
        <w:t>——</w:t>
      </w:r>
      <w:r>
        <w:rPr>
          <w:rFonts w:hint="eastAsia" w:ascii="宋体" w:hAnsi="宋体"/>
          <w:strike w:val="0"/>
          <w:dstrike w:val="0"/>
          <w:color w:val="auto"/>
          <w:szCs w:val="21"/>
        </w:rPr>
        <w:t>绩效（5.7）</w:t>
      </w:r>
      <w:r>
        <w:rPr>
          <w:rFonts w:ascii="宋体" w:hAnsi="宋体"/>
          <w:strike w:val="0"/>
          <w:dstrike w:val="0"/>
          <w:color w:val="auto"/>
          <w:szCs w:val="21"/>
        </w:rPr>
        <w:t xml:space="preserve">  30%</w:t>
      </w:r>
      <w:r>
        <w:rPr>
          <w:rFonts w:hint="eastAsia" w:ascii="宋体" w:hAnsi="宋体"/>
          <w:strike w:val="0"/>
          <w:dstrike w:val="0"/>
          <w:color w:val="auto"/>
          <w:szCs w:val="21"/>
        </w:rPr>
        <w:t>；</w:t>
      </w:r>
    </w:p>
    <w:p>
      <w:pPr>
        <w:ind w:firstLine="315" w:firstLineChars="150"/>
        <w:rPr>
          <w:rFonts w:ascii="宋体" w:hAnsi="宋体" w:cs="宋体"/>
          <w:strike w:val="0"/>
          <w:dstrike w:val="0"/>
          <w:color w:val="auto"/>
        </w:rPr>
      </w:pPr>
      <w:r>
        <w:rPr>
          <w:rFonts w:ascii="宋体" w:hAnsi="宋体"/>
          <w:strike w:val="0"/>
          <w:dstrike w:val="0"/>
          <w:color w:val="auto"/>
          <w:szCs w:val="21"/>
        </w:rPr>
        <w:t>——</w:t>
      </w:r>
      <w:r>
        <w:rPr>
          <w:rFonts w:hint="eastAsia" w:ascii="宋体" w:hAnsi="宋体" w:cs="宋体"/>
          <w:strike w:val="0"/>
          <w:dstrike w:val="0"/>
          <w:color w:val="auto"/>
        </w:rPr>
        <w:t>最终权重系数总和为100%。</w:t>
      </w:r>
    </w:p>
    <w:p>
      <w:pPr>
        <w:spacing w:line="400" w:lineRule="exact"/>
        <w:rPr>
          <w:rFonts w:cs="宋体" w:asciiTheme="minorEastAsia" w:hAnsiTheme="minorEastAsia" w:eastAsiaTheme="minorEastAsia"/>
          <w:strike w:val="0"/>
          <w:dstrike w:val="0"/>
          <w:color w:val="auto"/>
          <w:szCs w:val="21"/>
        </w:rPr>
      </w:pPr>
      <w:r>
        <w:rPr>
          <w:rFonts w:hint="eastAsia" w:ascii="黑体" w:hAnsi="宋体" w:eastAsia="黑体" w:cs="宋体"/>
          <w:strike w:val="0"/>
          <w:dstrike w:val="0"/>
          <w:color w:val="auto"/>
        </w:rPr>
        <w:t>4.2.2.2</w:t>
      </w:r>
      <w:r>
        <w:rPr>
          <w:rFonts w:hint="eastAsia" w:cs="宋体" w:asciiTheme="minorEastAsia" w:hAnsiTheme="minorEastAsia" w:eastAsiaTheme="minorEastAsia"/>
          <w:strike w:val="0"/>
          <w:dstrike w:val="0"/>
          <w:color w:val="auto"/>
          <w:szCs w:val="21"/>
        </w:rPr>
        <w:t>各二级指标和评价要求见附录</w:t>
      </w:r>
      <w:r>
        <w:rPr>
          <w:rFonts w:cs="宋体" w:asciiTheme="minorEastAsia" w:hAnsiTheme="minorEastAsia" w:eastAsiaTheme="minorEastAsia"/>
          <w:strike w:val="0"/>
          <w:dstrike w:val="0"/>
          <w:color w:val="auto"/>
          <w:szCs w:val="21"/>
        </w:rPr>
        <w:t>A</w:t>
      </w:r>
      <w:r>
        <w:rPr>
          <w:rFonts w:hint="eastAsia" w:cs="宋体" w:asciiTheme="minorEastAsia" w:hAnsiTheme="minorEastAsia" w:eastAsiaTheme="minorEastAsia"/>
          <w:strike w:val="0"/>
          <w:dstrike w:val="0"/>
          <w:color w:val="auto"/>
          <w:szCs w:val="21"/>
        </w:rPr>
        <w:t>。</w:t>
      </w:r>
    </w:p>
    <w:p>
      <w:pPr>
        <w:rPr>
          <w:rFonts w:ascii="宋体" w:hAnsi="宋体" w:cs="宋体"/>
        </w:rPr>
      </w:pPr>
      <w:r>
        <w:rPr>
          <w:rFonts w:hint="eastAsia" w:ascii="黑体" w:hAnsi="宋体" w:eastAsia="黑体" w:cs="宋体"/>
        </w:rPr>
        <w:t>4.2.2.3</w:t>
      </w:r>
      <w:r>
        <w:rPr>
          <w:rFonts w:hint="eastAsia" w:ascii="宋体" w:hAnsi="宋体"/>
          <w:szCs w:val="21"/>
        </w:rPr>
        <w:t>铜及铜合金</w:t>
      </w:r>
      <w:bookmarkStart w:id="24" w:name="OLE_LINK7"/>
      <w:bookmarkStart w:id="25" w:name="OLE_LINK4"/>
      <w:r>
        <w:rPr>
          <w:rFonts w:hint="eastAsia" w:ascii="宋体" w:hAnsi="宋体"/>
          <w:szCs w:val="21"/>
        </w:rPr>
        <w:t>加工</w:t>
      </w:r>
      <w:bookmarkEnd w:id="24"/>
      <w:bookmarkEnd w:id="25"/>
      <w:r>
        <w:rPr>
          <w:rFonts w:hint="eastAsia" w:ascii="宋体" w:hAnsi="宋体"/>
          <w:szCs w:val="21"/>
        </w:rPr>
        <w:t>行业绿色工厂评价要求可根据其行业特点在上述范围内设定二级指标各具体评价要求及其指标分值。</w:t>
      </w:r>
    </w:p>
    <w:p>
      <w:pPr>
        <w:pStyle w:val="5"/>
        <w:rPr>
          <w:rFonts w:ascii="黑体" w:hAnsi="黑体"/>
          <w:b w:val="0"/>
          <w:sz w:val="21"/>
          <w:szCs w:val="21"/>
        </w:rPr>
      </w:pPr>
      <w:bookmarkStart w:id="26" w:name="_Toc41313729"/>
      <w:bookmarkStart w:id="27" w:name="_Toc41314620"/>
      <w:r>
        <w:rPr>
          <w:rFonts w:hint="eastAsia" w:ascii="黑体" w:hAnsi="黑体"/>
          <w:b w:val="0"/>
          <w:sz w:val="21"/>
          <w:szCs w:val="21"/>
        </w:rPr>
        <w:t>4.3 评价方法</w:t>
      </w:r>
      <w:bookmarkEnd w:id="26"/>
      <w:bookmarkEnd w:id="27"/>
    </w:p>
    <w:p>
      <w:pPr>
        <w:rPr>
          <w:rFonts w:cs="宋体"/>
        </w:rPr>
      </w:pPr>
      <w:r>
        <w:rPr>
          <w:rFonts w:hint="eastAsia" w:ascii="黑体" w:eastAsia="黑体" w:cs="宋体"/>
        </w:rPr>
        <w:t>4.3.1</w:t>
      </w:r>
      <w:r>
        <w:rPr>
          <w:rFonts w:cs="宋体"/>
        </w:rPr>
        <w:t xml:space="preserve"> </w:t>
      </w:r>
      <w:r>
        <w:rPr>
          <w:rFonts w:hint="eastAsia" w:cs="宋体"/>
        </w:rPr>
        <w:t>评价可由第一方、第二方或第三方组织实施。当评价结果用于对外宣告时，则评价方至少应包括独立于工厂、具备相应能力的第三方组织。</w:t>
      </w:r>
    </w:p>
    <w:p>
      <w:pPr>
        <w:rPr>
          <w:rFonts w:cs="宋体"/>
        </w:rPr>
      </w:pPr>
      <w:r>
        <w:rPr>
          <w:rFonts w:hint="eastAsia" w:ascii="黑体" w:eastAsia="黑体" w:cs="宋体"/>
        </w:rPr>
        <w:t xml:space="preserve">4.3.2 </w:t>
      </w:r>
      <w:r>
        <w:rPr>
          <w:rFonts w:hint="eastAsia" w:cs="宋体"/>
        </w:rPr>
        <w:t>实施评价的组织应查看受评工厂的报告</w:t>
      </w:r>
      <w:r>
        <w:rPr>
          <w:rFonts w:hint="eastAsia" w:cs="宋体"/>
          <w:color w:val="FF0000"/>
          <w:lang w:eastAsia="zh-CN"/>
        </w:rPr>
        <w:t>文件</w:t>
      </w:r>
      <w:r>
        <w:rPr>
          <w:rFonts w:hint="eastAsia" w:cs="宋体"/>
        </w:rPr>
        <w:t>、统计报表、原始记录、声明文件、分析测试报告、相关第三方认证证书等支持性文件；并根据实际情况，通过对相关人员的座谈、实地调查、抽样调查等方式收集评价证据，并对评价证据进行分析，确保受评工厂的评价结果对相关指标要求的符合性证据充分、完整、准确。</w:t>
      </w:r>
    </w:p>
    <w:p>
      <w:pPr>
        <w:rPr>
          <w:rFonts w:cs="宋体"/>
          <w:strike w:val="0"/>
          <w:dstrike w:val="0"/>
          <w:color w:val="auto"/>
        </w:rPr>
      </w:pPr>
      <w:r>
        <w:rPr>
          <w:rFonts w:hint="eastAsia" w:ascii="黑体" w:eastAsia="黑体" w:cs="宋体"/>
          <w:strike w:val="0"/>
          <w:dstrike w:val="0"/>
          <w:color w:val="auto"/>
        </w:rPr>
        <w:t>4.3.3</w:t>
      </w:r>
      <w:r>
        <w:rPr>
          <w:rFonts w:cs="宋体"/>
          <w:strike w:val="0"/>
          <w:dstrike w:val="0"/>
          <w:color w:val="auto"/>
        </w:rPr>
        <w:t xml:space="preserve"> </w:t>
      </w:r>
      <w:r>
        <w:rPr>
          <w:rFonts w:hint="eastAsia" w:cs="宋体"/>
          <w:strike w:val="0"/>
          <w:dstrike w:val="0"/>
          <w:color w:val="auto"/>
        </w:rPr>
        <w:t>评价采用指标加权综合评分的方式，各指标加权综合评分的总分为</w:t>
      </w:r>
      <w:r>
        <w:rPr>
          <w:rFonts w:cs="宋体"/>
          <w:strike w:val="0"/>
          <w:dstrike w:val="0"/>
          <w:color w:val="auto"/>
        </w:rPr>
        <w:t>100</w:t>
      </w:r>
      <w:r>
        <w:rPr>
          <w:rFonts w:hint="eastAsia" w:cs="宋体"/>
          <w:strike w:val="0"/>
          <w:dstrike w:val="0"/>
          <w:color w:val="auto"/>
        </w:rPr>
        <w:t>分。</w:t>
      </w:r>
      <w:r>
        <w:rPr>
          <w:rFonts w:hint="eastAsia" w:ascii="黑体" w:hAnsi="黑体" w:cs="黑体"/>
          <w:strike w:val="0"/>
          <w:dstrike w:val="0"/>
          <w:color w:val="auto"/>
        </w:rPr>
        <w:t>铜及铜合金加工行业绿色工厂评价指标</w:t>
      </w:r>
      <w:r>
        <w:rPr>
          <w:rFonts w:hint="eastAsia" w:cs="宋体"/>
          <w:strike w:val="0"/>
          <w:dstrike w:val="0"/>
          <w:color w:val="auto"/>
        </w:rPr>
        <w:t>对照附录</w:t>
      </w:r>
      <w:r>
        <w:rPr>
          <w:rFonts w:cs="宋体"/>
          <w:strike w:val="0"/>
          <w:dstrike w:val="0"/>
          <w:color w:val="auto"/>
        </w:rPr>
        <w:t>A</w:t>
      </w:r>
      <w:r>
        <w:rPr>
          <w:rFonts w:hint="eastAsia" w:cs="宋体"/>
          <w:strike w:val="0"/>
          <w:dstrike w:val="0"/>
          <w:color w:val="auto"/>
        </w:rPr>
        <w:t>中表</w:t>
      </w:r>
      <w:r>
        <w:rPr>
          <w:rFonts w:cs="宋体"/>
          <w:strike w:val="0"/>
          <w:dstrike w:val="0"/>
          <w:color w:val="auto"/>
        </w:rPr>
        <w:t>A.1</w:t>
      </w:r>
      <w:r>
        <w:rPr>
          <w:rFonts w:hint="eastAsia" w:cs="宋体"/>
          <w:strike w:val="0"/>
          <w:dstrike w:val="0"/>
          <w:color w:val="auto"/>
        </w:rPr>
        <w:t>的</w:t>
      </w:r>
      <w:r>
        <w:rPr>
          <w:rFonts w:hint="eastAsia" w:ascii="黑体" w:hAnsi="黑体" w:cs="黑体"/>
          <w:strike w:val="0"/>
          <w:dstrike w:val="0"/>
          <w:color w:val="auto"/>
        </w:rPr>
        <w:t>具体条款，</w:t>
      </w:r>
      <w:r>
        <w:rPr>
          <w:rFonts w:hint="eastAsia" w:cs="宋体"/>
          <w:strike w:val="0"/>
          <w:dstrike w:val="0"/>
          <w:color w:val="auto"/>
        </w:rPr>
        <w:t>必选指标</w:t>
      </w:r>
      <w:r>
        <w:rPr>
          <w:rFonts w:hint="eastAsia" w:ascii="黑体" w:hAnsi="黑体" w:cs="黑体"/>
          <w:strike w:val="0"/>
          <w:dstrike w:val="0"/>
          <w:color w:val="auto"/>
        </w:rPr>
        <w:t>得分根据符合与否</w:t>
      </w:r>
      <w:r>
        <w:rPr>
          <w:rFonts w:hint="eastAsia" w:cs="宋体"/>
          <w:strike w:val="0"/>
          <w:dstrike w:val="0"/>
          <w:color w:val="auto"/>
        </w:rPr>
        <w:t>取</w:t>
      </w:r>
      <w:r>
        <w:rPr>
          <w:rFonts w:cs="宋体"/>
          <w:strike w:val="0"/>
          <w:dstrike w:val="0"/>
          <w:color w:val="auto"/>
        </w:rPr>
        <w:t>0</w:t>
      </w:r>
      <w:r>
        <w:rPr>
          <w:rFonts w:hint="eastAsia" w:cs="宋体"/>
          <w:strike w:val="0"/>
          <w:dstrike w:val="0"/>
          <w:color w:val="auto"/>
        </w:rPr>
        <w:t>分或满分，可选指标应</w:t>
      </w:r>
      <w:r>
        <w:rPr>
          <w:rFonts w:hint="eastAsia" w:ascii="黑体" w:hAnsi="黑体" w:cs="黑体"/>
          <w:strike w:val="0"/>
          <w:dstrike w:val="0"/>
          <w:color w:val="auto"/>
        </w:rPr>
        <w:t>根据符合程度在</w:t>
      </w:r>
      <w:r>
        <w:rPr>
          <w:rFonts w:cs="宋体"/>
          <w:strike w:val="0"/>
          <w:dstrike w:val="0"/>
          <w:color w:val="auto"/>
        </w:rPr>
        <w:t>0</w:t>
      </w:r>
      <w:r>
        <w:rPr>
          <w:rFonts w:hint="eastAsia" w:cs="宋体"/>
          <w:strike w:val="0"/>
          <w:dstrike w:val="0"/>
          <w:color w:val="auto"/>
        </w:rPr>
        <w:t>分和满分之间取值。</w:t>
      </w:r>
    </w:p>
    <w:p>
      <w:pPr>
        <w:rPr>
          <w:rFonts w:ascii="黑体" w:hAnsi="黑体" w:cs="黑体"/>
          <w:strike w:val="0"/>
          <w:dstrike w:val="0"/>
          <w:color w:val="auto"/>
        </w:rPr>
      </w:pPr>
      <w:r>
        <w:rPr>
          <w:rFonts w:hint="eastAsia" w:cs="宋体"/>
          <w:strike w:val="0"/>
          <w:dstrike w:val="0"/>
          <w:color w:val="auto"/>
        </w:rPr>
        <w:t>4.3.4 当某项评价要求不适用时，应将该项评价要求的分值平均分配给同一级指标下同一类型（必选或可选）的其他评价要求。当平均分配无法除尽时，其他指标项取</w:t>
      </w:r>
      <w:r>
        <w:rPr>
          <w:rFonts w:cs="宋体"/>
          <w:strike w:val="0"/>
          <w:dstrike w:val="0"/>
          <w:color w:val="auto"/>
        </w:rPr>
        <w:t>0.5</w:t>
      </w:r>
      <w:r>
        <w:rPr>
          <w:rFonts w:hint="eastAsia" w:cs="宋体"/>
          <w:strike w:val="0"/>
          <w:dstrike w:val="0"/>
          <w:color w:val="auto"/>
        </w:rPr>
        <w:t>的整</w:t>
      </w:r>
      <w:r>
        <w:rPr>
          <w:rFonts w:hint="eastAsia" w:ascii="黑体" w:hAnsi="黑体" w:cs="黑体"/>
          <w:strike w:val="0"/>
          <w:dstrike w:val="0"/>
          <w:color w:val="auto"/>
        </w:rPr>
        <w:t>数倍，余数分配给自上而下与其临近的第一个指标项。</w:t>
      </w:r>
    </w:p>
    <w:p>
      <w:pPr>
        <w:pStyle w:val="2"/>
        <w:rPr>
          <w:rFonts w:hAnsi="黑体"/>
          <w:szCs w:val="21"/>
        </w:rPr>
      </w:pPr>
      <w:bookmarkStart w:id="28" w:name="_Toc41313730"/>
      <w:bookmarkStart w:id="29" w:name="_Toc41314621"/>
      <w:r>
        <w:rPr>
          <w:rFonts w:hint="eastAsia" w:hAnsi="黑体"/>
          <w:szCs w:val="21"/>
        </w:rPr>
        <w:t xml:space="preserve">5 </w:t>
      </w:r>
      <w:r>
        <w:rPr>
          <w:rFonts w:hint="eastAsia" w:hAnsi="黑体"/>
          <w:strike/>
          <w:dstrike w:val="0"/>
          <w:color w:val="FF0000"/>
          <w:szCs w:val="21"/>
        </w:rPr>
        <w:t>评价</w:t>
      </w:r>
      <w:r>
        <w:rPr>
          <w:rFonts w:hint="eastAsia" w:hAnsi="黑体"/>
          <w:color w:val="FF0000"/>
          <w:szCs w:val="21"/>
          <w:lang w:eastAsia="zh-CN"/>
        </w:rPr>
        <w:t>总体</w:t>
      </w:r>
      <w:r>
        <w:rPr>
          <w:rFonts w:hint="eastAsia" w:hAnsi="黑体"/>
          <w:szCs w:val="21"/>
        </w:rPr>
        <w:t>要求</w:t>
      </w:r>
      <w:bookmarkEnd w:id="28"/>
      <w:bookmarkEnd w:id="29"/>
    </w:p>
    <w:p>
      <w:pPr>
        <w:pStyle w:val="5"/>
        <w:rPr>
          <w:rFonts w:ascii="黑体" w:hAnsi="黑体"/>
          <w:b w:val="0"/>
          <w:sz w:val="21"/>
          <w:szCs w:val="21"/>
        </w:rPr>
      </w:pPr>
      <w:bookmarkStart w:id="30" w:name="_Toc41314622"/>
      <w:bookmarkStart w:id="31" w:name="_Toc41313731"/>
      <w:r>
        <w:rPr>
          <w:rFonts w:hint="eastAsia" w:ascii="黑体" w:hAnsi="黑体"/>
          <w:b w:val="0"/>
          <w:sz w:val="21"/>
          <w:szCs w:val="21"/>
        </w:rPr>
        <w:t>5.1基本要求</w:t>
      </w:r>
      <w:bookmarkEnd w:id="30"/>
      <w:bookmarkEnd w:id="31"/>
    </w:p>
    <w:p>
      <w:pPr>
        <w:rPr>
          <w:rFonts w:ascii="黑体" w:hAnsi="黑体" w:eastAsia="黑体"/>
          <w:szCs w:val="21"/>
        </w:rPr>
      </w:pPr>
      <w:r>
        <w:rPr>
          <w:rFonts w:hint="eastAsia" w:ascii="黑体" w:hAnsi="黑体" w:eastAsia="黑体"/>
          <w:szCs w:val="21"/>
        </w:rPr>
        <w:t>5.1.1合规性与相关方要求</w:t>
      </w:r>
    </w:p>
    <w:p>
      <w:r>
        <w:rPr>
          <w:rFonts w:hint="eastAsia" w:ascii="黑体" w:eastAsia="黑体"/>
        </w:rPr>
        <w:t xml:space="preserve">5.1.1.1 </w:t>
      </w:r>
      <w:r>
        <w:rPr>
          <w:rFonts w:hint="eastAsia"/>
        </w:rPr>
        <w:t>工厂应依法设立，在建设和生产过程中应遵守有关法律、法规、政策和标准，工厂应至少运行一年以上。</w:t>
      </w:r>
    </w:p>
    <w:p>
      <w:r>
        <w:rPr>
          <w:rFonts w:hint="eastAsia" w:ascii="黑体" w:eastAsia="黑体"/>
        </w:rPr>
        <w:t>5.1.1.2</w:t>
      </w:r>
      <w:r>
        <w:t xml:space="preserve"> </w:t>
      </w:r>
      <w:r>
        <w:rPr>
          <w:rFonts w:hint="eastAsia"/>
        </w:rPr>
        <w:t>工厂应具有良好信用，近三年（含成立不足三年）无严重违法失信、经营异常记录。</w:t>
      </w:r>
    </w:p>
    <w:p>
      <w:r>
        <w:rPr>
          <w:rFonts w:hint="eastAsia" w:ascii="黑体" w:eastAsia="黑体"/>
        </w:rPr>
        <w:t>5.1.1.3</w:t>
      </w:r>
      <w:r>
        <w:t xml:space="preserve"> </w:t>
      </w:r>
      <w:r>
        <w:rPr>
          <w:rFonts w:hint="eastAsia"/>
        </w:rPr>
        <w:t>工厂近三年（含成立不足三年）应无较大及以上安全、环保、质量等事故。</w:t>
      </w:r>
    </w:p>
    <w:p>
      <w:r>
        <w:rPr>
          <w:rFonts w:hint="eastAsia" w:ascii="黑体" w:eastAsia="黑体"/>
        </w:rPr>
        <w:t>5.1.1.4</w:t>
      </w:r>
      <w:r>
        <w:t xml:space="preserve"> </w:t>
      </w:r>
      <w:r>
        <w:rPr>
          <w:rFonts w:hint="eastAsia"/>
        </w:rPr>
        <w:t>对利益相关方的环境要求做出承诺的，应同时满足有关承诺的要求。</w:t>
      </w:r>
    </w:p>
    <w:p>
      <w:r>
        <w:rPr>
          <w:rFonts w:hint="eastAsia" w:ascii="黑体" w:eastAsia="黑体"/>
        </w:rPr>
        <w:t>5.1.1.5</w:t>
      </w:r>
      <w:r>
        <w:t xml:space="preserve"> </w:t>
      </w:r>
      <w:r>
        <w:rPr>
          <w:rFonts w:hint="eastAsia"/>
        </w:rPr>
        <w:t>应与国家和行业颁布的产业政策和环境保护政策一致。</w:t>
      </w:r>
    </w:p>
    <w:p>
      <w:pPr>
        <w:rPr>
          <w:rFonts w:ascii="黑体" w:hAnsi="黑体" w:eastAsia="黑体"/>
          <w:szCs w:val="21"/>
        </w:rPr>
      </w:pPr>
      <w:r>
        <w:rPr>
          <w:rFonts w:hint="eastAsia" w:ascii="黑体" w:hAnsi="黑体" w:eastAsia="黑体"/>
          <w:szCs w:val="21"/>
        </w:rPr>
        <w:t>5.1.2管理职责</w:t>
      </w:r>
    </w:p>
    <w:p>
      <w:pPr>
        <w:ind w:firstLine="420" w:firstLineChars="200"/>
        <w:rPr>
          <w:rFonts w:hint="eastAsia" w:ascii="宋体"/>
          <w:szCs w:val="21"/>
        </w:rPr>
      </w:pPr>
      <w:r>
        <w:rPr>
          <w:rFonts w:hint="eastAsia"/>
        </w:rPr>
        <w:t>基础管理职责（包括最高管理者要求和工厂要求）应满足</w:t>
      </w:r>
      <w:r>
        <w:rPr>
          <w:rFonts w:ascii="宋体"/>
          <w:szCs w:val="21"/>
        </w:rPr>
        <w:t>GB/T 36132-2018</w:t>
      </w:r>
      <w:r>
        <w:rPr>
          <w:rFonts w:hint="eastAsia" w:ascii="宋体"/>
          <w:szCs w:val="21"/>
        </w:rPr>
        <w:t>中</w:t>
      </w:r>
      <w:r>
        <w:rPr>
          <w:rFonts w:ascii="宋体"/>
          <w:szCs w:val="21"/>
        </w:rPr>
        <w:t>4.3</w:t>
      </w:r>
      <w:r>
        <w:rPr>
          <w:rFonts w:hint="eastAsia" w:ascii="宋体"/>
          <w:szCs w:val="21"/>
        </w:rPr>
        <w:t>的要求。</w:t>
      </w:r>
    </w:p>
    <w:p>
      <w:pPr>
        <w:rPr>
          <w:rFonts w:hint="eastAsia" w:ascii="黑体" w:hAnsi="黑体" w:eastAsia="黑体" w:cs="黑体"/>
          <w:color w:val="00B0F0"/>
          <w:sz w:val="21"/>
          <w:szCs w:val="21"/>
        </w:rPr>
      </w:pPr>
      <w:r>
        <w:rPr>
          <w:rFonts w:hint="eastAsia" w:ascii="黑体" w:hAnsi="黑体" w:eastAsia="黑体"/>
          <w:color w:val="00B0F0"/>
          <w:szCs w:val="21"/>
        </w:rPr>
        <w:t>5.1.</w:t>
      </w:r>
      <w:r>
        <w:rPr>
          <w:rFonts w:hint="eastAsia" w:ascii="黑体" w:hAnsi="黑体" w:eastAsia="黑体"/>
          <w:color w:val="00B0F0"/>
          <w:szCs w:val="21"/>
          <w:lang w:val="en-US" w:eastAsia="zh-CN"/>
        </w:rPr>
        <w:t>3</w:t>
      </w:r>
      <w:r>
        <w:rPr>
          <w:rFonts w:hint="eastAsia" w:ascii="黑体" w:hAnsi="黑体" w:eastAsia="黑体" w:cs="黑体"/>
          <w:color w:val="00B0F0"/>
          <w:sz w:val="21"/>
          <w:szCs w:val="21"/>
        </w:rPr>
        <w:t>工厂要求</w:t>
      </w:r>
    </w:p>
    <w:p>
      <w:pPr>
        <w:pStyle w:val="5"/>
        <w:rPr>
          <w:rFonts w:ascii="黑体" w:hAnsi="黑体"/>
          <w:b w:val="0"/>
          <w:sz w:val="21"/>
          <w:szCs w:val="21"/>
        </w:rPr>
      </w:pPr>
      <w:bookmarkStart w:id="32" w:name="_Toc41314623"/>
      <w:bookmarkStart w:id="33" w:name="_Toc41313732"/>
      <w:r>
        <w:rPr>
          <w:rFonts w:hint="eastAsia" w:ascii="黑体" w:hAnsi="黑体"/>
          <w:b w:val="0"/>
          <w:sz w:val="21"/>
          <w:szCs w:val="21"/>
        </w:rPr>
        <w:t>5.2基础设施</w:t>
      </w:r>
      <w:bookmarkEnd w:id="32"/>
      <w:bookmarkEnd w:id="33"/>
    </w:p>
    <w:p>
      <w:pPr>
        <w:rPr>
          <w:rFonts w:ascii="黑体" w:hAnsi="黑体" w:eastAsia="黑体"/>
          <w:szCs w:val="21"/>
        </w:rPr>
      </w:pPr>
      <w:r>
        <w:rPr>
          <w:rFonts w:hint="eastAsia" w:ascii="黑体" w:hAnsi="黑体" w:eastAsia="黑体"/>
          <w:szCs w:val="21"/>
        </w:rPr>
        <w:t>5.2.1 建筑</w:t>
      </w:r>
    </w:p>
    <w:p>
      <w:r>
        <w:rPr>
          <w:rFonts w:hint="eastAsia" w:ascii="黑体" w:eastAsia="黑体"/>
        </w:rPr>
        <w:t>5.2.1.1</w:t>
      </w:r>
      <w:r>
        <w:rPr>
          <w:rFonts w:hint="eastAsia"/>
        </w:rPr>
        <w:t>工厂的建筑应满足国家或地方相关法律法规及标准的要求。</w:t>
      </w:r>
    </w:p>
    <w:p>
      <w:r>
        <w:rPr>
          <w:rFonts w:hint="eastAsia" w:ascii="黑体" w:eastAsia="黑体"/>
        </w:rPr>
        <w:t>5.2.1.2</w:t>
      </w:r>
      <w:r>
        <w:rPr>
          <w:rFonts w:hint="eastAsia" w:ascii="宋体" w:hAnsi="宋体"/>
        </w:rPr>
        <w:t>工厂的建筑应从</w:t>
      </w:r>
      <w:r>
        <w:rPr>
          <w:rFonts w:hint="eastAsia"/>
        </w:rPr>
        <w:t>建筑材料、建筑结构、采光照明、绿化及场地、水资源及能源利用等方面进行建筑的节材、节能、节水、节地及无害化。</w:t>
      </w:r>
    </w:p>
    <w:p>
      <w:pPr>
        <w:rPr>
          <w:rFonts w:ascii="宋体" w:hAnsi="宋体"/>
        </w:rPr>
      </w:pPr>
      <w:r>
        <w:rPr>
          <w:rFonts w:hint="eastAsia" w:ascii="黑体" w:eastAsia="黑体"/>
        </w:rPr>
        <w:t xml:space="preserve">5.2.1.3 </w:t>
      </w:r>
      <w:r>
        <w:rPr>
          <w:rFonts w:hint="eastAsia" w:ascii="宋体" w:hAnsi="宋体"/>
        </w:rPr>
        <w:t>工厂应集约化利用厂区，在满足生产工艺前提下，优先采用联合厂房、多层建筑等。</w:t>
      </w:r>
    </w:p>
    <w:p>
      <w:pPr>
        <w:rPr>
          <w:rFonts w:ascii="黑体" w:hAnsi="黑体" w:eastAsia="黑体"/>
          <w:szCs w:val="21"/>
        </w:rPr>
      </w:pPr>
      <w:r>
        <w:rPr>
          <w:rFonts w:hint="eastAsia" w:ascii="黑体" w:hAnsi="黑体" w:eastAsia="黑体"/>
          <w:szCs w:val="21"/>
        </w:rPr>
        <w:t xml:space="preserve">5.2.2 </w:t>
      </w:r>
      <w:r>
        <w:rPr>
          <w:rFonts w:ascii="黑体" w:hAnsi="黑体" w:eastAsia="黑体"/>
          <w:szCs w:val="21"/>
        </w:rPr>
        <w:t xml:space="preserve"> </w:t>
      </w:r>
      <w:r>
        <w:rPr>
          <w:rFonts w:hint="eastAsia" w:ascii="黑体" w:hAnsi="黑体" w:eastAsia="黑体"/>
          <w:szCs w:val="21"/>
        </w:rPr>
        <w:t>照明</w:t>
      </w:r>
    </w:p>
    <w:p>
      <w:pPr>
        <w:rPr>
          <w:rFonts w:ascii="宋体" w:hAnsi="宋体" w:cs="宋体"/>
        </w:rPr>
      </w:pPr>
      <w:r>
        <w:rPr>
          <w:rFonts w:hint="eastAsia" w:ascii="黑体" w:hAnsi="宋体" w:eastAsia="黑体" w:cs="宋体"/>
        </w:rPr>
        <w:t>5.2.2.1</w:t>
      </w:r>
      <w:r>
        <w:rPr>
          <w:rFonts w:hint="eastAsia" w:ascii="宋体" w:hAnsi="宋体" w:cs="宋体"/>
        </w:rPr>
        <w:t>厂区及各房间的照明应尽量利用自然光或节能灯，建筑照明应符合</w:t>
      </w:r>
      <w:r>
        <w:rPr>
          <w:rFonts w:ascii="宋体" w:hAnsi="宋体" w:cs="宋体"/>
        </w:rPr>
        <w:t>GB 50034</w:t>
      </w:r>
      <w:r>
        <w:rPr>
          <w:rFonts w:hint="eastAsia" w:ascii="宋体" w:hAnsi="宋体" w:cs="宋体"/>
        </w:rPr>
        <w:t>的规定。</w:t>
      </w:r>
    </w:p>
    <w:p>
      <w:pPr>
        <w:rPr>
          <w:rFonts w:ascii="宋体" w:hAnsi="宋体" w:cs="宋体"/>
        </w:rPr>
      </w:pPr>
      <w:r>
        <w:rPr>
          <w:rFonts w:hint="eastAsia" w:ascii="黑体" w:hAnsi="宋体" w:eastAsia="黑体" w:cs="宋体"/>
        </w:rPr>
        <w:t>5.2.2.2</w:t>
      </w:r>
      <w:r>
        <w:rPr>
          <w:rFonts w:hint="eastAsia" w:ascii="宋体" w:hAnsi="宋体" w:cs="宋体"/>
        </w:rPr>
        <w:t>不同场所的照明应进行分级设计。</w:t>
      </w:r>
    </w:p>
    <w:p>
      <w:r>
        <w:rPr>
          <w:rFonts w:hint="eastAsia" w:ascii="黑体" w:eastAsia="黑体"/>
        </w:rPr>
        <w:t>5.2.2.3</w:t>
      </w:r>
      <w:r>
        <w:t xml:space="preserve"> </w:t>
      </w:r>
      <w:r>
        <w:rPr>
          <w:rFonts w:hint="eastAsia"/>
        </w:rPr>
        <w:t>大型厂房的照明系统宜采用分区控制方式，辅助生产和生活福利设施的照明系统宜适当增设照明控制开关，短时有人的场所宜采取节能自熄措施。</w:t>
      </w:r>
    </w:p>
    <w:p>
      <w:pPr>
        <w:rPr>
          <w:rFonts w:ascii="黑体" w:hAnsi="黑体" w:eastAsia="黑体"/>
          <w:szCs w:val="21"/>
        </w:rPr>
      </w:pPr>
      <w:r>
        <w:rPr>
          <w:rFonts w:hint="eastAsia" w:ascii="黑体" w:hAnsi="黑体" w:eastAsia="黑体"/>
          <w:szCs w:val="21"/>
        </w:rPr>
        <w:t xml:space="preserve">5.2.3 </w:t>
      </w:r>
      <w:r>
        <w:rPr>
          <w:rFonts w:ascii="黑体" w:hAnsi="黑体" w:eastAsia="黑体"/>
          <w:szCs w:val="21"/>
        </w:rPr>
        <w:t xml:space="preserve"> </w:t>
      </w:r>
      <w:r>
        <w:rPr>
          <w:rFonts w:hint="eastAsia" w:ascii="黑体" w:hAnsi="黑体" w:eastAsia="黑体"/>
          <w:szCs w:val="21"/>
        </w:rPr>
        <w:t>设备</w:t>
      </w:r>
    </w:p>
    <w:p>
      <w:pPr>
        <w:rPr>
          <w:rFonts w:ascii="黑体" w:hAnsi="黑体" w:eastAsia="黑体"/>
          <w:szCs w:val="21"/>
        </w:rPr>
      </w:pPr>
      <w:r>
        <w:rPr>
          <w:rFonts w:hint="eastAsia" w:ascii="黑体" w:hAnsi="黑体" w:eastAsia="黑体"/>
          <w:szCs w:val="21"/>
        </w:rPr>
        <w:t>5.2.3.1专用设备</w:t>
      </w:r>
    </w:p>
    <w:p>
      <w:pPr>
        <w:ind w:firstLine="420" w:firstLineChars="200"/>
      </w:pPr>
      <w:r>
        <w:rPr>
          <w:rFonts w:hint="eastAsia"/>
        </w:rPr>
        <w:t>a) 专用设备应符合相关行业规范条件要求，降低能源与资源消耗，减少污染排放。</w:t>
      </w:r>
    </w:p>
    <w:p>
      <w:pPr>
        <w:ind w:firstLine="420" w:firstLineChars="200"/>
        <w:rPr>
          <w:rFonts w:ascii="宋体" w:hAnsi="宋体"/>
          <w:szCs w:val="21"/>
        </w:rPr>
      </w:pPr>
      <w:r>
        <w:rPr>
          <w:rFonts w:hint="eastAsia" w:ascii="黑体" w:eastAsia="黑体"/>
          <w:szCs w:val="21"/>
        </w:rPr>
        <w:t xml:space="preserve">b) </w:t>
      </w:r>
      <w:r>
        <w:rPr>
          <w:rFonts w:hint="eastAsia" w:ascii="宋体" w:hAnsi="宋体"/>
          <w:szCs w:val="21"/>
        </w:rPr>
        <w:t>应无有色金属产业政策和结构调整指导目录中规定的淘汰类设备。</w:t>
      </w:r>
    </w:p>
    <w:p>
      <w:pPr>
        <w:ind w:firstLine="420" w:firstLineChars="200"/>
      </w:pPr>
      <w:r>
        <w:rPr>
          <w:rFonts w:hint="eastAsia" w:ascii="宋体" w:hAnsi="宋体"/>
          <w:szCs w:val="21"/>
        </w:rPr>
        <w:t>c) 工厂新、改和扩建时，生产工艺、建设规模、主要装备等用复合国家、地方相关政策。</w:t>
      </w:r>
    </w:p>
    <w:p>
      <w:pPr>
        <w:rPr>
          <w:rFonts w:ascii="黑体" w:hAnsi="黑体" w:eastAsia="黑体"/>
          <w:szCs w:val="21"/>
        </w:rPr>
      </w:pPr>
      <w:r>
        <w:rPr>
          <w:rFonts w:hint="eastAsia" w:ascii="黑体" w:hAnsi="黑体" w:eastAsia="黑体"/>
          <w:szCs w:val="21"/>
        </w:rPr>
        <w:t>5.2.3.2</w:t>
      </w:r>
      <w:r>
        <w:rPr>
          <w:rFonts w:ascii="黑体" w:hAnsi="黑体" w:eastAsia="黑体"/>
          <w:szCs w:val="21"/>
        </w:rPr>
        <w:t xml:space="preserve"> </w:t>
      </w:r>
      <w:r>
        <w:rPr>
          <w:rFonts w:hint="eastAsia" w:ascii="黑体" w:hAnsi="黑体" w:eastAsia="黑体"/>
          <w:szCs w:val="21"/>
        </w:rPr>
        <w:t>通用设备</w:t>
      </w:r>
    </w:p>
    <w:p>
      <w:pPr>
        <w:ind w:firstLine="420" w:firstLineChars="200"/>
      </w:pPr>
      <w:r>
        <w:rPr>
          <w:rFonts w:hint="eastAsia"/>
        </w:rPr>
        <w:t>a)通用设备或其系统的实际运行效率或主要运行参数应符合该设备经济运行的要求。</w:t>
      </w:r>
    </w:p>
    <w:p>
      <w:pPr>
        <w:ind w:firstLine="420" w:firstLineChars="200"/>
      </w:pPr>
      <w:r>
        <w:rPr>
          <w:rFonts w:hint="eastAsia"/>
        </w:rPr>
        <w:t>b)已明令禁止生产、使用和能耗高、效率低的设备应限期淘汰更新。</w:t>
      </w:r>
    </w:p>
    <w:p>
      <w:pPr>
        <w:ind w:firstLine="420" w:firstLineChars="200"/>
      </w:pPr>
      <w:r>
        <w:rPr>
          <w:rFonts w:hint="eastAsia"/>
        </w:rPr>
        <w:t>c)适用时，通用设备如</w:t>
      </w:r>
      <w:r>
        <w:rPr>
          <w:rFonts w:hint="eastAsia" w:ascii="宋体" w:hAnsi="宋体"/>
        </w:rPr>
        <w:t>中小型三相异</w:t>
      </w:r>
      <w:r>
        <w:rPr>
          <w:rFonts w:hint="eastAsia"/>
        </w:rPr>
        <w:t>电动机、</w:t>
      </w:r>
      <w:r>
        <w:rPr>
          <w:rFonts w:hint="eastAsia" w:ascii="宋体" w:hAnsi="宋体"/>
        </w:rPr>
        <w:t>容积式空气</w:t>
      </w:r>
      <w:r>
        <w:rPr>
          <w:rFonts w:hint="eastAsia"/>
        </w:rPr>
        <w:t>压缩机、单元式空调机、通风机、三相配电变压器、电力变压器等应达到</w:t>
      </w:r>
      <w:r>
        <w:t>GB 18613</w:t>
      </w:r>
      <w:r>
        <w:rPr>
          <w:rFonts w:hint="eastAsia"/>
        </w:rPr>
        <w:t>、</w:t>
      </w:r>
      <w:r>
        <w:t>GB 19153</w:t>
      </w:r>
      <w:r>
        <w:rPr>
          <w:rFonts w:hint="eastAsia"/>
        </w:rPr>
        <w:t>、</w:t>
      </w:r>
      <w:r>
        <w:t>GB 19576</w:t>
      </w:r>
      <w:r>
        <w:rPr>
          <w:rFonts w:hint="eastAsia"/>
        </w:rPr>
        <w:t>、</w:t>
      </w:r>
      <w:r>
        <w:t>GB 19761</w:t>
      </w:r>
      <w:r>
        <w:rPr>
          <w:rFonts w:hint="eastAsia"/>
        </w:rPr>
        <w:t>、</w:t>
      </w:r>
      <w:r>
        <w:t>GB 20052</w:t>
      </w:r>
      <w:r>
        <w:rPr>
          <w:rFonts w:hint="eastAsia"/>
        </w:rPr>
        <w:t>、</w:t>
      </w:r>
      <w:r>
        <w:t>GB 24790</w:t>
      </w:r>
      <w:r>
        <w:rPr>
          <w:rFonts w:hint="eastAsia"/>
        </w:rPr>
        <w:t>等标准中能效限定值的要求。</w:t>
      </w:r>
    </w:p>
    <w:p>
      <w:pPr>
        <w:ind w:firstLine="420" w:firstLineChars="200"/>
      </w:pPr>
      <w:r>
        <w:rPr>
          <w:rFonts w:hint="eastAsia"/>
        </w:rPr>
        <w:t>d)通用设备宜采用效率高、能耗低、水耗低、物耗低的产品。</w:t>
      </w:r>
    </w:p>
    <w:p>
      <w:pPr>
        <w:rPr>
          <w:rFonts w:ascii="黑体" w:hAnsi="黑体" w:eastAsia="黑体"/>
          <w:szCs w:val="21"/>
        </w:rPr>
      </w:pPr>
      <w:r>
        <w:rPr>
          <w:rFonts w:hint="eastAsia" w:ascii="黑体" w:hAnsi="黑体" w:eastAsia="黑体"/>
          <w:szCs w:val="21"/>
        </w:rPr>
        <w:t>5.2.3.3</w:t>
      </w:r>
      <w:r>
        <w:rPr>
          <w:rFonts w:ascii="黑体" w:hAnsi="黑体" w:eastAsia="黑体"/>
          <w:szCs w:val="21"/>
        </w:rPr>
        <w:t xml:space="preserve"> </w:t>
      </w:r>
      <w:r>
        <w:rPr>
          <w:rFonts w:hint="eastAsia" w:ascii="黑体" w:hAnsi="黑体" w:eastAsia="黑体"/>
          <w:szCs w:val="21"/>
        </w:rPr>
        <w:t>计量设备</w:t>
      </w:r>
    </w:p>
    <w:p>
      <w:pPr>
        <w:ind w:firstLine="420" w:firstLineChars="200"/>
        <w:rPr>
          <w:rFonts w:ascii="宋体"/>
          <w:szCs w:val="21"/>
        </w:rPr>
      </w:pPr>
      <w:r>
        <w:rPr>
          <w:rFonts w:hint="eastAsia" w:ascii="宋体"/>
          <w:szCs w:val="21"/>
        </w:rPr>
        <w:t>a)工厂应依据</w:t>
      </w:r>
      <w:r>
        <w:rPr>
          <w:rFonts w:ascii="宋体"/>
          <w:szCs w:val="21"/>
        </w:rPr>
        <w:t>GB 17167</w:t>
      </w:r>
      <w:r>
        <w:rPr>
          <w:rFonts w:hint="eastAsia" w:ascii="宋体"/>
          <w:szCs w:val="21"/>
        </w:rPr>
        <w:t>、</w:t>
      </w:r>
      <w:r>
        <w:rPr>
          <w:rFonts w:ascii="宋体"/>
          <w:szCs w:val="21"/>
        </w:rPr>
        <w:t>GB 24789</w:t>
      </w:r>
      <w:r>
        <w:rPr>
          <w:rFonts w:hint="eastAsia" w:ascii="宋体"/>
          <w:szCs w:val="21"/>
        </w:rPr>
        <w:t>、YS/T xxxx等要求配备、使用和管理能源、水以及其他资源的计量器具和装置。进出用能单位（一级用能单位）、进出主要次级用能单位（二级用能单位）、主要三级用能单位计量器具配备率应满足YS/T xxxx的要求。</w:t>
      </w:r>
    </w:p>
    <w:p>
      <w:pPr>
        <w:ind w:firstLine="420" w:firstLineChars="200"/>
      </w:pPr>
      <w:r>
        <w:rPr>
          <w:rFonts w:hint="eastAsia"/>
        </w:rPr>
        <w:t>b</w:t>
      </w:r>
      <w:r>
        <w:t>)</w:t>
      </w:r>
      <w:r>
        <w:rPr>
          <w:rFonts w:hint="eastAsia"/>
        </w:rPr>
        <w:t>能源及资源使用的类型不同时，应进行分类计量。工厂若具有以下设备，需满足分类计量的要求：</w:t>
      </w:r>
    </w:p>
    <w:p>
      <w:pPr>
        <w:ind w:firstLine="420" w:firstLineChars="200"/>
      </w:pPr>
      <w:r>
        <w:rPr>
          <w:rFonts w:hint="eastAsia"/>
        </w:rPr>
        <w:t>（1）照明系统；</w:t>
      </w:r>
    </w:p>
    <w:p>
      <w:pPr>
        <w:ind w:firstLine="420" w:firstLineChars="200"/>
      </w:pPr>
      <w:r>
        <w:rPr>
          <w:rFonts w:hint="eastAsia"/>
        </w:rPr>
        <w:t>（2）新水、循环水、软化水及相关用能设备的计量和控制；</w:t>
      </w:r>
    </w:p>
    <w:p>
      <w:pPr>
        <w:ind w:firstLine="420" w:firstLineChars="200"/>
      </w:pPr>
      <w:r>
        <w:rPr>
          <w:rFonts w:hint="eastAsia"/>
        </w:rPr>
        <w:t>（3）空气处理设备的流量和压力计量；</w:t>
      </w:r>
    </w:p>
    <w:p>
      <w:pPr>
        <w:ind w:firstLine="420" w:firstLineChars="200"/>
      </w:pPr>
      <w:r>
        <w:rPr>
          <w:rFonts w:hint="eastAsia"/>
        </w:rPr>
        <w:t>（4）天然气、相关用能设备的能耗计量和控制设备；</w:t>
      </w:r>
    </w:p>
    <w:p>
      <w:pPr>
        <w:ind w:firstLine="420" w:firstLineChars="200"/>
      </w:pPr>
      <w:r>
        <w:rPr>
          <w:rFonts w:hint="eastAsia"/>
        </w:rPr>
        <w:t>（5）热力（蒸汽和热水）、相关用能设备的计量。</w:t>
      </w:r>
    </w:p>
    <w:p>
      <w:r>
        <w:rPr>
          <w:rFonts w:ascii="黑体" w:hAnsi="黑体" w:eastAsia="黑体" w:cs="黑体"/>
        </w:rPr>
        <w:t xml:space="preserve">5.2.3.4 </w:t>
      </w:r>
      <w:r>
        <w:rPr>
          <w:rFonts w:hint="eastAsia" w:ascii="黑体" w:hAnsi="黑体" w:eastAsia="黑体" w:cs="黑体"/>
        </w:rPr>
        <w:t>污染物处理设施</w:t>
      </w:r>
    </w:p>
    <w:p>
      <w:pPr>
        <w:ind w:firstLine="420" w:firstLineChars="200"/>
        <w:rPr>
          <w:rFonts w:ascii="宋体" w:hAnsi="宋体"/>
          <w:szCs w:val="21"/>
        </w:rPr>
      </w:pPr>
      <w:r>
        <w:rPr>
          <w:rFonts w:hint="eastAsia" w:ascii="宋体" w:hAnsi="宋体"/>
        </w:rPr>
        <w:t>工厂应投入污染物处理</w:t>
      </w:r>
      <w:r>
        <w:rPr>
          <w:rFonts w:hint="eastAsia" w:ascii="宋体" w:hAnsi="宋体" w:cs="黑体"/>
        </w:rPr>
        <w:t>设施</w:t>
      </w:r>
      <w:r>
        <w:rPr>
          <w:rFonts w:hint="eastAsia" w:ascii="宋体" w:hAnsi="宋体"/>
        </w:rPr>
        <w:t>，以确保其污染物排放达到相关法律法规及标准要求。</w:t>
      </w:r>
    </w:p>
    <w:p>
      <w:pPr>
        <w:pStyle w:val="5"/>
        <w:rPr>
          <w:rFonts w:ascii="黑体"/>
          <w:b w:val="0"/>
          <w:sz w:val="21"/>
          <w:szCs w:val="21"/>
        </w:rPr>
      </w:pPr>
      <w:bookmarkStart w:id="34" w:name="_Toc41314624"/>
      <w:bookmarkStart w:id="35" w:name="_Toc41313733"/>
      <w:r>
        <w:rPr>
          <w:rFonts w:hint="eastAsia" w:ascii="黑体"/>
          <w:b w:val="0"/>
          <w:sz w:val="21"/>
          <w:szCs w:val="21"/>
        </w:rPr>
        <w:t>5.3管理体系</w:t>
      </w:r>
      <w:bookmarkEnd w:id="34"/>
      <w:bookmarkEnd w:id="35"/>
    </w:p>
    <w:p>
      <w:pPr>
        <w:rPr>
          <w:rFonts w:ascii="黑体" w:eastAsia="黑体"/>
          <w:szCs w:val="21"/>
        </w:rPr>
      </w:pPr>
      <w:r>
        <w:rPr>
          <w:rFonts w:hint="eastAsia" w:ascii="黑体" w:eastAsia="黑体"/>
          <w:szCs w:val="21"/>
        </w:rPr>
        <w:t>5.3.1 质量管理体系</w:t>
      </w:r>
    </w:p>
    <w:p>
      <w:pPr>
        <w:ind w:firstLine="420" w:firstLineChars="200"/>
        <w:rPr>
          <w:rFonts w:ascii="宋体"/>
          <w:szCs w:val="21"/>
        </w:rPr>
      </w:pPr>
      <w:r>
        <w:rPr>
          <w:rFonts w:hint="eastAsia"/>
        </w:rPr>
        <w:t>工厂应建立、实施并保持满足</w:t>
      </w:r>
      <w:r>
        <w:t>GB/T19001</w:t>
      </w:r>
      <w:r>
        <w:rPr>
          <w:rFonts w:hint="eastAsia"/>
        </w:rPr>
        <w:t>要求的质量管理体系，宜通过质量管理体系第三方认证。</w:t>
      </w:r>
    </w:p>
    <w:p>
      <w:pPr>
        <w:rPr>
          <w:rFonts w:ascii="黑体" w:hAnsi="黑体" w:eastAsia="黑体"/>
          <w:szCs w:val="21"/>
        </w:rPr>
      </w:pPr>
      <w:r>
        <w:rPr>
          <w:rFonts w:hint="eastAsia" w:ascii="黑体" w:hAnsi="黑体" w:eastAsia="黑体"/>
          <w:szCs w:val="21"/>
        </w:rPr>
        <w:t>5</w:t>
      </w:r>
      <w:r>
        <w:rPr>
          <w:rFonts w:ascii="黑体" w:hAnsi="黑体" w:eastAsia="黑体"/>
          <w:szCs w:val="21"/>
        </w:rPr>
        <w:t xml:space="preserve">.3.2 </w:t>
      </w:r>
      <w:r>
        <w:rPr>
          <w:rFonts w:hint="eastAsia" w:ascii="黑体" w:hAnsi="黑体" w:eastAsia="黑体"/>
          <w:szCs w:val="21"/>
        </w:rPr>
        <w:t>职业健康安全管理体系</w:t>
      </w:r>
    </w:p>
    <w:p>
      <w:pPr>
        <w:ind w:firstLine="420" w:firstLineChars="200"/>
        <w:rPr>
          <w:iCs/>
        </w:rPr>
      </w:pPr>
      <w:r>
        <w:rPr>
          <w:rFonts w:hint="eastAsia" w:cs="宋体"/>
          <w:iCs/>
        </w:rPr>
        <w:t>工厂</w:t>
      </w:r>
      <w:r>
        <w:rPr>
          <w:rFonts w:hint="eastAsia"/>
          <w:iCs/>
        </w:rPr>
        <w:t>应建立、实施并保持满足</w:t>
      </w:r>
      <w:r>
        <w:rPr>
          <w:iCs/>
        </w:rPr>
        <w:t xml:space="preserve">GB/T </w:t>
      </w:r>
      <w:r>
        <w:rPr>
          <w:rFonts w:hint="eastAsia"/>
          <w:iCs/>
        </w:rPr>
        <w:t>45001要求的职业健康安全管理体系，宜通过职业健康安全管理体系第三方认证。</w:t>
      </w:r>
    </w:p>
    <w:p>
      <w:pPr>
        <w:rPr>
          <w:rFonts w:ascii="黑体" w:hAnsi="黑体" w:eastAsia="黑体"/>
          <w:szCs w:val="21"/>
        </w:rPr>
      </w:pPr>
      <w:r>
        <w:rPr>
          <w:rFonts w:hint="eastAsia" w:ascii="黑体" w:hAnsi="黑体" w:eastAsia="黑体"/>
          <w:szCs w:val="21"/>
        </w:rPr>
        <w:t>5</w:t>
      </w:r>
      <w:r>
        <w:rPr>
          <w:rFonts w:ascii="黑体" w:hAnsi="黑体" w:eastAsia="黑体"/>
          <w:szCs w:val="21"/>
        </w:rPr>
        <w:t>.3.</w:t>
      </w:r>
      <w:r>
        <w:rPr>
          <w:rFonts w:hint="eastAsia" w:ascii="黑体" w:hAnsi="黑体" w:eastAsia="黑体"/>
          <w:szCs w:val="21"/>
        </w:rPr>
        <w:t>3环境管理体系</w:t>
      </w:r>
    </w:p>
    <w:p>
      <w:pPr>
        <w:ind w:firstLine="420" w:firstLineChars="200"/>
        <w:rPr>
          <w:rFonts w:ascii="宋体"/>
          <w:szCs w:val="21"/>
          <w:highlight w:val="yellow"/>
        </w:rPr>
      </w:pPr>
      <w:r>
        <w:rPr>
          <w:rFonts w:hint="eastAsia" w:cs="宋体"/>
        </w:rPr>
        <w:t>工厂</w:t>
      </w:r>
      <w:r>
        <w:rPr>
          <w:rFonts w:hint="eastAsia"/>
        </w:rPr>
        <w:t>应建立、实施并保持满足</w:t>
      </w:r>
      <w:r>
        <w:t>GB/T 24001</w:t>
      </w:r>
      <w:r>
        <w:rPr>
          <w:rFonts w:hint="eastAsia"/>
        </w:rPr>
        <w:t>要求的环境管理体系，宜通过环境管理体系第三方认证。</w:t>
      </w:r>
    </w:p>
    <w:p>
      <w:pPr>
        <w:rPr>
          <w:rFonts w:ascii="黑体" w:hAnsi="黑体" w:eastAsia="黑体"/>
          <w:szCs w:val="21"/>
        </w:rPr>
      </w:pPr>
      <w:r>
        <w:rPr>
          <w:rFonts w:hint="eastAsia" w:ascii="黑体" w:hAnsi="黑体" w:eastAsia="黑体"/>
          <w:szCs w:val="21"/>
        </w:rPr>
        <w:t>5</w:t>
      </w:r>
      <w:r>
        <w:rPr>
          <w:rFonts w:ascii="黑体" w:hAnsi="黑体" w:eastAsia="黑体"/>
          <w:szCs w:val="21"/>
        </w:rPr>
        <w:t xml:space="preserve">.3.4 </w:t>
      </w:r>
      <w:r>
        <w:rPr>
          <w:rFonts w:hint="eastAsia" w:ascii="黑体" w:hAnsi="黑体" w:eastAsia="黑体"/>
          <w:szCs w:val="21"/>
        </w:rPr>
        <w:t>能源管理体系</w:t>
      </w:r>
    </w:p>
    <w:p>
      <w:pPr>
        <w:ind w:firstLine="420" w:firstLineChars="200"/>
      </w:pPr>
      <w:r>
        <w:rPr>
          <w:rFonts w:hint="eastAsia"/>
        </w:rPr>
        <w:t>工厂应建立、实施并保持满足</w:t>
      </w:r>
      <w:r>
        <w:t>GB/T 23331</w:t>
      </w:r>
      <w:r>
        <w:rPr>
          <w:rFonts w:hint="eastAsia"/>
        </w:rPr>
        <w:t>要求的能源管理体系，宜</w:t>
      </w:r>
      <w:r>
        <w:rPr>
          <w:rFonts w:hint="eastAsia"/>
          <w:iCs/>
        </w:rPr>
        <w:t>通过</w:t>
      </w:r>
      <w:r>
        <w:rPr>
          <w:rFonts w:hint="eastAsia"/>
        </w:rPr>
        <w:t>能源管理体系</w:t>
      </w:r>
      <w:r>
        <w:rPr>
          <w:rFonts w:hint="eastAsia"/>
          <w:iCs/>
        </w:rPr>
        <w:t>第三方认证，并宜满足</w:t>
      </w:r>
      <w:r>
        <w:rPr>
          <w:iCs/>
        </w:rPr>
        <w:t>RB/T 117</w:t>
      </w:r>
      <w:r>
        <w:rPr>
          <w:rFonts w:hint="eastAsia"/>
          <w:iCs/>
        </w:rPr>
        <w:t>的要求</w:t>
      </w:r>
      <w:r>
        <w:rPr>
          <w:rFonts w:hint="eastAsia"/>
        </w:rPr>
        <w:t>。</w:t>
      </w:r>
    </w:p>
    <w:p>
      <w:pPr>
        <w:rPr>
          <w:rFonts w:ascii="黑体" w:hAnsi="黑体" w:eastAsia="黑体"/>
          <w:szCs w:val="21"/>
        </w:rPr>
      </w:pPr>
      <w:r>
        <w:rPr>
          <w:rFonts w:hint="eastAsia" w:ascii="黑体" w:hAnsi="黑体" w:eastAsia="黑体"/>
          <w:szCs w:val="21"/>
        </w:rPr>
        <w:t>5</w:t>
      </w:r>
      <w:r>
        <w:rPr>
          <w:rFonts w:ascii="黑体" w:hAnsi="黑体" w:eastAsia="黑体"/>
          <w:szCs w:val="21"/>
        </w:rPr>
        <w:t>.3.</w:t>
      </w:r>
      <w:r>
        <w:rPr>
          <w:rFonts w:hint="eastAsia" w:ascii="黑体" w:hAnsi="黑体" w:eastAsia="黑体"/>
          <w:szCs w:val="21"/>
        </w:rPr>
        <w:t>5</w:t>
      </w:r>
      <w:r>
        <w:rPr>
          <w:rFonts w:ascii="黑体" w:hAnsi="黑体" w:eastAsia="黑体"/>
          <w:szCs w:val="21"/>
        </w:rPr>
        <w:t xml:space="preserve"> </w:t>
      </w:r>
      <w:r>
        <w:rPr>
          <w:rFonts w:hint="eastAsia" w:ascii="黑体" w:hAnsi="黑体" w:eastAsia="黑体"/>
          <w:szCs w:val="21"/>
        </w:rPr>
        <w:t>社会责任</w:t>
      </w:r>
    </w:p>
    <w:p>
      <w:pPr>
        <w:ind w:firstLine="420" w:firstLineChars="200"/>
      </w:pPr>
      <w:r>
        <w:rPr>
          <w:rFonts w:hint="eastAsia"/>
        </w:rPr>
        <w:t>a) 工厂宜按照</w:t>
      </w:r>
      <w:r>
        <w:t>GB/T 36000</w:t>
      </w:r>
      <w:r>
        <w:rPr>
          <w:rFonts w:hint="eastAsia"/>
        </w:rPr>
        <w:t>每年发布社会责任报告，说明履行利益相关方责任的情况，特别是环境社会责任的履行情况。</w:t>
      </w:r>
    </w:p>
    <w:p>
      <w:pPr>
        <w:ind w:firstLine="420" w:firstLineChars="200"/>
      </w:pPr>
      <w:r>
        <w:rPr>
          <w:rFonts w:hint="eastAsia"/>
        </w:rPr>
        <w:t>b) 社会责任报告宜公开可获得。</w:t>
      </w:r>
    </w:p>
    <w:p>
      <w:pPr>
        <w:pStyle w:val="5"/>
        <w:rPr>
          <w:rFonts w:ascii="黑体" w:hAnsi="黑体"/>
          <w:b w:val="0"/>
          <w:sz w:val="21"/>
          <w:szCs w:val="21"/>
        </w:rPr>
      </w:pPr>
      <w:bookmarkStart w:id="36" w:name="_Toc41313734"/>
      <w:bookmarkStart w:id="37" w:name="_Toc41314625"/>
      <w:r>
        <w:rPr>
          <w:rFonts w:hint="eastAsia" w:ascii="黑体" w:hAnsi="黑体"/>
          <w:b w:val="0"/>
          <w:sz w:val="21"/>
          <w:szCs w:val="21"/>
        </w:rPr>
        <w:t>5.4能源与资源投入</w:t>
      </w:r>
      <w:r>
        <w:rPr>
          <w:rFonts w:hint="eastAsia" w:ascii="黑体" w:hAnsi="黑体"/>
          <w:b w:val="0"/>
          <w:strike/>
          <w:dstrike w:val="0"/>
          <w:color w:val="FF0000"/>
          <w:sz w:val="21"/>
          <w:szCs w:val="21"/>
        </w:rPr>
        <w:t>要求</w:t>
      </w:r>
      <w:bookmarkEnd w:id="36"/>
      <w:bookmarkEnd w:id="37"/>
    </w:p>
    <w:p>
      <w:pPr>
        <w:rPr>
          <w:rFonts w:ascii="黑体" w:hAnsi="黑体" w:eastAsia="黑体"/>
          <w:szCs w:val="21"/>
        </w:rPr>
      </w:pPr>
      <w:r>
        <w:rPr>
          <w:rFonts w:hint="eastAsia" w:ascii="黑体" w:hAnsi="黑体" w:eastAsia="黑体"/>
          <w:szCs w:val="21"/>
        </w:rPr>
        <w:t>5.4.1能源投入</w:t>
      </w:r>
    </w:p>
    <w:p>
      <w:r>
        <w:rPr>
          <w:rFonts w:hint="eastAsia" w:ascii="黑体" w:eastAsia="黑体"/>
        </w:rPr>
        <w:t xml:space="preserve">5.4.1.1 </w:t>
      </w:r>
      <w:r>
        <w:rPr>
          <w:rFonts w:hint="eastAsia" w:ascii="宋体" w:hAnsi="宋体"/>
        </w:rPr>
        <w:t>工厂</w:t>
      </w:r>
      <w:r>
        <w:rPr>
          <w:rFonts w:hint="eastAsia"/>
        </w:rPr>
        <w:t>应优化用能结构，在保证安全、质量的前提下减少能源投入，宜使用低碳清洁的能源。</w:t>
      </w:r>
    </w:p>
    <w:p>
      <w:pPr>
        <w:rPr>
          <w:szCs w:val="21"/>
        </w:rPr>
      </w:pPr>
      <w:r>
        <w:rPr>
          <w:rFonts w:hint="eastAsia" w:ascii="黑体" w:eastAsia="黑体"/>
          <w:szCs w:val="21"/>
        </w:rPr>
        <w:t xml:space="preserve">5.4.1.2 </w:t>
      </w:r>
      <w:r>
        <w:rPr>
          <w:rFonts w:hint="eastAsia"/>
          <w:szCs w:val="21"/>
        </w:rPr>
        <w:t>铜及铜合金加工各工序能耗应满足各行业节能相关法律法规和标准要求，减少能源消耗。</w:t>
      </w:r>
    </w:p>
    <w:p>
      <w:pPr>
        <w:rPr>
          <w:szCs w:val="21"/>
        </w:rPr>
      </w:pPr>
      <w:r>
        <w:rPr>
          <w:rFonts w:hint="eastAsia" w:ascii="黑体" w:eastAsia="黑体"/>
          <w:szCs w:val="21"/>
        </w:rPr>
        <w:t>5.4.1.3</w:t>
      </w:r>
      <w:r>
        <w:rPr>
          <w:rFonts w:hint="eastAsia"/>
          <w:szCs w:val="21"/>
        </w:rPr>
        <w:t>工厂</w:t>
      </w:r>
      <w:r>
        <w:rPr>
          <w:rFonts w:hint="eastAsia"/>
        </w:rPr>
        <w:t>宜充分利用余热余压，</w:t>
      </w:r>
      <w:r>
        <w:rPr>
          <w:rFonts w:hint="eastAsia"/>
          <w:szCs w:val="21"/>
        </w:rPr>
        <w:t>产生的二次能源宜回收利用。</w:t>
      </w:r>
    </w:p>
    <w:p>
      <w:pPr>
        <w:rPr>
          <w:strike/>
        </w:rPr>
      </w:pPr>
      <w:r>
        <w:rPr>
          <w:rFonts w:hint="eastAsia" w:ascii="黑体" w:eastAsia="黑体"/>
          <w:szCs w:val="21"/>
        </w:rPr>
        <w:t>5.4.1.4</w:t>
      </w:r>
      <w:r>
        <w:rPr>
          <w:rFonts w:hint="eastAsia"/>
          <w:szCs w:val="21"/>
        </w:rPr>
        <w:t>工厂宜建立能源管理中心。</w:t>
      </w:r>
    </w:p>
    <w:p>
      <w:pPr>
        <w:spacing w:beforeLines="50"/>
        <w:rPr>
          <w:rFonts w:ascii="黑体" w:hAnsi="黑体" w:eastAsia="黑体"/>
          <w:szCs w:val="21"/>
        </w:rPr>
      </w:pPr>
      <w:r>
        <w:rPr>
          <w:rFonts w:hint="eastAsia" w:ascii="黑体" w:hAnsi="黑体" w:eastAsia="黑体"/>
          <w:szCs w:val="21"/>
        </w:rPr>
        <w:t>5.4.2 资源投入</w:t>
      </w:r>
    </w:p>
    <w:p>
      <w:pPr>
        <w:rPr>
          <w:szCs w:val="21"/>
        </w:rPr>
      </w:pPr>
      <w:r>
        <w:rPr>
          <w:rFonts w:hint="eastAsia" w:ascii="黑体" w:eastAsia="黑体"/>
          <w:szCs w:val="21"/>
        </w:rPr>
        <w:t xml:space="preserve">5.4.2.1 </w:t>
      </w:r>
      <w:r>
        <w:rPr>
          <w:rFonts w:hint="eastAsia" w:ascii="宋体" w:hAnsi="宋体"/>
          <w:szCs w:val="21"/>
        </w:rPr>
        <w:t>工厂</w:t>
      </w:r>
      <w:r>
        <w:rPr>
          <w:rFonts w:hint="eastAsia"/>
          <w:szCs w:val="21"/>
        </w:rPr>
        <w:t>应按照</w:t>
      </w:r>
      <w:r>
        <w:rPr>
          <w:szCs w:val="21"/>
        </w:rPr>
        <w:t>GB/T 7119</w:t>
      </w:r>
      <w:r>
        <w:rPr>
          <w:rFonts w:hint="eastAsia"/>
          <w:szCs w:val="21"/>
        </w:rPr>
        <w:t>的要求开展节水评价工作。</w:t>
      </w:r>
    </w:p>
    <w:p>
      <w:r>
        <w:rPr>
          <w:rFonts w:hint="eastAsia" w:ascii="黑体" w:eastAsia="黑体"/>
        </w:rPr>
        <w:t xml:space="preserve">5.4.2.2 </w:t>
      </w:r>
      <w:r>
        <w:rPr>
          <w:rFonts w:hint="eastAsia" w:ascii="宋体" w:hAnsi="宋体"/>
        </w:rPr>
        <w:t>工厂</w:t>
      </w:r>
      <w:r>
        <w:rPr>
          <w:rFonts w:hint="eastAsia"/>
        </w:rPr>
        <w:t>应减少有害材料的使用，评估有害物质及化学品减量使用或替代的可行性。</w:t>
      </w:r>
    </w:p>
    <w:p>
      <w:pPr>
        <w:rPr>
          <w:rFonts w:ascii="宋体" w:hAnsi="宋体"/>
        </w:rPr>
      </w:pPr>
      <w:r>
        <w:rPr>
          <w:rFonts w:hint="eastAsia" w:ascii="黑体" w:eastAsia="黑体"/>
        </w:rPr>
        <w:t xml:space="preserve">5.4.2.3 </w:t>
      </w:r>
      <w:r>
        <w:rPr>
          <w:rFonts w:hint="eastAsia" w:ascii="宋体" w:hAnsi="宋体"/>
        </w:rPr>
        <w:t>工厂宜使用再生铜及铜合金原料如再生铜原料、再生黄铜金原料等。</w:t>
      </w:r>
    </w:p>
    <w:p>
      <w:pPr>
        <w:spacing w:beforeLines="50"/>
        <w:rPr>
          <w:rFonts w:ascii="宋体"/>
          <w:szCs w:val="21"/>
        </w:rPr>
      </w:pPr>
      <w:r>
        <w:rPr>
          <w:rFonts w:hint="eastAsia" w:ascii="黑体" w:hAnsi="黑体" w:eastAsia="黑体"/>
          <w:szCs w:val="21"/>
        </w:rPr>
        <w:t>5.4.3 采购</w:t>
      </w:r>
    </w:p>
    <w:p>
      <w:r>
        <w:rPr>
          <w:rFonts w:hint="eastAsia" w:ascii="黑体" w:eastAsia="黑体"/>
        </w:rPr>
        <w:t>5.4.3.1</w:t>
      </w:r>
      <w:r>
        <w:t xml:space="preserve"> </w:t>
      </w:r>
      <w:r>
        <w:rPr>
          <w:rFonts w:hint="eastAsia"/>
        </w:rPr>
        <w:t>工厂应对采购的能源及原材料制定选择、评价供应方的准则。</w:t>
      </w:r>
    </w:p>
    <w:p>
      <w:r>
        <w:rPr>
          <w:rFonts w:hint="eastAsia" w:ascii="黑体" w:eastAsia="黑体"/>
        </w:rPr>
        <w:t xml:space="preserve">5.4.3.2 </w:t>
      </w:r>
      <w:r>
        <w:rPr>
          <w:rFonts w:hint="eastAsia" w:ascii="宋体" w:hAnsi="宋体"/>
        </w:rPr>
        <w:t>工厂</w:t>
      </w:r>
      <w:r>
        <w:rPr>
          <w:rFonts w:hint="eastAsia"/>
        </w:rPr>
        <w:t>应对采购的产品开展并实施检验或其他的活动。</w:t>
      </w:r>
    </w:p>
    <w:p>
      <w:r>
        <w:rPr>
          <w:rFonts w:hint="eastAsia" w:ascii="黑体" w:eastAsia="黑体"/>
        </w:rPr>
        <w:t>5.4.3.3</w:t>
      </w:r>
      <w:r>
        <w:rPr>
          <w:rFonts w:hint="eastAsia"/>
        </w:rPr>
        <w:t>工厂宜向供方提供的包含有害物质使用、可回收材料使用、能效等要求的采购信息。</w:t>
      </w:r>
    </w:p>
    <w:p>
      <w:pPr>
        <w:pStyle w:val="5"/>
        <w:rPr>
          <w:rFonts w:ascii="黑体" w:hAnsi="黑体"/>
          <w:b w:val="0"/>
          <w:sz w:val="21"/>
          <w:szCs w:val="21"/>
        </w:rPr>
      </w:pPr>
      <w:bookmarkStart w:id="38" w:name="_Toc41314626"/>
      <w:bookmarkStart w:id="39" w:name="_Toc41313735"/>
      <w:r>
        <w:rPr>
          <w:rFonts w:hint="eastAsia" w:ascii="黑体" w:hAnsi="黑体"/>
          <w:b w:val="0"/>
          <w:sz w:val="21"/>
          <w:szCs w:val="21"/>
        </w:rPr>
        <w:t>5.5</w:t>
      </w:r>
      <w:r>
        <w:rPr>
          <w:rFonts w:ascii="黑体" w:hAnsi="黑体"/>
          <w:b w:val="0"/>
          <w:sz w:val="21"/>
          <w:szCs w:val="21"/>
        </w:rPr>
        <w:t xml:space="preserve"> </w:t>
      </w:r>
      <w:r>
        <w:rPr>
          <w:rFonts w:hint="eastAsia" w:ascii="黑体" w:hAnsi="黑体"/>
          <w:b w:val="0"/>
          <w:sz w:val="21"/>
          <w:szCs w:val="21"/>
        </w:rPr>
        <w:t>产品</w:t>
      </w:r>
      <w:r>
        <w:rPr>
          <w:rFonts w:hint="eastAsia" w:ascii="黑体" w:hAnsi="黑体"/>
          <w:b w:val="0"/>
          <w:strike/>
          <w:dstrike w:val="0"/>
          <w:color w:val="FF0000"/>
          <w:sz w:val="21"/>
          <w:szCs w:val="21"/>
        </w:rPr>
        <w:t>要求</w:t>
      </w:r>
      <w:bookmarkEnd w:id="38"/>
      <w:bookmarkEnd w:id="39"/>
    </w:p>
    <w:p>
      <w:pPr>
        <w:rPr>
          <w:rFonts w:ascii="黑体" w:hAnsi="黑体" w:eastAsia="黑体"/>
          <w:szCs w:val="21"/>
        </w:rPr>
      </w:pPr>
      <w:r>
        <w:rPr>
          <w:rFonts w:hint="eastAsia" w:ascii="黑体" w:hAnsi="黑体" w:eastAsia="黑体"/>
          <w:szCs w:val="21"/>
        </w:rPr>
        <w:t>5.5.1 生态（绿色）设计</w:t>
      </w:r>
    </w:p>
    <w:p>
      <w:pPr>
        <w:rPr>
          <w:szCs w:val="21"/>
        </w:rPr>
      </w:pPr>
      <w:r>
        <w:rPr>
          <w:rFonts w:hint="eastAsia" w:ascii="黑体" w:eastAsia="黑体"/>
          <w:szCs w:val="21"/>
        </w:rPr>
        <w:t>5.5.1.1</w:t>
      </w:r>
      <w:r>
        <w:rPr>
          <w:szCs w:val="21"/>
        </w:rPr>
        <w:t xml:space="preserve"> </w:t>
      </w:r>
      <w:r>
        <w:rPr>
          <w:rFonts w:hint="eastAsia"/>
          <w:szCs w:val="21"/>
        </w:rPr>
        <w:t>工厂应在产品设计中引入生态设计的理念。适用时，产品品种应按照对应品种的绿色产品评价标准进行评价。</w:t>
      </w:r>
    </w:p>
    <w:p>
      <w:pPr>
        <w:rPr>
          <w:rFonts w:ascii="宋体"/>
          <w:szCs w:val="21"/>
        </w:rPr>
      </w:pPr>
      <w:r>
        <w:rPr>
          <w:rFonts w:hint="eastAsia" w:ascii="黑体" w:eastAsia="黑体"/>
        </w:rPr>
        <w:t>5.5.1.2</w:t>
      </w:r>
      <w:r>
        <w:t xml:space="preserve"> </w:t>
      </w:r>
      <w:r>
        <w:rPr>
          <w:rFonts w:hint="eastAsia"/>
          <w:szCs w:val="21"/>
        </w:rPr>
        <w:t>工厂</w:t>
      </w:r>
      <w:r>
        <w:rPr>
          <w:rFonts w:hint="eastAsia"/>
        </w:rPr>
        <w:t>宜按照</w:t>
      </w:r>
      <w:r>
        <w:t>GB/T 24256</w:t>
      </w:r>
      <w:r>
        <w:rPr>
          <w:rFonts w:hint="eastAsia"/>
        </w:rPr>
        <w:t>对生产的产品进行生态设计，并宜按照</w:t>
      </w:r>
      <w:r>
        <w:t>GB/T 32161</w:t>
      </w:r>
      <w:r>
        <w:rPr>
          <w:rFonts w:hint="eastAsia"/>
        </w:rPr>
        <w:t>对生产的产品进行生态设计产品评价。</w:t>
      </w:r>
    </w:p>
    <w:p>
      <w:pPr>
        <w:rPr>
          <w:rFonts w:ascii="黑体" w:hAnsi="黑体" w:eastAsia="黑体"/>
          <w:szCs w:val="21"/>
        </w:rPr>
      </w:pPr>
      <w:r>
        <w:rPr>
          <w:rFonts w:hint="eastAsia" w:ascii="黑体" w:hAnsi="黑体" w:eastAsia="黑体"/>
          <w:szCs w:val="21"/>
        </w:rPr>
        <w:t>5.5.2 有害物质使用</w:t>
      </w:r>
    </w:p>
    <w:p>
      <w:pPr>
        <w:rPr>
          <w:rFonts w:ascii="宋体"/>
          <w:szCs w:val="21"/>
        </w:rPr>
      </w:pPr>
      <w:r>
        <w:rPr>
          <w:rFonts w:hint="eastAsia" w:ascii="黑体" w:eastAsia="黑体"/>
          <w:szCs w:val="21"/>
        </w:rPr>
        <w:t>5.5.2.1</w:t>
      </w:r>
      <w:r>
        <w:rPr>
          <w:rFonts w:hint="eastAsia" w:ascii="宋体"/>
          <w:szCs w:val="21"/>
        </w:rPr>
        <w:t>工厂生产的产品应替代或减少有害物质的使用。</w:t>
      </w:r>
    </w:p>
    <w:p>
      <w:r>
        <w:rPr>
          <w:rFonts w:hint="eastAsia" w:ascii="黑体" w:eastAsia="黑体"/>
        </w:rPr>
        <w:t>5.5.2.2</w:t>
      </w:r>
      <w:r>
        <w:rPr>
          <w:rFonts w:hint="eastAsia" w:hAnsi="宋体"/>
        </w:rPr>
        <w:t>有毒</w:t>
      </w:r>
      <w:r>
        <w:rPr>
          <w:rFonts w:hint="eastAsia"/>
        </w:rPr>
        <w:t>有害物质的贮存、运输、生产和使用场所，应设置环境风险防范和应急处理设施。</w:t>
      </w:r>
    </w:p>
    <w:p>
      <w:pPr>
        <w:rPr>
          <w:rFonts w:ascii="黑体" w:hAnsi="黑体" w:eastAsia="黑体"/>
          <w:szCs w:val="21"/>
        </w:rPr>
      </w:pPr>
      <w:r>
        <w:rPr>
          <w:rFonts w:hint="eastAsia" w:ascii="黑体" w:hAnsi="黑体" w:eastAsia="黑体"/>
          <w:szCs w:val="21"/>
        </w:rPr>
        <w:t>5.5.3 减碳</w:t>
      </w:r>
    </w:p>
    <w:p>
      <w:pPr>
        <w:ind w:firstLine="420" w:firstLineChars="200"/>
      </w:pPr>
      <w:r>
        <w:rPr>
          <w:rFonts w:hint="eastAsia"/>
        </w:rPr>
        <w:t>a) 工厂宜采用适用的标准或规范对生产的产品进行碳足迹核算或核查。</w:t>
      </w:r>
    </w:p>
    <w:p>
      <w:pPr>
        <w:ind w:firstLine="420" w:firstLineChars="200"/>
      </w:pPr>
      <w:r>
        <w:rPr>
          <w:rFonts w:hint="eastAsia"/>
        </w:rPr>
        <w:t>b) 核算或核查的结果宜对外公布。</w:t>
      </w:r>
    </w:p>
    <w:p>
      <w:pPr>
        <w:ind w:firstLine="420" w:firstLineChars="200"/>
      </w:pPr>
      <w:r>
        <w:rPr>
          <w:rFonts w:hint="eastAsia"/>
        </w:rPr>
        <w:t>c) 工厂宜利用核算结果对其产品的碳足迹进行改善。</w:t>
      </w:r>
    </w:p>
    <w:p>
      <w:pPr>
        <w:pStyle w:val="5"/>
        <w:rPr>
          <w:rFonts w:ascii="黑体" w:hAnsi="黑体"/>
          <w:sz w:val="21"/>
          <w:szCs w:val="21"/>
        </w:rPr>
      </w:pPr>
      <w:bookmarkStart w:id="40" w:name="_Toc41314627"/>
      <w:bookmarkStart w:id="41" w:name="_Toc41313736"/>
      <w:r>
        <w:rPr>
          <w:rFonts w:hint="eastAsia" w:ascii="黑体" w:hAnsi="黑体"/>
          <w:sz w:val="21"/>
          <w:szCs w:val="21"/>
        </w:rPr>
        <w:t>5.6环境排放</w:t>
      </w:r>
      <w:bookmarkEnd w:id="40"/>
      <w:bookmarkEnd w:id="41"/>
    </w:p>
    <w:p>
      <w:pPr>
        <w:rPr>
          <w:rFonts w:ascii="黑体" w:hAnsi="黑体" w:eastAsia="黑体"/>
          <w:szCs w:val="21"/>
        </w:rPr>
      </w:pPr>
      <w:r>
        <w:rPr>
          <w:rFonts w:hint="eastAsia" w:ascii="黑体" w:hAnsi="黑体" w:eastAsia="黑体"/>
          <w:szCs w:val="21"/>
        </w:rPr>
        <w:t>5.6.1大气污染物</w:t>
      </w:r>
    </w:p>
    <w:p>
      <w:pPr>
        <w:ind w:firstLine="420" w:firstLineChars="200"/>
      </w:pPr>
      <w:bookmarkStart w:id="42" w:name="OLE_LINK9"/>
      <w:bookmarkStart w:id="43" w:name="OLE_LINK8"/>
      <w:r>
        <w:rPr>
          <w:rFonts w:hint="eastAsia"/>
        </w:rPr>
        <w:t>工厂的大气污染物排放应符合相关国家标准、行业标准及地方标准的规定和主要污染物排放总量控制规定，并满足国家排污许可要求。</w:t>
      </w:r>
    </w:p>
    <w:bookmarkEnd w:id="42"/>
    <w:bookmarkEnd w:id="43"/>
    <w:p>
      <w:pPr>
        <w:rPr>
          <w:rFonts w:ascii="黑体" w:hAnsi="黑体" w:eastAsia="黑体"/>
          <w:szCs w:val="21"/>
        </w:rPr>
      </w:pPr>
      <w:r>
        <w:rPr>
          <w:rFonts w:hint="eastAsia" w:ascii="黑体" w:hAnsi="黑体" w:eastAsia="黑体"/>
          <w:szCs w:val="21"/>
        </w:rPr>
        <w:t>5.6.2 水体污染物</w:t>
      </w:r>
    </w:p>
    <w:p>
      <w:pPr>
        <w:ind w:firstLine="420" w:firstLineChars="200"/>
      </w:pPr>
      <w:r>
        <w:rPr>
          <w:rFonts w:hint="eastAsia"/>
        </w:rPr>
        <w:t>工厂的水体污染物排放应符合相关国家、行业标准、地方标准的规定和主要污染物排放总量控制规定，并满足国家排污许可要求。宜满足标准中更高等级要求。</w:t>
      </w:r>
    </w:p>
    <w:p>
      <w:pPr>
        <w:rPr>
          <w:rFonts w:ascii="黑体" w:hAnsi="黑体" w:eastAsia="黑体"/>
          <w:szCs w:val="21"/>
        </w:rPr>
      </w:pPr>
      <w:r>
        <w:rPr>
          <w:rFonts w:hint="eastAsia" w:ascii="黑体" w:hAnsi="黑体" w:eastAsia="黑体"/>
          <w:szCs w:val="21"/>
        </w:rPr>
        <w:t>5.6.3 固体废弃物</w:t>
      </w:r>
    </w:p>
    <w:p>
      <w:pPr>
        <w:rPr>
          <w:rFonts w:ascii="宋体" w:hAnsi="宋体"/>
          <w:szCs w:val="21"/>
        </w:rPr>
      </w:pPr>
      <w:r>
        <w:rPr>
          <w:rFonts w:hint="eastAsia" w:ascii="黑体" w:eastAsia="黑体"/>
          <w:szCs w:val="21"/>
        </w:rPr>
        <w:t>5.6.3.1</w:t>
      </w:r>
      <w:r>
        <w:rPr>
          <w:rFonts w:hint="eastAsia" w:ascii="宋体" w:hAnsi="宋体"/>
          <w:szCs w:val="21"/>
        </w:rPr>
        <w:t>固体废物的贮存、转移和处置应符合</w:t>
      </w:r>
      <w:r>
        <w:rPr>
          <w:rFonts w:ascii="宋体" w:hAnsi="宋体"/>
          <w:szCs w:val="21"/>
        </w:rPr>
        <w:t>GB 18597</w:t>
      </w:r>
      <w:r>
        <w:rPr>
          <w:rFonts w:hint="eastAsia" w:ascii="宋体" w:hAnsi="宋体"/>
          <w:szCs w:val="21"/>
        </w:rPr>
        <w:t>、</w:t>
      </w:r>
      <w:r>
        <w:rPr>
          <w:rFonts w:ascii="宋体" w:hAnsi="宋体"/>
          <w:szCs w:val="21"/>
        </w:rPr>
        <w:t>GB 18598</w:t>
      </w:r>
      <w:r>
        <w:rPr>
          <w:rFonts w:hint="eastAsia" w:ascii="宋体" w:hAnsi="宋体"/>
          <w:szCs w:val="21"/>
        </w:rPr>
        <w:t>和</w:t>
      </w:r>
      <w:r>
        <w:rPr>
          <w:rFonts w:ascii="宋体" w:hAnsi="宋体"/>
          <w:szCs w:val="21"/>
        </w:rPr>
        <w:t>GB 18599</w:t>
      </w:r>
      <w:r>
        <w:rPr>
          <w:rFonts w:hint="eastAsia" w:ascii="宋体" w:hAnsi="宋体"/>
          <w:szCs w:val="21"/>
        </w:rPr>
        <w:t>等相关标准的规定。</w:t>
      </w:r>
    </w:p>
    <w:p>
      <w:r>
        <w:rPr>
          <w:rFonts w:hint="eastAsia" w:ascii="黑体" w:eastAsia="黑体"/>
        </w:rPr>
        <w:t>5.6.3.2</w:t>
      </w:r>
      <w:r>
        <w:rPr>
          <w:rFonts w:hint="eastAsia" w:ascii="宋体" w:hAnsi="宋体"/>
        </w:rPr>
        <w:t>工厂</w:t>
      </w:r>
      <w:r>
        <w:rPr>
          <w:rFonts w:hint="eastAsia"/>
        </w:rPr>
        <w:t>宜针对自身产生的固体废物采用减量化、无害化、资源化的处理、处置、利用方式。</w:t>
      </w:r>
    </w:p>
    <w:p>
      <w:pPr>
        <w:rPr>
          <w:rFonts w:ascii="宋体" w:hAnsi="宋体"/>
          <w:szCs w:val="21"/>
        </w:rPr>
      </w:pPr>
      <w:r>
        <w:rPr>
          <w:rFonts w:hint="eastAsia" w:ascii="黑体" w:eastAsia="黑体"/>
          <w:szCs w:val="21"/>
        </w:rPr>
        <w:t>5.6.3.3</w:t>
      </w:r>
      <w:r>
        <w:rPr>
          <w:rFonts w:hint="eastAsia" w:ascii="宋体" w:hAnsi="宋体"/>
          <w:szCs w:val="21"/>
        </w:rPr>
        <w:t>企业无法自行处理的危险废物，应委托具有能力和资质的企业进行危险废物处理。</w:t>
      </w:r>
    </w:p>
    <w:p>
      <w:pPr>
        <w:rPr>
          <w:rFonts w:ascii="黑体" w:hAnsi="黑体" w:eastAsia="黑体"/>
          <w:szCs w:val="21"/>
        </w:rPr>
      </w:pPr>
      <w:r>
        <w:rPr>
          <w:rFonts w:hint="eastAsia" w:ascii="黑体" w:hAnsi="黑体" w:eastAsia="黑体"/>
          <w:szCs w:val="21"/>
        </w:rPr>
        <w:t>5.6.4 噪声</w:t>
      </w:r>
    </w:p>
    <w:p>
      <w:pPr>
        <w:ind w:firstLine="420" w:firstLineChars="200"/>
        <w:rPr>
          <w:rFonts w:ascii="宋体" w:hAnsi="宋体"/>
        </w:rPr>
      </w:pPr>
      <w:r>
        <w:rPr>
          <w:rFonts w:hint="eastAsia" w:ascii="宋体" w:hAnsi="宋体"/>
        </w:rPr>
        <w:t>工厂的厂界环境噪声排放应符合GB 12348国家标准及地方相关标准的要求。</w:t>
      </w:r>
    </w:p>
    <w:p>
      <w:pPr>
        <w:rPr>
          <w:rFonts w:ascii="黑体" w:hAnsi="黑体" w:eastAsia="黑体"/>
          <w:szCs w:val="21"/>
        </w:rPr>
      </w:pPr>
      <w:r>
        <w:rPr>
          <w:rFonts w:hint="eastAsia" w:ascii="黑体" w:hAnsi="黑体" w:eastAsia="黑体"/>
          <w:szCs w:val="21"/>
        </w:rPr>
        <w:t xml:space="preserve">5.6.5 </w:t>
      </w:r>
      <w:r>
        <w:rPr>
          <w:rFonts w:hint="eastAsia" w:ascii="黑体" w:hAnsi="黑体" w:eastAsia="黑体"/>
          <w:color w:val="FF0000"/>
          <w:szCs w:val="21"/>
        </w:rPr>
        <w:t>温室</w:t>
      </w:r>
      <w:r>
        <w:rPr>
          <w:rFonts w:hint="eastAsia" w:ascii="黑体" w:hAnsi="黑体" w:eastAsia="黑体"/>
          <w:szCs w:val="21"/>
        </w:rPr>
        <w:t>气体</w:t>
      </w:r>
    </w:p>
    <w:p>
      <w:pPr>
        <w:ind w:firstLine="420" w:firstLineChars="200"/>
        <w:rPr>
          <w:rFonts w:ascii="宋体" w:hAnsi="宋体"/>
        </w:rPr>
      </w:pPr>
      <w:r>
        <w:rPr>
          <w:rFonts w:hint="eastAsia" w:ascii="宋体" w:hAnsi="宋体"/>
        </w:rPr>
        <w:t>工厂应采用</w:t>
      </w:r>
      <w:r>
        <w:rPr>
          <w:rFonts w:ascii="宋体" w:hAnsi="宋体"/>
        </w:rPr>
        <w:t>GB/T 32150</w:t>
      </w:r>
      <w:r>
        <w:rPr>
          <w:rFonts w:hint="eastAsia" w:ascii="宋体" w:hAnsi="宋体"/>
        </w:rPr>
        <w:t>、GB/T 32151.X或适用的标准对其厂界范围内的温室气体排放进行核算和报告，宜进行核查，核查结果宜对外公布。可行时，工厂宜利用核算或核查结果对其温室气体的排放进行改善。</w:t>
      </w:r>
    </w:p>
    <w:p>
      <w:pPr>
        <w:pStyle w:val="5"/>
        <w:rPr>
          <w:rFonts w:ascii="黑体" w:hAnsi="黑体"/>
          <w:b w:val="0"/>
          <w:sz w:val="21"/>
          <w:szCs w:val="21"/>
        </w:rPr>
      </w:pPr>
      <w:bookmarkStart w:id="44" w:name="_Toc41314628"/>
      <w:bookmarkStart w:id="45" w:name="_Toc41313737"/>
      <w:r>
        <w:rPr>
          <w:rFonts w:hint="eastAsia" w:ascii="黑体" w:hAnsi="黑体"/>
          <w:b w:val="0"/>
          <w:sz w:val="21"/>
          <w:szCs w:val="21"/>
        </w:rPr>
        <w:t>5.7 绩效</w:t>
      </w:r>
      <w:bookmarkEnd w:id="44"/>
      <w:bookmarkEnd w:id="45"/>
    </w:p>
    <w:p>
      <w:pPr>
        <w:rPr>
          <w:rFonts w:ascii="黑体" w:hAnsi="黑体" w:eastAsia="黑体"/>
          <w:szCs w:val="21"/>
        </w:rPr>
      </w:pPr>
      <w:r>
        <w:rPr>
          <w:rFonts w:hint="eastAsia" w:ascii="黑体" w:hAnsi="黑体" w:eastAsia="黑体"/>
          <w:szCs w:val="21"/>
        </w:rPr>
        <w:t>5.7.1一般要求</w:t>
      </w:r>
    </w:p>
    <w:p>
      <w:r>
        <w:rPr>
          <w:rFonts w:hint="eastAsia" w:ascii="黑体" w:eastAsia="黑体"/>
        </w:rPr>
        <w:t xml:space="preserve">5.7.1.1 </w:t>
      </w:r>
      <w:r>
        <w:rPr>
          <w:rFonts w:hint="eastAsia"/>
        </w:rPr>
        <w:t>工厂应依据GB/T 36132-2018中附录A提供的方法计算或评估绩效，并利用结果进行绩效改善。适用时，绩效指标应至少满足</w:t>
      </w:r>
      <w:r>
        <w:rPr>
          <w:rFonts w:hint="eastAsia"/>
          <w:szCs w:val="21"/>
        </w:rPr>
        <w:t>铜及铜合金加工行业</w:t>
      </w:r>
      <w:r>
        <w:rPr>
          <w:rFonts w:hint="eastAsia"/>
        </w:rPr>
        <w:t>相关规范条件。</w:t>
      </w:r>
    </w:p>
    <w:p>
      <w:pPr>
        <w:rPr>
          <w:rFonts w:ascii="宋体" w:hAnsi="宋体"/>
          <w:szCs w:val="21"/>
          <w:highlight w:val="yellow"/>
        </w:rPr>
      </w:pPr>
      <w:r>
        <w:rPr>
          <w:rFonts w:hint="eastAsia" w:ascii="黑体" w:eastAsia="黑体"/>
        </w:rPr>
        <w:t xml:space="preserve">5.7.1.2 </w:t>
      </w:r>
      <w:r>
        <w:rPr>
          <w:rFonts w:hint="eastAsia"/>
        </w:rPr>
        <w:t>绩效统计和计算应选取和覆盖能够反映工厂绩效水平的完整周期，至少包括不超过评价前一自然年度连续的</w:t>
      </w:r>
      <w:r>
        <w:t>12</w:t>
      </w:r>
      <w:r>
        <w:rPr>
          <w:rFonts w:hint="eastAsia"/>
        </w:rPr>
        <w:t>个月。</w:t>
      </w:r>
    </w:p>
    <w:p>
      <w:pPr>
        <w:rPr>
          <w:rFonts w:ascii="黑体" w:hAnsi="黑体" w:eastAsia="黑体"/>
          <w:szCs w:val="21"/>
        </w:rPr>
      </w:pPr>
      <w:r>
        <w:rPr>
          <w:rFonts w:hint="eastAsia" w:ascii="黑体" w:hAnsi="黑体" w:eastAsia="黑体"/>
          <w:szCs w:val="21"/>
        </w:rPr>
        <w:t>5.7.2 用地集约化</w:t>
      </w:r>
    </w:p>
    <w:p>
      <w:pPr>
        <w:rPr>
          <w:highlight w:val="yellow"/>
        </w:rPr>
      </w:pPr>
      <w:r>
        <w:rPr>
          <w:rFonts w:hint="eastAsia" w:ascii="黑体" w:eastAsia="黑体"/>
          <w:szCs w:val="21"/>
        </w:rPr>
        <w:t>5.7.2.1</w:t>
      </w:r>
      <w:r>
        <w:rPr>
          <w:rFonts w:hint="eastAsia"/>
        </w:rPr>
        <w:t>工厂应按</w:t>
      </w:r>
      <w:r>
        <w:rPr>
          <w:rFonts w:hint="eastAsia" w:ascii="宋体" w:hAnsi="宋体"/>
        </w:rPr>
        <w:t>GB/T 31613-2018</w:t>
      </w:r>
      <w:r>
        <w:rPr>
          <w:rFonts w:hint="eastAsia" w:ascii="宋体" w:hAnsi="宋体"/>
          <w:color w:val="FF0000"/>
          <w:lang w:eastAsia="zh-CN"/>
        </w:rPr>
        <w:t>附录</w:t>
      </w:r>
      <w:r>
        <w:rPr>
          <w:rFonts w:hint="eastAsia" w:ascii="宋体" w:hAnsi="宋体"/>
          <w:color w:val="FF0000"/>
          <w:lang w:val="en-US" w:eastAsia="zh-CN"/>
        </w:rPr>
        <w:t>A</w:t>
      </w:r>
      <w:r>
        <w:rPr>
          <w:rFonts w:hint="eastAsia" w:ascii="宋体" w:hAnsi="宋体"/>
        </w:rPr>
        <w:t>计算</w:t>
      </w:r>
      <w:r>
        <w:rPr>
          <w:rFonts w:hint="eastAsia" w:ascii="宋体" w:hAnsi="宋体"/>
          <w:lang w:eastAsia="zh-CN"/>
        </w:rPr>
        <w:t>厂房的</w:t>
      </w:r>
      <w:r>
        <w:rPr>
          <w:rFonts w:hint="eastAsia" w:ascii="宋体" w:hAnsi="宋体"/>
        </w:rPr>
        <w:t>容积率</w:t>
      </w:r>
      <w:r>
        <w:rPr>
          <w:rFonts w:hint="eastAsia" w:ascii="宋体" w:hAnsi="宋体"/>
          <w:lang w:eastAsia="zh-CN"/>
        </w:rPr>
        <w:t>、</w:t>
      </w:r>
      <w:r>
        <w:rPr>
          <w:rFonts w:hint="eastAsia" w:ascii="宋体" w:hAnsi="宋体"/>
        </w:rPr>
        <w:t>建筑密度</w:t>
      </w:r>
      <w:r>
        <w:rPr>
          <w:rFonts w:hint="eastAsia" w:ascii="宋体" w:hAnsi="宋体"/>
          <w:color w:val="FF0000"/>
          <w:lang w:eastAsia="zh-CN"/>
        </w:rPr>
        <w:t>及单位用地面积产能</w:t>
      </w:r>
      <w:r>
        <w:rPr>
          <w:rFonts w:hint="eastAsia" w:ascii="宋体" w:hAnsi="宋体"/>
          <w:color w:val="FF0000"/>
        </w:rPr>
        <w:t>。</w:t>
      </w:r>
      <w:r>
        <w:rPr>
          <w:rFonts w:hint="eastAsia"/>
          <w:szCs w:val="21"/>
        </w:rPr>
        <w:t>工厂容积率应不低于工业项目建设用地控制指标的要求。</w:t>
      </w:r>
    </w:p>
    <w:p>
      <w:pPr>
        <w:rPr>
          <w:strike/>
        </w:rPr>
      </w:pPr>
      <w:r>
        <w:rPr>
          <w:rFonts w:hint="eastAsia" w:ascii="黑体" w:eastAsia="黑体"/>
        </w:rPr>
        <w:t xml:space="preserve">5.7.2.2 </w:t>
      </w:r>
      <w:r>
        <w:rPr>
          <w:rFonts w:hint="eastAsia"/>
        </w:rPr>
        <w:t>单位用地面积产</w:t>
      </w:r>
      <w:r>
        <w:rPr>
          <w:rFonts w:hint="eastAsia"/>
          <w:strike/>
          <w:dstrike w:val="0"/>
          <w:color w:val="FF0000"/>
        </w:rPr>
        <w:t>值</w:t>
      </w:r>
      <w:r>
        <w:rPr>
          <w:rFonts w:hint="eastAsia" w:ascii="宋体" w:hAnsi="宋体"/>
          <w:color w:val="FF0000"/>
          <w:lang w:eastAsia="zh-CN"/>
        </w:rPr>
        <w:t>能</w:t>
      </w:r>
      <w:r>
        <w:rPr>
          <w:rFonts w:hint="eastAsia"/>
        </w:rPr>
        <w:t>不应低于地方发布的单位用地面积产值的要求。</w:t>
      </w:r>
      <w:r>
        <w:rPr>
          <w:rFonts w:hint="eastAsia"/>
          <w:szCs w:val="21"/>
        </w:rPr>
        <w:t>未发布单位用地面积产</w:t>
      </w:r>
      <w:r>
        <w:rPr>
          <w:rFonts w:hint="eastAsia"/>
          <w:strike/>
          <w:dstrike w:val="0"/>
          <w:color w:val="FF0000"/>
          <w:szCs w:val="21"/>
        </w:rPr>
        <w:t>值</w:t>
      </w:r>
      <w:r>
        <w:rPr>
          <w:rFonts w:hint="eastAsia" w:ascii="宋体" w:hAnsi="宋体"/>
          <w:color w:val="FF0000"/>
          <w:lang w:eastAsia="zh-CN"/>
        </w:rPr>
        <w:t>能</w:t>
      </w:r>
      <w:r>
        <w:rPr>
          <w:rFonts w:hint="eastAsia"/>
          <w:szCs w:val="21"/>
        </w:rPr>
        <w:t>的地区，单位用地面积产</w:t>
      </w:r>
      <w:r>
        <w:rPr>
          <w:rFonts w:hint="eastAsia"/>
          <w:strike/>
          <w:dstrike w:val="0"/>
          <w:color w:val="FF0000"/>
          <w:szCs w:val="21"/>
        </w:rPr>
        <w:t>值</w:t>
      </w:r>
      <w:r>
        <w:rPr>
          <w:rFonts w:hint="eastAsia" w:ascii="宋体" w:hAnsi="宋体"/>
          <w:color w:val="FF0000"/>
          <w:lang w:eastAsia="zh-CN"/>
        </w:rPr>
        <w:t>能</w:t>
      </w:r>
      <w:r>
        <w:rPr>
          <w:rFonts w:hint="eastAsia"/>
          <w:szCs w:val="21"/>
        </w:rPr>
        <w:t>应超过本年度所在省市的单位用地面积产</w:t>
      </w:r>
      <w:r>
        <w:rPr>
          <w:rFonts w:hint="eastAsia"/>
          <w:strike/>
          <w:dstrike w:val="0"/>
          <w:color w:val="FF0000"/>
          <w:szCs w:val="21"/>
        </w:rPr>
        <w:t>值</w:t>
      </w:r>
      <w:r>
        <w:rPr>
          <w:rFonts w:hint="eastAsia" w:ascii="宋体" w:hAnsi="宋体"/>
          <w:color w:val="FF0000"/>
          <w:lang w:eastAsia="zh-CN"/>
        </w:rPr>
        <w:t>能</w:t>
      </w:r>
      <w:r>
        <w:rPr>
          <w:rFonts w:hint="eastAsia"/>
          <w:szCs w:val="21"/>
        </w:rPr>
        <w:t>。</w:t>
      </w:r>
    </w:p>
    <w:p>
      <w:pPr>
        <w:rPr>
          <w:rFonts w:ascii="黑体" w:hAnsi="黑体" w:eastAsia="黑体"/>
          <w:szCs w:val="21"/>
        </w:rPr>
      </w:pPr>
      <w:r>
        <w:rPr>
          <w:rFonts w:hint="eastAsia" w:ascii="黑体" w:hAnsi="黑体" w:eastAsia="黑体"/>
          <w:szCs w:val="21"/>
        </w:rPr>
        <w:t>5.7.3 原料无害化</w:t>
      </w:r>
    </w:p>
    <w:p>
      <w:r>
        <w:rPr>
          <w:rFonts w:hint="eastAsia" w:ascii="黑体" w:eastAsia="黑体"/>
        </w:rPr>
        <w:t>5.7.3.1</w:t>
      </w:r>
      <w:r>
        <w:rPr>
          <w:rFonts w:hint="eastAsia" w:ascii="宋体" w:hAnsi="宋体"/>
        </w:rPr>
        <w:t xml:space="preserve"> 绿色物料应选自省级以上政府相关部门发布的资源综合利用产品目录、有毒有害原料（产品）替代目录，并应对其进行统计与识别。</w:t>
      </w:r>
      <w:r>
        <w:rPr>
          <w:rFonts w:hint="eastAsia" w:ascii="黑体" w:eastAsia="黑体"/>
        </w:rPr>
        <w:t xml:space="preserve"> </w:t>
      </w:r>
    </w:p>
    <w:p>
      <w:r>
        <w:rPr>
          <w:rFonts w:hint="eastAsia" w:ascii="黑体" w:eastAsia="黑体"/>
        </w:rPr>
        <w:t>5.7.3.2</w:t>
      </w:r>
      <w:r>
        <w:rPr>
          <w:rFonts w:hint="eastAsia" w:ascii="宋体" w:hAnsi="宋体"/>
        </w:rPr>
        <w:t>适用时，工厂</w:t>
      </w:r>
      <w:r>
        <w:rPr>
          <w:rFonts w:hint="eastAsia"/>
        </w:rPr>
        <w:t>宜使用铜及铜合金二次资源作为原材料进行资源综合利用，如利用再生铜原料、再生黄铜原料等作为原料，提高铜及铜合金二次资源利用率。</w:t>
      </w:r>
    </w:p>
    <w:p>
      <w:pPr>
        <w:rPr>
          <w:rFonts w:hint="eastAsia"/>
        </w:rPr>
      </w:pPr>
      <w:r>
        <w:rPr>
          <w:rFonts w:hint="eastAsia" w:ascii="黑体" w:eastAsia="黑体"/>
        </w:rPr>
        <w:t>5.7.3.3</w:t>
      </w:r>
      <w:r>
        <w:rPr>
          <w:rFonts w:hint="eastAsia"/>
        </w:rPr>
        <w:t>适用时，铜及铜合金加工产品有害元素的含量应符合国家对产品中有害物质限制的相关规定。</w:t>
      </w:r>
    </w:p>
    <w:p>
      <w:pPr>
        <w:rPr>
          <w:rFonts w:ascii="黑体" w:hAnsi="黑体" w:eastAsia="黑体"/>
          <w:szCs w:val="21"/>
        </w:rPr>
      </w:pPr>
      <w:r>
        <w:rPr>
          <w:rFonts w:hint="eastAsia" w:ascii="黑体" w:eastAsia="黑体"/>
        </w:rPr>
        <w:t>5</w:t>
      </w:r>
      <w:r>
        <w:rPr>
          <w:rFonts w:hint="eastAsia" w:ascii="黑体" w:hAnsi="黑体" w:eastAsia="黑体"/>
          <w:szCs w:val="21"/>
        </w:rPr>
        <w:t>.7.4 生产洁净化</w:t>
      </w:r>
    </w:p>
    <w:p>
      <w:pPr>
        <w:rPr>
          <w:rFonts w:hint="eastAsia"/>
        </w:rPr>
      </w:pPr>
      <w:r>
        <w:rPr>
          <w:rFonts w:hint="eastAsia" w:ascii="黑体" w:hAnsi="黑体" w:eastAsia="黑体"/>
          <w:color w:val="FF0000"/>
          <w:szCs w:val="21"/>
        </w:rPr>
        <w:t xml:space="preserve"> </w:t>
      </w:r>
      <w:r>
        <w:rPr>
          <w:rFonts w:hint="eastAsia" w:ascii="黑体" w:hAnsi="黑体" w:eastAsia="黑体"/>
          <w:color w:val="FF0000"/>
          <w:szCs w:val="21"/>
          <w:lang w:val="en-US" w:eastAsia="zh-CN"/>
        </w:rPr>
        <w:t xml:space="preserve">   </w:t>
      </w:r>
      <w:r>
        <w:rPr>
          <w:rFonts w:hint="eastAsia" w:ascii="宋体" w:hAnsi="宋体"/>
        </w:rPr>
        <w:t>工厂的单位产品主要污染物产生量</w:t>
      </w:r>
      <w:r>
        <w:rPr>
          <w:rFonts w:hint="eastAsia" w:ascii="宋体" w:hAnsi="宋体"/>
          <w:lang w:eastAsia="zh-CN"/>
        </w:rPr>
        <w:t>及</w:t>
      </w:r>
      <w:r>
        <w:rPr>
          <w:rFonts w:hint="eastAsia" w:ascii="宋体" w:hAnsi="宋体"/>
          <w:color w:val="FF0000"/>
        </w:rPr>
        <w:t>单位产品</w:t>
      </w:r>
      <w:r>
        <w:rPr>
          <w:rFonts w:hint="eastAsia" w:ascii="宋体" w:hAnsi="宋体"/>
          <w:color w:val="FF0000"/>
          <w:lang w:eastAsia="zh-CN"/>
        </w:rPr>
        <w:t>废气产生量</w:t>
      </w:r>
      <w:r>
        <w:rPr>
          <w:rFonts w:hint="eastAsia"/>
        </w:rPr>
        <w:t>应达到相应国家标准、行业标准或地方标准指标要求。</w:t>
      </w:r>
    </w:p>
    <w:p>
      <w:pPr>
        <w:rPr>
          <w:rFonts w:ascii="黑体" w:hAnsi="黑体" w:eastAsia="黑体"/>
          <w:szCs w:val="21"/>
        </w:rPr>
      </w:pPr>
      <w:r>
        <w:rPr>
          <w:rFonts w:hint="eastAsia" w:ascii="黑体" w:hAnsi="黑体" w:eastAsia="黑体"/>
          <w:szCs w:val="21"/>
        </w:rPr>
        <w:t>5.7.5 废物资源化</w:t>
      </w:r>
    </w:p>
    <w:p>
      <w:pPr>
        <w:ind w:firstLine="420" w:firstLineChars="200"/>
        <w:rPr>
          <w:rFonts w:ascii="宋体"/>
          <w:szCs w:val="21"/>
        </w:rPr>
      </w:pPr>
      <w:r>
        <w:rPr>
          <w:rFonts w:hint="eastAsia" w:ascii="宋体" w:hAnsi="宋体"/>
        </w:rPr>
        <w:t>工厂的单位产品的</w:t>
      </w:r>
      <w:r>
        <w:rPr>
          <w:rFonts w:hint="eastAsia" w:ascii="宋体" w:hAnsi="宋体"/>
          <w:szCs w:val="21"/>
        </w:rPr>
        <w:t>主要原材料消耗量、</w:t>
      </w:r>
      <w:r>
        <w:rPr>
          <w:rFonts w:hint="eastAsia"/>
        </w:rPr>
        <w:t>工业固体废物综合利用率、废水回用率应达到国家标准、行业标准或地方标准相应评价指标要求。</w:t>
      </w:r>
    </w:p>
    <w:p>
      <w:pPr>
        <w:rPr>
          <w:rFonts w:ascii="黑体" w:hAnsi="黑体" w:eastAsia="黑体"/>
          <w:szCs w:val="21"/>
        </w:rPr>
      </w:pPr>
      <w:r>
        <w:rPr>
          <w:rFonts w:hint="eastAsia" w:ascii="黑体" w:hAnsi="黑体" w:eastAsia="黑体"/>
          <w:szCs w:val="21"/>
        </w:rPr>
        <w:t>5.7.6 能源低碳化</w:t>
      </w:r>
    </w:p>
    <w:p>
      <w:r>
        <w:rPr>
          <w:rFonts w:hint="eastAsia" w:ascii="黑体" w:hAnsi="宋体" w:eastAsia="黑体"/>
        </w:rPr>
        <w:t>5.7.6.1</w:t>
      </w:r>
      <w:r>
        <w:rPr>
          <w:rFonts w:hint="eastAsia" w:ascii="宋体" w:hAnsi="宋体"/>
        </w:rPr>
        <w:t>工厂的单位产品综合能耗</w:t>
      </w:r>
      <w:r>
        <w:rPr>
          <w:rFonts w:hint="eastAsia"/>
        </w:rPr>
        <w:t>应达到铜及铜合金加工行业相关的国家、行业或地方标准等的能耗值指标要求。</w:t>
      </w:r>
    </w:p>
    <w:p>
      <w:r>
        <w:rPr>
          <w:rFonts w:hint="eastAsia" w:ascii="黑体" w:eastAsia="黑体"/>
        </w:rPr>
        <w:t xml:space="preserve">5.7.6.2 </w:t>
      </w:r>
      <w:r>
        <w:rPr>
          <w:rFonts w:hint="eastAsia" w:ascii="宋体" w:hAnsi="宋体"/>
        </w:rPr>
        <w:t>工厂的单位产品碳排放量</w:t>
      </w:r>
      <w:r>
        <w:rPr>
          <w:rFonts w:hint="eastAsia"/>
        </w:rPr>
        <w:t>应依据</w:t>
      </w:r>
      <w:r>
        <w:t>GB/T 32150</w:t>
      </w:r>
      <w:r>
        <w:rPr>
          <w:rFonts w:hint="eastAsia"/>
        </w:rPr>
        <w:t>及适用的标准进行测算，单位产品碳排放量宜逐年下降。</w:t>
      </w:r>
      <w:bookmarkStart w:id="46" w:name="_Toc12677"/>
      <w:bookmarkStart w:id="47" w:name="_Toc531265226"/>
    </w:p>
    <w:bookmarkEnd w:id="46"/>
    <w:bookmarkEnd w:id="47"/>
    <w:p>
      <w:pPr>
        <w:pStyle w:val="2"/>
        <w:rPr>
          <w:rFonts w:hAnsi="黑体"/>
          <w:szCs w:val="21"/>
        </w:rPr>
      </w:pPr>
      <w:bookmarkStart w:id="48" w:name="_Toc41314629"/>
      <w:bookmarkStart w:id="49" w:name="_Toc41313738"/>
      <w:r>
        <w:rPr>
          <w:rFonts w:hint="eastAsia" w:hAnsi="黑体"/>
          <w:szCs w:val="21"/>
        </w:rPr>
        <w:t>6 评价程序</w:t>
      </w:r>
      <w:bookmarkEnd w:id="48"/>
      <w:bookmarkEnd w:id="49"/>
    </w:p>
    <w:p>
      <w:pPr>
        <w:ind w:firstLine="420" w:firstLineChars="200"/>
      </w:pPr>
      <w:r>
        <w:rPr>
          <w:rFonts w:hint="eastAsia"/>
        </w:rPr>
        <w:t>实施评价的组织应建立规范的评价工作流程，包括但不限于评价准备、组建评价组、</w:t>
      </w:r>
      <w:r>
        <w:t xml:space="preserve"> </w:t>
      </w:r>
      <w:r>
        <w:rPr>
          <w:rFonts w:hint="eastAsia"/>
        </w:rPr>
        <w:t>制定评价方案预评价（适用时）、现场评价、编制评价报告、技术评审等。</w:t>
      </w:r>
    </w:p>
    <w:p>
      <w:pPr>
        <w:pStyle w:val="2"/>
        <w:rPr>
          <w:rFonts w:hAnsi="黑体"/>
          <w:szCs w:val="21"/>
        </w:rPr>
      </w:pPr>
      <w:bookmarkStart w:id="50" w:name="_Toc41314630"/>
      <w:bookmarkStart w:id="51" w:name="_Toc41313739"/>
      <w:r>
        <w:rPr>
          <w:rFonts w:hint="eastAsia" w:hAnsi="黑体"/>
          <w:szCs w:val="21"/>
        </w:rPr>
        <w:t>7  评价报告</w:t>
      </w:r>
      <w:bookmarkEnd w:id="50"/>
      <w:bookmarkEnd w:id="51"/>
      <w:r>
        <w:rPr>
          <w:rFonts w:hAnsi="黑体"/>
          <w:szCs w:val="21"/>
        </w:rPr>
        <w:t xml:space="preserve"> </w:t>
      </w:r>
    </w:p>
    <w:p>
      <w:pPr>
        <w:ind w:firstLine="420" w:firstLineChars="200"/>
      </w:pPr>
      <w:r>
        <w:rPr>
          <w:rFonts w:hint="eastAsia"/>
        </w:rPr>
        <w:t>评价报告内容包括但不限于：</w:t>
      </w:r>
    </w:p>
    <w:p>
      <w:pPr>
        <w:ind w:firstLine="420" w:firstLineChars="200"/>
      </w:pPr>
      <w:r>
        <w:t>a</w:t>
      </w:r>
      <w:r>
        <w:rPr>
          <w:rFonts w:hint="eastAsia"/>
        </w:rPr>
        <w:t>）实施评价的组织；</w:t>
      </w:r>
    </w:p>
    <w:p>
      <w:pPr>
        <w:ind w:firstLine="420" w:firstLineChars="200"/>
      </w:pPr>
      <w:r>
        <w:t>b</w:t>
      </w:r>
      <w:r>
        <w:rPr>
          <w:rFonts w:hint="eastAsia"/>
        </w:rPr>
        <w:t>）评价目的、范围及准则；</w:t>
      </w:r>
    </w:p>
    <w:p>
      <w:pPr>
        <w:ind w:firstLine="420" w:firstLineChars="200"/>
      </w:pPr>
      <w:r>
        <w:t>c</w:t>
      </w:r>
      <w:r>
        <w:rPr>
          <w:rFonts w:hint="eastAsia"/>
        </w:rPr>
        <w:t>）评价过程，主要包括评价组织安排、文件评审情况、现场评价情况、评价报告编制及内部技术评审情况；</w:t>
      </w:r>
    </w:p>
    <w:p>
      <w:pPr>
        <w:ind w:firstLine="420" w:firstLineChars="200"/>
      </w:pPr>
      <w:r>
        <w:t>d</w:t>
      </w:r>
      <w:r>
        <w:rPr>
          <w:rFonts w:hint="eastAsia"/>
        </w:rPr>
        <w:t>）评价内容，包括一般要求、基础设施、管理体系、能源资源投入、产品、环境排放、绩效等；</w:t>
      </w:r>
    </w:p>
    <w:p>
      <w:pPr>
        <w:ind w:firstLine="420" w:firstLineChars="200"/>
      </w:pPr>
      <w:r>
        <w:t>e</w:t>
      </w:r>
      <w:r>
        <w:rPr>
          <w:rFonts w:hint="eastAsia"/>
        </w:rPr>
        <w:t xml:space="preserve">）评价证据的核实情况，包括证明文件和数据真实性、计算范围及计算方法、相关计量设备和有关标准的执行等； </w:t>
      </w:r>
    </w:p>
    <w:p>
      <w:pPr>
        <w:ind w:firstLine="420" w:firstLineChars="200"/>
      </w:pPr>
      <w:r>
        <w:t>f</w:t>
      </w:r>
      <w:r>
        <w:rPr>
          <w:rFonts w:hint="eastAsia"/>
        </w:rPr>
        <w:t>）评价指标表，明确各评价指标得分情况及评价加权综合评分，并判定受评工厂是否符合评价要求；</w:t>
      </w:r>
    </w:p>
    <w:p>
      <w:pPr>
        <w:ind w:firstLine="420" w:firstLineChars="200"/>
      </w:pPr>
      <w:r>
        <w:t>g</w:t>
      </w:r>
      <w:r>
        <w:rPr>
          <w:rFonts w:hint="eastAsia"/>
        </w:rPr>
        <w:t>）评价识别的问题；</w:t>
      </w:r>
      <w:r>
        <w:t xml:space="preserve"> </w:t>
      </w:r>
    </w:p>
    <w:p>
      <w:pPr>
        <w:ind w:firstLine="420" w:firstLineChars="200"/>
      </w:pPr>
      <w:r>
        <w:t>h</w:t>
      </w:r>
      <w:r>
        <w:rPr>
          <w:rFonts w:hint="eastAsia"/>
        </w:rPr>
        <w:t>）绿色工厂主要创建做法、工作亮点等；</w:t>
      </w:r>
    </w:p>
    <w:p>
      <w:pPr>
        <w:ind w:firstLine="420" w:firstLineChars="200"/>
      </w:pPr>
      <w:r>
        <w:rPr>
          <w:rFonts w:hint="eastAsia"/>
        </w:rPr>
        <w:t>i）对持续创建绿色工厂提出的下一步工作计划或建议；</w:t>
      </w:r>
    </w:p>
    <w:p>
      <w:pPr>
        <w:ind w:firstLine="420" w:firstLineChars="200"/>
      </w:pPr>
      <w:r>
        <w:t>j</w:t>
      </w:r>
      <w:r>
        <w:rPr>
          <w:rFonts w:hint="eastAsia"/>
        </w:rPr>
        <w:t>）相关支持材料。</w:t>
      </w:r>
    </w:p>
    <w:p>
      <w:pPr>
        <w:sectPr>
          <w:footerReference r:id="rId3" w:type="default"/>
          <w:footerReference r:id="rId4" w:type="even"/>
          <w:pgSz w:w="11906" w:h="16838"/>
          <w:pgMar w:top="1440" w:right="1304" w:bottom="1440" w:left="1304" w:header="851" w:footer="992" w:gutter="0"/>
          <w:pgNumType w:start="1"/>
          <w:cols w:space="720" w:num="1"/>
          <w:docGrid w:type="lines" w:linePitch="312" w:charSpace="0"/>
        </w:sectPr>
      </w:pPr>
    </w:p>
    <w:p>
      <w:pPr>
        <w:pStyle w:val="2"/>
        <w:jc w:val="center"/>
        <w:rPr>
          <w:rFonts w:hint="eastAsia" w:hAnsi="黑体" w:eastAsia="黑体"/>
          <w:szCs w:val="21"/>
          <w:lang w:eastAsia="zh-CN"/>
        </w:rPr>
      </w:pPr>
      <w:bookmarkStart w:id="52" w:name="_Toc41314631"/>
      <w:bookmarkStart w:id="53" w:name="_Toc41313740"/>
      <w:r>
        <w:rPr>
          <w:rFonts w:hint="eastAsia" w:hAnsi="黑体"/>
          <w:szCs w:val="21"/>
        </w:rPr>
        <w:t>附录A</w:t>
      </w:r>
      <w:bookmarkEnd w:id="52"/>
      <w:bookmarkEnd w:id="53"/>
    </w:p>
    <w:p>
      <w:pPr>
        <w:jc w:val="center"/>
        <w:rPr>
          <w:rFonts w:ascii="黑体" w:hAnsi="黑体" w:eastAsia="黑体"/>
          <w:color w:val="00B0F0"/>
          <w:szCs w:val="21"/>
        </w:rPr>
      </w:pPr>
      <w:r>
        <w:rPr>
          <w:rFonts w:hint="eastAsia" w:ascii="黑体" w:hAnsi="黑体" w:eastAsia="黑体"/>
          <w:color w:val="00B0F0"/>
          <w:szCs w:val="21"/>
        </w:rPr>
        <w:t>（</w:t>
      </w:r>
      <w:r>
        <w:rPr>
          <w:rFonts w:hint="eastAsia" w:ascii="黑体" w:hAnsi="黑体" w:eastAsia="黑体"/>
          <w:color w:val="00B0F0"/>
          <w:szCs w:val="21"/>
          <w:lang w:eastAsia="zh-CN"/>
        </w:rPr>
        <w:t>资料</w:t>
      </w:r>
      <w:r>
        <w:rPr>
          <w:rFonts w:hint="eastAsia" w:ascii="黑体" w:hAnsi="黑体" w:eastAsia="黑体"/>
          <w:color w:val="00B0F0"/>
          <w:szCs w:val="21"/>
        </w:rPr>
        <w:t>性）</w:t>
      </w:r>
    </w:p>
    <w:p>
      <w:pPr>
        <w:jc w:val="center"/>
        <w:rPr>
          <w:rFonts w:hint="eastAsia" w:ascii="黑体" w:hAnsi="黑体" w:eastAsia="黑体"/>
          <w:szCs w:val="21"/>
          <w:lang w:eastAsia="zh-CN"/>
        </w:rPr>
      </w:pPr>
      <w:r>
        <w:rPr>
          <w:rFonts w:hint="eastAsia" w:ascii="黑体" w:hAnsi="黑体" w:eastAsia="黑体"/>
          <w:szCs w:val="21"/>
        </w:rPr>
        <w:t>铜及铜合金加工行业绿色工厂评价指标</w:t>
      </w:r>
      <w:r>
        <w:rPr>
          <w:rFonts w:hint="eastAsia" w:ascii="黑体" w:hAnsi="黑体" w:eastAsia="黑体"/>
          <w:color w:val="00B0F0"/>
          <w:szCs w:val="21"/>
          <w:lang w:eastAsia="zh-CN"/>
        </w:rPr>
        <w:t>示例</w:t>
      </w:r>
    </w:p>
    <w:p>
      <w:pPr>
        <w:jc w:val="center"/>
        <w:rPr>
          <w:szCs w:val="21"/>
        </w:rPr>
      </w:pPr>
    </w:p>
    <w:p>
      <w:pPr>
        <w:ind w:firstLine="840" w:firstLineChars="400"/>
        <w:jc w:val="left"/>
        <w:rPr>
          <w:rFonts w:hint="eastAsia" w:ascii="宋体" w:hAnsi="宋体"/>
          <w:szCs w:val="21"/>
        </w:rPr>
      </w:pPr>
      <w:r>
        <w:rPr>
          <w:rFonts w:hint="eastAsia" w:ascii="宋体" w:hAnsi="宋体"/>
          <w:szCs w:val="21"/>
        </w:rPr>
        <w:t>铜及铜合金加工行业绿色工厂评价指标见表A.1。</w:t>
      </w:r>
    </w:p>
    <w:p>
      <w:pPr>
        <w:ind w:firstLine="840" w:firstLineChars="400"/>
        <w:jc w:val="left"/>
        <w:rPr>
          <w:rFonts w:hint="eastAsia" w:ascii="宋体" w:hAnsi="宋体"/>
          <w:szCs w:val="21"/>
        </w:rPr>
      </w:pPr>
    </w:p>
    <w:p>
      <w:pPr>
        <w:ind w:firstLine="840" w:firstLineChars="400"/>
        <w:jc w:val="left"/>
        <w:rPr>
          <w:rFonts w:hint="eastAsia" w:ascii="宋体" w:hAnsi="宋体"/>
          <w:szCs w:val="21"/>
        </w:rPr>
      </w:pPr>
    </w:p>
    <w:p>
      <w:pPr>
        <w:jc w:val="center"/>
        <w:rPr>
          <w:rFonts w:ascii="黑体" w:eastAsia="黑体"/>
          <w:szCs w:val="21"/>
        </w:rPr>
      </w:pPr>
      <w:r>
        <w:rPr>
          <w:rFonts w:hint="eastAsia" w:ascii="黑体" w:eastAsia="黑体"/>
          <w:szCs w:val="21"/>
        </w:rPr>
        <w:t xml:space="preserve">表A.1    </w:t>
      </w:r>
      <w:r>
        <w:rPr>
          <w:rFonts w:hint="eastAsia" w:ascii="黑体" w:hAnsi="黑体" w:eastAsia="黑体"/>
          <w:szCs w:val="21"/>
        </w:rPr>
        <w:t>铜及铜合金加工行业绿色工厂</w:t>
      </w:r>
      <w:r>
        <w:rPr>
          <w:rFonts w:hint="eastAsia" w:ascii="黑体" w:eastAsia="黑体"/>
          <w:szCs w:val="21"/>
        </w:rPr>
        <w:t>评价指标</w:t>
      </w:r>
    </w:p>
    <w:tbl>
      <w:tblPr>
        <w:tblStyle w:val="19"/>
        <w:tblW w:w="1381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63"/>
        <w:gridCol w:w="961"/>
        <w:gridCol w:w="1205"/>
        <w:gridCol w:w="7587"/>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7" w:hRule="atLeast"/>
          <w:jc w:val="center"/>
        </w:trPr>
        <w:tc>
          <w:tcPr>
            <w:tcW w:w="663" w:type="dxa"/>
            <w:tcBorders>
              <w:top w:val="single" w:color="auto" w:sz="4" w:space="0"/>
            </w:tcBorders>
            <w:vAlign w:val="center"/>
          </w:tcPr>
          <w:p>
            <w:pPr>
              <w:jc w:val="center"/>
              <w:rPr>
                <w:rFonts w:ascii="宋体" w:hAnsi="宋体" w:cs="仿宋_GB2312"/>
                <w:b/>
                <w:bCs/>
                <w:sz w:val="18"/>
                <w:szCs w:val="18"/>
              </w:rPr>
            </w:pPr>
            <w:r>
              <w:rPr>
                <w:rFonts w:hint="eastAsia" w:ascii="宋体" w:hAnsi="宋体" w:cs="仿宋_GB2312"/>
                <w:b/>
                <w:bCs/>
                <w:sz w:val="18"/>
                <w:szCs w:val="18"/>
              </w:rPr>
              <w:t>序号</w:t>
            </w:r>
          </w:p>
        </w:tc>
        <w:tc>
          <w:tcPr>
            <w:tcW w:w="961" w:type="dxa"/>
            <w:tcBorders>
              <w:top w:val="single" w:color="auto" w:sz="4" w:space="0"/>
            </w:tcBorders>
            <w:vAlign w:val="center"/>
          </w:tcPr>
          <w:p>
            <w:pPr>
              <w:rPr>
                <w:rFonts w:ascii="宋体" w:hAnsi="宋体" w:cs="仿宋_GB2312"/>
                <w:b/>
                <w:bCs/>
                <w:sz w:val="18"/>
                <w:szCs w:val="18"/>
              </w:rPr>
            </w:pPr>
            <w:r>
              <w:rPr>
                <w:rFonts w:hint="eastAsia" w:ascii="宋体" w:hAnsi="宋体" w:cs="仿宋_GB2312"/>
                <w:b/>
                <w:bCs/>
                <w:sz w:val="18"/>
                <w:szCs w:val="18"/>
              </w:rPr>
              <w:t>一级指标</w:t>
            </w:r>
          </w:p>
        </w:tc>
        <w:tc>
          <w:tcPr>
            <w:tcW w:w="1205" w:type="dxa"/>
            <w:tcBorders>
              <w:top w:val="single" w:color="auto" w:sz="4" w:space="0"/>
            </w:tcBorders>
            <w:vAlign w:val="center"/>
          </w:tcPr>
          <w:p>
            <w:pPr>
              <w:rPr>
                <w:rFonts w:ascii="宋体" w:hAnsi="宋体" w:cs="仿宋_GB2312"/>
                <w:b/>
                <w:bCs/>
                <w:sz w:val="18"/>
                <w:szCs w:val="18"/>
              </w:rPr>
            </w:pPr>
            <w:r>
              <w:rPr>
                <w:rFonts w:hint="eastAsia" w:ascii="宋体" w:hAnsi="宋体" w:cs="仿宋_GB2312"/>
                <w:b/>
                <w:bCs/>
                <w:sz w:val="18"/>
                <w:szCs w:val="18"/>
              </w:rPr>
              <w:t>二级指标</w:t>
            </w:r>
          </w:p>
        </w:tc>
        <w:tc>
          <w:tcPr>
            <w:tcW w:w="7587" w:type="dxa"/>
            <w:tcBorders>
              <w:top w:val="single" w:color="auto" w:sz="4" w:space="0"/>
            </w:tcBorders>
            <w:vAlign w:val="center"/>
          </w:tcPr>
          <w:p>
            <w:pPr>
              <w:jc w:val="center"/>
              <w:rPr>
                <w:rFonts w:ascii="宋体" w:hAnsi="宋体" w:cs="仿宋_GB2312"/>
                <w:b/>
                <w:bCs/>
                <w:sz w:val="18"/>
                <w:szCs w:val="18"/>
              </w:rPr>
            </w:pPr>
            <w:r>
              <w:rPr>
                <w:rFonts w:hint="eastAsia" w:ascii="宋体" w:hAnsi="宋体" w:cs="仿宋_GB2312"/>
                <w:b/>
                <w:bCs/>
                <w:strike/>
                <w:dstrike w:val="0"/>
                <w:color w:val="FF0000"/>
                <w:sz w:val="18"/>
                <w:szCs w:val="18"/>
              </w:rPr>
              <w:t>具体</w:t>
            </w:r>
            <w:r>
              <w:rPr>
                <w:rFonts w:hint="eastAsia" w:ascii="宋体" w:hAnsi="宋体" w:cs="仿宋_GB2312"/>
                <w:b/>
                <w:bCs/>
                <w:sz w:val="18"/>
                <w:szCs w:val="18"/>
              </w:rPr>
              <w:t>评价要求</w:t>
            </w:r>
          </w:p>
        </w:tc>
        <w:tc>
          <w:tcPr>
            <w:tcW w:w="1134" w:type="dxa"/>
            <w:tcBorders>
              <w:top w:val="single" w:color="auto" w:sz="4" w:space="0"/>
            </w:tcBorders>
            <w:vAlign w:val="center"/>
          </w:tcPr>
          <w:p>
            <w:pPr>
              <w:jc w:val="center"/>
              <w:rPr>
                <w:rFonts w:hint="eastAsia" w:ascii="宋体" w:hAnsi="宋体" w:cs="仿宋_GB2312"/>
                <w:b/>
                <w:bCs/>
                <w:strike/>
                <w:dstrike w:val="0"/>
                <w:color w:val="FF0000"/>
                <w:sz w:val="18"/>
                <w:szCs w:val="18"/>
              </w:rPr>
            </w:pPr>
            <w:r>
              <w:rPr>
                <w:rFonts w:hint="eastAsia" w:ascii="宋体" w:hAnsi="宋体" w:cs="仿宋_GB2312"/>
                <w:b/>
                <w:bCs/>
                <w:strike/>
                <w:dstrike w:val="0"/>
                <w:color w:val="FF0000"/>
                <w:sz w:val="18"/>
                <w:szCs w:val="18"/>
              </w:rPr>
              <w:t>要求类型</w:t>
            </w:r>
          </w:p>
          <w:p>
            <w:pPr>
              <w:jc w:val="center"/>
              <w:rPr>
                <w:rFonts w:hint="default" w:ascii="宋体" w:hAnsi="宋体" w:eastAsia="宋体" w:cs="仿宋_GB2312"/>
                <w:b/>
                <w:bCs/>
                <w:strike/>
                <w:dstrike w:val="0"/>
                <w:color w:val="FF0000"/>
                <w:sz w:val="18"/>
                <w:szCs w:val="18"/>
                <w:lang w:val="en-US" w:eastAsia="zh-CN"/>
              </w:rPr>
            </w:pPr>
            <w:r>
              <w:rPr>
                <w:rFonts w:hint="eastAsia" w:ascii="宋体" w:hAnsi="宋体" w:cs="仿宋_GB2312"/>
                <w:b/>
                <w:bCs/>
                <w:strike w:val="0"/>
                <w:dstrike w:val="0"/>
                <w:color w:val="00B0F0"/>
                <w:sz w:val="18"/>
                <w:szCs w:val="18"/>
                <w:lang w:eastAsia="zh-CN"/>
              </w:rPr>
              <w:t>必选</w:t>
            </w:r>
            <w:r>
              <w:rPr>
                <w:rFonts w:hint="eastAsia" w:ascii="宋体" w:hAnsi="宋体" w:cs="仿宋_GB2312"/>
                <w:b/>
                <w:bCs/>
                <w:strike w:val="0"/>
                <w:dstrike w:val="0"/>
                <w:color w:val="00B0F0"/>
                <w:sz w:val="18"/>
                <w:szCs w:val="18"/>
                <w:lang w:val="en-US" w:eastAsia="zh-CN"/>
              </w:rPr>
              <w:t>/可选</w:t>
            </w:r>
          </w:p>
        </w:tc>
        <w:tc>
          <w:tcPr>
            <w:tcW w:w="1134" w:type="dxa"/>
            <w:tcBorders>
              <w:top w:val="single" w:color="auto" w:sz="4" w:space="0"/>
            </w:tcBorders>
            <w:vAlign w:val="center"/>
          </w:tcPr>
          <w:p>
            <w:pPr>
              <w:jc w:val="center"/>
              <w:rPr>
                <w:rFonts w:hint="default" w:ascii="宋体" w:hAnsi="宋体" w:cs="仿宋_GB2312"/>
                <w:b/>
                <w:bCs/>
                <w:strike w:val="0"/>
                <w:dstrike w:val="0"/>
                <w:color w:val="00B0F0"/>
                <w:sz w:val="18"/>
                <w:szCs w:val="18"/>
                <w:lang w:val="en-US" w:eastAsia="zh-CN"/>
              </w:rPr>
            </w:pPr>
            <w:r>
              <w:rPr>
                <w:rFonts w:hint="eastAsia" w:ascii="宋体" w:hAnsi="宋体" w:cs="仿宋_GB2312"/>
                <w:b/>
                <w:bCs/>
                <w:strike w:val="0"/>
                <w:dstrike w:val="0"/>
                <w:color w:val="00B0F0"/>
                <w:sz w:val="18"/>
                <w:szCs w:val="18"/>
                <w:lang w:val="en-US" w:eastAsia="zh-CN"/>
              </w:rPr>
              <w:t>评分标准</w:t>
            </w:r>
          </w:p>
        </w:tc>
        <w:tc>
          <w:tcPr>
            <w:tcW w:w="1134" w:type="dxa"/>
            <w:tcBorders>
              <w:top w:val="single" w:color="auto" w:sz="4" w:space="0"/>
            </w:tcBorders>
            <w:vAlign w:val="center"/>
          </w:tcPr>
          <w:p>
            <w:pPr>
              <w:jc w:val="center"/>
              <w:rPr>
                <w:rFonts w:ascii="宋体" w:hAnsi="宋体" w:cs="仿宋_GB2312"/>
                <w:b/>
                <w:bCs/>
                <w:strike/>
                <w:dstrike w:val="0"/>
                <w:color w:val="FF0000"/>
                <w:sz w:val="18"/>
                <w:szCs w:val="18"/>
              </w:rPr>
            </w:pPr>
            <w:r>
              <w:rPr>
                <w:rFonts w:hint="eastAsia" w:ascii="宋体" w:hAnsi="宋体" w:cs="仿宋_GB2312"/>
                <w:b/>
                <w:bCs/>
                <w:strike w:val="0"/>
                <w:dstrike w:val="0"/>
                <w:color w:val="auto"/>
                <w:sz w:val="18"/>
                <w:szCs w:val="18"/>
              </w:rPr>
              <w:t>权重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44" w:hRule="atLeast"/>
          <w:jc w:val="center"/>
        </w:trPr>
        <w:tc>
          <w:tcPr>
            <w:tcW w:w="663" w:type="dxa"/>
            <w:vMerge w:val="restart"/>
            <w:vAlign w:val="center"/>
          </w:tcPr>
          <w:p>
            <w:pPr>
              <w:jc w:val="center"/>
              <w:rPr>
                <w:rFonts w:ascii="宋体" w:hAnsi="宋体" w:cs="仿宋_GB2312"/>
                <w:sz w:val="18"/>
                <w:szCs w:val="18"/>
              </w:rPr>
            </w:pPr>
            <w:r>
              <w:rPr>
                <w:rFonts w:ascii="宋体" w:hAnsi="宋体" w:cs="仿宋_GB2312"/>
                <w:sz w:val="18"/>
                <w:szCs w:val="18"/>
              </w:rPr>
              <w:t>0</w:t>
            </w:r>
          </w:p>
        </w:tc>
        <w:tc>
          <w:tcPr>
            <w:tcW w:w="961" w:type="dxa"/>
            <w:vMerge w:val="restart"/>
            <w:vAlign w:val="center"/>
          </w:tcPr>
          <w:p>
            <w:pPr>
              <w:rPr>
                <w:rFonts w:ascii="宋体" w:hAnsi="宋体" w:cs="仿宋_GB2312"/>
                <w:sz w:val="18"/>
                <w:szCs w:val="18"/>
              </w:rPr>
            </w:pPr>
            <w:r>
              <w:rPr>
                <w:rFonts w:hint="eastAsia" w:ascii="宋体" w:hAnsi="宋体" w:cs="仿宋_GB2312"/>
                <w:sz w:val="18"/>
                <w:szCs w:val="18"/>
              </w:rPr>
              <w:t>基本要求</w:t>
            </w:r>
          </w:p>
        </w:tc>
        <w:tc>
          <w:tcPr>
            <w:tcW w:w="1205" w:type="dxa"/>
            <w:vMerge w:val="restart"/>
            <w:vAlign w:val="center"/>
          </w:tcPr>
          <w:p>
            <w:pPr>
              <w:rPr>
                <w:rFonts w:ascii="宋体" w:hAnsi="宋体" w:cs="仿宋_GB2312"/>
                <w:sz w:val="18"/>
                <w:szCs w:val="18"/>
              </w:rPr>
            </w:pPr>
            <w:r>
              <w:rPr>
                <w:rFonts w:hint="eastAsia" w:ascii="宋体" w:hAnsi="宋体" w:cs="仿宋_GB2312"/>
                <w:sz w:val="18"/>
                <w:szCs w:val="18"/>
              </w:rPr>
              <w:t>合规性与相关方要求</w:t>
            </w:r>
          </w:p>
        </w:tc>
        <w:tc>
          <w:tcPr>
            <w:tcW w:w="7587" w:type="dxa"/>
            <w:vAlign w:val="center"/>
          </w:tcPr>
          <w:p>
            <w:pPr>
              <w:rPr>
                <w:rFonts w:ascii="宋体" w:hAnsi="宋体" w:cs="仿宋_GB2312"/>
                <w:sz w:val="18"/>
                <w:szCs w:val="18"/>
              </w:rPr>
            </w:pPr>
            <w:r>
              <w:rPr>
                <w:rFonts w:hint="eastAsia" w:ascii="宋体" w:hAnsi="宋体" w:cs="仿宋_GB2312"/>
                <w:sz w:val="18"/>
                <w:szCs w:val="18"/>
              </w:rPr>
              <w:t xml:space="preserve">应依法设立，在建设和生产过程中遵守有关法律、法规、政策和标准， 工厂应至少运行一年以上。 </w:t>
            </w:r>
          </w:p>
        </w:tc>
        <w:tc>
          <w:tcPr>
            <w:tcW w:w="1134" w:type="dxa"/>
            <w:vMerge w:val="restart"/>
            <w:vAlign w:val="center"/>
          </w:tcPr>
          <w:p>
            <w:pPr>
              <w:jc w:val="center"/>
              <w:rPr>
                <w:rFonts w:ascii="宋体" w:hAnsi="宋体" w:cs="仿宋_GB2312"/>
                <w:sz w:val="18"/>
                <w:szCs w:val="18"/>
              </w:rPr>
            </w:pPr>
            <w:r>
              <w:rPr>
                <w:rFonts w:hint="eastAsia" w:cs="仿宋_GB2312"/>
                <w:sz w:val="18"/>
                <w:szCs w:val="18"/>
              </w:rPr>
              <w:t>必选</w:t>
            </w:r>
          </w:p>
        </w:tc>
        <w:tc>
          <w:tcPr>
            <w:tcW w:w="1134" w:type="dxa"/>
            <w:vAlign w:val="center"/>
          </w:tcPr>
          <w:p>
            <w:pPr>
              <w:jc w:val="center"/>
              <w:rPr>
                <w:rFonts w:hint="eastAsia" w:eastAsia="宋体" w:cs="仿宋_GB2312"/>
                <w:sz w:val="18"/>
                <w:szCs w:val="18"/>
                <w:lang w:val="en-US" w:eastAsia="zh-CN"/>
              </w:rPr>
            </w:pPr>
            <w:r>
              <w:rPr>
                <w:rFonts w:hint="eastAsia" w:cs="仿宋_GB2312"/>
                <w:sz w:val="18"/>
                <w:szCs w:val="18"/>
                <w:lang w:val="en-US" w:eastAsia="zh-CN"/>
              </w:rPr>
              <w:t>-</w:t>
            </w:r>
          </w:p>
        </w:tc>
        <w:tc>
          <w:tcPr>
            <w:tcW w:w="1134" w:type="dxa"/>
            <w:vMerge w:val="restart"/>
            <w:vAlign w:val="center"/>
          </w:tcPr>
          <w:p>
            <w:pPr>
              <w:jc w:val="center"/>
              <w:rPr>
                <w:rFonts w:ascii="宋体" w:hAnsi="宋体" w:cs="仿宋_GB2312"/>
                <w:sz w:val="18"/>
                <w:szCs w:val="18"/>
              </w:rPr>
            </w:pPr>
            <w:r>
              <w:rPr>
                <w:rFonts w:hint="eastAsia" w:ascii="宋体" w:hAnsi="宋体" w:cs="仿宋_GB2312"/>
                <w:sz w:val="18"/>
                <w:szCs w:val="18"/>
              </w:rPr>
              <w:t>一票否决</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03" w:hRule="atLeast"/>
          <w:jc w:val="center"/>
        </w:trPr>
        <w:tc>
          <w:tcPr>
            <w:tcW w:w="663" w:type="dxa"/>
            <w:vMerge w:val="continue"/>
            <w:vAlign w:val="center"/>
          </w:tcPr>
          <w:p>
            <w:pPr>
              <w:rPr>
                <w:rFonts w:ascii="宋体" w:hAnsi="宋体" w:cs="仿宋_GB2312"/>
                <w:sz w:val="18"/>
                <w:szCs w:val="18"/>
              </w:rPr>
            </w:pPr>
          </w:p>
        </w:tc>
        <w:tc>
          <w:tcPr>
            <w:tcW w:w="961" w:type="dxa"/>
            <w:vMerge w:val="continue"/>
            <w:vAlign w:val="center"/>
          </w:tcPr>
          <w:p>
            <w:pPr>
              <w:rPr>
                <w:rFonts w:ascii="宋体" w:hAnsi="宋体" w:cs="仿宋_GB2312"/>
                <w:sz w:val="18"/>
                <w:szCs w:val="18"/>
              </w:rPr>
            </w:pPr>
          </w:p>
        </w:tc>
        <w:tc>
          <w:tcPr>
            <w:tcW w:w="1205" w:type="dxa"/>
            <w:vMerge w:val="continue"/>
            <w:vAlign w:val="center"/>
          </w:tcPr>
          <w:p>
            <w:pPr>
              <w:rPr>
                <w:rFonts w:ascii="宋体" w:hAnsi="宋体" w:cs="仿宋_GB2312"/>
                <w:sz w:val="18"/>
                <w:szCs w:val="18"/>
              </w:rPr>
            </w:pPr>
          </w:p>
        </w:tc>
        <w:tc>
          <w:tcPr>
            <w:tcW w:w="7587" w:type="dxa"/>
            <w:vAlign w:val="center"/>
          </w:tcPr>
          <w:p>
            <w:pPr>
              <w:rPr>
                <w:rFonts w:ascii="宋体" w:hAnsi="宋体" w:cs="仿宋_GB2312"/>
                <w:sz w:val="18"/>
                <w:szCs w:val="18"/>
              </w:rPr>
            </w:pPr>
            <w:r>
              <w:rPr>
                <w:rFonts w:hint="eastAsia" w:ascii="宋体" w:hAnsi="宋体" w:cs="仿宋_GB2312"/>
                <w:sz w:val="18"/>
                <w:szCs w:val="18"/>
              </w:rPr>
              <w:t>应具有良好信用，近三年（含成立不足三年）无严重违法失信、经营异常记录。</w:t>
            </w:r>
          </w:p>
        </w:tc>
        <w:tc>
          <w:tcPr>
            <w:tcW w:w="1134" w:type="dxa"/>
            <w:vMerge w:val="continue"/>
            <w:vAlign w:val="center"/>
          </w:tcPr>
          <w:p>
            <w:pPr>
              <w:rPr>
                <w:rFonts w:ascii="宋体" w:hAnsi="宋体" w:cs="仿宋_GB2312"/>
                <w:sz w:val="18"/>
                <w:szCs w:val="18"/>
              </w:rPr>
            </w:pPr>
          </w:p>
        </w:tc>
        <w:tc>
          <w:tcPr>
            <w:tcW w:w="1134" w:type="dxa"/>
            <w:vAlign w:val="center"/>
          </w:tcPr>
          <w:p>
            <w:pPr>
              <w:jc w:val="center"/>
              <w:rPr>
                <w:rFonts w:hint="eastAsia" w:ascii="宋体" w:hAnsi="宋体" w:eastAsia="宋体" w:cs="仿宋_GB2312"/>
                <w:sz w:val="18"/>
                <w:szCs w:val="18"/>
                <w:lang w:val="en-US" w:eastAsia="zh-CN"/>
              </w:rPr>
            </w:pPr>
            <w:r>
              <w:rPr>
                <w:rFonts w:hint="eastAsia" w:ascii="宋体" w:hAnsi="宋体" w:cs="仿宋_GB2312"/>
                <w:sz w:val="18"/>
                <w:szCs w:val="18"/>
                <w:lang w:val="en-US" w:eastAsia="zh-CN"/>
              </w:rPr>
              <w:t>-</w:t>
            </w:r>
          </w:p>
        </w:tc>
        <w:tc>
          <w:tcPr>
            <w:tcW w:w="1134" w:type="dxa"/>
            <w:vMerge w:val="continue"/>
            <w:vAlign w:val="center"/>
          </w:tcPr>
          <w:p>
            <w:pP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1" w:hRule="atLeast"/>
          <w:jc w:val="center"/>
        </w:trPr>
        <w:tc>
          <w:tcPr>
            <w:tcW w:w="663" w:type="dxa"/>
            <w:vMerge w:val="continue"/>
            <w:vAlign w:val="center"/>
          </w:tcPr>
          <w:p>
            <w:pPr>
              <w:rPr>
                <w:rFonts w:ascii="宋体" w:hAnsi="宋体" w:cs="仿宋_GB2312"/>
                <w:sz w:val="18"/>
                <w:szCs w:val="18"/>
              </w:rPr>
            </w:pPr>
          </w:p>
        </w:tc>
        <w:tc>
          <w:tcPr>
            <w:tcW w:w="961" w:type="dxa"/>
            <w:vMerge w:val="continue"/>
            <w:vAlign w:val="center"/>
          </w:tcPr>
          <w:p>
            <w:pPr>
              <w:rPr>
                <w:rFonts w:ascii="宋体" w:hAnsi="宋体" w:cs="仿宋_GB2312"/>
                <w:sz w:val="18"/>
                <w:szCs w:val="18"/>
              </w:rPr>
            </w:pPr>
          </w:p>
        </w:tc>
        <w:tc>
          <w:tcPr>
            <w:tcW w:w="1205" w:type="dxa"/>
            <w:vMerge w:val="continue"/>
            <w:vAlign w:val="center"/>
          </w:tcPr>
          <w:p>
            <w:pPr>
              <w:rPr>
                <w:rFonts w:ascii="宋体" w:hAnsi="宋体" w:cs="仿宋_GB2312"/>
                <w:sz w:val="18"/>
                <w:szCs w:val="18"/>
              </w:rPr>
            </w:pPr>
          </w:p>
        </w:tc>
        <w:tc>
          <w:tcPr>
            <w:tcW w:w="7587" w:type="dxa"/>
            <w:vAlign w:val="center"/>
          </w:tcPr>
          <w:p>
            <w:pPr>
              <w:rPr>
                <w:rFonts w:ascii="宋体" w:hAnsi="宋体" w:cs="仿宋_GB2312"/>
                <w:sz w:val="18"/>
                <w:szCs w:val="18"/>
              </w:rPr>
            </w:pPr>
            <w:r>
              <w:rPr>
                <w:rFonts w:hint="eastAsia" w:ascii="宋体" w:hAnsi="宋体" w:cs="仿宋_GB2312"/>
                <w:sz w:val="18"/>
                <w:szCs w:val="18"/>
              </w:rPr>
              <w:t>近三年（含成立不足三年）无较大及以上安全、环保、质量等事故。</w:t>
            </w:r>
          </w:p>
        </w:tc>
        <w:tc>
          <w:tcPr>
            <w:tcW w:w="1134" w:type="dxa"/>
            <w:vMerge w:val="continue"/>
            <w:vAlign w:val="center"/>
          </w:tcPr>
          <w:p>
            <w:pPr>
              <w:rPr>
                <w:rFonts w:cs="仿宋_GB2312"/>
                <w:sz w:val="18"/>
                <w:szCs w:val="18"/>
              </w:rPr>
            </w:pPr>
          </w:p>
        </w:tc>
        <w:tc>
          <w:tcPr>
            <w:tcW w:w="1134" w:type="dxa"/>
            <w:vAlign w:val="center"/>
          </w:tcPr>
          <w:p>
            <w:pPr>
              <w:jc w:val="center"/>
              <w:rPr>
                <w:rFonts w:hint="eastAsia" w:eastAsia="宋体" w:cs="仿宋_GB2312"/>
                <w:sz w:val="18"/>
                <w:szCs w:val="18"/>
                <w:lang w:val="en-US" w:eastAsia="zh-CN"/>
              </w:rPr>
            </w:pPr>
            <w:r>
              <w:rPr>
                <w:rFonts w:hint="eastAsia" w:cs="仿宋_GB2312"/>
                <w:sz w:val="18"/>
                <w:szCs w:val="18"/>
                <w:lang w:val="en-US" w:eastAsia="zh-CN"/>
              </w:rPr>
              <w:t>-</w:t>
            </w:r>
          </w:p>
        </w:tc>
        <w:tc>
          <w:tcPr>
            <w:tcW w:w="1134" w:type="dxa"/>
            <w:vMerge w:val="continue"/>
            <w:vAlign w:val="center"/>
          </w:tcPr>
          <w:p>
            <w:pPr>
              <w:rPr>
                <w:rFonts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97" w:hRule="atLeast"/>
          <w:jc w:val="center"/>
        </w:trPr>
        <w:tc>
          <w:tcPr>
            <w:tcW w:w="663" w:type="dxa"/>
            <w:vMerge w:val="continue"/>
            <w:vAlign w:val="center"/>
          </w:tcPr>
          <w:p>
            <w:pPr>
              <w:rPr>
                <w:rFonts w:ascii="宋体" w:hAnsi="宋体" w:cs="仿宋_GB2312"/>
                <w:sz w:val="18"/>
                <w:szCs w:val="18"/>
              </w:rPr>
            </w:pPr>
          </w:p>
        </w:tc>
        <w:tc>
          <w:tcPr>
            <w:tcW w:w="961" w:type="dxa"/>
            <w:vMerge w:val="continue"/>
            <w:vAlign w:val="center"/>
          </w:tcPr>
          <w:p>
            <w:pPr>
              <w:rPr>
                <w:rFonts w:ascii="宋体" w:hAnsi="宋体" w:cs="仿宋_GB2312"/>
                <w:sz w:val="18"/>
                <w:szCs w:val="18"/>
              </w:rPr>
            </w:pPr>
          </w:p>
        </w:tc>
        <w:tc>
          <w:tcPr>
            <w:tcW w:w="1205" w:type="dxa"/>
            <w:vMerge w:val="continue"/>
            <w:vAlign w:val="center"/>
          </w:tcPr>
          <w:p>
            <w:pPr>
              <w:rPr>
                <w:rFonts w:ascii="宋体" w:hAnsi="宋体" w:cs="仿宋_GB2312"/>
                <w:sz w:val="18"/>
                <w:szCs w:val="18"/>
              </w:rPr>
            </w:pPr>
          </w:p>
        </w:tc>
        <w:tc>
          <w:tcPr>
            <w:tcW w:w="7587" w:type="dxa"/>
            <w:vAlign w:val="center"/>
          </w:tcPr>
          <w:p>
            <w:pPr>
              <w:rPr>
                <w:rFonts w:ascii="宋体" w:hAnsi="宋体" w:cs="仿宋_GB2312"/>
                <w:sz w:val="18"/>
                <w:szCs w:val="18"/>
              </w:rPr>
            </w:pPr>
            <w:r>
              <w:rPr>
                <w:rFonts w:hint="eastAsia" w:ascii="宋体" w:hAnsi="宋体" w:cs="仿宋_GB2312"/>
                <w:sz w:val="18"/>
                <w:szCs w:val="18"/>
              </w:rPr>
              <w:t>对利益相关方的环境要求做出承诺的，应同时满足有关承诺的要求。</w:t>
            </w:r>
          </w:p>
        </w:tc>
        <w:tc>
          <w:tcPr>
            <w:tcW w:w="1134" w:type="dxa"/>
            <w:vMerge w:val="continue"/>
            <w:vAlign w:val="center"/>
          </w:tcPr>
          <w:p>
            <w:pPr>
              <w:rPr>
                <w:rFonts w:cs="仿宋_GB2312"/>
                <w:sz w:val="18"/>
                <w:szCs w:val="18"/>
              </w:rPr>
            </w:pPr>
          </w:p>
        </w:tc>
        <w:tc>
          <w:tcPr>
            <w:tcW w:w="1134" w:type="dxa"/>
            <w:vAlign w:val="center"/>
          </w:tcPr>
          <w:p>
            <w:pPr>
              <w:jc w:val="center"/>
              <w:rPr>
                <w:rFonts w:hint="eastAsia" w:eastAsia="宋体" w:cs="仿宋_GB2312"/>
                <w:sz w:val="18"/>
                <w:szCs w:val="18"/>
                <w:lang w:val="en-US" w:eastAsia="zh-CN"/>
              </w:rPr>
            </w:pPr>
            <w:r>
              <w:rPr>
                <w:rFonts w:hint="eastAsia" w:cs="仿宋_GB2312"/>
                <w:sz w:val="18"/>
                <w:szCs w:val="18"/>
                <w:lang w:val="en-US" w:eastAsia="zh-CN"/>
              </w:rPr>
              <w:t>-</w:t>
            </w:r>
          </w:p>
        </w:tc>
        <w:tc>
          <w:tcPr>
            <w:tcW w:w="1134" w:type="dxa"/>
            <w:vMerge w:val="continue"/>
            <w:vAlign w:val="center"/>
          </w:tcPr>
          <w:p>
            <w:pPr>
              <w:rPr>
                <w:rFonts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88" w:hRule="atLeast"/>
          <w:jc w:val="center"/>
        </w:trPr>
        <w:tc>
          <w:tcPr>
            <w:tcW w:w="663" w:type="dxa"/>
            <w:vMerge w:val="continue"/>
            <w:vAlign w:val="center"/>
          </w:tcPr>
          <w:p>
            <w:pPr>
              <w:rPr>
                <w:rFonts w:ascii="宋体" w:hAnsi="宋体" w:cs="仿宋_GB2312"/>
                <w:sz w:val="18"/>
                <w:szCs w:val="18"/>
              </w:rPr>
            </w:pPr>
          </w:p>
        </w:tc>
        <w:tc>
          <w:tcPr>
            <w:tcW w:w="961" w:type="dxa"/>
            <w:vMerge w:val="continue"/>
            <w:vAlign w:val="center"/>
          </w:tcPr>
          <w:p>
            <w:pPr>
              <w:rPr>
                <w:rFonts w:ascii="宋体" w:hAnsi="宋体" w:cs="仿宋_GB2312"/>
                <w:sz w:val="18"/>
                <w:szCs w:val="18"/>
              </w:rPr>
            </w:pPr>
          </w:p>
        </w:tc>
        <w:tc>
          <w:tcPr>
            <w:tcW w:w="1205" w:type="dxa"/>
            <w:vMerge w:val="continue"/>
            <w:vAlign w:val="center"/>
          </w:tcPr>
          <w:p>
            <w:pPr>
              <w:rPr>
                <w:rFonts w:ascii="宋体" w:hAnsi="宋体" w:cs="仿宋_GB2312"/>
                <w:sz w:val="18"/>
                <w:szCs w:val="18"/>
              </w:rPr>
            </w:pPr>
          </w:p>
        </w:tc>
        <w:tc>
          <w:tcPr>
            <w:tcW w:w="7587" w:type="dxa"/>
            <w:vAlign w:val="center"/>
          </w:tcPr>
          <w:p>
            <w:pPr>
              <w:rPr>
                <w:rFonts w:ascii="宋体" w:hAnsi="宋体" w:cs="仿宋_GB2312"/>
                <w:sz w:val="18"/>
                <w:szCs w:val="18"/>
              </w:rPr>
            </w:pPr>
            <w:r>
              <w:rPr>
                <w:rFonts w:hint="eastAsia" w:ascii="宋体" w:hAnsi="宋体" w:cs="仿宋_GB2312"/>
                <w:sz w:val="18"/>
                <w:szCs w:val="18"/>
              </w:rPr>
              <w:t>应与国家和行业颁布的产业政策和环保政策一致。</w:t>
            </w:r>
          </w:p>
        </w:tc>
        <w:tc>
          <w:tcPr>
            <w:tcW w:w="1134" w:type="dxa"/>
            <w:vMerge w:val="continue"/>
            <w:vAlign w:val="center"/>
          </w:tcPr>
          <w:p>
            <w:pPr>
              <w:rPr>
                <w:rFonts w:cs="仿宋_GB2312"/>
                <w:sz w:val="18"/>
                <w:szCs w:val="18"/>
              </w:rPr>
            </w:pPr>
          </w:p>
        </w:tc>
        <w:tc>
          <w:tcPr>
            <w:tcW w:w="1134" w:type="dxa"/>
            <w:vAlign w:val="center"/>
          </w:tcPr>
          <w:p>
            <w:pPr>
              <w:jc w:val="center"/>
              <w:rPr>
                <w:rFonts w:hint="eastAsia" w:eastAsia="宋体" w:cs="仿宋_GB2312"/>
                <w:sz w:val="18"/>
                <w:szCs w:val="18"/>
                <w:lang w:val="en-US" w:eastAsia="zh-CN"/>
              </w:rPr>
            </w:pPr>
            <w:r>
              <w:rPr>
                <w:rFonts w:hint="eastAsia" w:cs="仿宋_GB2312"/>
                <w:sz w:val="18"/>
                <w:szCs w:val="18"/>
                <w:lang w:val="en-US" w:eastAsia="zh-CN"/>
              </w:rPr>
              <w:t>-</w:t>
            </w:r>
          </w:p>
        </w:tc>
        <w:tc>
          <w:tcPr>
            <w:tcW w:w="1134" w:type="dxa"/>
            <w:vMerge w:val="continue"/>
            <w:vAlign w:val="center"/>
          </w:tcPr>
          <w:p>
            <w:pPr>
              <w:rPr>
                <w:rFonts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1" w:hRule="atLeast"/>
          <w:jc w:val="center"/>
        </w:trPr>
        <w:tc>
          <w:tcPr>
            <w:tcW w:w="663" w:type="dxa"/>
            <w:vMerge w:val="continue"/>
            <w:vAlign w:val="center"/>
          </w:tcPr>
          <w:p>
            <w:pPr>
              <w:rPr>
                <w:rFonts w:ascii="宋体" w:hAnsi="宋体" w:cs="仿宋_GB2312"/>
                <w:sz w:val="18"/>
                <w:szCs w:val="18"/>
              </w:rPr>
            </w:pPr>
          </w:p>
        </w:tc>
        <w:tc>
          <w:tcPr>
            <w:tcW w:w="961" w:type="dxa"/>
            <w:vMerge w:val="continue"/>
            <w:vAlign w:val="center"/>
          </w:tcPr>
          <w:p>
            <w:pPr>
              <w:rPr>
                <w:rFonts w:ascii="宋体" w:hAnsi="宋体" w:cs="仿宋_GB2312"/>
                <w:sz w:val="18"/>
                <w:szCs w:val="18"/>
              </w:rPr>
            </w:pPr>
          </w:p>
        </w:tc>
        <w:tc>
          <w:tcPr>
            <w:tcW w:w="1205" w:type="dxa"/>
            <w:vMerge w:val="restart"/>
            <w:vAlign w:val="center"/>
          </w:tcPr>
          <w:p>
            <w:pPr>
              <w:rPr>
                <w:rFonts w:ascii="宋体" w:hAnsi="宋体" w:cs="仿宋_GB2312"/>
                <w:sz w:val="18"/>
                <w:szCs w:val="18"/>
              </w:rPr>
            </w:pPr>
            <w:r>
              <w:rPr>
                <w:rFonts w:hint="eastAsia" w:ascii="宋体" w:hAnsi="宋体" w:cs="仿宋_GB2312"/>
                <w:sz w:val="18"/>
                <w:szCs w:val="18"/>
              </w:rPr>
              <w:t>最高管理者要求</w:t>
            </w:r>
          </w:p>
        </w:tc>
        <w:tc>
          <w:tcPr>
            <w:tcW w:w="7587" w:type="dxa"/>
            <w:vAlign w:val="center"/>
          </w:tcPr>
          <w:p>
            <w:pPr>
              <w:rPr>
                <w:rFonts w:ascii="宋体" w:hAnsi="宋体" w:cs="仿宋_GB2312"/>
                <w:sz w:val="18"/>
                <w:szCs w:val="18"/>
              </w:rPr>
            </w:pPr>
            <w:r>
              <w:rPr>
                <w:rFonts w:hint="eastAsia" w:ascii="宋体" w:hAnsi="宋体" w:cs="仿宋_GB2312"/>
                <w:sz w:val="18"/>
                <w:szCs w:val="18"/>
              </w:rPr>
              <w:t>最高管理者在绿色工厂方面的领导作用和承诺应满足</w:t>
            </w:r>
            <w:r>
              <w:rPr>
                <w:rFonts w:ascii="宋体" w:hAnsi="宋体" w:cs="仿宋_GB2312"/>
                <w:sz w:val="18"/>
                <w:szCs w:val="18"/>
              </w:rPr>
              <w:t>GB/T36132</w:t>
            </w:r>
            <w:r>
              <w:rPr>
                <w:rFonts w:hint="eastAsia" w:ascii="宋体" w:hAnsi="宋体" w:cs="仿宋_GB2312"/>
                <w:sz w:val="18"/>
                <w:szCs w:val="18"/>
              </w:rPr>
              <w:t>-2018中</w:t>
            </w:r>
            <w:r>
              <w:rPr>
                <w:rFonts w:ascii="宋体" w:hAnsi="宋体" w:cs="仿宋_GB2312"/>
                <w:sz w:val="18"/>
                <w:szCs w:val="18"/>
              </w:rPr>
              <w:t>4.3.1a)</w:t>
            </w:r>
            <w:r>
              <w:rPr>
                <w:rFonts w:hint="eastAsia" w:ascii="宋体" w:hAnsi="宋体" w:cs="仿宋_GB2312"/>
                <w:sz w:val="18"/>
                <w:szCs w:val="18"/>
              </w:rPr>
              <w:t>的要求。</w:t>
            </w:r>
          </w:p>
        </w:tc>
        <w:tc>
          <w:tcPr>
            <w:tcW w:w="1134" w:type="dxa"/>
            <w:vMerge w:val="continue"/>
            <w:vAlign w:val="center"/>
          </w:tcPr>
          <w:p>
            <w:pPr>
              <w:rPr>
                <w:rFonts w:ascii="宋体" w:hAnsi="宋体" w:cs="仿宋_GB2312"/>
                <w:sz w:val="18"/>
                <w:szCs w:val="18"/>
              </w:rPr>
            </w:pPr>
          </w:p>
        </w:tc>
        <w:tc>
          <w:tcPr>
            <w:tcW w:w="1134" w:type="dxa"/>
            <w:vAlign w:val="center"/>
          </w:tcPr>
          <w:p>
            <w:pPr>
              <w:jc w:val="center"/>
              <w:rPr>
                <w:rFonts w:hint="eastAsia" w:ascii="宋体" w:hAnsi="宋体" w:eastAsia="宋体" w:cs="仿宋_GB2312"/>
                <w:sz w:val="18"/>
                <w:szCs w:val="18"/>
                <w:lang w:val="en-US" w:eastAsia="zh-CN"/>
              </w:rPr>
            </w:pPr>
            <w:r>
              <w:rPr>
                <w:rFonts w:hint="eastAsia" w:ascii="宋体" w:hAnsi="宋体" w:cs="仿宋_GB2312"/>
                <w:sz w:val="18"/>
                <w:szCs w:val="18"/>
                <w:lang w:val="en-US" w:eastAsia="zh-CN"/>
              </w:rPr>
              <w:t>-</w:t>
            </w:r>
          </w:p>
        </w:tc>
        <w:tc>
          <w:tcPr>
            <w:tcW w:w="1134" w:type="dxa"/>
            <w:vMerge w:val="continue"/>
            <w:vAlign w:val="center"/>
          </w:tcPr>
          <w:p>
            <w:pP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1" w:hRule="atLeast"/>
          <w:jc w:val="center"/>
        </w:trPr>
        <w:tc>
          <w:tcPr>
            <w:tcW w:w="663" w:type="dxa"/>
            <w:vMerge w:val="continue"/>
            <w:vAlign w:val="center"/>
          </w:tcPr>
          <w:p>
            <w:pPr>
              <w:rPr>
                <w:rFonts w:ascii="宋体" w:hAnsi="宋体" w:cs="仿宋_GB2312"/>
                <w:sz w:val="18"/>
                <w:szCs w:val="18"/>
              </w:rPr>
            </w:pPr>
          </w:p>
        </w:tc>
        <w:tc>
          <w:tcPr>
            <w:tcW w:w="961" w:type="dxa"/>
            <w:vMerge w:val="continue"/>
            <w:vAlign w:val="center"/>
          </w:tcPr>
          <w:p>
            <w:pPr>
              <w:rPr>
                <w:rFonts w:ascii="宋体" w:hAnsi="宋体" w:cs="仿宋_GB2312"/>
                <w:sz w:val="18"/>
                <w:szCs w:val="18"/>
              </w:rPr>
            </w:pPr>
          </w:p>
        </w:tc>
        <w:tc>
          <w:tcPr>
            <w:tcW w:w="1205" w:type="dxa"/>
            <w:vMerge w:val="continue"/>
            <w:vAlign w:val="center"/>
          </w:tcPr>
          <w:p>
            <w:pPr>
              <w:rPr>
                <w:rFonts w:ascii="宋体" w:hAnsi="宋体" w:cs="仿宋_GB2312"/>
                <w:sz w:val="18"/>
                <w:szCs w:val="18"/>
              </w:rPr>
            </w:pPr>
          </w:p>
        </w:tc>
        <w:tc>
          <w:tcPr>
            <w:tcW w:w="7587" w:type="dxa"/>
            <w:vAlign w:val="center"/>
          </w:tcPr>
          <w:p>
            <w:pPr>
              <w:rPr>
                <w:rFonts w:ascii="宋体" w:hAnsi="宋体" w:cs="仿宋_GB2312"/>
                <w:sz w:val="18"/>
                <w:szCs w:val="18"/>
              </w:rPr>
            </w:pPr>
            <w:r>
              <w:rPr>
                <w:rFonts w:hint="eastAsia" w:ascii="宋体" w:hAnsi="宋体" w:cs="仿宋_GB2312"/>
                <w:sz w:val="18"/>
                <w:szCs w:val="18"/>
              </w:rPr>
              <w:t>最高管理者应确保在工厂内部分配并沟通与绿色工厂相关角色的职责和权限，且应满足</w:t>
            </w:r>
            <w:r>
              <w:rPr>
                <w:rFonts w:ascii="宋体" w:hAnsi="宋体" w:cs="仿宋_GB2312"/>
                <w:sz w:val="18"/>
                <w:szCs w:val="18"/>
              </w:rPr>
              <w:t>GB/T36132</w:t>
            </w:r>
            <w:r>
              <w:rPr>
                <w:rFonts w:hint="eastAsia" w:ascii="宋体" w:hAnsi="宋体" w:cs="仿宋_GB2312"/>
                <w:sz w:val="18"/>
                <w:szCs w:val="18"/>
              </w:rPr>
              <w:t>-2018中</w:t>
            </w:r>
            <w:r>
              <w:rPr>
                <w:rFonts w:ascii="宋体" w:hAnsi="宋体" w:cs="仿宋_GB2312"/>
                <w:sz w:val="18"/>
                <w:szCs w:val="18"/>
              </w:rPr>
              <w:t>4.3.1b)</w:t>
            </w:r>
            <w:r>
              <w:rPr>
                <w:rFonts w:hint="eastAsia" w:ascii="宋体" w:hAnsi="宋体" w:cs="仿宋_GB2312"/>
                <w:sz w:val="18"/>
                <w:szCs w:val="18"/>
              </w:rPr>
              <w:t>的要求。</w:t>
            </w:r>
          </w:p>
        </w:tc>
        <w:tc>
          <w:tcPr>
            <w:tcW w:w="1134" w:type="dxa"/>
            <w:vMerge w:val="continue"/>
            <w:vAlign w:val="center"/>
          </w:tcPr>
          <w:p>
            <w:pPr>
              <w:rPr>
                <w:rFonts w:ascii="宋体" w:hAnsi="宋体" w:cs="仿宋_GB2312"/>
                <w:sz w:val="18"/>
                <w:szCs w:val="18"/>
              </w:rPr>
            </w:pPr>
          </w:p>
        </w:tc>
        <w:tc>
          <w:tcPr>
            <w:tcW w:w="1134" w:type="dxa"/>
            <w:vAlign w:val="center"/>
          </w:tcPr>
          <w:p>
            <w:pPr>
              <w:jc w:val="center"/>
              <w:rPr>
                <w:rFonts w:hint="eastAsia" w:ascii="宋体" w:hAnsi="宋体" w:eastAsia="宋体" w:cs="仿宋_GB2312"/>
                <w:sz w:val="18"/>
                <w:szCs w:val="18"/>
                <w:lang w:val="en-US" w:eastAsia="zh-CN"/>
              </w:rPr>
            </w:pPr>
            <w:r>
              <w:rPr>
                <w:rFonts w:hint="eastAsia" w:ascii="宋体" w:hAnsi="宋体" w:cs="仿宋_GB2312"/>
                <w:sz w:val="18"/>
                <w:szCs w:val="18"/>
                <w:lang w:val="en-US" w:eastAsia="zh-CN"/>
              </w:rPr>
              <w:t>-</w:t>
            </w:r>
          </w:p>
        </w:tc>
        <w:tc>
          <w:tcPr>
            <w:tcW w:w="1134" w:type="dxa"/>
            <w:vMerge w:val="continue"/>
            <w:vAlign w:val="center"/>
          </w:tcPr>
          <w:p>
            <w:pP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1" w:hRule="atLeast"/>
          <w:jc w:val="center"/>
        </w:trPr>
        <w:tc>
          <w:tcPr>
            <w:tcW w:w="663" w:type="dxa"/>
            <w:vMerge w:val="continue"/>
            <w:vAlign w:val="center"/>
          </w:tcPr>
          <w:p>
            <w:pPr>
              <w:rPr>
                <w:rFonts w:ascii="宋体" w:hAnsi="宋体" w:cs="仿宋_GB2312"/>
                <w:sz w:val="18"/>
                <w:szCs w:val="18"/>
              </w:rPr>
            </w:pPr>
          </w:p>
        </w:tc>
        <w:tc>
          <w:tcPr>
            <w:tcW w:w="961" w:type="dxa"/>
            <w:vMerge w:val="continue"/>
            <w:vAlign w:val="center"/>
          </w:tcPr>
          <w:p>
            <w:pPr>
              <w:rPr>
                <w:rFonts w:ascii="宋体" w:hAnsi="宋体" w:cs="仿宋_GB2312"/>
                <w:sz w:val="18"/>
                <w:szCs w:val="18"/>
              </w:rPr>
            </w:pPr>
          </w:p>
        </w:tc>
        <w:tc>
          <w:tcPr>
            <w:tcW w:w="1205" w:type="dxa"/>
            <w:vMerge w:val="restart"/>
            <w:vAlign w:val="center"/>
          </w:tcPr>
          <w:p>
            <w:pPr>
              <w:rPr>
                <w:rFonts w:ascii="宋体" w:hAnsi="宋体" w:cs="仿宋_GB2312"/>
                <w:sz w:val="18"/>
                <w:szCs w:val="18"/>
              </w:rPr>
            </w:pPr>
            <w:r>
              <w:rPr>
                <w:rFonts w:hint="eastAsia" w:ascii="宋体" w:hAnsi="宋体" w:cs="仿宋_GB2312"/>
                <w:sz w:val="18"/>
                <w:szCs w:val="18"/>
              </w:rPr>
              <w:t>工厂要求</w:t>
            </w:r>
          </w:p>
        </w:tc>
        <w:tc>
          <w:tcPr>
            <w:tcW w:w="7587" w:type="dxa"/>
            <w:vAlign w:val="center"/>
          </w:tcPr>
          <w:p>
            <w:pPr>
              <w:rPr>
                <w:rFonts w:ascii="宋体" w:hAnsi="宋体" w:cs="仿宋_GB2312"/>
                <w:sz w:val="18"/>
                <w:szCs w:val="18"/>
              </w:rPr>
            </w:pPr>
            <w:r>
              <w:rPr>
                <w:rFonts w:hint="eastAsia" w:ascii="宋体" w:hAnsi="宋体" w:cs="仿宋_GB2312"/>
                <w:sz w:val="18"/>
                <w:szCs w:val="18"/>
              </w:rPr>
              <w:t>应设有绿色工厂管理机构，负责有关绿色工厂的制度建设、实施、考核及奖励工作，建立目标责任制。</w:t>
            </w:r>
          </w:p>
        </w:tc>
        <w:tc>
          <w:tcPr>
            <w:tcW w:w="1134" w:type="dxa"/>
            <w:vMerge w:val="continue"/>
            <w:vAlign w:val="center"/>
          </w:tcPr>
          <w:p>
            <w:pPr>
              <w:rPr>
                <w:rFonts w:ascii="宋体" w:hAnsi="宋体" w:cs="仿宋_GB2312"/>
                <w:sz w:val="18"/>
                <w:szCs w:val="18"/>
              </w:rPr>
            </w:pPr>
          </w:p>
        </w:tc>
        <w:tc>
          <w:tcPr>
            <w:tcW w:w="1134" w:type="dxa"/>
            <w:vAlign w:val="center"/>
          </w:tcPr>
          <w:p>
            <w:pPr>
              <w:jc w:val="center"/>
              <w:rPr>
                <w:rFonts w:hint="eastAsia" w:ascii="宋体" w:hAnsi="宋体" w:eastAsia="宋体" w:cs="仿宋_GB2312"/>
                <w:sz w:val="18"/>
                <w:szCs w:val="18"/>
                <w:lang w:val="en-US" w:eastAsia="zh-CN"/>
              </w:rPr>
            </w:pPr>
            <w:r>
              <w:rPr>
                <w:rFonts w:hint="eastAsia" w:ascii="宋体" w:hAnsi="宋体" w:cs="仿宋_GB2312"/>
                <w:sz w:val="18"/>
                <w:szCs w:val="18"/>
                <w:lang w:val="en-US" w:eastAsia="zh-CN"/>
              </w:rPr>
              <w:t>-</w:t>
            </w:r>
          </w:p>
        </w:tc>
        <w:tc>
          <w:tcPr>
            <w:tcW w:w="1134" w:type="dxa"/>
            <w:vMerge w:val="continue"/>
            <w:vAlign w:val="center"/>
          </w:tcPr>
          <w:p>
            <w:pP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1" w:hRule="atLeast"/>
          <w:jc w:val="center"/>
        </w:trPr>
        <w:tc>
          <w:tcPr>
            <w:tcW w:w="663" w:type="dxa"/>
            <w:vMerge w:val="continue"/>
            <w:vAlign w:val="center"/>
          </w:tcPr>
          <w:p>
            <w:pPr>
              <w:rPr>
                <w:rFonts w:ascii="宋体" w:hAnsi="宋体" w:cs="仿宋_GB2312"/>
                <w:sz w:val="18"/>
                <w:szCs w:val="18"/>
              </w:rPr>
            </w:pPr>
          </w:p>
        </w:tc>
        <w:tc>
          <w:tcPr>
            <w:tcW w:w="961" w:type="dxa"/>
            <w:vMerge w:val="continue"/>
            <w:vAlign w:val="center"/>
          </w:tcPr>
          <w:p>
            <w:pPr>
              <w:rPr>
                <w:rFonts w:ascii="宋体" w:hAnsi="宋体" w:cs="仿宋_GB2312"/>
                <w:sz w:val="18"/>
                <w:szCs w:val="18"/>
              </w:rPr>
            </w:pPr>
          </w:p>
        </w:tc>
        <w:tc>
          <w:tcPr>
            <w:tcW w:w="1205" w:type="dxa"/>
            <w:vMerge w:val="continue"/>
            <w:vAlign w:val="center"/>
          </w:tcPr>
          <w:p>
            <w:pPr>
              <w:rPr>
                <w:rFonts w:ascii="宋体" w:hAnsi="宋体" w:cs="仿宋_GB2312"/>
                <w:sz w:val="18"/>
                <w:szCs w:val="18"/>
              </w:rPr>
            </w:pPr>
          </w:p>
        </w:tc>
        <w:tc>
          <w:tcPr>
            <w:tcW w:w="7587" w:type="dxa"/>
            <w:vAlign w:val="center"/>
          </w:tcPr>
          <w:p>
            <w:pPr>
              <w:rPr>
                <w:rFonts w:ascii="宋体" w:hAnsi="宋体" w:cs="仿宋_GB2312"/>
                <w:sz w:val="18"/>
                <w:szCs w:val="18"/>
              </w:rPr>
            </w:pPr>
            <w:r>
              <w:rPr>
                <w:rFonts w:hint="eastAsia" w:ascii="宋体" w:hAnsi="宋体" w:cs="仿宋_GB2312"/>
                <w:sz w:val="18"/>
                <w:szCs w:val="18"/>
              </w:rPr>
              <w:t>应有开展绿色工厂的中长期规划及年度目标、指标和实施方案。可行时，指标明确且可量化。</w:t>
            </w:r>
          </w:p>
        </w:tc>
        <w:tc>
          <w:tcPr>
            <w:tcW w:w="1134" w:type="dxa"/>
            <w:vMerge w:val="continue"/>
            <w:vAlign w:val="center"/>
          </w:tcPr>
          <w:p>
            <w:pPr>
              <w:rPr>
                <w:rFonts w:ascii="宋体" w:hAnsi="宋体" w:cs="仿宋_GB2312"/>
                <w:sz w:val="18"/>
                <w:szCs w:val="18"/>
              </w:rPr>
            </w:pPr>
          </w:p>
        </w:tc>
        <w:tc>
          <w:tcPr>
            <w:tcW w:w="1134" w:type="dxa"/>
            <w:vAlign w:val="center"/>
          </w:tcPr>
          <w:p>
            <w:pPr>
              <w:jc w:val="center"/>
              <w:rPr>
                <w:rFonts w:hint="eastAsia" w:ascii="宋体" w:hAnsi="宋体" w:eastAsia="宋体" w:cs="仿宋_GB2312"/>
                <w:sz w:val="18"/>
                <w:szCs w:val="18"/>
                <w:lang w:val="en-US" w:eastAsia="zh-CN"/>
              </w:rPr>
            </w:pPr>
            <w:r>
              <w:rPr>
                <w:rFonts w:hint="eastAsia" w:ascii="宋体" w:hAnsi="宋体" w:cs="仿宋_GB2312"/>
                <w:sz w:val="18"/>
                <w:szCs w:val="18"/>
                <w:lang w:val="en-US" w:eastAsia="zh-CN"/>
              </w:rPr>
              <w:t>-</w:t>
            </w:r>
          </w:p>
        </w:tc>
        <w:tc>
          <w:tcPr>
            <w:tcW w:w="1134" w:type="dxa"/>
            <w:vMerge w:val="continue"/>
            <w:vAlign w:val="center"/>
          </w:tcPr>
          <w:p>
            <w:pP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1" w:hRule="atLeast"/>
          <w:jc w:val="center"/>
        </w:trPr>
        <w:tc>
          <w:tcPr>
            <w:tcW w:w="663" w:type="dxa"/>
            <w:vMerge w:val="continue"/>
            <w:tcBorders>
              <w:bottom w:val="single" w:color="auto" w:sz="4" w:space="0"/>
            </w:tcBorders>
            <w:vAlign w:val="center"/>
          </w:tcPr>
          <w:p>
            <w:pPr>
              <w:rPr>
                <w:rFonts w:ascii="宋体" w:hAnsi="宋体" w:cs="仿宋_GB2312"/>
                <w:sz w:val="18"/>
                <w:szCs w:val="18"/>
              </w:rPr>
            </w:pPr>
          </w:p>
        </w:tc>
        <w:tc>
          <w:tcPr>
            <w:tcW w:w="961" w:type="dxa"/>
            <w:vMerge w:val="continue"/>
            <w:tcBorders>
              <w:bottom w:val="single" w:color="auto" w:sz="4" w:space="0"/>
            </w:tcBorders>
            <w:vAlign w:val="center"/>
          </w:tcPr>
          <w:p>
            <w:pPr>
              <w:rPr>
                <w:rFonts w:ascii="宋体" w:hAnsi="宋体" w:cs="仿宋_GB2312"/>
                <w:sz w:val="18"/>
                <w:szCs w:val="18"/>
              </w:rPr>
            </w:pPr>
          </w:p>
        </w:tc>
        <w:tc>
          <w:tcPr>
            <w:tcW w:w="1205" w:type="dxa"/>
            <w:vMerge w:val="continue"/>
            <w:tcBorders>
              <w:bottom w:val="single" w:color="auto" w:sz="4" w:space="0"/>
            </w:tcBorders>
            <w:vAlign w:val="center"/>
          </w:tcPr>
          <w:p>
            <w:pPr>
              <w:rPr>
                <w:rFonts w:ascii="宋体" w:hAnsi="宋体" w:cs="仿宋_GB2312"/>
                <w:sz w:val="18"/>
                <w:szCs w:val="18"/>
              </w:rPr>
            </w:pPr>
          </w:p>
        </w:tc>
        <w:tc>
          <w:tcPr>
            <w:tcW w:w="7587" w:type="dxa"/>
            <w:tcBorders>
              <w:bottom w:val="single" w:color="auto" w:sz="4" w:space="0"/>
            </w:tcBorders>
            <w:vAlign w:val="center"/>
          </w:tcPr>
          <w:p>
            <w:pPr>
              <w:rPr>
                <w:rFonts w:ascii="宋体" w:hAnsi="宋体" w:cs="仿宋_GB2312"/>
                <w:sz w:val="18"/>
                <w:szCs w:val="18"/>
              </w:rPr>
            </w:pPr>
            <w:r>
              <w:rPr>
                <w:rFonts w:hint="eastAsia" w:ascii="宋体" w:hAnsi="宋体" w:cs="仿宋_GB2312"/>
                <w:sz w:val="18"/>
                <w:szCs w:val="18"/>
              </w:rPr>
              <w:t>应传播绿色制造的概念和知识，定期为员工提供绿色制造相关知识的教育、培训，并对教育和培训的结果进行考评。</w:t>
            </w:r>
          </w:p>
        </w:tc>
        <w:tc>
          <w:tcPr>
            <w:tcW w:w="1134" w:type="dxa"/>
            <w:vMerge w:val="continue"/>
            <w:tcBorders>
              <w:bottom w:val="single" w:color="auto" w:sz="4" w:space="0"/>
            </w:tcBorders>
            <w:vAlign w:val="center"/>
          </w:tcPr>
          <w:p>
            <w:pPr>
              <w:rPr>
                <w:rFonts w:ascii="宋体" w:hAnsi="宋体" w:cs="仿宋_GB2312"/>
                <w:sz w:val="18"/>
                <w:szCs w:val="18"/>
              </w:rPr>
            </w:pPr>
          </w:p>
        </w:tc>
        <w:tc>
          <w:tcPr>
            <w:tcW w:w="1134" w:type="dxa"/>
            <w:tcBorders>
              <w:bottom w:val="single" w:color="auto" w:sz="4" w:space="0"/>
            </w:tcBorders>
            <w:vAlign w:val="center"/>
          </w:tcPr>
          <w:p>
            <w:pPr>
              <w:jc w:val="center"/>
              <w:rPr>
                <w:rFonts w:hint="eastAsia" w:ascii="宋体" w:hAnsi="宋体" w:eastAsia="宋体" w:cs="仿宋_GB2312"/>
                <w:sz w:val="18"/>
                <w:szCs w:val="18"/>
                <w:lang w:val="en-US" w:eastAsia="zh-CN"/>
              </w:rPr>
            </w:pPr>
            <w:r>
              <w:rPr>
                <w:rFonts w:hint="eastAsia" w:ascii="宋体" w:hAnsi="宋体" w:cs="仿宋_GB2312"/>
                <w:sz w:val="18"/>
                <w:szCs w:val="18"/>
                <w:lang w:val="en-US" w:eastAsia="zh-CN"/>
              </w:rPr>
              <w:t>-</w:t>
            </w:r>
          </w:p>
        </w:tc>
        <w:tc>
          <w:tcPr>
            <w:tcW w:w="1134" w:type="dxa"/>
            <w:vMerge w:val="continue"/>
            <w:tcBorders>
              <w:bottom w:val="single" w:color="auto" w:sz="4" w:space="0"/>
            </w:tcBorders>
            <w:vAlign w:val="center"/>
          </w:tcPr>
          <w:p>
            <w:pPr>
              <w:rPr>
                <w:rFonts w:ascii="宋体" w:hAnsi="宋体" w:cs="仿宋_GB2312"/>
                <w:sz w:val="18"/>
                <w:szCs w:val="18"/>
              </w:rPr>
            </w:pPr>
          </w:p>
        </w:tc>
      </w:tr>
    </w:tbl>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jc w:val="center"/>
      </w:pPr>
      <w:r>
        <w:rPr>
          <w:rFonts w:hint="eastAsia" w:ascii="黑体" w:eastAsia="黑体"/>
          <w:szCs w:val="21"/>
        </w:rPr>
        <w:t>表A.1（续）</w:t>
      </w:r>
    </w:p>
    <w:tbl>
      <w:tblPr>
        <w:tblStyle w:val="19"/>
        <w:tblW w:w="1406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78"/>
        <w:gridCol w:w="1025"/>
        <w:gridCol w:w="1130"/>
        <w:gridCol w:w="7833"/>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7" w:hRule="atLeast"/>
          <w:tblHeader/>
          <w:jc w:val="center"/>
        </w:trPr>
        <w:tc>
          <w:tcPr>
            <w:tcW w:w="678" w:type="dxa"/>
            <w:tcBorders>
              <w:top w:val="single" w:color="auto" w:sz="4" w:space="0"/>
            </w:tcBorders>
            <w:vAlign w:val="center"/>
          </w:tcPr>
          <w:p>
            <w:pPr>
              <w:jc w:val="center"/>
              <w:rPr>
                <w:rFonts w:ascii="宋体" w:hAnsi="宋体" w:cs="仿宋_GB2312"/>
                <w:b/>
                <w:bCs/>
                <w:sz w:val="18"/>
                <w:szCs w:val="18"/>
              </w:rPr>
            </w:pPr>
            <w:bookmarkStart w:id="54" w:name="OLE_LINK3"/>
            <w:bookmarkStart w:id="55" w:name="OLE_LINK2"/>
            <w:r>
              <w:rPr>
                <w:rFonts w:hint="eastAsia" w:ascii="宋体" w:hAnsi="宋体" w:cs="仿宋_GB2312"/>
                <w:b/>
                <w:bCs/>
                <w:sz w:val="18"/>
                <w:szCs w:val="18"/>
              </w:rPr>
              <w:t>序号</w:t>
            </w:r>
          </w:p>
        </w:tc>
        <w:tc>
          <w:tcPr>
            <w:tcW w:w="1025" w:type="dxa"/>
            <w:tcBorders>
              <w:top w:val="single" w:color="auto" w:sz="4" w:space="0"/>
            </w:tcBorders>
            <w:vAlign w:val="center"/>
          </w:tcPr>
          <w:p>
            <w:pPr>
              <w:rPr>
                <w:rFonts w:ascii="宋体" w:hAnsi="宋体" w:cs="仿宋_GB2312"/>
                <w:b/>
                <w:bCs/>
                <w:sz w:val="18"/>
                <w:szCs w:val="18"/>
              </w:rPr>
            </w:pPr>
            <w:r>
              <w:rPr>
                <w:rFonts w:hint="eastAsia" w:ascii="宋体" w:hAnsi="宋体" w:cs="仿宋_GB2312"/>
                <w:b/>
                <w:bCs/>
                <w:sz w:val="18"/>
                <w:szCs w:val="18"/>
              </w:rPr>
              <w:t>一级指标</w:t>
            </w:r>
          </w:p>
        </w:tc>
        <w:tc>
          <w:tcPr>
            <w:tcW w:w="1130" w:type="dxa"/>
            <w:tcBorders>
              <w:top w:val="single" w:color="auto" w:sz="4" w:space="0"/>
            </w:tcBorders>
            <w:vAlign w:val="center"/>
          </w:tcPr>
          <w:p>
            <w:pPr>
              <w:rPr>
                <w:rFonts w:ascii="宋体" w:hAnsi="宋体" w:cs="仿宋_GB2312"/>
                <w:b/>
                <w:bCs/>
                <w:sz w:val="18"/>
                <w:szCs w:val="18"/>
              </w:rPr>
            </w:pPr>
            <w:r>
              <w:rPr>
                <w:rFonts w:hint="eastAsia" w:ascii="宋体" w:hAnsi="宋体" w:cs="仿宋_GB2312"/>
                <w:b/>
                <w:bCs/>
                <w:sz w:val="18"/>
                <w:szCs w:val="18"/>
              </w:rPr>
              <w:t>二级指标</w:t>
            </w:r>
          </w:p>
        </w:tc>
        <w:tc>
          <w:tcPr>
            <w:tcW w:w="7833" w:type="dxa"/>
            <w:tcBorders>
              <w:top w:val="single" w:color="auto" w:sz="4" w:space="0"/>
            </w:tcBorders>
            <w:vAlign w:val="center"/>
          </w:tcPr>
          <w:p>
            <w:pPr>
              <w:jc w:val="center"/>
              <w:rPr>
                <w:rFonts w:cs="仿宋_GB2312"/>
                <w:b/>
                <w:sz w:val="18"/>
                <w:szCs w:val="18"/>
              </w:rPr>
            </w:pPr>
            <w:r>
              <w:rPr>
                <w:rFonts w:hint="eastAsia" w:cs="仿宋_GB2312"/>
                <w:b/>
                <w:strike/>
                <w:dstrike w:val="0"/>
                <w:color w:val="00B0F0"/>
                <w:sz w:val="18"/>
                <w:szCs w:val="18"/>
              </w:rPr>
              <w:t>具体</w:t>
            </w:r>
            <w:r>
              <w:rPr>
                <w:rFonts w:hint="eastAsia" w:cs="仿宋_GB2312"/>
                <w:b/>
                <w:sz w:val="18"/>
                <w:szCs w:val="18"/>
              </w:rPr>
              <w:t>评价要求</w:t>
            </w:r>
          </w:p>
        </w:tc>
        <w:tc>
          <w:tcPr>
            <w:tcW w:w="1134" w:type="dxa"/>
            <w:tcBorders>
              <w:top w:val="single" w:color="auto" w:sz="4" w:space="0"/>
            </w:tcBorders>
            <w:vAlign w:val="center"/>
          </w:tcPr>
          <w:p>
            <w:pPr>
              <w:jc w:val="center"/>
              <w:rPr>
                <w:rFonts w:hint="eastAsia" w:ascii="宋体" w:hAnsi="宋体" w:cs="仿宋_GB2312"/>
                <w:b/>
                <w:bCs/>
                <w:strike/>
                <w:dstrike w:val="0"/>
                <w:color w:val="00B0F0"/>
                <w:sz w:val="18"/>
                <w:szCs w:val="18"/>
              </w:rPr>
            </w:pPr>
            <w:r>
              <w:rPr>
                <w:rFonts w:hint="eastAsia" w:ascii="宋体" w:hAnsi="宋体" w:cs="仿宋_GB2312"/>
                <w:b/>
                <w:bCs/>
                <w:strike/>
                <w:dstrike w:val="0"/>
                <w:color w:val="00B0F0"/>
                <w:sz w:val="18"/>
                <w:szCs w:val="18"/>
              </w:rPr>
              <w:t>要求类型</w:t>
            </w:r>
          </w:p>
          <w:p>
            <w:pPr>
              <w:jc w:val="center"/>
              <w:rPr>
                <w:rFonts w:hint="eastAsia" w:ascii="宋体" w:hAnsi="宋体" w:cs="仿宋_GB2312"/>
                <w:b/>
                <w:bCs/>
                <w:strike/>
                <w:dstrike w:val="0"/>
                <w:color w:val="00B0F0"/>
                <w:sz w:val="18"/>
                <w:szCs w:val="18"/>
              </w:rPr>
            </w:pPr>
            <w:r>
              <w:rPr>
                <w:rFonts w:hint="eastAsia" w:ascii="宋体" w:hAnsi="宋体" w:cs="仿宋_GB2312"/>
                <w:b/>
                <w:bCs/>
                <w:strike w:val="0"/>
                <w:dstrike w:val="0"/>
                <w:color w:val="00B0F0"/>
                <w:sz w:val="18"/>
                <w:szCs w:val="18"/>
                <w:lang w:eastAsia="zh-CN"/>
              </w:rPr>
              <w:t>必选</w:t>
            </w:r>
            <w:r>
              <w:rPr>
                <w:rFonts w:hint="eastAsia" w:ascii="宋体" w:hAnsi="宋体" w:cs="仿宋_GB2312"/>
                <w:b/>
                <w:bCs/>
                <w:strike w:val="0"/>
                <w:dstrike w:val="0"/>
                <w:color w:val="00B0F0"/>
                <w:sz w:val="18"/>
                <w:szCs w:val="18"/>
                <w:lang w:val="en-US" w:eastAsia="zh-CN"/>
              </w:rPr>
              <w:t>/可选</w:t>
            </w:r>
          </w:p>
        </w:tc>
        <w:tc>
          <w:tcPr>
            <w:tcW w:w="1134" w:type="dxa"/>
            <w:tcBorders>
              <w:top w:val="single" w:color="auto" w:sz="4" w:space="0"/>
            </w:tcBorders>
            <w:vAlign w:val="center"/>
          </w:tcPr>
          <w:p>
            <w:pPr>
              <w:jc w:val="center"/>
              <w:rPr>
                <w:rFonts w:hint="eastAsia" w:ascii="宋体" w:hAnsi="宋体" w:cs="仿宋_GB2312"/>
                <w:b/>
                <w:bCs/>
                <w:strike w:val="0"/>
                <w:dstrike w:val="0"/>
                <w:color w:val="00B0F0"/>
                <w:sz w:val="18"/>
                <w:szCs w:val="18"/>
                <w:lang w:eastAsia="zh-CN"/>
              </w:rPr>
            </w:pPr>
            <w:r>
              <w:rPr>
                <w:rFonts w:hint="eastAsia" w:ascii="宋体" w:hAnsi="宋体" w:cs="仿宋_GB2312"/>
                <w:b/>
                <w:bCs/>
                <w:strike w:val="0"/>
                <w:dstrike w:val="0"/>
                <w:color w:val="00B0F0"/>
                <w:sz w:val="18"/>
                <w:szCs w:val="18"/>
                <w:lang w:val="en-US" w:eastAsia="zh-CN"/>
              </w:rPr>
              <w:t>评分标准</w:t>
            </w:r>
          </w:p>
        </w:tc>
        <w:tc>
          <w:tcPr>
            <w:tcW w:w="1134" w:type="dxa"/>
            <w:tcBorders>
              <w:top w:val="single" w:color="auto" w:sz="4" w:space="0"/>
            </w:tcBorders>
            <w:vAlign w:val="center"/>
          </w:tcPr>
          <w:p>
            <w:pPr>
              <w:jc w:val="center"/>
              <w:rPr>
                <w:rFonts w:ascii="宋体" w:hAnsi="宋体" w:cs="仿宋_GB2312"/>
                <w:b/>
                <w:bCs/>
                <w:sz w:val="18"/>
                <w:szCs w:val="18"/>
              </w:rPr>
            </w:pPr>
            <w:r>
              <w:rPr>
                <w:rFonts w:hint="eastAsia" w:ascii="宋体" w:hAnsi="宋体" w:cs="仿宋_GB2312"/>
                <w:b/>
                <w:bCs/>
                <w:sz w:val="18"/>
                <w:szCs w:val="18"/>
              </w:rPr>
              <w:t>权重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678" w:type="dxa"/>
            <w:vMerge w:val="restart"/>
            <w:vAlign w:val="center"/>
          </w:tcPr>
          <w:p>
            <w:pPr>
              <w:jc w:val="center"/>
              <w:rPr>
                <w:rFonts w:ascii="宋体" w:hAnsi="宋体" w:cs="仿宋_GB2312"/>
                <w:sz w:val="18"/>
                <w:szCs w:val="18"/>
              </w:rPr>
            </w:pPr>
            <w:r>
              <w:rPr>
                <w:rFonts w:ascii="宋体" w:hAnsi="宋体" w:cs="仿宋_GB2312"/>
                <w:sz w:val="18"/>
                <w:szCs w:val="18"/>
              </w:rPr>
              <w:t>1</w:t>
            </w:r>
          </w:p>
        </w:tc>
        <w:tc>
          <w:tcPr>
            <w:tcW w:w="1025" w:type="dxa"/>
            <w:vMerge w:val="restart"/>
            <w:vAlign w:val="center"/>
          </w:tcPr>
          <w:p>
            <w:pPr>
              <w:rPr>
                <w:rFonts w:cs="仿宋_GB2312"/>
                <w:sz w:val="18"/>
                <w:szCs w:val="18"/>
              </w:rPr>
            </w:pPr>
            <w:r>
              <w:rPr>
                <w:rFonts w:hint="eastAsia" w:cs="仿宋_GB2312"/>
                <w:sz w:val="18"/>
                <w:szCs w:val="18"/>
              </w:rPr>
              <w:t>基础设施</w:t>
            </w:r>
          </w:p>
        </w:tc>
        <w:tc>
          <w:tcPr>
            <w:tcW w:w="1130" w:type="dxa"/>
            <w:vMerge w:val="restart"/>
            <w:vAlign w:val="center"/>
          </w:tcPr>
          <w:p>
            <w:pPr>
              <w:rPr>
                <w:rFonts w:cs="仿宋_GB2312"/>
                <w:sz w:val="18"/>
                <w:szCs w:val="18"/>
              </w:rPr>
            </w:pPr>
            <w:r>
              <w:rPr>
                <w:rFonts w:hint="eastAsia" w:cs="仿宋_GB2312"/>
                <w:sz w:val="18"/>
                <w:szCs w:val="18"/>
              </w:rPr>
              <w:t>建筑</w:t>
            </w:r>
          </w:p>
        </w:tc>
        <w:tc>
          <w:tcPr>
            <w:tcW w:w="7833" w:type="dxa"/>
            <w:vAlign w:val="center"/>
          </w:tcPr>
          <w:p>
            <w:pPr>
              <w:rPr>
                <w:rFonts w:ascii="宋体" w:hAnsi="宋体" w:cs="仿宋_GB2312"/>
                <w:sz w:val="18"/>
                <w:szCs w:val="18"/>
              </w:rPr>
            </w:pPr>
            <w:r>
              <w:rPr>
                <w:rFonts w:hint="eastAsia" w:ascii="宋体" w:hAnsi="宋体" w:cs="仿宋_GB2312"/>
                <w:sz w:val="18"/>
                <w:szCs w:val="18"/>
              </w:rPr>
              <w:t>工厂的建筑应满足国家或地方相关法律法规及标准的要求。</w:t>
            </w:r>
          </w:p>
        </w:tc>
        <w:tc>
          <w:tcPr>
            <w:tcW w:w="1134" w:type="dxa"/>
            <w:vMerge w:val="restart"/>
            <w:vAlign w:val="center"/>
          </w:tcPr>
          <w:p>
            <w:pPr>
              <w:jc w:val="center"/>
              <w:rPr>
                <w:rFonts w:cs="仿宋_GB2312"/>
                <w:strike/>
                <w:dstrike w:val="0"/>
                <w:color w:val="00B0F0"/>
                <w:sz w:val="18"/>
                <w:szCs w:val="18"/>
              </w:rPr>
            </w:pPr>
            <w:r>
              <w:rPr>
                <w:rFonts w:hint="eastAsia" w:cs="仿宋_GB2312"/>
                <w:strike/>
                <w:dstrike w:val="0"/>
                <w:color w:val="00B0F0"/>
                <w:sz w:val="18"/>
                <w:szCs w:val="18"/>
              </w:rPr>
              <w:t>必选</w:t>
            </w:r>
          </w:p>
        </w:tc>
        <w:tc>
          <w:tcPr>
            <w:tcW w:w="1134" w:type="dxa"/>
            <w:vAlign w:val="center"/>
          </w:tcPr>
          <w:p>
            <w:pPr>
              <w:jc w:val="center"/>
              <w:rPr>
                <w:rFonts w:hint="default" w:eastAsia="宋体" w:cs="仿宋_GB2312"/>
                <w:strike/>
                <w:dstrike w:val="0"/>
                <w:color w:val="00B0F0"/>
                <w:sz w:val="18"/>
                <w:szCs w:val="18"/>
                <w:lang w:val="en-US" w:eastAsia="zh-CN"/>
              </w:rPr>
            </w:pPr>
            <w:r>
              <w:rPr>
                <w:rFonts w:hint="eastAsia" w:cs="仿宋_GB2312"/>
                <w:strike w:val="0"/>
                <w:dstrike w:val="0"/>
                <w:color w:val="00B0F0"/>
                <w:sz w:val="18"/>
                <w:szCs w:val="18"/>
                <w:lang w:val="en-US" w:eastAsia="zh-CN"/>
              </w:rPr>
              <w:t>X分</w:t>
            </w:r>
          </w:p>
        </w:tc>
        <w:tc>
          <w:tcPr>
            <w:tcW w:w="1134" w:type="dxa"/>
            <w:vMerge w:val="restart"/>
            <w:vAlign w:val="center"/>
          </w:tcPr>
          <w:p>
            <w:pPr>
              <w:jc w:val="center"/>
              <w:rPr>
                <w:rFonts w:ascii="宋体" w:hAnsi="宋体" w:cs="仿宋_GB2312"/>
                <w:sz w:val="18"/>
                <w:szCs w:val="18"/>
              </w:rPr>
            </w:pPr>
            <w:r>
              <w:rPr>
                <w:rFonts w:ascii="宋体" w:hAnsi="宋体" w:cs="仿宋_GB2312"/>
                <w:sz w:val="18"/>
                <w:szCs w:val="18"/>
              </w:rPr>
              <w:t>20%</w:t>
            </w:r>
          </w:p>
          <w:p>
            <w:pPr>
              <w:jc w:val="center"/>
              <w:rPr>
                <w:rFonts w:hint="eastAsia" w:ascii="宋体" w:hAnsi="宋体" w:eastAsia="宋体" w:cs="仿宋_GB2312"/>
                <w:sz w:val="18"/>
                <w:szCs w:val="18"/>
                <w:lang w:val="en-US" w:eastAsia="zh-CN"/>
              </w:rPr>
            </w:pPr>
            <w:r>
              <w:rPr>
                <w:rFonts w:hint="eastAsia" w:ascii="宋体" w:hAnsi="宋体" w:cs="仿宋_GB2312"/>
                <w:color w:val="00B0F0"/>
                <w:sz w:val="18"/>
                <w:szCs w:val="18"/>
                <w:lang w:val="en-US" w:eastAsia="zh-CN"/>
              </w:rPr>
              <w:t>X</w:t>
            </w:r>
            <w:r>
              <w:rPr>
                <w:rFonts w:ascii="宋体" w:hAnsi="宋体" w:cs="仿宋_GB2312"/>
                <w:color w:val="00B0F0"/>
                <w:sz w:val="18"/>
                <w:szCs w:val="18"/>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678" w:type="dxa"/>
            <w:vMerge w:val="continue"/>
            <w:vAlign w:val="center"/>
          </w:tcPr>
          <w:p>
            <w:pPr>
              <w:jc w:val="center"/>
              <w:rPr>
                <w:rFonts w:ascii="宋体" w:hAnsi="宋体" w:cs="仿宋_GB2312"/>
                <w:sz w:val="18"/>
                <w:szCs w:val="18"/>
              </w:rPr>
            </w:pPr>
          </w:p>
        </w:tc>
        <w:tc>
          <w:tcPr>
            <w:tcW w:w="1025" w:type="dxa"/>
            <w:vMerge w:val="continue"/>
            <w:vAlign w:val="center"/>
          </w:tcPr>
          <w:p>
            <w:pPr>
              <w:rPr>
                <w:rFonts w:ascii="宋体" w:hAnsi="宋体" w:cs="仿宋_GB2312"/>
                <w:sz w:val="18"/>
                <w:szCs w:val="18"/>
              </w:rPr>
            </w:pPr>
          </w:p>
        </w:tc>
        <w:tc>
          <w:tcPr>
            <w:tcW w:w="1130" w:type="dxa"/>
            <w:vMerge w:val="continue"/>
            <w:vAlign w:val="center"/>
          </w:tcPr>
          <w:p>
            <w:pPr>
              <w:rPr>
                <w:rFonts w:ascii="宋体" w:hAnsi="宋体" w:cs="仿宋_GB2312"/>
                <w:sz w:val="18"/>
                <w:szCs w:val="18"/>
              </w:rPr>
            </w:pPr>
          </w:p>
        </w:tc>
        <w:tc>
          <w:tcPr>
            <w:tcW w:w="7833" w:type="dxa"/>
            <w:vAlign w:val="center"/>
          </w:tcPr>
          <w:p>
            <w:pPr>
              <w:rPr>
                <w:rFonts w:ascii="宋体" w:hAnsi="宋体" w:cs="仿宋_GB2312"/>
                <w:sz w:val="18"/>
                <w:szCs w:val="18"/>
              </w:rPr>
            </w:pPr>
            <w:r>
              <w:rPr>
                <w:rFonts w:hint="eastAsia" w:ascii="宋体" w:hAnsi="宋体"/>
                <w:sz w:val="18"/>
                <w:szCs w:val="18"/>
              </w:rPr>
              <w:t>工厂的</w:t>
            </w:r>
            <w:r>
              <w:rPr>
                <w:rFonts w:hint="eastAsia"/>
                <w:sz w:val="18"/>
                <w:szCs w:val="18"/>
              </w:rPr>
              <w:t>建筑材料、建筑结构、采光照明、绿化及场地、水资源及能源利用等方面进行建筑的节材、节能、节水、节地及无害化。</w:t>
            </w:r>
          </w:p>
        </w:tc>
        <w:tc>
          <w:tcPr>
            <w:tcW w:w="1134" w:type="dxa"/>
            <w:vMerge w:val="continue"/>
            <w:vAlign w:val="center"/>
          </w:tcPr>
          <w:p>
            <w:pPr>
              <w:jc w:val="center"/>
              <w:rPr>
                <w:rFonts w:ascii="宋体" w:hAnsi="宋体" w:cs="仿宋_GB2312"/>
                <w:strike/>
                <w:dstrike w:val="0"/>
                <w:color w:val="00B0F0"/>
                <w:sz w:val="18"/>
                <w:szCs w:val="18"/>
              </w:rPr>
            </w:pPr>
          </w:p>
        </w:tc>
        <w:tc>
          <w:tcPr>
            <w:tcW w:w="1134" w:type="dxa"/>
            <w:vAlign w:val="center"/>
          </w:tcPr>
          <w:p>
            <w:pPr>
              <w:jc w:val="center"/>
              <w:rPr>
                <w:rFonts w:ascii="宋体" w:hAnsi="宋体" w:cs="仿宋_GB2312"/>
                <w:strike/>
                <w:dstrike w:val="0"/>
                <w:color w:val="00B0F0"/>
                <w:sz w:val="18"/>
                <w:szCs w:val="18"/>
              </w:rPr>
            </w:pPr>
            <w:r>
              <w:rPr>
                <w:rFonts w:hint="eastAsia" w:cs="仿宋_GB2312"/>
                <w:strike w:val="0"/>
                <w:dstrike w:val="0"/>
                <w:color w:val="00B0F0"/>
                <w:sz w:val="18"/>
                <w:szCs w:val="18"/>
                <w:lang w:val="en-US" w:eastAsia="zh-CN"/>
              </w:rPr>
              <w:t>X分</w:t>
            </w:r>
          </w:p>
        </w:tc>
        <w:tc>
          <w:tcPr>
            <w:tcW w:w="1134" w:type="dxa"/>
            <w:vMerge w:val="continue"/>
            <w:vAlign w:val="center"/>
          </w:tcPr>
          <w:p>
            <w:pP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78" w:type="dxa"/>
            <w:vMerge w:val="continue"/>
            <w:vAlign w:val="center"/>
          </w:tcPr>
          <w:p>
            <w:pPr>
              <w:jc w:val="center"/>
              <w:rPr>
                <w:rFonts w:ascii="宋体" w:hAnsi="宋体" w:cs="仿宋_GB2312"/>
                <w:sz w:val="18"/>
                <w:szCs w:val="18"/>
              </w:rPr>
            </w:pPr>
          </w:p>
        </w:tc>
        <w:tc>
          <w:tcPr>
            <w:tcW w:w="1025" w:type="dxa"/>
            <w:vMerge w:val="continue"/>
            <w:vAlign w:val="center"/>
          </w:tcPr>
          <w:p>
            <w:pPr>
              <w:rPr>
                <w:rFonts w:ascii="宋体" w:hAnsi="宋体" w:cs="仿宋_GB2312"/>
                <w:sz w:val="18"/>
                <w:szCs w:val="18"/>
              </w:rPr>
            </w:pPr>
          </w:p>
        </w:tc>
        <w:tc>
          <w:tcPr>
            <w:tcW w:w="1130" w:type="dxa"/>
            <w:vMerge w:val="continue"/>
            <w:vAlign w:val="center"/>
          </w:tcPr>
          <w:p>
            <w:pPr>
              <w:rPr>
                <w:rFonts w:ascii="宋体" w:hAnsi="宋体" w:cs="仿宋_GB2312"/>
                <w:sz w:val="18"/>
                <w:szCs w:val="18"/>
              </w:rPr>
            </w:pPr>
          </w:p>
        </w:tc>
        <w:tc>
          <w:tcPr>
            <w:tcW w:w="7833" w:type="dxa"/>
            <w:vAlign w:val="center"/>
          </w:tcPr>
          <w:p>
            <w:pPr>
              <w:rPr>
                <w:rFonts w:ascii="宋体" w:hAnsi="宋体" w:cs="仿宋_GB2312"/>
                <w:sz w:val="18"/>
                <w:szCs w:val="18"/>
              </w:rPr>
            </w:pPr>
            <w:r>
              <w:rPr>
                <w:rFonts w:hint="eastAsia" w:ascii="宋体" w:hAnsi="宋体"/>
                <w:sz w:val="18"/>
                <w:szCs w:val="18"/>
              </w:rPr>
              <w:t>工厂应集约化利用厂区，在满足生产工艺前提下，优先采用联合厂房、多层建筑等。</w:t>
            </w:r>
          </w:p>
        </w:tc>
        <w:tc>
          <w:tcPr>
            <w:tcW w:w="1134" w:type="dxa"/>
            <w:vAlign w:val="center"/>
          </w:tcPr>
          <w:p>
            <w:pPr>
              <w:jc w:val="center"/>
              <w:rPr>
                <w:rFonts w:cs="仿宋_GB2312"/>
                <w:strike/>
                <w:dstrike w:val="0"/>
                <w:color w:val="00B0F0"/>
                <w:sz w:val="18"/>
                <w:szCs w:val="18"/>
              </w:rPr>
            </w:pPr>
            <w:r>
              <w:rPr>
                <w:rFonts w:hint="eastAsia" w:cs="仿宋_GB2312"/>
                <w:strike/>
                <w:dstrike w:val="0"/>
                <w:color w:val="00B0F0"/>
                <w:sz w:val="18"/>
                <w:szCs w:val="18"/>
              </w:rPr>
              <w:t>可选</w:t>
            </w:r>
          </w:p>
        </w:tc>
        <w:tc>
          <w:tcPr>
            <w:tcW w:w="1134" w:type="dxa"/>
            <w:vAlign w:val="center"/>
          </w:tcPr>
          <w:p>
            <w:pPr>
              <w:jc w:val="center"/>
              <w:rPr>
                <w:rFonts w:hint="eastAsia" w:cs="仿宋_GB2312"/>
                <w:strike/>
                <w:dstrike w:val="0"/>
                <w:color w:val="00B0F0"/>
                <w:sz w:val="18"/>
                <w:szCs w:val="18"/>
              </w:rPr>
            </w:pPr>
            <w:r>
              <w:rPr>
                <w:rFonts w:hint="eastAsia" w:cs="仿宋_GB2312"/>
                <w:strike w:val="0"/>
                <w:dstrike w:val="0"/>
                <w:color w:val="00B0F0"/>
                <w:sz w:val="18"/>
                <w:szCs w:val="18"/>
                <w:lang w:val="en-US" w:eastAsia="zh-CN"/>
              </w:rPr>
              <w:t>X分</w:t>
            </w:r>
          </w:p>
        </w:tc>
        <w:tc>
          <w:tcPr>
            <w:tcW w:w="1134" w:type="dxa"/>
            <w:vMerge w:val="continue"/>
            <w:vAlign w:val="center"/>
          </w:tcPr>
          <w:p>
            <w:pP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5" w:hRule="atLeast"/>
          <w:jc w:val="center"/>
        </w:trPr>
        <w:tc>
          <w:tcPr>
            <w:tcW w:w="678" w:type="dxa"/>
            <w:vMerge w:val="continue"/>
            <w:vAlign w:val="center"/>
          </w:tcPr>
          <w:p>
            <w:pPr>
              <w:jc w:val="center"/>
              <w:rPr>
                <w:rFonts w:ascii="宋体" w:hAnsi="宋体" w:cs="仿宋_GB2312"/>
                <w:sz w:val="18"/>
                <w:szCs w:val="18"/>
              </w:rPr>
            </w:pPr>
          </w:p>
        </w:tc>
        <w:tc>
          <w:tcPr>
            <w:tcW w:w="1025" w:type="dxa"/>
            <w:vMerge w:val="continue"/>
            <w:vAlign w:val="center"/>
          </w:tcPr>
          <w:p>
            <w:pPr>
              <w:rPr>
                <w:rFonts w:ascii="宋体" w:hAnsi="宋体" w:cs="仿宋_GB2312"/>
                <w:sz w:val="18"/>
                <w:szCs w:val="18"/>
              </w:rPr>
            </w:pPr>
          </w:p>
        </w:tc>
        <w:tc>
          <w:tcPr>
            <w:tcW w:w="1130" w:type="dxa"/>
            <w:vMerge w:val="restart"/>
            <w:vAlign w:val="center"/>
          </w:tcPr>
          <w:p>
            <w:pPr>
              <w:rPr>
                <w:rFonts w:cs="仿宋_GB2312"/>
                <w:sz w:val="18"/>
                <w:szCs w:val="18"/>
              </w:rPr>
            </w:pPr>
            <w:r>
              <w:rPr>
                <w:rFonts w:hint="eastAsia" w:cs="仿宋_GB2312"/>
                <w:sz w:val="18"/>
                <w:szCs w:val="18"/>
              </w:rPr>
              <w:t>照明</w:t>
            </w:r>
          </w:p>
        </w:tc>
        <w:tc>
          <w:tcPr>
            <w:tcW w:w="7833" w:type="dxa"/>
            <w:vAlign w:val="center"/>
          </w:tcPr>
          <w:p>
            <w:pPr>
              <w:rPr>
                <w:rFonts w:ascii="宋体" w:hAnsi="宋体" w:cs="仿宋_GB2312"/>
                <w:sz w:val="18"/>
                <w:szCs w:val="18"/>
              </w:rPr>
            </w:pPr>
            <w:r>
              <w:rPr>
                <w:rFonts w:hint="eastAsia" w:ascii="宋体" w:hAnsi="宋体" w:cs="仿宋_GB2312"/>
                <w:sz w:val="18"/>
                <w:szCs w:val="18"/>
              </w:rPr>
              <w:t>厂区及各房间或场所的照明应尽量利用自然光或节能灯，照明应符合</w:t>
            </w:r>
            <w:r>
              <w:rPr>
                <w:rFonts w:ascii="宋体" w:hAnsi="宋体" w:cs="仿宋_GB2312"/>
                <w:sz w:val="18"/>
                <w:szCs w:val="18"/>
              </w:rPr>
              <w:t>GB 50034</w:t>
            </w:r>
            <w:r>
              <w:rPr>
                <w:rFonts w:hint="eastAsia" w:ascii="宋体" w:hAnsi="宋体" w:cs="仿宋_GB2312"/>
                <w:sz w:val="18"/>
                <w:szCs w:val="18"/>
              </w:rPr>
              <w:t>规定。</w:t>
            </w:r>
          </w:p>
        </w:tc>
        <w:tc>
          <w:tcPr>
            <w:tcW w:w="1134" w:type="dxa"/>
            <w:vMerge w:val="restart"/>
            <w:vAlign w:val="center"/>
          </w:tcPr>
          <w:p>
            <w:pPr>
              <w:jc w:val="center"/>
              <w:rPr>
                <w:rFonts w:cs="仿宋_GB2312"/>
                <w:strike/>
                <w:dstrike w:val="0"/>
                <w:color w:val="00B0F0"/>
                <w:sz w:val="18"/>
                <w:szCs w:val="18"/>
              </w:rPr>
            </w:pPr>
            <w:r>
              <w:rPr>
                <w:rFonts w:hint="eastAsia" w:cs="仿宋_GB2312"/>
                <w:strike/>
                <w:dstrike w:val="0"/>
                <w:color w:val="00B0F0"/>
                <w:sz w:val="18"/>
                <w:szCs w:val="18"/>
              </w:rPr>
              <w:t>必选</w:t>
            </w:r>
          </w:p>
        </w:tc>
        <w:tc>
          <w:tcPr>
            <w:tcW w:w="1134" w:type="dxa"/>
            <w:vAlign w:val="center"/>
          </w:tcPr>
          <w:p>
            <w:pPr>
              <w:jc w:val="center"/>
              <w:rPr>
                <w:rFonts w:hint="eastAsia" w:cs="仿宋_GB2312"/>
                <w:strike/>
                <w:dstrike w:val="0"/>
                <w:color w:val="00B0F0"/>
                <w:sz w:val="18"/>
                <w:szCs w:val="18"/>
              </w:rPr>
            </w:pPr>
            <w:r>
              <w:rPr>
                <w:rFonts w:hint="eastAsia" w:cs="仿宋_GB2312"/>
                <w:strike w:val="0"/>
                <w:dstrike w:val="0"/>
                <w:color w:val="00B0F0"/>
                <w:sz w:val="18"/>
                <w:szCs w:val="18"/>
                <w:lang w:val="en-US" w:eastAsia="zh-CN"/>
              </w:rPr>
              <w:t>X分</w:t>
            </w:r>
          </w:p>
        </w:tc>
        <w:tc>
          <w:tcPr>
            <w:tcW w:w="1134" w:type="dxa"/>
            <w:vMerge w:val="continue"/>
            <w:vAlign w:val="center"/>
          </w:tcPr>
          <w:p>
            <w:pP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678" w:type="dxa"/>
            <w:vMerge w:val="continue"/>
            <w:vAlign w:val="center"/>
          </w:tcPr>
          <w:p>
            <w:pPr>
              <w:jc w:val="center"/>
              <w:rPr>
                <w:rFonts w:ascii="宋体" w:hAnsi="宋体" w:cs="仿宋_GB2312"/>
                <w:sz w:val="18"/>
                <w:szCs w:val="18"/>
              </w:rPr>
            </w:pPr>
          </w:p>
        </w:tc>
        <w:tc>
          <w:tcPr>
            <w:tcW w:w="1025" w:type="dxa"/>
            <w:vMerge w:val="continue"/>
            <w:vAlign w:val="center"/>
          </w:tcPr>
          <w:p>
            <w:pPr>
              <w:rPr>
                <w:rFonts w:ascii="宋体" w:hAnsi="宋体" w:cs="仿宋_GB2312"/>
                <w:sz w:val="18"/>
                <w:szCs w:val="18"/>
              </w:rPr>
            </w:pPr>
          </w:p>
        </w:tc>
        <w:tc>
          <w:tcPr>
            <w:tcW w:w="1130" w:type="dxa"/>
            <w:vMerge w:val="continue"/>
            <w:vAlign w:val="center"/>
          </w:tcPr>
          <w:p>
            <w:pPr>
              <w:rPr>
                <w:rFonts w:ascii="宋体" w:hAnsi="宋体" w:cs="仿宋_GB2312"/>
                <w:sz w:val="18"/>
                <w:szCs w:val="18"/>
              </w:rPr>
            </w:pPr>
          </w:p>
        </w:tc>
        <w:tc>
          <w:tcPr>
            <w:tcW w:w="7833" w:type="dxa"/>
            <w:vAlign w:val="center"/>
          </w:tcPr>
          <w:p>
            <w:pPr>
              <w:rPr>
                <w:rFonts w:ascii="宋体" w:hAnsi="宋体" w:cs="仿宋_GB2312"/>
                <w:sz w:val="18"/>
                <w:szCs w:val="18"/>
              </w:rPr>
            </w:pPr>
            <w:r>
              <w:rPr>
                <w:rFonts w:hint="eastAsia" w:ascii="宋体" w:hAnsi="宋体" w:cs="仿宋_GB2312"/>
                <w:sz w:val="18"/>
                <w:szCs w:val="18"/>
              </w:rPr>
              <w:t>不同场所的照明应进行分级设计。</w:t>
            </w:r>
          </w:p>
        </w:tc>
        <w:tc>
          <w:tcPr>
            <w:tcW w:w="1134" w:type="dxa"/>
            <w:vMerge w:val="continue"/>
            <w:vAlign w:val="center"/>
          </w:tcPr>
          <w:p>
            <w:pPr>
              <w:jc w:val="center"/>
              <w:rPr>
                <w:rFonts w:cs="仿宋_GB2312"/>
                <w:strike/>
                <w:dstrike w:val="0"/>
                <w:color w:val="00B0F0"/>
                <w:sz w:val="18"/>
                <w:szCs w:val="18"/>
              </w:rPr>
            </w:pPr>
          </w:p>
        </w:tc>
        <w:tc>
          <w:tcPr>
            <w:tcW w:w="1134" w:type="dxa"/>
            <w:vAlign w:val="center"/>
          </w:tcPr>
          <w:p>
            <w:pPr>
              <w:jc w:val="center"/>
              <w:rPr>
                <w:rFonts w:cs="仿宋_GB2312"/>
                <w:strike/>
                <w:dstrike w:val="0"/>
                <w:color w:val="00B0F0"/>
                <w:sz w:val="18"/>
                <w:szCs w:val="18"/>
              </w:rPr>
            </w:pPr>
            <w:r>
              <w:rPr>
                <w:rFonts w:hint="eastAsia" w:cs="仿宋_GB2312"/>
                <w:strike w:val="0"/>
                <w:dstrike w:val="0"/>
                <w:color w:val="00B0F0"/>
                <w:sz w:val="18"/>
                <w:szCs w:val="18"/>
                <w:lang w:val="en-US" w:eastAsia="zh-CN"/>
              </w:rPr>
              <w:t>X分</w:t>
            </w:r>
          </w:p>
        </w:tc>
        <w:tc>
          <w:tcPr>
            <w:tcW w:w="1134" w:type="dxa"/>
            <w:vMerge w:val="continue"/>
            <w:vAlign w:val="center"/>
          </w:tcPr>
          <w:p>
            <w:pP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678" w:type="dxa"/>
            <w:vMerge w:val="continue"/>
            <w:vAlign w:val="center"/>
          </w:tcPr>
          <w:p>
            <w:pPr>
              <w:jc w:val="center"/>
              <w:rPr>
                <w:rFonts w:ascii="宋体" w:hAnsi="宋体" w:cs="仿宋_GB2312"/>
                <w:sz w:val="18"/>
                <w:szCs w:val="18"/>
              </w:rPr>
            </w:pPr>
          </w:p>
        </w:tc>
        <w:tc>
          <w:tcPr>
            <w:tcW w:w="1025" w:type="dxa"/>
            <w:vMerge w:val="continue"/>
            <w:vAlign w:val="center"/>
          </w:tcPr>
          <w:p>
            <w:pPr>
              <w:rPr>
                <w:rFonts w:ascii="宋体" w:hAnsi="宋体" w:cs="仿宋_GB2312"/>
                <w:sz w:val="18"/>
                <w:szCs w:val="18"/>
              </w:rPr>
            </w:pPr>
          </w:p>
        </w:tc>
        <w:tc>
          <w:tcPr>
            <w:tcW w:w="1130" w:type="dxa"/>
            <w:vMerge w:val="continue"/>
            <w:vAlign w:val="center"/>
          </w:tcPr>
          <w:p>
            <w:pPr>
              <w:rPr>
                <w:rFonts w:ascii="宋体" w:hAnsi="宋体" w:cs="仿宋_GB2312"/>
                <w:sz w:val="18"/>
                <w:szCs w:val="18"/>
              </w:rPr>
            </w:pPr>
          </w:p>
        </w:tc>
        <w:tc>
          <w:tcPr>
            <w:tcW w:w="7833" w:type="dxa"/>
            <w:vAlign w:val="center"/>
          </w:tcPr>
          <w:p>
            <w:pPr>
              <w:rPr>
                <w:rFonts w:ascii="宋体" w:hAnsi="宋体" w:cs="仿宋_GB2312"/>
                <w:sz w:val="18"/>
                <w:szCs w:val="18"/>
              </w:rPr>
            </w:pPr>
            <w:r>
              <w:rPr>
                <w:rFonts w:hint="eastAsia" w:ascii="宋体" w:hAnsi="宋体"/>
                <w:sz w:val="18"/>
                <w:szCs w:val="18"/>
              </w:rPr>
              <w:t>大型厂房的照明系统宜采用分区控制方式。</w:t>
            </w:r>
          </w:p>
        </w:tc>
        <w:tc>
          <w:tcPr>
            <w:tcW w:w="1134" w:type="dxa"/>
            <w:vAlign w:val="center"/>
          </w:tcPr>
          <w:p>
            <w:pPr>
              <w:jc w:val="center"/>
              <w:rPr>
                <w:rFonts w:ascii="宋体" w:hAnsi="宋体" w:cs="仿宋_GB2312"/>
                <w:strike/>
                <w:dstrike w:val="0"/>
                <w:color w:val="00B0F0"/>
                <w:sz w:val="18"/>
                <w:szCs w:val="18"/>
              </w:rPr>
            </w:pPr>
            <w:r>
              <w:rPr>
                <w:rFonts w:hint="eastAsia" w:ascii="宋体" w:hAnsi="宋体" w:cs="仿宋_GB2312"/>
                <w:strike/>
                <w:dstrike w:val="0"/>
                <w:color w:val="00B0F0"/>
                <w:sz w:val="18"/>
                <w:szCs w:val="18"/>
              </w:rPr>
              <w:t>可选</w:t>
            </w:r>
          </w:p>
        </w:tc>
        <w:tc>
          <w:tcPr>
            <w:tcW w:w="1134" w:type="dxa"/>
            <w:vAlign w:val="center"/>
          </w:tcPr>
          <w:p>
            <w:pPr>
              <w:jc w:val="center"/>
              <w:rPr>
                <w:rFonts w:hint="eastAsia" w:ascii="宋体" w:hAnsi="宋体" w:cs="仿宋_GB2312"/>
                <w:strike/>
                <w:dstrike w:val="0"/>
                <w:color w:val="00B0F0"/>
                <w:sz w:val="18"/>
                <w:szCs w:val="18"/>
              </w:rPr>
            </w:pPr>
          </w:p>
        </w:tc>
        <w:tc>
          <w:tcPr>
            <w:tcW w:w="1134" w:type="dxa"/>
            <w:vMerge w:val="continue"/>
            <w:vAlign w:val="center"/>
          </w:tcPr>
          <w:p>
            <w:pP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678" w:type="dxa"/>
            <w:vMerge w:val="continue"/>
            <w:vAlign w:val="center"/>
          </w:tcPr>
          <w:p>
            <w:pPr>
              <w:jc w:val="center"/>
              <w:rPr>
                <w:rFonts w:ascii="宋体" w:hAnsi="宋体" w:cs="仿宋_GB2312"/>
                <w:sz w:val="18"/>
                <w:szCs w:val="18"/>
              </w:rPr>
            </w:pPr>
          </w:p>
        </w:tc>
        <w:tc>
          <w:tcPr>
            <w:tcW w:w="1025" w:type="dxa"/>
            <w:vMerge w:val="continue"/>
            <w:vAlign w:val="center"/>
          </w:tcPr>
          <w:p>
            <w:pPr>
              <w:rPr>
                <w:rFonts w:ascii="宋体" w:hAnsi="宋体" w:cs="仿宋_GB2312"/>
                <w:sz w:val="18"/>
                <w:szCs w:val="18"/>
              </w:rPr>
            </w:pPr>
          </w:p>
        </w:tc>
        <w:tc>
          <w:tcPr>
            <w:tcW w:w="1130" w:type="dxa"/>
            <w:vMerge w:val="continue"/>
            <w:vAlign w:val="center"/>
          </w:tcPr>
          <w:p>
            <w:pPr>
              <w:rPr>
                <w:rFonts w:ascii="宋体" w:hAnsi="宋体" w:cs="仿宋_GB2312"/>
                <w:sz w:val="18"/>
                <w:szCs w:val="18"/>
              </w:rPr>
            </w:pPr>
          </w:p>
        </w:tc>
        <w:tc>
          <w:tcPr>
            <w:tcW w:w="7833" w:type="dxa"/>
            <w:vAlign w:val="center"/>
          </w:tcPr>
          <w:p>
            <w:pPr>
              <w:rPr>
                <w:rFonts w:ascii="宋体" w:hAnsi="宋体"/>
                <w:sz w:val="18"/>
                <w:szCs w:val="18"/>
              </w:rPr>
            </w:pPr>
            <w:r>
              <w:rPr>
                <w:rFonts w:hint="eastAsia" w:ascii="宋体" w:hAnsi="宋体"/>
                <w:sz w:val="18"/>
                <w:szCs w:val="18"/>
              </w:rPr>
              <w:t>辅助生产和生活福利设施的照明系统适当增设照明控制开关，短时有人的场所宜采取节能自熄措施。</w:t>
            </w:r>
          </w:p>
        </w:tc>
        <w:tc>
          <w:tcPr>
            <w:tcW w:w="1134" w:type="dxa"/>
            <w:vAlign w:val="center"/>
          </w:tcPr>
          <w:p>
            <w:pPr>
              <w:jc w:val="center"/>
              <w:rPr>
                <w:rFonts w:ascii="宋体" w:hAnsi="宋体" w:cs="仿宋_GB2312"/>
                <w:strike/>
                <w:dstrike w:val="0"/>
                <w:color w:val="00B0F0"/>
                <w:sz w:val="18"/>
                <w:szCs w:val="18"/>
              </w:rPr>
            </w:pPr>
            <w:r>
              <w:rPr>
                <w:rFonts w:hint="eastAsia" w:ascii="宋体" w:hAnsi="宋体" w:cs="仿宋_GB2312"/>
                <w:strike/>
                <w:dstrike w:val="0"/>
                <w:color w:val="00B0F0"/>
                <w:sz w:val="18"/>
                <w:szCs w:val="18"/>
              </w:rPr>
              <w:t>可选</w:t>
            </w:r>
          </w:p>
        </w:tc>
        <w:tc>
          <w:tcPr>
            <w:tcW w:w="1134" w:type="dxa"/>
            <w:vAlign w:val="center"/>
          </w:tcPr>
          <w:p>
            <w:pPr>
              <w:jc w:val="center"/>
              <w:rPr>
                <w:rFonts w:hint="eastAsia" w:ascii="宋体" w:hAnsi="宋体" w:cs="仿宋_GB2312"/>
                <w:strike/>
                <w:dstrike w:val="0"/>
                <w:color w:val="00B0F0"/>
                <w:sz w:val="18"/>
                <w:szCs w:val="18"/>
              </w:rPr>
            </w:pPr>
          </w:p>
        </w:tc>
        <w:tc>
          <w:tcPr>
            <w:tcW w:w="1134" w:type="dxa"/>
            <w:vMerge w:val="continue"/>
            <w:vAlign w:val="center"/>
          </w:tcPr>
          <w:p>
            <w:pP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8" w:type="dxa"/>
            <w:vMerge w:val="continue"/>
            <w:vAlign w:val="center"/>
          </w:tcPr>
          <w:p>
            <w:pPr>
              <w:jc w:val="center"/>
              <w:rPr>
                <w:rFonts w:ascii="宋体" w:hAnsi="宋体" w:cs="仿宋_GB2312"/>
                <w:sz w:val="18"/>
                <w:szCs w:val="18"/>
              </w:rPr>
            </w:pPr>
          </w:p>
        </w:tc>
        <w:tc>
          <w:tcPr>
            <w:tcW w:w="1025" w:type="dxa"/>
            <w:vMerge w:val="continue"/>
            <w:vAlign w:val="center"/>
          </w:tcPr>
          <w:p>
            <w:pPr>
              <w:rPr>
                <w:rFonts w:ascii="宋体" w:hAnsi="宋体" w:cs="仿宋_GB2312"/>
                <w:sz w:val="18"/>
                <w:szCs w:val="18"/>
              </w:rPr>
            </w:pPr>
          </w:p>
        </w:tc>
        <w:tc>
          <w:tcPr>
            <w:tcW w:w="1130" w:type="dxa"/>
            <w:vMerge w:val="restart"/>
            <w:vAlign w:val="center"/>
          </w:tcPr>
          <w:p>
            <w:pPr>
              <w:rPr>
                <w:rFonts w:cs="仿宋_GB2312"/>
                <w:sz w:val="18"/>
                <w:szCs w:val="18"/>
              </w:rPr>
            </w:pPr>
            <w:r>
              <w:rPr>
                <w:rFonts w:hint="eastAsia" w:cs="仿宋_GB2312"/>
                <w:sz w:val="18"/>
                <w:szCs w:val="18"/>
              </w:rPr>
              <w:t>设备设施</w:t>
            </w:r>
          </w:p>
        </w:tc>
        <w:tc>
          <w:tcPr>
            <w:tcW w:w="7833" w:type="dxa"/>
            <w:vAlign w:val="center"/>
          </w:tcPr>
          <w:p>
            <w:pPr>
              <w:rPr>
                <w:rFonts w:ascii="宋体" w:hAnsi="宋体" w:cs="仿宋_GB2312"/>
                <w:sz w:val="18"/>
                <w:szCs w:val="18"/>
              </w:rPr>
            </w:pPr>
            <w:r>
              <w:rPr>
                <w:rFonts w:hint="eastAsia" w:ascii="宋体" w:hAnsi="宋体" w:cs="仿宋_GB2312"/>
                <w:sz w:val="18"/>
                <w:szCs w:val="18"/>
              </w:rPr>
              <w:t>专用设备应符合相关行业规范条件要求，降低能源与资源消耗，减少污染物排放。</w:t>
            </w:r>
          </w:p>
        </w:tc>
        <w:tc>
          <w:tcPr>
            <w:tcW w:w="1134" w:type="dxa"/>
            <w:vMerge w:val="restart"/>
            <w:shd w:val="clear" w:color="auto" w:fill="auto"/>
            <w:vAlign w:val="center"/>
          </w:tcPr>
          <w:p>
            <w:pPr>
              <w:jc w:val="center"/>
              <w:rPr>
                <w:rFonts w:ascii="宋体" w:hAnsi="宋体" w:cs="仿宋_GB2312"/>
                <w:strike/>
                <w:dstrike w:val="0"/>
                <w:color w:val="00B0F0"/>
                <w:sz w:val="18"/>
                <w:szCs w:val="18"/>
              </w:rPr>
            </w:pPr>
            <w:r>
              <w:rPr>
                <w:rFonts w:hint="eastAsia" w:ascii="宋体" w:hAnsi="宋体" w:cs="仿宋_GB2312"/>
                <w:strike/>
                <w:dstrike w:val="0"/>
                <w:color w:val="00B0F0"/>
                <w:sz w:val="18"/>
                <w:szCs w:val="18"/>
              </w:rPr>
              <w:t>必选</w:t>
            </w:r>
          </w:p>
        </w:tc>
        <w:tc>
          <w:tcPr>
            <w:tcW w:w="1134" w:type="dxa"/>
            <w:vAlign w:val="center"/>
          </w:tcPr>
          <w:p>
            <w:pPr>
              <w:jc w:val="center"/>
              <w:rPr>
                <w:rFonts w:hint="eastAsia" w:ascii="宋体" w:hAnsi="宋体" w:cs="仿宋_GB2312"/>
                <w:strike/>
                <w:dstrike w:val="0"/>
                <w:color w:val="00B0F0"/>
                <w:sz w:val="18"/>
                <w:szCs w:val="18"/>
              </w:rPr>
            </w:pPr>
          </w:p>
        </w:tc>
        <w:tc>
          <w:tcPr>
            <w:tcW w:w="1134" w:type="dxa"/>
            <w:vMerge w:val="continue"/>
            <w:vAlign w:val="center"/>
          </w:tcPr>
          <w:p>
            <w:pP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678" w:type="dxa"/>
            <w:vMerge w:val="continue"/>
            <w:vAlign w:val="center"/>
          </w:tcPr>
          <w:p>
            <w:pPr>
              <w:jc w:val="center"/>
              <w:rPr>
                <w:rFonts w:ascii="宋体" w:hAnsi="宋体" w:cs="仿宋_GB2312"/>
                <w:sz w:val="18"/>
                <w:szCs w:val="18"/>
              </w:rPr>
            </w:pPr>
          </w:p>
        </w:tc>
        <w:tc>
          <w:tcPr>
            <w:tcW w:w="1025" w:type="dxa"/>
            <w:vMerge w:val="continue"/>
            <w:vAlign w:val="center"/>
          </w:tcPr>
          <w:p>
            <w:pPr>
              <w:rPr>
                <w:rFonts w:ascii="宋体" w:hAnsi="宋体" w:cs="仿宋_GB2312"/>
                <w:sz w:val="18"/>
                <w:szCs w:val="18"/>
              </w:rPr>
            </w:pPr>
          </w:p>
        </w:tc>
        <w:tc>
          <w:tcPr>
            <w:tcW w:w="1130" w:type="dxa"/>
            <w:vMerge w:val="continue"/>
            <w:vAlign w:val="center"/>
          </w:tcPr>
          <w:p>
            <w:pPr>
              <w:rPr>
                <w:rFonts w:cs="仿宋_GB2312"/>
                <w:sz w:val="18"/>
                <w:szCs w:val="18"/>
              </w:rPr>
            </w:pPr>
          </w:p>
        </w:tc>
        <w:tc>
          <w:tcPr>
            <w:tcW w:w="7833" w:type="dxa"/>
            <w:vAlign w:val="center"/>
          </w:tcPr>
          <w:p>
            <w:pPr>
              <w:rPr>
                <w:rFonts w:ascii="宋体" w:hAnsi="宋体"/>
                <w:sz w:val="18"/>
                <w:szCs w:val="18"/>
              </w:rPr>
            </w:pPr>
            <w:r>
              <w:rPr>
                <w:rFonts w:hint="eastAsia" w:ascii="宋体" w:hAnsi="宋体"/>
                <w:sz w:val="18"/>
                <w:szCs w:val="18"/>
              </w:rPr>
              <w:t>工厂应无有色金属产业政策和结构调整指导目录中规定的淘汰类设备。</w:t>
            </w:r>
          </w:p>
        </w:tc>
        <w:tc>
          <w:tcPr>
            <w:tcW w:w="1134" w:type="dxa"/>
            <w:vMerge w:val="continue"/>
            <w:shd w:val="clear" w:color="auto" w:fill="auto"/>
            <w:vAlign w:val="center"/>
          </w:tcPr>
          <w:p>
            <w:pPr>
              <w:jc w:val="center"/>
              <w:rPr>
                <w:rFonts w:ascii="宋体" w:hAnsi="宋体" w:cs="仿宋_GB2312"/>
                <w:strike/>
                <w:dstrike w:val="0"/>
                <w:color w:val="00B0F0"/>
                <w:sz w:val="18"/>
                <w:szCs w:val="18"/>
              </w:rPr>
            </w:pPr>
          </w:p>
        </w:tc>
        <w:tc>
          <w:tcPr>
            <w:tcW w:w="1134" w:type="dxa"/>
            <w:vAlign w:val="center"/>
          </w:tcPr>
          <w:p>
            <w:pPr>
              <w:jc w:val="center"/>
              <w:rPr>
                <w:rFonts w:ascii="宋体" w:hAnsi="宋体" w:cs="仿宋_GB2312"/>
                <w:strike/>
                <w:dstrike w:val="0"/>
                <w:color w:val="00B0F0"/>
                <w:sz w:val="18"/>
                <w:szCs w:val="18"/>
              </w:rPr>
            </w:pPr>
          </w:p>
        </w:tc>
        <w:tc>
          <w:tcPr>
            <w:tcW w:w="1134" w:type="dxa"/>
            <w:vMerge w:val="continue"/>
            <w:vAlign w:val="center"/>
          </w:tcPr>
          <w:p>
            <w:pP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678" w:type="dxa"/>
            <w:vMerge w:val="continue"/>
            <w:vAlign w:val="center"/>
          </w:tcPr>
          <w:p>
            <w:pPr>
              <w:jc w:val="center"/>
              <w:rPr>
                <w:rFonts w:ascii="宋体" w:hAnsi="宋体" w:cs="仿宋_GB2312"/>
                <w:sz w:val="18"/>
                <w:szCs w:val="18"/>
              </w:rPr>
            </w:pPr>
          </w:p>
        </w:tc>
        <w:tc>
          <w:tcPr>
            <w:tcW w:w="1025" w:type="dxa"/>
            <w:vMerge w:val="continue"/>
            <w:vAlign w:val="center"/>
          </w:tcPr>
          <w:p>
            <w:pPr>
              <w:rPr>
                <w:rFonts w:ascii="宋体" w:hAnsi="宋体" w:cs="仿宋_GB2312"/>
                <w:sz w:val="18"/>
                <w:szCs w:val="18"/>
              </w:rPr>
            </w:pPr>
          </w:p>
        </w:tc>
        <w:tc>
          <w:tcPr>
            <w:tcW w:w="1130" w:type="dxa"/>
            <w:vMerge w:val="continue"/>
            <w:vAlign w:val="center"/>
          </w:tcPr>
          <w:p>
            <w:pPr>
              <w:rPr>
                <w:rFonts w:cs="仿宋_GB2312"/>
                <w:sz w:val="18"/>
                <w:szCs w:val="18"/>
              </w:rPr>
            </w:pPr>
          </w:p>
        </w:tc>
        <w:tc>
          <w:tcPr>
            <w:tcW w:w="7833" w:type="dxa"/>
            <w:vAlign w:val="center"/>
          </w:tcPr>
          <w:p>
            <w:pPr>
              <w:rPr>
                <w:rFonts w:cs="仿宋_GB2312"/>
                <w:sz w:val="18"/>
                <w:szCs w:val="18"/>
              </w:rPr>
            </w:pPr>
            <w:r>
              <w:rPr>
                <w:rFonts w:hint="eastAsia" w:ascii="宋体" w:hAnsi="宋体"/>
                <w:sz w:val="18"/>
                <w:szCs w:val="18"/>
              </w:rPr>
              <w:t>工厂新、改和扩建时，生产工艺、建设规模、主要装备等用复合国家、地方相关政策。</w:t>
            </w:r>
          </w:p>
        </w:tc>
        <w:tc>
          <w:tcPr>
            <w:tcW w:w="1134" w:type="dxa"/>
            <w:vMerge w:val="continue"/>
            <w:shd w:val="clear" w:color="auto" w:fill="auto"/>
            <w:vAlign w:val="center"/>
          </w:tcPr>
          <w:p>
            <w:pPr>
              <w:jc w:val="center"/>
              <w:rPr>
                <w:rFonts w:ascii="宋体" w:hAnsi="宋体" w:cs="仿宋_GB2312"/>
                <w:strike/>
                <w:dstrike w:val="0"/>
                <w:color w:val="00B0F0"/>
                <w:sz w:val="18"/>
                <w:szCs w:val="18"/>
              </w:rPr>
            </w:pPr>
          </w:p>
        </w:tc>
        <w:tc>
          <w:tcPr>
            <w:tcW w:w="1134" w:type="dxa"/>
            <w:vAlign w:val="center"/>
          </w:tcPr>
          <w:p>
            <w:pPr>
              <w:jc w:val="center"/>
              <w:rPr>
                <w:rFonts w:ascii="宋体" w:hAnsi="宋体" w:cs="仿宋_GB2312"/>
                <w:strike/>
                <w:dstrike w:val="0"/>
                <w:color w:val="00B0F0"/>
                <w:sz w:val="18"/>
                <w:szCs w:val="18"/>
              </w:rPr>
            </w:pPr>
          </w:p>
        </w:tc>
        <w:tc>
          <w:tcPr>
            <w:tcW w:w="1134" w:type="dxa"/>
            <w:vMerge w:val="continue"/>
            <w:vAlign w:val="center"/>
          </w:tcPr>
          <w:p>
            <w:pP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678" w:type="dxa"/>
            <w:vMerge w:val="continue"/>
            <w:vAlign w:val="center"/>
          </w:tcPr>
          <w:p>
            <w:pPr>
              <w:jc w:val="center"/>
              <w:rPr>
                <w:rFonts w:ascii="宋体" w:hAnsi="宋体" w:cs="仿宋_GB2312"/>
                <w:sz w:val="18"/>
                <w:szCs w:val="18"/>
              </w:rPr>
            </w:pPr>
          </w:p>
        </w:tc>
        <w:tc>
          <w:tcPr>
            <w:tcW w:w="1025" w:type="dxa"/>
            <w:vMerge w:val="continue"/>
            <w:vAlign w:val="center"/>
          </w:tcPr>
          <w:p>
            <w:pPr>
              <w:rPr>
                <w:rFonts w:ascii="宋体" w:hAnsi="宋体" w:cs="仿宋_GB2312"/>
                <w:sz w:val="18"/>
                <w:szCs w:val="18"/>
              </w:rPr>
            </w:pPr>
          </w:p>
        </w:tc>
        <w:tc>
          <w:tcPr>
            <w:tcW w:w="1130" w:type="dxa"/>
            <w:vMerge w:val="continue"/>
            <w:vAlign w:val="center"/>
          </w:tcPr>
          <w:p>
            <w:pPr>
              <w:rPr>
                <w:rFonts w:cs="仿宋_GB2312"/>
                <w:sz w:val="18"/>
                <w:szCs w:val="18"/>
              </w:rPr>
            </w:pPr>
          </w:p>
        </w:tc>
        <w:tc>
          <w:tcPr>
            <w:tcW w:w="7833" w:type="dxa"/>
            <w:vAlign w:val="center"/>
          </w:tcPr>
          <w:p>
            <w:pPr>
              <w:rPr>
                <w:rFonts w:cs="仿宋_GB2312"/>
                <w:sz w:val="18"/>
                <w:szCs w:val="18"/>
              </w:rPr>
            </w:pPr>
            <w:r>
              <w:rPr>
                <w:rFonts w:hint="eastAsia" w:cs="仿宋_GB2312"/>
                <w:sz w:val="18"/>
                <w:szCs w:val="18"/>
              </w:rPr>
              <w:t>通用设备或其系统的实际运行效率或主要运行参数应符合该设备经济运行的要求。</w:t>
            </w:r>
          </w:p>
        </w:tc>
        <w:tc>
          <w:tcPr>
            <w:tcW w:w="1134" w:type="dxa"/>
            <w:vMerge w:val="continue"/>
            <w:shd w:val="clear" w:color="auto" w:fill="auto"/>
            <w:vAlign w:val="center"/>
          </w:tcPr>
          <w:p>
            <w:pPr>
              <w:jc w:val="center"/>
              <w:rPr>
                <w:rFonts w:ascii="宋体" w:hAnsi="宋体" w:cs="仿宋_GB2312"/>
                <w:strike/>
                <w:dstrike w:val="0"/>
                <w:color w:val="00B0F0"/>
                <w:sz w:val="18"/>
                <w:szCs w:val="18"/>
              </w:rPr>
            </w:pPr>
          </w:p>
        </w:tc>
        <w:tc>
          <w:tcPr>
            <w:tcW w:w="1134" w:type="dxa"/>
            <w:vAlign w:val="center"/>
          </w:tcPr>
          <w:p>
            <w:pPr>
              <w:jc w:val="center"/>
              <w:rPr>
                <w:rFonts w:ascii="宋体" w:hAnsi="宋体" w:cs="仿宋_GB2312"/>
                <w:strike/>
                <w:dstrike w:val="0"/>
                <w:color w:val="00B0F0"/>
                <w:sz w:val="18"/>
                <w:szCs w:val="18"/>
              </w:rPr>
            </w:pPr>
          </w:p>
        </w:tc>
        <w:tc>
          <w:tcPr>
            <w:tcW w:w="1134" w:type="dxa"/>
            <w:vMerge w:val="continue"/>
            <w:vAlign w:val="center"/>
          </w:tcPr>
          <w:p>
            <w:pP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678" w:type="dxa"/>
            <w:vMerge w:val="continue"/>
            <w:vAlign w:val="center"/>
          </w:tcPr>
          <w:p>
            <w:pPr>
              <w:jc w:val="center"/>
              <w:rPr>
                <w:rFonts w:ascii="宋体" w:hAnsi="宋体" w:cs="仿宋_GB2312"/>
                <w:sz w:val="18"/>
                <w:szCs w:val="18"/>
              </w:rPr>
            </w:pPr>
          </w:p>
        </w:tc>
        <w:tc>
          <w:tcPr>
            <w:tcW w:w="1025" w:type="dxa"/>
            <w:vMerge w:val="continue"/>
            <w:vAlign w:val="center"/>
          </w:tcPr>
          <w:p>
            <w:pPr>
              <w:rPr>
                <w:rFonts w:ascii="宋体" w:hAnsi="宋体" w:cs="仿宋_GB2312"/>
                <w:sz w:val="18"/>
                <w:szCs w:val="18"/>
              </w:rPr>
            </w:pPr>
          </w:p>
        </w:tc>
        <w:tc>
          <w:tcPr>
            <w:tcW w:w="1130" w:type="dxa"/>
            <w:vMerge w:val="continue"/>
            <w:vAlign w:val="center"/>
          </w:tcPr>
          <w:p>
            <w:pPr>
              <w:rPr>
                <w:rFonts w:ascii="宋体" w:hAnsi="宋体" w:cs="仿宋_GB2312"/>
                <w:sz w:val="18"/>
                <w:szCs w:val="18"/>
              </w:rPr>
            </w:pPr>
          </w:p>
        </w:tc>
        <w:tc>
          <w:tcPr>
            <w:tcW w:w="7833" w:type="dxa"/>
            <w:vAlign w:val="center"/>
          </w:tcPr>
          <w:p>
            <w:pPr>
              <w:rPr>
                <w:rFonts w:cs="仿宋_GB2312"/>
                <w:sz w:val="18"/>
                <w:szCs w:val="18"/>
              </w:rPr>
            </w:pPr>
            <w:r>
              <w:rPr>
                <w:rFonts w:hint="eastAsia" w:cs="仿宋_GB2312"/>
                <w:sz w:val="18"/>
                <w:szCs w:val="18"/>
              </w:rPr>
              <w:t>已明令禁止生产、使用和能耗高、效率低的设备应限期淘汰更新。</w:t>
            </w:r>
          </w:p>
        </w:tc>
        <w:tc>
          <w:tcPr>
            <w:tcW w:w="1134" w:type="dxa"/>
            <w:vMerge w:val="continue"/>
            <w:shd w:val="clear" w:color="auto" w:fill="auto"/>
            <w:vAlign w:val="center"/>
          </w:tcPr>
          <w:p>
            <w:pPr>
              <w:jc w:val="center"/>
              <w:rPr>
                <w:rFonts w:ascii="宋体" w:hAnsi="宋体" w:cs="仿宋_GB2312"/>
                <w:strike/>
                <w:dstrike w:val="0"/>
                <w:color w:val="00B0F0"/>
                <w:sz w:val="18"/>
                <w:szCs w:val="18"/>
              </w:rPr>
            </w:pPr>
          </w:p>
        </w:tc>
        <w:tc>
          <w:tcPr>
            <w:tcW w:w="1134" w:type="dxa"/>
            <w:vAlign w:val="center"/>
          </w:tcPr>
          <w:p>
            <w:pPr>
              <w:jc w:val="center"/>
              <w:rPr>
                <w:rFonts w:ascii="宋体" w:hAnsi="宋体" w:cs="仿宋_GB2312"/>
                <w:strike/>
                <w:dstrike w:val="0"/>
                <w:color w:val="00B0F0"/>
                <w:sz w:val="18"/>
                <w:szCs w:val="18"/>
              </w:rPr>
            </w:pPr>
          </w:p>
        </w:tc>
        <w:tc>
          <w:tcPr>
            <w:tcW w:w="1134" w:type="dxa"/>
            <w:vMerge w:val="continue"/>
            <w:vAlign w:val="center"/>
          </w:tcPr>
          <w:p>
            <w:pP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678" w:type="dxa"/>
            <w:vMerge w:val="continue"/>
            <w:vAlign w:val="center"/>
          </w:tcPr>
          <w:p>
            <w:pPr>
              <w:jc w:val="center"/>
              <w:rPr>
                <w:rFonts w:ascii="宋体" w:hAnsi="宋体" w:cs="仿宋_GB2312"/>
                <w:sz w:val="18"/>
                <w:szCs w:val="18"/>
              </w:rPr>
            </w:pPr>
          </w:p>
        </w:tc>
        <w:tc>
          <w:tcPr>
            <w:tcW w:w="1025" w:type="dxa"/>
            <w:vMerge w:val="continue"/>
            <w:vAlign w:val="center"/>
          </w:tcPr>
          <w:p>
            <w:pPr>
              <w:rPr>
                <w:rFonts w:ascii="宋体" w:hAnsi="宋体" w:cs="仿宋_GB2312"/>
                <w:sz w:val="18"/>
                <w:szCs w:val="18"/>
              </w:rPr>
            </w:pPr>
          </w:p>
        </w:tc>
        <w:tc>
          <w:tcPr>
            <w:tcW w:w="1130" w:type="dxa"/>
            <w:vMerge w:val="continue"/>
            <w:vAlign w:val="center"/>
          </w:tcPr>
          <w:p>
            <w:pPr>
              <w:rPr>
                <w:rFonts w:ascii="宋体" w:hAnsi="宋体" w:cs="仿宋_GB2312"/>
                <w:sz w:val="18"/>
                <w:szCs w:val="18"/>
              </w:rPr>
            </w:pPr>
          </w:p>
        </w:tc>
        <w:tc>
          <w:tcPr>
            <w:tcW w:w="7833" w:type="dxa"/>
            <w:vAlign w:val="center"/>
          </w:tcPr>
          <w:p>
            <w:pPr>
              <w:rPr>
                <w:rFonts w:cs="仿宋_GB2312"/>
                <w:sz w:val="18"/>
                <w:szCs w:val="18"/>
              </w:rPr>
            </w:pPr>
            <w:r>
              <w:rPr>
                <w:rFonts w:hint="eastAsia" w:cs="仿宋_GB2312"/>
                <w:sz w:val="18"/>
                <w:szCs w:val="18"/>
              </w:rPr>
              <w:t>适用时，通用设备应达到相关标准中能效限定值的要求。</w:t>
            </w:r>
          </w:p>
        </w:tc>
        <w:tc>
          <w:tcPr>
            <w:tcW w:w="1134" w:type="dxa"/>
            <w:vMerge w:val="continue"/>
            <w:shd w:val="clear" w:color="auto" w:fill="auto"/>
            <w:vAlign w:val="center"/>
          </w:tcPr>
          <w:p>
            <w:pPr>
              <w:jc w:val="center"/>
              <w:rPr>
                <w:rFonts w:ascii="宋体" w:hAnsi="宋体" w:cs="仿宋_GB2312"/>
                <w:strike/>
                <w:dstrike w:val="0"/>
                <w:color w:val="00B0F0"/>
                <w:sz w:val="18"/>
                <w:szCs w:val="18"/>
              </w:rPr>
            </w:pPr>
          </w:p>
        </w:tc>
        <w:tc>
          <w:tcPr>
            <w:tcW w:w="1134" w:type="dxa"/>
            <w:vAlign w:val="center"/>
          </w:tcPr>
          <w:p>
            <w:pPr>
              <w:jc w:val="center"/>
              <w:rPr>
                <w:rFonts w:ascii="宋体" w:hAnsi="宋体" w:cs="仿宋_GB2312"/>
                <w:strike/>
                <w:dstrike w:val="0"/>
                <w:color w:val="00B0F0"/>
                <w:sz w:val="18"/>
                <w:szCs w:val="18"/>
              </w:rPr>
            </w:pPr>
          </w:p>
        </w:tc>
        <w:tc>
          <w:tcPr>
            <w:tcW w:w="1134" w:type="dxa"/>
            <w:vMerge w:val="continue"/>
            <w:vAlign w:val="center"/>
          </w:tcPr>
          <w:p>
            <w:pP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678" w:type="dxa"/>
            <w:vMerge w:val="continue"/>
            <w:vAlign w:val="center"/>
          </w:tcPr>
          <w:p>
            <w:pPr>
              <w:jc w:val="center"/>
              <w:rPr>
                <w:rFonts w:ascii="宋体" w:hAnsi="宋体" w:cs="仿宋_GB2312"/>
                <w:sz w:val="18"/>
                <w:szCs w:val="18"/>
              </w:rPr>
            </w:pPr>
          </w:p>
        </w:tc>
        <w:tc>
          <w:tcPr>
            <w:tcW w:w="1025" w:type="dxa"/>
            <w:vMerge w:val="continue"/>
            <w:vAlign w:val="center"/>
          </w:tcPr>
          <w:p>
            <w:pPr>
              <w:rPr>
                <w:rFonts w:ascii="宋体" w:hAnsi="宋体" w:cs="仿宋_GB2312"/>
                <w:sz w:val="18"/>
                <w:szCs w:val="18"/>
              </w:rPr>
            </w:pPr>
          </w:p>
        </w:tc>
        <w:tc>
          <w:tcPr>
            <w:tcW w:w="1130" w:type="dxa"/>
            <w:vMerge w:val="continue"/>
            <w:vAlign w:val="center"/>
          </w:tcPr>
          <w:p>
            <w:pPr>
              <w:rPr>
                <w:rFonts w:ascii="宋体" w:hAnsi="宋体" w:cs="仿宋_GB2312"/>
                <w:sz w:val="18"/>
                <w:szCs w:val="18"/>
              </w:rPr>
            </w:pPr>
          </w:p>
        </w:tc>
        <w:tc>
          <w:tcPr>
            <w:tcW w:w="7833" w:type="dxa"/>
            <w:vAlign w:val="center"/>
          </w:tcPr>
          <w:p>
            <w:pPr>
              <w:rPr>
                <w:rFonts w:cs="仿宋_GB2312"/>
                <w:sz w:val="18"/>
                <w:szCs w:val="18"/>
              </w:rPr>
            </w:pPr>
            <w:r>
              <w:rPr>
                <w:rFonts w:hint="eastAsia" w:cs="仿宋_GB2312"/>
                <w:sz w:val="18"/>
                <w:szCs w:val="18"/>
              </w:rPr>
              <w:t>通用设备宜采用节能型产品或效率高、能耗低、水耗低、物耗低的产品。</w:t>
            </w:r>
          </w:p>
        </w:tc>
        <w:tc>
          <w:tcPr>
            <w:tcW w:w="1134" w:type="dxa"/>
            <w:shd w:val="clear" w:color="auto" w:fill="auto"/>
            <w:vAlign w:val="center"/>
          </w:tcPr>
          <w:p>
            <w:pPr>
              <w:jc w:val="center"/>
              <w:rPr>
                <w:rFonts w:ascii="宋体" w:hAnsi="宋体" w:cs="仿宋_GB2312"/>
                <w:strike/>
                <w:dstrike w:val="0"/>
                <w:color w:val="00B0F0"/>
                <w:sz w:val="18"/>
                <w:szCs w:val="18"/>
              </w:rPr>
            </w:pPr>
            <w:r>
              <w:rPr>
                <w:rFonts w:hint="eastAsia" w:ascii="宋体" w:hAnsi="宋体" w:cs="仿宋_GB2312"/>
                <w:strike/>
                <w:dstrike w:val="0"/>
                <w:color w:val="00B0F0"/>
                <w:sz w:val="18"/>
                <w:szCs w:val="18"/>
              </w:rPr>
              <w:t>可选</w:t>
            </w:r>
          </w:p>
        </w:tc>
        <w:tc>
          <w:tcPr>
            <w:tcW w:w="1134" w:type="dxa"/>
            <w:vAlign w:val="center"/>
          </w:tcPr>
          <w:p>
            <w:pPr>
              <w:jc w:val="center"/>
              <w:rPr>
                <w:rFonts w:hint="eastAsia" w:ascii="宋体" w:hAnsi="宋体" w:cs="仿宋_GB2312"/>
                <w:strike/>
                <w:dstrike w:val="0"/>
                <w:color w:val="00B0F0"/>
                <w:sz w:val="18"/>
                <w:szCs w:val="18"/>
              </w:rPr>
            </w:pPr>
          </w:p>
        </w:tc>
        <w:tc>
          <w:tcPr>
            <w:tcW w:w="1134" w:type="dxa"/>
            <w:vMerge w:val="continue"/>
            <w:vAlign w:val="center"/>
          </w:tcPr>
          <w:p>
            <w:pP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87" w:hRule="atLeast"/>
          <w:jc w:val="center"/>
        </w:trPr>
        <w:tc>
          <w:tcPr>
            <w:tcW w:w="678" w:type="dxa"/>
            <w:vMerge w:val="continue"/>
            <w:vAlign w:val="center"/>
          </w:tcPr>
          <w:p>
            <w:pPr>
              <w:jc w:val="center"/>
              <w:rPr>
                <w:rFonts w:ascii="宋体" w:hAnsi="宋体" w:cs="仿宋_GB2312"/>
                <w:sz w:val="18"/>
                <w:szCs w:val="18"/>
              </w:rPr>
            </w:pPr>
          </w:p>
        </w:tc>
        <w:tc>
          <w:tcPr>
            <w:tcW w:w="1025" w:type="dxa"/>
            <w:vMerge w:val="continue"/>
            <w:vAlign w:val="center"/>
          </w:tcPr>
          <w:p>
            <w:pPr>
              <w:rPr>
                <w:rFonts w:ascii="宋体" w:hAnsi="宋体" w:cs="仿宋_GB2312"/>
                <w:sz w:val="18"/>
                <w:szCs w:val="18"/>
              </w:rPr>
            </w:pPr>
          </w:p>
        </w:tc>
        <w:tc>
          <w:tcPr>
            <w:tcW w:w="1130" w:type="dxa"/>
            <w:vMerge w:val="continue"/>
            <w:vAlign w:val="center"/>
          </w:tcPr>
          <w:p>
            <w:pPr>
              <w:rPr>
                <w:rFonts w:ascii="宋体" w:hAnsi="宋体" w:cs="仿宋_GB2312"/>
                <w:sz w:val="18"/>
                <w:szCs w:val="18"/>
              </w:rPr>
            </w:pPr>
          </w:p>
        </w:tc>
        <w:tc>
          <w:tcPr>
            <w:tcW w:w="7833" w:type="dxa"/>
            <w:vAlign w:val="center"/>
          </w:tcPr>
          <w:p>
            <w:pPr>
              <w:rPr>
                <w:rFonts w:cs="仿宋_GB2312"/>
                <w:sz w:val="18"/>
                <w:szCs w:val="18"/>
              </w:rPr>
            </w:pPr>
            <w:r>
              <w:rPr>
                <w:rFonts w:hint="eastAsia" w:cs="仿宋_GB2312"/>
                <w:sz w:val="18"/>
                <w:szCs w:val="18"/>
              </w:rPr>
              <w:t>应依据</w:t>
            </w:r>
            <w:r>
              <w:rPr>
                <w:rFonts w:cs="仿宋_GB2312"/>
                <w:sz w:val="18"/>
                <w:szCs w:val="18"/>
              </w:rPr>
              <w:t>GB 17167</w:t>
            </w:r>
            <w:r>
              <w:rPr>
                <w:rFonts w:hint="eastAsia" w:cs="仿宋_GB2312"/>
                <w:sz w:val="18"/>
                <w:szCs w:val="18"/>
              </w:rPr>
              <w:t>、</w:t>
            </w:r>
            <w:r>
              <w:rPr>
                <w:rFonts w:cs="仿宋_GB2312"/>
                <w:sz w:val="18"/>
                <w:szCs w:val="18"/>
              </w:rPr>
              <w:t>GB 24789</w:t>
            </w:r>
            <w:r>
              <w:rPr>
                <w:rFonts w:hint="eastAsia" w:cs="仿宋_GB2312"/>
                <w:sz w:val="18"/>
                <w:szCs w:val="18"/>
              </w:rPr>
              <w:t>、YS/T xxx等要求配备、使用和管理能源、水以及其他资源的计量器具和装置。一级用能单位、主要二级用能单位、主要三级用能单位计量器具配备率应满足YS/T xxxx的要求。</w:t>
            </w:r>
          </w:p>
        </w:tc>
        <w:tc>
          <w:tcPr>
            <w:tcW w:w="1134" w:type="dxa"/>
            <w:vMerge w:val="restart"/>
            <w:shd w:val="clear" w:color="auto" w:fill="auto"/>
            <w:vAlign w:val="center"/>
          </w:tcPr>
          <w:p>
            <w:pPr>
              <w:jc w:val="center"/>
              <w:rPr>
                <w:rFonts w:ascii="宋体" w:hAnsi="宋体" w:cs="仿宋_GB2312"/>
                <w:strike/>
                <w:dstrike w:val="0"/>
                <w:color w:val="00B0F0"/>
                <w:sz w:val="18"/>
                <w:szCs w:val="18"/>
              </w:rPr>
            </w:pPr>
            <w:r>
              <w:rPr>
                <w:rFonts w:hint="eastAsia" w:ascii="宋体" w:hAnsi="宋体" w:cs="仿宋_GB2312"/>
                <w:strike/>
                <w:dstrike w:val="0"/>
                <w:color w:val="00B0F0"/>
                <w:sz w:val="18"/>
                <w:szCs w:val="18"/>
              </w:rPr>
              <w:t>必选</w:t>
            </w:r>
          </w:p>
        </w:tc>
        <w:tc>
          <w:tcPr>
            <w:tcW w:w="1134" w:type="dxa"/>
            <w:vAlign w:val="center"/>
          </w:tcPr>
          <w:p>
            <w:pPr>
              <w:jc w:val="center"/>
              <w:rPr>
                <w:rFonts w:hint="eastAsia" w:ascii="宋体" w:hAnsi="宋体" w:cs="仿宋_GB2312"/>
                <w:strike/>
                <w:dstrike w:val="0"/>
                <w:color w:val="00B0F0"/>
                <w:sz w:val="18"/>
                <w:szCs w:val="18"/>
              </w:rPr>
            </w:pPr>
          </w:p>
        </w:tc>
        <w:tc>
          <w:tcPr>
            <w:tcW w:w="1134" w:type="dxa"/>
            <w:vMerge w:val="continue"/>
            <w:vAlign w:val="center"/>
          </w:tcPr>
          <w:p>
            <w:pPr>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7" w:hRule="atLeast"/>
          <w:jc w:val="center"/>
        </w:trPr>
        <w:tc>
          <w:tcPr>
            <w:tcW w:w="678" w:type="dxa"/>
            <w:vMerge w:val="continue"/>
            <w:vAlign w:val="center"/>
          </w:tcPr>
          <w:p>
            <w:pPr>
              <w:jc w:val="center"/>
              <w:rPr>
                <w:rFonts w:ascii="宋体" w:hAnsi="宋体" w:cs="仿宋_GB2312"/>
                <w:sz w:val="18"/>
                <w:szCs w:val="18"/>
              </w:rPr>
            </w:pPr>
          </w:p>
        </w:tc>
        <w:tc>
          <w:tcPr>
            <w:tcW w:w="1025" w:type="dxa"/>
            <w:vMerge w:val="continue"/>
            <w:vAlign w:val="center"/>
          </w:tcPr>
          <w:p>
            <w:pPr>
              <w:rPr>
                <w:rFonts w:ascii="宋体" w:hAnsi="宋体" w:cs="仿宋_GB2312"/>
                <w:sz w:val="18"/>
                <w:szCs w:val="18"/>
              </w:rPr>
            </w:pPr>
          </w:p>
        </w:tc>
        <w:tc>
          <w:tcPr>
            <w:tcW w:w="1130" w:type="dxa"/>
            <w:vMerge w:val="continue"/>
            <w:vAlign w:val="center"/>
          </w:tcPr>
          <w:p>
            <w:pPr>
              <w:rPr>
                <w:rFonts w:ascii="宋体" w:hAnsi="宋体" w:cs="仿宋_GB2312"/>
                <w:sz w:val="18"/>
                <w:szCs w:val="18"/>
              </w:rPr>
            </w:pPr>
          </w:p>
        </w:tc>
        <w:tc>
          <w:tcPr>
            <w:tcW w:w="7833" w:type="dxa"/>
            <w:vAlign w:val="center"/>
          </w:tcPr>
          <w:p>
            <w:pPr>
              <w:rPr>
                <w:rFonts w:cs="仿宋_GB2312"/>
                <w:sz w:val="18"/>
                <w:szCs w:val="18"/>
              </w:rPr>
            </w:pPr>
            <w:r>
              <w:rPr>
                <w:rFonts w:hint="eastAsia" w:cs="仿宋_GB2312"/>
                <w:sz w:val="18"/>
                <w:szCs w:val="18"/>
              </w:rPr>
              <w:t>能源及资源使用的类型不同时，应进行分类计量。工厂若具有以下设备，应满足分类计量的要求：</w:t>
            </w:r>
            <w:r>
              <w:rPr>
                <w:rFonts w:hint="eastAsia" w:ascii="宋体" w:hAnsi="宋体" w:cs="仿宋_GB2312"/>
                <w:sz w:val="18"/>
                <w:szCs w:val="18"/>
              </w:rPr>
              <w:t>（1）照明系统；</w:t>
            </w:r>
            <w:r>
              <w:rPr>
                <w:rFonts w:hint="eastAsia" w:ascii="宋体" w:hAnsi="宋体"/>
                <w:sz w:val="18"/>
                <w:szCs w:val="18"/>
              </w:rPr>
              <w:t>（2）新水、循环水、软化水及相关用能设备的计量和控制；（3）空气处理设备的流量和压力计量；</w:t>
            </w:r>
            <w:r>
              <w:rPr>
                <w:rFonts w:hint="eastAsia"/>
                <w:sz w:val="18"/>
                <w:szCs w:val="18"/>
              </w:rPr>
              <w:t>（4）天然气、相关用能设备的能耗计量和控制；（5）热力（蒸汽和热水）、相关用能设备的计量。</w:t>
            </w:r>
          </w:p>
        </w:tc>
        <w:tc>
          <w:tcPr>
            <w:tcW w:w="1134" w:type="dxa"/>
            <w:vMerge w:val="continue"/>
            <w:shd w:val="clear" w:color="auto" w:fill="auto"/>
            <w:vAlign w:val="center"/>
          </w:tcPr>
          <w:p>
            <w:pPr>
              <w:jc w:val="center"/>
              <w:rPr>
                <w:rFonts w:ascii="宋体" w:hAnsi="宋体" w:cs="仿宋_GB2312"/>
                <w:sz w:val="18"/>
                <w:szCs w:val="18"/>
              </w:rPr>
            </w:pPr>
          </w:p>
        </w:tc>
        <w:tc>
          <w:tcPr>
            <w:tcW w:w="1134" w:type="dxa"/>
            <w:vAlign w:val="center"/>
          </w:tcPr>
          <w:p>
            <w:pPr>
              <w:jc w:val="center"/>
              <w:rPr>
                <w:rFonts w:ascii="宋体" w:hAnsi="宋体" w:cs="仿宋_GB2312"/>
                <w:sz w:val="18"/>
                <w:szCs w:val="18"/>
              </w:rPr>
            </w:pPr>
          </w:p>
        </w:tc>
        <w:tc>
          <w:tcPr>
            <w:tcW w:w="1134" w:type="dxa"/>
            <w:vMerge w:val="continue"/>
            <w:vAlign w:val="center"/>
          </w:tcPr>
          <w:p>
            <w:pPr>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678" w:type="dxa"/>
            <w:vMerge w:val="continue"/>
            <w:vAlign w:val="center"/>
          </w:tcPr>
          <w:p>
            <w:pPr>
              <w:jc w:val="center"/>
              <w:rPr>
                <w:rFonts w:ascii="宋体" w:hAnsi="宋体" w:cs="仿宋_GB2312"/>
                <w:sz w:val="18"/>
                <w:szCs w:val="18"/>
              </w:rPr>
            </w:pPr>
          </w:p>
        </w:tc>
        <w:tc>
          <w:tcPr>
            <w:tcW w:w="1025" w:type="dxa"/>
            <w:vMerge w:val="continue"/>
            <w:vAlign w:val="center"/>
          </w:tcPr>
          <w:p>
            <w:pPr>
              <w:rPr>
                <w:rFonts w:ascii="宋体" w:hAnsi="宋体" w:cs="仿宋_GB2312"/>
                <w:sz w:val="18"/>
                <w:szCs w:val="18"/>
              </w:rPr>
            </w:pPr>
          </w:p>
        </w:tc>
        <w:tc>
          <w:tcPr>
            <w:tcW w:w="1130" w:type="dxa"/>
            <w:vMerge w:val="continue"/>
            <w:vAlign w:val="center"/>
          </w:tcPr>
          <w:p>
            <w:pPr>
              <w:rPr>
                <w:rFonts w:ascii="宋体" w:hAnsi="宋体" w:cs="仿宋_GB2312"/>
                <w:sz w:val="18"/>
                <w:szCs w:val="18"/>
              </w:rPr>
            </w:pPr>
          </w:p>
        </w:tc>
        <w:tc>
          <w:tcPr>
            <w:tcW w:w="7833" w:type="dxa"/>
            <w:vAlign w:val="center"/>
          </w:tcPr>
          <w:p>
            <w:pPr>
              <w:rPr>
                <w:rFonts w:cs="仿宋_GB2312"/>
                <w:sz w:val="18"/>
                <w:szCs w:val="18"/>
              </w:rPr>
            </w:pPr>
            <w:r>
              <w:rPr>
                <w:rFonts w:hint="eastAsia" w:cs="仿宋_GB2312"/>
                <w:sz w:val="18"/>
                <w:szCs w:val="18"/>
              </w:rPr>
              <w:t>应投入的污染物处理设施，以确保其污染物排放达到相关法律法规及标准要求。</w:t>
            </w:r>
          </w:p>
        </w:tc>
        <w:tc>
          <w:tcPr>
            <w:tcW w:w="1134" w:type="dxa"/>
            <w:vMerge w:val="continue"/>
            <w:shd w:val="clear" w:color="auto" w:fill="auto"/>
            <w:vAlign w:val="center"/>
          </w:tcPr>
          <w:p>
            <w:pPr>
              <w:jc w:val="center"/>
              <w:rPr>
                <w:rFonts w:ascii="宋体" w:hAnsi="宋体" w:cs="仿宋_GB2312"/>
                <w:sz w:val="18"/>
                <w:szCs w:val="18"/>
              </w:rPr>
            </w:pPr>
          </w:p>
        </w:tc>
        <w:tc>
          <w:tcPr>
            <w:tcW w:w="1134" w:type="dxa"/>
            <w:vAlign w:val="center"/>
          </w:tcPr>
          <w:p>
            <w:pPr>
              <w:jc w:val="center"/>
              <w:rPr>
                <w:rFonts w:ascii="宋体" w:hAnsi="宋体" w:cs="仿宋_GB2312"/>
                <w:sz w:val="18"/>
                <w:szCs w:val="18"/>
              </w:rPr>
            </w:pPr>
          </w:p>
        </w:tc>
        <w:tc>
          <w:tcPr>
            <w:tcW w:w="1134" w:type="dxa"/>
            <w:vMerge w:val="continue"/>
            <w:vAlign w:val="center"/>
          </w:tcPr>
          <w:p>
            <w:pPr>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78" w:type="dxa"/>
            <w:vMerge w:val="restart"/>
            <w:vAlign w:val="center"/>
          </w:tcPr>
          <w:p>
            <w:pPr>
              <w:jc w:val="center"/>
              <w:rPr>
                <w:rFonts w:ascii="宋体" w:hAnsi="宋体" w:cs="仿宋_GB2312"/>
                <w:sz w:val="18"/>
                <w:szCs w:val="18"/>
              </w:rPr>
            </w:pPr>
            <w:r>
              <w:rPr>
                <w:rFonts w:ascii="宋体" w:hAnsi="宋体" w:cs="仿宋_GB2312"/>
                <w:sz w:val="18"/>
                <w:szCs w:val="18"/>
              </w:rPr>
              <w:t>2</w:t>
            </w:r>
          </w:p>
        </w:tc>
        <w:tc>
          <w:tcPr>
            <w:tcW w:w="1025" w:type="dxa"/>
            <w:vMerge w:val="restart"/>
            <w:vAlign w:val="center"/>
          </w:tcPr>
          <w:p>
            <w:pPr>
              <w:rPr>
                <w:rFonts w:cs="仿宋_GB2312"/>
                <w:sz w:val="18"/>
                <w:szCs w:val="18"/>
              </w:rPr>
            </w:pPr>
            <w:r>
              <w:rPr>
                <w:rFonts w:hint="eastAsia" w:cs="仿宋_GB2312"/>
                <w:sz w:val="18"/>
                <w:szCs w:val="18"/>
              </w:rPr>
              <w:t>管理体系</w:t>
            </w:r>
          </w:p>
        </w:tc>
        <w:tc>
          <w:tcPr>
            <w:tcW w:w="1130" w:type="dxa"/>
            <w:vMerge w:val="restart"/>
            <w:vAlign w:val="center"/>
          </w:tcPr>
          <w:p>
            <w:pPr>
              <w:rPr>
                <w:rFonts w:cs="仿宋_GB2312"/>
                <w:sz w:val="18"/>
                <w:szCs w:val="18"/>
              </w:rPr>
            </w:pPr>
            <w:r>
              <w:rPr>
                <w:rFonts w:hint="eastAsia" w:cs="仿宋_GB2312"/>
                <w:sz w:val="18"/>
                <w:szCs w:val="18"/>
              </w:rPr>
              <w:t>质量管理体系</w:t>
            </w:r>
          </w:p>
        </w:tc>
        <w:tc>
          <w:tcPr>
            <w:tcW w:w="7833" w:type="dxa"/>
            <w:vAlign w:val="center"/>
          </w:tcPr>
          <w:p>
            <w:pPr>
              <w:rPr>
                <w:rFonts w:cs="仿宋_GB2312"/>
                <w:sz w:val="18"/>
                <w:szCs w:val="18"/>
              </w:rPr>
            </w:pPr>
            <w:r>
              <w:rPr>
                <w:rFonts w:hint="eastAsia" w:cs="仿宋_GB2312"/>
                <w:sz w:val="18"/>
                <w:szCs w:val="18"/>
              </w:rPr>
              <w:t>应建立、实施并保持满足</w:t>
            </w:r>
            <w:r>
              <w:rPr>
                <w:rFonts w:cs="仿宋_GB2312"/>
                <w:sz w:val="18"/>
                <w:szCs w:val="18"/>
              </w:rPr>
              <w:t>GB/T 19001</w:t>
            </w:r>
            <w:r>
              <w:rPr>
                <w:rFonts w:hint="eastAsia" w:cs="仿宋_GB2312"/>
                <w:sz w:val="18"/>
                <w:szCs w:val="18"/>
              </w:rPr>
              <w:t>的要求的质量管理体系。</w:t>
            </w:r>
          </w:p>
        </w:tc>
        <w:tc>
          <w:tcPr>
            <w:tcW w:w="1134" w:type="dxa"/>
            <w:vAlign w:val="center"/>
          </w:tcPr>
          <w:p>
            <w:pPr>
              <w:jc w:val="center"/>
              <w:rPr>
                <w:rFonts w:cs="仿宋_GB2312"/>
                <w:strike/>
                <w:dstrike w:val="0"/>
                <w:color w:val="00B0F0"/>
                <w:sz w:val="18"/>
                <w:szCs w:val="18"/>
              </w:rPr>
            </w:pPr>
            <w:r>
              <w:rPr>
                <w:rFonts w:hint="eastAsia" w:cs="仿宋_GB2312"/>
                <w:strike/>
                <w:dstrike w:val="0"/>
                <w:color w:val="00B0F0"/>
                <w:sz w:val="18"/>
                <w:szCs w:val="18"/>
              </w:rPr>
              <w:t>必选</w:t>
            </w:r>
          </w:p>
        </w:tc>
        <w:tc>
          <w:tcPr>
            <w:tcW w:w="1134" w:type="dxa"/>
            <w:vAlign w:val="center"/>
          </w:tcPr>
          <w:p>
            <w:pPr>
              <w:jc w:val="center"/>
              <w:rPr>
                <w:rFonts w:hint="eastAsia" w:cs="仿宋_GB2312"/>
                <w:sz w:val="18"/>
                <w:szCs w:val="18"/>
              </w:rPr>
            </w:pPr>
          </w:p>
        </w:tc>
        <w:tc>
          <w:tcPr>
            <w:tcW w:w="1134" w:type="dxa"/>
            <w:vMerge w:val="restart"/>
            <w:vAlign w:val="center"/>
          </w:tcPr>
          <w:p>
            <w:pPr>
              <w:jc w:val="center"/>
              <w:rPr>
                <w:rFonts w:ascii="宋体" w:hAnsi="宋体" w:cs="仿宋_GB2312"/>
                <w:sz w:val="18"/>
                <w:szCs w:val="18"/>
              </w:rPr>
            </w:pPr>
            <w:r>
              <w:rPr>
                <w:rFonts w:ascii="宋体" w:hAnsi="宋体" w:cs="仿宋_GB2312"/>
                <w:sz w:val="18"/>
                <w:szCs w:val="18"/>
              </w:rPr>
              <w:t>15%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78" w:type="dxa"/>
            <w:vMerge w:val="continue"/>
            <w:vAlign w:val="center"/>
          </w:tcPr>
          <w:p>
            <w:pPr>
              <w:jc w:val="center"/>
              <w:rPr>
                <w:rFonts w:ascii="宋体" w:hAnsi="宋体" w:cs="仿宋_GB2312"/>
                <w:sz w:val="18"/>
                <w:szCs w:val="18"/>
              </w:rPr>
            </w:pPr>
          </w:p>
        </w:tc>
        <w:tc>
          <w:tcPr>
            <w:tcW w:w="1025" w:type="dxa"/>
            <w:vMerge w:val="continue"/>
            <w:vAlign w:val="center"/>
          </w:tcPr>
          <w:p>
            <w:pPr>
              <w:rPr>
                <w:rFonts w:ascii="宋体" w:hAnsi="宋体" w:cs="仿宋_GB2312"/>
                <w:sz w:val="18"/>
                <w:szCs w:val="18"/>
              </w:rPr>
            </w:pPr>
          </w:p>
        </w:tc>
        <w:tc>
          <w:tcPr>
            <w:tcW w:w="1130" w:type="dxa"/>
            <w:vMerge w:val="continue"/>
            <w:vAlign w:val="center"/>
          </w:tcPr>
          <w:p>
            <w:pPr>
              <w:rPr>
                <w:rFonts w:ascii="宋体" w:hAnsi="宋体" w:cs="仿宋_GB2312"/>
                <w:sz w:val="18"/>
                <w:szCs w:val="18"/>
              </w:rPr>
            </w:pPr>
          </w:p>
        </w:tc>
        <w:tc>
          <w:tcPr>
            <w:tcW w:w="7833" w:type="dxa"/>
            <w:vAlign w:val="center"/>
          </w:tcPr>
          <w:p>
            <w:pPr>
              <w:rPr>
                <w:rFonts w:cs="仿宋_GB2312"/>
                <w:sz w:val="18"/>
                <w:szCs w:val="18"/>
              </w:rPr>
            </w:pPr>
            <w:r>
              <w:rPr>
                <w:rFonts w:hint="eastAsia" w:cs="仿宋_GB2312"/>
                <w:sz w:val="18"/>
                <w:szCs w:val="18"/>
              </w:rPr>
              <w:t>宜通过质量管理体系第三方认证。</w:t>
            </w:r>
          </w:p>
        </w:tc>
        <w:tc>
          <w:tcPr>
            <w:tcW w:w="1134" w:type="dxa"/>
            <w:vAlign w:val="center"/>
          </w:tcPr>
          <w:p>
            <w:pPr>
              <w:jc w:val="center"/>
              <w:rPr>
                <w:rFonts w:cs="仿宋_GB2312"/>
                <w:strike/>
                <w:dstrike w:val="0"/>
                <w:color w:val="00B0F0"/>
                <w:sz w:val="18"/>
                <w:szCs w:val="18"/>
              </w:rPr>
            </w:pPr>
            <w:r>
              <w:rPr>
                <w:rFonts w:hint="eastAsia" w:cs="仿宋_GB2312"/>
                <w:strike/>
                <w:dstrike w:val="0"/>
                <w:color w:val="00B0F0"/>
                <w:sz w:val="18"/>
                <w:szCs w:val="18"/>
              </w:rPr>
              <w:t>可选</w:t>
            </w:r>
          </w:p>
        </w:tc>
        <w:tc>
          <w:tcPr>
            <w:tcW w:w="1134" w:type="dxa"/>
            <w:vAlign w:val="center"/>
          </w:tcPr>
          <w:p>
            <w:pPr>
              <w:jc w:val="center"/>
              <w:rPr>
                <w:rFonts w:hint="eastAsia" w:cs="仿宋_GB2312"/>
                <w:sz w:val="18"/>
                <w:szCs w:val="18"/>
              </w:rPr>
            </w:pPr>
          </w:p>
        </w:tc>
        <w:tc>
          <w:tcPr>
            <w:tcW w:w="1134" w:type="dxa"/>
            <w:vMerge w:val="continue"/>
            <w:vAlign w:val="center"/>
          </w:tcPr>
          <w:p>
            <w:pPr>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78" w:type="dxa"/>
            <w:vMerge w:val="continue"/>
            <w:vAlign w:val="center"/>
          </w:tcPr>
          <w:p>
            <w:pPr>
              <w:jc w:val="center"/>
              <w:rPr>
                <w:rFonts w:ascii="宋体" w:hAnsi="宋体" w:cs="仿宋_GB2312"/>
                <w:sz w:val="18"/>
                <w:szCs w:val="18"/>
              </w:rPr>
            </w:pPr>
          </w:p>
        </w:tc>
        <w:tc>
          <w:tcPr>
            <w:tcW w:w="1025" w:type="dxa"/>
            <w:vMerge w:val="continue"/>
            <w:vAlign w:val="center"/>
          </w:tcPr>
          <w:p>
            <w:pPr>
              <w:rPr>
                <w:rFonts w:ascii="宋体" w:hAnsi="宋体" w:cs="仿宋_GB2312"/>
                <w:sz w:val="18"/>
                <w:szCs w:val="18"/>
              </w:rPr>
            </w:pPr>
          </w:p>
        </w:tc>
        <w:tc>
          <w:tcPr>
            <w:tcW w:w="1130" w:type="dxa"/>
            <w:vMerge w:val="restart"/>
            <w:vAlign w:val="center"/>
          </w:tcPr>
          <w:p>
            <w:pPr>
              <w:rPr>
                <w:rFonts w:ascii="宋体" w:hAnsi="宋体" w:cs="仿宋_GB2312"/>
                <w:sz w:val="18"/>
                <w:szCs w:val="18"/>
              </w:rPr>
            </w:pPr>
            <w:r>
              <w:rPr>
                <w:rFonts w:hint="eastAsia" w:ascii="宋体" w:hAnsi="宋体" w:cs="仿宋_GB2312"/>
                <w:sz w:val="18"/>
                <w:szCs w:val="18"/>
              </w:rPr>
              <w:t>职业健康安全管理体系</w:t>
            </w:r>
          </w:p>
        </w:tc>
        <w:tc>
          <w:tcPr>
            <w:tcW w:w="7833" w:type="dxa"/>
            <w:vAlign w:val="center"/>
          </w:tcPr>
          <w:p>
            <w:pPr>
              <w:rPr>
                <w:rFonts w:cs="仿宋_GB2312"/>
                <w:sz w:val="18"/>
                <w:szCs w:val="18"/>
              </w:rPr>
            </w:pPr>
            <w:r>
              <w:rPr>
                <w:rFonts w:hint="eastAsia" w:cs="仿宋_GB2312"/>
                <w:sz w:val="18"/>
                <w:szCs w:val="18"/>
              </w:rPr>
              <w:t>应建立、实施并保持满足</w:t>
            </w:r>
            <w:r>
              <w:rPr>
                <w:rFonts w:cs="仿宋_GB2312"/>
                <w:sz w:val="18"/>
                <w:szCs w:val="18"/>
              </w:rPr>
              <w:t>GB/T 28001</w:t>
            </w:r>
            <w:r>
              <w:rPr>
                <w:rFonts w:hint="eastAsia" w:cs="仿宋_GB2312"/>
                <w:sz w:val="18"/>
                <w:szCs w:val="18"/>
              </w:rPr>
              <w:t>要求的职业健康安全管理体系。</w:t>
            </w:r>
          </w:p>
        </w:tc>
        <w:tc>
          <w:tcPr>
            <w:tcW w:w="1134" w:type="dxa"/>
            <w:vAlign w:val="center"/>
          </w:tcPr>
          <w:p>
            <w:pPr>
              <w:jc w:val="center"/>
              <w:rPr>
                <w:rFonts w:cs="仿宋_GB2312"/>
                <w:strike/>
                <w:dstrike w:val="0"/>
                <w:color w:val="00B0F0"/>
                <w:sz w:val="18"/>
                <w:szCs w:val="18"/>
              </w:rPr>
            </w:pPr>
            <w:r>
              <w:rPr>
                <w:rFonts w:hint="eastAsia" w:cs="仿宋_GB2312"/>
                <w:strike/>
                <w:dstrike w:val="0"/>
                <w:color w:val="00B0F0"/>
                <w:sz w:val="18"/>
                <w:szCs w:val="18"/>
              </w:rPr>
              <w:t>必选</w:t>
            </w:r>
          </w:p>
        </w:tc>
        <w:tc>
          <w:tcPr>
            <w:tcW w:w="1134" w:type="dxa"/>
            <w:vAlign w:val="center"/>
          </w:tcPr>
          <w:p>
            <w:pPr>
              <w:jc w:val="center"/>
              <w:rPr>
                <w:rFonts w:hint="eastAsia" w:cs="仿宋_GB2312"/>
                <w:sz w:val="18"/>
                <w:szCs w:val="18"/>
              </w:rPr>
            </w:pPr>
          </w:p>
        </w:tc>
        <w:tc>
          <w:tcPr>
            <w:tcW w:w="1134" w:type="dxa"/>
            <w:vMerge w:val="continue"/>
            <w:vAlign w:val="center"/>
          </w:tcPr>
          <w:p>
            <w:pPr>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78" w:type="dxa"/>
            <w:vMerge w:val="continue"/>
            <w:vAlign w:val="center"/>
          </w:tcPr>
          <w:p>
            <w:pPr>
              <w:jc w:val="center"/>
              <w:rPr>
                <w:rFonts w:ascii="宋体" w:hAnsi="宋体" w:cs="仿宋_GB2312"/>
                <w:sz w:val="18"/>
                <w:szCs w:val="18"/>
              </w:rPr>
            </w:pPr>
          </w:p>
        </w:tc>
        <w:tc>
          <w:tcPr>
            <w:tcW w:w="1025" w:type="dxa"/>
            <w:vMerge w:val="continue"/>
            <w:vAlign w:val="center"/>
          </w:tcPr>
          <w:p>
            <w:pPr>
              <w:rPr>
                <w:rFonts w:ascii="宋体" w:hAnsi="宋体" w:cs="仿宋_GB2312"/>
                <w:sz w:val="18"/>
                <w:szCs w:val="18"/>
              </w:rPr>
            </w:pPr>
          </w:p>
        </w:tc>
        <w:tc>
          <w:tcPr>
            <w:tcW w:w="1130" w:type="dxa"/>
            <w:vMerge w:val="continue"/>
            <w:vAlign w:val="center"/>
          </w:tcPr>
          <w:p>
            <w:pPr>
              <w:rPr>
                <w:rFonts w:ascii="宋体" w:hAnsi="宋体" w:cs="仿宋_GB2312"/>
                <w:sz w:val="18"/>
                <w:szCs w:val="18"/>
              </w:rPr>
            </w:pPr>
          </w:p>
        </w:tc>
        <w:tc>
          <w:tcPr>
            <w:tcW w:w="7833" w:type="dxa"/>
            <w:vAlign w:val="center"/>
          </w:tcPr>
          <w:p>
            <w:pPr>
              <w:rPr>
                <w:rFonts w:cs="仿宋_GB2312"/>
                <w:sz w:val="18"/>
                <w:szCs w:val="18"/>
              </w:rPr>
            </w:pPr>
            <w:r>
              <w:rPr>
                <w:rFonts w:hint="eastAsia" w:cs="仿宋_GB2312"/>
                <w:sz w:val="18"/>
                <w:szCs w:val="18"/>
              </w:rPr>
              <w:t>宜通过职业健康安全管理体系第三方认证。</w:t>
            </w:r>
          </w:p>
        </w:tc>
        <w:tc>
          <w:tcPr>
            <w:tcW w:w="1134" w:type="dxa"/>
            <w:vAlign w:val="center"/>
          </w:tcPr>
          <w:p>
            <w:pPr>
              <w:jc w:val="center"/>
              <w:rPr>
                <w:rFonts w:cs="仿宋_GB2312"/>
                <w:strike/>
                <w:dstrike w:val="0"/>
                <w:color w:val="00B0F0"/>
                <w:sz w:val="18"/>
                <w:szCs w:val="18"/>
              </w:rPr>
            </w:pPr>
            <w:r>
              <w:rPr>
                <w:rFonts w:hint="eastAsia" w:cs="仿宋_GB2312"/>
                <w:strike/>
                <w:dstrike w:val="0"/>
                <w:color w:val="00B0F0"/>
                <w:sz w:val="18"/>
                <w:szCs w:val="18"/>
              </w:rPr>
              <w:t>可选</w:t>
            </w:r>
          </w:p>
        </w:tc>
        <w:tc>
          <w:tcPr>
            <w:tcW w:w="1134" w:type="dxa"/>
            <w:vAlign w:val="center"/>
          </w:tcPr>
          <w:p>
            <w:pPr>
              <w:jc w:val="center"/>
              <w:rPr>
                <w:rFonts w:hint="eastAsia" w:cs="仿宋_GB2312"/>
                <w:sz w:val="18"/>
                <w:szCs w:val="18"/>
              </w:rPr>
            </w:pPr>
          </w:p>
        </w:tc>
        <w:tc>
          <w:tcPr>
            <w:tcW w:w="1134" w:type="dxa"/>
            <w:vMerge w:val="continue"/>
            <w:vAlign w:val="center"/>
          </w:tcPr>
          <w:p>
            <w:pPr>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78" w:type="dxa"/>
            <w:vMerge w:val="continue"/>
            <w:vAlign w:val="center"/>
          </w:tcPr>
          <w:p>
            <w:pPr>
              <w:jc w:val="center"/>
              <w:rPr>
                <w:rFonts w:ascii="宋体" w:hAnsi="宋体" w:cs="仿宋_GB2312"/>
                <w:sz w:val="18"/>
                <w:szCs w:val="18"/>
              </w:rPr>
            </w:pPr>
          </w:p>
        </w:tc>
        <w:tc>
          <w:tcPr>
            <w:tcW w:w="1025" w:type="dxa"/>
            <w:vMerge w:val="continue"/>
            <w:vAlign w:val="center"/>
          </w:tcPr>
          <w:p>
            <w:pPr>
              <w:rPr>
                <w:rFonts w:ascii="宋体" w:hAnsi="宋体" w:cs="仿宋_GB2312"/>
                <w:sz w:val="18"/>
                <w:szCs w:val="18"/>
              </w:rPr>
            </w:pPr>
          </w:p>
        </w:tc>
        <w:tc>
          <w:tcPr>
            <w:tcW w:w="1130" w:type="dxa"/>
            <w:vMerge w:val="restart"/>
            <w:vAlign w:val="center"/>
          </w:tcPr>
          <w:p>
            <w:pPr>
              <w:rPr>
                <w:rFonts w:cs="仿宋_GB2312"/>
                <w:sz w:val="18"/>
                <w:szCs w:val="18"/>
              </w:rPr>
            </w:pPr>
            <w:r>
              <w:rPr>
                <w:rFonts w:hint="eastAsia" w:cs="仿宋_GB2312"/>
                <w:sz w:val="18"/>
                <w:szCs w:val="18"/>
              </w:rPr>
              <w:t>环境管理体系</w:t>
            </w:r>
          </w:p>
        </w:tc>
        <w:tc>
          <w:tcPr>
            <w:tcW w:w="7833" w:type="dxa"/>
            <w:vAlign w:val="center"/>
          </w:tcPr>
          <w:p>
            <w:pPr>
              <w:rPr>
                <w:rFonts w:cs="仿宋_GB2312"/>
                <w:sz w:val="18"/>
                <w:szCs w:val="18"/>
              </w:rPr>
            </w:pPr>
            <w:r>
              <w:rPr>
                <w:rFonts w:hint="eastAsia" w:cs="仿宋_GB2312"/>
                <w:sz w:val="18"/>
                <w:szCs w:val="18"/>
              </w:rPr>
              <w:t>应建立、实施并保持满足</w:t>
            </w:r>
            <w:r>
              <w:rPr>
                <w:rFonts w:cs="仿宋_GB2312"/>
                <w:sz w:val="18"/>
                <w:szCs w:val="18"/>
              </w:rPr>
              <w:t>GB/T 24001</w:t>
            </w:r>
            <w:r>
              <w:rPr>
                <w:rFonts w:hint="eastAsia" w:cs="仿宋_GB2312"/>
                <w:sz w:val="18"/>
                <w:szCs w:val="18"/>
              </w:rPr>
              <w:t>要求的环境管理体系。</w:t>
            </w:r>
          </w:p>
        </w:tc>
        <w:tc>
          <w:tcPr>
            <w:tcW w:w="1134" w:type="dxa"/>
            <w:vAlign w:val="center"/>
          </w:tcPr>
          <w:p>
            <w:pPr>
              <w:jc w:val="center"/>
              <w:rPr>
                <w:rFonts w:cs="仿宋_GB2312"/>
                <w:strike/>
                <w:dstrike w:val="0"/>
                <w:color w:val="00B0F0"/>
                <w:sz w:val="18"/>
                <w:szCs w:val="18"/>
              </w:rPr>
            </w:pPr>
            <w:r>
              <w:rPr>
                <w:rFonts w:hint="eastAsia" w:cs="仿宋_GB2312"/>
                <w:strike/>
                <w:dstrike w:val="0"/>
                <w:color w:val="00B0F0"/>
                <w:sz w:val="18"/>
                <w:szCs w:val="18"/>
              </w:rPr>
              <w:t>必选</w:t>
            </w:r>
          </w:p>
        </w:tc>
        <w:tc>
          <w:tcPr>
            <w:tcW w:w="1134" w:type="dxa"/>
            <w:vAlign w:val="center"/>
          </w:tcPr>
          <w:p>
            <w:pPr>
              <w:jc w:val="center"/>
              <w:rPr>
                <w:rFonts w:hint="eastAsia" w:cs="仿宋_GB2312"/>
                <w:sz w:val="18"/>
                <w:szCs w:val="18"/>
              </w:rPr>
            </w:pPr>
          </w:p>
        </w:tc>
        <w:tc>
          <w:tcPr>
            <w:tcW w:w="1134" w:type="dxa"/>
            <w:vMerge w:val="continue"/>
            <w:vAlign w:val="center"/>
          </w:tcPr>
          <w:p>
            <w:pPr>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78" w:type="dxa"/>
            <w:vMerge w:val="continue"/>
            <w:vAlign w:val="center"/>
          </w:tcPr>
          <w:p>
            <w:pPr>
              <w:jc w:val="center"/>
              <w:rPr>
                <w:rFonts w:ascii="宋体" w:hAnsi="宋体" w:cs="仿宋_GB2312"/>
                <w:sz w:val="18"/>
                <w:szCs w:val="18"/>
              </w:rPr>
            </w:pPr>
          </w:p>
        </w:tc>
        <w:tc>
          <w:tcPr>
            <w:tcW w:w="1025" w:type="dxa"/>
            <w:vMerge w:val="continue"/>
            <w:vAlign w:val="center"/>
          </w:tcPr>
          <w:p>
            <w:pPr>
              <w:rPr>
                <w:rFonts w:ascii="宋体" w:hAnsi="宋体" w:cs="仿宋_GB2312"/>
                <w:sz w:val="18"/>
                <w:szCs w:val="18"/>
              </w:rPr>
            </w:pPr>
          </w:p>
        </w:tc>
        <w:tc>
          <w:tcPr>
            <w:tcW w:w="1130" w:type="dxa"/>
            <w:vMerge w:val="continue"/>
            <w:vAlign w:val="center"/>
          </w:tcPr>
          <w:p>
            <w:pPr>
              <w:rPr>
                <w:rFonts w:ascii="宋体" w:hAnsi="宋体" w:cs="仿宋_GB2312"/>
                <w:sz w:val="18"/>
                <w:szCs w:val="18"/>
              </w:rPr>
            </w:pPr>
          </w:p>
        </w:tc>
        <w:tc>
          <w:tcPr>
            <w:tcW w:w="7833" w:type="dxa"/>
            <w:vAlign w:val="center"/>
          </w:tcPr>
          <w:p>
            <w:pPr>
              <w:rPr>
                <w:rFonts w:cs="仿宋_GB2312"/>
                <w:sz w:val="18"/>
                <w:szCs w:val="18"/>
              </w:rPr>
            </w:pPr>
            <w:bookmarkStart w:id="56" w:name="OLE_LINK5"/>
            <w:bookmarkStart w:id="57" w:name="OLE_LINK6"/>
            <w:r>
              <w:rPr>
                <w:rFonts w:hint="eastAsia" w:cs="仿宋_GB2312"/>
                <w:sz w:val="18"/>
                <w:szCs w:val="18"/>
              </w:rPr>
              <w:t>宜通过环境管理体系第三方认证。</w:t>
            </w:r>
            <w:bookmarkEnd w:id="56"/>
            <w:bookmarkEnd w:id="57"/>
          </w:p>
        </w:tc>
        <w:tc>
          <w:tcPr>
            <w:tcW w:w="1134" w:type="dxa"/>
            <w:vAlign w:val="center"/>
          </w:tcPr>
          <w:p>
            <w:pPr>
              <w:jc w:val="center"/>
              <w:rPr>
                <w:rFonts w:cs="仿宋_GB2312"/>
                <w:strike/>
                <w:dstrike w:val="0"/>
                <w:color w:val="00B0F0"/>
                <w:sz w:val="18"/>
                <w:szCs w:val="18"/>
              </w:rPr>
            </w:pPr>
            <w:r>
              <w:rPr>
                <w:rFonts w:hint="eastAsia" w:cs="仿宋_GB2312"/>
                <w:strike/>
                <w:dstrike w:val="0"/>
                <w:color w:val="00B0F0"/>
                <w:sz w:val="18"/>
                <w:szCs w:val="18"/>
              </w:rPr>
              <w:t>可选</w:t>
            </w:r>
          </w:p>
        </w:tc>
        <w:tc>
          <w:tcPr>
            <w:tcW w:w="1134" w:type="dxa"/>
            <w:vAlign w:val="center"/>
          </w:tcPr>
          <w:p>
            <w:pPr>
              <w:jc w:val="center"/>
              <w:rPr>
                <w:rFonts w:hint="eastAsia" w:cs="仿宋_GB2312"/>
                <w:sz w:val="18"/>
                <w:szCs w:val="18"/>
              </w:rPr>
            </w:pPr>
          </w:p>
        </w:tc>
        <w:tc>
          <w:tcPr>
            <w:tcW w:w="1134" w:type="dxa"/>
            <w:vMerge w:val="continue"/>
            <w:vAlign w:val="center"/>
          </w:tcPr>
          <w:p>
            <w:pPr>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78" w:type="dxa"/>
            <w:vMerge w:val="continue"/>
            <w:vAlign w:val="center"/>
          </w:tcPr>
          <w:p>
            <w:pPr>
              <w:jc w:val="center"/>
              <w:rPr>
                <w:rFonts w:ascii="宋体" w:hAnsi="宋体" w:cs="仿宋_GB2312"/>
                <w:sz w:val="18"/>
                <w:szCs w:val="18"/>
              </w:rPr>
            </w:pPr>
          </w:p>
        </w:tc>
        <w:tc>
          <w:tcPr>
            <w:tcW w:w="1025" w:type="dxa"/>
            <w:vMerge w:val="continue"/>
            <w:vAlign w:val="center"/>
          </w:tcPr>
          <w:p>
            <w:pPr>
              <w:rPr>
                <w:rFonts w:ascii="宋体" w:hAnsi="宋体" w:cs="仿宋_GB2312"/>
                <w:sz w:val="18"/>
                <w:szCs w:val="18"/>
              </w:rPr>
            </w:pPr>
          </w:p>
        </w:tc>
        <w:tc>
          <w:tcPr>
            <w:tcW w:w="1130" w:type="dxa"/>
            <w:vMerge w:val="restart"/>
            <w:vAlign w:val="center"/>
          </w:tcPr>
          <w:p>
            <w:pPr>
              <w:rPr>
                <w:rFonts w:cs="仿宋_GB2312"/>
                <w:sz w:val="18"/>
                <w:szCs w:val="18"/>
              </w:rPr>
            </w:pPr>
            <w:r>
              <w:rPr>
                <w:rFonts w:hint="eastAsia" w:cs="仿宋_GB2312"/>
                <w:sz w:val="18"/>
                <w:szCs w:val="18"/>
              </w:rPr>
              <w:t>能源管理体系</w:t>
            </w:r>
          </w:p>
        </w:tc>
        <w:tc>
          <w:tcPr>
            <w:tcW w:w="7833" w:type="dxa"/>
            <w:vAlign w:val="center"/>
          </w:tcPr>
          <w:p>
            <w:pPr>
              <w:rPr>
                <w:rFonts w:cs="仿宋_GB2312"/>
                <w:sz w:val="18"/>
                <w:szCs w:val="18"/>
              </w:rPr>
            </w:pPr>
            <w:r>
              <w:rPr>
                <w:rFonts w:hint="eastAsia" w:cs="仿宋_GB2312"/>
                <w:sz w:val="18"/>
                <w:szCs w:val="18"/>
              </w:rPr>
              <w:t>应建立、实施并保持满足</w:t>
            </w:r>
            <w:r>
              <w:rPr>
                <w:rFonts w:cs="仿宋_GB2312"/>
                <w:sz w:val="18"/>
                <w:szCs w:val="18"/>
              </w:rPr>
              <w:t>GB/T 23331</w:t>
            </w:r>
            <w:r>
              <w:rPr>
                <w:rFonts w:hint="eastAsia" w:cs="仿宋_GB2312"/>
                <w:sz w:val="18"/>
                <w:szCs w:val="18"/>
              </w:rPr>
              <w:t>要求的能源管理体系。</w:t>
            </w:r>
          </w:p>
        </w:tc>
        <w:tc>
          <w:tcPr>
            <w:tcW w:w="1134" w:type="dxa"/>
            <w:vAlign w:val="center"/>
          </w:tcPr>
          <w:p>
            <w:pPr>
              <w:jc w:val="center"/>
              <w:rPr>
                <w:rFonts w:cs="仿宋_GB2312"/>
                <w:strike/>
                <w:dstrike w:val="0"/>
                <w:color w:val="00B0F0"/>
                <w:sz w:val="18"/>
                <w:szCs w:val="18"/>
              </w:rPr>
            </w:pPr>
            <w:r>
              <w:rPr>
                <w:rFonts w:hint="eastAsia" w:cs="仿宋_GB2312"/>
                <w:strike/>
                <w:dstrike w:val="0"/>
                <w:color w:val="00B0F0"/>
                <w:sz w:val="18"/>
                <w:szCs w:val="18"/>
              </w:rPr>
              <w:t>必选</w:t>
            </w:r>
          </w:p>
        </w:tc>
        <w:tc>
          <w:tcPr>
            <w:tcW w:w="1134" w:type="dxa"/>
            <w:vAlign w:val="center"/>
          </w:tcPr>
          <w:p>
            <w:pPr>
              <w:jc w:val="center"/>
              <w:rPr>
                <w:rFonts w:hint="eastAsia" w:cs="仿宋_GB2312"/>
                <w:sz w:val="18"/>
                <w:szCs w:val="18"/>
              </w:rPr>
            </w:pPr>
          </w:p>
        </w:tc>
        <w:tc>
          <w:tcPr>
            <w:tcW w:w="1134" w:type="dxa"/>
            <w:vMerge w:val="continue"/>
            <w:vAlign w:val="center"/>
          </w:tcPr>
          <w:p>
            <w:pPr>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78" w:type="dxa"/>
            <w:vMerge w:val="continue"/>
            <w:vAlign w:val="center"/>
          </w:tcPr>
          <w:p>
            <w:pPr>
              <w:jc w:val="center"/>
              <w:rPr>
                <w:rFonts w:ascii="宋体" w:hAnsi="宋体" w:cs="仿宋_GB2312"/>
                <w:sz w:val="18"/>
                <w:szCs w:val="18"/>
              </w:rPr>
            </w:pPr>
          </w:p>
        </w:tc>
        <w:tc>
          <w:tcPr>
            <w:tcW w:w="1025" w:type="dxa"/>
            <w:vMerge w:val="continue"/>
            <w:vAlign w:val="center"/>
          </w:tcPr>
          <w:p>
            <w:pPr>
              <w:rPr>
                <w:rFonts w:ascii="宋体" w:hAnsi="宋体" w:cs="仿宋_GB2312"/>
                <w:sz w:val="18"/>
                <w:szCs w:val="18"/>
              </w:rPr>
            </w:pPr>
          </w:p>
        </w:tc>
        <w:tc>
          <w:tcPr>
            <w:tcW w:w="1130" w:type="dxa"/>
            <w:vMerge w:val="continue"/>
            <w:vAlign w:val="center"/>
          </w:tcPr>
          <w:p>
            <w:pPr>
              <w:rPr>
                <w:rFonts w:ascii="宋体" w:hAnsi="宋体" w:cs="仿宋_GB2312"/>
                <w:sz w:val="18"/>
                <w:szCs w:val="18"/>
              </w:rPr>
            </w:pPr>
          </w:p>
        </w:tc>
        <w:tc>
          <w:tcPr>
            <w:tcW w:w="7833" w:type="dxa"/>
            <w:vAlign w:val="center"/>
          </w:tcPr>
          <w:p>
            <w:pPr>
              <w:rPr>
                <w:rFonts w:cs="仿宋_GB2312"/>
                <w:sz w:val="18"/>
                <w:szCs w:val="18"/>
              </w:rPr>
            </w:pPr>
            <w:r>
              <w:rPr>
                <w:rFonts w:hint="eastAsia" w:cs="仿宋_GB2312"/>
                <w:sz w:val="18"/>
                <w:szCs w:val="18"/>
              </w:rPr>
              <w:t>宜通过能源管理体系第三方认证，</w:t>
            </w:r>
            <w:r>
              <w:rPr>
                <w:rFonts w:hint="eastAsia"/>
                <w:iCs/>
                <w:sz w:val="18"/>
                <w:szCs w:val="18"/>
              </w:rPr>
              <w:t>同时满</w:t>
            </w:r>
            <w:r>
              <w:rPr>
                <w:rFonts w:hint="eastAsia" w:cs="仿宋_GB2312"/>
                <w:iCs/>
                <w:sz w:val="18"/>
                <w:szCs w:val="18"/>
              </w:rPr>
              <w:t>足</w:t>
            </w:r>
            <w:r>
              <w:rPr>
                <w:rFonts w:cs="仿宋_GB2312"/>
                <w:iCs/>
                <w:sz w:val="18"/>
                <w:szCs w:val="18"/>
              </w:rPr>
              <w:t>RB/T 117</w:t>
            </w:r>
            <w:r>
              <w:rPr>
                <w:rFonts w:hint="eastAsia"/>
                <w:iCs/>
                <w:sz w:val="18"/>
                <w:szCs w:val="18"/>
              </w:rPr>
              <w:t>的要求</w:t>
            </w:r>
            <w:r>
              <w:rPr>
                <w:rFonts w:hint="eastAsia"/>
                <w:sz w:val="18"/>
                <w:szCs w:val="18"/>
              </w:rPr>
              <w:t>。</w:t>
            </w:r>
          </w:p>
        </w:tc>
        <w:tc>
          <w:tcPr>
            <w:tcW w:w="1134" w:type="dxa"/>
            <w:vAlign w:val="center"/>
          </w:tcPr>
          <w:p>
            <w:pPr>
              <w:jc w:val="center"/>
              <w:rPr>
                <w:rFonts w:cs="仿宋_GB2312"/>
                <w:strike/>
                <w:dstrike w:val="0"/>
                <w:color w:val="00B0F0"/>
                <w:sz w:val="18"/>
                <w:szCs w:val="18"/>
              </w:rPr>
            </w:pPr>
            <w:r>
              <w:rPr>
                <w:rFonts w:hint="eastAsia" w:cs="仿宋_GB2312"/>
                <w:strike/>
                <w:dstrike w:val="0"/>
                <w:color w:val="00B0F0"/>
                <w:sz w:val="18"/>
                <w:szCs w:val="18"/>
              </w:rPr>
              <w:t>可选</w:t>
            </w:r>
          </w:p>
        </w:tc>
        <w:tc>
          <w:tcPr>
            <w:tcW w:w="1134" w:type="dxa"/>
            <w:vAlign w:val="center"/>
          </w:tcPr>
          <w:p>
            <w:pPr>
              <w:jc w:val="center"/>
              <w:rPr>
                <w:rFonts w:hint="eastAsia" w:cs="仿宋_GB2312"/>
                <w:sz w:val="18"/>
                <w:szCs w:val="18"/>
              </w:rPr>
            </w:pPr>
          </w:p>
        </w:tc>
        <w:tc>
          <w:tcPr>
            <w:tcW w:w="1134" w:type="dxa"/>
            <w:vMerge w:val="continue"/>
            <w:vAlign w:val="center"/>
          </w:tcPr>
          <w:p>
            <w:pPr>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19" w:hRule="atLeast"/>
          <w:jc w:val="center"/>
        </w:trPr>
        <w:tc>
          <w:tcPr>
            <w:tcW w:w="678" w:type="dxa"/>
            <w:vMerge w:val="continue"/>
            <w:vAlign w:val="center"/>
          </w:tcPr>
          <w:p>
            <w:pPr>
              <w:jc w:val="center"/>
              <w:rPr>
                <w:rFonts w:ascii="宋体" w:hAnsi="宋体" w:cs="仿宋_GB2312"/>
                <w:sz w:val="18"/>
                <w:szCs w:val="18"/>
              </w:rPr>
            </w:pPr>
          </w:p>
        </w:tc>
        <w:tc>
          <w:tcPr>
            <w:tcW w:w="1025" w:type="dxa"/>
            <w:vMerge w:val="continue"/>
            <w:vAlign w:val="center"/>
          </w:tcPr>
          <w:p>
            <w:pPr>
              <w:rPr>
                <w:rFonts w:ascii="宋体" w:hAnsi="宋体" w:cs="仿宋_GB2312"/>
                <w:sz w:val="18"/>
                <w:szCs w:val="18"/>
              </w:rPr>
            </w:pPr>
          </w:p>
        </w:tc>
        <w:tc>
          <w:tcPr>
            <w:tcW w:w="1130" w:type="dxa"/>
            <w:vAlign w:val="center"/>
          </w:tcPr>
          <w:p>
            <w:pPr>
              <w:rPr>
                <w:rFonts w:cs="仿宋_GB2312"/>
                <w:sz w:val="18"/>
                <w:szCs w:val="18"/>
              </w:rPr>
            </w:pPr>
            <w:r>
              <w:rPr>
                <w:rFonts w:hint="eastAsia" w:cs="仿宋_GB2312"/>
                <w:sz w:val="18"/>
                <w:szCs w:val="18"/>
              </w:rPr>
              <w:t>社会责任</w:t>
            </w:r>
          </w:p>
        </w:tc>
        <w:tc>
          <w:tcPr>
            <w:tcW w:w="7833" w:type="dxa"/>
            <w:vAlign w:val="center"/>
          </w:tcPr>
          <w:p>
            <w:pPr>
              <w:rPr>
                <w:rFonts w:cs="仿宋_GB2312"/>
                <w:sz w:val="18"/>
                <w:szCs w:val="18"/>
              </w:rPr>
            </w:pPr>
            <w:r>
              <w:rPr>
                <w:rFonts w:hint="eastAsia" w:cs="仿宋_GB2312"/>
                <w:sz w:val="18"/>
                <w:szCs w:val="18"/>
              </w:rPr>
              <w:t>宜按照</w:t>
            </w:r>
            <w:r>
              <w:rPr>
                <w:rFonts w:cs="仿宋_GB2312"/>
                <w:sz w:val="18"/>
                <w:szCs w:val="18"/>
              </w:rPr>
              <w:t>GB/T 36000</w:t>
            </w:r>
            <w:r>
              <w:rPr>
                <w:rFonts w:hint="eastAsia" w:cs="仿宋_GB2312"/>
                <w:sz w:val="18"/>
                <w:szCs w:val="18"/>
              </w:rPr>
              <w:t>每年发布社会责任报告，说明履行利益相关方责任的情况，特别是环境社会责任的履行情况，报告公开可获得。</w:t>
            </w:r>
          </w:p>
        </w:tc>
        <w:tc>
          <w:tcPr>
            <w:tcW w:w="1134" w:type="dxa"/>
            <w:vAlign w:val="center"/>
          </w:tcPr>
          <w:p>
            <w:pPr>
              <w:jc w:val="center"/>
              <w:rPr>
                <w:rFonts w:cs="仿宋_GB2312"/>
                <w:strike/>
                <w:dstrike w:val="0"/>
                <w:color w:val="00B0F0"/>
                <w:sz w:val="18"/>
                <w:szCs w:val="18"/>
              </w:rPr>
            </w:pPr>
            <w:r>
              <w:rPr>
                <w:rFonts w:hint="eastAsia" w:cs="仿宋_GB2312"/>
                <w:strike/>
                <w:dstrike w:val="0"/>
                <w:color w:val="00B0F0"/>
                <w:sz w:val="18"/>
                <w:szCs w:val="18"/>
              </w:rPr>
              <w:t>必选</w:t>
            </w:r>
          </w:p>
        </w:tc>
        <w:tc>
          <w:tcPr>
            <w:tcW w:w="1134" w:type="dxa"/>
            <w:vAlign w:val="center"/>
          </w:tcPr>
          <w:p>
            <w:pPr>
              <w:jc w:val="center"/>
              <w:rPr>
                <w:rFonts w:hint="eastAsia" w:cs="仿宋_GB2312"/>
                <w:sz w:val="18"/>
                <w:szCs w:val="18"/>
              </w:rPr>
            </w:pPr>
          </w:p>
        </w:tc>
        <w:tc>
          <w:tcPr>
            <w:tcW w:w="1134" w:type="dxa"/>
            <w:vMerge w:val="continue"/>
            <w:vAlign w:val="center"/>
          </w:tcPr>
          <w:p>
            <w:pPr>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9" w:hRule="atLeast"/>
          <w:jc w:val="center"/>
        </w:trPr>
        <w:tc>
          <w:tcPr>
            <w:tcW w:w="678" w:type="dxa"/>
            <w:vMerge w:val="restart"/>
            <w:vAlign w:val="center"/>
          </w:tcPr>
          <w:p>
            <w:pPr>
              <w:jc w:val="center"/>
              <w:rPr>
                <w:rFonts w:ascii="宋体" w:hAnsi="宋体" w:cs="仿宋_GB2312"/>
                <w:sz w:val="18"/>
                <w:szCs w:val="18"/>
              </w:rPr>
            </w:pPr>
            <w:r>
              <w:rPr>
                <w:rFonts w:ascii="宋体" w:hAnsi="宋体" w:cs="仿宋_GB2312"/>
                <w:sz w:val="18"/>
                <w:szCs w:val="18"/>
              </w:rPr>
              <w:t>3</w:t>
            </w:r>
          </w:p>
        </w:tc>
        <w:tc>
          <w:tcPr>
            <w:tcW w:w="1025" w:type="dxa"/>
            <w:vMerge w:val="restart"/>
            <w:vAlign w:val="center"/>
          </w:tcPr>
          <w:p>
            <w:pPr>
              <w:rPr>
                <w:rFonts w:cs="仿宋_GB2312"/>
                <w:sz w:val="18"/>
                <w:szCs w:val="18"/>
              </w:rPr>
            </w:pPr>
            <w:r>
              <w:rPr>
                <w:rFonts w:hint="eastAsia" w:cs="仿宋_GB2312"/>
                <w:sz w:val="18"/>
                <w:szCs w:val="18"/>
              </w:rPr>
              <w:t>能源资源投入</w:t>
            </w:r>
          </w:p>
        </w:tc>
        <w:tc>
          <w:tcPr>
            <w:tcW w:w="1130" w:type="dxa"/>
            <w:vMerge w:val="restart"/>
            <w:vAlign w:val="center"/>
          </w:tcPr>
          <w:p>
            <w:pPr>
              <w:rPr>
                <w:rFonts w:cs="仿宋_GB2312"/>
                <w:sz w:val="18"/>
                <w:szCs w:val="18"/>
              </w:rPr>
            </w:pPr>
            <w:r>
              <w:rPr>
                <w:rFonts w:hint="eastAsia" w:cs="仿宋_GB2312"/>
                <w:sz w:val="18"/>
                <w:szCs w:val="18"/>
              </w:rPr>
              <w:t>能源投入</w:t>
            </w:r>
          </w:p>
        </w:tc>
        <w:tc>
          <w:tcPr>
            <w:tcW w:w="7833" w:type="dxa"/>
            <w:vAlign w:val="center"/>
          </w:tcPr>
          <w:p>
            <w:pPr>
              <w:rPr>
                <w:rFonts w:cs="仿宋_GB2312"/>
                <w:sz w:val="18"/>
                <w:szCs w:val="18"/>
              </w:rPr>
            </w:pPr>
            <w:r>
              <w:rPr>
                <w:rFonts w:hint="eastAsia" w:cs="仿宋_GB2312"/>
                <w:sz w:val="18"/>
                <w:szCs w:val="18"/>
              </w:rPr>
              <w:t>应优化用能结构，在保证安全、质量的前提下减少能源投入。</w:t>
            </w:r>
          </w:p>
        </w:tc>
        <w:tc>
          <w:tcPr>
            <w:tcW w:w="1134" w:type="dxa"/>
            <w:vMerge w:val="restart"/>
            <w:vAlign w:val="center"/>
          </w:tcPr>
          <w:p>
            <w:pPr>
              <w:jc w:val="center"/>
              <w:rPr>
                <w:rFonts w:ascii="宋体" w:hAnsi="宋体" w:cs="仿宋_GB2312"/>
                <w:strike/>
                <w:dstrike w:val="0"/>
                <w:color w:val="00B0F0"/>
                <w:sz w:val="18"/>
                <w:szCs w:val="18"/>
              </w:rPr>
            </w:pPr>
            <w:r>
              <w:rPr>
                <w:rFonts w:hint="eastAsia" w:ascii="宋体" w:hAnsi="宋体" w:cs="仿宋_GB2312"/>
                <w:strike/>
                <w:dstrike w:val="0"/>
                <w:color w:val="00B0F0"/>
                <w:sz w:val="18"/>
                <w:szCs w:val="18"/>
              </w:rPr>
              <w:t>必选</w:t>
            </w:r>
          </w:p>
        </w:tc>
        <w:tc>
          <w:tcPr>
            <w:tcW w:w="1134" w:type="dxa"/>
            <w:vAlign w:val="center"/>
          </w:tcPr>
          <w:p>
            <w:pPr>
              <w:jc w:val="center"/>
              <w:rPr>
                <w:rFonts w:hint="eastAsia" w:ascii="宋体" w:hAnsi="宋体" w:cs="仿宋_GB2312"/>
                <w:sz w:val="18"/>
                <w:szCs w:val="18"/>
              </w:rPr>
            </w:pPr>
          </w:p>
        </w:tc>
        <w:tc>
          <w:tcPr>
            <w:tcW w:w="1134" w:type="dxa"/>
            <w:vMerge w:val="restart"/>
            <w:vAlign w:val="center"/>
          </w:tcPr>
          <w:p>
            <w:pPr>
              <w:jc w:val="center"/>
              <w:rPr>
                <w:rFonts w:ascii="宋体" w:hAnsi="宋体" w:cs="仿宋_GB2312"/>
                <w:sz w:val="18"/>
                <w:szCs w:val="18"/>
              </w:rPr>
            </w:pPr>
            <w:r>
              <w:rPr>
                <w:rFonts w:ascii="宋体" w:hAnsi="宋体" w:cs="仿宋_GB2312"/>
                <w:sz w:val="18"/>
                <w:szCs w:val="18"/>
              </w:rPr>
              <w:t>15%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4" w:hRule="atLeast"/>
          <w:jc w:val="center"/>
        </w:trPr>
        <w:tc>
          <w:tcPr>
            <w:tcW w:w="678" w:type="dxa"/>
            <w:vMerge w:val="continue"/>
            <w:vAlign w:val="center"/>
          </w:tcPr>
          <w:p>
            <w:pPr>
              <w:jc w:val="center"/>
              <w:rPr>
                <w:rFonts w:ascii="宋体" w:hAnsi="宋体" w:cs="仿宋_GB2312"/>
                <w:sz w:val="18"/>
                <w:szCs w:val="18"/>
              </w:rPr>
            </w:pPr>
          </w:p>
        </w:tc>
        <w:tc>
          <w:tcPr>
            <w:tcW w:w="1025" w:type="dxa"/>
            <w:vMerge w:val="continue"/>
            <w:vAlign w:val="center"/>
          </w:tcPr>
          <w:p>
            <w:pPr>
              <w:rPr>
                <w:rFonts w:cs="仿宋_GB2312"/>
                <w:sz w:val="18"/>
                <w:szCs w:val="18"/>
              </w:rPr>
            </w:pPr>
          </w:p>
        </w:tc>
        <w:tc>
          <w:tcPr>
            <w:tcW w:w="1130" w:type="dxa"/>
            <w:vMerge w:val="continue"/>
            <w:vAlign w:val="center"/>
          </w:tcPr>
          <w:p>
            <w:pPr>
              <w:rPr>
                <w:rFonts w:cs="仿宋_GB2312"/>
                <w:sz w:val="18"/>
                <w:szCs w:val="18"/>
              </w:rPr>
            </w:pPr>
          </w:p>
        </w:tc>
        <w:tc>
          <w:tcPr>
            <w:tcW w:w="7833" w:type="dxa"/>
            <w:vAlign w:val="center"/>
          </w:tcPr>
          <w:p>
            <w:pPr>
              <w:rPr>
                <w:rFonts w:cs="仿宋_GB2312"/>
                <w:sz w:val="18"/>
                <w:szCs w:val="18"/>
              </w:rPr>
            </w:pPr>
            <w:r>
              <w:rPr>
                <w:rFonts w:hint="eastAsia"/>
                <w:sz w:val="18"/>
                <w:szCs w:val="18"/>
              </w:rPr>
              <w:t>铜及铜合金加工各工序能耗应满足各行业节能相关法律法规和标准要求，减少能源消耗。</w:t>
            </w:r>
          </w:p>
        </w:tc>
        <w:tc>
          <w:tcPr>
            <w:tcW w:w="1134" w:type="dxa"/>
            <w:vMerge w:val="continue"/>
            <w:tcBorders>
              <w:bottom w:val="single" w:color="auto" w:sz="4" w:space="0"/>
            </w:tcBorders>
            <w:vAlign w:val="center"/>
          </w:tcPr>
          <w:p>
            <w:pPr>
              <w:jc w:val="center"/>
              <w:rPr>
                <w:rFonts w:ascii="宋体" w:hAnsi="宋体" w:cs="仿宋_GB2312"/>
                <w:strike/>
                <w:dstrike w:val="0"/>
                <w:color w:val="00B0F0"/>
                <w:sz w:val="18"/>
                <w:szCs w:val="18"/>
              </w:rPr>
            </w:pPr>
          </w:p>
        </w:tc>
        <w:tc>
          <w:tcPr>
            <w:tcW w:w="1134" w:type="dxa"/>
            <w:vAlign w:val="center"/>
          </w:tcPr>
          <w:p>
            <w:pPr>
              <w:jc w:val="center"/>
              <w:rPr>
                <w:rFonts w:ascii="宋体" w:hAnsi="宋体" w:cs="仿宋_GB2312"/>
                <w:sz w:val="18"/>
                <w:szCs w:val="18"/>
              </w:rPr>
            </w:pPr>
          </w:p>
        </w:tc>
        <w:tc>
          <w:tcPr>
            <w:tcW w:w="1134" w:type="dxa"/>
            <w:vMerge w:val="continue"/>
            <w:vAlign w:val="center"/>
          </w:tcPr>
          <w:p>
            <w:pPr>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7" w:hRule="atLeast"/>
          <w:jc w:val="center"/>
        </w:trPr>
        <w:tc>
          <w:tcPr>
            <w:tcW w:w="678" w:type="dxa"/>
            <w:vMerge w:val="continue"/>
            <w:vAlign w:val="center"/>
          </w:tcPr>
          <w:p>
            <w:pPr>
              <w:jc w:val="center"/>
              <w:rPr>
                <w:rFonts w:ascii="宋体" w:hAnsi="宋体" w:cs="仿宋_GB2312"/>
                <w:sz w:val="18"/>
                <w:szCs w:val="18"/>
              </w:rPr>
            </w:pPr>
          </w:p>
        </w:tc>
        <w:tc>
          <w:tcPr>
            <w:tcW w:w="1025" w:type="dxa"/>
            <w:vMerge w:val="continue"/>
            <w:vAlign w:val="center"/>
          </w:tcPr>
          <w:p>
            <w:pPr>
              <w:rPr>
                <w:rFonts w:cs="仿宋_GB2312"/>
                <w:sz w:val="18"/>
                <w:szCs w:val="18"/>
              </w:rPr>
            </w:pPr>
          </w:p>
        </w:tc>
        <w:tc>
          <w:tcPr>
            <w:tcW w:w="1130" w:type="dxa"/>
            <w:vMerge w:val="continue"/>
            <w:vAlign w:val="center"/>
          </w:tcPr>
          <w:p>
            <w:pPr>
              <w:rPr>
                <w:rFonts w:cs="仿宋_GB2312"/>
                <w:sz w:val="18"/>
                <w:szCs w:val="18"/>
              </w:rPr>
            </w:pPr>
          </w:p>
        </w:tc>
        <w:tc>
          <w:tcPr>
            <w:tcW w:w="7833" w:type="dxa"/>
            <w:vAlign w:val="center"/>
          </w:tcPr>
          <w:p>
            <w:pPr>
              <w:rPr>
                <w:sz w:val="18"/>
                <w:szCs w:val="18"/>
              </w:rPr>
            </w:pPr>
            <w:r>
              <w:rPr>
                <w:rFonts w:hint="eastAsia" w:cs="仿宋_GB2312"/>
                <w:sz w:val="18"/>
                <w:szCs w:val="18"/>
              </w:rPr>
              <w:t>宜使用低碳清洁能源。</w:t>
            </w:r>
          </w:p>
        </w:tc>
        <w:tc>
          <w:tcPr>
            <w:tcW w:w="1134" w:type="dxa"/>
            <w:vMerge w:val="restart"/>
            <w:vAlign w:val="center"/>
          </w:tcPr>
          <w:p>
            <w:pPr>
              <w:jc w:val="center"/>
              <w:rPr>
                <w:rFonts w:ascii="宋体" w:hAnsi="宋体" w:cs="仿宋_GB2312"/>
                <w:strike/>
                <w:dstrike w:val="0"/>
                <w:color w:val="00B0F0"/>
                <w:sz w:val="18"/>
                <w:szCs w:val="18"/>
              </w:rPr>
            </w:pPr>
            <w:r>
              <w:rPr>
                <w:rFonts w:hint="eastAsia" w:ascii="宋体" w:hAnsi="宋体" w:cs="仿宋_GB2312"/>
                <w:strike/>
                <w:dstrike w:val="0"/>
                <w:color w:val="00B0F0"/>
                <w:sz w:val="18"/>
                <w:szCs w:val="18"/>
              </w:rPr>
              <w:t>可选</w:t>
            </w:r>
          </w:p>
        </w:tc>
        <w:tc>
          <w:tcPr>
            <w:tcW w:w="1134" w:type="dxa"/>
            <w:vAlign w:val="center"/>
          </w:tcPr>
          <w:p>
            <w:pPr>
              <w:jc w:val="center"/>
              <w:rPr>
                <w:rFonts w:hint="eastAsia" w:ascii="宋体" w:hAnsi="宋体" w:cs="仿宋_GB2312"/>
                <w:sz w:val="18"/>
                <w:szCs w:val="18"/>
              </w:rPr>
            </w:pPr>
          </w:p>
        </w:tc>
        <w:tc>
          <w:tcPr>
            <w:tcW w:w="1134" w:type="dxa"/>
            <w:vMerge w:val="continue"/>
            <w:vAlign w:val="center"/>
          </w:tcPr>
          <w:p>
            <w:pPr>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678" w:type="dxa"/>
            <w:vMerge w:val="continue"/>
            <w:vAlign w:val="center"/>
          </w:tcPr>
          <w:p>
            <w:pPr>
              <w:jc w:val="center"/>
              <w:rPr>
                <w:rFonts w:ascii="宋体" w:hAnsi="宋体" w:cs="仿宋_GB2312"/>
                <w:sz w:val="18"/>
                <w:szCs w:val="18"/>
              </w:rPr>
            </w:pPr>
          </w:p>
        </w:tc>
        <w:tc>
          <w:tcPr>
            <w:tcW w:w="1025" w:type="dxa"/>
            <w:vMerge w:val="continue"/>
            <w:vAlign w:val="center"/>
          </w:tcPr>
          <w:p>
            <w:pPr>
              <w:rPr>
                <w:rFonts w:ascii="宋体" w:hAnsi="宋体" w:cs="仿宋_GB2312"/>
                <w:sz w:val="18"/>
                <w:szCs w:val="18"/>
              </w:rPr>
            </w:pPr>
          </w:p>
        </w:tc>
        <w:tc>
          <w:tcPr>
            <w:tcW w:w="1130" w:type="dxa"/>
            <w:vMerge w:val="continue"/>
            <w:vAlign w:val="center"/>
          </w:tcPr>
          <w:p>
            <w:pPr>
              <w:rPr>
                <w:rFonts w:ascii="宋体" w:hAnsi="宋体" w:cs="仿宋_GB2312"/>
                <w:sz w:val="18"/>
                <w:szCs w:val="18"/>
              </w:rPr>
            </w:pPr>
          </w:p>
        </w:tc>
        <w:tc>
          <w:tcPr>
            <w:tcW w:w="7833" w:type="dxa"/>
            <w:vAlign w:val="center"/>
          </w:tcPr>
          <w:p>
            <w:pPr>
              <w:rPr>
                <w:rFonts w:cs="仿宋_GB2312"/>
                <w:sz w:val="18"/>
                <w:szCs w:val="18"/>
              </w:rPr>
            </w:pPr>
            <w:r>
              <w:rPr>
                <w:rFonts w:hint="eastAsia"/>
                <w:sz w:val="18"/>
                <w:szCs w:val="18"/>
              </w:rPr>
              <w:t>宜充分利用余热余压，产生的二次能源回收利用。</w:t>
            </w:r>
          </w:p>
        </w:tc>
        <w:tc>
          <w:tcPr>
            <w:tcW w:w="1134" w:type="dxa"/>
            <w:vMerge w:val="continue"/>
            <w:vAlign w:val="center"/>
          </w:tcPr>
          <w:p>
            <w:pPr>
              <w:jc w:val="center"/>
              <w:rPr>
                <w:rFonts w:ascii="宋体" w:hAnsi="宋体" w:cs="仿宋_GB2312"/>
                <w:strike/>
                <w:dstrike w:val="0"/>
                <w:color w:val="00B0F0"/>
                <w:sz w:val="18"/>
                <w:szCs w:val="18"/>
              </w:rPr>
            </w:pPr>
          </w:p>
        </w:tc>
        <w:tc>
          <w:tcPr>
            <w:tcW w:w="1134" w:type="dxa"/>
            <w:vAlign w:val="center"/>
          </w:tcPr>
          <w:p>
            <w:pPr>
              <w:jc w:val="center"/>
              <w:rPr>
                <w:rFonts w:ascii="宋体" w:hAnsi="宋体" w:cs="仿宋_GB2312"/>
                <w:sz w:val="18"/>
                <w:szCs w:val="18"/>
              </w:rPr>
            </w:pPr>
          </w:p>
        </w:tc>
        <w:tc>
          <w:tcPr>
            <w:tcW w:w="1134" w:type="dxa"/>
            <w:vMerge w:val="continue"/>
            <w:vAlign w:val="center"/>
          </w:tcPr>
          <w:p>
            <w:pPr>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678" w:type="dxa"/>
            <w:vMerge w:val="continue"/>
            <w:vAlign w:val="center"/>
          </w:tcPr>
          <w:p>
            <w:pPr>
              <w:jc w:val="center"/>
              <w:rPr>
                <w:rFonts w:ascii="宋体" w:hAnsi="宋体" w:cs="仿宋_GB2312"/>
                <w:sz w:val="18"/>
                <w:szCs w:val="18"/>
              </w:rPr>
            </w:pPr>
          </w:p>
        </w:tc>
        <w:tc>
          <w:tcPr>
            <w:tcW w:w="1025" w:type="dxa"/>
            <w:vMerge w:val="continue"/>
            <w:vAlign w:val="center"/>
          </w:tcPr>
          <w:p>
            <w:pPr>
              <w:rPr>
                <w:rFonts w:ascii="宋体" w:hAnsi="宋体" w:cs="仿宋_GB2312"/>
                <w:sz w:val="18"/>
                <w:szCs w:val="18"/>
              </w:rPr>
            </w:pPr>
          </w:p>
        </w:tc>
        <w:tc>
          <w:tcPr>
            <w:tcW w:w="1130" w:type="dxa"/>
            <w:vMerge w:val="continue"/>
            <w:vAlign w:val="center"/>
          </w:tcPr>
          <w:p>
            <w:pPr>
              <w:rPr>
                <w:rFonts w:ascii="宋体" w:hAnsi="宋体" w:cs="仿宋_GB2312"/>
                <w:sz w:val="18"/>
                <w:szCs w:val="18"/>
              </w:rPr>
            </w:pPr>
          </w:p>
        </w:tc>
        <w:tc>
          <w:tcPr>
            <w:tcW w:w="7833" w:type="dxa"/>
            <w:vAlign w:val="center"/>
          </w:tcPr>
          <w:p>
            <w:pPr>
              <w:rPr>
                <w:sz w:val="18"/>
                <w:szCs w:val="18"/>
              </w:rPr>
            </w:pPr>
            <w:r>
              <w:rPr>
                <w:rFonts w:hint="eastAsia"/>
                <w:sz w:val="18"/>
                <w:szCs w:val="18"/>
              </w:rPr>
              <w:t>宜建立能源管理中心。</w:t>
            </w:r>
          </w:p>
        </w:tc>
        <w:tc>
          <w:tcPr>
            <w:tcW w:w="1134" w:type="dxa"/>
            <w:vMerge w:val="continue"/>
            <w:vAlign w:val="center"/>
          </w:tcPr>
          <w:p>
            <w:pPr>
              <w:jc w:val="center"/>
              <w:rPr>
                <w:rFonts w:ascii="宋体" w:hAnsi="宋体" w:cs="仿宋_GB2312"/>
                <w:strike/>
                <w:dstrike w:val="0"/>
                <w:color w:val="00B0F0"/>
                <w:sz w:val="18"/>
                <w:szCs w:val="18"/>
              </w:rPr>
            </w:pPr>
          </w:p>
        </w:tc>
        <w:tc>
          <w:tcPr>
            <w:tcW w:w="1134" w:type="dxa"/>
            <w:vAlign w:val="center"/>
          </w:tcPr>
          <w:p>
            <w:pPr>
              <w:jc w:val="center"/>
              <w:rPr>
                <w:rFonts w:ascii="宋体" w:hAnsi="宋体" w:cs="仿宋_GB2312"/>
                <w:sz w:val="18"/>
                <w:szCs w:val="18"/>
              </w:rPr>
            </w:pPr>
          </w:p>
        </w:tc>
        <w:tc>
          <w:tcPr>
            <w:tcW w:w="1134" w:type="dxa"/>
            <w:vMerge w:val="continue"/>
            <w:vAlign w:val="center"/>
          </w:tcPr>
          <w:p>
            <w:pPr>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2" w:hRule="atLeast"/>
          <w:jc w:val="center"/>
        </w:trPr>
        <w:tc>
          <w:tcPr>
            <w:tcW w:w="678" w:type="dxa"/>
            <w:vMerge w:val="continue"/>
            <w:vAlign w:val="center"/>
          </w:tcPr>
          <w:p>
            <w:pPr>
              <w:jc w:val="center"/>
              <w:rPr>
                <w:rFonts w:ascii="宋体" w:hAnsi="宋体" w:cs="仿宋_GB2312"/>
                <w:sz w:val="18"/>
                <w:szCs w:val="18"/>
              </w:rPr>
            </w:pPr>
          </w:p>
        </w:tc>
        <w:tc>
          <w:tcPr>
            <w:tcW w:w="1025" w:type="dxa"/>
            <w:vMerge w:val="continue"/>
            <w:vAlign w:val="center"/>
          </w:tcPr>
          <w:p>
            <w:pPr>
              <w:rPr>
                <w:rFonts w:ascii="宋体" w:hAnsi="宋体" w:cs="仿宋_GB2312"/>
                <w:sz w:val="18"/>
                <w:szCs w:val="18"/>
              </w:rPr>
            </w:pPr>
          </w:p>
        </w:tc>
        <w:tc>
          <w:tcPr>
            <w:tcW w:w="1130" w:type="dxa"/>
            <w:vMerge w:val="restart"/>
            <w:vAlign w:val="center"/>
          </w:tcPr>
          <w:p>
            <w:pPr>
              <w:rPr>
                <w:rFonts w:cs="仿宋_GB2312"/>
                <w:sz w:val="18"/>
                <w:szCs w:val="18"/>
              </w:rPr>
            </w:pPr>
            <w:r>
              <w:rPr>
                <w:rFonts w:hint="eastAsia" w:cs="仿宋_GB2312"/>
                <w:sz w:val="18"/>
                <w:szCs w:val="18"/>
              </w:rPr>
              <w:t>资源投入</w:t>
            </w:r>
          </w:p>
        </w:tc>
        <w:tc>
          <w:tcPr>
            <w:tcW w:w="7833" w:type="dxa"/>
            <w:vAlign w:val="center"/>
          </w:tcPr>
          <w:p>
            <w:pPr>
              <w:rPr>
                <w:rFonts w:cs="仿宋_GB2312"/>
                <w:sz w:val="18"/>
                <w:szCs w:val="18"/>
              </w:rPr>
            </w:pPr>
            <w:r>
              <w:rPr>
                <w:rFonts w:hint="eastAsia" w:cs="仿宋_GB2312"/>
                <w:sz w:val="18"/>
                <w:szCs w:val="18"/>
              </w:rPr>
              <w:t>应按照</w:t>
            </w:r>
            <w:r>
              <w:rPr>
                <w:rFonts w:cs="仿宋_GB2312"/>
                <w:sz w:val="18"/>
                <w:szCs w:val="18"/>
              </w:rPr>
              <w:t>GB/T 7119</w:t>
            </w:r>
            <w:r>
              <w:rPr>
                <w:rFonts w:hint="eastAsia" w:cs="仿宋_GB2312"/>
                <w:sz w:val="18"/>
                <w:szCs w:val="18"/>
              </w:rPr>
              <w:t>的要求对其开展节水评价工作。</w:t>
            </w:r>
          </w:p>
        </w:tc>
        <w:tc>
          <w:tcPr>
            <w:tcW w:w="1134" w:type="dxa"/>
            <w:vMerge w:val="restart"/>
            <w:shd w:val="clear" w:color="auto" w:fill="auto"/>
            <w:vAlign w:val="center"/>
          </w:tcPr>
          <w:p>
            <w:pPr>
              <w:jc w:val="center"/>
              <w:rPr>
                <w:rFonts w:cs="仿宋_GB2312"/>
                <w:strike/>
                <w:dstrike w:val="0"/>
                <w:color w:val="00B0F0"/>
                <w:sz w:val="18"/>
                <w:szCs w:val="18"/>
              </w:rPr>
            </w:pPr>
            <w:r>
              <w:rPr>
                <w:rFonts w:hint="eastAsia" w:cs="仿宋_GB2312"/>
                <w:strike/>
                <w:dstrike w:val="0"/>
                <w:color w:val="00B0F0"/>
                <w:sz w:val="18"/>
                <w:szCs w:val="18"/>
              </w:rPr>
              <w:t>必选</w:t>
            </w:r>
          </w:p>
        </w:tc>
        <w:tc>
          <w:tcPr>
            <w:tcW w:w="1134" w:type="dxa"/>
            <w:vAlign w:val="center"/>
          </w:tcPr>
          <w:p>
            <w:pPr>
              <w:jc w:val="center"/>
              <w:rPr>
                <w:rFonts w:hint="eastAsia" w:cs="仿宋_GB2312"/>
                <w:sz w:val="18"/>
                <w:szCs w:val="18"/>
              </w:rPr>
            </w:pPr>
          </w:p>
        </w:tc>
        <w:tc>
          <w:tcPr>
            <w:tcW w:w="1134" w:type="dxa"/>
            <w:vMerge w:val="continue"/>
            <w:vAlign w:val="center"/>
          </w:tcPr>
          <w:p>
            <w:pPr>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4" w:hRule="atLeast"/>
          <w:jc w:val="center"/>
        </w:trPr>
        <w:tc>
          <w:tcPr>
            <w:tcW w:w="678" w:type="dxa"/>
            <w:vMerge w:val="continue"/>
            <w:vAlign w:val="center"/>
          </w:tcPr>
          <w:p>
            <w:pPr>
              <w:jc w:val="center"/>
              <w:rPr>
                <w:rFonts w:ascii="宋体" w:hAnsi="宋体" w:cs="仿宋_GB2312"/>
                <w:sz w:val="18"/>
                <w:szCs w:val="18"/>
              </w:rPr>
            </w:pPr>
          </w:p>
        </w:tc>
        <w:tc>
          <w:tcPr>
            <w:tcW w:w="1025" w:type="dxa"/>
            <w:vMerge w:val="continue"/>
            <w:vAlign w:val="center"/>
          </w:tcPr>
          <w:p>
            <w:pPr>
              <w:rPr>
                <w:rFonts w:ascii="宋体" w:hAnsi="宋体" w:cs="仿宋_GB2312"/>
                <w:sz w:val="18"/>
                <w:szCs w:val="18"/>
              </w:rPr>
            </w:pPr>
          </w:p>
        </w:tc>
        <w:tc>
          <w:tcPr>
            <w:tcW w:w="1130" w:type="dxa"/>
            <w:vMerge w:val="continue"/>
            <w:vAlign w:val="center"/>
          </w:tcPr>
          <w:p>
            <w:pPr>
              <w:rPr>
                <w:rFonts w:cs="仿宋_GB2312"/>
                <w:sz w:val="18"/>
                <w:szCs w:val="18"/>
              </w:rPr>
            </w:pPr>
          </w:p>
        </w:tc>
        <w:tc>
          <w:tcPr>
            <w:tcW w:w="7833" w:type="dxa"/>
            <w:vAlign w:val="center"/>
          </w:tcPr>
          <w:p>
            <w:pPr>
              <w:rPr>
                <w:rFonts w:cs="仿宋_GB2312"/>
                <w:sz w:val="18"/>
                <w:szCs w:val="18"/>
              </w:rPr>
            </w:pPr>
            <w:r>
              <w:rPr>
                <w:rFonts w:hint="eastAsia" w:cs="仿宋_GB2312"/>
                <w:sz w:val="18"/>
                <w:szCs w:val="18"/>
              </w:rPr>
              <w:t>应减少有害材料的使用，评估有害物质及化学品减量使用或替代的可行性。</w:t>
            </w:r>
          </w:p>
        </w:tc>
        <w:tc>
          <w:tcPr>
            <w:tcW w:w="1134" w:type="dxa"/>
            <w:vMerge w:val="continue"/>
            <w:shd w:val="clear" w:color="auto" w:fill="auto"/>
            <w:vAlign w:val="center"/>
          </w:tcPr>
          <w:p>
            <w:pPr>
              <w:jc w:val="center"/>
              <w:rPr>
                <w:rFonts w:cs="仿宋_GB2312"/>
                <w:strike/>
                <w:dstrike w:val="0"/>
                <w:color w:val="00B0F0"/>
                <w:sz w:val="18"/>
                <w:szCs w:val="18"/>
              </w:rPr>
            </w:pPr>
          </w:p>
        </w:tc>
        <w:tc>
          <w:tcPr>
            <w:tcW w:w="1134" w:type="dxa"/>
            <w:vAlign w:val="center"/>
          </w:tcPr>
          <w:p>
            <w:pPr>
              <w:jc w:val="center"/>
              <w:rPr>
                <w:rFonts w:cs="仿宋_GB2312"/>
                <w:sz w:val="18"/>
                <w:szCs w:val="18"/>
              </w:rPr>
            </w:pPr>
          </w:p>
        </w:tc>
        <w:tc>
          <w:tcPr>
            <w:tcW w:w="1134" w:type="dxa"/>
            <w:vMerge w:val="continue"/>
            <w:vAlign w:val="center"/>
          </w:tcPr>
          <w:p>
            <w:pPr>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678" w:type="dxa"/>
            <w:vMerge w:val="continue"/>
            <w:vAlign w:val="center"/>
          </w:tcPr>
          <w:p>
            <w:pPr>
              <w:jc w:val="center"/>
              <w:rPr>
                <w:rFonts w:ascii="宋体" w:hAnsi="宋体" w:cs="仿宋_GB2312"/>
                <w:sz w:val="18"/>
                <w:szCs w:val="18"/>
              </w:rPr>
            </w:pPr>
          </w:p>
        </w:tc>
        <w:tc>
          <w:tcPr>
            <w:tcW w:w="1025" w:type="dxa"/>
            <w:vMerge w:val="continue"/>
            <w:vAlign w:val="center"/>
          </w:tcPr>
          <w:p>
            <w:pPr>
              <w:rPr>
                <w:rFonts w:ascii="宋体" w:hAnsi="宋体" w:cs="仿宋_GB2312"/>
                <w:sz w:val="18"/>
                <w:szCs w:val="18"/>
              </w:rPr>
            </w:pPr>
          </w:p>
        </w:tc>
        <w:tc>
          <w:tcPr>
            <w:tcW w:w="1130" w:type="dxa"/>
            <w:vMerge w:val="continue"/>
            <w:vAlign w:val="center"/>
          </w:tcPr>
          <w:p>
            <w:pPr>
              <w:rPr>
                <w:rFonts w:ascii="宋体" w:hAnsi="宋体" w:cs="仿宋_GB2312"/>
                <w:sz w:val="18"/>
                <w:szCs w:val="18"/>
              </w:rPr>
            </w:pPr>
          </w:p>
        </w:tc>
        <w:tc>
          <w:tcPr>
            <w:tcW w:w="7833" w:type="dxa"/>
            <w:vAlign w:val="center"/>
          </w:tcPr>
          <w:p>
            <w:pPr>
              <w:rPr>
                <w:rFonts w:cs="仿宋_GB2312"/>
                <w:sz w:val="18"/>
                <w:szCs w:val="18"/>
              </w:rPr>
            </w:pPr>
            <w:r>
              <w:rPr>
                <w:rFonts w:hint="eastAsia"/>
                <w:sz w:val="18"/>
                <w:szCs w:val="18"/>
              </w:rPr>
              <w:t>宜使用再生铜及铜合金原料如再生铜原料、再生黄铜原料等。</w:t>
            </w:r>
          </w:p>
        </w:tc>
        <w:tc>
          <w:tcPr>
            <w:tcW w:w="1134" w:type="dxa"/>
            <w:shd w:val="clear" w:color="auto" w:fill="auto"/>
            <w:vAlign w:val="center"/>
          </w:tcPr>
          <w:p>
            <w:pPr>
              <w:jc w:val="center"/>
              <w:rPr>
                <w:rFonts w:ascii="宋体" w:hAnsi="宋体" w:cs="仿宋_GB2312"/>
                <w:strike/>
                <w:dstrike w:val="0"/>
                <w:color w:val="00B0F0"/>
                <w:sz w:val="18"/>
                <w:szCs w:val="18"/>
              </w:rPr>
            </w:pPr>
            <w:r>
              <w:rPr>
                <w:rFonts w:hint="eastAsia" w:ascii="宋体" w:hAnsi="宋体" w:cs="仿宋_GB2312"/>
                <w:strike/>
                <w:dstrike w:val="0"/>
                <w:color w:val="00B0F0"/>
                <w:sz w:val="18"/>
                <w:szCs w:val="18"/>
              </w:rPr>
              <w:t>可选</w:t>
            </w:r>
          </w:p>
        </w:tc>
        <w:tc>
          <w:tcPr>
            <w:tcW w:w="1134" w:type="dxa"/>
            <w:vAlign w:val="center"/>
          </w:tcPr>
          <w:p>
            <w:pPr>
              <w:jc w:val="center"/>
              <w:rPr>
                <w:rFonts w:hint="eastAsia" w:ascii="宋体" w:hAnsi="宋体" w:cs="仿宋_GB2312"/>
                <w:sz w:val="18"/>
                <w:szCs w:val="18"/>
              </w:rPr>
            </w:pPr>
          </w:p>
        </w:tc>
        <w:tc>
          <w:tcPr>
            <w:tcW w:w="1134" w:type="dxa"/>
            <w:vMerge w:val="continue"/>
            <w:vAlign w:val="center"/>
          </w:tcPr>
          <w:p>
            <w:pPr>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678" w:type="dxa"/>
            <w:vMerge w:val="continue"/>
            <w:vAlign w:val="center"/>
          </w:tcPr>
          <w:p>
            <w:pPr>
              <w:jc w:val="center"/>
              <w:rPr>
                <w:rFonts w:ascii="宋体" w:hAnsi="宋体" w:cs="仿宋_GB2312"/>
                <w:sz w:val="18"/>
                <w:szCs w:val="18"/>
              </w:rPr>
            </w:pPr>
          </w:p>
        </w:tc>
        <w:tc>
          <w:tcPr>
            <w:tcW w:w="1025" w:type="dxa"/>
            <w:vMerge w:val="continue"/>
            <w:vAlign w:val="center"/>
          </w:tcPr>
          <w:p>
            <w:pPr>
              <w:rPr>
                <w:rFonts w:ascii="宋体" w:hAnsi="宋体" w:cs="仿宋_GB2312"/>
                <w:sz w:val="18"/>
                <w:szCs w:val="18"/>
              </w:rPr>
            </w:pPr>
          </w:p>
        </w:tc>
        <w:tc>
          <w:tcPr>
            <w:tcW w:w="1130" w:type="dxa"/>
            <w:vMerge w:val="restart"/>
            <w:vAlign w:val="center"/>
          </w:tcPr>
          <w:p>
            <w:pPr>
              <w:rPr>
                <w:rFonts w:cs="仿宋_GB2312"/>
                <w:sz w:val="18"/>
                <w:szCs w:val="18"/>
              </w:rPr>
            </w:pPr>
            <w:r>
              <w:rPr>
                <w:rFonts w:hint="eastAsia" w:cs="仿宋_GB2312"/>
                <w:sz w:val="18"/>
                <w:szCs w:val="18"/>
              </w:rPr>
              <w:t>采购</w:t>
            </w:r>
          </w:p>
        </w:tc>
        <w:tc>
          <w:tcPr>
            <w:tcW w:w="7833" w:type="dxa"/>
            <w:vAlign w:val="center"/>
          </w:tcPr>
          <w:p>
            <w:pPr>
              <w:rPr>
                <w:rFonts w:cs="仿宋_GB2312"/>
                <w:sz w:val="18"/>
                <w:szCs w:val="18"/>
              </w:rPr>
            </w:pPr>
            <w:r>
              <w:rPr>
                <w:rFonts w:hint="eastAsia"/>
                <w:sz w:val="18"/>
                <w:szCs w:val="18"/>
              </w:rPr>
              <w:t>应制定并实施包括节能环保要求的选择、评价和重新评价供方的准则。</w:t>
            </w:r>
          </w:p>
        </w:tc>
        <w:tc>
          <w:tcPr>
            <w:tcW w:w="1134" w:type="dxa"/>
            <w:vMerge w:val="restart"/>
            <w:vAlign w:val="center"/>
          </w:tcPr>
          <w:p>
            <w:pPr>
              <w:jc w:val="center"/>
              <w:rPr>
                <w:rFonts w:cs="仿宋_GB2312"/>
                <w:strike/>
                <w:dstrike w:val="0"/>
                <w:color w:val="00B0F0"/>
                <w:sz w:val="18"/>
                <w:szCs w:val="18"/>
              </w:rPr>
            </w:pPr>
            <w:r>
              <w:rPr>
                <w:rFonts w:hint="eastAsia" w:cs="仿宋_GB2312"/>
                <w:strike/>
                <w:dstrike w:val="0"/>
                <w:color w:val="00B0F0"/>
                <w:sz w:val="18"/>
                <w:szCs w:val="18"/>
              </w:rPr>
              <w:t>必选</w:t>
            </w:r>
          </w:p>
        </w:tc>
        <w:tc>
          <w:tcPr>
            <w:tcW w:w="1134" w:type="dxa"/>
            <w:vAlign w:val="center"/>
          </w:tcPr>
          <w:p>
            <w:pPr>
              <w:jc w:val="center"/>
              <w:rPr>
                <w:rFonts w:hint="eastAsia" w:cs="仿宋_GB2312"/>
                <w:sz w:val="18"/>
                <w:szCs w:val="18"/>
              </w:rPr>
            </w:pPr>
          </w:p>
        </w:tc>
        <w:tc>
          <w:tcPr>
            <w:tcW w:w="1134" w:type="dxa"/>
            <w:vMerge w:val="continue"/>
            <w:vAlign w:val="center"/>
          </w:tcPr>
          <w:p>
            <w:pPr>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678" w:type="dxa"/>
            <w:vMerge w:val="continue"/>
            <w:vAlign w:val="center"/>
          </w:tcPr>
          <w:p>
            <w:pPr>
              <w:jc w:val="center"/>
              <w:rPr>
                <w:rFonts w:ascii="宋体" w:hAnsi="宋体" w:cs="仿宋_GB2312"/>
                <w:sz w:val="18"/>
                <w:szCs w:val="18"/>
              </w:rPr>
            </w:pPr>
          </w:p>
        </w:tc>
        <w:tc>
          <w:tcPr>
            <w:tcW w:w="1025" w:type="dxa"/>
            <w:vMerge w:val="continue"/>
            <w:vAlign w:val="center"/>
          </w:tcPr>
          <w:p>
            <w:pPr>
              <w:rPr>
                <w:rFonts w:ascii="宋体" w:hAnsi="宋体" w:cs="仿宋_GB2312"/>
                <w:sz w:val="18"/>
                <w:szCs w:val="18"/>
              </w:rPr>
            </w:pPr>
          </w:p>
        </w:tc>
        <w:tc>
          <w:tcPr>
            <w:tcW w:w="1130" w:type="dxa"/>
            <w:vMerge w:val="continue"/>
            <w:vAlign w:val="center"/>
          </w:tcPr>
          <w:p>
            <w:pPr>
              <w:rPr>
                <w:rFonts w:ascii="宋体" w:hAnsi="宋体" w:cs="仿宋_GB2312"/>
                <w:sz w:val="18"/>
                <w:szCs w:val="18"/>
              </w:rPr>
            </w:pPr>
          </w:p>
        </w:tc>
        <w:tc>
          <w:tcPr>
            <w:tcW w:w="7833" w:type="dxa"/>
            <w:vAlign w:val="center"/>
          </w:tcPr>
          <w:p>
            <w:pPr>
              <w:rPr>
                <w:rFonts w:ascii="宋体" w:hAnsi="宋体" w:cs="仿宋_GB2312"/>
                <w:sz w:val="18"/>
                <w:szCs w:val="18"/>
              </w:rPr>
            </w:pPr>
            <w:r>
              <w:rPr>
                <w:rFonts w:hint="eastAsia" w:ascii="宋体" w:hAnsi="宋体"/>
                <w:sz w:val="18"/>
                <w:szCs w:val="18"/>
              </w:rPr>
              <w:t>应对采购的产品开展并实施检验或其他的活动。</w:t>
            </w:r>
          </w:p>
        </w:tc>
        <w:tc>
          <w:tcPr>
            <w:tcW w:w="1134" w:type="dxa"/>
            <w:vMerge w:val="continue"/>
            <w:vAlign w:val="center"/>
          </w:tcPr>
          <w:p>
            <w:pPr>
              <w:jc w:val="center"/>
              <w:rPr>
                <w:rFonts w:ascii="宋体" w:hAnsi="宋体" w:cs="仿宋_GB2312"/>
                <w:strike/>
                <w:dstrike w:val="0"/>
                <w:color w:val="00B0F0"/>
                <w:sz w:val="18"/>
                <w:szCs w:val="18"/>
              </w:rPr>
            </w:pPr>
          </w:p>
        </w:tc>
        <w:tc>
          <w:tcPr>
            <w:tcW w:w="1134" w:type="dxa"/>
            <w:vAlign w:val="center"/>
          </w:tcPr>
          <w:p>
            <w:pPr>
              <w:jc w:val="center"/>
              <w:rPr>
                <w:rFonts w:ascii="宋体" w:hAnsi="宋体" w:cs="仿宋_GB2312"/>
                <w:sz w:val="18"/>
                <w:szCs w:val="18"/>
              </w:rPr>
            </w:pPr>
          </w:p>
        </w:tc>
        <w:tc>
          <w:tcPr>
            <w:tcW w:w="1134" w:type="dxa"/>
            <w:vMerge w:val="continue"/>
            <w:vAlign w:val="center"/>
          </w:tcPr>
          <w:p>
            <w:pPr>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678" w:type="dxa"/>
            <w:vMerge w:val="continue"/>
            <w:vAlign w:val="center"/>
          </w:tcPr>
          <w:p>
            <w:pPr>
              <w:jc w:val="center"/>
              <w:rPr>
                <w:rFonts w:ascii="宋体" w:hAnsi="宋体" w:cs="仿宋_GB2312"/>
                <w:sz w:val="18"/>
                <w:szCs w:val="18"/>
              </w:rPr>
            </w:pPr>
          </w:p>
        </w:tc>
        <w:tc>
          <w:tcPr>
            <w:tcW w:w="1025" w:type="dxa"/>
            <w:vMerge w:val="continue"/>
            <w:vAlign w:val="center"/>
          </w:tcPr>
          <w:p>
            <w:pPr>
              <w:rPr>
                <w:rFonts w:ascii="宋体" w:hAnsi="宋体" w:cs="仿宋_GB2312"/>
                <w:sz w:val="18"/>
                <w:szCs w:val="18"/>
              </w:rPr>
            </w:pPr>
          </w:p>
        </w:tc>
        <w:tc>
          <w:tcPr>
            <w:tcW w:w="1130" w:type="dxa"/>
            <w:vMerge w:val="continue"/>
            <w:vAlign w:val="center"/>
          </w:tcPr>
          <w:p>
            <w:pPr>
              <w:rPr>
                <w:rFonts w:ascii="宋体" w:hAnsi="宋体" w:cs="仿宋_GB2312"/>
                <w:sz w:val="18"/>
                <w:szCs w:val="18"/>
              </w:rPr>
            </w:pPr>
          </w:p>
        </w:tc>
        <w:tc>
          <w:tcPr>
            <w:tcW w:w="7833" w:type="dxa"/>
            <w:vAlign w:val="center"/>
          </w:tcPr>
          <w:p>
            <w:pPr>
              <w:rPr>
                <w:rFonts w:cs="仿宋_GB2312"/>
                <w:sz w:val="18"/>
                <w:szCs w:val="18"/>
              </w:rPr>
            </w:pPr>
            <w:r>
              <w:rPr>
                <w:rFonts w:hint="eastAsia"/>
                <w:sz w:val="18"/>
                <w:szCs w:val="18"/>
              </w:rPr>
              <w:t>宜向供方提供的采购信息应包括含有害物质使用、可回收材料使用、能效等要求的采购信息。</w:t>
            </w:r>
          </w:p>
        </w:tc>
        <w:tc>
          <w:tcPr>
            <w:tcW w:w="1134" w:type="dxa"/>
            <w:vAlign w:val="center"/>
          </w:tcPr>
          <w:p>
            <w:pPr>
              <w:jc w:val="center"/>
              <w:rPr>
                <w:rFonts w:cs="仿宋_GB2312"/>
                <w:strike/>
                <w:dstrike w:val="0"/>
                <w:color w:val="00B0F0"/>
                <w:sz w:val="18"/>
                <w:szCs w:val="18"/>
              </w:rPr>
            </w:pPr>
            <w:r>
              <w:rPr>
                <w:rFonts w:hint="eastAsia" w:cs="仿宋_GB2312"/>
                <w:strike/>
                <w:dstrike w:val="0"/>
                <w:color w:val="00B0F0"/>
                <w:sz w:val="18"/>
                <w:szCs w:val="18"/>
              </w:rPr>
              <w:t>可选</w:t>
            </w:r>
          </w:p>
        </w:tc>
        <w:tc>
          <w:tcPr>
            <w:tcW w:w="1134" w:type="dxa"/>
            <w:vAlign w:val="center"/>
          </w:tcPr>
          <w:p>
            <w:pPr>
              <w:jc w:val="center"/>
              <w:rPr>
                <w:rFonts w:hint="eastAsia" w:cs="仿宋_GB2312"/>
                <w:sz w:val="18"/>
                <w:szCs w:val="18"/>
              </w:rPr>
            </w:pPr>
          </w:p>
        </w:tc>
        <w:tc>
          <w:tcPr>
            <w:tcW w:w="1134" w:type="dxa"/>
            <w:vMerge w:val="continue"/>
            <w:vAlign w:val="center"/>
          </w:tcPr>
          <w:p>
            <w:pPr>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678" w:type="dxa"/>
            <w:vMerge w:val="restart"/>
            <w:vAlign w:val="center"/>
          </w:tcPr>
          <w:p>
            <w:pPr>
              <w:jc w:val="center"/>
              <w:rPr>
                <w:rFonts w:ascii="宋体" w:hAnsi="宋体" w:cs="仿宋_GB2312"/>
                <w:sz w:val="18"/>
                <w:szCs w:val="18"/>
              </w:rPr>
            </w:pPr>
            <w:r>
              <w:rPr>
                <w:rFonts w:ascii="宋体" w:hAnsi="宋体" w:cs="仿宋_GB2312"/>
                <w:sz w:val="18"/>
                <w:szCs w:val="18"/>
              </w:rPr>
              <w:t>4</w:t>
            </w:r>
          </w:p>
        </w:tc>
        <w:tc>
          <w:tcPr>
            <w:tcW w:w="1025" w:type="dxa"/>
            <w:vMerge w:val="restart"/>
            <w:vAlign w:val="center"/>
          </w:tcPr>
          <w:p>
            <w:pPr>
              <w:rPr>
                <w:rFonts w:cs="仿宋_GB2312"/>
                <w:sz w:val="18"/>
                <w:szCs w:val="18"/>
              </w:rPr>
            </w:pPr>
            <w:r>
              <w:rPr>
                <w:rFonts w:hint="eastAsia" w:cs="仿宋_GB2312"/>
                <w:sz w:val="18"/>
                <w:szCs w:val="18"/>
              </w:rPr>
              <w:t>产品</w:t>
            </w:r>
          </w:p>
        </w:tc>
        <w:tc>
          <w:tcPr>
            <w:tcW w:w="1130" w:type="dxa"/>
            <w:vMerge w:val="restart"/>
            <w:vAlign w:val="center"/>
          </w:tcPr>
          <w:p>
            <w:pPr>
              <w:rPr>
                <w:rFonts w:cs="仿宋_GB2312"/>
                <w:sz w:val="18"/>
                <w:szCs w:val="18"/>
              </w:rPr>
            </w:pPr>
            <w:r>
              <w:rPr>
                <w:rFonts w:hint="eastAsia" w:cs="仿宋_GB2312"/>
                <w:sz w:val="18"/>
                <w:szCs w:val="18"/>
              </w:rPr>
              <w:t>生态设计</w:t>
            </w:r>
          </w:p>
        </w:tc>
        <w:tc>
          <w:tcPr>
            <w:tcW w:w="7833" w:type="dxa"/>
            <w:vAlign w:val="center"/>
          </w:tcPr>
          <w:p>
            <w:pPr>
              <w:rPr>
                <w:rFonts w:cs="仿宋_GB2312"/>
                <w:sz w:val="18"/>
                <w:szCs w:val="18"/>
              </w:rPr>
            </w:pPr>
            <w:r>
              <w:rPr>
                <w:rFonts w:hint="eastAsia" w:cs="仿宋_GB2312"/>
                <w:sz w:val="18"/>
                <w:szCs w:val="18"/>
              </w:rPr>
              <w:t>应在产品设计中引入生态设计的理念。适用时，产品品种应按照对应品种的绿色产品评价标准进行评价。</w:t>
            </w:r>
          </w:p>
        </w:tc>
        <w:tc>
          <w:tcPr>
            <w:tcW w:w="1134" w:type="dxa"/>
            <w:vAlign w:val="center"/>
          </w:tcPr>
          <w:p>
            <w:pPr>
              <w:jc w:val="center"/>
              <w:rPr>
                <w:rFonts w:cs="仿宋_GB2312"/>
                <w:strike/>
                <w:dstrike w:val="0"/>
                <w:color w:val="00B0F0"/>
                <w:sz w:val="18"/>
                <w:szCs w:val="18"/>
              </w:rPr>
            </w:pPr>
            <w:r>
              <w:rPr>
                <w:rFonts w:hint="eastAsia" w:cs="仿宋_GB2312"/>
                <w:strike/>
                <w:dstrike w:val="0"/>
                <w:color w:val="00B0F0"/>
                <w:sz w:val="18"/>
                <w:szCs w:val="18"/>
              </w:rPr>
              <w:t>必选</w:t>
            </w:r>
          </w:p>
        </w:tc>
        <w:tc>
          <w:tcPr>
            <w:tcW w:w="1134" w:type="dxa"/>
            <w:vAlign w:val="center"/>
          </w:tcPr>
          <w:p>
            <w:pPr>
              <w:jc w:val="center"/>
              <w:rPr>
                <w:rFonts w:hint="eastAsia" w:cs="仿宋_GB2312"/>
                <w:sz w:val="18"/>
                <w:szCs w:val="18"/>
              </w:rPr>
            </w:pPr>
          </w:p>
        </w:tc>
        <w:tc>
          <w:tcPr>
            <w:tcW w:w="1134" w:type="dxa"/>
            <w:vMerge w:val="restart"/>
            <w:vAlign w:val="center"/>
          </w:tcPr>
          <w:p>
            <w:pPr>
              <w:jc w:val="center"/>
              <w:rPr>
                <w:rFonts w:ascii="宋体" w:hAnsi="宋体" w:cs="仿宋_GB2312"/>
                <w:sz w:val="18"/>
                <w:szCs w:val="18"/>
              </w:rPr>
            </w:pPr>
            <w:r>
              <w:rPr>
                <w:rFonts w:hint="eastAsia" w:ascii="宋体" w:hAnsi="宋体" w:cs="仿宋_GB2312"/>
                <w:sz w:val="18"/>
                <w:szCs w:val="18"/>
              </w:rPr>
              <w:t>10</w:t>
            </w:r>
            <w:r>
              <w:rPr>
                <w:rFonts w:ascii="宋体" w:hAnsi="宋体"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4" w:hRule="atLeast"/>
          <w:jc w:val="center"/>
        </w:trPr>
        <w:tc>
          <w:tcPr>
            <w:tcW w:w="678" w:type="dxa"/>
            <w:vMerge w:val="continue"/>
            <w:vAlign w:val="center"/>
          </w:tcPr>
          <w:p>
            <w:pPr>
              <w:jc w:val="center"/>
              <w:rPr>
                <w:rFonts w:ascii="宋体" w:hAnsi="宋体" w:cs="仿宋_GB2312"/>
                <w:sz w:val="18"/>
                <w:szCs w:val="18"/>
                <w:highlight w:val="yellow"/>
              </w:rPr>
            </w:pPr>
          </w:p>
        </w:tc>
        <w:tc>
          <w:tcPr>
            <w:tcW w:w="1025" w:type="dxa"/>
            <w:vMerge w:val="continue"/>
            <w:vAlign w:val="center"/>
          </w:tcPr>
          <w:p>
            <w:pPr>
              <w:rPr>
                <w:rFonts w:ascii="宋体" w:hAnsi="宋体" w:cs="仿宋_GB2312"/>
                <w:sz w:val="18"/>
                <w:szCs w:val="18"/>
                <w:highlight w:val="yellow"/>
              </w:rPr>
            </w:pPr>
          </w:p>
        </w:tc>
        <w:tc>
          <w:tcPr>
            <w:tcW w:w="1130" w:type="dxa"/>
            <w:vMerge w:val="continue"/>
            <w:vAlign w:val="center"/>
          </w:tcPr>
          <w:p>
            <w:pPr>
              <w:rPr>
                <w:rFonts w:ascii="宋体" w:hAnsi="宋体" w:cs="仿宋_GB2312"/>
                <w:sz w:val="18"/>
                <w:szCs w:val="18"/>
              </w:rPr>
            </w:pPr>
          </w:p>
        </w:tc>
        <w:tc>
          <w:tcPr>
            <w:tcW w:w="7833" w:type="dxa"/>
            <w:vAlign w:val="center"/>
          </w:tcPr>
          <w:p>
            <w:pPr>
              <w:rPr>
                <w:rFonts w:cs="仿宋_GB2312"/>
                <w:sz w:val="18"/>
                <w:szCs w:val="18"/>
              </w:rPr>
            </w:pPr>
            <w:r>
              <w:rPr>
                <w:rFonts w:hint="eastAsia"/>
                <w:sz w:val="18"/>
                <w:szCs w:val="18"/>
              </w:rPr>
              <w:t>宜按</w:t>
            </w:r>
            <w:r>
              <w:rPr>
                <w:rFonts w:hint="eastAsia" w:cs="仿宋_GB2312"/>
                <w:sz w:val="18"/>
                <w:szCs w:val="18"/>
              </w:rPr>
              <w:t>照</w:t>
            </w:r>
            <w:r>
              <w:rPr>
                <w:rFonts w:cs="仿宋_GB2312"/>
                <w:sz w:val="18"/>
                <w:szCs w:val="18"/>
              </w:rPr>
              <w:t>GB/T 24256</w:t>
            </w:r>
            <w:r>
              <w:rPr>
                <w:rFonts w:hint="eastAsia"/>
                <w:sz w:val="18"/>
                <w:szCs w:val="18"/>
              </w:rPr>
              <w:t>对生产的产品进行生态设计，</w:t>
            </w:r>
            <w:r>
              <w:rPr>
                <w:rFonts w:hint="eastAsia" w:cs="仿宋_GB2312"/>
                <w:sz w:val="18"/>
                <w:szCs w:val="18"/>
              </w:rPr>
              <w:t>并按照</w:t>
            </w:r>
            <w:r>
              <w:rPr>
                <w:rFonts w:cs="仿宋_GB2312"/>
                <w:sz w:val="18"/>
                <w:szCs w:val="18"/>
              </w:rPr>
              <w:t>GB/T 32161</w:t>
            </w:r>
            <w:r>
              <w:rPr>
                <w:rFonts w:hint="eastAsia" w:cs="仿宋_GB2312"/>
                <w:sz w:val="18"/>
                <w:szCs w:val="18"/>
              </w:rPr>
              <w:t>对</w:t>
            </w:r>
            <w:r>
              <w:rPr>
                <w:rFonts w:hint="eastAsia"/>
                <w:sz w:val="18"/>
                <w:szCs w:val="18"/>
              </w:rPr>
              <w:t>生产的产品进行生态设计产品评价。</w:t>
            </w:r>
          </w:p>
        </w:tc>
        <w:tc>
          <w:tcPr>
            <w:tcW w:w="1134" w:type="dxa"/>
            <w:vAlign w:val="center"/>
          </w:tcPr>
          <w:p>
            <w:pPr>
              <w:jc w:val="center"/>
              <w:rPr>
                <w:rFonts w:cs="仿宋_GB2312"/>
                <w:strike/>
                <w:dstrike w:val="0"/>
                <w:color w:val="00B0F0"/>
                <w:sz w:val="18"/>
                <w:szCs w:val="18"/>
              </w:rPr>
            </w:pPr>
            <w:r>
              <w:rPr>
                <w:rFonts w:hint="eastAsia" w:cs="仿宋_GB2312"/>
                <w:strike/>
                <w:dstrike w:val="0"/>
                <w:color w:val="00B0F0"/>
                <w:sz w:val="18"/>
                <w:szCs w:val="18"/>
              </w:rPr>
              <w:t>可选</w:t>
            </w:r>
          </w:p>
        </w:tc>
        <w:tc>
          <w:tcPr>
            <w:tcW w:w="1134" w:type="dxa"/>
            <w:vAlign w:val="center"/>
          </w:tcPr>
          <w:p>
            <w:pPr>
              <w:jc w:val="center"/>
              <w:rPr>
                <w:rFonts w:hint="eastAsia" w:cs="仿宋_GB2312"/>
                <w:sz w:val="18"/>
                <w:szCs w:val="18"/>
              </w:rPr>
            </w:pPr>
          </w:p>
        </w:tc>
        <w:tc>
          <w:tcPr>
            <w:tcW w:w="1134" w:type="dxa"/>
            <w:vMerge w:val="continue"/>
            <w:vAlign w:val="center"/>
          </w:tcPr>
          <w:p>
            <w:pPr>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5" w:hRule="atLeast"/>
          <w:jc w:val="center"/>
        </w:trPr>
        <w:tc>
          <w:tcPr>
            <w:tcW w:w="678" w:type="dxa"/>
            <w:vMerge w:val="continue"/>
            <w:vAlign w:val="center"/>
          </w:tcPr>
          <w:p>
            <w:pPr>
              <w:jc w:val="center"/>
              <w:rPr>
                <w:rFonts w:ascii="宋体" w:hAnsi="宋体" w:cs="仿宋_GB2312"/>
                <w:sz w:val="18"/>
                <w:szCs w:val="18"/>
                <w:highlight w:val="yellow"/>
              </w:rPr>
            </w:pPr>
          </w:p>
        </w:tc>
        <w:tc>
          <w:tcPr>
            <w:tcW w:w="1025" w:type="dxa"/>
            <w:vMerge w:val="continue"/>
            <w:vAlign w:val="center"/>
          </w:tcPr>
          <w:p>
            <w:pPr>
              <w:rPr>
                <w:rFonts w:ascii="宋体" w:hAnsi="宋体" w:cs="仿宋_GB2312"/>
                <w:sz w:val="18"/>
                <w:szCs w:val="18"/>
                <w:highlight w:val="yellow"/>
              </w:rPr>
            </w:pPr>
          </w:p>
        </w:tc>
        <w:tc>
          <w:tcPr>
            <w:tcW w:w="1130" w:type="dxa"/>
            <w:vMerge w:val="restart"/>
            <w:vAlign w:val="center"/>
          </w:tcPr>
          <w:p>
            <w:pPr>
              <w:rPr>
                <w:rFonts w:cs="仿宋_GB2312"/>
                <w:sz w:val="18"/>
                <w:szCs w:val="18"/>
              </w:rPr>
            </w:pPr>
            <w:r>
              <w:rPr>
                <w:rFonts w:hint="eastAsia" w:cs="仿宋_GB2312"/>
                <w:sz w:val="18"/>
                <w:szCs w:val="18"/>
              </w:rPr>
              <w:t>有害物质使用</w:t>
            </w:r>
          </w:p>
        </w:tc>
        <w:tc>
          <w:tcPr>
            <w:tcW w:w="7833" w:type="dxa"/>
            <w:vAlign w:val="center"/>
          </w:tcPr>
          <w:p>
            <w:pPr>
              <w:rPr>
                <w:rFonts w:ascii="宋体" w:hAnsi="宋体"/>
                <w:sz w:val="18"/>
                <w:szCs w:val="18"/>
              </w:rPr>
            </w:pPr>
            <w:r>
              <w:rPr>
                <w:rFonts w:hint="eastAsia" w:ascii="宋体" w:hAnsi="宋体"/>
                <w:sz w:val="18"/>
                <w:szCs w:val="18"/>
              </w:rPr>
              <w:t>工厂生产的产品应替代或减少有害物质的使用。</w:t>
            </w:r>
          </w:p>
        </w:tc>
        <w:tc>
          <w:tcPr>
            <w:tcW w:w="1134" w:type="dxa"/>
            <w:vMerge w:val="restart"/>
            <w:vAlign w:val="center"/>
          </w:tcPr>
          <w:p>
            <w:pPr>
              <w:jc w:val="center"/>
              <w:rPr>
                <w:rFonts w:cs="仿宋_GB2312"/>
                <w:strike/>
                <w:dstrike w:val="0"/>
                <w:color w:val="00B0F0"/>
                <w:sz w:val="18"/>
                <w:szCs w:val="18"/>
              </w:rPr>
            </w:pPr>
            <w:r>
              <w:rPr>
                <w:rFonts w:hint="eastAsia" w:cs="仿宋_GB2312"/>
                <w:strike/>
                <w:dstrike w:val="0"/>
                <w:color w:val="00B0F0"/>
                <w:sz w:val="18"/>
                <w:szCs w:val="18"/>
              </w:rPr>
              <w:t>必选</w:t>
            </w:r>
          </w:p>
        </w:tc>
        <w:tc>
          <w:tcPr>
            <w:tcW w:w="1134" w:type="dxa"/>
            <w:vAlign w:val="center"/>
          </w:tcPr>
          <w:p>
            <w:pPr>
              <w:jc w:val="center"/>
              <w:rPr>
                <w:rFonts w:hint="eastAsia" w:cs="仿宋_GB2312"/>
                <w:sz w:val="18"/>
                <w:szCs w:val="18"/>
              </w:rPr>
            </w:pPr>
          </w:p>
        </w:tc>
        <w:tc>
          <w:tcPr>
            <w:tcW w:w="1134" w:type="dxa"/>
            <w:vMerge w:val="continue"/>
            <w:vAlign w:val="center"/>
          </w:tcPr>
          <w:p>
            <w:pPr>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678" w:type="dxa"/>
            <w:vMerge w:val="continue"/>
            <w:vAlign w:val="center"/>
          </w:tcPr>
          <w:p>
            <w:pPr>
              <w:jc w:val="center"/>
              <w:rPr>
                <w:rFonts w:ascii="宋体" w:hAnsi="宋体" w:cs="仿宋_GB2312"/>
                <w:sz w:val="18"/>
                <w:szCs w:val="18"/>
              </w:rPr>
            </w:pPr>
          </w:p>
        </w:tc>
        <w:tc>
          <w:tcPr>
            <w:tcW w:w="1025" w:type="dxa"/>
            <w:vMerge w:val="continue"/>
            <w:vAlign w:val="center"/>
          </w:tcPr>
          <w:p>
            <w:pPr>
              <w:rPr>
                <w:rFonts w:ascii="宋体" w:hAnsi="宋体" w:cs="仿宋_GB2312"/>
                <w:sz w:val="18"/>
                <w:szCs w:val="18"/>
              </w:rPr>
            </w:pPr>
          </w:p>
        </w:tc>
        <w:tc>
          <w:tcPr>
            <w:tcW w:w="1130" w:type="dxa"/>
            <w:vMerge w:val="continue"/>
            <w:vAlign w:val="center"/>
          </w:tcPr>
          <w:p>
            <w:pPr>
              <w:rPr>
                <w:rFonts w:ascii="宋体" w:hAnsi="宋体" w:cs="仿宋_GB2312"/>
                <w:sz w:val="18"/>
                <w:szCs w:val="18"/>
              </w:rPr>
            </w:pPr>
          </w:p>
        </w:tc>
        <w:tc>
          <w:tcPr>
            <w:tcW w:w="7833" w:type="dxa"/>
            <w:vAlign w:val="center"/>
          </w:tcPr>
          <w:p>
            <w:pPr>
              <w:rPr>
                <w:rFonts w:ascii="宋体" w:hAnsi="宋体"/>
                <w:sz w:val="18"/>
                <w:szCs w:val="18"/>
              </w:rPr>
            </w:pPr>
            <w:r>
              <w:rPr>
                <w:rFonts w:hint="eastAsia" w:ascii="宋体" w:hAnsi="宋体"/>
                <w:sz w:val="18"/>
                <w:szCs w:val="18"/>
              </w:rPr>
              <w:t>有毒有害物质的贮存、运输、生产和使用场所，应设置环境风险防范和应急处理设施。</w:t>
            </w:r>
          </w:p>
        </w:tc>
        <w:tc>
          <w:tcPr>
            <w:tcW w:w="1134" w:type="dxa"/>
            <w:vMerge w:val="continue"/>
            <w:vAlign w:val="center"/>
          </w:tcPr>
          <w:p>
            <w:pPr>
              <w:jc w:val="center"/>
              <w:rPr>
                <w:rFonts w:cs="仿宋_GB2312"/>
                <w:strike/>
                <w:dstrike w:val="0"/>
                <w:color w:val="00B0F0"/>
                <w:sz w:val="18"/>
                <w:szCs w:val="18"/>
              </w:rPr>
            </w:pPr>
          </w:p>
        </w:tc>
        <w:tc>
          <w:tcPr>
            <w:tcW w:w="1134" w:type="dxa"/>
            <w:vAlign w:val="center"/>
          </w:tcPr>
          <w:p>
            <w:pPr>
              <w:jc w:val="center"/>
              <w:rPr>
                <w:rFonts w:cs="仿宋_GB2312"/>
                <w:sz w:val="18"/>
                <w:szCs w:val="18"/>
              </w:rPr>
            </w:pPr>
          </w:p>
        </w:tc>
        <w:tc>
          <w:tcPr>
            <w:tcW w:w="1134" w:type="dxa"/>
            <w:vMerge w:val="continue"/>
            <w:vAlign w:val="center"/>
          </w:tcPr>
          <w:p>
            <w:pPr>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6" w:hRule="atLeast"/>
          <w:jc w:val="center"/>
        </w:trPr>
        <w:tc>
          <w:tcPr>
            <w:tcW w:w="678" w:type="dxa"/>
            <w:vMerge w:val="continue"/>
            <w:vAlign w:val="center"/>
          </w:tcPr>
          <w:p>
            <w:pPr>
              <w:jc w:val="center"/>
              <w:rPr>
                <w:rFonts w:ascii="宋体" w:hAnsi="宋体" w:cs="仿宋_GB2312"/>
                <w:sz w:val="18"/>
                <w:szCs w:val="18"/>
              </w:rPr>
            </w:pPr>
          </w:p>
        </w:tc>
        <w:tc>
          <w:tcPr>
            <w:tcW w:w="1025" w:type="dxa"/>
            <w:vMerge w:val="continue"/>
            <w:vAlign w:val="center"/>
          </w:tcPr>
          <w:p>
            <w:pPr>
              <w:rPr>
                <w:rFonts w:ascii="宋体" w:hAnsi="宋体" w:cs="仿宋_GB2312"/>
                <w:sz w:val="18"/>
                <w:szCs w:val="18"/>
              </w:rPr>
            </w:pPr>
          </w:p>
        </w:tc>
        <w:tc>
          <w:tcPr>
            <w:tcW w:w="1130" w:type="dxa"/>
            <w:vMerge w:val="restart"/>
            <w:vAlign w:val="center"/>
          </w:tcPr>
          <w:p>
            <w:pPr>
              <w:rPr>
                <w:rFonts w:ascii="宋体" w:hAnsi="宋体" w:cs="仿宋_GB2312"/>
                <w:sz w:val="18"/>
                <w:szCs w:val="18"/>
              </w:rPr>
            </w:pPr>
            <w:r>
              <w:rPr>
                <w:rFonts w:hint="eastAsia" w:ascii="宋体" w:hAnsi="宋体" w:cs="仿宋_GB2312"/>
                <w:sz w:val="18"/>
                <w:szCs w:val="18"/>
              </w:rPr>
              <w:t>减碳</w:t>
            </w:r>
          </w:p>
        </w:tc>
        <w:tc>
          <w:tcPr>
            <w:tcW w:w="7833" w:type="dxa"/>
            <w:vAlign w:val="center"/>
          </w:tcPr>
          <w:p>
            <w:pPr>
              <w:rPr>
                <w:rFonts w:ascii="宋体" w:hAnsi="宋体"/>
                <w:sz w:val="18"/>
                <w:szCs w:val="18"/>
              </w:rPr>
            </w:pPr>
            <w:r>
              <w:rPr>
                <w:rFonts w:hint="eastAsia" w:ascii="宋体" w:hAnsi="宋体"/>
                <w:sz w:val="18"/>
                <w:szCs w:val="18"/>
              </w:rPr>
              <w:t>宜采用适用的标准或规范对产品进行碳足迹核算或核查。核算或核查结果宜对外公布。</w:t>
            </w:r>
          </w:p>
        </w:tc>
        <w:tc>
          <w:tcPr>
            <w:tcW w:w="1134" w:type="dxa"/>
            <w:vMerge w:val="restart"/>
            <w:vAlign w:val="center"/>
          </w:tcPr>
          <w:p>
            <w:pPr>
              <w:jc w:val="center"/>
              <w:rPr>
                <w:rFonts w:cs="仿宋_GB2312"/>
                <w:strike/>
                <w:dstrike w:val="0"/>
                <w:color w:val="00B0F0"/>
                <w:sz w:val="18"/>
                <w:szCs w:val="18"/>
              </w:rPr>
            </w:pPr>
            <w:r>
              <w:rPr>
                <w:rFonts w:hint="eastAsia" w:cs="仿宋_GB2312"/>
                <w:strike/>
                <w:dstrike w:val="0"/>
                <w:color w:val="00B0F0"/>
                <w:sz w:val="18"/>
                <w:szCs w:val="18"/>
              </w:rPr>
              <w:t>可选</w:t>
            </w:r>
          </w:p>
        </w:tc>
        <w:tc>
          <w:tcPr>
            <w:tcW w:w="1134" w:type="dxa"/>
            <w:vAlign w:val="center"/>
          </w:tcPr>
          <w:p>
            <w:pPr>
              <w:jc w:val="center"/>
              <w:rPr>
                <w:rFonts w:hint="eastAsia" w:cs="仿宋_GB2312"/>
                <w:sz w:val="18"/>
                <w:szCs w:val="18"/>
              </w:rPr>
            </w:pPr>
          </w:p>
        </w:tc>
        <w:tc>
          <w:tcPr>
            <w:tcW w:w="1134" w:type="dxa"/>
            <w:vMerge w:val="continue"/>
            <w:vAlign w:val="center"/>
          </w:tcPr>
          <w:p>
            <w:pPr>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7" w:hRule="atLeast"/>
          <w:jc w:val="center"/>
        </w:trPr>
        <w:tc>
          <w:tcPr>
            <w:tcW w:w="678" w:type="dxa"/>
            <w:vMerge w:val="continue"/>
            <w:tcBorders>
              <w:bottom w:val="single" w:color="auto" w:sz="4" w:space="0"/>
            </w:tcBorders>
            <w:vAlign w:val="center"/>
          </w:tcPr>
          <w:p>
            <w:pPr>
              <w:jc w:val="center"/>
              <w:rPr>
                <w:rFonts w:ascii="宋体" w:hAnsi="宋体" w:cs="仿宋_GB2312"/>
                <w:sz w:val="18"/>
                <w:szCs w:val="18"/>
              </w:rPr>
            </w:pPr>
          </w:p>
        </w:tc>
        <w:tc>
          <w:tcPr>
            <w:tcW w:w="1025" w:type="dxa"/>
            <w:vMerge w:val="continue"/>
            <w:tcBorders>
              <w:bottom w:val="single" w:color="auto" w:sz="4" w:space="0"/>
            </w:tcBorders>
            <w:vAlign w:val="center"/>
          </w:tcPr>
          <w:p>
            <w:pPr>
              <w:rPr>
                <w:rFonts w:ascii="宋体" w:hAnsi="宋体" w:cs="仿宋_GB2312"/>
                <w:sz w:val="18"/>
                <w:szCs w:val="18"/>
              </w:rPr>
            </w:pPr>
          </w:p>
        </w:tc>
        <w:tc>
          <w:tcPr>
            <w:tcW w:w="1130" w:type="dxa"/>
            <w:vMerge w:val="continue"/>
            <w:tcBorders>
              <w:bottom w:val="single" w:color="auto" w:sz="4" w:space="0"/>
            </w:tcBorders>
            <w:vAlign w:val="center"/>
          </w:tcPr>
          <w:p>
            <w:pPr>
              <w:rPr>
                <w:rFonts w:ascii="宋体" w:hAnsi="宋体" w:cs="仿宋_GB2312"/>
                <w:sz w:val="18"/>
                <w:szCs w:val="18"/>
              </w:rPr>
            </w:pPr>
          </w:p>
        </w:tc>
        <w:tc>
          <w:tcPr>
            <w:tcW w:w="7833" w:type="dxa"/>
            <w:tcBorders>
              <w:bottom w:val="single" w:color="auto" w:sz="4" w:space="0"/>
            </w:tcBorders>
            <w:vAlign w:val="center"/>
          </w:tcPr>
          <w:p>
            <w:pPr>
              <w:rPr>
                <w:rFonts w:ascii="宋体" w:hAnsi="宋体"/>
                <w:sz w:val="18"/>
                <w:szCs w:val="18"/>
              </w:rPr>
            </w:pPr>
            <w:r>
              <w:rPr>
                <w:rFonts w:hint="eastAsia" w:ascii="宋体" w:hAnsi="宋体"/>
                <w:sz w:val="18"/>
                <w:szCs w:val="18"/>
              </w:rPr>
              <w:t>宜利用核算或核查结果对其产品的碳足迹进行改善。</w:t>
            </w:r>
          </w:p>
        </w:tc>
        <w:tc>
          <w:tcPr>
            <w:tcW w:w="1134" w:type="dxa"/>
            <w:vMerge w:val="continue"/>
            <w:tcBorders>
              <w:bottom w:val="single" w:color="auto" w:sz="4" w:space="0"/>
            </w:tcBorders>
            <w:vAlign w:val="center"/>
          </w:tcPr>
          <w:p>
            <w:pPr>
              <w:jc w:val="center"/>
              <w:rPr>
                <w:rFonts w:ascii="宋体" w:hAnsi="宋体" w:cs="仿宋_GB2312"/>
                <w:strike/>
                <w:dstrike w:val="0"/>
                <w:color w:val="00B0F0"/>
                <w:sz w:val="18"/>
                <w:szCs w:val="18"/>
              </w:rPr>
            </w:pPr>
          </w:p>
        </w:tc>
        <w:tc>
          <w:tcPr>
            <w:tcW w:w="1134" w:type="dxa"/>
            <w:tcBorders>
              <w:bottom w:val="single" w:color="auto" w:sz="4" w:space="0"/>
            </w:tcBorders>
            <w:vAlign w:val="center"/>
          </w:tcPr>
          <w:p>
            <w:pPr>
              <w:jc w:val="center"/>
              <w:rPr>
                <w:rFonts w:ascii="宋体" w:hAnsi="宋体" w:cs="仿宋_GB2312"/>
                <w:sz w:val="18"/>
                <w:szCs w:val="18"/>
              </w:rPr>
            </w:pPr>
          </w:p>
        </w:tc>
        <w:tc>
          <w:tcPr>
            <w:tcW w:w="1134" w:type="dxa"/>
            <w:vMerge w:val="continue"/>
            <w:tcBorders>
              <w:bottom w:val="single" w:color="auto" w:sz="4" w:space="0"/>
            </w:tcBorders>
            <w:vAlign w:val="center"/>
          </w:tcPr>
          <w:p>
            <w:pPr>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6" w:hRule="atLeast"/>
          <w:jc w:val="center"/>
        </w:trPr>
        <w:tc>
          <w:tcPr>
            <w:tcW w:w="678" w:type="dxa"/>
            <w:vMerge w:val="restart"/>
            <w:tcBorders>
              <w:top w:val="single" w:color="auto" w:sz="4" w:space="0"/>
            </w:tcBorders>
            <w:vAlign w:val="center"/>
          </w:tcPr>
          <w:p>
            <w:pPr>
              <w:jc w:val="center"/>
              <w:rPr>
                <w:rFonts w:ascii="宋体" w:hAnsi="宋体" w:cs="仿宋_GB2312"/>
                <w:sz w:val="18"/>
                <w:szCs w:val="18"/>
              </w:rPr>
            </w:pPr>
            <w:r>
              <w:rPr>
                <w:rFonts w:hint="eastAsia" w:ascii="宋体" w:hAnsi="宋体" w:cs="仿宋_GB2312"/>
                <w:sz w:val="18"/>
                <w:szCs w:val="18"/>
              </w:rPr>
              <w:t>5</w:t>
            </w:r>
          </w:p>
        </w:tc>
        <w:tc>
          <w:tcPr>
            <w:tcW w:w="1025" w:type="dxa"/>
            <w:vMerge w:val="restart"/>
            <w:tcBorders>
              <w:top w:val="single" w:color="auto" w:sz="4" w:space="0"/>
            </w:tcBorders>
            <w:vAlign w:val="center"/>
          </w:tcPr>
          <w:p>
            <w:pPr>
              <w:rPr>
                <w:rFonts w:ascii="宋体" w:hAnsi="宋体" w:cs="仿宋_GB2312"/>
                <w:sz w:val="18"/>
                <w:szCs w:val="18"/>
              </w:rPr>
            </w:pPr>
            <w:r>
              <w:rPr>
                <w:rFonts w:hint="eastAsia" w:ascii="宋体" w:hAnsi="宋体" w:cs="仿宋_GB2312"/>
                <w:sz w:val="18"/>
                <w:szCs w:val="18"/>
              </w:rPr>
              <w:t>环境排放</w:t>
            </w:r>
          </w:p>
        </w:tc>
        <w:tc>
          <w:tcPr>
            <w:tcW w:w="1130" w:type="dxa"/>
            <w:tcBorders>
              <w:top w:val="single" w:color="auto" w:sz="4" w:space="0"/>
            </w:tcBorders>
            <w:vAlign w:val="center"/>
          </w:tcPr>
          <w:p>
            <w:pPr>
              <w:rPr>
                <w:rFonts w:ascii="宋体" w:hAnsi="宋体" w:cs="仿宋_GB2312"/>
                <w:sz w:val="18"/>
                <w:szCs w:val="18"/>
              </w:rPr>
            </w:pPr>
            <w:r>
              <w:rPr>
                <w:rFonts w:hint="eastAsia" w:cs="仿宋_GB2312"/>
                <w:sz w:val="18"/>
                <w:szCs w:val="18"/>
              </w:rPr>
              <w:t>大气污染物</w:t>
            </w:r>
          </w:p>
        </w:tc>
        <w:tc>
          <w:tcPr>
            <w:tcW w:w="7833" w:type="dxa"/>
            <w:tcBorders>
              <w:top w:val="single" w:color="auto" w:sz="4" w:space="0"/>
            </w:tcBorders>
            <w:vAlign w:val="center"/>
          </w:tcPr>
          <w:p>
            <w:pPr>
              <w:rPr>
                <w:sz w:val="18"/>
                <w:szCs w:val="18"/>
              </w:rPr>
            </w:pPr>
            <w:r>
              <w:rPr>
                <w:rFonts w:hint="eastAsia"/>
                <w:sz w:val="18"/>
                <w:szCs w:val="18"/>
              </w:rPr>
              <w:t>大气污染物排放应符合相关国家标准、行业标准及地方标准的规定和主要污染物排放总量控制规定，并满足国家排污许可要求。</w:t>
            </w:r>
          </w:p>
        </w:tc>
        <w:tc>
          <w:tcPr>
            <w:tcW w:w="1134" w:type="dxa"/>
            <w:tcBorders>
              <w:top w:val="single" w:color="auto" w:sz="4" w:space="0"/>
            </w:tcBorders>
            <w:vAlign w:val="center"/>
          </w:tcPr>
          <w:p>
            <w:pPr>
              <w:jc w:val="center"/>
              <w:rPr>
                <w:rFonts w:cs="仿宋_GB2312"/>
                <w:strike/>
                <w:dstrike w:val="0"/>
                <w:color w:val="00B0F0"/>
                <w:sz w:val="18"/>
                <w:szCs w:val="18"/>
              </w:rPr>
            </w:pPr>
            <w:r>
              <w:rPr>
                <w:rFonts w:hint="eastAsia" w:cs="仿宋_GB2312"/>
                <w:strike/>
                <w:dstrike w:val="0"/>
                <w:color w:val="00B0F0"/>
                <w:sz w:val="18"/>
                <w:szCs w:val="18"/>
              </w:rPr>
              <w:t>必选</w:t>
            </w:r>
          </w:p>
        </w:tc>
        <w:tc>
          <w:tcPr>
            <w:tcW w:w="1134" w:type="dxa"/>
            <w:tcBorders>
              <w:top w:val="single" w:color="auto" w:sz="4" w:space="0"/>
            </w:tcBorders>
            <w:vAlign w:val="center"/>
          </w:tcPr>
          <w:p>
            <w:pPr>
              <w:jc w:val="center"/>
              <w:rPr>
                <w:rFonts w:hint="eastAsia" w:cs="仿宋_GB2312"/>
                <w:sz w:val="18"/>
                <w:szCs w:val="18"/>
              </w:rPr>
            </w:pPr>
          </w:p>
        </w:tc>
        <w:tc>
          <w:tcPr>
            <w:tcW w:w="1134" w:type="dxa"/>
            <w:vMerge w:val="restart"/>
            <w:tcBorders>
              <w:top w:val="single" w:color="auto" w:sz="4" w:space="0"/>
            </w:tcBorders>
            <w:vAlign w:val="center"/>
          </w:tcPr>
          <w:p>
            <w:pPr>
              <w:jc w:val="center"/>
              <w:rPr>
                <w:rFonts w:ascii="宋体" w:hAnsi="宋体" w:cs="仿宋_GB2312"/>
                <w:sz w:val="18"/>
                <w:szCs w:val="18"/>
              </w:rPr>
            </w:pPr>
            <w:r>
              <w:rPr>
                <w:rFonts w:hint="eastAsia" w:ascii="宋体" w:hAnsi="宋体" w:cs="仿宋_GB2312"/>
                <w:sz w:val="18"/>
                <w:szCs w:val="18"/>
              </w:rPr>
              <w:t>10</w:t>
            </w:r>
            <w:r>
              <w:rPr>
                <w:rFonts w:ascii="宋体" w:hAnsi="宋体"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7" w:hRule="atLeast"/>
          <w:jc w:val="center"/>
        </w:trPr>
        <w:tc>
          <w:tcPr>
            <w:tcW w:w="678" w:type="dxa"/>
            <w:vMerge w:val="continue"/>
            <w:vAlign w:val="center"/>
          </w:tcPr>
          <w:p>
            <w:pPr>
              <w:jc w:val="center"/>
              <w:rPr>
                <w:rFonts w:ascii="宋体" w:hAnsi="宋体" w:cs="仿宋_GB2312"/>
                <w:sz w:val="18"/>
                <w:szCs w:val="18"/>
              </w:rPr>
            </w:pPr>
          </w:p>
        </w:tc>
        <w:tc>
          <w:tcPr>
            <w:tcW w:w="1025" w:type="dxa"/>
            <w:vMerge w:val="continue"/>
            <w:vAlign w:val="center"/>
          </w:tcPr>
          <w:p>
            <w:pPr>
              <w:rPr>
                <w:rFonts w:ascii="宋体" w:hAnsi="宋体" w:cs="仿宋_GB2312"/>
                <w:sz w:val="18"/>
                <w:szCs w:val="18"/>
              </w:rPr>
            </w:pPr>
          </w:p>
        </w:tc>
        <w:tc>
          <w:tcPr>
            <w:tcW w:w="1130" w:type="dxa"/>
            <w:vAlign w:val="center"/>
          </w:tcPr>
          <w:p>
            <w:pPr>
              <w:rPr>
                <w:rFonts w:cs="仿宋_GB2312"/>
                <w:sz w:val="18"/>
                <w:szCs w:val="18"/>
              </w:rPr>
            </w:pPr>
            <w:r>
              <w:rPr>
                <w:rFonts w:hint="eastAsia" w:cs="仿宋_GB2312"/>
                <w:sz w:val="18"/>
                <w:szCs w:val="18"/>
              </w:rPr>
              <w:t>水污染物</w:t>
            </w:r>
          </w:p>
        </w:tc>
        <w:tc>
          <w:tcPr>
            <w:tcW w:w="7833" w:type="dxa"/>
            <w:vAlign w:val="center"/>
          </w:tcPr>
          <w:p>
            <w:pPr>
              <w:rPr>
                <w:rFonts w:cs="仿宋_GB2312"/>
                <w:sz w:val="18"/>
                <w:szCs w:val="18"/>
              </w:rPr>
            </w:pPr>
            <w:r>
              <w:rPr>
                <w:rFonts w:hint="eastAsia"/>
                <w:sz w:val="18"/>
                <w:szCs w:val="18"/>
              </w:rPr>
              <w:t>水体污染物排放应符合相关国家、行业标准、地方标准的规定和主要污染物排放总量控制规定，并满足国家排污许可要求。</w:t>
            </w:r>
          </w:p>
        </w:tc>
        <w:tc>
          <w:tcPr>
            <w:tcW w:w="1134" w:type="dxa"/>
            <w:vAlign w:val="center"/>
          </w:tcPr>
          <w:p>
            <w:pPr>
              <w:jc w:val="center"/>
              <w:rPr>
                <w:rFonts w:cs="仿宋_GB2312"/>
                <w:strike/>
                <w:dstrike w:val="0"/>
                <w:color w:val="00B0F0"/>
                <w:sz w:val="18"/>
                <w:szCs w:val="18"/>
              </w:rPr>
            </w:pPr>
            <w:r>
              <w:rPr>
                <w:rFonts w:hint="eastAsia" w:cs="仿宋_GB2312"/>
                <w:strike/>
                <w:dstrike w:val="0"/>
                <w:color w:val="00B0F0"/>
                <w:sz w:val="18"/>
                <w:szCs w:val="18"/>
              </w:rPr>
              <w:t>必选</w:t>
            </w:r>
          </w:p>
        </w:tc>
        <w:tc>
          <w:tcPr>
            <w:tcW w:w="1134" w:type="dxa"/>
            <w:vAlign w:val="center"/>
          </w:tcPr>
          <w:p>
            <w:pPr>
              <w:jc w:val="center"/>
              <w:rPr>
                <w:rFonts w:hint="eastAsia" w:cs="仿宋_GB2312"/>
                <w:sz w:val="18"/>
                <w:szCs w:val="18"/>
              </w:rPr>
            </w:pPr>
          </w:p>
        </w:tc>
        <w:tc>
          <w:tcPr>
            <w:tcW w:w="1134" w:type="dxa"/>
            <w:vMerge w:val="continue"/>
            <w:vAlign w:val="center"/>
          </w:tcPr>
          <w:p>
            <w:pPr>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678" w:type="dxa"/>
            <w:vMerge w:val="continue"/>
            <w:vAlign w:val="center"/>
          </w:tcPr>
          <w:p>
            <w:pPr>
              <w:jc w:val="center"/>
              <w:rPr>
                <w:rFonts w:ascii="宋体" w:hAnsi="宋体" w:cs="仿宋_GB2312"/>
                <w:sz w:val="18"/>
                <w:szCs w:val="18"/>
              </w:rPr>
            </w:pPr>
          </w:p>
        </w:tc>
        <w:tc>
          <w:tcPr>
            <w:tcW w:w="1025" w:type="dxa"/>
            <w:vMerge w:val="continue"/>
            <w:vAlign w:val="center"/>
          </w:tcPr>
          <w:p>
            <w:pPr>
              <w:rPr>
                <w:rFonts w:ascii="宋体" w:hAnsi="宋体" w:cs="仿宋_GB2312"/>
                <w:sz w:val="18"/>
                <w:szCs w:val="18"/>
              </w:rPr>
            </w:pPr>
          </w:p>
        </w:tc>
        <w:tc>
          <w:tcPr>
            <w:tcW w:w="1130" w:type="dxa"/>
            <w:vMerge w:val="restart"/>
            <w:vAlign w:val="center"/>
          </w:tcPr>
          <w:p>
            <w:pPr>
              <w:rPr>
                <w:rFonts w:cs="仿宋_GB2312"/>
                <w:sz w:val="18"/>
                <w:szCs w:val="18"/>
              </w:rPr>
            </w:pPr>
            <w:r>
              <w:rPr>
                <w:rFonts w:hint="eastAsia" w:cs="仿宋_GB2312"/>
                <w:sz w:val="18"/>
                <w:szCs w:val="18"/>
              </w:rPr>
              <w:t>固体废物</w:t>
            </w:r>
          </w:p>
        </w:tc>
        <w:tc>
          <w:tcPr>
            <w:tcW w:w="7833" w:type="dxa"/>
            <w:vAlign w:val="center"/>
          </w:tcPr>
          <w:p>
            <w:pPr>
              <w:rPr>
                <w:rFonts w:cs="仿宋_GB2312"/>
                <w:sz w:val="18"/>
                <w:szCs w:val="18"/>
              </w:rPr>
            </w:pPr>
            <w:r>
              <w:rPr>
                <w:rFonts w:hint="eastAsia" w:cs="仿宋_GB2312"/>
                <w:sz w:val="18"/>
                <w:szCs w:val="18"/>
              </w:rPr>
              <w:t>固体废物的贮存、转移和处置应符合</w:t>
            </w:r>
            <w:r>
              <w:rPr>
                <w:rFonts w:cs="仿宋_GB2312"/>
                <w:sz w:val="18"/>
                <w:szCs w:val="18"/>
              </w:rPr>
              <w:t>GB 18597</w:t>
            </w:r>
            <w:r>
              <w:rPr>
                <w:rFonts w:hint="eastAsia" w:cs="仿宋_GB2312"/>
                <w:sz w:val="18"/>
                <w:szCs w:val="18"/>
              </w:rPr>
              <w:t>、</w:t>
            </w:r>
            <w:r>
              <w:rPr>
                <w:rFonts w:cs="仿宋_GB2312"/>
                <w:sz w:val="18"/>
                <w:szCs w:val="18"/>
              </w:rPr>
              <w:t>GB 18598</w:t>
            </w:r>
            <w:r>
              <w:rPr>
                <w:rFonts w:hint="eastAsia" w:cs="仿宋_GB2312"/>
                <w:sz w:val="18"/>
                <w:szCs w:val="18"/>
              </w:rPr>
              <w:t>和</w:t>
            </w:r>
            <w:r>
              <w:rPr>
                <w:rFonts w:cs="仿宋_GB2312"/>
                <w:sz w:val="18"/>
                <w:szCs w:val="18"/>
              </w:rPr>
              <w:t>GB 18599</w:t>
            </w:r>
            <w:r>
              <w:rPr>
                <w:rFonts w:hint="eastAsia" w:cs="仿宋_GB2312"/>
                <w:sz w:val="18"/>
                <w:szCs w:val="18"/>
              </w:rPr>
              <w:t>等相关标准的规定。</w:t>
            </w:r>
          </w:p>
        </w:tc>
        <w:tc>
          <w:tcPr>
            <w:tcW w:w="1134" w:type="dxa"/>
            <w:shd w:val="clear" w:color="auto" w:fill="auto"/>
            <w:vAlign w:val="center"/>
          </w:tcPr>
          <w:p>
            <w:pPr>
              <w:jc w:val="center"/>
              <w:rPr>
                <w:rFonts w:cs="仿宋_GB2312"/>
                <w:strike/>
                <w:dstrike w:val="0"/>
                <w:color w:val="00B0F0"/>
                <w:sz w:val="18"/>
                <w:szCs w:val="18"/>
              </w:rPr>
            </w:pPr>
            <w:r>
              <w:rPr>
                <w:rFonts w:hint="eastAsia" w:cs="仿宋_GB2312"/>
                <w:strike/>
                <w:dstrike w:val="0"/>
                <w:color w:val="00B0F0"/>
                <w:sz w:val="18"/>
                <w:szCs w:val="18"/>
              </w:rPr>
              <w:t>必选</w:t>
            </w:r>
          </w:p>
        </w:tc>
        <w:tc>
          <w:tcPr>
            <w:tcW w:w="1134" w:type="dxa"/>
            <w:vAlign w:val="center"/>
          </w:tcPr>
          <w:p>
            <w:pPr>
              <w:jc w:val="center"/>
              <w:rPr>
                <w:rFonts w:hint="eastAsia" w:cs="仿宋_GB2312"/>
                <w:sz w:val="18"/>
                <w:szCs w:val="18"/>
              </w:rPr>
            </w:pPr>
          </w:p>
        </w:tc>
        <w:tc>
          <w:tcPr>
            <w:tcW w:w="1134" w:type="dxa"/>
            <w:vMerge w:val="continue"/>
            <w:vAlign w:val="center"/>
          </w:tcPr>
          <w:p>
            <w:pPr>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678" w:type="dxa"/>
            <w:vMerge w:val="continue"/>
            <w:vAlign w:val="center"/>
          </w:tcPr>
          <w:p>
            <w:pPr>
              <w:jc w:val="center"/>
              <w:rPr>
                <w:rFonts w:ascii="宋体" w:hAnsi="宋体" w:cs="仿宋_GB2312"/>
                <w:sz w:val="18"/>
                <w:szCs w:val="18"/>
              </w:rPr>
            </w:pPr>
          </w:p>
        </w:tc>
        <w:tc>
          <w:tcPr>
            <w:tcW w:w="1025" w:type="dxa"/>
            <w:vMerge w:val="continue"/>
            <w:vAlign w:val="center"/>
          </w:tcPr>
          <w:p>
            <w:pPr>
              <w:rPr>
                <w:rFonts w:ascii="宋体" w:hAnsi="宋体" w:cs="仿宋_GB2312"/>
                <w:sz w:val="18"/>
                <w:szCs w:val="18"/>
              </w:rPr>
            </w:pPr>
          </w:p>
        </w:tc>
        <w:tc>
          <w:tcPr>
            <w:tcW w:w="1130" w:type="dxa"/>
            <w:vMerge w:val="continue"/>
            <w:vAlign w:val="center"/>
          </w:tcPr>
          <w:p>
            <w:pPr>
              <w:rPr>
                <w:rFonts w:cs="仿宋_GB2312"/>
                <w:sz w:val="18"/>
                <w:szCs w:val="18"/>
              </w:rPr>
            </w:pPr>
          </w:p>
        </w:tc>
        <w:tc>
          <w:tcPr>
            <w:tcW w:w="7833" w:type="dxa"/>
            <w:vAlign w:val="center"/>
          </w:tcPr>
          <w:p>
            <w:pPr>
              <w:rPr>
                <w:rFonts w:cs="仿宋_GB2312"/>
                <w:sz w:val="18"/>
                <w:szCs w:val="18"/>
              </w:rPr>
            </w:pPr>
            <w:r>
              <w:rPr>
                <w:rFonts w:hint="eastAsia"/>
                <w:sz w:val="18"/>
                <w:szCs w:val="18"/>
              </w:rPr>
              <w:t>宜针对自身产生的固体废物采用减量化、无害化、资源化的处理、处置和利用方式。</w:t>
            </w:r>
          </w:p>
        </w:tc>
        <w:tc>
          <w:tcPr>
            <w:tcW w:w="1134" w:type="dxa"/>
            <w:shd w:val="clear" w:color="auto" w:fill="auto"/>
            <w:vAlign w:val="center"/>
          </w:tcPr>
          <w:p>
            <w:pPr>
              <w:jc w:val="center"/>
              <w:rPr>
                <w:rFonts w:cs="仿宋_GB2312"/>
                <w:strike/>
                <w:dstrike w:val="0"/>
                <w:color w:val="00B0F0"/>
                <w:sz w:val="18"/>
                <w:szCs w:val="18"/>
              </w:rPr>
            </w:pPr>
            <w:r>
              <w:rPr>
                <w:rFonts w:hint="eastAsia" w:cs="仿宋_GB2312"/>
                <w:strike/>
                <w:dstrike w:val="0"/>
                <w:color w:val="00B0F0"/>
                <w:sz w:val="18"/>
                <w:szCs w:val="18"/>
              </w:rPr>
              <w:t>可选</w:t>
            </w:r>
          </w:p>
        </w:tc>
        <w:tc>
          <w:tcPr>
            <w:tcW w:w="1134" w:type="dxa"/>
            <w:vAlign w:val="center"/>
          </w:tcPr>
          <w:p>
            <w:pPr>
              <w:jc w:val="center"/>
              <w:rPr>
                <w:rFonts w:hint="eastAsia" w:cs="仿宋_GB2312"/>
                <w:sz w:val="18"/>
                <w:szCs w:val="18"/>
              </w:rPr>
            </w:pPr>
          </w:p>
        </w:tc>
        <w:tc>
          <w:tcPr>
            <w:tcW w:w="1134" w:type="dxa"/>
            <w:vMerge w:val="continue"/>
            <w:vAlign w:val="center"/>
          </w:tcPr>
          <w:p>
            <w:pPr>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678" w:type="dxa"/>
            <w:vMerge w:val="continue"/>
            <w:vAlign w:val="center"/>
          </w:tcPr>
          <w:p>
            <w:pPr>
              <w:jc w:val="center"/>
              <w:rPr>
                <w:rFonts w:ascii="宋体" w:hAnsi="宋体" w:cs="仿宋_GB2312"/>
                <w:sz w:val="18"/>
                <w:szCs w:val="18"/>
              </w:rPr>
            </w:pPr>
          </w:p>
        </w:tc>
        <w:tc>
          <w:tcPr>
            <w:tcW w:w="1025" w:type="dxa"/>
            <w:vMerge w:val="continue"/>
            <w:vAlign w:val="center"/>
          </w:tcPr>
          <w:p>
            <w:pPr>
              <w:rPr>
                <w:rFonts w:ascii="宋体" w:hAnsi="宋体" w:cs="仿宋_GB2312"/>
                <w:sz w:val="18"/>
                <w:szCs w:val="18"/>
              </w:rPr>
            </w:pPr>
          </w:p>
        </w:tc>
        <w:tc>
          <w:tcPr>
            <w:tcW w:w="1130" w:type="dxa"/>
            <w:vMerge w:val="continue"/>
            <w:vAlign w:val="center"/>
          </w:tcPr>
          <w:p>
            <w:pPr>
              <w:rPr>
                <w:rFonts w:cs="仿宋_GB2312"/>
                <w:sz w:val="18"/>
                <w:szCs w:val="18"/>
              </w:rPr>
            </w:pPr>
          </w:p>
        </w:tc>
        <w:tc>
          <w:tcPr>
            <w:tcW w:w="7833" w:type="dxa"/>
            <w:vAlign w:val="center"/>
          </w:tcPr>
          <w:p>
            <w:pPr>
              <w:rPr>
                <w:rFonts w:cs="仿宋_GB2312"/>
                <w:sz w:val="18"/>
                <w:szCs w:val="18"/>
              </w:rPr>
            </w:pPr>
            <w:r>
              <w:rPr>
                <w:rFonts w:hint="eastAsia" w:cs="仿宋_GB2312"/>
                <w:sz w:val="18"/>
                <w:szCs w:val="18"/>
              </w:rPr>
              <w:t>企业无法自行处理的危险废物，需委托具有能力和资质的企业进行危险废物处理。</w:t>
            </w:r>
          </w:p>
        </w:tc>
        <w:tc>
          <w:tcPr>
            <w:tcW w:w="1134" w:type="dxa"/>
            <w:vAlign w:val="center"/>
          </w:tcPr>
          <w:p>
            <w:pPr>
              <w:jc w:val="center"/>
              <w:rPr>
                <w:rFonts w:cs="仿宋_GB2312"/>
                <w:strike/>
                <w:dstrike w:val="0"/>
                <w:color w:val="00B0F0"/>
                <w:sz w:val="18"/>
                <w:szCs w:val="18"/>
              </w:rPr>
            </w:pPr>
            <w:r>
              <w:rPr>
                <w:rFonts w:hint="eastAsia" w:cs="仿宋_GB2312"/>
                <w:strike/>
                <w:dstrike w:val="0"/>
                <w:color w:val="00B0F0"/>
                <w:sz w:val="18"/>
                <w:szCs w:val="18"/>
              </w:rPr>
              <w:t>必选</w:t>
            </w:r>
          </w:p>
        </w:tc>
        <w:tc>
          <w:tcPr>
            <w:tcW w:w="1134" w:type="dxa"/>
            <w:vAlign w:val="center"/>
          </w:tcPr>
          <w:p>
            <w:pPr>
              <w:jc w:val="center"/>
              <w:rPr>
                <w:rFonts w:hint="eastAsia" w:cs="仿宋_GB2312"/>
                <w:sz w:val="18"/>
                <w:szCs w:val="18"/>
              </w:rPr>
            </w:pPr>
          </w:p>
        </w:tc>
        <w:tc>
          <w:tcPr>
            <w:tcW w:w="1134" w:type="dxa"/>
            <w:vMerge w:val="continue"/>
            <w:vAlign w:val="center"/>
          </w:tcPr>
          <w:p>
            <w:pPr>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678" w:type="dxa"/>
            <w:vMerge w:val="continue"/>
            <w:vAlign w:val="center"/>
          </w:tcPr>
          <w:p>
            <w:pPr>
              <w:jc w:val="center"/>
              <w:rPr>
                <w:rFonts w:ascii="宋体" w:hAnsi="宋体" w:cs="仿宋_GB2312"/>
                <w:sz w:val="18"/>
                <w:szCs w:val="18"/>
              </w:rPr>
            </w:pPr>
          </w:p>
        </w:tc>
        <w:tc>
          <w:tcPr>
            <w:tcW w:w="1025" w:type="dxa"/>
            <w:vMerge w:val="continue"/>
            <w:vAlign w:val="center"/>
          </w:tcPr>
          <w:p>
            <w:pPr>
              <w:rPr>
                <w:rFonts w:ascii="宋体" w:hAnsi="宋体" w:cs="仿宋_GB2312"/>
                <w:sz w:val="18"/>
                <w:szCs w:val="18"/>
              </w:rPr>
            </w:pPr>
          </w:p>
        </w:tc>
        <w:tc>
          <w:tcPr>
            <w:tcW w:w="1130" w:type="dxa"/>
            <w:vAlign w:val="center"/>
          </w:tcPr>
          <w:p>
            <w:pPr>
              <w:rPr>
                <w:rFonts w:ascii="宋体" w:hAnsi="宋体" w:cs="仿宋_GB2312"/>
                <w:sz w:val="18"/>
                <w:szCs w:val="18"/>
              </w:rPr>
            </w:pPr>
            <w:r>
              <w:rPr>
                <w:rFonts w:hint="eastAsia" w:ascii="宋体" w:hAnsi="宋体" w:cs="仿宋_GB2312"/>
                <w:sz w:val="18"/>
                <w:szCs w:val="18"/>
              </w:rPr>
              <w:t>噪声</w:t>
            </w:r>
          </w:p>
        </w:tc>
        <w:tc>
          <w:tcPr>
            <w:tcW w:w="7833" w:type="dxa"/>
            <w:vAlign w:val="center"/>
          </w:tcPr>
          <w:p>
            <w:pPr>
              <w:rPr>
                <w:rFonts w:cs="仿宋_GB2312"/>
                <w:sz w:val="18"/>
                <w:szCs w:val="18"/>
              </w:rPr>
            </w:pPr>
            <w:r>
              <w:rPr>
                <w:rFonts w:hint="eastAsia" w:cs="仿宋_GB2312"/>
                <w:sz w:val="18"/>
                <w:szCs w:val="18"/>
              </w:rPr>
              <w:t>厂界环境噪声排放应符合</w:t>
            </w:r>
            <w:r>
              <w:rPr>
                <w:rFonts w:cs="仿宋_GB2312"/>
                <w:sz w:val="18"/>
                <w:szCs w:val="18"/>
              </w:rPr>
              <w:t>GB/T 12348</w:t>
            </w:r>
            <w:r>
              <w:rPr>
                <w:rFonts w:hint="eastAsia" w:cs="仿宋_GB2312"/>
                <w:sz w:val="18"/>
                <w:szCs w:val="18"/>
              </w:rPr>
              <w:t>的要求。</w:t>
            </w:r>
          </w:p>
        </w:tc>
        <w:tc>
          <w:tcPr>
            <w:tcW w:w="1134" w:type="dxa"/>
            <w:vAlign w:val="center"/>
          </w:tcPr>
          <w:p>
            <w:pPr>
              <w:jc w:val="center"/>
              <w:rPr>
                <w:rFonts w:cs="仿宋_GB2312"/>
                <w:strike/>
                <w:dstrike w:val="0"/>
                <w:color w:val="00B0F0"/>
                <w:sz w:val="18"/>
                <w:szCs w:val="18"/>
              </w:rPr>
            </w:pPr>
            <w:r>
              <w:rPr>
                <w:rFonts w:hint="eastAsia" w:cs="仿宋_GB2312"/>
                <w:strike/>
                <w:dstrike w:val="0"/>
                <w:color w:val="00B0F0"/>
                <w:sz w:val="18"/>
                <w:szCs w:val="18"/>
              </w:rPr>
              <w:t>必选</w:t>
            </w:r>
          </w:p>
        </w:tc>
        <w:tc>
          <w:tcPr>
            <w:tcW w:w="1134" w:type="dxa"/>
            <w:vAlign w:val="center"/>
          </w:tcPr>
          <w:p>
            <w:pPr>
              <w:jc w:val="center"/>
              <w:rPr>
                <w:rFonts w:hint="eastAsia" w:cs="仿宋_GB2312"/>
                <w:sz w:val="18"/>
                <w:szCs w:val="18"/>
              </w:rPr>
            </w:pPr>
          </w:p>
        </w:tc>
        <w:tc>
          <w:tcPr>
            <w:tcW w:w="1134" w:type="dxa"/>
            <w:vMerge w:val="continue"/>
            <w:vAlign w:val="center"/>
          </w:tcPr>
          <w:p>
            <w:pPr>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678" w:type="dxa"/>
            <w:vMerge w:val="continue"/>
            <w:vAlign w:val="center"/>
          </w:tcPr>
          <w:p>
            <w:pPr>
              <w:jc w:val="center"/>
              <w:rPr>
                <w:rFonts w:ascii="宋体" w:hAnsi="宋体" w:cs="仿宋_GB2312"/>
                <w:sz w:val="18"/>
                <w:szCs w:val="18"/>
              </w:rPr>
            </w:pPr>
          </w:p>
        </w:tc>
        <w:tc>
          <w:tcPr>
            <w:tcW w:w="1025" w:type="dxa"/>
            <w:vMerge w:val="continue"/>
            <w:vAlign w:val="center"/>
          </w:tcPr>
          <w:p>
            <w:pPr>
              <w:rPr>
                <w:rFonts w:ascii="宋体" w:hAnsi="宋体" w:cs="仿宋_GB2312"/>
                <w:sz w:val="18"/>
                <w:szCs w:val="18"/>
              </w:rPr>
            </w:pPr>
          </w:p>
        </w:tc>
        <w:tc>
          <w:tcPr>
            <w:tcW w:w="1130" w:type="dxa"/>
            <w:vMerge w:val="restart"/>
            <w:vAlign w:val="center"/>
          </w:tcPr>
          <w:p>
            <w:pPr>
              <w:rPr>
                <w:rFonts w:cs="仿宋_GB2312"/>
                <w:sz w:val="18"/>
                <w:szCs w:val="18"/>
              </w:rPr>
            </w:pPr>
            <w:r>
              <w:rPr>
                <w:rFonts w:hint="eastAsia" w:cs="仿宋_GB2312"/>
                <w:sz w:val="18"/>
                <w:szCs w:val="18"/>
              </w:rPr>
              <w:t>温室气体</w:t>
            </w:r>
          </w:p>
        </w:tc>
        <w:tc>
          <w:tcPr>
            <w:tcW w:w="7833" w:type="dxa"/>
            <w:vAlign w:val="center"/>
          </w:tcPr>
          <w:p>
            <w:pPr>
              <w:rPr>
                <w:rFonts w:cs="仿宋_GB2312"/>
                <w:sz w:val="18"/>
                <w:szCs w:val="18"/>
              </w:rPr>
            </w:pPr>
            <w:r>
              <w:rPr>
                <w:rFonts w:hint="eastAsia" w:cs="仿宋_GB2312"/>
                <w:sz w:val="18"/>
                <w:szCs w:val="18"/>
              </w:rPr>
              <w:t>应采用</w:t>
            </w:r>
            <w:r>
              <w:rPr>
                <w:rFonts w:cs="仿宋_GB2312"/>
                <w:sz w:val="18"/>
                <w:szCs w:val="18"/>
              </w:rPr>
              <w:t>GB/T 32150</w:t>
            </w:r>
            <w:r>
              <w:rPr>
                <w:rFonts w:hint="eastAsia" w:cs="仿宋_GB2312"/>
                <w:sz w:val="18"/>
                <w:szCs w:val="18"/>
              </w:rPr>
              <w:t>或适用的标准或规范对其厂界范围内的温室气体排放进行核算和报告。</w:t>
            </w:r>
          </w:p>
        </w:tc>
        <w:tc>
          <w:tcPr>
            <w:tcW w:w="1134" w:type="dxa"/>
            <w:vAlign w:val="center"/>
          </w:tcPr>
          <w:p>
            <w:pPr>
              <w:jc w:val="center"/>
              <w:rPr>
                <w:rFonts w:cs="仿宋_GB2312"/>
                <w:strike/>
                <w:dstrike w:val="0"/>
                <w:color w:val="00B0F0"/>
                <w:sz w:val="18"/>
                <w:szCs w:val="18"/>
              </w:rPr>
            </w:pPr>
            <w:r>
              <w:rPr>
                <w:rFonts w:hint="eastAsia" w:cs="仿宋_GB2312"/>
                <w:strike/>
                <w:dstrike w:val="0"/>
                <w:color w:val="00B0F0"/>
                <w:sz w:val="18"/>
                <w:szCs w:val="18"/>
              </w:rPr>
              <w:t>必选</w:t>
            </w:r>
          </w:p>
        </w:tc>
        <w:tc>
          <w:tcPr>
            <w:tcW w:w="1134" w:type="dxa"/>
            <w:vAlign w:val="center"/>
          </w:tcPr>
          <w:p>
            <w:pPr>
              <w:jc w:val="center"/>
              <w:rPr>
                <w:rFonts w:hint="eastAsia" w:cs="仿宋_GB2312"/>
                <w:sz w:val="18"/>
                <w:szCs w:val="18"/>
              </w:rPr>
            </w:pPr>
          </w:p>
        </w:tc>
        <w:tc>
          <w:tcPr>
            <w:tcW w:w="1134" w:type="dxa"/>
            <w:vMerge w:val="continue"/>
            <w:vAlign w:val="center"/>
          </w:tcPr>
          <w:p>
            <w:pPr>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678" w:type="dxa"/>
            <w:vMerge w:val="continue"/>
            <w:vAlign w:val="center"/>
          </w:tcPr>
          <w:p>
            <w:pPr>
              <w:jc w:val="center"/>
              <w:rPr>
                <w:rFonts w:ascii="宋体" w:hAnsi="宋体" w:cs="仿宋_GB2312"/>
                <w:sz w:val="18"/>
                <w:szCs w:val="18"/>
              </w:rPr>
            </w:pPr>
          </w:p>
        </w:tc>
        <w:tc>
          <w:tcPr>
            <w:tcW w:w="1025" w:type="dxa"/>
            <w:vMerge w:val="continue"/>
            <w:vAlign w:val="center"/>
          </w:tcPr>
          <w:p>
            <w:pPr>
              <w:rPr>
                <w:rFonts w:ascii="宋体" w:hAnsi="宋体" w:cs="仿宋_GB2312"/>
                <w:sz w:val="18"/>
                <w:szCs w:val="18"/>
              </w:rPr>
            </w:pPr>
          </w:p>
        </w:tc>
        <w:tc>
          <w:tcPr>
            <w:tcW w:w="1130" w:type="dxa"/>
            <w:vMerge w:val="continue"/>
            <w:vAlign w:val="center"/>
          </w:tcPr>
          <w:p>
            <w:pPr>
              <w:rPr>
                <w:rFonts w:ascii="宋体" w:hAnsi="宋体" w:cs="仿宋_GB2312"/>
                <w:sz w:val="18"/>
                <w:szCs w:val="18"/>
              </w:rPr>
            </w:pPr>
          </w:p>
        </w:tc>
        <w:tc>
          <w:tcPr>
            <w:tcW w:w="7833" w:type="dxa"/>
            <w:vAlign w:val="center"/>
          </w:tcPr>
          <w:p>
            <w:pPr>
              <w:rPr>
                <w:rFonts w:cs="仿宋_GB2312"/>
                <w:sz w:val="18"/>
                <w:szCs w:val="18"/>
              </w:rPr>
            </w:pPr>
            <w:r>
              <w:rPr>
                <w:rFonts w:hint="eastAsia" w:cs="仿宋_GB2312"/>
                <w:sz w:val="18"/>
                <w:szCs w:val="18"/>
              </w:rPr>
              <w:t>宜获得温室气体排放量第三方核查声明。</w:t>
            </w:r>
          </w:p>
        </w:tc>
        <w:tc>
          <w:tcPr>
            <w:tcW w:w="1134" w:type="dxa"/>
            <w:vAlign w:val="center"/>
          </w:tcPr>
          <w:p>
            <w:pPr>
              <w:jc w:val="center"/>
              <w:rPr>
                <w:rFonts w:cs="仿宋_GB2312"/>
                <w:strike/>
                <w:dstrike w:val="0"/>
                <w:color w:val="00B0F0"/>
                <w:sz w:val="18"/>
                <w:szCs w:val="18"/>
              </w:rPr>
            </w:pPr>
            <w:r>
              <w:rPr>
                <w:rFonts w:hint="eastAsia" w:cs="仿宋_GB2312"/>
                <w:strike/>
                <w:dstrike w:val="0"/>
                <w:color w:val="00B0F0"/>
                <w:sz w:val="18"/>
                <w:szCs w:val="18"/>
              </w:rPr>
              <w:t>可选</w:t>
            </w:r>
          </w:p>
        </w:tc>
        <w:tc>
          <w:tcPr>
            <w:tcW w:w="1134" w:type="dxa"/>
            <w:vAlign w:val="center"/>
          </w:tcPr>
          <w:p>
            <w:pPr>
              <w:jc w:val="center"/>
              <w:rPr>
                <w:rFonts w:hint="eastAsia" w:cs="仿宋_GB2312"/>
                <w:sz w:val="18"/>
                <w:szCs w:val="18"/>
              </w:rPr>
            </w:pPr>
          </w:p>
        </w:tc>
        <w:tc>
          <w:tcPr>
            <w:tcW w:w="1134" w:type="dxa"/>
            <w:vMerge w:val="continue"/>
            <w:vAlign w:val="center"/>
          </w:tcPr>
          <w:p>
            <w:pPr>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678" w:type="dxa"/>
            <w:vMerge w:val="continue"/>
            <w:vAlign w:val="center"/>
          </w:tcPr>
          <w:p>
            <w:pPr>
              <w:jc w:val="center"/>
              <w:rPr>
                <w:rFonts w:ascii="宋体" w:hAnsi="宋体" w:cs="仿宋_GB2312"/>
                <w:sz w:val="18"/>
                <w:szCs w:val="18"/>
              </w:rPr>
            </w:pPr>
          </w:p>
        </w:tc>
        <w:tc>
          <w:tcPr>
            <w:tcW w:w="1025" w:type="dxa"/>
            <w:vMerge w:val="continue"/>
            <w:vAlign w:val="center"/>
          </w:tcPr>
          <w:p>
            <w:pPr>
              <w:rPr>
                <w:rFonts w:ascii="宋体" w:hAnsi="宋体" w:cs="仿宋_GB2312"/>
                <w:sz w:val="18"/>
                <w:szCs w:val="18"/>
              </w:rPr>
            </w:pPr>
          </w:p>
        </w:tc>
        <w:tc>
          <w:tcPr>
            <w:tcW w:w="1130" w:type="dxa"/>
            <w:vMerge w:val="continue"/>
            <w:vAlign w:val="center"/>
          </w:tcPr>
          <w:p>
            <w:pPr>
              <w:rPr>
                <w:rFonts w:ascii="宋体" w:hAnsi="宋体" w:cs="仿宋_GB2312"/>
                <w:sz w:val="18"/>
                <w:szCs w:val="18"/>
              </w:rPr>
            </w:pPr>
          </w:p>
        </w:tc>
        <w:tc>
          <w:tcPr>
            <w:tcW w:w="7833" w:type="dxa"/>
            <w:vAlign w:val="center"/>
          </w:tcPr>
          <w:p>
            <w:pPr>
              <w:rPr>
                <w:rFonts w:cs="仿宋_GB2312"/>
                <w:sz w:val="18"/>
                <w:szCs w:val="18"/>
              </w:rPr>
            </w:pPr>
            <w:r>
              <w:rPr>
                <w:rFonts w:hint="eastAsia" w:cs="仿宋_GB2312"/>
                <w:sz w:val="18"/>
                <w:szCs w:val="18"/>
              </w:rPr>
              <w:t>宜利用核查结果对其温室气体的排放进行改善。</w:t>
            </w:r>
          </w:p>
        </w:tc>
        <w:tc>
          <w:tcPr>
            <w:tcW w:w="1134" w:type="dxa"/>
            <w:vAlign w:val="center"/>
          </w:tcPr>
          <w:p>
            <w:pPr>
              <w:jc w:val="center"/>
              <w:rPr>
                <w:strike/>
                <w:dstrike w:val="0"/>
                <w:color w:val="00B0F0"/>
              </w:rPr>
            </w:pPr>
            <w:r>
              <w:rPr>
                <w:rFonts w:hint="eastAsia" w:cs="仿宋_GB2312"/>
                <w:strike/>
                <w:dstrike w:val="0"/>
                <w:color w:val="00B0F0"/>
                <w:sz w:val="18"/>
                <w:szCs w:val="18"/>
              </w:rPr>
              <w:t>可选</w:t>
            </w:r>
          </w:p>
        </w:tc>
        <w:tc>
          <w:tcPr>
            <w:tcW w:w="1134" w:type="dxa"/>
            <w:vAlign w:val="center"/>
          </w:tcPr>
          <w:p>
            <w:pPr>
              <w:jc w:val="center"/>
              <w:rPr>
                <w:rFonts w:hint="eastAsia" w:cs="仿宋_GB2312"/>
                <w:sz w:val="18"/>
                <w:szCs w:val="18"/>
              </w:rPr>
            </w:pPr>
          </w:p>
        </w:tc>
        <w:tc>
          <w:tcPr>
            <w:tcW w:w="1134" w:type="dxa"/>
            <w:vMerge w:val="continue"/>
            <w:vAlign w:val="center"/>
          </w:tcPr>
          <w:p>
            <w:pPr>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678" w:type="dxa"/>
            <w:vMerge w:val="continue"/>
            <w:vAlign w:val="center"/>
          </w:tcPr>
          <w:p>
            <w:pPr>
              <w:jc w:val="center"/>
              <w:rPr>
                <w:rFonts w:ascii="宋体" w:hAnsi="宋体" w:cs="仿宋_GB2312"/>
                <w:sz w:val="18"/>
                <w:szCs w:val="18"/>
              </w:rPr>
            </w:pPr>
          </w:p>
        </w:tc>
        <w:tc>
          <w:tcPr>
            <w:tcW w:w="1025" w:type="dxa"/>
            <w:vMerge w:val="continue"/>
            <w:vAlign w:val="center"/>
          </w:tcPr>
          <w:p>
            <w:pPr>
              <w:rPr>
                <w:rFonts w:ascii="宋体" w:hAnsi="宋体" w:cs="仿宋_GB2312"/>
                <w:sz w:val="18"/>
                <w:szCs w:val="18"/>
              </w:rPr>
            </w:pPr>
          </w:p>
        </w:tc>
        <w:tc>
          <w:tcPr>
            <w:tcW w:w="1130" w:type="dxa"/>
            <w:vMerge w:val="continue"/>
            <w:vAlign w:val="center"/>
          </w:tcPr>
          <w:p>
            <w:pPr>
              <w:rPr>
                <w:rFonts w:ascii="宋体" w:hAnsi="宋体" w:cs="仿宋_GB2312"/>
                <w:sz w:val="18"/>
                <w:szCs w:val="18"/>
              </w:rPr>
            </w:pPr>
          </w:p>
        </w:tc>
        <w:tc>
          <w:tcPr>
            <w:tcW w:w="7833" w:type="dxa"/>
            <w:vAlign w:val="center"/>
          </w:tcPr>
          <w:p>
            <w:pPr>
              <w:rPr>
                <w:rFonts w:cs="仿宋_GB2312"/>
                <w:sz w:val="18"/>
                <w:szCs w:val="18"/>
              </w:rPr>
            </w:pPr>
            <w:r>
              <w:rPr>
                <w:rFonts w:hint="eastAsia" w:cs="仿宋_GB2312"/>
                <w:sz w:val="18"/>
                <w:szCs w:val="18"/>
              </w:rPr>
              <w:t>核查结果宜对外公布。</w:t>
            </w:r>
          </w:p>
        </w:tc>
        <w:tc>
          <w:tcPr>
            <w:tcW w:w="1134" w:type="dxa"/>
            <w:vAlign w:val="center"/>
          </w:tcPr>
          <w:p>
            <w:pPr>
              <w:jc w:val="center"/>
              <w:rPr>
                <w:strike/>
                <w:dstrike w:val="0"/>
                <w:color w:val="00B0F0"/>
              </w:rPr>
            </w:pPr>
            <w:r>
              <w:rPr>
                <w:rFonts w:hint="eastAsia" w:cs="仿宋_GB2312"/>
                <w:strike/>
                <w:dstrike w:val="0"/>
                <w:color w:val="00B0F0"/>
                <w:sz w:val="18"/>
                <w:szCs w:val="18"/>
              </w:rPr>
              <w:t>可选</w:t>
            </w:r>
          </w:p>
        </w:tc>
        <w:tc>
          <w:tcPr>
            <w:tcW w:w="1134" w:type="dxa"/>
            <w:vAlign w:val="center"/>
          </w:tcPr>
          <w:p>
            <w:pPr>
              <w:jc w:val="center"/>
              <w:rPr>
                <w:rFonts w:hint="eastAsia" w:cs="仿宋_GB2312"/>
                <w:sz w:val="18"/>
                <w:szCs w:val="18"/>
              </w:rPr>
            </w:pPr>
          </w:p>
        </w:tc>
        <w:tc>
          <w:tcPr>
            <w:tcW w:w="1134" w:type="dxa"/>
            <w:vMerge w:val="continue"/>
            <w:vAlign w:val="center"/>
          </w:tcPr>
          <w:p>
            <w:pPr>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678" w:type="dxa"/>
            <w:vMerge w:val="restart"/>
            <w:vAlign w:val="center"/>
          </w:tcPr>
          <w:p>
            <w:pPr>
              <w:jc w:val="center"/>
              <w:rPr>
                <w:rFonts w:ascii="宋体" w:hAnsi="宋体" w:cs="仿宋_GB2312"/>
                <w:sz w:val="18"/>
                <w:szCs w:val="18"/>
              </w:rPr>
            </w:pPr>
            <w:r>
              <w:rPr>
                <w:rFonts w:ascii="宋体" w:hAnsi="宋体" w:cs="仿宋_GB2312"/>
                <w:sz w:val="18"/>
                <w:szCs w:val="18"/>
              </w:rPr>
              <w:t>6</w:t>
            </w:r>
          </w:p>
        </w:tc>
        <w:tc>
          <w:tcPr>
            <w:tcW w:w="1025" w:type="dxa"/>
            <w:vMerge w:val="restart"/>
            <w:vAlign w:val="center"/>
          </w:tcPr>
          <w:p>
            <w:pPr>
              <w:rPr>
                <w:rFonts w:cs="仿宋_GB2312"/>
                <w:sz w:val="18"/>
                <w:szCs w:val="18"/>
              </w:rPr>
            </w:pPr>
            <w:r>
              <w:rPr>
                <w:rFonts w:hint="eastAsia" w:cs="仿宋_GB2312"/>
                <w:sz w:val="18"/>
                <w:szCs w:val="18"/>
              </w:rPr>
              <w:t>绩效</w:t>
            </w:r>
          </w:p>
        </w:tc>
        <w:tc>
          <w:tcPr>
            <w:tcW w:w="1130" w:type="dxa"/>
            <w:vMerge w:val="restart"/>
            <w:vAlign w:val="center"/>
          </w:tcPr>
          <w:p>
            <w:pPr>
              <w:rPr>
                <w:rFonts w:cs="仿宋_GB2312"/>
                <w:sz w:val="18"/>
                <w:szCs w:val="18"/>
              </w:rPr>
            </w:pPr>
            <w:r>
              <w:rPr>
                <w:rFonts w:hint="eastAsia" w:cs="仿宋_GB2312"/>
                <w:sz w:val="18"/>
                <w:szCs w:val="18"/>
              </w:rPr>
              <w:t>用地集约化</w:t>
            </w:r>
          </w:p>
        </w:tc>
        <w:tc>
          <w:tcPr>
            <w:tcW w:w="7833" w:type="dxa"/>
            <w:vAlign w:val="center"/>
          </w:tcPr>
          <w:p>
            <w:pPr>
              <w:rPr>
                <w:rFonts w:cs="仿宋_GB2312"/>
                <w:szCs w:val="21"/>
              </w:rPr>
            </w:pPr>
            <w:r>
              <w:rPr>
                <w:rFonts w:hint="eastAsia"/>
                <w:szCs w:val="21"/>
              </w:rPr>
              <w:t>工厂应按</w:t>
            </w:r>
            <w:r>
              <w:rPr>
                <w:rFonts w:hint="eastAsia" w:ascii="宋体" w:hAnsi="宋体"/>
                <w:szCs w:val="21"/>
              </w:rPr>
              <w:t>GB/T 31613-2018计算容积率和建筑密度。</w:t>
            </w:r>
            <w:r>
              <w:rPr>
                <w:rFonts w:hint="eastAsia" w:cs="仿宋_GB2312"/>
                <w:szCs w:val="21"/>
              </w:rPr>
              <w:t>工厂容积率应不低于工业项目建设用地控制指标。</w:t>
            </w:r>
          </w:p>
        </w:tc>
        <w:tc>
          <w:tcPr>
            <w:tcW w:w="1134" w:type="dxa"/>
            <w:vAlign w:val="center"/>
          </w:tcPr>
          <w:p>
            <w:pPr>
              <w:jc w:val="center"/>
              <w:rPr>
                <w:rFonts w:cs="仿宋_GB2312"/>
                <w:strike/>
                <w:dstrike w:val="0"/>
                <w:color w:val="00B0F0"/>
                <w:sz w:val="18"/>
                <w:szCs w:val="18"/>
              </w:rPr>
            </w:pPr>
            <w:r>
              <w:rPr>
                <w:rFonts w:hint="eastAsia" w:cs="仿宋_GB2312"/>
                <w:strike/>
                <w:dstrike w:val="0"/>
                <w:color w:val="00B0F0"/>
                <w:sz w:val="18"/>
                <w:szCs w:val="18"/>
              </w:rPr>
              <w:t>必选</w:t>
            </w:r>
          </w:p>
        </w:tc>
        <w:tc>
          <w:tcPr>
            <w:tcW w:w="1134" w:type="dxa"/>
            <w:vAlign w:val="center"/>
          </w:tcPr>
          <w:p>
            <w:pPr>
              <w:jc w:val="center"/>
              <w:rPr>
                <w:rFonts w:hint="eastAsia" w:cs="仿宋_GB2312"/>
                <w:sz w:val="18"/>
                <w:szCs w:val="18"/>
              </w:rPr>
            </w:pPr>
          </w:p>
        </w:tc>
        <w:tc>
          <w:tcPr>
            <w:tcW w:w="1134" w:type="dxa"/>
            <w:vMerge w:val="restart"/>
            <w:vAlign w:val="center"/>
          </w:tcPr>
          <w:p>
            <w:pPr>
              <w:jc w:val="center"/>
              <w:rPr>
                <w:rFonts w:ascii="宋体" w:hAnsi="宋体" w:cs="仿宋_GB2312"/>
                <w:sz w:val="18"/>
                <w:szCs w:val="18"/>
              </w:rPr>
            </w:pPr>
            <w:r>
              <w:rPr>
                <w:rFonts w:ascii="宋体" w:hAnsi="宋体" w:cs="仿宋_GB2312"/>
                <w:sz w:val="18"/>
                <w:szCs w:val="18"/>
              </w:rPr>
              <w:t>30%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678" w:type="dxa"/>
            <w:vMerge w:val="continue"/>
            <w:vAlign w:val="center"/>
          </w:tcPr>
          <w:p>
            <w:pPr>
              <w:rPr>
                <w:rFonts w:ascii="宋体" w:hAnsi="宋体" w:cs="仿宋_GB2312"/>
                <w:sz w:val="18"/>
                <w:szCs w:val="18"/>
              </w:rPr>
            </w:pPr>
          </w:p>
        </w:tc>
        <w:tc>
          <w:tcPr>
            <w:tcW w:w="1025" w:type="dxa"/>
            <w:vMerge w:val="continue"/>
            <w:vAlign w:val="center"/>
          </w:tcPr>
          <w:p>
            <w:pPr>
              <w:rPr>
                <w:rFonts w:ascii="宋体" w:hAnsi="宋体" w:cs="仿宋_GB2312"/>
                <w:sz w:val="18"/>
                <w:szCs w:val="18"/>
              </w:rPr>
            </w:pPr>
          </w:p>
        </w:tc>
        <w:tc>
          <w:tcPr>
            <w:tcW w:w="1130" w:type="dxa"/>
            <w:vMerge w:val="continue"/>
            <w:vAlign w:val="center"/>
          </w:tcPr>
          <w:p>
            <w:pPr>
              <w:rPr>
                <w:rFonts w:ascii="宋体" w:hAnsi="宋体" w:cs="仿宋_GB2312"/>
                <w:sz w:val="18"/>
                <w:szCs w:val="18"/>
              </w:rPr>
            </w:pPr>
          </w:p>
        </w:tc>
        <w:tc>
          <w:tcPr>
            <w:tcW w:w="7833" w:type="dxa"/>
            <w:vAlign w:val="center"/>
          </w:tcPr>
          <w:p>
            <w:pPr>
              <w:rPr>
                <w:rFonts w:cs="仿宋_GB2312"/>
                <w:sz w:val="18"/>
                <w:szCs w:val="18"/>
              </w:rPr>
            </w:pPr>
            <w:r>
              <w:rPr>
                <w:rFonts w:hint="eastAsia"/>
                <w:sz w:val="18"/>
                <w:szCs w:val="18"/>
              </w:rPr>
              <w:t>单位用地面积产值不应低于地方发布的单位用地面积产值的要求。未发布单位用地面积产值的地区，单位用地面积产值应超过本年度所在省市的单位用地面积产值。</w:t>
            </w:r>
          </w:p>
        </w:tc>
        <w:tc>
          <w:tcPr>
            <w:tcW w:w="1134" w:type="dxa"/>
            <w:vAlign w:val="center"/>
          </w:tcPr>
          <w:p>
            <w:pPr>
              <w:jc w:val="center"/>
              <w:rPr>
                <w:rFonts w:cs="仿宋_GB2312"/>
                <w:strike/>
                <w:dstrike w:val="0"/>
                <w:color w:val="00B0F0"/>
                <w:sz w:val="18"/>
                <w:szCs w:val="18"/>
              </w:rPr>
            </w:pPr>
            <w:r>
              <w:rPr>
                <w:rFonts w:hint="eastAsia" w:cs="仿宋_GB2312"/>
                <w:strike/>
                <w:dstrike w:val="0"/>
                <w:color w:val="00B0F0"/>
                <w:sz w:val="18"/>
                <w:szCs w:val="18"/>
              </w:rPr>
              <w:t>必选</w:t>
            </w:r>
          </w:p>
        </w:tc>
        <w:tc>
          <w:tcPr>
            <w:tcW w:w="1134" w:type="dxa"/>
            <w:vAlign w:val="center"/>
          </w:tcPr>
          <w:p>
            <w:pPr>
              <w:jc w:val="center"/>
              <w:rPr>
                <w:rFonts w:hint="eastAsia" w:cs="仿宋_GB2312"/>
                <w:sz w:val="18"/>
                <w:szCs w:val="18"/>
              </w:rPr>
            </w:pPr>
          </w:p>
        </w:tc>
        <w:tc>
          <w:tcPr>
            <w:tcW w:w="1134" w:type="dxa"/>
            <w:vMerge w:val="continue"/>
            <w:vAlign w:val="center"/>
          </w:tcPr>
          <w:p>
            <w:pPr>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9" w:hRule="atLeast"/>
          <w:jc w:val="center"/>
        </w:trPr>
        <w:tc>
          <w:tcPr>
            <w:tcW w:w="678" w:type="dxa"/>
            <w:vMerge w:val="continue"/>
            <w:vAlign w:val="center"/>
          </w:tcPr>
          <w:p>
            <w:pPr>
              <w:rPr>
                <w:rFonts w:ascii="宋体" w:hAnsi="宋体" w:cs="仿宋_GB2312"/>
                <w:sz w:val="18"/>
                <w:szCs w:val="18"/>
              </w:rPr>
            </w:pPr>
          </w:p>
        </w:tc>
        <w:tc>
          <w:tcPr>
            <w:tcW w:w="1025" w:type="dxa"/>
            <w:vMerge w:val="continue"/>
            <w:vAlign w:val="center"/>
          </w:tcPr>
          <w:p>
            <w:pPr>
              <w:rPr>
                <w:rFonts w:ascii="宋体" w:hAnsi="宋体" w:cs="仿宋_GB2312"/>
                <w:sz w:val="18"/>
                <w:szCs w:val="18"/>
              </w:rPr>
            </w:pPr>
          </w:p>
        </w:tc>
        <w:tc>
          <w:tcPr>
            <w:tcW w:w="1130" w:type="dxa"/>
            <w:vMerge w:val="restart"/>
            <w:vAlign w:val="center"/>
          </w:tcPr>
          <w:p>
            <w:pPr>
              <w:rPr>
                <w:rFonts w:cs="仿宋_GB2312"/>
                <w:sz w:val="18"/>
                <w:szCs w:val="18"/>
              </w:rPr>
            </w:pPr>
            <w:r>
              <w:rPr>
                <w:rFonts w:hint="eastAsia" w:cs="仿宋_GB2312"/>
                <w:sz w:val="18"/>
                <w:szCs w:val="18"/>
              </w:rPr>
              <w:t>原料无害化</w:t>
            </w:r>
          </w:p>
        </w:tc>
        <w:tc>
          <w:tcPr>
            <w:tcW w:w="7833" w:type="dxa"/>
            <w:vAlign w:val="center"/>
          </w:tcPr>
          <w:p>
            <w:pPr>
              <w:rPr>
                <w:rFonts w:cs="仿宋_GB2312"/>
                <w:sz w:val="18"/>
                <w:szCs w:val="18"/>
              </w:rPr>
            </w:pPr>
            <w:r>
              <w:rPr>
                <w:rFonts w:hint="eastAsia"/>
                <w:sz w:val="18"/>
                <w:szCs w:val="18"/>
              </w:rPr>
              <w:t xml:space="preserve">绿色物料应选自省级以上政府相关部门发布的资源综合利用产品目录、有毒有害原料（产品）替代目录，并应对其进行统计与识别。 </w:t>
            </w:r>
          </w:p>
        </w:tc>
        <w:tc>
          <w:tcPr>
            <w:tcW w:w="1134" w:type="dxa"/>
            <w:vAlign w:val="center"/>
          </w:tcPr>
          <w:p>
            <w:pPr>
              <w:jc w:val="center"/>
              <w:rPr>
                <w:rFonts w:cs="仿宋_GB2312"/>
                <w:strike/>
                <w:dstrike w:val="0"/>
                <w:color w:val="00B0F0"/>
                <w:sz w:val="18"/>
                <w:szCs w:val="18"/>
              </w:rPr>
            </w:pPr>
            <w:r>
              <w:rPr>
                <w:rFonts w:hint="eastAsia" w:cs="仿宋_GB2312"/>
                <w:strike/>
                <w:dstrike w:val="0"/>
                <w:color w:val="00B0F0"/>
                <w:sz w:val="18"/>
                <w:szCs w:val="18"/>
              </w:rPr>
              <w:t>必选</w:t>
            </w:r>
          </w:p>
        </w:tc>
        <w:tc>
          <w:tcPr>
            <w:tcW w:w="1134" w:type="dxa"/>
            <w:vAlign w:val="center"/>
          </w:tcPr>
          <w:p>
            <w:pPr>
              <w:jc w:val="center"/>
              <w:rPr>
                <w:rFonts w:hint="eastAsia" w:cs="仿宋_GB2312"/>
                <w:sz w:val="18"/>
                <w:szCs w:val="18"/>
              </w:rPr>
            </w:pPr>
          </w:p>
        </w:tc>
        <w:tc>
          <w:tcPr>
            <w:tcW w:w="1134" w:type="dxa"/>
            <w:vMerge w:val="continue"/>
            <w:vAlign w:val="center"/>
          </w:tcPr>
          <w:p>
            <w:pPr>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17" w:hRule="atLeast"/>
          <w:jc w:val="center"/>
        </w:trPr>
        <w:tc>
          <w:tcPr>
            <w:tcW w:w="678" w:type="dxa"/>
            <w:vMerge w:val="continue"/>
            <w:vAlign w:val="center"/>
          </w:tcPr>
          <w:p>
            <w:pPr>
              <w:rPr>
                <w:rFonts w:ascii="宋体" w:hAnsi="宋体" w:cs="仿宋_GB2312"/>
                <w:sz w:val="18"/>
                <w:szCs w:val="18"/>
              </w:rPr>
            </w:pPr>
          </w:p>
        </w:tc>
        <w:tc>
          <w:tcPr>
            <w:tcW w:w="1025" w:type="dxa"/>
            <w:vMerge w:val="continue"/>
            <w:vAlign w:val="center"/>
          </w:tcPr>
          <w:p>
            <w:pPr>
              <w:rPr>
                <w:rFonts w:ascii="宋体" w:hAnsi="宋体" w:cs="仿宋_GB2312"/>
                <w:sz w:val="18"/>
                <w:szCs w:val="18"/>
              </w:rPr>
            </w:pPr>
          </w:p>
        </w:tc>
        <w:tc>
          <w:tcPr>
            <w:tcW w:w="1130" w:type="dxa"/>
            <w:vMerge w:val="continue"/>
            <w:vAlign w:val="center"/>
          </w:tcPr>
          <w:p>
            <w:pPr>
              <w:rPr>
                <w:rFonts w:cs="仿宋_GB2312"/>
                <w:sz w:val="18"/>
                <w:szCs w:val="18"/>
              </w:rPr>
            </w:pPr>
          </w:p>
        </w:tc>
        <w:tc>
          <w:tcPr>
            <w:tcW w:w="7833" w:type="dxa"/>
            <w:vAlign w:val="center"/>
          </w:tcPr>
          <w:p>
            <w:pPr>
              <w:rPr>
                <w:rFonts w:ascii="宋体" w:hAnsi="宋体"/>
                <w:sz w:val="18"/>
                <w:szCs w:val="18"/>
              </w:rPr>
            </w:pPr>
            <w:r>
              <w:rPr>
                <w:rFonts w:hint="eastAsia" w:ascii="宋体" w:hAnsi="宋体"/>
                <w:sz w:val="18"/>
                <w:szCs w:val="18"/>
              </w:rPr>
              <w:t>适用时，工厂宜使用铜及铜合金二次资源作为原材料进行资源综合利用，提高铜及铜合金二次资源利用率。</w:t>
            </w:r>
          </w:p>
        </w:tc>
        <w:tc>
          <w:tcPr>
            <w:tcW w:w="1134" w:type="dxa"/>
            <w:vAlign w:val="center"/>
          </w:tcPr>
          <w:p>
            <w:pPr>
              <w:jc w:val="center"/>
              <w:rPr>
                <w:rFonts w:cs="仿宋_GB2312"/>
                <w:strike/>
                <w:dstrike w:val="0"/>
                <w:color w:val="00B0F0"/>
                <w:sz w:val="18"/>
                <w:szCs w:val="18"/>
              </w:rPr>
            </w:pPr>
            <w:r>
              <w:rPr>
                <w:rFonts w:hint="eastAsia" w:cs="仿宋_GB2312"/>
                <w:strike/>
                <w:dstrike w:val="0"/>
                <w:color w:val="00B0F0"/>
                <w:sz w:val="18"/>
                <w:szCs w:val="18"/>
              </w:rPr>
              <w:t>可选</w:t>
            </w:r>
          </w:p>
        </w:tc>
        <w:tc>
          <w:tcPr>
            <w:tcW w:w="1134" w:type="dxa"/>
            <w:vAlign w:val="center"/>
          </w:tcPr>
          <w:p>
            <w:pPr>
              <w:jc w:val="center"/>
              <w:rPr>
                <w:rFonts w:hint="eastAsia" w:cs="仿宋_GB2312"/>
                <w:sz w:val="18"/>
                <w:szCs w:val="18"/>
              </w:rPr>
            </w:pPr>
          </w:p>
        </w:tc>
        <w:tc>
          <w:tcPr>
            <w:tcW w:w="1134" w:type="dxa"/>
            <w:vMerge w:val="continue"/>
            <w:vAlign w:val="center"/>
          </w:tcPr>
          <w:p>
            <w:pPr>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9" w:hRule="atLeast"/>
          <w:jc w:val="center"/>
        </w:trPr>
        <w:tc>
          <w:tcPr>
            <w:tcW w:w="678" w:type="dxa"/>
            <w:vMerge w:val="continue"/>
            <w:vAlign w:val="center"/>
          </w:tcPr>
          <w:p>
            <w:pPr>
              <w:rPr>
                <w:rFonts w:ascii="宋体" w:hAnsi="宋体" w:cs="仿宋_GB2312"/>
                <w:sz w:val="18"/>
                <w:szCs w:val="18"/>
              </w:rPr>
            </w:pPr>
          </w:p>
        </w:tc>
        <w:tc>
          <w:tcPr>
            <w:tcW w:w="1025" w:type="dxa"/>
            <w:vMerge w:val="continue"/>
            <w:vAlign w:val="center"/>
          </w:tcPr>
          <w:p>
            <w:pPr>
              <w:rPr>
                <w:rFonts w:ascii="宋体" w:hAnsi="宋体" w:cs="仿宋_GB2312"/>
                <w:sz w:val="18"/>
                <w:szCs w:val="18"/>
              </w:rPr>
            </w:pPr>
          </w:p>
        </w:tc>
        <w:tc>
          <w:tcPr>
            <w:tcW w:w="1130" w:type="dxa"/>
            <w:vMerge w:val="continue"/>
            <w:vAlign w:val="center"/>
          </w:tcPr>
          <w:p>
            <w:pPr>
              <w:rPr>
                <w:rFonts w:cs="仿宋_GB2312"/>
                <w:sz w:val="18"/>
                <w:szCs w:val="18"/>
              </w:rPr>
            </w:pPr>
          </w:p>
        </w:tc>
        <w:tc>
          <w:tcPr>
            <w:tcW w:w="7833" w:type="dxa"/>
            <w:vAlign w:val="center"/>
          </w:tcPr>
          <w:p>
            <w:pPr>
              <w:rPr>
                <w:rFonts w:cs="仿宋_GB2312"/>
                <w:sz w:val="18"/>
                <w:szCs w:val="18"/>
              </w:rPr>
            </w:pPr>
            <w:r>
              <w:rPr>
                <w:rFonts w:hint="eastAsia"/>
                <w:sz w:val="18"/>
                <w:szCs w:val="18"/>
              </w:rPr>
              <w:t>适用时，铜及铜合金加工产品有害元素的含量应符合国家对产品中有害物质限制的相关规定。</w:t>
            </w:r>
          </w:p>
        </w:tc>
        <w:tc>
          <w:tcPr>
            <w:tcW w:w="1134" w:type="dxa"/>
            <w:vAlign w:val="center"/>
          </w:tcPr>
          <w:p>
            <w:pPr>
              <w:jc w:val="center"/>
              <w:rPr>
                <w:rFonts w:cs="仿宋_GB2312"/>
                <w:strike/>
                <w:dstrike w:val="0"/>
                <w:color w:val="00B0F0"/>
                <w:sz w:val="18"/>
                <w:szCs w:val="18"/>
              </w:rPr>
            </w:pPr>
            <w:r>
              <w:rPr>
                <w:rFonts w:hint="eastAsia" w:cs="仿宋_GB2312"/>
                <w:strike/>
                <w:dstrike w:val="0"/>
                <w:color w:val="00B0F0"/>
                <w:sz w:val="18"/>
                <w:szCs w:val="18"/>
              </w:rPr>
              <w:t>可选</w:t>
            </w:r>
          </w:p>
        </w:tc>
        <w:tc>
          <w:tcPr>
            <w:tcW w:w="1134" w:type="dxa"/>
            <w:vAlign w:val="center"/>
          </w:tcPr>
          <w:p>
            <w:pPr>
              <w:jc w:val="center"/>
              <w:rPr>
                <w:rFonts w:hint="eastAsia" w:cs="仿宋_GB2312"/>
                <w:sz w:val="18"/>
                <w:szCs w:val="18"/>
              </w:rPr>
            </w:pPr>
          </w:p>
        </w:tc>
        <w:tc>
          <w:tcPr>
            <w:tcW w:w="1134" w:type="dxa"/>
            <w:vMerge w:val="continue"/>
            <w:vAlign w:val="center"/>
          </w:tcPr>
          <w:p>
            <w:pPr>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3" w:hRule="atLeast"/>
          <w:jc w:val="center"/>
        </w:trPr>
        <w:tc>
          <w:tcPr>
            <w:tcW w:w="678" w:type="dxa"/>
            <w:vMerge w:val="continue"/>
            <w:vAlign w:val="center"/>
          </w:tcPr>
          <w:p>
            <w:pPr>
              <w:rPr>
                <w:rFonts w:ascii="宋体" w:hAnsi="宋体" w:cs="仿宋_GB2312"/>
                <w:sz w:val="18"/>
                <w:szCs w:val="18"/>
              </w:rPr>
            </w:pPr>
          </w:p>
        </w:tc>
        <w:tc>
          <w:tcPr>
            <w:tcW w:w="1025" w:type="dxa"/>
            <w:vMerge w:val="continue"/>
            <w:vAlign w:val="center"/>
          </w:tcPr>
          <w:p>
            <w:pPr>
              <w:rPr>
                <w:rFonts w:ascii="宋体" w:hAnsi="宋体" w:cs="仿宋_GB2312"/>
                <w:sz w:val="18"/>
                <w:szCs w:val="18"/>
              </w:rPr>
            </w:pPr>
          </w:p>
        </w:tc>
        <w:tc>
          <w:tcPr>
            <w:tcW w:w="1130" w:type="dxa"/>
            <w:vAlign w:val="center"/>
          </w:tcPr>
          <w:p>
            <w:pPr>
              <w:rPr>
                <w:rFonts w:cs="仿宋_GB2312"/>
                <w:sz w:val="18"/>
                <w:szCs w:val="18"/>
              </w:rPr>
            </w:pPr>
            <w:r>
              <w:rPr>
                <w:rFonts w:hint="eastAsia" w:cs="仿宋_GB2312"/>
                <w:sz w:val="18"/>
                <w:szCs w:val="18"/>
              </w:rPr>
              <w:t>生产洁净化</w:t>
            </w:r>
          </w:p>
        </w:tc>
        <w:tc>
          <w:tcPr>
            <w:tcW w:w="7833" w:type="dxa"/>
            <w:vAlign w:val="center"/>
          </w:tcPr>
          <w:p>
            <w:pPr>
              <w:rPr>
                <w:rFonts w:cs="仿宋_GB2312"/>
                <w:sz w:val="18"/>
                <w:szCs w:val="18"/>
              </w:rPr>
            </w:pPr>
            <w:r>
              <w:rPr>
                <w:rFonts w:hint="eastAsia"/>
                <w:sz w:val="18"/>
                <w:szCs w:val="18"/>
              </w:rPr>
              <w:t>单位产品主要污染产生量应达到相应国家标准、行业标准或地方标准指标要求。</w:t>
            </w:r>
          </w:p>
        </w:tc>
        <w:tc>
          <w:tcPr>
            <w:tcW w:w="1134" w:type="dxa"/>
            <w:vAlign w:val="center"/>
          </w:tcPr>
          <w:p>
            <w:pPr>
              <w:jc w:val="center"/>
              <w:rPr>
                <w:rFonts w:cs="仿宋_GB2312"/>
                <w:strike/>
                <w:dstrike w:val="0"/>
                <w:color w:val="00B0F0"/>
                <w:sz w:val="18"/>
                <w:szCs w:val="18"/>
              </w:rPr>
            </w:pPr>
            <w:r>
              <w:rPr>
                <w:rFonts w:hint="eastAsia" w:cs="仿宋_GB2312"/>
                <w:strike/>
                <w:dstrike w:val="0"/>
                <w:color w:val="00B0F0"/>
                <w:sz w:val="18"/>
                <w:szCs w:val="18"/>
              </w:rPr>
              <w:t>必选</w:t>
            </w:r>
          </w:p>
        </w:tc>
        <w:tc>
          <w:tcPr>
            <w:tcW w:w="1134" w:type="dxa"/>
            <w:vAlign w:val="center"/>
          </w:tcPr>
          <w:p>
            <w:pPr>
              <w:jc w:val="center"/>
              <w:rPr>
                <w:rFonts w:hint="eastAsia" w:cs="仿宋_GB2312"/>
                <w:sz w:val="18"/>
                <w:szCs w:val="18"/>
              </w:rPr>
            </w:pPr>
          </w:p>
        </w:tc>
        <w:tc>
          <w:tcPr>
            <w:tcW w:w="1134" w:type="dxa"/>
            <w:vMerge w:val="continue"/>
            <w:vAlign w:val="center"/>
          </w:tcPr>
          <w:p>
            <w:pPr>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678" w:type="dxa"/>
            <w:vMerge w:val="continue"/>
            <w:vAlign w:val="center"/>
          </w:tcPr>
          <w:p>
            <w:pPr>
              <w:rPr>
                <w:rFonts w:ascii="宋体" w:hAnsi="宋体" w:cs="仿宋_GB2312"/>
                <w:sz w:val="18"/>
                <w:szCs w:val="18"/>
              </w:rPr>
            </w:pPr>
          </w:p>
        </w:tc>
        <w:tc>
          <w:tcPr>
            <w:tcW w:w="1025" w:type="dxa"/>
            <w:vMerge w:val="continue"/>
            <w:vAlign w:val="center"/>
          </w:tcPr>
          <w:p>
            <w:pPr>
              <w:rPr>
                <w:rFonts w:ascii="宋体" w:hAnsi="宋体" w:cs="仿宋_GB2312"/>
                <w:sz w:val="18"/>
                <w:szCs w:val="18"/>
              </w:rPr>
            </w:pPr>
          </w:p>
        </w:tc>
        <w:tc>
          <w:tcPr>
            <w:tcW w:w="1130" w:type="dxa"/>
            <w:vAlign w:val="center"/>
          </w:tcPr>
          <w:p>
            <w:pPr>
              <w:rPr>
                <w:rFonts w:ascii="宋体" w:hAnsi="宋体" w:cs="仿宋_GB2312"/>
                <w:sz w:val="18"/>
                <w:szCs w:val="18"/>
              </w:rPr>
            </w:pPr>
            <w:r>
              <w:rPr>
                <w:rFonts w:hint="eastAsia" w:ascii="宋体" w:hAnsi="宋体" w:cs="仿宋_GB2312"/>
                <w:sz w:val="18"/>
                <w:szCs w:val="18"/>
              </w:rPr>
              <w:t>废物资源化</w:t>
            </w:r>
          </w:p>
        </w:tc>
        <w:tc>
          <w:tcPr>
            <w:tcW w:w="7833" w:type="dxa"/>
          </w:tcPr>
          <w:p>
            <w:pPr>
              <w:rPr>
                <w:sz w:val="18"/>
                <w:szCs w:val="18"/>
              </w:rPr>
            </w:pPr>
            <w:r>
              <w:rPr>
                <w:rFonts w:hint="eastAsia" w:ascii="宋体" w:hAnsi="宋体"/>
                <w:sz w:val="18"/>
                <w:szCs w:val="18"/>
              </w:rPr>
              <w:t>单位产品的主要原材料消耗量、</w:t>
            </w:r>
            <w:r>
              <w:rPr>
                <w:rFonts w:hint="eastAsia"/>
                <w:sz w:val="18"/>
                <w:szCs w:val="18"/>
              </w:rPr>
              <w:t>工业固体废物综合利</w:t>
            </w:r>
            <w:bookmarkStart w:id="58" w:name="_GoBack"/>
            <w:bookmarkEnd w:id="58"/>
            <w:r>
              <w:rPr>
                <w:rFonts w:hint="eastAsia"/>
                <w:sz w:val="18"/>
                <w:szCs w:val="18"/>
              </w:rPr>
              <w:t>用率、废水回用率应达到国家标准、行业标准或地方标准相应评价指标要求。</w:t>
            </w:r>
          </w:p>
        </w:tc>
        <w:tc>
          <w:tcPr>
            <w:tcW w:w="1134" w:type="dxa"/>
            <w:vAlign w:val="center"/>
          </w:tcPr>
          <w:p>
            <w:pPr>
              <w:jc w:val="center"/>
              <w:rPr>
                <w:rFonts w:cs="仿宋_GB2312"/>
                <w:strike/>
                <w:dstrike w:val="0"/>
                <w:color w:val="00B0F0"/>
                <w:sz w:val="18"/>
                <w:szCs w:val="18"/>
              </w:rPr>
            </w:pPr>
            <w:r>
              <w:rPr>
                <w:rFonts w:hint="eastAsia" w:cs="仿宋_GB2312"/>
                <w:strike/>
                <w:dstrike w:val="0"/>
                <w:color w:val="00B0F0"/>
                <w:sz w:val="18"/>
                <w:szCs w:val="18"/>
              </w:rPr>
              <w:t>必选</w:t>
            </w:r>
          </w:p>
        </w:tc>
        <w:tc>
          <w:tcPr>
            <w:tcW w:w="1134" w:type="dxa"/>
            <w:vAlign w:val="center"/>
          </w:tcPr>
          <w:p>
            <w:pPr>
              <w:jc w:val="center"/>
              <w:rPr>
                <w:rFonts w:hint="eastAsia" w:cs="仿宋_GB2312"/>
                <w:sz w:val="18"/>
                <w:szCs w:val="18"/>
              </w:rPr>
            </w:pPr>
          </w:p>
        </w:tc>
        <w:tc>
          <w:tcPr>
            <w:tcW w:w="1134" w:type="dxa"/>
            <w:vMerge w:val="continue"/>
            <w:vAlign w:val="center"/>
          </w:tcPr>
          <w:p>
            <w:pPr>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678" w:type="dxa"/>
            <w:vMerge w:val="continue"/>
            <w:vAlign w:val="center"/>
          </w:tcPr>
          <w:p>
            <w:pPr>
              <w:rPr>
                <w:rFonts w:ascii="宋体" w:hAnsi="宋体" w:cs="仿宋_GB2312"/>
                <w:sz w:val="18"/>
                <w:szCs w:val="18"/>
              </w:rPr>
            </w:pPr>
          </w:p>
        </w:tc>
        <w:tc>
          <w:tcPr>
            <w:tcW w:w="1025" w:type="dxa"/>
            <w:vMerge w:val="continue"/>
            <w:vAlign w:val="center"/>
          </w:tcPr>
          <w:p>
            <w:pPr>
              <w:rPr>
                <w:rFonts w:ascii="宋体" w:hAnsi="宋体" w:cs="仿宋_GB2312"/>
                <w:sz w:val="18"/>
                <w:szCs w:val="18"/>
              </w:rPr>
            </w:pPr>
          </w:p>
        </w:tc>
        <w:tc>
          <w:tcPr>
            <w:tcW w:w="1130" w:type="dxa"/>
            <w:vMerge w:val="restart"/>
            <w:vAlign w:val="center"/>
          </w:tcPr>
          <w:p>
            <w:pPr>
              <w:rPr>
                <w:rFonts w:cs="仿宋_GB2312"/>
                <w:sz w:val="18"/>
                <w:szCs w:val="18"/>
              </w:rPr>
            </w:pPr>
            <w:r>
              <w:rPr>
                <w:rFonts w:hint="eastAsia" w:cs="仿宋_GB2312"/>
                <w:sz w:val="18"/>
                <w:szCs w:val="18"/>
              </w:rPr>
              <w:t>能源低碳化</w:t>
            </w:r>
          </w:p>
        </w:tc>
        <w:tc>
          <w:tcPr>
            <w:tcW w:w="7833" w:type="dxa"/>
            <w:vAlign w:val="center"/>
          </w:tcPr>
          <w:p>
            <w:pPr>
              <w:rPr>
                <w:rFonts w:ascii="宋体" w:hAnsi="宋体" w:cs="仿宋_GB2312"/>
                <w:sz w:val="18"/>
                <w:szCs w:val="18"/>
              </w:rPr>
            </w:pPr>
            <w:r>
              <w:rPr>
                <w:rFonts w:hint="eastAsia" w:ascii="宋体" w:hAnsi="宋体"/>
                <w:sz w:val="18"/>
                <w:szCs w:val="18"/>
              </w:rPr>
              <w:t>单位产品综合能耗</w:t>
            </w:r>
            <w:r>
              <w:rPr>
                <w:rFonts w:hint="eastAsia"/>
                <w:sz w:val="18"/>
                <w:szCs w:val="18"/>
              </w:rPr>
              <w:t>应达到铜及铜合金加工行业相关的国家、行业或地方标准等的能耗值指标要求</w:t>
            </w:r>
          </w:p>
        </w:tc>
        <w:tc>
          <w:tcPr>
            <w:tcW w:w="1134" w:type="dxa"/>
            <w:vAlign w:val="center"/>
          </w:tcPr>
          <w:p>
            <w:pPr>
              <w:jc w:val="center"/>
              <w:rPr>
                <w:rFonts w:cs="仿宋_GB2312"/>
                <w:strike/>
                <w:dstrike w:val="0"/>
                <w:color w:val="00B0F0"/>
                <w:sz w:val="18"/>
                <w:szCs w:val="18"/>
              </w:rPr>
            </w:pPr>
            <w:r>
              <w:rPr>
                <w:rFonts w:hint="eastAsia" w:cs="仿宋_GB2312"/>
                <w:strike/>
                <w:dstrike w:val="0"/>
                <w:color w:val="00B0F0"/>
                <w:sz w:val="18"/>
                <w:szCs w:val="18"/>
              </w:rPr>
              <w:t>必选</w:t>
            </w:r>
          </w:p>
        </w:tc>
        <w:tc>
          <w:tcPr>
            <w:tcW w:w="1134" w:type="dxa"/>
            <w:vAlign w:val="center"/>
          </w:tcPr>
          <w:p>
            <w:pPr>
              <w:jc w:val="center"/>
              <w:rPr>
                <w:rFonts w:hint="eastAsia" w:cs="仿宋_GB2312"/>
                <w:sz w:val="18"/>
                <w:szCs w:val="18"/>
              </w:rPr>
            </w:pPr>
          </w:p>
        </w:tc>
        <w:tc>
          <w:tcPr>
            <w:tcW w:w="1134" w:type="dxa"/>
            <w:vMerge w:val="continue"/>
            <w:vAlign w:val="center"/>
          </w:tcPr>
          <w:p>
            <w:pPr>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78" w:type="dxa"/>
            <w:vMerge w:val="continue"/>
            <w:vAlign w:val="center"/>
          </w:tcPr>
          <w:p>
            <w:pPr>
              <w:rPr>
                <w:rFonts w:ascii="宋体" w:hAnsi="宋体" w:cs="仿宋_GB2312"/>
                <w:sz w:val="18"/>
                <w:szCs w:val="18"/>
              </w:rPr>
            </w:pPr>
          </w:p>
        </w:tc>
        <w:tc>
          <w:tcPr>
            <w:tcW w:w="1025" w:type="dxa"/>
            <w:vMerge w:val="continue"/>
            <w:vAlign w:val="center"/>
          </w:tcPr>
          <w:p>
            <w:pPr>
              <w:rPr>
                <w:rFonts w:ascii="宋体" w:hAnsi="宋体" w:cs="仿宋_GB2312"/>
                <w:sz w:val="18"/>
                <w:szCs w:val="18"/>
              </w:rPr>
            </w:pPr>
          </w:p>
        </w:tc>
        <w:tc>
          <w:tcPr>
            <w:tcW w:w="1130" w:type="dxa"/>
            <w:vMerge w:val="continue"/>
            <w:vAlign w:val="center"/>
          </w:tcPr>
          <w:p>
            <w:pPr>
              <w:rPr>
                <w:rFonts w:ascii="宋体" w:hAnsi="宋体" w:cs="仿宋_GB2312"/>
                <w:sz w:val="18"/>
                <w:szCs w:val="18"/>
              </w:rPr>
            </w:pPr>
          </w:p>
        </w:tc>
        <w:tc>
          <w:tcPr>
            <w:tcW w:w="7833" w:type="dxa"/>
            <w:vAlign w:val="center"/>
          </w:tcPr>
          <w:p>
            <w:pPr>
              <w:rPr>
                <w:rFonts w:cs="仿宋_GB2312"/>
                <w:sz w:val="18"/>
                <w:szCs w:val="18"/>
              </w:rPr>
            </w:pPr>
            <w:r>
              <w:rPr>
                <w:rFonts w:hint="eastAsia" w:cs="仿宋_GB2312"/>
                <w:sz w:val="18"/>
                <w:szCs w:val="18"/>
              </w:rPr>
              <w:t>单位产品碳排放量应依据GB/T 32150及使用标准进行测算。</w:t>
            </w:r>
          </w:p>
        </w:tc>
        <w:tc>
          <w:tcPr>
            <w:tcW w:w="1134" w:type="dxa"/>
            <w:vAlign w:val="center"/>
          </w:tcPr>
          <w:p>
            <w:pPr>
              <w:jc w:val="center"/>
              <w:rPr>
                <w:rFonts w:cs="仿宋_GB2312"/>
                <w:strike/>
                <w:dstrike w:val="0"/>
                <w:color w:val="00B0F0"/>
                <w:sz w:val="18"/>
                <w:szCs w:val="18"/>
              </w:rPr>
            </w:pPr>
            <w:r>
              <w:rPr>
                <w:rFonts w:hint="eastAsia" w:cs="仿宋_GB2312"/>
                <w:strike/>
                <w:dstrike w:val="0"/>
                <w:color w:val="00B0F0"/>
                <w:sz w:val="18"/>
                <w:szCs w:val="18"/>
              </w:rPr>
              <w:t>必选</w:t>
            </w:r>
          </w:p>
        </w:tc>
        <w:tc>
          <w:tcPr>
            <w:tcW w:w="1134" w:type="dxa"/>
            <w:vAlign w:val="center"/>
          </w:tcPr>
          <w:p>
            <w:pPr>
              <w:jc w:val="center"/>
              <w:rPr>
                <w:rFonts w:hint="eastAsia" w:cs="仿宋_GB2312"/>
                <w:sz w:val="18"/>
                <w:szCs w:val="18"/>
              </w:rPr>
            </w:pPr>
          </w:p>
        </w:tc>
        <w:tc>
          <w:tcPr>
            <w:tcW w:w="1134" w:type="dxa"/>
            <w:vMerge w:val="continue"/>
            <w:vAlign w:val="center"/>
          </w:tcPr>
          <w:p>
            <w:pPr>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78" w:type="dxa"/>
            <w:vMerge w:val="continue"/>
            <w:vAlign w:val="center"/>
          </w:tcPr>
          <w:p>
            <w:pPr>
              <w:rPr>
                <w:rFonts w:ascii="宋体" w:hAnsi="宋体" w:cs="仿宋_GB2312"/>
                <w:sz w:val="18"/>
                <w:szCs w:val="18"/>
              </w:rPr>
            </w:pPr>
          </w:p>
        </w:tc>
        <w:tc>
          <w:tcPr>
            <w:tcW w:w="1025" w:type="dxa"/>
            <w:vMerge w:val="continue"/>
            <w:vAlign w:val="center"/>
          </w:tcPr>
          <w:p>
            <w:pPr>
              <w:rPr>
                <w:rFonts w:ascii="宋体" w:hAnsi="宋体" w:cs="仿宋_GB2312"/>
                <w:sz w:val="18"/>
                <w:szCs w:val="18"/>
              </w:rPr>
            </w:pPr>
          </w:p>
        </w:tc>
        <w:tc>
          <w:tcPr>
            <w:tcW w:w="1130" w:type="dxa"/>
            <w:vMerge w:val="continue"/>
            <w:vAlign w:val="center"/>
          </w:tcPr>
          <w:p>
            <w:pPr>
              <w:rPr>
                <w:rFonts w:ascii="宋体" w:hAnsi="宋体" w:cs="仿宋_GB2312"/>
                <w:sz w:val="18"/>
                <w:szCs w:val="18"/>
              </w:rPr>
            </w:pPr>
          </w:p>
        </w:tc>
        <w:tc>
          <w:tcPr>
            <w:tcW w:w="7833" w:type="dxa"/>
            <w:vAlign w:val="center"/>
          </w:tcPr>
          <w:p>
            <w:pPr>
              <w:rPr>
                <w:rFonts w:cs="仿宋_GB2312"/>
                <w:sz w:val="18"/>
                <w:szCs w:val="18"/>
              </w:rPr>
            </w:pPr>
            <w:r>
              <w:rPr>
                <w:rFonts w:hint="eastAsia" w:cs="仿宋_GB2312"/>
                <w:sz w:val="18"/>
                <w:szCs w:val="18"/>
              </w:rPr>
              <w:t>单位产品碳排放量</w:t>
            </w:r>
            <w:r>
              <w:rPr>
                <w:rFonts w:hint="eastAsia"/>
                <w:sz w:val="18"/>
                <w:szCs w:val="18"/>
              </w:rPr>
              <w:t>宜逐年下降</w:t>
            </w:r>
            <w:r>
              <w:rPr>
                <w:rFonts w:hint="eastAsia" w:cs="仿宋_GB2312"/>
                <w:sz w:val="18"/>
                <w:szCs w:val="18"/>
              </w:rPr>
              <w:t>。</w:t>
            </w:r>
          </w:p>
        </w:tc>
        <w:tc>
          <w:tcPr>
            <w:tcW w:w="1134" w:type="dxa"/>
            <w:vAlign w:val="center"/>
          </w:tcPr>
          <w:p>
            <w:pPr>
              <w:jc w:val="center"/>
              <w:rPr>
                <w:rFonts w:cs="仿宋_GB2312"/>
                <w:strike/>
                <w:dstrike w:val="0"/>
                <w:color w:val="00B0F0"/>
                <w:sz w:val="18"/>
                <w:szCs w:val="18"/>
              </w:rPr>
            </w:pPr>
            <w:r>
              <w:rPr>
                <w:rFonts w:hint="eastAsia" w:cs="仿宋_GB2312"/>
                <w:strike/>
                <w:dstrike w:val="0"/>
                <w:color w:val="00B0F0"/>
                <w:sz w:val="18"/>
                <w:szCs w:val="18"/>
              </w:rPr>
              <w:t>可选</w:t>
            </w:r>
          </w:p>
        </w:tc>
        <w:tc>
          <w:tcPr>
            <w:tcW w:w="1134" w:type="dxa"/>
            <w:vAlign w:val="center"/>
          </w:tcPr>
          <w:p>
            <w:pPr>
              <w:jc w:val="center"/>
              <w:rPr>
                <w:rFonts w:hint="eastAsia" w:cs="仿宋_GB2312"/>
                <w:sz w:val="18"/>
                <w:szCs w:val="18"/>
              </w:rPr>
            </w:pPr>
          </w:p>
        </w:tc>
        <w:tc>
          <w:tcPr>
            <w:tcW w:w="1134" w:type="dxa"/>
            <w:vMerge w:val="continue"/>
            <w:vAlign w:val="center"/>
          </w:tcPr>
          <w:p>
            <w:pPr>
              <w:jc w:val="center"/>
              <w:rPr>
                <w:rFonts w:ascii="宋体" w:hAnsi="宋体" w:cs="仿宋_GB2312"/>
                <w:sz w:val="18"/>
                <w:szCs w:val="18"/>
              </w:rPr>
            </w:pPr>
          </w:p>
        </w:tc>
      </w:tr>
      <w:bookmarkEnd w:id="54"/>
      <w:bookmarkEnd w:id="55"/>
    </w:tbl>
    <w:p>
      <w:r>
        <w:pict>
          <v:line id="_x0000_s1028" o:spid="_x0000_s1028" o:spt="20" style="position:absolute;left:0pt;margin-left:258pt;margin-top:7.8pt;height:0pt;width:171pt;mso-wrap-distance-bottom:0pt;mso-wrap-distance-left:9pt;mso-wrap-distance-right:9pt;mso-wrap-distance-top:0pt;z-index:251658240;mso-width-relative:page;mso-height-relative:page;" coordsize="21600,21600">
            <v:path arrowok="t"/>
            <v:fill focussize="0,0"/>
            <v:stroke weight="1.5pt"/>
            <v:imagedata o:title=""/>
            <o:lock v:ext="edit"/>
            <w10:wrap type="square"/>
          </v:line>
        </w:pict>
      </w:r>
    </w:p>
    <w:sectPr>
      <w:pgSz w:w="16838" w:h="11906" w:orient="landscape"/>
      <w:pgMar w:top="1247" w:right="1440" w:bottom="124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方正行楷简体">
    <w:altName w:val="宋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53630"/>
      <w:docPartObj>
        <w:docPartGallery w:val="autotext"/>
      </w:docPartObj>
    </w:sdtPr>
    <w:sdtContent>
      <w:p>
        <w:pPr>
          <w:pStyle w:val="14"/>
          <w:jc w:val="right"/>
        </w:pPr>
        <w:r>
          <w:fldChar w:fldCharType="begin"/>
        </w:r>
        <w:r>
          <w:instrText xml:space="preserve"> PAGE   \* MERGEFORMAT </w:instrText>
        </w:r>
        <w:r>
          <w:fldChar w:fldCharType="separate"/>
        </w:r>
        <w:r>
          <w:rPr>
            <w:lang w:val="zh-CN"/>
          </w:rPr>
          <w:t>11</w:t>
        </w:r>
        <w:r>
          <w:rPr>
            <w:lang w:val="zh-CN"/>
          </w:rPr>
          <w:fldChar w:fldCharType="end"/>
        </w:r>
      </w:p>
    </w:sdtContent>
  </w:sdt>
  <w:p>
    <w:pPr>
      <w:pStyle w:val="1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page" w:x="1396" w:yAlign="center"/>
      <w:rPr>
        <w:rStyle w:val="22"/>
      </w:rPr>
    </w:pPr>
    <w:r>
      <w:rPr>
        <w:rStyle w:val="22"/>
      </w:rPr>
      <w:fldChar w:fldCharType="begin"/>
    </w:r>
    <w:r>
      <w:rPr>
        <w:rStyle w:val="22"/>
      </w:rPr>
      <w:instrText xml:space="preserve">PAGE  </w:instrText>
    </w:r>
    <w:r>
      <w:rPr>
        <w:rStyle w:val="22"/>
      </w:rPr>
      <w:fldChar w:fldCharType="separate"/>
    </w:r>
    <w:r>
      <w:rPr>
        <w:rStyle w:val="22"/>
      </w:rPr>
      <w:t>12</w:t>
    </w:r>
    <w:r>
      <w:rPr>
        <w:rStyle w:val="22"/>
      </w:rPr>
      <w:fldChar w:fldCharType="end"/>
    </w:r>
  </w:p>
  <w:p>
    <w:pPr>
      <w:pStyle w:val="1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9367F"/>
    <w:rsid w:val="00002E25"/>
    <w:rsid w:val="000048CE"/>
    <w:rsid w:val="0000574B"/>
    <w:rsid w:val="000065BD"/>
    <w:rsid w:val="00006716"/>
    <w:rsid w:val="00006884"/>
    <w:rsid w:val="000075BF"/>
    <w:rsid w:val="00011C1D"/>
    <w:rsid w:val="00013739"/>
    <w:rsid w:val="0001387B"/>
    <w:rsid w:val="0001420A"/>
    <w:rsid w:val="00015DCA"/>
    <w:rsid w:val="000161ED"/>
    <w:rsid w:val="00016487"/>
    <w:rsid w:val="00020329"/>
    <w:rsid w:val="00023053"/>
    <w:rsid w:val="00023D4A"/>
    <w:rsid w:val="000248F6"/>
    <w:rsid w:val="00025309"/>
    <w:rsid w:val="000254B6"/>
    <w:rsid w:val="00027E7C"/>
    <w:rsid w:val="000324A1"/>
    <w:rsid w:val="00034BF7"/>
    <w:rsid w:val="00034C47"/>
    <w:rsid w:val="00034F80"/>
    <w:rsid w:val="00040A3E"/>
    <w:rsid w:val="00042CFB"/>
    <w:rsid w:val="00042ECF"/>
    <w:rsid w:val="000432DB"/>
    <w:rsid w:val="000433B5"/>
    <w:rsid w:val="0004360E"/>
    <w:rsid w:val="000451A5"/>
    <w:rsid w:val="0004595B"/>
    <w:rsid w:val="0004710E"/>
    <w:rsid w:val="000474BC"/>
    <w:rsid w:val="0005054A"/>
    <w:rsid w:val="0005466C"/>
    <w:rsid w:val="00055956"/>
    <w:rsid w:val="000618F1"/>
    <w:rsid w:val="00062017"/>
    <w:rsid w:val="00064F0B"/>
    <w:rsid w:val="00070A32"/>
    <w:rsid w:val="00071548"/>
    <w:rsid w:val="00071DF3"/>
    <w:rsid w:val="00077374"/>
    <w:rsid w:val="00080587"/>
    <w:rsid w:val="00081893"/>
    <w:rsid w:val="000857AA"/>
    <w:rsid w:val="00086557"/>
    <w:rsid w:val="0009362F"/>
    <w:rsid w:val="000936A1"/>
    <w:rsid w:val="0009586D"/>
    <w:rsid w:val="000A1970"/>
    <w:rsid w:val="000A3941"/>
    <w:rsid w:val="000A5F75"/>
    <w:rsid w:val="000A6605"/>
    <w:rsid w:val="000A7A96"/>
    <w:rsid w:val="000B151D"/>
    <w:rsid w:val="000B1FC9"/>
    <w:rsid w:val="000B77D6"/>
    <w:rsid w:val="000C031A"/>
    <w:rsid w:val="000C0E3D"/>
    <w:rsid w:val="000C1EA4"/>
    <w:rsid w:val="000C1F9F"/>
    <w:rsid w:val="000C45C2"/>
    <w:rsid w:val="000C4751"/>
    <w:rsid w:val="000C5000"/>
    <w:rsid w:val="000C75DD"/>
    <w:rsid w:val="000D34C7"/>
    <w:rsid w:val="000D40AB"/>
    <w:rsid w:val="000D45FA"/>
    <w:rsid w:val="000D4CCB"/>
    <w:rsid w:val="000D5872"/>
    <w:rsid w:val="000D7048"/>
    <w:rsid w:val="000D7676"/>
    <w:rsid w:val="000D7DFF"/>
    <w:rsid w:val="000E01FB"/>
    <w:rsid w:val="000E02BB"/>
    <w:rsid w:val="000E4DD0"/>
    <w:rsid w:val="000E53A0"/>
    <w:rsid w:val="000E642D"/>
    <w:rsid w:val="000E66D9"/>
    <w:rsid w:val="000E6A7D"/>
    <w:rsid w:val="000E7863"/>
    <w:rsid w:val="000F0BD2"/>
    <w:rsid w:val="000F2DE2"/>
    <w:rsid w:val="000F6D1D"/>
    <w:rsid w:val="0010267A"/>
    <w:rsid w:val="00103649"/>
    <w:rsid w:val="0010586C"/>
    <w:rsid w:val="00110467"/>
    <w:rsid w:val="00110686"/>
    <w:rsid w:val="001111B9"/>
    <w:rsid w:val="00112EAC"/>
    <w:rsid w:val="00113578"/>
    <w:rsid w:val="0011365F"/>
    <w:rsid w:val="001217C7"/>
    <w:rsid w:val="00123E6B"/>
    <w:rsid w:val="0012408C"/>
    <w:rsid w:val="001266F3"/>
    <w:rsid w:val="00127C29"/>
    <w:rsid w:val="00131E93"/>
    <w:rsid w:val="0013403E"/>
    <w:rsid w:val="001342A9"/>
    <w:rsid w:val="00135877"/>
    <w:rsid w:val="00145CE0"/>
    <w:rsid w:val="00145D55"/>
    <w:rsid w:val="00146023"/>
    <w:rsid w:val="0015340E"/>
    <w:rsid w:val="0015507F"/>
    <w:rsid w:val="00156242"/>
    <w:rsid w:val="0016058A"/>
    <w:rsid w:val="00160594"/>
    <w:rsid w:val="001610B0"/>
    <w:rsid w:val="00161DFC"/>
    <w:rsid w:val="00162F14"/>
    <w:rsid w:val="001638FD"/>
    <w:rsid w:val="00163F4E"/>
    <w:rsid w:val="00164CFD"/>
    <w:rsid w:val="001656FA"/>
    <w:rsid w:val="00173E46"/>
    <w:rsid w:val="00174E24"/>
    <w:rsid w:val="00175EF1"/>
    <w:rsid w:val="00175F04"/>
    <w:rsid w:val="001769E5"/>
    <w:rsid w:val="00177262"/>
    <w:rsid w:val="0017758D"/>
    <w:rsid w:val="00180ED8"/>
    <w:rsid w:val="00184006"/>
    <w:rsid w:val="0018664E"/>
    <w:rsid w:val="00187C54"/>
    <w:rsid w:val="00192F7F"/>
    <w:rsid w:val="001932C7"/>
    <w:rsid w:val="00197882"/>
    <w:rsid w:val="001A2B1C"/>
    <w:rsid w:val="001A34AE"/>
    <w:rsid w:val="001A4BA4"/>
    <w:rsid w:val="001A5474"/>
    <w:rsid w:val="001A58B0"/>
    <w:rsid w:val="001A6C7A"/>
    <w:rsid w:val="001A72BB"/>
    <w:rsid w:val="001A7927"/>
    <w:rsid w:val="001B0205"/>
    <w:rsid w:val="001B132C"/>
    <w:rsid w:val="001B1A10"/>
    <w:rsid w:val="001B50C2"/>
    <w:rsid w:val="001B559A"/>
    <w:rsid w:val="001C145D"/>
    <w:rsid w:val="001C15D9"/>
    <w:rsid w:val="001C215C"/>
    <w:rsid w:val="001C2268"/>
    <w:rsid w:val="001C3348"/>
    <w:rsid w:val="001C3AE5"/>
    <w:rsid w:val="001D0CB3"/>
    <w:rsid w:val="001D1BEB"/>
    <w:rsid w:val="001D2252"/>
    <w:rsid w:val="001D2DB5"/>
    <w:rsid w:val="001D3297"/>
    <w:rsid w:val="001D3629"/>
    <w:rsid w:val="001D50CF"/>
    <w:rsid w:val="001D7453"/>
    <w:rsid w:val="001D7A0D"/>
    <w:rsid w:val="001D7E81"/>
    <w:rsid w:val="001E0268"/>
    <w:rsid w:val="001E0C7C"/>
    <w:rsid w:val="001E2800"/>
    <w:rsid w:val="001E3487"/>
    <w:rsid w:val="001E349A"/>
    <w:rsid w:val="001E4DF1"/>
    <w:rsid w:val="001E502A"/>
    <w:rsid w:val="001E773D"/>
    <w:rsid w:val="001F15C8"/>
    <w:rsid w:val="001F32CB"/>
    <w:rsid w:val="001F5E09"/>
    <w:rsid w:val="002015D7"/>
    <w:rsid w:val="00202340"/>
    <w:rsid w:val="0020352D"/>
    <w:rsid w:val="00205BE2"/>
    <w:rsid w:val="002108D0"/>
    <w:rsid w:val="00211512"/>
    <w:rsid w:val="00212349"/>
    <w:rsid w:val="00212C10"/>
    <w:rsid w:val="00212E4B"/>
    <w:rsid w:val="00213803"/>
    <w:rsid w:val="00213A05"/>
    <w:rsid w:val="00214426"/>
    <w:rsid w:val="002173CE"/>
    <w:rsid w:val="00217619"/>
    <w:rsid w:val="00221B32"/>
    <w:rsid w:val="00222BC5"/>
    <w:rsid w:val="00223782"/>
    <w:rsid w:val="002251A5"/>
    <w:rsid w:val="0022648A"/>
    <w:rsid w:val="00226F0B"/>
    <w:rsid w:val="00230C48"/>
    <w:rsid w:val="00231D73"/>
    <w:rsid w:val="002330D4"/>
    <w:rsid w:val="002349A2"/>
    <w:rsid w:val="002360B6"/>
    <w:rsid w:val="00236955"/>
    <w:rsid w:val="00237974"/>
    <w:rsid w:val="00240938"/>
    <w:rsid w:val="002424CC"/>
    <w:rsid w:val="00242D3B"/>
    <w:rsid w:val="00245439"/>
    <w:rsid w:val="00245813"/>
    <w:rsid w:val="00250175"/>
    <w:rsid w:val="00252BDE"/>
    <w:rsid w:val="0025384F"/>
    <w:rsid w:val="00255462"/>
    <w:rsid w:val="002564FD"/>
    <w:rsid w:val="00260ABA"/>
    <w:rsid w:val="002610BF"/>
    <w:rsid w:val="0026150C"/>
    <w:rsid w:val="002615A1"/>
    <w:rsid w:val="0026268B"/>
    <w:rsid w:val="0026310F"/>
    <w:rsid w:val="002637C6"/>
    <w:rsid w:val="00263EE2"/>
    <w:rsid w:val="00265731"/>
    <w:rsid w:val="00265ADB"/>
    <w:rsid w:val="00267D34"/>
    <w:rsid w:val="00272F7F"/>
    <w:rsid w:val="002738FB"/>
    <w:rsid w:val="0027453D"/>
    <w:rsid w:val="00274A18"/>
    <w:rsid w:val="00275D67"/>
    <w:rsid w:val="00280B2E"/>
    <w:rsid w:val="00280E34"/>
    <w:rsid w:val="0028437E"/>
    <w:rsid w:val="00285248"/>
    <w:rsid w:val="00285529"/>
    <w:rsid w:val="0028633F"/>
    <w:rsid w:val="00290434"/>
    <w:rsid w:val="00291847"/>
    <w:rsid w:val="00293D84"/>
    <w:rsid w:val="00294F0E"/>
    <w:rsid w:val="002A070F"/>
    <w:rsid w:val="002A071D"/>
    <w:rsid w:val="002A0F9D"/>
    <w:rsid w:val="002A5756"/>
    <w:rsid w:val="002A6567"/>
    <w:rsid w:val="002A72B6"/>
    <w:rsid w:val="002B059E"/>
    <w:rsid w:val="002B29C5"/>
    <w:rsid w:val="002B4B9F"/>
    <w:rsid w:val="002B56F6"/>
    <w:rsid w:val="002C3B78"/>
    <w:rsid w:val="002C43E9"/>
    <w:rsid w:val="002C6820"/>
    <w:rsid w:val="002C6F39"/>
    <w:rsid w:val="002C7F39"/>
    <w:rsid w:val="002D040A"/>
    <w:rsid w:val="002D0A33"/>
    <w:rsid w:val="002D1216"/>
    <w:rsid w:val="002D47C9"/>
    <w:rsid w:val="002E08A7"/>
    <w:rsid w:val="002E0E4A"/>
    <w:rsid w:val="002E4D7D"/>
    <w:rsid w:val="002E5592"/>
    <w:rsid w:val="002E679C"/>
    <w:rsid w:val="002E7C73"/>
    <w:rsid w:val="002F03D1"/>
    <w:rsid w:val="002F37EA"/>
    <w:rsid w:val="002F4052"/>
    <w:rsid w:val="002F45C0"/>
    <w:rsid w:val="002F4809"/>
    <w:rsid w:val="002F500F"/>
    <w:rsid w:val="002F5394"/>
    <w:rsid w:val="002F6911"/>
    <w:rsid w:val="00300197"/>
    <w:rsid w:val="003009F5"/>
    <w:rsid w:val="00304050"/>
    <w:rsid w:val="0030562F"/>
    <w:rsid w:val="00306236"/>
    <w:rsid w:val="0030736F"/>
    <w:rsid w:val="00307563"/>
    <w:rsid w:val="00311A99"/>
    <w:rsid w:val="00315A0F"/>
    <w:rsid w:val="00315D03"/>
    <w:rsid w:val="00317690"/>
    <w:rsid w:val="003209AB"/>
    <w:rsid w:val="00321E69"/>
    <w:rsid w:val="00322742"/>
    <w:rsid w:val="0032650D"/>
    <w:rsid w:val="0032718D"/>
    <w:rsid w:val="003348F6"/>
    <w:rsid w:val="003356AF"/>
    <w:rsid w:val="00336F5B"/>
    <w:rsid w:val="00341639"/>
    <w:rsid w:val="00341CBD"/>
    <w:rsid w:val="00342630"/>
    <w:rsid w:val="003427D9"/>
    <w:rsid w:val="0034380B"/>
    <w:rsid w:val="00344F3A"/>
    <w:rsid w:val="00345AD1"/>
    <w:rsid w:val="00345B56"/>
    <w:rsid w:val="00346263"/>
    <w:rsid w:val="0034703C"/>
    <w:rsid w:val="00352E7E"/>
    <w:rsid w:val="003573EB"/>
    <w:rsid w:val="00357551"/>
    <w:rsid w:val="00360AA3"/>
    <w:rsid w:val="0036276D"/>
    <w:rsid w:val="00363240"/>
    <w:rsid w:val="00364276"/>
    <w:rsid w:val="00366477"/>
    <w:rsid w:val="00366BF9"/>
    <w:rsid w:val="0036713A"/>
    <w:rsid w:val="0036722E"/>
    <w:rsid w:val="00367747"/>
    <w:rsid w:val="00370B53"/>
    <w:rsid w:val="00371B59"/>
    <w:rsid w:val="003724C0"/>
    <w:rsid w:val="003728FB"/>
    <w:rsid w:val="0037446E"/>
    <w:rsid w:val="00376A7A"/>
    <w:rsid w:val="00383FB3"/>
    <w:rsid w:val="003845B0"/>
    <w:rsid w:val="003859D1"/>
    <w:rsid w:val="0038634A"/>
    <w:rsid w:val="00386C90"/>
    <w:rsid w:val="00387658"/>
    <w:rsid w:val="00390215"/>
    <w:rsid w:val="0039233D"/>
    <w:rsid w:val="00395F2D"/>
    <w:rsid w:val="0039721A"/>
    <w:rsid w:val="003A1584"/>
    <w:rsid w:val="003A18C2"/>
    <w:rsid w:val="003A1AE9"/>
    <w:rsid w:val="003A22F9"/>
    <w:rsid w:val="003A294E"/>
    <w:rsid w:val="003A653C"/>
    <w:rsid w:val="003A78E8"/>
    <w:rsid w:val="003B02CF"/>
    <w:rsid w:val="003B74DD"/>
    <w:rsid w:val="003C0499"/>
    <w:rsid w:val="003C1D85"/>
    <w:rsid w:val="003C3C4F"/>
    <w:rsid w:val="003C4BBE"/>
    <w:rsid w:val="003C5CA2"/>
    <w:rsid w:val="003C6A1A"/>
    <w:rsid w:val="003C6A9A"/>
    <w:rsid w:val="003C7175"/>
    <w:rsid w:val="003C71C0"/>
    <w:rsid w:val="003D0162"/>
    <w:rsid w:val="003D09DC"/>
    <w:rsid w:val="003D2951"/>
    <w:rsid w:val="003D359C"/>
    <w:rsid w:val="003D44E7"/>
    <w:rsid w:val="003D5E3B"/>
    <w:rsid w:val="003D7862"/>
    <w:rsid w:val="003E3623"/>
    <w:rsid w:val="003E55BB"/>
    <w:rsid w:val="003F2B7F"/>
    <w:rsid w:val="003F4C28"/>
    <w:rsid w:val="003F61C2"/>
    <w:rsid w:val="003F63C0"/>
    <w:rsid w:val="003F6824"/>
    <w:rsid w:val="00402902"/>
    <w:rsid w:val="00402EA2"/>
    <w:rsid w:val="00404B1B"/>
    <w:rsid w:val="00404EFF"/>
    <w:rsid w:val="0040523B"/>
    <w:rsid w:val="00406550"/>
    <w:rsid w:val="00407A0F"/>
    <w:rsid w:val="00410495"/>
    <w:rsid w:val="0041122F"/>
    <w:rsid w:val="00411BE8"/>
    <w:rsid w:val="00412692"/>
    <w:rsid w:val="00413F13"/>
    <w:rsid w:val="00414F6D"/>
    <w:rsid w:val="0041589E"/>
    <w:rsid w:val="00417943"/>
    <w:rsid w:val="0042089E"/>
    <w:rsid w:val="00422327"/>
    <w:rsid w:val="00422743"/>
    <w:rsid w:val="004277A2"/>
    <w:rsid w:val="004304B5"/>
    <w:rsid w:val="004341F6"/>
    <w:rsid w:val="004343CF"/>
    <w:rsid w:val="004415C7"/>
    <w:rsid w:val="00444CA5"/>
    <w:rsid w:val="0044502A"/>
    <w:rsid w:val="00445F36"/>
    <w:rsid w:val="00446BD8"/>
    <w:rsid w:val="00451DC9"/>
    <w:rsid w:val="004521EE"/>
    <w:rsid w:val="00452229"/>
    <w:rsid w:val="00452704"/>
    <w:rsid w:val="00453573"/>
    <w:rsid w:val="00454F1E"/>
    <w:rsid w:val="00456011"/>
    <w:rsid w:val="004564A2"/>
    <w:rsid w:val="00456AB4"/>
    <w:rsid w:val="00456EAB"/>
    <w:rsid w:val="004600A8"/>
    <w:rsid w:val="00460F13"/>
    <w:rsid w:val="00461650"/>
    <w:rsid w:val="004618B3"/>
    <w:rsid w:val="00462821"/>
    <w:rsid w:val="00462B9F"/>
    <w:rsid w:val="0046366F"/>
    <w:rsid w:val="00463B97"/>
    <w:rsid w:val="00467B96"/>
    <w:rsid w:val="00470473"/>
    <w:rsid w:val="00471AB4"/>
    <w:rsid w:val="0047322B"/>
    <w:rsid w:val="00473619"/>
    <w:rsid w:val="0047417C"/>
    <w:rsid w:val="004744D0"/>
    <w:rsid w:val="00474CF7"/>
    <w:rsid w:val="00475D46"/>
    <w:rsid w:val="00477E19"/>
    <w:rsid w:val="004834D3"/>
    <w:rsid w:val="00486A38"/>
    <w:rsid w:val="004944BA"/>
    <w:rsid w:val="004A0663"/>
    <w:rsid w:val="004A0CEE"/>
    <w:rsid w:val="004A282C"/>
    <w:rsid w:val="004A5E76"/>
    <w:rsid w:val="004A6DC3"/>
    <w:rsid w:val="004A7A56"/>
    <w:rsid w:val="004B08C7"/>
    <w:rsid w:val="004B2C0D"/>
    <w:rsid w:val="004B4D7D"/>
    <w:rsid w:val="004B771A"/>
    <w:rsid w:val="004C25FD"/>
    <w:rsid w:val="004C2EF1"/>
    <w:rsid w:val="004C43B8"/>
    <w:rsid w:val="004C72E5"/>
    <w:rsid w:val="004C7ABB"/>
    <w:rsid w:val="004D0D9C"/>
    <w:rsid w:val="004D331A"/>
    <w:rsid w:val="004D4B3D"/>
    <w:rsid w:val="004D5ADF"/>
    <w:rsid w:val="004D7941"/>
    <w:rsid w:val="004D7A2B"/>
    <w:rsid w:val="004D7FAB"/>
    <w:rsid w:val="004E4FCB"/>
    <w:rsid w:val="004F1429"/>
    <w:rsid w:val="004F15D5"/>
    <w:rsid w:val="0050059C"/>
    <w:rsid w:val="005104D5"/>
    <w:rsid w:val="005114CF"/>
    <w:rsid w:val="005148BF"/>
    <w:rsid w:val="005178DE"/>
    <w:rsid w:val="00526F82"/>
    <w:rsid w:val="005305EA"/>
    <w:rsid w:val="00530681"/>
    <w:rsid w:val="0053670E"/>
    <w:rsid w:val="005372A6"/>
    <w:rsid w:val="0053740E"/>
    <w:rsid w:val="00537A0E"/>
    <w:rsid w:val="00540097"/>
    <w:rsid w:val="0054311C"/>
    <w:rsid w:val="00543B19"/>
    <w:rsid w:val="0054593B"/>
    <w:rsid w:val="00546ED6"/>
    <w:rsid w:val="00547CA2"/>
    <w:rsid w:val="005508E1"/>
    <w:rsid w:val="00552431"/>
    <w:rsid w:val="00554036"/>
    <w:rsid w:val="00554434"/>
    <w:rsid w:val="00554498"/>
    <w:rsid w:val="005559BB"/>
    <w:rsid w:val="00556244"/>
    <w:rsid w:val="0055721D"/>
    <w:rsid w:val="00557C42"/>
    <w:rsid w:val="00561037"/>
    <w:rsid w:val="005616C2"/>
    <w:rsid w:val="005625D4"/>
    <w:rsid w:val="00562F49"/>
    <w:rsid w:val="0056644C"/>
    <w:rsid w:val="00566A08"/>
    <w:rsid w:val="0056712C"/>
    <w:rsid w:val="00570D37"/>
    <w:rsid w:val="00571AD9"/>
    <w:rsid w:val="00572827"/>
    <w:rsid w:val="00573DCF"/>
    <w:rsid w:val="005741FC"/>
    <w:rsid w:val="00574A59"/>
    <w:rsid w:val="005752C8"/>
    <w:rsid w:val="00575AA3"/>
    <w:rsid w:val="00576C9C"/>
    <w:rsid w:val="00577A9B"/>
    <w:rsid w:val="00582141"/>
    <w:rsid w:val="00584A28"/>
    <w:rsid w:val="00584E9F"/>
    <w:rsid w:val="00590CE3"/>
    <w:rsid w:val="005915D0"/>
    <w:rsid w:val="005928B0"/>
    <w:rsid w:val="0059429E"/>
    <w:rsid w:val="00596535"/>
    <w:rsid w:val="00596632"/>
    <w:rsid w:val="00596D9F"/>
    <w:rsid w:val="0059755E"/>
    <w:rsid w:val="0059784D"/>
    <w:rsid w:val="005979DA"/>
    <w:rsid w:val="005A07D0"/>
    <w:rsid w:val="005A0BFE"/>
    <w:rsid w:val="005A4EF4"/>
    <w:rsid w:val="005A537E"/>
    <w:rsid w:val="005B2471"/>
    <w:rsid w:val="005B5E55"/>
    <w:rsid w:val="005B6662"/>
    <w:rsid w:val="005B67CA"/>
    <w:rsid w:val="005B7C14"/>
    <w:rsid w:val="005C1C8E"/>
    <w:rsid w:val="005C3086"/>
    <w:rsid w:val="005C5F9C"/>
    <w:rsid w:val="005C61B2"/>
    <w:rsid w:val="005C66B9"/>
    <w:rsid w:val="005D01F2"/>
    <w:rsid w:val="005D0626"/>
    <w:rsid w:val="005D1FA3"/>
    <w:rsid w:val="005D66F5"/>
    <w:rsid w:val="005D6B28"/>
    <w:rsid w:val="005E0C1A"/>
    <w:rsid w:val="005E0CF1"/>
    <w:rsid w:val="005E1080"/>
    <w:rsid w:val="005E1811"/>
    <w:rsid w:val="005E428B"/>
    <w:rsid w:val="005E5E55"/>
    <w:rsid w:val="005E6B30"/>
    <w:rsid w:val="005F23EB"/>
    <w:rsid w:val="005F3371"/>
    <w:rsid w:val="005F3B47"/>
    <w:rsid w:val="005F3B5C"/>
    <w:rsid w:val="005F4DE4"/>
    <w:rsid w:val="005F5C0B"/>
    <w:rsid w:val="006006F4"/>
    <w:rsid w:val="006013FE"/>
    <w:rsid w:val="00603389"/>
    <w:rsid w:val="006043F4"/>
    <w:rsid w:val="00605054"/>
    <w:rsid w:val="00607473"/>
    <w:rsid w:val="006074F4"/>
    <w:rsid w:val="00607D55"/>
    <w:rsid w:val="00610055"/>
    <w:rsid w:val="00612CF3"/>
    <w:rsid w:val="00613B13"/>
    <w:rsid w:val="00614E14"/>
    <w:rsid w:val="00615851"/>
    <w:rsid w:val="00622E52"/>
    <w:rsid w:val="00623A82"/>
    <w:rsid w:val="00624AFF"/>
    <w:rsid w:val="006300BB"/>
    <w:rsid w:val="006325B4"/>
    <w:rsid w:val="00634075"/>
    <w:rsid w:val="00635CEB"/>
    <w:rsid w:val="00636C57"/>
    <w:rsid w:val="00642D4B"/>
    <w:rsid w:val="00643303"/>
    <w:rsid w:val="00643405"/>
    <w:rsid w:val="00644441"/>
    <w:rsid w:val="00645485"/>
    <w:rsid w:val="0065276D"/>
    <w:rsid w:val="00653BD2"/>
    <w:rsid w:val="006548B2"/>
    <w:rsid w:val="00655C3A"/>
    <w:rsid w:val="00656409"/>
    <w:rsid w:val="0066078F"/>
    <w:rsid w:val="006622E8"/>
    <w:rsid w:val="006643ED"/>
    <w:rsid w:val="00666742"/>
    <w:rsid w:val="00666EBE"/>
    <w:rsid w:val="006670A5"/>
    <w:rsid w:val="00667494"/>
    <w:rsid w:val="00670CAF"/>
    <w:rsid w:val="006729D1"/>
    <w:rsid w:val="00672AFB"/>
    <w:rsid w:val="0067301E"/>
    <w:rsid w:val="006749EE"/>
    <w:rsid w:val="0067566B"/>
    <w:rsid w:val="006760A1"/>
    <w:rsid w:val="00680ACC"/>
    <w:rsid w:val="00681A8F"/>
    <w:rsid w:val="00682379"/>
    <w:rsid w:val="00684C16"/>
    <w:rsid w:val="00686478"/>
    <w:rsid w:val="00690B5F"/>
    <w:rsid w:val="00691522"/>
    <w:rsid w:val="00693C72"/>
    <w:rsid w:val="0069407F"/>
    <w:rsid w:val="006942EB"/>
    <w:rsid w:val="00694972"/>
    <w:rsid w:val="00694A0E"/>
    <w:rsid w:val="006A43E1"/>
    <w:rsid w:val="006B1C6F"/>
    <w:rsid w:val="006B2D6F"/>
    <w:rsid w:val="006B31F1"/>
    <w:rsid w:val="006B3C36"/>
    <w:rsid w:val="006B42C0"/>
    <w:rsid w:val="006B49F2"/>
    <w:rsid w:val="006B5389"/>
    <w:rsid w:val="006B5D8D"/>
    <w:rsid w:val="006B6CED"/>
    <w:rsid w:val="006B7D34"/>
    <w:rsid w:val="006C06B3"/>
    <w:rsid w:val="006C0D2A"/>
    <w:rsid w:val="006C0D8F"/>
    <w:rsid w:val="006C11E3"/>
    <w:rsid w:val="006C3232"/>
    <w:rsid w:val="006C4B30"/>
    <w:rsid w:val="006C5A40"/>
    <w:rsid w:val="006C6058"/>
    <w:rsid w:val="006C6E46"/>
    <w:rsid w:val="006C7254"/>
    <w:rsid w:val="006D11D4"/>
    <w:rsid w:val="006D14EB"/>
    <w:rsid w:val="006D1983"/>
    <w:rsid w:val="006D40EE"/>
    <w:rsid w:val="006D425C"/>
    <w:rsid w:val="006D4838"/>
    <w:rsid w:val="006D566A"/>
    <w:rsid w:val="006D61AC"/>
    <w:rsid w:val="006D7B65"/>
    <w:rsid w:val="006D7F93"/>
    <w:rsid w:val="006E05E0"/>
    <w:rsid w:val="006E1AFC"/>
    <w:rsid w:val="006E46AE"/>
    <w:rsid w:val="006E492C"/>
    <w:rsid w:val="006E566A"/>
    <w:rsid w:val="006F2437"/>
    <w:rsid w:val="006F2D33"/>
    <w:rsid w:val="006F3746"/>
    <w:rsid w:val="006F5F19"/>
    <w:rsid w:val="006F6360"/>
    <w:rsid w:val="00700DC7"/>
    <w:rsid w:val="00701084"/>
    <w:rsid w:val="007010D1"/>
    <w:rsid w:val="00702CA8"/>
    <w:rsid w:val="0070571B"/>
    <w:rsid w:val="00705DD1"/>
    <w:rsid w:val="007122F3"/>
    <w:rsid w:val="00712591"/>
    <w:rsid w:val="00713A12"/>
    <w:rsid w:val="00722DB6"/>
    <w:rsid w:val="0072684A"/>
    <w:rsid w:val="0072700B"/>
    <w:rsid w:val="00727410"/>
    <w:rsid w:val="0073158C"/>
    <w:rsid w:val="00732962"/>
    <w:rsid w:val="00732DB6"/>
    <w:rsid w:val="00736F32"/>
    <w:rsid w:val="007371E0"/>
    <w:rsid w:val="00744128"/>
    <w:rsid w:val="00744307"/>
    <w:rsid w:val="007526BD"/>
    <w:rsid w:val="00756683"/>
    <w:rsid w:val="007602B7"/>
    <w:rsid w:val="0076102C"/>
    <w:rsid w:val="00764C27"/>
    <w:rsid w:val="0076511E"/>
    <w:rsid w:val="007668B8"/>
    <w:rsid w:val="00766C26"/>
    <w:rsid w:val="0077404F"/>
    <w:rsid w:val="0077773D"/>
    <w:rsid w:val="00783D8F"/>
    <w:rsid w:val="00786CC4"/>
    <w:rsid w:val="007873C8"/>
    <w:rsid w:val="0079132E"/>
    <w:rsid w:val="007A11CD"/>
    <w:rsid w:val="007A2064"/>
    <w:rsid w:val="007A2263"/>
    <w:rsid w:val="007A3818"/>
    <w:rsid w:val="007A4E55"/>
    <w:rsid w:val="007A7BC7"/>
    <w:rsid w:val="007B1AB9"/>
    <w:rsid w:val="007B1CB3"/>
    <w:rsid w:val="007B24FF"/>
    <w:rsid w:val="007B5A70"/>
    <w:rsid w:val="007B78A7"/>
    <w:rsid w:val="007C0D59"/>
    <w:rsid w:val="007C49C1"/>
    <w:rsid w:val="007C6228"/>
    <w:rsid w:val="007C6D0B"/>
    <w:rsid w:val="007D20C3"/>
    <w:rsid w:val="007D2E19"/>
    <w:rsid w:val="007D35B3"/>
    <w:rsid w:val="007D3B76"/>
    <w:rsid w:val="007D3EC0"/>
    <w:rsid w:val="007D667B"/>
    <w:rsid w:val="007E0B07"/>
    <w:rsid w:val="007E222F"/>
    <w:rsid w:val="007E2961"/>
    <w:rsid w:val="007E3C04"/>
    <w:rsid w:val="007E56C9"/>
    <w:rsid w:val="007E6DC2"/>
    <w:rsid w:val="007F3AC6"/>
    <w:rsid w:val="007F465C"/>
    <w:rsid w:val="007F4E13"/>
    <w:rsid w:val="007F500D"/>
    <w:rsid w:val="00800958"/>
    <w:rsid w:val="00804779"/>
    <w:rsid w:val="00804EA0"/>
    <w:rsid w:val="00804FE2"/>
    <w:rsid w:val="0080640E"/>
    <w:rsid w:val="00806D2F"/>
    <w:rsid w:val="008077F4"/>
    <w:rsid w:val="00811AFE"/>
    <w:rsid w:val="00811DDA"/>
    <w:rsid w:val="00816E56"/>
    <w:rsid w:val="00820B4D"/>
    <w:rsid w:val="00824994"/>
    <w:rsid w:val="008307D2"/>
    <w:rsid w:val="00832CB4"/>
    <w:rsid w:val="00832E08"/>
    <w:rsid w:val="008349E6"/>
    <w:rsid w:val="00841F34"/>
    <w:rsid w:val="008422B3"/>
    <w:rsid w:val="00843BB5"/>
    <w:rsid w:val="00843DCE"/>
    <w:rsid w:val="00852A2F"/>
    <w:rsid w:val="00853341"/>
    <w:rsid w:val="00853FF4"/>
    <w:rsid w:val="00854B0A"/>
    <w:rsid w:val="00860B61"/>
    <w:rsid w:val="00862FC6"/>
    <w:rsid w:val="00863DC1"/>
    <w:rsid w:val="0086731A"/>
    <w:rsid w:val="00867680"/>
    <w:rsid w:val="00867984"/>
    <w:rsid w:val="008700DB"/>
    <w:rsid w:val="0087048E"/>
    <w:rsid w:val="008707AE"/>
    <w:rsid w:val="00870836"/>
    <w:rsid w:val="00870BE5"/>
    <w:rsid w:val="0087531E"/>
    <w:rsid w:val="0087684B"/>
    <w:rsid w:val="00876931"/>
    <w:rsid w:val="00877F6C"/>
    <w:rsid w:val="00880620"/>
    <w:rsid w:val="008814FB"/>
    <w:rsid w:val="008827F3"/>
    <w:rsid w:val="008832E8"/>
    <w:rsid w:val="0088684A"/>
    <w:rsid w:val="008874BA"/>
    <w:rsid w:val="00887BA8"/>
    <w:rsid w:val="00890086"/>
    <w:rsid w:val="00890CA1"/>
    <w:rsid w:val="00891286"/>
    <w:rsid w:val="00893463"/>
    <w:rsid w:val="0089367F"/>
    <w:rsid w:val="0089542A"/>
    <w:rsid w:val="00897057"/>
    <w:rsid w:val="008979AC"/>
    <w:rsid w:val="008A067D"/>
    <w:rsid w:val="008A0D34"/>
    <w:rsid w:val="008A1207"/>
    <w:rsid w:val="008A1B53"/>
    <w:rsid w:val="008A22CC"/>
    <w:rsid w:val="008A3159"/>
    <w:rsid w:val="008A34EE"/>
    <w:rsid w:val="008A3BBB"/>
    <w:rsid w:val="008A62D0"/>
    <w:rsid w:val="008A6FCE"/>
    <w:rsid w:val="008A7D35"/>
    <w:rsid w:val="008B2BF0"/>
    <w:rsid w:val="008B584A"/>
    <w:rsid w:val="008B628E"/>
    <w:rsid w:val="008B6A22"/>
    <w:rsid w:val="008B7AC6"/>
    <w:rsid w:val="008C08CD"/>
    <w:rsid w:val="008C3799"/>
    <w:rsid w:val="008D44E5"/>
    <w:rsid w:val="008D4EAE"/>
    <w:rsid w:val="008D5A19"/>
    <w:rsid w:val="008D6D92"/>
    <w:rsid w:val="008D730C"/>
    <w:rsid w:val="008D7FCC"/>
    <w:rsid w:val="008E0736"/>
    <w:rsid w:val="008E1190"/>
    <w:rsid w:val="008E297E"/>
    <w:rsid w:val="008E38C9"/>
    <w:rsid w:val="008E5448"/>
    <w:rsid w:val="008E6977"/>
    <w:rsid w:val="008E7A71"/>
    <w:rsid w:val="008F16E4"/>
    <w:rsid w:val="008F3509"/>
    <w:rsid w:val="008F46CD"/>
    <w:rsid w:val="008F5607"/>
    <w:rsid w:val="008F57D3"/>
    <w:rsid w:val="008F6E96"/>
    <w:rsid w:val="008F7563"/>
    <w:rsid w:val="0090406B"/>
    <w:rsid w:val="00905D36"/>
    <w:rsid w:val="00911203"/>
    <w:rsid w:val="00911CC4"/>
    <w:rsid w:val="00911D12"/>
    <w:rsid w:val="00911DA3"/>
    <w:rsid w:val="00912D4B"/>
    <w:rsid w:val="0091631F"/>
    <w:rsid w:val="00916398"/>
    <w:rsid w:val="00916BE6"/>
    <w:rsid w:val="00917EA1"/>
    <w:rsid w:val="009212CB"/>
    <w:rsid w:val="00921CBF"/>
    <w:rsid w:val="00922687"/>
    <w:rsid w:val="009237E0"/>
    <w:rsid w:val="009252CE"/>
    <w:rsid w:val="009258A5"/>
    <w:rsid w:val="009260D5"/>
    <w:rsid w:val="0092695F"/>
    <w:rsid w:val="00930FE5"/>
    <w:rsid w:val="00931C73"/>
    <w:rsid w:val="00932487"/>
    <w:rsid w:val="00933E4C"/>
    <w:rsid w:val="00934637"/>
    <w:rsid w:val="009348C1"/>
    <w:rsid w:val="00934D48"/>
    <w:rsid w:val="00935ED8"/>
    <w:rsid w:val="00937471"/>
    <w:rsid w:val="00942C44"/>
    <w:rsid w:val="00945538"/>
    <w:rsid w:val="00945B9D"/>
    <w:rsid w:val="00946B70"/>
    <w:rsid w:val="009479EF"/>
    <w:rsid w:val="0095033E"/>
    <w:rsid w:val="00950730"/>
    <w:rsid w:val="00951085"/>
    <w:rsid w:val="00951579"/>
    <w:rsid w:val="00951B02"/>
    <w:rsid w:val="00952760"/>
    <w:rsid w:val="00961C5C"/>
    <w:rsid w:val="00963447"/>
    <w:rsid w:val="009648BE"/>
    <w:rsid w:val="00965EDE"/>
    <w:rsid w:val="00966583"/>
    <w:rsid w:val="00966670"/>
    <w:rsid w:val="00966808"/>
    <w:rsid w:val="00974B11"/>
    <w:rsid w:val="00975C93"/>
    <w:rsid w:val="009762F0"/>
    <w:rsid w:val="0098133C"/>
    <w:rsid w:val="0098353A"/>
    <w:rsid w:val="009851B7"/>
    <w:rsid w:val="0098716B"/>
    <w:rsid w:val="00987479"/>
    <w:rsid w:val="00987B39"/>
    <w:rsid w:val="00990DA5"/>
    <w:rsid w:val="00990DDA"/>
    <w:rsid w:val="009933BA"/>
    <w:rsid w:val="009937B7"/>
    <w:rsid w:val="009A11A5"/>
    <w:rsid w:val="009A122F"/>
    <w:rsid w:val="009A1801"/>
    <w:rsid w:val="009A2813"/>
    <w:rsid w:val="009A3FCB"/>
    <w:rsid w:val="009A7E39"/>
    <w:rsid w:val="009B085A"/>
    <w:rsid w:val="009B09CA"/>
    <w:rsid w:val="009B0F43"/>
    <w:rsid w:val="009B3972"/>
    <w:rsid w:val="009C0B0D"/>
    <w:rsid w:val="009C1554"/>
    <w:rsid w:val="009C1979"/>
    <w:rsid w:val="009C2926"/>
    <w:rsid w:val="009C2E38"/>
    <w:rsid w:val="009C3175"/>
    <w:rsid w:val="009C39B0"/>
    <w:rsid w:val="009D1094"/>
    <w:rsid w:val="009D17D1"/>
    <w:rsid w:val="009D3339"/>
    <w:rsid w:val="009D62CF"/>
    <w:rsid w:val="009E1630"/>
    <w:rsid w:val="009E2CF4"/>
    <w:rsid w:val="009E4171"/>
    <w:rsid w:val="009E4E00"/>
    <w:rsid w:val="009E6AB3"/>
    <w:rsid w:val="009F1546"/>
    <w:rsid w:val="009F2605"/>
    <w:rsid w:val="009F4CA0"/>
    <w:rsid w:val="009F5342"/>
    <w:rsid w:val="00A04568"/>
    <w:rsid w:val="00A05559"/>
    <w:rsid w:val="00A077F7"/>
    <w:rsid w:val="00A07A87"/>
    <w:rsid w:val="00A10E8D"/>
    <w:rsid w:val="00A11674"/>
    <w:rsid w:val="00A117E8"/>
    <w:rsid w:val="00A132D5"/>
    <w:rsid w:val="00A13B74"/>
    <w:rsid w:val="00A14354"/>
    <w:rsid w:val="00A14B80"/>
    <w:rsid w:val="00A15130"/>
    <w:rsid w:val="00A16A89"/>
    <w:rsid w:val="00A17193"/>
    <w:rsid w:val="00A179D1"/>
    <w:rsid w:val="00A22030"/>
    <w:rsid w:val="00A22665"/>
    <w:rsid w:val="00A22854"/>
    <w:rsid w:val="00A22D14"/>
    <w:rsid w:val="00A23046"/>
    <w:rsid w:val="00A25D88"/>
    <w:rsid w:val="00A25F6F"/>
    <w:rsid w:val="00A26C5B"/>
    <w:rsid w:val="00A3053B"/>
    <w:rsid w:val="00A308EF"/>
    <w:rsid w:val="00A32999"/>
    <w:rsid w:val="00A33FAE"/>
    <w:rsid w:val="00A375E0"/>
    <w:rsid w:val="00A378F6"/>
    <w:rsid w:val="00A40F1F"/>
    <w:rsid w:val="00A40F80"/>
    <w:rsid w:val="00A413C4"/>
    <w:rsid w:val="00A41D1F"/>
    <w:rsid w:val="00A42258"/>
    <w:rsid w:val="00A4499F"/>
    <w:rsid w:val="00A4589C"/>
    <w:rsid w:val="00A47D72"/>
    <w:rsid w:val="00A52069"/>
    <w:rsid w:val="00A55507"/>
    <w:rsid w:val="00A558C2"/>
    <w:rsid w:val="00A55E2C"/>
    <w:rsid w:val="00A55F02"/>
    <w:rsid w:val="00A562D3"/>
    <w:rsid w:val="00A57406"/>
    <w:rsid w:val="00A578A0"/>
    <w:rsid w:val="00A578E1"/>
    <w:rsid w:val="00A62560"/>
    <w:rsid w:val="00A64123"/>
    <w:rsid w:val="00A654A4"/>
    <w:rsid w:val="00A66989"/>
    <w:rsid w:val="00A717ED"/>
    <w:rsid w:val="00A7241C"/>
    <w:rsid w:val="00A73CA5"/>
    <w:rsid w:val="00A74B9D"/>
    <w:rsid w:val="00A7661E"/>
    <w:rsid w:val="00A77133"/>
    <w:rsid w:val="00A802C8"/>
    <w:rsid w:val="00A84002"/>
    <w:rsid w:val="00A856E7"/>
    <w:rsid w:val="00A870F6"/>
    <w:rsid w:val="00A907F2"/>
    <w:rsid w:val="00A90CB4"/>
    <w:rsid w:val="00A91F3F"/>
    <w:rsid w:val="00A92D3D"/>
    <w:rsid w:val="00A93BCE"/>
    <w:rsid w:val="00A94E77"/>
    <w:rsid w:val="00A94F0B"/>
    <w:rsid w:val="00A959C8"/>
    <w:rsid w:val="00AA21C9"/>
    <w:rsid w:val="00AA2D10"/>
    <w:rsid w:val="00AA2EE7"/>
    <w:rsid w:val="00AA4683"/>
    <w:rsid w:val="00AA5CEA"/>
    <w:rsid w:val="00AA61AC"/>
    <w:rsid w:val="00AA6FE4"/>
    <w:rsid w:val="00AA7616"/>
    <w:rsid w:val="00AB2182"/>
    <w:rsid w:val="00AB36A0"/>
    <w:rsid w:val="00AB3F91"/>
    <w:rsid w:val="00AB5CCB"/>
    <w:rsid w:val="00AC0F54"/>
    <w:rsid w:val="00AC47E3"/>
    <w:rsid w:val="00AC6494"/>
    <w:rsid w:val="00AC6589"/>
    <w:rsid w:val="00AC6781"/>
    <w:rsid w:val="00AC7430"/>
    <w:rsid w:val="00AC7FF2"/>
    <w:rsid w:val="00AD46E7"/>
    <w:rsid w:val="00AD5450"/>
    <w:rsid w:val="00AD6188"/>
    <w:rsid w:val="00AD662D"/>
    <w:rsid w:val="00AD7677"/>
    <w:rsid w:val="00AE11E0"/>
    <w:rsid w:val="00AE1E8B"/>
    <w:rsid w:val="00AE21F0"/>
    <w:rsid w:val="00AE332C"/>
    <w:rsid w:val="00AE4917"/>
    <w:rsid w:val="00AE5B71"/>
    <w:rsid w:val="00AF06C2"/>
    <w:rsid w:val="00AF170F"/>
    <w:rsid w:val="00AF374C"/>
    <w:rsid w:val="00B0192F"/>
    <w:rsid w:val="00B046AF"/>
    <w:rsid w:val="00B07CB7"/>
    <w:rsid w:val="00B1017E"/>
    <w:rsid w:val="00B102CC"/>
    <w:rsid w:val="00B119E6"/>
    <w:rsid w:val="00B159CC"/>
    <w:rsid w:val="00B20EC5"/>
    <w:rsid w:val="00B21C72"/>
    <w:rsid w:val="00B22B1E"/>
    <w:rsid w:val="00B246A5"/>
    <w:rsid w:val="00B2496C"/>
    <w:rsid w:val="00B24AB8"/>
    <w:rsid w:val="00B25212"/>
    <w:rsid w:val="00B26A91"/>
    <w:rsid w:val="00B31AED"/>
    <w:rsid w:val="00B329E5"/>
    <w:rsid w:val="00B3361E"/>
    <w:rsid w:val="00B35EB4"/>
    <w:rsid w:val="00B36225"/>
    <w:rsid w:val="00B369A3"/>
    <w:rsid w:val="00B36ECD"/>
    <w:rsid w:val="00B3792C"/>
    <w:rsid w:val="00B40CEC"/>
    <w:rsid w:val="00B413D8"/>
    <w:rsid w:val="00B42A64"/>
    <w:rsid w:val="00B44800"/>
    <w:rsid w:val="00B46983"/>
    <w:rsid w:val="00B46B2E"/>
    <w:rsid w:val="00B4710C"/>
    <w:rsid w:val="00B52010"/>
    <w:rsid w:val="00B52A6D"/>
    <w:rsid w:val="00B53CDE"/>
    <w:rsid w:val="00B54DE6"/>
    <w:rsid w:val="00B55130"/>
    <w:rsid w:val="00B55600"/>
    <w:rsid w:val="00B57CF4"/>
    <w:rsid w:val="00B65C23"/>
    <w:rsid w:val="00B6797F"/>
    <w:rsid w:val="00B67B62"/>
    <w:rsid w:val="00B67DAE"/>
    <w:rsid w:val="00B709F7"/>
    <w:rsid w:val="00B73D7B"/>
    <w:rsid w:val="00B754B5"/>
    <w:rsid w:val="00B82E9E"/>
    <w:rsid w:val="00B84ED3"/>
    <w:rsid w:val="00B90A89"/>
    <w:rsid w:val="00B9265B"/>
    <w:rsid w:val="00B942C6"/>
    <w:rsid w:val="00B943A1"/>
    <w:rsid w:val="00B97FB9"/>
    <w:rsid w:val="00BA1BD6"/>
    <w:rsid w:val="00BA43B1"/>
    <w:rsid w:val="00BA5189"/>
    <w:rsid w:val="00BA61E0"/>
    <w:rsid w:val="00BA68CE"/>
    <w:rsid w:val="00BB0E6D"/>
    <w:rsid w:val="00BB3004"/>
    <w:rsid w:val="00BB4099"/>
    <w:rsid w:val="00BB47C6"/>
    <w:rsid w:val="00BC58E0"/>
    <w:rsid w:val="00BC7D12"/>
    <w:rsid w:val="00BD08C0"/>
    <w:rsid w:val="00BD0F39"/>
    <w:rsid w:val="00BD3FE1"/>
    <w:rsid w:val="00BD6F87"/>
    <w:rsid w:val="00BE01E5"/>
    <w:rsid w:val="00BE0464"/>
    <w:rsid w:val="00BE0C90"/>
    <w:rsid w:val="00BE47FD"/>
    <w:rsid w:val="00BE4EA7"/>
    <w:rsid w:val="00BE5AEE"/>
    <w:rsid w:val="00BF227E"/>
    <w:rsid w:val="00BF2504"/>
    <w:rsid w:val="00BF2FFA"/>
    <w:rsid w:val="00BF3D96"/>
    <w:rsid w:val="00BF4688"/>
    <w:rsid w:val="00BF529B"/>
    <w:rsid w:val="00BF5FF9"/>
    <w:rsid w:val="00BF7545"/>
    <w:rsid w:val="00C03135"/>
    <w:rsid w:val="00C03AA8"/>
    <w:rsid w:val="00C04B29"/>
    <w:rsid w:val="00C05E2C"/>
    <w:rsid w:val="00C07D3D"/>
    <w:rsid w:val="00C10351"/>
    <w:rsid w:val="00C12F37"/>
    <w:rsid w:val="00C1501F"/>
    <w:rsid w:val="00C15AE0"/>
    <w:rsid w:val="00C1799F"/>
    <w:rsid w:val="00C21D23"/>
    <w:rsid w:val="00C2292D"/>
    <w:rsid w:val="00C22F55"/>
    <w:rsid w:val="00C23128"/>
    <w:rsid w:val="00C272EC"/>
    <w:rsid w:val="00C31560"/>
    <w:rsid w:val="00C3252C"/>
    <w:rsid w:val="00C32587"/>
    <w:rsid w:val="00C3276D"/>
    <w:rsid w:val="00C32951"/>
    <w:rsid w:val="00C352A3"/>
    <w:rsid w:val="00C35908"/>
    <w:rsid w:val="00C36AB2"/>
    <w:rsid w:val="00C40BD8"/>
    <w:rsid w:val="00C42D6E"/>
    <w:rsid w:val="00C4490F"/>
    <w:rsid w:val="00C50442"/>
    <w:rsid w:val="00C516D7"/>
    <w:rsid w:val="00C53697"/>
    <w:rsid w:val="00C5372B"/>
    <w:rsid w:val="00C54A5F"/>
    <w:rsid w:val="00C5792B"/>
    <w:rsid w:val="00C608B0"/>
    <w:rsid w:val="00C60E87"/>
    <w:rsid w:val="00C6408A"/>
    <w:rsid w:val="00C65210"/>
    <w:rsid w:val="00C658AC"/>
    <w:rsid w:val="00C66E59"/>
    <w:rsid w:val="00C6722F"/>
    <w:rsid w:val="00C72325"/>
    <w:rsid w:val="00C729C9"/>
    <w:rsid w:val="00C732F7"/>
    <w:rsid w:val="00C766F6"/>
    <w:rsid w:val="00C77837"/>
    <w:rsid w:val="00C81FC3"/>
    <w:rsid w:val="00C84AAB"/>
    <w:rsid w:val="00C84E42"/>
    <w:rsid w:val="00C85D6F"/>
    <w:rsid w:val="00C90601"/>
    <w:rsid w:val="00C91D9E"/>
    <w:rsid w:val="00C9342F"/>
    <w:rsid w:val="00C9417B"/>
    <w:rsid w:val="00C96552"/>
    <w:rsid w:val="00C96663"/>
    <w:rsid w:val="00CA06F5"/>
    <w:rsid w:val="00CA289E"/>
    <w:rsid w:val="00CA2C05"/>
    <w:rsid w:val="00CA2ED9"/>
    <w:rsid w:val="00CA6128"/>
    <w:rsid w:val="00CA6754"/>
    <w:rsid w:val="00CA7348"/>
    <w:rsid w:val="00CB1793"/>
    <w:rsid w:val="00CB20A7"/>
    <w:rsid w:val="00CB2F09"/>
    <w:rsid w:val="00CB5897"/>
    <w:rsid w:val="00CB6782"/>
    <w:rsid w:val="00CB6DBD"/>
    <w:rsid w:val="00CC0E7B"/>
    <w:rsid w:val="00CC1B8F"/>
    <w:rsid w:val="00CC5A6B"/>
    <w:rsid w:val="00CC6261"/>
    <w:rsid w:val="00CC70C9"/>
    <w:rsid w:val="00CC7E19"/>
    <w:rsid w:val="00CD1D27"/>
    <w:rsid w:val="00CD2651"/>
    <w:rsid w:val="00CD33A7"/>
    <w:rsid w:val="00CD3DD1"/>
    <w:rsid w:val="00CE359D"/>
    <w:rsid w:val="00CE617D"/>
    <w:rsid w:val="00CE66A1"/>
    <w:rsid w:val="00CF35EA"/>
    <w:rsid w:val="00CF597A"/>
    <w:rsid w:val="00D01571"/>
    <w:rsid w:val="00D01B5B"/>
    <w:rsid w:val="00D02541"/>
    <w:rsid w:val="00D06CD8"/>
    <w:rsid w:val="00D10166"/>
    <w:rsid w:val="00D105C8"/>
    <w:rsid w:val="00D114C4"/>
    <w:rsid w:val="00D131D4"/>
    <w:rsid w:val="00D135B7"/>
    <w:rsid w:val="00D13CD8"/>
    <w:rsid w:val="00D14898"/>
    <w:rsid w:val="00D1605B"/>
    <w:rsid w:val="00D16B1D"/>
    <w:rsid w:val="00D177C6"/>
    <w:rsid w:val="00D21FFE"/>
    <w:rsid w:val="00D2248A"/>
    <w:rsid w:val="00D226C3"/>
    <w:rsid w:val="00D24302"/>
    <w:rsid w:val="00D27DA0"/>
    <w:rsid w:val="00D30178"/>
    <w:rsid w:val="00D32311"/>
    <w:rsid w:val="00D32CC1"/>
    <w:rsid w:val="00D3346F"/>
    <w:rsid w:val="00D365CF"/>
    <w:rsid w:val="00D4464A"/>
    <w:rsid w:val="00D450E7"/>
    <w:rsid w:val="00D46790"/>
    <w:rsid w:val="00D471E6"/>
    <w:rsid w:val="00D479EC"/>
    <w:rsid w:val="00D5086E"/>
    <w:rsid w:val="00D52FA1"/>
    <w:rsid w:val="00D539C7"/>
    <w:rsid w:val="00D54FC5"/>
    <w:rsid w:val="00D55D69"/>
    <w:rsid w:val="00D56478"/>
    <w:rsid w:val="00D57009"/>
    <w:rsid w:val="00D60042"/>
    <w:rsid w:val="00D608CC"/>
    <w:rsid w:val="00D615D2"/>
    <w:rsid w:val="00D61F5D"/>
    <w:rsid w:val="00D62600"/>
    <w:rsid w:val="00D64099"/>
    <w:rsid w:val="00D64143"/>
    <w:rsid w:val="00D656B8"/>
    <w:rsid w:val="00D65A0A"/>
    <w:rsid w:val="00D700B6"/>
    <w:rsid w:val="00D72AFE"/>
    <w:rsid w:val="00D74543"/>
    <w:rsid w:val="00D80762"/>
    <w:rsid w:val="00D8148E"/>
    <w:rsid w:val="00D84175"/>
    <w:rsid w:val="00D84767"/>
    <w:rsid w:val="00D86E80"/>
    <w:rsid w:val="00D91197"/>
    <w:rsid w:val="00D92ED1"/>
    <w:rsid w:val="00DA071A"/>
    <w:rsid w:val="00DA1C0F"/>
    <w:rsid w:val="00DA3796"/>
    <w:rsid w:val="00DA39B8"/>
    <w:rsid w:val="00DA41E0"/>
    <w:rsid w:val="00DA4343"/>
    <w:rsid w:val="00DA4AEC"/>
    <w:rsid w:val="00DA5CA5"/>
    <w:rsid w:val="00DB02B3"/>
    <w:rsid w:val="00DB166D"/>
    <w:rsid w:val="00DB2438"/>
    <w:rsid w:val="00DB2F6C"/>
    <w:rsid w:val="00DB4F95"/>
    <w:rsid w:val="00DB500D"/>
    <w:rsid w:val="00DB5458"/>
    <w:rsid w:val="00DC04AD"/>
    <w:rsid w:val="00DC5645"/>
    <w:rsid w:val="00DC61A3"/>
    <w:rsid w:val="00DD0CA6"/>
    <w:rsid w:val="00DD0EF5"/>
    <w:rsid w:val="00DD1D90"/>
    <w:rsid w:val="00DD2501"/>
    <w:rsid w:val="00DD41D4"/>
    <w:rsid w:val="00DD59A3"/>
    <w:rsid w:val="00DD7305"/>
    <w:rsid w:val="00DE037F"/>
    <w:rsid w:val="00DE165F"/>
    <w:rsid w:val="00DE1890"/>
    <w:rsid w:val="00DE2C76"/>
    <w:rsid w:val="00DE3C3D"/>
    <w:rsid w:val="00DE6A16"/>
    <w:rsid w:val="00DE6FB7"/>
    <w:rsid w:val="00DE7321"/>
    <w:rsid w:val="00DF0412"/>
    <w:rsid w:val="00DF049B"/>
    <w:rsid w:val="00DF1305"/>
    <w:rsid w:val="00DF363C"/>
    <w:rsid w:val="00DF4A18"/>
    <w:rsid w:val="00DF70A4"/>
    <w:rsid w:val="00E007C9"/>
    <w:rsid w:val="00E02004"/>
    <w:rsid w:val="00E0247F"/>
    <w:rsid w:val="00E02950"/>
    <w:rsid w:val="00E02CFA"/>
    <w:rsid w:val="00E03D72"/>
    <w:rsid w:val="00E04406"/>
    <w:rsid w:val="00E064CB"/>
    <w:rsid w:val="00E068D7"/>
    <w:rsid w:val="00E13A11"/>
    <w:rsid w:val="00E14D09"/>
    <w:rsid w:val="00E15574"/>
    <w:rsid w:val="00E15E09"/>
    <w:rsid w:val="00E201F3"/>
    <w:rsid w:val="00E21C84"/>
    <w:rsid w:val="00E2269C"/>
    <w:rsid w:val="00E22CB3"/>
    <w:rsid w:val="00E24E1D"/>
    <w:rsid w:val="00E267B3"/>
    <w:rsid w:val="00E26B01"/>
    <w:rsid w:val="00E26B3C"/>
    <w:rsid w:val="00E276AE"/>
    <w:rsid w:val="00E33138"/>
    <w:rsid w:val="00E33177"/>
    <w:rsid w:val="00E35FE8"/>
    <w:rsid w:val="00E37C78"/>
    <w:rsid w:val="00E42960"/>
    <w:rsid w:val="00E42F64"/>
    <w:rsid w:val="00E43A00"/>
    <w:rsid w:val="00E4424C"/>
    <w:rsid w:val="00E46087"/>
    <w:rsid w:val="00E51639"/>
    <w:rsid w:val="00E535C6"/>
    <w:rsid w:val="00E54D38"/>
    <w:rsid w:val="00E6146F"/>
    <w:rsid w:val="00E63EAE"/>
    <w:rsid w:val="00E646C6"/>
    <w:rsid w:val="00E64AC9"/>
    <w:rsid w:val="00E66DE7"/>
    <w:rsid w:val="00E67760"/>
    <w:rsid w:val="00E677BF"/>
    <w:rsid w:val="00E70F71"/>
    <w:rsid w:val="00E7102F"/>
    <w:rsid w:val="00E711A7"/>
    <w:rsid w:val="00E743B6"/>
    <w:rsid w:val="00E76DCB"/>
    <w:rsid w:val="00E7773C"/>
    <w:rsid w:val="00E779FB"/>
    <w:rsid w:val="00E77CFC"/>
    <w:rsid w:val="00E91FA2"/>
    <w:rsid w:val="00EA0DC0"/>
    <w:rsid w:val="00EA0DC5"/>
    <w:rsid w:val="00EA1531"/>
    <w:rsid w:val="00EA1935"/>
    <w:rsid w:val="00EA25AD"/>
    <w:rsid w:val="00EA665E"/>
    <w:rsid w:val="00EA74AA"/>
    <w:rsid w:val="00EB1C3C"/>
    <w:rsid w:val="00EB27FD"/>
    <w:rsid w:val="00EB2D4E"/>
    <w:rsid w:val="00EB4A8F"/>
    <w:rsid w:val="00EC021C"/>
    <w:rsid w:val="00EC10D6"/>
    <w:rsid w:val="00EC11D8"/>
    <w:rsid w:val="00EC26CD"/>
    <w:rsid w:val="00EC3FAB"/>
    <w:rsid w:val="00EC496E"/>
    <w:rsid w:val="00EC602E"/>
    <w:rsid w:val="00EC6D80"/>
    <w:rsid w:val="00EC74B2"/>
    <w:rsid w:val="00ED151D"/>
    <w:rsid w:val="00ED20E7"/>
    <w:rsid w:val="00ED421B"/>
    <w:rsid w:val="00ED679B"/>
    <w:rsid w:val="00ED7D7A"/>
    <w:rsid w:val="00EE39F0"/>
    <w:rsid w:val="00EE4EA6"/>
    <w:rsid w:val="00EE72B3"/>
    <w:rsid w:val="00EE7EBE"/>
    <w:rsid w:val="00EF3660"/>
    <w:rsid w:val="00EF444D"/>
    <w:rsid w:val="00EF4879"/>
    <w:rsid w:val="00EF525E"/>
    <w:rsid w:val="00EF5C85"/>
    <w:rsid w:val="00EF6D26"/>
    <w:rsid w:val="00F019F1"/>
    <w:rsid w:val="00F02395"/>
    <w:rsid w:val="00F02D6D"/>
    <w:rsid w:val="00F06322"/>
    <w:rsid w:val="00F105A9"/>
    <w:rsid w:val="00F12581"/>
    <w:rsid w:val="00F146E0"/>
    <w:rsid w:val="00F14FBC"/>
    <w:rsid w:val="00F15617"/>
    <w:rsid w:val="00F17383"/>
    <w:rsid w:val="00F2092D"/>
    <w:rsid w:val="00F219AB"/>
    <w:rsid w:val="00F23820"/>
    <w:rsid w:val="00F3021F"/>
    <w:rsid w:val="00F30A6A"/>
    <w:rsid w:val="00F3217D"/>
    <w:rsid w:val="00F330A2"/>
    <w:rsid w:val="00F33B0D"/>
    <w:rsid w:val="00F33B72"/>
    <w:rsid w:val="00F346E5"/>
    <w:rsid w:val="00F34D52"/>
    <w:rsid w:val="00F37C6D"/>
    <w:rsid w:val="00F37CF4"/>
    <w:rsid w:val="00F43935"/>
    <w:rsid w:val="00F43CE1"/>
    <w:rsid w:val="00F43E74"/>
    <w:rsid w:val="00F44FF1"/>
    <w:rsid w:val="00F46ED2"/>
    <w:rsid w:val="00F47EFB"/>
    <w:rsid w:val="00F51A29"/>
    <w:rsid w:val="00F55B01"/>
    <w:rsid w:val="00F55D48"/>
    <w:rsid w:val="00F579BE"/>
    <w:rsid w:val="00F61D9C"/>
    <w:rsid w:val="00F634AB"/>
    <w:rsid w:val="00F6495B"/>
    <w:rsid w:val="00F66D47"/>
    <w:rsid w:val="00F67173"/>
    <w:rsid w:val="00F6750C"/>
    <w:rsid w:val="00F734D7"/>
    <w:rsid w:val="00F7468E"/>
    <w:rsid w:val="00F75492"/>
    <w:rsid w:val="00F818A7"/>
    <w:rsid w:val="00F82D0E"/>
    <w:rsid w:val="00F82DEF"/>
    <w:rsid w:val="00F84E37"/>
    <w:rsid w:val="00F85F4C"/>
    <w:rsid w:val="00F93B8E"/>
    <w:rsid w:val="00FA0F5A"/>
    <w:rsid w:val="00FA264E"/>
    <w:rsid w:val="00FA45DA"/>
    <w:rsid w:val="00FA6164"/>
    <w:rsid w:val="00FA702F"/>
    <w:rsid w:val="00FB0411"/>
    <w:rsid w:val="00FB0740"/>
    <w:rsid w:val="00FB6292"/>
    <w:rsid w:val="00FB6C1A"/>
    <w:rsid w:val="00FC2464"/>
    <w:rsid w:val="00FC31AC"/>
    <w:rsid w:val="00FC31F3"/>
    <w:rsid w:val="00FC44B4"/>
    <w:rsid w:val="00FC484A"/>
    <w:rsid w:val="00FD1A93"/>
    <w:rsid w:val="00FD2BD6"/>
    <w:rsid w:val="00FD508E"/>
    <w:rsid w:val="00FD58EE"/>
    <w:rsid w:val="00FD660E"/>
    <w:rsid w:val="00FD67AF"/>
    <w:rsid w:val="00FD7A9C"/>
    <w:rsid w:val="00FE0472"/>
    <w:rsid w:val="00FE0DBB"/>
    <w:rsid w:val="00FE0F61"/>
    <w:rsid w:val="00FE369E"/>
    <w:rsid w:val="00FE7651"/>
    <w:rsid w:val="00FF1E28"/>
    <w:rsid w:val="00FF27B9"/>
    <w:rsid w:val="00FF2F62"/>
    <w:rsid w:val="00FF43A7"/>
    <w:rsid w:val="00FF4E78"/>
    <w:rsid w:val="0438443F"/>
    <w:rsid w:val="3701481F"/>
    <w:rsid w:val="78A74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qFormat/>
    <w:uiPriority w:val="0"/>
    <w:pPr>
      <w:keepLines/>
      <w:adjustRightInd w:val="0"/>
      <w:spacing w:before="260" w:after="260"/>
      <w:jc w:val="left"/>
      <w:textAlignment w:val="baseline"/>
      <w:outlineLvl w:val="0"/>
    </w:pPr>
    <w:rPr>
      <w:rFonts w:ascii="黑体" w:hAnsi="Verdana" w:eastAsia="黑体"/>
      <w:kern w:val="0"/>
      <w:szCs w:val="20"/>
    </w:rPr>
  </w:style>
  <w:style w:type="paragraph" w:styleId="5">
    <w:name w:val="heading 2"/>
    <w:basedOn w:val="1"/>
    <w:next w:val="1"/>
    <w:qFormat/>
    <w:uiPriority w:val="0"/>
    <w:pPr>
      <w:keepNext/>
      <w:keepLines/>
      <w:spacing w:before="260" w:after="260" w:line="416" w:lineRule="auto"/>
      <w:outlineLvl w:val="1"/>
    </w:pPr>
    <w:rPr>
      <w:rFonts w:ascii="Arial Narrow" w:hAnsi="Arial Narrow" w:eastAsia="黑体"/>
      <w:b/>
      <w:bCs/>
      <w:sz w:val="32"/>
      <w:szCs w:val="32"/>
    </w:rPr>
  </w:style>
  <w:style w:type="paragraph" w:styleId="6">
    <w:name w:val="heading 3"/>
    <w:basedOn w:val="1"/>
    <w:next w:val="1"/>
    <w:link w:val="26"/>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3">
    <w:name w:val="Body Text First Indent"/>
    <w:basedOn w:val="4"/>
    <w:qFormat/>
    <w:uiPriority w:val="0"/>
    <w:pPr>
      <w:tabs>
        <w:tab w:val="left" w:pos="2400"/>
      </w:tabs>
      <w:adjustRightInd w:val="0"/>
      <w:spacing w:after="0"/>
      <w:textAlignment w:val="baseline"/>
    </w:pPr>
    <w:rPr>
      <w:kern w:val="0"/>
      <w:szCs w:val="21"/>
    </w:rPr>
  </w:style>
  <w:style w:type="paragraph" w:styleId="4">
    <w:name w:val="Body Text"/>
    <w:basedOn w:val="1"/>
    <w:qFormat/>
    <w:uiPriority w:val="0"/>
    <w:pPr>
      <w:spacing w:after="120"/>
    </w:pPr>
  </w:style>
  <w:style w:type="paragraph" w:styleId="7">
    <w:name w:val="Normal Indent"/>
    <w:basedOn w:val="1"/>
    <w:qFormat/>
    <w:uiPriority w:val="0"/>
    <w:pPr>
      <w:ind w:firstLine="420" w:firstLineChars="200"/>
    </w:pPr>
  </w:style>
  <w:style w:type="paragraph" w:styleId="8">
    <w:name w:val="Document Map"/>
    <w:basedOn w:val="1"/>
    <w:link w:val="27"/>
    <w:qFormat/>
    <w:uiPriority w:val="0"/>
    <w:rPr>
      <w:rFonts w:ascii="宋体"/>
      <w:sz w:val="18"/>
      <w:szCs w:val="18"/>
    </w:rPr>
  </w:style>
  <w:style w:type="paragraph" w:styleId="9">
    <w:name w:val="annotation text"/>
    <w:basedOn w:val="1"/>
    <w:link w:val="25"/>
    <w:qFormat/>
    <w:uiPriority w:val="0"/>
    <w:pPr>
      <w:spacing w:line="360" w:lineRule="auto"/>
      <w:jc w:val="left"/>
    </w:pPr>
    <w:rPr>
      <w:rFonts w:ascii="宋体" w:hAnsi="宋体"/>
    </w:rPr>
  </w:style>
  <w:style w:type="paragraph" w:styleId="10">
    <w:name w:val="Body Text Indent"/>
    <w:basedOn w:val="1"/>
    <w:qFormat/>
    <w:uiPriority w:val="0"/>
    <w:pPr>
      <w:ind w:firstLine="420" w:firstLineChars="200"/>
    </w:pPr>
  </w:style>
  <w:style w:type="paragraph" w:styleId="11">
    <w:name w:val="toc 3"/>
    <w:basedOn w:val="1"/>
    <w:next w:val="1"/>
    <w:qFormat/>
    <w:uiPriority w:val="39"/>
    <w:pPr>
      <w:ind w:left="840" w:leftChars="400"/>
    </w:pPr>
  </w:style>
  <w:style w:type="paragraph" w:styleId="12">
    <w:name w:val="Date"/>
    <w:basedOn w:val="1"/>
    <w:next w:val="1"/>
    <w:qFormat/>
    <w:uiPriority w:val="0"/>
    <w:pPr>
      <w:ind w:left="100" w:leftChars="2500"/>
    </w:pPr>
  </w:style>
  <w:style w:type="paragraph" w:styleId="13">
    <w:name w:val="Balloon Text"/>
    <w:basedOn w:val="1"/>
    <w:link w:val="29"/>
    <w:qFormat/>
    <w:uiPriority w:val="0"/>
    <w:rPr>
      <w:sz w:val="18"/>
      <w:szCs w:val="18"/>
    </w:rPr>
  </w:style>
  <w:style w:type="paragraph" w:styleId="14">
    <w:name w:val="footer"/>
    <w:basedOn w:val="1"/>
    <w:link w:val="30"/>
    <w:qFormat/>
    <w:uiPriority w:val="99"/>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adjustRightInd w:val="0"/>
      <w:spacing w:line="360" w:lineRule="atLeast"/>
      <w:jc w:val="right"/>
      <w:textAlignment w:val="baseline"/>
    </w:pPr>
    <w:rPr>
      <w:kern w:val="0"/>
      <w:sz w:val="24"/>
      <w:szCs w:val="20"/>
    </w:rPr>
  </w:style>
  <w:style w:type="paragraph" w:styleId="17">
    <w:name w:val="Body Text Indent 3"/>
    <w:basedOn w:val="1"/>
    <w:qFormat/>
    <w:uiPriority w:val="0"/>
    <w:pPr>
      <w:spacing w:after="120"/>
      <w:ind w:left="420" w:leftChars="200"/>
    </w:pPr>
    <w:rPr>
      <w:sz w:val="16"/>
      <w:szCs w:val="16"/>
    </w:rPr>
  </w:style>
  <w:style w:type="paragraph" w:styleId="18">
    <w:name w:val="toc 2"/>
    <w:basedOn w:val="1"/>
    <w:next w:val="1"/>
    <w:qFormat/>
    <w:uiPriority w:val="39"/>
    <w:pPr>
      <w:ind w:left="420" w:leftChars="200"/>
    </w:pPr>
  </w:style>
  <w:style w:type="character" w:styleId="21">
    <w:name w:val="Strong"/>
    <w:basedOn w:val="20"/>
    <w:qFormat/>
    <w:uiPriority w:val="0"/>
    <w:rPr>
      <w:b/>
      <w:bCs/>
    </w:rPr>
  </w:style>
  <w:style w:type="character" w:styleId="22">
    <w:name w:val="page number"/>
    <w:basedOn w:val="20"/>
    <w:qFormat/>
    <w:uiPriority w:val="0"/>
  </w:style>
  <w:style w:type="character" w:styleId="23">
    <w:name w:val="Hyperlink"/>
    <w:basedOn w:val="20"/>
    <w:unhideWhenUsed/>
    <w:qFormat/>
    <w:uiPriority w:val="99"/>
    <w:rPr>
      <w:color w:val="0000FF" w:themeColor="hyperlink"/>
      <w:u w:val="single"/>
    </w:rPr>
  </w:style>
  <w:style w:type="paragraph" w:customStyle="1" w:styleId="24">
    <w:name w:val="ENFI表体"/>
    <w:basedOn w:val="1"/>
    <w:qFormat/>
    <w:uiPriority w:val="0"/>
    <w:pPr>
      <w:widowControl/>
      <w:adjustRightInd w:val="0"/>
      <w:snapToGrid w:val="0"/>
      <w:spacing w:line="240" w:lineRule="atLeast"/>
      <w:jc w:val="left"/>
    </w:pPr>
    <w:rPr>
      <w:rFonts w:ascii="宋体" w:hAnsi="宋体" w:eastAsia="仿宋_GB2312"/>
      <w:kern w:val="0"/>
    </w:rPr>
  </w:style>
  <w:style w:type="character" w:customStyle="1" w:styleId="25">
    <w:name w:val="批注文字 Char"/>
    <w:basedOn w:val="20"/>
    <w:link w:val="9"/>
    <w:qFormat/>
    <w:locked/>
    <w:uiPriority w:val="0"/>
    <w:rPr>
      <w:rFonts w:ascii="宋体" w:hAnsi="宋体" w:eastAsia="宋体"/>
      <w:kern w:val="2"/>
      <w:sz w:val="21"/>
      <w:szCs w:val="24"/>
      <w:lang w:val="en-US" w:eastAsia="zh-CN" w:bidi="ar-SA"/>
    </w:rPr>
  </w:style>
  <w:style w:type="character" w:customStyle="1" w:styleId="26">
    <w:name w:val="标题 3 Char"/>
    <w:basedOn w:val="20"/>
    <w:link w:val="6"/>
    <w:qFormat/>
    <w:locked/>
    <w:uiPriority w:val="0"/>
    <w:rPr>
      <w:rFonts w:eastAsia="宋体"/>
      <w:b/>
      <w:bCs/>
      <w:kern w:val="2"/>
      <w:sz w:val="32"/>
      <w:szCs w:val="32"/>
      <w:lang w:val="en-US" w:eastAsia="zh-CN" w:bidi="ar-SA"/>
    </w:rPr>
  </w:style>
  <w:style w:type="character" w:customStyle="1" w:styleId="27">
    <w:name w:val="文档结构图 Char"/>
    <w:basedOn w:val="20"/>
    <w:link w:val="8"/>
    <w:qFormat/>
    <w:uiPriority w:val="0"/>
    <w:rPr>
      <w:rFonts w:ascii="宋体"/>
      <w:kern w:val="2"/>
      <w:sz w:val="18"/>
      <w:szCs w:val="18"/>
    </w:rPr>
  </w:style>
  <w:style w:type="paragraph" w:customStyle="1" w:styleId="28">
    <w:name w:val="TOC Heading"/>
    <w:basedOn w:val="2"/>
    <w:next w:val="1"/>
    <w:semiHidden/>
    <w:unhideWhenUsed/>
    <w:qFormat/>
    <w:uiPriority w:val="39"/>
    <w:pPr>
      <w:keepNext/>
      <w:widowControl/>
      <w:adjustRightInd/>
      <w:spacing w:before="480" w:after="0" w:line="276" w:lineRule="auto"/>
      <w:textAlignment w:val="auto"/>
      <w:outlineLvl w:val="9"/>
    </w:pPr>
    <w:rPr>
      <w:rFonts w:asciiTheme="majorHAnsi" w:hAnsiTheme="majorHAnsi" w:eastAsiaTheme="majorEastAsia" w:cstheme="majorBidi"/>
      <w:b/>
      <w:bCs/>
      <w:color w:val="366091" w:themeColor="accent1" w:themeShade="BF"/>
      <w:sz w:val="28"/>
      <w:szCs w:val="28"/>
    </w:rPr>
  </w:style>
  <w:style w:type="character" w:customStyle="1" w:styleId="29">
    <w:name w:val="批注框文本 Char"/>
    <w:basedOn w:val="20"/>
    <w:link w:val="13"/>
    <w:qFormat/>
    <w:uiPriority w:val="0"/>
    <w:rPr>
      <w:kern w:val="2"/>
      <w:sz w:val="18"/>
      <w:szCs w:val="18"/>
    </w:rPr>
  </w:style>
  <w:style w:type="character" w:customStyle="1" w:styleId="30">
    <w:name w:val="页脚 Char"/>
    <w:basedOn w:val="20"/>
    <w:link w:val="14"/>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37E8DF-D601-4C39-B311-0A7876D8A26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1841</Words>
  <Characters>10500</Characters>
  <Lines>87</Lines>
  <Paragraphs>24</Paragraphs>
  <TotalTime>110</TotalTime>
  <ScaleCrop>false</ScaleCrop>
  <LinksUpToDate>false</LinksUpToDate>
  <CharactersWithSpaces>12317</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2020-06-04T01:27:00Z</dcterms:created>
  <dc:creator>赵万花</dc:creator>
  <cp:lastModifiedBy>杨丽娟</cp:lastModifiedBy>
  <cp:lastPrinted>2020-07-20T02:43:00Z</cp:lastPrinted>
  <dcterms:modified xsi:type="dcterms:W3CDTF">2020-08-03T05:49:10Z</dcterms:modified>
  <dc:title>铜加工行业绿色工厂评价导则</dc:title>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