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jc w:val="center"/>
        <w:rPr>
          <w:rFonts w:ascii="Times New Roman" w:hAnsi="Times New Roman"/>
          <w:b/>
          <w:sz w:val="48"/>
          <w:szCs w:val="48"/>
        </w:rPr>
      </w:pPr>
      <w:r>
        <w:rPr>
          <w:rFonts w:hint="eastAsia" w:ascii="Times New Roman" w:hAnsi="Times New Roman"/>
          <w:b/>
          <w:sz w:val="48"/>
          <w:szCs w:val="48"/>
        </w:rPr>
        <w:t>团体标准《绿色设计产品评价技术</w:t>
      </w:r>
    </w:p>
    <w:p>
      <w:pPr>
        <w:jc w:val="center"/>
        <w:rPr>
          <w:rFonts w:ascii="Times New Roman" w:hAnsi="Times New Roman"/>
          <w:b/>
          <w:sz w:val="48"/>
          <w:szCs w:val="48"/>
        </w:rPr>
      </w:pPr>
      <w:r>
        <w:rPr>
          <w:rFonts w:hint="eastAsia" w:ascii="Times New Roman" w:hAnsi="Times New Roman"/>
          <w:b/>
          <w:sz w:val="48"/>
          <w:szCs w:val="48"/>
        </w:rPr>
        <w:t>规范 电解铜箔》编制说明</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jc w:val="center"/>
        <w:rPr>
          <w:rFonts w:ascii="Times New Roman" w:hAnsi="Times New Roman"/>
          <w:b/>
          <w:sz w:val="44"/>
          <w:szCs w:val="44"/>
        </w:rPr>
      </w:pPr>
      <w:r>
        <w:rPr>
          <w:rFonts w:hint="eastAsia" w:ascii="Times New Roman" w:hAnsi="Times New Roman"/>
          <w:b/>
          <w:sz w:val="44"/>
          <w:szCs w:val="44"/>
        </w:rPr>
        <w:t>（预审稿）</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jc w:val="center"/>
        <w:rPr>
          <w:rFonts w:ascii="Times New Roman" w:hAnsi="Times New Roman"/>
          <w:b/>
          <w:sz w:val="32"/>
          <w:szCs w:val="32"/>
        </w:rPr>
      </w:pPr>
      <w:r>
        <w:rPr>
          <w:rFonts w:hint="eastAsia" w:ascii="Times New Roman" w:hAnsi="Times New Roman"/>
          <w:b/>
          <w:sz w:val="32"/>
          <w:szCs w:val="32"/>
        </w:rPr>
        <w:t>标准起草组</w:t>
      </w:r>
    </w:p>
    <w:p>
      <w:pPr>
        <w:jc w:val="center"/>
        <w:rPr>
          <w:rFonts w:ascii="Times New Roman" w:hAnsi="Times New Roman"/>
          <w:b/>
          <w:sz w:val="32"/>
          <w:szCs w:val="32"/>
        </w:rPr>
      </w:pPr>
      <w:r>
        <w:rPr>
          <w:rFonts w:hint="eastAsia" w:ascii="Times New Roman" w:hAnsi="Times New Roman"/>
          <w:b/>
          <w:sz w:val="32"/>
          <w:szCs w:val="32"/>
        </w:rPr>
        <w:t>20</w:t>
      </w:r>
      <w:r>
        <w:rPr>
          <w:rFonts w:ascii="Times New Roman" w:hAnsi="Times New Roman"/>
          <w:b/>
          <w:sz w:val="32"/>
          <w:szCs w:val="32"/>
        </w:rPr>
        <w:t>20</w:t>
      </w:r>
      <w:r>
        <w:rPr>
          <w:rFonts w:hint="eastAsia" w:ascii="Times New Roman" w:hAnsi="Times New Roman"/>
          <w:b/>
          <w:sz w:val="32"/>
          <w:szCs w:val="32"/>
        </w:rPr>
        <w:t>年</w:t>
      </w:r>
      <w:r>
        <w:rPr>
          <w:rFonts w:ascii="Times New Roman" w:hAnsi="Times New Roman"/>
          <w:b/>
          <w:sz w:val="32"/>
          <w:szCs w:val="32"/>
        </w:rPr>
        <w:t>6</w:t>
      </w:r>
      <w:r>
        <w:rPr>
          <w:rFonts w:hint="eastAsia" w:ascii="Times New Roman" w:hAnsi="Times New Roman"/>
          <w:b/>
          <w:sz w:val="32"/>
          <w:szCs w:val="32"/>
        </w:rPr>
        <w:t>月</w:t>
      </w:r>
    </w:p>
    <w:sdt>
      <w:sdtPr>
        <w:rPr>
          <w:rFonts w:ascii="Times New Roman" w:hAnsi="Times New Roman" w:eastAsiaTheme="minorEastAsia" w:cstheme="minorBidi"/>
          <w:color w:val="auto"/>
          <w:kern w:val="2"/>
          <w:sz w:val="21"/>
          <w:szCs w:val="22"/>
          <w:lang w:val="zh-CN"/>
        </w:rPr>
        <w:id w:val="-811097524"/>
        <w:docPartObj>
          <w:docPartGallery w:val="Table of Contents"/>
          <w:docPartUnique/>
        </w:docPartObj>
      </w:sdtPr>
      <w:sdtEndPr>
        <w:rPr>
          <w:rFonts w:ascii="Times New Roman" w:hAnsi="Times New Roman" w:eastAsia="宋体" w:cstheme="minorBidi"/>
          <w:b/>
          <w:bCs/>
          <w:color w:val="auto"/>
          <w:kern w:val="2"/>
          <w:sz w:val="24"/>
          <w:szCs w:val="24"/>
          <w:lang w:val="zh-CN"/>
        </w:rPr>
      </w:sdtEndPr>
      <w:sdtContent>
        <w:p>
          <w:pPr>
            <w:pStyle w:val="33"/>
            <w:jc w:val="center"/>
            <w:rPr>
              <w:rFonts w:ascii="Times New Roman" w:hAnsi="Times New Roman"/>
            </w:rPr>
          </w:pPr>
          <w:r>
            <w:rPr>
              <w:rFonts w:ascii="Times New Roman" w:hAnsi="Times New Roman"/>
              <w:lang w:val="zh-CN"/>
            </w:rPr>
            <w:t>目</w:t>
          </w:r>
          <w:r>
            <w:rPr>
              <w:rFonts w:hint="eastAsia" w:ascii="Times New Roman" w:hAnsi="Times New Roman"/>
              <w:lang w:val="zh-CN"/>
            </w:rPr>
            <w:t xml:space="preserve"> </w:t>
          </w:r>
          <w:r>
            <w:rPr>
              <w:rFonts w:ascii="Times New Roman" w:hAnsi="Times New Roman"/>
              <w:lang w:val="zh-CN"/>
            </w:rPr>
            <w:t>录</w:t>
          </w:r>
        </w:p>
        <w:p>
          <w:pPr>
            <w:pStyle w:val="13"/>
            <w:tabs>
              <w:tab w:val="left" w:pos="840"/>
              <w:tab w:val="right" w:leader="dot" w:pos="8296"/>
            </w:tabs>
            <w:spacing w:line="360" w:lineRule="auto"/>
            <w:rPr>
              <w:rFonts w:ascii="Times New Roman" w:hAnsi="Times New Roman" w:eastAsia="宋体"/>
              <w:sz w:val="24"/>
              <w:szCs w:val="24"/>
            </w:rPr>
          </w:pPr>
          <w:r>
            <w:rPr>
              <w:rFonts w:ascii="Times New Roman" w:hAnsi="Times New Roman" w:eastAsia="宋体"/>
              <w:sz w:val="24"/>
              <w:szCs w:val="24"/>
            </w:rPr>
            <w:fldChar w:fldCharType="begin"/>
          </w:r>
          <w:r>
            <w:rPr>
              <w:rFonts w:ascii="Times New Roman" w:hAnsi="Times New Roman" w:eastAsia="宋体"/>
              <w:sz w:val="24"/>
              <w:szCs w:val="24"/>
            </w:rPr>
            <w:instrText xml:space="preserve"> TOC \o "1-3" \h \z \u </w:instrText>
          </w:r>
          <w:r>
            <w:rPr>
              <w:rFonts w:ascii="Times New Roman" w:hAnsi="Times New Roman" w:eastAsia="宋体"/>
              <w:sz w:val="24"/>
              <w:szCs w:val="24"/>
            </w:rPr>
            <w:fldChar w:fldCharType="separate"/>
          </w:r>
          <w:r>
            <w:fldChar w:fldCharType="begin"/>
          </w:r>
          <w:r>
            <w:instrText xml:space="preserve"> HYPERLINK \l "_Toc6997271" </w:instrText>
          </w:r>
          <w:r>
            <w:fldChar w:fldCharType="separate"/>
          </w:r>
          <w:r>
            <w:rPr>
              <w:rStyle w:val="19"/>
              <w:rFonts w:ascii="Times New Roman" w:hAnsi="Times New Roman" w:eastAsia="宋体"/>
              <w:sz w:val="24"/>
              <w:szCs w:val="24"/>
            </w:rPr>
            <w:t>一、</w:t>
          </w:r>
          <w:r>
            <w:rPr>
              <w:rFonts w:ascii="Times New Roman" w:hAnsi="Times New Roman" w:eastAsia="宋体"/>
              <w:sz w:val="24"/>
              <w:szCs w:val="24"/>
            </w:rPr>
            <w:tab/>
          </w:r>
          <w:r>
            <w:rPr>
              <w:rStyle w:val="19"/>
              <w:rFonts w:ascii="Times New Roman" w:hAnsi="Times New Roman" w:eastAsia="宋体"/>
              <w:sz w:val="24"/>
              <w:szCs w:val="24"/>
            </w:rPr>
            <w:t>工作简况</w:t>
          </w:r>
          <w:r>
            <w:rPr>
              <w:rFonts w:ascii="Times New Roman" w:hAnsi="Times New Roman" w:eastAsia="宋体"/>
              <w:sz w:val="24"/>
              <w:szCs w:val="24"/>
            </w:rPr>
            <w:tab/>
          </w:r>
          <w:r>
            <w:rPr>
              <w:rFonts w:ascii="Times New Roman" w:hAnsi="Times New Roman" w:eastAsia="宋体"/>
              <w:sz w:val="24"/>
              <w:szCs w:val="24"/>
            </w:rPr>
            <w:fldChar w:fldCharType="begin"/>
          </w:r>
          <w:r>
            <w:rPr>
              <w:rFonts w:ascii="Times New Roman" w:hAnsi="Times New Roman" w:eastAsia="宋体"/>
              <w:sz w:val="24"/>
              <w:szCs w:val="24"/>
            </w:rPr>
            <w:instrText xml:space="preserve"> PAGEREF _Toc6997271 \h </w:instrText>
          </w:r>
          <w:r>
            <w:rPr>
              <w:rFonts w:ascii="Times New Roman" w:hAnsi="Times New Roman" w:eastAsia="宋体"/>
              <w:sz w:val="24"/>
              <w:szCs w:val="24"/>
            </w:rPr>
            <w:fldChar w:fldCharType="separate"/>
          </w:r>
          <w:r>
            <w:rPr>
              <w:rFonts w:ascii="Times New Roman" w:hAnsi="Times New Roman" w:eastAsia="宋体"/>
              <w:sz w:val="24"/>
              <w:szCs w:val="24"/>
            </w:rPr>
            <w:t>3</w:t>
          </w:r>
          <w:r>
            <w:rPr>
              <w:rFonts w:ascii="Times New Roman" w:hAnsi="Times New Roman" w:eastAsia="宋体"/>
              <w:sz w:val="24"/>
              <w:szCs w:val="24"/>
            </w:rPr>
            <w:fldChar w:fldCharType="end"/>
          </w:r>
          <w:r>
            <w:rPr>
              <w:rFonts w:ascii="Times New Roman" w:hAnsi="Times New Roman" w:eastAsia="宋体"/>
              <w:sz w:val="24"/>
              <w:szCs w:val="24"/>
            </w:rPr>
            <w:fldChar w:fldCharType="end"/>
          </w:r>
        </w:p>
        <w:p>
          <w:pPr>
            <w:pStyle w:val="14"/>
            <w:tabs>
              <w:tab w:val="right" w:leader="dot" w:pos="8296"/>
            </w:tabs>
            <w:spacing w:line="360" w:lineRule="auto"/>
            <w:rPr>
              <w:rFonts w:ascii="Times New Roman" w:hAnsi="Times New Roman" w:eastAsia="宋体"/>
              <w:sz w:val="24"/>
              <w:szCs w:val="24"/>
            </w:rPr>
          </w:pPr>
          <w:r>
            <w:fldChar w:fldCharType="begin"/>
          </w:r>
          <w:r>
            <w:instrText xml:space="preserve"> HYPERLINK \l "_Toc6997272" </w:instrText>
          </w:r>
          <w:r>
            <w:fldChar w:fldCharType="separate"/>
          </w:r>
          <w:r>
            <w:rPr>
              <w:rStyle w:val="19"/>
              <w:rFonts w:ascii="Times New Roman" w:hAnsi="Times New Roman" w:eastAsia="宋体"/>
              <w:sz w:val="24"/>
              <w:szCs w:val="24"/>
            </w:rPr>
            <w:t>（一）立项目的</w:t>
          </w:r>
          <w:r>
            <w:rPr>
              <w:rFonts w:ascii="Times New Roman" w:hAnsi="Times New Roman" w:eastAsia="宋体"/>
              <w:sz w:val="24"/>
              <w:szCs w:val="24"/>
            </w:rPr>
            <w:tab/>
          </w:r>
          <w:r>
            <w:rPr>
              <w:rFonts w:ascii="Times New Roman" w:hAnsi="Times New Roman" w:eastAsia="宋体"/>
              <w:sz w:val="24"/>
              <w:szCs w:val="24"/>
            </w:rPr>
            <w:fldChar w:fldCharType="begin"/>
          </w:r>
          <w:r>
            <w:rPr>
              <w:rFonts w:ascii="Times New Roman" w:hAnsi="Times New Roman" w:eastAsia="宋体"/>
              <w:sz w:val="24"/>
              <w:szCs w:val="24"/>
            </w:rPr>
            <w:instrText xml:space="preserve"> PAGEREF _Toc6997272 \h </w:instrText>
          </w:r>
          <w:r>
            <w:rPr>
              <w:rFonts w:ascii="Times New Roman" w:hAnsi="Times New Roman" w:eastAsia="宋体"/>
              <w:sz w:val="24"/>
              <w:szCs w:val="24"/>
            </w:rPr>
            <w:fldChar w:fldCharType="separate"/>
          </w:r>
          <w:r>
            <w:rPr>
              <w:rFonts w:ascii="Times New Roman" w:hAnsi="Times New Roman" w:eastAsia="宋体"/>
              <w:sz w:val="24"/>
              <w:szCs w:val="24"/>
            </w:rPr>
            <w:t>3</w:t>
          </w:r>
          <w:r>
            <w:rPr>
              <w:rFonts w:ascii="Times New Roman" w:hAnsi="Times New Roman" w:eastAsia="宋体"/>
              <w:sz w:val="24"/>
              <w:szCs w:val="24"/>
            </w:rPr>
            <w:fldChar w:fldCharType="end"/>
          </w:r>
          <w:r>
            <w:rPr>
              <w:rFonts w:ascii="Times New Roman" w:hAnsi="Times New Roman" w:eastAsia="宋体"/>
              <w:sz w:val="24"/>
              <w:szCs w:val="24"/>
            </w:rPr>
            <w:fldChar w:fldCharType="end"/>
          </w:r>
        </w:p>
        <w:p>
          <w:pPr>
            <w:pStyle w:val="14"/>
            <w:tabs>
              <w:tab w:val="right" w:leader="dot" w:pos="8296"/>
            </w:tabs>
            <w:spacing w:line="360" w:lineRule="auto"/>
            <w:rPr>
              <w:rFonts w:ascii="Times New Roman" w:hAnsi="Times New Roman" w:eastAsia="宋体"/>
              <w:sz w:val="24"/>
              <w:szCs w:val="24"/>
            </w:rPr>
          </w:pPr>
          <w:r>
            <w:fldChar w:fldCharType="begin"/>
          </w:r>
          <w:r>
            <w:instrText xml:space="preserve"> HYPERLINK \l "_Toc6997273" </w:instrText>
          </w:r>
          <w:r>
            <w:fldChar w:fldCharType="separate"/>
          </w:r>
          <w:r>
            <w:rPr>
              <w:rStyle w:val="19"/>
              <w:rFonts w:ascii="Times New Roman" w:hAnsi="Times New Roman" w:eastAsia="宋体"/>
              <w:sz w:val="24"/>
              <w:szCs w:val="24"/>
            </w:rPr>
            <w:t>（二）任务来源</w:t>
          </w:r>
          <w:r>
            <w:rPr>
              <w:rFonts w:ascii="Times New Roman" w:hAnsi="Times New Roman" w:eastAsia="宋体"/>
              <w:sz w:val="24"/>
              <w:szCs w:val="24"/>
            </w:rPr>
            <w:tab/>
          </w:r>
          <w:r>
            <w:rPr>
              <w:rFonts w:ascii="Times New Roman" w:hAnsi="Times New Roman" w:eastAsia="宋体"/>
              <w:sz w:val="24"/>
              <w:szCs w:val="24"/>
            </w:rPr>
            <w:fldChar w:fldCharType="begin"/>
          </w:r>
          <w:r>
            <w:rPr>
              <w:rFonts w:ascii="Times New Roman" w:hAnsi="Times New Roman" w:eastAsia="宋体"/>
              <w:sz w:val="24"/>
              <w:szCs w:val="24"/>
            </w:rPr>
            <w:instrText xml:space="preserve"> PAGEREF _Toc6997273 \h </w:instrText>
          </w:r>
          <w:r>
            <w:rPr>
              <w:rFonts w:ascii="Times New Roman" w:hAnsi="Times New Roman" w:eastAsia="宋体"/>
              <w:sz w:val="24"/>
              <w:szCs w:val="24"/>
            </w:rPr>
            <w:fldChar w:fldCharType="separate"/>
          </w:r>
          <w:r>
            <w:rPr>
              <w:rFonts w:ascii="Times New Roman" w:hAnsi="Times New Roman" w:eastAsia="宋体"/>
              <w:sz w:val="24"/>
              <w:szCs w:val="24"/>
            </w:rPr>
            <w:t>3</w:t>
          </w:r>
          <w:r>
            <w:rPr>
              <w:rFonts w:ascii="Times New Roman" w:hAnsi="Times New Roman" w:eastAsia="宋体"/>
              <w:sz w:val="24"/>
              <w:szCs w:val="24"/>
            </w:rPr>
            <w:fldChar w:fldCharType="end"/>
          </w:r>
          <w:r>
            <w:rPr>
              <w:rFonts w:ascii="Times New Roman" w:hAnsi="Times New Roman" w:eastAsia="宋体"/>
              <w:sz w:val="24"/>
              <w:szCs w:val="24"/>
            </w:rPr>
            <w:fldChar w:fldCharType="end"/>
          </w:r>
        </w:p>
        <w:p>
          <w:pPr>
            <w:pStyle w:val="14"/>
            <w:tabs>
              <w:tab w:val="right" w:leader="dot" w:pos="8296"/>
            </w:tabs>
            <w:spacing w:line="360" w:lineRule="auto"/>
            <w:rPr>
              <w:rFonts w:ascii="Times New Roman" w:hAnsi="Times New Roman" w:eastAsia="宋体"/>
              <w:sz w:val="24"/>
              <w:szCs w:val="24"/>
            </w:rPr>
          </w:pPr>
          <w:r>
            <w:fldChar w:fldCharType="begin"/>
          </w:r>
          <w:r>
            <w:instrText xml:space="preserve"> HYPERLINK \l "_Toc6997274" </w:instrText>
          </w:r>
          <w:r>
            <w:fldChar w:fldCharType="separate"/>
          </w:r>
          <w:r>
            <w:rPr>
              <w:rStyle w:val="19"/>
              <w:rFonts w:ascii="Times New Roman" w:hAnsi="Times New Roman" w:eastAsia="宋体"/>
              <w:sz w:val="24"/>
              <w:szCs w:val="24"/>
            </w:rPr>
            <w:t>（三） 标准负责起草单位简介</w:t>
          </w:r>
          <w:r>
            <w:rPr>
              <w:rFonts w:ascii="Times New Roman" w:hAnsi="Times New Roman" w:eastAsia="宋体"/>
              <w:sz w:val="24"/>
              <w:szCs w:val="24"/>
            </w:rPr>
            <w:tab/>
          </w:r>
          <w:r>
            <w:rPr>
              <w:rFonts w:ascii="Times New Roman" w:hAnsi="Times New Roman" w:eastAsia="宋体"/>
              <w:sz w:val="24"/>
              <w:szCs w:val="24"/>
            </w:rPr>
            <w:fldChar w:fldCharType="begin"/>
          </w:r>
          <w:r>
            <w:rPr>
              <w:rFonts w:ascii="Times New Roman" w:hAnsi="Times New Roman" w:eastAsia="宋体"/>
              <w:sz w:val="24"/>
              <w:szCs w:val="24"/>
            </w:rPr>
            <w:instrText xml:space="preserve"> PAGEREF _Toc6997274 \h </w:instrText>
          </w:r>
          <w:r>
            <w:rPr>
              <w:rFonts w:ascii="Times New Roman" w:hAnsi="Times New Roman" w:eastAsia="宋体"/>
              <w:sz w:val="24"/>
              <w:szCs w:val="24"/>
            </w:rPr>
            <w:fldChar w:fldCharType="separate"/>
          </w:r>
          <w:r>
            <w:rPr>
              <w:rFonts w:ascii="Times New Roman" w:hAnsi="Times New Roman" w:eastAsia="宋体"/>
              <w:sz w:val="24"/>
              <w:szCs w:val="24"/>
            </w:rPr>
            <w:t>4</w:t>
          </w:r>
          <w:r>
            <w:rPr>
              <w:rFonts w:ascii="Times New Roman" w:hAnsi="Times New Roman" w:eastAsia="宋体"/>
              <w:sz w:val="24"/>
              <w:szCs w:val="24"/>
            </w:rPr>
            <w:fldChar w:fldCharType="end"/>
          </w:r>
          <w:r>
            <w:rPr>
              <w:rFonts w:ascii="Times New Roman" w:hAnsi="Times New Roman" w:eastAsia="宋体"/>
              <w:sz w:val="24"/>
              <w:szCs w:val="24"/>
            </w:rPr>
            <w:fldChar w:fldCharType="end"/>
          </w:r>
        </w:p>
        <w:p>
          <w:pPr>
            <w:pStyle w:val="14"/>
            <w:tabs>
              <w:tab w:val="right" w:leader="dot" w:pos="8296"/>
            </w:tabs>
            <w:spacing w:line="360" w:lineRule="auto"/>
            <w:rPr>
              <w:rFonts w:ascii="Times New Roman" w:hAnsi="Times New Roman" w:eastAsia="宋体"/>
              <w:sz w:val="24"/>
              <w:szCs w:val="24"/>
            </w:rPr>
          </w:pPr>
          <w:r>
            <w:fldChar w:fldCharType="begin"/>
          </w:r>
          <w:r>
            <w:instrText xml:space="preserve"> HYPERLINK \l "_Toc6997275" </w:instrText>
          </w:r>
          <w:r>
            <w:fldChar w:fldCharType="separate"/>
          </w:r>
          <w:r>
            <w:rPr>
              <w:rStyle w:val="19"/>
              <w:rFonts w:ascii="Times New Roman" w:hAnsi="Times New Roman" w:eastAsia="宋体"/>
              <w:sz w:val="24"/>
              <w:szCs w:val="24"/>
            </w:rPr>
            <w:t>（四）主要工作过程</w:t>
          </w:r>
          <w:r>
            <w:rPr>
              <w:rFonts w:ascii="Times New Roman" w:hAnsi="Times New Roman" w:eastAsia="宋体"/>
              <w:sz w:val="24"/>
              <w:szCs w:val="24"/>
            </w:rPr>
            <w:tab/>
          </w:r>
          <w:r>
            <w:rPr>
              <w:rFonts w:ascii="Times New Roman" w:hAnsi="Times New Roman" w:eastAsia="宋体"/>
              <w:sz w:val="24"/>
              <w:szCs w:val="24"/>
            </w:rPr>
            <w:fldChar w:fldCharType="begin"/>
          </w:r>
          <w:r>
            <w:rPr>
              <w:rFonts w:ascii="Times New Roman" w:hAnsi="Times New Roman" w:eastAsia="宋体"/>
              <w:sz w:val="24"/>
              <w:szCs w:val="24"/>
            </w:rPr>
            <w:instrText xml:space="preserve"> PAGEREF _Toc6997275 \h </w:instrText>
          </w:r>
          <w:r>
            <w:rPr>
              <w:rFonts w:ascii="Times New Roman" w:hAnsi="Times New Roman" w:eastAsia="宋体"/>
              <w:sz w:val="24"/>
              <w:szCs w:val="24"/>
            </w:rPr>
            <w:fldChar w:fldCharType="separate"/>
          </w:r>
          <w:r>
            <w:rPr>
              <w:rFonts w:ascii="Times New Roman" w:hAnsi="Times New Roman" w:eastAsia="宋体"/>
              <w:sz w:val="24"/>
              <w:szCs w:val="24"/>
            </w:rPr>
            <w:t>4</w:t>
          </w:r>
          <w:r>
            <w:rPr>
              <w:rFonts w:ascii="Times New Roman" w:hAnsi="Times New Roman" w:eastAsia="宋体"/>
              <w:sz w:val="24"/>
              <w:szCs w:val="24"/>
            </w:rPr>
            <w:fldChar w:fldCharType="end"/>
          </w:r>
          <w:r>
            <w:rPr>
              <w:rFonts w:ascii="Times New Roman" w:hAnsi="Times New Roman" w:eastAsia="宋体"/>
              <w:sz w:val="24"/>
              <w:szCs w:val="24"/>
            </w:rPr>
            <w:fldChar w:fldCharType="end"/>
          </w:r>
        </w:p>
        <w:p>
          <w:pPr>
            <w:pStyle w:val="13"/>
            <w:tabs>
              <w:tab w:val="right" w:leader="dot" w:pos="8296"/>
            </w:tabs>
            <w:spacing w:line="360" w:lineRule="auto"/>
            <w:rPr>
              <w:rFonts w:ascii="Times New Roman" w:hAnsi="Times New Roman" w:eastAsia="宋体"/>
              <w:sz w:val="24"/>
              <w:szCs w:val="24"/>
            </w:rPr>
          </w:pPr>
          <w:r>
            <w:fldChar w:fldCharType="begin"/>
          </w:r>
          <w:r>
            <w:instrText xml:space="preserve"> HYPERLINK \l "_Toc6997276" </w:instrText>
          </w:r>
          <w:r>
            <w:fldChar w:fldCharType="separate"/>
          </w:r>
          <w:r>
            <w:rPr>
              <w:rStyle w:val="19"/>
              <w:rFonts w:ascii="Times New Roman" w:hAnsi="Times New Roman" w:eastAsia="宋体"/>
              <w:sz w:val="24"/>
              <w:szCs w:val="24"/>
            </w:rPr>
            <w:t>二、标准编制的必要性及原则</w:t>
          </w:r>
          <w:r>
            <w:rPr>
              <w:rFonts w:ascii="Times New Roman" w:hAnsi="Times New Roman" w:eastAsia="宋体"/>
              <w:sz w:val="24"/>
              <w:szCs w:val="24"/>
            </w:rPr>
            <w:tab/>
          </w:r>
          <w:r>
            <w:rPr>
              <w:rFonts w:ascii="Times New Roman" w:hAnsi="Times New Roman" w:eastAsia="宋体"/>
              <w:sz w:val="24"/>
              <w:szCs w:val="24"/>
            </w:rPr>
            <w:fldChar w:fldCharType="begin"/>
          </w:r>
          <w:r>
            <w:rPr>
              <w:rFonts w:ascii="Times New Roman" w:hAnsi="Times New Roman" w:eastAsia="宋体"/>
              <w:sz w:val="24"/>
              <w:szCs w:val="24"/>
            </w:rPr>
            <w:instrText xml:space="preserve"> PAGEREF _Toc6997276 \h </w:instrText>
          </w:r>
          <w:r>
            <w:rPr>
              <w:rFonts w:ascii="Times New Roman" w:hAnsi="Times New Roman" w:eastAsia="宋体"/>
              <w:sz w:val="24"/>
              <w:szCs w:val="24"/>
            </w:rPr>
            <w:fldChar w:fldCharType="separate"/>
          </w:r>
          <w:r>
            <w:rPr>
              <w:rFonts w:ascii="Times New Roman" w:hAnsi="Times New Roman" w:eastAsia="宋体"/>
              <w:sz w:val="24"/>
              <w:szCs w:val="24"/>
            </w:rPr>
            <w:t>4</w:t>
          </w:r>
          <w:r>
            <w:rPr>
              <w:rFonts w:ascii="Times New Roman" w:hAnsi="Times New Roman" w:eastAsia="宋体"/>
              <w:sz w:val="24"/>
              <w:szCs w:val="24"/>
            </w:rPr>
            <w:fldChar w:fldCharType="end"/>
          </w:r>
          <w:r>
            <w:rPr>
              <w:rFonts w:ascii="Times New Roman" w:hAnsi="Times New Roman" w:eastAsia="宋体"/>
              <w:sz w:val="24"/>
              <w:szCs w:val="24"/>
            </w:rPr>
            <w:fldChar w:fldCharType="end"/>
          </w:r>
        </w:p>
        <w:p>
          <w:pPr>
            <w:pStyle w:val="14"/>
            <w:tabs>
              <w:tab w:val="right" w:leader="dot" w:pos="8296"/>
            </w:tabs>
            <w:spacing w:line="360" w:lineRule="auto"/>
            <w:rPr>
              <w:rFonts w:ascii="Times New Roman" w:hAnsi="Times New Roman" w:eastAsia="宋体"/>
              <w:sz w:val="24"/>
              <w:szCs w:val="24"/>
            </w:rPr>
          </w:pPr>
          <w:r>
            <w:fldChar w:fldCharType="begin"/>
          </w:r>
          <w:r>
            <w:instrText xml:space="preserve"> HYPERLINK \l "_Toc6997277" </w:instrText>
          </w:r>
          <w:r>
            <w:fldChar w:fldCharType="separate"/>
          </w:r>
          <w:r>
            <w:rPr>
              <w:rStyle w:val="19"/>
              <w:rFonts w:ascii="Times New Roman" w:hAnsi="Times New Roman" w:eastAsia="宋体"/>
              <w:sz w:val="24"/>
              <w:szCs w:val="24"/>
            </w:rPr>
            <w:t>（一）标准编制的必要性</w:t>
          </w:r>
          <w:r>
            <w:rPr>
              <w:rFonts w:ascii="Times New Roman" w:hAnsi="Times New Roman" w:eastAsia="宋体"/>
              <w:sz w:val="24"/>
              <w:szCs w:val="24"/>
            </w:rPr>
            <w:tab/>
          </w:r>
          <w:r>
            <w:rPr>
              <w:rFonts w:ascii="Times New Roman" w:hAnsi="Times New Roman" w:eastAsia="宋体"/>
              <w:sz w:val="24"/>
              <w:szCs w:val="24"/>
            </w:rPr>
            <w:fldChar w:fldCharType="begin"/>
          </w:r>
          <w:r>
            <w:rPr>
              <w:rFonts w:ascii="Times New Roman" w:hAnsi="Times New Roman" w:eastAsia="宋体"/>
              <w:sz w:val="24"/>
              <w:szCs w:val="24"/>
            </w:rPr>
            <w:instrText xml:space="preserve"> PAGEREF _Toc6997277 \h </w:instrText>
          </w:r>
          <w:r>
            <w:rPr>
              <w:rFonts w:ascii="Times New Roman" w:hAnsi="Times New Roman" w:eastAsia="宋体"/>
              <w:sz w:val="24"/>
              <w:szCs w:val="24"/>
            </w:rPr>
            <w:fldChar w:fldCharType="separate"/>
          </w:r>
          <w:r>
            <w:rPr>
              <w:rFonts w:ascii="Times New Roman" w:hAnsi="Times New Roman" w:eastAsia="宋体"/>
              <w:sz w:val="24"/>
              <w:szCs w:val="24"/>
            </w:rPr>
            <w:t>4</w:t>
          </w:r>
          <w:r>
            <w:rPr>
              <w:rFonts w:ascii="Times New Roman" w:hAnsi="Times New Roman" w:eastAsia="宋体"/>
              <w:sz w:val="24"/>
              <w:szCs w:val="24"/>
            </w:rPr>
            <w:fldChar w:fldCharType="end"/>
          </w:r>
          <w:r>
            <w:rPr>
              <w:rFonts w:ascii="Times New Roman" w:hAnsi="Times New Roman" w:eastAsia="宋体"/>
              <w:sz w:val="24"/>
              <w:szCs w:val="24"/>
            </w:rPr>
            <w:fldChar w:fldCharType="end"/>
          </w:r>
        </w:p>
        <w:p>
          <w:pPr>
            <w:pStyle w:val="14"/>
            <w:tabs>
              <w:tab w:val="right" w:leader="dot" w:pos="8296"/>
            </w:tabs>
            <w:spacing w:line="360" w:lineRule="auto"/>
            <w:rPr>
              <w:rFonts w:ascii="Times New Roman" w:hAnsi="Times New Roman" w:eastAsia="宋体"/>
              <w:sz w:val="24"/>
              <w:szCs w:val="24"/>
            </w:rPr>
          </w:pPr>
          <w:r>
            <w:fldChar w:fldCharType="begin"/>
          </w:r>
          <w:r>
            <w:instrText xml:space="preserve"> HYPERLINK \l "_Toc6997278" </w:instrText>
          </w:r>
          <w:r>
            <w:fldChar w:fldCharType="separate"/>
          </w:r>
          <w:r>
            <w:rPr>
              <w:rStyle w:val="19"/>
              <w:rFonts w:ascii="Times New Roman" w:hAnsi="Times New Roman" w:eastAsia="宋体"/>
              <w:sz w:val="24"/>
              <w:szCs w:val="24"/>
            </w:rPr>
            <w:t>（二）编制原则</w:t>
          </w:r>
          <w:r>
            <w:rPr>
              <w:rFonts w:ascii="Times New Roman" w:hAnsi="Times New Roman" w:eastAsia="宋体"/>
              <w:sz w:val="24"/>
              <w:szCs w:val="24"/>
            </w:rPr>
            <w:tab/>
          </w:r>
          <w:r>
            <w:rPr>
              <w:rFonts w:ascii="Times New Roman" w:hAnsi="Times New Roman" w:eastAsia="宋体"/>
              <w:sz w:val="24"/>
              <w:szCs w:val="24"/>
            </w:rPr>
            <w:fldChar w:fldCharType="begin"/>
          </w:r>
          <w:r>
            <w:rPr>
              <w:rFonts w:ascii="Times New Roman" w:hAnsi="Times New Roman" w:eastAsia="宋体"/>
              <w:sz w:val="24"/>
              <w:szCs w:val="24"/>
            </w:rPr>
            <w:instrText xml:space="preserve"> PAGEREF _Toc6997278 \h </w:instrText>
          </w:r>
          <w:r>
            <w:rPr>
              <w:rFonts w:ascii="Times New Roman" w:hAnsi="Times New Roman" w:eastAsia="宋体"/>
              <w:sz w:val="24"/>
              <w:szCs w:val="24"/>
            </w:rPr>
            <w:fldChar w:fldCharType="separate"/>
          </w:r>
          <w:r>
            <w:rPr>
              <w:rFonts w:ascii="Times New Roman" w:hAnsi="Times New Roman" w:eastAsia="宋体"/>
              <w:sz w:val="24"/>
              <w:szCs w:val="24"/>
            </w:rPr>
            <w:t>5</w:t>
          </w:r>
          <w:r>
            <w:rPr>
              <w:rFonts w:ascii="Times New Roman" w:hAnsi="Times New Roman" w:eastAsia="宋体"/>
              <w:sz w:val="24"/>
              <w:szCs w:val="24"/>
            </w:rPr>
            <w:fldChar w:fldCharType="end"/>
          </w:r>
          <w:r>
            <w:rPr>
              <w:rFonts w:ascii="Times New Roman" w:hAnsi="Times New Roman" w:eastAsia="宋体"/>
              <w:sz w:val="24"/>
              <w:szCs w:val="24"/>
            </w:rPr>
            <w:fldChar w:fldCharType="end"/>
          </w:r>
          <w:r>
            <w:rPr>
              <w:rStyle w:val="19"/>
              <w:rFonts w:ascii="Times New Roman" w:hAnsi="Times New Roman" w:eastAsia="宋体"/>
              <w:sz w:val="24"/>
              <w:szCs w:val="24"/>
            </w:rPr>
            <w:t xml:space="preserve"> </w:t>
          </w:r>
        </w:p>
        <w:p>
          <w:pPr>
            <w:pStyle w:val="14"/>
            <w:tabs>
              <w:tab w:val="right" w:leader="dot" w:pos="8296"/>
            </w:tabs>
            <w:spacing w:line="360" w:lineRule="auto"/>
            <w:rPr>
              <w:rFonts w:ascii="Times New Roman" w:hAnsi="Times New Roman" w:eastAsia="宋体"/>
              <w:sz w:val="24"/>
              <w:szCs w:val="24"/>
            </w:rPr>
          </w:pPr>
          <w:r>
            <w:fldChar w:fldCharType="begin"/>
          </w:r>
          <w:r>
            <w:instrText xml:space="preserve"> HYPERLINK \l "_Toc6997284" </w:instrText>
          </w:r>
          <w:r>
            <w:fldChar w:fldCharType="separate"/>
          </w:r>
          <w:r>
            <w:rPr>
              <w:rStyle w:val="19"/>
              <w:rFonts w:ascii="Times New Roman" w:hAnsi="Times New Roman" w:eastAsia="宋体"/>
              <w:sz w:val="24"/>
              <w:szCs w:val="24"/>
            </w:rPr>
            <w:t>（三）主要内容</w:t>
          </w:r>
          <w:r>
            <w:rPr>
              <w:rFonts w:ascii="Times New Roman" w:hAnsi="Times New Roman" w:eastAsia="宋体"/>
              <w:sz w:val="24"/>
              <w:szCs w:val="24"/>
            </w:rPr>
            <w:tab/>
          </w:r>
          <w:r>
            <w:rPr>
              <w:rFonts w:ascii="Times New Roman" w:hAnsi="Times New Roman" w:eastAsia="宋体"/>
              <w:sz w:val="24"/>
              <w:szCs w:val="24"/>
            </w:rPr>
            <w:fldChar w:fldCharType="begin"/>
          </w:r>
          <w:r>
            <w:rPr>
              <w:rFonts w:ascii="Times New Roman" w:hAnsi="Times New Roman" w:eastAsia="宋体"/>
              <w:sz w:val="24"/>
              <w:szCs w:val="24"/>
            </w:rPr>
            <w:instrText xml:space="preserve"> PAGEREF _Toc6997284 \h </w:instrText>
          </w:r>
          <w:r>
            <w:rPr>
              <w:rFonts w:ascii="Times New Roman" w:hAnsi="Times New Roman" w:eastAsia="宋体"/>
              <w:sz w:val="24"/>
              <w:szCs w:val="24"/>
            </w:rPr>
            <w:fldChar w:fldCharType="separate"/>
          </w:r>
          <w:r>
            <w:rPr>
              <w:rFonts w:ascii="Times New Roman" w:hAnsi="Times New Roman" w:eastAsia="宋体"/>
              <w:sz w:val="24"/>
              <w:szCs w:val="24"/>
            </w:rPr>
            <w:t>6</w:t>
          </w:r>
          <w:r>
            <w:rPr>
              <w:rFonts w:ascii="Times New Roman" w:hAnsi="Times New Roman" w:eastAsia="宋体"/>
              <w:sz w:val="24"/>
              <w:szCs w:val="24"/>
            </w:rPr>
            <w:fldChar w:fldCharType="end"/>
          </w:r>
          <w:r>
            <w:rPr>
              <w:rFonts w:ascii="Times New Roman" w:hAnsi="Times New Roman" w:eastAsia="宋体"/>
              <w:sz w:val="24"/>
              <w:szCs w:val="24"/>
            </w:rPr>
            <w:fldChar w:fldCharType="end"/>
          </w:r>
        </w:p>
        <w:p>
          <w:pPr>
            <w:pStyle w:val="13"/>
            <w:tabs>
              <w:tab w:val="right" w:leader="dot" w:pos="8296"/>
            </w:tabs>
            <w:spacing w:line="360" w:lineRule="auto"/>
            <w:rPr>
              <w:rFonts w:ascii="Times New Roman" w:hAnsi="Times New Roman" w:eastAsia="宋体"/>
              <w:sz w:val="24"/>
              <w:szCs w:val="24"/>
            </w:rPr>
          </w:pPr>
          <w:r>
            <w:fldChar w:fldCharType="begin"/>
          </w:r>
          <w:r>
            <w:instrText xml:space="preserve"> HYPERLINK \l "_Toc6997285" </w:instrText>
          </w:r>
          <w:r>
            <w:fldChar w:fldCharType="separate"/>
          </w:r>
          <w:r>
            <w:rPr>
              <w:rStyle w:val="19"/>
              <w:rFonts w:ascii="Times New Roman" w:hAnsi="Times New Roman" w:eastAsia="宋体"/>
              <w:sz w:val="24"/>
              <w:szCs w:val="24"/>
            </w:rPr>
            <w:t>三、确定标准的主要技术内容（评价指标、要求）的依据</w:t>
          </w:r>
          <w:r>
            <w:rPr>
              <w:rFonts w:ascii="Times New Roman" w:hAnsi="Times New Roman" w:eastAsia="宋体"/>
              <w:sz w:val="24"/>
              <w:szCs w:val="24"/>
            </w:rPr>
            <w:tab/>
          </w:r>
          <w:r>
            <w:rPr>
              <w:rFonts w:ascii="Times New Roman" w:hAnsi="Times New Roman" w:eastAsia="宋体"/>
              <w:sz w:val="24"/>
              <w:szCs w:val="24"/>
            </w:rPr>
            <w:fldChar w:fldCharType="begin"/>
          </w:r>
          <w:r>
            <w:rPr>
              <w:rFonts w:ascii="Times New Roman" w:hAnsi="Times New Roman" w:eastAsia="宋体"/>
              <w:sz w:val="24"/>
              <w:szCs w:val="24"/>
            </w:rPr>
            <w:instrText xml:space="preserve"> PAGEREF _Toc6997285 \h </w:instrText>
          </w:r>
          <w:r>
            <w:rPr>
              <w:rFonts w:ascii="Times New Roman" w:hAnsi="Times New Roman" w:eastAsia="宋体"/>
              <w:sz w:val="24"/>
              <w:szCs w:val="24"/>
            </w:rPr>
            <w:fldChar w:fldCharType="separate"/>
          </w:r>
          <w:r>
            <w:rPr>
              <w:rFonts w:ascii="Times New Roman" w:hAnsi="Times New Roman" w:eastAsia="宋体"/>
              <w:sz w:val="24"/>
              <w:szCs w:val="24"/>
            </w:rPr>
            <w:t>6</w:t>
          </w:r>
          <w:r>
            <w:rPr>
              <w:rFonts w:ascii="Times New Roman" w:hAnsi="Times New Roman" w:eastAsia="宋体"/>
              <w:sz w:val="24"/>
              <w:szCs w:val="24"/>
            </w:rPr>
            <w:fldChar w:fldCharType="end"/>
          </w:r>
          <w:r>
            <w:rPr>
              <w:rFonts w:ascii="Times New Roman" w:hAnsi="Times New Roman" w:eastAsia="宋体"/>
              <w:sz w:val="24"/>
              <w:szCs w:val="24"/>
            </w:rPr>
            <w:fldChar w:fldCharType="end"/>
          </w:r>
        </w:p>
        <w:p>
          <w:pPr>
            <w:pStyle w:val="14"/>
            <w:tabs>
              <w:tab w:val="right" w:leader="dot" w:pos="8296"/>
            </w:tabs>
            <w:spacing w:line="360" w:lineRule="auto"/>
            <w:rPr>
              <w:rFonts w:ascii="Times New Roman" w:hAnsi="Times New Roman" w:eastAsia="宋体"/>
              <w:sz w:val="24"/>
              <w:szCs w:val="24"/>
            </w:rPr>
          </w:pPr>
          <w:r>
            <w:fldChar w:fldCharType="begin"/>
          </w:r>
          <w:r>
            <w:instrText xml:space="preserve"> HYPERLINK \l "_Toc6997286" </w:instrText>
          </w:r>
          <w:r>
            <w:fldChar w:fldCharType="separate"/>
          </w:r>
          <w:r>
            <w:rPr>
              <w:rStyle w:val="19"/>
              <w:rFonts w:ascii="Times New Roman" w:hAnsi="Times New Roman" w:eastAsia="宋体"/>
              <w:sz w:val="24"/>
              <w:szCs w:val="24"/>
            </w:rPr>
            <w:t>（一）电解铜箔生产工艺流程</w:t>
          </w:r>
          <w:r>
            <w:rPr>
              <w:rFonts w:ascii="Times New Roman" w:hAnsi="Times New Roman" w:eastAsia="宋体"/>
              <w:sz w:val="24"/>
              <w:szCs w:val="24"/>
            </w:rPr>
            <w:tab/>
          </w:r>
          <w:r>
            <w:rPr>
              <w:rFonts w:ascii="Times New Roman" w:hAnsi="Times New Roman" w:eastAsia="宋体"/>
              <w:sz w:val="24"/>
              <w:szCs w:val="24"/>
            </w:rPr>
            <w:fldChar w:fldCharType="begin"/>
          </w:r>
          <w:r>
            <w:rPr>
              <w:rFonts w:ascii="Times New Roman" w:hAnsi="Times New Roman" w:eastAsia="宋体"/>
              <w:sz w:val="24"/>
              <w:szCs w:val="24"/>
            </w:rPr>
            <w:instrText xml:space="preserve"> PAGEREF _Toc6997286 \h </w:instrText>
          </w:r>
          <w:r>
            <w:rPr>
              <w:rFonts w:ascii="Times New Roman" w:hAnsi="Times New Roman" w:eastAsia="宋体"/>
              <w:sz w:val="24"/>
              <w:szCs w:val="24"/>
            </w:rPr>
            <w:fldChar w:fldCharType="separate"/>
          </w:r>
          <w:r>
            <w:rPr>
              <w:rFonts w:ascii="Times New Roman" w:hAnsi="Times New Roman" w:eastAsia="宋体"/>
              <w:sz w:val="24"/>
              <w:szCs w:val="24"/>
            </w:rPr>
            <w:t>6</w:t>
          </w:r>
          <w:r>
            <w:rPr>
              <w:rFonts w:ascii="Times New Roman" w:hAnsi="Times New Roman" w:eastAsia="宋体"/>
              <w:sz w:val="24"/>
              <w:szCs w:val="24"/>
            </w:rPr>
            <w:fldChar w:fldCharType="end"/>
          </w:r>
          <w:r>
            <w:rPr>
              <w:rFonts w:ascii="Times New Roman" w:hAnsi="Times New Roman" w:eastAsia="宋体"/>
              <w:sz w:val="24"/>
              <w:szCs w:val="24"/>
            </w:rPr>
            <w:fldChar w:fldCharType="end"/>
          </w:r>
        </w:p>
        <w:p>
          <w:pPr>
            <w:pStyle w:val="14"/>
            <w:tabs>
              <w:tab w:val="right" w:leader="dot" w:pos="8296"/>
            </w:tabs>
            <w:spacing w:line="360" w:lineRule="auto"/>
            <w:rPr>
              <w:rFonts w:ascii="Times New Roman" w:hAnsi="Times New Roman" w:eastAsia="宋体"/>
              <w:sz w:val="24"/>
              <w:szCs w:val="24"/>
            </w:rPr>
          </w:pPr>
          <w:r>
            <w:fldChar w:fldCharType="begin"/>
          </w:r>
          <w:r>
            <w:instrText xml:space="preserve"> HYPERLINK \l "_Toc6997287" </w:instrText>
          </w:r>
          <w:r>
            <w:fldChar w:fldCharType="separate"/>
          </w:r>
          <w:r>
            <w:rPr>
              <w:rStyle w:val="19"/>
              <w:rFonts w:ascii="Times New Roman" w:hAnsi="Times New Roman" w:eastAsia="宋体"/>
              <w:sz w:val="24"/>
              <w:szCs w:val="24"/>
            </w:rPr>
            <w:t>（二）确定标准的主要技术内容</w:t>
          </w:r>
          <w:r>
            <w:rPr>
              <w:rFonts w:ascii="Times New Roman" w:hAnsi="Times New Roman" w:eastAsia="宋体"/>
              <w:sz w:val="24"/>
              <w:szCs w:val="24"/>
            </w:rPr>
            <w:tab/>
          </w:r>
          <w:r>
            <w:rPr>
              <w:rFonts w:ascii="Times New Roman" w:hAnsi="Times New Roman" w:eastAsia="宋体"/>
              <w:sz w:val="24"/>
              <w:szCs w:val="24"/>
            </w:rPr>
            <w:fldChar w:fldCharType="begin"/>
          </w:r>
          <w:r>
            <w:rPr>
              <w:rFonts w:ascii="Times New Roman" w:hAnsi="Times New Roman" w:eastAsia="宋体"/>
              <w:sz w:val="24"/>
              <w:szCs w:val="24"/>
            </w:rPr>
            <w:instrText xml:space="preserve"> PAGEREF _Toc6997287 \h </w:instrText>
          </w:r>
          <w:r>
            <w:rPr>
              <w:rFonts w:ascii="Times New Roman" w:hAnsi="Times New Roman" w:eastAsia="宋体"/>
              <w:sz w:val="24"/>
              <w:szCs w:val="24"/>
            </w:rPr>
            <w:fldChar w:fldCharType="separate"/>
          </w:r>
          <w:r>
            <w:rPr>
              <w:rFonts w:ascii="Times New Roman" w:hAnsi="Times New Roman" w:eastAsia="宋体"/>
              <w:sz w:val="24"/>
              <w:szCs w:val="24"/>
            </w:rPr>
            <w:t>7</w:t>
          </w:r>
          <w:r>
            <w:rPr>
              <w:rFonts w:ascii="Times New Roman" w:hAnsi="Times New Roman" w:eastAsia="宋体"/>
              <w:sz w:val="24"/>
              <w:szCs w:val="24"/>
            </w:rPr>
            <w:fldChar w:fldCharType="end"/>
          </w:r>
          <w:r>
            <w:rPr>
              <w:rFonts w:ascii="Times New Roman" w:hAnsi="Times New Roman" w:eastAsia="宋体"/>
              <w:sz w:val="24"/>
              <w:szCs w:val="24"/>
            </w:rPr>
            <w:fldChar w:fldCharType="end"/>
          </w:r>
        </w:p>
        <w:p>
          <w:pPr>
            <w:pStyle w:val="13"/>
            <w:tabs>
              <w:tab w:val="right" w:leader="dot" w:pos="8296"/>
            </w:tabs>
            <w:spacing w:line="360" w:lineRule="auto"/>
            <w:rPr>
              <w:rFonts w:ascii="Times New Roman" w:hAnsi="Times New Roman" w:eastAsia="宋体"/>
              <w:sz w:val="24"/>
              <w:szCs w:val="24"/>
            </w:rPr>
          </w:pPr>
          <w:r>
            <w:fldChar w:fldCharType="begin"/>
          </w:r>
          <w:r>
            <w:instrText xml:space="preserve"> HYPERLINK \l "_Toc6997293" </w:instrText>
          </w:r>
          <w:r>
            <w:fldChar w:fldCharType="separate"/>
          </w:r>
          <w:r>
            <w:rPr>
              <w:rStyle w:val="19"/>
              <w:rFonts w:ascii="Times New Roman" w:hAnsi="Times New Roman" w:eastAsia="宋体"/>
              <w:sz w:val="24"/>
              <w:szCs w:val="24"/>
            </w:rPr>
            <w:t>四、采用国际标准和国外先进标准的情况，与国际、国内同类标准水平的对比情况</w:t>
          </w:r>
          <w:r>
            <w:rPr>
              <w:rFonts w:ascii="Times New Roman" w:hAnsi="Times New Roman" w:eastAsia="宋体"/>
              <w:sz w:val="24"/>
              <w:szCs w:val="24"/>
            </w:rPr>
            <w:tab/>
          </w:r>
          <w:r>
            <w:rPr>
              <w:rFonts w:ascii="Times New Roman" w:hAnsi="Times New Roman" w:eastAsia="宋体"/>
              <w:sz w:val="24"/>
              <w:szCs w:val="24"/>
            </w:rPr>
            <w:fldChar w:fldCharType="begin"/>
          </w:r>
          <w:r>
            <w:rPr>
              <w:rFonts w:ascii="Times New Roman" w:hAnsi="Times New Roman" w:eastAsia="宋体"/>
              <w:sz w:val="24"/>
              <w:szCs w:val="24"/>
            </w:rPr>
            <w:instrText xml:space="preserve"> PAGEREF _Toc6997293 \h </w:instrText>
          </w:r>
          <w:r>
            <w:rPr>
              <w:rFonts w:ascii="Times New Roman" w:hAnsi="Times New Roman" w:eastAsia="宋体"/>
              <w:sz w:val="24"/>
              <w:szCs w:val="24"/>
            </w:rPr>
            <w:fldChar w:fldCharType="separate"/>
          </w:r>
          <w:r>
            <w:rPr>
              <w:rFonts w:ascii="Times New Roman" w:hAnsi="Times New Roman" w:eastAsia="宋体"/>
              <w:sz w:val="24"/>
              <w:szCs w:val="24"/>
            </w:rPr>
            <w:t>13</w:t>
          </w:r>
          <w:r>
            <w:rPr>
              <w:rFonts w:ascii="Times New Roman" w:hAnsi="Times New Roman" w:eastAsia="宋体"/>
              <w:sz w:val="24"/>
              <w:szCs w:val="24"/>
            </w:rPr>
            <w:fldChar w:fldCharType="end"/>
          </w:r>
          <w:r>
            <w:rPr>
              <w:rFonts w:ascii="Times New Roman" w:hAnsi="Times New Roman" w:eastAsia="宋体"/>
              <w:sz w:val="24"/>
              <w:szCs w:val="24"/>
            </w:rPr>
            <w:fldChar w:fldCharType="end"/>
          </w:r>
        </w:p>
        <w:p>
          <w:pPr>
            <w:pStyle w:val="13"/>
            <w:tabs>
              <w:tab w:val="right" w:leader="dot" w:pos="8296"/>
            </w:tabs>
            <w:spacing w:line="360" w:lineRule="auto"/>
            <w:rPr>
              <w:rFonts w:ascii="Times New Roman" w:hAnsi="Times New Roman" w:eastAsia="宋体"/>
              <w:sz w:val="24"/>
              <w:szCs w:val="24"/>
            </w:rPr>
          </w:pPr>
          <w:r>
            <w:fldChar w:fldCharType="begin"/>
          </w:r>
          <w:r>
            <w:instrText xml:space="preserve"> HYPERLINK \l "_Toc6997294" </w:instrText>
          </w:r>
          <w:r>
            <w:fldChar w:fldCharType="separate"/>
          </w:r>
          <w:r>
            <w:rPr>
              <w:rStyle w:val="19"/>
              <w:rFonts w:ascii="Times New Roman" w:hAnsi="Times New Roman" w:eastAsia="宋体"/>
              <w:sz w:val="24"/>
              <w:szCs w:val="24"/>
            </w:rPr>
            <w:t>五、与有关现行法律、法规和强制性国家标准的关系</w:t>
          </w:r>
          <w:r>
            <w:rPr>
              <w:rFonts w:ascii="Times New Roman" w:hAnsi="Times New Roman" w:eastAsia="宋体"/>
              <w:sz w:val="24"/>
              <w:szCs w:val="24"/>
            </w:rPr>
            <w:tab/>
          </w:r>
          <w:r>
            <w:rPr>
              <w:rFonts w:ascii="Times New Roman" w:hAnsi="Times New Roman" w:eastAsia="宋体"/>
              <w:sz w:val="24"/>
              <w:szCs w:val="24"/>
            </w:rPr>
            <w:fldChar w:fldCharType="begin"/>
          </w:r>
          <w:r>
            <w:rPr>
              <w:rFonts w:ascii="Times New Roman" w:hAnsi="Times New Roman" w:eastAsia="宋体"/>
              <w:sz w:val="24"/>
              <w:szCs w:val="24"/>
            </w:rPr>
            <w:instrText xml:space="preserve"> PAGEREF _Toc6997294 \h </w:instrText>
          </w:r>
          <w:r>
            <w:rPr>
              <w:rFonts w:ascii="Times New Roman" w:hAnsi="Times New Roman" w:eastAsia="宋体"/>
              <w:sz w:val="24"/>
              <w:szCs w:val="24"/>
            </w:rPr>
            <w:fldChar w:fldCharType="separate"/>
          </w:r>
          <w:r>
            <w:rPr>
              <w:rFonts w:ascii="Times New Roman" w:hAnsi="Times New Roman" w:eastAsia="宋体"/>
              <w:sz w:val="24"/>
              <w:szCs w:val="24"/>
            </w:rPr>
            <w:t>13</w:t>
          </w:r>
          <w:r>
            <w:rPr>
              <w:rFonts w:ascii="Times New Roman" w:hAnsi="Times New Roman" w:eastAsia="宋体"/>
              <w:sz w:val="24"/>
              <w:szCs w:val="24"/>
            </w:rPr>
            <w:fldChar w:fldCharType="end"/>
          </w:r>
          <w:r>
            <w:rPr>
              <w:rFonts w:ascii="Times New Roman" w:hAnsi="Times New Roman" w:eastAsia="宋体"/>
              <w:sz w:val="24"/>
              <w:szCs w:val="24"/>
            </w:rPr>
            <w:fldChar w:fldCharType="end"/>
          </w:r>
        </w:p>
        <w:p>
          <w:pPr>
            <w:pStyle w:val="13"/>
            <w:tabs>
              <w:tab w:val="right" w:leader="dot" w:pos="8296"/>
            </w:tabs>
            <w:spacing w:line="360" w:lineRule="auto"/>
            <w:rPr>
              <w:rFonts w:ascii="Times New Roman" w:hAnsi="Times New Roman" w:eastAsia="宋体"/>
              <w:sz w:val="24"/>
              <w:szCs w:val="24"/>
            </w:rPr>
          </w:pPr>
          <w:r>
            <w:fldChar w:fldCharType="begin"/>
          </w:r>
          <w:r>
            <w:instrText xml:space="preserve"> HYPERLINK \l "_Toc6997295" </w:instrText>
          </w:r>
          <w:r>
            <w:fldChar w:fldCharType="separate"/>
          </w:r>
          <w:r>
            <w:rPr>
              <w:rStyle w:val="19"/>
              <w:rFonts w:ascii="Times New Roman" w:hAnsi="Times New Roman" w:eastAsia="宋体"/>
              <w:sz w:val="24"/>
              <w:szCs w:val="24"/>
            </w:rPr>
            <w:t>六、重大分歧意见的处理经过和依据</w:t>
          </w:r>
          <w:r>
            <w:rPr>
              <w:rFonts w:ascii="Times New Roman" w:hAnsi="Times New Roman" w:eastAsia="宋体"/>
              <w:sz w:val="24"/>
              <w:szCs w:val="24"/>
            </w:rPr>
            <w:tab/>
          </w:r>
          <w:r>
            <w:rPr>
              <w:rFonts w:ascii="Times New Roman" w:hAnsi="Times New Roman" w:eastAsia="宋体"/>
              <w:sz w:val="24"/>
              <w:szCs w:val="24"/>
            </w:rPr>
            <w:fldChar w:fldCharType="begin"/>
          </w:r>
          <w:r>
            <w:rPr>
              <w:rFonts w:ascii="Times New Roman" w:hAnsi="Times New Roman" w:eastAsia="宋体"/>
              <w:sz w:val="24"/>
              <w:szCs w:val="24"/>
            </w:rPr>
            <w:instrText xml:space="preserve"> PAGEREF _Toc6997295 \h </w:instrText>
          </w:r>
          <w:r>
            <w:rPr>
              <w:rFonts w:ascii="Times New Roman" w:hAnsi="Times New Roman" w:eastAsia="宋体"/>
              <w:sz w:val="24"/>
              <w:szCs w:val="24"/>
            </w:rPr>
            <w:fldChar w:fldCharType="separate"/>
          </w:r>
          <w:r>
            <w:rPr>
              <w:rFonts w:ascii="Times New Roman" w:hAnsi="Times New Roman" w:eastAsia="宋体"/>
              <w:sz w:val="24"/>
              <w:szCs w:val="24"/>
            </w:rPr>
            <w:t>13</w:t>
          </w:r>
          <w:r>
            <w:rPr>
              <w:rFonts w:ascii="Times New Roman" w:hAnsi="Times New Roman" w:eastAsia="宋体"/>
              <w:sz w:val="24"/>
              <w:szCs w:val="24"/>
            </w:rPr>
            <w:fldChar w:fldCharType="end"/>
          </w:r>
          <w:r>
            <w:rPr>
              <w:rFonts w:ascii="Times New Roman" w:hAnsi="Times New Roman" w:eastAsia="宋体"/>
              <w:sz w:val="24"/>
              <w:szCs w:val="24"/>
            </w:rPr>
            <w:fldChar w:fldCharType="end"/>
          </w:r>
        </w:p>
        <w:p>
          <w:pPr>
            <w:pStyle w:val="13"/>
            <w:tabs>
              <w:tab w:val="right" w:leader="dot" w:pos="8296"/>
            </w:tabs>
            <w:spacing w:line="360" w:lineRule="auto"/>
            <w:rPr>
              <w:rFonts w:ascii="Times New Roman" w:hAnsi="Times New Roman" w:eastAsia="宋体"/>
              <w:sz w:val="24"/>
              <w:szCs w:val="24"/>
            </w:rPr>
          </w:pPr>
          <w:r>
            <w:fldChar w:fldCharType="begin"/>
          </w:r>
          <w:r>
            <w:instrText xml:space="preserve"> HYPERLINK \l "_Toc6997296" </w:instrText>
          </w:r>
          <w:r>
            <w:fldChar w:fldCharType="separate"/>
          </w:r>
          <w:r>
            <w:rPr>
              <w:rStyle w:val="19"/>
              <w:rFonts w:ascii="Times New Roman" w:hAnsi="Times New Roman" w:eastAsia="宋体"/>
              <w:sz w:val="24"/>
              <w:szCs w:val="24"/>
            </w:rPr>
            <w:t>七、国家标准作为强制性国家标准或推荐性国家标准的建议</w:t>
          </w:r>
          <w:r>
            <w:rPr>
              <w:rFonts w:ascii="Times New Roman" w:hAnsi="Times New Roman" w:eastAsia="宋体"/>
              <w:sz w:val="24"/>
              <w:szCs w:val="24"/>
            </w:rPr>
            <w:tab/>
          </w:r>
          <w:r>
            <w:rPr>
              <w:rFonts w:ascii="Times New Roman" w:hAnsi="Times New Roman" w:eastAsia="宋体"/>
              <w:sz w:val="24"/>
              <w:szCs w:val="24"/>
            </w:rPr>
            <w:fldChar w:fldCharType="begin"/>
          </w:r>
          <w:r>
            <w:rPr>
              <w:rFonts w:ascii="Times New Roman" w:hAnsi="Times New Roman" w:eastAsia="宋体"/>
              <w:sz w:val="24"/>
              <w:szCs w:val="24"/>
            </w:rPr>
            <w:instrText xml:space="preserve"> PAGEREF _Toc6997296 \h </w:instrText>
          </w:r>
          <w:r>
            <w:rPr>
              <w:rFonts w:ascii="Times New Roman" w:hAnsi="Times New Roman" w:eastAsia="宋体"/>
              <w:sz w:val="24"/>
              <w:szCs w:val="24"/>
            </w:rPr>
            <w:fldChar w:fldCharType="separate"/>
          </w:r>
          <w:r>
            <w:rPr>
              <w:rFonts w:ascii="Times New Roman" w:hAnsi="Times New Roman" w:eastAsia="宋体"/>
              <w:sz w:val="24"/>
              <w:szCs w:val="24"/>
            </w:rPr>
            <w:t>13</w:t>
          </w:r>
          <w:r>
            <w:rPr>
              <w:rFonts w:ascii="Times New Roman" w:hAnsi="Times New Roman" w:eastAsia="宋体"/>
              <w:sz w:val="24"/>
              <w:szCs w:val="24"/>
            </w:rPr>
            <w:fldChar w:fldCharType="end"/>
          </w:r>
          <w:r>
            <w:rPr>
              <w:rFonts w:ascii="Times New Roman" w:hAnsi="Times New Roman" w:eastAsia="宋体"/>
              <w:sz w:val="24"/>
              <w:szCs w:val="24"/>
            </w:rPr>
            <w:fldChar w:fldCharType="end"/>
          </w:r>
        </w:p>
        <w:p>
          <w:pPr>
            <w:pStyle w:val="13"/>
            <w:tabs>
              <w:tab w:val="right" w:leader="dot" w:pos="8296"/>
            </w:tabs>
            <w:spacing w:line="360" w:lineRule="auto"/>
            <w:rPr>
              <w:rFonts w:ascii="Times New Roman" w:hAnsi="Times New Roman" w:eastAsia="宋体"/>
              <w:sz w:val="24"/>
              <w:szCs w:val="24"/>
            </w:rPr>
          </w:pPr>
          <w:r>
            <w:fldChar w:fldCharType="begin"/>
          </w:r>
          <w:r>
            <w:instrText xml:space="preserve"> HYPERLINK \l "_Toc6997297" </w:instrText>
          </w:r>
          <w:r>
            <w:fldChar w:fldCharType="separate"/>
          </w:r>
          <w:r>
            <w:rPr>
              <w:rStyle w:val="19"/>
              <w:rFonts w:ascii="Times New Roman" w:hAnsi="Times New Roman" w:eastAsia="宋体"/>
              <w:sz w:val="24"/>
              <w:szCs w:val="24"/>
            </w:rPr>
            <w:t>八、贯彻标准的要求和措施建议</w:t>
          </w:r>
          <w:r>
            <w:rPr>
              <w:rFonts w:ascii="Times New Roman" w:hAnsi="Times New Roman" w:eastAsia="宋体"/>
              <w:sz w:val="24"/>
              <w:szCs w:val="24"/>
            </w:rPr>
            <w:tab/>
          </w:r>
          <w:r>
            <w:rPr>
              <w:rFonts w:ascii="Times New Roman" w:hAnsi="Times New Roman" w:eastAsia="宋体"/>
              <w:sz w:val="24"/>
              <w:szCs w:val="24"/>
            </w:rPr>
            <w:fldChar w:fldCharType="begin"/>
          </w:r>
          <w:r>
            <w:rPr>
              <w:rFonts w:ascii="Times New Roman" w:hAnsi="Times New Roman" w:eastAsia="宋体"/>
              <w:sz w:val="24"/>
              <w:szCs w:val="24"/>
            </w:rPr>
            <w:instrText xml:space="preserve"> PAGEREF _Toc6997297 \h </w:instrText>
          </w:r>
          <w:r>
            <w:rPr>
              <w:rFonts w:ascii="Times New Roman" w:hAnsi="Times New Roman" w:eastAsia="宋体"/>
              <w:sz w:val="24"/>
              <w:szCs w:val="24"/>
            </w:rPr>
            <w:fldChar w:fldCharType="separate"/>
          </w:r>
          <w:r>
            <w:rPr>
              <w:rFonts w:ascii="Times New Roman" w:hAnsi="Times New Roman" w:eastAsia="宋体"/>
              <w:sz w:val="24"/>
              <w:szCs w:val="24"/>
            </w:rPr>
            <w:t>13</w:t>
          </w:r>
          <w:r>
            <w:rPr>
              <w:rFonts w:ascii="Times New Roman" w:hAnsi="Times New Roman" w:eastAsia="宋体"/>
              <w:sz w:val="24"/>
              <w:szCs w:val="24"/>
            </w:rPr>
            <w:fldChar w:fldCharType="end"/>
          </w:r>
          <w:r>
            <w:rPr>
              <w:rFonts w:ascii="Times New Roman" w:hAnsi="Times New Roman" w:eastAsia="宋体"/>
              <w:sz w:val="24"/>
              <w:szCs w:val="24"/>
            </w:rPr>
            <w:fldChar w:fldCharType="end"/>
          </w:r>
        </w:p>
        <w:p>
          <w:pPr>
            <w:pStyle w:val="13"/>
            <w:tabs>
              <w:tab w:val="right" w:leader="dot" w:pos="8296"/>
            </w:tabs>
            <w:spacing w:line="360" w:lineRule="auto"/>
            <w:rPr>
              <w:rFonts w:ascii="Times New Roman" w:hAnsi="Times New Roman" w:eastAsia="宋体"/>
              <w:sz w:val="24"/>
              <w:szCs w:val="24"/>
            </w:rPr>
          </w:pPr>
          <w:r>
            <w:fldChar w:fldCharType="begin"/>
          </w:r>
          <w:r>
            <w:instrText xml:space="preserve"> HYPERLINK \l "_Toc6997298" </w:instrText>
          </w:r>
          <w:r>
            <w:fldChar w:fldCharType="separate"/>
          </w:r>
          <w:r>
            <w:rPr>
              <w:rStyle w:val="19"/>
              <w:rFonts w:ascii="Times New Roman" w:hAnsi="Times New Roman" w:eastAsia="宋体"/>
              <w:sz w:val="24"/>
              <w:szCs w:val="24"/>
            </w:rPr>
            <w:t>九、废止现行有关标准的建议</w:t>
          </w:r>
          <w:r>
            <w:rPr>
              <w:rFonts w:ascii="Times New Roman" w:hAnsi="Times New Roman" w:eastAsia="宋体"/>
              <w:sz w:val="24"/>
              <w:szCs w:val="24"/>
            </w:rPr>
            <w:tab/>
          </w:r>
          <w:r>
            <w:rPr>
              <w:rFonts w:ascii="Times New Roman" w:hAnsi="Times New Roman" w:eastAsia="宋体"/>
              <w:sz w:val="24"/>
              <w:szCs w:val="24"/>
            </w:rPr>
            <w:fldChar w:fldCharType="begin"/>
          </w:r>
          <w:r>
            <w:rPr>
              <w:rFonts w:ascii="Times New Roman" w:hAnsi="Times New Roman" w:eastAsia="宋体"/>
              <w:sz w:val="24"/>
              <w:szCs w:val="24"/>
            </w:rPr>
            <w:instrText xml:space="preserve"> PAGEREF _Toc6997298 \h </w:instrText>
          </w:r>
          <w:r>
            <w:rPr>
              <w:rFonts w:ascii="Times New Roman" w:hAnsi="Times New Roman" w:eastAsia="宋体"/>
              <w:sz w:val="24"/>
              <w:szCs w:val="24"/>
            </w:rPr>
            <w:fldChar w:fldCharType="separate"/>
          </w:r>
          <w:r>
            <w:rPr>
              <w:rFonts w:ascii="Times New Roman" w:hAnsi="Times New Roman" w:eastAsia="宋体"/>
              <w:sz w:val="24"/>
              <w:szCs w:val="24"/>
            </w:rPr>
            <w:t>13</w:t>
          </w:r>
          <w:r>
            <w:rPr>
              <w:rFonts w:ascii="Times New Roman" w:hAnsi="Times New Roman" w:eastAsia="宋体"/>
              <w:sz w:val="24"/>
              <w:szCs w:val="24"/>
            </w:rPr>
            <w:fldChar w:fldCharType="end"/>
          </w:r>
          <w:r>
            <w:rPr>
              <w:rFonts w:ascii="Times New Roman" w:hAnsi="Times New Roman" w:eastAsia="宋体"/>
              <w:sz w:val="24"/>
              <w:szCs w:val="24"/>
            </w:rPr>
            <w:fldChar w:fldCharType="end"/>
          </w:r>
        </w:p>
        <w:p>
          <w:pPr>
            <w:pStyle w:val="13"/>
            <w:tabs>
              <w:tab w:val="right" w:leader="dot" w:pos="8296"/>
            </w:tabs>
            <w:spacing w:line="360" w:lineRule="auto"/>
            <w:rPr>
              <w:rFonts w:ascii="Times New Roman" w:hAnsi="Times New Roman" w:eastAsia="宋体"/>
              <w:sz w:val="24"/>
              <w:szCs w:val="24"/>
            </w:rPr>
          </w:pPr>
          <w:r>
            <w:fldChar w:fldCharType="begin"/>
          </w:r>
          <w:r>
            <w:instrText xml:space="preserve"> HYPERLINK \l "_Toc6997299" </w:instrText>
          </w:r>
          <w:r>
            <w:fldChar w:fldCharType="separate"/>
          </w:r>
          <w:r>
            <w:rPr>
              <w:rStyle w:val="19"/>
              <w:rFonts w:ascii="Times New Roman" w:hAnsi="Times New Roman" w:eastAsia="宋体"/>
              <w:sz w:val="24"/>
              <w:szCs w:val="24"/>
            </w:rPr>
            <w:t>十、预期经济社会效益</w:t>
          </w:r>
          <w:r>
            <w:rPr>
              <w:rFonts w:ascii="Times New Roman" w:hAnsi="Times New Roman" w:eastAsia="宋体"/>
              <w:sz w:val="24"/>
              <w:szCs w:val="24"/>
            </w:rPr>
            <w:tab/>
          </w:r>
          <w:r>
            <w:rPr>
              <w:rFonts w:ascii="Times New Roman" w:hAnsi="Times New Roman" w:eastAsia="宋体"/>
              <w:sz w:val="24"/>
              <w:szCs w:val="24"/>
            </w:rPr>
            <w:fldChar w:fldCharType="begin"/>
          </w:r>
          <w:r>
            <w:rPr>
              <w:rFonts w:ascii="Times New Roman" w:hAnsi="Times New Roman" w:eastAsia="宋体"/>
              <w:sz w:val="24"/>
              <w:szCs w:val="24"/>
            </w:rPr>
            <w:instrText xml:space="preserve"> PAGEREF _Toc6997299 \h </w:instrText>
          </w:r>
          <w:r>
            <w:rPr>
              <w:rFonts w:ascii="Times New Roman" w:hAnsi="Times New Roman" w:eastAsia="宋体"/>
              <w:sz w:val="24"/>
              <w:szCs w:val="24"/>
            </w:rPr>
            <w:fldChar w:fldCharType="separate"/>
          </w:r>
          <w:r>
            <w:rPr>
              <w:rFonts w:ascii="Times New Roman" w:hAnsi="Times New Roman" w:eastAsia="宋体"/>
              <w:sz w:val="24"/>
              <w:szCs w:val="24"/>
            </w:rPr>
            <w:t>13</w:t>
          </w:r>
          <w:r>
            <w:rPr>
              <w:rFonts w:ascii="Times New Roman" w:hAnsi="Times New Roman" w:eastAsia="宋体"/>
              <w:sz w:val="24"/>
              <w:szCs w:val="24"/>
            </w:rPr>
            <w:fldChar w:fldCharType="end"/>
          </w:r>
          <w:r>
            <w:rPr>
              <w:rFonts w:ascii="Times New Roman" w:hAnsi="Times New Roman" w:eastAsia="宋体"/>
              <w:sz w:val="24"/>
              <w:szCs w:val="24"/>
            </w:rPr>
            <w:fldChar w:fldCharType="end"/>
          </w:r>
        </w:p>
        <w:p>
          <w:pPr>
            <w:pStyle w:val="13"/>
            <w:tabs>
              <w:tab w:val="right" w:leader="dot" w:pos="8296"/>
            </w:tabs>
            <w:spacing w:line="360" w:lineRule="auto"/>
            <w:rPr>
              <w:rFonts w:ascii="Times New Roman" w:hAnsi="Times New Roman" w:eastAsia="宋体"/>
              <w:sz w:val="24"/>
              <w:szCs w:val="24"/>
            </w:rPr>
          </w:pPr>
          <w:r>
            <w:fldChar w:fldCharType="begin"/>
          </w:r>
          <w:r>
            <w:instrText xml:space="preserve"> HYPERLINK \l "_Toc6997300" </w:instrText>
          </w:r>
          <w:r>
            <w:fldChar w:fldCharType="separate"/>
          </w:r>
          <w:r>
            <w:rPr>
              <w:rStyle w:val="19"/>
              <w:rFonts w:ascii="Times New Roman" w:hAnsi="Times New Roman" w:eastAsia="宋体"/>
              <w:sz w:val="24"/>
              <w:szCs w:val="24"/>
            </w:rPr>
            <w:t>十一、其他应予说明的事项</w:t>
          </w:r>
          <w:r>
            <w:rPr>
              <w:rFonts w:ascii="Times New Roman" w:hAnsi="Times New Roman" w:eastAsia="宋体"/>
              <w:sz w:val="24"/>
              <w:szCs w:val="24"/>
            </w:rPr>
            <w:tab/>
          </w:r>
          <w:r>
            <w:rPr>
              <w:rFonts w:ascii="Times New Roman" w:hAnsi="Times New Roman" w:eastAsia="宋体"/>
              <w:sz w:val="24"/>
              <w:szCs w:val="24"/>
            </w:rPr>
            <w:fldChar w:fldCharType="begin"/>
          </w:r>
          <w:r>
            <w:rPr>
              <w:rFonts w:ascii="Times New Roman" w:hAnsi="Times New Roman" w:eastAsia="宋体"/>
              <w:sz w:val="24"/>
              <w:szCs w:val="24"/>
            </w:rPr>
            <w:instrText xml:space="preserve"> PAGEREF _Toc6997300 \h </w:instrText>
          </w:r>
          <w:r>
            <w:rPr>
              <w:rFonts w:ascii="Times New Roman" w:hAnsi="Times New Roman" w:eastAsia="宋体"/>
              <w:sz w:val="24"/>
              <w:szCs w:val="24"/>
            </w:rPr>
            <w:fldChar w:fldCharType="separate"/>
          </w:r>
          <w:r>
            <w:rPr>
              <w:rFonts w:ascii="Times New Roman" w:hAnsi="Times New Roman" w:eastAsia="宋体"/>
              <w:sz w:val="24"/>
              <w:szCs w:val="24"/>
            </w:rPr>
            <w:t>14</w:t>
          </w:r>
          <w:r>
            <w:rPr>
              <w:rFonts w:ascii="Times New Roman" w:hAnsi="Times New Roman" w:eastAsia="宋体"/>
              <w:sz w:val="24"/>
              <w:szCs w:val="24"/>
            </w:rPr>
            <w:fldChar w:fldCharType="end"/>
          </w:r>
          <w:r>
            <w:rPr>
              <w:rFonts w:ascii="Times New Roman" w:hAnsi="Times New Roman" w:eastAsia="宋体"/>
              <w:sz w:val="24"/>
              <w:szCs w:val="24"/>
            </w:rPr>
            <w:fldChar w:fldCharType="end"/>
          </w:r>
        </w:p>
        <w:p>
          <w:pPr>
            <w:spacing w:line="360" w:lineRule="auto"/>
            <w:rPr>
              <w:rFonts w:ascii="Times New Roman" w:hAnsi="Times New Roman" w:eastAsia="宋体"/>
              <w:sz w:val="24"/>
              <w:szCs w:val="24"/>
            </w:rPr>
          </w:pPr>
          <w:r>
            <w:rPr>
              <w:rFonts w:ascii="Times New Roman" w:hAnsi="Times New Roman" w:eastAsia="宋体"/>
              <w:b/>
              <w:bCs/>
              <w:sz w:val="24"/>
              <w:szCs w:val="24"/>
              <w:lang w:val="zh-CN"/>
            </w:rPr>
            <w:fldChar w:fldCharType="end"/>
          </w:r>
        </w:p>
      </w:sdtContent>
    </w:sdt>
    <w:p>
      <w:pPr>
        <w:widowControl/>
        <w:jc w:val="left"/>
        <w:rPr>
          <w:rFonts w:ascii="Times New Roman" w:hAnsi="Times New Roman" w:eastAsia="宋体" w:cs="宋体"/>
          <w:b/>
          <w:bCs/>
          <w:kern w:val="36"/>
          <w:sz w:val="28"/>
          <w:szCs w:val="28"/>
        </w:rPr>
      </w:pPr>
      <w:r>
        <w:rPr>
          <w:rFonts w:ascii="Times New Roman" w:hAnsi="Times New Roman"/>
          <w:sz w:val="28"/>
          <w:szCs w:val="28"/>
        </w:rPr>
        <w:br w:type="page"/>
      </w:r>
    </w:p>
    <w:p>
      <w:pPr>
        <w:pStyle w:val="2"/>
        <w:numPr>
          <w:ilvl w:val="0"/>
          <w:numId w:val="1"/>
        </w:numPr>
        <w:spacing w:before="0" w:beforeAutospacing="0" w:after="0" w:afterAutospacing="0" w:line="360" w:lineRule="auto"/>
        <w:rPr>
          <w:rFonts w:ascii="Times New Roman" w:hAnsi="Times New Roman"/>
          <w:sz w:val="28"/>
          <w:szCs w:val="28"/>
        </w:rPr>
      </w:pPr>
      <w:bookmarkStart w:id="0" w:name="_Toc6997271"/>
      <w:r>
        <w:rPr>
          <w:rFonts w:hint="eastAsia" w:ascii="Times New Roman" w:hAnsi="Times New Roman"/>
          <w:sz w:val="28"/>
          <w:szCs w:val="28"/>
        </w:rPr>
        <w:t>工作简况</w:t>
      </w:r>
      <w:bookmarkEnd w:id="0"/>
    </w:p>
    <w:p>
      <w:pPr>
        <w:pStyle w:val="3"/>
        <w:spacing w:before="0" w:after="0" w:line="360" w:lineRule="auto"/>
        <w:rPr>
          <w:rFonts w:ascii="Times New Roman" w:hAnsi="Times New Roman"/>
          <w:sz w:val="24"/>
          <w:szCs w:val="24"/>
        </w:rPr>
      </w:pPr>
      <w:bookmarkStart w:id="1" w:name="_Toc6997272"/>
      <w:r>
        <w:rPr>
          <w:rFonts w:hint="eastAsia" w:ascii="Times New Roman" w:hAnsi="Times New Roman"/>
          <w:sz w:val="24"/>
          <w:szCs w:val="24"/>
        </w:rPr>
        <w:t>（一）立项目的</w:t>
      </w:r>
      <w:bookmarkEnd w:id="1"/>
    </w:p>
    <w:p>
      <w:pPr>
        <w:snapToGrid w:val="0"/>
        <w:spacing w:before="156" w:beforeLines="50"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党的十九大报告提出</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加快建立绿色生产和消费的法律制度和政策导向，建立健全绿色低碳循环发展的经济体系</w:t>
      </w:r>
      <w:r>
        <w:rPr>
          <w:rFonts w:hint="eastAsia" w:ascii="Times New Roman" w:hAnsi="Times New Roman" w:eastAsia="宋体" w:cs="Times New Roman"/>
          <w:color w:val="000000"/>
          <w:sz w:val="24"/>
          <w:szCs w:val="24"/>
        </w:rPr>
        <w:t>”。《中国制造2</w:t>
      </w:r>
      <w:r>
        <w:rPr>
          <w:rFonts w:ascii="Times New Roman" w:hAnsi="Times New Roman" w:eastAsia="宋体" w:cs="Times New Roman"/>
          <w:color w:val="000000"/>
          <w:sz w:val="24"/>
          <w:szCs w:val="24"/>
        </w:rPr>
        <w:t>025</w:t>
      </w:r>
      <w:r>
        <w:rPr>
          <w:rFonts w:hint="eastAsia" w:ascii="Times New Roman" w:hAnsi="Times New Roman" w:eastAsia="宋体" w:cs="Times New Roman"/>
          <w:color w:val="000000"/>
          <w:sz w:val="24"/>
          <w:szCs w:val="24"/>
        </w:rPr>
        <w:t>》提出，加快制造业绿色改造升级，积极推行低碳化、循环化和集约化；强化产品全生命周期绿色管理，全面推进钢铁、有色、化工、建材、轻工等传统制造业绿色改造。</w:t>
      </w:r>
    </w:p>
    <w:p>
      <w:pPr>
        <w:snapToGrid w:val="0"/>
        <w:spacing w:before="156" w:beforeLines="50"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建立统一的绿色产品体系有利于贯彻绿色发展理念、树立中国绿色产品的高端国际形象，有利于助推供给侧结构性改革、推动制造业水平和产品质量提升，有利于满足消费升级需求、为人民健康生活提供保障。</w:t>
      </w:r>
    </w:p>
    <w:p>
      <w:pPr>
        <w:snapToGrid w:val="0"/>
        <w:spacing w:before="156" w:beforeLines="50"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为加快推进生态文明建设，促进工业绿色发展，国家工信部发布了《工业绿色发展规划（2</w:t>
      </w:r>
      <w:r>
        <w:rPr>
          <w:rFonts w:ascii="Times New Roman" w:hAnsi="Times New Roman" w:eastAsia="宋体" w:cs="Times New Roman"/>
          <w:color w:val="000000"/>
          <w:sz w:val="24"/>
          <w:szCs w:val="24"/>
        </w:rPr>
        <w:t>016</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2020</w:t>
      </w:r>
      <w:r>
        <w:rPr>
          <w:rFonts w:hint="eastAsia" w:ascii="Times New Roman" w:hAnsi="Times New Roman" w:eastAsia="宋体" w:cs="Times New Roman"/>
          <w:color w:val="000000"/>
          <w:sz w:val="24"/>
          <w:szCs w:val="24"/>
        </w:rPr>
        <w:t>年）》，提出加快构建绿色制造体系，发展壮大绿色制造产业，强化产品全生命周期绿色管理，支持企业推行绿色设计，开发绿色产品，建设绿色工厂，发展绿色工业园区，打造绿色供应链，全面推进绿色制造体系建设。工信部、发改委、财政部、科技部联合发布的《绿色制造工程实施指南（2</w:t>
      </w:r>
      <w:r>
        <w:rPr>
          <w:rFonts w:ascii="Times New Roman" w:hAnsi="Times New Roman" w:eastAsia="宋体" w:cs="Times New Roman"/>
          <w:color w:val="000000"/>
          <w:sz w:val="24"/>
          <w:szCs w:val="24"/>
        </w:rPr>
        <w:t>016</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2020</w:t>
      </w:r>
      <w:r>
        <w:rPr>
          <w:rFonts w:hint="eastAsia" w:ascii="Times New Roman" w:hAnsi="Times New Roman" w:eastAsia="宋体" w:cs="Times New Roman"/>
          <w:color w:val="000000"/>
          <w:sz w:val="24"/>
          <w:szCs w:val="24"/>
        </w:rPr>
        <w:t>年）》提出，建立健全绿色标准，制修订能耗、水耗、物耗、污染控制、资源综合利用及绿色制造管理体系等标准规范，完善产品从设计、制造、使用、回收到再制造的全生命周期绿色标准。</w:t>
      </w:r>
    </w:p>
    <w:p>
      <w:pPr>
        <w:snapToGrid w:val="0"/>
        <w:spacing w:before="156" w:beforeLines="50"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电解铜箔绿色设计产品评价团体标准的制定和实施，能够持续推进电解铜箔产品的生命周期管理，降低生命周期各阶段资源环境影响度；推动完善绿色产品标准，支撑构建绿色制造体系；推动行业加快绿色化转型升级，提高制造过程的绿色化水平，形成绿色生产方式；积极推进电解铜箔产品绿色设计工作，提高产品竞争力，提升供给侧的质量和效益，也能够促进电解铜箔产品的技术进步和市场应用推广。</w:t>
      </w:r>
    </w:p>
    <w:p>
      <w:pPr>
        <w:pStyle w:val="3"/>
        <w:spacing w:before="0" w:after="0" w:line="360" w:lineRule="auto"/>
        <w:rPr>
          <w:rFonts w:ascii="Times New Roman" w:hAnsi="Times New Roman"/>
          <w:sz w:val="24"/>
          <w:szCs w:val="24"/>
        </w:rPr>
      </w:pPr>
      <w:bookmarkStart w:id="2" w:name="_Toc6997273"/>
      <w:r>
        <w:rPr>
          <w:rFonts w:hint="eastAsia" w:ascii="Times New Roman" w:hAnsi="Times New Roman"/>
          <w:sz w:val="24"/>
          <w:szCs w:val="24"/>
        </w:rPr>
        <w:t>（二）任务来源</w:t>
      </w:r>
      <w:bookmarkEnd w:id="2"/>
    </w:p>
    <w:p>
      <w:pPr>
        <w:spacing w:line="360" w:lineRule="auto"/>
        <w:ind w:firstLine="480" w:firstLineChars="200"/>
        <w:jc w:val="left"/>
        <w:rPr>
          <w:rFonts w:hint="eastAsia"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本标准是</w:t>
      </w:r>
      <w:r>
        <w:rPr>
          <w:rFonts w:ascii="Times New Roman" w:hAnsi="Times New Roman" w:eastAsia="宋体" w:cs="Times New Roman"/>
          <w:color w:val="FF0000"/>
          <w:sz w:val="24"/>
          <w:szCs w:val="24"/>
        </w:rPr>
        <w:t>《工业节能与绿色标准化行动计划（2017-2019年）》</w:t>
      </w:r>
      <w:r>
        <w:rPr>
          <w:rFonts w:hint="eastAsia" w:ascii="Times New Roman" w:hAnsi="Times New Roman" w:eastAsia="宋体" w:cs="Times New Roman"/>
          <w:color w:val="FF0000"/>
          <w:sz w:val="24"/>
          <w:szCs w:val="24"/>
        </w:rPr>
        <w:t>重点任务领域，</w:t>
      </w:r>
      <w:r>
        <w:rPr>
          <w:rFonts w:hint="eastAsia" w:ascii="Times New Roman" w:hAnsi="Times New Roman" w:eastAsia="宋体" w:cs="Times New Roman"/>
          <w:color w:val="FF0000"/>
          <w:sz w:val="24"/>
          <w:szCs w:val="24"/>
          <w:lang w:eastAsia="zh-CN"/>
        </w:rPr>
        <w:t>根据</w:t>
      </w:r>
      <w:r>
        <w:rPr>
          <w:rFonts w:hint="eastAsia" w:ascii="宋体" w:hAnsi="宋体" w:cs="宋体"/>
          <w:color w:val="FF0000"/>
          <w:sz w:val="24"/>
          <w:szCs w:val="24"/>
        </w:rPr>
        <w:t>中色协科字[2019]144号</w:t>
      </w:r>
      <w:r>
        <w:rPr>
          <w:rFonts w:hint="eastAsia" w:ascii="宋体" w:hAnsi="宋体" w:cs="宋体"/>
          <w:color w:val="FF0000"/>
          <w:sz w:val="24"/>
          <w:szCs w:val="24"/>
          <w:lang w:eastAsia="zh-CN"/>
        </w:rPr>
        <w:t>《关于下达</w:t>
      </w:r>
      <w:r>
        <w:rPr>
          <w:rFonts w:hint="eastAsia" w:ascii="宋体" w:hAnsi="宋体" w:cs="宋体"/>
          <w:color w:val="FF0000"/>
          <w:sz w:val="24"/>
          <w:szCs w:val="24"/>
          <w:lang w:val="en-US" w:eastAsia="zh-CN"/>
        </w:rPr>
        <w:t>2019年第三批协会标准制修订计划的通知</w:t>
      </w:r>
      <w:r>
        <w:rPr>
          <w:rFonts w:hint="eastAsia" w:ascii="宋体" w:hAnsi="宋体" w:cs="宋体"/>
          <w:color w:val="FF0000"/>
          <w:sz w:val="24"/>
          <w:szCs w:val="24"/>
          <w:lang w:eastAsia="zh-CN"/>
        </w:rPr>
        <w:t>》，</w:t>
      </w:r>
      <w:r>
        <w:rPr>
          <w:rFonts w:hint="eastAsia" w:ascii="宋体" w:hAnsi="宋体" w:cs="宋体"/>
          <w:color w:val="FF0000"/>
          <w:sz w:val="24"/>
          <w:szCs w:val="24"/>
          <w:lang w:val="en-US" w:eastAsia="zh-CN"/>
        </w:rPr>
        <w:t>其中</w:t>
      </w:r>
      <w:r>
        <w:rPr>
          <w:rFonts w:hint="eastAsia" w:asciiTheme="minorEastAsia" w:hAnsiTheme="minorEastAsia" w:eastAsiaTheme="minorEastAsia" w:cstheme="minorEastAsia"/>
          <w:b w:val="0"/>
          <w:bCs/>
          <w:color w:val="FF0000"/>
          <w:sz w:val="24"/>
          <w:szCs w:val="24"/>
        </w:rPr>
        <w:t>《绿色设计产品评价技术规范 电解铜箔》</w:t>
      </w:r>
      <w:r>
        <w:rPr>
          <w:rFonts w:hint="eastAsia" w:asciiTheme="minorEastAsia" w:hAnsiTheme="minorEastAsia" w:cstheme="minorEastAsia"/>
          <w:b w:val="0"/>
          <w:bCs/>
          <w:color w:val="FF0000"/>
          <w:sz w:val="24"/>
          <w:szCs w:val="24"/>
          <w:lang w:eastAsia="zh-CN"/>
        </w:rPr>
        <w:t>（项目编号</w:t>
      </w:r>
      <w:r>
        <w:rPr>
          <w:rFonts w:hint="eastAsia" w:ascii="宋体" w:hAnsi="宋体" w:cs="宋体"/>
          <w:color w:val="FF0000"/>
          <w:kern w:val="0"/>
          <w:sz w:val="24"/>
          <w:szCs w:val="24"/>
        </w:rPr>
        <w:t>2019-0024-T/CNIA</w:t>
      </w:r>
      <w:r>
        <w:rPr>
          <w:rFonts w:hint="eastAsia" w:asciiTheme="minorEastAsia" w:hAnsiTheme="minorEastAsia" w:cstheme="minorEastAsia"/>
          <w:b w:val="0"/>
          <w:bCs/>
          <w:color w:val="FF0000"/>
          <w:sz w:val="24"/>
          <w:szCs w:val="24"/>
          <w:lang w:eastAsia="zh-CN"/>
        </w:rPr>
        <w:t>），</w:t>
      </w:r>
      <w:r>
        <w:rPr>
          <w:rFonts w:hint="eastAsia" w:ascii="Times New Roman" w:hAnsi="Times New Roman" w:eastAsia="宋体" w:cs="Times New Roman"/>
          <w:color w:val="FF0000"/>
          <w:sz w:val="24"/>
          <w:szCs w:val="24"/>
        </w:rPr>
        <w:t>由青海电子材料产业发展有限公司牵头</w:t>
      </w:r>
      <w:r>
        <w:rPr>
          <w:rFonts w:hint="eastAsia" w:ascii="Times New Roman" w:hAnsi="Times New Roman" w:eastAsia="宋体" w:cs="Times New Roman"/>
          <w:color w:val="FF0000"/>
          <w:sz w:val="24"/>
          <w:szCs w:val="24"/>
          <w:lang w:eastAsia="zh-CN"/>
        </w:rPr>
        <w:t>，</w:t>
      </w:r>
      <w:r>
        <w:rPr>
          <w:rFonts w:hint="eastAsia" w:ascii="Times New Roman" w:hAnsi="Times New Roman" w:eastAsia="宋体" w:cs="Times New Roman"/>
          <w:color w:val="FF0000"/>
          <w:sz w:val="24"/>
          <w:szCs w:val="24"/>
        </w:rPr>
        <w:t>安徽铜冠铜箔有限公司、佛冈建滔实业有限公司、山东金都电子材料股份有限公司、江西省江铜耶兹铜箔有限公司、广东嘉元科技股份有限公司、联合铜箔（惠州）有限公司、青海诺德新材料有限公司、中关村国标节能低碳技术研究院、中标合信（北京）认证有限公司、圣达电气股份有限公司、铜陵市华创新材料有限公司</w:t>
      </w:r>
      <w:r>
        <w:rPr>
          <w:rFonts w:hint="eastAsia" w:ascii="Times New Roman" w:hAnsi="Times New Roman" w:eastAsia="宋体" w:cs="Times New Roman"/>
          <w:color w:val="FF0000"/>
          <w:sz w:val="24"/>
          <w:szCs w:val="24"/>
          <w:lang w:eastAsia="zh-CN"/>
        </w:rPr>
        <w:t>共同</w:t>
      </w:r>
      <w:r>
        <w:rPr>
          <w:rFonts w:hint="eastAsia" w:ascii="Times New Roman" w:hAnsi="Times New Roman" w:eastAsia="宋体" w:cs="Times New Roman"/>
          <w:color w:val="FF0000"/>
          <w:sz w:val="24"/>
          <w:szCs w:val="24"/>
          <w:lang w:eastAsia="zh-CN"/>
        </w:rPr>
        <w:t>参加标准编制工作，于</w:t>
      </w:r>
      <w:r>
        <w:rPr>
          <w:rFonts w:hint="eastAsia" w:ascii="Times New Roman" w:hAnsi="Times New Roman" w:eastAsia="宋体" w:cs="Times New Roman"/>
          <w:color w:val="FF0000"/>
          <w:sz w:val="24"/>
          <w:szCs w:val="24"/>
          <w:lang w:val="en-US" w:eastAsia="zh-CN"/>
        </w:rPr>
        <w:t>2020年完成</w:t>
      </w:r>
      <w:r>
        <w:rPr>
          <w:rFonts w:hint="eastAsia" w:ascii="Times New Roman" w:hAnsi="Times New Roman" w:eastAsia="宋体" w:cs="Times New Roman"/>
          <w:color w:val="FF0000"/>
          <w:sz w:val="24"/>
          <w:szCs w:val="24"/>
        </w:rPr>
        <w:t>。</w:t>
      </w:r>
      <w:bookmarkStart w:id="3" w:name="_Toc6997274"/>
    </w:p>
    <w:p>
      <w:pPr>
        <w:pStyle w:val="35"/>
        <w:spacing w:before="120" w:beforeLines="0" w:after="120" w:afterLines="0" w:line="320" w:lineRule="exact"/>
        <w:outlineLvl w:val="9"/>
        <w:rPr>
          <w:rFonts w:hint="eastAsia" w:hAnsi="黑体" w:cs="黑体"/>
        </w:rPr>
      </w:pPr>
      <w:r>
        <w:rPr>
          <w:rFonts w:hint="eastAsia" w:ascii="Times New Roman" w:hAnsi="Times New Roman"/>
          <w:color w:val="FF0000"/>
          <w:sz w:val="24"/>
          <w:szCs w:val="24"/>
        </w:rPr>
        <w:t>（三）</w:t>
      </w:r>
      <w:r>
        <w:rPr>
          <w:rFonts w:hint="eastAsia" w:hAnsi="黑体" w:cs="黑体"/>
          <w:color w:val="FF0000"/>
          <w:sz w:val="24"/>
          <w:szCs w:val="24"/>
        </w:rPr>
        <w:t>项目编制组成员</w:t>
      </w:r>
      <w:r>
        <w:rPr>
          <w:rFonts w:ascii="Times New Roman"/>
          <w:color w:val="FF0000"/>
          <w:sz w:val="24"/>
          <w:szCs w:val="24"/>
        </w:rPr>
        <w:t>及其所作工作</w:t>
      </w:r>
    </w:p>
    <w:p>
      <w:pPr>
        <w:pStyle w:val="7"/>
        <w:spacing w:line="360" w:lineRule="auto"/>
        <w:ind w:left="0" w:leftChars="0" w:firstLine="480" w:firstLineChars="200"/>
        <w:rPr>
          <w:rFonts w:hint="eastAsia"/>
        </w:rPr>
      </w:pPr>
      <w:r>
        <w:rPr>
          <w:rFonts w:hint="eastAsia" w:asciiTheme="minorEastAsia" w:hAnsiTheme="minorEastAsia" w:eastAsiaTheme="minorEastAsia" w:cstheme="minorEastAsia"/>
          <w:color w:val="FF0000"/>
          <w:sz w:val="24"/>
          <w:szCs w:val="24"/>
        </w:rPr>
        <w:t>本项目的编制组由</w:t>
      </w:r>
      <w:r>
        <w:rPr>
          <w:rFonts w:hint="eastAsia" w:asciiTheme="minorEastAsia" w:hAnsiTheme="minorEastAsia" w:eastAsiaTheme="minorEastAsia" w:cstheme="minorEastAsia"/>
          <w:color w:val="FF0000"/>
          <w:sz w:val="24"/>
          <w:szCs w:val="24"/>
        </w:rPr>
        <w:t>青海电子材料产业发展有限公司牵头</w:t>
      </w:r>
      <w:r>
        <w:rPr>
          <w:rFonts w:hint="eastAsia" w:asciiTheme="minorEastAsia" w:hAnsiTheme="minorEastAsia" w:eastAsiaTheme="minorEastAsia" w:cstheme="minorEastAsia"/>
          <w:color w:val="FF0000"/>
          <w:sz w:val="24"/>
          <w:szCs w:val="24"/>
          <w:lang w:eastAsia="zh-CN"/>
        </w:rPr>
        <w:t>，</w:t>
      </w:r>
      <w:r>
        <w:rPr>
          <w:rFonts w:hint="eastAsia" w:asciiTheme="minorEastAsia" w:hAnsiTheme="minorEastAsia" w:eastAsiaTheme="minorEastAsia" w:cstheme="minorEastAsia"/>
          <w:color w:val="FF0000"/>
          <w:sz w:val="24"/>
          <w:szCs w:val="24"/>
        </w:rPr>
        <w:t>安徽铜冠铜箔有限公司、佛冈建滔实业有限公司、山东金都电子材料股份有限公司、江西省江铜耶兹铜箔有限公司、广东嘉元科技股份有限公司、联合铜箔（惠州）有限公司、青海诺德新材料有限公司、中关村国标节能低碳技术研究院、中标合信（北京）认证有限公司、圣达电气股份有限公司、铜陵市华创新材料有限公司单位组成。</w:t>
      </w:r>
    </w:p>
    <w:p>
      <w:pPr>
        <w:pStyle w:val="35"/>
        <w:spacing w:before="120" w:beforeLines="0" w:after="120" w:afterLines="0" w:line="320" w:lineRule="exact"/>
        <w:outlineLvl w:val="9"/>
        <w:rPr>
          <w:rFonts w:hint="eastAsia" w:hAnsi="黑体" w:cs="黑体"/>
          <w:color w:val="FF0000"/>
          <w:sz w:val="24"/>
          <w:szCs w:val="24"/>
        </w:rPr>
      </w:pPr>
      <w:r>
        <w:rPr>
          <w:rFonts w:hint="eastAsia" w:hAnsi="黑体" w:cs="黑体"/>
          <w:color w:val="FF0000"/>
          <w:sz w:val="24"/>
          <w:szCs w:val="24"/>
        </w:rPr>
        <w:t>1）</w:t>
      </w:r>
      <w:r>
        <w:rPr>
          <w:rFonts w:hint="eastAsia" w:hAnsi="黑体" w:cs="黑体"/>
          <w:color w:val="FF0000"/>
          <w:sz w:val="24"/>
          <w:szCs w:val="24"/>
        </w:rPr>
        <w:t>编制单位的技术基础</w:t>
      </w:r>
    </w:p>
    <w:p>
      <w:pPr>
        <w:spacing w:line="360" w:lineRule="auto"/>
        <w:jc w:val="left"/>
        <w:rPr>
          <w:rFonts w:hint="eastAsia" w:ascii="Times New Roman" w:hAnsi="Times New Roman" w:eastAsiaTheme="minorEastAsia"/>
          <w:sz w:val="24"/>
          <w:szCs w:val="24"/>
          <w:lang w:eastAsia="zh-CN"/>
        </w:rPr>
      </w:pPr>
      <w:r>
        <w:rPr>
          <w:rFonts w:hint="eastAsia" w:ascii="Times New Roman" w:hAnsi="Times New Roman"/>
          <w:sz w:val="24"/>
          <w:szCs w:val="24"/>
        </w:rPr>
        <w:t xml:space="preserve"> </w:t>
      </w:r>
      <w:r>
        <w:rPr>
          <w:rFonts w:hint="eastAsia" w:ascii="Times New Roman" w:hAnsi="Times New Roman"/>
          <w:b/>
          <w:bCs/>
          <w:sz w:val="24"/>
          <w:szCs w:val="24"/>
        </w:rPr>
        <w:t>标准负责起草单位</w:t>
      </w:r>
      <w:bookmarkEnd w:id="3"/>
      <w:r>
        <w:rPr>
          <w:rFonts w:hint="eastAsia" w:ascii="Times New Roman" w:hAnsi="Times New Roman"/>
          <w:b/>
          <w:bCs/>
          <w:sz w:val="24"/>
          <w:szCs w:val="24"/>
          <w:lang w:eastAsia="zh-CN"/>
        </w:rPr>
        <w:t>：</w:t>
      </w:r>
    </w:p>
    <w:p>
      <w:pPr>
        <w:snapToGrid w:val="0"/>
        <w:spacing w:before="156" w:beforeLines="50" w:line="360" w:lineRule="auto"/>
        <w:ind w:firstLine="480" w:firstLineChars="20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青海电子材料产业发展有限公司成立于2</w:t>
      </w:r>
      <w:r>
        <w:rPr>
          <w:rFonts w:ascii="Times New Roman" w:hAnsi="Times New Roman" w:eastAsia="宋体" w:cs="Times New Roman"/>
          <w:color w:val="000000"/>
          <w:sz w:val="24"/>
          <w:szCs w:val="24"/>
        </w:rPr>
        <w:t>007</w:t>
      </w:r>
      <w:r>
        <w:rPr>
          <w:rFonts w:hint="eastAsia" w:ascii="Times New Roman" w:hAnsi="Times New Roman" w:eastAsia="宋体" w:cs="Times New Roman"/>
          <w:color w:val="000000"/>
          <w:sz w:val="24"/>
          <w:szCs w:val="24"/>
        </w:rPr>
        <w:t>年，是青海省重点工业企业及国家级高新技术企业。公司主营业务为开发、研制、生产、销售印制电路板（PCB）用高档电解铜箔、锂离子电池专用电解铜箔，设计产能为年产25000吨。公司成立以来持续进行技术研发创新，2016年报批建设“青海省电解铜箔工程技术研究中心”，围绕产品创新研发、工艺及设备技术创新主线，整合行业技术资源，加强校企、院企产学研合作和多行业国内外企业间交流合作，在重大产品创新、工艺创新方面取得了一定的成绩，形成了初具竞争力的专利自主知识产权。先后主持或参与制定国家标准《GB/T 31471-2015印制电路用金属箔通用规范》、锂离子电池行业标准《SJ/T 11483-2014锂离子电池用电解铜箔》、青海省地方标准《DB63/T1299-2014锂离子电池专用电解铜箔》、广东省地方标准《DB44/T 837-2010锂离子电池用电解铜箔》等。</w:t>
      </w:r>
    </w:p>
    <w:p>
      <w:pPr>
        <w:snapToGrid w:val="0"/>
        <w:spacing w:before="156" w:beforeLines="50" w:line="360" w:lineRule="auto"/>
        <w:ind w:firstLine="482" w:firstLineChars="200"/>
        <w:rPr>
          <w:rFonts w:hint="eastAsia" w:ascii="Times New Roman" w:hAnsi="Times New Roman"/>
          <w:b/>
          <w:bCs/>
          <w:color w:val="00B0F0"/>
          <w:sz w:val="24"/>
          <w:szCs w:val="24"/>
          <w:lang w:eastAsia="zh-CN"/>
        </w:rPr>
      </w:pPr>
      <w:r>
        <w:rPr>
          <w:rFonts w:hint="eastAsia" w:ascii="Times New Roman" w:hAnsi="Times New Roman"/>
          <w:b/>
          <w:bCs/>
          <w:color w:val="00B0F0"/>
          <w:sz w:val="24"/>
          <w:szCs w:val="24"/>
        </w:rPr>
        <w:t>标准</w:t>
      </w:r>
      <w:r>
        <w:rPr>
          <w:rFonts w:hint="eastAsia" w:ascii="Times New Roman" w:hAnsi="Times New Roman"/>
          <w:b/>
          <w:bCs/>
          <w:color w:val="00B0F0"/>
          <w:sz w:val="24"/>
          <w:szCs w:val="24"/>
          <w:lang w:eastAsia="zh-CN"/>
        </w:rPr>
        <w:t>参加</w:t>
      </w:r>
      <w:r>
        <w:rPr>
          <w:rFonts w:hint="eastAsia" w:ascii="Times New Roman" w:hAnsi="Times New Roman"/>
          <w:b/>
          <w:bCs/>
          <w:color w:val="00B0F0"/>
          <w:sz w:val="24"/>
          <w:szCs w:val="24"/>
        </w:rPr>
        <w:t>起草单位</w:t>
      </w:r>
      <w:r>
        <w:rPr>
          <w:rFonts w:hint="eastAsia" w:ascii="Times New Roman" w:hAnsi="Times New Roman"/>
          <w:b/>
          <w:bCs/>
          <w:color w:val="00B0F0"/>
          <w:sz w:val="24"/>
          <w:szCs w:val="24"/>
          <w:lang w:eastAsia="zh-CN"/>
        </w:rPr>
        <w:t>：</w:t>
      </w:r>
    </w:p>
    <w:p>
      <w:pPr>
        <w:pStyle w:val="35"/>
        <w:numPr>
          <w:ilvl w:val="0"/>
          <w:numId w:val="2"/>
        </w:numPr>
        <w:spacing w:before="120" w:beforeLines="0" w:after="120" w:afterLines="0" w:line="320" w:lineRule="exact"/>
        <w:outlineLvl w:val="9"/>
        <w:rPr>
          <w:rFonts w:ascii="Times New Roman"/>
          <w:color w:val="FF0000"/>
          <w:sz w:val="24"/>
          <w:szCs w:val="24"/>
        </w:rPr>
      </w:pPr>
      <w:r>
        <w:rPr>
          <w:rFonts w:hint="eastAsia" w:hAnsi="黑体" w:cs="黑体"/>
          <w:color w:val="FF0000"/>
          <w:sz w:val="24"/>
          <w:szCs w:val="24"/>
        </w:rPr>
        <w:t>编制单位</w:t>
      </w:r>
      <w:r>
        <w:rPr>
          <w:rFonts w:ascii="Times New Roman"/>
          <w:color w:val="FF0000"/>
          <w:sz w:val="24"/>
          <w:szCs w:val="24"/>
        </w:rPr>
        <w:t>所作工作</w:t>
      </w:r>
    </w:p>
    <w:p>
      <w:pPr>
        <w:pStyle w:val="36"/>
        <w:numPr>
          <w:numId w:val="0"/>
        </w:numPr>
        <w:rPr>
          <w:rFonts w:hint="eastAsia" w:eastAsia="宋体"/>
          <w:color w:val="00B0F0"/>
          <w:lang w:eastAsia="zh-CN"/>
        </w:rPr>
      </w:pPr>
      <w:r>
        <w:rPr>
          <w:rFonts w:hint="eastAsia"/>
          <w:color w:val="00B0F0"/>
          <w:lang w:eastAsia="zh-CN"/>
        </w:rPr>
        <w:t>示例：</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2" w:type="dxa"/>
          </w:tcPr>
          <w:p>
            <w:pPr>
              <w:spacing w:line="300" w:lineRule="auto"/>
              <w:ind w:firstLine="420" w:firstLineChars="200"/>
              <w:rPr>
                <w:rFonts w:hint="eastAsia" w:ascii="宋体" w:hAnsi="宋体" w:cs="宋体"/>
                <w:b/>
                <w:bCs/>
                <w:color w:val="00B0F0"/>
                <w:sz w:val="21"/>
                <w:szCs w:val="21"/>
              </w:rPr>
            </w:pPr>
            <w:r>
              <w:rPr>
                <w:rFonts w:hint="eastAsia" w:ascii="宋体" w:hAnsi="宋体" w:cs="宋体"/>
                <w:color w:val="00B0F0"/>
                <w:sz w:val="21"/>
                <w:szCs w:val="21"/>
              </w:rPr>
              <w:t>根据任务落实会会议精神，</w:t>
            </w:r>
            <w:r>
              <w:rPr>
                <w:rFonts w:hint="eastAsia" w:asciiTheme="minorEastAsia" w:hAnsiTheme="minorEastAsia" w:eastAsiaTheme="minorEastAsia" w:cstheme="minorEastAsia"/>
                <w:color w:val="00B0F0"/>
                <w:sz w:val="21"/>
                <w:szCs w:val="21"/>
              </w:rPr>
              <w:t>由青海电子材料产业发展有限公司牵头</w:t>
            </w:r>
            <w:r>
              <w:rPr>
                <w:rFonts w:hint="eastAsia" w:asciiTheme="minorEastAsia" w:hAnsiTheme="minorEastAsia" w:cstheme="minorEastAsia"/>
                <w:color w:val="00B0F0"/>
                <w:sz w:val="21"/>
                <w:szCs w:val="21"/>
                <w:lang w:eastAsia="zh-CN"/>
              </w:rPr>
              <w:t>，</w:t>
            </w:r>
            <w:r>
              <w:rPr>
                <w:rFonts w:hint="eastAsia" w:ascii="宋体" w:hAnsi="宋体" w:cs="宋体"/>
                <w:color w:val="00B0F0"/>
                <w:sz w:val="21"/>
                <w:szCs w:val="21"/>
              </w:rPr>
              <w:t>及时成立了标准</w:t>
            </w:r>
            <w:r>
              <w:rPr>
                <w:rFonts w:hint="eastAsia" w:ascii="宋体" w:hAnsi="宋体" w:cs="宋体"/>
                <w:color w:val="00B0F0"/>
                <w:sz w:val="21"/>
                <w:szCs w:val="21"/>
                <w:lang w:eastAsia="zh-CN"/>
              </w:rPr>
              <w:t>编制</w:t>
            </w:r>
            <w:r>
              <w:rPr>
                <w:rFonts w:hint="eastAsia" w:ascii="宋体" w:hAnsi="宋体" w:cs="宋体"/>
                <w:color w:val="00B0F0"/>
                <w:sz w:val="21"/>
                <w:szCs w:val="21"/>
              </w:rPr>
              <w:t>工作小组（以下简称编制组），并对编制组成员进行了明确职责分工，详见表1。</w:t>
            </w:r>
          </w:p>
          <w:p>
            <w:pPr>
              <w:spacing w:line="300" w:lineRule="auto"/>
              <w:jc w:val="center"/>
              <w:rPr>
                <w:rFonts w:hint="eastAsia" w:ascii="宋体" w:hAnsi="宋体" w:cs="宋体"/>
                <w:b/>
                <w:bCs/>
                <w:color w:val="00B0F0"/>
                <w:sz w:val="21"/>
                <w:szCs w:val="21"/>
              </w:rPr>
            </w:pPr>
            <w:r>
              <w:rPr>
                <w:rFonts w:hint="eastAsia" w:ascii="宋体" w:hAnsi="宋体" w:cs="宋体"/>
                <w:b/>
                <w:bCs/>
                <w:color w:val="00B0F0"/>
                <w:sz w:val="21"/>
                <w:szCs w:val="21"/>
              </w:rPr>
              <w:t>表1  标准编制组成员及职责</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721"/>
              <w:gridCol w:w="1281"/>
              <w:gridCol w:w="6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736" w:type="dxa"/>
                  <w:noWrap w:val="0"/>
                  <w:tcMar>
                    <w:top w:w="0" w:type="dxa"/>
                    <w:left w:w="108" w:type="dxa"/>
                    <w:bottom w:w="0" w:type="dxa"/>
                    <w:right w:w="108" w:type="dxa"/>
                  </w:tcMar>
                  <w:vAlign w:val="center"/>
                </w:tcPr>
                <w:p>
                  <w:pPr>
                    <w:jc w:val="center"/>
                    <w:rPr>
                      <w:rFonts w:ascii="宋体" w:hAnsi="宋体" w:cs="宋体"/>
                      <w:color w:val="00B0F0"/>
                      <w:szCs w:val="21"/>
                    </w:rPr>
                  </w:pPr>
                  <w:r>
                    <w:rPr>
                      <w:rFonts w:hint="eastAsia" w:ascii="宋体" w:hAnsi="宋体" w:cs="宋体"/>
                      <w:color w:val="00B0F0"/>
                      <w:szCs w:val="21"/>
                    </w:rPr>
                    <w:t>序号</w:t>
                  </w:r>
                </w:p>
              </w:tc>
              <w:tc>
                <w:tcPr>
                  <w:tcW w:w="1323" w:type="dxa"/>
                  <w:noWrap w:val="0"/>
                  <w:tcMar>
                    <w:top w:w="0" w:type="dxa"/>
                    <w:left w:w="108" w:type="dxa"/>
                    <w:bottom w:w="0" w:type="dxa"/>
                    <w:right w:w="108" w:type="dxa"/>
                  </w:tcMar>
                  <w:vAlign w:val="center"/>
                </w:tcPr>
                <w:p>
                  <w:pPr>
                    <w:jc w:val="center"/>
                    <w:rPr>
                      <w:rFonts w:hint="eastAsia" w:ascii="宋体" w:hAnsi="宋体" w:cs="宋体"/>
                      <w:color w:val="00B0F0"/>
                      <w:szCs w:val="21"/>
                    </w:rPr>
                  </w:pPr>
                  <w:r>
                    <w:rPr>
                      <w:rFonts w:hint="eastAsia" w:ascii="宋体" w:hAnsi="宋体" w:cs="宋体"/>
                      <w:color w:val="00B0F0"/>
                      <w:szCs w:val="21"/>
                    </w:rPr>
                    <w:t>起草人姓名</w:t>
                  </w:r>
                </w:p>
              </w:tc>
              <w:tc>
                <w:tcPr>
                  <w:tcW w:w="6572" w:type="dxa"/>
                  <w:noWrap w:val="0"/>
                  <w:tcMar>
                    <w:top w:w="0" w:type="dxa"/>
                    <w:left w:w="108" w:type="dxa"/>
                    <w:bottom w:w="0" w:type="dxa"/>
                    <w:right w:w="108" w:type="dxa"/>
                  </w:tcMar>
                  <w:vAlign w:val="center"/>
                </w:tcPr>
                <w:p>
                  <w:pPr>
                    <w:jc w:val="center"/>
                    <w:rPr>
                      <w:rFonts w:hint="eastAsia" w:ascii="宋体" w:hAnsi="宋体" w:cs="宋体"/>
                      <w:color w:val="00B0F0"/>
                      <w:szCs w:val="21"/>
                    </w:rPr>
                  </w:pPr>
                  <w:r>
                    <w:rPr>
                      <w:rFonts w:hint="eastAsia" w:ascii="宋体" w:hAnsi="宋体" w:cs="宋体"/>
                      <w:color w:val="00B0F0"/>
                      <w:szCs w:val="21"/>
                    </w:rPr>
                    <w:t>职  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736" w:type="dxa"/>
                  <w:noWrap w:val="0"/>
                  <w:tcMar>
                    <w:top w:w="0" w:type="dxa"/>
                    <w:left w:w="108" w:type="dxa"/>
                    <w:bottom w:w="0" w:type="dxa"/>
                    <w:right w:w="108" w:type="dxa"/>
                  </w:tcMar>
                  <w:vAlign w:val="center"/>
                </w:tcPr>
                <w:p>
                  <w:pPr>
                    <w:jc w:val="center"/>
                    <w:rPr>
                      <w:rFonts w:hint="eastAsia" w:ascii="宋体" w:hAnsi="宋体" w:cs="宋体"/>
                      <w:color w:val="00B0F0"/>
                      <w:szCs w:val="21"/>
                    </w:rPr>
                  </w:pPr>
                  <w:r>
                    <w:rPr>
                      <w:rFonts w:hint="eastAsia" w:ascii="宋体" w:hAnsi="宋体" w:cs="宋体"/>
                      <w:color w:val="00B0F0"/>
                      <w:szCs w:val="21"/>
                    </w:rPr>
                    <w:t>1</w:t>
                  </w:r>
                </w:p>
              </w:tc>
              <w:tc>
                <w:tcPr>
                  <w:tcW w:w="1323" w:type="dxa"/>
                  <w:noWrap w:val="0"/>
                  <w:tcMar>
                    <w:top w:w="0" w:type="dxa"/>
                    <w:left w:w="108" w:type="dxa"/>
                    <w:bottom w:w="0" w:type="dxa"/>
                    <w:right w:w="108" w:type="dxa"/>
                  </w:tcMar>
                  <w:vAlign w:val="center"/>
                </w:tcPr>
                <w:p>
                  <w:pPr>
                    <w:jc w:val="center"/>
                    <w:rPr>
                      <w:rFonts w:hint="eastAsia" w:ascii="宋体" w:hAnsi="宋体" w:cs="宋体"/>
                      <w:color w:val="00B0F0"/>
                      <w:szCs w:val="21"/>
                    </w:rPr>
                  </w:pPr>
                  <w:r>
                    <w:rPr>
                      <w:rFonts w:hint="eastAsia" w:ascii="宋体" w:hAnsi="宋体" w:cs="宋体"/>
                      <w:color w:val="00B0F0"/>
                      <w:szCs w:val="21"/>
                    </w:rPr>
                    <w:t>徐高磊</w:t>
                  </w:r>
                </w:p>
              </w:tc>
              <w:tc>
                <w:tcPr>
                  <w:tcW w:w="6572" w:type="dxa"/>
                  <w:noWrap w:val="0"/>
                  <w:tcMar>
                    <w:top w:w="0" w:type="dxa"/>
                    <w:left w:w="108" w:type="dxa"/>
                    <w:bottom w:w="0" w:type="dxa"/>
                    <w:right w:w="108" w:type="dxa"/>
                  </w:tcMar>
                  <w:vAlign w:val="center"/>
                </w:tcPr>
                <w:p>
                  <w:pPr>
                    <w:rPr>
                      <w:rFonts w:hint="eastAsia" w:ascii="宋体" w:hAnsi="宋体" w:cs="宋体"/>
                      <w:color w:val="00B0F0"/>
                      <w:szCs w:val="21"/>
                    </w:rPr>
                  </w:pPr>
                  <w:r>
                    <w:rPr>
                      <w:rFonts w:hint="eastAsia" w:ascii="宋体" w:hAnsi="宋体" w:cs="宋体"/>
                      <w:color w:val="00B0F0"/>
                      <w:szCs w:val="21"/>
                    </w:rPr>
                    <w:t>负责方案制定、铜银合金扁线产品情况调研、资料搜集、数据采集与汇总、主持标准条款编写、标准技术内容的审核、把关等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736" w:type="dxa"/>
                  <w:noWrap w:val="0"/>
                  <w:tcMar>
                    <w:top w:w="0" w:type="dxa"/>
                    <w:left w:w="108" w:type="dxa"/>
                    <w:bottom w:w="0" w:type="dxa"/>
                    <w:right w:w="108" w:type="dxa"/>
                  </w:tcMar>
                  <w:vAlign w:val="center"/>
                </w:tcPr>
                <w:p>
                  <w:pPr>
                    <w:jc w:val="center"/>
                    <w:rPr>
                      <w:rFonts w:hint="eastAsia" w:ascii="宋体" w:hAnsi="宋体" w:cs="宋体"/>
                      <w:color w:val="00B0F0"/>
                      <w:szCs w:val="21"/>
                    </w:rPr>
                  </w:pPr>
                  <w:r>
                    <w:rPr>
                      <w:rFonts w:hint="eastAsia" w:ascii="宋体" w:hAnsi="宋体" w:cs="宋体"/>
                      <w:color w:val="00B0F0"/>
                      <w:szCs w:val="21"/>
                    </w:rPr>
                    <w:t>2</w:t>
                  </w:r>
                </w:p>
              </w:tc>
              <w:tc>
                <w:tcPr>
                  <w:tcW w:w="1323" w:type="dxa"/>
                  <w:noWrap w:val="0"/>
                  <w:tcMar>
                    <w:top w:w="0" w:type="dxa"/>
                    <w:left w:w="108" w:type="dxa"/>
                    <w:bottom w:w="0" w:type="dxa"/>
                    <w:right w:w="108" w:type="dxa"/>
                  </w:tcMar>
                  <w:vAlign w:val="center"/>
                </w:tcPr>
                <w:p>
                  <w:pPr>
                    <w:jc w:val="center"/>
                    <w:rPr>
                      <w:rFonts w:hint="eastAsia" w:ascii="宋体" w:hAnsi="宋体" w:cs="宋体"/>
                      <w:color w:val="00B0F0"/>
                      <w:szCs w:val="21"/>
                    </w:rPr>
                  </w:pPr>
                  <w:r>
                    <w:rPr>
                      <w:rFonts w:hint="eastAsia"/>
                      <w:color w:val="00B0F0"/>
                      <w:szCs w:val="21"/>
                    </w:rPr>
                    <w:t>黄国杰</w:t>
                  </w:r>
                </w:p>
              </w:tc>
              <w:tc>
                <w:tcPr>
                  <w:tcW w:w="6572" w:type="dxa"/>
                  <w:noWrap w:val="0"/>
                  <w:tcMar>
                    <w:top w:w="0" w:type="dxa"/>
                    <w:left w:w="108" w:type="dxa"/>
                    <w:bottom w:w="0" w:type="dxa"/>
                    <w:right w:w="108" w:type="dxa"/>
                  </w:tcMar>
                  <w:vAlign w:val="center"/>
                </w:tcPr>
                <w:p>
                  <w:pPr>
                    <w:rPr>
                      <w:rFonts w:hint="eastAsia" w:ascii="宋体" w:hAnsi="宋体" w:cs="宋体"/>
                      <w:color w:val="00B0F0"/>
                      <w:szCs w:val="21"/>
                    </w:rPr>
                  </w:pPr>
                  <w:r>
                    <w:rPr>
                      <w:rFonts w:hint="eastAsia" w:ascii="宋体" w:hAnsi="宋体" w:cs="宋体"/>
                      <w:color w:val="00B0F0"/>
                      <w:szCs w:val="21"/>
                    </w:rPr>
                    <w:t>协助标准方案制定、铜银合金扁线产品调研、资料搜集、数据收集等。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736" w:type="dxa"/>
                  <w:noWrap w:val="0"/>
                  <w:tcMar>
                    <w:top w:w="0" w:type="dxa"/>
                    <w:left w:w="108" w:type="dxa"/>
                    <w:bottom w:w="0" w:type="dxa"/>
                    <w:right w:w="108" w:type="dxa"/>
                  </w:tcMar>
                  <w:vAlign w:val="center"/>
                </w:tcPr>
                <w:p>
                  <w:pPr>
                    <w:jc w:val="center"/>
                    <w:rPr>
                      <w:rFonts w:hint="eastAsia" w:ascii="宋体" w:hAnsi="宋体" w:cs="宋体"/>
                      <w:color w:val="00B0F0"/>
                      <w:szCs w:val="21"/>
                    </w:rPr>
                  </w:pPr>
                  <w:r>
                    <w:rPr>
                      <w:rFonts w:hint="eastAsia" w:ascii="宋体" w:hAnsi="宋体" w:cs="宋体"/>
                      <w:color w:val="00B0F0"/>
                      <w:szCs w:val="21"/>
                    </w:rPr>
                    <w:t>3</w:t>
                  </w:r>
                </w:p>
              </w:tc>
              <w:tc>
                <w:tcPr>
                  <w:tcW w:w="1323" w:type="dxa"/>
                  <w:noWrap w:val="0"/>
                  <w:tcMar>
                    <w:top w:w="0" w:type="dxa"/>
                    <w:left w:w="108" w:type="dxa"/>
                    <w:bottom w:w="0" w:type="dxa"/>
                    <w:right w:w="108" w:type="dxa"/>
                  </w:tcMar>
                  <w:vAlign w:val="center"/>
                </w:tcPr>
                <w:p>
                  <w:pPr>
                    <w:jc w:val="center"/>
                    <w:rPr>
                      <w:rFonts w:hint="eastAsia" w:ascii="宋体" w:hAnsi="宋体" w:cs="宋体"/>
                      <w:color w:val="00B0F0"/>
                      <w:szCs w:val="21"/>
                    </w:rPr>
                  </w:pPr>
                  <w:r>
                    <w:rPr>
                      <w:rFonts w:hint="eastAsia"/>
                      <w:color w:val="00B0F0"/>
                      <w:szCs w:val="21"/>
                    </w:rPr>
                    <w:t>李锋</w:t>
                  </w:r>
                </w:p>
              </w:tc>
              <w:tc>
                <w:tcPr>
                  <w:tcW w:w="6572" w:type="dxa"/>
                  <w:noWrap w:val="0"/>
                  <w:tcMar>
                    <w:top w:w="0" w:type="dxa"/>
                    <w:left w:w="108" w:type="dxa"/>
                    <w:bottom w:w="0" w:type="dxa"/>
                    <w:right w:w="108" w:type="dxa"/>
                  </w:tcMar>
                  <w:vAlign w:val="center"/>
                </w:tcPr>
                <w:p>
                  <w:pPr>
                    <w:rPr>
                      <w:rFonts w:hint="eastAsia" w:ascii="宋体" w:hAnsi="宋体" w:cs="宋体"/>
                      <w:color w:val="00B0F0"/>
                      <w:szCs w:val="21"/>
                    </w:rPr>
                  </w:pPr>
                  <w:r>
                    <w:rPr>
                      <w:rFonts w:hint="eastAsia" w:ascii="宋体" w:hAnsi="宋体" w:cs="宋体"/>
                      <w:color w:val="00B0F0"/>
                      <w:szCs w:val="21"/>
                    </w:rPr>
                    <w:t>参与铜银合金扁线产品资料搜集、协助标准条款与编制说明的编写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736" w:type="dxa"/>
                  <w:noWrap w:val="0"/>
                  <w:tcMar>
                    <w:top w:w="0" w:type="dxa"/>
                    <w:left w:w="108" w:type="dxa"/>
                    <w:bottom w:w="0" w:type="dxa"/>
                    <w:right w:w="108" w:type="dxa"/>
                  </w:tcMar>
                  <w:vAlign w:val="center"/>
                </w:tcPr>
                <w:p>
                  <w:pPr>
                    <w:jc w:val="center"/>
                    <w:rPr>
                      <w:rFonts w:ascii="宋体" w:hAnsi="宋体" w:cs="宋体"/>
                      <w:color w:val="00B0F0"/>
                      <w:szCs w:val="21"/>
                    </w:rPr>
                  </w:pPr>
                  <w:r>
                    <w:rPr>
                      <w:rFonts w:hint="eastAsia" w:ascii="宋体" w:hAnsi="宋体" w:cs="宋体"/>
                      <w:color w:val="00B0F0"/>
                      <w:szCs w:val="21"/>
                    </w:rPr>
                    <w:t>4</w:t>
                  </w:r>
                </w:p>
              </w:tc>
              <w:tc>
                <w:tcPr>
                  <w:tcW w:w="1323" w:type="dxa"/>
                  <w:noWrap w:val="0"/>
                  <w:tcMar>
                    <w:top w:w="0" w:type="dxa"/>
                    <w:left w:w="108" w:type="dxa"/>
                    <w:bottom w:w="0" w:type="dxa"/>
                    <w:right w:w="108" w:type="dxa"/>
                  </w:tcMar>
                  <w:vAlign w:val="center"/>
                </w:tcPr>
                <w:p>
                  <w:pPr>
                    <w:jc w:val="center"/>
                    <w:rPr>
                      <w:rFonts w:ascii="宋体" w:hAnsi="宋体" w:cs="宋体"/>
                      <w:color w:val="00B0F0"/>
                      <w:szCs w:val="21"/>
                    </w:rPr>
                  </w:pPr>
                  <w:r>
                    <w:rPr>
                      <w:rFonts w:hint="eastAsia"/>
                      <w:color w:val="00B0F0"/>
                      <w:szCs w:val="21"/>
                    </w:rPr>
                    <w:t>余锡孟</w:t>
                  </w:r>
                </w:p>
              </w:tc>
              <w:tc>
                <w:tcPr>
                  <w:tcW w:w="6572" w:type="dxa"/>
                  <w:noWrap w:val="0"/>
                  <w:tcMar>
                    <w:top w:w="0" w:type="dxa"/>
                    <w:left w:w="108" w:type="dxa"/>
                    <w:bottom w:w="0" w:type="dxa"/>
                    <w:right w:w="108" w:type="dxa"/>
                  </w:tcMar>
                  <w:vAlign w:val="center"/>
                </w:tcPr>
                <w:p>
                  <w:pPr>
                    <w:rPr>
                      <w:rFonts w:hint="eastAsia" w:ascii="宋体" w:hAnsi="宋体" w:cs="宋体"/>
                      <w:color w:val="00B0F0"/>
                      <w:szCs w:val="21"/>
                    </w:rPr>
                  </w:pPr>
                  <w:r>
                    <w:rPr>
                      <w:rFonts w:hint="eastAsia" w:ascii="宋体" w:hAnsi="宋体" w:cs="宋体"/>
                      <w:color w:val="00B0F0"/>
                      <w:szCs w:val="21"/>
                    </w:rPr>
                    <w:t>参与铜银合金扁线产品的调研、数据收集、技术参数的确定等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736" w:type="dxa"/>
                  <w:noWrap w:val="0"/>
                  <w:tcMar>
                    <w:top w:w="0" w:type="dxa"/>
                    <w:left w:w="108" w:type="dxa"/>
                    <w:bottom w:w="0" w:type="dxa"/>
                    <w:right w:w="108" w:type="dxa"/>
                  </w:tcMar>
                  <w:vAlign w:val="center"/>
                </w:tcPr>
                <w:p>
                  <w:pPr>
                    <w:jc w:val="center"/>
                    <w:rPr>
                      <w:rFonts w:ascii="宋体" w:hAnsi="宋体" w:cs="宋体"/>
                      <w:color w:val="00B0F0"/>
                      <w:szCs w:val="21"/>
                    </w:rPr>
                  </w:pPr>
                  <w:r>
                    <w:rPr>
                      <w:rFonts w:hint="eastAsia" w:ascii="宋体" w:hAnsi="宋体" w:cs="宋体"/>
                      <w:color w:val="00B0F0"/>
                      <w:szCs w:val="21"/>
                    </w:rPr>
                    <w:t>5</w:t>
                  </w:r>
                </w:p>
              </w:tc>
              <w:tc>
                <w:tcPr>
                  <w:tcW w:w="1323" w:type="dxa"/>
                  <w:noWrap w:val="0"/>
                  <w:tcMar>
                    <w:top w:w="0" w:type="dxa"/>
                    <w:left w:w="108" w:type="dxa"/>
                    <w:bottom w:w="0" w:type="dxa"/>
                    <w:right w:w="108" w:type="dxa"/>
                  </w:tcMar>
                  <w:vAlign w:val="center"/>
                </w:tcPr>
                <w:p>
                  <w:pPr>
                    <w:jc w:val="center"/>
                    <w:rPr>
                      <w:rFonts w:hint="eastAsia" w:ascii="宋体" w:hAnsi="宋体" w:cs="宋体"/>
                      <w:color w:val="00B0F0"/>
                      <w:szCs w:val="21"/>
                    </w:rPr>
                  </w:pPr>
                  <w:r>
                    <w:rPr>
                      <w:rFonts w:hint="eastAsia"/>
                      <w:color w:val="00B0F0"/>
                      <w:szCs w:val="21"/>
                    </w:rPr>
                    <w:t>赵星波</w:t>
                  </w:r>
                </w:p>
              </w:tc>
              <w:tc>
                <w:tcPr>
                  <w:tcW w:w="6572" w:type="dxa"/>
                  <w:noWrap w:val="0"/>
                  <w:tcMar>
                    <w:top w:w="0" w:type="dxa"/>
                    <w:left w:w="108" w:type="dxa"/>
                    <w:bottom w:w="0" w:type="dxa"/>
                    <w:right w:w="108" w:type="dxa"/>
                  </w:tcMar>
                  <w:vAlign w:val="center"/>
                </w:tcPr>
                <w:p>
                  <w:pPr>
                    <w:rPr>
                      <w:rFonts w:hint="eastAsia" w:ascii="宋体" w:hAnsi="宋体" w:cs="宋体"/>
                      <w:color w:val="00B0F0"/>
                      <w:szCs w:val="21"/>
                    </w:rPr>
                  </w:pPr>
                  <w:r>
                    <w:rPr>
                      <w:rFonts w:hint="eastAsia" w:ascii="宋体" w:hAnsi="宋体" w:cs="宋体"/>
                      <w:color w:val="00B0F0"/>
                      <w:szCs w:val="21"/>
                    </w:rPr>
                    <w:t>参与铜银合金扁线产品的调研、数据收集、技术参数的确定等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736" w:type="dxa"/>
                  <w:noWrap w:val="0"/>
                  <w:tcMar>
                    <w:top w:w="0" w:type="dxa"/>
                    <w:left w:w="108" w:type="dxa"/>
                    <w:bottom w:w="0" w:type="dxa"/>
                    <w:right w:w="108" w:type="dxa"/>
                  </w:tcMar>
                  <w:vAlign w:val="center"/>
                </w:tcPr>
                <w:p>
                  <w:pPr>
                    <w:jc w:val="center"/>
                    <w:rPr>
                      <w:rFonts w:hint="eastAsia" w:ascii="宋体" w:hAnsi="宋体"/>
                      <w:color w:val="00B0F0"/>
                      <w:szCs w:val="21"/>
                    </w:rPr>
                  </w:pPr>
                  <w:r>
                    <w:rPr>
                      <w:rFonts w:hint="eastAsia" w:ascii="宋体" w:hAnsi="宋体"/>
                      <w:color w:val="00B0F0"/>
                      <w:szCs w:val="21"/>
                    </w:rPr>
                    <w:t>6</w:t>
                  </w:r>
                </w:p>
              </w:tc>
              <w:tc>
                <w:tcPr>
                  <w:tcW w:w="1323" w:type="dxa"/>
                  <w:noWrap w:val="0"/>
                  <w:tcMar>
                    <w:top w:w="0" w:type="dxa"/>
                    <w:left w:w="108" w:type="dxa"/>
                    <w:bottom w:w="0" w:type="dxa"/>
                    <w:right w:w="108" w:type="dxa"/>
                  </w:tcMar>
                  <w:vAlign w:val="center"/>
                </w:tcPr>
                <w:p>
                  <w:pPr>
                    <w:jc w:val="center"/>
                    <w:rPr>
                      <w:rFonts w:hint="eastAsia" w:ascii="宋体" w:hAnsi="宋体" w:cs="宋体"/>
                      <w:color w:val="00B0F0"/>
                      <w:szCs w:val="21"/>
                    </w:rPr>
                  </w:pPr>
                  <w:r>
                    <w:rPr>
                      <w:rFonts w:hint="eastAsia"/>
                      <w:color w:val="00B0F0"/>
                      <w:szCs w:val="21"/>
                    </w:rPr>
                    <w:t>程叙毅</w:t>
                  </w:r>
                </w:p>
              </w:tc>
              <w:tc>
                <w:tcPr>
                  <w:tcW w:w="6572" w:type="dxa"/>
                  <w:noWrap w:val="0"/>
                  <w:tcMar>
                    <w:top w:w="0" w:type="dxa"/>
                    <w:left w:w="108" w:type="dxa"/>
                    <w:bottom w:w="0" w:type="dxa"/>
                    <w:right w:w="108" w:type="dxa"/>
                  </w:tcMar>
                  <w:vAlign w:val="center"/>
                </w:tcPr>
                <w:p>
                  <w:pPr>
                    <w:rPr>
                      <w:rFonts w:hint="eastAsia" w:ascii="宋体" w:hAnsi="宋体" w:cs="宋体"/>
                      <w:color w:val="00B0F0"/>
                      <w:szCs w:val="21"/>
                    </w:rPr>
                  </w:pPr>
                  <w:r>
                    <w:rPr>
                      <w:rFonts w:hint="eastAsia" w:ascii="宋体" w:hAnsi="宋体" w:cs="宋体"/>
                      <w:color w:val="00B0F0"/>
                      <w:szCs w:val="21"/>
                    </w:rPr>
                    <w:t>协助标准条款编写、技术参数的确定等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736" w:type="dxa"/>
                  <w:noWrap w:val="0"/>
                  <w:tcMar>
                    <w:top w:w="0" w:type="dxa"/>
                    <w:left w:w="108" w:type="dxa"/>
                    <w:bottom w:w="0" w:type="dxa"/>
                    <w:right w:w="108" w:type="dxa"/>
                  </w:tcMar>
                  <w:vAlign w:val="center"/>
                </w:tcPr>
                <w:p>
                  <w:pPr>
                    <w:jc w:val="center"/>
                    <w:rPr>
                      <w:rFonts w:ascii="宋体" w:hAnsi="宋体" w:cs="宋体"/>
                      <w:color w:val="00B0F0"/>
                      <w:szCs w:val="21"/>
                    </w:rPr>
                  </w:pPr>
                  <w:r>
                    <w:rPr>
                      <w:rFonts w:hint="eastAsia" w:ascii="宋体" w:hAnsi="宋体" w:cs="宋体"/>
                      <w:color w:val="00B0F0"/>
                      <w:szCs w:val="21"/>
                    </w:rPr>
                    <w:t>7</w:t>
                  </w:r>
                </w:p>
              </w:tc>
              <w:tc>
                <w:tcPr>
                  <w:tcW w:w="1323" w:type="dxa"/>
                  <w:noWrap w:val="0"/>
                  <w:tcMar>
                    <w:top w:w="0" w:type="dxa"/>
                    <w:left w:w="108" w:type="dxa"/>
                    <w:bottom w:w="0" w:type="dxa"/>
                    <w:right w:w="108" w:type="dxa"/>
                  </w:tcMar>
                  <w:vAlign w:val="center"/>
                </w:tcPr>
                <w:p>
                  <w:pPr>
                    <w:jc w:val="center"/>
                    <w:rPr>
                      <w:rFonts w:ascii="宋体" w:hAnsi="宋体" w:cs="宋体"/>
                      <w:color w:val="00B0F0"/>
                      <w:szCs w:val="21"/>
                    </w:rPr>
                  </w:pPr>
                  <w:r>
                    <w:rPr>
                      <w:rFonts w:hint="eastAsia"/>
                      <w:color w:val="00B0F0"/>
                      <w:szCs w:val="21"/>
                    </w:rPr>
                    <w:t>赵汝海</w:t>
                  </w:r>
                </w:p>
              </w:tc>
              <w:tc>
                <w:tcPr>
                  <w:tcW w:w="6572" w:type="dxa"/>
                  <w:noWrap w:val="0"/>
                  <w:tcMar>
                    <w:top w:w="0" w:type="dxa"/>
                    <w:left w:w="108" w:type="dxa"/>
                    <w:bottom w:w="0" w:type="dxa"/>
                    <w:right w:w="108" w:type="dxa"/>
                  </w:tcMar>
                  <w:vAlign w:val="center"/>
                </w:tcPr>
                <w:p>
                  <w:pPr>
                    <w:rPr>
                      <w:rFonts w:ascii="宋体" w:hAnsi="宋体" w:cs="宋体"/>
                      <w:color w:val="00B0F0"/>
                      <w:szCs w:val="21"/>
                    </w:rPr>
                  </w:pPr>
                  <w:r>
                    <w:rPr>
                      <w:rFonts w:hint="eastAsia" w:ascii="宋体" w:hAnsi="宋体" w:cs="宋体"/>
                      <w:color w:val="00B0F0"/>
                      <w:szCs w:val="21"/>
                    </w:rPr>
                    <w:t>参与铜银合金扁线产品调研、标准条款的确定等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736" w:type="dxa"/>
                  <w:noWrap w:val="0"/>
                  <w:tcMar>
                    <w:top w:w="0" w:type="dxa"/>
                    <w:left w:w="108" w:type="dxa"/>
                    <w:bottom w:w="0" w:type="dxa"/>
                    <w:right w:w="108" w:type="dxa"/>
                  </w:tcMar>
                  <w:vAlign w:val="center"/>
                </w:tcPr>
                <w:p>
                  <w:pPr>
                    <w:jc w:val="center"/>
                    <w:rPr>
                      <w:rFonts w:ascii="宋体" w:hAnsi="宋体" w:cs="宋体"/>
                      <w:color w:val="00B0F0"/>
                      <w:szCs w:val="21"/>
                    </w:rPr>
                  </w:pPr>
                  <w:r>
                    <w:rPr>
                      <w:rFonts w:hint="eastAsia" w:ascii="宋体" w:hAnsi="宋体" w:cs="宋体"/>
                      <w:color w:val="00B0F0"/>
                      <w:szCs w:val="21"/>
                    </w:rPr>
                    <w:t>8</w:t>
                  </w:r>
                </w:p>
              </w:tc>
              <w:tc>
                <w:tcPr>
                  <w:tcW w:w="1323" w:type="dxa"/>
                  <w:noWrap w:val="0"/>
                  <w:tcMar>
                    <w:top w:w="0" w:type="dxa"/>
                    <w:left w:w="108" w:type="dxa"/>
                    <w:bottom w:w="0" w:type="dxa"/>
                    <w:right w:w="108" w:type="dxa"/>
                  </w:tcMar>
                  <w:vAlign w:val="center"/>
                </w:tcPr>
                <w:p>
                  <w:pPr>
                    <w:jc w:val="center"/>
                    <w:rPr>
                      <w:rFonts w:ascii="宋体" w:hAnsi="宋体" w:cs="宋体"/>
                      <w:color w:val="00B0F0"/>
                      <w:szCs w:val="21"/>
                    </w:rPr>
                  </w:pPr>
                  <w:r>
                    <w:rPr>
                      <w:rFonts w:hint="eastAsia"/>
                      <w:color w:val="00B0F0"/>
                      <w:szCs w:val="21"/>
                    </w:rPr>
                    <w:t>曹玮超</w:t>
                  </w:r>
                </w:p>
              </w:tc>
              <w:tc>
                <w:tcPr>
                  <w:tcW w:w="6572" w:type="dxa"/>
                  <w:noWrap w:val="0"/>
                  <w:tcMar>
                    <w:top w:w="0" w:type="dxa"/>
                    <w:left w:w="108" w:type="dxa"/>
                    <w:bottom w:w="0" w:type="dxa"/>
                    <w:right w:w="108" w:type="dxa"/>
                  </w:tcMar>
                  <w:vAlign w:val="center"/>
                </w:tcPr>
                <w:p>
                  <w:pPr>
                    <w:rPr>
                      <w:rFonts w:ascii="宋体" w:hAnsi="宋体" w:cs="宋体"/>
                      <w:color w:val="00B0F0"/>
                      <w:szCs w:val="21"/>
                    </w:rPr>
                  </w:pPr>
                  <w:r>
                    <w:rPr>
                      <w:rFonts w:hint="eastAsia" w:ascii="宋体" w:hAnsi="宋体" w:cs="宋体"/>
                      <w:color w:val="00B0F0"/>
                      <w:szCs w:val="21"/>
                    </w:rPr>
                    <w:t>协助标准条款的确定、数据收据等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736" w:type="dxa"/>
                  <w:noWrap w:val="0"/>
                  <w:tcMar>
                    <w:top w:w="0" w:type="dxa"/>
                    <w:left w:w="108" w:type="dxa"/>
                    <w:bottom w:w="0" w:type="dxa"/>
                    <w:right w:w="108" w:type="dxa"/>
                  </w:tcMar>
                  <w:vAlign w:val="center"/>
                </w:tcPr>
                <w:p>
                  <w:pPr>
                    <w:jc w:val="center"/>
                    <w:rPr>
                      <w:rFonts w:ascii="宋体" w:hAnsi="宋体" w:cs="宋体"/>
                      <w:color w:val="00B0F0"/>
                      <w:szCs w:val="21"/>
                    </w:rPr>
                  </w:pPr>
                  <w:r>
                    <w:rPr>
                      <w:rFonts w:hint="eastAsia" w:ascii="宋体" w:hAnsi="宋体" w:cs="宋体"/>
                      <w:color w:val="00B0F0"/>
                      <w:szCs w:val="21"/>
                    </w:rPr>
                    <w:t>9</w:t>
                  </w:r>
                </w:p>
              </w:tc>
              <w:tc>
                <w:tcPr>
                  <w:tcW w:w="1323" w:type="dxa"/>
                  <w:noWrap w:val="0"/>
                  <w:tcMar>
                    <w:top w:w="0" w:type="dxa"/>
                    <w:left w:w="108" w:type="dxa"/>
                    <w:bottom w:w="0" w:type="dxa"/>
                    <w:right w:w="108" w:type="dxa"/>
                  </w:tcMar>
                  <w:vAlign w:val="center"/>
                </w:tcPr>
                <w:p>
                  <w:pPr>
                    <w:jc w:val="center"/>
                    <w:rPr>
                      <w:rFonts w:hint="eastAsia" w:ascii="宋体" w:hAnsi="宋体" w:cs="宋体"/>
                      <w:color w:val="00B0F0"/>
                      <w:szCs w:val="21"/>
                    </w:rPr>
                  </w:pPr>
                  <w:r>
                    <w:rPr>
                      <w:rFonts w:hint="eastAsia"/>
                      <w:color w:val="00B0F0"/>
                      <w:szCs w:val="21"/>
                    </w:rPr>
                    <w:t>钱康乐</w:t>
                  </w:r>
                </w:p>
              </w:tc>
              <w:tc>
                <w:tcPr>
                  <w:tcW w:w="6572" w:type="dxa"/>
                  <w:noWrap w:val="0"/>
                  <w:tcMar>
                    <w:top w:w="0" w:type="dxa"/>
                    <w:left w:w="108" w:type="dxa"/>
                    <w:bottom w:w="0" w:type="dxa"/>
                    <w:right w:w="108" w:type="dxa"/>
                  </w:tcMar>
                  <w:vAlign w:val="center"/>
                </w:tcPr>
                <w:p>
                  <w:pPr>
                    <w:rPr>
                      <w:rFonts w:hint="eastAsia" w:ascii="宋体" w:hAnsi="宋体" w:cs="宋体"/>
                      <w:color w:val="00B0F0"/>
                      <w:szCs w:val="21"/>
                    </w:rPr>
                  </w:pPr>
                  <w:r>
                    <w:rPr>
                      <w:rFonts w:hint="eastAsia" w:ascii="宋体" w:hAnsi="宋体" w:cs="宋体"/>
                      <w:color w:val="00B0F0"/>
                      <w:szCs w:val="21"/>
                    </w:rPr>
                    <w:t>参与铜银合金扁线产品资料搜集、数据采集与汇总、标准条款与编制说明的编写等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736" w:type="dxa"/>
                  <w:noWrap w:val="0"/>
                  <w:tcMar>
                    <w:top w:w="0" w:type="dxa"/>
                    <w:left w:w="108" w:type="dxa"/>
                    <w:bottom w:w="0" w:type="dxa"/>
                    <w:right w:w="108" w:type="dxa"/>
                  </w:tcMar>
                  <w:vAlign w:val="center"/>
                </w:tcPr>
                <w:p>
                  <w:pPr>
                    <w:jc w:val="center"/>
                    <w:rPr>
                      <w:rFonts w:ascii="宋体" w:hAnsi="宋体" w:cs="宋体"/>
                      <w:color w:val="00B0F0"/>
                      <w:szCs w:val="21"/>
                    </w:rPr>
                  </w:pPr>
                  <w:r>
                    <w:rPr>
                      <w:rFonts w:hint="eastAsia" w:ascii="宋体" w:hAnsi="宋体" w:cs="宋体"/>
                      <w:color w:val="00B0F0"/>
                      <w:szCs w:val="21"/>
                    </w:rPr>
                    <w:t>10</w:t>
                  </w:r>
                </w:p>
              </w:tc>
              <w:tc>
                <w:tcPr>
                  <w:tcW w:w="1323" w:type="dxa"/>
                  <w:noWrap w:val="0"/>
                  <w:tcMar>
                    <w:top w:w="0" w:type="dxa"/>
                    <w:left w:w="108" w:type="dxa"/>
                    <w:bottom w:w="0" w:type="dxa"/>
                    <w:right w:w="108" w:type="dxa"/>
                  </w:tcMar>
                  <w:vAlign w:val="center"/>
                </w:tcPr>
                <w:p>
                  <w:pPr>
                    <w:jc w:val="center"/>
                    <w:rPr>
                      <w:rFonts w:hint="eastAsia" w:ascii="宋体" w:hAnsi="宋体" w:cs="宋体"/>
                      <w:color w:val="00B0F0"/>
                      <w:szCs w:val="21"/>
                    </w:rPr>
                  </w:pPr>
                  <w:r>
                    <w:rPr>
                      <w:rFonts w:hint="eastAsia"/>
                      <w:color w:val="00B0F0"/>
                      <w:szCs w:val="21"/>
                    </w:rPr>
                    <w:t>彭丽军</w:t>
                  </w:r>
                </w:p>
              </w:tc>
              <w:tc>
                <w:tcPr>
                  <w:tcW w:w="6572" w:type="dxa"/>
                  <w:noWrap w:val="0"/>
                  <w:tcMar>
                    <w:top w:w="0" w:type="dxa"/>
                    <w:left w:w="108" w:type="dxa"/>
                    <w:bottom w:w="0" w:type="dxa"/>
                    <w:right w:w="108" w:type="dxa"/>
                  </w:tcMar>
                  <w:vAlign w:val="center"/>
                </w:tcPr>
                <w:p>
                  <w:pPr>
                    <w:rPr>
                      <w:rFonts w:hint="eastAsia" w:ascii="宋体" w:hAnsi="宋体" w:cs="宋体"/>
                      <w:color w:val="00B0F0"/>
                      <w:szCs w:val="21"/>
                    </w:rPr>
                  </w:pPr>
                  <w:r>
                    <w:rPr>
                      <w:rFonts w:hint="eastAsia" w:ascii="宋体" w:hAnsi="宋体" w:cs="宋体"/>
                      <w:color w:val="00B0F0"/>
                      <w:szCs w:val="21"/>
                    </w:rPr>
                    <w:t>参与方案制定、铜银合金扁线产品的调研、资料搜集、标准条款编写等。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736" w:type="dxa"/>
                  <w:noWrap w:val="0"/>
                  <w:tcMar>
                    <w:top w:w="0" w:type="dxa"/>
                    <w:left w:w="108" w:type="dxa"/>
                    <w:bottom w:w="0" w:type="dxa"/>
                    <w:right w:w="108" w:type="dxa"/>
                  </w:tcMar>
                  <w:vAlign w:val="center"/>
                </w:tcPr>
                <w:p>
                  <w:pPr>
                    <w:jc w:val="center"/>
                    <w:rPr>
                      <w:rFonts w:ascii="宋体" w:hAnsi="宋体" w:cs="宋体"/>
                      <w:color w:val="00B0F0"/>
                      <w:szCs w:val="21"/>
                    </w:rPr>
                  </w:pPr>
                  <w:r>
                    <w:rPr>
                      <w:rFonts w:hint="eastAsia" w:ascii="宋体" w:hAnsi="宋体" w:cs="宋体"/>
                      <w:color w:val="00B0F0"/>
                      <w:szCs w:val="21"/>
                    </w:rPr>
                    <w:t>11</w:t>
                  </w:r>
                </w:p>
              </w:tc>
              <w:tc>
                <w:tcPr>
                  <w:tcW w:w="1323" w:type="dxa"/>
                  <w:noWrap w:val="0"/>
                  <w:tcMar>
                    <w:top w:w="0" w:type="dxa"/>
                    <w:left w:w="108" w:type="dxa"/>
                    <w:bottom w:w="0" w:type="dxa"/>
                    <w:right w:w="108" w:type="dxa"/>
                  </w:tcMar>
                  <w:vAlign w:val="center"/>
                </w:tcPr>
                <w:p>
                  <w:pPr>
                    <w:jc w:val="center"/>
                    <w:rPr>
                      <w:rFonts w:ascii="宋体" w:hAnsi="宋体" w:cs="宋体"/>
                      <w:color w:val="00B0F0"/>
                      <w:szCs w:val="21"/>
                    </w:rPr>
                  </w:pPr>
                  <w:r>
                    <w:rPr>
                      <w:rFonts w:hint="eastAsia"/>
                      <w:color w:val="00B0F0"/>
                      <w:szCs w:val="21"/>
                    </w:rPr>
                    <w:t>解浩峰</w:t>
                  </w:r>
                </w:p>
              </w:tc>
              <w:tc>
                <w:tcPr>
                  <w:tcW w:w="6572" w:type="dxa"/>
                  <w:noWrap w:val="0"/>
                  <w:tcMar>
                    <w:top w:w="0" w:type="dxa"/>
                    <w:left w:w="108" w:type="dxa"/>
                    <w:bottom w:w="0" w:type="dxa"/>
                    <w:right w:w="108" w:type="dxa"/>
                  </w:tcMar>
                  <w:vAlign w:val="center"/>
                </w:tcPr>
                <w:p>
                  <w:pPr>
                    <w:rPr>
                      <w:rFonts w:hint="eastAsia" w:ascii="宋体" w:hAnsi="宋体" w:cs="宋体"/>
                      <w:color w:val="00B0F0"/>
                      <w:szCs w:val="21"/>
                    </w:rPr>
                  </w:pPr>
                  <w:r>
                    <w:rPr>
                      <w:rFonts w:hint="eastAsia" w:ascii="宋体" w:hAnsi="宋体" w:cs="宋体"/>
                      <w:color w:val="00B0F0"/>
                      <w:szCs w:val="21"/>
                    </w:rPr>
                    <w:t>参与铜银合金扁线产品调研、技术参数确定等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736" w:type="dxa"/>
                  <w:noWrap w:val="0"/>
                  <w:tcMar>
                    <w:top w:w="0" w:type="dxa"/>
                    <w:left w:w="108" w:type="dxa"/>
                    <w:bottom w:w="0" w:type="dxa"/>
                    <w:right w:w="108" w:type="dxa"/>
                  </w:tcMar>
                  <w:vAlign w:val="center"/>
                </w:tcPr>
                <w:p>
                  <w:pPr>
                    <w:jc w:val="center"/>
                    <w:rPr>
                      <w:rFonts w:ascii="宋体" w:hAnsi="宋体" w:cs="宋体"/>
                      <w:color w:val="00B0F0"/>
                      <w:szCs w:val="21"/>
                    </w:rPr>
                  </w:pPr>
                  <w:r>
                    <w:rPr>
                      <w:rFonts w:hint="eastAsia" w:ascii="宋体" w:hAnsi="宋体" w:cs="宋体"/>
                      <w:color w:val="00B0F0"/>
                      <w:szCs w:val="21"/>
                    </w:rPr>
                    <w:t>12</w:t>
                  </w:r>
                </w:p>
              </w:tc>
              <w:tc>
                <w:tcPr>
                  <w:tcW w:w="1323" w:type="dxa"/>
                  <w:noWrap w:val="0"/>
                  <w:tcMar>
                    <w:top w:w="0" w:type="dxa"/>
                    <w:left w:w="108" w:type="dxa"/>
                    <w:bottom w:w="0" w:type="dxa"/>
                    <w:right w:w="108" w:type="dxa"/>
                  </w:tcMar>
                  <w:vAlign w:val="center"/>
                </w:tcPr>
                <w:p>
                  <w:pPr>
                    <w:jc w:val="center"/>
                    <w:rPr>
                      <w:rFonts w:ascii="宋体" w:hAnsi="宋体" w:cs="宋体"/>
                      <w:color w:val="00B0F0"/>
                      <w:szCs w:val="21"/>
                    </w:rPr>
                  </w:pPr>
                  <w:r>
                    <w:rPr>
                      <w:rFonts w:hint="eastAsia" w:ascii="宋体" w:hAnsi="宋体" w:cs="宋体"/>
                      <w:color w:val="00B0F0"/>
                      <w:szCs w:val="21"/>
                    </w:rPr>
                    <w:t>仇海斌</w:t>
                  </w:r>
                </w:p>
              </w:tc>
              <w:tc>
                <w:tcPr>
                  <w:tcW w:w="6572" w:type="dxa"/>
                  <w:noWrap w:val="0"/>
                  <w:tcMar>
                    <w:top w:w="0" w:type="dxa"/>
                    <w:left w:w="108" w:type="dxa"/>
                    <w:bottom w:w="0" w:type="dxa"/>
                    <w:right w:w="108" w:type="dxa"/>
                  </w:tcMar>
                  <w:vAlign w:val="center"/>
                </w:tcPr>
                <w:p>
                  <w:pPr>
                    <w:rPr>
                      <w:rFonts w:hint="eastAsia" w:ascii="宋体" w:hAnsi="宋体" w:cs="宋体"/>
                      <w:color w:val="00B0F0"/>
                      <w:szCs w:val="21"/>
                    </w:rPr>
                  </w:pPr>
                  <w:r>
                    <w:rPr>
                      <w:rFonts w:hint="eastAsia" w:ascii="宋体" w:hAnsi="宋体" w:cs="宋体"/>
                      <w:color w:val="00B0F0"/>
                      <w:szCs w:val="21"/>
                    </w:rPr>
                    <w:t>参与铜铜银合金扁线产品调研、技术参数确定等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736" w:type="dxa"/>
                  <w:noWrap w:val="0"/>
                  <w:tcMar>
                    <w:top w:w="0" w:type="dxa"/>
                    <w:left w:w="108" w:type="dxa"/>
                    <w:bottom w:w="0" w:type="dxa"/>
                    <w:right w:w="108" w:type="dxa"/>
                  </w:tcMar>
                  <w:vAlign w:val="center"/>
                </w:tcPr>
                <w:p>
                  <w:pPr>
                    <w:jc w:val="center"/>
                    <w:rPr>
                      <w:rFonts w:ascii="宋体" w:hAnsi="宋体" w:cs="宋体"/>
                      <w:color w:val="00B0F0"/>
                      <w:szCs w:val="21"/>
                    </w:rPr>
                  </w:pPr>
                  <w:r>
                    <w:rPr>
                      <w:rFonts w:hint="eastAsia" w:ascii="宋体" w:hAnsi="宋体" w:cs="宋体"/>
                      <w:color w:val="00B0F0"/>
                      <w:szCs w:val="21"/>
                    </w:rPr>
                    <w:t>12</w:t>
                  </w:r>
                </w:p>
              </w:tc>
              <w:tc>
                <w:tcPr>
                  <w:tcW w:w="1323" w:type="dxa"/>
                  <w:noWrap w:val="0"/>
                  <w:tcMar>
                    <w:top w:w="0" w:type="dxa"/>
                    <w:left w:w="108" w:type="dxa"/>
                    <w:bottom w:w="0" w:type="dxa"/>
                    <w:right w:w="108" w:type="dxa"/>
                  </w:tcMar>
                  <w:vAlign w:val="center"/>
                </w:tcPr>
                <w:p>
                  <w:pPr>
                    <w:jc w:val="center"/>
                    <w:rPr>
                      <w:rFonts w:ascii="宋体" w:hAnsi="宋体" w:cs="宋体"/>
                      <w:color w:val="00B0F0"/>
                      <w:szCs w:val="21"/>
                    </w:rPr>
                  </w:pPr>
                  <w:r>
                    <w:rPr>
                      <w:rFonts w:hint="eastAsia"/>
                      <w:color w:val="00B0F0"/>
                      <w:szCs w:val="21"/>
                    </w:rPr>
                    <w:t>彭孜</w:t>
                  </w:r>
                </w:p>
              </w:tc>
              <w:tc>
                <w:tcPr>
                  <w:tcW w:w="6572" w:type="dxa"/>
                  <w:noWrap w:val="0"/>
                  <w:tcMar>
                    <w:top w:w="0" w:type="dxa"/>
                    <w:left w:w="108" w:type="dxa"/>
                    <w:bottom w:w="0" w:type="dxa"/>
                    <w:right w:w="108" w:type="dxa"/>
                  </w:tcMar>
                  <w:vAlign w:val="center"/>
                </w:tcPr>
                <w:p>
                  <w:pPr>
                    <w:rPr>
                      <w:rFonts w:ascii="宋体" w:hAnsi="宋体" w:cs="宋体"/>
                      <w:color w:val="00B0F0"/>
                      <w:szCs w:val="21"/>
                    </w:rPr>
                  </w:pPr>
                  <w:r>
                    <w:rPr>
                      <w:rFonts w:hint="eastAsia" w:ascii="宋体" w:hAnsi="宋体" w:cs="宋体"/>
                      <w:color w:val="00B0F0"/>
                      <w:szCs w:val="21"/>
                    </w:rPr>
                    <w:t>参与铜银合金扁线产品调研、技术参数确定等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736" w:type="dxa"/>
                  <w:noWrap w:val="0"/>
                  <w:tcMar>
                    <w:top w:w="0" w:type="dxa"/>
                    <w:left w:w="108" w:type="dxa"/>
                    <w:bottom w:w="0" w:type="dxa"/>
                    <w:right w:w="108" w:type="dxa"/>
                  </w:tcMar>
                  <w:vAlign w:val="center"/>
                </w:tcPr>
                <w:p>
                  <w:pPr>
                    <w:jc w:val="center"/>
                    <w:rPr>
                      <w:rFonts w:ascii="宋体" w:hAnsi="宋体" w:cs="宋体"/>
                      <w:color w:val="00B0F0"/>
                      <w:szCs w:val="21"/>
                    </w:rPr>
                  </w:pPr>
                  <w:r>
                    <w:rPr>
                      <w:rFonts w:hint="eastAsia" w:ascii="宋体" w:hAnsi="宋体" w:cs="宋体"/>
                      <w:color w:val="00B0F0"/>
                      <w:szCs w:val="21"/>
                    </w:rPr>
                    <w:t>13</w:t>
                  </w:r>
                </w:p>
              </w:tc>
              <w:tc>
                <w:tcPr>
                  <w:tcW w:w="1323" w:type="dxa"/>
                  <w:noWrap w:val="0"/>
                  <w:tcMar>
                    <w:top w:w="0" w:type="dxa"/>
                    <w:left w:w="108" w:type="dxa"/>
                    <w:bottom w:w="0" w:type="dxa"/>
                    <w:right w:w="108" w:type="dxa"/>
                  </w:tcMar>
                  <w:vAlign w:val="center"/>
                </w:tcPr>
                <w:p>
                  <w:pPr>
                    <w:jc w:val="center"/>
                    <w:rPr>
                      <w:rFonts w:ascii="宋体" w:hAnsi="宋体" w:cs="宋体"/>
                      <w:color w:val="00B0F0"/>
                      <w:szCs w:val="21"/>
                    </w:rPr>
                  </w:pPr>
                  <w:r>
                    <w:rPr>
                      <w:rFonts w:hint="eastAsia"/>
                      <w:color w:val="00B0F0"/>
                      <w:szCs w:val="21"/>
                    </w:rPr>
                    <w:t>张鹏</w:t>
                  </w:r>
                </w:p>
              </w:tc>
              <w:tc>
                <w:tcPr>
                  <w:tcW w:w="6572" w:type="dxa"/>
                  <w:noWrap w:val="0"/>
                  <w:tcMar>
                    <w:top w:w="0" w:type="dxa"/>
                    <w:left w:w="108" w:type="dxa"/>
                    <w:bottom w:w="0" w:type="dxa"/>
                    <w:right w:w="108" w:type="dxa"/>
                  </w:tcMar>
                  <w:vAlign w:val="center"/>
                </w:tcPr>
                <w:p>
                  <w:pPr>
                    <w:rPr>
                      <w:rFonts w:hint="eastAsia" w:ascii="宋体" w:hAnsi="宋体" w:cs="宋体"/>
                      <w:color w:val="00B0F0"/>
                      <w:szCs w:val="21"/>
                    </w:rPr>
                  </w:pPr>
                  <w:r>
                    <w:rPr>
                      <w:rFonts w:hint="eastAsia" w:ascii="宋体" w:hAnsi="宋体" w:cs="宋体"/>
                      <w:color w:val="00B0F0"/>
                      <w:szCs w:val="21"/>
                    </w:rPr>
                    <w:t>协助标准方案制定、铜废料利用情况调研等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736" w:type="dxa"/>
                  <w:noWrap w:val="0"/>
                  <w:tcMar>
                    <w:top w:w="0" w:type="dxa"/>
                    <w:left w:w="108" w:type="dxa"/>
                    <w:bottom w:w="0" w:type="dxa"/>
                    <w:right w:w="108" w:type="dxa"/>
                  </w:tcMar>
                  <w:vAlign w:val="center"/>
                </w:tcPr>
                <w:p>
                  <w:pPr>
                    <w:jc w:val="center"/>
                    <w:rPr>
                      <w:rFonts w:ascii="宋体" w:hAnsi="宋体" w:cs="宋体"/>
                      <w:color w:val="00B0F0"/>
                      <w:szCs w:val="21"/>
                    </w:rPr>
                  </w:pPr>
                  <w:r>
                    <w:rPr>
                      <w:rFonts w:hint="eastAsia" w:ascii="宋体" w:hAnsi="宋体" w:cs="宋体"/>
                      <w:color w:val="00B0F0"/>
                      <w:szCs w:val="21"/>
                    </w:rPr>
                    <w:t>14</w:t>
                  </w:r>
                </w:p>
              </w:tc>
              <w:tc>
                <w:tcPr>
                  <w:tcW w:w="1323" w:type="dxa"/>
                  <w:noWrap w:val="0"/>
                  <w:tcMar>
                    <w:top w:w="0" w:type="dxa"/>
                    <w:left w:w="108" w:type="dxa"/>
                    <w:bottom w:w="0" w:type="dxa"/>
                    <w:right w:w="108" w:type="dxa"/>
                  </w:tcMar>
                  <w:vAlign w:val="center"/>
                </w:tcPr>
                <w:p>
                  <w:pPr>
                    <w:jc w:val="center"/>
                    <w:rPr>
                      <w:rFonts w:hint="eastAsia" w:ascii="宋体" w:hAnsi="宋体" w:cs="宋体"/>
                      <w:color w:val="00B0F0"/>
                      <w:szCs w:val="21"/>
                    </w:rPr>
                  </w:pPr>
                  <w:r>
                    <w:rPr>
                      <w:rFonts w:hint="eastAsia"/>
                      <w:color w:val="00B0F0"/>
                      <w:szCs w:val="21"/>
                    </w:rPr>
                    <w:t>程列鑫</w:t>
                  </w:r>
                </w:p>
              </w:tc>
              <w:tc>
                <w:tcPr>
                  <w:tcW w:w="6572" w:type="dxa"/>
                  <w:noWrap w:val="0"/>
                  <w:tcMar>
                    <w:top w:w="0" w:type="dxa"/>
                    <w:left w:w="108" w:type="dxa"/>
                    <w:bottom w:w="0" w:type="dxa"/>
                    <w:right w:w="108" w:type="dxa"/>
                  </w:tcMar>
                  <w:vAlign w:val="center"/>
                </w:tcPr>
                <w:p>
                  <w:pPr>
                    <w:rPr>
                      <w:rFonts w:hint="eastAsia" w:ascii="宋体" w:hAnsi="宋体" w:cs="宋体"/>
                      <w:color w:val="00B0F0"/>
                      <w:szCs w:val="21"/>
                    </w:rPr>
                  </w:pPr>
                  <w:r>
                    <w:rPr>
                      <w:rFonts w:hint="eastAsia" w:ascii="宋体" w:hAnsi="宋体" w:cs="宋体"/>
                      <w:color w:val="00B0F0"/>
                      <w:szCs w:val="21"/>
                    </w:rPr>
                    <w:t>参与铜银合金扁线产品调研、技术参数确定等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736" w:type="dxa"/>
                  <w:noWrap w:val="0"/>
                  <w:tcMar>
                    <w:top w:w="0" w:type="dxa"/>
                    <w:left w:w="108" w:type="dxa"/>
                    <w:bottom w:w="0" w:type="dxa"/>
                    <w:right w:w="108" w:type="dxa"/>
                  </w:tcMar>
                  <w:vAlign w:val="center"/>
                </w:tcPr>
                <w:p>
                  <w:pPr>
                    <w:jc w:val="center"/>
                    <w:rPr>
                      <w:rFonts w:hint="eastAsia" w:ascii="宋体" w:hAnsi="宋体" w:cs="宋体"/>
                      <w:color w:val="00B0F0"/>
                      <w:szCs w:val="21"/>
                    </w:rPr>
                  </w:pPr>
                  <w:r>
                    <w:rPr>
                      <w:rFonts w:hint="eastAsia" w:ascii="宋体" w:hAnsi="宋体" w:cs="宋体"/>
                      <w:color w:val="00B0F0"/>
                      <w:szCs w:val="21"/>
                    </w:rPr>
                    <w:t>15</w:t>
                  </w:r>
                </w:p>
              </w:tc>
              <w:tc>
                <w:tcPr>
                  <w:tcW w:w="1323" w:type="dxa"/>
                  <w:noWrap w:val="0"/>
                  <w:tcMar>
                    <w:top w:w="0" w:type="dxa"/>
                    <w:left w:w="108" w:type="dxa"/>
                    <w:bottom w:w="0" w:type="dxa"/>
                    <w:right w:w="108" w:type="dxa"/>
                  </w:tcMar>
                  <w:vAlign w:val="center"/>
                </w:tcPr>
                <w:p>
                  <w:pPr>
                    <w:jc w:val="center"/>
                    <w:rPr>
                      <w:rFonts w:hint="eastAsia" w:ascii="宋体" w:hAnsi="宋体" w:cs="宋体"/>
                      <w:color w:val="00B0F0"/>
                      <w:szCs w:val="21"/>
                    </w:rPr>
                  </w:pPr>
                  <w:r>
                    <w:rPr>
                      <w:rFonts w:hint="eastAsia"/>
                      <w:color w:val="00B0F0"/>
                      <w:szCs w:val="21"/>
                    </w:rPr>
                    <w:t>杜锡勇</w:t>
                  </w:r>
                </w:p>
              </w:tc>
              <w:tc>
                <w:tcPr>
                  <w:tcW w:w="6572" w:type="dxa"/>
                  <w:noWrap w:val="0"/>
                  <w:tcMar>
                    <w:top w:w="0" w:type="dxa"/>
                    <w:left w:w="108" w:type="dxa"/>
                    <w:bottom w:w="0" w:type="dxa"/>
                    <w:right w:w="108" w:type="dxa"/>
                  </w:tcMar>
                  <w:vAlign w:val="center"/>
                </w:tcPr>
                <w:p>
                  <w:pPr>
                    <w:rPr>
                      <w:rFonts w:hint="eastAsia" w:ascii="宋体" w:hAnsi="宋体" w:cs="宋体"/>
                      <w:color w:val="00B0F0"/>
                      <w:szCs w:val="21"/>
                    </w:rPr>
                  </w:pPr>
                  <w:r>
                    <w:rPr>
                      <w:rFonts w:hint="eastAsia" w:ascii="宋体" w:hAnsi="宋体" w:cs="宋体"/>
                      <w:color w:val="00B0F0"/>
                      <w:szCs w:val="21"/>
                    </w:rPr>
                    <w:t>协助标准条款的确定、数据收据等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736" w:type="dxa"/>
                  <w:noWrap w:val="0"/>
                  <w:tcMar>
                    <w:top w:w="0" w:type="dxa"/>
                    <w:left w:w="108" w:type="dxa"/>
                    <w:bottom w:w="0" w:type="dxa"/>
                    <w:right w:w="108" w:type="dxa"/>
                  </w:tcMar>
                  <w:vAlign w:val="center"/>
                </w:tcPr>
                <w:p>
                  <w:pPr>
                    <w:jc w:val="center"/>
                    <w:rPr>
                      <w:rFonts w:hint="eastAsia" w:ascii="宋体" w:hAnsi="宋体" w:cs="宋体"/>
                      <w:color w:val="00B0F0"/>
                      <w:szCs w:val="21"/>
                    </w:rPr>
                  </w:pPr>
                  <w:r>
                    <w:rPr>
                      <w:rFonts w:hint="eastAsia" w:ascii="宋体" w:hAnsi="宋体" w:cs="宋体"/>
                      <w:color w:val="00B0F0"/>
                      <w:szCs w:val="21"/>
                    </w:rPr>
                    <w:t>16</w:t>
                  </w:r>
                </w:p>
              </w:tc>
              <w:tc>
                <w:tcPr>
                  <w:tcW w:w="1323" w:type="dxa"/>
                  <w:noWrap w:val="0"/>
                  <w:tcMar>
                    <w:top w:w="0" w:type="dxa"/>
                    <w:left w:w="108" w:type="dxa"/>
                    <w:bottom w:w="0" w:type="dxa"/>
                    <w:right w:w="108" w:type="dxa"/>
                  </w:tcMar>
                  <w:vAlign w:val="center"/>
                </w:tcPr>
                <w:p>
                  <w:pPr>
                    <w:jc w:val="center"/>
                    <w:rPr>
                      <w:rFonts w:hint="eastAsia"/>
                      <w:color w:val="00B0F0"/>
                      <w:szCs w:val="21"/>
                    </w:rPr>
                  </w:pPr>
                  <w:r>
                    <w:rPr>
                      <w:rFonts w:hint="eastAsia"/>
                      <w:color w:val="00B0F0"/>
                      <w:szCs w:val="21"/>
                    </w:rPr>
                    <w:t>黄翔</w:t>
                  </w:r>
                </w:p>
              </w:tc>
              <w:tc>
                <w:tcPr>
                  <w:tcW w:w="6572" w:type="dxa"/>
                  <w:noWrap w:val="0"/>
                  <w:tcMar>
                    <w:top w:w="0" w:type="dxa"/>
                    <w:left w:w="108" w:type="dxa"/>
                    <w:bottom w:w="0" w:type="dxa"/>
                    <w:right w:w="108" w:type="dxa"/>
                  </w:tcMar>
                  <w:vAlign w:val="center"/>
                </w:tcPr>
                <w:p>
                  <w:pPr>
                    <w:rPr>
                      <w:rFonts w:hint="eastAsia" w:ascii="宋体" w:hAnsi="宋体" w:cs="宋体"/>
                      <w:color w:val="00B0F0"/>
                      <w:szCs w:val="21"/>
                    </w:rPr>
                  </w:pPr>
                  <w:r>
                    <w:rPr>
                      <w:rFonts w:hint="eastAsia" w:ascii="宋体" w:hAnsi="宋体" w:cs="宋体"/>
                      <w:color w:val="00B0F0"/>
                      <w:szCs w:val="21"/>
                    </w:rPr>
                    <w:t>参与铜银合金扁线产品调研、技术参数确定等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736" w:type="dxa"/>
                  <w:noWrap w:val="0"/>
                  <w:tcMar>
                    <w:top w:w="0" w:type="dxa"/>
                    <w:left w:w="108" w:type="dxa"/>
                    <w:bottom w:w="0" w:type="dxa"/>
                    <w:right w:w="108" w:type="dxa"/>
                  </w:tcMar>
                  <w:vAlign w:val="center"/>
                </w:tcPr>
                <w:p>
                  <w:pPr>
                    <w:jc w:val="center"/>
                    <w:rPr>
                      <w:rFonts w:hint="eastAsia" w:ascii="宋体" w:hAnsi="宋体" w:cs="宋体"/>
                      <w:color w:val="00B0F0"/>
                      <w:szCs w:val="21"/>
                    </w:rPr>
                  </w:pPr>
                  <w:r>
                    <w:rPr>
                      <w:rFonts w:hint="eastAsia" w:ascii="宋体" w:hAnsi="宋体" w:cs="宋体"/>
                      <w:color w:val="00B0F0"/>
                      <w:szCs w:val="21"/>
                    </w:rPr>
                    <w:t>17</w:t>
                  </w:r>
                </w:p>
              </w:tc>
              <w:tc>
                <w:tcPr>
                  <w:tcW w:w="1323" w:type="dxa"/>
                  <w:noWrap w:val="0"/>
                  <w:tcMar>
                    <w:top w:w="0" w:type="dxa"/>
                    <w:left w:w="108" w:type="dxa"/>
                    <w:bottom w:w="0" w:type="dxa"/>
                    <w:right w:w="108" w:type="dxa"/>
                  </w:tcMar>
                  <w:vAlign w:val="center"/>
                </w:tcPr>
                <w:p>
                  <w:pPr>
                    <w:jc w:val="center"/>
                    <w:rPr>
                      <w:rFonts w:hint="eastAsia"/>
                      <w:color w:val="00B0F0"/>
                      <w:szCs w:val="21"/>
                    </w:rPr>
                  </w:pPr>
                  <w:r>
                    <w:rPr>
                      <w:rFonts w:hint="eastAsia"/>
                      <w:color w:val="00B0F0"/>
                      <w:szCs w:val="21"/>
                    </w:rPr>
                    <w:t>沈建</w:t>
                  </w:r>
                </w:p>
              </w:tc>
              <w:tc>
                <w:tcPr>
                  <w:tcW w:w="6572" w:type="dxa"/>
                  <w:noWrap w:val="0"/>
                  <w:tcMar>
                    <w:top w:w="0" w:type="dxa"/>
                    <w:left w:w="108" w:type="dxa"/>
                    <w:bottom w:w="0" w:type="dxa"/>
                    <w:right w:w="108" w:type="dxa"/>
                  </w:tcMar>
                  <w:vAlign w:val="center"/>
                </w:tcPr>
                <w:p>
                  <w:pPr>
                    <w:rPr>
                      <w:rFonts w:hint="eastAsia" w:ascii="宋体" w:hAnsi="宋体" w:cs="宋体"/>
                      <w:color w:val="00B0F0"/>
                      <w:szCs w:val="21"/>
                    </w:rPr>
                  </w:pPr>
                  <w:r>
                    <w:rPr>
                      <w:rFonts w:hint="eastAsia" w:ascii="宋体" w:hAnsi="宋体" w:cs="宋体"/>
                      <w:color w:val="00B0F0"/>
                      <w:szCs w:val="21"/>
                    </w:rPr>
                    <w:t>参与铜银合金扁线产品调研、技术参数确定等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736" w:type="dxa"/>
                  <w:noWrap w:val="0"/>
                  <w:tcMar>
                    <w:top w:w="0" w:type="dxa"/>
                    <w:left w:w="108" w:type="dxa"/>
                    <w:bottom w:w="0" w:type="dxa"/>
                    <w:right w:w="108" w:type="dxa"/>
                  </w:tcMar>
                  <w:vAlign w:val="center"/>
                </w:tcPr>
                <w:p>
                  <w:pPr>
                    <w:jc w:val="center"/>
                    <w:rPr>
                      <w:rFonts w:hint="eastAsia" w:ascii="宋体" w:hAnsi="宋体" w:cs="宋体"/>
                      <w:color w:val="00B0F0"/>
                      <w:szCs w:val="21"/>
                    </w:rPr>
                  </w:pPr>
                  <w:r>
                    <w:rPr>
                      <w:rFonts w:hint="eastAsia" w:ascii="宋体" w:hAnsi="宋体" w:cs="宋体"/>
                      <w:color w:val="00B0F0"/>
                      <w:szCs w:val="21"/>
                    </w:rPr>
                    <w:t>18</w:t>
                  </w:r>
                </w:p>
              </w:tc>
              <w:tc>
                <w:tcPr>
                  <w:tcW w:w="1323" w:type="dxa"/>
                  <w:noWrap w:val="0"/>
                  <w:tcMar>
                    <w:top w:w="0" w:type="dxa"/>
                    <w:left w:w="108" w:type="dxa"/>
                    <w:bottom w:w="0" w:type="dxa"/>
                    <w:right w:w="108" w:type="dxa"/>
                  </w:tcMar>
                  <w:vAlign w:val="center"/>
                </w:tcPr>
                <w:p>
                  <w:pPr>
                    <w:jc w:val="center"/>
                    <w:rPr>
                      <w:rFonts w:hint="eastAsia"/>
                      <w:color w:val="00B0F0"/>
                      <w:szCs w:val="21"/>
                    </w:rPr>
                  </w:pPr>
                  <w:r>
                    <w:rPr>
                      <w:rFonts w:hint="eastAsia"/>
                      <w:color w:val="00B0F0"/>
                      <w:szCs w:val="21"/>
                    </w:rPr>
                    <w:t>汪传灿</w:t>
                  </w:r>
                </w:p>
              </w:tc>
              <w:tc>
                <w:tcPr>
                  <w:tcW w:w="6572" w:type="dxa"/>
                  <w:noWrap w:val="0"/>
                  <w:tcMar>
                    <w:top w:w="0" w:type="dxa"/>
                    <w:left w:w="108" w:type="dxa"/>
                    <w:bottom w:w="0" w:type="dxa"/>
                    <w:right w:w="108" w:type="dxa"/>
                  </w:tcMar>
                  <w:vAlign w:val="center"/>
                </w:tcPr>
                <w:p>
                  <w:pPr>
                    <w:rPr>
                      <w:rFonts w:hint="eastAsia" w:ascii="宋体" w:hAnsi="宋体" w:cs="宋体"/>
                      <w:color w:val="00B0F0"/>
                      <w:szCs w:val="21"/>
                    </w:rPr>
                  </w:pPr>
                  <w:r>
                    <w:rPr>
                      <w:rFonts w:hint="eastAsia" w:ascii="宋体" w:hAnsi="宋体" w:cs="宋体"/>
                      <w:color w:val="00B0F0"/>
                      <w:szCs w:val="21"/>
                    </w:rPr>
                    <w:t>参与铜银合金扁线产品调研、技术参数确定等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736" w:type="dxa"/>
                  <w:noWrap w:val="0"/>
                  <w:tcMar>
                    <w:top w:w="0" w:type="dxa"/>
                    <w:left w:w="108" w:type="dxa"/>
                    <w:bottom w:w="0" w:type="dxa"/>
                    <w:right w:w="108" w:type="dxa"/>
                  </w:tcMar>
                  <w:vAlign w:val="center"/>
                </w:tcPr>
                <w:p>
                  <w:pPr>
                    <w:jc w:val="center"/>
                    <w:rPr>
                      <w:rFonts w:hint="eastAsia" w:ascii="宋体" w:hAnsi="宋体" w:cs="宋体"/>
                      <w:color w:val="00B0F0"/>
                      <w:szCs w:val="21"/>
                    </w:rPr>
                  </w:pPr>
                  <w:r>
                    <w:rPr>
                      <w:rFonts w:hint="eastAsia" w:ascii="宋体" w:hAnsi="宋体" w:cs="宋体"/>
                      <w:color w:val="00B0F0"/>
                      <w:szCs w:val="21"/>
                    </w:rPr>
                    <w:t>19</w:t>
                  </w:r>
                </w:p>
              </w:tc>
              <w:tc>
                <w:tcPr>
                  <w:tcW w:w="1323" w:type="dxa"/>
                  <w:noWrap w:val="0"/>
                  <w:tcMar>
                    <w:top w:w="0" w:type="dxa"/>
                    <w:left w:w="108" w:type="dxa"/>
                    <w:bottom w:w="0" w:type="dxa"/>
                    <w:right w:w="108" w:type="dxa"/>
                  </w:tcMar>
                  <w:vAlign w:val="center"/>
                </w:tcPr>
                <w:p>
                  <w:pPr>
                    <w:jc w:val="center"/>
                    <w:rPr>
                      <w:rFonts w:hint="eastAsia"/>
                      <w:color w:val="00B0F0"/>
                      <w:szCs w:val="21"/>
                    </w:rPr>
                  </w:pPr>
                  <w:r>
                    <w:rPr>
                      <w:rFonts w:hint="eastAsia"/>
                      <w:color w:val="00B0F0"/>
                      <w:szCs w:val="21"/>
                    </w:rPr>
                    <w:t>张燕</w:t>
                  </w:r>
                </w:p>
              </w:tc>
              <w:tc>
                <w:tcPr>
                  <w:tcW w:w="6572" w:type="dxa"/>
                  <w:noWrap w:val="0"/>
                  <w:tcMar>
                    <w:top w:w="0" w:type="dxa"/>
                    <w:left w:w="108" w:type="dxa"/>
                    <w:bottom w:w="0" w:type="dxa"/>
                    <w:right w:w="108" w:type="dxa"/>
                  </w:tcMar>
                  <w:vAlign w:val="center"/>
                </w:tcPr>
                <w:p>
                  <w:pPr>
                    <w:rPr>
                      <w:rFonts w:hint="eastAsia" w:ascii="宋体" w:hAnsi="宋体" w:cs="宋体"/>
                      <w:color w:val="00B0F0"/>
                      <w:szCs w:val="21"/>
                    </w:rPr>
                  </w:pPr>
                  <w:r>
                    <w:rPr>
                      <w:rFonts w:hint="eastAsia" w:ascii="宋体" w:hAnsi="宋体" w:cs="宋体"/>
                      <w:color w:val="00B0F0"/>
                      <w:szCs w:val="21"/>
                    </w:rPr>
                    <w:t>参与铜银合金扁线产品调研、技术参数确定等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736" w:type="dxa"/>
                  <w:noWrap w:val="0"/>
                  <w:tcMar>
                    <w:top w:w="0" w:type="dxa"/>
                    <w:left w:w="108" w:type="dxa"/>
                    <w:bottom w:w="0" w:type="dxa"/>
                    <w:right w:w="108" w:type="dxa"/>
                  </w:tcMar>
                  <w:vAlign w:val="center"/>
                </w:tcPr>
                <w:p>
                  <w:pPr>
                    <w:jc w:val="center"/>
                    <w:rPr>
                      <w:rFonts w:hint="eastAsia" w:ascii="宋体" w:hAnsi="宋体" w:cs="宋体"/>
                      <w:color w:val="00B0F0"/>
                      <w:szCs w:val="21"/>
                    </w:rPr>
                  </w:pPr>
                  <w:r>
                    <w:rPr>
                      <w:rFonts w:hint="eastAsia" w:ascii="宋体" w:hAnsi="宋体" w:cs="宋体"/>
                      <w:color w:val="00B0F0"/>
                      <w:szCs w:val="21"/>
                    </w:rPr>
                    <w:t>20</w:t>
                  </w:r>
                </w:p>
              </w:tc>
              <w:tc>
                <w:tcPr>
                  <w:tcW w:w="1323" w:type="dxa"/>
                  <w:noWrap w:val="0"/>
                  <w:tcMar>
                    <w:top w:w="0" w:type="dxa"/>
                    <w:left w:w="108" w:type="dxa"/>
                    <w:bottom w:w="0" w:type="dxa"/>
                    <w:right w:w="108" w:type="dxa"/>
                  </w:tcMar>
                  <w:vAlign w:val="center"/>
                </w:tcPr>
                <w:p>
                  <w:pPr>
                    <w:jc w:val="center"/>
                    <w:rPr>
                      <w:rFonts w:hint="eastAsia"/>
                      <w:color w:val="00B0F0"/>
                      <w:szCs w:val="21"/>
                    </w:rPr>
                  </w:pPr>
                  <w:r>
                    <w:rPr>
                      <w:rFonts w:hint="eastAsia"/>
                      <w:color w:val="00B0F0"/>
                      <w:szCs w:val="21"/>
                    </w:rPr>
                    <w:t>竺哲明</w:t>
                  </w:r>
                </w:p>
              </w:tc>
              <w:tc>
                <w:tcPr>
                  <w:tcW w:w="6572" w:type="dxa"/>
                  <w:noWrap w:val="0"/>
                  <w:tcMar>
                    <w:top w:w="0" w:type="dxa"/>
                    <w:left w:w="108" w:type="dxa"/>
                    <w:bottom w:w="0" w:type="dxa"/>
                    <w:right w:w="108" w:type="dxa"/>
                  </w:tcMar>
                  <w:vAlign w:val="center"/>
                </w:tcPr>
                <w:p>
                  <w:pPr>
                    <w:rPr>
                      <w:rFonts w:hint="eastAsia" w:ascii="宋体" w:hAnsi="宋体" w:cs="宋体"/>
                      <w:color w:val="00B0F0"/>
                      <w:szCs w:val="21"/>
                    </w:rPr>
                  </w:pPr>
                  <w:r>
                    <w:rPr>
                      <w:rFonts w:hint="eastAsia" w:ascii="宋体" w:hAnsi="宋体" w:cs="宋体"/>
                      <w:color w:val="00B0F0"/>
                      <w:szCs w:val="21"/>
                    </w:rPr>
                    <w:t>参与铜银合金扁线产品调研、技术参数确定等</w:t>
                  </w:r>
                </w:p>
              </w:tc>
            </w:tr>
          </w:tbl>
          <w:p>
            <w:pPr>
              <w:snapToGrid w:val="0"/>
              <w:spacing w:before="156" w:beforeLines="50" w:line="360" w:lineRule="auto"/>
              <w:rPr>
                <w:rFonts w:hint="eastAsia" w:ascii="Times New Roman" w:hAnsi="Times New Roman"/>
                <w:b/>
                <w:bCs/>
                <w:color w:val="00B0F0"/>
                <w:sz w:val="24"/>
                <w:szCs w:val="24"/>
                <w:vertAlign w:val="baseline"/>
                <w:lang w:eastAsia="zh-CN"/>
              </w:rPr>
            </w:pPr>
          </w:p>
        </w:tc>
      </w:tr>
    </w:tbl>
    <w:p>
      <w:pPr>
        <w:snapToGrid w:val="0"/>
        <w:spacing w:before="156" w:beforeLines="50" w:line="360" w:lineRule="auto"/>
        <w:ind w:firstLine="482" w:firstLineChars="200"/>
        <w:rPr>
          <w:rFonts w:hint="eastAsia" w:ascii="Times New Roman" w:hAnsi="Times New Roman"/>
          <w:b/>
          <w:bCs/>
          <w:color w:val="00B0F0"/>
          <w:sz w:val="24"/>
          <w:szCs w:val="24"/>
          <w:lang w:eastAsia="zh-CN"/>
        </w:rPr>
      </w:pPr>
    </w:p>
    <w:p>
      <w:pPr>
        <w:pStyle w:val="3"/>
        <w:spacing w:before="0" w:after="0" w:line="360" w:lineRule="auto"/>
        <w:rPr>
          <w:rFonts w:ascii="Times New Roman" w:hAnsi="Times New Roman"/>
          <w:sz w:val="24"/>
          <w:szCs w:val="24"/>
        </w:rPr>
      </w:pPr>
      <w:bookmarkStart w:id="4" w:name="_Toc6997275"/>
      <w:r>
        <w:rPr>
          <w:rFonts w:hint="eastAsia" w:ascii="Times New Roman" w:hAnsi="Times New Roman"/>
          <w:sz w:val="24"/>
          <w:szCs w:val="24"/>
        </w:rPr>
        <w:t>（四）主要工作过程</w:t>
      </w:r>
      <w:bookmarkEnd w:id="4"/>
    </w:p>
    <w:p>
      <w:pPr>
        <w:snapToGrid w:val="0"/>
        <w:spacing w:before="156" w:beforeLines="50"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2</w:t>
      </w:r>
      <w:r>
        <w:rPr>
          <w:rFonts w:ascii="Times New Roman" w:hAnsi="Times New Roman" w:eastAsia="宋体" w:cs="Times New Roman"/>
          <w:color w:val="000000"/>
          <w:sz w:val="24"/>
          <w:szCs w:val="24"/>
        </w:rPr>
        <w:t>019</w:t>
      </w:r>
      <w:r>
        <w:rPr>
          <w:rFonts w:hint="eastAsia" w:ascii="Times New Roman" w:hAnsi="Times New Roman" w:eastAsia="宋体" w:cs="Times New Roman"/>
          <w:color w:val="000000"/>
          <w:sz w:val="24"/>
          <w:szCs w:val="24"/>
        </w:rPr>
        <w:t>年3月，</w:t>
      </w:r>
      <w:r>
        <w:rPr>
          <w:rFonts w:hint="eastAsia" w:ascii="Times New Roman" w:hAnsi="Times New Roman" w:eastAsia="宋体" w:cs="Times New Roman"/>
          <w:color w:val="FF0000"/>
          <w:sz w:val="24"/>
          <w:szCs w:val="24"/>
          <w:lang w:eastAsia="zh-CN"/>
        </w:rPr>
        <w:t>编制</w:t>
      </w:r>
      <w:r>
        <w:rPr>
          <w:rFonts w:hint="eastAsia" w:ascii="Times New Roman" w:hAnsi="Times New Roman" w:eastAsia="宋体" w:cs="Times New Roman"/>
          <w:color w:val="FF0000"/>
          <w:sz w:val="24"/>
          <w:szCs w:val="24"/>
        </w:rPr>
        <w:t>组</w:t>
      </w:r>
      <w:r>
        <w:rPr>
          <w:rFonts w:hint="eastAsia" w:ascii="Times New Roman" w:hAnsi="Times New Roman" w:eastAsia="宋体" w:cs="Times New Roman"/>
          <w:color w:val="000000"/>
          <w:sz w:val="24"/>
          <w:szCs w:val="24"/>
        </w:rPr>
        <w:t>召开内部讨论会，</w:t>
      </w:r>
      <w:r>
        <w:rPr>
          <w:rFonts w:hint="eastAsia" w:ascii="Times New Roman" w:hAnsi="Times New Roman" w:eastAsia="宋体" w:cs="Times New Roman"/>
          <w:strike/>
          <w:dstrike w:val="0"/>
          <w:color w:val="FF0000"/>
          <w:sz w:val="24"/>
          <w:szCs w:val="24"/>
        </w:rPr>
        <w:t>明确标准立项申报工作，</w:t>
      </w:r>
      <w:r>
        <w:rPr>
          <w:rFonts w:hint="eastAsia" w:ascii="Times New Roman" w:hAnsi="Times New Roman" w:eastAsia="宋体" w:cs="Times New Roman"/>
          <w:color w:val="000000"/>
          <w:sz w:val="24"/>
          <w:szCs w:val="24"/>
        </w:rPr>
        <w:t>制定了工作计划。</w:t>
      </w:r>
    </w:p>
    <w:p>
      <w:pPr>
        <w:snapToGrid w:val="0"/>
        <w:spacing w:before="156" w:beforeLines="50"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2</w:t>
      </w:r>
      <w:r>
        <w:rPr>
          <w:rFonts w:ascii="Times New Roman" w:hAnsi="Times New Roman" w:eastAsia="宋体" w:cs="Times New Roman"/>
          <w:color w:val="000000"/>
          <w:sz w:val="24"/>
          <w:szCs w:val="24"/>
        </w:rPr>
        <w:t>0</w:t>
      </w:r>
      <w:r>
        <w:rPr>
          <w:rFonts w:hint="eastAsia" w:ascii="Times New Roman" w:hAnsi="Times New Roman" w:eastAsia="宋体" w:cs="Times New Roman"/>
          <w:color w:val="000000"/>
          <w:sz w:val="24"/>
          <w:szCs w:val="24"/>
        </w:rPr>
        <w:t>1</w:t>
      </w:r>
      <w:r>
        <w:rPr>
          <w:rFonts w:ascii="Times New Roman" w:hAnsi="Times New Roman" w:eastAsia="宋体" w:cs="Times New Roman"/>
          <w:color w:val="000000"/>
          <w:sz w:val="24"/>
          <w:szCs w:val="24"/>
        </w:rPr>
        <w:t>9</w:t>
      </w:r>
      <w:r>
        <w:rPr>
          <w:rFonts w:hint="eastAsia" w:ascii="Times New Roman" w:hAnsi="Times New Roman" w:eastAsia="宋体" w:cs="Times New Roman"/>
          <w:color w:val="000000"/>
          <w:sz w:val="24"/>
          <w:szCs w:val="24"/>
        </w:rPr>
        <w:t>年3月-</w:t>
      </w:r>
      <w:r>
        <w:rPr>
          <w:rFonts w:ascii="Times New Roman" w:hAnsi="Times New Roman" w:eastAsia="宋体" w:cs="Times New Roman"/>
          <w:color w:val="000000"/>
          <w:sz w:val="24"/>
          <w:szCs w:val="24"/>
        </w:rPr>
        <w:t>9</w:t>
      </w:r>
      <w:r>
        <w:rPr>
          <w:rFonts w:hint="eastAsia" w:ascii="Times New Roman" w:hAnsi="Times New Roman" w:eastAsia="宋体" w:cs="Times New Roman"/>
          <w:color w:val="000000"/>
          <w:sz w:val="24"/>
          <w:szCs w:val="24"/>
        </w:rPr>
        <w:t>月，对诺德股份有限公司（包括青海电子材料产业发展有限公司、惠州联合铜箔电子材料有限公司、青海诺德新材料有限公司）、安徽铜冠铜箔有限公司、福建清景铜箔有限公司等行业主要企业开展了数据调研，同时检索和收集了现有国家和行业相关标准，并查阅了国内外文献资料，了解行业发展现状，作为标准指标确定的依据，形成标准初稿。</w:t>
      </w:r>
    </w:p>
    <w:p>
      <w:pPr>
        <w:snapToGrid w:val="0"/>
        <w:spacing w:before="156" w:beforeLines="50"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2</w:t>
      </w:r>
      <w:r>
        <w:rPr>
          <w:rFonts w:ascii="Times New Roman" w:hAnsi="Times New Roman" w:eastAsia="宋体" w:cs="Times New Roman"/>
          <w:color w:val="000000"/>
          <w:sz w:val="24"/>
          <w:szCs w:val="24"/>
        </w:rPr>
        <w:t>019</w:t>
      </w:r>
      <w:r>
        <w:rPr>
          <w:rFonts w:hint="eastAsia" w:ascii="Times New Roman" w:hAnsi="Times New Roman" w:eastAsia="宋体" w:cs="Times New Roman"/>
          <w:color w:val="000000"/>
          <w:sz w:val="24"/>
          <w:szCs w:val="24"/>
        </w:rPr>
        <w:t>年1</w:t>
      </w:r>
      <w:r>
        <w:rPr>
          <w:rFonts w:ascii="Times New Roman" w:hAnsi="Times New Roman" w:eastAsia="宋体" w:cs="Times New Roman"/>
          <w:color w:val="000000"/>
          <w:sz w:val="24"/>
          <w:szCs w:val="24"/>
        </w:rPr>
        <w:t>0</w:t>
      </w:r>
      <w:r>
        <w:rPr>
          <w:rFonts w:hint="eastAsia" w:ascii="Times New Roman" w:hAnsi="Times New Roman" w:eastAsia="宋体" w:cs="Times New Roman"/>
          <w:color w:val="000000"/>
          <w:sz w:val="24"/>
          <w:szCs w:val="24"/>
        </w:rPr>
        <w:t>月，接到标准正式立项编制的任务。起草组对标准工作计划进行了进一步完善，并召开专家研讨会，对标准初稿的指标进行了逐一讨论。结合企业生产现状和行业技术情况，对标准指标进行了一定的取舍和修改，形成讨论稿。</w:t>
      </w:r>
    </w:p>
    <w:p>
      <w:pPr>
        <w:snapToGrid w:val="0"/>
        <w:spacing w:before="156" w:beforeLines="50"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2</w:t>
      </w:r>
      <w:r>
        <w:rPr>
          <w:rFonts w:ascii="Times New Roman" w:hAnsi="Times New Roman" w:eastAsia="宋体" w:cs="Times New Roman"/>
          <w:color w:val="000000"/>
          <w:sz w:val="24"/>
          <w:szCs w:val="24"/>
        </w:rPr>
        <w:t>019</w:t>
      </w:r>
      <w:r>
        <w:rPr>
          <w:rFonts w:hint="eastAsia" w:ascii="Times New Roman" w:hAnsi="Times New Roman" w:eastAsia="宋体" w:cs="Times New Roman"/>
          <w:color w:val="000000"/>
          <w:sz w:val="24"/>
          <w:szCs w:val="24"/>
        </w:rPr>
        <w:t>年1</w:t>
      </w:r>
      <w:r>
        <w:rPr>
          <w:rFonts w:ascii="Times New Roman" w:hAnsi="Times New Roman" w:eastAsia="宋体" w:cs="Times New Roman"/>
          <w:color w:val="000000"/>
          <w:sz w:val="24"/>
          <w:szCs w:val="24"/>
        </w:rPr>
        <w:t>2</w:t>
      </w:r>
      <w:r>
        <w:rPr>
          <w:rFonts w:hint="eastAsia" w:ascii="Times New Roman" w:hAnsi="Times New Roman" w:eastAsia="宋体" w:cs="Times New Roman"/>
          <w:color w:val="000000"/>
          <w:sz w:val="24"/>
          <w:szCs w:val="24"/>
        </w:rPr>
        <w:t>月-</w:t>
      </w:r>
      <w:r>
        <w:rPr>
          <w:rFonts w:ascii="Times New Roman" w:hAnsi="Times New Roman" w:eastAsia="宋体" w:cs="Times New Roman"/>
          <w:color w:val="000000"/>
          <w:sz w:val="24"/>
          <w:szCs w:val="24"/>
        </w:rPr>
        <w:t>2020</w:t>
      </w:r>
      <w:r>
        <w:rPr>
          <w:rFonts w:hint="eastAsia" w:ascii="Times New Roman" w:hAnsi="Times New Roman" w:eastAsia="宋体" w:cs="Times New Roman"/>
          <w:color w:val="000000"/>
          <w:sz w:val="24"/>
          <w:szCs w:val="24"/>
        </w:rPr>
        <w:t>年2月，设计第二轮数据调研问卷，对佛冈建滔实业有限公司、山东金都电子材料股份有限公司、山东金宝电子股份有限公司、江西省江铜耶兹铜箔有限公司、广东嘉元科技股份有限公司、圣达电气股份有限公司、铜陵市华创新材料有限公司等主要铜箔生产企业进行数据调研。</w:t>
      </w:r>
    </w:p>
    <w:p>
      <w:pPr>
        <w:snapToGrid w:val="0"/>
        <w:spacing w:before="156" w:beforeLines="50" w:line="360" w:lineRule="auto"/>
        <w:ind w:firstLine="480" w:firstLineChars="200"/>
        <w:rPr>
          <w:rFonts w:hint="eastAsia" w:ascii="Times New Roman" w:hAnsi="Times New Roman" w:eastAsia="宋体" w:cs="Times New Roman"/>
          <w:color w:val="000000"/>
          <w:sz w:val="24"/>
          <w:szCs w:val="24"/>
        </w:rPr>
      </w:pPr>
      <w:r>
        <w:rPr>
          <w:rFonts w:ascii="Times New Roman" w:hAnsi="Times New Roman" w:eastAsia="宋体" w:cs="Times New Roman"/>
          <w:color w:val="000000"/>
          <w:sz w:val="24"/>
          <w:szCs w:val="24"/>
        </w:rPr>
        <w:t>2020</w:t>
      </w:r>
      <w:r>
        <w:rPr>
          <w:rFonts w:hint="eastAsia" w:ascii="Times New Roman" w:hAnsi="Times New Roman" w:eastAsia="宋体" w:cs="Times New Roman"/>
          <w:color w:val="000000"/>
          <w:sz w:val="24"/>
          <w:szCs w:val="24"/>
        </w:rPr>
        <w:t>年5月，在数据调研基础上，对标准进行了完善，形成预审稿。</w:t>
      </w:r>
    </w:p>
    <w:p>
      <w:pPr>
        <w:snapToGrid w:val="0"/>
        <w:spacing w:before="156" w:beforeLines="50" w:line="360" w:lineRule="auto"/>
        <w:ind w:firstLine="480" w:firstLineChars="200"/>
        <w:rPr>
          <w:rFonts w:hint="eastAsia" w:ascii="Times New Roman" w:hAnsi="Times New Roman" w:eastAsia="宋体" w:cs="Times New Roman"/>
          <w:color w:val="00B0F0"/>
          <w:sz w:val="24"/>
          <w:szCs w:val="24"/>
          <w:lang w:eastAsia="zh-CN"/>
        </w:rPr>
      </w:pPr>
      <w:r>
        <w:rPr>
          <w:rFonts w:hint="eastAsia" w:ascii="Times New Roman" w:hAnsi="Times New Roman" w:eastAsia="宋体" w:cs="Times New Roman"/>
          <w:color w:val="00B0F0"/>
          <w:sz w:val="24"/>
          <w:szCs w:val="24"/>
          <w:lang w:eastAsia="zh-CN"/>
        </w:rPr>
        <w:t>缺会议情况（时间、地点等，如北京召开的讨论会）</w:t>
      </w:r>
    </w:p>
    <w:p>
      <w:pPr>
        <w:pStyle w:val="2"/>
        <w:spacing w:before="0" w:beforeAutospacing="0" w:after="0" w:afterAutospacing="0" w:line="360" w:lineRule="auto"/>
        <w:rPr>
          <w:rFonts w:ascii="Times New Roman" w:hAnsi="Times New Roman"/>
          <w:sz w:val="28"/>
          <w:szCs w:val="28"/>
        </w:rPr>
      </w:pPr>
      <w:bookmarkStart w:id="5" w:name="_Toc6997276"/>
      <w:r>
        <w:rPr>
          <w:rFonts w:hint="eastAsia" w:ascii="Times New Roman" w:hAnsi="Times New Roman"/>
          <w:sz w:val="28"/>
          <w:szCs w:val="28"/>
        </w:rPr>
        <w:t>二、标准编制的必要性及原则</w:t>
      </w:r>
      <w:bookmarkEnd w:id="5"/>
    </w:p>
    <w:p>
      <w:pPr>
        <w:pStyle w:val="3"/>
        <w:spacing w:before="0" w:after="0" w:line="360" w:lineRule="auto"/>
        <w:rPr>
          <w:rFonts w:ascii="Times New Roman" w:hAnsi="Times New Roman"/>
          <w:sz w:val="24"/>
          <w:szCs w:val="24"/>
        </w:rPr>
      </w:pPr>
      <w:bookmarkStart w:id="6" w:name="_Toc6997277"/>
      <w:r>
        <w:rPr>
          <w:rFonts w:hint="eastAsia" w:ascii="Times New Roman" w:hAnsi="Times New Roman"/>
          <w:sz w:val="24"/>
          <w:szCs w:val="24"/>
        </w:rPr>
        <w:t>（一）标准编制的必要性</w:t>
      </w:r>
      <w:bookmarkEnd w:id="6"/>
    </w:p>
    <w:p>
      <w:pPr>
        <w:snapToGrid w:val="0"/>
        <w:spacing w:before="156" w:beforeLines="50"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一是满足国家工信部关于绿色设计产品产业链布局需求。电解铜箔是印刷电路板、锂电池等产品制造过程的重要原材料之一。目前，工信部已发布了《绿色设计产品评价技术规范 锂离子电池》（</w:t>
      </w:r>
      <w:r>
        <w:rPr>
          <w:rFonts w:ascii="Times New Roman" w:hAnsi="Times New Roman" w:eastAsia="宋体" w:cs="Times New Roman"/>
          <w:color w:val="000000"/>
          <w:sz w:val="24"/>
          <w:szCs w:val="24"/>
        </w:rPr>
        <w:t>T/CEEIA  280-2017）</w:t>
      </w:r>
      <w:r>
        <w:rPr>
          <w:rFonts w:hint="eastAsia" w:ascii="Times New Roman" w:hAnsi="Times New Roman" w:eastAsia="宋体" w:cs="Times New Roman"/>
          <w:color w:val="000000"/>
          <w:sz w:val="24"/>
          <w:szCs w:val="24"/>
        </w:rPr>
        <w:t>等绿色设计评价标准，为实现绿色设计评价产品产业链条的有序延伸，为完善产业链生命周期的绿色化，健全绿色设计产品产业链布局，有必要制定电解铜箔行业绿色设计产品团体标准。</w:t>
      </w:r>
    </w:p>
    <w:p>
      <w:pPr>
        <w:snapToGrid w:val="0"/>
        <w:spacing w:before="156" w:beforeLines="50"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二是电解铜箔团体标准研制技术需求与规范性需要。目前，国家标准化改革激发了社会各方制定标准的积极性，由于绿色设计产品评价工作的推动，与电解铜箔产品使用相关的社会组织也在考虑有关团体标准制定工作。为树立电解铜箔团体的权威性，迫切需要权威标准化机构组织研制电解铜箔团体标准，电解铜箔绿色设计评价标准的制订以有色金属标准化技术委员会为归口，能够有效树立电解铜箔团体标准的权威性，且通过以龙头企业牵头，集合行业组织、节能低碳权威技术机构、合格评定机构等优势资源参与标准制订工作，能够充分发挥各方技术优势，深入挖掘绿色设计潜力，引领行业绿色发展水平。</w:t>
      </w:r>
    </w:p>
    <w:p>
      <w:pPr>
        <w:snapToGrid w:val="0"/>
        <w:spacing w:before="156" w:beforeLines="50"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三是解决电解铜箔行业环保压力需求。目前，电解铜箔行业的环保问题已经引起管理部门的关注，行业现环保问题是国家建设发展的重要关注领域，为有效应对和解决电解铜箔行业环保压力问题，有必要制定本团体标准，定量化生命周期绿色指标，为电解铜箔行业明确绿色发展方向，促进电解铜箔行业的健康发展。</w:t>
      </w:r>
    </w:p>
    <w:p>
      <w:pPr>
        <w:pStyle w:val="3"/>
        <w:spacing w:before="0" w:after="0" w:line="360" w:lineRule="auto"/>
        <w:rPr>
          <w:rFonts w:ascii="Times New Roman" w:hAnsi="Times New Roman"/>
          <w:sz w:val="24"/>
          <w:szCs w:val="24"/>
        </w:rPr>
      </w:pPr>
      <w:bookmarkStart w:id="7" w:name="_Toc6997278"/>
      <w:r>
        <w:rPr>
          <w:rFonts w:hint="eastAsia" w:ascii="Times New Roman" w:hAnsi="Times New Roman"/>
          <w:sz w:val="24"/>
          <w:szCs w:val="24"/>
        </w:rPr>
        <w:t>（二）编制原则</w:t>
      </w:r>
      <w:bookmarkEnd w:id="7"/>
    </w:p>
    <w:p>
      <w:pPr>
        <w:pStyle w:val="4"/>
        <w:spacing w:before="0" w:after="0" w:line="360" w:lineRule="auto"/>
        <w:rPr>
          <w:rFonts w:ascii="Times New Roman" w:hAnsi="Times New Roman"/>
          <w:sz w:val="24"/>
          <w:szCs w:val="24"/>
        </w:rPr>
      </w:pPr>
      <w:bookmarkStart w:id="8" w:name="_Toc6997279"/>
      <w:r>
        <w:rPr>
          <w:rFonts w:ascii="Times New Roman" w:hAnsi="Times New Roman"/>
          <w:sz w:val="24"/>
          <w:szCs w:val="24"/>
        </w:rPr>
        <w:t>1</w:t>
      </w:r>
      <w:r>
        <w:rPr>
          <w:rFonts w:hint="eastAsia" w:ascii="Times New Roman" w:hAnsi="Times New Roman"/>
          <w:sz w:val="24"/>
          <w:szCs w:val="24"/>
        </w:rPr>
        <w:t>、统一性原则</w:t>
      </w:r>
      <w:bookmarkEnd w:id="8"/>
    </w:p>
    <w:p>
      <w:pPr>
        <w:snapToGrid w:val="0"/>
        <w:spacing w:before="156" w:beforeLines="50"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标准的制定以国家工信部发布的《生态设计产品评价通则（GB/T 32161）》和有色行业已发布的绿色设计评价标准为基础，标准的框架和主要内容原则上做到协调统一。</w:t>
      </w:r>
    </w:p>
    <w:p>
      <w:pPr>
        <w:pStyle w:val="4"/>
        <w:spacing w:before="0" w:after="0" w:line="360" w:lineRule="auto"/>
        <w:rPr>
          <w:rFonts w:ascii="Times New Roman" w:hAnsi="Times New Roman"/>
          <w:sz w:val="24"/>
          <w:szCs w:val="24"/>
        </w:rPr>
      </w:pPr>
      <w:bookmarkStart w:id="9" w:name="_Toc6997280"/>
      <w:r>
        <w:rPr>
          <w:rFonts w:ascii="Times New Roman" w:hAnsi="Times New Roman"/>
          <w:sz w:val="24"/>
          <w:szCs w:val="24"/>
        </w:rPr>
        <w:t>2</w:t>
      </w:r>
      <w:r>
        <w:rPr>
          <w:rFonts w:hint="eastAsia" w:ascii="Times New Roman" w:hAnsi="Times New Roman"/>
          <w:sz w:val="24"/>
          <w:szCs w:val="24"/>
        </w:rPr>
        <w:t>、先进性和适用性协调原则</w:t>
      </w:r>
      <w:bookmarkEnd w:id="9"/>
    </w:p>
    <w:p>
      <w:pPr>
        <w:snapToGrid w:val="0"/>
        <w:spacing w:before="156" w:beforeLines="50"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标准指标的确定以行业发展现状和企业生产现状为基础，同时体现绿色设计产品的先进性，部分指标高于国家、行业强制性标准行业平均水平。</w:t>
      </w:r>
    </w:p>
    <w:p>
      <w:pPr>
        <w:pStyle w:val="4"/>
        <w:spacing w:before="0" w:after="0" w:line="360" w:lineRule="auto"/>
        <w:rPr>
          <w:rFonts w:ascii="Times New Roman" w:hAnsi="Times New Roman"/>
          <w:sz w:val="24"/>
          <w:szCs w:val="24"/>
        </w:rPr>
      </w:pPr>
      <w:bookmarkStart w:id="10" w:name="_Toc6997281"/>
      <w:r>
        <w:rPr>
          <w:rFonts w:ascii="Times New Roman" w:hAnsi="Times New Roman"/>
          <w:sz w:val="24"/>
          <w:szCs w:val="24"/>
        </w:rPr>
        <w:t>3</w:t>
      </w:r>
      <w:r>
        <w:rPr>
          <w:rFonts w:hint="eastAsia" w:ascii="Times New Roman" w:hAnsi="Times New Roman"/>
          <w:sz w:val="24"/>
          <w:szCs w:val="24"/>
        </w:rPr>
        <w:t>、可操作性原则</w:t>
      </w:r>
      <w:bookmarkEnd w:id="10"/>
    </w:p>
    <w:p>
      <w:pPr>
        <w:snapToGrid w:val="0"/>
        <w:spacing w:before="156" w:beforeLines="50"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在生命周期评价要求制定中，考虑理论基础和实际操作相结合的原则，结合企业的生命周期数据实际情况，确定需纳入评价的生命周期阶段。</w:t>
      </w:r>
    </w:p>
    <w:p>
      <w:pPr>
        <w:pStyle w:val="4"/>
        <w:spacing w:before="0" w:after="0" w:line="360" w:lineRule="auto"/>
        <w:rPr>
          <w:rFonts w:ascii="Times New Roman" w:hAnsi="Times New Roman"/>
          <w:sz w:val="24"/>
          <w:szCs w:val="24"/>
        </w:rPr>
      </w:pPr>
      <w:bookmarkStart w:id="11" w:name="_Toc6997282"/>
      <w:r>
        <w:rPr>
          <w:rFonts w:ascii="Times New Roman" w:hAnsi="Times New Roman"/>
          <w:sz w:val="24"/>
          <w:szCs w:val="24"/>
        </w:rPr>
        <w:t>4</w:t>
      </w:r>
      <w:r>
        <w:rPr>
          <w:rFonts w:hint="eastAsia" w:ascii="Times New Roman" w:hAnsi="Times New Roman"/>
          <w:sz w:val="24"/>
          <w:szCs w:val="24"/>
        </w:rPr>
        <w:t>、产品评价与生命周期相结合的原则</w:t>
      </w:r>
      <w:bookmarkEnd w:id="11"/>
    </w:p>
    <w:p>
      <w:pPr>
        <w:snapToGrid w:val="0"/>
        <w:spacing w:before="156" w:beforeLines="50"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依据生命周期评价方法，考虑产品整个生命周期，从产品设计、原材料、生产、使用、废弃等阶段，深入分析各阶段的环境影响因素，选取不同阶段的、可评价的指标构成指标体系。不同类型的产品应建立不同的绿色设计评价指标体系，作为评估筛选绿色设计产品的准入条件。在满足评价指标要求的基础上，采用生命周期评价方法，开展生命周期清单分析，进行生命周期影响评价，编制生命周期报告并作为评价绿色设计产品的必要条件。</w:t>
      </w:r>
    </w:p>
    <w:p>
      <w:pPr>
        <w:pStyle w:val="4"/>
        <w:spacing w:before="0" w:after="0" w:line="360" w:lineRule="auto"/>
        <w:rPr>
          <w:rFonts w:ascii="Times New Roman" w:hAnsi="Times New Roman"/>
          <w:sz w:val="24"/>
          <w:szCs w:val="24"/>
        </w:rPr>
      </w:pPr>
      <w:bookmarkStart w:id="12" w:name="_Toc6997283"/>
      <w:r>
        <w:rPr>
          <w:rFonts w:ascii="Times New Roman" w:hAnsi="Times New Roman"/>
          <w:sz w:val="24"/>
          <w:szCs w:val="24"/>
        </w:rPr>
        <w:t>5</w:t>
      </w:r>
      <w:r>
        <w:rPr>
          <w:rFonts w:hint="eastAsia" w:ascii="Times New Roman" w:hAnsi="Times New Roman"/>
          <w:sz w:val="24"/>
          <w:szCs w:val="24"/>
        </w:rPr>
        <w:t>、环境影响类别最优选取原则</w:t>
      </w:r>
      <w:bookmarkEnd w:id="12"/>
    </w:p>
    <w:p>
      <w:pPr>
        <w:snapToGrid w:val="0"/>
        <w:spacing w:before="156" w:beforeLines="50"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为降低生命周期生命评价的难度，应根据产品特点，宜选取具有影响大、社会关注度高、关键法律或政策明确要求的环境影响种类，通常可在气候变化、臭氧层破坏、水体生态毒性、人体毒性-癌症影响、人体毒性-非癌症影响、可吸入颗粒物、电离辐射-人体健康影响、光化学奥氧生成潜势、酸化、富营养化陆地、富营养化水体、水资源消耗、矿物和化石能源消耗、土地利用变化等种类中选取，选取的数量不宜太多。</w:t>
      </w:r>
    </w:p>
    <w:p>
      <w:pPr>
        <w:pStyle w:val="3"/>
        <w:spacing w:before="0" w:after="0" w:line="360" w:lineRule="auto"/>
        <w:rPr>
          <w:rFonts w:ascii="Times New Roman" w:hAnsi="Times New Roman"/>
          <w:sz w:val="24"/>
          <w:szCs w:val="24"/>
        </w:rPr>
      </w:pPr>
      <w:bookmarkStart w:id="13" w:name="_Toc6997284"/>
      <w:r>
        <w:rPr>
          <w:rFonts w:hint="eastAsia" w:ascii="Times New Roman" w:hAnsi="Times New Roman"/>
          <w:sz w:val="24"/>
          <w:szCs w:val="24"/>
        </w:rPr>
        <w:t>（三）主要内容</w:t>
      </w:r>
      <w:bookmarkEnd w:id="13"/>
    </w:p>
    <w:p>
      <w:pPr>
        <w:snapToGrid w:val="0"/>
        <w:spacing w:before="156" w:beforeLines="50"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本标准规定了电解铜箔绿色设计产品的评价要求、指标计算方法、产品生命周期报告编制要求和评价方法。</w:t>
      </w:r>
    </w:p>
    <w:p>
      <w:pPr>
        <w:snapToGrid w:val="0"/>
        <w:spacing w:before="156" w:beforeLines="50"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本标准适用于电解铜箔绿色设计产品评价，包括锂离子电池用电解铜箔和印制板用电解铜箔。</w:t>
      </w:r>
    </w:p>
    <w:p>
      <w:pPr>
        <w:pStyle w:val="2"/>
        <w:spacing w:before="0" w:beforeAutospacing="0" w:after="0" w:afterAutospacing="0" w:line="360" w:lineRule="auto"/>
        <w:rPr>
          <w:rFonts w:ascii="Times New Roman" w:hAnsi="Times New Roman"/>
          <w:sz w:val="32"/>
          <w:szCs w:val="32"/>
        </w:rPr>
      </w:pPr>
      <w:bookmarkStart w:id="14" w:name="_Toc6997285"/>
      <w:r>
        <w:rPr>
          <w:rFonts w:hint="eastAsia" w:ascii="Times New Roman" w:hAnsi="Times New Roman"/>
          <w:sz w:val="28"/>
          <w:szCs w:val="28"/>
        </w:rPr>
        <w:t>三、确定标准的主要技术内容（评价指标、要求）的依据</w:t>
      </w:r>
      <w:bookmarkEnd w:id="14"/>
    </w:p>
    <w:p>
      <w:pPr>
        <w:pStyle w:val="3"/>
        <w:spacing w:before="0" w:after="0" w:line="360" w:lineRule="auto"/>
        <w:rPr>
          <w:rFonts w:ascii="Times New Roman" w:hAnsi="Times New Roman"/>
          <w:sz w:val="24"/>
          <w:szCs w:val="24"/>
        </w:rPr>
      </w:pPr>
      <w:bookmarkStart w:id="15" w:name="_Toc6997286"/>
      <w:r>
        <w:rPr>
          <w:rFonts w:hint="eastAsia" w:ascii="Times New Roman" w:hAnsi="Times New Roman"/>
          <w:sz w:val="24"/>
          <w:szCs w:val="24"/>
        </w:rPr>
        <w:t>（一）电解铜箔的行业发展现状</w:t>
      </w:r>
    </w:p>
    <w:p>
      <w:pPr>
        <w:snapToGrid w:val="0"/>
        <w:spacing w:before="156" w:beforeLines="50"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近年来，随着我国社会经济的快速发展，对导电铜材的需求不断增加，导致我国铜加工行业进入了快速扩产期。根据电子铜箔协会2018年</w:t>
      </w:r>
      <w:r>
        <w:rPr>
          <w:rFonts w:ascii="Times New Roman" w:hAnsi="Times New Roman" w:eastAsia="宋体" w:cs="Times New Roman"/>
          <w:color w:val="000000"/>
          <w:sz w:val="24"/>
          <w:szCs w:val="24"/>
        </w:rPr>
        <w:t>4</w:t>
      </w:r>
      <w:r>
        <w:rPr>
          <w:rFonts w:hint="eastAsia" w:ascii="Times New Roman" w:hAnsi="Times New Roman" w:eastAsia="宋体" w:cs="Times New Roman"/>
          <w:color w:val="000000"/>
          <w:sz w:val="24"/>
          <w:szCs w:val="24"/>
        </w:rPr>
        <w:t>月对国内铜箔企业调查统计，2017年我国电解铜箔的总产能（含外资在国内投建的企业的产能，下同）达到37.65万吨，年增长率达到14.4%；产量33</w:t>
      </w:r>
      <w:r>
        <w:rPr>
          <w:rFonts w:ascii="Times New Roman" w:hAnsi="Times New Roman" w:eastAsia="宋体" w:cs="Times New Roman"/>
          <w:color w:val="000000"/>
          <w:sz w:val="24"/>
          <w:szCs w:val="24"/>
        </w:rPr>
        <w:t>.</w:t>
      </w:r>
      <w:r>
        <w:rPr>
          <w:rFonts w:hint="eastAsia" w:ascii="Times New Roman" w:hAnsi="Times New Roman" w:eastAsia="宋体" w:cs="Times New Roman"/>
          <w:color w:val="000000"/>
          <w:sz w:val="24"/>
          <w:szCs w:val="24"/>
        </w:rPr>
        <w:t>69万吨，年增长率为15.5%。</w:t>
      </w:r>
    </w:p>
    <w:p>
      <w:pPr>
        <w:snapToGrid w:val="0"/>
        <w:spacing w:before="156" w:beforeLines="50" w:line="360" w:lineRule="auto"/>
        <w:ind w:firstLine="420" w:firstLineChars="200"/>
        <w:jc w:val="center"/>
        <w:rPr>
          <w:rFonts w:ascii="Times New Roman" w:hAnsi="Times New Roman" w:eastAsia="黑体" w:cs="Times New Roman"/>
          <w:color w:val="000000"/>
          <w:szCs w:val="21"/>
        </w:rPr>
      </w:pPr>
      <w:r>
        <w:rPr>
          <w:rFonts w:hint="eastAsia" w:ascii="Times New Roman" w:hAnsi="Times New Roman" w:eastAsia="黑体" w:cs="Times New Roman"/>
          <w:color w:val="000000"/>
          <w:szCs w:val="21"/>
        </w:rPr>
        <w:t>表1</w:t>
      </w:r>
      <w:r>
        <w:rPr>
          <w:rFonts w:ascii="Times New Roman" w:hAnsi="Times New Roman" w:eastAsia="黑体" w:cs="Times New Roman"/>
          <w:color w:val="000000"/>
          <w:szCs w:val="21"/>
        </w:rPr>
        <w:t xml:space="preserve"> </w:t>
      </w:r>
      <w:r>
        <w:rPr>
          <w:rFonts w:hint="eastAsia" w:ascii="Times New Roman" w:hAnsi="Times New Roman" w:eastAsia="黑体" w:cs="Times New Roman"/>
          <w:color w:val="000000"/>
          <w:szCs w:val="21"/>
        </w:rPr>
        <w:t>我国电解铜箔行业在2</w:t>
      </w:r>
      <w:r>
        <w:rPr>
          <w:rFonts w:ascii="Times New Roman" w:hAnsi="Times New Roman" w:eastAsia="黑体" w:cs="Times New Roman"/>
          <w:color w:val="000000"/>
          <w:szCs w:val="21"/>
        </w:rPr>
        <w:t>017</w:t>
      </w:r>
      <w:r>
        <w:rPr>
          <w:rFonts w:hint="eastAsia" w:ascii="Times New Roman" w:hAnsi="Times New Roman" w:eastAsia="黑体" w:cs="Times New Roman"/>
          <w:color w:val="000000"/>
          <w:szCs w:val="21"/>
        </w:rPr>
        <w:t>年的主要经营情况的统计</w:t>
      </w:r>
    </w:p>
    <w:tbl>
      <w:tblPr>
        <w:tblStyle w:val="17"/>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1985"/>
        <w:gridCol w:w="1559"/>
        <w:gridCol w:w="1417"/>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snapToGrid w:val="0"/>
              <w:jc w:val="center"/>
              <w:rPr>
                <w:rFonts w:ascii="Times New Roman" w:hAnsi="Times New Roman" w:eastAsia="宋体" w:cs="Times New Roman"/>
                <w:color w:val="000000"/>
                <w:szCs w:val="21"/>
              </w:rPr>
            </w:pPr>
          </w:p>
        </w:tc>
        <w:tc>
          <w:tcPr>
            <w:tcW w:w="1985" w:type="dxa"/>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印制电路板用铜箔</w:t>
            </w:r>
          </w:p>
        </w:tc>
        <w:tc>
          <w:tcPr>
            <w:tcW w:w="1559" w:type="dxa"/>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锂电池铜箔</w:t>
            </w:r>
          </w:p>
        </w:tc>
        <w:tc>
          <w:tcPr>
            <w:tcW w:w="1417" w:type="dxa"/>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总计</w:t>
            </w:r>
          </w:p>
        </w:tc>
        <w:tc>
          <w:tcPr>
            <w:tcW w:w="1497" w:type="dxa"/>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年增长率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产能（吨/年）</w:t>
            </w:r>
          </w:p>
        </w:tc>
        <w:tc>
          <w:tcPr>
            <w:tcW w:w="1985" w:type="dxa"/>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w:t>
            </w:r>
            <w:r>
              <w:rPr>
                <w:rFonts w:ascii="Times New Roman" w:hAnsi="Times New Roman" w:eastAsia="宋体" w:cs="Times New Roman"/>
                <w:color w:val="000000"/>
                <w:szCs w:val="21"/>
              </w:rPr>
              <w:t>63412</w:t>
            </w:r>
          </w:p>
        </w:tc>
        <w:tc>
          <w:tcPr>
            <w:tcW w:w="1559" w:type="dxa"/>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w:t>
            </w:r>
            <w:r>
              <w:rPr>
                <w:rFonts w:ascii="Times New Roman" w:hAnsi="Times New Roman" w:eastAsia="宋体" w:cs="Times New Roman"/>
                <w:color w:val="000000"/>
                <w:szCs w:val="21"/>
              </w:rPr>
              <w:t>13050</w:t>
            </w:r>
          </w:p>
        </w:tc>
        <w:tc>
          <w:tcPr>
            <w:tcW w:w="1417" w:type="dxa"/>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3</w:t>
            </w:r>
            <w:r>
              <w:rPr>
                <w:rFonts w:ascii="Times New Roman" w:hAnsi="Times New Roman" w:eastAsia="宋体" w:cs="Times New Roman"/>
                <w:color w:val="000000"/>
                <w:szCs w:val="21"/>
              </w:rPr>
              <w:t>76462</w:t>
            </w:r>
          </w:p>
        </w:tc>
        <w:tc>
          <w:tcPr>
            <w:tcW w:w="1497" w:type="dxa"/>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w:t>
            </w:r>
            <w:r>
              <w:rPr>
                <w:rFonts w:ascii="Times New Roman" w:hAnsi="Times New Roman" w:eastAsia="宋体" w:cs="Times New Roman"/>
                <w:color w:val="000000"/>
                <w:szCs w:val="21"/>
              </w:rPr>
              <w:t>4.4</w:t>
            </w:r>
            <w:r>
              <w:rPr>
                <w:rFonts w:hint="eastAsia" w:ascii="Times New Roman" w:hAnsi="Times New Roman" w:eastAsia="宋体" w:cs="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产量（吨/年）</w:t>
            </w:r>
          </w:p>
        </w:tc>
        <w:tc>
          <w:tcPr>
            <w:tcW w:w="1985" w:type="dxa"/>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w:t>
            </w:r>
            <w:r>
              <w:rPr>
                <w:rFonts w:ascii="Times New Roman" w:hAnsi="Times New Roman" w:eastAsia="宋体" w:cs="Times New Roman"/>
                <w:color w:val="000000"/>
                <w:szCs w:val="21"/>
              </w:rPr>
              <w:t>65410.6</w:t>
            </w:r>
          </w:p>
        </w:tc>
        <w:tc>
          <w:tcPr>
            <w:tcW w:w="1559" w:type="dxa"/>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7</w:t>
            </w:r>
            <w:r>
              <w:rPr>
                <w:rFonts w:ascii="Times New Roman" w:hAnsi="Times New Roman" w:eastAsia="宋体" w:cs="Times New Roman"/>
                <w:color w:val="000000"/>
                <w:szCs w:val="21"/>
              </w:rPr>
              <w:t>1478</w:t>
            </w:r>
          </w:p>
        </w:tc>
        <w:tc>
          <w:tcPr>
            <w:tcW w:w="1417" w:type="dxa"/>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3</w:t>
            </w:r>
            <w:r>
              <w:rPr>
                <w:rFonts w:ascii="Times New Roman" w:hAnsi="Times New Roman" w:eastAsia="宋体" w:cs="Times New Roman"/>
                <w:color w:val="000000"/>
                <w:szCs w:val="21"/>
              </w:rPr>
              <w:t>36889</w:t>
            </w:r>
          </w:p>
        </w:tc>
        <w:tc>
          <w:tcPr>
            <w:tcW w:w="1497" w:type="dxa"/>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w:t>
            </w:r>
            <w:r>
              <w:rPr>
                <w:rFonts w:ascii="Times New Roman" w:hAnsi="Times New Roman" w:eastAsia="宋体" w:cs="Times New Roman"/>
                <w:color w:val="000000"/>
                <w:szCs w:val="21"/>
              </w:rPr>
              <w:t>5.5</w:t>
            </w:r>
            <w:r>
              <w:rPr>
                <w:rFonts w:hint="eastAsia" w:ascii="Times New Roman" w:hAnsi="Times New Roman" w:eastAsia="宋体" w:cs="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销售量（吨/年）</w:t>
            </w:r>
          </w:p>
        </w:tc>
        <w:tc>
          <w:tcPr>
            <w:tcW w:w="1985" w:type="dxa"/>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w:t>
            </w:r>
            <w:r>
              <w:rPr>
                <w:rFonts w:ascii="Times New Roman" w:hAnsi="Times New Roman" w:eastAsia="宋体" w:cs="Times New Roman"/>
                <w:color w:val="000000"/>
                <w:szCs w:val="21"/>
              </w:rPr>
              <w:t>65332</w:t>
            </w:r>
          </w:p>
        </w:tc>
        <w:tc>
          <w:tcPr>
            <w:tcW w:w="1559" w:type="dxa"/>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7</w:t>
            </w:r>
            <w:r>
              <w:rPr>
                <w:rFonts w:ascii="Times New Roman" w:hAnsi="Times New Roman" w:eastAsia="宋体" w:cs="Times New Roman"/>
                <w:color w:val="000000"/>
                <w:szCs w:val="21"/>
              </w:rPr>
              <w:t>0230</w:t>
            </w:r>
          </w:p>
        </w:tc>
        <w:tc>
          <w:tcPr>
            <w:tcW w:w="1417" w:type="dxa"/>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3</w:t>
            </w:r>
            <w:r>
              <w:rPr>
                <w:rFonts w:ascii="Times New Roman" w:hAnsi="Times New Roman" w:eastAsia="宋体" w:cs="Times New Roman"/>
                <w:color w:val="000000"/>
                <w:szCs w:val="21"/>
              </w:rPr>
              <w:t>35462</w:t>
            </w:r>
          </w:p>
        </w:tc>
        <w:tc>
          <w:tcPr>
            <w:tcW w:w="1497" w:type="dxa"/>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w:t>
            </w:r>
            <w:r>
              <w:rPr>
                <w:rFonts w:ascii="Times New Roman" w:hAnsi="Times New Roman" w:eastAsia="宋体" w:cs="Times New Roman"/>
                <w:color w:val="000000"/>
                <w:szCs w:val="21"/>
              </w:rPr>
              <w:t>5.3</w:t>
            </w:r>
            <w:r>
              <w:rPr>
                <w:rFonts w:hint="eastAsia" w:ascii="Times New Roman" w:hAnsi="Times New Roman" w:eastAsia="宋体" w:cs="Times New Roman"/>
                <w:color w:val="000000"/>
                <w:szCs w:val="21"/>
              </w:rPr>
              <w:t>%</w:t>
            </w:r>
          </w:p>
        </w:tc>
      </w:tr>
    </w:tbl>
    <w:p>
      <w:pPr>
        <w:snapToGrid w:val="0"/>
        <w:spacing w:line="360" w:lineRule="auto"/>
        <w:ind w:firstLine="420" w:firstLineChars="200"/>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资料来源：中电材电子铜箔材料分会（CCFA）.</w:t>
      </w:r>
      <w:r>
        <w:rPr>
          <w:rFonts w:ascii="Times New Roman" w:hAnsi="Times New Roman" w:eastAsia="宋体" w:cs="Times New Roman"/>
          <w:color w:val="000000"/>
          <w:szCs w:val="21"/>
        </w:rPr>
        <w:t>2018.4</w:t>
      </w:r>
    </w:p>
    <w:p>
      <w:pPr>
        <w:snapToGrid w:val="0"/>
        <w:spacing w:before="156" w:beforeLines="50"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2017 年，国内有 10 家铜箔企业（包括外资企业）年产量达到 1 万吨规模以上。这1</w:t>
      </w:r>
      <w:r>
        <w:rPr>
          <w:rFonts w:ascii="Times New Roman" w:hAnsi="Times New Roman" w:eastAsia="宋体" w:cs="Times New Roman"/>
          <w:color w:val="000000"/>
          <w:sz w:val="24"/>
          <w:szCs w:val="24"/>
        </w:rPr>
        <w:t>0</w:t>
      </w:r>
      <w:r>
        <w:rPr>
          <w:rFonts w:hint="eastAsia" w:ascii="Times New Roman" w:hAnsi="Times New Roman" w:eastAsia="宋体" w:cs="Times New Roman"/>
          <w:color w:val="000000"/>
          <w:sz w:val="24"/>
          <w:szCs w:val="24"/>
        </w:rPr>
        <w:t>家企业的产量共计2</w:t>
      </w:r>
      <w:r>
        <w:rPr>
          <w:rFonts w:ascii="Times New Roman" w:hAnsi="Times New Roman" w:eastAsia="宋体" w:cs="Times New Roman"/>
          <w:color w:val="000000"/>
          <w:sz w:val="24"/>
          <w:szCs w:val="24"/>
        </w:rPr>
        <w:t>7.7</w:t>
      </w:r>
      <w:r>
        <w:rPr>
          <w:rFonts w:hint="eastAsia" w:ascii="Times New Roman" w:hAnsi="Times New Roman" w:eastAsia="宋体" w:cs="Times New Roman"/>
          <w:color w:val="000000"/>
          <w:sz w:val="24"/>
          <w:szCs w:val="24"/>
        </w:rPr>
        <w:t>8 万吨，占国内铜箔总产量 的82.5%。其中，印制电路板用铜箔，10家企业的产量占 2017 年印制电路板用铜箔总产量的 85.4%；锂电池铜箔，10 家的产量占总产量的 71.5%。行业集中度较高。</w:t>
      </w:r>
    </w:p>
    <w:p>
      <w:pPr>
        <w:snapToGrid w:val="0"/>
        <w:spacing w:before="156" w:beforeLines="50" w:line="360" w:lineRule="auto"/>
        <w:ind w:firstLine="420" w:firstLineChars="200"/>
        <w:jc w:val="center"/>
        <w:rPr>
          <w:rFonts w:ascii="Times New Roman" w:hAnsi="Times New Roman" w:eastAsia="黑体" w:cs="Times New Roman"/>
          <w:color w:val="000000"/>
          <w:szCs w:val="21"/>
        </w:rPr>
      </w:pPr>
      <w:r>
        <w:rPr>
          <w:rFonts w:hint="eastAsia" w:ascii="Times New Roman" w:hAnsi="Times New Roman" w:eastAsia="黑体" w:cs="Times New Roman"/>
          <w:color w:val="000000"/>
          <w:szCs w:val="21"/>
        </w:rPr>
        <w:t>表</w:t>
      </w:r>
      <w:r>
        <w:rPr>
          <w:rFonts w:ascii="Times New Roman" w:hAnsi="Times New Roman" w:eastAsia="黑体" w:cs="Times New Roman"/>
          <w:color w:val="000000"/>
          <w:szCs w:val="21"/>
        </w:rPr>
        <w:t>2 2017</w:t>
      </w:r>
      <w:r>
        <w:rPr>
          <w:rFonts w:hint="eastAsia" w:ascii="Times New Roman" w:hAnsi="Times New Roman" w:eastAsia="黑体" w:cs="Times New Roman"/>
          <w:color w:val="000000"/>
          <w:szCs w:val="21"/>
        </w:rPr>
        <w:t>年国内年产万吨规模的电解铜箔企业产量排名及其统计</w:t>
      </w:r>
    </w:p>
    <w:tbl>
      <w:tblPr>
        <w:tblStyle w:val="17"/>
        <w:tblW w:w="9220"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056"/>
        <w:gridCol w:w="1070"/>
        <w:gridCol w:w="851"/>
        <w:gridCol w:w="946"/>
        <w:gridCol w:w="1054"/>
        <w:gridCol w:w="934"/>
        <w:gridCol w:w="1054"/>
        <w:gridCol w:w="762"/>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10" w:type="dxa"/>
            <w:vMerge w:val="restart"/>
            <w:vAlign w:val="center"/>
          </w:tcPr>
          <w:p>
            <w:pPr>
              <w:snapToGrid w:val="0"/>
              <w:ind w:left="-2" w:leftChars="-1"/>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201</w:t>
            </w:r>
            <w:r>
              <w:rPr>
                <w:rFonts w:ascii="Times New Roman" w:hAnsi="Times New Roman" w:eastAsia="宋体" w:cs="Times New Roman"/>
                <w:color w:val="000000"/>
                <w:szCs w:val="21"/>
              </w:rPr>
              <w:t>7</w:t>
            </w:r>
            <w:r>
              <w:rPr>
                <w:rFonts w:hint="eastAsia" w:ascii="Times New Roman" w:hAnsi="Times New Roman" w:eastAsia="宋体" w:cs="Times New Roman"/>
                <w:color w:val="000000"/>
                <w:szCs w:val="21"/>
              </w:rPr>
              <w:t>年产量名次</w:t>
            </w:r>
          </w:p>
        </w:tc>
        <w:tc>
          <w:tcPr>
            <w:tcW w:w="1056" w:type="dxa"/>
            <w:vMerge w:val="restart"/>
            <w:vAlign w:val="center"/>
          </w:tcPr>
          <w:p>
            <w:pPr>
              <w:snapToGrid w:val="0"/>
              <w:ind w:left="-2" w:leftChars="-1"/>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企业名称</w:t>
            </w:r>
          </w:p>
        </w:tc>
        <w:tc>
          <w:tcPr>
            <w:tcW w:w="5909" w:type="dxa"/>
            <w:gridSpan w:val="6"/>
            <w:vAlign w:val="center"/>
          </w:tcPr>
          <w:p>
            <w:pPr>
              <w:snapToGrid w:val="0"/>
              <w:ind w:left="-2" w:leftChars="-1"/>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电解铜箔产量（吨/年）</w:t>
            </w:r>
          </w:p>
        </w:tc>
        <w:tc>
          <w:tcPr>
            <w:tcW w:w="762" w:type="dxa"/>
            <w:vMerge w:val="restart"/>
            <w:vAlign w:val="center"/>
          </w:tcPr>
          <w:p>
            <w:pPr>
              <w:snapToGrid w:val="0"/>
              <w:ind w:left="-2" w:leftChars="-1"/>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年增长率</w:t>
            </w:r>
          </w:p>
          <w:p>
            <w:pPr>
              <w:snapToGrid w:val="0"/>
              <w:ind w:left="-2" w:leftChars="-1"/>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w:t>
            </w:r>
          </w:p>
        </w:tc>
        <w:tc>
          <w:tcPr>
            <w:tcW w:w="783" w:type="dxa"/>
            <w:vMerge w:val="restart"/>
            <w:vAlign w:val="center"/>
          </w:tcPr>
          <w:p>
            <w:pPr>
              <w:snapToGrid w:val="0"/>
              <w:ind w:left="-2" w:leftChars="-1"/>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w:t>
            </w:r>
            <w:r>
              <w:rPr>
                <w:rFonts w:ascii="Times New Roman" w:hAnsi="Times New Roman" w:eastAsia="宋体" w:cs="Times New Roman"/>
                <w:color w:val="000000"/>
                <w:szCs w:val="21"/>
              </w:rPr>
              <w:t>017</w:t>
            </w:r>
            <w:r>
              <w:rPr>
                <w:rFonts w:hint="eastAsia" w:ascii="Times New Roman" w:hAnsi="Times New Roman" w:eastAsia="宋体" w:cs="Times New Roman"/>
                <w:color w:val="000000"/>
                <w:szCs w:val="21"/>
              </w:rPr>
              <w:t>年产能增长率</w:t>
            </w:r>
          </w:p>
          <w:p>
            <w:pPr>
              <w:snapToGrid w:val="0"/>
              <w:ind w:left="-2" w:leftChars="-1"/>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vAlign w:val="center"/>
          </w:tcPr>
          <w:p>
            <w:pPr>
              <w:snapToGrid w:val="0"/>
              <w:ind w:left="-2" w:leftChars="-1"/>
              <w:jc w:val="center"/>
              <w:rPr>
                <w:rFonts w:ascii="Times New Roman" w:hAnsi="Times New Roman" w:eastAsia="宋体" w:cs="Times New Roman"/>
                <w:color w:val="000000"/>
                <w:szCs w:val="21"/>
              </w:rPr>
            </w:pPr>
          </w:p>
        </w:tc>
        <w:tc>
          <w:tcPr>
            <w:tcW w:w="1056" w:type="dxa"/>
            <w:vMerge w:val="continue"/>
            <w:vAlign w:val="center"/>
          </w:tcPr>
          <w:p>
            <w:pPr>
              <w:snapToGrid w:val="0"/>
              <w:ind w:left="-2" w:leftChars="-1"/>
              <w:jc w:val="center"/>
              <w:rPr>
                <w:rFonts w:ascii="Times New Roman" w:hAnsi="Times New Roman" w:eastAsia="宋体" w:cs="Times New Roman"/>
                <w:color w:val="000000"/>
                <w:szCs w:val="21"/>
              </w:rPr>
            </w:pPr>
          </w:p>
        </w:tc>
        <w:tc>
          <w:tcPr>
            <w:tcW w:w="2867" w:type="dxa"/>
            <w:gridSpan w:val="3"/>
            <w:vAlign w:val="center"/>
          </w:tcPr>
          <w:p>
            <w:pPr>
              <w:snapToGrid w:val="0"/>
              <w:ind w:left="-2" w:leftChars="-1"/>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w:t>
            </w:r>
            <w:r>
              <w:rPr>
                <w:rFonts w:ascii="Times New Roman" w:hAnsi="Times New Roman" w:eastAsia="宋体" w:cs="Times New Roman"/>
                <w:color w:val="000000"/>
                <w:szCs w:val="21"/>
              </w:rPr>
              <w:t>016</w:t>
            </w:r>
            <w:r>
              <w:rPr>
                <w:rFonts w:hint="eastAsia" w:ascii="Times New Roman" w:hAnsi="Times New Roman" w:eastAsia="宋体" w:cs="Times New Roman"/>
                <w:color w:val="000000"/>
                <w:szCs w:val="21"/>
              </w:rPr>
              <w:t>年</w:t>
            </w:r>
          </w:p>
        </w:tc>
        <w:tc>
          <w:tcPr>
            <w:tcW w:w="3042" w:type="dxa"/>
            <w:gridSpan w:val="3"/>
            <w:vAlign w:val="center"/>
          </w:tcPr>
          <w:p>
            <w:pPr>
              <w:snapToGrid w:val="0"/>
              <w:ind w:left="-2" w:leftChars="-1"/>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w:t>
            </w:r>
            <w:r>
              <w:rPr>
                <w:rFonts w:ascii="Times New Roman" w:hAnsi="Times New Roman" w:eastAsia="宋体" w:cs="Times New Roman"/>
                <w:color w:val="000000"/>
                <w:szCs w:val="21"/>
              </w:rPr>
              <w:t>017</w:t>
            </w:r>
            <w:r>
              <w:rPr>
                <w:rFonts w:hint="eastAsia" w:ascii="Times New Roman" w:hAnsi="Times New Roman" w:eastAsia="宋体" w:cs="Times New Roman"/>
                <w:color w:val="000000"/>
                <w:szCs w:val="21"/>
              </w:rPr>
              <w:t>年</w:t>
            </w:r>
          </w:p>
        </w:tc>
        <w:tc>
          <w:tcPr>
            <w:tcW w:w="762" w:type="dxa"/>
            <w:vMerge w:val="continue"/>
            <w:vAlign w:val="center"/>
          </w:tcPr>
          <w:p>
            <w:pPr>
              <w:snapToGrid w:val="0"/>
              <w:ind w:left="-2" w:leftChars="-1"/>
              <w:jc w:val="center"/>
              <w:rPr>
                <w:rFonts w:ascii="Times New Roman" w:hAnsi="Times New Roman" w:eastAsia="宋体" w:cs="Times New Roman"/>
                <w:color w:val="000000"/>
                <w:szCs w:val="21"/>
              </w:rPr>
            </w:pPr>
          </w:p>
        </w:tc>
        <w:tc>
          <w:tcPr>
            <w:tcW w:w="783" w:type="dxa"/>
            <w:vMerge w:val="continue"/>
            <w:vAlign w:val="center"/>
          </w:tcPr>
          <w:p>
            <w:pPr>
              <w:snapToGrid w:val="0"/>
              <w:ind w:left="-2" w:leftChars="-1"/>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vAlign w:val="center"/>
          </w:tcPr>
          <w:p>
            <w:pPr>
              <w:snapToGrid w:val="0"/>
              <w:ind w:left="-2" w:leftChars="-1"/>
              <w:jc w:val="center"/>
              <w:rPr>
                <w:rFonts w:ascii="Times New Roman" w:hAnsi="Times New Roman" w:eastAsia="宋体" w:cs="Times New Roman"/>
                <w:color w:val="000000"/>
                <w:szCs w:val="21"/>
              </w:rPr>
            </w:pPr>
          </w:p>
        </w:tc>
        <w:tc>
          <w:tcPr>
            <w:tcW w:w="1056" w:type="dxa"/>
            <w:vMerge w:val="continue"/>
            <w:vAlign w:val="center"/>
          </w:tcPr>
          <w:p>
            <w:pPr>
              <w:snapToGrid w:val="0"/>
              <w:ind w:left="-2" w:leftChars="-1"/>
              <w:jc w:val="center"/>
              <w:rPr>
                <w:rFonts w:ascii="Times New Roman" w:hAnsi="Times New Roman" w:eastAsia="宋体" w:cs="Times New Roman"/>
                <w:color w:val="000000"/>
                <w:szCs w:val="21"/>
              </w:rPr>
            </w:pPr>
          </w:p>
        </w:tc>
        <w:tc>
          <w:tcPr>
            <w:tcW w:w="1070" w:type="dxa"/>
            <w:vAlign w:val="center"/>
          </w:tcPr>
          <w:p>
            <w:pPr>
              <w:snapToGrid w:val="0"/>
              <w:ind w:left="-2" w:leftChars="-1"/>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印制电路板用电箔</w:t>
            </w:r>
          </w:p>
        </w:tc>
        <w:tc>
          <w:tcPr>
            <w:tcW w:w="851" w:type="dxa"/>
            <w:vAlign w:val="center"/>
          </w:tcPr>
          <w:p>
            <w:pPr>
              <w:snapToGrid w:val="0"/>
              <w:ind w:left="-2" w:leftChars="-1"/>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锂电池铜箔</w:t>
            </w:r>
          </w:p>
        </w:tc>
        <w:tc>
          <w:tcPr>
            <w:tcW w:w="946" w:type="dxa"/>
            <w:vAlign w:val="center"/>
          </w:tcPr>
          <w:p>
            <w:pPr>
              <w:snapToGrid w:val="0"/>
              <w:ind w:left="-2" w:leftChars="-1"/>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总产量</w:t>
            </w:r>
          </w:p>
        </w:tc>
        <w:tc>
          <w:tcPr>
            <w:tcW w:w="1054" w:type="dxa"/>
            <w:vAlign w:val="center"/>
          </w:tcPr>
          <w:p>
            <w:pPr>
              <w:snapToGrid w:val="0"/>
              <w:ind w:left="-2" w:leftChars="-1"/>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印制电路板用电箔</w:t>
            </w:r>
          </w:p>
        </w:tc>
        <w:tc>
          <w:tcPr>
            <w:tcW w:w="934" w:type="dxa"/>
            <w:vAlign w:val="center"/>
          </w:tcPr>
          <w:p>
            <w:pPr>
              <w:snapToGrid w:val="0"/>
              <w:ind w:left="-2" w:leftChars="-1"/>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锂电池铜箔</w:t>
            </w:r>
          </w:p>
        </w:tc>
        <w:tc>
          <w:tcPr>
            <w:tcW w:w="1054" w:type="dxa"/>
            <w:vAlign w:val="center"/>
          </w:tcPr>
          <w:p>
            <w:pPr>
              <w:snapToGrid w:val="0"/>
              <w:ind w:left="-59" w:leftChars="-28" w:right="-92" w:rightChars="-44"/>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总产量</w:t>
            </w:r>
          </w:p>
        </w:tc>
        <w:tc>
          <w:tcPr>
            <w:tcW w:w="762" w:type="dxa"/>
            <w:vMerge w:val="continue"/>
            <w:vAlign w:val="center"/>
          </w:tcPr>
          <w:p>
            <w:pPr>
              <w:snapToGrid w:val="0"/>
              <w:ind w:left="-2" w:leftChars="-1"/>
              <w:jc w:val="center"/>
              <w:rPr>
                <w:rFonts w:ascii="Times New Roman" w:hAnsi="Times New Roman" w:eastAsia="宋体" w:cs="Times New Roman"/>
                <w:color w:val="000000"/>
                <w:szCs w:val="21"/>
              </w:rPr>
            </w:pPr>
          </w:p>
        </w:tc>
        <w:tc>
          <w:tcPr>
            <w:tcW w:w="783" w:type="dxa"/>
            <w:vMerge w:val="continue"/>
            <w:vAlign w:val="center"/>
          </w:tcPr>
          <w:p>
            <w:pPr>
              <w:snapToGrid w:val="0"/>
              <w:ind w:left="-2" w:leftChars="-1"/>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pStyle w:val="25"/>
              <w:numPr>
                <w:ilvl w:val="0"/>
                <w:numId w:val="3"/>
              </w:numPr>
              <w:snapToGrid w:val="0"/>
              <w:ind w:left="-2" w:leftChars="-1" w:firstLine="0" w:firstLineChars="0"/>
              <w:jc w:val="center"/>
              <w:rPr>
                <w:rFonts w:ascii="Times New Roman" w:hAnsi="Times New Roman" w:eastAsia="宋体" w:cs="Times New Roman"/>
                <w:color w:val="000000"/>
                <w:szCs w:val="21"/>
              </w:rPr>
            </w:pPr>
          </w:p>
        </w:tc>
        <w:tc>
          <w:tcPr>
            <w:tcW w:w="1056" w:type="dxa"/>
            <w:vAlign w:val="center"/>
          </w:tcPr>
          <w:p>
            <w:pPr>
              <w:snapToGrid w:val="0"/>
              <w:ind w:left="-2" w:leftChars="-1"/>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建滔铜箔（港）</w:t>
            </w:r>
          </w:p>
        </w:tc>
        <w:tc>
          <w:tcPr>
            <w:tcW w:w="1070" w:type="dxa"/>
            <w:vAlign w:val="center"/>
          </w:tcPr>
          <w:p>
            <w:pPr>
              <w:snapToGrid w:val="0"/>
              <w:ind w:left="-2" w:leftChars="-1"/>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5</w:t>
            </w:r>
            <w:r>
              <w:rPr>
                <w:rFonts w:ascii="Times New Roman" w:hAnsi="Times New Roman" w:eastAsia="宋体" w:cs="Times New Roman"/>
                <w:color w:val="000000"/>
                <w:szCs w:val="21"/>
              </w:rPr>
              <w:t>8000</w:t>
            </w:r>
          </w:p>
        </w:tc>
        <w:tc>
          <w:tcPr>
            <w:tcW w:w="851" w:type="dxa"/>
            <w:vAlign w:val="center"/>
          </w:tcPr>
          <w:p>
            <w:pPr>
              <w:snapToGrid w:val="0"/>
              <w:ind w:left="-2" w:leftChars="-1"/>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w:t>
            </w:r>
            <w:r>
              <w:rPr>
                <w:rFonts w:ascii="Times New Roman" w:hAnsi="Times New Roman" w:eastAsia="宋体" w:cs="Times New Roman"/>
                <w:color w:val="000000"/>
                <w:szCs w:val="21"/>
              </w:rPr>
              <w:t>000</w:t>
            </w:r>
          </w:p>
        </w:tc>
        <w:tc>
          <w:tcPr>
            <w:tcW w:w="946" w:type="dxa"/>
            <w:vAlign w:val="center"/>
          </w:tcPr>
          <w:p>
            <w:pPr>
              <w:snapToGrid w:val="0"/>
              <w:ind w:left="-2" w:leftChars="-1"/>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6</w:t>
            </w:r>
            <w:r>
              <w:rPr>
                <w:rFonts w:ascii="Times New Roman" w:hAnsi="Times New Roman" w:eastAsia="宋体" w:cs="Times New Roman"/>
                <w:color w:val="000000"/>
                <w:szCs w:val="21"/>
              </w:rPr>
              <w:t>0000</w:t>
            </w:r>
          </w:p>
        </w:tc>
        <w:tc>
          <w:tcPr>
            <w:tcW w:w="1054" w:type="dxa"/>
            <w:vAlign w:val="center"/>
          </w:tcPr>
          <w:p>
            <w:pPr>
              <w:snapToGrid w:val="0"/>
              <w:ind w:left="-2" w:leftChars="-1"/>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6</w:t>
            </w:r>
            <w:r>
              <w:rPr>
                <w:rFonts w:ascii="Times New Roman" w:hAnsi="Times New Roman" w:eastAsia="宋体" w:cs="Times New Roman"/>
                <w:color w:val="000000"/>
                <w:szCs w:val="21"/>
              </w:rPr>
              <w:t>2000</w:t>
            </w:r>
          </w:p>
        </w:tc>
        <w:tc>
          <w:tcPr>
            <w:tcW w:w="934" w:type="dxa"/>
            <w:vAlign w:val="center"/>
          </w:tcPr>
          <w:p>
            <w:pPr>
              <w:snapToGrid w:val="0"/>
              <w:ind w:left="-2" w:leftChars="-1"/>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w:t>
            </w:r>
            <w:r>
              <w:rPr>
                <w:rFonts w:ascii="Times New Roman" w:hAnsi="Times New Roman" w:eastAsia="宋体" w:cs="Times New Roman"/>
                <w:color w:val="000000"/>
                <w:szCs w:val="21"/>
              </w:rPr>
              <w:t>000</w:t>
            </w:r>
          </w:p>
        </w:tc>
        <w:tc>
          <w:tcPr>
            <w:tcW w:w="1054" w:type="dxa"/>
            <w:vAlign w:val="center"/>
          </w:tcPr>
          <w:p>
            <w:pPr>
              <w:snapToGrid w:val="0"/>
              <w:ind w:left="-2" w:leftChars="-1"/>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6</w:t>
            </w:r>
            <w:r>
              <w:rPr>
                <w:rFonts w:ascii="Times New Roman" w:hAnsi="Times New Roman" w:eastAsia="宋体" w:cs="Times New Roman"/>
                <w:color w:val="000000"/>
                <w:szCs w:val="21"/>
              </w:rPr>
              <w:t>4000</w:t>
            </w:r>
          </w:p>
        </w:tc>
        <w:tc>
          <w:tcPr>
            <w:tcW w:w="762" w:type="dxa"/>
            <w:vAlign w:val="center"/>
          </w:tcPr>
          <w:p>
            <w:pPr>
              <w:snapToGrid w:val="0"/>
              <w:ind w:left="-2" w:leftChars="-1"/>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6</w:t>
            </w:r>
            <w:r>
              <w:rPr>
                <w:rFonts w:ascii="Times New Roman" w:hAnsi="Times New Roman" w:eastAsia="宋体" w:cs="Times New Roman"/>
                <w:color w:val="000000"/>
                <w:szCs w:val="21"/>
              </w:rPr>
              <w:t>.7</w:t>
            </w:r>
          </w:p>
        </w:tc>
        <w:tc>
          <w:tcPr>
            <w:tcW w:w="783" w:type="dxa"/>
            <w:vAlign w:val="center"/>
          </w:tcPr>
          <w:p>
            <w:pPr>
              <w:snapToGrid w:val="0"/>
              <w:ind w:left="-2" w:leftChars="-1"/>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pStyle w:val="25"/>
              <w:numPr>
                <w:ilvl w:val="0"/>
                <w:numId w:val="3"/>
              </w:numPr>
              <w:snapToGrid w:val="0"/>
              <w:ind w:left="-2" w:leftChars="-1" w:firstLine="0" w:firstLineChars="0"/>
              <w:jc w:val="center"/>
              <w:rPr>
                <w:rFonts w:ascii="Times New Roman" w:hAnsi="Times New Roman" w:eastAsia="宋体" w:cs="Times New Roman"/>
                <w:color w:val="000000"/>
                <w:szCs w:val="21"/>
              </w:rPr>
            </w:pPr>
          </w:p>
        </w:tc>
        <w:tc>
          <w:tcPr>
            <w:tcW w:w="1056" w:type="dxa"/>
            <w:vAlign w:val="center"/>
          </w:tcPr>
          <w:p>
            <w:pPr>
              <w:snapToGrid w:val="0"/>
              <w:ind w:left="-2" w:leftChars="-1"/>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南亚铜箔（台）</w:t>
            </w:r>
          </w:p>
        </w:tc>
        <w:tc>
          <w:tcPr>
            <w:tcW w:w="1070" w:type="dxa"/>
            <w:vAlign w:val="center"/>
          </w:tcPr>
          <w:p>
            <w:pPr>
              <w:snapToGrid w:val="0"/>
              <w:ind w:left="-2" w:leftChars="-1"/>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5</w:t>
            </w:r>
            <w:r>
              <w:rPr>
                <w:rFonts w:ascii="Times New Roman" w:hAnsi="Times New Roman" w:eastAsia="宋体" w:cs="Times New Roman"/>
                <w:color w:val="000000"/>
                <w:szCs w:val="21"/>
              </w:rPr>
              <w:t>2026</w:t>
            </w:r>
          </w:p>
        </w:tc>
        <w:tc>
          <w:tcPr>
            <w:tcW w:w="851" w:type="dxa"/>
            <w:vAlign w:val="center"/>
          </w:tcPr>
          <w:p>
            <w:pPr>
              <w:snapToGrid w:val="0"/>
              <w:ind w:left="-2" w:leftChars="-1"/>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w:t>
            </w:r>
          </w:p>
        </w:tc>
        <w:tc>
          <w:tcPr>
            <w:tcW w:w="946" w:type="dxa"/>
            <w:vAlign w:val="center"/>
          </w:tcPr>
          <w:p>
            <w:pPr>
              <w:snapToGrid w:val="0"/>
              <w:ind w:left="-2" w:leftChars="-1"/>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5</w:t>
            </w:r>
            <w:r>
              <w:rPr>
                <w:rFonts w:ascii="Times New Roman" w:hAnsi="Times New Roman" w:eastAsia="宋体" w:cs="Times New Roman"/>
                <w:color w:val="000000"/>
                <w:szCs w:val="21"/>
              </w:rPr>
              <w:t>2026</w:t>
            </w:r>
          </w:p>
        </w:tc>
        <w:tc>
          <w:tcPr>
            <w:tcW w:w="1054" w:type="dxa"/>
            <w:vAlign w:val="center"/>
          </w:tcPr>
          <w:p>
            <w:pPr>
              <w:snapToGrid w:val="0"/>
              <w:ind w:left="-2" w:leftChars="-1"/>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5</w:t>
            </w:r>
            <w:r>
              <w:rPr>
                <w:rFonts w:ascii="Times New Roman" w:hAnsi="Times New Roman" w:eastAsia="宋体" w:cs="Times New Roman"/>
                <w:color w:val="000000"/>
                <w:szCs w:val="21"/>
              </w:rPr>
              <w:t>8215</w:t>
            </w:r>
          </w:p>
        </w:tc>
        <w:tc>
          <w:tcPr>
            <w:tcW w:w="934" w:type="dxa"/>
            <w:vAlign w:val="center"/>
          </w:tcPr>
          <w:p>
            <w:pPr>
              <w:snapToGrid w:val="0"/>
              <w:ind w:left="-2" w:leftChars="-1"/>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w:t>
            </w:r>
          </w:p>
        </w:tc>
        <w:tc>
          <w:tcPr>
            <w:tcW w:w="1054" w:type="dxa"/>
            <w:vAlign w:val="center"/>
          </w:tcPr>
          <w:p>
            <w:pPr>
              <w:snapToGrid w:val="0"/>
              <w:ind w:left="-2" w:leftChars="-1"/>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5</w:t>
            </w:r>
            <w:r>
              <w:rPr>
                <w:rFonts w:ascii="Times New Roman" w:hAnsi="Times New Roman" w:eastAsia="宋体" w:cs="Times New Roman"/>
                <w:color w:val="000000"/>
                <w:szCs w:val="21"/>
              </w:rPr>
              <w:t>8215</w:t>
            </w:r>
          </w:p>
        </w:tc>
        <w:tc>
          <w:tcPr>
            <w:tcW w:w="762" w:type="dxa"/>
            <w:vAlign w:val="center"/>
          </w:tcPr>
          <w:p>
            <w:pPr>
              <w:snapToGrid w:val="0"/>
              <w:ind w:left="-2" w:leftChars="-1"/>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w:t>
            </w:r>
            <w:r>
              <w:rPr>
                <w:rFonts w:ascii="Times New Roman" w:hAnsi="Times New Roman" w:eastAsia="宋体" w:cs="Times New Roman"/>
                <w:color w:val="000000"/>
                <w:szCs w:val="21"/>
              </w:rPr>
              <w:t>1.9</w:t>
            </w:r>
          </w:p>
        </w:tc>
        <w:tc>
          <w:tcPr>
            <w:tcW w:w="783" w:type="dxa"/>
            <w:vAlign w:val="center"/>
          </w:tcPr>
          <w:p>
            <w:pPr>
              <w:snapToGrid w:val="0"/>
              <w:ind w:left="-2" w:leftChars="-1"/>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pStyle w:val="25"/>
              <w:numPr>
                <w:ilvl w:val="0"/>
                <w:numId w:val="3"/>
              </w:numPr>
              <w:snapToGrid w:val="0"/>
              <w:ind w:left="-2" w:leftChars="-1" w:firstLine="0" w:firstLineChars="0"/>
              <w:jc w:val="center"/>
              <w:rPr>
                <w:rFonts w:ascii="Times New Roman" w:hAnsi="Times New Roman" w:eastAsia="宋体" w:cs="Times New Roman"/>
                <w:color w:val="000000"/>
                <w:szCs w:val="21"/>
              </w:rPr>
            </w:pPr>
          </w:p>
        </w:tc>
        <w:tc>
          <w:tcPr>
            <w:tcW w:w="1056" w:type="dxa"/>
            <w:vAlign w:val="center"/>
          </w:tcPr>
          <w:p>
            <w:pPr>
              <w:snapToGrid w:val="0"/>
              <w:ind w:left="-2" w:leftChars="-1"/>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灵宝华鑫</w:t>
            </w:r>
          </w:p>
        </w:tc>
        <w:tc>
          <w:tcPr>
            <w:tcW w:w="1070" w:type="dxa"/>
            <w:vAlign w:val="center"/>
          </w:tcPr>
          <w:p>
            <w:pPr>
              <w:snapToGrid w:val="0"/>
              <w:ind w:left="-2" w:leftChars="-1"/>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8</w:t>
            </w:r>
            <w:r>
              <w:rPr>
                <w:rFonts w:ascii="Times New Roman" w:hAnsi="Times New Roman" w:eastAsia="宋体" w:cs="Times New Roman"/>
                <w:color w:val="000000"/>
                <w:szCs w:val="21"/>
              </w:rPr>
              <w:t>054</w:t>
            </w:r>
          </w:p>
        </w:tc>
        <w:tc>
          <w:tcPr>
            <w:tcW w:w="851" w:type="dxa"/>
            <w:vAlign w:val="center"/>
          </w:tcPr>
          <w:p>
            <w:pPr>
              <w:snapToGrid w:val="0"/>
              <w:ind w:left="-2" w:leftChars="-1"/>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w:t>
            </w:r>
            <w:r>
              <w:rPr>
                <w:rFonts w:ascii="Times New Roman" w:hAnsi="Times New Roman" w:eastAsia="宋体" w:cs="Times New Roman"/>
                <w:color w:val="000000"/>
                <w:szCs w:val="21"/>
              </w:rPr>
              <w:t>0841</w:t>
            </w:r>
          </w:p>
        </w:tc>
        <w:tc>
          <w:tcPr>
            <w:tcW w:w="946" w:type="dxa"/>
            <w:vAlign w:val="center"/>
          </w:tcPr>
          <w:p>
            <w:pPr>
              <w:snapToGrid w:val="0"/>
              <w:ind w:left="-2" w:leftChars="-1"/>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w:t>
            </w:r>
            <w:r>
              <w:rPr>
                <w:rFonts w:ascii="Times New Roman" w:hAnsi="Times New Roman" w:eastAsia="宋体" w:cs="Times New Roman"/>
                <w:color w:val="000000"/>
                <w:szCs w:val="21"/>
              </w:rPr>
              <w:t>8895</w:t>
            </w:r>
          </w:p>
        </w:tc>
        <w:tc>
          <w:tcPr>
            <w:tcW w:w="1054" w:type="dxa"/>
            <w:vAlign w:val="center"/>
          </w:tcPr>
          <w:p>
            <w:pPr>
              <w:snapToGrid w:val="0"/>
              <w:ind w:left="-2" w:leftChars="-1"/>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w:t>
            </w:r>
            <w:r>
              <w:rPr>
                <w:rFonts w:ascii="Times New Roman" w:hAnsi="Times New Roman" w:eastAsia="宋体" w:cs="Times New Roman"/>
                <w:color w:val="000000"/>
                <w:szCs w:val="21"/>
              </w:rPr>
              <w:t>3087</w:t>
            </w:r>
          </w:p>
        </w:tc>
        <w:tc>
          <w:tcPr>
            <w:tcW w:w="934" w:type="dxa"/>
            <w:vAlign w:val="center"/>
          </w:tcPr>
          <w:p>
            <w:pPr>
              <w:snapToGrid w:val="0"/>
              <w:ind w:left="-2" w:leftChars="-1"/>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w:t>
            </w:r>
            <w:r>
              <w:rPr>
                <w:rFonts w:ascii="Times New Roman" w:hAnsi="Times New Roman" w:eastAsia="宋体" w:cs="Times New Roman"/>
                <w:color w:val="000000"/>
                <w:szCs w:val="21"/>
              </w:rPr>
              <w:t>6910</w:t>
            </w:r>
          </w:p>
        </w:tc>
        <w:tc>
          <w:tcPr>
            <w:tcW w:w="1054" w:type="dxa"/>
            <w:vAlign w:val="center"/>
          </w:tcPr>
          <w:p>
            <w:pPr>
              <w:snapToGrid w:val="0"/>
              <w:ind w:left="-2" w:leftChars="-1"/>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w:t>
            </w:r>
            <w:r>
              <w:rPr>
                <w:rFonts w:ascii="Times New Roman" w:hAnsi="Times New Roman" w:eastAsia="宋体" w:cs="Times New Roman"/>
                <w:color w:val="000000"/>
                <w:szCs w:val="21"/>
              </w:rPr>
              <w:t>9997</w:t>
            </w:r>
          </w:p>
        </w:tc>
        <w:tc>
          <w:tcPr>
            <w:tcW w:w="762" w:type="dxa"/>
            <w:vAlign w:val="center"/>
          </w:tcPr>
          <w:p>
            <w:pPr>
              <w:snapToGrid w:val="0"/>
              <w:ind w:left="-2" w:leftChars="-1"/>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5</w:t>
            </w:r>
            <w:r>
              <w:rPr>
                <w:rFonts w:ascii="Times New Roman" w:hAnsi="Times New Roman" w:eastAsia="宋体" w:cs="Times New Roman"/>
                <w:color w:val="000000"/>
                <w:szCs w:val="21"/>
              </w:rPr>
              <w:t>8.8</w:t>
            </w:r>
          </w:p>
        </w:tc>
        <w:tc>
          <w:tcPr>
            <w:tcW w:w="783" w:type="dxa"/>
            <w:vAlign w:val="center"/>
          </w:tcPr>
          <w:p>
            <w:pPr>
              <w:snapToGrid w:val="0"/>
              <w:ind w:left="-2" w:leftChars="-1"/>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4</w:t>
            </w:r>
            <w:r>
              <w:rPr>
                <w:rFonts w:ascii="Times New Roman" w:hAnsi="Times New Roman" w:eastAsia="宋体" w:cs="Times New Roman"/>
                <w:color w:val="000000"/>
                <w:szCs w:val="21"/>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pStyle w:val="25"/>
              <w:numPr>
                <w:ilvl w:val="0"/>
                <w:numId w:val="3"/>
              </w:numPr>
              <w:snapToGrid w:val="0"/>
              <w:ind w:left="-2" w:leftChars="-1" w:firstLine="0" w:firstLineChars="0"/>
              <w:jc w:val="center"/>
              <w:rPr>
                <w:rFonts w:ascii="Times New Roman" w:hAnsi="Times New Roman" w:eastAsia="宋体" w:cs="Times New Roman"/>
                <w:color w:val="000000"/>
                <w:szCs w:val="21"/>
              </w:rPr>
            </w:pPr>
          </w:p>
        </w:tc>
        <w:tc>
          <w:tcPr>
            <w:tcW w:w="1056" w:type="dxa"/>
            <w:vAlign w:val="center"/>
          </w:tcPr>
          <w:p>
            <w:pPr>
              <w:snapToGrid w:val="0"/>
              <w:ind w:left="-2" w:leftChars="-1"/>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安徽铜冠</w:t>
            </w:r>
          </w:p>
        </w:tc>
        <w:tc>
          <w:tcPr>
            <w:tcW w:w="1070" w:type="dxa"/>
            <w:vAlign w:val="center"/>
          </w:tcPr>
          <w:p>
            <w:pPr>
              <w:snapToGrid w:val="0"/>
              <w:ind w:left="-2" w:leftChars="-1"/>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w:t>
            </w:r>
            <w:r>
              <w:rPr>
                <w:rFonts w:ascii="Times New Roman" w:hAnsi="Times New Roman" w:eastAsia="宋体" w:cs="Times New Roman"/>
                <w:color w:val="000000"/>
                <w:szCs w:val="21"/>
              </w:rPr>
              <w:t>2439</w:t>
            </w:r>
          </w:p>
        </w:tc>
        <w:tc>
          <w:tcPr>
            <w:tcW w:w="851" w:type="dxa"/>
            <w:vAlign w:val="center"/>
          </w:tcPr>
          <w:p>
            <w:pPr>
              <w:snapToGrid w:val="0"/>
              <w:ind w:left="-2" w:leftChars="-1"/>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6</w:t>
            </w:r>
            <w:r>
              <w:rPr>
                <w:rFonts w:ascii="Times New Roman" w:hAnsi="Times New Roman" w:eastAsia="宋体" w:cs="Times New Roman"/>
                <w:color w:val="000000"/>
                <w:szCs w:val="21"/>
              </w:rPr>
              <w:t>612</w:t>
            </w:r>
          </w:p>
        </w:tc>
        <w:tc>
          <w:tcPr>
            <w:tcW w:w="946" w:type="dxa"/>
            <w:vAlign w:val="center"/>
          </w:tcPr>
          <w:p>
            <w:pPr>
              <w:snapToGrid w:val="0"/>
              <w:ind w:left="-2" w:leftChars="-1"/>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w:t>
            </w:r>
            <w:r>
              <w:rPr>
                <w:rFonts w:ascii="Times New Roman" w:hAnsi="Times New Roman" w:eastAsia="宋体" w:cs="Times New Roman"/>
                <w:color w:val="000000"/>
                <w:szCs w:val="21"/>
              </w:rPr>
              <w:t>9051</w:t>
            </w:r>
          </w:p>
        </w:tc>
        <w:tc>
          <w:tcPr>
            <w:tcW w:w="1054" w:type="dxa"/>
            <w:vAlign w:val="center"/>
          </w:tcPr>
          <w:p>
            <w:pPr>
              <w:snapToGrid w:val="0"/>
              <w:ind w:left="-2" w:leftChars="-1"/>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w:t>
            </w:r>
            <w:r>
              <w:rPr>
                <w:rFonts w:ascii="Times New Roman" w:hAnsi="Times New Roman" w:eastAsia="宋体" w:cs="Times New Roman"/>
                <w:color w:val="000000"/>
                <w:szCs w:val="21"/>
              </w:rPr>
              <w:t>2813</w:t>
            </w:r>
          </w:p>
        </w:tc>
        <w:tc>
          <w:tcPr>
            <w:tcW w:w="934" w:type="dxa"/>
            <w:vAlign w:val="center"/>
          </w:tcPr>
          <w:p>
            <w:pPr>
              <w:snapToGrid w:val="0"/>
              <w:ind w:left="-2" w:leftChars="-1"/>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6</w:t>
            </w:r>
            <w:r>
              <w:rPr>
                <w:rFonts w:ascii="Times New Roman" w:hAnsi="Times New Roman" w:eastAsia="宋体" w:cs="Times New Roman"/>
                <w:color w:val="000000"/>
                <w:szCs w:val="21"/>
              </w:rPr>
              <w:t>907</w:t>
            </w:r>
          </w:p>
        </w:tc>
        <w:tc>
          <w:tcPr>
            <w:tcW w:w="1054" w:type="dxa"/>
            <w:vAlign w:val="center"/>
          </w:tcPr>
          <w:p>
            <w:pPr>
              <w:snapToGrid w:val="0"/>
              <w:ind w:left="-2" w:leftChars="-1"/>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w:t>
            </w:r>
            <w:r>
              <w:rPr>
                <w:rFonts w:ascii="Times New Roman" w:hAnsi="Times New Roman" w:eastAsia="宋体" w:cs="Times New Roman"/>
                <w:color w:val="000000"/>
                <w:szCs w:val="21"/>
              </w:rPr>
              <w:t>9720</w:t>
            </w:r>
          </w:p>
        </w:tc>
        <w:tc>
          <w:tcPr>
            <w:tcW w:w="762" w:type="dxa"/>
            <w:vAlign w:val="center"/>
          </w:tcPr>
          <w:p>
            <w:pPr>
              <w:snapToGrid w:val="0"/>
              <w:ind w:left="-2" w:leftChars="-1"/>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w:t>
            </w:r>
            <w:r>
              <w:rPr>
                <w:rFonts w:ascii="Times New Roman" w:hAnsi="Times New Roman" w:eastAsia="宋体" w:cs="Times New Roman"/>
                <w:color w:val="000000"/>
                <w:szCs w:val="21"/>
              </w:rPr>
              <w:t>.3</w:t>
            </w:r>
          </w:p>
        </w:tc>
        <w:tc>
          <w:tcPr>
            <w:tcW w:w="783" w:type="dxa"/>
            <w:vAlign w:val="center"/>
          </w:tcPr>
          <w:p>
            <w:pPr>
              <w:snapToGrid w:val="0"/>
              <w:ind w:left="-2" w:leftChars="-1"/>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w:t>
            </w:r>
            <w:r>
              <w:rPr>
                <w:rFonts w:ascii="Times New Roman" w:hAnsi="Times New Roman" w:eastAsia="宋体" w:cs="Times New Roman"/>
                <w:color w:val="000000"/>
                <w:szCs w:val="21"/>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pStyle w:val="25"/>
              <w:numPr>
                <w:ilvl w:val="0"/>
                <w:numId w:val="3"/>
              </w:numPr>
              <w:snapToGrid w:val="0"/>
              <w:ind w:left="-2" w:leftChars="-1" w:firstLine="0" w:firstLineChars="0"/>
              <w:jc w:val="center"/>
              <w:rPr>
                <w:rFonts w:ascii="Times New Roman" w:hAnsi="Times New Roman" w:eastAsia="宋体" w:cs="Times New Roman"/>
                <w:color w:val="000000"/>
                <w:szCs w:val="21"/>
              </w:rPr>
            </w:pPr>
          </w:p>
        </w:tc>
        <w:tc>
          <w:tcPr>
            <w:tcW w:w="1056" w:type="dxa"/>
            <w:vAlign w:val="center"/>
          </w:tcPr>
          <w:p>
            <w:pPr>
              <w:snapToGrid w:val="0"/>
              <w:ind w:left="-2" w:leftChars="-1"/>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诺德股份</w:t>
            </w:r>
          </w:p>
        </w:tc>
        <w:tc>
          <w:tcPr>
            <w:tcW w:w="1070" w:type="dxa"/>
            <w:vAlign w:val="center"/>
          </w:tcPr>
          <w:p>
            <w:pPr>
              <w:snapToGrid w:val="0"/>
              <w:ind w:left="-2" w:leftChars="-1"/>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3</w:t>
            </w:r>
            <w:r>
              <w:rPr>
                <w:rFonts w:ascii="Times New Roman" w:hAnsi="Times New Roman" w:eastAsia="宋体" w:cs="Times New Roman"/>
                <w:color w:val="000000"/>
                <w:szCs w:val="21"/>
              </w:rPr>
              <w:t>815</w:t>
            </w:r>
          </w:p>
        </w:tc>
        <w:tc>
          <w:tcPr>
            <w:tcW w:w="851" w:type="dxa"/>
            <w:vAlign w:val="center"/>
          </w:tcPr>
          <w:p>
            <w:pPr>
              <w:snapToGrid w:val="0"/>
              <w:ind w:left="-2" w:leftChars="-1"/>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w:t>
            </w:r>
            <w:r>
              <w:rPr>
                <w:rFonts w:ascii="Times New Roman" w:hAnsi="Times New Roman" w:eastAsia="宋体" w:cs="Times New Roman"/>
                <w:color w:val="000000"/>
                <w:szCs w:val="21"/>
              </w:rPr>
              <w:t>5601</w:t>
            </w:r>
          </w:p>
        </w:tc>
        <w:tc>
          <w:tcPr>
            <w:tcW w:w="946" w:type="dxa"/>
            <w:vAlign w:val="center"/>
          </w:tcPr>
          <w:p>
            <w:pPr>
              <w:snapToGrid w:val="0"/>
              <w:ind w:left="-2" w:leftChars="-1"/>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w:t>
            </w:r>
            <w:r>
              <w:rPr>
                <w:rFonts w:ascii="Times New Roman" w:hAnsi="Times New Roman" w:eastAsia="宋体" w:cs="Times New Roman"/>
                <w:color w:val="000000"/>
                <w:szCs w:val="21"/>
              </w:rPr>
              <w:t>9416</w:t>
            </w:r>
          </w:p>
        </w:tc>
        <w:tc>
          <w:tcPr>
            <w:tcW w:w="1054" w:type="dxa"/>
            <w:vAlign w:val="center"/>
          </w:tcPr>
          <w:p>
            <w:pPr>
              <w:snapToGrid w:val="0"/>
              <w:ind w:left="-2" w:leftChars="-1"/>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5</w:t>
            </w:r>
            <w:r>
              <w:rPr>
                <w:rFonts w:ascii="Times New Roman" w:hAnsi="Times New Roman" w:eastAsia="宋体" w:cs="Times New Roman"/>
                <w:color w:val="000000"/>
                <w:szCs w:val="21"/>
              </w:rPr>
              <w:t>763.6</w:t>
            </w:r>
          </w:p>
        </w:tc>
        <w:tc>
          <w:tcPr>
            <w:tcW w:w="934" w:type="dxa"/>
            <w:vAlign w:val="center"/>
          </w:tcPr>
          <w:p>
            <w:pPr>
              <w:snapToGrid w:val="0"/>
              <w:ind w:left="-2" w:leftChars="-1"/>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w:t>
            </w:r>
            <w:r>
              <w:rPr>
                <w:rFonts w:ascii="Times New Roman" w:hAnsi="Times New Roman" w:eastAsia="宋体" w:cs="Times New Roman"/>
                <w:color w:val="000000"/>
                <w:szCs w:val="21"/>
              </w:rPr>
              <w:t>7621</w:t>
            </w:r>
          </w:p>
        </w:tc>
        <w:tc>
          <w:tcPr>
            <w:tcW w:w="1054" w:type="dxa"/>
            <w:vAlign w:val="center"/>
          </w:tcPr>
          <w:p>
            <w:pPr>
              <w:snapToGrid w:val="0"/>
              <w:ind w:left="-2" w:leftChars="-1"/>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w:t>
            </w:r>
            <w:r>
              <w:rPr>
                <w:rFonts w:ascii="Times New Roman" w:hAnsi="Times New Roman" w:eastAsia="宋体" w:cs="Times New Roman"/>
                <w:color w:val="000000"/>
                <w:szCs w:val="21"/>
              </w:rPr>
              <w:t>3884.6</w:t>
            </w:r>
          </w:p>
        </w:tc>
        <w:tc>
          <w:tcPr>
            <w:tcW w:w="762" w:type="dxa"/>
            <w:vAlign w:val="center"/>
          </w:tcPr>
          <w:p>
            <w:pPr>
              <w:snapToGrid w:val="0"/>
              <w:ind w:left="-2" w:leftChars="-1"/>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w:t>
            </w:r>
            <w:r>
              <w:rPr>
                <w:rFonts w:ascii="Times New Roman" w:hAnsi="Times New Roman" w:eastAsia="宋体" w:cs="Times New Roman"/>
                <w:color w:val="000000"/>
                <w:szCs w:val="21"/>
              </w:rPr>
              <w:t>0.4</w:t>
            </w:r>
          </w:p>
        </w:tc>
        <w:tc>
          <w:tcPr>
            <w:tcW w:w="783" w:type="dxa"/>
            <w:vAlign w:val="center"/>
          </w:tcPr>
          <w:p>
            <w:pPr>
              <w:snapToGrid w:val="0"/>
              <w:ind w:left="-2" w:leftChars="-1"/>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3</w:t>
            </w:r>
            <w:r>
              <w:rPr>
                <w:rFonts w:ascii="Times New Roman" w:hAnsi="Times New Roman" w:eastAsia="宋体" w:cs="Times New Roman"/>
                <w:color w:val="000000"/>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pStyle w:val="25"/>
              <w:numPr>
                <w:ilvl w:val="0"/>
                <w:numId w:val="3"/>
              </w:numPr>
              <w:snapToGrid w:val="0"/>
              <w:ind w:left="-2" w:leftChars="-1" w:firstLine="0" w:firstLineChars="0"/>
              <w:jc w:val="center"/>
              <w:rPr>
                <w:rFonts w:ascii="Times New Roman" w:hAnsi="Times New Roman" w:eastAsia="宋体" w:cs="Times New Roman"/>
                <w:color w:val="000000"/>
                <w:szCs w:val="21"/>
              </w:rPr>
            </w:pPr>
          </w:p>
        </w:tc>
        <w:tc>
          <w:tcPr>
            <w:tcW w:w="1056" w:type="dxa"/>
            <w:vAlign w:val="center"/>
          </w:tcPr>
          <w:p>
            <w:pPr>
              <w:snapToGrid w:val="0"/>
              <w:ind w:left="-2" w:leftChars="-1"/>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长春化工（台）</w:t>
            </w:r>
          </w:p>
        </w:tc>
        <w:tc>
          <w:tcPr>
            <w:tcW w:w="1070" w:type="dxa"/>
            <w:vAlign w:val="center"/>
          </w:tcPr>
          <w:p>
            <w:pPr>
              <w:snapToGrid w:val="0"/>
              <w:ind w:left="-2" w:leftChars="-1"/>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w:t>
            </w:r>
            <w:r>
              <w:rPr>
                <w:rFonts w:ascii="Times New Roman" w:hAnsi="Times New Roman" w:eastAsia="宋体" w:cs="Times New Roman"/>
                <w:color w:val="000000"/>
                <w:szCs w:val="21"/>
              </w:rPr>
              <w:t>7000</w:t>
            </w:r>
          </w:p>
        </w:tc>
        <w:tc>
          <w:tcPr>
            <w:tcW w:w="851" w:type="dxa"/>
            <w:vAlign w:val="center"/>
          </w:tcPr>
          <w:p>
            <w:pPr>
              <w:snapToGrid w:val="0"/>
              <w:ind w:left="-2" w:leftChars="-1"/>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w:t>
            </w:r>
          </w:p>
        </w:tc>
        <w:tc>
          <w:tcPr>
            <w:tcW w:w="946" w:type="dxa"/>
            <w:vAlign w:val="center"/>
          </w:tcPr>
          <w:p>
            <w:pPr>
              <w:snapToGrid w:val="0"/>
              <w:ind w:left="-2" w:leftChars="-1"/>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w:t>
            </w:r>
            <w:r>
              <w:rPr>
                <w:rFonts w:ascii="Times New Roman" w:hAnsi="Times New Roman" w:eastAsia="宋体" w:cs="Times New Roman"/>
                <w:color w:val="000000"/>
                <w:szCs w:val="21"/>
              </w:rPr>
              <w:t>7000</w:t>
            </w:r>
          </w:p>
        </w:tc>
        <w:tc>
          <w:tcPr>
            <w:tcW w:w="1054" w:type="dxa"/>
            <w:vAlign w:val="center"/>
          </w:tcPr>
          <w:p>
            <w:pPr>
              <w:snapToGrid w:val="0"/>
              <w:ind w:left="-2" w:leftChars="-1"/>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w:t>
            </w:r>
            <w:r>
              <w:rPr>
                <w:rFonts w:ascii="Times New Roman" w:hAnsi="Times New Roman" w:eastAsia="宋体" w:cs="Times New Roman"/>
                <w:color w:val="000000"/>
                <w:szCs w:val="21"/>
              </w:rPr>
              <w:t>8000</w:t>
            </w:r>
          </w:p>
        </w:tc>
        <w:tc>
          <w:tcPr>
            <w:tcW w:w="934" w:type="dxa"/>
            <w:vAlign w:val="center"/>
          </w:tcPr>
          <w:p>
            <w:pPr>
              <w:snapToGrid w:val="0"/>
              <w:ind w:left="-2" w:leftChars="-1"/>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w:t>
            </w:r>
          </w:p>
        </w:tc>
        <w:tc>
          <w:tcPr>
            <w:tcW w:w="1054" w:type="dxa"/>
            <w:vAlign w:val="center"/>
          </w:tcPr>
          <w:p>
            <w:pPr>
              <w:snapToGrid w:val="0"/>
              <w:ind w:left="-2" w:leftChars="-1"/>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w:t>
            </w:r>
            <w:r>
              <w:rPr>
                <w:rFonts w:ascii="Times New Roman" w:hAnsi="Times New Roman" w:eastAsia="宋体" w:cs="Times New Roman"/>
                <w:color w:val="000000"/>
                <w:szCs w:val="21"/>
              </w:rPr>
              <w:t>8000</w:t>
            </w:r>
          </w:p>
        </w:tc>
        <w:tc>
          <w:tcPr>
            <w:tcW w:w="762" w:type="dxa"/>
            <w:vAlign w:val="center"/>
          </w:tcPr>
          <w:p>
            <w:pPr>
              <w:snapToGrid w:val="0"/>
              <w:ind w:left="-2" w:leftChars="-1"/>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5</w:t>
            </w:r>
            <w:r>
              <w:rPr>
                <w:rFonts w:ascii="Times New Roman" w:hAnsi="Times New Roman" w:eastAsia="宋体" w:cs="Times New Roman"/>
                <w:color w:val="000000"/>
                <w:szCs w:val="21"/>
              </w:rPr>
              <w:t>.9</w:t>
            </w:r>
          </w:p>
        </w:tc>
        <w:tc>
          <w:tcPr>
            <w:tcW w:w="783" w:type="dxa"/>
            <w:vAlign w:val="center"/>
          </w:tcPr>
          <w:p>
            <w:pPr>
              <w:snapToGrid w:val="0"/>
              <w:ind w:left="-2" w:leftChars="-1"/>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w:t>
            </w:r>
            <w:r>
              <w:rPr>
                <w:rFonts w:ascii="Times New Roman" w:hAnsi="Times New Roman" w:eastAsia="宋体" w:cs="Times New Roman"/>
                <w:color w:val="000000"/>
                <w:szCs w:val="21"/>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pStyle w:val="25"/>
              <w:numPr>
                <w:ilvl w:val="0"/>
                <w:numId w:val="3"/>
              </w:numPr>
              <w:snapToGrid w:val="0"/>
              <w:ind w:left="-2" w:leftChars="-1" w:firstLine="0" w:firstLineChars="0"/>
              <w:jc w:val="center"/>
              <w:rPr>
                <w:rFonts w:ascii="Times New Roman" w:hAnsi="Times New Roman" w:eastAsia="宋体" w:cs="Times New Roman"/>
                <w:color w:val="000000"/>
                <w:szCs w:val="21"/>
              </w:rPr>
            </w:pPr>
          </w:p>
        </w:tc>
        <w:tc>
          <w:tcPr>
            <w:tcW w:w="1056" w:type="dxa"/>
            <w:vAlign w:val="center"/>
          </w:tcPr>
          <w:p>
            <w:pPr>
              <w:snapToGrid w:val="0"/>
              <w:ind w:left="-2" w:leftChars="-1"/>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金宝股份</w:t>
            </w:r>
          </w:p>
        </w:tc>
        <w:tc>
          <w:tcPr>
            <w:tcW w:w="1070" w:type="dxa"/>
            <w:vAlign w:val="center"/>
          </w:tcPr>
          <w:p>
            <w:pPr>
              <w:snapToGrid w:val="0"/>
              <w:ind w:left="-2" w:leftChars="-1"/>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w:t>
            </w:r>
            <w:r>
              <w:rPr>
                <w:rFonts w:ascii="Times New Roman" w:hAnsi="Times New Roman" w:eastAsia="宋体" w:cs="Times New Roman"/>
                <w:color w:val="000000"/>
                <w:szCs w:val="21"/>
              </w:rPr>
              <w:t>3201</w:t>
            </w:r>
          </w:p>
        </w:tc>
        <w:tc>
          <w:tcPr>
            <w:tcW w:w="851" w:type="dxa"/>
            <w:vAlign w:val="center"/>
          </w:tcPr>
          <w:p>
            <w:pPr>
              <w:snapToGrid w:val="0"/>
              <w:ind w:left="-2" w:leftChars="-1"/>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w:t>
            </w:r>
          </w:p>
        </w:tc>
        <w:tc>
          <w:tcPr>
            <w:tcW w:w="946" w:type="dxa"/>
            <w:vAlign w:val="center"/>
          </w:tcPr>
          <w:p>
            <w:pPr>
              <w:snapToGrid w:val="0"/>
              <w:ind w:left="-2" w:leftChars="-1"/>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w:t>
            </w:r>
            <w:r>
              <w:rPr>
                <w:rFonts w:ascii="Times New Roman" w:hAnsi="Times New Roman" w:eastAsia="宋体" w:cs="Times New Roman"/>
                <w:color w:val="000000"/>
                <w:szCs w:val="21"/>
              </w:rPr>
              <w:t>3201</w:t>
            </w:r>
          </w:p>
        </w:tc>
        <w:tc>
          <w:tcPr>
            <w:tcW w:w="1054" w:type="dxa"/>
            <w:vAlign w:val="center"/>
          </w:tcPr>
          <w:p>
            <w:pPr>
              <w:snapToGrid w:val="0"/>
              <w:ind w:left="-2" w:leftChars="-1"/>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w:t>
            </w:r>
            <w:r>
              <w:rPr>
                <w:rFonts w:ascii="Times New Roman" w:hAnsi="Times New Roman" w:eastAsia="宋体" w:cs="Times New Roman"/>
                <w:color w:val="000000"/>
                <w:szCs w:val="21"/>
              </w:rPr>
              <w:t>4820</w:t>
            </w:r>
          </w:p>
        </w:tc>
        <w:tc>
          <w:tcPr>
            <w:tcW w:w="934" w:type="dxa"/>
            <w:vAlign w:val="center"/>
          </w:tcPr>
          <w:p>
            <w:pPr>
              <w:snapToGrid w:val="0"/>
              <w:ind w:left="-2" w:leftChars="-1"/>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w:t>
            </w:r>
          </w:p>
        </w:tc>
        <w:tc>
          <w:tcPr>
            <w:tcW w:w="1054" w:type="dxa"/>
            <w:vAlign w:val="center"/>
          </w:tcPr>
          <w:p>
            <w:pPr>
              <w:snapToGrid w:val="0"/>
              <w:ind w:left="-2" w:leftChars="-1"/>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w:t>
            </w:r>
            <w:r>
              <w:rPr>
                <w:rFonts w:ascii="Times New Roman" w:hAnsi="Times New Roman" w:eastAsia="宋体" w:cs="Times New Roman"/>
                <w:color w:val="000000"/>
                <w:szCs w:val="21"/>
              </w:rPr>
              <w:t>4820</w:t>
            </w:r>
          </w:p>
        </w:tc>
        <w:tc>
          <w:tcPr>
            <w:tcW w:w="762" w:type="dxa"/>
            <w:vAlign w:val="center"/>
          </w:tcPr>
          <w:p>
            <w:pPr>
              <w:snapToGrid w:val="0"/>
              <w:ind w:left="-2" w:leftChars="-1"/>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w:t>
            </w:r>
            <w:r>
              <w:rPr>
                <w:rFonts w:ascii="Times New Roman" w:hAnsi="Times New Roman" w:eastAsia="宋体" w:cs="Times New Roman"/>
                <w:color w:val="000000"/>
                <w:szCs w:val="21"/>
              </w:rPr>
              <w:t>7.9</w:t>
            </w:r>
          </w:p>
        </w:tc>
        <w:tc>
          <w:tcPr>
            <w:tcW w:w="783" w:type="dxa"/>
            <w:vAlign w:val="center"/>
          </w:tcPr>
          <w:p>
            <w:pPr>
              <w:snapToGrid w:val="0"/>
              <w:ind w:left="-2" w:leftChars="-1"/>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w:t>
            </w:r>
            <w:r>
              <w:rPr>
                <w:rFonts w:ascii="Times New Roman" w:hAnsi="Times New Roman" w:eastAsia="宋体" w:cs="Times New Roman"/>
                <w:color w:val="000000"/>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pStyle w:val="25"/>
              <w:numPr>
                <w:ilvl w:val="0"/>
                <w:numId w:val="3"/>
              </w:numPr>
              <w:snapToGrid w:val="0"/>
              <w:ind w:left="-2" w:leftChars="-1" w:firstLine="0" w:firstLineChars="0"/>
              <w:jc w:val="center"/>
              <w:rPr>
                <w:rFonts w:ascii="Times New Roman" w:hAnsi="Times New Roman" w:eastAsia="宋体" w:cs="Times New Roman"/>
                <w:color w:val="000000"/>
                <w:szCs w:val="21"/>
              </w:rPr>
            </w:pPr>
          </w:p>
        </w:tc>
        <w:tc>
          <w:tcPr>
            <w:tcW w:w="1056" w:type="dxa"/>
            <w:vAlign w:val="center"/>
          </w:tcPr>
          <w:p>
            <w:pPr>
              <w:snapToGrid w:val="0"/>
              <w:ind w:left="-2" w:leftChars="-1"/>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苏州福田（日）</w:t>
            </w:r>
          </w:p>
        </w:tc>
        <w:tc>
          <w:tcPr>
            <w:tcW w:w="1070" w:type="dxa"/>
            <w:vAlign w:val="center"/>
          </w:tcPr>
          <w:p>
            <w:pPr>
              <w:snapToGrid w:val="0"/>
              <w:ind w:left="-2" w:leftChars="-1"/>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w:t>
            </w:r>
            <w:r>
              <w:rPr>
                <w:rFonts w:ascii="Times New Roman" w:hAnsi="Times New Roman" w:eastAsia="宋体" w:cs="Times New Roman"/>
                <w:color w:val="000000"/>
                <w:szCs w:val="21"/>
              </w:rPr>
              <w:t>3861</w:t>
            </w:r>
          </w:p>
        </w:tc>
        <w:tc>
          <w:tcPr>
            <w:tcW w:w="851" w:type="dxa"/>
            <w:vAlign w:val="center"/>
          </w:tcPr>
          <w:p>
            <w:pPr>
              <w:snapToGrid w:val="0"/>
              <w:ind w:left="-2" w:leftChars="-1"/>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w:t>
            </w:r>
          </w:p>
        </w:tc>
        <w:tc>
          <w:tcPr>
            <w:tcW w:w="946" w:type="dxa"/>
            <w:vAlign w:val="center"/>
          </w:tcPr>
          <w:p>
            <w:pPr>
              <w:snapToGrid w:val="0"/>
              <w:ind w:left="-2" w:leftChars="-1"/>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w:t>
            </w:r>
            <w:r>
              <w:rPr>
                <w:rFonts w:ascii="Times New Roman" w:hAnsi="Times New Roman" w:eastAsia="宋体" w:cs="Times New Roman"/>
                <w:color w:val="000000"/>
                <w:szCs w:val="21"/>
              </w:rPr>
              <w:t>3861</w:t>
            </w:r>
          </w:p>
        </w:tc>
        <w:tc>
          <w:tcPr>
            <w:tcW w:w="1054" w:type="dxa"/>
            <w:vAlign w:val="center"/>
          </w:tcPr>
          <w:p>
            <w:pPr>
              <w:snapToGrid w:val="0"/>
              <w:ind w:left="-2" w:leftChars="-1"/>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w:t>
            </w:r>
            <w:r>
              <w:rPr>
                <w:rFonts w:ascii="Times New Roman" w:hAnsi="Times New Roman" w:eastAsia="宋体" w:cs="Times New Roman"/>
                <w:color w:val="000000"/>
                <w:szCs w:val="21"/>
              </w:rPr>
              <w:t>3982</w:t>
            </w:r>
          </w:p>
        </w:tc>
        <w:tc>
          <w:tcPr>
            <w:tcW w:w="934" w:type="dxa"/>
            <w:vAlign w:val="center"/>
          </w:tcPr>
          <w:p>
            <w:pPr>
              <w:snapToGrid w:val="0"/>
              <w:ind w:left="-2" w:leftChars="-1"/>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w:t>
            </w:r>
          </w:p>
        </w:tc>
        <w:tc>
          <w:tcPr>
            <w:tcW w:w="1054" w:type="dxa"/>
            <w:vAlign w:val="center"/>
          </w:tcPr>
          <w:p>
            <w:pPr>
              <w:snapToGrid w:val="0"/>
              <w:ind w:left="-2" w:leftChars="-1"/>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w:t>
            </w:r>
            <w:r>
              <w:rPr>
                <w:rFonts w:ascii="Times New Roman" w:hAnsi="Times New Roman" w:eastAsia="宋体" w:cs="Times New Roman"/>
                <w:color w:val="000000"/>
                <w:szCs w:val="21"/>
              </w:rPr>
              <w:t>3982</w:t>
            </w:r>
          </w:p>
        </w:tc>
        <w:tc>
          <w:tcPr>
            <w:tcW w:w="762" w:type="dxa"/>
            <w:vAlign w:val="center"/>
          </w:tcPr>
          <w:p>
            <w:pPr>
              <w:snapToGrid w:val="0"/>
              <w:ind w:left="-2" w:leftChars="-1"/>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w:t>
            </w:r>
            <w:r>
              <w:rPr>
                <w:rFonts w:ascii="Times New Roman" w:hAnsi="Times New Roman" w:eastAsia="宋体" w:cs="Times New Roman"/>
                <w:color w:val="000000"/>
                <w:szCs w:val="21"/>
              </w:rPr>
              <w:t>.9</w:t>
            </w:r>
          </w:p>
        </w:tc>
        <w:tc>
          <w:tcPr>
            <w:tcW w:w="783" w:type="dxa"/>
            <w:vAlign w:val="center"/>
          </w:tcPr>
          <w:p>
            <w:pPr>
              <w:snapToGrid w:val="0"/>
              <w:ind w:left="-2" w:leftChars="-1"/>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w:t>
            </w:r>
            <w:r>
              <w:rPr>
                <w:rFonts w:ascii="Times New Roman" w:hAnsi="Times New Roman" w:eastAsia="宋体" w:cs="Times New Roman"/>
                <w:color w:val="000000"/>
                <w:szCs w:val="21"/>
              </w:rPr>
              <w:t>5</w:t>
            </w:r>
            <w:r>
              <w:rPr>
                <w:rFonts w:hint="eastAsia" w:ascii="Times New Roman" w:hAnsi="Times New Roman" w:eastAsia="宋体" w:cs="Times New Roman"/>
                <w:color w:val="000000"/>
                <w:szCs w:val="21"/>
              </w:rPr>
              <w:t>.</w:t>
            </w:r>
            <w:r>
              <w:rPr>
                <w:rFonts w:ascii="Times New Roman" w:hAnsi="Times New Roman" w:eastAsia="宋体" w:cs="Times New Roman"/>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pStyle w:val="25"/>
              <w:numPr>
                <w:ilvl w:val="0"/>
                <w:numId w:val="3"/>
              </w:numPr>
              <w:snapToGrid w:val="0"/>
              <w:ind w:left="-2" w:leftChars="-1" w:firstLine="0" w:firstLineChars="0"/>
              <w:jc w:val="center"/>
              <w:rPr>
                <w:rFonts w:ascii="Times New Roman" w:hAnsi="Times New Roman" w:eastAsia="宋体" w:cs="Times New Roman"/>
                <w:color w:val="000000"/>
                <w:szCs w:val="21"/>
              </w:rPr>
            </w:pPr>
          </w:p>
        </w:tc>
        <w:tc>
          <w:tcPr>
            <w:tcW w:w="1056" w:type="dxa"/>
            <w:vAlign w:val="center"/>
          </w:tcPr>
          <w:p>
            <w:pPr>
              <w:snapToGrid w:val="0"/>
              <w:ind w:left="-2" w:leftChars="-1"/>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江铜-耶兹</w:t>
            </w:r>
          </w:p>
        </w:tc>
        <w:tc>
          <w:tcPr>
            <w:tcW w:w="1070" w:type="dxa"/>
            <w:vAlign w:val="center"/>
          </w:tcPr>
          <w:p>
            <w:pPr>
              <w:snapToGrid w:val="0"/>
              <w:ind w:left="-2" w:leftChars="-1"/>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w:t>
            </w:r>
            <w:r>
              <w:rPr>
                <w:rFonts w:ascii="Times New Roman" w:hAnsi="Times New Roman" w:eastAsia="宋体" w:cs="Times New Roman"/>
                <w:color w:val="000000"/>
                <w:szCs w:val="21"/>
              </w:rPr>
              <w:t>3000</w:t>
            </w:r>
          </w:p>
        </w:tc>
        <w:tc>
          <w:tcPr>
            <w:tcW w:w="851" w:type="dxa"/>
            <w:vAlign w:val="center"/>
          </w:tcPr>
          <w:p>
            <w:pPr>
              <w:snapToGrid w:val="0"/>
              <w:ind w:left="-2" w:leftChars="-1"/>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w:t>
            </w:r>
          </w:p>
        </w:tc>
        <w:tc>
          <w:tcPr>
            <w:tcW w:w="946" w:type="dxa"/>
            <w:vAlign w:val="center"/>
          </w:tcPr>
          <w:p>
            <w:pPr>
              <w:snapToGrid w:val="0"/>
              <w:ind w:left="-2" w:leftChars="-1"/>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w:t>
            </w:r>
            <w:r>
              <w:rPr>
                <w:rFonts w:ascii="Times New Roman" w:hAnsi="Times New Roman" w:eastAsia="宋体" w:cs="Times New Roman"/>
                <w:color w:val="000000"/>
                <w:szCs w:val="21"/>
              </w:rPr>
              <w:t>3000</w:t>
            </w:r>
          </w:p>
        </w:tc>
        <w:tc>
          <w:tcPr>
            <w:tcW w:w="1054" w:type="dxa"/>
            <w:vAlign w:val="center"/>
          </w:tcPr>
          <w:p>
            <w:pPr>
              <w:snapToGrid w:val="0"/>
              <w:ind w:left="-2" w:leftChars="-1"/>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w:t>
            </w:r>
            <w:r>
              <w:rPr>
                <w:rFonts w:ascii="Times New Roman" w:hAnsi="Times New Roman" w:eastAsia="宋体" w:cs="Times New Roman"/>
                <w:color w:val="000000"/>
                <w:szCs w:val="21"/>
              </w:rPr>
              <w:t>3930</w:t>
            </w:r>
          </w:p>
        </w:tc>
        <w:tc>
          <w:tcPr>
            <w:tcW w:w="934" w:type="dxa"/>
            <w:vAlign w:val="center"/>
          </w:tcPr>
          <w:p>
            <w:pPr>
              <w:snapToGrid w:val="0"/>
              <w:ind w:left="-2" w:leftChars="-1"/>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w:t>
            </w:r>
          </w:p>
        </w:tc>
        <w:tc>
          <w:tcPr>
            <w:tcW w:w="1054" w:type="dxa"/>
            <w:vAlign w:val="center"/>
          </w:tcPr>
          <w:p>
            <w:pPr>
              <w:snapToGrid w:val="0"/>
              <w:ind w:left="-2" w:leftChars="-1"/>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w:t>
            </w:r>
            <w:r>
              <w:rPr>
                <w:rFonts w:ascii="Times New Roman" w:hAnsi="Times New Roman" w:eastAsia="宋体" w:cs="Times New Roman"/>
                <w:color w:val="000000"/>
                <w:szCs w:val="21"/>
              </w:rPr>
              <w:t>3930</w:t>
            </w:r>
          </w:p>
        </w:tc>
        <w:tc>
          <w:tcPr>
            <w:tcW w:w="762" w:type="dxa"/>
            <w:vAlign w:val="center"/>
          </w:tcPr>
          <w:p>
            <w:pPr>
              <w:snapToGrid w:val="0"/>
              <w:ind w:left="-2" w:leftChars="-1"/>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7</w:t>
            </w:r>
            <w:r>
              <w:rPr>
                <w:rFonts w:ascii="Times New Roman" w:hAnsi="Times New Roman" w:eastAsia="宋体" w:cs="Times New Roman"/>
                <w:color w:val="000000"/>
                <w:szCs w:val="21"/>
              </w:rPr>
              <w:t>.2</w:t>
            </w:r>
          </w:p>
        </w:tc>
        <w:tc>
          <w:tcPr>
            <w:tcW w:w="783" w:type="dxa"/>
            <w:vAlign w:val="center"/>
          </w:tcPr>
          <w:p>
            <w:pPr>
              <w:snapToGrid w:val="0"/>
              <w:ind w:left="-2" w:leftChars="-1"/>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w:t>
            </w:r>
            <w:r>
              <w:rPr>
                <w:rFonts w:ascii="Times New Roman" w:hAnsi="Times New Roman" w:eastAsia="宋体" w:cs="Times New Roman"/>
                <w:color w:val="000000"/>
                <w:szCs w:val="21"/>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pStyle w:val="25"/>
              <w:numPr>
                <w:ilvl w:val="0"/>
                <w:numId w:val="3"/>
              </w:numPr>
              <w:snapToGrid w:val="0"/>
              <w:ind w:left="-2" w:leftChars="-1" w:firstLine="0" w:firstLineChars="0"/>
              <w:jc w:val="center"/>
              <w:rPr>
                <w:rFonts w:ascii="Times New Roman" w:hAnsi="Times New Roman" w:eastAsia="宋体" w:cs="Times New Roman"/>
                <w:color w:val="000000"/>
                <w:szCs w:val="21"/>
              </w:rPr>
            </w:pPr>
          </w:p>
        </w:tc>
        <w:tc>
          <w:tcPr>
            <w:tcW w:w="1056" w:type="dxa"/>
            <w:vAlign w:val="center"/>
          </w:tcPr>
          <w:p>
            <w:pPr>
              <w:snapToGrid w:val="0"/>
              <w:ind w:left="-2" w:leftChars="-1"/>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中一科技</w:t>
            </w:r>
          </w:p>
        </w:tc>
        <w:tc>
          <w:tcPr>
            <w:tcW w:w="1070" w:type="dxa"/>
            <w:vAlign w:val="center"/>
          </w:tcPr>
          <w:p>
            <w:pPr>
              <w:snapToGrid w:val="0"/>
              <w:ind w:left="-2" w:leftChars="-1"/>
              <w:jc w:val="center"/>
              <w:rPr>
                <w:rFonts w:ascii="Times New Roman" w:hAnsi="Times New Roman" w:eastAsia="宋体" w:cs="Times New Roman"/>
                <w:color w:val="000000"/>
                <w:szCs w:val="21"/>
              </w:rPr>
            </w:pPr>
          </w:p>
        </w:tc>
        <w:tc>
          <w:tcPr>
            <w:tcW w:w="851" w:type="dxa"/>
            <w:vAlign w:val="center"/>
          </w:tcPr>
          <w:p>
            <w:pPr>
              <w:snapToGrid w:val="0"/>
              <w:ind w:left="-2" w:leftChars="-1"/>
              <w:jc w:val="center"/>
              <w:rPr>
                <w:rFonts w:ascii="Times New Roman" w:hAnsi="Times New Roman" w:eastAsia="宋体" w:cs="Times New Roman"/>
                <w:color w:val="000000"/>
                <w:szCs w:val="21"/>
              </w:rPr>
            </w:pPr>
          </w:p>
        </w:tc>
        <w:tc>
          <w:tcPr>
            <w:tcW w:w="946" w:type="dxa"/>
            <w:vAlign w:val="center"/>
          </w:tcPr>
          <w:p>
            <w:pPr>
              <w:snapToGrid w:val="0"/>
              <w:ind w:left="-2" w:leftChars="-1"/>
              <w:jc w:val="center"/>
              <w:rPr>
                <w:rFonts w:ascii="Times New Roman" w:hAnsi="Times New Roman" w:eastAsia="宋体" w:cs="Times New Roman"/>
                <w:color w:val="000000"/>
                <w:szCs w:val="21"/>
              </w:rPr>
            </w:pPr>
          </w:p>
        </w:tc>
        <w:tc>
          <w:tcPr>
            <w:tcW w:w="1054" w:type="dxa"/>
            <w:vAlign w:val="center"/>
          </w:tcPr>
          <w:p>
            <w:pPr>
              <w:snapToGrid w:val="0"/>
              <w:ind w:left="-2" w:leftChars="-1"/>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4</w:t>
            </w:r>
            <w:r>
              <w:rPr>
                <w:rFonts w:ascii="Times New Roman" w:hAnsi="Times New Roman" w:eastAsia="宋体" w:cs="Times New Roman"/>
                <w:color w:val="000000"/>
                <w:szCs w:val="21"/>
              </w:rPr>
              <w:t>048</w:t>
            </w:r>
          </w:p>
        </w:tc>
        <w:tc>
          <w:tcPr>
            <w:tcW w:w="934" w:type="dxa"/>
            <w:vAlign w:val="center"/>
          </w:tcPr>
          <w:p>
            <w:pPr>
              <w:snapToGrid w:val="0"/>
              <w:ind w:left="-2" w:leftChars="-1"/>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7</w:t>
            </w:r>
            <w:r>
              <w:rPr>
                <w:rFonts w:ascii="Times New Roman" w:hAnsi="Times New Roman" w:eastAsia="宋体" w:cs="Times New Roman"/>
                <w:color w:val="000000"/>
                <w:szCs w:val="21"/>
              </w:rPr>
              <w:t>140</w:t>
            </w:r>
          </w:p>
        </w:tc>
        <w:tc>
          <w:tcPr>
            <w:tcW w:w="1054" w:type="dxa"/>
            <w:vAlign w:val="center"/>
          </w:tcPr>
          <w:p>
            <w:pPr>
              <w:snapToGrid w:val="0"/>
              <w:ind w:left="-2" w:leftChars="-1"/>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w:t>
            </w:r>
            <w:r>
              <w:rPr>
                <w:rFonts w:ascii="Times New Roman" w:hAnsi="Times New Roman" w:eastAsia="宋体" w:cs="Times New Roman"/>
                <w:color w:val="000000"/>
                <w:szCs w:val="21"/>
              </w:rPr>
              <w:t>1188</w:t>
            </w:r>
          </w:p>
        </w:tc>
        <w:tc>
          <w:tcPr>
            <w:tcW w:w="762" w:type="dxa"/>
            <w:vAlign w:val="center"/>
          </w:tcPr>
          <w:p>
            <w:pPr>
              <w:snapToGrid w:val="0"/>
              <w:ind w:left="-2" w:leftChars="-1"/>
              <w:jc w:val="center"/>
              <w:rPr>
                <w:rFonts w:ascii="Times New Roman" w:hAnsi="Times New Roman" w:eastAsia="宋体" w:cs="Times New Roman"/>
                <w:color w:val="000000"/>
                <w:szCs w:val="21"/>
              </w:rPr>
            </w:pPr>
          </w:p>
        </w:tc>
        <w:tc>
          <w:tcPr>
            <w:tcW w:w="783" w:type="dxa"/>
            <w:vAlign w:val="center"/>
          </w:tcPr>
          <w:p>
            <w:pPr>
              <w:snapToGrid w:val="0"/>
              <w:ind w:left="-2" w:leftChars="-1"/>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gridSpan w:val="2"/>
            <w:vAlign w:val="center"/>
          </w:tcPr>
          <w:p>
            <w:pPr>
              <w:snapToGrid w:val="0"/>
              <w:ind w:left="-2" w:leftChars="-1"/>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w:t>
            </w:r>
            <w:r>
              <w:rPr>
                <w:rFonts w:ascii="Times New Roman" w:hAnsi="Times New Roman" w:eastAsia="宋体" w:cs="Times New Roman"/>
                <w:color w:val="000000"/>
                <w:szCs w:val="21"/>
              </w:rPr>
              <w:t>0</w:t>
            </w:r>
            <w:r>
              <w:rPr>
                <w:rFonts w:hint="eastAsia" w:ascii="Times New Roman" w:hAnsi="Times New Roman" w:eastAsia="宋体" w:cs="Times New Roman"/>
                <w:color w:val="000000"/>
                <w:szCs w:val="21"/>
              </w:rPr>
              <w:t>家产量总计</w:t>
            </w:r>
          </w:p>
        </w:tc>
        <w:tc>
          <w:tcPr>
            <w:tcW w:w="1070" w:type="dxa"/>
            <w:vAlign w:val="center"/>
          </w:tcPr>
          <w:p>
            <w:pPr>
              <w:snapToGrid w:val="0"/>
              <w:ind w:left="-2" w:leftChars="-1"/>
              <w:jc w:val="center"/>
              <w:rPr>
                <w:rFonts w:ascii="Times New Roman" w:hAnsi="Times New Roman" w:eastAsia="宋体" w:cs="Times New Roman"/>
                <w:color w:val="000000"/>
                <w:szCs w:val="21"/>
              </w:rPr>
            </w:pPr>
          </w:p>
        </w:tc>
        <w:tc>
          <w:tcPr>
            <w:tcW w:w="851" w:type="dxa"/>
            <w:vAlign w:val="center"/>
          </w:tcPr>
          <w:p>
            <w:pPr>
              <w:snapToGrid w:val="0"/>
              <w:ind w:left="-2" w:leftChars="-1"/>
              <w:jc w:val="center"/>
              <w:rPr>
                <w:rFonts w:ascii="Times New Roman" w:hAnsi="Times New Roman" w:eastAsia="宋体" w:cs="Times New Roman"/>
                <w:color w:val="000000"/>
                <w:szCs w:val="21"/>
              </w:rPr>
            </w:pPr>
          </w:p>
        </w:tc>
        <w:tc>
          <w:tcPr>
            <w:tcW w:w="946" w:type="dxa"/>
            <w:vAlign w:val="center"/>
          </w:tcPr>
          <w:p>
            <w:pPr>
              <w:snapToGrid w:val="0"/>
              <w:ind w:left="-2" w:leftChars="-1"/>
              <w:jc w:val="center"/>
              <w:rPr>
                <w:rFonts w:ascii="Times New Roman" w:hAnsi="Times New Roman" w:eastAsia="宋体" w:cs="Times New Roman"/>
                <w:color w:val="000000"/>
                <w:szCs w:val="21"/>
              </w:rPr>
            </w:pPr>
          </w:p>
        </w:tc>
        <w:tc>
          <w:tcPr>
            <w:tcW w:w="1054" w:type="dxa"/>
            <w:vAlign w:val="center"/>
          </w:tcPr>
          <w:p>
            <w:pPr>
              <w:snapToGrid w:val="0"/>
              <w:ind w:left="-2" w:leftChars="-1"/>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w:t>
            </w:r>
            <w:r>
              <w:rPr>
                <w:rFonts w:ascii="Times New Roman" w:hAnsi="Times New Roman" w:eastAsia="宋体" w:cs="Times New Roman"/>
                <w:color w:val="000000"/>
                <w:szCs w:val="21"/>
              </w:rPr>
              <w:t>26658.6</w:t>
            </w:r>
          </w:p>
        </w:tc>
        <w:tc>
          <w:tcPr>
            <w:tcW w:w="934" w:type="dxa"/>
            <w:vAlign w:val="center"/>
          </w:tcPr>
          <w:p>
            <w:pPr>
              <w:snapToGrid w:val="0"/>
              <w:ind w:left="-2" w:leftChars="-1"/>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5</w:t>
            </w:r>
            <w:r>
              <w:rPr>
                <w:rFonts w:ascii="Times New Roman" w:hAnsi="Times New Roman" w:eastAsia="宋体" w:cs="Times New Roman"/>
                <w:color w:val="000000"/>
                <w:szCs w:val="21"/>
              </w:rPr>
              <w:t>1108</w:t>
            </w:r>
          </w:p>
        </w:tc>
        <w:tc>
          <w:tcPr>
            <w:tcW w:w="1054" w:type="dxa"/>
            <w:vAlign w:val="center"/>
          </w:tcPr>
          <w:p>
            <w:pPr>
              <w:snapToGrid w:val="0"/>
              <w:ind w:left="-2" w:leftChars="-1"/>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w:t>
            </w:r>
            <w:r>
              <w:rPr>
                <w:rFonts w:ascii="Times New Roman" w:hAnsi="Times New Roman" w:eastAsia="宋体" w:cs="Times New Roman"/>
                <w:color w:val="000000"/>
                <w:szCs w:val="21"/>
              </w:rPr>
              <w:t>77766.6</w:t>
            </w:r>
          </w:p>
        </w:tc>
        <w:tc>
          <w:tcPr>
            <w:tcW w:w="762" w:type="dxa"/>
            <w:vAlign w:val="center"/>
          </w:tcPr>
          <w:p>
            <w:pPr>
              <w:snapToGrid w:val="0"/>
              <w:ind w:left="-2" w:leftChars="-1"/>
              <w:jc w:val="center"/>
              <w:rPr>
                <w:rFonts w:ascii="Times New Roman" w:hAnsi="Times New Roman" w:eastAsia="宋体" w:cs="Times New Roman"/>
                <w:color w:val="000000"/>
                <w:szCs w:val="21"/>
              </w:rPr>
            </w:pPr>
          </w:p>
        </w:tc>
        <w:tc>
          <w:tcPr>
            <w:tcW w:w="783" w:type="dxa"/>
            <w:vAlign w:val="center"/>
          </w:tcPr>
          <w:p>
            <w:pPr>
              <w:snapToGrid w:val="0"/>
              <w:ind w:left="-2" w:leftChars="-1"/>
              <w:jc w:val="center"/>
              <w:rPr>
                <w:rFonts w:ascii="Times New Roman" w:hAnsi="Times New Roman" w:eastAsia="宋体" w:cs="Times New Roman"/>
                <w:color w:val="000000"/>
                <w:szCs w:val="21"/>
              </w:rPr>
            </w:pPr>
          </w:p>
        </w:tc>
      </w:tr>
    </w:tbl>
    <w:p>
      <w:pPr>
        <w:snapToGrid w:val="0"/>
        <w:spacing w:line="360" w:lineRule="auto"/>
        <w:ind w:firstLine="420" w:firstLineChars="200"/>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资料来源：中电材电子铜箔材料分会（CCFA）.</w:t>
      </w:r>
      <w:r>
        <w:rPr>
          <w:rFonts w:ascii="Times New Roman" w:hAnsi="Times New Roman" w:eastAsia="宋体" w:cs="Times New Roman"/>
          <w:color w:val="000000"/>
          <w:szCs w:val="21"/>
        </w:rPr>
        <w:t>2018.4</w:t>
      </w:r>
    </w:p>
    <w:p>
      <w:pPr>
        <w:snapToGrid w:val="0"/>
        <w:spacing w:before="156" w:beforeLines="50"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本标准起草组成员包含了建滔铜箔、安徽铜冠、诺德股份（包括青海电子、惠州联合、青海诺德）、金宝股份（包括山东金都、山东金宝）、江铜耶兹等5家在国内排名前1</w:t>
      </w:r>
      <w:r>
        <w:rPr>
          <w:rFonts w:ascii="Times New Roman" w:hAnsi="Times New Roman" w:eastAsia="宋体" w:cs="Times New Roman"/>
          <w:color w:val="000000"/>
          <w:sz w:val="24"/>
          <w:szCs w:val="24"/>
        </w:rPr>
        <w:t>0</w:t>
      </w:r>
      <w:r>
        <w:rPr>
          <w:rFonts w:hint="eastAsia" w:ascii="Times New Roman" w:hAnsi="Times New Roman" w:eastAsia="宋体" w:cs="Times New Roman"/>
          <w:color w:val="000000"/>
          <w:sz w:val="24"/>
          <w:szCs w:val="24"/>
        </w:rPr>
        <w:t>位的电解铜箔企业，并调研到了其余多家电解铜箔企业数据，参与起草和调研的企业2</w:t>
      </w:r>
      <w:r>
        <w:rPr>
          <w:rFonts w:ascii="Times New Roman" w:hAnsi="Times New Roman" w:eastAsia="宋体" w:cs="Times New Roman"/>
          <w:color w:val="000000"/>
          <w:sz w:val="24"/>
          <w:szCs w:val="24"/>
        </w:rPr>
        <w:t>017</w:t>
      </w:r>
      <w:r>
        <w:rPr>
          <w:rFonts w:hint="eastAsia" w:ascii="Times New Roman" w:hAnsi="Times New Roman" w:eastAsia="宋体" w:cs="Times New Roman"/>
          <w:color w:val="000000"/>
          <w:sz w:val="24"/>
          <w:szCs w:val="24"/>
        </w:rPr>
        <w:t>年产量总和占国内铜箔总产量的</w:t>
      </w:r>
      <w:r>
        <w:rPr>
          <w:rFonts w:ascii="Times New Roman" w:hAnsi="Times New Roman" w:eastAsia="宋体" w:cs="Times New Roman"/>
          <w:color w:val="000000"/>
          <w:sz w:val="24"/>
          <w:szCs w:val="24"/>
        </w:rPr>
        <w:t>48.75</w:t>
      </w:r>
      <w:r>
        <w:rPr>
          <w:rFonts w:hint="eastAsia" w:ascii="Times New Roman" w:hAnsi="Times New Roman" w:eastAsia="宋体" w:cs="Times New Roman"/>
          <w:color w:val="000000"/>
          <w:sz w:val="24"/>
          <w:szCs w:val="24"/>
        </w:rPr>
        <w:t>%。其中印刷电路板用电箔产量占总产量的</w:t>
      </w:r>
      <w:r>
        <w:rPr>
          <w:rFonts w:ascii="Times New Roman" w:hAnsi="Times New Roman" w:eastAsia="宋体" w:cs="Times New Roman"/>
          <w:color w:val="000000"/>
          <w:sz w:val="24"/>
          <w:szCs w:val="24"/>
        </w:rPr>
        <w:t>45.11</w:t>
      </w:r>
      <w:r>
        <w:rPr>
          <w:rFonts w:hint="eastAsia" w:ascii="Times New Roman" w:hAnsi="Times New Roman" w:eastAsia="宋体" w:cs="Times New Roman"/>
          <w:color w:val="000000"/>
          <w:sz w:val="24"/>
          <w:szCs w:val="24"/>
        </w:rPr>
        <w:t>%，锂电池电箔占总产量的</w:t>
      </w:r>
      <w:r>
        <w:rPr>
          <w:rFonts w:ascii="Times New Roman" w:hAnsi="Times New Roman" w:eastAsia="宋体" w:cs="Times New Roman"/>
          <w:color w:val="000000"/>
          <w:sz w:val="24"/>
          <w:szCs w:val="24"/>
        </w:rPr>
        <w:t>62.28</w:t>
      </w:r>
      <w:r>
        <w:rPr>
          <w:rFonts w:hint="eastAsia" w:ascii="Times New Roman" w:hAnsi="Times New Roman" w:eastAsia="宋体" w:cs="Times New Roman"/>
          <w:color w:val="000000"/>
          <w:sz w:val="24"/>
          <w:szCs w:val="24"/>
        </w:rPr>
        <w:t>%（详见表</w:t>
      </w:r>
      <w:r>
        <w:rPr>
          <w:rFonts w:ascii="Times New Roman" w:hAnsi="Times New Roman" w:eastAsia="宋体" w:cs="Times New Roman"/>
          <w:color w:val="000000"/>
          <w:sz w:val="24"/>
          <w:szCs w:val="24"/>
        </w:rPr>
        <w:t>3</w:t>
      </w:r>
      <w:r>
        <w:rPr>
          <w:rFonts w:hint="eastAsia" w:ascii="Times New Roman" w:hAnsi="Times New Roman" w:eastAsia="宋体" w:cs="Times New Roman"/>
          <w:color w:val="000000"/>
          <w:sz w:val="24"/>
          <w:szCs w:val="24"/>
        </w:rPr>
        <w:t>），相关数据比较有代表性。</w:t>
      </w:r>
    </w:p>
    <w:p>
      <w:pPr>
        <w:snapToGrid w:val="0"/>
        <w:spacing w:before="156" w:beforeLines="50" w:line="360" w:lineRule="auto"/>
        <w:ind w:firstLine="420" w:firstLineChars="200"/>
        <w:jc w:val="center"/>
        <w:rPr>
          <w:rFonts w:ascii="Times New Roman" w:hAnsi="Times New Roman" w:eastAsia="黑体" w:cs="Times New Roman"/>
          <w:color w:val="000000"/>
          <w:szCs w:val="21"/>
        </w:rPr>
      </w:pPr>
      <w:r>
        <w:rPr>
          <w:rFonts w:hint="eastAsia" w:ascii="Times New Roman" w:hAnsi="Times New Roman" w:eastAsia="黑体" w:cs="Times New Roman"/>
          <w:color w:val="000000"/>
          <w:szCs w:val="21"/>
        </w:rPr>
        <w:t>表</w:t>
      </w:r>
      <w:r>
        <w:rPr>
          <w:rFonts w:ascii="Times New Roman" w:hAnsi="Times New Roman" w:eastAsia="黑体" w:cs="Times New Roman"/>
          <w:color w:val="000000"/>
          <w:szCs w:val="21"/>
        </w:rPr>
        <w:t xml:space="preserve">3 </w:t>
      </w:r>
      <w:r>
        <w:rPr>
          <w:rFonts w:hint="eastAsia" w:ascii="Times New Roman" w:hAnsi="Times New Roman" w:eastAsia="黑体" w:cs="Times New Roman"/>
          <w:color w:val="000000"/>
          <w:szCs w:val="21"/>
        </w:rPr>
        <w:t>调研企业2</w:t>
      </w:r>
      <w:r>
        <w:rPr>
          <w:rFonts w:ascii="Times New Roman" w:hAnsi="Times New Roman" w:eastAsia="黑体" w:cs="Times New Roman"/>
          <w:color w:val="000000"/>
          <w:szCs w:val="21"/>
        </w:rPr>
        <w:t>017</w:t>
      </w:r>
      <w:r>
        <w:rPr>
          <w:rFonts w:hint="eastAsia" w:ascii="Times New Roman" w:hAnsi="Times New Roman" w:eastAsia="黑体" w:cs="Times New Roman"/>
          <w:color w:val="000000"/>
          <w:szCs w:val="21"/>
        </w:rPr>
        <w:t>年产量情况表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3"/>
        <w:gridCol w:w="1843"/>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673" w:type="dxa"/>
            <w:vMerge w:val="restart"/>
            <w:vAlign w:val="center"/>
          </w:tcPr>
          <w:p>
            <w:pPr>
              <w:jc w:val="center"/>
              <w:rPr>
                <w:rFonts w:ascii="Times New Roman" w:hAnsi="Times New Roman" w:eastAsia="宋体"/>
                <w:szCs w:val="21"/>
              </w:rPr>
            </w:pPr>
            <w:r>
              <w:rPr>
                <w:rFonts w:hint="eastAsia" w:ascii="Times New Roman" w:hAnsi="Times New Roman" w:eastAsia="宋体"/>
                <w:szCs w:val="21"/>
              </w:rPr>
              <w:t>企业名称</w:t>
            </w:r>
          </w:p>
        </w:tc>
        <w:tc>
          <w:tcPr>
            <w:tcW w:w="3623" w:type="dxa"/>
            <w:gridSpan w:val="2"/>
            <w:vAlign w:val="center"/>
          </w:tcPr>
          <w:p>
            <w:pPr>
              <w:jc w:val="center"/>
              <w:rPr>
                <w:rFonts w:ascii="Times New Roman" w:hAnsi="Times New Roman" w:eastAsia="宋体"/>
                <w:szCs w:val="21"/>
              </w:rPr>
            </w:pPr>
            <w:r>
              <w:rPr>
                <w:rFonts w:hint="eastAsia" w:ascii="Times New Roman" w:hAnsi="Times New Roman" w:eastAsia="宋体"/>
                <w:szCs w:val="21"/>
              </w:rPr>
              <w:t>2</w:t>
            </w:r>
            <w:r>
              <w:rPr>
                <w:rFonts w:ascii="Times New Roman" w:hAnsi="Times New Roman" w:eastAsia="宋体"/>
                <w:szCs w:val="21"/>
              </w:rPr>
              <w:t>017</w:t>
            </w:r>
            <w:r>
              <w:rPr>
                <w:rFonts w:hint="eastAsia" w:ascii="Times New Roman" w:hAnsi="Times New Roman" w:eastAsia="宋体"/>
                <w:szCs w:val="21"/>
              </w:rPr>
              <w:t>年产量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673" w:type="dxa"/>
            <w:vMerge w:val="continue"/>
            <w:vAlign w:val="center"/>
          </w:tcPr>
          <w:p>
            <w:pPr>
              <w:jc w:val="center"/>
              <w:rPr>
                <w:rFonts w:ascii="Times New Roman" w:hAnsi="Times New Roman" w:eastAsia="宋体"/>
                <w:szCs w:val="21"/>
              </w:rPr>
            </w:pPr>
          </w:p>
        </w:tc>
        <w:tc>
          <w:tcPr>
            <w:tcW w:w="1843" w:type="dxa"/>
            <w:vAlign w:val="center"/>
          </w:tcPr>
          <w:p>
            <w:pPr>
              <w:jc w:val="center"/>
              <w:rPr>
                <w:rFonts w:ascii="Times New Roman" w:hAnsi="Times New Roman" w:eastAsia="宋体"/>
                <w:szCs w:val="21"/>
              </w:rPr>
            </w:pPr>
            <w:r>
              <w:rPr>
                <w:rFonts w:hint="eastAsia" w:ascii="Times New Roman" w:hAnsi="Times New Roman" w:eastAsia="宋体"/>
                <w:szCs w:val="21"/>
              </w:rPr>
              <w:t>锂电池电箔</w:t>
            </w:r>
          </w:p>
        </w:tc>
        <w:tc>
          <w:tcPr>
            <w:tcW w:w="1780" w:type="dxa"/>
            <w:vAlign w:val="center"/>
          </w:tcPr>
          <w:p>
            <w:pPr>
              <w:jc w:val="center"/>
              <w:rPr>
                <w:rFonts w:ascii="Times New Roman" w:hAnsi="Times New Roman" w:eastAsia="宋体"/>
                <w:szCs w:val="21"/>
              </w:rPr>
            </w:pPr>
            <w:r>
              <w:rPr>
                <w:rFonts w:hint="eastAsia" w:ascii="Times New Roman" w:hAnsi="Times New Roman" w:eastAsia="宋体"/>
                <w:szCs w:val="21"/>
              </w:rPr>
              <w:t>印刷电路板用电箔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vAlign w:val="center"/>
          </w:tcPr>
          <w:p>
            <w:pPr>
              <w:rPr>
                <w:rFonts w:ascii="Times New Roman" w:hAnsi="Times New Roman" w:eastAsia="宋体"/>
                <w:szCs w:val="21"/>
              </w:rPr>
            </w:pPr>
            <w:r>
              <w:rPr>
                <w:rFonts w:hint="eastAsia" w:ascii="Times New Roman" w:hAnsi="Times New Roman" w:eastAsia="宋体"/>
                <w:szCs w:val="21"/>
              </w:rPr>
              <w:t>诺德股份（包括青海电子材料产业发展有限公司、惠州联合铜箔电子材料有限公司、青海诺德新材料有限公司）</w:t>
            </w:r>
          </w:p>
        </w:tc>
        <w:tc>
          <w:tcPr>
            <w:tcW w:w="1843" w:type="dxa"/>
            <w:vAlign w:val="center"/>
          </w:tcPr>
          <w:p>
            <w:pPr>
              <w:jc w:val="center"/>
              <w:rPr>
                <w:rFonts w:ascii="Times New Roman" w:hAnsi="Times New Roman" w:eastAsia="宋体"/>
                <w:szCs w:val="21"/>
              </w:rPr>
            </w:pPr>
            <w:r>
              <w:rPr>
                <w:rFonts w:hint="eastAsia" w:ascii="Times New Roman" w:hAnsi="Times New Roman" w:eastAsia="宋体"/>
                <w:szCs w:val="21"/>
              </w:rPr>
              <w:t>1</w:t>
            </w:r>
            <w:r>
              <w:rPr>
                <w:rFonts w:ascii="Times New Roman" w:hAnsi="Times New Roman" w:eastAsia="宋体"/>
                <w:szCs w:val="21"/>
              </w:rPr>
              <w:t>7621</w:t>
            </w:r>
          </w:p>
        </w:tc>
        <w:tc>
          <w:tcPr>
            <w:tcW w:w="1780" w:type="dxa"/>
            <w:vAlign w:val="center"/>
          </w:tcPr>
          <w:p>
            <w:pPr>
              <w:jc w:val="center"/>
              <w:rPr>
                <w:rFonts w:ascii="Times New Roman" w:hAnsi="Times New Roman" w:eastAsia="宋体"/>
                <w:szCs w:val="21"/>
              </w:rPr>
            </w:pPr>
            <w:r>
              <w:rPr>
                <w:rFonts w:hint="eastAsia" w:ascii="Times New Roman" w:hAnsi="Times New Roman" w:eastAsia="宋体"/>
                <w:szCs w:val="21"/>
              </w:rPr>
              <w:t>5</w:t>
            </w:r>
            <w:r>
              <w:rPr>
                <w:rFonts w:ascii="Times New Roman" w:hAnsi="Times New Roman" w:eastAsia="宋体"/>
                <w:szCs w:val="21"/>
              </w:rPr>
              <w:t>763.6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vAlign w:val="center"/>
          </w:tcPr>
          <w:p>
            <w:pPr>
              <w:rPr>
                <w:rFonts w:ascii="Times New Roman" w:hAnsi="Times New Roman" w:eastAsia="宋体"/>
                <w:szCs w:val="21"/>
              </w:rPr>
            </w:pPr>
            <w:r>
              <w:rPr>
                <w:rFonts w:hint="eastAsia" w:ascii="Times New Roman" w:hAnsi="Times New Roman" w:eastAsia="宋体" w:cs="Times New Roman"/>
                <w:color w:val="000000"/>
                <w:szCs w:val="21"/>
              </w:rPr>
              <w:t>安徽铜冠铜箔有限公司</w:t>
            </w:r>
          </w:p>
        </w:tc>
        <w:tc>
          <w:tcPr>
            <w:tcW w:w="1843" w:type="dxa"/>
            <w:vAlign w:val="center"/>
          </w:tcPr>
          <w:p>
            <w:pPr>
              <w:jc w:val="center"/>
              <w:rPr>
                <w:rFonts w:ascii="Times New Roman" w:hAnsi="Times New Roman" w:eastAsia="宋体"/>
                <w:szCs w:val="21"/>
              </w:rPr>
            </w:pPr>
            <w:r>
              <w:rPr>
                <w:rFonts w:hint="eastAsia" w:ascii="Times New Roman" w:hAnsi="Times New Roman" w:eastAsia="宋体"/>
                <w:szCs w:val="21"/>
              </w:rPr>
              <w:t>6</w:t>
            </w:r>
            <w:r>
              <w:rPr>
                <w:rFonts w:ascii="Times New Roman" w:hAnsi="Times New Roman" w:eastAsia="宋体"/>
                <w:szCs w:val="21"/>
              </w:rPr>
              <w:t>907</w:t>
            </w:r>
          </w:p>
        </w:tc>
        <w:tc>
          <w:tcPr>
            <w:tcW w:w="1780" w:type="dxa"/>
            <w:vAlign w:val="center"/>
          </w:tcPr>
          <w:p>
            <w:pPr>
              <w:jc w:val="center"/>
              <w:rPr>
                <w:rFonts w:ascii="Times New Roman" w:hAnsi="Times New Roman" w:eastAsia="宋体"/>
                <w:szCs w:val="21"/>
              </w:rPr>
            </w:pPr>
            <w:r>
              <w:rPr>
                <w:rFonts w:hint="eastAsia" w:ascii="Times New Roman" w:hAnsi="Times New Roman" w:eastAsia="宋体"/>
                <w:szCs w:val="21"/>
              </w:rPr>
              <w:t>2</w:t>
            </w:r>
            <w:r>
              <w:rPr>
                <w:rFonts w:ascii="Times New Roman" w:hAnsi="Times New Roman" w:eastAsia="宋体"/>
                <w:szCs w:val="21"/>
              </w:rPr>
              <w:t>2813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vAlign w:val="center"/>
          </w:tcPr>
          <w:p>
            <w:pPr>
              <w:rPr>
                <w:rFonts w:ascii="Times New Roman" w:hAnsi="Times New Roman" w:eastAsia="宋体"/>
                <w:szCs w:val="21"/>
              </w:rPr>
            </w:pPr>
            <w:r>
              <w:rPr>
                <w:rFonts w:hint="eastAsia" w:ascii="Times New Roman" w:hAnsi="Times New Roman" w:eastAsia="宋体" w:cs="Times New Roman"/>
                <w:color w:val="000000"/>
                <w:szCs w:val="21"/>
              </w:rPr>
              <w:t>佛冈建滔实业有限公司</w:t>
            </w:r>
          </w:p>
        </w:tc>
        <w:tc>
          <w:tcPr>
            <w:tcW w:w="1843" w:type="dxa"/>
            <w:vAlign w:val="center"/>
          </w:tcPr>
          <w:p>
            <w:pPr>
              <w:jc w:val="center"/>
              <w:rPr>
                <w:rFonts w:ascii="Times New Roman" w:hAnsi="Times New Roman" w:eastAsia="宋体"/>
                <w:szCs w:val="21"/>
              </w:rPr>
            </w:pPr>
            <w:r>
              <w:rPr>
                <w:rFonts w:hint="eastAsia" w:ascii="Times New Roman" w:hAnsi="Times New Roman" w:eastAsia="宋体"/>
                <w:szCs w:val="21"/>
              </w:rPr>
              <w:t>2</w:t>
            </w:r>
            <w:r>
              <w:rPr>
                <w:rFonts w:ascii="Times New Roman" w:hAnsi="Times New Roman" w:eastAsia="宋体"/>
                <w:szCs w:val="21"/>
              </w:rPr>
              <w:t>000</w:t>
            </w:r>
          </w:p>
        </w:tc>
        <w:tc>
          <w:tcPr>
            <w:tcW w:w="1780" w:type="dxa"/>
            <w:vAlign w:val="center"/>
          </w:tcPr>
          <w:p>
            <w:pPr>
              <w:jc w:val="center"/>
              <w:rPr>
                <w:rFonts w:ascii="Times New Roman" w:hAnsi="Times New Roman" w:eastAsia="宋体"/>
                <w:szCs w:val="21"/>
              </w:rPr>
            </w:pPr>
            <w:r>
              <w:rPr>
                <w:rFonts w:hint="eastAsia" w:ascii="Times New Roman" w:hAnsi="Times New Roman" w:eastAsia="宋体"/>
                <w:szCs w:val="21"/>
              </w:rPr>
              <w:t>6</w:t>
            </w:r>
            <w:r>
              <w:rPr>
                <w:rFonts w:ascii="Times New Roman" w:hAnsi="Times New Roman" w:eastAsia="宋体"/>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vAlign w:val="center"/>
          </w:tcPr>
          <w:p>
            <w:pPr>
              <w:rPr>
                <w:rFonts w:ascii="Times New Roman" w:hAnsi="Times New Roman" w:eastAsia="宋体"/>
                <w:szCs w:val="21"/>
              </w:rPr>
            </w:pPr>
            <w:r>
              <w:rPr>
                <w:rFonts w:hint="eastAsia" w:ascii="Times New Roman" w:hAnsi="Times New Roman" w:eastAsia="宋体"/>
                <w:szCs w:val="21"/>
              </w:rPr>
              <w:t>金宝股份（包括山东金都电子材料股份有限公司、山东金宝电子股份有限公司）</w:t>
            </w:r>
          </w:p>
        </w:tc>
        <w:tc>
          <w:tcPr>
            <w:tcW w:w="1843" w:type="dxa"/>
            <w:vAlign w:val="center"/>
          </w:tcPr>
          <w:p>
            <w:pPr>
              <w:jc w:val="center"/>
              <w:rPr>
                <w:rFonts w:ascii="Times New Roman" w:hAnsi="Times New Roman" w:eastAsia="宋体"/>
                <w:szCs w:val="21"/>
              </w:rPr>
            </w:pPr>
            <w:r>
              <w:rPr>
                <w:rFonts w:hint="eastAsia" w:ascii="Times New Roman" w:hAnsi="Times New Roman" w:eastAsia="宋体"/>
                <w:szCs w:val="21"/>
              </w:rPr>
              <w:t>5</w:t>
            </w:r>
            <w:r>
              <w:rPr>
                <w:rFonts w:ascii="Times New Roman" w:hAnsi="Times New Roman" w:eastAsia="宋体"/>
                <w:szCs w:val="21"/>
              </w:rPr>
              <w:t>30</w:t>
            </w:r>
          </w:p>
        </w:tc>
        <w:tc>
          <w:tcPr>
            <w:tcW w:w="1780" w:type="dxa"/>
            <w:vAlign w:val="center"/>
          </w:tcPr>
          <w:p>
            <w:pPr>
              <w:jc w:val="center"/>
              <w:rPr>
                <w:rFonts w:ascii="Times New Roman" w:hAnsi="Times New Roman" w:eastAsia="宋体"/>
                <w:szCs w:val="21"/>
              </w:rPr>
            </w:pPr>
            <w:r>
              <w:rPr>
                <w:rFonts w:hint="eastAsia" w:ascii="Times New Roman" w:hAnsi="Times New Roman" w:eastAsia="宋体"/>
                <w:szCs w:val="21"/>
              </w:rPr>
              <w:t>1</w:t>
            </w:r>
            <w:r>
              <w:rPr>
                <w:rFonts w:ascii="Times New Roman" w:hAnsi="Times New Roman" w:eastAsia="宋体"/>
                <w:szCs w:val="21"/>
              </w:rPr>
              <w:t>4820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vAlign w:val="center"/>
          </w:tcPr>
          <w:p>
            <w:pPr>
              <w:rPr>
                <w:rFonts w:ascii="Times New Roman" w:hAnsi="Times New Roman" w:eastAsia="宋体"/>
                <w:szCs w:val="21"/>
              </w:rPr>
            </w:pPr>
            <w:r>
              <w:rPr>
                <w:rFonts w:hint="eastAsia" w:ascii="Times New Roman" w:hAnsi="Times New Roman" w:eastAsia="宋体" w:cs="Times New Roman"/>
                <w:color w:val="000000"/>
                <w:szCs w:val="21"/>
              </w:rPr>
              <w:t>江西省江铜耶兹铜箔有限公司</w:t>
            </w:r>
          </w:p>
        </w:tc>
        <w:tc>
          <w:tcPr>
            <w:tcW w:w="1843" w:type="dxa"/>
            <w:vAlign w:val="center"/>
          </w:tcPr>
          <w:p>
            <w:pPr>
              <w:jc w:val="center"/>
              <w:rPr>
                <w:rFonts w:ascii="Times New Roman" w:hAnsi="Times New Roman" w:eastAsia="宋体"/>
                <w:szCs w:val="21"/>
              </w:rPr>
            </w:pPr>
            <w:r>
              <w:rPr>
                <w:rFonts w:hint="eastAsia" w:ascii="Times New Roman" w:hAnsi="Times New Roman" w:eastAsia="宋体"/>
                <w:szCs w:val="21"/>
              </w:rPr>
              <w:t>0</w:t>
            </w:r>
          </w:p>
        </w:tc>
        <w:tc>
          <w:tcPr>
            <w:tcW w:w="1780" w:type="dxa"/>
            <w:vAlign w:val="center"/>
          </w:tcPr>
          <w:p>
            <w:pPr>
              <w:jc w:val="center"/>
              <w:rPr>
                <w:rFonts w:ascii="Times New Roman" w:hAnsi="Times New Roman" w:eastAsia="宋体"/>
                <w:szCs w:val="21"/>
              </w:rPr>
            </w:pPr>
            <w:r>
              <w:rPr>
                <w:rFonts w:hint="eastAsia" w:ascii="Times New Roman" w:hAnsi="Times New Roman" w:eastAsia="宋体"/>
                <w:szCs w:val="21"/>
              </w:rPr>
              <w:t>1</w:t>
            </w:r>
            <w:r>
              <w:rPr>
                <w:rFonts w:ascii="Times New Roman" w:hAnsi="Times New Roman" w:eastAsia="宋体"/>
                <w:szCs w:val="21"/>
              </w:rPr>
              <w:t>3930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vAlign w:val="center"/>
          </w:tcPr>
          <w:p>
            <w:pPr>
              <w:rPr>
                <w:rFonts w:ascii="Times New Roman" w:hAnsi="Times New Roman" w:eastAsia="宋体"/>
                <w:szCs w:val="21"/>
              </w:rPr>
            </w:pPr>
            <w:r>
              <w:rPr>
                <w:rFonts w:hint="eastAsia" w:ascii="Times New Roman" w:hAnsi="Times New Roman" w:eastAsia="宋体"/>
                <w:szCs w:val="21"/>
              </w:rPr>
              <w:t>广东嘉元科技股份有限公司</w:t>
            </w:r>
          </w:p>
        </w:tc>
        <w:tc>
          <w:tcPr>
            <w:tcW w:w="1843" w:type="dxa"/>
            <w:vAlign w:val="center"/>
          </w:tcPr>
          <w:p>
            <w:pPr>
              <w:jc w:val="center"/>
              <w:rPr>
                <w:rFonts w:ascii="Times New Roman" w:hAnsi="Times New Roman" w:eastAsia="宋体"/>
                <w:szCs w:val="21"/>
              </w:rPr>
            </w:pPr>
            <w:r>
              <w:rPr>
                <w:rFonts w:hint="eastAsia" w:ascii="Times New Roman" w:hAnsi="Times New Roman" w:eastAsia="宋体"/>
                <w:szCs w:val="21"/>
              </w:rPr>
              <w:t>7</w:t>
            </w:r>
            <w:r>
              <w:rPr>
                <w:rFonts w:ascii="Times New Roman" w:hAnsi="Times New Roman" w:eastAsia="宋体"/>
                <w:szCs w:val="21"/>
              </w:rPr>
              <w:t>513</w:t>
            </w:r>
          </w:p>
        </w:tc>
        <w:tc>
          <w:tcPr>
            <w:tcW w:w="1780" w:type="dxa"/>
            <w:vAlign w:val="center"/>
          </w:tcPr>
          <w:p>
            <w:pPr>
              <w:jc w:val="center"/>
              <w:rPr>
                <w:rFonts w:ascii="Times New Roman" w:hAnsi="Times New Roman" w:eastAsia="宋体"/>
                <w:szCs w:val="21"/>
              </w:rPr>
            </w:pPr>
            <w:r>
              <w:rPr>
                <w:rFonts w:hint="eastAsia" w:ascii="Times New Roman" w:hAnsi="Times New Roman" w:eastAsia="宋体"/>
                <w:szCs w:val="21"/>
              </w:rPr>
              <w:t>4</w:t>
            </w:r>
            <w:r>
              <w:rPr>
                <w:rFonts w:ascii="Times New Roman" w:hAnsi="Times New Roman" w:eastAsia="宋体"/>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vAlign w:val="center"/>
          </w:tcPr>
          <w:p>
            <w:pPr>
              <w:rPr>
                <w:rFonts w:ascii="Times New Roman" w:hAnsi="Times New Roman" w:eastAsia="宋体"/>
                <w:szCs w:val="21"/>
              </w:rPr>
            </w:pPr>
            <w:r>
              <w:rPr>
                <w:rFonts w:hint="eastAsia" w:ascii="Times New Roman" w:hAnsi="Times New Roman" w:eastAsia="宋体"/>
                <w:szCs w:val="21"/>
              </w:rPr>
              <w:t>福建清景铜箔有限公司</w:t>
            </w:r>
          </w:p>
        </w:tc>
        <w:tc>
          <w:tcPr>
            <w:tcW w:w="1843" w:type="dxa"/>
            <w:vAlign w:val="center"/>
          </w:tcPr>
          <w:p>
            <w:pPr>
              <w:jc w:val="center"/>
              <w:rPr>
                <w:rFonts w:ascii="Times New Roman" w:hAnsi="Times New Roman" w:eastAsia="宋体"/>
                <w:szCs w:val="21"/>
              </w:rPr>
            </w:pPr>
            <w:r>
              <w:rPr>
                <w:rFonts w:hint="eastAsia" w:ascii="Times New Roman" w:hAnsi="Times New Roman" w:eastAsia="宋体"/>
                <w:szCs w:val="21"/>
              </w:rPr>
              <w:t>5</w:t>
            </w:r>
            <w:r>
              <w:rPr>
                <w:rFonts w:ascii="Times New Roman" w:hAnsi="Times New Roman" w:eastAsia="宋体"/>
                <w:szCs w:val="21"/>
              </w:rPr>
              <w:t>000</w:t>
            </w:r>
          </w:p>
        </w:tc>
        <w:tc>
          <w:tcPr>
            <w:tcW w:w="1780" w:type="dxa"/>
            <w:vAlign w:val="center"/>
          </w:tcPr>
          <w:p>
            <w:pPr>
              <w:jc w:val="center"/>
              <w:rPr>
                <w:rFonts w:ascii="Times New Roman" w:hAnsi="Times New Roman" w:eastAsia="宋体"/>
                <w:szCs w:val="21"/>
              </w:rPr>
            </w:pPr>
            <w:r>
              <w:rPr>
                <w:rFonts w:hint="eastAsia" w:ascii="Times New Roman" w:hAnsi="Times New Roman" w:eastAsia="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vAlign w:val="center"/>
          </w:tcPr>
          <w:p>
            <w:pPr>
              <w:rPr>
                <w:rFonts w:ascii="Times New Roman" w:hAnsi="Times New Roman" w:eastAsia="宋体"/>
                <w:szCs w:val="21"/>
              </w:rPr>
            </w:pPr>
            <w:r>
              <w:rPr>
                <w:rFonts w:hint="eastAsia" w:ascii="Times New Roman" w:hAnsi="Times New Roman" w:eastAsia="宋体"/>
                <w:szCs w:val="21"/>
              </w:rPr>
              <w:t>圣达电气有限公司</w:t>
            </w:r>
          </w:p>
        </w:tc>
        <w:tc>
          <w:tcPr>
            <w:tcW w:w="1843" w:type="dxa"/>
            <w:vAlign w:val="center"/>
          </w:tcPr>
          <w:p>
            <w:pPr>
              <w:jc w:val="center"/>
              <w:rPr>
                <w:rFonts w:ascii="Times New Roman" w:hAnsi="Times New Roman" w:eastAsia="宋体"/>
                <w:szCs w:val="21"/>
              </w:rPr>
            </w:pPr>
            <w:r>
              <w:rPr>
                <w:rFonts w:hint="eastAsia" w:ascii="Times New Roman" w:hAnsi="Times New Roman" w:eastAsia="宋体"/>
                <w:szCs w:val="21"/>
              </w:rPr>
              <w:t>3</w:t>
            </w:r>
            <w:r>
              <w:rPr>
                <w:rFonts w:ascii="Times New Roman" w:hAnsi="Times New Roman" w:eastAsia="宋体"/>
                <w:szCs w:val="21"/>
              </w:rPr>
              <w:t>245</w:t>
            </w:r>
          </w:p>
        </w:tc>
        <w:tc>
          <w:tcPr>
            <w:tcW w:w="1780" w:type="dxa"/>
            <w:vAlign w:val="center"/>
          </w:tcPr>
          <w:p>
            <w:pPr>
              <w:jc w:val="center"/>
              <w:rPr>
                <w:rFonts w:ascii="Times New Roman" w:hAnsi="Times New Roman" w:eastAsia="宋体"/>
                <w:szCs w:val="21"/>
              </w:rPr>
            </w:pPr>
            <w:r>
              <w:rPr>
                <w:rFonts w:hint="eastAsia" w:ascii="Times New Roman" w:hAnsi="Times New Roman" w:eastAsia="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vAlign w:val="center"/>
          </w:tcPr>
          <w:p>
            <w:pPr>
              <w:rPr>
                <w:rFonts w:ascii="Times New Roman" w:hAnsi="Times New Roman" w:eastAsia="宋体"/>
                <w:szCs w:val="21"/>
              </w:rPr>
            </w:pPr>
            <w:r>
              <w:rPr>
                <w:rFonts w:hint="eastAsia" w:ascii="Times New Roman" w:hAnsi="Times New Roman" w:eastAsia="宋体"/>
                <w:szCs w:val="21"/>
              </w:rPr>
              <w:t>铜陵市华创新材料有限公司（2</w:t>
            </w:r>
            <w:r>
              <w:rPr>
                <w:rFonts w:ascii="Times New Roman" w:hAnsi="Times New Roman" w:eastAsia="宋体"/>
                <w:szCs w:val="21"/>
              </w:rPr>
              <w:t>017</w:t>
            </w:r>
            <w:r>
              <w:rPr>
                <w:rFonts w:hint="eastAsia" w:ascii="Times New Roman" w:hAnsi="Times New Roman" w:eastAsia="宋体"/>
                <w:szCs w:val="21"/>
              </w:rPr>
              <w:t>年7月投产）</w:t>
            </w:r>
          </w:p>
        </w:tc>
        <w:tc>
          <w:tcPr>
            <w:tcW w:w="1843" w:type="dxa"/>
            <w:vAlign w:val="center"/>
          </w:tcPr>
          <w:p>
            <w:pPr>
              <w:jc w:val="center"/>
              <w:rPr>
                <w:rFonts w:ascii="Times New Roman" w:hAnsi="Times New Roman" w:eastAsia="宋体"/>
                <w:szCs w:val="21"/>
              </w:rPr>
            </w:pPr>
            <w:r>
              <w:rPr>
                <w:rFonts w:ascii="Times New Roman" w:hAnsi="Times New Roman" w:eastAsia="宋体"/>
                <w:szCs w:val="21"/>
              </w:rPr>
              <w:t>1701</w:t>
            </w:r>
          </w:p>
        </w:tc>
        <w:tc>
          <w:tcPr>
            <w:tcW w:w="1780" w:type="dxa"/>
            <w:vAlign w:val="center"/>
          </w:tcPr>
          <w:p>
            <w:pPr>
              <w:jc w:val="center"/>
              <w:rPr>
                <w:rFonts w:ascii="Times New Roman" w:hAnsi="Times New Roman" w:eastAsia="宋体"/>
                <w:szCs w:val="21"/>
              </w:rPr>
            </w:pPr>
            <w:r>
              <w:rPr>
                <w:rFonts w:hint="eastAsia" w:ascii="Times New Roman" w:hAnsi="Times New Roman" w:eastAsia="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vAlign w:val="center"/>
          </w:tcPr>
          <w:p>
            <w:pPr>
              <w:jc w:val="center"/>
              <w:rPr>
                <w:rFonts w:ascii="Times New Roman" w:hAnsi="Times New Roman" w:eastAsia="宋体"/>
                <w:szCs w:val="21"/>
              </w:rPr>
            </w:pPr>
            <w:r>
              <w:rPr>
                <w:rFonts w:hint="eastAsia" w:ascii="Times New Roman" w:hAnsi="Times New Roman" w:eastAsia="宋体"/>
                <w:szCs w:val="21"/>
              </w:rPr>
              <w:t>合计</w:t>
            </w:r>
          </w:p>
        </w:tc>
        <w:tc>
          <w:tcPr>
            <w:tcW w:w="1843" w:type="dxa"/>
            <w:vAlign w:val="center"/>
          </w:tcPr>
          <w:p>
            <w:pPr>
              <w:jc w:val="center"/>
              <w:rPr>
                <w:rFonts w:ascii="Times New Roman" w:hAnsi="Times New Roman" w:eastAsia="宋体"/>
                <w:szCs w:val="21"/>
              </w:rPr>
            </w:pPr>
            <w:r>
              <w:rPr>
                <w:rFonts w:hint="eastAsia" w:ascii="Times New Roman" w:hAnsi="Times New Roman" w:eastAsia="宋体"/>
                <w:szCs w:val="21"/>
              </w:rPr>
              <w:t>44517</w:t>
            </w:r>
          </w:p>
        </w:tc>
        <w:tc>
          <w:tcPr>
            <w:tcW w:w="1780" w:type="dxa"/>
            <w:vAlign w:val="center"/>
          </w:tcPr>
          <w:p>
            <w:pPr>
              <w:jc w:val="center"/>
              <w:rPr>
                <w:rFonts w:ascii="Times New Roman" w:hAnsi="Times New Roman" w:eastAsia="宋体"/>
                <w:szCs w:val="21"/>
              </w:rPr>
            </w:pPr>
            <w:r>
              <w:rPr>
                <w:rFonts w:hint="eastAsia" w:ascii="Times New Roman" w:hAnsi="Times New Roman" w:eastAsia="宋体"/>
                <w:szCs w:val="21"/>
              </w:rPr>
              <w:t>1</w:t>
            </w:r>
            <w:r>
              <w:rPr>
                <w:rFonts w:ascii="Times New Roman" w:hAnsi="Times New Roman" w:eastAsia="宋体"/>
                <w:szCs w:val="21"/>
              </w:rPr>
              <w:t>19726</w:t>
            </w:r>
            <w:r>
              <w:rPr>
                <w:rFonts w:hint="eastAsia" w:ascii="Times New Roman" w:hAnsi="Times New Roman" w:eastAsia="宋体"/>
                <w:szCs w:val="21"/>
              </w:rPr>
              <w:t>.6</w:t>
            </w:r>
          </w:p>
        </w:tc>
      </w:tr>
    </w:tbl>
    <w:p>
      <w:pPr>
        <w:ind w:firstLine="420" w:firstLineChars="200"/>
        <w:rPr>
          <w:rFonts w:ascii="Times New Roman" w:hAnsi="Times New Roman"/>
        </w:rPr>
      </w:pPr>
    </w:p>
    <w:p>
      <w:pPr>
        <w:ind w:firstLine="420" w:firstLineChars="200"/>
        <w:rPr>
          <w:rFonts w:ascii="Times New Roman" w:hAnsi="Times New Roman"/>
        </w:rPr>
      </w:pPr>
    </w:p>
    <w:p>
      <w:pPr>
        <w:pStyle w:val="3"/>
        <w:spacing w:before="0" w:after="0" w:line="360" w:lineRule="auto"/>
        <w:rPr>
          <w:rFonts w:ascii="Times New Roman" w:hAnsi="Times New Roman"/>
          <w:sz w:val="24"/>
          <w:szCs w:val="24"/>
        </w:rPr>
      </w:pPr>
      <w:r>
        <w:rPr>
          <w:rFonts w:hint="eastAsia" w:ascii="Times New Roman" w:hAnsi="Times New Roman"/>
          <w:sz w:val="24"/>
          <w:szCs w:val="24"/>
        </w:rPr>
        <w:t>（二）电解铜箔生产工艺流程</w:t>
      </w:r>
      <w:bookmarkEnd w:id="15"/>
    </w:p>
    <w:p>
      <w:pPr>
        <w:spacing w:line="360" w:lineRule="auto"/>
        <w:jc w:val="center"/>
        <w:rPr>
          <w:rFonts w:ascii="Times New Roman" w:hAnsi="Times New Roman"/>
          <w:szCs w:val="21"/>
        </w:rPr>
      </w:pPr>
      <w:r>
        <w:rPr>
          <w:rFonts w:ascii="Times New Roman" w:hAnsi="Times New Roman"/>
        </w:rPr>
        <w:drawing>
          <wp:inline distT="0" distB="0" distL="0" distR="0">
            <wp:extent cx="5625465" cy="2657475"/>
            <wp:effectExtent l="0" t="0" r="63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625465" cy="2657475"/>
                    </a:xfrm>
                    <a:prstGeom prst="rect">
                      <a:avLst/>
                    </a:prstGeom>
                  </pic:spPr>
                </pic:pic>
              </a:graphicData>
            </a:graphic>
          </wp:inline>
        </w:drawing>
      </w:r>
    </w:p>
    <w:p>
      <w:pPr>
        <w:snapToGrid w:val="0"/>
        <w:spacing w:before="156" w:beforeLines="50" w:line="360" w:lineRule="auto"/>
        <w:ind w:firstLine="420" w:firstLineChars="200"/>
        <w:jc w:val="center"/>
        <w:rPr>
          <w:rFonts w:ascii="Times New Roman" w:hAnsi="Times New Roman" w:eastAsia="黑体" w:cs="Times New Roman"/>
          <w:color w:val="000000"/>
          <w:szCs w:val="21"/>
        </w:rPr>
      </w:pPr>
      <w:r>
        <w:rPr>
          <w:rFonts w:hint="eastAsia" w:ascii="Times New Roman" w:hAnsi="Times New Roman" w:eastAsia="黑体" w:cs="Times New Roman"/>
          <w:color w:val="000000"/>
          <w:szCs w:val="21"/>
        </w:rPr>
        <w:t>图1</w:t>
      </w:r>
      <w:r>
        <w:rPr>
          <w:rFonts w:ascii="Times New Roman" w:hAnsi="Times New Roman" w:eastAsia="黑体" w:cs="Times New Roman"/>
          <w:color w:val="000000"/>
          <w:szCs w:val="21"/>
        </w:rPr>
        <w:t xml:space="preserve"> </w:t>
      </w:r>
      <w:r>
        <w:rPr>
          <w:rFonts w:hint="eastAsia" w:ascii="Times New Roman" w:hAnsi="Times New Roman" w:eastAsia="黑体" w:cs="Times New Roman"/>
          <w:color w:val="000000"/>
          <w:szCs w:val="21"/>
        </w:rPr>
        <w:t>电解铜箔生产工艺流程图</w:t>
      </w:r>
    </w:p>
    <w:p>
      <w:pPr>
        <w:rPr>
          <w:rFonts w:ascii="Times New Roman" w:hAnsi="Times New Roman"/>
        </w:rPr>
      </w:pPr>
    </w:p>
    <w:p>
      <w:pPr>
        <w:pStyle w:val="3"/>
        <w:spacing w:before="0" w:after="0" w:line="360" w:lineRule="auto"/>
        <w:rPr>
          <w:rFonts w:ascii="Times New Roman" w:hAnsi="Times New Roman"/>
          <w:sz w:val="24"/>
          <w:szCs w:val="24"/>
        </w:rPr>
      </w:pPr>
      <w:bookmarkStart w:id="16" w:name="_Toc6997287"/>
      <w:r>
        <w:rPr>
          <w:rFonts w:hint="eastAsia" w:ascii="Times New Roman" w:hAnsi="Times New Roman"/>
          <w:sz w:val="24"/>
          <w:szCs w:val="24"/>
        </w:rPr>
        <w:t>（二）确定标准的主要技术内容</w:t>
      </w:r>
      <w:bookmarkEnd w:id="16"/>
    </w:p>
    <w:p>
      <w:pPr>
        <w:pStyle w:val="4"/>
        <w:spacing w:before="0" w:after="0" w:line="360" w:lineRule="auto"/>
        <w:rPr>
          <w:rFonts w:ascii="Times New Roman" w:hAnsi="Times New Roman"/>
          <w:sz w:val="24"/>
          <w:szCs w:val="24"/>
        </w:rPr>
      </w:pPr>
      <w:bookmarkStart w:id="17" w:name="_Toc6997288"/>
      <w:r>
        <w:rPr>
          <w:rFonts w:hint="eastAsia" w:ascii="Times New Roman" w:hAnsi="Times New Roman"/>
          <w:sz w:val="24"/>
          <w:szCs w:val="24"/>
        </w:rPr>
        <w:t>1、适用范围</w:t>
      </w:r>
      <w:bookmarkEnd w:id="17"/>
      <w:r>
        <w:rPr>
          <w:rFonts w:hint="eastAsia" w:ascii="Times New Roman" w:hAnsi="Times New Roman"/>
          <w:sz w:val="24"/>
          <w:szCs w:val="24"/>
        </w:rPr>
        <w:t xml:space="preserve"> </w:t>
      </w:r>
    </w:p>
    <w:p>
      <w:pPr>
        <w:snapToGrid w:val="0"/>
        <w:spacing w:before="156" w:beforeLines="50"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本标准适用于</w:t>
      </w:r>
      <w:r>
        <w:rPr>
          <w:rFonts w:hint="eastAsia" w:ascii="Times New Roman" w:hAnsi="Times New Roman" w:eastAsia="宋体" w:cs="Times New Roman"/>
          <w:color w:val="000000"/>
          <w:sz w:val="24"/>
          <w:szCs w:val="24"/>
        </w:rPr>
        <w:t>锂离子电池用电解铜箔和印制板用电解铜箔绿色设计产品的评价。虽然两种用途的电解铜箔工艺略有差别，但关键工艺差别不大，核心的评价指标可以统一，仅在个别产品指标的限值上需要单独考虑，因此均纳入标准适用范围，但本标准不适用于压延铜箔的评价。</w:t>
      </w:r>
    </w:p>
    <w:p>
      <w:pPr>
        <w:pStyle w:val="4"/>
        <w:spacing w:before="0" w:after="0" w:line="360" w:lineRule="auto"/>
        <w:rPr>
          <w:rFonts w:ascii="Times New Roman" w:hAnsi="Times New Roman"/>
          <w:sz w:val="24"/>
          <w:szCs w:val="24"/>
        </w:rPr>
      </w:pPr>
      <w:bookmarkStart w:id="18" w:name="_Toc6997289"/>
      <w:r>
        <w:rPr>
          <w:rFonts w:hint="eastAsia" w:ascii="Times New Roman" w:hAnsi="Times New Roman"/>
          <w:sz w:val="24"/>
          <w:szCs w:val="24"/>
        </w:rPr>
        <w:t>2</w:t>
      </w:r>
      <w:r>
        <w:rPr>
          <w:rFonts w:ascii="Times New Roman" w:hAnsi="Times New Roman"/>
          <w:sz w:val="24"/>
          <w:szCs w:val="24"/>
        </w:rPr>
        <w:t xml:space="preserve"> </w:t>
      </w:r>
      <w:r>
        <w:rPr>
          <w:rFonts w:hint="eastAsia" w:ascii="Times New Roman" w:hAnsi="Times New Roman"/>
          <w:sz w:val="24"/>
          <w:szCs w:val="24"/>
        </w:rPr>
        <w:t>规范性引用文件</w:t>
      </w:r>
      <w:bookmarkEnd w:id="18"/>
    </w:p>
    <w:p>
      <w:pPr>
        <w:snapToGrid w:val="0"/>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G</w:t>
      </w:r>
      <w:r>
        <w:rPr>
          <w:rFonts w:ascii="Times New Roman" w:hAnsi="Times New Roman" w:eastAsia="宋体" w:cs="Times New Roman"/>
          <w:color w:val="000000"/>
          <w:sz w:val="24"/>
          <w:szCs w:val="24"/>
        </w:rPr>
        <w:t>B/T 32161</w:t>
      </w:r>
      <w:r>
        <w:rPr>
          <w:rFonts w:hint="eastAsia" w:ascii="Times New Roman" w:hAnsi="Times New Roman" w:eastAsia="宋体" w:cs="Times New Roman"/>
          <w:color w:val="000000"/>
          <w:sz w:val="24"/>
          <w:szCs w:val="24"/>
        </w:rPr>
        <w:t>生态设计产品评价通则</w:t>
      </w:r>
    </w:p>
    <w:p>
      <w:pPr>
        <w:snapToGrid w:val="0"/>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GB/T 32162生态设计产品标识</w:t>
      </w:r>
    </w:p>
    <w:p>
      <w:pPr>
        <w:snapToGrid w:val="0"/>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G</w:t>
      </w:r>
      <w:r>
        <w:rPr>
          <w:rFonts w:ascii="Times New Roman" w:hAnsi="Times New Roman" w:eastAsia="宋体" w:cs="Times New Roman"/>
          <w:color w:val="000000"/>
          <w:sz w:val="24"/>
          <w:szCs w:val="24"/>
        </w:rPr>
        <w:t xml:space="preserve">B/T </w:t>
      </w:r>
      <w:r>
        <w:rPr>
          <w:rFonts w:hint="eastAsia" w:ascii="Times New Roman" w:hAnsi="Times New Roman" w:eastAsia="宋体" w:cs="Times New Roman"/>
          <w:color w:val="000000"/>
          <w:sz w:val="24"/>
          <w:szCs w:val="24"/>
        </w:rPr>
        <w:t>5230</w:t>
      </w:r>
      <w:r>
        <w:rPr>
          <w:rFonts w:ascii="Times New Roman" w:hAnsi="Times New Roman" w:eastAsia="宋体" w:cs="Times New Roman"/>
          <w:color w:val="000000"/>
          <w:sz w:val="24"/>
          <w:szCs w:val="24"/>
        </w:rPr>
        <w:t xml:space="preserve"> </w:t>
      </w:r>
      <w:r>
        <w:rPr>
          <w:rFonts w:hint="eastAsia" w:ascii="Times New Roman" w:hAnsi="Times New Roman" w:eastAsia="宋体" w:cs="Times New Roman"/>
          <w:color w:val="000000"/>
          <w:sz w:val="24"/>
          <w:szCs w:val="24"/>
        </w:rPr>
        <w:t>电解铜箔</w:t>
      </w:r>
    </w:p>
    <w:p>
      <w:pPr>
        <w:snapToGrid w:val="0"/>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SJ/T</w:t>
      </w:r>
      <w:r>
        <w:rPr>
          <w:rFonts w:ascii="Times New Roman" w:hAnsi="Times New Roman" w:eastAsia="宋体" w:cs="Times New Roman"/>
          <w:color w:val="000000"/>
          <w:sz w:val="24"/>
          <w:szCs w:val="24"/>
        </w:rPr>
        <w:t xml:space="preserve"> </w:t>
      </w:r>
      <w:r>
        <w:rPr>
          <w:rFonts w:hint="eastAsia" w:ascii="Times New Roman" w:hAnsi="Times New Roman" w:eastAsia="宋体" w:cs="Times New Roman"/>
          <w:color w:val="000000"/>
          <w:sz w:val="24"/>
          <w:szCs w:val="24"/>
        </w:rPr>
        <w:t>11483锂离子电池用电解铜箔</w:t>
      </w:r>
    </w:p>
    <w:p>
      <w:pPr>
        <w:snapToGrid w:val="0"/>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G</w:t>
      </w:r>
      <w:r>
        <w:rPr>
          <w:rFonts w:ascii="Times New Roman" w:hAnsi="Times New Roman" w:eastAsia="宋体" w:cs="Times New Roman"/>
          <w:color w:val="000000"/>
          <w:sz w:val="24"/>
          <w:szCs w:val="24"/>
        </w:rPr>
        <w:t xml:space="preserve">B/T </w:t>
      </w:r>
      <w:r>
        <w:rPr>
          <w:rFonts w:hint="eastAsia" w:ascii="Times New Roman" w:hAnsi="Times New Roman" w:eastAsia="宋体" w:cs="Times New Roman"/>
          <w:color w:val="000000"/>
          <w:sz w:val="24"/>
          <w:szCs w:val="24"/>
        </w:rPr>
        <w:t>19001</w:t>
      </w:r>
      <w:r>
        <w:rPr>
          <w:rFonts w:ascii="Times New Roman" w:hAnsi="Times New Roman" w:eastAsia="宋体" w:cs="Times New Roman"/>
          <w:color w:val="000000"/>
          <w:sz w:val="24"/>
          <w:szCs w:val="24"/>
        </w:rPr>
        <w:t xml:space="preserve"> </w:t>
      </w:r>
      <w:r>
        <w:rPr>
          <w:rFonts w:hint="eastAsia" w:ascii="Times New Roman" w:hAnsi="Times New Roman" w:eastAsia="宋体" w:cs="Times New Roman"/>
          <w:color w:val="000000"/>
          <w:sz w:val="24"/>
          <w:szCs w:val="24"/>
        </w:rPr>
        <w:t xml:space="preserve">质量管理体系 </w:t>
      </w:r>
      <w:r>
        <w:rPr>
          <w:rFonts w:ascii="Times New Roman" w:hAnsi="Times New Roman" w:eastAsia="宋体" w:cs="Times New Roman"/>
          <w:color w:val="000000"/>
          <w:sz w:val="24"/>
          <w:szCs w:val="24"/>
        </w:rPr>
        <w:t xml:space="preserve"> </w:t>
      </w:r>
      <w:r>
        <w:rPr>
          <w:rFonts w:hint="eastAsia" w:ascii="Times New Roman" w:hAnsi="Times New Roman" w:eastAsia="宋体" w:cs="Times New Roman"/>
          <w:color w:val="000000"/>
          <w:sz w:val="24"/>
          <w:szCs w:val="24"/>
        </w:rPr>
        <w:t>要求</w:t>
      </w:r>
    </w:p>
    <w:p>
      <w:pPr>
        <w:snapToGrid w:val="0"/>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G</w:t>
      </w:r>
      <w:r>
        <w:rPr>
          <w:rFonts w:ascii="Times New Roman" w:hAnsi="Times New Roman" w:eastAsia="宋体" w:cs="Times New Roman"/>
          <w:color w:val="000000"/>
          <w:sz w:val="24"/>
          <w:szCs w:val="24"/>
        </w:rPr>
        <w:t xml:space="preserve">B/T </w:t>
      </w:r>
      <w:r>
        <w:rPr>
          <w:rFonts w:hint="eastAsia" w:ascii="Times New Roman" w:hAnsi="Times New Roman" w:eastAsia="宋体" w:cs="Times New Roman"/>
          <w:color w:val="000000"/>
          <w:sz w:val="24"/>
          <w:szCs w:val="24"/>
        </w:rPr>
        <w:t>24001</w:t>
      </w:r>
      <w:r>
        <w:rPr>
          <w:rFonts w:ascii="Times New Roman" w:hAnsi="Times New Roman" w:eastAsia="宋体" w:cs="Times New Roman"/>
          <w:color w:val="000000"/>
          <w:sz w:val="24"/>
          <w:szCs w:val="24"/>
        </w:rPr>
        <w:t xml:space="preserve"> </w:t>
      </w:r>
      <w:r>
        <w:rPr>
          <w:rFonts w:hint="eastAsia" w:ascii="Times New Roman" w:hAnsi="Times New Roman" w:eastAsia="宋体" w:cs="Times New Roman"/>
          <w:color w:val="000000"/>
          <w:sz w:val="24"/>
          <w:szCs w:val="24"/>
        </w:rPr>
        <w:t xml:space="preserve">环境管理体系 </w:t>
      </w:r>
      <w:r>
        <w:rPr>
          <w:rFonts w:ascii="Times New Roman" w:hAnsi="Times New Roman" w:eastAsia="宋体" w:cs="Times New Roman"/>
          <w:color w:val="000000"/>
          <w:sz w:val="24"/>
          <w:szCs w:val="24"/>
        </w:rPr>
        <w:t xml:space="preserve"> </w:t>
      </w:r>
      <w:r>
        <w:rPr>
          <w:rFonts w:hint="eastAsia" w:ascii="Times New Roman" w:hAnsi="Times New Roman" w:eastAsia="宋体" w:cs="Times New Roman"/>
          <w:color w:val="000000"/>
          <w:sz w:val="24"/>
          <w:szCs w:val="24"/>
        </w:rPr>
        <w:t>要求及使用指南</w:t>
      </w:r>
    </w:p>
    <w:p>
      <w:pPr>
        <w:snapToGrid w:val="0"/>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G</w:t>
      </w:r>
      <w:r>
        <w:rPr>
          <w:rFonts w:ascii="Times New Roman" w:hAnsi="Times New Roman" w:eastAsia="宋体" w:cs="Times New Roman"/>
          <w:color w:val="000000"/>
          <w:sz w:val="24"/>
          <w:szCs w:val="24"/>
        </w:rPr>
        <w:t xml:space="preserve">B/T </w:t>
      </w:r>
      <w:r>
        <w:rPr>
          <w:rFonts w:hint="eastAsia" w:ascii="Times New Roman" w:hAnsi="Times New Roman" w:eastAsia="宋体" w:cs="Times New Roman"/>
          <w:color w:val="000000"/>
          <w:sz w:val="24"/>
          <w:szCs w:val="24"/>
        </w:rPr>
        <w:t>23331</w:t>
      </w:r>
      <w:r>
        <w:rPr>
          <w:rFonts w:ascii="Times New Roman" w:hAnsi="Times New Roman" w:eastAsia="宋体" w:cs="Times New Roman"/>
          <w:color w:val="000000"/>
          <w:sz w:val="24"/>
          <w:szCs w:val="24"/>
        </w:rPr>
        <w:t xml:space="preserve"> </w:t>
      </w:r>
      <w:r>
        <w:rPr>
          <w:rFonts w:hint="eastAsia" w:ascii="Times New Roman" w:hAnsi="Times New Roman" w:eastAsia="宋体" w:cs="Times New Roman"/>
          <w:color w:val="000000"/>
          <w:sz w:val="24"/>
          <w:szCs w:val="24"/>
        </w:rPr>
        <w:t xml:space="preserve">能源管理体系 </w:t>
      </w:r>
      <w:r>
        <w:rPr>
          <w:rFonts w:ascii="Times New Roman" w:hAnsi="Times New Roman" w:eastAsia="宋体" w:cs="Times New Roman"/>
          <w:color w:val="000000"/>
          <w:sz w:val="24"/>
          <w:szCs w:val="24"/>
        </w:rPr>
        <w:t xml:space="preserve"> </w:t>
      </w:r>
      <w:r>
        <w:rPr>
          <w:rFonts w:hint="eastAsia" w:ascii="Times New Roman" w:hAnsi="Times New Roman" w:eastAsia="宋体" w:cs="Times New Roman"/>
          <w:color w:val="000000"/>
          <w:sz w:val="24"/>
          <w:szCs w:val="24"/>
        </w:rPr>
        <w:t>要求</w:t>
      </w:r>
    </w:p>
    <w:p>
      <w:pPr>
        <w:snapToGrid w:val="0"/>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G</w:t>
      </w:r>
      <w:r>
        <w:rPr>
          <w:rFonts w:ascii="Times New Roman" w:hAnsi="Times New Roman" w:eastAsia="宋体" w:cs="Times New Roman"/>
          <w:color w:val="000000"/>
          <w:sz w:val="24"/>
          <w:szCs w:val="24"/>
        </w:rPr>
        <w:t xml:space="preserve">B/T 28001 </w:t>
      </w:r>
      <w:r>
        <w:rPr>
          <w:rFonts w:hint="eastAsia" w:ascii="Times New Roman" w:hAnsi="Times New Roman" w:eastAsia="宋体" w:cs="Times New Roman"/>
          <w:color w:val="000000"/>
          <w:sz w:val="24"/>
          <w:szCs w:val="24"/>
        </w:rPr>
        <w:t xml:space="preserve">职业健康安全管理体系 </w:t>
      </w:r>
      <w:r>
        <w:rPr>
          <w:rFonts w:ascii="Times New Roman" w:hAnsi="Times New Roman" w:eastAsia="宋体" w:cs="Times New Roman"/>
          <w:color w:val="000000"/>
          <w:sz w:val="24"/>
          <w:szCs w:val="24"/>
        </w:rPr>
        <w:t xml:space="preserve"> </w:t>
      </w:r>
      <w:r>
        <w:rPr>
          <w:rFonts w:hint="eastAsia" w:ascii="Times New Roman" w:hAnsi="Times New Roman" w:eastAsia="宋体" w:cs="Times New Roman"/>
          <w:color w:val="000000"/>
          <w:sz w:val="24"/>
          <w:szCs w:val="24"/>
        </w:rPr>
        <w:t>规范</w:t>
      </w:r>
    </w:p>
    <w:p>
      <w:pPr>
        <w:snapToGrid w:val="0"/>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G</w:t>
      </w:r>
      <w:r>
        <w:rPr>
          <w:rFonts w:ascii="Times New Roman" w:hAnsi="Times New Roman" w:eastAsia="宋体" w:cs="Times New Roman"/>
          <w:color w:val="000000"/>
          <w:sz w:val="24"/>
          <w:szCs w:val="24"/>
        </w:rPr>
        <w:t xml:space="preserve">B </w:t>
      </w:r>
      <w:r>
        <w:rPr>
          <w:rFonts w:hint="eastAsia" w:ascii="Times New Roman" w:hAnsi="Times New Roman" w:eastAsia="宋体" w:cs="Times New Roman"/>
          <w:color w:val="000000"/>
          <w:sz w:val="24"/>
          <w:szCs w:val="24"/>
        </w:rPr>
        <w:t>17167</w:t>
      </w:r>
      <w:r>
        <w:rPr>
          <w:rFonts w:ascii="Times New Roman" w:hAnsi="Times New Roman" w:eastAsia="宋体" w:cs="Times New Roman"/>
          <w:color w:val="000000"/>
          <w:sz w:val="24"/>
          <w:szCs w:val="24"/>
        </w:rPr>
        <w:t xml:space="preserve"> 用能单位能源计量器具配备和管理通则</w:t>
      </w:r>
    </w:p>
    <w:p>
      <w:pPr>
        <w:snapToGrid w:val="0"/>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G</w:t>
      </w:r>
      <w:r>
        <w:rPr>
          <w:rFonts w:ascii="Times New Roman" w:hAnsi="Times New Roman" w:eastAsia="宋体" w:cs="Times New Roman"/>
          <w:color w:val="000000"/>
          <w:sz w:val="24"/>
          <w:szCs w:val="24"/>
        </w:rPr>
        <w:t xml:space="preserve">B </w:t>
      </w:r>
      <w:r>
        <w:rPr>
          <w:rFonts w:hint="eastAsia" w:ascii="Times New Roman" w:hAnsi="Times New Roman" w:eastAsia="宋体" w:cs="Times New Roman"/>
          <w:color w:val="000000"/>
          <w:sz w:val="24"/>
          <w:szCs w:val="24"/>
        </w:rPr>
        <w:t>24789</w:t>
      </w:r>
      <w:r>
        <w:rPr>
          <w:rFonts w:ascii="Times New Roman" w:hAnsi="Times New Roman" w:eastAsia="宋体" w:cs="Times New Roman"/>
          <w:color w:val="000000"/>
          <w:sz w:val="24"/>
          <w:szCs w:val="24"/>
        </w:rPr>
        <w:t xml:space="preserve"> 用水单位水计量器具配备和管理通则</w:t>
      </w:r>
    </w:p>
    <w:p>
      <w:pPr>
        <w:snapToGrid w:val="0"/>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GB</w:t>
      </w:r>
      <w:r>
        <w:rPr>
          <w:rFonts w:ascii="Times New Roman" w:hAnsi="Times New Roman" w:eastAsia="宋体" w:cs="Times New Roman"/>
          <w:color w:val="000000"/>
          <w:sz w:val="24"/>
          <w:szCs w:val="24"/>
        </w:rPr>
        <w:t xml:space="preserve"> 18599 一般工业固体废物贮存、处置场污染控制标准</w:t>
      </w:r>
    </w:p>
    <w:p>
      <w:pPr>
        <w:snapToGrid w:val="0"/>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GB</w:t>
      </w:r>
      <w:r>
        <w:rPr>
          <w:rFonts w:ascii="Times New Roman" w:hAnsi="Times New Roman" w:eastAsia="宋体" w:cs="Times New Roman"/>
          <w:color w:val="000000"/>
          <w:sz w:val="24"/>
          <w:szCs w:val="24"/>
        </w:rPr>
        <w:t>18597 危险废物贮存污染控制标准</w:t>
      </w:r>
    </w:p>
    <w:p>
      <w:pPr>
        <w:snapToGrid w:val="0"/>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G</w:t>
      </w:r>
      <w:r>
        <w:rPr>
          <w:rFonts w:ascii="Times New Roman" w:hAnsi="Times New Roman" w:eastAsia="宋体" w:cs="Times New Roman"/>
          <w:color w:val="000000"/>
          <w:sz w:val="24"/>
          <w:szCs w:val="24"/>
        </w:rPr>
        <w:t>B</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 xml:space="preserve">T </w:t>
      </w:r>
      <w:r>
        <w:rPr>
          <w:rFonts w:hint="eastAsia" w:ascii="Times New Roman" w:hAnsi="Times New Roman" w:eastAsia="宋体" w:cs="Times New Roman"/>
          <w:color w:val="000000"/>
          <w:sz w:val="24"/>
          <w:szCs w:val="24"/>
        </w:rPr>
        <w:t>2589综合能耗计算通则</w:t>
      </w:r>
    </w:p>
    <w:p>
      <w:pPr>
        <w:snapToGrid w:val="0"/>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GB/T</w:t>
      </w:r>
      <w:r>
        <w:rPr>
          <w:rFonts w:ascii="Times New Roman" w:hAnsi="Times New Roman" w:eastAsia="宋体" w:cs="Times New Roman"/>
          <w:color w:val="000000"/>
          <w:sz w:val="24"/>
          <w:szCs w:val="24"/>
        </w:rPr>
        <w:t xml:space="preserve"> </w:t>
      </w:r>
      <w:r>
        <w:rPr>
          <w:rFonts w:hint="eastAsia" w:ascii="Times New Roman" w:hAnsi="Times New Roman" w:eastAsia="宋体" w:cs="Times New Roman"/>
          <w:color w:val="000000"/>
          <w:sz w:val="24"/>
          <w:szCs w:val="24"/>
        </w:rPr>
        <w:t>12723单位产品能源消耗限额编制通则</w:t>
      </w:r>
    </w:p>
    <w:p>
      <w:pPr>
        <w:snapToGrid w:val="0"/>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G</w:t>
      </w:r>
      <w:r>
        <w:rPr>
          <w:rFonts w:ascii="Times New Roman" w:hAnsi="Times New Roman" w:eastAsia="宋体" w:cs="Times New Roman"/>
          <w:color w:val="000000"/>
          <w:sz w:val="24"/>
          <w:szCs w:val="24"/>
        </w:rPr>
        <w:t>B/T 5121.1 铜及铜合金化学分析方法 第1部分:铜含量的测定</w:t>
      </w:r>
    </w:p>
    <w:p>
      <w:pPr>
        <w:snapToGrid w:val="0"/>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GB</w:t>
      </w:r>
      <w:r>
        <w:rPr>
          <w:rFonts w:ascii="Times New Roman" w:hAnsi="Times New Roman" w:eastAsia="宋体" w:cs="Times New Roman"/>
          <w:color w:val="000000"/>
          <w:sz w:val="24"/>
          <w:szCs w:val="24"/>
        </w:rPr>
        <w:t>/T 26572  电子电气产品中限用物质的限量要求</w:t>
      </w:r>
    </w:p>
    <w:p>
      <w:pPr>
        <w:snapToGrid w:val="0"/>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GB</w:t>
      </w:r>
      <w:r>
        <w:rPr>
          <w:rFonts w:ascii="Times New Roman" w:hAnsi="Times New Roman" w:eastAsia="宋体" w:cs="Times New Roman"/>
          <w:color w:val="000000"/>
          <w:sz w:val="24"/>
          <w:szCs w:val="24"/>
        </w:rPr>
        <w:t>/T 7475 水质 铜、锌、铅、镉的测定 原子吸收分光光度法</w:t>
      </w:r>
    </w:p>
    <w:p>
      <w:pPr>
        <w:snapToGrid w:val="0"/>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HJ</w:t>
      </w:r>
      <w:r>
        <w:rPr>
          <w:rFonts w:ascii="Times New Roman" w:hAnsi="Times New Roman" w:eastAsia="宋体" w:cs="Times New Roman"/>
          <w:color w:val="000000"/>
          <w:sz w:val="24"/>
          <w:szCs w:val="24"/>
        </w:rPr>
        <w:t xml:space="preserve"> 757 水质 铬的测定 火焰原子吸收分光光度法</w:t>
      </w:r>
    </w:p>
    <w:p>
      <w:pPr>
        <w:pStyle w:val="4"/>
        <w:spacing w:before="0" w:after="0" w:line="360" w:lineRule="auto"/>
        <w:rPr>
          <w:rFonts w:ascii="Times New Roman" w:hAnsi="Times New Roman"/>
          <w:sz w:val="24"/>
          <w:szCs w:val="24"/>
        </w:rPr>
      </w:pPr>
      <w:r>
        <w:rPr>
          <w:rFonts w:hint="eastAsia" w:ascii="Times New Roman" w:hAnsi="Times New Roman"/>
          <w:sz w:val="24"/>
          <w:szCs w:val="24"/>
        </w:rPr>
        <w:t xml:space="preserve"> </w:t>
      </w:r>
      <w:bookmarkStart w:id="19" w:name="_Toc6997290"/>
      <w:r>
        <w:rPr>
          <w:rFonts w:ascii="Times New Roman" w:hAnsi="Times New Roman"/>
          <w:sz w:val="24"/>
          <w:szCs w:val="24"/>
        </w:rPr>
        <w:t>3</w:t>
      </w:r>
      <w:r>
        <w:rPr>
          <w:rFonts w:hint="eastAsia" w:ascii="Times New Roman" w:hAnsi="Times New Roman"/>
          <w:sz w:val="24"/>
          <w:szCs w:val="24"/>
        </w:rPr>
        <w:t>、基本要求</w:t>
      </w:r>
      <w:bookmarkEnd w:id="19"/>
    </w:p>
    <w:p>
      <w:pPr>
        <w:snapToGrid w:val="0"/>
        <w:spacing w:before="156" w:beforeLines="50" w:line="360" w:lineRule="auto"/>
        <w:ind w:firstLine="482" w:firstLineChars="200"/>
        <w:rPr>
          <w:rFonts w:ascii="Times New Roman" w:hAnsi="Times New Roman" w:eastAsia="宋体" w:cs="Times New Roman"/>
          <w:b/>
          <w:color w:val="000000"/>
          <w:sz w:val="24"/>
          <w:szCs w:val="24"/>
        </w:rPr>
      </w:pPr>
      <w:r>
        <w:rPr>
          <w:rFonts w:hint="eastAsia" w:ascii="Times New Roman" w:hAnsi="Times New Roman" w:eastAsia="宋体" w:cs="Times New Roman"/>
          <w:b/>
          <w:color w:val="000000"/>
          <w:sz w:val="24"/>
          <w:szCs w:val="24"/>
        </w:rPr>
        <w:t>（1）电解铜箔生产企业的污染物排放应达到国家或地方污染物排放标准的要求，污染物总量控制应达到国家和地方污染物排放总量控制指标</w:t>
      </w:r>
    </w:p>
    <w:p>
      <w:pPr>
        <w:snapToGrid w:val="0"/>
        <w:spacing w:before="156" w:beforeLines="50"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说明：本条规定了污染物排放限值和污染物总量控制的要求，因各地方对于排放的标准要求不同，本条没有直接引用相关标准，以企业所在地的实际要求为准。</w:t>
      </w:r>
    </w:p>
    <w:p>
      <w:pPr>
        <w:snapToGrid w:val="0"/>
        <w:spacing w:before="156" w:beforeLines="50" w:line="360" w:lineRule="auto"/>
        <w:ind w:firstLine="482" w:firstLineChars="200"/>
        <w:rPr>
          <w:rFonts w:ascii="Times New Roman" w:hAnsi="Times New Roman" w:eastAsia="宋体" w:cs="Times New Roman"/>
          <w:b/>
          <w:color w:val="000000"/>
          <w:sz w:val="24"/>
          <w:szCs w:val="24"/>
        </w:rPr>
      </w:pPr>
      <w:r>
        <w:rPr>
          <w:rFonts w:hint="eastAsia" w:ascii="Times New Roman" w:hAnsi="Times New Roman" w:eastAsia="宋体" w:cs="Times New Roman"/>
          <w:b/>
          <w:color w:val="000000"/>
          <w:sz w:val="24"/>
          <w:szCs w:val="24"/>
        </w:rPr>
        <w:t>（2）应根据环保法律法规要求配备污染物监测和在线监控设备，清洁生产应达到国内先进水平</w:t>
      </w:r>
    </w:p>
    <w:p>
      <w:pPr>
        <w:snapToGrid w:val="0"/>
        <w:spacing w:before="156" w:beforeLines="50"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说明：对于污染物监测和监控设备的配备要求，能够督促企业加强污染物排放的管理和控制，除国家要求的强制监测外，加强企业自身的监测能力，并以此为依据，采取减排措施。</w:t>
      </w:r>
    </w:p>
    <w:p>
      <w:pPr>
        <w:snapToGrid w:val="0"/>
        <w:spacing w:before="156" w:beforeLines="50"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有色金属行业是清洁生产重点审核领域，根据G</w:t>
      </w:r>
      <w:r>
        <w:rPr>
          <w:rFonts w:ascii="Times New Roman" w:hAnsi="Times New Roman" w:eastAsia="宋体" w:cs="Times New Roman"/>
          <w:color w:val="000000"/>
          <w:sz w:val="24"/>
          <w:szCs w:val="24"/>
        </w:rPr>
        <w:t>B/T 32161</w:t>
      </w:r>
      <w:r>
        <w:rPr>
          <w:rFonts w:hint="eastAsia" w:ascii="Times New Roman" w:hAnsi="Times New Roman" w:eastAsia="宋体" w:cs="Times New Roman"/>
          <w:color w:val="000000"/>
          <w:sz w:val="24"/>
          <w:szCs w:val="24"/>
        </w:rPr>
        <w:t>生态设计产品评价通则要求，企业清洁生产水平应行业领先。由于国家尚未制定电解铜箔行业清洁生产评价指标体系，可依据行业平均水平及企业历史水平进行综合评价。</w:t>
      </w:r>
    </w:p>
    <w:p>
      <w:pPr>
        <w:snapToGrid w:val="0"/>
        <w:spacing w:before="156" w:beforeLines="50" w:line="360" w:lineRule="auto"/>
        <w:ind w:firstLine="482" w:firstLineChars="200"/>
        <w:rPr>
          <w:rFonts w:ascii="Times New Roman" w:hAnsi="Times New Roman" w:eastAsia="宋体" w:cs="Times New Roman"/>
          <w:b/>
          <w:color w:val="000000"/>
          <w:sz w:val="24"/>
          <w:szCs w:val="24"/>
        </w:rPr>
      </w:pPr>
      <w:r>
        <w:rPr>
          <w:rFonts w:hint="eastAsia" w:ascii="Times New Roman" w:hAnsi="Times New Roman" w:eastAsia="宋体" w:cs="Times New Roman"/>
          <w:b/>
          <w:color w:val="000000"/>
          <w:sz w:val="24"/>
          <w:szCs w:val="24"/>
        </w:rPr>
        <w:t>（3）近三年无重大质量、安全和环境事故</w:t>
      </w:r>
    </w:p>
    <w:p>
      <w:pPr>
        <w:snapToGrid w:val="0"/>
        <w:spacing w:before="156" w:beforeLines="50"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说明：此条款是对企业过去三年来管理能力的基本反映，若出现重大事故，说明企业管理体系存在重大缺陷，不能参加评价。</w:t>
      </w:r>
    </w:p>
    <w:p>
      <w:pPr>
        <w:snapToGrid w:val="0"/>
        <w:spacing w:before="156" w:beforeLines="50" w:line="360" w:lineRule="auto"/>
        <w:ind w:firstLine="482" w:firstLineChars="200"/>
        <w:rPr>
          <w:rFonts w:ascii="Times New Roman" w:hAnsi="Times New Roman" w:eastAsia="宋体" w:cs="Times New Roman"/>
          <w:b/>
          <w:color w:val="000000"/>
          <w:sz w:val="24"/>
          <w:szCs w:val="24"/>
        </w:rPr>
      </w:pPr>
      <w:r>
        <w:rPr>
          <w:rFonts w:hint="eastAsia" w:ascii="Times New Roman" w:hAnsi="Times New Roman" w:eastAsia="宋体" w:cs="Times New Roman"/>
          <w:b/>
          <w:color w:val="000000"/>
          <w:sz w:val="24"/>
          <w:szCs w:val="24"/>
        </w:rPr>
        <w:t>（4）电解铜箔生产企业应按照G</w:t>
      </w:r>
      <w:r>
        <w:rPr>
          <w:rFonts w:ascii="Times New Roman" w:hAnsi="Times New Roman" w:eastAsia="宋体" w:cs="Times New Roman"/>
          <w:b/>
          <w:color w:val="000000"/>
          <w:sz w:val="24"/>
          <w:szCs w:val="24"/>
        </w:rPr>
        <w:t xml:space="preserve">B/T </w:t>
      </w:r>
      <w:r>
        <w:rPr>
          <w:rFonts w:hint="eastAsia" w:ascii="Times New Roman" w:hAnsi="Times New Roman" w:eastAsia="宋体" w:cs="Times New Roman"/>
          <w:b/>
          <w:color w:val="000000"/>
          <w:sz w:val="24"/>
          <w:szCs w:val="24"/>
        </w:rPr>
        <w:t>19001、G</w:t>
      </w:r>
      <w:r>
        <w:rPr>
          <w:rFonts w:ascii="Times New Roman" w:hAnsi="Times New Roman" w:eastAsia="宋体" w:cs="Times New Roman"/>
          <w:b/>
          <w:color w:val="000000"/>
          <w:sz w:val="24"/>
          <w:szCs w:val="24"/>
        </w:rPr>
        <w:t xml:space="preserve">B/T </w:t>
      </w:r>
      <w:r>
        <w:rPr>
          <w:rFonts w:hint="eastAsia" w:ascii="Times New Roman" w:hAnsi="Times New Roman" w:eastAsia="宋体" w:cs="Times New Roman"/>
          <w:b/>
          <w:color w:val="000000"/>
          <w:sz w:val="24"/>
          <w:szCs w:val="24"/>
        </w:rPr>
        <w:t>24001、G</w:t>
      </w:r>
      <w:r>
        <w:rPr>
          <w:rFonts w:ascii="Times New Roman" w:hAnsi="Times New Roman" w:eastAsia="宋体" w:cs="Times New Roman"/>
          <w:b/>
          <w:color w:val="000000"/>
          <w:sz w:val="24"/>
          <w:szCs w:val="24"/>
        </w:rPr>
        <w:t xml:space="preserve">B/T </w:t>
      </w:r>
      <w:r>
        <w:rPr>
          <w:rFonts w:hint="eastAsia" w:ascii="Times New Roman" w:hAnsi="Times New Roman" w:eastAsia="宋体" w:cs="Times New Roman"/>
          <w:b/>
          <w:color w:val="000000"/>
          <w:sz w:val="24"/>
          <w:szCs w:val="24"/>
        </w:rPr>
        <w:t>23331和G</w:t>
      </w:r>
      <w:r>
        <w:rPr>
          <w:rFonts w:ascii="Times New Roman" w:hAnsi="Times New Roman" w:eastAsia="宋体" w:cs="Times New Roman"/>
          <w:b/>
          <w:color w:val="000000"/>
          <w:sz w:val="24"/>
          <w:szCs w:val="24"/>
        </w:rPr>
        <w:t>B/T 28001</w:t>
      </w:r>
      <w:r>
        <w:rPr>
          <w:rFonts w:hint="eastAsia" w:ascii="Times New Roman" w:hAnsi="Times New Roman" w:eastAsia="宋体" w:cs="Times New Roman"/>
          <w:b/>
          <w:color w:val="000000"/>
          <w:sz w:val="24"/>
          <w:szCs w:val="24"/>
        </w:rPr>
        <w:t>分别建立、实施、保持并持续改进质量管理体系、环境管理体系、能源管理体系、职业健康安全管理体系</w:t>
      </w:r>
    </w:p>
    <w:p>
      <w:pPr>
        <w:snapToGrid w:val="0"/>
        <w:spacing w:before="156" w:beforeLines="50"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说明：相关管理体系标准是国际通行的企业管理体系的要求，已成为企业规范管理，以保证质量、环境和能源绩效和职业健康安全的基本依据，因此，规定为绿色设计产品评价的基本要求。</w:t>
      </w:r>
    </w:p>
    <w:p>
      <w:pPr>
        <w:snapToGrid w:val="0"/>
        <w:spacing w:before="156" w:beforeLines="50" w:line="360" w:lineRule="auto"/>
        <w:ind w:firstLine="482" w:firstLineChars="200"/>
        <w:rPr>
          <w:rFonts w:ascii="Times New Roman" w:hAnsi="Times New Roman" w:eastAsia="宋体" w:cs="Times New Roman"/>
          <w:b/>
          <w:color w:val="000000"/>
          <w:sz w:val="24"/>
          <w:szCs w:val="24"/>
        </w:rPr>
      </w:pPr>
      <w:r>
        <w:rPr>
          <w:rFonts w:hint="eastAsia" w:ascii="Times New Roman" w:hAnsi="Times New Roman" w:eastAsia="宋体" w:cs="Times New Roman"/>
          <w:b/>
          <w:color w:val="000000"/>
          <w:sz w:val="24"/>
          <w:szCs w:val="24"/>
        </w:rPr>
        <w:t>（5）</w:t>
      </w:r>
      <w:r>
        <w:rPr>
          <w:rFonts w:ascii="Times New Roman" w:hAnsi="Times New Roman" w:eastAsia="宋体" w:cs="Times New Roman"/>
          <w:b/>
          <w:color w:val="000000"/>
          <w:sz w:val="24"/>
          <w:szCs w:val="24"/>
        </w:rPr>
        <w:t xml:space="preserve"> </w:t>
      </w:r>
      <w:r>
        <w:rPr>
          <w:rFonts w:hint="eastAsia" w:ascii="Times New Roman" w:hAnsi="Times New Roman" w:eastAsia="宋体" w:cs="Times New Roman"/>
          <w:b/>
          <w:color w:val="000000"/>
          <w:sz w:val="24"/>
          <w:szCs w:val="24"/>
        </w:rPr>
        <w:t>电解铜箔生产企业应采用国家鼓励的先进技术和工艺，不得使用国家或有关部门发布的淘汰或禁止的技术、工艺、装备及相关物质；设计、生产过程中应以节约材料为原则制定要求</w:t>
      </w:r>
    </w:p>
    <w:p>
      <w:pPr>
        <w:snapToGrid w:val="0"/>
        <w:spacing w:before="156" w:beforeLines="50"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说明：绿色设计产品相对于一般同类产品，应该具备工艺先进的特点，并在设计和生产过程中考虑节约能源资源的问题。</w:t>
      </w:r>
    </w:p>
    <w:p>
      <w:pPr>
        <w:snapToGrid w:val="0"/>
        <w:spacing w:before="156" w:beforeLines="50"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国家相关部门对</w:t>
      </w:r>
      <w:r>
        <w:rPr>
          <w:rFonts w:ascii="Times New Roman" w:hAnsi="Times New Roman" w:eastAsia="宋体" w:cs="Times New Roman"/>
          <w:color w:val="000000"/>
          <w:sz w:val="24"/>
          <w:szCs w:val="24"/>
        </w:rPr>
        <w:t>鼓励、限制和淘汰技术</w:t>
      </w:r>
      <w:r>
        <w:rPr>
          <w:rFonts w:hint="eastAsia" w:ascii="Times New Roman" w:hAnsi="Times New Roman" w:eastAsia="宋体" w:cs="Times New Roman"/>
          <w:color w:val="000000"/>
          <w:sz w:val="24"/>
          <w:szCs w:val="24"/>
        </w:rPr>
        <w:t>以及禁止、淘汰使用的落后设备以相关文件的形式做出了规定。主要文件有国家发改委《产业结构调整指导目录》、《国家重点节能技术推广目录》、《部分工业行业淘汰落后生产工艺装备和产品指导目录 (2010年本)》、《高耗能落后机电设备（产品）淘汰目录》等。</w:t>
      </w:r>
    </w:p>
    <w:p>
      <w:pPr>
        <w:snapToGrid w:val="0"/>
        <w:spacing w:before="156" w:beforeLines="50" w:line="360" w:lineRule="auto"/>
        <w:ind w:firstLine="482" w:firstLineChars="200"/>
        <w:rPr>
          <w:rFonts w:ascii="Times New Roman" w:hAnsi="Times New Roman" w:eastAsia="宋体" w:cs="Times New Roman"/>
          <w:b/>
          <w:color w:val="000000"/>
          <w:sz w:val="24"/>
          <w:szCs w:val="24"/>
        </w:rPr>
      </w:pPr>
      <w:r>
        <w:rPr>
          <w:rFonts w:hint="eastAsia" w:ascii="Times New Roman" w:hAnsi="Times New Roman" w:eastAsia="宋体" w:cs="Times New Roman"/>
          <w:b/>
          <w:color w:val="000000"/>
          <w:sz w:val="24"/>
          <w:szCs w:val="24"/>
        </w:rPr>
        <w:t>（6）电解铜箔生产企业应按照G</w:t>
      </w:r>
      <w:r>
        <w:rPr>
          <w:rFonts w:ascii="Times New Roman" w:hAnsi="Times New Roman" w:eastAsia="宋体" w:cs="Times New Roman"/>
          <w:b/>
          <w:color w:val="000000"/>
          <w:sz w:val="24"/>
          <w:szCs w:val="24"/>
        </w:rPr>
        <w:t xml:space="preserve">B </w:t>
      </w:r>
      <w:r>
        <w:rPr>
          <w:rFonts w:hint="eastAsia" w:ascii="Times New Roman" w:hAnsi="Times New Roman" w:eastAsia="宋体" w:cs="Times New Roman"/>
          <w:b/>
          <w:color w:val="000000"/>
          <w:sz w:val="24"/>
          <w:szCs w:val="24"/>
        </w:rPr>
        <w:t>17167配备能源计量器具，按照G</w:t>
      </w:r>
      <w:r>
        <w:rPr>
          <w:rFonts w:ascii="Times New Roman" w:hAnsi="Times New Roman" w:eastAsia="宋体" w:cs="Times New Roman"/>
          <w:b/>
          <w:color w:val="000000"/>
          <w:sz w:val="24"/>
          <w:szCs w:val="24"/>
        </w:rPr>
        <w:t xml:space="preserve">B </w:t>
      </w:r>
      <w:r>
        <w:rPr>
          <w:rFonts w:hint="eastAsia" w:ascii="Times New Roman" w:hAnsi="Times New Roman" w:eastAsia="宋体" w:cs="Times New Roman"/>
          <w:b/>
          <w:color w:val="000000"/>
          <w:sz w:val="24"/>
          <w:szCs w:val="24"/>
        </w:rPr>
        <w:t>24789配备水计量器具</w:t>
      </w:r>
    </w:p>
    <w:p>
      <w:pPr>
        <w:snapToGrid w:val="0"/>
        <w:spacing w:before="156" w:beforeLines="50"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说明：能源计量器具和水计量器具的配备，是重点耗能单位能源管理的重要环节。</w:t>
      </w:r>
    </w:p>
    <w:p>
      <w:pPr>
        <w:snapToGrid w:val="0"/>
        <w:spacing w:before="156" w:beforeLines="50" w:line="360" w:lineRule="auto"/>
        <w:ind w:firstLine="482" w:firstLineChars="200"/>
        <w:rPr>
          <w:rFonts w:ascii="Times New Roman" w:hAnsi="Times New Roman" w:eastAsia="宋体" w:cs="Times New Roman"/>
          <w:b/>
          <w:color w:val="000000"/>
          <w:sz w:val="24"/>
          <w:szCs w:val="24"/>
        </w:rPr>
      </w:pPr>
      <w:r>
        <w:rPr>
          <w:rFonts w:hint="eastAsia" w:ascii="Times New Roman" w:hAnsi="Times New Roman" w:eastAsia="宋体" w:cs="Times New Roman"/>
          <w:b/>
          <w:color w:val="000000"/>
          <w:sz w:val="24"/>
          <w:szCs w:val="24"/>
        </w:rPr>
        <w:t>（7）电解铜箔产品质量应满足G</w:t>
      </w:r>
      <w:r>
        <w:rPr>
          <w:rFonts w:ascii="Times New Roman" w:hAnsi="Times New Roman" w:eastAsia="宋体" w:cs="Times New Roman"/>
          <w:b/>
          <w:color w:val="000000"/>
          <w:sz w:val="24"/>
          <w:szCs w:val="24"/>
        </w:rPr>
        <w:t xml:space="preserve">B/T </w:t>
      </w:r>
      <w:r>
        <w:rPr>
          <w:rFonts w:hint="eastAsia" w:ascii="Times New Roman" w:hAnsi="Times New Roman" w:eastAsia="宋体" w:cs="Times New Roman"/>
          <w:b/>
          <w:color w:val="000000"/>
          <w:sz w:val="24"/>
          <w:szCs w:val="24"/>
        </w:rPr>
        <w:t>5230、SJ/T 11483要求</w:t>
      </w:r>
    </w:p>
    <w:p>
      <w:pPr>
        <w:snapToGrid w:val="0"/>
        <w:spacing w:before="156" w:beforeLines="50"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说明：作为绿色设计产品，首先产品质量应达到要求，才能够进一步评价绿色指标。对于锂离子电池用电解铜箔，应满足SJ/T 11483标准要求；印制板用电解铜箔应满足G</w:t>
      </w:r>
      <w:r>
        <w:rPr>
          <w:rFonts w:ascii="Times New Roman" w:hAnsi="Times New Roman" w:eastAsia="宋体" w:cs="Times New Roman"/>
          <w:color w:val="000000"/>
          <w:sz w:val="24"/>
          <w:szCs w:val="24"/>
        </w:rPr>
        <w:t xml:space="preserve">B/T </w:t>
      </w:r>
      <w:r>
        <w:rPr>
          <w:rFonts w:hint="eastAsia" w:ascii="Times New Roman" w:hAnsi="Times New Roman" w:eastAsia="宋体" w:cs="Times New Roman"/>
          <w:color w:val="000000"/>
          <w:sz w:val="24"/>
          <w:szCs w:val="24"/>
        </w:rPr>
        <w:t>5230要求；并应满足相应标准的最新版本。</w:t>
      </w:r>
    </w:p>
    <w:p>
      <w:pPr>
        <w:snapToGrid w:val="0"/>
        <w:spacing w:before="156" w:beforeLines="50" w:line="360" w:lineRule="auto"/>
        <w:ind w:firstLine="482" w:firstLineChars="200"/>
        <w:rPr>
          <w:rFonts w:ascii="Times New Roman" w:hAnsi="Times New Roman" w:eastAsia="宋体" w:cs="Times New Roman"/>
          <w:b/>
          <w:color w:val="000000"/>
          <w:sz w:val="24"/>
          <w:szCs w:val="24"/>
        </w:rPr>
      </w:pPr>
      <w:r>
        <w:rPr>
          <w:rFonts w:hint="eastAsia" w:ascii="Times New Roman" w:hAnsi="Times New Roman" w:eastAsia="宋体" w:cs="Times New Roman"/>
          <w:b/>
          <w:color w:val="000000"/>
          <w:sz w:val="24"/>
          <w:szCs w:val="24"/>
        </w:rPr>
        <w:t>（8）一般废弃物的贮存和处理应符合GB</w:t>
      </w:r>
      <w:r>
        <w:rPr>
          <w:rFonts w:ascii="Times New Roman" w:hAnsi="Times New Roman" w:eastAsia="宋体" w:cs="Times New Roman"/>
          <w:b/>
          <w:color w:val="000000"/>
          <w:sz w:val="24"/>
          <w:szCs w:val="24"/>
        </w:rPr>
        <w:t>18599</w:t>
      </w:r>
      <w:r>
        <w:rPr>
          <w:rFonts w:hint="eastAsia" w:ascii="Times New Roman" w:hAnsi="Times New Roman" w:eastAsia="宋体" w:cs="Times New Roman"/>
          <w:b/>
          <w:color w:val="000000"/>
          <w:sz w:val="24"/>
          <w:szCs w:val="24"/>
        </w:rPr>
        <w:t>的要求，危险废物的贮存和处理应符合GB</w:t>
      </w:r>
      <w:r>
        <w:rPr>
          <w:rFonts w:ascii="Times New Roman" w:hAnsi="Times New Roman" w:eastAsia="宋体" w:cs="Times New Roman"/>
          <w:b/>
          <w:color w:val="000000"/>
          <w:sz w:val="24"/>
          <w:szCs w:val="24"/>
        </w:rPr>
        <w:t>18597</w:t>
      </w:r>
      <w:r>
        <w:rPr>
          <w:rFonts w:hint="eastAsia" w:ascii="Times New Roman" w:hAnsi="Times New Roman" w:eastAsia="宋体" w:cs="Times New Roman"/>
          <w:b/>
          <w:color w:val="000000"/>
          <w:sz w:val="24"/>
          <w:szCs w:val="24"/>
        </w:rPr>
        <w:t>的要求；产品包装材料应为可再生利用或可降解材料</w:t>
      </w:r>
    </w:p>
    <w:p>
      <w:pPr>
        <w:snapToGrid w:val="0"/>
        <w:spacing w:before="156" w:beforeLines="50"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说明：绿色设计产品要求从产品全生命周期出发，从产品设计、原材料、生产、使用、废弃等阶段，考虑企业和产品的评价要求。因此，标准对产品包装材料和废物处理阶段做出了规定。</w:t>
      </w:r>
    </w:p>
    <w:p>
      <w:pPr>
        <w:snapToGrid w:val="0"/>
        <w:spacing w:before="156" w:beforeLines="50" w:line="360" w:lineRule="auto"/>
        <w:ind w:firstLine="482" w:firstLineChars="200"/>
        <w:rPr>
          <w:rFonts w:ascii="Times New Roman" w:hAnsi="Times New Roman" w:eastAsia="宋体" w:cs="Times New Roman"/>
          <w:b/>
          <w:color w:val="000000"/>
          <w:sz w:val="24"/>
          <w:szCs w:val="24"/>
        </w:rPr>
      </w:pPr>
      <w:r>
        <w:rPr>
          <w:rFonts w:hint="eastAsia" w:ascii="Times New Roman" w:hAnsi="Times New Roman" w:eastAsia="宋体" w:cs="Times New Roman"/>
          <w:b/>
          <w:color w:val="000000"/>
          <w:sz w:val="24"/>
          <w:szCs w:val="24"/>
        </w:rPr>
        <w:t>（9）</w:t>
      </w:r>
      <w:r>
        <w:rPr>
          <w:rFonts w:ascii="Times New Roman" w:hAnsi="Times New Roman" w:eastAsia="宋体" w:cs="Times New Roman"/>
          <w:b/>
          <w:color w:val="000000"/>
          <w:sz w:val="24"/>
          <w:szCs w:val="24"/>
        </w:rPr>
        <w:t xml:space="preserve"> </w:t>
      </w:r>
      <w:r>
        <w:rPr>
          <w:rFonts w:hint="eastAsia" w:ascii="Times New Roman" w:hAnsi="Times New Roman" w:eastAsia="宋体" w:cs="Times New Roman"/>
          <w:b/>
          <w:color w:val="000000"/>
          <w:sz w:val="24"/>
          <w:szCs w:val="24"/>
        </w:rPr>
        <w:t>产品说明书中应包含有害物质使用、需特殊处理材料及产品废弃后的有关循环利用的相关说明要求</w:t>
      </w:r>
    </w:p>
    <w:p>
      <w:pPr>
        <w:snapToGrid w:val="0"/>
        <w:spacing w:before="156" w:beforeLines="50"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说明：对于下游厂商和产品使用方，应明确说明使用和废弃处理阶段对于环境和人体健康的影响以及注意事项。</w:t>
      </w:r>
    </w:p>
    <w:p>
      <w:pPr>
        <w:pStyle w:val="4"/>
        <w:spacing w:before="0" w:after="0" w:line="360" w:lineRule="auto"/>
        <w:rPr>
          <w:rFonts w:ascii="Times New Roman" w:hAnsi="Times New Roman"/>
          <w:sz w:val="24"/>
          <w:szCs w:val="24"/>
        </w:rPr>
      </w:pPr>
      <w:bookmarkStart w:id="20" w:name="_Toc6997291"/>
      <w:r>
        <w:rPr>
          <w:rFonts w:hint="eastAsia" w:ascii="Times New Roman" w:hAnsi="Times New Roman"/>
          <w:sz w:val="24"/>
          <w:szCs w:val="24"/>
        </w:rPr>
        <w:t>4、评价指标要求</w:t>
      </w:r>
      <w:bookmarkEnd w:id="20"/>
    </w:p>
    <w:p>
      <w:pPr>
        <w:snapToGrid w:val="0"/>
        <w:spacing w:before="156" w:beforeLines="50"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根据G</w:t>
      </w:r>
      <w:r>
        <w:rPr>
          <w:rFonts w:ascii="Times New Roman" w:hAnsi="Times New Roman" w:eastAsia="宋体" w:cs="Times New Roman"/>
          <w:color w:val="000000"/>
          <w:sz w:val="24"/>
          <w:szCs w:val="24"/>
        </w:rPr>
        <w:t>B/T 32161</w:t>
      </w:r>
      <w:r>
        <w:rPr>
          <w:rFonts w:hint="eastAsia" w:ascii="Times New Roman" w:hAnsi="Times New Roman" w:eastAsia="宋体" w:cs="Times New Roman"/>
          <w:color w:val="000000"/>
          <w:sz w:val="24"/>
          <w:szCs w:val="24"/>
        </w:rPr>
        <w:t>生态设计产品评价通则的要求，电解铜箔产品的评价指标由一级指标和二级指标组成，从资源能源的消耗、以及对环境和人体健康造成影响的角度进行选取，包括资源属性指标、能源属性指标、环境属性指标和产品属性指标。其中资源属性指标选择铜损耗率；单位产品取水量、水重复利用率作为二级评价指标；能源属性指标选择单位产品综合能耗作为二级评价指标；产品属性指标选择产品纯度和重金属含量作为二级评价指标；环境属性选择废气中硫酸雾产生量，废水中重金属含量、危废处置率作为二级评价指标。</w:t>
      </w:r>
    </w:p>
    <w:p>
      <w:pPr>
        <w:snapToGrid w:val="0"/>
        <w:spacing w:before="156" w:beforeLines="50" w:line="360" w:lineRule="auto"/>
        <w:ind w:firstLine="482" w:firstLineChars="200"/>
        <w:rPr>
          <w:rFonts w:ascii="Times New Roman" w:hAnsi="Times New Roman" w:eastAsia="宋体" w:cs="Times New Roman"/>
          <w:b/>
          <w:color w:val="000000"/>
          <w:sz w:val="24"/>
          <w:szCs w:val="24"/>
        </w:rPr>
      </w:pPr>
      <w:r>
        <w:rPr>
          <w:rFonts w:hint="eastAsia" w:ascii="Times New Roman" w:hAnsi="Times New Roman" w:eastAsia="宋体" w:cs="Times New Roman"/>
          <w:b/>
          <w:color w:val="000000"/>
          <w:sz w:val="24"/>
          <w:szCs w:val="24"/>
        </w:rPr>
        <w:t>（1）铜损耗率</w:t>
      </w:r>
    </w:p>
    <w:p>
      <w:pPr>
        <w:snapToGrid w:val="0"/>
        <w:spacing w:before="156" w:beforeLines="50"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该指标在目前的产品标准中没有规定。本着绿色设计评价产品考虑原材料节约的原则，起草组决定增加此评价指标。主要企业调研数据（见表</w:t>
      </w:r>
      <w:r>
        <w:rPr>
          <w:rFonts w:ascii="Times New Roman" w:hAnsi="Times New Roman" w:eastAsia="宋体" w:cs="Times New Roman"/>
          <w:color w:val="000000"/>
          <w:sz w:val="24"/>
          <w:szCs w:val="24"/>
        </w:rPr>
        <w:t>4</w:t>
      </w:r>
      <w:r>
        <w:rPr>
          <w:rFonts w:hint="eastAsia" w:ascii="Times New Roman" w:hAnsi="Times New Roman" w:eastAsia="宋体" w:cs="Times New Roman"/>
          <w:color w:val="000000"/>
          <w:sz w:val="24"/>
          <w:szCs w:val="24"/>
        </w:rPr>
        <w:t>和表</w:t>
      </w:r>
      <w:r>
        <w:rPr>
          <w:rFonts w:ascii="Times New Roman" w:hAnsi="Times New Roman" w:eastAsia="宋体" w:cs="Times New Roman"/>
          <w:color w:val="000000"/>
          <w:sz w:val="24"/>
          <w:szCs w:val="24"/>
        </w:rPr>
        <w:t>5</w:t>
      </w:r>
      <w:r>
        <w:rPr>
          <w:rFonts w:hint="eastAsia" w:ascii="Times New Roman" w:hAnsi="Times New Roman" w:eastAsia="宋体" w:cs="Times New Roman"/>
          <w:color w:val="000000"/>
          <w:sz w:val="24"/>
          <w:szCs w:val="24"/>
        </w:rPr>
        <w:t>）显示，以一年数据为依据，大多数企业在生产过程中的铜损耗小于0</w:t>
      </w:r>
      <w:r>
        <w:rPr>
          <w:rFonts w:ascii="Times New Roman" w:hAnsi="Times New Roman" w:eastAsia="宋体" w:cs="Times New Roman"/>
          <w:color w:val="000000"/>
          <w:sz w:val="24"/>
          <w:szCs w:val="24"/>
        </w:rPr>
        <w:t>.5</w:t>
      </w:r>
      <w:r>
        <w:rPr>
          <w:rFonts w:hint="eastAsia" w:ascii="Times New Roman" w:hAnsi="Times New Roman" w:eastAsia="宋体" w:cs="Times New Roman"/>
          <w:color w:val="000000"/>
          <w:sz w:val="24"/>
          <w:szCs w:val="24"/>
        </w:rPr>
        <w:t>%。个别企业有例外。其中广东嘉元科技股份有限公司数据偏差较大，未纳入考虑范围。山东金都和山东金宝的原料铜用量数据是通过产品产量数据推算而来，数据不准确。通过起草组讨论，对铜损耗率定为</w:t>
      </w:r>
      <w:r>
        <w:rPr>
          <w:rFonts w:ascii="Times New Roman" w:hAnsi="Times New Roman" w:eastAsia="宋体" w:cs="Times New Roman"/>
          <w:color w:val="000000"/>
          <w:sz w:val="24"/>
          <w:szCs w:val="24"/>
        </w:rPr>
        <w:t>≤0.5</w:t>
      </w:r>
      <w:r>
        <w:rPr>
          <w:rFonts w:hint="eastAsia" w:ascii="Times New Roman" w:hAnsi="Times New Roman" w:eastAsia="宋体" w:cs="Times New Roman"/>
          <w:color w:val="000000"/>
          <w:sz w:val="24"/>
          <w:szCs w:val="24"/>
        </w:rPr>
        <w:t>%，并参考原材料综合利用率的计算方法，确定铜损耗率的计算方法。</w:t>
      </w:r>
    </w:p>
    <w:p>
      <w:pPr>
        <w:snapToGrid w:val="0"/>
        <w:spacing w:before="156" w:beforeLines="50" w:line="360" w:lineRule="auto"/>
        <w:ind w:firstLine="420" w:firstLineChars="200"/>
        <w:jc w:val="center"/>
        <w:rPr>
          <w:rFonts w:ascii="Times New Roman" w:hAnsi="Times New Roman" w:eastAsia="黑体" w:cs="Times New Roman"/>
          <w:color w:val="000000"/>
          <w:szCs w:val="21"/>
        </w:rPr>
      </w:pPr>
      <w:r>
        <w:rPr>
          <w:rFonts w:hint="eastAsia" w:ascii="Times New Roman" w:hAnsi="Times New Roman" w:eastAsia="黑体" w:cs="Times New Roman"/>
          <w:color w:val="000000"/>
          <w:szCs w:val="21"/>
        </w:rPr>
        <w:t>表4 主要企业铜耗损指标调研数据（锂电池电箔）</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3260"/>
        <w:gridCol w:w="1560"/>
        <w:gridCol w:w="1417"/>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04" w:type="dxa"/>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序号</w:t>
            </w:r>
          </w:p>
        </w:tc>
        <w:tc>
          <w:tcPr>
            <w:tcW w:w="3260" w:type="dxa"/>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企业名称</w:t>
            </w:r>
          </w:p>
        </w:tc>
        <w:tc>
          <w:tcPr>
            <w:tcW w:w="1560" w:type="dxa"/>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原料铜用量(</w:t>
            </w:r>
            <w:r>
              <w:rPr>
                <w:rFonts w:ascii="Times New Roman" w:hAnsi="Times New Roman" w:eastAsia="宋体" w:cs="Times New Roman"/>
                <w:color w:val="000000"/>
                <w:szCs w:val="21"/>
              </w:rPr>
              <w:t>t</w:t>
            </w:r>
            <w:r>
              <w:rPr>
                <w:rFonts w:hint="eastAsia" w:ascii="Times New Roman" w:hAnsi="Times New Roman" w:eastAsia="宋体" w:cs="Times New Roman"/>
                <w:color w:val="000000"/>
                <w:szCs w:val="21"/>
              </w:rPr>
              <w:t>)</w:t>
            </w:r>
          </w:p>
        </w:tc>
        <w:tc>
          <w:tcPr>
            <w:tcW w:w="1417" w:type="dxa"/>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产品产量(</w:t>
            </w:r>
            <w:r>
              <w:rPr>
                <w:rFonts w:ascii="Times New Roman" w:hAnsi="Times New Roman" w:eastAsia="宋体" w:cs="Times New Roman"/>
                <w:color w:val="000000"/>
                <w:szCs w:val="21"/>
              </w:rPr>
              <w:t>t)</w:t>
            </w:r>
          </w:p>
        </w:tc>
        <w:tc>
          <w:tcPr>
            <w:tcW w:w="1355" w:type="dxa"/>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铜耗损率(</w:t>
            </w:r>
            <w:r>
              <w:rPr>
                <w:rFonts w:ascii="Times New Roman" w:hAnsi="Times New Roman" w:eastAsia="宋体" w:cs="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25"/>
              <w:numPr>
                <w:ilvl w:val="0"/>
                <w:numId w:val="4"/>
              </w:numPr>
              <w:snapToGrid w:val="0"/>
              <w:ind w:firstLineChars="0"/>
              <w:jc w:val="center"/>
              <w:rPr>
                <w:rFonts w:ascii="Times New Roman" w:hAnsi="Times New Roman" w:eastAsia="宋体" w:cs="Times New Roman"/>
                <w:color w:val="000000"/>
                <w:szCs w:val="21"/>
              </w:rPr>
            </w:pPr>
          </w:p>
        </w:tc>
        <w:tc>
          <w:tcPr>
            <w:tcW w:w="3260" w:type="dxa"/>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铜陵市华创新材料有限公司</w:t>
            </w:r>
          </w:p>
        </w:tc>
        <w:tc>
          <w:tcPr>
            <w:tcW w:w="1560" w:type="dxa"/>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3765.79</w:t>
            </w:r>
          </w:p>
        </w:tc>
        <w:tc>
          <w:tcPr>
            <w:tcW w:w="1417" w:type="dxa"/>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3747.73</w:t>
            </w:r>
          </w:p>
        </w:tc>
        <w:tc>
          <w:tcPr>
            <w:tcW w:w="1355" w:type="dxa"/>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w:t>
            </w:r>
            <w:r>
              <w:rPr>
                <w:rFonts w:ascii="Times New Roman" w:hAnsi="Times New Roman" w:eastAsia="宋体" w:cs="Times New Roman"/>
                <w:color w:val="000000"/>
                <w:szCs w:val="21"/>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4" w:type="dxa"/>
          </w:tcPr>
          <w:p>
            <w:pPr>
              <w:pStyle w:val="25"/>
              <w:numPr>
                <w:ilvl w:val="0"/>
                <w:numId w:val="4"/>
              </w:numPr>
              <w:snapToGrid w:val="0"/>
              <w:ind w:firstLineChars="0"/>
              <w:jc w:val="center"/>
              <w:rPr>
                <w:rFonts w:ascii="Times New Roman" w:hAnsi="Times New Roman" w:eastAsia="宋体" w:cs="Times New Roman"/>
                <w:color w:val="000000"/>
                <w:szCs w:val="21"/>
              </w:rPr>
            </w:pPr>
          </w:p>
        </w:tc>
        <w:tc>
          <w:tcPr>
            <w:tcW w:w="3260" w:type="dxa"/>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圣达电气有限公司</w:t>
            </w:r>
          </w:p>
        </w:tc>
        <w:tc>
          <w:tcPr>
            <w:tcW w:w="1560" w:type="dxa"/>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7552.67</w:t>
            </w:r>
          </w:p>
        </w:tc>
        <w:tc>
          <w:tcPr>
            <w:tcW w:w="1417" w:type="dxa"/>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7532.53</w:t>
            </w:r>
          </w:p>
        </w:tc>
        <w:tc>
          <w:tcPr>
            <w:tcW w:w="1355" w:type="dxa"/>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w:t>
            </w:r>
            <w:r>
              <w:rPr>
                <w:rFonts w:ascii="Times New Roman" w:hAnsi="Times New Roman" w:eastAsia="宋体" w:cs="Times New Roman"/>
                <w:color w:val="000000"/>
                <w:szCs w:val="21"/>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04" w:type="dxa"/>
          </w:tcPr>
          <w:p>
            <w:pPr>
              <w:pStyle w:val="25"/>
              <w:numPr>
                <w:ilvl w:val="0"/>
                <w:numId w:val="4"/>
              </w:numPr>
              <w:snapToGrid w:val="0"/>
              <w:ind w:firstLineChars="0"/>
              <w:jc w:val="center"/>
              <w:rPr>
                <w:rFonts w:ascii="Times New Roman" w:hAnsi="Times New Roman" w:eastAsia="宋体" w:cs="Times New Roman"/>
                <w:color w:val="000000"/>
                <w:szCs w:val="21"/>
              </w:rPr>
            </w:pPr>
          </w:p>
        </w:tc>
        <w:tc>
          <w:tcPr>
            <w:tcW w:w="3260" w:type="dxa"/>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安徽铜冠铜箔有限公司</w:t>
            </w:r>
          </w:p>
        </w:tc>
        <w:tc>
          <w:tcPr>
            <w:tcW w:w="1560" w:type="dxa"/>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15080</w:t>
            </w:r>
          </w:p>
        </w:tc>
        <w:tc>
          <w:tcPr>
            <w:tcW w:w="1417" w:type="dxa"/>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15000</w:t>
            </w:r>
          </w:p>
        </w:tc>
        <w:tc>
          <w:tcPr>
            <w:tcW w:w="1355" w:type="dxa"/>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w:t>
            </w:r>
            <w:r>
              <w:rPr>
                <w:rFonts w:ascii="Times New Roman" w:hAnsi="Times New Roman" w:eastAsia="宋体" w:cs="Times New Roman"/>
                <w:color w:val="000000"/>
                <w:szCs w:val="21"/>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25"/>
              <w:numPr>
                <w:ilvl w:val="0"/>
                <w:numId w:val="4"/>
              </w:numPr>
              <w:snapToGrid w:val="0"/>
              <w:ind w:firstLineChars="0"/>
              <w:jc w:val="center"/>
              <w:rPr>
                <w:rFonts w:ascii="Times New Roman" w:hAnsi="Times New Roman" w:eastAsia="宋体" w:cs="Times New Roman"/>
                <w:color w:val="000000"/>
                <w:szCs w:val="21"/>
              </w:rPr>
            </w:pPr>
          </w:p>
        </w:tc>
        <w:tc>
          <w:tcPr>
            <w:tcW w:w="3260" w:type="dxa"/>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青海电子材料产业发展有限公司</w:t>
            </w:r>
          </w:p>
        </w:tc>
        <w:tc>
          <w:tcPr>
            <w:tcW w:w="1560" w:type="dxa"/>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16426.81</w:t>
            </w:r>
          </w:p>
        </w:tc>
        <w:tc>
          <w:tcPr>
            <w:tcW w:w="1417" w:type="dxa"/>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16494.64</w:t>
            </w:r>
          </w:p>
        </w:tc>
        <w:tc>
          <w:tcPr>
            <w:tcW w:w="1355" w:type="dxa"/>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w:t>
            </w:r>
            <w:r>
              <w:rPr>
                <w:rFonts w:ascii="Times New Roman" w:hAnsi="Times New Roman" w:eastAsia="宋体" w:cs="Times New Roman"/>
                <w:color w:val="000000"/>
                <w:szCs w:val="21"/>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25"/>
              <w:numPr>
                <w:ilvl w:val="0"/>
                <w:numId w:val="4"/>
              </w:numPr>
              <w:snapToGrid w:val="0"/>
              <w:ind w:firstLineChars="0"/>
              <w:jc w:val="center"/>
              <w:rPr>
                <w:rFonts w:ascii="Times New Roman" w:hAnsi="Times New Roman" w:eastAsia="宋体" w:cs="Times New Roman"/>
                <w:color w:val="000000"/>
                <w:szCs w:val="21"/>
              </w:rPr>
            </w:pPr>
          </w:p>
        </w:tc>
        <w:tc>
          <w:tcPr>
            <w:tcW w:w="3260" w:type="dxa"/>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广东嘉元科技股份有限公司</w:t>
            </w:r>
          </w:p>
        </w:tc>
        <w:tc>
          <w:tcPr>
            <w:tcW w:w="1560" w:type="dxa"/>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15650</w:t>
            </w:r>
          </w:p>
        </w:tc>
        <w:tc>
          <w:tcPr>
            <w:tcW w:w="1417" w:type="dxa"/>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14915.58</w:t>
            </w:r>
          </w:p>
        </w:tc>
        <w:tc>
          <w:tcPr>
            <w:tcW w:w="1355" w:type="dxa"/>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4</w:t>
            </w:r>
            <w:r>
              <w:rPr>
                <w:rFonts w:ascii="Times New Roman" w:hAnsi="Times New Roman" w:eastAsia="宋体" w:cs="Times New Roman"/>
                <w:color w:val="000000"/>
                <w:szCs w:val="21"/>
              </w:rPr>
              <w:t>.69</w:t>
            </w:r>
          </w:p>
        </w:tc>
      </w:tr>
    </w:tbl>
    <w:p>
      <w:pPr>
        <w:snapToGrid w:val="0"/>
        <w:spacing w:before="156" w:beforeLines="50"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注：调研数据均以企业2</w:t>
      </w:r>
      <w:r>
        <w:rPr>
          <w:rFonts w:ascii="Times New Roman" w:hAnsi="Times New Roman" w:eastAsia="宋体" w:cs="Times New Roman"/>
          <w:color w:val="000000"/>
          <w:sz w:val="24"/>
          <w:szCs w:val="24"/>
        </w:rPr>
        <w:t>018</w:t>
      </w:r>
      <w:r>
        <w:rPr>
          <w:rFonts w:hint="eastAsia" w:ascii="Times New Roman" w:hAnsi="Times New Roman" w:eastAsia="宋体" w:cs="Times New Roman"/>
          <w:color w:val="000000"/>
          <w:sz w:val="24"/>
          <w:szCs w:val="24"/>
        </w:rPr>
        <w:t>年数据为准，下同。</w:t>
      </w:r>
    </w:p>
    <w:p>
      <w:pPr>
        <w:snapToGrid w:val="0"/>
        <w:spacing w:before="156" w:beforeLines="50" w:line="360" w:lineRule="auto"/>
        <w:ind w:firstLine="420" w:firstLineChars="200"/>
        <w:jc w:val="center"/>
        <w:rPr>
          <w:rFonts w:ascii="Times New Roman" w:hAnsi="Times New Roman" w:eastAsia="黑体" w:cs="Times New Roman"/>
          <w:color w:val="000000"/>
          <w:szCs w:val="21"/>
        </w:rPr>
      </w:pPr>
      <w:r>
        <w:rPr>
          <w:rFonts w:hint="eastAsia" w:ascii="Times New Roman" w:hAnsi="Times New Roman" w:eastAsia="黑体" w:cs="Times New Roman"/>
          <w:color w:val="000000"/>
          <w:szCs w:val="21"/>
        </w:rPr>
        <w:t>表</w:t>
      </w:r>
      <w:r>
        <w:rPr>
          <w:rFonts w:ascii="Times New Roman" w:hAnsi="Times New Roman" w:eastAsia="黑体" w:cs="Times New Roman"/>
          <w:color w:val="000000"/>
          <w:szCs w:val="21"/>
        </w:rPr>
        <w:t xml:space="preserve">5 </w:t>
      </w:r>
      <w:r>
        <w:rPr>
          <w:rFonts w:hint="eastAsia" w:ascii="Times New Roman" w:hAnsi="Times New Roman" w:eastAsia="黑体" w:cs="Times New Roman"/>
          <w:color w:val="000000"/>
          <w:szCs w:val="21"/>
        </w:rPr>
        <w:t>主要企业铜耗损指标调研数据（印刷电路板电箔）</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3260"/>
        <w:gridCol w:w="1560"/>
        <w:gridCol w:w="1417"/>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04" w:type="dxa"/>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序号</w:t>
            </w:r>
          </w:p>
        </w:tc>
        <w:tc>
          <w:tcPr>
            <w:tcW w:w="3260" w:type="dxa"/>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企业名称</w:t>
            </w:r>
          </w:p>
        </w:tc>
        <w:tc>
          <w:tcPr>
            <w:tcW w:w="1560" w:type="dxa"/>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原料铜用量(</w:t>
            </w:r>
            <w:r>
              <w:rPr>
                <w:rFonts w:ascii="Times New Roman" w:hAnsi="Times New Roman" w:eastAsia="宋体" w:cs="Times New Roman"/>
                <w:color w:val="000000"/>
                <w:szCs w:val="21"/>
              </w:rPr>
              <w:t>t</w:t>
            </w:r>
            <w:r>
              <w:rPr>
                <w:rFonts w:hint="eastAsia" w:ascii="Times New Roman" w:hAnsi="Times New Roman" w:eastAsia="宋体" w:cs="Times New Roman"/>
                <w:color w:val="000000"/>
                <w:szCs w:val="21"/>
              </w:rPr>
              <w:t>)</w:t>
            </w:r>
          </w:p>
        </w:tc>
        <w:tc>
          <w:tcPr>
            <w:tcW w:w="1417" w:type="dxa"/>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产品产量(</w:t>
            </w:r>
            <w:r>
              <w:rPr>
                <w:rFonts w:ascii="Times New Roman" w:hAnsi="Times New Roman" w:eastAsia="宋体" w:cs="Times New Roman"/>
                <w:color w:val="000000"/>
                <w:szCs w:val="21"/>
              </w:rPr>
              <w:t>t)</w:t>
            </w:r>
          </w:p>
        </w:tc>
        <w:tc>
          <w:tcPr>
            <w:tcW w:w="1355" w:type="dxa"/>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铜耗损率(</w:t>
            </w:r>
            <w:r>
              <w:rPr>
                <w:rFonts w:ascii="Times New Roman" w:hAnsi="Times New Roman" w:eastAsia="宋体" w:cs="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25"/>
              <w:numPr>
                <w:ilvl w:val="0"/>
                <w:numId w:val="5"/>
              </w:numPr>
              <w:snapToGrid w:val="0"/>
              <w:ind w:firstLineChars="0"/>
              <w:jc w:val="center"/>
              <w:rPr>
                <w:rFonts w:ascii="Times New Roman" w:hAnsi="Times New Roman" w:eastAsia="宋体" w:cs="Times New Roman"/>
                <w:color w:val="000000"/>
                <w:szCs w:val="21"/>
              </w:rPr>
            </w:pPr>
          </w:p>
        </w:tc>
        <w:tc>
          <w:tcPr>
            <w:tcW w:w="3260" w:type="dxa"/>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江西省江铜耶兹铜箔有限公司</w:t>
            </w:r>
          </w:p>
        </w:tc>
        <w:tc>
          <w:tcPr>
            <w:tcW w:w="1560" w:type="dxa"/>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 xml:space="preserve">14973 </w:t>
            </w:r>
          </w:p>
        </w:tc>
        <w:tc>
          <w:tcPr>
            <w:tcW w:w="1417" w:type="dxa"/>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14925</w:t>
            </w:r>
          </w:p>
        </w:tc>
        <w:tc>
          <w:tcPr>
            <w:tcW w:w="1355" w:type="dxa"/>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w:t>
            </w:r>
            <w:r>
              <w:rPr>
                <w:rFonts w:ascii="Times New Roman" w:hAnsi="Times New Roman" w:eastAsia="宋体" w:cs="Times New Roman"/>
                <w:color w:val="000000"/>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25"/>
              <w:numPr>
                <w:ilvl w:val="0"/>
                <w:numId w:val="5"/>
              </w:numPr>
              <w:snapToGrid w:val="0"/>
              <w:ind w:firstLineChars="0"/>
              <w:jc w:val="center"/>
              <w:rPr>
                <w:rFonts w:ascii="Times New Roman" w:hAnsi="Times New Roman" w:eastAsia="宋体" w:cs="Times New Roman"/>
                <w:color w:val="000000"/>
                <w:szCs w:val="21"/>
              </w:rPr>
            </w:pPr>
          </w:p>
        </w:tc>
        <w:tc>
          <w:tcPr>
            <w:tcW w:w="3260" w:type="dxa"/>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安徽铜冠铜箔有限公司</w:t>
            </w:r>
          </w:p>
        </w:tc>
        <w:tc>
          <w:tcPr>
            <w:tcW w:w="1560" w:type="dxa"/>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22600</w:t>
            </w:r>
          </w:p>
        </w:tc>
        <w:tc>
          <w:tcPr>
            <w:tcW w:w="1417" w:type="dxa"/>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22500</w:t>
            </w:r>
          </w:p>
        </w:tc>
        <w:tc>
          <w:tcPr>
            <w:tcW w:w="1355" w:type="dxa"/>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w:t>
            </w:r>
            <w:r>
              <w:rPr>
                <w:rFonts w:ascii="Times New Roman" w:hAnsi="Times New Roman" w:eastAsia="宋体" w:cs="Times New Roman"/>
                <w:color w:val="000000"/>
                <w:szCs w:val="21"/>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25"/>
              <w:numPr>
                <w:ilvl w:val="0"/>
                <w:numId w:val="5"/>
              </w:numPr>
              <w:snapToGrid w:val="0"/>
              <w:ind w:firstLineChars="0"/>
              <w:jc w:val="center"/>
              <w:rPr>
                <w:rFonts w:ascii="Times New Roman" w:hAnsi="Times New Roman" w:eastAsia="宋体" w:cs="Times New Roman"/>
                <w:color w:val="000000"/>
                <w:szCs w:val="21"/>
              </w:rPr>
            </w:pPr>
          </w:p>
        </w:tc>
        <w:tc>
          <w:tcPr>
            <w:tcW w:w="3260" w:type="dxa"/>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山东金都电子材料股份有限公司</w:t>
            </w:r>
          </w:p>
        </w:tc>
        <w:tc>
          <w:tcPr>
            <w:tcW w:w="1560" w:type="dxa"/>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8180.75</w:t>
            </w:r>
          </w:p>
        </w:tc>
        <w:tc>
          <w:tcPr>
            <w:tcW w:w="1417" w:type="dxa"/>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8020.34</w:t>
            </w:r>
          </w:p>
        </w:tc>
        <w:tc>
          <w:tcPr>
            <w:tcW w:w="1355" w:type="dxa"/>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2（推算）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25"/>
              <w:numPr>
                <w:ilvl w:val="0"/>
                <w:numId w:val="5"/>
              </w:numPr>
              <w:snapToGrid w:val="0"/>
              <w:ind w:firstLineChars="0"/>
              <w:jc w:val="center"/>
              <w:rPr>
                <w:rFonts w:ascii="Times New Roman" w:hAnsi="Times New Roman" w:eastAsia="宋体" w:cs="Times New Roman"/>
                <w:color w:val="000000"/>
                <w:szCs w:val="21"/>
              </w:rPr>
            </w:pPr>
          </w:p>
        </w:tc>
        <w:tc>
          <w:tcPr>
            <w:tcW w:w="3260" w:type="dxa"/>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山东金宝电子股份有限公司</w:t>
            </w:r>
          </w:p>
        </w:tc>
        <w:tc>
          <w:tcPr>
            <w:tcW w:w="1560" w:type="dxa"/>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6848.64</w:t>
            </w:r>
          </w:p>
        </w:tc>
        <w:tc>
          <w:tcPr>
            <w:tcW w:w="1417" w:type="dxa"/>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6714.35</w:t>
            </w:r>
          </w:p>
        </w:tc>
        <w:tc>
          <w:tcPr>
            <w:tcW w:w="1355" w:type="dxa"/>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2（推算）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25"/>
              <w:numPr>
                <w:ilvl w:val="0"/>
                <w:numId w:val="5"/>
              </w:numPr>
              <w:snapToGrid w:val="0"/>
              <w:ind w:firstLineChars="0"/>
              <w:jc w:val="center"/>
              <w:rPr>
                <w:rFonts w:ascii="Times New Roman" w:hAnsi="Times New Roman" w:eastAsia="宋体" w:cs="Times New Roman"/>
                <w:color w:val="000000"/>
                <w:szCs w:val="21"/>
              </w:rPr>
            </w:pPr>
          </w:p>
        </w:tc>
        <w:tc>
          <w:tcPr>
            <w:tcW w:w="3260" w:type="dxa"/>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佛冈建滔实业有限公司</w:t>
            </w:r>
          </w:p>
        </w:tc>
        <w:tc>
          <w:tcPr>
            <w:tcW w:w="1560" w:type="dxa"/>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60000</w:t>
            </w:r>
          </w:p>
        </w:tc>
        <w:tc>
          <w:tcPr>
            <w:tcW w:w="1417" w:type="dxa"/>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60000</w:t>
            </w:r>
          </w:p>
        </w:tc>
        <w:tc>
          <w:tcPr>
            <w:tcW w:w="1355" w:type="dxa"/>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w:t>
            </w:r>
          </w:p>
        </w:tc>
      </w:tr>
    </w:tbl>
    <w:p>
      <w:pPr>
        <w:snapToGrid w:val="0"/>
        <w:spacing w:before="156" w:beforeLines="50" w:line="360" w:lineRule="auto"/>
        <w:ind w:firstLine="482" w:firstLineChars="200"/>
        <w:rPr>
          <w:rFonts w:ascii="Times New Roman" w:hAnsi="Times New Roman" w:eastAsia="宋体" w:cs="Times New Roman"/>
          <w:b/>
          <w:color w:val="000000"/>
          <w:sz w:val="24"/>
          <w:szCs w:val="24"/>
        </w:rPr>
      </w:pPr>
      <w:r>
        <w:rPr>
          <w:rFonts w:hint="eastAsia" w:ascii="Times New Roman" w:hAnsi="Times New Roman" w:eastAsia="宋体" w:cs="Times New Roman"/>
          <w:b/>
          <w:color w:val="000000"/>
          <w:sz w:val="24"/>
          <w:szCs w:val="24"/>
        </w:rPr>
        <w:t>（</w:t>
      </w:r>
      <w:r>
        <w:rPr>
          <w:rFonts w:ascii="Times New Roman" w:hAnsi="Times New Roman" w:eastAsia="宋体" w:cs="Times New Roman"/>
          <w:b/>
          <w:color w:val="000000"/>
          <w:sz w:val="24"/>
          <w:szCs w:val="24"/>
        </w:rPr>
        <w:t>2</w:t>
      </w:r>
      <w:r>
        <w:rPr>
          <w:rFonts w:hint="eastAsia" w:ascii="Times New Roman" w:hAnsi="Times New Roman" w:eastAsia="宋体" w:cs="Times New Roman"/>
          <w:b/>
          <w:color w:val="000000"/>
          <w:sz w:val="24"/>
          <w:szCs w:val="24"/>
        </w:rPr>
        <w:t>）水重复利用率</w:t>
      </w:r>
    </w:p>
    <w:p>
      <w:pPr>
        <w:snapToGrid w:val="0"/>
        <w:spacing w:before="156" w:beforeLines="50"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指标概念参考GB</w:t>
      </w:r>
      <w:r>
        <w:rPr>
          <w:rFonts w:ascii="Times New Roman" w:hAnsi="Times New Roman" w:eastAsia="宋体" w:cs="Times New Roman"/>
          <w:color w:val="000000"/>
          <w:sz w:val="24"/>
          <w:szCs w:val="24"/>
        </w:rPr>
        <w:t xml:space="preserve">/T21534 </w:t>
      </w:r>
      <w:r>
        <w:rPr>
          <w:rFonts w:hint="eastAsia" w:ascii="Times New Roman" w:hAnsi="Times New Roman" w:eastAsia="宋体" w:cs="Times New Roman"/>
          <w:color w:val="000000"/>
          <w:sz w:val="24"/>
          <w:szCs w:val="24"/>
        </w:rPr>
        <w:t>工业用水 节水 术语。因再生水利用是电解铜箔企业开始着重采取的环保措施之一，该指标能够引导企业进行技术改造、增加水处理设备，减少污染废水排放和新水用量。指标值依据企业调研的数据结果确定。</w:t>
      </w:r>
    </w:p>
    <w:p>
      <w:pPr>
        <w:snapToGrid w:val="0"/>
        <w:spacing w:before="156" w:beforeLines="50"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根据表</w:t>
      </w:r>
      <w:r>
        <w:rPr>
          <w:rFonts w:ascii="Times New Roman" w:hAnsi="Times New Roman" w:eastAsia="宋体" w:cs="Times New Roman"/>
          <w:color w:val="000000"/>
          <w:sz w:val="24"/>
          <w:szCs w:val="24"/>
        </w:rPr>
        <w:t>6</w:t>
      </w:r>
      <w:r>
        <w:rPr>
          <w:rFonts w:hint="eastAsia" w:ascii="Times New Roman" w:hAnsi="Times New Roman" w:eastAsia="宋体" w:cs="Times New Roman"/>
          <w:color w:val="000000"/>
          <w:sz w:val="24"/>
          <w:szCs w:val="24"/>
        </w:rPr>
        <w:t>和表</w:t>
      </w:r>
      <w:r>
        <w:rPr>
          <w:rFonts w:ascii="Times New Roman" w:hAnsi="Times New Roman" w:eastAsia="宋体" w:cs="Times New Roman"/>
          <w:color w:val="000000"/>
          <w:sz w:val="24"/>
          <w:szCs w:val="24"/>
        </w:rPr>
        <w:t>7</w:t>
      </w:r>
      <w:r>
        <w:rPr>
          <w:rFonts w:hint="eastAsia" w:ascii="Times New Roman" w:hAnsi="Times New Roman" w:eastAsia="宋体" w:cs="Times New Roman"/>
          <w:color w:val="000000"/>
          <w:sz w:val="24"/>
          <w:szCs w:val="24"/>
        </w:rPr>
        <w:t>的调研数据，无论锂电池电箔或印制电路板电箔的生产，绝大多数企业的水重复利用率在8</w:t>
      </w:r>
      <w:r>
        <w:rPr>
          <w:rFonts w:ascii="Times New Roman" w:hAnsi="Times New Roman" w:eastAsia="宋体" w:cs="Times New Roman"/>
          <w:color w:val="000000"/>
          <w:sz w:val="24"/>
          <w:szCs w:val="24"/>
        </w:rPr>
        <w:t>0</w:t>
      </w:r>
      <w:r>
        <w:rPr>
          <w:rFonts w:hint="eastAsia" w:ascii="Times New Roman" w:hAnsi="Times New Roman" w:eastAsia="宋体" w:cs="Times New Roman"/>
          <w:color w:val="000000"/>
          <w:sz w:val="24"/>
          <w:szCs w:val="24"/>
        </w:rPr>
        <w:t>%左右，其数据基本可信。但少部分企业（如广东嘉元、江铜耶兹的数据极高，佛冈建滔数据偏低）的数据可能由于统计口径不一致造成结果失真，因此未作为参考。</w:t>
      </w:r>
    </w:p>
    <w:p>
      <w:pPr>
        <w:snapToGrid w:val="0"/>
        <w:spacing w:before="156" w:beforeLines="50"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绿色评价标准本着执行行业先进水平，指导企业绿色提升的原则，将指标值定为≥</w:t>
      </w:r>
      <w:r>
        <w:rPr>
          <w:rFonts w:ascii="Times New Roman" w:hAnsi="Times New Roman" w:eastAsia="宋体" w:cs="Times New Roman"/>
          <w:color w:val="000000"/>
          <w:sz w:val="24"/>
          <w:szCs w:val="24"/>
        </w:rPr>
        <w:t>80</w:t>
      </w:r>
      <w:r>
        <w:rPr>
          <w:rFonts w:hint="eastAsia" w:ascii="Times New Roman" w:hAnsi="Times New Roman" w:eastAsia="宋体" w:cs="Times New Roman"/>
          <w:color w:val="000000"/>
          <w:sz w:val="24"/>
          <w:szCs w:val="24"/>
        </w:rPr>
        <w:t>%。</w:t>
      </w:r>
    </w:p>
    <w:p>
      <w:pPr>
        <w:snapToGrid w:val="0"/>
        <w:spacing w:before="156" w:beforeLines="50" w:line="360" w:lineRule="auto"/>
        <w:ind w:firstLine="420" w:firstLineChars="200"/>
        <w:jc w:val="center"/>
        <w:rPr>
          <w:rFonts w:ascii="Times New Roman" w:hAnsi="Times New Roman" w:eastAsia="黑体" w:cs="Times New Roman"/>
          <w:color w:val="000000"/>
          <w:szCs w:val="21"/>
        </w:rPr>
      </w:pPr>
      <w:r>
        <w:rPr>
          <w:rFonts w:hint="eastAsia" w:ascii="Times New Roman" w:hAnsi="Times New Roman" w:eastAsia="黑体" w:cs="Times New Roman"/>
          <w:color w:val="000000"/>
          <w:szCs w:val="21"/>
        </w:rPr>
        <w:t>表</w:t>
      </w:r>
      <w:r>
        <w:rPr>
          <w:rFonts w:ascii="Times New Roman" w:hAnsi="Times New Roman" w:eastAsia="黑体" w:cs="Times New Roman"/>
          <w:color w:val="000000"/>
          <w:szCs w:val="21"/>
        </w:rPr>
        <w:t xml:space="preserve">6 </w:t>
      </w:r>
      <w:r>
        <w:rPr>
          <w:rFonts w:hint="eastAsia" w:ascii="Times New Roman" w:hAnsi="Times New Roman" w:eastAsia="黑体" w:cs="Times New Roman"/>
          <w:color w:val="000000"/>
          <w:szCs w:val="21"/>
        </w:rPr>
        <w:t>主要企业水重复利用率调研数据（锂电池电箔）</w:t>
      </w:r>
    </w:p>
    <w:tbl>
      <w:tblPr>
        <w:tblStyle w:val="17"/>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3261"/>
        <w:gridCol w:w="1417"/>
        <w:gridCol w:w="170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序号</w:t>
            </w:r>
          </w:p>
        </w:tc>
        <w:tc>
          <w:tcPr>
            <w:tcW w:w="3261" w:type="dxa"/>
            <w:vAlign w:val="center"/>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企业名称</w:t>
            </w:r>
          </w:p>
        </w:tc>
        <w:tc>
          <w:tcPr>
            <w:tcW w:w="1417" w:type="dxa"/>
            <w:vAlign w:val="center"/>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新鲜水耗量（t）</w:t>
            </w:r>
          </w:p>
        </w:tc>
        <w:tc>
          <w:tcPr>
            <w:tcW w:w="1701" w:type="dxa"/>
            <w:vAlign w:val="center"/>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重复利用水量（t）</w:t>
            </w:r>
          </w:p>
        </w:tc>
        <w:tc>
          <w:tcPr>
            <w:tcW w:w="1418" w:type="dxa"/>
            <w:vAlign w:val="center"/>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水重复利用率（%）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pStyle w:val="25"/>
              <w:numPr>
                <w:ilvl w:val="0"/>
                <w:numId w:val="6"/>
              </w:numPr>
              <w:snapToGrid w:val="0"/>
              <w:ind w:firstLineChars="0"/>
              <w:jc w:val="center"/>
              <w:rPr>
                <w:rFonts w:ascii="Times New Roman" w:hAnsi="Times New Roman" w:eastAsia="宋体" w:cs="Times New Roman"/>
                <w:color w:val="000000"/>
                <w:szCs w:val="21"/>
              </w:rPr>
            </w:pPr>
          </w:p>
        </w:tc>
        <w:tc>
          <w:tcPr>
            <w:tcW w:w="3261" w:type="dxa"/>
            <w:vAlign w:val="center"/>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铜陵市华创新材料有限公司</w:t>
            </w:r>
          </w:p>
        </w:tc>
        <w:tc>
          <w:tcPr>
            <w:tcW w:w="1417" w:type="dxa"/>
            <w:vAlign w:val="center"/>
          </w:tcPr>
          <w:p>
            <w:pPr>
              <w:widowControl/>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122325</w:t>
            </w:r>
          </w:p>
        </w:tc>
        <w:tc>
          <w:tcPr>
            <w:tcW w:w="1701" w:type="dxa"/>
            <w:vAlign w:val="center"/>
          </w:tcPr>
          <w:p>
            <w:pPr>
              <w:widowControl/>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530000</w:t>
            </w:r>
          </w:p>
        </w:tc>
        <w:tc>
          <w:tcPr>
            <w:tcW w:w="1418" w:type="dxa"/>
            <w:vAlign w:val="center"/>
          </w:tcPr>
          <w:p>
            <w:pPr>
              <w:widowControl/>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81.2</w:t>
            </w:r>
            <w:r>
              <w:rPr>
                <w:rFonts w:ascii="Times New Roman" w:hAnsi="Times New Roman" w:eastAsia="宋体" w:cs="Times New Roman"/>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62" w:type="dxa"/>
            <w:vAlign w:val="center"/>
          </w:tcPr>
          <w:p>
            <w:pPr>
              <w:pStyle w:val="25"/>
              <w:numPr>
                <w:ilvl w:val="0"/>
                <w:numId w:val="6"/>
              </w:numPr>
              <w:snapToGrid w:val="0"/>
              <w:ind w:firstLineChars="0"/>
              <w:jc w:val="center"/>
              <w:rPr>
                <w:rFonts w:ascii="Times New Roman" w:hAnsi="Times New Roman" w:eastAsia="宋体" w:cs="Times New Roman"/>
                <w:color w:val="000000"/>
                <w:szCs w:val="21"/>
              </w:rPr>
            </w:pPr>
          </w:p>
        </w:tc>
        <w:tc>
          <w:tcPr>
            <w:tcW w:w="3261" w:type="dxa"/>
            <w:vAlign w:val="center"/>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圣达电气有限公司</w:t>
            </w:r>
          </w:p>
        </w:tc>
        <w:tc>
          <w:tcPr>
            <w:tcW w:w="1417" w:type="dxa"/>
            <w:vAlign w:val="center"/>
          </w:tcPr>
          <w:p>
            <w:pPr>
              <w:widowControl/>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90384</w:t>
            </w:r>
          </w:p>
        </w:tc>
        <w:tc>
          <w:tcPr>
            <w:tcW w:w="1701" w:type="dxa"/>
            <w:vAlign w:val="center"/>
          </w:tcPr>
          <w:p>
            <w:pPr>
              <w:widowControl/>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411749</w:t>
            </w:r>
          </w:p>
        </w:tc>
        <w:tc>
          <w:tcPr>
            <w:tcW w:w="1418" w:type="dxa"/>
            <w:vAlign w:val="center"/>
          </w:tcPr>
          <w:p>
            <w:pPr>
              <w:widowControl/>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82</w:t>
            </w:r>
            <w:r>
              <w:rPr>
                <w:rFonts w:ascii="Times New Roman" w:hAnsi="Times New Roman" w:eastAsia="宋体" w:cs="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pStyle w:val="25"/>
              <w:numPr>
                <w:ilvl w:val="0"/>
                <w:numId w:val="6"/>
              </w:numPr>
              <w:snapToGrid w:val="0"/>
              <w:ind w:firstLineChars="0"/>
              <w:jc w:val="center"/>
              <w:rPr>
                <w:rFonts w:ascii="Times New Roman" w:hAnsi="Times New Roman" w:eastAsia="宋体" w:cs="Times New Roman"/>
                <w:color w:val="000000"/>
                <w:szCs w:val="21"/>
              </w:rPr>
            </w:pPr>
          </w:p>
        </w:tc>
        <w:tc>
          <w:tcPr>
            <w:tcW w:w="3261" w:type="dxa"/>
            <w:vAlign w:val="center"/>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安徽铜冠铜箔有限公司</w:t>
            </w:r>
          </w:p>
        </w:tc>
        <w:tc>
          <w:tcPr>
            <w:tcW w:w="1417" w:type="dxa"/>
            <w:vAlign w:val="center"/>
          </w:tcPr>
          <w:p>
            <w:pPr>
              <w:widowControl/>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896100</w:t>
            </w:r>
          </w:p>
        </w:tc>
        <w:tc>
          <w:tcPr>
            <w:tcW w:w="1701" w:type="dxa"/>
            <w:vAlign w:val="center"/>
          </w:tcPr>
          <w:p>
            <w:pPr>
              <w:widowControl/>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3525090</w:t>
            </w:r>
          </w:p>
        </w:tc>
        <w:tc>
          <w:tcPr>
            <w:tcW w:w="1418" w:type="dxa"/>
            <w:vAlign w:val="center"/>
          </w:tcPr>
          <w:p>
            <w:pPr>
              <w:widowControl/>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79</w:t>
            </w:r>
            <w:r>
              <w:rPr>
                <w:rFonts w:ascii="Times New Roman" w:hAnsi="Times New Roman" w:eastAsia="宋体" w:cs="Times New Roman"/>
                <w:color w:val="000000"/>
                <w:szCs w:val="21"/>
              </w:rPr>
              <w:t>.</w:t>
            </w:r>
            <w:r>
              <w:rPr>
                <w:rFonts w:hint="eastAsia" w:ascii="Times New Roman" w:hAnsi="Times New Roman" w:eastAsia="宋体" w:cs="Times New Roman"/>
                <w:color w:val="000000"/>
                <w:szCs w:val="21"/>
              </w:rPr>
              <w:t>73</w:t>
            </w:r>
            <w:r>
              <w:rPr>
                <w:rFonts w:ascii="Times New Roman" w:hAnsi="Times New Roman" w:eastAsia="宋体" w:cs="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pStyle w:val="25"/>
              <w:numPr>
                <w:ilvl w:val="0"/>
                <w:numId w:val="6"/>
              </w:numPr>
              <w:snapToGrid w:val="0"/>
              <w:ind w:firstLineChars="0"/>
              <w:jc w:val="center"/>
              <w:rPr>
                <w:rFonts w:ascii="Times New Roman" w:hAnsi="Times New Roman" w:eastAsia="宋体" w:cs="Times New Roman"/>
                <w:color w:val="000000"/>
                <w:szCs w:val="21"/>
              </w:rPr>
            </w:pPr>
          </w:p>
        </w:tc>
        <w:tc>
          <w:tcPr>
            <w:tcW w:w="3261" w:type="dxa"/>
            <w:vAlign w:val="center"/>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青海电子材料产业发展有限公司</w:t>
            </w:r>
          </w:p>
        </w:tc>
        <w:tc>
          <w:tcPr>
            <w:tcW w:w="1417" w:type="dxa"/>
            <w:vAlign w:val="center"/>
          </w:tcPr>
          <w:p>
            <w:pPr>
              <w:widowControl/>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1031576</w:t>
            </w:r>
          </w:p>
        </w:tc>
        <w:tc>
          <w:tcPr>
            <w:tcW w:w="1701" w:type="dxa"/>
            <w:vAlign w:val="center"/>
          </w:tcPr>
          <w:p>
            <w:pPr>
              <w:widowControl/>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8252608</w:t>
            </w:r>
          </w:p>
        </w:tc>
        <w:tc>
          <w:tcPr>
            <w:tcW w:w="1418" w:type="dxa"/>
            <w:vAlign w:val="center"/>
          </w:tcPr>
          <w:p>
            <w:pPr>
              <w:widowControl/>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79.6</w:t>
            </w:r>
            <w:r>
              <w:rPr>
                <w:rFonts w:ascii="Times New Roman" w:hAnsi="Times New Roman" w:eastAsia="宋体" w:cs="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pStyle w:val="25"/>
              <w:numPr>
                <w:ilvl w:val="0"/>
                <w:numId w:val="6"/>
              </w:numPr>
              <w:snapToGrid w:val="0"/>
              <w:ind w:firstLineChars="0"/>
              <w:jc w:val="center"/>
              <w:rPr>
                <w:rFonts w:ascii="Times New Roman" w:hAnsi="Times New Roman" w:eastAsia="宋体" w:cs="Times New Roman"/>
                <w:color w:val="000000"/>
                <w:szCs w:val="21"/>
              </w:rPr>
            </w:pPr>
          </w:p>
        </w:tc>
        <w:tc>
          <w:tcPr>
            <w:tcW w:w="3261" w:type="dxa"/>
            <w:vAlign w:val="center"/>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广东嘉元科技股份有限公司</w:t>
            </w:r>
          </w:p>
        </w:tc>
        <w:tc>
          <w:tcPr>
            <w:tcW w:w="1417"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14704</w:t>
            </w:r>
          </w:p>
        </w:tc>
        <w:tc>
          <w:tcPr>
            <w:tcW w:w="1701"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1491501</w:t>
            </w:r>
          </w:p>
        </w:tc>
        <w:tc>
          <w:tcPr>
            <w:tcW w:w="1418" w:type="dxa"/>
            <w:vAlign w:val="center"/>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9</w:t>
            </w:r>
            <w:r>
              <w:rPr>
                <w:rFonts w:ascii="Times New Roman" w:hAnsi="Times New Roman" w:eastAsia="宋体" w:cs="Times New Roman"/>
                <w:color w:val="000000"/>
                <w:szCs w:val="21"/>
              </w:rPr>
              <w:t>9</w:t>
            </w:r>
          </w:p>
        </w:tc>
      </w:tr>
    </w:tbl>
    <w:p>
      <w:pPr>
        <w:snapToGrid w:val="0"/>
        <w:spacing w:before="156" w:beforeLines="50" w:line="360" w:lineRule="auto"/>
        <w:ind w:firstLine="420" w:firstLineChars="200"/>
        <w:jc w:val="center"/>
        <w:rPr>
          <w:rFonts w:ascii="Times New Roman" w:hAnsi="Times New Roman" w:eastAsia="黑体" w:cs="Times New Roman"/>
          <w:color w:val="000000"/>
          <w:szCs w:val="21"/>
        </w:rPr>
      </w:pPr>
      <w:r>
        <w:rPr>
          <w:rFonts w:hint="eastAsia" w:ascii="Times New Roman" w:hAnsi="Times New Roman" w:eastAsia="黑体" w:cs="Times New Roman"/>
          <w:color w:val="000000"/>
          <w:szCs w:val="21"/>
        </w:rPr>
        <w:t>表</w:t>
      </w:r>
      <w:r>
        <w:rPr>
          <w:rFonts w:ascii="Times New Roman" w:hAnsi="Times New Roman" w:eastAsia="黑体" w:cs="Times New Roman"/>
          <w:color w:val="000000"/>
          <w:szCs w:val="21"/>
        </w:rPr>
        <w:t xml:space="preserve">7 </w:t>
      </w:r>
      <w:r>
        <w:rPr>
          <w:rFonts w:hint="eastAsia" w:ascii="Times New Roman" w:hAnsi="Times New Roman" w:eastAsia="黑体" w:cs="Times New Roman"/>
          <w:color w:val="000000"/>
          <w:szCs w:val="21"/>
        </w:rPr>
        <w:t>主要企业水重复利用率调研数据（印刷电路板用电箔）</w:t>
      </w:r>
    </w:p>
    <w:tbl>
      <w:tblPr>
        <w:tblStyle w:val="17"/>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3261"/>
        <w:gridCol w:w="1417"/>
        <w:gridCol w:w="170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序号</w:t>
            </w:r>
          </w:p>
        </w:tc>
        <w:tc>
          <w:tcPr>
            <w:tcW w:w="3261" w:type="dxa"/>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企业名称</w:t>
            </w:r>
          </w:p>
        </w:tc>
        <w:tc>
          <w:tcPr>
            <w:tcW w:w="1417" w:type="dxa"/>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新鲜水耗量（t）</w:t>
            </w:r>
          </w:p>
        </w:tc>
        <w:tc>
          <w:tcPr>
            <w:tcW w:w="1701" w:type="dxa"/>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重复利用水量（t）</w:t>
            </w:r>
          </w:p>
        </w:tc>
        <w:tc>
          <w:tcPr>
            <w:tcW w:w="1418" w:type="dxa"/>
          </w:tcPr>
          <w:p>
            <w:pPr>
              <w:snapToGrid w:val="0"/>
              <w:jc w:val="center"/>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水重复利用率（%）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pStyle w:val="25"/>
              <w:numPr>
                <w:ilvl w:val="0"/>
                <w:numId w:val="7"/>
              </w:numPr>
              <w:snapToGrid w:val="0"/>
              <w:ind w:firstLineChars="0"/>
              <w:jc w:val="center"/>
              <w:rPr>
                <w:rFonts w:ascii="Times New Roman" w:hAnsi="Times New Roman" w:eastAsia="宋体" w:cs="Times New Roman"/>
                <w:color w:val="000000"/>
                <w:szCs w:val="21"/>
              </w:rPr>
            </w:pPr>
          </w:p>
        </w:tc>
        <w:tc>
          <w:tcPr>
            <w:tcW w:w="3261" w:type="dxa"/>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山东金都电子材料股份有限公司</w:t>
            </w:r>
          </w:p>
        </w:tc>
        <w:tc>
          <w:tcPr>
            <w:tcW w:w="1417" w:type="dxa"/>
          </w:tcPr>
          <w:p>
            <w:pPr>
              <w:widowControl/>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257380</w:t>
            </w:r>
          </w:p>
        </w:tc>
        <w:tc>
          <w:tcPr>
            <w:tcW w:w="1701" w:type="dxa"/>
          </w:tcPr>
          <w:p>
            <w:pPr>
              <w:widowControl/>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1128351</w:t>
            </w:r>
          </w:p>
        </w:tc>
        <w:tc>
          <w:tcPr>
            <w:tcW w:w="1418" w:type="dxa"/>
          </w:tcPr>
          <w:p>
            <w:pPr>
              <w:widowControl/>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pStyle w:val="25"/>
              <w:numPr>
                <w:ilvl w:val="0"/>
                <w:numId w:val="7"/>
              </w:numPr>
              <w:snapToGrid w:val="0"/>
              <w:ind w:firstLineChars="0"/>
              <w:jc w:val="center"/>
              <w:rPr>
                <w:rFonts w:ascii="Times New Roman" w:hAnsi="Times New Roman" w:eastAsia="宋体" w:cs="Times New Roman"/>
                <w:color w:val="000000"/>
                <w:szCs w:val="21"/>
              </w:rPr>
            </w:pPr>
          </w:p>
        </w:tc>
        <w:tc>
          <w:tcPr>
            <w:tcW w:w="3261" w:type="dxa"/>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山东金宝电子股份有限公司</w:t>
            </w:r>
          </w:p>
        </w:tc>
        <w:tc>
          <w:tcPr>
            <w:tcW w:w="1417" w:type="dxa"/>
          </w:tcPr>
          <w:p>
            <w:pPr>
              <w:widowControl/>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136963</w:t>
            </w:r>
          </w:p>
        </w:tc>
        <w:tc>
          <w:tcPr>
            <w:tcW w:w="1701" w:type="dxa"/>
          </w:tcPr>
          <w:p>
            <w:pPr>
              <w:widowControl/>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611420</w:t>
            </w:r>
          </w:p>
        </w:tc>
        <w:tc>
          <w:tcPr>
            <w:tcW w:w="1418" w:type="dxa"/>
          </w:tcPr>
          <w:p>
            <w:pPr>
              <w:widowControl/>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81</w:t>
            </w:r>
            <w:r>
              <w:rPr>
                <w:rFonts w:ascii="Times New Roman" w:hAnsi="Times New Roman" w:eastAsia="宋体" w:cs="Times New Roman"/>
                <w:color w:val="00000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pStyle w:val="25"/>
              <w:numPr>
                <w:ilvl w:val="0"/>
                <w:numId w:val="7"/>
              </w:numPr>
              <w:snapToGrid w:val="0"/>
              <w:ind w:firstLineChars="0"/>
              <w:jc w:val="center"/>
              <w:rPr>
                <w:rFonts w:ascii="Times New Roman" w:hAnsi="Times New Roman" w:eastAsia="宋体" w:cs="Times New Roman"/>
                <w:color w:val="000000"/>
                <w:szCs w:val="21"/>
              </w:rPr>
            </w:pPr>
          </w:p>
        </w:tc>
        <w:tc>
          <w:tcPr>
            <w:tcW w:w="3261" w:type="dxa"/>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安徽铜冠铜箔有限公司</w:t>
            </w:r>
          </w:p>
        </w:tc>
        <w:tc>
          <w:tcPr>
            <w:tcW w:w="1417" w:type="dxa"/>
          </w:tcPr>
          <w:p>
            <w:pPr>
              <w:widowControl/>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1344260</w:t>
            </w:r>
          </w:p>
        </w:tc>
        <w:tc>
          <w:tcPr>
            <w:tcW w:w="1701" w:type="dxa"/>
          </w:tcPr>
          <w:p>
            <w:pPr>
              <w:widowControl/>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5287633</w:t>
            </w:r>
          </w:p>
        </w:tc>
        <w:tc>
          <w:tcPr>
            <w:tcW w:w="1418" w:type="dxa"/>
          </w:tcPr>
          <w:p>
            <w:pPr>
              <w:widowControl/>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79</w:t>
            </w:r>
            <w:r>
              <w:rPr>
                <w:rFonts w:ascii="Times New Roman" w:hAnsi="Times New Roman" w:eastAsia="宋体" w:cs="Times New Roman"/>
                <w:color w:val="000000"/>
                <w:szCs w:val="21"/>
              </w:rPr>
              <w:t>.</w:t>
            </w:r>
            <w:r>
              <w:rPr>
                <w:rFonts w:hint="eastAsia" w:ascii="Times New Roman" w:hAnsi="Times New Roman" w:eastAsia="宋体" w:cs="Times New Roman"/>
                <w:color w:val="000000"/>
                <w:szCs w:val="21"/>
              </w:rPr>
              <w:t>73</w:t>
            </w:r>
            <w:r>
              <w:rPr>
                <w:rFonts w:ascii="Times New Roman" w:hAnsi="Times New Roman" w:eastAsia="宋体" w:cs="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pStyle w:val="25"/>
              <w:numPr>
                <w:ilvl w:val="0"/>
                <w:numId w:val="7"/>
              </w:numPr>
              <w:snapToGrid w:val="0"/>
              <w:ind w:firstLineChars="0"/>
              <w:jc w:val="center"/>
              <w:rPr>
                <w:rFonts w:ascii="Times New Roman" w:hAnsi="Times New Roman" w:eastAsia="宋体" w:cs="Times New Roman"/>
                <w:color w:val="000000"/>
                <w:szCs w:val="21"/>
              </w:rPr>
            </w:pPr>
          </w:p>
        </w:tc>
        <w:tc>
          <w:tcPr>
            <w:tcW w:w="3261" w:type="dxa"/>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江西省江铜耶兹铜箔有限公司</w:t>
            </w:r>
          </w:p>
        </w:tc>
        <w:tc>
          <w:tcPr>
            <w:tcW w:w="1417" w:type="dxa"/>
          </w:tcPr>
          <w:p>
            <w:pPr>
              <w:widowControl/>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266945</w:t>
            </w:r>
          </w:p>
        </w:tc>
        <w:tc>
          <w:tcPr>
            <w:tcW w:w="1701" w:type="dxa"/>
          </w:tcPr>
          <w:p>
            <w:pPr>
              <w:widowControl/>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32594596</w:t>
            </w:r>
          </w:p>
        </w:tc>
        <w:tc>
          <w:tcPr>
            <w:tcW w:w="1418" w:type="dxa"/>
          </w:tcPr>
          <w:p>
            <w:pPr>
              <w:widowControl/>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99</w:t>
            </w:r>
            <w:r>
              <w:rPr>
                <w:rFonts w:ascii="Times New Roman" w:hAnsi="Times New Roman" w:eastAsia="宋体" w:cs="Times New Roman"/>
                <w:color w:val="000000"/>
                <w:szCs w:val="21"/>
              </w:rPr>
              <w:t>.</w:t>
            </w:r>
            <w:r>
              <w:rPr>
                <w:rFonts w:hint="eastAsia" w:ascii="Times New Roman" w:hAnsi="Times New Roman" w:eastAsia="宋体" w:cs="Times New Roman"/>
                <w:color w:val="000000"/>
                <w:szCs w:val="21"/>
              </w:rPr>
              <w:t>1</w:t>
            </w:r>
            <w:r>
              <w:rPr>
                <w:rFonts w:ascii="Times New Roman" w:hAnsi="Times New Roman" w:eastAsia="宋体" w:cs="Times New Roman"/>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pStyle w:val="25"/>
              <w:numPr>
                <w:ilvl w:val="0"/>
                <w:numId w:val="7"/>
              </w:numPr>
              <w:snapToGrid w:val="0"/>
              <w:ind w:firstLineChars="0"/>
              <w:jc w:val="center"/>
              <w:rPr>
                <w:rFonts w:ascii="Times New Roman" w:hAnsi="Times New Roman" w:eastAsia="宋体" w:cs="Times New Roman"/>
                <w:color w:val="000000"/>
                <w:szCs w:val="21"/>
              </w:rPr>
            </w:pPr>
          </w:p>
        </w:tc>
        <w:tc>
          <w:tcPr>
            <w:tcW w:w="3261" w:type="dxa"/>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佛冈建滔实业有限公司</w:t>
            </w:r>
          </w:p>
        </w:tc>
        <w:tc>
          <w:tcPr>
            <w:tcW w:w="1417" w:type="dxa"/>
          </w:tcPr>
          <w:p>
            <w:pPr>
              <w:widowControl/>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3480000</w:t>
            </w:r>
          </w:p>
        </w:tc>
        <w:tc>
          <w:tcPr>
            <w:tcW w:w="1701" w:type="dxa"/>
          </w:tcPr>
          <w:p>
            <w:pPr>
              <w:widowControl/>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2860000</w:t>
            </w:r>
          </w:p>
        </w:tc>
        <w:tc>
          <w:tcPr>
            <w:tcW w:w="1418" w:type="dxa"/>
          </w:tcPr>
          <w:p>
            <w:pPr>
              <w:widowControl/>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45%</w:t>
            </w:r>
          </w:p>
        </w:tc>
      </w:tr>
    </w:tbl>
    <w:p>
      <w:pPr>
        <w:snapToGrid w:val="0"/>
        <w:spacing w:before="156" w:beforeLines="50" w:line="360" w:lineRule="auto"/>
        <w:ind w:firstLine="482" w:firstLineChars="200"/>
        <w:rPr>
          <w:rFonts w:ascii="Times New Roman" w:hAnsi="Times New Roman" w:eastAsia="宋体" w:cs="Times New Roman"/>
          <w:b/>
          <w:color w:val="000000"/>
          <w:sz w:val="24"/>
          <w:szCs w:val="24"/>
        </w:rPr>
      </w:pPr>
      <w:r>
        <w:rPr>
          <w:rFonts w:hint="eastAsia" w:ascii="Times New Roman" w:hAnsi="Times New Roman" w:eastAsia="宋体" w:cs="Times New Roman"/>
          <w:b/>
          <w:color w:val="000000"/>
          <w:sz w:val="24"/>
          <w:szCs w:val="24"/>
        </w:rPr>
        <w:t>（</w:t>
      </w:r>
      <w:r>
        <w:rPr>
          <w:rFonts w:ascii="Times New Roman" w:hAnsi="Times New Roman" w:eastAsia="宋体" w:cs="Times New Roman"/>
          <w:b/>
          <w:color w:val="000000"/>
          <w:sz w:val="24"/>
          <w:szCs w:val="24"/>
        </w:rPr>
        <w:t>3</w:t>
      </w:r>
      <w:r>
        <w:rPr>
          <w:rFonts w:hint="eastAsia" w:ascii="Times New Roman" w:hAnsi="Times New Roman" w:eastAsia="宋体" w:cs="Times New Roman"/>
          <w:b/>
          <w:color w:val="000000"/>
          <w:sz w:val="24"/>
          <w:szCs w:val="24"/>
        </w:rPr>
        <w:t>）单位产品综合能耗</w:t>
      </w:r>
    </w:p>
    <w:p>
      <w:pPr>
        <w:snapToGrid w:val="0"/>
        <w:spacing w:before="156" w:beforeLines="50"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GB/T2589和GB/T12723对单位产品综合能耗的计算方法做出了规定，经调研，目前对电解铜箔行业，没有相关的能耗限额标准。根据企业调研的能耗数据（见表</w:t>
      </w:r>
      <w:r>
        <w:rPr>
          <w:rFonts w:ascii="Times New Roman" w:hAnsi="Times New Roman" w:eastAsia="宋体" w:cs="Times New Roman"/>
          <w:color w:val="000000"/>
          <w:sz w:val="24"/>
          <w:szCs w:val="24"/>
        </w:rPr>
        <w:t>8</w:t>
      </w:r>
      <w:r>
        <w:rPr>
          <w:rFonts w:hint="eastAsia" w:ascii="Times New Roman" w:hAnsi="Times New Roman" w:eastAsia="宋体" w:cs="Times New Roman"/>
          <w:color w:val="000000"/>
          <w:sz w:val="24"/>
          <w:szCs w:val="24"/>
        </w:rPr>
        <w:t>），企业的单位产品综合能耗多集中在0</w:t>
      </w:r>
      <w:r>
        <w:rPr>
          <w:rFonts w:ascii="Times New Roman" w:hAnsi="Times New Roman" w:eastAsia="宋体" w:cs="Times New Roman"/>
          <w:color w:val="000000"/>
          <w:sz w:val="24"/>
          <w:szCs w:val="24"/>
        </w:rPr>
        <w:t>.97</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1.46</w:t>
      </w:r>
      <w:r>
        <w:rPr>
          <w:rFonts w:hint="eastAsia" w:ascii="Times New Roman" w:hAnsi="Times New Roman" w:eastAsia="宋体" w:cs="Times New Roman"/>
          <w:color w:val="000000"/>
          <w:sz w:val="24"/>
          <w:szCs w:val="24"/>
        </w:rPr>
        <w:t>tce</w:t>
      </w:r>
      <w:r>
        <w:rPr>
          <w:rFonts w:ascii="Times New Roman" w:hAnsi="Times New Roman" w:eastAsia="宋体" w:cs="Times New Roman"/>
          <w:color w:val="000000"/>
          <w:sz w:val="24"/>
          <w:szCs w:val="24"/>
        </w:rPr>
        <w:t>/t</w:t>
      </w:r>
      <w:r>
        <w:rPr>
          <w:rFonts w:hint="eastAsia" w:ascii="Times New Roman" w:hAnsi="Times New Roman" w:eastAsia="宋体" w:cs="Times New Roman"/>
          <w:color w:val="000000"/>
          <w:sz w:val="24"/>
          <w:szCs w:val="24"/>
        </w:rPr>
        <w:t>，平均值为1</w:t>
      </w:r>
      <w:r>
        <w:rPr>
          <w:rFonts w:ascii="Times New Roman" w:hAnsi="Times New Roman" w:eastAsia="宋体" w:cs="Times New Roman"/>
          <w:color w:val="000000"/>
          <w:sz w:val="24"/>
          <w:szCs w:val="24"/>
        </w:rPr>
        <w:t>.22</w:t>
      </w:r>
      <w:r>
        <w:rPr>
          <w:rFonts w:hint="eastAsia" w:ascii="Times New Roman" w:hAnsi="Times New Roman" w:eastAsia="宋体" w:cs="Times New Roman"/>
          <w:color w:val="000000"/>
          <w:sz w:val="24"/>
          <w:szCs w:val="24"/>
        </w:rPr>
        <w:t>tce</w:t>
      </w:r>
      <w:r>
        <w:rPr>
          <w:rFonts w:ascii="Times New Roman" w:hAnsi="Times New Roman" w:eastAsia="宋体" w:cs="Times New Roman"/>
          <w:color w:val="000000"/>
          <w:sz w:val="24"/>
          <w:szCs w:val="24"/>
        </w:rPr>
        <w:t>/t</w:t>
      </w:r>
      <w:r>
        <w:rPr>
          <w:rFonts w:hint="eastAsia" w:ascii="Times New Roman" w:hAnsi="Times New Roman" w:eastAsia="宋体" w:cs="Times New Roman"/>
          <w:color w:val="000000"/>
          <w:sz w:val="24"/>
          <w:szCs w:val="24"/>
        </w:rPr>
        <w:t>。本着绿色设计产品执行行业先进水平的原则，确定指标值为</w:t>
      </w:r>
      <w:r>
        <w:rPr>
          <w:rFonts w:ascii="Times New Roman" w:hAnsi="Times New Roman" w:eastAsia="宋体" w:cs="Times New Roman"/>
          <w:color w:val="000000"/>
          <w:sz w:val="24"/>
          <w:szCs w:val="24"/>
        </w:rPr>
        <w:t>≤1.2</w:t>
      </w:r>
      <w:r>
        <w:rPr>
          <w:rFonts w:hint="eastAsia" w:ascii="Times New Roman" w:hAnsi="Times New Roman" w:eastAsia="宋体" w:cs="Times New Roman"/>
          <w:color w:val="000000"/>
          <w:sz w:val="24"/>
          <w:szCs w:val="24"/>
        </w:rPr>
        <w:t>t</w:t>
      </w:r>
      <w:r>
        <w:rPr>
          <w:rFonts w:ascii="Times New Roman" w:hAnsi="Times New Roman" w:eastAsia="宋体" w:cs="Times New Roman"/>
          <w:color w:val="000000"/>
          <w:sz w:val="24"/>
          <w:szCs w:val="24"/>
        </w:rPr>
        <w:t>ce/t</w:t>
      </w:r>
      <w:r>
        <w:rPr>
          <w:rFonts w:hint="eastAsia" w:ascii="Times New Roman" w:hAnsi="Times New Roman" w:eastAsia="宋体" w:cs="Times New Roman"/>
          <w:color w:val="000000"/>
          <w:sz w:val="24"/>
          <w:szCs w:val="24"/>
        </w:rPr>
        <w:t>。</w:t>
      </w:r>
    </w:p>
    <w:p>
      <w:pPr>
        <w:snapToGrid w:val="0"/>
        <w:spacing w:before="156" w:beforeLines="50" w:line="360" w:lineRule="auto"/>
        <w:ind w:firstLine="420" w:firstLineChars="200"/>
        <w:jc w:val="center"/>
        <w:rPr>
          <w:rFonts w:ascii="Times New Roman" w:hAnsi="Times New Roman" w:eastAsia="黑体" w:cs="Times New Roman"/>
          <w:color w:val="000000"/>
          <w:szCs w:val="21"/>
        </w:rPr>
      </w:pPr>
      <w:r>
        <w:rPr>
          <w:rFonts w:hint="eastAsia" w:ascii="Times New Roman" w:hAnsi="Times New Roman" w:eastAsia="黑体" w:cs="Times New Roman"/>
          <w:color w:val="000000"/>
          <w:szCs w:val="21"/>
        </w:rPr>
        <w:t>表</w:t>
      </w:r>
      <w:r>
        <w:rPr>
          <w:rFonts w:ascii="Times New Roman" w:hAnsi="Times New Roman" w:eastAsia="黑体" w:cs="Times New Roman"/>
          <w:color w:val="000000"/>
          <w:szCs w:val="21"/>
        </w:rPr>
        <w:t xml:space="preserve">8 </w:t>
      </w:r>
      <w:r>
        <w:rPr>
          <w:rFonts w:hint="eastAsia" w:ascii="Times New Roman" w:hAnsi="Times New Roman" w:eastAsia="黑体" w:cs="Times New Roman"/>
          <w:color w:val="000000"/>
          <w:szCs w:val="21"/>
        </w:rPr>
        <w:t>主要企业单位产品综合能耗调研数据</w:t>
      </w:r>
    </w:p>
    <w:tbl>
      <w:tblPr>
        <w:tblStyle w:val="17"/>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3402"/>
        <w:gridCol w:w="1701"/>
        <w:gridCol w:w="141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序号</w:t>
            </w:r>
          </w:p>
        </w:tc>
        <w:tc>
          <w:tcPr>
            <w:tcW w:w="3402" w:type="dxa"/>
            <w:vAlign w:val="center"/>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企业名称</w:t>
            </w:r>
          </w:p>
        </w:tc>
        <w:tc>
          <w:tcPr>
            <w:tcW w:w="1701" w:type="dxa"/>
            <w:vAlign w:val="center"/>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综合能耗（tce）</w:t>
            </w:r>
          </w:p>
        </w:tc>
        <w:tc>
          <w:tcPr>
            <w:tcW w:w="1418" w:type="dxa"/>
            <w:vAlign w:val="center"/>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产品产量（t）</w:t>
            </w:r>
          </w:p>
        </w:tc>
        <w:tc>
          <w:tcPr>
            <w:tcW w:w="1559" w:type="dxa"/>
            <w:vAlign w:val="center"/>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单位产品综合能耗（tce</w:t>
            </w:r>
            <w:r>
              <w:rPr>
                <w:rFonts w:ascii="Times New Roman" w:hAnsi="Times New Roman" w:eastAsia="宋体" w:cs="Times New Roman"/>
                <w:color w:val="000000"/>
                <w:szCs w:val="21"/>
              </w:rPr>
              <w:t>/t</w:t>
            </w:r>
            <w:r>
              <w:rPr>
                <w:rFonts w:hint="eastAsia" w:ascii="Times New Roman" w:hAnsi="Times New Roman" w:eastAsia="宋体" w:cs="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25"/>
              <w:numPr>
                <w:ilvl w:val="0"/>
                <w:numId w:val="8"/>
              </w:numPr>
              <w:snapToGrid w:val="0"/>
              <w:ind w:firstLineChars="0"/>
              <w:jc w:val="center"/>
              <w:rPr>
                <w:rFonts w:ascii="Times New Roman" w:hAnsi="Times New Roman" w:eastAsia="宋体" w:cs="Times New Roman"/>
                <w:color w:val="000000"/>
                <w:szCs w:val="21"/>
              </w:rPr>
            </w:pPr>
          </w:p>
        </w:tc>
        <w:tc>
          <w:tcPr>
            <w:tcW w:w="3402" w:type="dxa"/>
            <w:vAlign w:val="center"/>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广东嘉元科技股份有限公司</w:t>
            </w:r>
          </w:p>
        </w:tc>
        <w:tc>
          <w:tcPr>
            <w:tcW w:w="1701"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14804.02</w:t>
            </w:r>
          </w:p>
        </w:tc>
        <w:tc>
          <w:tcPr>
            <w:tcW w:w="1418"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15215.58</w:t>
            </w:r>
          </w:p>
        </w:tc>
        <w:tc>
          <w:tcPr>
            <w:tcW w:w="1559" w:type="dxa"/>
            <w:vAlign w:val="center"/>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w:t>
            </w:r>
            <w:r>
              <w:rPr>
                <w:rFonts w:ascii="Times New Roman" w:hAnsi="Times New Roman" w:eastAsia="宋体" w:cs="Times New Roman"/>
                <w:color w:val="000000"/>
                <w:szCs w:val="21"/>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25"/>
              <w:numPr>
                <w:ilvl w:val="0"/>
                <w:numId w:val="8"/>
              </w:numPr>
              <w:snapToGrid w:val="0"/>
              <w:ind w:firstLineChars="0"/>
              <w:jc w:val="center"/>
              <w:rPr>
                <w:rFonts w:ascii="Times New Roman" w:hAnsi="Times New Roman" w:eastAsia="宋体" w:cs="Times New Roman"/>
                <w:color w:val="000000"/>
                <w:szCs w:val="21"/>
              </w:rPr>
            </w:pPr>
          </w:p>
        </w:tc>
        <w:tc>
          <w:tcPr>
            <w:tcW w:w="3402" w:type="dxa"/>
            <w:vAlign w:val="center"/>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铜陵市华创新材料有限公司</w:t>
            </w:r>
          </w:p>
        </w:tc>
        <w:tc>
          <w:tcPr>
            <w:tcW w:w="1701" w:type="dxa"/>
            <w:vAlign w:val="center"/>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4312.2</w:t>
            </w:r>
            <w:r>
              <w:rPr>
                <w:rFonts w:ascii="Times New Roman" w:hAnsi="Times New Roman" w:eastAsia="宋体" w:cs="Times New Roman"/>
                <w:color w:val="000000"/>
                <w:szCs w:val="21"/>
              </w:rPr>
              <w:t>2</w:t>
            </w:r>
          </w:p>
        </w:tc>
        <w:tc>
          <w:tcPr>
            <w:tcW w:w="1418" w:type="dxa"/>
            <w:vAlign w:val="center"/>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3747.73</w:t>
            </w:r>
          </w:p>
        </w:tc>
        <w:tc>
          <w:tcPr>
            <w:tcW w:w="1559" w:type="dxa"/>
            <w:vAlign w:val="center"/>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25"/>
              <w:numPr>
                <w:ilvl w:val="0"/>
                <w:numId w:val="8"/>
              </w:numPr>
              <w:snapToGrid w:val="0"/>
              <w:ind w:firstLineChars="0"/>
              <w:jc w:val="center"/>
              <w:rPr>
                <w:rFonts w:ascii="Times New Roman" w:hAnsi="Times New Roman" w:eastAsia="宋体" w:cs="Times New Roman"/>
                <w:color w:val="000000"/>
                <w:szCs w:val="21"/>
              </w:rPr>
            </w:pPr>
          </w:p>
        </w:tc>
        <w:tc>
          <w:tcPr>
            <w:tcW w:w="3402" w:type="dxa"/>
            <w:vAlign w:val="center"/>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圣达电气有限公司</w:t>
            </w:r>
          </w:p>
        </w:tc>
        <w:tc>
          <w:tcPr>
            <w:tcW w:w="1701" w:type="dxa"/>
            <w:vAlign w:val="center"/>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7591.9</w:t>
            </w:r>
            <w:r>
              <w:rPr>
                <w:rFonts w:ascii="Times New Roman" w:hAnsi="Times New Roman" w:eastAsia="宋体" w:cs="Times New Roman"/>
                <w:color w:val="000000"/>
                <w:szCs w:val="21"/>
              </w:rPr>
              <w:t>5</w:t>
            </w:r>
          </w:p>
        </w:tc>
        <w:tc>
          <w:tcPr>
            <w:tcW w:w="1418" w:type="dxa"/>
            <w:vAlign w:val="center"/>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7532.53</w:t>
            </w:r>
          </w:p>
        </w:tc>
        <w:tc>
          <w:tcPr>
            <w:tcW w:w="1559" w:type="dxa"/>
            <w:vAlign w:val="center"/>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1.0</w:t>
            </w:r>
            <w:r>
              <w:rPr>
                <w:rFonts w:ascii="Times New Roman" w:hAnsi="Times New Roman" w:eastAsia="宋体" w:cs="Times New Roman"/>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25"/>
              <w:numPr>
                <w:ilvl w:val="0"/>
                <w:numId w:val="8"/>
              </w:numPr>
              <w:snapToGrid w:val="0"/>
              <w:ind w:firstLineChars="0"/>
              <w:jc w:val="center"/>
              <w:rPr>
                <w:rFonts w:ascii="Times New Roman" w:hAnsi="Times New Roman" w:eastAsia="宋体" w:cs="Times New Roman"/>
                <w:color w:val="000000"/>
                <w:szCs w:val="21"/>
              </w:rPr>
            </w:pPr>
          </w:p>
        </w:tc>
        <w:tc>
          <w:tcPr>
            <w:tcW w:w="3402" w:type="dxa"/>
            <w:vAlign w:val="center"/>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安徽铜冠铜箔有限公司</w:t>
            </w:r>
          </w:p>
        </w:tc>
        <w:tc>
          <w:tcPr>
            <w:tcW w:w="1701" w:type="dxa"/>
            <w:vAlign w:val="center"/>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54747.56</w:t>
            </w:r>
          </w:p>
        </w:tc>
        <w:tc>
          <w:tcPr>
            <w:tcW w:w="1418" w:type="dxa"/>
            <w:vAlign w:val="center"/>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37500</w:t>
            </w:r>
          </w:p>
        </w:tc>
        <w:tc>
          <w:tcPr>
            <w:tcW w:w="1559" w:type="dxa"/>
            <w:vAlign w:val="center"/>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1.4</w:t>
            </w:r>
            <w:r>
              <w:rPr>
                <w:rFonts w:ascii="Times New Roman" w:hAnsi="Times New Roman" w:eastAsia="宋体" w:cs="Times New Roman"/>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25"/>
              <w:numPr>
                <w:ilvl w:val="0"/>
                <w:numId w:val="8"/>
              </w:numPr>
              <w:snapToGrid w:val="0"/>
              <w:ind w:firstLineChars="0"/>
              <w:jc w:val="center"/>
              <w:rPr>
                <w:rFonts w:ascii="Times New Roman" w:hAnsi="Times New Roman" w:eastAsia="宋体" w:cs="Times New Roman"/>
                <w:color w:val="000000"/>
                <w:szCs w:val="21"/>
              </w:rPr>
            </w:pPr>
          </w:p>
        </w:tc>
        <w:tc>
          <w:tcPr>
            <w:tcW w:w="3402" w:type="dxa"/>
            <w:vAlign w:val="center"/>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青海电子材料产业发展有限公司</w:t>
            </w:r>
          </w:p>
        </w:tc>
        <w:tc>
          <w:tcPr>
            <w:tcW w:w="1701" w:type="dxa"/>
            <w:vAlign w:val="center"/>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20813.2</w:t>
            </w:r>
            <w:r>
              <w:rPr>
                <w:rFonts w:ascii="Times New Roman" w:hAnsi="Times New Roman" w:eastAsia="宋体" w:cs="Times New Roman"/>
                <w:color w:val="000000"/>
                <w:szCs w:val="21"/>
              </w:rPr>
              <w:t>3</w:t>
            </w:r>
          </w:p>
        </w:tc>
        <w:tc>
          <w:tcPr>
            <w:tcW w:w="1418" w:type="dxa"/>
            <w:vAlign w:val="center"/>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16494.64</w:t>
            </w:r>
          </w:p>
        </w:tc>
        <w:tc>
          <w:tcPr>
            <w:tcW w:w="1559" w:type="dxa"/>
            <w:vAlign w:val="center"/>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25"/>
              <w:numPr>
                <w:ilvl w:val="0"/>
                <w:numId w:val="8"/>
              </w:numPr>
              <w:snapToGrid w:val="0"/>
              <w:ind w:firstLineChars="0"/>
              <w:jc w:val="center"/>
              <w:rPr>
                <w:rFonts w:ascii="Times New Roman" w:hAnsi="Times New Roman" w:eastAsia="宋体" w:cs="Times New Roman"/>
                <w:color w:val="000000"/>
                <w:szCs w:val="21"/>
              </w:rPr>
            </w:pPr>
          </w:p>
        </w:tc>
        <w:tc>
          <w:tcPr>
            <w:tcW w:w="3402" w:type="dxa"/>
            <w:vAlign w:val="center"/>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佛冈建滔实业有限公司</w:t>
            </w:r>
          </w:p>
        </w:tc>
        <w:tc>
          <w:tcPr>
            <w:tcW w:w="1701" w:type="dxa"/>
            <w:vAlign w:val="center"/>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73740</w:t>
            </w:r>
          </w:p>
        </w:tc>
        <w:tc>
          <w:tcPr>
            <w:tcW w:w="1418" w:type="dxa"/>
            <w:vAlign w:val="center"/>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60000</w:t>
            </w:r>
          </w:p>
        </w:tc>
        <w:tc>
          <w:tcPr>
            <w:tcW w:w="1559" w:type="dxa"/>
            <w:vAlign w:val="center"/>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1.2</w:t>
            </w:r>
            <w:r>
              <w:rPr>
                <w:rFonts w:ascii="Times New Roman" w:hAnsi="Times New Roman" w:eastAsia="宋体" w:cs="Times New Roman"/>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25"/>
              <w:numPr>
                <w:ilvl w:val="0"/>
                <w:numId w:val="8"/>
              </w:numPr>
              <w:snapToGrid w:val="0"/>
              <w:ind w:firstLineChars="0"/>
              <w:jc w:val="center"/>
              <w:rPr>
                <w:rFonts w:ascii="Times New Roman" w:hAnsi="Times New Roman" w:eastAsia="宋体" w:cs="Times New Roman"/>
                <w:color w:val="000000"/>
                <w:szCs w:val="21"/>
              </w:rPr>
            </w:pPr>
          </w:p>
        </w:tc>
        <w:tc>
          <w:tcPr>
            <w:tcW w:w="3402" w:type="dxa"/>
            <w:vAlign w:val="center"/>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江西省江铜耶兹铜箔有限公司</w:t>
            </w:r>
          </w:p>
        </w:tc>
        <w:tc>
          <w:tcPr>
            <w:tcW w:w="1701" w:type="dxa"/>
            <w:vAlign w:val="center"/>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15437.22</w:t>
            </w:r>
          </w:p>
        </w:tc>
        <w:tc>
          <w:tcPr>
            <w:tcW w:w="1418" w:type="dxa"/>
            <w:vAlign w:val="center"/>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14925</w:t>
            </w:r>
          </w:p>
        </w:tc>
        <w:tc>
          <w:tcPr>
            <w:tcW w:w="1559" w:type="dxa"/>
            <w:vAlign w:val="center"/>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25"/>
              <w:numPr>
                <w:ilvl w:val="0"/>
                <w:numId w:val="8"/>
              </w:numPr>
              <w:snapToGrid w:val="0"/>
              <w:ind w:firstLineChars="0"/>
              <w:jc w:val="center"/>
              <w:rPr>
                <w:rFonts w:ascii="Times New Roman" w:hAnsi="Times New Roman" w:eastAsia="宋体" w:cs="Times New Roman"/>
                <w:color w:val="000000"/>
                <w:szCs w:val="21"/>
              </w:rPr>
            </w:pPr>
          </w:p>
        </w:tc>
        <w:tc>
          <w:tcPr>
            <w:tcW w:w="3402" w:type="dxa"/>
            <w:vAlign w:val="center"/>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山东金宝电子股份有限公司</w:t>
            </w:r>
          </w:p>
        </w:tc>
        <w:tc>
          <w:tcPr>
            <w:tcW w:w="1701" w:type="dxa"/>
            <w:vAlign w:val="center"/>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6639.0</w:t>
            </w:r>
            <w:r>
              <w:rPr>
                <w:rFonts w:ascii="Times New Roman" w:hAnsi="Times New Roman" w:eastAsia="宋体" w:cs="Times New Roman"/>
                <w:color w:val="000000"/>
                <w:szCs w:val="21"/>
              </w:rPr>
              <w:t>6</w:t>
            </w:r>
          </w:p>
        </w:tc>
        <w:tc>
          <w:tcPr>
            <w:tcW w:w="1418" w:type="dxa"/>
            <w:vAlign w:val="center"/>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6714.35</w:t>
            </w:r>
          </w:p>
        </w:tc>
        <w:tc>
          <w:tcPr>
            <w:tcW w:w="1559" w:type="dxa"/>
            <w:vAlign w:val="center"/>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0.9</w:t>
            </w:r>
            <w:r>
              <w:rPr>
                <w:rFonts w:ascii="Times New Roman" w:hAnsi="Times New Roman" w:eastAsia="宋体" w:cs="Times New Roman"/>
                <w:color w:val="000000"/>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25"/>
              <w:numPr>
                <w:ilvl w:val="0"/>
                <w:numId w:val="8"/>
              </w:numPr>
              <w:snapToGrid w:val="0"/>
              <w:ind w:firstLineChars="0"/>
              <w:jc w:val="center"/>
              <w:rPr>
                <w:rFonts w:ascii="Times New Roman" w:hAnsi="Times New Roman" w:eastAsia="宋体" w:cs="Times New Roman"/>
                <w:color w:val="000000"/>
                <w:szCs w:val="21"/>
              </w:rPr>
            </w:pPr>
          </w:p>
        </w:tc>
        <w:tc>
          <w:tcPr>
            <w:tcW w:w="3402" w:type="dxa"/>
            <w:vAlign w:val="center"/>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山东金都电子材料股份有限公司</w:t>
            </w:r>
          </w:p>
        </w:tc>
        <w:tc>
          <w:tcPr>
            <w:tcW w:w="1701" w:type="dxa"/>
            <w:vAlign w:val="center"/>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3400.2</w:t>
            </w:r>
            <w:r>
              <w:rPr>
                <w:rFonts w:ascii="Times New Roman" w:hAnsi="Times New Roman" w:eastAsia="宋体" w:cs="Times New Roman"/>
                <w:color w:val="000000"/>
                <w:szCs w:val="21"/>
              </w:rPr>
              <w:t>6</w:t>
            </w:r>
          </w:p>
        </w:tc>
        <w:tc>
          <w:tcPr>
            <w:tcW w:w="1418" w:type="dxa"/>
            <w:vAlign w:val="center"/>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8052.324</w:t>
            </w:r>
          </w:p>
        </w:tc>
        <w:tc>
          <w:tcPr>
            <w:tcW w:w="1559" w:type="dxa"/>
            <w:vAlign w:val="center"/>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0.42</w:t>
            </w:r>
          </w:p>
        </w:tc>
      </w:tr>
    </w:tbl>
    <w:p>
      <w:pPr>
        <w:snapToGrid w:val="0"/>
        <w:spacing w:before="156" w:beforeLines="50" w:line="360" w:lineRule="auto"/>
        <w:ind w:firstLine="482" w:firstLineChars="200"/>
        <w:rPr>
          <w:rFonts w:ascii="Times New Roman" w:hAnsi="Times New Roman" w:eastAsia="宋体" w:cs="Times New Roman"/>
          <w:b/>
          <w:color w:val="000000"/>
          <w:sz w:val="24"/>
          <w:szCs w:val="24"/>
        </w:rPr>
      </w:pPr>
      <w:r>
        <w:rPr>
          <w:rFonts w:hint="eastAsia" w:ascii="Times New Roman" w:hAnsi="Times New Roman" w:eastAsia="宋体" w:cs="Times New Roman"/>
          <w:b/>
          <w:color w:val="000000"/>
          <w:sz w:val="24"/>
          <w:szCs w:val="24"/>
        </w:rPr>
        <w:t>（</w:t>
      </w:r>
      <w:r>
        <w:rPr>
          <w:rFonts w:ascii="Times New Roman" w:hAnsi="Times New Roman" w:eastAsia="宋体" w:cs="Times New Roman"/>
          <w:b/>
          <w:color w:val="000000"/>
          <w:sz w:val="24"/>
          <w:szCs w:val="24"/>
        </w:rPr>
        <w:t>4</w:t>
      </w:r>
      <w:r>
        <w:rPr>
          <w:rFonts w:hint="eastAsia" w:ascii="Times New Roman" w:hAnsi="Times New Roman" w:eastAsia="宋体" w:cs="Times New Roman"/>
          <w:b/>
          <w:color w:val="000000"/>
          <w:sz w:val="24"/>
          <w:szCs w:val="24"/>
        </w:rPr>
        <w:t>）产品纯度</w:t>
      </w:r>
    </w:p>
    <w:p>
      <w:pPr>
        <w:snapToGrid w:val="0"/>
        <w:spacing w:before="156" w:beforeLines="50"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该指标参考G</w:t>
      </w:r>
      <w:r>
        <w:rPr>
          <w:rFonts w:ascii="Times New Roman" w:hAnsi="Times New Roman" w:eastAsia="宋体" w:cs="Times New Roman"/>
          <w:color w:val="000000"/>
          <w:sz w:val="24"/>
          <w:szCs w:val="24"/>
        </w:rPr>
        <w:t xml:space="preserve">B/T </w:t>
      </w:r>
      <w:r>
        <w:rPr>
          <w:rFonts w:hint="eastAsia" w:ascii="Times New Roman" w:hAnsi="Times New Roman" w:eastAsia="宋体" w:cs="Times New Roman"/>
          <w:color w:val="000000"/>
          <w:sz w:val="24"/>
          <w:szCs w:val="24"/>
        </w:rPr>
        <w:t>5230、SJ/T 11483标准的要求，定为≥9</w:t>
      </w:r>
      <w:r>
        <w:rPr>
          <w:rFonts w:ascii="Times New Roman" w:hAnsi="Times New Roman" w:eastAsia="宋体" w:cs="Times New Roman"/>
          <w:color w:val="000000"/>
          <w:sz w:val="24"/>
          <w:szCs w:val="24"/>
        </w:rPr>
        <w:t>9.8</w:t>
      </w:r>
      <w:r>
        <w:rPr>
          <w:rFonts w:hint="eastAsia" w:ascii="Times New Roman" w:hAnsi="Times New Roman" w:eastAsia="宋体" w:cs="Times New Roman"/>
          <w:color w:val="000000"/>
          <w:sz w:val="24"/>
          <w:szCs w:val="24"/>
        </w:rPr>
        <w:t>%。</w:t>
      </w:r>
    </w:p>
    <w:p>
      <w:pPr>
        <w:snapToGrid w:val="0"/>
        <w:spacing w:before="156" w:beforeLines="50" w:line="360" w:lineRule="auto"/>
        <w:ind w:firstLine="482" w:firstLineChars="200"/>
        <w:rPr>
          <w:rFonts w:ascii="Times New Roman" w:hAnsi="Times New Roman" w:eastAsia="宋体" w:cs="Times New Roman"/>
          <w:b/>
          <w:color w:val="000000"/>
          <w:sz w:val="24"/>
          <w:szCs w:val="24"/>
        </w:rPr>
      </w:pPr>
      <w:r>
        <w:rPr>
          <w:rFonts w:hint="eastAsia" w:ascii="Times New Roman" w:hAnsi="Times New Roman" w:eastAsia="宋体" w:cs="Times New Roman"/>
          <w:b/>
          <w:color w:val="000000"/>
          <w:sz w:val="24"/>
          <w:szCs w:val="24"/>
        </w:rPr>
        <w:t>（</w:t>
      </w:r>
      <w:r>
        <w:rPr>
          <w:rFonts w:ascii="Times New Roman" w:hAnsi="Times New Roman" w:eastAsia="宋体" w:cs="Times New Roman"/>
          <w:b/>
          <w:color w:val="000000"/>
          <w:sz w:val="24"/>
          <w:szCs w:val="24"/>
        </w:rPr>
        <w:t>5</w:t>
      </w:r>
      <w:r>
        <w:rPr>
          <w:rFonts w:hint="eastAsia" w:ascii="Times New Roman" w:hAnsi="Times New Roman" w:eastAsia="宋体" w:cs="Times New Roman"/>
          <w:b/>
          <w:color w:val="000000"/>
          <w:sz w:val="24"/>
          <w:szCs w:val="24"/>
        </w:rPr>
        <w:t>）产品重金属含量</w:t>
      </w:r>
    </w:p>
    <w:p>
      <w:pPr>
        <w:snapToGrid w:val="0"/>
        <w:spacing w:before="156" w:beforeLines="50"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由于电解铜箔是电池和电子电气产品的主要原材料，产品使用方对于有害物质含量的要求较高。且表面处理工序重金属的使用对环境造成较大的影响。因此绿色设计产品确定增加此项指标。指标值的确定依据GB</w:t>
      </w:r>
      <w:r>
        <w:rPr>
          <w:rFonts w:ascii="Times New Roman" w:hAnsi="Times New Roman" w:eastAsia="宋体" w:cs="Times New Roman"/>
          <w:color w:val="000000"/>
          <w:sz w:val="24"/>
          <w:szCs w:val="24"/>
        </w:rPr>
        <w:t>/T 26572电子电气产品中限用物质的限量要求</w:t>
      </w:r>
      <w:r>
        <w:rPr>
          <w:rFonts w:hint="eastAsia" w:ascii="Times New Roman" w:hAnsi="Times New Roman" w:eastAsia="宋体" w:cs="Times New Roman"/>
          <w:color w:val="000000"/>
          <w:sz w:val="24"/>
          <w:szCs w:val="24"/>
        </w:rPr>
        <w:t>（中国ROHS标准）。</w:t>
      </w:r>
    </w:p>
    <w:p>
      <w:pPr>
        <w:snapToGrid w:val="0"/>
        <w:spacing w:before="156" w:beforeLines="50" w:line="360" w:lineRule="auto"/>
        <w:ind w:firstLine="482" w:firstLineChars="200"/>
        <w:rPr>
          <w:rFonts w:ascii="Times New Roman" w:hAnsi="Times New Roman" w:eastAsia="宋体" w:cs="Times New Roman"/>
          <w:b/>
          <w:color w:val="000000"/>
          <w:sz w:val="24"/>
          <w:szCs w:val="24"/>
        </w:rPr>
      </w:pPr>
      <w:r>
        <w:rPr>
          <w:rFonts w:hint="eastAsia" w:ascii="Times New Roman" w:hAnsi="Times New Roman" w:eastAsia="宋体" w:cs="Times New Roman"/>
          <w:b/>
          <w:color w:val="000000"/>
          <w:sz w:val="24"/>
          <w:szCs w:val="24"/>
        </w:rPr>
        <w:t>（</w:t>
      </w:r>
      <w:r>
        <w:rPr>
          <w:rFonts w:ascii="Times New Roman" w:hAnsi="Times New Roman" w:eastAsia="宋体" w:cs="Times New Roman"/>
          <w:b/>
          <w:color w:val="000000"/>
          <w:sz w:val="24"/>
          <w:szCs w:val="24"/>
        </w:rPr>
        <w:t>6</w:t>
      </w:r>
      <w:r>
        <w:rPr>
          <w:rFonts w:hint="eastAsia" w:ascii="Times New Roman" w:hAnsi="Times New Roman" w:eastAsia="宋体" w:cs="Times New Roman"/>
          <w:b/>
          <w:color w:val="000000"/>
          <w:sz w:val="24"/>
          <w:szCs w:val="24"/>
        </w:rPr>
        <w:t>）废气-硫酸雾排放量</w:t>
      </w:r>
    </w:p>
    <w:p>
      <w:pPr>
        <w:snapToGrid w:val="0"/>
        <w:spacing w:before="156" w:beforeLines="50"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根据调研中部分企业提供的资料，现有的企业排污许可证及第三方监测情况，电解铜箔生产过程中，废气排放中主要有害物为硫酸雾，企业执行GB</w:t>
      </w:r>
      <w:r>
        <w:rPr>
          <w:rFonts w:ascii="Times New Roman" w:hAnsi="Times New Roman" w:eastAsia="宋体" w:cs="Times New Roman"/>
          <w:color w:val="000000"/>
          <w:sz w:val="24"/>
          <w:szCs w:val="24"/>
        </w:rPr>
        <w:t xml:space="preserve"> 16297</w:t>
      </w:r>
      <w:r>
        <w:rPr>
          <w:rFonts w:hint="eastAsia" w:ascii="Times New Roman" w:hAnsi="Times New Roman" w:eastAsia="宋体" w:cs="Times New Roman"/>
          <w:color w:val="000000"/>
          <w:sz w:val="24"/>
          <w:szCs w:val="24"/>
        </w:rPr>
        <w:t>《大气污染物综合排放标准》及GB</w:t>
      </w:r>
      <w:r>
        <w:rPr>
          <w:rFonts w:ascii="Times New Roman" w:hAnsi="Times New Roman" w:eastAsia="宋体" w:cs="Times New Roman"/>
          <w:color w:val="000000"/>
          <w:sz w:val="24"/>
          <w:szCs w:val="24"/>
        </w:rPr>
        <w:t xml:space="preserve">21900 </w:t>
      </w:r>
      <w:r>
        <w:rPr>
          <w:rFonts w:hint="eastAsia" w:ascii="Times New Roman" w:hAnsi="Times New Roman" w:eastAsia="宋体" w:cs="Times New Roman"/>
          <w:color w:val="000000"/>
          <w:sz w:val="24"/>
          <w:szCs w:val="24"/>
        </w:rPr>
        <w:t>《电镀污染物排放标准》。为推动企业采取节能减排措施，推动产品全生命周期绿色水平提升，本标准参考了GB</w:t>
      </w:r>
      <w:r>
        <w:rPr>
          <w:rFonts w:ascii="Times New Roman" w:hAnsi="Times New Roman" w:eastAsia="宋体" w:cs="Times New Roman"/>
          <w:color w:val="000000"/>
          <w:sz w:val="24"/>
          <w:szCs w:val="24"/>
        </w:rPr>
        <w:t>16297</w:t>
      </w:r>
      <w:r>
        <w:rPr>
          <w:rFonts w:hint="eastAsia" w:ascii="Times New Roman" w:hAnsi="Times New Roman" w:eastAsia="宋体" w:cs="Times New Roman"/>
          <w:color w:val="000000"/>
          <w:sz w:val="24"/>
          <w:szCs w:val="24"/>
        </w:rPr>
        <w:t>新污染源二级排放标准、GB</w:t>
      </w:r>
      <w:r>
        <w:rPr>
          <w:rFonts w:ascii="Times New Roman" w:hAnsi="Times New Roman" w:eastAsia="宋体" w:cs="Times New Roman"/>
          <w:color w:val="000000"/>
          <w:sz w:val="24"/>
          <w:szCs w:val="24"/>
        </w:rPr>
        <w:t>21900</w:t>
      </w:r>
      <w:r>
        <w:rPr>
          <w:rFonts w:hint="eastAsia" w:ascii="Times New Roman" w:hAnsi="Times New Roman" w:eastAsia="宋体" w:cs="Times New Roman"/>
          <w:color w:val="000000"/>
          <w:sz w:val="24"/>
          <w:szCs w:val="24"/>
        </w:rPr>
        <w:t>新建企业排放标准和企业实际排放数据情况，并参考广东嘉元科技股份有限公司、江西新科锂电铜箔股份有限公司、山东金宝电子股份有限公司等新建电解铜箔项目的环境影响评价报告，将该指标定为严于国标的</w:t>
      </w:r>
      <w:r>
        <w:rPr>
          <w:rFonts w:ascii="Times New Roman" w:hAnsi="Times New Roman" w:eastAsia="宋体" w:cs="Times New Roman"/>
          <w:color w:val="000000"/>
          <w:sz w:val="24"/>
          <w:szCs w:val="24"/>
        </w:rPr>
        <w:t>≤30</w:t>
      </w:r>
      <w:r>
        <w:rPr>
          <w:rFonts w:hint="eastAsia" w:ascii="Times New Roman" w:hAnsi="Times New Roman" w:eastAsia="宋体" w:cs="Times New Roman"/>
          <w:color w:val="000000"/>
          <w:sz w:val="24"/>
          <w:szCs w:val="24"/>
        </w:rPr>
        <w:t>mg</w:t>
      </w:r>
      <w:r>
        <w:rPr>
          <w:rFonts w:ascii="Times New Roman" w:hAnsi="Times New Roman" w:eastAsia="宋体" w:cs="Times New Roman"/>
          <w:color w:val="000000"/>
          <w:sz w:val="24"/>
          <w:szCs w:val="24"/>
        </w:rPr>
        <w:t>/</w:t>
      </w:r>
      <w:r>
        <w:rPr>
          <w:rFonts w:hint="eastAsia" w:ascii="Times New Roman" w:hAnsi="Times New Roman" w:eastAsia="宋体" w:cs="Times New Roman"/>
          <w:color w:val="000000"/>
          <w:sz w:val="24"/>
          <w:szCs w:val="24"/>
        </w:rPr>
        <w:t>m</w:t>
      </w:r>
      <w:r>
        <w:rPr>
          <w:rFonts w:ascii="Times New Roman" w:hAnsi="Times New Roman" w:eastAsia="宋体" w:cs="Times New Roman"/>
          <w:color w:val="000000"/>
          <w:sz w:val="24"/>
          <w:szCs w:val="24"/>
          <w:vertAlign w:val="superscript"/>
        </w:rPr>
        <w:t>3</w:t>
      </w:r>
      <w:r>
        <w:rPr>
          <w:rFonts w:hint="eastAsia" w:ascii="Times New Roman" w:hAnsi="Times New Roman" w:eastAsia="宋体" w:cs="Times New Roman"/>
          <w:color w:val="000000"/>
          <w:sz w:val="24"/>
          <w:szCs w:val="24"/>
        </w:rPr>
        <w:t>。指标值的检测方法依据国家标准确定。</w:t>
      </w:r>
    </w:p>
    <w:p>
      <w:pPr>
        <w:snapToGrid w:val="0"/>
        <w:spacing w:before="156" w:beforeLines="50" w:line="360" w:lineRule="auto"/>
        <w:ind w:firstLine="420" w:firstLineChars="200"/>
        <w:jc w:val="center"/>
        <w:rPr>
          <w:rFonts w:ascii="Times New Roman" w:hAnsi="Times New Roman" w:eastAsia="黑体" w:cs="Times New Roman"/>
          <w:color w:val="000000"/>
          <w:szCs w:val="21"/>
        </w:rPr>
      </w:pPr>
      <w:r>
        <w:rPr>
          <w:rFonts w:hint="eastAsia" w:ascii="Times New Roman" w:hAnsi="Times New Roman" w:eastAsia="黑体" w:cs="Times New Roman"/>
          <w:color w:val="000000"/>
          <w:szCs w:val="21"/>
        </w:rPr>
        <w:t>表</w:t>
      </w:r>
      <w:r>
        <w:rPr>
          <w:rFonts w:ascii="Times New Roman" w:hAnsi="Times New Roman" w:eastAsia="黑体" w:cs="Times New Roman"/>
          <w:color w:val="000000"/>
          <w:szCs w:val="21"/>
        </w:rPr>
        <w:t>9</w:t>
      </w:r>
      <w:r>
        <w:rPr>
          <w:rFonts w:hint="eastAsia" w:ascii="Times New Roman" w:hAnsi="Times New Roman" w:eastAsia="黑体" w:cs="Times New Roman"/>
          <w:color w:val="000000"/>
          <w:szCs w:val="21"/>
        </w:rPr>
        <w:t>废气排放标准限值及调研数据</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98"/>
        <w:gridCol w:w="3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pPr>
              <w:snapToGrid w:val="0"/>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国家标准</w:t>
            </w:r>
          </w:p>
        </w:tc>
        <w:tc>
          <w:tcPr>
            <w:tcW w:w="3198" w:type="dxa"/>
            <w:vAlign w:val="center"/>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指标值（mg/</w:t>
            </w:r>
            <w:r>
              <w:rPr>
                <w:rFonts w:ascii="Times New Roman" w:hAnsi="Times New Roman" w:eastAsia="宋体" w:cs="Times New Roman"/>
                <w:color w:val="000000"/>
                <w:szCs w:val="21"/>
              </w:rPr>
              <w:t>m3</w:t>
            </w:r>
            <w:r>
              <w:rPr>
                <w:rFonts w:hint="eastAsia" w:ascii="Times New Roman" w:hAnsi="Times New Roman" w:eastAsia="宋体" w:cs="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pPr>
              <w:snapToGrid w:val="0"/>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GB</w:t>
            </w:r>
            <w:r>
              <w:rPr>
                <w:rFonts w:ascii="Times New Roman" w:hAnsi="Times New Roman" w:eastAsia="宋体" w:cs="Times New Roman"/>
                <w:color w:val="000000"/>
                <w:szCs w:val="21"/>
              </w:rPr>
              <w:t xml:space="preserve"> 16297</w:t>
            </w:r>
            <w:r>
              <w:rPr>
                <w:rFonts w:hint="eastAsia" w:ascii="Times New Roman" w:hAnsi="Times New Roman" w:eastAsia="宋体" w:cs="Times New Roman"/>
                <w:color w:val="000000"/>
                <w:szCs w:val="21"/>
              </w:rPr>
              <w:t>《大气污染物综合排放标准》</w:t>
            </w:r>
          </w:p>
          <w:p>
            <w:pPr>
              <w:snapToGrid w:val="0"/>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新污染源二级排放标准</w:t>
            </w:r>
          </w:p>
        </w:tc>
        <w:tc>
          <w:tcPr>
            <w:tcW w:w="3198"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pPr>
              <w:snapToGrid w:val="0"/>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GB</w:t>
            </w:r>
            <w:r>
              <w:rPr>
                <w:rFonts w:ascii="Times New Roman" w:hAnsi="Times New Roman" w:eastAsia="宋体" w:cs="Times New Roman"/>
                <w:color w:val="000000"/>
                <w:szCs w:val="21"/>
              </w:rPr>
              <w:t xml:space="preserve"> 21900 </w:t>
            </w:r>
            <w:r>
              <w:rPr>
                <w:rFonts w:hint="eastAsia" w:ascii="Times New Roman" w:hAnsi="Times New Roman" w:eastAsia="宋体" w:cs="Times New Roman"/>
                <w:color w:val="000000"/>
                <w:szCs w:val="21"/>
              </w:rPr>
              <w:t>《电镀污染物排放标准》</w:t>
            </w:r>
          </w:p>
          <w:p>
            <w:pPr>
              <w:snapToGrid w:val="0"/>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新建企业排放标准</w:t>
            </w:r>
          </w:p>
        </w:tc>
        <w:tc>
          <w:tcPr>
            <w:tcW w:w="3198" w:type="dxa"/>
            <w:vAlign w:val="center"/>
          </w:tcPr>
          <w:p>
            <w:pPr>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pPr>
              <w:snapToGrid w:val="0"/>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江西新科锂电铜箔股份有限公司年产3</w:t>
            </w:r>
            <w:r>
              <w:rPr>
                <w:rFonts w:ascii="Times New Roman" w:hAnsi="Times New Roman" w:eastAsia="宋体" w:cs="Times New Roman"/>
                <w:color w:val="000000"/>
                <w:szCs w:val="21"/>
              </w:rPr>
              <w:t>0000</w:t>
            </w:r>
            <w:r>
              <w:rPr>
                <w:rFonts w:hint="eastAsia" w:ascii="Times New Roman" w:hAnsi="Times New Roman" w:eastAsia="宋体" w:cs="Times New Roman"/>
                <w:color w:val="000000"/>
                <w:szCs w:val="21"/>
              </w:rPr>
              <w:t>吨锂电箔环境影响评价报告</w:t>
            </w:r>
          </w:p>
        </w:tc>
        <w:tc>
          <w:tcPr>
            <w:tcW w:w="3198" w:type="dxa"/>
            <w:vAlign w:val="center"/>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4</w:t>
            </w:r>
            <w:r>
              <w:rPr>
                <w:rFonts w:ascii="Times New Roman" w:hAnsi="Times New Roman" w:eastAsia="宋体" w:cs="Times New Roman"/>
                <w:color w:val="000000"/>
                <w:szCs w:val="21"/>
              </w:rPr>
              <w:t>.95-6.6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pPr>
              <w:snapToGrid w:val="0"/>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广东嘉元新增1</w:t>
            </w:r>
            <w:r>
              <w:rPr>
                <w:rFonts w:ascii="Times New Roman" w:hAnsi="Times New Roman" w:eastAsia="宋体" w:cs="Times New Roman"/>
                <w:color w:val="000000"/>
                <w:szCs w:val="21"/>
              </w:rPr>
              <w:t>500</w:t>
            </w:r>
            <w:r>
              <w:rPr>
                <w:rFonts w:hint="eastAsia" w:ascii="Times New Roman" w:hAnsi="Times New Roman" w:eastAsia="宋体" w:cs="Times New Roman"/>
                <w:color w:val="000000"/>
                <w:szCs w:val="21"/>
              </w:rPr>
              <w:t>吨/年高性能超薄电解铜箔技术改造项目环境影响评价报告</w:t>
            </w:r>
          </w:p>
        </w:tc>
        <w:tc>
          <w:tcPr>
            <w:tcW w:w="3198" w:type="dxa"/>
            <w:vAlign w:val="center"/>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w:t>
            </w:r>
            <w:r>
              <w:rPr>
                <w:rFonts w:ascii="Times New Roman" w:hAnsi="Times New Roman" w:eastAsia="宋体" w:cs="Times New Roman"/>
                <w:color w:val="00000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pPr>
              <w:snapToGrid w:val="0"/>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山东金宝电子股份有限公司电解铜箔重金属废水综合治理技术改造项目环境影响评价报告</w:t>
            </w:r>
          </w:p>
        </w:tc>
        <w:tc>
          <w:tcPr>
            <w:tcW w:w="3198" w:type="dxa"/>
            <w:vAlign w:val="center"/>
          </w:tcPr>
          <w:p>
            <w:pPr>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5</w:t>
            </w:r>
            <w:r>
              <w:rPr>
                <w:rFonts w:ascii="Times New Roman" w:hAnsi="Times New Roman" w:eastAsia="宋体" w:cs="Times New Roman"/>
                <w:color w:val="000000"/>
                <w:szCs w:val="21"/>
              </w:rPr>
              <w:t>.29</w:t>
            </w:r>
          </w:p>
        </w:tc>
      </w:tr>
    </w:tbl>
    <w:p>
      <w:pPr>
        <w:snapToGrid w:val="0"/>
        <w:spacing w:before="156" w:beforeLines="50" w:line="360" w:lineRule="auto"/>
        <w:ind w:firstLine="482" w:firstLineChars="200"/>
        <w:rPr>
          <w:rFonts w:ascii="Times New Roman" w:hAnsi="Times New Roman" w:eastAsia="宋体" w:cs="Times New Roman"/>
          <w:b/>
          <w:color w:val="000000"/>
          <w:sz w:val="24"/>
          <w:szCs w:val="24"/>
        </w:rPr>
      </w:pPr>
      <w:r>
        <w:rPr>
          <w:rFonts w:hint="eastAsia" w:ascii="Times New Roman" w:hAnsi="Times New Roman" w:eastAsia="宋体" w:cs="Times New Roman"/>
          <w:b/>
          <w:color w:val="000000"/>
          <w:sz w:val="24"/>
          <w:szCs w:val="24"/>
        </w:rPr>
        <w:t>（</w:t>
      </w:r>
      <w:r>
        <w:rPr>
          <w:rFonts w:ascii="Times New Roman" w:hAnsi="Times New Roman" w:eastAsia="宋体" w:cs="Times New Roman"/>
          <w:b/>
          <w:color w:val="000000"/>
          <w:sz w:val="24"/>
          <w:szCs w:val="24"/>
        </w:rPr>
        <w:t>7</w:t>
      </w:r>
      <w:r>
        <w:rPr>
          <w:rFonts w:hint="eastAsia" w:ascii="Times New Roman" w:hAnsi="Times New Roman" w:eastAsia="宋体" w:cs="Times New Roman"/>
          <w:b/>
          <w:color w:val="000000"/>
          <w:sz w:val="24"/>
          <w:szCs w:val="24"/>
        </w:rPr>
        <w:t>）废水中重金属含量</w:t>
      </w:r>
    </w:p>
    <w:p>
      <w:pPr>
        <w:snapToGrid w:val="0"/>
        <w:spacing w:before="156" w:beforeLines="50"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重金属污染是有色行业比较重要的污染来源，因此根据现有的企业排污许可证及第三方监测情况，提取了废水重金属含量的主要指标。指标值的确定结合GB</w:t>
      </w:r>
      <w:r>
        <w:rPr>
          <w:rFonts w:ascii="Times New Roman" w:hAnsi="Times New Roman" w:eastAsia="宋体" w:cs="Times New Roman"/>
          <w:color w:val="000000"/>
          <w:sz w:val="24"/>
          <w:szCs w:val="24"/>
        </w:rPr>
        <w:t xml:space="preserve"> 8978</w:t>
      </w:r>
      <w:r>
        <w:rPr>
          <w:rFonts w:hint="eastAsia" w:ascii="Times New Roman" w:hAnsi="Times New Roman" w:eastAsia="宋体" w:cs="Times New Roman"/>
          <w:color w:val="000000"/>
          <w:sz w:val="24"/>
          <w:szCs w:val="24"/>
        </w:rPr>
        <w:t>《污水综合排放标准》、GB</w:t>
      </w:r>
      <w:r>
        <w:rPr>
          <w:rFonts w:ascii="Times New Roman" w:hAnsi="Times New Roman" w:eastAsia="宋体" w:cs="Times New Roman"/>
          <w:color w:val="000000"/>
          <w:sz w:val="24"/>
          <w:szCs w:val="24"/>
        </w:rPr>
        <w:t xml:space="preserve">21900 </w:t>
      </w:r>
      <w:r>
        <w:rPr>
          <w:rFonts w:hint="eastAsia" w:ascii="Times New Roman" w:hAnsi="Times New Roman" w:eastAsia="宋体" w:cs="Times New Roman"/>
          <w:color w:val="000000"/>
          <w:sz w:val="24"/>
          <w:szCs w:val="24"/>
        </w:rPr>
        <w:t>《电镀污染物排放标准》（新建企业排放标准）和企业调研的实际情况，参考广东嘉元科技股份有限公司、湖北中一科技股份有限公司、江西省江铜耶兹铜箔有限公司等新建电解铜箔项目的环境影响评价报告，制定指标限值。</w:t>
      </w:r>
    </w:p>
    <w:p>
      <w:pPr>
        <w:snapToGrid w:val="0"/>
        <w:spacing w:before="156" w:beforeLines="50" w:line="360" w:lineRule="auto"/>
        <w:ind w:firstLine="420" w:firstLineChars="200"/>
        <w:jc w:val="center"/>
        <w:rPr>
          <w:rFonts w:ascii="Times New Roman" w:hAnsi="Times New Roman" w:eastAsia="黑体" w:cs="Times New Roman"/>
          <w:color w:val="000000"/>
          <w:szCs w:val="21"/>
        </w:rPr>
      </w:pPr>
      <w:r>
        <w:rPr>
          <w:rFonts w:hint="eastAsia" w:ascii="Times New Roman" w:hAnsi="Times New Roman" w:eastAsia="黑体" w:cs="Times New Roman"/>
          <w:color w:val="000000"/>
          <w:szCs w:val="21"/>
        </w:rPr>
        <w:t>表</w:t>
      </w:r>
      <w:r>
        <w:rPr>
          <w:rFonts w:ascii="Times New Roman" w:hAnsi="Times New Roman" w:eastAsia="黑体" w:cs="Times New Roman"/>
          <w:color w:val="000000"/>
          <w:szCs w:val="21"/>
        </w:rPr>
        <w:t xml:space="preserve">10 </w:t>
      </w:r>
      <w:r>
        <w:rPr>
          <w:rFonts w:hint="eastAsia" w:ascii="Times New Roman" w:hAnsi="Times New Roman" w:eastAsia="黑体" w:cs="Times New Roman"/>
          <w:color w:val="000000"/>
          <w:szCs w:val="21"/>
        </w:rPr>
        <w:t>废水排放标准限值</w:t>
      </w:r>
    </w:p>
    <w:tbl>
      <w:tblPr>
        <w:tblStyle w:val="17"/>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1092"/>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8" w:type="dxa"/>
            <w:vMerge w:val="restart"/>
          </w:tcPr>
          <w:p>
            <w:pPr>
              <w:snapToGrid w:val="0"/>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国家标准</w:t>
            </w:r>
          </w:p>
        </w:tc>
        <w:tc>
          <w:tcPr>
            <w:tcW w:w="4494" w:type="dxa"/>
            <w:gridSpan w:val="4"/>
          </w:tcPr>
          <w:p>
            <w:pPr>
              <w:snapToGrid w:val="0"/>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指标值（mg</w:t>
            </w:r>
            <w:r>
              <w:rPr>
                <w:rFonts w:ascii="Times New Roman" w:hAnsi="Times New Roman" w:eastAsia="宋体" w:cs="Times New Roman"/>
                <w:color w:val="000000"/>
                <w:szCs w:val="21"/>
              </w:rPr>
              <w:t>/L</w:t>
            </w:r>
            <w:r>
              <w:rPr>
                <w:rFonts w:hint="eastAsia" w:ascii="Times New Roman" w:hAnsi="Times New Roman" w:eastAsia="宋体" w:cs="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8" w:type="dxa"/>
            <w:vMerge w:val="continue"/>
          </w:tcPr>
          <w:p>
            <w:pPr>
              <w:snapToGrid w:val="0"/>
              <w:rPr>
                <w:rFonts w:ascii="Times New Roman" w:hAnsi="Times New Roman" w:eastAsia="宋体" w:cs="Times New Roman"/>
                <w:color w:val="000000"/>
                <w:szCs w:val="21"/>
              </w:rPr>
            </w:pPr>
          </w:p>
        </w:tc>
        <w:tc>
          <w:tcPr>
            <w:tcW w:w="1092" w:type="dxa"/>
          </w:tcPr>
          <w:p>
            <w:pPr>
              <w:snapToGrid w:val="0"/>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铜</w:t>
            </w:r>
          </w:p>
        </w:tc>
        <w:tc>
          <w:tcPr>
            <w:tcW w:w="1134" w:type="dxa"/>
          </w:tcPr>
          <w:p>
            <w:pPr>
              <w:snapToGrid w:val="0"/>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锌</w:t>
            </w:r>
          </w:p>
        </w:tc>
        <w:tc>
          <w:tcPr>
            <w:tcW w:w="1134" w:type="dxa"/>
          </w:tcPr>
          <w:p>
            <w:pPr>
              <w:snapToGrid w:val="0"/>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铅</w:t>
            </w:r>
          </w:p>
        </w:tc>
        <w:tc>
          <w:tcPr>
            <w:tcW w:w="1134" w:type="dxa"/>
          </w:tcPr>
          <w:p>
            <w:pPr>
              <w:snapToGrid w:val="0"/>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总铬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8" w:type="dxa"/>
          </w:tcPr>
          <w:p>
            <w:pPr>
              <w:snapToGrid w:val="0"/>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GB</w:t>
            </w:r>
            <w:r>
              <w:rPr>
                <w:rFonts w:ascii="Times New Roman" w:hAnsi="Times New Roman" w:eastAsia="宋体" w:cs="Times New Roman"/>
                <w:color w:val="000000"/>
                <w:szCs w:val="21"/>
              </w:rPr>
              <w:t xml:space="preserve"> 8978</w:t>
            </w:r>
            <w:r>
              <w:rPr>
                <w:rFonts w:hint="eastAsia" w:ascii="Times New Roman" w:hAnsi="Times New Roman" w:eastAsia="宋体" w:cs="Times New Roman"/>
                <w:color w:val="000000"/>
                <w:szCs w:val="21"/>
              </w:rPr>
              <w:t>《污水综合排放标准》</w:t>
            </w:r>
          </w:p>
        </w:tc>
        <w:tc>
          <w:tcPr>
            <w:tcW w:w="1092" w:type="dxa"/>
          </w:tcPr>
          <w:p>
            <w:pPr>
              <w:snapToGrid w:val="0"/>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w:t>
            </w:r>
            <w:r>
              <w:rPr>
                <w:rFonts w:ascii="Times New Roman" w:hAnsi="Times New Roman" w:eastAsia="宋体" w:cs="Times New Roman"/>
                <w:color w:val="000000"/>
                <w:szCs w:val="21"/>
              </w:rPr>
              <w:t>.5</w:t>
            </w:r>
          </w:p>
        </w:tc>
        <w:tc>
          <w:tcPr>
            <w:tcW w:w="1134" w:type="dxa"/>
          </w:tcPr>
          <w:p>
            <w:pPr>
              <w:snapToGrid w:val="0"/>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w:t>
            </w:r>
            <w:r>
              <w:rPr>
                <w:rFonts w:ascii="Times New Roman" w:hAnsi="Times New Roman" w:eastAsia="宋体" w:cs="Times New Roman"/>
                <w:color w:val="000000"/>
                <w:szCs w:val="21"/>
              </w:rPr>
              <w:t>.0</w:t>
            </w:r>
          </w:p>
        </w:tc>
        <w:tc>
          <w:tcPr>
            <w:tcW w:w="1134" w:type="dxa"/>
          </w:tcPr>
          <w:p>
            <w:pPr>
              <w:snapToGrid w:val="0"/>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w:t>
            </w:r>
            <w:r>
              <w:rPr>
                <w:rFonts w:ascii="Times New Roman" w:hAnsi="Times New Roman" w:eastAsia="宋体" w:cs="Times New Roman"/>
                <w:color w:val="000000"/>
                <w:szCs w:val="21"/>
              </w:rPr>
              <w:t>.0</w:t>
            </w:r>
          </w:p>
        </w:tc>
        <w:tc>
          <w:tcPr>
            <w:tcW w:w="1134" w:type="dxa"/>
          </w:tcPr>
          <w:p>
            <w:pPr>
              <w:snapToGrid w:val="0"/>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w:t>
            </w:r>
            <w:r>
              <w:rPr>
                <w:rFonts w:ascii="Times New Roman" w:hAnsi="Times New Roman" w:eastAsia="宋体" w:cs="Times New Roman"/>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8" w:type="dxa"/>
          </w:tcPr>
          <w:p>
            <w:pPr>
              <w:snapToGrid w:val="0"/>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GB</w:t>
            </w:r>
            <w:r>
              <w:rPr>
                <w:rFonts w:ascii="Times New Roman" w:hAnsi="Times New Roman" w:eastAsia="宋体" w:cs="Times New Roman"/>
                <w:color w:val="000000"/>
                <w:szCs w:val="21"/>
              </w:rPr>
              <w:t xml:space="preserve"> 21900 </w:t>
            </w:r>
            <w:r>
              <w:rPr>
                <w:rFonts w:hint="eastAsia" w:ascii="Times New Roman" w:hAnsi="Times New Roman" w:eastAsia="宋体" w:cs="Times New Roman"/>
                <w:color w:val="000000"/>
                <w:szCs w:val="21"/>
              </w:rPr>
              <w:t>《电镀污染物排放标准》</w:t>
            </w:r>
          </w:p>
        </w:tc>
        <w:tc>
          <w:tcPr>
            <w:tcW w:w="1092" w:type="dxa"/>
          </w:tcPr>
          <w:p>
            <w:pPr>
              <w:snapToGrid w:val="0"/>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w:t>
            </w:r>
            <w:r>
              <w:rPr>
                <w:rFonts w:ascii="Times New Roman" w:hAnsi="Times New Roman" w:eastAsia="宋体" w:cs="Times New Roman"/>
                <w:color w:val="000000"/>
                <w:szCs w:val="21"/>
              </w:rPr>
              <w:t>.5</w:t>
            </w:r>
          </w:p>
        </w:tc>
        <w:tc>
          <w:tcPr>
            <w:tcW w:w="1134" w:type="dxa"/>
          </w:tcPr>
          <w:p>
            <w:pPr>
              <w:snapToGrid w:val="0"/>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w:t>
            </w:r>
            <w:r>
              <w:rPr>
                <w:rFonts w:ascii="Times New Roman" w:hAnsi="Times New Roman" w:eastAsia="宋体" w:cs="Times New Roman"/>
                <w:color w:val="000000"/>
                <w:szCs w:val="21"/>
              </w:rPr>
              <w:t>.5</w:t>
            </w:r>
          </w:p>
        </w:tc>
        <w:tc>
          <w:tcPr>
            <w:tcW w:w="1134" w:type="dxa"/>
          </w:tcPr>
          <w:p>
            <w:pPr>
              <w:snapToGrid w:val="0"/>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w:t>
            </w:r>
            <w:r>
              <w:rPr>
                <w:rFonts w:ascii="Times New Roman" w:hAnsi="Times New Roman" w:eastAsia="宋体" w:cs="Times New Roman"/>
                <w:color w:val="000000"/>
                <w:szCs w:val="21"/>
              </w:rPr>
              <w:t>.2</w:t>
            </w:r>
          </w:p>
        </w:tc>
        <w:tc>
          <w:tcPr>
            <w:tcW w:w="1134" w:type="dxa"/>
          </w:tcPr>
          <w:p>
            <w:pPr>
              <w:snapToGrid w:val="0"/>
              <w:rPr>
                <w:rFonts w:ascii="Times New Roman" w:hAnsi="Times New Roman" w:eastAsia="宋体" w:cs="Times New Roman"/>
                <w:color w:val="000000"/>
                <w:szCs w:val="21"/>
              </w:rPr>
            </w:pPr>
            <w:r>
              <w:rPr>
                <w:rFonts w:ascii="Times New Roman" w:hAnsi="Times New Roman" w:eastAsia="宋体" w:cs="Times New Roman"/>
                <w:color w:val="000000"/>
                <w:szCs w:val="21"/>
              </w:rPr>
              <w:t>1.0</w:t>
            </w:r>
          </w:p>
        </w:tc>
      </w:tr>
    </w:tbl>
    <w:p>
      <w:pPr>
        <w:snapToGrid w:val="0"/>
        <w:spacing w:before="156" w:beforeLines="50" w:line="360" w:lineRule="auto"/>
        <w:ind w:firstLine="480" w:firstLineChars="200"/>
        <w:rPr>
          <w:rFonts w:ascii="Times New Roman" w:hAnsi="Times New Roman" w:eastAsia="宋体" w:cs="Times New Roman"/>
          <w:color w:val="000000"/>
          <w:sz w:val="24"/>
          <w:szCs w:val="24"/>
        </w:rPr>
      </w:pPr>
    </w:p>
    <w:p>
      <w:pPr>
        <w:snapToGrid w:val="0"/>
        <w:spacing w:before="156" w:beforeLines="50" w:line="360" w:lineRule="auto"/>
        <w:ind w:firstLine="420" w:firstLineChars="200"/>
        <w:jc w:val="center"/>
        <w:rPr>
          <w:rFonts w:ascii="Times New Roman" w:hAnsi="Times New Roman" w:eastAsia="黑体" w:cs="Times New Roman"/>
          <w:color w:val="000000"/>
          <w:szCs w:val="21"/>
        </w:rPr>
      </w:pPr>
      <w:r>
        <w:rPr>
          <w:rFonts w:hint="eastAsia" w:ascii="Times New Roman" w:hAnsi="Times New Roman" w:eastAsia="黑体" w:cs="Times New Roman"/>
          <w:color w:val="000000"/>
          <w:szCs w:val="21"/>
        </w:rPr>
        <w:t>表</w:t>
      </w:r>
      <w:r>
        <w:rPr>
          <w:rFonts w:ascii="Times New Roman" w:hAnsi="Times New Roman" w:eastAsia="黑体" w:cs="Times New Roman"/>
          <w:color w:val="000000"/>
          <w:szCs w:val="21"/>
        </w:rPr>
        <w:t xml:space="preserve">11 </w:t>
      </w:r>
      <w:r>
        <w:rPr>
          <w:rFonts w:hint="eastAsia" w:ascii="Times New Roman" w:hAnsi="Times New Roman" w:eastAsia="黑体" w:cs="Times New Roman"/>
          <w:color w:val="000000"/>
          <w:szCs w:val="21"/>
        </w:rPr>
        <w:t>主要企业废水排放数据情况</w:t>
      </w:r>
    </w:p>
    <w:tbl>
      <w:tblPr>
        <w:tblStyle w:val="17"/>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3317"/>
        <w:gridCol w:w="996"/>
        <w:gridCol w:w="1215"/>
        <w:gridCol w:w="1163"/>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序号</w:t>
            </w:r>
          </w:p>
        </w:tc>
        <w:tc>
          <w:tcPr>
            <w:tcW w:w="3317"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企业名称</w:t>
            </w:r>
          </w:p>
        </w:tc>
        <w:tc>
          <w:tcPr>
            <w:tcW w:w="996"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铜</w:t>
            </w:r>
          </w:p>
        </w:tc>
        <w:tc>
          <w:tcPr>
            <w:tcW w:w="1215"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锌</w:t>
            </w:r>
          </w:p>
        </w:tc>
        <w:tc>
          <w:tcPr>
            <w:tcW w:w="1163"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铅</w:t>
            </w:r>
          </w:p>
        </w:tc>
        <w:tc>
          <w:tcPr>
            <w:tcW w:w="1247"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总铬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25"/>
              <w:numPr>
                <w:ilvl w:val="0"/>
                <w:numId w:val="9"/>
              </w:numPr>
              <w:snapToGrid w:val="0"/>
              <w:ind w:firstLineChars="0"/>
              <w:jc w:val="center"/>
              <w:rPr>
                <w:rFonts w:ascii="Times New Roman" w:hAnsi="Times New Roman" w:eastAsia="宋体" w:cs="Times New Roman"/>
                <w:szCs w:val="21"/>
              </w:rPr>
            </w:pPr>
          </w:p>
        </w:tc>
        <w:tc>
          <w:tcPr>
            <w:tcW w:w="3317"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广东嘉元科技股份有限公司</w:t>
            </w:r>
          </w:p>
        </w:tc>
        <w:tc>
          <w:tcPr>
            <w:tcW w:w="996" w:type="dxa"/>
            <w:vAlign w:val="center"/>
          </w:tcPr>
          <w:p>
            <w:pPr>
              <w:widowControl/>
              <w:jc w:val="center"/>
              <w:rPr>
                <w:rFonts w:ascii="Times New Roman" w:hAnsi="Times New Roman"/>
                <w:szCs w:val="21"/>
              </w:rPr>
            </w:pPr>
            <w:r>
              <w:rPr>
                <w:rFonts w:hint="eastAsia" w:ascii="Times New Roman" w:hAnsi="Times New Roman"/>
                <w:szCs w:val="21"/>
              </w:rPr>
              <w:t>0.4</w:t>
            </w:r>
          </w:p>
        </w:tc>
        <w:tc>
          <w:tcPr>
            <w:tcW w:w="1215" w:type="dxa"/>
            <w:vAlign w:val="center"/>
          </w:tcPr>
          <w:p>
            <w:pPr>
              <w:widowControl/>
              <w:jc w:val="center"/>
              <w:rPr>
                <w:rFonts w:ascii="Times New Roman" w:hAnsi="Times New Roman"/>
                <w:szCs w:val="21"/>
              </w:rPr>
            </w:pPr>
            <w:r>
              <w:rPr>
                <w:rFonts w:hint="eastAsia" w:ascii="Times New Roman" w:hAnsi="Times New Roman"/>
                <w:szCs w:val="21"/>
              </w:rPr>
              <w:t>ND</w:t>
            </w:r>
          </w:p>
        </w:tc>
        <w:tc>
          <w:tcPr>
            <w:tcW w:w="1163"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1247" w:type="dxa"/>
            <w:vAlign w:val="center"/>
          </w:tcPr>
          <w:p>
            <w:pPr>
              <w:widowControl/>
              <w:jc w:val="center"/>
              <w:rPr>
                <w:rFonts w:ascii="Times New Roman" w:hAnsi="Times New Roman"/>
                <w:szCs w:val="21"/>
              </w:rPr>
            </w:pPr>
            <w:r>
              <w:rPr>
                <w:rFonts w:hint="eastAsia" w:ascii="Times New Roman" w:hAnsi="Times New Roman"/>
                <w:szCs w:val="21"/>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25"/>
              <w:numPr>
                <w:ilvl w:val="0"/>
                <w:numId w:val="9"/>
              </w:numPr>
              <w:snapToGrid w:val="0"/>
              <w:ind w:firstLineChars="0"/>
              <w:jc w:val="center"/>
              <w:rPr>
                <w:rFonts w:ascii="Times New Roman" w:hAnsi="Times New Roman" w:eastAsia="宋体" w:cs="Times New Roman"/>
                <w:szCs w:val="21"/>
              </w:rPr>
            </w:pPr>
          </w:p>
        </w:tc>
        <w:tc>
          <w:tcPr>
            <w:tcW w:w="3317"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山东金都电子材料股份有限公司</w:t>
            </w:r>
          </w:p>
        </w:tc>
        <w:tc>
          <w:tcPr>
            <w:tcW w:w="996" w:type="dxa"/>
            <w:vAlign w:val="center"/>
          </w:tcPr>
          <w:p>
            <w:pPr>
              <w:snapToGrid w:val="0"/>
              <w:jc w:val="center"/>
              <w:rPr>
                <w:rFonts w:ascii="Times New Roman" w:hAnsi="Times New Roman" w:eastAsia="宋体" w:cs="Times New Roman"/>
                <w:szCs w:val="21"/>
              </w:rPr>
            </w:pPr>
            <w:r>
              <w:rPr>
                <w:rFonts w:hint="eastAsia" w:ascii="Times New Roman" w:hAnsi="Times New Roman"/>
                <w:szCs w:val="21"/>
              </w:rPr>
              <w:t>ND</w:t>
            </w:r>
          </w:p>
        </w:tc>
        <w:tc>
          <w:tcPr>
            <w:tcW w:w="1215" w:type="dxa"/>
            <w:vAlign w:val="center"/>
          </w:tcPr>
          <w:p>
            <w:pPr>
              <w:snapToGrid w:val="0"/>
              <w:jc w:val="center"/>
              <w:rPr>
                <w:rFonts w:ascii="Times New Roman" w:hAnsi="Times New Roman" w:eastAsia="宋体" w:cs="Times New Roman"/>
                <w:szCs w:val="21"/>
              </w:rPr>
            </w:pPr>
            <w:r>
              <w:rPr>
                <w:rFonts w:hint="eastAsia" w:ascii="Times New Roman" w:hAnsi="Times New Roman"/>
                <w:szCs w:val="21"/>
              </w:rPr>
              <w:t>ND</w:t>
            </w:r>
          </w:p>
        </w:tc>
        <w:tc>
          <w:tcPr>
            <w:tcW w:w="1163" w:type="dxa"/>
            <w:vAlign w:val="center"/>
          </w:tcPr>
          <w:p>
            <w:pPr>
              <w:snapToGrid w:val="0"/>
              <w:jc w:val="center"/>
              <w:rPr>
                <w:rFonts w:ascii="Times New Roman" w:hAnsi="Times New Roman" w:eastAsia="宋体" w:cs="Times New Roman"/>
                <w:szCs w:val="21"/>
              </w:rPr>
            </w:pPr>
            <w:r>
              <w:rPr>
                <w:rFonts w:hint="eastAsia" w:ascii="Times New Roman" w:hAnsi="Times New Roman"/>
                <w:szCs w:val="21"/>
              </w:rPr>
              <w:t>ND</w:t>
            </w:r>
          </w:p>
        </w:tc>
        <w:tc>
          <w:tcPr>
            <w:tcW w:w="1247" w:type="dxa"/>
            <w:vAlign w:val="center"/>
          </w:tcPr>
          <w:p>
            <w:pPr>
              <w:snapToGrid w:val="0"/>
              <w:jc w:val="center"/>
              <w:rPr>
                <w:rFonts w:ascii="Times New Roman" w:hAnsi="Times New Roman" w:eastAsia="宋体" w:cs="Times New Roman"/>
                <w:szCs w:val="21"/>
              </w:rPr>
            </w:pPr>
            <w:r>
              <w:rPr>
                <w:rFonts w:hint="eastAsia" w:ascii="Times New Roman" w:hAnsi="Times New Roman"/>
                <w:szCs w:val="21"/>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25"/>
              <w:numPr>
                <w:ilvl w:val="0"/>
                <w:numId w:val="9"/>
              </w:numPr>
              <w:snapToGrid w:val="0"/>
              <w:ind w:firstLineChars="0"/>
              <w:jc w:val="center"/>
              <w:rPr>
                <w:rFonts w:ascii="Times New Roman" w:hAnsi="Times New Roman" w:eastAsia="宋体" w:cs="Times New Roman"/>
                <w:szCs w:val="21"/>
              </w:rPr>
            </w:pPr>
          </w:p>
        </w:tc>
        <w:tc>
          <w:tcPr>
            <w:tcW w:w="3317"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山东金宝电子股份有限公司</w:t>
            </w:r>
          </w:p>
        </w:tc>
        <w:tc>
          <w:tcPr>
            <w:tcW w:w="996" w:type="dxa"/>
            <w:vAlign w:val="center"/>
          </w:tcPr>
          <w:p>
            <w:pPr>
              <w:widowControl/>
              <w:jc w:val="center"/>
              <w:rPr>
                <w:rFonts w:ascii="Times New Roman" w:hAnsi="Times New Roman"/>
                <w:szCs w:val="21"/>
              </w:rPr>
            </w:pPr>
            <w:r>
              <w:rPr>
                <w:rFonts w:hint="eastAsia" w:ascii="Times New Roman" w:hAnsi="Times New Roman"/>
                <w:szCs w:val="21"/>
              </w:rPr>
              <w:t>0.35</w:t>
            </w:r>
          </w:p>
        </w:tc>
        <w:tc>
          <w:tcPr>
            <w:tcW w:w="1215" w:type="dxa"/>
            <w:vAlign w:val="center"/>
          </w:tcPr>
          <w:p>
            <w:pPr>
              <w:widowControl/>
              <w:jc w:val="center"/>
              <w:rPr>
                <w:rFonts w:ascii="Times New Roman" w:hAnsi="Times New Roman"/>
                <w:szCs w:val="21"/>
              </w:rPr>
            </w:pPr>
            <w:r>
              <w:rPr>
                <w:rFonts w:hint="eastAsia" w:ascii="Times New Roman" w:hAnsi="Times New Roman"/>
                <w:szCs w:val="21"/>
              </w:rPr>
              <w:t>1.5</w:t>
            </w:r>
          </w:p>
        </w:tc>
        <w:tc>
          <w:tcPr>
            <w:tcW w:w="1163"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1247" w:type="dxa"/>
            <w:vAlign w:val="center"/>
          </w:tcPr>
          <w:p>
            <w:pPr>
              <w:widowControl/>
              <w:jc w:val="center"/>
              <w:rPr>
                <w:rFonts w:ascii="Times New Roman" w:hAnsi="Times New Roman"/>
                <w:szCs w:val="21"/>
              </w:rPr>
            </w:pPr>
            <w:r>
              <w:rPr>
                <w:rFonts w:hint="eastAsia" w:ascii="Times New Roman" w:hAnsi="Times New Roman"/>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25"/>
              <w:numPr>
                <w:ilvl w:val="0"/>
                <w:numId w:val="9"/>
              </w:numPr>
              <w:snapToGrid w:val="0"/>
              <w:ind w:firstLineChars="0"/>
              <w:jc w:val="center"/>
              <w:rPr>
                <w:rFonts w:ascii="Times New Roman" w:hAnsi="Times New Roman" w:eastAsia="宋体" w:cs="Times New Roman"/>
                <w:szCs w:val="21"/>
              </w:rPr>
            </w:pPr>
          </w:p>
        </w:tc>
        <w:tc>
          <w:tcPr>
            <w:tcW w:w="3317"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铜陵市华创新材料有限公司</w:t>
            </w:r>
          </w:p>
        </w:tc>
        <w:tc>
          <w:tcPr>
            <w:tcW w:w="996" w:type="dxa"/>
            <w:vAlign w:val="center"/>
          </w:tcPr>
          <w:p>
            <w:pPr>
              <w:widowControl/>
              <w:jc w:val="center"/>
              <w:rPr>
                <w:rFonts w:ascii="Times New Roman" w:hAnsi="Times New Roman"/>
                <w:szCs w:val="21"/>
              </w:rPr>
            </w:pPr>
            <w:r>
              <w:rPr>
                <w:rFonts w:hint="eastAsia" w:ascii="Times New Roman" w:hAnsi="Times New Roman"/>
                <w:szCs w:val="21"/>
              </w:rPr>
              <w:t>0.093</w:t>
            </w:r>
          </w:p>
        </w:tc>
        <w:tc>
          <w:tcPr>
            <w:tcW w:w="1215" w:type="dxa"/>
            <w:vAlign w:val="center"/>
          </w:tcPr>
          <w:p>
            <w:pPr>
              <w:widowControl/>
              <w:jc w:val="center"/>
              <w:rPr>
                <w:rFonts w:ascii="Times New Roman" w:hAnsi="Times New Roman"/>
                <w:szCs w:val="21"/>
              </w:rPr>
            </w:pPr>
            <w:r>
              <w:rPr>
                <w:rFonts w:hint="eastAsia" w:ascii="Times New Roman" w:hAnsi="Times New Roman"/>
                <w:szCs w:val="21"/>
              </w:rPr>
              <w:t>0.018</w:t>
            </w:r>
          </w:p>
        </w:tc>
        <w:tc>
          <w:tcPr>
            <w:tcW w:w="1163"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1247" w:type="dxa"/>
            <w:vAlign w:val="center"/>
          </w:tcPr>
          <w:p>
            <w:pPr>
              <w:widowControl/>
              <w:jc w:val="center"/>
              <w:rPr>
                <w:rFonts w:ascii="Times New Roman" w:hAnsi="Times New Roman"/>
                <w:szCs w:val="21"/>
              </w:rPr>
            </w:pPr>
            <w:r>
              <w:rPr>
                <w:rFonts w:hint="eastAsia" w:ascii="Times New Roman" w:hAnsi="Times New Roman"/>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25"/>
              <w:numPr>
                <w:ilvl w:val="0"/>
                <w:numId w:val="9"/>
              </w:numPr>
              <w:snapToGrid w:val="0"/>
              <w:ind w:firstLineChars="0"/>
              <w:jc w:val="center"/>
              <w:rPr>
                <w:rFonts w:ascii="Times New Roman" w:hAnsi="Times New Roman" w:eastAsia="宋体" w:cs="Times New Roman"/>
                <w:szCs w:val="21"/>
              </w:rPr>
            </w:pPr>
          </w:p>
        </w:tc>
        <w:tc>
          <w:tcPr>
            <w:tcW w:w="3317"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圣达电气有限公司</w:t>
            </w:r>
          </w:p>
        </w:tc>
        <w:tc>
          <w:tcPr>
            <w:tcW w:w="996" w:type="dxa"/>
            <w:vAlign w:val="center"/>
          </w:tcPr>
          <w:p>
            <w:pPr>
              <w:widowControl/>
              <w:jc w:val="center"/>
              <w:rPr>
                <w:rFonts w:ascii="Times New Roman" w:hAnsi="Times New Roman"/>
                <w:szCs w:val="21"/>
              </w:rPr>
            </w:pPr>
            <w:r>
              <w:rPr>
                <w:rFonts w:hint="eastAsia" w:ascii="Times New Roman" w:hAnsi="Times New Roman"/>
                <w:szCs w:val="21"/>
              </w:rPr>
              <w:t>0.31</w:t>
            </w:r>
          </w:p>
        </w:tc>
        <w:tc>
          <w:tcPr>
            <w:tcW w:w="1215" w:type="dxa"/>
            <w:vAlign w:val="center"/>
          </w:tcPr>
          <w:p>
            <w:pPr>
              <w:snapToGrid w:val="0"/>
              <w:jc w:val="center"/>
              <w:rPr>
                <w:rFonts w:ascii="Times New Roman" w:hAnsi="Times New Roman" w:eastAsia="宋体" w:cs="Times New Roman"/>
                <w:szCs w:val="21"/>
              </w:rPr>
            </w:pPr>
            <w:r>
              <w:rPr>
                <w:rFonts w:hint="eastAsia" w:ascii="Times New Roman" w:hAnsi="Times New Roman"/>
                <w:szCs w:val="21"/>
              </w:rPr>
              <w:t>ND</w:t>
            </w:r>
          </w:p>
        </w:tc>
        <w:tc>
          <w:tcPr>
            <w:tcW w:w="1163" w:type="dxa"/>
            <w:vAlign w:val="center"/>
          </w:tcPr>
          <w:p>
            <w:pPr>
              <w:snapToGrid w:val="0"/>
              <w:jc w:val="center"/>
              <w:rPr>
                <w:rFonts w:ascii="Times New Roman" w:hAnsi="Times New Roman" w:eastAsia="宋体" w:cs="Times New Roman"/>
                <w:szCs w:val="21"/>
              </w:rPr>
            </w:pPr>
            <w:r>
              <w:rPr>
                <w:rFonts w:hint="eastAsia" w:ascii="Times New Roman" w:hAnsi="Times New Roman"/>
                <w:szCs w:val="21"/>
              </w:rPr>
              <w:t>ND</w:t>
            </w:r>
          </w:p>
        </w:tc>
        <w:tc>
          <w:tcPr>
            <w:tcW w:w="1247" w:type="dxa"/>
            <w:vAlign w:val="center"/>
          </w:tcPr>
          <w:p>
            <w:pPr>
              <w:widowControl/>
              <w:jc w:val="center"/>
              <w:rPr>
                <w:rFonts w:ascii="Times New Roman" w:hAnsi="Times New Roman"/>
                <w:szCs w:val="21"/>
              </w:rPr>
            </w:pPr>
            <w:r>
              <w:rPr>
                <w:rFonts w:hint="eastAsia" w:ascii="Times New Roman" w:hAnsi="Times New Roman"/>
                <w:szCs w:val="21"/>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25"/>
              <w:numPr>
                <w:ilvl w:val="0"/>
                <w:numId w:val="9"/>
              </w:numPr>
              <w:snapToGrid w:val="0"/>
              <w:ind w:firstLineChars="0"/>
              <w:jc w:val="center"/>
              <w:rPr>
                <w:rFonts w:ascii="Times New Roman" w:hAnsi="Times New Roman" w:eastAsia="宋体" w:cs="Times New Roman"/>
                <w:szCs w:val="21"/>
              </w:rPr>
            </w:pPr>
          </w:p>
        </w:tc>
        <w:tc>
          <w:tcPr>
            <w:tcW w:w="3317"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佛冈建滔实业有限公司</w:t>
            </w:r>
          </w:p>
        </w:tc>
        <w:tc>
          <w:tcPr>
            <w:tcW w:w="996"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1215"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1163"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1247"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25"/>
              <w:numPr>
                <w:ilvl w:val="0"/>
                <w:numId w:val="9"/>
              </w:numPr>
              <w:snapToGrid w:val="0"/>
              <w:ind w:firstLineChars="0"/>
              <w:jc w:val="center"/>
              <w:rPr>
                <w:rFonts w:ascii="Times New Roman" w:hAnsi="Times New Roman" w:eastAsia="宋体" w:cs="Times New Roman"/>
                <w:szCs w:val="21"/>
              </w:rPr>
            </w:pPr>
          </w:p>
        </w:tc>
        <w:tc>
          <w:tcPr>
            <w:tcW w:w="3317"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江西省江铜耶兹铜箔有限公司</w:t>
            </w:r>
          </w:p>
        </w:tc>
        <w:tc>
          <w:tcPr>
            <w:tcW w:w="996" w:type="dxa"/>
            <w:vAlign w:val="center"/>
          </w:tcPr>
          <w:p>
            <w:pPr>
              <w:snapToGrid w:val="0"/>
              <w:jc w:val="center"/>
              <w:rPr>
                <w:rFonts w:ascii="Times New Roman" w:hAnsi="Times New Roman" w:eastAsia="宋体" w:cs="Times New Roman"/>
                <w:szCs w:val="21"/>
              </w:rPr>
            </w:pPr>
            <w:r>
              <w:rPr>
                <w:rFonts w:hint="eastAsia" w:ascii="Times New Roman" w:hAnsi="Times New Roman"/>
                <w:szCs w:val="21"/>
              </w:rPr>
              <w:t>ND</w:t>
            </w:r>
          </w:p>
        </w:tc>
        <w:tc>
          <w:tcPr>
            <w:tcW w:w="1215" w:type="dxa"/>
            <w:vAlign w:val="center"/>
          </w:tcPr>
          <w:p>
            <w:pPr>
              <w:snapToGrid w:val="0"/>
              <w:jc w:val="center"/>
              <w:rPr>
                <w:rFonts w:ascii="Times New Roman" w:hAnsi="Times New Roman" w:eastAsia="宋体" w:cs="Times New Roman"/>
                <w:szCs w:val="21"/>
              </w:rPr>
            </w:pPr>
            <w:r>
              <w:rPr>
                <w:rFonts w:hint="eastAsia" w:ascii="Times New Roman" w:hAnsi="Times New Roman"/>
                <w:szCs w:val="21"/>
              </w:rPr>
              <w:t>ND</w:t>
            </w:r>
          </w:p>
        </w:tc>
        <w:tc>
          <w:tcPr>
            <w:tcW w:w="1163" w:type="dxa"/>
            <w:vAlign w:val="center"/>
          </w:tcPr>
          <w:p>
            <w:pPr>
              <w:snapToGrid w:val="0"/>
              <w:jc w:val="center"/>
              <w:rPr>
                <w:rFonts w:ascii="Times New Roman" w:hAnsi="Times New Roman" w:eastAsia="宋体" w:cs="Times New Roman"/>
                <w:szCs w:val="21"/>
              </w:rPr>
            </w:pPr>
            <w:r>
              <w:rPr>
                <w:rFonts w:hint="eastAsia" w:ascii="Times New Roman" w:hAnsi="Times New Roman"/>
                <w:szCs w:val="21"/>
              </w:rPr>
              <w:t>ND</w:t>
            </w:r>
          </w:p>
        </w:tc>
        <w:tc>
          <w:tcPr>
            <w:tcW w:w="1247" w:type="dxa"/>
            <w:vAlign w:val="center"/>
          </w:tcPr>
          <w:p>
            <w:pPr>
              <w:widowControl/>
              <w:jc w:val="center"/>
              <w:rPr>
                <w:rFonts w:ascii="Times New Roman" w:hAnsi="Times New Roman"/>
                <w:szCs w:val="21"/>
              </w:rPr>
            </w:pPr>
            <w:r>
              <w:rPr>
                <w:rFonts w:hint="eastAsia" w:ascii="Times New Roman" w:hAnsi="Times New Roman"/>
                <w:szCs w:val="21"/>
              </w:rPr>
              <w:t>0.00027%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25"/>
              <w:numPr>
                <w:ilvl w:val="0"/>
                <w:numId w:val="9"/>
              </w:numPr>
              <w:snapToGrid w:val="0"/>
              <w:ind w:firstLineChars="0"/>
              <w:jc w:val="center"/>
              <w:rPr>
                <w:rFonts w:ascii="Times New Roman" w:hAnsi="Times New Roman" w:eastAsia="宋体" w:cs="Times New Roman"/>
                <w:szCs w:val="21"/>
              </w:rPr>
            </w:pPr>
          </w:p>
        </w:tc>
        <w:tc>
          <w:tcPr>
            <w:tcW w:w="3317"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安徽铜冠铜箔有限公司</w:t>
            </w:r>
          </w:p>
        </w:tc>
        <w:tc>
          <w:tcPr>
            <w:tcW w:w="996" w:type="dxa"/>
            <w:vAlign w:val="center"/>
          </w:tcPr>
          <w:p>
            <w:pPr>
              <w:widowControl/>
              <w:jc w:val="center"/>
              <w:rPr>
                <w:rFonts w:ascii="Times New Roman" w:hAnsi="Times New Roman"/>
                <w:szCs w:val="21"/>
              </w:rPr>
            </w:pPr>
            <w:r>
              <w:rPr>
                <w:rFonts w:hint="eastAsia" w:ascii="Times New Roman" w:hAnsi="Times New Roman"/>
                <w:szCs w:val="21"/>
              </w:rPr>
              <w:t>0.65</w:t>
            </w:r>
          </w:p>
        </w:tc>
        <w:tc>
          <w:tcPr>
            <w:tcW w:w="1215" w:type="dxa"/>
            <w:vAlign w:val="center"/>
          </w:tcPr>
          <w:p>
            <w:pPr>
              <w:widowControl/>
              <w:jc w:val="center"/>
              <w:rPr>
                <w:rFonts w:ascii="Times New Roman" w:hAnsi="Times New Roman"/>
                <w:szCs w:val="21"/>
              </w:rPr>
            </w:pPr>
            <w:r>
              <w:rPr>
                <w:rFonts w:hint="eastAsia" w:ascii="Times New Roman" w:hAnsi="Times New Roman"/>
                <w:szCs w:val="21"/>
              </w:rPr>
              <w:t>0.76</w:t>
            </w:r>
          </w:p>
        </w:tc>
        <w:tc>
          <w:tcPr>
            <w:tcW w:w="1163"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1247" w:type="dxa"/>
            <w:vAlign w:val="center"/>
          </w:tcPr>
          <w:p>
            <w:pPr>
              <w:widowControl/>
              <w:jc w:val="center"/>
              <w:rPr>
                <w:rFonts w:ascii="Times New Roman" w:hAnsi="Times New Roman"/>
                <w:szCs w:val="21"/>
              </w:rPr>
            </w:pPr>
            <w:r>
              <w:rPr>
                <w:rFonts w:hint="eastAsia" w:ascii="Times New Roman" w:hAnsi="Times New Roman"/>
                <w:szCs w:val="21"/>
              </w:rPr>
              <w:t>0.406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25"/>
              <w:numPr>
                <w:ilvl w:val="0"/>
                <w:numId w:val="9"/>
              </w:numPr>
              <w:snapToGrid w:val="0"/>
              <w:ind w:firstLineChars="0"/>
              <w:jc w:val="center"/>
              <w:rPr>
                <w:rFonts w:ascii="Times New Roman" w:hAnsi="Times New Roman" w:eastAsia="宋体" w:cs="Times New Roman"/>
                <w:szCs w:val="21"/>
              </w:rPr>
            </w:pPr>
          </w:p>
        </w:tc>
        <w:tc>
          <w:tcPr>
            <w:tcW w:w="3317"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青海电子材料产业发展有限公司</w:t>
            </w:r>
          </w:p>
        </w:tc>
        <w:tc>
          <w:tcPr>
            <w:tcW w:w="996" w:type="dxa"/>
            <w:vAlign w:val="center"/>
          </w:tcPr>
          <w:p>
            <w:pPr>
              <w:widowControl/>
              <w:jc w:val="center"/>
              <w:rPr>
                <w:rFonts w:ascii="Times New Roman" w:hAnsi="Times New Roman"/>
                <w:szCs w:val="21"/>
              </w:rPr>
            </w:pPr>
            <w:r>
              <w:rPr>
                <w:rFonts w:hint="eastAsia" w:ascii="Times New Roman" w:hAnsi="Times New Roman"/>
                <w:szCs w:val="21"/>
              </w:rPr>
              <w:t>0.07</w:t>
            </w:r>
          </w:p>
        </w:tc>
        <w:tc>
          <w:tcPr>
            <w:tcW w:w="1215" w:type="dxa"/>
            <w:vAlign w:val="center"/>
          </w:tcPr>
          <w:p>
            <w:pPr>
              <w:widowControl/>
              <w:jc w:val="center"/>
              <w:rPr>
                <w:rFonts w:ascii="Times New Roman" w:hAnsi="Times New Roman"/>
                <w:szCs w:val="21"/>
              </w:rPr>
            </w:pPr>
            <w:r>
              <w:rPr>
                <w:rFonts w:hint="eastAsia" w:ascii="Times New Roman" w:hAnsi="Times New Roman"/>
                <w:szCs w:val="21"/>
              </w:rPr>
              <w:t>0.02L</w:t>
            </w:r>
          </w:p>
        </w:tc>
        <w:tc>
          <w:tcPr>
            <w:tcW w:w="1163" w:type="dxa"/>
            <w:vAlign w:val="center"/>
          </w:tcPr>
          <w:p>
            <w:pPr>
              <w:widowControl/>
              <w:jc w:val="center"/>
              <w:rPr>
                <w:rFonts w:ascii="Times New Roman" w:hAnsi="Times New Roman"/>
                <w:szCs w:val="21"/>
              </w:rPr>
            </w:pPr>
            <w:r>
              <w:rPr>
                <w:rFonts w:hint="eastAsia" w:ascii="Times New Roman" w:hAnsi="Times New Roman"/>
                <w:szCs w:val="21"/>
              </w:rPr>
              <w:t>0.2L</w:t>
            </w:r>
          </w:p>
        </w:tc>
        <w:tc>
          <w:tcPr>
            <w:tcW w:w="1247" w:type="dxa"/>
            <w:vAlign w:val="center"/>
          </w:tcPr>
          <w:p>
            <w:pPr>
              <w:widowControl/>
              <w:jc w:val="center"/>
              <w:rPr>
                <w:rFonts w:ascii="Times New Roman" w:hAnsi="Times New Roman"/>
                <w:szCs w:val="21"/>
              </w:rPr>
            </w:pPr>
            <w:r>
              <w:rPr>
                <w:rFonts w:hint="eastAsia" w:ascii="Times New Roman" w:hAnsi="Times New Roman"/>
                <w:szCs w:val="21"/>
              </w:rPr>
              <w:t>0.03L</w:t>
            </w:r>
          </w:p>
        </w:tc>
      </w:tr>
    </w:tbl>
    <w:p>
      <w:pPr>
        <w:snapToGrid w:val="0"/>
        <w:spacing w:before="156" w:beforeLines="50" w:line="360" w:lineRule="auto"/>
        <w:ind w:firstLine="482" w:firstLineChars="200"/>
        <w:rPr>
          <w:rFonts w:ascii="Times New Roman" w:hAnsi="Times New Roman" w:eastAsia="宋体" w:cs="Times New Roman"/>
          <w:b/>
          <w:color w:val="000000"/>
          <w:sz w:val="24"/>
          <w:szCs w:val="24"/>
        </w:rPr>
      </w:pPr>
      <w:r>
        <w:rPr>
          <w:rFonts w:hint="eastAsia" w:ascii="Times New Roman" w:hAnsi="Times New Roman" w:eastAsia="宋体" w:cs="Times New Roman"/>
          <w:b/>
          <w:color w:val="000000"/>
          <w:sz w:val="24"/>
          <w:szCs w:val="24"/>
        </w:rPr>
        <w:t>（</w:t>
      </w:r>
      <w:r>
        <w:rPr>
          <w:rFonts w:ascii="Times New Roman" w:hAnsi="Times New Roman" w:eastAsia="宋体" w:cs="Times New Roman"/>
          <w:b/>
          <w:color w:val="000000"/>
          <w:sz w:val="24"/>
          <w:szCs w:val="24"/>
        </w:rPr>
        <w:t>8</w:t>
      </w:r>
      <w:r>
        <w:rPr>
          <w:rFonts w:hint="eastAsia" w:ascii="Times New Roman" w:hAnsi="Times New Roman" w:eastAsia="宋体" w:cs="Times New Roman"/>
          <w:b/>
          <w:color w:val="000000"/>
          <w:sz w:val="24"/>
          <w:szCs w:val="24"/>
        </w:rPr>
        <w:t>）危废处置率</w:t>
      </w:r>
    </w:p>
    <w:p>
      <w:pPr>
        <w:snapToGrid w:val="0"/>
        <w:spacing w:before="156" w:beforeLines="50"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考虑绿色设计产品生命周期各阶段的评价指标选取要求，将危险废物处置率定为评价指标。对于纳入《国家危险废物名录》的危险废物，要求处置率1</w:t>
      </w:r>
      <w:r>
        <w:rPr>
          <w:rFonts w:ascii="Times New Roman" w:hAnsi="Times New Roman" w:eastAsia="宋体" w:cs="Times New Roman"/>
          <w:color w:val="000000"/>
          <w:sz w:val="24"/>
          <w:szCs w:val="24"/>
        </w:rPr>
        <w:t>00</w:t>
      </w:r>
      <w:r>
        <w:rPr>
          <w:rFonts w:hint="eastAsia" w:ascii="Times New Roman" w:hAnsi="Times New Roman" w:eastAsia="宋体" w:cs="Times New Roman"/>
          <w:color w:val="000000"/>
          <w:sz w:val="24"/>
          <w:szCs w:val="24"/>
        </w:rPr>
        <w:t>%。</w:t>
      </w:r>
    </w:p>
    <w:p>
      <w:pPr>
        <w:pStyle w:val="4"/>
        <w:spacing w:before="0" w:after="0" w:line="360" w:lineRule="auto"/>
        <w:rPr>
          <w:rFonts w:ascii="Times New Roman" w:hAnsi="Times New Roman"/>
          <w:sz w:val="24"/>
          <w:szCs w:val="24"/>
        </w:rPr>
      </w:pPr>
      <w:bookmarkStart w:id="21" w:name="_Toc6997292"/>
      <w:r>
        <w:rPr>
          <w:rFonts w:hint="eastAsia" w:ascii="Times New Roman" w:hAnsi="Times New Roman"/>
          <w:sz w:val="24"/>
          <w:szCs w:val="24"/>
        </w:rPr>
        <w:t>5、生命周期评价方法</w:t>
      </w:r>
      <w:bookmarkEnd w:id="21"/>
    </w:p>
    <w:p>
      <w:pPr>
        <w:snapToGrid w:val="0"/>
        <w:spacing w:before="156" w:beforeLines="50"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本标准依据G</w:t>
      </w:r>
      <w:r>
        <w:rPr>
          <w:rFonts w:ascii="Times New Roman" w:hAnsi="Times New Roman" w:eastAsia="宋体" w:cs="Times New Roman"/>
          <w:color w:val="000000"/>
          <w:sz w:val="24"/>
          <w:szCs w:val="24"/>
        </w:rPr>
        <w:t>B/T 32161</w:t>
      </w:r>
      <w:r>
        <w:rPr>
          <w:rFonts w:hint="eastAsia" w:ascii="Times New Roman" w:hAnsi="Times New Roman" w:eastAsia="宋体" w:cs="Times New Roman"/>
          <w:color w:val="000000"/>
          <w:sz w:val="24"/>
          <w:szCs w:val="24"/>
        </w:rPr>
        <w:t>生态设计产品评价通则，明确了绿色设计产品的评价过程、评价方法，并要求提供产品的生命周期评价报告。同时，根据电解铜箔产品生命周期特点，对生命周期评价方法学进行了进一步明确：</w:t>
      </w:r>
    </w:p>
    <w:p>
      <w:pPr>
        <w:snapToGrid w:val="0"/>
        <w:spacing w:before="156" w:beforeLines="50" w:line="360" w:lineRule="auto"/>
        <w:ind w:firstLine="482" w:firstLineChars="200"/>
        <w:rPr>
          <w:rFonts w:ascii="Times New Roman" w:hAnsi="Times New Roman" w:eastAsia="宋体" w:cs="Times New Roman"/>
          <w:b/>
          <w:color w:val="000000"/>
          <w:sz w:val="24"/>
          <w:szCs w:val="24"/>
        </w:rPr>
      </w:pPr>
      <w:r>
        <w:rPr>
          <w:rFonts w:hint="eastAsia" w:ascii="Times New Roman" w:hAnsi="Times New Roman" w:eastAsia="宋体" w:cs="Times New Roman"/>
          <w:b/>
          <w:color w:val="000000"/>
          <w:sz w:val="24"/>
          <w:szCs w:val="24"/>
        </w:rPr>
        <w:t>（1）确定生命周期评价范围</w:t>
      </w:r>
    </w:p>
    <w:p>
      <w:pPr>
        <w:snapToGrid w:val="0"/>
        <w:spacing w:before="156" w:beforeLines="50"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a）确定产品功能单位</w:t>
      </w:r>
    </w:p>
    <w:p>
      <w:pPr>
        <w:snapToGrid w:val="0"/>
        <w:spacing w:before="156" w:beforeLines="50"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根据电解铜箔产品的功能特点和生产情况进行确定，不同厚度的铜箔产品也可以按重量换算，且生产过程中，单位产品耗能和排放一般都依据重量计算，因此将产品功能单位确定为1kg电解铜箔产品。</w:t>
      </w:r>
    </w:p>
    <w:p>
      <w:pPr>
        <w:snapToGrid w:val="0"/>
        <w:spacing w:before="156" w:beforeLines="50"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b）系统边界</w:t>
      </w:r>
    </w:p>
    <w:p>
      <w:pPr>
        <w:snapToGrid w:val="0"/>
        <w:spacing w:before="156" w:beforeLines="50"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本标准界定的电解铜箔产品生命周期系统边界为原材料获取、产品生产、包装阶段。经过企业意见征求和专家咨询，原材料生产、产品使用和运输、废弃回用阶段的环境数据基本无法获取。本着生命周期理论与实用相协调的原则，不纳入以上生命周期阶段。</w:t>
      </w:r>
    </w:p>
    <w:p>
      <w:pPr>
        <w:snapToGrid w:val="0"/>
        <w:spacing w:before="156" w:beforeLines="50"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c）数据取舍原则</w:t>
      </w:r>
    </w:p>
    <w:p>
      <w:pPr>
        <w:pStyle w:val="25"/>
        <w:numPr>
          <w:ilvl w:val="0"/>
          <w:numId w:val="10"/>
        </w:numPr>
        <w:snapToGrid w:val="0"/>
        <w:spacing w:line="360" w:lineRule="auto"/>
        <w:ind w:left="901" w:firstLineChars="0"/>
        <w:rPr>
          <w:rFonts w:ascii="Times New Roman" w:hAnsi="Times New Roman" w:eastAsia="宋体" w:cs="Times New Roman"/>
          <w:color w:val="000000"/>
          <w:sz w:val="24"/>
          <w:szCs w:val="24"/>
        </w:rPr>
      </w:pPr>
      <w:bookmarkStart w:id="22" w:name="_Hlk514085506"/>
      <w:r>
        <w:rPr>
          <w:rFonts w:ascii="Times New Roman" w:hAnsi="Times New Roman" w:eastAsia="宋体" w:cs="Times New Roman"/>
          <w:color w:val="000000"/>
          <w:sz w:val="24"/>
          <w:szCs w:val="24"/>
        </w:rPr>
        <w:t>能源的所有输入均列出；</w:t>
      </w:r>
    </w:p>
    <w:p>
      <w:pPr>
        <w:pStyle w:val="25"/>
        <w:numPr>
          <w:ilvl w:val="0"/>
          <w:numId w:val="10"/>
        </w:numPr>
        <w:snapToGrid w:val="0"/>
        <w:spacing w:line="360" w:lineRule="auto"/>
        <w:ind w:left="901" w:firstLineChars="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资源</w:t>
      </w:r>
      <w:r>
        <w:rPr>
          <w:rFonts w:ascii="Times New Roman" w:hAnsi="Times New Roman" w:eastAsia="宋体" w:cs="Times New Roman"/>
          <w:color w:val="000000"/>
          <w:sz w:val="24"/>
          <w:szCs w:val="24"/>
        </w:rPr>
        <w:t>的所有输入均列出；</w:t>
      </w:r>
    </w:p>
    <w:p>
      <w:pPr>
        <w:pStyle w:val="25"/>
        <w:numPr>
          <w:ilvl w:val="0"/>
          <w:numId w:val="10"/>
        </w:numPr>
        <w:snapToGrid w:val="0"/>
        <w:spacing w:line="360" w:lineRule="auto"/>
        <w:ind w:left="901" w:firstLineChars="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大气、水体和土壤的各种排放物和废弃物均列出</w:t>
      </w:r>
      <w:r>
        <w:rPr>
          <w:rFonts w:ascii="Times New Roman" w:hAnsi="Times New Roman" w:eastAsia="宋体" w:cs="Times New Roman"/>
          <w:color w:val="000000"/>
          <w:sz w:val="24"/>
          <w:szCs w:val="24"/>
        </w:rPr>
        <w:t>；</w:t>
      </w:r>
    </w:p>
    <w:p>
      <w:pPr>
        <w:pStyle w:val="25"/>
        <w:numPr>
          <w:ilvl w:val="0"/>
          <w:numId w:val="10"/>
        </w:numPr>
        <w:snapToGrid w:val="0"/>
        <w:spacing w:line="360" w:lineRule="auto"/>
        <w:ind w:left="901" w:firstLineChars="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对于生命周期评价（</w:t>
      </w:r>
      <w:r>
        <w:rPr>
          <w:rFonts w:ascii="Times New Roman" w:hAnsi="Times New Roman" w:eastAsia="宋体" w:cs="Times New Roman"/>
          <w:color w:val="000000"/>
          <w:sz w:val="24"/>
          <w:szCs w:val="24"/>
        </w:rPr>
        <w:t>LCA</w:t>
      </w:r>
      <w:r>
        <w:rPr>
          <w:rFonts w:hint="eastAsia" w:ascii="Times New Roman" w:hAnsi="Times New Roman" w:eastAsia="宋体" w:cs="Times New Roman"/>
          <w:color w:val="000000"/>
          <w:sz w:val="24"/>
          <w:szCs w:val="24"/>
        </w:rPr>
        <w:t>）结果影响不大的一部分能耗、原辅材料、使用阶段耗材等消耗，可忽略；</w:t>
      </w:r>
    </w:p>
    <w:p>
      <w:pPr>
        <w:pStyle w:val="25"/>
        <w:numPr>
          <w:ilvl w:val="0"/>
          <w:numId w:val="10"/>
        </w:numPr>
        <w:snapToGrid w:val="0"/>
        <w:spacing w:line="360" w:lineRule="auto"/>
        <w:ind w:left="901" w:firstLineChars="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原则上包括与所选环境影响类型相关的所有环境排放，但在估计排放数据对结果影响不大的情况下（如小于1</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时）可忽略，但总共忽略的排放推荐不超过对应指标总值的5</w:t>
      </w:r>
      <w:r>
        <w:rPr>
          <w:rFonts w:hint="eastAsia" w:ascii="Times New Roman" w:hAnsi="Times New Roman" w:eastAsia="宋体" w:cs="Times New Roman"/>
          <w:color w:val="000000"/>
          <w:sz w:val="24"/>
          <w:szCs w:val="24"/>
        </w:rPr>
        <w:t>%；</w:t>
      </w:r>
    </w:p>
    <w:p>
      <w:pPr>
        <w:pStyle w:val="25"/>
        <w:numPr>
          <w:ilvl w:val="0"/>
          <w:numId w:val="10"/>
        </w:numPr>
        <w:snapToGrid w:val="0"/>
        <w:spacing w:line="360" w:lineRule="auto"/>
        <w:ind w:left="901" w:firstLineChars="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道路与厂房的基础设施、各工序的设备、厂区内人员及生活设施的消耗和排放，均忽略；</w:t>
      </w:r>
    </w:p>
    <w:p>
      <w:pPr>
        <w:pStyle w:val="25"/>
        <w:numPr>
          <w:ilvl w:val="0"/>
          <w:numId w:val="10"/>
        </w:numPr>
        <w:snapToGrid w:val="0"/>
        <w:spacing w:line="360" w:lineRule="auto"/>
        <w:ind w:left="901" w:firstLineChars="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取舍原则不适用于有毒有害物质，</w:t>
      </w:r>
      <w:r>
        <w:rPr>
          <w:rFonts w:ascii="Times New Roman" w:hAnsi="Times New Roman" w:eastAsia="宋体" w:cs="Times New Roman"/>
          <w:color w:val="000000"/>
          <w:sz w:val="24"/>
          <w:szCs w:val="24"/>
        </w:rPr>
        <w:t>任何有毒有害的材料和物质均应包含于清单中，不可忽略。</w:t>
      </w:r>
      <w:bookmarkEnd w:id="22"/>
    </w:p>
    <w:p>
      <w:pPr>
        <w:pStyle w:val="25"/>
        <w:numPr>
          <w:ilvl w:val="0"/>
          <w:numId w:val="10"/>
        </w:numPr>
        <w:snapToGrid w:val="0"/>
        <w:spacing w:line="360" w:lineRule="auto"/>
        <w:ind w:left="901" w:firstLineChars="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应该对数据清单中难以获得的数据及其替代数据进行解释说明和敏感性分析。</w:t>
      </w:r>
    </w:p>
    <w:p>
      <w:pPr>
        <w:snapToGrid w:val="0"/>
        <w:spacing w:before="156" w:beforeLines="50" w:line="360" w:lineRule="auto"/>
        <w:ind w:firstLine="482" w:firstLineChars="200"/>
        <w:rPr>
          <w:rFonts w:ascii="Times New Roman" w:hAnsi="Times New Roman" w:eastAsia="宋体" w:cs="Times New Roman"/>
          <w:b/>
          <w:color w:val="000000"/>
          <w:sz w:val="24"/>
          <w:szCs w:val="24"/>
        </w:rPr>
      </w:pPr>
      <w:r>
        <w:rPr>
          <w:rFonts w:hint="eastAsia" w:ascii="Times New Roman" w:hAnsi="Times New Roman" w:eastAsia="宋体" w:cs="Times New Roman"/>
          <w:b/>
          <w:color w:val="000000"/>
          <w:sz w:val="24"/>
          <w:szCs w:val="24"/>
        </w:rPr>
        <w:t>（2）生命周期清单分析</w:t>
      </w:r>
    </w:p>
    <w:p>
      <w:pPr>
        <w:snapToGrid w:val="0"/>
        <w:spacing w:before="156" w:beforeLines="50"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依据生命周期阶段的确定，确认各阶段现场数据和背景数据的采集原则和质量要求。</w:t>
      </w:r>
    </w:p>
    <w:p>
      <w:pPr>
        <w:snapToGrid w:val="0"/>
        <w:spacing w:before="156" w:beforeLines="50"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确定数据分配的原则。根据电解铜箔产品生产的特点和功能单位的确定，产品主要材料、功能比较一致，因此选取</w:t>
      </w:r>
      <w:r>
        <w:rPr>
          <w:rFonts w:ascii="Times New Roman" w:hAnsi="Times New Roman" w:eastAsia="宋体" w:cs="Times New Roman"/>
          <w:color w:val="000000"/>
          <w:sz w:val="24"/>
          <w:szCs w:val="24"/>
        </w:rPr>
        <w:t>“</w:t>
      </w:r>
      <w:r>
        <w:rPr>
          <w:rFonts w:hint="eastAsia" w:ascii="Times New Roman" w:hAnsi="Times New Roman" w:eastAsia="宋体" w:cs="Times New Roman"/>
          <w:color w:val="000000"/>
          <w:sz w:val="24"/>
          <w:szCs w:val="24"/>
        </w:rPr>
        <w:t>产量分配</w:t>
      </w:r>
      <w:r>
        <w:rPr>
          <w:rFonts w:ascii="Times New Roman" w:hAnsi="Times New Roman" w:eastAsia="宋体" w:cs="Times New Roman"/>
          <w:color w:val="000000"/>
          <w:sz w:val="24"/>
          <w:szCs w:val="24"/>
        </w:rPr>
        <w:t>”</w:t>
      </w:r>
      <w:r>
        <w:rPr>
          <w:rFonts w:hint="eastAsia" w:ascii="Times New Roman" w:hAnsi="Times New Roman" w:eastAsia="宋体" w:cs="Times New Roman"/>
          <w:color w:val="000000"/>
          <w:sz w:val="24"/>
          <w:szCs w:val="24"/>
        </w:rPr>
        <w:t>作为分摊的比例，即产量越大的产品，其数据分摊额度就越大。</w:t>
      </w:r>
    </w:p>
    <w:p>
      <w:pPr>
        <w:snapToGrid w:val="0"/>
        <w:spacing w:before="156" w:beforeLines="50" w:line="360" w:lineRule="auto"/>
        <w:ind w:firstLine="482" w:firstLineChars="200"/>
        <w:rPr>
          <w:rFonts w:ascii="Times New Roman" w:hAnsi="Times New Roman" w:eastAsia="宋体" w:cs="Times New Roman"/>
          <w:b/>
          <w:color w:val="000000"/>
          <w:sz w:val="24"/>
          <w:szCs w:val="24"/>
        </w:rPr>
      </w:pPr>
      <w:r>
        <w:rPr>
          <w:rFonts w:hint="eastAsia" w:ascii="Times New Roman" w:hAnsi="Times New Roman" w:eastAsia="宋体" w:cs="Times New Roman"/>
          <w:b/>
          <w:color w:val="000000"/>
          <w:sz w:val="24"/>
          <w:szCs w:val="24"/>
        </w:rPr>
        <w:t>（3）生命周期影响评价</w:t>
      </w:r>
    </w:p>
    <w:p>
      <w:pPr>
        <w:snapToGrid w:val="0"/>
        <w:spacing w:before="156" w:beforeLines="50"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根据电解铜箔原材料使用、产品生产、包装材料的实际情况，确定数据采集清单。</w:t>
      </w:r>
    </w:p>
    <w:p>
      <w:pPr>
        <w:snapToGrid w:val="0"/>
        <w:spacing w:before="156" w:beforeLines="50"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根据电解铜箔产品的主要工艺、排放对环境的影响，进行因子归类，明确产品生命周期的主要环境影响类型，同时依据现有生命周期数据库数据，明确各类型的特征化因子。</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0"/>
        <w:gridCol w:w="2384"/>
        <w:gridCol w:w="2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0" w:type="dxa"/>
          </w:tcPr>
          <w:p>
            <w:pPr>
              <w:spacing w:line="360" w:lineRule="auto"/>
              <w:jc w:val="center"/>
              <w:rPr>
                <w:rFonts w:ascii="Times New Roman" w:hAnsi="Times New Roman"/>
                <w:szCs w:val="21"/>
              </w:rPr>
            </w:pPr>
            <w:r>
              <w:rPr>
                <w:rFonts w:hint="eastAsia" w:ascii="Times New Roman" w:hAnsi="Times New Roman"/>
                <w:szCs w:val="21"/>
              </w:rPr>
              <w:t>影响因素</w:t>
            </w:r>
          </w:p>
        </w:tc>
        <w:tc>
          <w:tcPr>
            <w:tcW w:w="2384" w:type="dxa"/>
          </w:tcPr>
          <w:p>
            <w:pPr>
              <w:spacing w:line="360" w:lineRule="auto"/>
              <w:jc w:val="center"/>
              <w:rPr>
                <w:rFonts w:ascii="Times New Roman" w:hAnsi="Times New Roman"/>
                <w:szCs w:val="21"/>
              </w:rPr>
            </w:pPr>
            <w:r>
              <w:rPr>
                <w:rFonts w:hint="eastAsia" w:ascii="Times New Roman" w:hAnsi="Times New Roman"/>
                <w:szCs w:val="21"/>
              </w:rPr>
              <w:t>影响类型</w:t>
            </w:r>
          </w:p>
        </w:tc>
        <w:tc>
          <w:tcPr>
            <w:tcW w:w="2633" w:type="dxa"/>
          </w:tcPr>
          <w:p>
            <w:pPr>
              <w:spacing w:line="360" w:lineRule="auto"/>
              <w:jc w:val="center"/>
              <w:rPr>
                <w:rFonts w:ascii="Times New Roman" w:hAnsi="Times New Roman"/>
                <w:szCs w:val="21"/>
              </w:rPr>
            </w:pPr>
            <w:r>
              <w:rPr>
                <w:rFonts w:hint="eastAsia" w:ascii="Times New Roman" w:hAnsi="Times New Roman"/>
                <w:szCs w:val="21"/>
              </w:rPr>
              <w:t>清单因子归类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0" w:type="dxa"/>
          </w:tcPr>
          <w:p>
            <w:pPr>
              <w:spacing w:line="360" w:lineRule="auto"/>
              <w:jc w:val="center"/>
              <w:rPr>
                <w:rFonts w:ascii="Times New Roman" w:hAnsi="Times New Roman"/>
                <w:szCs w:val="21"/>
              </w:rPr>
            </w:pPr>
            <w:r>
              <w:rPr>
                <w:rFonts w:hint="eastAsia" w:ascii="Times New Roman" w:hAnsi="Times New Roman"/>
                <w:szCs w:val="21"/>
              </w:rPr>
              <w:t>消耗原材料为铜</w:t>
            </w:r>
          </w:p>
        </w:tc>
        <w:tc>
          <w:tcPr>
            <w:tcW w:w="2384" w:type="dxa"/>
          </w:tcPr>
          <w:p>
            <w:pPr>
              <w:spacing w:line="360" w:lineRule="auto"/>
              <w:jc w:val="center"/>
              <w:rPr>
                <w:rFonts w:ascii="Times New Roman" w:hAnsi="Times New Roman"/>
                <w:szCs w:val="21"/>
              </w:rPr>
            </w:pPr>
            <w:r>
              <w:rPr>
                <w:rFonts w:hint="eastAsia" w:ascii="Times New Roman" w:hAnsi="Times New Roman"/>
                <w:szCs w:val="21"/>
              </w:rPr>
              <w:t>不可再生资源消耗</w:t>
            </w:r>
          </w:p>
        </w:tc>
        <w:tc>
          <w:tcPr>
            <w:tcW w:w="2633" w:type="dxa"/>
          </w:tcPr>
          <w:p>
            <w:pPr>
              <w:spacing w:line="360" w:lineRule="auto"/>
              <w:jc w:val="center"/>
              <w:rPr>
                <w:rFonts w:ascii="Times New Roman" w:hAnsi="Times New Roman"/>
                <w:szCs w:val="21"/>
              </w:rPr>
            </w:pPr>
            <w:r>
              <w:rPr>
                <w:rFonts w:hint="eastAsia" w:ascii="Times New Roman" w:hAnsi="Times New Roman"/>
                <w:szCs w:val="21"/>
              </w:rPr>
              <w:t>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0" w:type="dxa"/>
          </w:tcPr>
          <w:p>
            <w:pPr>
              <w:spacing w:line="360" w:lineRule="auto"/>
              <w:jc w:val="center"/>
              <w:rPr>
                <w:rFonts w:ascii="Times New Roman" w:hAnsi="Times New Roman"/>
                <w:szCs w:val="21"/>
              </w:rPr>
            </w:pPr>
            <w:r>
              <w:rPr>
                <w:rFonts w:hint="eastAsia" w:ascii="Times New Roman" w:hAnsi="Times New Roman"/>
                <w:szCs w:val="21"/>
              </w:rPr>
              <w:t>主要废气排放物</w:t>
            </w:r>
          </w:p>
        </w:tc>
        <w:tc>
          <w:tcPr>
            <w:tcW w:w="2384" w:type="dxa"/>
          </w:tcPr>
          <w:p>
            <w:pPr>
              <w:spacing w:line="360" w:lineRule="auto"/>
              <w:jc w:val="center"/>
              <w:rPr>
                <w:rFonts w:ascii="Times New Roman" w:hAnsi="Times New Roman"/>
                <w:szCs w:val="21"/>
              </w:rPr>
            </w:pPr>
            <w:r>
              <w:rPr>
                <w:rFonts w:hint="eastAsia" w:ascii="Times New Roman" w:hAnsi="Times New Roman"/>
                <w:szCs w:val="21"/>
              </w:rPr>
              <w:t>气候变化</w:t>
            </w:r>
          </w:p>
        </w:tc>
        <w:tc>
          <w:tcPr>
            <w:tcW w:w="2633" w:type="dxa"/>
          </w:tcPr>
          <w:p>
            <w:pPr>
              <w:spacing w:line="360" w:lineRule="auto"/>
              <w:jc w:val="center"/>
              <w:rPr>
                <w:rFonts w:ascii="Times New Roman" w:hAnsi="Times New Roman"/>
                <w:szCs w:val="21"/>
              </w:rPr>
            </w:pPr>
            <w:r>
              <w:rPr>
                <w:rFonts w:hint="eastAsia" w:ascii="Times New Roman" w:hAnsi="Times New Roman"/>
                <w:szCs w:val="21"/>
              </w:rPr>
              <w:t>CO</w:t>
            </w:r>
            <w:r>
              <w:rPr>
                <w:rFonts w:hint="eastAsia" w:ascii="Times New Roman" w:hAnsi="Times New Roman"/>
                <w:szCs w:val="21"/>
                <w:vertAlign w:val="subscript"/>
              </w:rPr>
              <w:t>2</w:t>
            </w:r>
            <w:r>
              <w:rPr>
                <w:rFonts w:ascii="Times New Roman" w:hAnsi="Times New Roman"/>
                <w:szCs w:val="21"/>
              </w:rPr>
              <w:t xml:space="preserve"> </w:t>
            </w:r>
            <w:r>
              <w:rPr>
                <w:rFonts w:hint="eastAsia" w:ascii="Times New Roman" w:hAnsi="Times New Roman"/>
                <w:szCs w:val="21"/>
              </w:rPr>
              <w:t>CH</w:t>
            </w:r>
            <w:r>
              <w:rPr>
                <w:rFonts w:hint="eastAsia" w:ascii="Times New Roman" w:hAnsi="Times New Roman"/>
                <w:szCs w:val="21"/>
                <w:vertAlign w:val="sub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0" w:type="dxa"/>
          </w:tcPr>
          <w:p>
            <w:pPr>
              <w:spacing w:line="360" w:lineRule="auto"/>
              <w:jc w:val="center"/>
              <w:rPr>
                <w:rFonts w:ascii="Times New Roman" w:hAnsi="Times New Roman"/>
                <w:szCs w:val="21"/>
              </w:rPr>
            </w:pPr>
            <w:r>
              <w:rPr>
                <w:rFonts w:hint="eastAsia" w:ascii="Times New Roman" w:hAnsi="Times New Roman"/>
                <w:szCs w:val="21"/>
              </w:rPr>
              <w:t>主要废气排放物</w:t>
            </w:r>
          </w:p>
        </w:tc>
        <w:tc>
          <w:tcPr>
            <w:tcW w:w="2384" w:type="dxa"/>
          </w:tcPr>
          <w:p>
            <w:pPr>
              <w:spacing w:line="360" w:lineRule="auto"/>
              <w:jc w:val="center"/>
              <w:rPr>
                <w:rFonts w:ascii="Times New Roman" w:hAnsi="Times New Roman"/>
                <w:szCs w:val="21"/>
              </w:rPr>
            </w:pPr>
            <w:r>
              <w:rPr>
                <w:rFonts w:hint="eastAsia" w:ascii="Times New Roman" w:hAnsi="Times New Roman"/>
                <w:szCs w:val="21"/>
              </w:rPr>
              <w:t>酸化</w:t>
            </w:r>
          </w:p>
        </w:tc>
        <w:tc>
          <w:tcPr>
            <w:tcW w:w="2633" w:type="dxa"/>
          </w:tcPr>
          <w:p>
            <w:pPr>
              <w:spacing w:line="360" w:lineRule="auto"/>
              <w:jc w:val="center"/>
              <w:rPr>
                <w:rFonts w:ascii="Times New Roman" w:hAnsi="Times New Roman"/>
                <w:szCs w:val="21"/>
              </w:rPr>
            </w:pPr>
            <w:r>
              <w:rPr>
                <w:rFonts w:hint="eastAsia" w:ascii="Times New Roman" w:hAnsi="Times New Roman"/>
                <w:szCs w:val="21"/>
              </w:rPr>
              <w:t>SO</w:t>
            </w:r>
            <w:r>
              <w:rPr>
                <w:rFonts w:hint="eastAsia" w:ascii="Times New Roman" w:hAnsi="Times New Roman"/>
                <w:szCs w:val="21"/>
                <w:vertAlign w:val="subscript"/>
              </w:rPr>
              <w:t>2</w:t>
            </w:r>
            <w:r>
              <w:rPr>
                <w:rFonts w:hint="eastAsia" w:ascii="Times New Roman" w:hAnsi="Times New Roman"/>
                <w:szCs w:val="21"/>
              </w:rPr>
              <w:t>、硫酸、氮氧化物</w:t>
            </w:r>
          </w:p>
        </w:tc>
      </w:tr>
    </w:tbl>
    <w:p>
      <w:pPr>
        <w:ind w:firstLine="420"/>
        <w:rPr>
          <w:rFonts w:ascii="Times New Roman" w:hAnsi="Times New Roman"/>
        </w:rPr>
      </w:pPr>
    </w:p>
    <w:p>
      <w:pPr>
        <w:pStyle w:val="2"/>
        <w:spacing w:before="0" w:beforeAutospacing="0" w:after="0" w:afterAutospacing="0" w:line="360" w:lineRule="auto"/>
        <w:rPr>
          <w:rFonts w:ascii="Times New Roman" w:hAnsi="Times New Roman"/>
          <w:sz w:val="28"/>
          <w:szCs w:val="28"/>
        </w:rPr>
      </w:pPr>
      <w:bookmarkStart w:id="23" w:name="_Toc6997293"/>
      <w:r>
        <w:rPr>
          <w:rFonts w:hint="eastAsia" w:ascii="Times New Roman" w:hAnsi="Times New Roman"/>
          <w:sz w:val="28"/>
          <w:szCs w:val="28"/>
        </w:rPr>
        <w:t>四、采用国际标准和国外先进标准的情况，与国际、国内同类标准水平的对比情况</w:t>
      </w:r>
      <w:bookmarkEnd w:id="23"/>
    </w:p>
    <w:p>
      <w:pPr>
        <w:snapToGrid w:val="0"/>
        <w:spacing w:before="156" w:beforeLines="50"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本标准没有采用国际标准，在制定过程中未检测到同类国际标准；</w:t>
      </w:r>
    </w:p>
    <w:p>
      <w:pPr>
        <w:snapToGrid w:val="0"/>
        <w:spacing w:before="156" w:beforeLines="50"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目前我国无</w:t>
      </w:r>
      <w:r>
        <w:rPr>
          <w:rFonts w:hint="eastAsia" w:ascii="Times New Roman" w:hAnsi="Times New Roman" w:eastAsia="宋体" w:cs="Times New Roman"/>
          <w:color w:val="000000"/>
          <w:sz w:val="24"/>
          <w:szCs w:val="24"/>
        </w:rPr>
        <w:t>相应产品的绿色设计评价</w:t>
      </w:r>
      <w:r>
        <w:rPr>
          <w:rFonts w:ascii="Times New Roman" w:hAnsi="Times New Roman" w:eastAsia="宋体" w:cs="Times New Roman"/>
          <w:color w:val="000000"/>
          <w:sz w:val="24"/>
          <w:szCs w:val="24"/>
        </w:rPr>
        <w:t>国家</w:t>
      </w:r>
      <w:r>
        <w:rPr>
          <w:rFonts w:hint="eastAsia" w:ascii="Times New Roman" w:hAnsi="Times New Roman" w:eastAsia="宋体" w:cs="Times New Roman"/>
          <w:color w:val="000000"/>
          <w:sz w:val="24"/>
          <w:szCs w:val="24"/>
        </w:rPr>
        <w:t>标准</w:t>
      </w:r>
      <w:r>
        <w:rPr>
          <w:rFonts w:ascii="Times New Roman" w:hAnsi="Times New Roman" w:eastAsia="宋体" w:cs="Times New Roman"/>
          <w:color w:val="000000"/>
          <w:sz w:val="24"/>
          <w:szCs w:val="24"/>
        </w:rPr>
        <w:t>或行业标准，本标准是新制定</w:t>
      </w:r>
      <w:r>
        <w:rPr>
          <w:rFonts w:hint="eastAsia" w:ascii="Times New Roman" w:hAnsi="Times New Roman" w:eastAsia="宋体" w:cs="Times New Roman"/>
          <w:color w:val="000000"/>
          <w:sz w:val="24"/>
          <w:szCs w:val="24"/>
        </w:rPr>
        <w:t>的协会</w:t>
      </w:r>
      <w:r>
        <w:rPr>
          <w:rFonts w:ascii="Times New Roman" w:hAnsi="Times New Roman" w:eastAsia="宋体" w:cs="Times New Roman"/>
          <w:color w:val="000000"/>
          <w:sz w:val="24"/>
          <w:szCs w:val="24"/>
        </w:rPr>
        <w:t>标准</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本标准的制定是</w:t>
      </w:r>
      <w:r>
        <w:rPr>
          <w:rFonts w:hint="eastAsia" w:ascii="Times New Roman" w:hAnsi="Times New Roman" w:eastAsia="宋体" w:cs="Times New Roman"/>
          <w:color w:val="FF0000"/>
          <w:sz w:val="24"/>
          <w:szCs w:val="24"/>
          <w:lang w:eastAsia="zh-CN"/>
        </w:rPr>
        <w:t>有色金属</w:t>
      </w:r>
      <w:r>
        <w:rPr>
          <w:rFonts w:hint="eastAsia" w:ascii="Times New Roman" w:hAnsi="Times New Roman" w:eastAsia="宋体" w:cs="Times New Roman"/>
          <w:color w:val="000000"/>
          <w:sz w:val="24"/>
          <w:szCs w:val="24"/>
        </w:rPr>
        <w:t>标准体系，也是现有绿色制造标准体系</w:t>
      </w:r>
      <w:r>
        <w:rPr>
          <w:rFonts w:ascii="Times New Roman" w:hAnsi="Times New Roman" w:eastAsia="宋体" w:cs="Times New Roman"/>
          <w:color w:val="000000"/>
          <w:sz w:val="24"/>
          <w:szCs w:val="24"/>
        </w:rPr>
        <w:t>的完善和补充。</w:t>
      </w:r>
      <w:r>
        <w:rPr>
          <w:rFonts w:hint="eastAsia" w:ascii="Times New Roman" w:hAnsi="Times New Roman" w:eastAsia="宋体" w:cs="Times New Roman"/>
          <w:color w:val="000000"/>
          <w:sz w:val="24"/>
          <w:szCs w:val="24"/>
        </w:rPr>
        <w:t>部分指标填补了现有同类产品标准的空白，部分指标高于现有标准，符合绿色设计产品标准的制定原则。</w:t>
      </w:r>
    </w:p>
    <w:p>
      <w:pPr>
        <w:pStyle w:val="2"/>
        <w:spacing w:before="0" w:beforeAutospacing="0" w:after="0" w:afterAutospacing="0" w:line="360" w:lineRule="auto"/>
        <w:rPr>
          <w:rFonts w:ascii="Times New Roman" w:hAnsi="Times New Roman"/>
          <w:sz w:val="28"/>
          <w:szCs w:val="28"/>
        </w:rPr>
      </w:pPr>
      <w:bookmarkStart w:id="24" w:name="_Toc6997294"/>
      <w:r>
        <w:rPr>
          <w:rFonts w:hint="eastAsia" w:ascii="Times New Roman" w:hAnsi="Times New Roman"/>
          <w:sz w:val="28"/>
          <w:szCs w:val="28"/>
        </w:rPr>
        <w:t>五、与有关现行法律、法规和强制性国家标准的关系</w:t>
      </w:r>
      <w:bookmarkEnd w:id="24"/>
    </w:p>
    <w:p>
      <w:pPr>
        <w:snapToGrid w:val="0"/>
        <w:spacing w:before="156" w:beforeLines="50"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本标准符合国家绿色制造体系建设的政策与国家、行业标准化行动计划相一致，与相关法律、法规、规章及相关标准相协调，没有冲突。</w:t>
      </w:r>
    </w:p>
    <w:p>
      <w:pPr>
        <w:pStyle w:val="2"/>
        <w:spacing w:before="0" w:beforeAutospacing="0" w:after="0" w:afterAutospacing="0" w:line="360" w:lineRule="auto"/>
        <w:rPr>
          <w:rFonts w:ascii="Times New Roman" w:hAnsi="Times New Roman"/>
          <w:sz w:val="28"/>
          <w:szCs w:val="28"/>
        </w:rPr>
      </w:pPr>
      <w:bookmarkStart w:id="25" w:name="_Toc6997295"/>
      <w:r>
        <w:rPr>
          <w:rFonts w:hint="eastAsia" w:ascii="Times New Roman" w:hAnsi="Times New Roman"/>
          <w:sz w:val="28"/>
          <w:szCs w:val="28"/>
        </w:rPr>
        <w:t>六、重大分歧意见的处理经过和依据</w:t>
      </w:r>
      <w:bookmarkEnd w:id="25"/>
    </w:p>
    <w:p>
      <w:pPr>
        <w:snapToGrid w:val="0"/>
        <w:spacing w:before="156" w:beforeLines="50"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无</w:t>
      </w:r>
    </w:p>
    <w:p>
      <w:pPr>
        <w:pStyle w:val="2"/>
        <w:spacing w:before="0" w:beforeAutospacing="0" w:after="0" w:afterAutospacing="0" w:line="360" w:lineRule="auto"/>
        <w:rPr>
          <w:rFonts w:ascii="Times New Roman" w:hAnsi="Times New Roman"/>
          <w:sz w:val="28"/>
          <w:szCs w:val="28"/>
        </w:rPr>
      </w:pPr>
      <w:bookmarkStart w:id="26" w:name="_Toc6997296"/>
      <w:r>
        <w:rPr>
          <w:rFonts w:hint="eastAsia" w:ascii="Times New Roman" w:hAnsi="Times New Roman"/>
          <w:sz w:val="28"/>
          <w:szCs w:val="28"/>
        </w:rPr>
        <w:t>七、国家标准作为强制性国家标准或推荐性国家标准的建议</w:t>
      </w:r>
      <w:bookmarkEnd w:id="26"/>
    </w:p>
    <w:p>
      <w:pPr>
        <w:snapToGrid w:val="0"/>
        <w:spacing w:before="156" w:beforeLines="50"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建议作为推荐性标准颁布实施。</w:t>
      </w:r>
    </w:p>
    <w:p>
      <w:pPr>
        <w:pStyle w:val="2"/>
        <w:spacing w:before="0" w:beforeAutospacing="0" w:after="0" w:afterAutospacing="0" w:line="360" w:lineRule="auto"/>
        <w:rPr>
          <w:rFonts w:ascii="Times New Roman" w:hAnsi="Times New Roman"/>
          <w:sz w:val="28"/>
          <w:szCs w:val="28"/>
        </w:rPr>
      </w:pPr>
      <w:bookmarkStart w:id="27" w:name="_Toc6997297"/>
      <w:r>
        <w:rPr>
          <w:rFonts w:hint="eastAsia" w:ascii="Times New Roman" w:hAnsi="Times New Roman"/>
          <w:sz w:val="28"/>
          <w:szCs w:val="28"/>
        </w:rPr>
        <w:t>八、贯彻标准的要求和措施建议</w:t>
      </w:r>
      <w:bookmarkEnd w:id="27"/>
      <w:bookmarkStart w:id="31" w:name="_GoBack"/>
      <w:bookmarkEnd w:id="31"/>
    </w:p>
    <w:p>
      <w:pPr>
        <w:snapToGrid w:val="0"/>
        <w:spacing w:before="156" w:beforeLines="50"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建议标准颁布后</w:t>
      </w:r>
      <w:r>
        <w:rPr>
          <w:rFonts w:hint="eastAsia" w:ascii="Times New Roman" w:hAnsi="Times New Roman" w:eastAsia="宋体" w:cs="Times New Roman"/>
          <w:color w:val="FF0000"/>
          <w:sz w:val="24"/>
          <w:szCs w:val="24"/>
        </w:rPr>
        <w:t>，</w:t>
      </w:r>
      <w:r>
        <w:rPr>
          <w:rFonts w:hint="eastAsia" w:ascii="Times New Roman" w:hAnsi="Times New Roman" w:eastAsia="宋体" w:cs="Times New Roman"/>
          <w:color w:val="FF0000"/>
          <w:sz w:val="24"/>
          <w:szCs w:val="24"/>
          <w:lang w:eastAsia="zh-CN"/>
        </w:rPr>
        <w:t>尽快宣贯</w:t>
      </w:r>
      <w:r>
        <w:rPr>
          <w:rFonts w:hint="eastAsia" w:ascii="Times New Roman" w:hAnsi="Times New Roman" w:eastAsia="宋体" w:cs="Times New Roman"/>
          <w:color w:val="FF0000"/>
          <w:sz w:val="24"/>
          <w:szCs w:val="24"/>
        </w:rPr>
        <w:t>和实施。</w:t>
      </w:r>
    </w:p>
    <w:p>
      <w:pPr>
        <w:pStyle w:val="2"/>
        <w:spacing w:before="0" w:beforeAutospacing="0" w:after="0" w:afterAutospacing="0" w:line="360" w:lineRule="auto"/>
        <w:rPr>
          <w:rFonts w:ascii="Times New Roman" w:hAnsi="Times New Roman"/>
          <w:sz w:val="28"/>
          <w:szCs w:val="28"/>
        </w:rPr>
      </w:pPr>
      <w:bookmarkStart w:id="28" w:name="_Toc6997298"/>
      <w:r>
        <w:rPr>
          <w:rFonts w:hint="eastAsia" w:ascii="Times New Roman" w:hAnsi="Times New Roman"/>
          <w:sz w:val="28"/>
          <w:szCs w:val="28"/>
        </w:rPr>
        <w:t>九、废止现行有关标准的建议</w:t>
      </w:r>
      <w:bookmarkEnd w:id="28"/>
    </w:p>
    <w:p>
      <w:pPr>
        <w:snapToGrid w:val="0"/>
        <w:spacing w:before="156" w:beforeLines="50"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无</w:t>
      </w:r>
    </w:p>
    <w:p>
      <w:pPr>
        <w:pStyle w:val="2"/>
        <w:spacing w:before="0" w:beforeAutospacing="0" w:after="0" w:afterAutospacing="0" w:line="360" w:lineRule="auto"/>
        <w:rPr>
          <w:rFonts w:ascii="Times New Roman" w:hAnsi="Times New Roman"/>
          <w:sz w:val="28"/>
          <w:szCs w:val="28"/>
        </w:rPr>
      </w:pPr>
      <w:bookmarkStart w:id="29" w:name="_Toc6997299"/>
      <w:r>
        <w:rPr>
          <w:rFonts w:hint="eastAsia" w:ascii="Times New Roman" w:hAnsi="Times New Roman"/>
          <w:sz w:val="28"/>
          <w:szCs w:val="28"/>
        </w:rPr>
        <w:t>十、预期经济社会效益</w:t>
      </w:r>
      <w:bookmarkEnd w:id="29"/>
    </w:p>
    <w:p>
      <w:pPr>
        <w:snapToGrid w:val="0"/>
        <w:spacing w:before="156" w:beforeLines="50"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2016年以来，由于新能源汽车的爆发，对于电解铜箔的需求量突然放大，在良好的市场环境下，2017年国内各大铜箔厂商开始扩大产能，调研国内铜箔企业数据统计，2017年新增电解铜箔年产能15.02万吨，其中锂电铜箔约新增年产能10.97万吨，标准铜箔新增年产能4.05万吨。而在这种激烈的市场竞争环境下，本团体标准实施后，开展电解铜箔企业绿色设计示范企业和绿色设计产品评价工作，推广节能和环保先进工艺，预计年产电解铜箔2万吨的企业，达到年节能量3</w:t>
      </w:r>
      <w:r>
        <w:rPr>
          <w:rFonts w:ascii="Times New Roman" w:hAnsi="Times New Roman" w:eastAsia="宋体" w:cs="Times New Roman"/>
          <w:color w:val="000000"/>
          <w:sz w:val="24"/>
          <w:szCs w:val="24"/>
        </w:rPr>
        <w:t>000</w:t>
      </w:r>
      <w:r>
        <w:rPr>
          <w:rFonts w:hint="eastAsia" w:ascii="Times New Roman" w:hAnsi="Times New Roman" w:eastAsia="宋体" w:cs="Times New Roman"/>
          <w:color w:val="000000"/>
          <w:sz w:val="24"/>
          <w:szCs w:val="24"/>
        </w:rPr>
        <w:t>tce</w:t>
      </w:r>
      <w:r>
        <w:rPr>
          <w:rFonts w:ascii="Times New Roman" w:hAnsi="Times New Roman" w:eastAsia="宋体" w:cs="Times New Roman"/>
          <w:color w:val="000000"/>
          <w:sz w:val="24"/>
          <w:szCs w:val="24"/>
        </w:rPr>
        <w:t>/</w:t>
      </w:r>
      <w:r>
        <w:rPr>
          <w:rFonts w:hint="eastAsia" w:ascii="Times New Roman" w:hAnsi="Times New Roman" w:eastAsia="宋体" w:cs="Times New Roman"/>
          <w:color w:val="000000"/>
          <w:sz w:val="24"/>
          <w:szCs w:val="24"/>
        </w:rPr>
        <w:t>年，减排废水</w:t>
      </w:r>
      <w:r>
        <w:rPr>
          <w:rFonts w:ascii="Times New Roman" w:hAnsi="Times New Roman" w:eastAsia="宋体" w:cs="Times New Roman"/>
          <w:color w:val="000000"/>
          <w:sz w:val="24"/>
          <w:szCs w:val="24"/>
        </w:rPr>
        <w:t>20</w:t>
      </w:r>
      <w:r>
        <w:rPr>
          <w:rFonts w:hint="eastAsia" w:ascii="Times New Roman" w:hAnsi="Times New Roman" w:eastAsia="宋体" w:cs="Times New Roman"/>
          <w:color w:val="000000"/>
          <w:sz w:val="24"/>
          <w:szCs w:val="24"/>
        </w:rPr>
        <w:t>万</w:t>
      </w:r>
      <w:r>
        <w:rPr>
          <w:rFonts w:ascii="Times New Roman" w:hAnsi="Times New Roman" w:eastAsia="宋体" w:cs="Times New Roman"/>
          <w:color w:val="000000"/>
          <w:sz w:val="24"/>
          <w:szCs w:val="24"/>
        </w:rPr>
        <w:t>t/a</w:t>
      </w:r>
      <w:r>
        <w:rPr>
          <w:rFonts w:hint="eastAsia" w:ascii="Times New Roman" w:hAnsi="Times New Roman" w:eastAsia="宋体" w:cs="Times New Roman"/>
          <w:color w:val="000000"/>
          <w:sz w:val="24"/>
          <w:szCs w:val="24"/>
        </w:rPr>
        <w:t>；减排铜渣6t/a，铬</w:t>
      </w:r>
      <w:r>
        <w:rPr>
          <w:rFonts w:ascii="Times New Roman" w:hAnsi="Times New Roman" w:eastAsia="宋体" w:cs="Times New Roman"/>
          <w:color w:val="000000"/>
          <w:sz w:val="24"/>
          <w:szCs w:val="24"/>
        </w:rPr>
        <w:t>30kg</w:t>
      </w:r>
      <w:r>
        <w:rPr>
          <w:rFonts w:hint="eastAsia" w:ascii="Times New Roman" w:hAnsi="Times New Roman" w:eastAsia="宋体" w:cs="Times New Roman"/>
          <w:color w:val="000000"/>
          <w:sz w:val="24"/>
          <w:szCs w:val="24"/>
        </w:rPr>
        <w:t>/a。充分利用标准化手段满足消费升级需求，引领绿色消费趋势，推动供给侧结构性改革，为提升国产电解铜箔在国际上的市场占有率提供战略意义。</w:t>
      </w:r>
    </w:p>
    <w:p>
      <w:pPr>
        <w:pStyle w:val="2"/>
        <w:spacing w:before="0" w:beforeAutospacing="0" w:after="0" w:afterAutospacing="0" w:line="360" w:lineRule="auto"/>
        <w:rPr>
          <w:rFonts w:ascii="Times New Roman" w:hAnsi="Times New Roman"/>
          <w:sz w:val="28"/>
          <w:szCs w:val="28"/>
        </w:rPr>
      </w:pPr>
      <w:bookmarkStart w:id="30" w:name="_Toc6997300"/>
      <w:r>
        <w:rPr>
          <w:rFonts w:hint="eastAsia" w:ascii="Times New Roman" w:hAnsi="Times New Roman"/>
          <w:sz w:val="28"/>
          <w:szCs w:val="28"/>
        </w:rPr>
        <w:t>十一、其他应予说明的事项</w:t>
      </w:r>
      <w:bookmarkEnd w:id="30"/>
    </w:p>
    <w:p>
      <w:pPr>
        <w:snapToGrid w:val="0"/>
        <w:spacing w:before="156" w:beforeLines="50"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B2E5DB"/>
    <w:multiLevelType w:val="singleLevel"/>
    <w:tmpl w:val="8FB2E5DB"/>
    <w:lvl w:ilvl="0" w:tentative="0">
      <w:start w:val="2"/>
      <w:numFmt w:val="decimal"/>
      <w:suff w:val="nothing"/>
      <w:lvlText w:val="%1）"/>
      <w:lvlJc w:val="left"/>
    </w:lvl>
  </w:abstractNum>
  <w:abstractNum w:abstractNumId="1">
    <w:nsid w:val="11FE7287"/>
    <w:multiLevelType w:val="multilevel"/>
    <w:tmpl w:val="11FE728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47A1BB6"/>
    <w:multiLevelType w:val="multilevel"/>
    <w:tmpl w:val="247A1BB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89B7FC7"/>
    <w:multiLevelType w:val="multilevel"/>
    <w:tmpl w:val="289B7FC7"/>
    <w:lvl w:ilvl="0" w:tentative="0">
      <w:start w:val="1"/>
      <w:numFmt w:val="bullet"/>
      <w:lvlText w:val="—"/>
      <w:lvlJc w:val="left"/>
      <w:pPr>
        <w:ind w:left="900" w:hanging="420"/>
      </w:pPr>
      <w:rPr>
        <w:rFonts w:hint="eastAsia" w:ascii="宋体" w:hAnsi="宋体" w:eastAsia="宋体"/>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
    <w:nsid w:val="2DD32DCE"/>
    <w:multiLevelType w:val="multilevel"/>
    <w:tmpl w:val="2DD32DC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3555742"/>
    <w:multiLevelType w:val="multilevel"/>
    <w:tmpl w:val="4355574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67774A9"/>
    <w:multiLevelType w:val="multilevel"/>
    <w:tmpl w:val="467774A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3E66DA2"/>
    <w:multiLevelType w:val="multilevel"/>
    <w:tmpl w:val="53E66DA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C575127"/>
    <w:multiLevelType w:val="multilevel"/>
    <w:tmpl w:val="5C57512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FF160D6"/>
    <w:multiLevelType w:val="multilevel"/>
    <w:tmpl w:val="5FF160D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0"/>
  </w:num>
  <w:num w:numId="3">
    <w:abstractNumId w:val="4"/>
  </w:num>
  <w:num w:numId="4">
    <w:abstractNumId w:val="1"/>
  </w:num>
  <w:num w:numId="5">
    <w:abstractNumId w:val="2"/>
  </w:num>
  <w:num w:numId="6">
    <w:abstractNumId w:val="8"/>
  </w:num>
  <w:num w:numId="7">
    <w:abstractNumId w:val="5"/>
  </w:num>
  <w:num w:numId="8">
    <w:abstractNumId w:val="9"/>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0F2"/>
    <w:rsid w:val="00006088"/>
    <w:rsid w:val="00006476"/>
    <w:rsid w:val="000150F8"/>
    <w:rsid w:val="00032100"/>
    <w:rsid w:val="00044101"/>
    <w:rsid w:val="00045748"/>
    <w:rsid w:val="00054FC2"/>
    <w:rsid w:val="000629D5"/>
    <w:rsid w:val="00064DB1"/>
    <w:rsid w:val="00085695"/>
    <w:rsid w:val="0009123C"/>
    <w:rsid w:val="00095124"/>
    <w:rsid w:val="00095AA7"/>
    <w:rsid w:val="000964DC"/>
    <w:rsid w:val="000A26E8"/>
    <w:rsid w:val="000A4A73"/>
    <w:rsid w:val="000A7AD4"/>
    <w:rsid w:val="000B05E7"/>
    <w:rsid w:val="000B6D3A"/>
    <w:rsid w:val="000F3E00"/>
    <w:rsid w:val="000F4D88"/>
    <w:rsid w:val="000F5010"/>
    <w:rsid w:val="000F686F"/>
    <w:rsid w:val="000F7D9F"/>
    <w:rsid w:val="00100A1D"/>
    <w:rsid w:val="00107D36"/>
    <w:rsid w:val="00117320"/>
    <w:rsid w:val="00133B43"/>
    <w:rsid w:val="00136311"/>
    <w:rsid w:val="00154361"/>
    <w:rsid w:val="0015479F"/>
    <w:rsid w:val="0016338E"/>
    <w:rsid w:val="001715E9"/>
    <w:rsid w:val="001773F4"/>
    <w:rsid w:val="00177720"/>
    <w:rsid w:val="00185D6F"/>
    <w:rsid w:val="001929B9"/>
    <w:rsid w:val="001956ED"/>
    <w:rsid w:val="00197F1C"/>
    <w:rsid w:val="001A20A0"/>
    <w:rsid w:val="001A2785"/>
    <w:rsid w:val="001B20A4"/>
    <w:rsid w:val="001C68E6"/>
    <w:rsid w:val="001E7AA7"/>
    <w:rsid w:val="002036EB"/>
    <w:rsid w:val="002037C1"/>
    <w:rsid w:val="00213858"/>
    <w:rsid w:val="002240B4"/>
    <w:rsid w:val="00241BB1"/>
    <w:rsid w:val="002510B4"/>
    <w:rsid w:val="0025212D"/>
    <w:rsid w:val="00262BB7"/>
    <w:rsid w:val="002638CA"/>
    <w:rsid w:val="00267707"/>
    <w:rsid w:val="002753B1"/>
    <w:rsid w:val="0028314C"/>
    <w:rsid w:val="00283EF4"/>
    <w:rsid w:val="0029395B"/>
    <w:rsid w:val="002A6903"/>
    <w:rsid w:val="002D39BC"/>
    <w:rsid w:val="002E1342"/>
    <w:rsid w:val="002E1A7A"/>
    <w:rsid w:val="002E2E0E"/>
    <w:rsid w:val="002E3855"/>
    <w:rsid w:val="002E60ED"/>
    <w:rsid w:val="002F4845"/>
    <w:rsid w:val="002F6DC8"/>
    <w:rsid w:val="00306CD6"/>
    <w:rsid w:val="00307C88"/>
    <w:rsid w:val="00324328"/>
    <w:rsid w:val="00337356"/>
    <w:rsid w:val="003404C8"/>
    <w:rsid w:val="003533F5"/>
    <w:rsid w:val="00354882"/>
    <w:rsid w:val="00360AF5"/>
    <w:rsid w:val="003612FA"/>
    <w:rsid w:val="00364317"/>
    <w:rsid w:val="003659E3"/>
    <w:rsid w:val="003702DF"/>
    <w:rsid w:val="00373C64"/>
    <w:rsid w:val="00376EAA"/>
    <w:rsid w:val="00384356"/>
    <w:rsid w:val="0038534E"/>
    <w:rsid w:val="003A22E3"/>
    <w:rsid w:val="003A48FD"/>
    <w:rsid w:val="003B44D6"/>
    <w:rsid w:val="003C5420"/>
    <w:rsid w:val="003E5B31"/>
    <w:rsid w:val="003F1B16"/>
    <w:rsid w:val="003F7E4F"/>
    <w:rsid w:val="00403F57"/>
    <w:rsid w:val="0040636A"/>
    <w:rsid w:val="0041065A"/>
    <w:rsid w:val="004136DD"/>
    <w:rsid w:val="00430D9D"/>
    <w:rsid w:val="004418FE"/>
    <w:rsid w:val="00445CD5"/>
    <w:rsid w:val="004461B5"/>
    <w:rsid w:val="00451A7A"/>
    <w:rsid w:val="004549AF"/>
    <w:rsid w:val="0046639B"/>
    <w:rsid w:val="00477E55"/>
    <w:rsid w:val="00485E2E"/>
    <w:rsid w:val="00494062"/>
    <w:rsid w:val="004A4F81"/>
    <w:rsid w:val="004B5374"/>
    <w:rsid w:val="004C2A5E"/>
    <w:rsid w:val="004D0709"/>
    <w:rsid w:val="004D3F97"/>
    <w:rsid w:val="004F06AF"/>
    <w:rsid w:val="005006B8"/>
    <w:rsid w:val="00510FDC"/>
    <w:rsid w:val="00515AE8"/>
    <w:rsid w:val="00516A45"/>
    <w:rsid w:val="00525E0E"/>
    <w:rsid w:val="00527FF9"/>
    <w:rsid w:val="00530E60"/>
    <w:rsid w:val="00533C8D"/>
    <w:rsid w:val="005352B9"/>
    <w:rsid w:val="005414AD"/>
    <w:rsid w:val="00551DD5"/>
    <w:rsid w:val="005522A8"/>
    <w:rsid w:val="0056265B"/>
    <w:rsid w:val="005840D3"/>
    <w:rsid w:val="005861D6"/>
    <w:rsid w:val="00596D14"/>
    <w:rsid w:val="005A426A"/>
    <w:rsid w:val="005B7D5B"/>
    <w:rsid w:val="005C1B92"/>
    <w:rsid w:val="005D1CC8"/>
    <w:rsid w:val="005D29E5"/>
    <w:rsid w:val="00602F52"/>
    <w:rsid w:val="0060571E"/>
    <w:rsid w:val="006161E4"/>
    <w:rsid w:val="00623673"/>
    <w:rsid w:val="00624A9A"/>
    <w:rsid w:val="00627D5F"/>
    <w:rsid w:val="0063023C"/>
    <w:rsid w:val="00630BE2"/>
    <w:rsid w:val="00631317"/>
    <w:rsid w:val="00632D0D"/>
    <w:rsid w:val="00632D28"/>
    <w:rsid w:val="00633C8B"/>
    <w:rsid w:val="006559C2"/>
    <w:rsid w:val="00693091"/>
    <w:rsid w:val="0069773F"/>
    <w:rsid w:val="006C1E37"/>
    <w:rsid w:val="006C70A6"/>
    <w:rsid w:val="006D1AEC"/>
    <w:rsid w:val="006D45A8"/>
    <w:rsid w:val="006F0841"/>
    <w:rsid w:val="006F1D1E"/>
    <w:rsid w:val="006F2D93"/>
    <w:rsid w:val="006F38BB"/>
    <w:rsid w:val="006F7F63"/>
    <w:rsid w:val="0072352B"/>
    <w:rsid w:val="00733019"/>
    <w:rsid w:val="007347C6"/>
    <w:rsid w:val="00735658"/>
    <w:rsid w:val="007365A7"/>
    <w:rsid w:val="0074044B"/>
    <w:rsid w:val="00744AE6"/>
    <w:rsid w:val="007545B1"/>
    <w:rsid w:val="00754AFD"/>
    <w:rsid w:val="00767E36"/>
    <w:rsid w:val="007817A0"/>
    <w:rsid w:val="007818A3"/>
    <w:rsid w:val="00790745"/>
    <w:rsid w:val="00793ED3"/>
    <w:rsid w:val="007A3159"/>
    <w:rsid w:val="007B2B5A"/>
    <w:rsid w:val="007B77D2"/>
    <w:rsid w:val="007D1F32"/>
    <w:rsid w:val="007D3286"/>
    <w:rsid w:val="007E66ED"/>
    <w:rsid w:val="007E7101"/>
    <w:rsid w:val="007F366C"/>
    <w:rsid w:val="007F5AF7"/>
    <w:rsid w:val="007F62B2"/>
    <w:rsid w:val="008000EC"/>
    <w:rsid w:val="008012CA"/>
    <w:rsid w:val="008076AF"/>
    <w:rsid w:val="00810D6B"/>
    <w:rsid w:val="0083674C"/>
    <w:rsid w:val="00837C03"/>
    <w:rsid w:val="008449C9"/>
    <w:rsid w:val="00847BA5"/>
    <w:rsid w:val="00857DAF"/>
    <w:rsid w:val="00860076"/>
    <w:rsid w:val="00863394"/>
    <w:rsid w:val="008635EE"/>
    <w:rsid w:val="00867959"/>
    <w:rsid w:val="00892705"/>
    <w:rsid w:val="00893296"/>
    <w:rsid w:val="008A7CE6"/>
    <w:rsid w:val="008B4F0E"/>
    <w:rsid w:val="008C2D1B"/>
    <w:rsid w:val="008E7A88"/>
    <w:rsid w:val="008F076D"/>
    <w:rsid w:val="0090061A"/>
    <w:rsid w:val="009025DB"/>
    <w:rsid w:val="00902B3E"/>
    <w:rsid w:val="0090583E"/>
    <w:rsid w:val="009060C9"/>
    <w:rsid w:val="009105C9"/>
    <w:rsid w:val="00933306"/>
    <w:rsid w:val="00940A25"/>
    <w:rsid w:val="00940FB6"/>
    <w:rsid w:val="009502E9"/>
    <w:rsid w:val="00954EEC"/>
    <w:rsid w:val="00956CF8"/>
    <w:rsid w:val="009601BF"/>
    <w:rsid w:val="00961802"/>
    <w:rsid w:val="0096217C"/>
    <w:rsid w:val="00962EB6"/>
    <w:rsid w:val="009641EA"/>
    <w:rsid w:val="00964E4A"/>
    <w:rsid w:val="00965A4A"/>
    <w:rsid w:val="00966E6B"/>
    <w:rsid w:val="00993789"/>
    <w:rsid w:val="00995D15"/>
    <w:rsid w:val="009C65A4"/>
    <w:rsid w:val="009C7EB2"/>
    <w:rsid w:val="009E6490"/>
    <w:rsid w:val="009F4508"/>
    <w:rsid w:val="00A02D0C"/>
    <w:rsid w:val="00A072BD"/>
    <w:rsid w:val="00A13998"/>
    <w:rsid w:val="00A14DD9"/>
    <w:rsid w:val="00A31FC8"/>
    <w:rsid w:val="00A33DEF"/>
    <w:rsid w:val="00A42DC2"/>
    <w:rsid w:val="00A60B23"/>
    <w:rsid w:val="00A6194C"/>
    <w:rsid w:val="00A768F0"/>
    <w:rsid w:val="00A819B8"/>
    <w:rsid w:val="00A85612"/>
    <w:rsid w:val="00A90F29"/>
    <w:rsid w:val="00A93036"/>
    <w:rsid w:val="00AA0DE1"/>
    <w:rsid w:val="00AA56A3"/>
    <w:rsid w:val="00AC7177"/>
    <w:rsid w:val="00AD1762"/>
    <w:rsid w:val="00AD30BE"/>
    <w:rsid w:val="00AD3B83"/>
    <w:rsid w:val="00AD67EE"/>
    <w:rsid w:val="00AE6FCE"/>
    <w:rsid w:val="00AF0D58"/>
    <w:rsid w:val="00AF334A"/>
    <w:rsid w:val="00AF69C9"/>
    <w:rsid w:val="00B0100F"/>
    <w:rsid w:val="00B05E7A"/>
    <w:rsid w:val="00B2494B"/>
    <w:rsid w:val="00B40DFF"/>
    <w:rsid w:val="00B42244"/>
    <w:rsid w:val="00B43F0D"/>
    <w:rsid w:val="00B62B12"/>
    <w:rsid w:val="00B63A8C"/>
    <w:rsid w:val="00B63FDE"/>
    <w:rsid w:val="00B81D5B"/>
    <w:rsid w:val="00BA430D"/>
    <w:rsid w:val="00BA7F55"/>
    <w:rsid w:val="00BB78BB"/>
    <w:rsid w:val="00BD7E36"/>
    <w:rsid w:val="00BE6FB7"/>
    <w:rsid w:val="00BE7EC8"/>
    <w:rsid w:val="00BF4A6A"/>
    <w:rsid w:val="00BF4CF2"/>
    <w:rsid w:val="00C0524D"/>
    <w:rsid w:val="00C20577"/>
    <w:rsid w:val="00C24662"/>
    <w:rsid w:val="00C268FD"/>
    <w:rsid w:val="00C35566"/>
    <w:rsid w:val="00C3718E"/>
    <w:rsid w:val="00C4233A"/>
    <w:rsid w:val="00C6082A"/>
    <w:rsid w:val="00C73CA6"/>
    <w:rsid w:val="00C82072"/>
    <w:rsid w:val="00C822A4"/>
    <w:rsid w:val="00C87500"/>
    <w:rsid w:val="00CA29E4"/>
    <w:rsid w:val="00CB14B8"/>
    <w:rsid w:val="00CB26DD"/>
    <w:rsid w:val="00CB50F6"/>
    <w:rsid w:val="00CC624F"/>
    <w:rsid w:val="00CE0574"/>
    <w:rsid w:val="00CE2734"/>
    <w:rsid w:val="00CE45DE"/>
    <w:rsid w:val="00CF357C"/>
    <w:rsid w:val="00D03138"/>
    <w:rsid w:val="00D057F0"/>
    <w:rsid w:val="00D05931"/>
    <w:rsid w:val="00D16403"/>
    <w:rsid w:val="00D2588C"/>
    <w:rsid w:val="00D52A71"/>
    <w:rsid w:val="00D56A6E"/>
    <w:rsid w:val="00D61113"/>
    <w:rsid w:val="00D65297"/>
    <w:rsid w:val="00D8744F"/>
    <w:rsid w:val="00D900FD"/>
    <w:rsid w:val="00D90697"/>
    <w:rsid w:val="00DB2E12"/>
    <w:rsid w:val="00DB3281"/>
    <w:rsid w:val="00DC400C"/>
    <w:rsid w:val="00DC47BC"/>
    <w:rsid w:val="00DC5578"/>
    <w:rsid w:val="00DC72E6"/>
    <w:rsid w:val="00DD264D"/>
    <w:rsid w:val="00E010D0"/>
    <w:rsid w:val="00E0397F"/>
    <w:rsid w:val="00E16589"/>
    <w:rsid w:val="00E347E0"/>
    <w:rsid w:val="00E34BA7"/>
    <w:rsid w:val="00E65FA3"/>
    <w:rsid w:val="00E668BC"/>
    <w:rsid w:val="00E7054D"/>
    <w:rsid w:val="00E70858"/>
    <w:rsid w:val="00E8321A"/>
    <w:rsid w:val="00E913CA"/>
    <w:rsid w:val="00E9177B"/>
    <w:rsid w:val="00E94B25"/>
    <w:rsid w:val="00EA2FD8"/>
    <w:rsid w:val="00EA4348"/>
    <w:rsid w:val="00EA5EB8"/>
    <w:rsid w:val="00ED2694"/>
    <w:rsid w:val="00EE40DB"/>
    <w:rsid w:val="00EE63AB"/>
    <w:rsid w:val="00F208CF"/>
    <w:rsid w:val="00F3059F"/>
    <w:rsid w:val="00F40584"/>
    <w:rsid w:val="00F4401C"/>
    <w:rsid w:val="00F52DC8"/>
    <w:rsid w:val="00F54017"/>
    <w:rsid w:val="00F5744E"/>
    <w:rsid w:val="00F67320"/>
    <w:rsid w:val="00F717D4"/>
    <w:rsid w:val="00F730F2"/>
    <w:rsid w:val="00F7398D"/>
    <w:rsid w:val="00F8036D"/>
    <w:rsid w:val="00F93D4C"/>
    <w:rsid w:val="00F95202"/>
    <w:rsid w:val="00F974AA"/>
    <w:rsid w:val="00FC34CE"/>
    <w:rsid w:val="00FC6E79"/>
    <w:rsid w:val="00FE7005"/>
    <w:rsid w:val="00FF2065"/>
    <w:rsid w:val="00FF3241"/>
    <w:rsid w:val="0A2E05CA"/>
    <w:rsid w:val="138B7422"/>
    <w:rsid w:val="14D22F93"/>
    <w:rsid w:val="1A163420"/>
    <w:rsid w:val="3EDC20A6"/>
    <w:rsid w:val="6FE37496"/>
    <w:rsid w:val="7A3D6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6"/>
    <w:semiHidden/>
    <w:unhideWhenUsed/>
    <w:qFormat/>
    <w:uiPriority w:val="99"/>
    <w:rPr>
      <w:rFonts w:ascii="宋体" w:eastAsia="宋体"/>
      <w:sz w:val="18"/>
      <w:szCs w:val="18"/>
    </w:rPr>
  </w:style>
  <w:style w:type="paragraph" w:styleId="6">
    <w:name w:val="annotation text"/>
    <w:basedOn w:val="1"/>
    <w:link w:val="30"/>
    <w:semiHidden/>
    <w:unhideWhenUsed/>
    <w:qFormat/>
    <w:uiPriority w:val="99"/>
    <w:pPr>
      <w:jc w:val="left"/>
    </w:pPr>
    <w:rPr>
      <w:rFonts w:ascii="Calibri" w:hAnsi="Calibri" w:eastAsia="宋体" w:cs="Times New Roman"/>
      <w:lang w:val="zh-CN"/>
    </w:rPr>
  </w:style>
  <w:style w:type="paragraph" w:styleId="7">
    <w:name w:val="Body Text Indent"/>
    <w:basedOn w:val="1"/>
    <w:uiPriority w:val="0"/>
    <w:pPr>
      <w:spacing w:after="120" w:afterLines="0"/>
      <w:ind w:left="420" w:leftChars="200"/>
    </w:pPr>
    <w:rPr>
      <w:rFonts w:ascii="宋体" w:hAnsi="宋体"/>
    </w:rPr>
  </w:style>
  <w:style w:type="paragraph" w:styleId="8">
    <w:name w:val="toc 3"/>
    <w:basedOn w:val="1"/>
    <w:next w:val="1"/>
    <w:unhideWhenUsed/>
    <w:qFormat/>
    <w:uiPriority w:val="39"/>
    <w:pPr>
      <w:ind w:left="840" w:leftChars="400"/>
    </w:pPr>
  </w:style>
  <w:style w:type="paragraph" w:styleId="9">
    <w:name w:val="Date"/>
    <w:basedOn w:val="1"/>
    <w:next w:val="1"/>
    <w:link w:val="23"/>
    <w:semiHidden/>
    <w:unhideWhenUsed/>
    <w:qFormat/>
    <w:uiPriority w:val="99"/>
    <w:pPr>
      <w:ind w:left="100" w:leftChars="2500"/>
    </w:pPr>
  </w:style>
  <w:style w:type="paragraph" w:styleId="10">
    <w:name w:val="Balloon Text"/>
    <w:basedOn w:val="1"/>
    <w:link w:val="29"/>
    <w:semiHidden/>
    <w:unhideWhenUsed/>
    <w:qFormat/>
    <w:uiPriority w:val="99"/>
    <w:rPr>
      <w:sz w:val="18"/>
      <w:szCs w:val="18"/>
    </w:rPr>
  </w:style>
  <w:style w:type="paragraph" w:styleId="11">
    <w:name w:val="footer"/>
    <w:basedOn w:val="1"/>
    <w:link w:val="22"/>
    <w:unhideWhenUsed/>
    <w:qFormat/>
    <w:uiPriority w:val="99"/>
    <w:pPr>
      <w:tabs>
        <w:tab w:val="center" w:pos="4153"/>
        <w:tab w:val="right" w:pos="8306"/>
      </w:tabs>
      <w:snapToGrid w:val="0"/>
      <w:jc w:val="left"/>
    </w:pPr>
    <w:rPr>
      <w:sz w:val="18"/>
      <w:szCs w:val="18"/>
    </w:rPr>
  </w:style>
  <w:style w:type="paragraph" w:styleId="12">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ind w:left="420" w:leftChars="200"/>
    </w:pPr>
  </w:style>
  <w:style w:type="paragraph" w:styleId="15">
    <w:name w:val="annotation subject"/>
    <w:basedOn w:val="6"/>
    <w:next w:val="6"/>
    <w:link w:val="34"/>
    <w:semiHidden/>
    <w:unhideWhenUsed/>
    <w:qFormat/>
    <w:uiPriority w:val="99"/>
    <w:rPr>
      <w:rFonts w:asciiTheme="minorHAnsi" w:hAnsiTheme="minorHAnsi" w:eastAsiaTheme="minorEastAsia" w:cstheme="minorBidi"/>
      <w:b/>
      <w:bCs/>
      <w:lang w:val="en-US"/>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unhideWhenUsed/>
    <w:qFormat/>
    <w:uiPriority w:val="99"/>
    <w:rPr>
      <w:color w:val="0000FF" w:themeColor="hyperlink"/>
      <w:u w:val="single"/>
      <w14:textFill>
        <w14:solidFill>
          <w14:schemeClr w14:val="hlink"/>
        </w14:solidFill>
      </w14:textFill>
    </w:rPr>
  </w:style>
  <w:style w:type="character" w:styleId="20">
    <w:name w:val="annotation reference"/>
    <w:semiHidden/>
    <w:unhideWhenUsed/>
    <w:qFormat/>
    <w:uiPriority w:val="99"/>
    <w:rPr>
      <w:sz w:val="21"/>
      <w:szCs w:val="21"/>
    </w:rPr>
  </w:style>
  <w:style w:type="character" w:customStyle="1" w:styleId="21">
    <w:name w:val="页眉 字符"/>
    <w:basedOn w:val="18"/>
    <w:link w:val="12"/>
    <w:qFormat/>
    <w:uiPriority w:val="99"/>
    <w:rPr>
      <w:sz w:val="18"/>
      <w:szCs w:val="18"/>
    </w:rPr>
  </w:style>
  <w:style w:type="character" w:customStyle="1" w:styleId="22">
    <w:name w:val="页脚 字符"/>
    <w:basedOn w:val="18"/>
    <w:link w:val="11"/>
    <w:qFormat/>
    <w:uiPriority w:val="99"/>
    <w:rPr>
      <w:sz w:val="18"/>
      <w:szCs w:val="18"/>
    </w:rPr>
  </w:style>
  <w:style w:type="character" w:customStyle="1" w:styleId="23">
    <w:name w:val="日期 字符"/>
    <w:basedOn w:val="18"/>
    <w:link w:val="9"/>
    <w:semiHidden/>
    <w:qFormat/>
    <w:uiPriority w:val="99"/>
  </w:style>
  <w:style w:type="character" w:customStyle="1" w:styleId="24">
    <w:name w:val="标题 1 字符"/>
    <w:basedOn w:val="18"/>
    <w:link w:val="2"/>
    <w:qFormat/>
    <w:uiPriority w:val="9"/>
    <w:rPr>
      <w:rFonts w:ascii="宋体" w:hAnsi="宋体" w:eastAsia="宋体" w:cs="宋体"/>
      <w:b/>
      <w:bCs/>
      <w:kern w:val="36"/>
      <w:sz w:val="48"/>
      <w:szCs w:val="48"/>
    </w:rPr>
  </w:style>
  <w:style w:type="paragraph" w:styleId="25">
    <w:name w:val="List Paragraph"/>
    <w:basedOn w:val="1"/>
    <w:qFormat/>
    <w:uiPriority w:val="34"/>
    <w:pPr>
      <w:ind w:firstLine="420" w:firstLineChars="200"/>
    </w:pPr>
  </w:style>
  <w:style w:type="character" w:customStyle="1" w:styleId="26">
    <w:name w:val="文档结构图 字符"/>
    <w:basedOn w:val="18"/>
    <w:link w:val="5"/>
    <w:semiHidden/>
    <w:qFormat/>
    <w:uiPriority w:val="99"/>
    <w:rPr>
      <w:rFonts w:ascii="宋体" w:eastAsia="宋体"/>
      <w:sz w:val="18"/>
      <w:szCs w:val="18"/>
    </w:rPr>
  </w:style>
  <w:style w:type="character" w:customStyle="1" w:styleId="27">
    <w:name w:val="标题 2 字符"/>
    <w:basedOn w:val="18"/>
    <w:link w:val="3"/>
    <w:qFormat/>
    <w:uiPriority w:val="9"/>
    <w:rPr>
      <w:rFonts w:asciiTheme="majorHAnsi" w:hAnsiTheme="majorHAnsi" w:eastAsiaTheme="majorEastAsia" w:cstheme="majorBidi"/>
      <w:b/>
      <w:bCs/>
      <w:sz w:val="32"/>
      <w:szCs w:val="32"/>
    </w:rPr>
  </w:style>
  <w:style w:type="character" w:customStyle="1" w:styleId="28">
    <w:name w:val="fontstyle21"/>
    <w:qFormat/>
    <w:uiPriority w:val="0"/>
    <w:rPr>
      <w:rFonts w:hint="eastAsia" w:ascii="宋体" w:hAnsi="宋体" w:eastAsia="宋体"/>
      <w:color w:val="000000"/>
      <w:sz w:val="22"/>
      <w:szCs w:val="22"/>
    </w:rPr>
  </w:style>
  <w:style w:type="character" w:customStyle="1" w:styleId="29">
    <w:name w:val="批注框文本 字符"/>
    <w:basedOn w:val="18"/>
    <w:link w:val="10"/>
    <w:semiHidden/>
    <w:qFormat/>
    <w:uiPriority w:val="99"/>
    <w:rPr>
      <w:sz w:val="18"/>
      <w:szCs w:val="18"/>
    </w:rPr>
  </w:style>
  <w:style w:type="character" w:customStyle="1" w:styleId="30">
    <w:name w:val="批注文字 字符"/>
    <w:basedOn w:val="18"/>
    <w:link w:val="6"/>
    <w:semiHidden/>
    <w:qFormat/>
    <w:uiPriority w:val="99"/>
    <w:rPr>
      <w:rFonts w:ascii="Calibri" w:hAnsi="Calibri" w:eastAsia="宋体" w:cs="Times New Roman"/>
      <w:lang w:val="zh-CN" w:eastAsia="zh-CN"/>
    </w:rPr>
  </w:style>
  <w:style w:type="paragraph" w:customStyle="1" w:styleId="31">
    <w:name w:val="_Style 24"/>
    <w:basedOn w:val="1"/>
    <w:next w:val="25"/>
    <w:qFormat/>
    <w:uiPriority w:val="34"/>
    <w:pPr>
      <w:adjustRightInd w:val="0"/>
      <w:snapToGrid w:val="0"/>
      <w:spacing w:line="312" w:lineRule="auto"/>
      <w:ind w:firstLine="420" w:firstLineChars="200"/>
    </w:pPr>
    <w:rPr>
      <w:rFonts w:ascii="宋体" w:hAnsi="Times New Roman" w:eastAsia="宋体" w:cs="Times New Roman"/>
      <w:szCs w:val="24"/>
    </w:rPr>
  </w:style>
  <w:style w:type="character" w:customStyle="1" w:styleId="32">
    <w:name w:val="标题 3 字符"/>
    <w:basedOn w:val="18"/>
    <w:link w:val="4"/>
    <w:qFormat/>
    <w:uiPriority w:val="9"/>
    <w:rPr>
      <w:b/>
      <w:bCs/>
      <w:sz w:val="32"/>
      <w:szCs w:val="32"/>
    </w:rPr>
  </w:style>
  <w:style w:type="paragraph" w:customStyle="1" w:styleId="33">
    <w:name w:val="TOC 标题1"/>
    <w:basedOn w:val="2"/>
    <w:next w:val="1"/>
    <w:unhideWhenUsed/>
    <w:qFormat/>
    <w:uiPriority w:val="39"/>
    <w:pPr>
      <w:keepNext/>
      <w:keepLines/>
      <w:spacing w:before="240" w:beforeAutospacing="0" w:after="0" w:afterAutospacing="0" w:line="259" w:lineRule="auto"/>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34">
    <w:name w:val="批注主题 字符"/>
    <w:basedOn w:val="30"/>
    <w:link w:val="15"/>
    <w:semiHidden/>
    <w:qFormat/>
    <w:uiPriority w:val="99"/>
    <w:rPr>
      <w:rFonts w:ascii="Calibri" w:hAnsi="Calibri" w:eastAsia="宋体" w:cs="Times New Roman"/>
      <w:b/>
      <w:bCs/>
      <w:lang w:val="zh-CN" w:eastAsia="zh-CN"/>
    </w:rPr>
  </w:style>
  <w:style w:type="paragraph" w:customStyle="1" w:styleId="35">
    <w:name w:val="章标题"/>
    <w:next w:val="36"/>
    <w:uiPriority w:val="0"/>
    <w:pPr>
      <w:spacing w:before="156" w:beforeLines="50" w:after="156" w:afterLines="50"/>
      <w:jc w:val="both"/>
      <w:outlineLvl w:val="1"/>
    </w:pPr>
    <w:rPr>
      <w:rFonts w:ascii="黑体" w:hAnsi="Times New Roman" w:eastAsia="黑体" w:cs="Times New Roman"/>
      <w:sz w:val="21"/>
      <w:lang w:val="en-US" w:eastAsia="zh-CN" w:bidi="ar-SA"/>
    </w:rPr>
  </w:style>
  <w:style w:type="paragraph" w:customStyle="1" w:styleId="36">
    <w:name w:val="段"/>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A99783-93FD-4A84-95BB-2C2BE7550CFB}">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18</Pages>
  <Words>2111</Words>
  <Characters>12037</Characters>
  <Lines>100</Lines>
  <Paragraphs>28</Paragraphs>
  <TotalTime>26</TotalTime>
  <ScaleCrop>false</ScaleCrop>
  <LinksUpToDate>false</LinksUpToDate>
  <CharactersWithSpaces>14120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2020-06-10T05:19:00Z</dcterms:created>
  <dc:creator>AutoBVT</dc:creator>
  <cp:lastModifiedBy>杨丽娟</cp:lastModifiedBy>
  <dcterms:modified xsi:type="dcterms:W3CDTF">2020-07-28T08:27:24Z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