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eastAsia="黑体"/>
          <w:sz w:val="44"/>
        </w:rPr>
      </w:pPr>
    </w:p>
    <w:p>
      <w:pPr>
        <w:spacing w:line="360" w:lineRule="auto"/>
        <w:jc w:val="center"/>
        <w:rPr>
          <w:rFonts w:ascii="黑体" w:eastAsia="黑体"/>
          <w:sz w:val="44"/>
        </w:rPr>
      </w:pPr>
    </w:p>
    <w:p>
      <w:pPr>
        <w:spacing w:line="360" w:lineRule="auto"/>
        <w:jc w:val="center"/>
        <w:rPr>
          <w:rFonts w:ascii="黑体" w:eastAsia="黑体"/>
          <w:sz w:val="44"/>
        </w:rPr>
      </w:pPr>
      <w:r>
        <w:rPr>
          <w:rFonts w:hint="eastAsia" w:ascii="黑体" w:eastAsia="黑体"/>
          <w:sz w:val="44"/>
        </w:rPr>
        <w:t>粗锡化学分析方法</w:t>
      </w:r>
    </w:p>
    <w:p>
      <w:pPr>
        <w:spacing w:line="360" w:lineRule="auto"/>
        <w:jc w:val="center"/>
        <w:rPr>
          <w:rFonts w:ascii="黑体" w:eastAsia="黑体"/>
          <w:sz w:val="44"/>
        </w:rPr>
      </w:pPr>
      <w:r>
        <w:rPr>
          <w:rFonts w:hint="eastAsia" w:ascii="黑体" w:eastAsia="黑体"/>
          <w:sz w:val="44"/>
        </w:rPr>
        <w:t>第4部分：</w:t>
      </w:r>
      <w:r>
        <w:rPr>
          <w:rFonts w:hint="eastAsia" w:ascii="黑体" w:eastAsia="黑体"/>
          <w:sz w:val="44"/>
          <w:lang w:val="en-US" w:eastAsia="zh-CN"/>
        </w:rPr>
        <w:t xml:space="preserve">铋含量的测定 </w:t>
      </w:r>
      <w:r>
        <w:rPr>
          <w:rFonts w:hint="eastAsia" w:ascii="黑体" w:eastAsia="黑体"/>
          <w:sz w:val="44"/>
        </w:rPr>
        <w:t>火焰原子吸收光谱法和Na</w:t>
      </w:r>
      <w:r>
        <w:rPr>
          <w:rFonts w:hint="eastAsia" w:ascii="黑体" w:eastAsia="黑体"/>
          <w:sz w:val="44"/>
          <w:vertAlign w:val="subscript"/>
        </w:rPr>
        <w:t>2</w:t>
      </w:r>
      <w:r>
        <w:rPr>
          <w:rFonts w:hint="eastAsia" w:ascii="黑体" w:eastAsia="黑体"/>
          <w:sz w:val="44"/>
        </w:rPr>
        <w:t>EDTA滴定法</w:t>
      </w:r>
    </w:p>
    <w:p>
      <w:pPr>
        <w:spacing w:line="360" w:lineRule="auto"/>
        <w:jc w:val="center"/>
        <w:rPr>
          <w:rFonts w:eastAsia="黑体"/>
          <w:spacing w:val="20"/>
          <w:sz w:val="44"/>
        </w:rPr>
      </w:pPr>
    </w:p>
    <w:p>
      <w:pPr>
        <w:spacing w:line="360" w:lineRule="auto"/>
        <w:jc w:val="center"/>
        <w:rPr>
          <w:rFonts w:eastAsia="黑体"/>
          <w:spacing w:val="20"/>
          <w:sz w:val="44"/>
        </w:rPr>
      </w:pPr>
    </w:p>
    <w:p>
      <w:pPr>
        <w:spacing w:line="360" w:lineRule="auto"/>
        <w:jc w:val="center"/>
        <w:rPr>
          <w:rFonts w:ascii="Times New Roman" w:hAnsi="Times New Roman" w:eastAsia="方正小标宋简体" w:cs="Times New Roman"/>
          <w:bCs/>
          <w:sz w:val="52"/>
          <w:szCs w:val="52"/>
        </w:rPr>
      </w:pPr>
      <w:r>
        <w:rPr>
          <w:rFonts w:hint="eastAsia" w:ascii="Times New Roman" w:hAnsi="Times New Roman" w:eastAsia="方正小标宋简体" w:cs="Times New Roman"/>
          <w:bCs/>
          <w:sz w:val="52"/>
          <w:szCs w:val="52"/>
        </w:rPr>
        <w:t>编制说明</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jc w:val="center"/>
        <w:rPr>
          <w:rFonts w:hint="eastAsia" w:ascii="Times New Roman" w:hAnsi="Times New Roman" w:eastAsia="方正小标宋简体" w:cs="Times New Roman"/>
          <w:bCs/>
          <w:sz w:val="36"/>
          <w:szCs w:val="36"/>
        </w:rPr>
      </w:pPr>
      <w:r>
        <w:rPr>
          <w:rFonts w:hint="eastAsia" w:ascii="Times New Roman" w:hAnsi="Times New Roman" w:eastAsia="方正小标宋简体" w:cs="Times New Roman"/>
          <w:bCs/>
          <w:sz w:val="36"/>
          <w:szCs w:val="36"/>
        </w:rPr>
        <w:t>广西中检检测技术服务有限公司</w:t>
      </w:r>
    </w:p>
    <w:p>
      <w:pPr>
        <w:spacing w:line="360" w:lineRule="auto"/>
        <w:jc w:val="center"/>
        <w:rPr>
          <w:rFonts w:hint="eastAsia" w:ascii="Times New Roman" w:hAnsi="Times New Roman" w:eastAsia="方正小标宋简体" w:cs="Times New Roman"/>
          <w:bCs/>
          <w:sz w:val="36"/>
          <w:szCs w:val="36"/>
        </w:rPr>
      </w:pPr>
      <w:r>
        <w:rPr>
          <w:rFonts w:hint="eastAsia" w:ascii="Times New Roman" w:hAnsi="Times New Roman" w:eastAsia="方正小标宋简体" w:cs="Times New Roman"/>
          <w:bCs/>
          <w:sz w:val="36"/>
          <w:szCs w:val="36"/>
        </w:rPr>
        <w:t>北矿检测技术有限公司</w:t>
      </w:r>
    </w:p>
    <w:p>
      <w:pPr>
        <w:spacing w:line="360" w:lineRule="auto"/>
        <w:jc w:val="center"/>
        <w:rPr>
          <w:sz w:val="32"/>
        </w:rPr>
      </w:pPr>
    </w:p>
    <w:p>
      <w:pPr>
        <w:spacing w:line="360" w:lineRule="auto"/>
        <w:ind w:firstLine="2880" w:firstLineChars="900"/>
      </w:pPr>
      <w:r>
        <w:rPr>
          <w:sz w:val="32"/>
        </w:rPr>
        <w:t>20</w:t>
      </w:r>
      <w:r>
        <w:rPr>
          <w:rFonts w:hint="eastAsia"/>
          <w:sz w:val="32"/>
          <w:lang w:val="en-US" w:eastAsia="zh-CN"/>
        </w:rPr>
        <w:t>20</w:t>
      </w:r>
      <w:r>
        <w:rPr>
          <w:rFonts w:hint="eastAsia"/>
          <w:sz w:val="32"/>
        </w:rPr>
        <w:t>年</w:t>
      </w:r>
      <w:r>
        <w:rPr>
          <w:rFonts w:hint="eastAsia"/>
          <w:sz w:val="32"/>
          <w:lang w:val="en-US" w:eastAsia="zh-CN"/>
        </w:rPr>
        <w:t>7</w:t>
      </w:r>
      <w:r>
        <w:rPr>
          <w:rFonts w:hint="eastAsia"/>
          <w:sz w:val="32"/>
        </w:rPr>
        <w:t>月</w:t>
      </w:r>
    </w:p>
    <w:p>
      <w:pPr>
        <w:spacing w:line="360" w:lineRule="auto"/>
        <w:jc w:val="center"/>
        <w:rPr>
          <w:rFonts w:ascii="宋体" w:hAnsi="宋体" w:cs="宋体"/>
          <w:b/>
          <w:bCs/>
          <w:sz w:val="32"/>
          <w:szCs w:val="32"/>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宋体"/>
          <w:b/>
          <w:bCs/>
          <w:sz w:val="32"/>
          <w:szCs w:val="32"/>
        </w:rPr>
      </w:pPr>
    </w:p>
    <w:p>
      <w:pPr>
        <w:spacing w:line="360" w:lineRule="auto"/>
        <w:jc w:val="center"/>
        <w:rPr>
          <w:rFonts w:ascii="宋体" w:hAnsi="宋体" w:cs="宋体"/>
          <w:sz w:val="32"/>
          <w:szCs w:val="32"/>
        </w:rPr>
      </w:pPr>
      <w:r>
        <w:rPr>
          <w:rFonts w:hint="eastAsia" w:ascii="宋体" w:hAnsi="宋体" w:cs="宋体"/>
          <w:sz w:val="32"/>
          <w:szCs w:val="32"/>
        </w:rPr>
        <w:t xml:space="preserve">粗锡化学分析方法 </w:t>
      </w:r>
    </w:p>
    <w:p>
      <w:pPr>
        <w:spacing w:line="360" w:lineRule="auto"/>
        <w:jc w:val="center"/>
        <w:rPr>
          <w:rFonts w:ascii="宋体" w:hAnsi="宋体" w:cs="宋体"/>
          <w:sz w:val="32"/>
          <w:szCs w:val="32"/>
        </w:rPr>
      </w:pPr>
      <w:r>
        <w:rPr>
          <w:rFonts w:hint="eastAsia" w:ascii="宋体" w:hAnsi="宋体" w:cs="宋体"/>
          <w:sz w:val="32"/>
          <w:szCs w:val="32"/>
        </w:rPr>
        <w:t>第4部分：</w:t>
      </w:r>
      <w:r>
        <w:rPr>
          <w:rFonts w:hint="eastAsia" w:ascii="宋体" w:hAnsi="宋体" w:cs="宋体"/>
          <w:sz w:val="32"/>
          <w:szCs w:val="32"/>
          <w:lang w:val="en-US" w:eastAsia="zh-CN"/>
        </w:rPr>
        <w:t xml:space="preserve">铋含量的测定 </w:t>
      </w:r>
      <w:r>
        <w:rPr>
          <w:rFonts w:hint="eastAsia" w:ascii="宋体" w:hAnsi="宋体" w:cs="宋体"/>
          <w:sz w:val="32"/>
          <w:szCs w:val="32"/>
        </w:rPr>
        <w:t>火焰原子吸收光谱法和Na</w:t>
      </w:r>
      <w:r>
        <w:rPr>
          <w:rFonts w:hint="eastAsia" w:ascii="宋体" w:hAnsi="宋体" w:cs="宋体"/>
          <w:sz w:val="32"/>
          <w:szCs w:val="32"/>
          <w:vertAlign w:val="subscript"/>
        </w:rPr>
        <w:t>2</w:t>
      </w:r>
      <w:r>
        <w:rPr>
          <w:rFonts w:hint="eastAsia" w:ascii="宋体" w:hAnsi="宋体" w:cs="宋体"/>
          <w:sz w:val="32"/>
          <w:szCs w:val="32"/>
        </w:rPr>
        <w:t>EDTA滴定法</w:t>
      </w:r>
    </w:p>
    <w:p>
      <w:pPr>
        <w:spacing w:line="360" w:lineRule="auto"/>
        <w:jc w:val="center"/>
        <w:rPr>
          <w:rFonts w:ascii="宋体" w:hAnsi="宋体" w:cs="宋体"/>
          <w:sz w:val="32"/>
          <w:szCs w:val="32"/>
        </w:rPr>
      </w:pPr>
      <w:r>
        <w:rPr>
          <w:rFonts w:hint="eastAsia" w:ascii="宋体" w:hAnsi="宋体" w:cs="宋体"/>
          <w:sz w:val="32"/>
          <w:szCs w:val="32"/>
        </w:rPr>
        <w:t>编制说明</w:t>
      </w:r>
    </w:p>
    <w:p>
      <w:pPr>
        <w:pStyle w:val="2"/>
        <w:numPr>
          <w:ilvl w:val="0"/>
          <w:numId w:val="13"/>
        </w:numPr>
        <w:bidi w:val="0"/>
        <w:spacing w:line="360" w:lineRule="auto"/>
      </w:pPr>
      <w:r>
        <w:rPr>
          <w:rFonts w:hint="eastAsia"/>
        </w:rPr>
        <w:t>工作简况</w:t>
      </w:r>
    </w:p>
    <w:p>
      <w:pPr>
        <w:pStyle w:val="5"/>
        <w:bidi w:val="0"/>
        <w:rPr>
          <w:rFonts w:hint="default"/>
          <w:lang w:val="en-US" w:eastAsia="zh-CN"/>
        </w:rPr>
      </w:pPr>
      <w:r>
        <w:rPr>
          <w:rFonts w:hint="eastAsia"/>
          <w:lang w:val="en-US" w:eastAsia="zh-CN"/>
        </w:rPr>
        <w:t>1.立项目的</w:t>
      </w:r>
    </w:p>
    <w:p>
      <w:pPr>
        <w:spacing w:line="360" w:lineRule="auto"/>
        <w:ind w:firstLine="480" w:firstLineChars="200"/>
        <w:rPr>
          <w:rFonts w:ascii="宋体" w:hAnsi="宋体" w:cs="宋体"/>
          <w:sz w:val="24"/>
          <w:szCs w:val="24"/>
        </w:rPr>
      </w:pPr>
      <w:r>
        <w:rPr>
          <w:rFonts w:hint="eastAsia" w:ascii="宋体" w:hAnsi="宋体" w:cs="宋体"/>
          <w:sz w:val="24"/>
          <w:szCs w:val="24"/>
        </w:rPr>
        <w:t>粗锡是锡矿、再生锡、锡合金等还原熔炼出来冶炼精锡的原料。粗锡冶炼精锡有火法冶金和湿法冶金（电解）两种方法。其中，因为火法冶金的生产能力高，金属不会长期停滞在生产过程中，积压的锡量少，特别是新的除杂技术与设备的使用与投入，使火法冶炼成为主流。因为原料的来源与成分、精矿冶炼前的处理作业及处理的工艺流程等，各冶炼厂生成的粗锡成分波动范围很大。而各冶炼厂粗锡所含杂质不同，生产规模不同，以及原材料供应和设备条件不同，火法冶炼的流程与品控也不一样。粗锡中常见的杂质有铅、铜、铋、锑等。这些杂质对锡的冶炼流程和锡的性质影响很大，因此，准确检测出粗锡中锡及杂质元素的含量对生产工艺及最后成品精锡都有重要的作用，而且，根据杂质含量的不同，生产厂家还能提高原料的综合利用率并减轻对环境的污染。</w:t>
      </w:r>
    </w:p>
    <w:p>
      <w:pPr>
        <w:tabs>
          <w:tab w:val="left" w:pos="360"/>
        </w:tabs>
        <w:spacing w:line="360" w:lineRule="auto"/>
        <w:ind w:firstLine="480" w:firstLineChars="200"/>
        <w:rPr>
          <w:rFonts w:hint="eastAsia" w:ascii="宋体" w:hAnsi="宋体" w:cs="宋体"/>
          <w:kern w:val="0"/>
          <w:sz w:val="24"/>
          <w:szCs w:val="24"/>
        </w:rPr>
      </w:pPr>
      <w:r>
        <w:rPr>
          <w:rFonts w:hint="eastAsia"/>
          <w:sz w:val="24"/>
          <w:szCs w:val="24"/>
        </w:rPr>
        <w:t>作为非常重要的有色产品，</w:t>
      </w:r>
      <w:r>
        <w:rPr>
          <w:sz w:val="24"/>
          <w:szCs w:val="24"/>
        </w:rPr>
        <w:t>国内</w:t>
      </w:r>
      <w:r>
        <w:rPr>
          <w:rFonts w:hint="eastAsia"/>
          <w:sz w:val="24"/>
          <w:szCs w:val="24"/>
        </w:rPr>
        <w:t>各</w:t>
      </w:r>
      <w:r>
        <w:rPr>
          <w:sz w:val="24"/>
          <w:szCs w:val="24"/>
        </w:rPr>
        <w:t>检测机构每年都</w:t>
      </w:r>
      <w:r>
        <w:rPr>
          <w:rFonts w:hint="eastAsia"/>
          <w:sz w:val="24"/>
          <w:szCs w:val="24"/>
        </w:rPr>
        <w:t>会接到</w:t>
      </w:r>
      <w:r>
        <w:rPr>
          <w:sz w:val="24"/>
          <w:szCs w:val="24"/>
        </w:rPr>
        <w:t>大量粗锡</w:t>
      </w:r>
      <w:r>
        <w:rPr>
          <w:rFonts w:hint="eastAsia"/>
          <w:sz w:val="24"/>
          <w:szCs w:val="24"/>
        </w:rPr>
        <w:t>的委托检验。因为</w:t>
      </w:r>
      <w:r>
        <w:rPr>
          <w:sz w:val="24"/>
          <w:szCs w:val="24"/>
        </w:rPr>
        <w:t>没有相应的标准方法，</w:t>
      </w:r>
      <w:r>
        <w:rPr>
          <w:rFonts w:hint="eastAsia"/>
          <w:sz w:val="24"/>
          <w:szCs w:val="24"/>
        </w:rPr>
        <w:t>各检测机构大都</w:t>
      </w:r>
      <w:r>
        <w:rPr>
          <w:sz w:val="24"/>
          <w:szCs w:val="24"/>
        </w:rPr>
        <w:t>参照</w:t>
      </w:r>
      <w:r>
        <w:rPr>
          <w:rFonts w:hint="eastAsia"/>
          <w:sz w:val="24"/>
          <w:szCs w:val="24"/>
        </w:rPr>
        <w:t>GB/T 1819-2004《</w:t>
      </w:r>
      <w:r>
        <w:rPr>
          <w:sz w:val="24"/>
          <w:szCs w:val="24"/>
        </w:rPr>
        <w:t>锡精矿化学分析方法</w:t>
      </w:r>
      <w:r>
        <w:rPr>
          <w:rFonts w:hint="eastAsia"/>
          <w:sz w:val="24"/>
          <w:szCs w:val="24"/>
        </w:rPr>
        <w:t>》</w:t>
      </w:r>
      <w:r>
        <w:rPr>
          <w:sz w:val="24"/>
          <w:szCs w:val="24"/>
        </w:rPr>
        <w:t>、</w:t>
      </w:r>
      <w:r>
        <w:rPr>
          <w:rFonts w:hint="eastAsia"/>
          <w:sz w:val="24"/>
          <w:szCs w:val="24"/>
        </w:rPr>
        <w:t>GB/T 1819-2004《锡铅焊料化学</w:t>
      </w:r>
      <w:r>
        <w:rPr>
          <w:sz w:val="24"/>
          <w:szCs w:val="24"/>
        </w:rPr>
        <w:t>分析方法</w:t>
      </w:r>
      <w:r>
        <w:rPr>
          <w:rFonts w:hint="eastAsia"/>
          <w:sz w:val="24"/>
          <w:szCs w:val="24"/>
        </w:rPr>
        <w:t>》等进行检验。而对于粗锡中铋量的测定</w:t>
      </w:r>
      <w:r>
        <w:rPr>
          <w:sz w:val="24"/>
          <w:szCs w:val="24"/>
        </w:rPr>
        <w:t>各检测机构均按照GB/T 1819.7-2004《锡精矿化学分析方法 铋量的测定 火焰原子吸收光谱法》进行检验，但是由于粗锡与锡精矿的成分、杂质元素和含量存在较大的差异，而且粗锡中铋的含量有时高至5%, 超过了锡精矿标准中测定铋含量的检测范围，</w:t>
      </w:r>
      <w:r>
        <w:rPr>
          <w:rFonts w:hint="eastAsia"/>
          <w:sz w:val="24"/>
          <w:szCs w:val="24"/>
        </w:rPr>
        <w:t>若</w:t>
      </w:r>
      <w:r>
        <w:rPr>
          <w:rFonts w:hint="eastAsia" w:ascii="宋体" w:hAnsi="宋体" w:cs="楷体"/>
          <w:sz w:val="24"/>
          <w:szCs w:val="24"/>
        </w:rPr>
        <w:t>实验室采用各自的方法进行检测，质量争议有时在所难免。因此，有必要建立公认的、准确的粗锡中测铋的检验方法，以规范检验过程，</w:t>
      </w:r>
      <w:r>
        <w:rPr>
          <w:rFonts w:hint="eastAsia" w:ascii="宋体" w:hAnsi="宋体" w:cs="宋体"/>
          <w:kern w:val="0"/>
          <w:sz w:val="24"/>
          <w:szCs w:val="24"/>
        </w:rPr>
        <w:t>满足市场的需求。</w:t>
      </w:r>
    </w:p>
    <w:p>
      <w:pPr>
        <w:pStyle w:val="5"/>
        <w:bidi w:val="0"/>
      </w:pPr>
      <w:r>
        <w:t>2</w:t>
      </w:r>
      <w:r>
        <w:rPr>
          <w:rFonts w:hint="eastAsia"/>
          <w:lang w:eastAsia="zh-CN"/>
        </w:rPr>
        <w:t>.</w:t>
      </w:r>
      <w:r>
        <w:t>任务来源</w:t>
      </w:r>
    </w:p>
    <w:p>
      <w:pPr>
        <w:spacing w:line="360" w:lineRule="auto"/>
        <w:ind w:firstLine="437"/>
        <w:rPr>
          <w:rFonts w:hint="eastAsia"/>
          <w:sz w:val="24"/>
          <w:szCs w:val="24"/>
        </w:rPr>
      </w:pPr>
      <w:r>
        <w:rPr>
          <w:rFonts w:hint="eastAsia"/>
          <w:sz w:val="24"/>
          <w:szCs w:val="24"/>
        </w:rPr>
        <w:t>根据全国有色金属标准化技术委员会《2018年第一批有色金属行业标准项目计划表》文件精神，《粗锡化学分析方法 第</w:t>
      </w:r>
      <w:r>
        <w:rPr>
          <w:rFonts w:hint="eastAsia"/>
          <w:sz w:val="24"/>
          <w:szCs w:val="24"/>
          <w:lang w:val="en-US" w:eastAsia="zh-CN"/>
        </w:rPr>
        <w:t>4</w:t>
      </w:r>
      <w:r>
        <w:rPr>
          <w:rFonts w:hint="eastAsia"/>
          <w:sz w:val="24"/>
          <w:szCs w:val="24"/>
        </w:rPr>
        <w:t>部分：</w:t>
      </w:r>
      <w:r>
        <w:rPr>
          <w:rFonts w:hint="eastAsia"/>
          <w:sz w:val="24"/>
          <w:szCs w:val="24"/>
          <w:lang w:val="en-US" w:eastAsia="zh-CN"/>
        </w:rPr>
        <w:t>铋</w:t>
      </w:r>
      <w:r>
        <w:rPr>
          <w:rFonts w:hint="eastAsia"/>
          <w:sz w:val="24"/>
          <w:szCs w:val="24"/>
        </w:rPr>
        <w:t>含量的测定 火焰原子吸收光谱法和Na2EDTA滴定法》由全国有色金属标准化技术委员会负责归口，由广西中检检测技术服务有限公司和北矿检测技术有限公司分别负责起草方法1和方法2，项目计划编号为 2018-055</w:t>
      </w:r>
      <w:r>
        <w:rPr>
          <w:rFonts w:hint="eastAsia"/>
          <w:sz w:val="24"/>
          <w:szCs w:val="24"/>
          <w:lang w:val="en-US" w:eastAsia="zh-CN"/>
        </w:rPr>
        <w:t>2</w:t>
      </w:r>
      <w:r>
        <w:rPr>
          <w:rFonts w:hint="eastAsia"/>
          <w:sz w:val="24"/>
          <w:szCs w:val="24"/>
        </w:rPr>
        <w:t>T-YS，完成时间为2020年。</w:t>
      </w:r>
    </w:p>
    <w:p>
      <w:pPr>
        <w:pStyle w:val="5"/>
        <w:bidi w:val="0"/>
      </w:pPr>
      <w:r>
        <w:t>3. 项目编制工作组单位简介</w:t>
      </w:r>
    </w:p>
    <w:p>
      <w:pPr>
        <w:spacing w:line="360" w:lineRule="auto"/>
        <w:ind w:firstLine="437"/>
        <w:rPr>
          <w:rFonts w:hint="eastAsia"/>
          <w:sz w:val="24"/>
          <w:szCs w:val="24"/>
          <w:highlight w:val="none"/>
        </w:rPr>
      </w:pPr>
      <w:r>
        <w:rPr>
          <w:rFonts w:hint="eastAsia" w:ascii="Times New Roman" w:hAnsi="Times New Roman"/>
          <w:sz w:val="24"/>
          <w:szCs w:val="24"/>
          <w:lang w:val="en-US" w:eastAsia="zh-CN"/>
        </w:rPr>
        <w:t>本部分方法1：即火焰原子吸收光谱法，</w:t>
      </w:r>
      <w:r>
        <w:rPr>
          <w:rFonts w:hint="eastAsia"/>
          <w:sz w:val="24"/>
          <w:szCs w:val="24"/>
          <w:highlight w:val="none"/>
        </w:rPr>
        <w:t>由广西中检检测技术服务有限公司起草，由</w:t>
      </w:r>
      <w:r>
        <w:rPr>
          <w:rFonts w:hint="eastAsia"/>
          <w:sz w:val="24"/>
          <w:szCs w:val="24"/>
          <w:highlight w:val="none"/>
          <w:lang w:eastAsia="zh-CN"/>
        </w:rPr>
        <w:t>西安汉唐分析检测有限公司</w:t>
      </w:r>
      <w:r>
        <w:rPr>
          <w:sz w:val="24"/>
          <w:szCs w:val="24"/>
          <w:highlight w:val="none"/>
        </w:rPr>
        <w:t>、云南锡业股份有限公司、</w:t>
      </w:r>
      <w:r>
        <w:rPr>
          <w:kern w:val="0"/>
          <w:sz w:val="24"/>
          <w:szCs w:val="24"/>
          <w:highlight w:val="none"/>
        </w:rPr>
        <w:t>北矿检测技术有限公司、昆明冶金研究院、</w:t>
      </w:r>
      <w:r>
        <w:rPr>
          <w:rFonts w:hint="eastAsia"/>
          <w:sz w:val="24"/>
          <w:szCs w:val="24"/>
          <w:highlight w:val="none"/>
        </w:rPr>
        <w:t>大冶有色设计研究院有限公司、</w:t>
      </w:r>
      <w:r>
        <w:rPr>
          <w:kern w:val="0"/>
          <w:sz w:val="24"/>
          <w:szCs w:val="24"/>
          <w:highlight w:val="none"/>
        </w:rPr>
        <w:t>紫金铜业有限公司</w:t>
      </w:r>
      <w:r>
        <w:rPr>
          <w:sz w:val="24"/>
          <w:szCs w:val="24"/>
          <w:highlight w:val="none"/>
        </w:rPr>
        <w:t>、防城港市东途矿产检测有限公司</w:t>
      </w:r>
      <w:r>
        <w:rPr>
          <w:rFonts w:hint="eastAsia"/>
          <w:sz w:val="24"/>
          <w:szCs w:val="24"/>
          <w:highlight w:val="none"/>
        </w:rPr>
        <w:t>协助共同</w:t>
      </w:r>
      <w:r>
        <w:rPr>
          <w:rFonts w:hint="eastAsia"/>
          <w:sz w:val="24"/>
          <w:szCs w:val="24"/>
          <w:highlight w:val="none"/>
          <w:lang w:val="en-US" w:eastAsia="zh-CN"/>
        </w:rPr>
        <w:t>编制</w:t>
      </w:r>
      <w:r>
        <w:rPr>
          <w:rFonts w:hint="eastAsia"/>
          <w:sz w:val="24"/>
          <w:szCs w:val="24"/>
          <w:highlight w:val="none"/>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本部分方法2</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Na</w:t>
      </w:r>
      <w:r>
        <w:rPr>
          <w:rFonts w:hint="eastAsia" w:ascii="宋体" w:hAnsi="宋体" w:cs="宋体"/>
          <w:color w:val="auto"/>
          <w:sz w:val="21"/>
          <w:szCs w:val="21"/>
          <w:vertAlign w:val="subscript"/>
        </w:rPr>
        <w:t>2</w:t>
      </w:r>
      <w:r>
        <w:rPr>
          <w:rFonts w:hint="eastAsia" w:ascii="宋体" w:hAnsi="宋体" w:cs="宋体"/>
          <w:color w:val="auto"/>
          <w:sz w:val="21"/>
          <w:szCs w:val="21"/>
        </w:rPr>
        <w:t>EDTA滴定法</w:t>
      </w:r>
      <w:r>
        <w:rPr>
          <w:rFonts w:hint="eastAsia" w:ascii="宋体" w:hAnsi="宋体" w:cs="宋体"/>
          <w:color w:val="auto"/>
          <w:sz w:val="21"/>
          <w:szCs w:val="21"/>
          <w:lang w:val="en-US" w:eastAsia="zh-CN"/>
        </w:rPr>
        <w:t>由</w:t>
      </w:r>
      <w:r>
        <w:rPr>
          <w:rFonts w:hint="eastAsia" w:ascii="宋体" w:hAnsi="宋体" w:eastAsia="宋体" w:cs="宋体"/>
          <w:color w:val="auto"/>
          <w:sz w:val="21"/>
          <w:szCs w:val="21"/>
        </w:rPr>
        <w:t>北矿检测技术有限公司、云锡股份有限公司、大冶有色金属有限责任公司、国标（北京）检验认证有限公司、湖南柿竹园有色金属有限责任公司、福建紫金矿冶测试技术有限公司、富民薪冶工贸有限公司、紫金铜业有限公司</w:t>
      </w:r>
      <w:r>
        <w:rPr>
          <w:rFonts w:ascii="Times New Roman" w:hAnsi="Times New Roman"/>
          <w:color w:val="auto"/>
          <w:kern w:val="1"/>
          <w:sz w:val="21"/>
          <w:szCs w:val="21"/>
        </w:rPr>
        <w:t>共同编制</w:t>
      </w:r>
      <w:r>
        <w:rPr>
          <w:rFonts w:hint="eastAsia" w:ascii="宋体" w:hAnsi="宋体" w:eastAsia="宋体" w:cs="宋体"/>
          <w:color w:val="auto"/>
          <w:sz w:val="21"/>
          <w:szCs w:val="21"/>
        </w:rPr>
        <w:t>。</w:t>
      </w:r>
    </w:p>
    <w:p>
      <w:pPr>
        <w:pStyle w:val="5"/>
        <w:bidi w:val="0"/>
        <w:rPr>
          <w:rFonts w:hint="eastAsia" w:ascii="Times New Roman" w:hAnsi="Times New Roman"/>
          <w:b/>
          <w:bCs/>
          <w:szCs w:val="21"/>
          <w:lang w:val="en-US" w:eastAsia="zh-CN" w:bidi="he-IL"/>
        </w:rPr>
      </w:pPr>
      <w:r>
        <w:rPr>
          <w:rFonts w:hint="eastAsia" w:ascii="Times New Roman" w:hAnsi="Times New Roman"/>
          <w:szCs w:val="21"/>
          <w:lang w:val="en-US" w:eastAsia="zh-CN" w:bidi="he-IL"/>
        </w:rPr>
        <w:t>3.1</w:t>
      </w:r>
      <w:r>
        <w:rPr>
          <w:rFonts w:hint="eastAsia" w:ascii="Times New Roman" w:hAnsi="Times New Roman"/>
          <w:b/>
          <w:bCs/>
          <w:szCs w:val="21"/>
          <w:lang w:val="en-US" w:eastAsia="zh-CN" w:bidi="he-IL"/>
        </w:rPr>
        <w:t xml:space="preserve"> 广西中检检测技术服务有限公司</w:t>
      </w:r>
    </w:p>
    <w:p>
      <w:pPr>
        <w:spacing w:line="360" w:lineRule="auto"/>
        <w:ind w:firstLine="420" w:firstLineChars="200"/>
        <w:rPr>
          <w:rFonts w:hint="default" w:ascii="Times New Roman" w:hAnsi="Times New Roman"/>
          <w:sz w:val="24"/>
          <w:szCs w:val="24"/>
          <w:lang w:val="en-US" w:eastAsia="zh-CN" w:bidi="he-IL"/>
        </w:rPr>
      </w:pPr>
      <w:r>
        <w:rPr>
          <w:rFonts w:hint="default" w:ascii="Times New Roman" w:hAnsi="Times New Roman"/>
          <w:szCs w:val="21"/>
          <w:lang w:val="en-US" w:eastAsia="zh-CN" w:bidi="he-IL"/>
        </w:rPr>
        <w:t>广西中检检测技术服务有限公司是中国认证集团广西有限公司的一级子公司，是广西公司的技术支撑，位</w:t>
      </w:r>
      <w:r>
        <w:rPr>
          <w:rFonts w:hint="default" w:ascii="Times New Roman" w:hAnsi="Times New Roman"/>
          <w:sz w:val="24"/>
          <w:szCs w:val="24"/>
          <w:lang w:val="en-US" w:eastAsia="zh-CN" w:bidi="he-IL"/>
        </w:rPr>
        <w:t>于防城港市，下辖10个分实验室，经过多年的建设和发展，广西中检检测技术服务有限公司现在已发展成为设施设备完善，装备精良，具有相当规模的多学科、多工种，集应用研究、技术开发、分析测试为一体的现代分析测试机构，技术能力涵盖矿产品、食品、农产品、化工品、煤炭、石油、林化产品、环境监测、油液监测等领域。2016年6月，通过伦敦金属交易所（LME）评审，并成功入围全球十家指定检验机构名录，也是国内第二家指定的检测机构，是重金属精矿贸易国际仲裁机构之一，是目前西南地区规模最大的第三方综合性检测机构。</w:t>
      </w:r>
    </w:p>
    <w:p>
      <w:pPr>
        <w:spacing w:line="360" w:lineRule="auto"/>
        <w:ind w:firstLine="480" w:firstLineChars="200"/>
        <w:rPr>
          <w:rFonts w:hint="default" w:ascii="Times New Roman" w:hAnsi="Times New Roman"/>
          <w:sz w:val="24"/>
          <w:szCs w:val="24"/>
          <w:lang w:val="en-US" w:eastAsia="zh-CN" w:bidi="he-IL"/>
        </w:rPr>
      </w:pPr>
      <w:r>
        <w:rPr>
          <w:rFonts w:hint="default" w:ascii="Times New Roman" w:hAnsi="Times New Roman"/>
          <w:sz w:val="24"/>
          <w:szCs w:val="24"/>
          <w:lang w:val="en-US" w:eastAsia="zh-CN" w:bidi="he-IL"/>
        </w:rPr>
        <w:t>近年来承担市厅级以上科技项目达30余项，其中国家级项目3项，省部级项目5项；获得省部级科技进步奖5项；累计申请专利10项，其中授权实用新型专利6项；主持和参与国家级行业标准达70余项；发表论文60余篇。</w:t>
      </w:r>
    </w:p>
    <w:p>
      <w:pPr>
        <w:spacing w:line="360" w:lineRule="auto"/>
        <w:ind w:firstLine="480" w:firstLineChars="200"/>
        <w:rPr>
          <w:rFonts w:hint="default" w:ascii="Times New Roman" w:hAnsi="Times New Roman"/>
          <w:sz w:val="24"/>
          <w:szCs w:val="24"/>
          <w:lang w:val="en-US" w:eastAsia="zh-CN" w:bidi="he-IL"/>
        </w:rPr>
      </w:pPr>
      <w:r>
        <w:rPr>
          <w:rFonts w:hint="default" w:ascii="Times New Roman" w:hAnsi="Times New Roman"/>
          <w:sz w:val="24"/>
          <w:szCs w:val="24"/>
          <w:lang w:val="en-US" w:eastAsia="zh-CN" w:bidi="he-IL"/>
        </w:rPr>
        <w:t>该单位为本标准的参与起草单位，负责粗锡化学分析方法系列标准中第四部分铋的方法1的起草工作，具体负责该方法的制定、资料收集、技术参数的确定及标准条款的编写工作等；同时也参加其他方法的验证工作，及时准确地向起草单位提供试验数据，并提出有价值的意见和建议，在编制组中起到了重要作用。</w:t>
      </w:r>
    </w:p>
    <w:p>
      <w:pPr>
        <w:pStyle w:val="5"/>
        <w:bidi w:val="0"/>
      </w:pPr>
      <w:r>
        <w:t>3.</w:t>
      </w:r>
      <w:r>
        <w:rPr>
          <w:rFonts w:hint="eastAsia"/>
          <w:lang w:val="en-US" w:eastAsia="zh-CN"/>
        </w:rPr>
        <w:t>2</w:t>
      </w:r>
      <w:r>
        <w:t xml:space="preserve"> 北矿检测技术有限公司</w:t>
      </w:r>
    </w:p>
    <w:p>
      <w:pPr>
        <w:spacing w:line="360" w:lineRule="auto"/>
        <w:ind w:firstLine="420" w:firstLineChars="200"/>
        <w:rPr>
          <w:rFonts w:ascii="Times New Roman" w:hAnsi="Times New Roman"/>
          <w:color w:val="auto"/>
        </w:rPr>
      </w:pPr>
      <w:r>
        <w:rPr>
          <w:rFonts w:ascii="Times New Roman" w:hAnsi="Times New Roman"/>
        </w:rPr>
        <w:t>北矿检测技术有</w:t>
      </w:r>
      <w:r>
        <w:rPr>
          <w:rFonts w:ascii="Times New Roman" w:hAnsi="Times New Roman"/>
          <w:color w:val="auto"/>
        </w:rPr>
        <w:t>限公司为国家重有色金属质量监督检验中心、国家进出口商品检验有色金属认可实验室、中国有色金属工业重金属质检中心、科技成果检测鉴定国家级检测机构，在国内有色金属分析领域具有权威地位。公司拥有多台电感耦合等离子体原子发射光谱仪，具备项目研究所需的仪器设备。公司多次参与有色行业标准的起草、验证等工作，具有丰富的方法研究经验。</w:t>
      </w:r>
    </w:p>
    <w:p>
      <w:pPr>
        <w:spacing w:line="360" w:lineRule="auto"/>
        <w:ind w:firstLine="420" w:firstLineChars="200"/>
        <w:rPr>
          <w:rFonts w:ascii="Times New Roman" w:hAnsi="Times New Roman"/>
          <w:color w:val="auto"/>
        </w:rPr>
      </w:pPr>
      <w:r>
        <w:rPr>
          <w:rFonts w:ascii="Times New Roman" w:hAnsi="Times New Roman"/>
          <w:color w:val="auto"/>
        </w:rPr>
        <w:t>该单位为本标准的主编单位之一，负责该标准项目的调研、资料收集和制定试验方案，负责具体的试验，技术参数的确定以及标准资料的编写、上报等工作。起草了方法粗锡中</w:t>
      </w:r>
      <w:r>
        <w:rPr>
          <w:rFonts w:hint="eastAsia"/>
          <w:color w:val="auto"/>
          <w:lang w:val="en-US" w:eastAsia="zh-CN"/>
        </w:rPr>
        <w:t>铋量的测定 Na</w:t>
      </w:r>
      <w:r>
        <w:rPr>
          <w:rFonts w:hint="eastAsia"/>
          <w:color w:val="auto"/>
          <w:vertAlign w:val="subscript"/>
          <w:lang w:val="en-US" w:eastAsia="zh-CN"/>
        </w:rPr>
        <w:t>2</w:t>
      </w:r>
      <w:r>
        <w:rPr>
          <w:rFonts w:hint="eastAsia"/>
          <w:color w:val="auto"/>
          <w:lang w:val="en-US" w:eastAsia="zh-CN"/>
        </w:rPr>
        <w:t>EDTA滴定法</w:t>
      </w:r>
      <w:r>
        <w:rPr>
          <w:rFonts w:ascii="Times New Roman" w:hAnsi="Times New Roman"/>
          <w:color w:val="auto"/>
        </w:rPr>
        <w:t>，并参加</w:t>
      </w:r>
      <w:r>
        <w:rPr>
          <w:rFonts w:hint="eastAsia"/>
          <w:color w:val="auto"/>
          <w:lang w:val="en-US" w:eastAsia="zh-CN"/>
        </w:rPr>
        <w:t>方法1</w:t>
      </w:r>
      <w:r>
        <w:rPr>
          <w:rFonts w:ascii="Times New Roman" w:hAnsi="Times New Roman"/>
          <w:color w:val="auto"/>
        </w:rPr>
        <w:t>粗锡中</w:t>
      </w:r>
      <w:r>
        <w:rPr>
          <w:rFonts w:hint="eastAsia"/>
          <w:color w:val="auto"/>
          <w:lang w:val="en-US" w:eastAsia="zh-CN"/>
        </w:rPr>
        <w:t xml:space="preserve">铋量的测定 </w:t>
      </w:r>
      <w:r>
        <w:rPr>
          <w:rFonts w:ascii="Times New Roman" w:hAnsi="Times New Roman"/>
          <w:color w:val="auto"/>
        </w:rPr>
        <w:t>火焰原子吸收光谱法</w:t>
      </w:r>
      <w:r>
        <w:rPr>
          <w:rFonts w:hint="eastAsia" w:ascii="Times New Roman" w:hAnsi="Times New Roman"/>
          <w:color w:val="auto"/>
          <w:lang w:val="en-US" w:eastAsia="zh-CN"/>
        </w:rPr>
        <w:t>的</w:t>
      </w:r>
      <w:r>
        <w:rPr>
          <w:rFonts w:ascii="Times New Roman" w:hAnsi="Times New Roman"/>
          <w:color w:val="auto"/>
        </w:rPr>
        <w:t>验证，及时准确的提供了试验数据，及本部分所需的相关统计数据，并提出有价值的意见建议，在编制组中发挥了重要作用。</w:t>
      </w:r>
    </w:p>
    <w:p>
      <w:pPr>
        <w:pStyle w:val="5"/>
        <w:bidi w:val="0"/>
        <w:rPr>
          <w:rFonts w:hint="default"/>
          <w:lang w:val="en-US" w:eastAsia="zh-CN"/>
        </w:rPr>
      </w:pPr>
      <w:r>
        <w:rPr>
          <w:rFonts w:hint="eastAsia"/>
          <w:lang w:val="en-US" w:eastAsia="zh-CN"/>
        </w:rPr>
        <w:t xml:space="preserve">3.3 </w:t>
      </w:r>
      <w:r>
        <w:rPr>
          <w:rFonts w:hint="default"/>
          <w:lang w:val="en-US" w:eastAsia="zh-CN"/>
        </w:rPr>
        <w:t>西安汉唐分析检测有限公司</w:t>
      </w:r>
    </w:p>
    <w:p>
      <w:pPr>
        <w:spacing w:line="360" w:lineRule="auto"/>
        <w:ind w:firstLine="480" w:firstLineChars="200"/>
        <w:rPr>
          <w:rFonts w:hint="default" w:ascii="Times New Roman" w:hAnsi="Times New Roman"/>
          <w:sz w:val="24"/>
          <w:szCs w:val="24"/>
          <w:lang w:val="en-US" w:eastAsia="zh-CN" w:bidi="he-IL"/>
        </w:rPr>
      </w:pPr>
      <w:r>
        <w:rPr>
          <w:rFonts w:hint="default" w:ascii="Times New Roman" w:hAnsi="Times New Roman"/>
          <w:sz w:val="24"/>
          <w:szCs w:val="24"/>
          <w:lang w:val="en-US" w:eastAsia="zh-CN" w:bidi="he-IL"/>
        </w:rPr>
        <w:t>西安汉唐分析检测有限公司是</w:t>
      </w:r>
      <w:r>
        <w:rPr>
          <w:rFonts w:hint="eastAsia"/>
          <w:sz w:val="24"/>
          <w:szCs w:val="24"/>
          <w:lang w:val="en-US" w:eastAsia="zh-CN" w:bidi="he-IL"/>
        </w:rPr>
        <w:t>西安汉唐分析检测有限公司</w:t>
      </w:r>
      <w:r>
        <w:rPr>
          <w:rFonts w:hint="default" w:ascii="Times New Roman" w:hAnsi="Times New Roman"/>
          <w:sz w:val="24"/>
          <w:szCs w:val="24"/>
          <w:lang w:val="en-US" w:eastAsia="zh-CN" w:bidi="he-IL"/>
        </w:rPr>
        <w:t>（集团）下属的第三方检测机构。1965年成立至今，公司已在西安宝鸡两地三区建成标准化实验室，检测面积10000余平方米，设备200余台（套），设备资产上亿元。现有员工124名，其中技术人员70余名（教授8名，高级工程师32名，注册计量师10名）。公司是国内最大的钛合金检测机构、国内最全面的金属复合材料检测机构、国内唯一核电堆芯材料的检测机构、金属材料全领域检测机构。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CMA）、中国合格评定国家认可委员会（CNAS）和国防科技工业实验室认可委员会（DILAC）认证，是由政府部门授权、具有法定第三方公正地位的产品质量检验机构。</w:t>
      </w:r>
    </w:p>
    <w:p>
      <w:pPr>
        <w:spacing w:line="360" w:lineRule="auto"/>
        <w:ind w:firstLine="420" w:firstLineChars="200"/>
        <w:rPr>
          <w:rFonts w:hint="default" w:ascii="Times New Roman" w:hAnsi="Times New Roman"/>
          <w:sz w:val="24"/>
          <w:szCs w:val="24"/>
          <w:lang w:val="en-US" w:eastAsia="zh-CN" w:bidi="he-IL"/>
        </w:rPr>
      </w:pPr>
      <w:r>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pPr>
        <w:pStyle w:val="5"/>
        <w:bidi w:val="0"/>
        <w:rPr>
          <w:rFonts w:hint="eastAsia"/>
        </w:rPr>
      </w:pPr>
      <w:r>
        <w:rPr>
          <w:rFonts w:hint="eastAsia"/>
          <w:lang w:val="en-US" w:eastAsia="zh-CN"/>
        </w:rPr>
        <w:t xml:space="preserve">3.4 </w:t>
      </w:r>
      <w:r>
        <w:rPr>
          <w:rFonts w:hint="eastAsia"/>
        </w:rPr>
        <w:t>云南锡业股份有限公司</w:t>
      </w:r>
    </w:p>
    <w:p>
      <w:pPr>
        <w:spacing w:line="360" w:lineRule="auto"/>
        <w:ind w:firstLine="630" w:firstLineChars="300"/>
        <w:rPr>
          <w:rFonts w:ascii="宋体" w:hAnsi="宋体" w:cs="宋体"/>
          <w:szCs w:val="21"/>
        </w:rPr>
      </w:pPr>
      <w:r>
        <w:rPr>
          <w:rFonts w:hint="eastAsia" w:ascii="宋体" w:hAnsi="宋体" w:cs="宋体"/>
          <w:szCs w:val="21"/>
        </w:rPr>
        <w:t>云南锡业股份有限公司于1998年11月由云南锡业公司作为主要发起人设立，于2000年2月21日获准在深圳证券交易所上市挂牌交易，成为上市公司。公司拥有世界最长、最完整的锡产业链，是我国最大的锡生产、加工、出口基地，拥有国家认定企业技术中心、国家认可实验室，科技创新实力雄厚，成果丰硕。公司现有年产8万吨锡、10万吨铜、10万吨锌（锌精矿含锌）、2.4万吨锡化工产品、2.9万吨锡材产品的生产能力。主要产品有锡锭、铟锭、阴极铜、锡铅焊料及无铅焊料，锡材、锡基合金、有机锡及无机锡化工产品等14个系列660多个品种。公司是全球最大的锡产品生产商和供应商，2005年以来，公司锡金属产销量连续稳居全球第一，2019年公司锡金属国内市场占有率48%，全球市场占有率21%。是国家锡产品主要研发和出口基地，产品远销日本、美国、欧洲等50多个国家和地区。</w:t>
      </w:r>
    </w:p>
    <w:p>
      <w:pPr>
        <w:spacing w:line="360" w:lineRule="auto"/>
        <w:ind w:firstLine="420" w:firstLineChars="200"/>
        <w:rPr>
          <w:rFonts w:ascii="宋体" w:hAnsi="宋体" w:cs="宋体"/>
          <w:szCs w:val="21"/>
        </w:rPr>
      </w:pPr>
      <w:r>
        <w:rPr>
          <w:rFonts w:hint="eastAsia" w:ascii="宋体" w:hAnsi="宋体" w:cs="宋体"/>
          <w:szCs w:val="21"/>
        </w:rPr>
        <w:t>云锡历来高度重视标准化建设，投入大量的人力、物力和财力，发挥世界领先的锡生产技术及研发优势，积极采用国际先进标准，完成了与锡有关的产品标准、分析方法、能源标准、二次原料回收利用等多项国家、行业标准的制、修订工作。2000年以来先后主持或参与制、修订了122个国家标准，36个行业标准，27个标准达到国际先进水平，87个标准达到国内先进水平，有多个标准填补了国内空白。为规范锡行业发展，提高产品质量及调整产业结构，开发新产品促进新的经济增长点，促进锡生产企业推进技术进步，节能减排，综合回收锡资源，提升锡产业竞争力发挥了积极作用。5个标准分别获中国有色金属工业科学技术二等奖、三等奖。被国家标准化管理委员会指定承担锡及锡合金工作组秘书处工作。</w:t>
      </w:r>
    </w:p>
    <w:p>
      <w:pPr>
        <w:spacing w:line="360" w:lineRule="auto"/>
        <w:ind w:firstLine="420" w:firstLineChars="200"/>
        <w:rPr>
          <w:rFonts w:hint="eastAsia" w:ascii="宋体" w:hAnsi="宋体" w:cs="宋体"/>
          <w:szCs w:val="21"/>
        </w:rPr>
      </w:pPr>
      <w:r>
        <w:rPr>
          <w:rFonts w:hint="eastAsia" w:ascii="宋体" w:hAnsi="宋体" w:cs="宋体"/>
          <w:szCs w:val="21"/>
        </w:rPr>
        <w:t>公司技术力量雄厚、质量、环境、安全保证体系齐全、检测设备和仪器齐全，有从事锡金属冶炼整套成熟工艺，生产经验丰富，产品质量稳定，完全具备主编起草本标准的资格、基础和条件。</w:t>
      </w:r>
    </w:p>
    <w:p>
      <w:pPr>
        <w:spacing w:line="360" w:lineRule="auto"/>
        <w:ind w:firstLine="315" w:firstLineChars="150"/>
        <w:rPr>
          <w:rFonts w:ascii="Times New Roman" w:hAnsi="Times New Roman"/>
        </w:rPr>
      </w:pPr>
      <w:r>
        <w:rPr>
          <w:rFonts w:hint="eastAsia" w:ascii="Times New Roman" w:hAnsi="Times New Roman"/>
        </w:rPr>
        <w:t>我</w:t>
      </w:r>
      <w:r>
        <w:rPr>
          <w:rFonts w:ascii="Times New Roman" w:hAnsi="Times New Roman"/>
        </w:rPr>
        <w:t>单位为本标准的主编单位，负责该标准项目的调研、资料收集和制定试验方案，负责具体的试验，技术参数的确定以及标准资料的编写、上报等工作。起草了方法</w:t>
      </w:r>
      <w:r>
        <w:rPr>
          <w:rFonts w:hint="eastAsia" w:ascii="Times New Roman" w:hAnsi="Times New Roman"/>
        </w:rPr>
        <w:t>1</w:t>
      </w:r>
      <w:r>
        <w:rPr>
          <w:rFonts w:ascii="Times New Roman" w:hAnsi="Times New Roman"/>
        </w:rPr>
        <w:t>碘</w:t>
      </w:r>
      <w:r>
        <w:rPr>
          <w:rFonts w:hint="eastAsia" w:ascii="Times New Roman" w:hAnsi="Times New Roman"/>
        </w:rPr>
        <w:t>酸钾</w:t>
      </w:r>
      <w:r>
        <w:rPr>
          <w:rFonts w:ascii="Times New Roman" w:hAnsi="Times New Roman"/>
        </w:rPr>
        <w:t>法测定粗锡中</w:t>
      </w:r>
      <w:r>
        <w:rPr>
          <w:rFonts w:hint="eastAsia" w:ascii="Times New Roman" w:hAnsi="Times New Roman"/>
        </w:rPr>
        <w:t>锡</w:t>
      </w:r>
      <w:r>
        <w:rPr>
          <w:rFonts w:ascii="Times New Roman" w:hAnsi="Times New Roman"/>
        </w:rPr>
        <w:t>的含量，并参加其他方法的起草与验证，及时准确的提供了试验数据，及本部分所需的相关统计数据，并提出有价值的意见建议，在编制组中发挥了重要作用。</w:t>
      </w:r>
    </w:p>
    <w:p>
      <w:pPr>
        <w:pStyle w:val="5"/>
        <w:bidi w:val="0"/>
      </w:pPr>
      <w:r>
        <w:t>3.</w:t>
      </w:r>
      <w:r>
        <w:rPr>
          <w:rFonts w:hint="eastAsia"/>
          <w:lang w:val="en-US" w:eastAsia="zh-CN"/>
        </w:rPr>
        <w:t>5</w:t>
      </w:r>
      <w:r>
        <w:t xml:space="preserve"> 北矿检测技术有限公司</w:t>
      </w:r>
    </w:p>
    <w:p>
      <w:pPr>
        <w:spacing w:line="360" w:lineRule="auto"/>
        <w:ind w:firstLine="480" w:firstLineChars="200"/>
        <w:rPr>
          <w:rFonts w:ascii="Times New Roman" w:hAnsi="Times New Roman"/>
          <w:sz w:val="24"/>
          <w:szCs w:val="24"/>
        </w:rPr>
      </w:pPr>
      <w:r>
        <w:rPr>
          <w:rFonts w:ascii="Times New Roman" w:hAnsi="Times New Roman"/>
          <w:sz w:val="24"/>
          <w:szCs w:val="24"/>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电感耦合等离子体原子发射光谱仪，具备项目研究所需的仪器设备。公司多次参与有色行业标准的起草、验证等工作，具有丰富的方法研究经验。</w:t>
      </w:r>
    </w:p>
    <w:p>
      <w:pPr>
        <w:spacing w:line="360" w:lineRule="auto"/>
        <w:ind w:firstLine="480" w:firstLineChars="200"/>
        <w:rPr>
          <w:rFonts w:ascii="Times New Roman" w:hAnsi="Times New Roman"/>
          <w:sz w:val="24"/>
          <w:szCs w:val="24"/>
        </w:rPr>
      </w:pPr>
      <w:r>
        <w:rPr>
          <w:rFonts w:ascii="Times New Roman" w:hAnsi="Times New Roman"/>
          <w:sz w:val="24"/>
          <w:szCs w:val="24"/>
        </w:rPr>
        <w:t>该单位为本标准的主编单位之一，负责该标准项目的调研、资料收集和制定试验方案，负责具体的试验，技术参数的确定以及标准资料的编写、上报等工作。起草了方法</w:t>
      </w:r>
      <w:r>
        <w:rPr>
          <w:rFonts w:hint="eastAsia" w:ascii="Times New Roman" w:hAnsi="Times New Roman"/>
          <w:sz w:val="24"/>
          <w:szCs w:val="24"/>
          <w:lang w:val="en-US" w:eastAsia="zh-CN"/>
        </w:rPr>
        <w:t xml:space="preserve">2 </w:t>
      </w:r>
      <w:r>
        <w:rPr>
          <w:rFonts w:hint="eastAsia"/>
          <w:sz w:val="24"/>
          <w:szCs w:val="24"/>
        </w:rPr>
        <w:t>Na</w:t>
      </w:r>
      <w:r>
        <w:rPr>
          <w:rFonts w:hint="eastAsia"/>
          <w:sz w:val="24"/>
          <w:szCs w:val="24"/>
          <w:vertAlign w:val="subscript"/>
        </w:rPr>
        <w:t>2</w:t>
      </w:r>
      <w:r>
        <w:rPr>
          <w:rFonts w:hint="eastAsia"/>
          <w:sz w:val="24"/>
          <w:szCs w:val="24"/>
        </w:rPr>
        <w:t>EDTA滴定法</w:t>
      </w:r>
      <w:r>
        <w:rPr>
          <w:rFonts w:ascii="Times New Roman" w:hAnsi="Times New Roman"/>
          <w:sz w:val="24"/>
          <w:szCs w:val="24"/>
        </w:rPr>
        <w:t>测定粗锡中</w:t>
      </w:r>
      <w:r>
        <w:rPr>
          <w:rFonts w:hint="eastAsia" w:ascii="Times New Roman" w:hAnsi="Times New Roman"/>
          <w:sz w:val="24"/>
          <w:szCs w:val="24"/>
          <w:lang w:val="en-US" w:eastAsia="zh-CN"/>
        </w:rPr>
        <w:t>铋</w:t>
      </w:r>
      <w:r>
        <w:rPr>
          <w:rFonts w:ascii="Times New Roman" w:hAnsi="Times New Roman"/>
          <w:sz w:val="24"/>
          <w:szCs w:val="24"/>
        </w:rPr>
        <w:t>的含量，并参加其他方法的起草与验证，及时准确的提供了试验数据，及本部分所需的相关统计数据，并提出有价值的意见建议，在编制组中发挥了重要作用。</w:t>
      </w:r>
    </w:p>
    <w:p>
      <w:pPr>
        <w:pStyle w:val="5"/>
        <w:bidi w:val="0"/>
      </w:pPr>
      <w:r>
        <w:rPr>
          <w:rFonts w:hint="eastAsia"/>
          <w:lang w:val="en-US" w:eastAsia="zh-CN"/>
        </w:rPr>
        <w:t xml:space="preserve">3.6 </w:t>
      </w:r>
      <w:r>
        <w:t>昆明冶金研究院</w:t>
      </w:r>
    </w:p>
    <w:p>
      <w:pPr>
        <w:spacing w:line="360" w:lineRule="auto"/>
        <w:ind w:firstLine="420" w:firstLineChars="200"/>
        <w:rPr>
          <w:rFonts w:ascii="Times New Roman" w:hAnsi="Times New Roman"/>
        </w:rPr>
      </w:pPr>
      <w:r>
        <w:rPr>
          <w:rFonts w:ascii="Times New Roman" w:hAnsi="Times New Roman"/>
        </w:rPr>
        <w:t>昆明冶金研究院是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加压湿法冶金技术应用研究创新团队、昆明市低成本多晶硅技术创新团队和昆明市铜及铜产品开发科技创新团队。主要从事矿产资源开发利用、技术研发与技术服务；冶金、环保技术开发与服务；新材料研究与开发；采、选、冶工程设计、民用建筑设计；矿石及金属产品中多元素分析、合金材料相分析和结构测定；矿物组成与赋存状态、各种材料成份结构分析等。分析测试研究部研究开发的分析方法汇编成方法集共23部，具有优良的科研传统和较强的研究能力；配备了目前世界上最为高端的诸多精密分析仪器，拥有ICP-AES、ICP-MS、GD-MS（辉光放电质谱）、X射线荧光光谱仪、X射线衍射仪、MLA（矿物解离度定量测定仪）、电子探针、光电直读光谱、原子荧光、原子吸收、分光光度计、高频红外碳硫分析仪等多套设备。</w:t>
      </w:r>
    </w:p>
    <w:p>
      <w:pPr>
        <w:spacing w:line="360" w:lineRule="auto"/>
        <w:ind w:firstLine="420" w:firstLineChars="200"/>
        <w:rPr>
          <w:rFonts w:hint="default" w:ascii="Times New Roman" w:hAnsi="Times New Roman" w:eastAsia="宋体"/>
          <w:lang w:val="en-US" w:eastAsia="zh-CN"/>
        </w:rPr>
      </w:pPr>
      <w:r>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pPr>
        <w:pStyle w:val="5"/>
        <w:bidi w:val="0"/>
      </w:pPr>
      <w:r>
        <w:t>3.</w:t>
      </w:r>
      <w:r>
        <w:rPr>
          <w:rFonts w:hint="eastAsia"/>
          <w:lang w:val="en-US" w:eastAsia="zh-CN"/>
        </w:rPr>
        <w:t>7</w:t>
      </w:r>
      <w:r>
        <w:t xml:space="preserve"> 大冶有色设计研究院有限公司</w:t>
      </w:r>
    </w:p>
    <w:p>
      <w:pPr>
        <w:spacing w:line="360" w:lineRule="auto"/>
        <w:ind w:firstLine="420" w:firstLineChars="200"/>
        <w:rPr>
          <w:rFonts w:ascii="Times New Roman" w:hAnsi="Times New Roman"/>
          <w:szCs w:val="21"/>
        </w:rPr>
      </w:pPr>
      <w:r>
        <w:rPr>
          <w:rFonts w:ascii="Times New Roman" w:hAnsi="Times New Roman"/>
          <w:szCs w:val="21"/>
        </w:rPr>
        <w:t>大冶有色设计研究院有限公司作为冶炼企业和第三方实验室，共有在册职工191人，拥有长期从事化学分析工作的专业技术人员以及化学分析理论知识比较全面的技术团队，具有多年从事各种矿产资源分析的工作经验，有完成项目需要的先进分析检测设备100多台套，均主持起草和参与多项国家、行业标准，目前公司拥有专利授权54项，其中发明专利16项，实用新型38项。近年来，公司先后完成了科研项目百余个，每年平均提交分析检测数据80多万个。近年主持国际标准《铜铅锌精矿中砷的测定标准》、《铜铅锌精矿中镉的测定标准》起草工作，主持参加起草《银化学分析方法》、《银精矿化学分析法》、《铜精矿化学分析方法》等30余项国家和行业分析标准起草，其中《银化学分析方法》、《铜阳极泥化学分析方法》、《粗铜化学分析方法》荣获中国有色金属工业科学技术奖二等奖。公司被授予 “国际标准研制创新示范基地”和“省级文明单位称号”等荣誉称号。</w:t>
      </w:r>
    </w:p>
    <w:p>
      <w:pPr>
        <w:spacing w:line="360" w:lineRule="auto"/>
        <w:ind w:firstLine="420" w:firstLineChars="200"/>
        <w:rPr>
          <w:rFonts w:ascii="Times New Roman" w:hAnsi="Times New Roman"/>
        </w:rPr>
      </w:pPr>
      <w:r>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pPr>
        <w:pStyle w:val="5"/>
        <w:bidi w:val="0"/>
        <w:rPr>
          <w:rFonts w:hint="default"/>
          <w:lang w:val="en-US" w:eastAsia="zh-CN"/>
        </w:rPr>
      </w:pPr>
      <w:r>
        <w:rPr>
          <w:rFonts w:hint="eastAsia"/>
          <w:lang w:val="en-US" w:eastAsia="zh-CN"/>
        </w:rPr>
        <w:t>3.8 紫金铜业有限公司</w:t>
      </w:r>
    </w:p>
    <w:p>
      <w:pPr>
        <w:spacing w:line="360" w:lineRule="auto"/>
        <w:ind w:firstLine="420" w:firstLineChars="200"/>
        <w:rPr>
          <w:rFonts w:hint="eastAsia" w:ascii="Times New Roman" w:hAnsi="Times New Roman"/>
        </w:rPr>
      </w:pPr>
      <w:r>
        <w:rPr>
          <w:rFonts w:hint="eastAsia" w:ascii="Times New Roman" w:hAnsi="Times New Roman"/>
        </w:rPr>
        <w:t>紫金铜业是紫金矿业集团全资子公司，2009年3月10日成立，2011年底建成，总投资80亿元，其中固定资产投资36亿元，厂区面积77万平方米。年产30万吨阴极铜、18吨黄金、400吨白银、80万吨硫酸及铂钯等稀贵金属，年产值200亿元以上。</w:t>
      </w:r>
    </w:p>
    <w:p>
      <w:pPr>
        <w:spacing w:line="360" w:lineRule="auto"/>
        <w:ind w:firstLine="420" w:firstLineChars="200"/>
        <w:rPr>
          <w:rFonts w:hint="eastAsia" w:ascii="Times New Roman" w:hAnsi="Times New Roman"/>
        </w:rPr>
      </w:pPr>
      <w:r>
        <w:rPr>
          <w:rFonts w:hint="eastAsia" w:ascii="Times New Roman" w:hAnsi="Times New Roman"/>
        </w:rPr>
        <w:t>公司坐落于蛟洋循环经济示范园区，是福建省金铜产业的主力企业，通过了质量、环境、职业健康安全、测量、能源管理体系“五标一体”认证，公司化验室通过了国家实验室认可和计量认证；生产的“紫金”牌阴极铜、在伦敦金属交易所（LME）、上海期货交易所注册；黄金和白银在伦敦金银市场协会（LBMA）、上海期货交易所、上海黄金交易所注册。近三年作为第一专利权人累计申请专利70余项，获得授权36项，其中发明专利3项；发表论文47篇；主持和参与制定国际、国家及行业标准30项。</w:t>
      </w:r>
    </w:p>
    <w:p>
      <w:pPr>
        <w:spacing w:line="360" w:lineRule="auto"/>
        <w:ind w:firstLine="420" w:firstLineChars="200"/>
        <w:rPr>
          <w:rFonts w:ascii="Times New Roman" w:hAnsi="Times New Roman"/>
        </w:rPr>
      </w:pPr>
      <w:r>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pPr>
        <w:pStyle w:val="5"/>
        <w:bidi w:val="0"/>
        <w:rPr>
          <w:rFonts w:hint="default"/>
        </w:rPr>
      </w:pPr>
      <w:r>
        <w:rPr>
          <w:rFonts w:hint="eastAsia"/>
          <w:lang w:val="en-US" w:eastAsia="zh-CN"/>
        </w:rPr>
        <w:t xml:space="preserve">3.9 </w:t>
      </w:r>
      <w:r>
        <w:rPr>
          <w:rFonts w:hint="default"/>
        </w:rPr>
        <w:t>防城港市东途矿产检测有限公司</w:t>
      </w:r>
    </w:p>
    <w:p>
      <w:pPr>
        <w:pStyle w:val="4"/>
        <w:bidi w:val="0"/>
        <w:spacing w:line="360" w:lineRule="auto"/>
        <w:ind w:firstLine="420" w:firstLineChars="200"/>
        <w:rPr>
          <w:rFonts w:hint="default" w:ascii="Times New Roman" w:hAnsi="Times New Roman" w:eastAsia="宋体" w:cs="Times New Roman"/>
          <w:b w:val="0"/>
          <w:kern w:val="2"/>
          <w:sz w:val="21"/>
          <w:szCs w:val="21"/>
          <w:lang w:val="en-US" w:eastAsia="zh-CN" w:bidi="ar-SA"/>
        </w:rPr>
      </w:pPr>
      <w:r>
        <w:rPr>
          <w:rFonts w:hint="default" w:ascii="Times New Roman" w:hAnsi="Times New Roman" w:eastAsia="宋体" w:cs="Times New Roman"/>
          <w:b w:val="0"/>
          <w:kern w:val="2"/>
          <w:sz w:val="21"/>
          <w:szCs w:val="21"/>
          <w:lang w:val="en-US" w:eastAsia="zh-CN" w:bidi="ar-SA"/>
        </w:rPr>
        <w:t>防城港市东途矿产检测有限公司（下称实验室）始建于2009年，是一家以矿产品检验检测为主要经营业务的第三方检测公司。实验室拥有CMA资质认定资质，并通过了CNAS实验室认可。实验室业务范围涵盖黑色金属矿、有色金属矿及金属材料等产品。目前，本实验室能够采用容量法、仪器分析法和火试金法等检测技术对10余种产品中的近40种元素（项目）进行分析。实验室以“准确及时，安全高效”为工作准则，精益求精、不断进取，竭诚为国内外客户提供优质的检验检测和技术咨询服务，争取超越客户期望，赢得客户的持续满意和信赖。</w:t>
      </w:r>
    </w:p>
    <w:p>
      <w:pPr>
        <w:spacing w:before="156" w:beforeLines="50" w:after="156" w:afterLines="50" w:line="360" w:lineRule="auto"/>
        <w:ind w:firstLine="420" w:firstLineChars="200"/>
        <w:rPr>
          <w:rFonts w:ascii="Times New Roman" w:hAnsi="Times New Roman"/>
        </w:rPr>
      </w:pPr>
      <w:r>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pPr>
        <w:pStyle w:val="5"/>
        <w:bidi w:val="0"/>
        <w:rPr>
          <w:rFonts w:hint="eastAsia"/>
        </w:rPr>
      </w:pPr>
      <w:r>
        <w:rPr>
          <w:rFonts w:hint="eastAsia"/>
          <w:lang w:val="en-US" w:eastAsia="zh-CN"/>
        </w:rPr>
        <w:t xml:space="preserve">3.10 </w:t>
      </w:r>
      <w:r>
        <w:rPr>
          <w:rFonts w:hint="eastAsia"/>
        </w:rPr>
        <w:t>国标（北京）检验认证有限公司</w:t>
      </w:r>
    </w:p>
    <w:p>
      <w:pPr>
        <w:widowControl w:val="0"/>
        <w:numPr>
          <w:ilvl w:val="0"/>
          <w:numId w:val="0"/>
        </w:numPr>
        <w:spacing w:before="156" w:beforeLines="50" w:after="156" w:afterLines="5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国标（北京）检验认证有限公司作为国合通用测试评价认证股份公司的全资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pStyle w:val="5"/>
        <w:bidi w:val="0"/>
        <w:rPr>
          <w:rFonts w:hint="eastAsia"/>
        </w:rPr>
      </w:pPr>
      <w:r>
        <w:rPr>
          <w:rFonts w:hint="eastAsia"/>
          <w:lang w:val="en-US" w:eastAsia="zh-CN"/>
        </w:rPr>
        <w:t xml:space="preserve">3.11 </w:t>
      </w:r>
      <w:r>
        <w:rPr>
          <w:rFonts w:hint="eastAsia"/>
        </w:rPr>
        <w:t>湖南柿竹园有色金属有限责任公司</w:t>
      </w:r>
    </w:p>
    <w:p>
      <w:pPr>
        <w:widowControl w:val="0"/>
        <w:numPr>
          <w:ilvl w:val="0"/>
          <w:numId w:val="0"/>
        </w:numPr>
        <w:spacing w:before="156" w:beforeLines="50" w:after="156" w:afterLines="5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湖南柿竹园有色金属有限责任公司是一个集采矿、选矿、冶炼、资源综合回收、产品研究开发于一体的国有大型矿山企业，现隶属于世界500强的中国五矿集团。公司矿产资源十分丰富，储量大、品种多、品类全，被中处地质专家誉为“世界有色金属博物馆”。 公司于2010年1月，成功爆响总装药量为821.3吨的“世界第一爆”，突破了空场面积大、充填成本高、采矿难度大的瓶颈，为高效安全采矿开拓了新路。针对多金属原矿品位低、嵌布颗粒细、成分过于复杂的选矿实际，公司在积累国家“八五”、“九五”科研攻关经验的基础上，与北京矿冶研究总院、广州有色金属研究院深度合作，采用钼铋等可浮、铋硫等可浮与CF——GY新药剂联合浮钨相结合的新工艺，使黑白钨混合矿石选矿技术达到国际领先水平。这一选矿技术后来叫做“柿竹园法”，以企业命名选矿法，在国内尚属首次，并于2001年荣获国家科技进步二等奖。2018年12月，柿竹园公司与中南大学、洛阳栾川钼业集团股份有限公司等单位完成的“钨氟磷含钙战略矿物资源浮选界面组装技术及应用”项目荣获国家科技进步二等奖。这是2018年度国家科技奖励大会上唯一一个钨选矿技术获奖的项目，是柿竹园公司团队开创“钨钼铋复杂多金属矿综合选矿新技术--柿竹园法”后在钨选矿领域取得的又一项引领国内科技前沿的重要成果。公司参与起草完成国家标准9项、参加起草行业标准13项，其中主持起草1项。</w:t>
      </w:r>
    </w:p>
    <w:p>
      <w:pPr>
        <w:pStyle w:val="5"/>
        <w:bidi w:val="0"/>
        <w:rPr>
          <w:rFonts w:hint="eastAsia"/>
        </w:rPr>
      </w:pPr>
      <w:r>
        <w:rPr>
          <w:rFonts w:hint="eastAsia"/>
          <w:lang w:val="en-US" w:eastAsia="zh-CN"/>
        </w:rPr>
        <w:t xml:space="preserve">3.12 </w:t>
      </w:r>
      <w:r>
        <w:rPr>
          <w:rFonts w:hint="eastAsia"/>
        </w:rPr>
        <w:t>紫金矿业集团股份有限公司</w:t>
      </w:r>
    </w:p>
    <w:p>
      <w:pPr>
        <w:widowControl w:val="0"/>
        <w:numPr>
          <w:ilvl w:val="0"/>
          <w:numId w:val="0"/>
        </w:numPr>
        <w:spacing w:before="156" w:beforeLines="50" w:after="156" w:afterLines="5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紫金矿业集团股份有限公司是一家以金铜等金属矿产资源勘查和开发为主的大型跨国矿业集团。公司资产规模、营业收入和累计利税均超过1000 亿元，是中国矿业行业效益最好、控制金属矿产资源最多、最具竞争力的大型矿业公司之一。公司先后在香港H股（股票代码：2899）和上海A股（股票代码：601899）整体上市。公司位居2019年《福布斯》全球上市企业 2000 强第889位及其中的全球有色金属企业第10位、全球黄金企业第1位，位居2019年《财富》“中国500强”第87位。</w:t>
      </w:r>
    </w:p>
    <w:p>
      <w:pPr>
        <w:widowControl w:val="0"/>
        <w:numPr>
          <w:ilvl w:val="0"/>
          <w:numId w:val="0"/>
        </w:numPr>
        <w:spacing w:before="156" w:beforeLines="50" w:after="156" w:afterLines="5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公司主营的金、铜、锌资源储量和矿产品产量均已进入国内矿业行业前三甲。公司在国内14个省（区）和海外11个国家拥有重要矿业投资项目，包括福建紫金山金铜矿、黑龙江多宝山铜矿、巴布亚新几内亚波格拉金矿、刚果（金）科卢韦齐铜钴矿、塞尔维亚波尔铜矿、哥伦比亚武里蒂卡金矿等一批大型在产矿山，以及刚果（金）卡莫阿铜矿、塞尔维亚Timok铜金矿等世界级超大型高品位在建矿山，其中卡莫阿铜矿铜金属资源储量高达4369万吨，是非洲第一大、全球第四大铜矿。公司海外金、铜、锌资源储量和矿产品产量超过或接近集团总量的一半，利润贡献率在集团占比超过三分之一，成为中国在海外控制黄金和有色金属资源量、矿产品产量最多的企业之一。</w:t>
      </w:r>
    </w:p>
    <w:p>
      <w:pPr>
        <w:widowControl w:val="0"/>
        <w:numPr>
          <w:ilvl w:val="0"/>
          <w:numId w:val="0"/>
        </w:numPr>
        <w:spacing w:before="156" w:beforeLines="50" w:after="156" w:afterLines="5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公司坚持高质量可持续发展，以创新尤其是科技创新为核心竞争力，在地质勘查、湿法冶金、低品位难处理资源综合回收利用、大规模工程化开发等方面具有丰富的实践经验和行业领先的技术优势，独创“矿石流五环归一”工程管理模式，是全球为数不多的具有系统自主技术与工程管理能力的跨国矿业企业。公司将安全环保视作企业生存和发展的生命线，全面推进绿色矿山和生态文明建设，资源综合利用水平和能耗指标居行业领先地位。公司以“和谐创造财富，企业、员工、社会协调发展”为企业价值观，以“开发矿业、造福社会”为企业初心和使命，积极履行社会责任，先后三次荣获“中华慈善奖”。</w:t>
      </w:r>
    </w:p>
    <w:p>
      <w:pPr>
        <w:widowControl w:val="0"/>
        <w:numPr>
          <w:ilvl w:val="0"/>
          <w:numId w:val="0"/>
        </w:numPr>
        <w:spacing w:before="156" w:beforeLines="50" w:after="156" w:afterLines="50"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color w:val="auto"/>
          <w:sz w:val="21"/>
          <w:szCs w:val="21"/>
        </w:rPr>
        <w:t>公司积极响应国家“一带一路”倡议，坚持走创新发展之路，坚持国际化、项目大型化、资产证券化，致力于打造“高技术效益型特大国际矿业集团”，以优质矿物原料为中国及全球经济增长助力。</w:t>
      </w:r>
    </w:p>
    <w:p>
      <w:pPr>
        <w:pStyle w:val="5"/>
        <w:bidi w:val="0"/>
        <w:rPr>
          <w:rFonts w:hint="eastAsia"/>
        </w:rPr>
      </w:pPr>
      <w:r>
        <w:rPr>
          <w:rFonts w:hint="eastAsia"/>
          <w:lang w:val="en-US" w:eastAsia="zh-CN"/>
        </w:rPr>
        <w:t xml:space="preserve">3.13 </w:t>
      </w:r>
      <w:r>
        <w:rPr>
          <w:rFonts w:hint="eastAsia"/>
        </w:rPr>
        <w:t>富民薪冶工贸有限公司</w:t>
      </w:r>
    </w:p>
    <w:p>
      <w:pPr>
        <w:spacing w:line="360" w:lineRule="auto"/>
        <w:ind w:firstLine="420" w:firstLineChars="200"/>
        <w:rPr>
          <w:rFonts w:ascii="Times New Roman" w:hAnsi="Times New Roman"/>
          <w:szCs w:val="21"/>
        </w:rPr>
      </w:pPr>
      <w:r>
        <w:rPr>
          <w:rFonts w:ascii="Times New Roman" w:hAnsi="Times New Roman"/>
          <w:szCs w:val="21"/>
        </w:rPr>
        <w:t>富明薪冶工贸有限公司（简称云铜薪冶工贸）原昆明西科工贸有限公司是云南铜业股份有限公司的全资子公司，是云南省首批取得《云南省危险经营许可证》的企业。公司自主开发的“云铜西科法高砷铜冶炼烟尘处理新工艺”，实现了对云铜艾萨炉高砷铜冶炼烟尘的全流程有效处理，彻底解决了高砷烟尘环保治理的难题；同时，新工艺也对高砷烟尘中多种有价金属元素进行了高效的综合回收与利用，属于国家支持鼓励的发展循环经济及清洁生产的范畴，环保效益非常显著。公司主产品是1#电铅，同时有冰铜、富锡渣、铅阳极泥、亚硫酸铵溶液等副产品。多年来，公司技术中心本着“技术领先，自主创新、重点跨越、支撑发展、引领未来”的科技发展指导方针原则，以服务生产、满足市场需求和打造“铜冶炼烟尘综合回收示范基地”为宗旨，充分利用企业自身优势，开展有市场前景的新技术研究，以及新产品、新技术、新工艺的开发，为强化主业，优化产业结构，提高市场核心竞争力和可持续发展奠定产品、产业及技术基础，并于2018年8月通过昆明市知识产权试点企业认定。截止目前，公司现有授权专利27件，其中发明3件，实用新型24件。</w:t>
      </w:r>
    </w:p>
    <w:p>
      <w:pPr>
        <w:spacing w:line="360" w:lineRule="auto"/>
        <w:ind w:firstLine="420" w:firstLineChars="200"/>
        <w:rPr>
          <w:rFonts w:ascii="Times New Roman" w:hAnsi="Times New Roman"/>
        </w:rPr>
      </w:pPr>
      <w:r>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pPr>
        <w:spacing w:before="156" w:beforeLines="50" w:after="156" w:afterLines="50" w:line="360" w:lineRule="auto"/>
        <w:rPr>
          <w:rFonts w:ascii="Times New Roman" w:hAnsi="Times New Roman" w:eastAsia="黑体"/>
          <w:b/>
          <w:bCs/>
          <w:i w:val="0"/>
          <w:iCs w:val="0"/>
          <w:sz w:val="24"/>
          <w:szCs w:val="24"/>
          <w:lang w:bidi="he-IL"/>
        </w:rPr>
      </w:pPr>
      <w:r>
        <w:rPr>
          <w:rFonts w:ascii="Times New Roman" w:hAnsi="Times New Roman" w:eastAsia="黑体"/>
          <w:b/>
          <w:bCs/>
          <w:i w:val="0"/>
          <w:iCs w:val="0"/>
          <w:sz w:val="24"/>
          <w:szCs w:val="24"/>
          <w:lang w:bidi="he-IL"/>
        </w:rPr>
        <w:t>4 主要工作过程（征求意见过程，讨论会情况）和工作内容</w:t>
      </w:r>
    </w:p>
    <w:p>
      <w:pPr>
        <w:spacing w:line="360" w:lineRule="auto"/>
        <w:rPr>
          <w:rFonts w:ascii="Times New Roman" w:hAnsi="Times New Roman"/>
          <w:b/>
          <w:bCs w:val="0"/>
          <w:szCs w:val="21"/>
          <w:lang w:bidi="he-IL"/>
        </w:rPr>
      </w:pPr>
      <w:r>
        <w:rPr>
          <w:rFonts w:ascii="Times New Roman" w:hAnsi="Times New Roman"/>
          <w:b/>
          <w:bCs w:val="0"/>
          <w:szCs w:val="21"/>
          <w:lang w:bidi="he-IL"/>
        </w:rPr>
        <w:t>4.1 调研</w:t>
      </w:r>
    </w:p>
    <w:p>
      <w:pPr>
        <w:spacing w:line="360" w:lineRule="auto"/>
        <w:ind w:firstLine="420" w:firstLineChars="200"/>
        <w:rPr>
          <w:rFonts w:ascii="Times New Roman" w:hAnsi="Times New Roman"/>
          <w:szCs w:val="21"/>
        </w:rPr>
      </w:pPr>
      <w:r>
        <w:rPr>
          <w:rFonts w:ascii="Times New Roman" w:hAnsi="Times New Roman"/>
          <w:szCs w:val="21"/>
        </w:rPr>
        <w:t>从项目申报开始，</w:t>
      </w:r>
      <w:r>
        <w:rPr>
          <w:rFonts w:hint="eastAsia" w:ascii="Times New Roman" w:hAnsi="Times New Roman"/>
          <w:szCs w:val="21"/>
          <w:lang w:val="en-US" w:eastAsia="zh-CN"/>
        </w:rPr>
        <w:t>广西中检检测技术服务有限公司和</w:t>
      </w:r>
      <w:r>
        <w:rPr>
          <w:rFonts w:ascii="Times New Roman" w:hAnsi="Times New Roman"/>
          <w:szCs w:val="21"/>
        </w:rPr>
        <w:t>北矿检测技术有限公司就联合组建了</w:t>
      </w:r>
      <w:bookmarkStart w:id="0" w:name="_Hlk15834151"/>
      <w:r>
        <w:rPr>
          <w:rFonts w:ascii="Times New Roman" w:hAnsi="Times New Roman"/>
          <w:szCs w:val="21"/>
        </w:rPr>
        <w:t>《粗锡化学分析方法 第</w:t>
      </w:r>
      <w:r>
        <w:rPr>
          <w:rFonts w:hint="eastAsia" w:ascii="Times New Roman" w:hAnsi="Times New Roman"/>
          <w:szCs w:val="21"/>
          <w:lang w:val="en-US" w:eastAsia="zh-CN"/>
        </w:rPr>
        <w:t>4</w:t>
      </w:r>
      <w:r>
        <w:rPr>
          <w:rFonts w:ascii="Times New Roman" w:hAnsi="Times New Roman"/>
          <w:szCs w:val="21"/>
        </w:rPr>
        <w:t>部分：</w:t>
      </w:r>
      <w:r>
        <w:rPr>
          <w:rFonts w:hint="eastAsia" w:ascii="Times New Roman" w:hAnsi="Times New Roman"/>
          <w:szCs w:val="21"/>
          <w:lang w:val="en-US" w:eastAsia="zh-CN"/>
        </w:rPr>
        <w:t>铋</w:t>
      </w:r>
      <w:r>
        <w:rPr>
          <w:rFonts w:ascii="Times New Roman" w:hAnsi="Times New Roman"/>
          <w:szCs w:val="21"/>
        </w:rPr>
        <w:t>含量的测定》</w:t>
      </w:r>
      <w:bookmarkEnd w:id="0"/>
      <w:r>
        <w:rPr>
          <w:rFonts w:ascii="Times New Roman" w:hAnsi="Times New Roman"/>
          <w:szCs w:val="21"/>
        </w:rPr>
        <w:t>标准编制小组，由长期负责标准制修订的、具有丰富工作经验高工担任带头人，带领数名高级工程师、工程师进行项目研究。在立项阶段，项目组就开始广泛进行调研，充分查阅国内外粗锡的相关资料及企业、用户、检测机构的相关要求，征集关于粗锡中铜的测定要求、测定范围、测定方法。</w:t>
      </w:r>
    </w:p>
    <w:p>
      <w:pPr>
        <w:spacing w:line="360" w:lineRule="auto"/>
        <w:ind w:firstLine="420" w:firstLineChars="200"/>
        <w:rPr>
          <w:rFonts w:ascii="Times New Roman" w:hAnsi="Times New Roman"/>
          <w:szCs w:val="21"/>
        </w:rPr>
      </w:pPr>
      <w:r>
        <w:rPr>
          <w:rFonts w:ascii="Times New Roman" w:hAnsi="Times New Roman"/>
          <w:szCs w:val="21"/>
        </w:rPr>
        <w:t>调研工作从粗锡的生产企业和用户两个方面进行。标准编制小组征集粗锡中</w:t>
      </w:r>
      <w:r>
        <w:rPr>
          <w:rFonts w:hint="eastAsia" w:ascii="Times New Roman" w:hAnsi="Times New Roman"/>
          <w:szCs w:val="21"/>
          <w:lang w:val="en-US" w:eastAsia="zh-CN"/>
        </w:rPr>
        <w:t>铋</w:t>
      </w:r>
      <w:r>
        <w:rPr>
          <w:rFonts w:ascii="Times New Roman" w:hAnsi="Times New Roman"/>
          <w:szCs w:val="21"/>
        </w:rPr>
        <w:t>的测定要求和测定范围，通过调研得知，作为非常重要的有色产品，云南锡业股份有限公司和广西华锡集团股份有限公司两大锡生产基地均有大量的粗锡原料，国内各检测机构每年都会接到大量粗锡的委托检验。因为没有相应的标准方法，经过调研，发现各冶炼厂家和检测机构大都参照GB/T 1819-2004《锡精矿化学分析方法》、GB/T 10574-2003《锡铅焊料化学分析方法》并结合自己的经验进行检验。但是由于元素和含量存在较大的差异，实验室采用各自的方法进行检测，数据争议在所难免。因此，也有必要建立公认的、准确的检验方法，以规范检验过程，满足市场的需求。</w:t>
      </w:r>
    </w:p>
    <w:p>
      <w:pPr>
        <w:spacing w:line="360" w:lineRule="auto"/>
        <w:ind w:firstLine="420" w:firstLineChars="200"/>
        <w:rPr>
          <w:rFonts w:ascii="Times New Roman" w:hAnsi="Times New Roman"/>
          <w:szCs w:val="21"/>
        </w:rPr>
      </w:pPr>
      <w:r>
        <w:rPr>
          <w:rFonts w:ascii="Times New Roman" w:hAnsi="Times New Roman"/>
          <w:szCs w:val="21"/>
        </w:rPr>
        <w:t>粗锡中</w:t>
      </w:r>
      <w:r>
        <w:rPr>
          <w:rFonts w:hint="eastAsia" w:ascii="Times New Roman" w:hAnsi="Times New Roman"/>
          <w:szCs w:val="21"/>
          <w:lang w:val="en-US" w:eastAsia="zh-CN"/>
        </w:rPr>
        <w:t>铋</w:t>
      </w:r>
      <w:r>
        <w:rPr>
          <w:rFonts w:ascii="Times New Roman" w:hAnsi="Times New Roman"/>
          <w:szCs w:val="21"/>
        </w:rPr>
        <w:t>的含量为</w:t>
      </w:r>
      <w:r>
        <w:rPr>
          <w:sz w:val="24"/>
          <w:szCs w:val="24"/>
        </w:rPr>
        <w:t>0.02％～</w:t>
      </w:r>
      <w:r>
        <w:rPr>
          <w:rFonts w:hint="eastAsia"/>
          <w:sz w:val="24"/>
          <w:szCs w:val="24"/>
          <w:lang w:val="en-US" w:eastAsia="zh-CN"/>
        </w:rPr>
        <w:t>10</w:t>
      </w:r>
      <w:r>
        <w:rPr>
          <w:sz w:val="24"/>
          <w:szCs w:val="24"/>
        </w:rPr>
        <w:t>.00%</w:t>
      </w:r>
      <w:r>
        <w:rPr>
          <w:rFonts w:ascii="Times New Roman" w:hAnsi="Times New Roman"/>
          <w:szCs w:val="21"/>
        </w:rPr>
        <w:t>。其中</w:t>
      </w:r>
      <w:r>
        <w:rPr>
          <w:rFonts w:hint="eastAsia" w:ascii="Times New Roman" w:hAnsi="Times New Roman"/>
          <w:szCs w:val="21"/>
          <w:lang w:val="en-US" w:eastAsia="zh-CN"/>
        </w:rPr>
        <w:t>铋</w:t>
      </w:r>
      <w:r>
        <w:rPr>
          <w:rFonts w:ascii="Times New Roman" w:hAnsi="Times New Roman"/>
          <w:szCs w:val="21"/>
        </w:rPr>
        <w:t>含量为</w:t>
      </w:r>
      <w:r>
        <w:rPr>
          <w:sz w:val="24"/>
          <w:szCs w:val="24"/>
        </w:rPr>
        <w:t>0.02％～</w:t>
      </w:r>
      <w:r>
        <w:rPr>
          <w:rFonts w:hint="eastAsia"/>
          <w:sz w:val="24"/>
          <w:szCs w:val="24"/>
          <w:lang w:val="en-US" w:eastAsia="zh-CN"/>
        </w:rPr>
        <w:t>4</w:t>
      </w:r>
      <w:r>
        <w:rPr>
          <w:sz w:val="24"/>
          <w:szCs w:val="24"/>
        </w:rPr>
        <w:t>.00%</w:t>
      </w:r>
      <w:r>
        <w:rPr>
          <w:rFonts w:ascii="Times New Roman" w:hAnsi="Times New Roman"/>
          <w:szCs w:val="21"/>
        </w:rPr>
        <w:t>的产品决定采用火焰原子吸收光谱法测定，</w:t>
      </w:r>
      <w:r>
        <w:rPr>
          <w:rFonts w:hint="eastAsia" w:ascii="Times New Roman" w:hAnsi="Times New Roman"/>
          <w:szCs w:val="21"/>
          <w:lang w:val="en-US" w:eastAsia="zh-CN"/>
        </w:rPr>
        <w:t>铋</w:t>
      </w:r>
      <w:r>
        <w:rPr>
          <w:rFonts w:ascii="Times New Roman" w:hAnsi="Times New Roman"/>
          <w:szCs w:val="21"/>
        </w:rPr>
        <w:t>含量为</w:t>
      </w:r>
      <w:r>
        <w:rPr>
          <w:sz w:val="24"/>
          <w:szCs w:val="24"/>
        </w:rPr>
        <w:t>&gt;</w:t>
      </w:r>
      <w:r>
        <w:rPr>
          <w:rFonts w:hint="eastAsia"/>
          <w:sz w:val="24"/>
          <w:szCs w:val="24"/>
        </w:rPr>
        <w:t>4.00</w:t>
      </w:r>
      <w:r>
        <w:rPr>
          <w:sz w:val="24"/>
          <w:szCs w:val="24"/>
        </w:rPr>
        <w:t>%～</w:t>
      </w:r>
      <w:r>
        <w:rPr>
          <w:rFonts w:hint="eastAsia"/>
          <w:sz w:val="24"/>
          <w:szCs w:val="24"/>
        </w:rPr>
        <w:t>10</w:t>
      </w:r>
      <w:r>
        <w:rPr>
          <w:sz w:val="24"/>
          <w:szCs w:val="24"/>
        </w:rPr>
        <w:t>.00%</w:t>
      </w:r>
      <w:r>
        <w:rPr>
          <w:rFonts w:ascii="Times New Roman" w:hAnsi="Times New Roman"/>
          <w:szCs w:val="21"/>
        </w:rPr>
        <w:t>的产品决定采用</w:t>
      </w:r>
      <w:r>
        <w:rPr>
          <w:rFonts w:hint="eastAsia"/>
          <w:sz w:val="24"/>
          <w:szCs w:val="24"/>
        </w:rPr>
        <w:t>Na</w:t>
      </w:r>
      <w:r>
        <w:rPr>
          <w:rFonts w:hint="eastAsia"/>
          <w:sz w:val="24"/>
          <w:szCs w:val="24"/>
          <w:vertAlign w:val="subscript"/>
        </w:rPr>
        <w:t>2</w:t>
      </w:r>
      <w:r>
        <w:rPr>
          <w:rFonts w:hint="eastAsia"/>
          <w:sz w:val="24"/>
          <w:szCs w:val="24"/>
        </w:rPr>
        <w:t>EDTA滴定法</w:t>
      </w:r>
      <w:r>
        <w:rPr>
          <w:rFonts w:ascii="Times New Roman" w:hAnsi="Times New Roman"/>
          <w:szCs w:val="21"/>
        </w:rPr>
        <w:t>进行测定。两个方法简单、快速、干扰少，结果准确。</w:t>
      </w:r>
    </w:p>
    <w:p>
      <w:pPr>
        <w:spacing w:line="360" w:lineRule="auto"/>
        <w:rPr>
          <w:rFonts w:ascii="Times New Roman" w:hAnsi="Times New Roman"/>
          <w:b/>
          <w:bCs/>
          <w:szCs w:val="21"/>
        </w:rPr>
      </w:pPr>
      <w:r>
        <w:rPr>
          <w:rFonts w:ascii="Times New Roman" w:hAnsi="Times New Roman"/>
          <w:b/>
          <w:bCs/>
          <w:szCs w:val="21"/>
        </w:rPr>
        <w:t>4.2  工作会议情况</w:t>
      </w:r>
    </w:p>
    <w:p>
      <w:pPr>
        <w:spacing w:line="360" w:lineRule="auto"/>
        <w:rPr>
          <w:rFonts w:ascii="Times New Roman" w:hAnsi="Times New Roman"/>
          <w:b/>
          <w:bCs/>
          <w:szCs w:val="21"/>
        </w:rPr>
      </w:pPr>
      <w:r>
        <w:rPr>
          <w:rFonts w:ascii="Times New Roman" w:hAnsi="Times New Roman"/>
          <w:b/>
          <w:bCs/>
          <w:szCs w:val="21"/>
        </w:rPr>
        <w:t>4.2.1 任务落实会</w:t>
      </w:r>
    </w:p>
    <w:p>
      <w:pPr>
        <w:spacing w:line="360" w:lineRule="auto"/>
        <w:ind w:firstLine="420" w:firstLineChars="200"/>
        <w:rPr>
          <w:rFonts w:ascii="Times New Roman" w:hAnsi="Times New Roman"/>
          <w:bCs/>
          <w:szCs w:val="21"/>
        </w:rPr>
      </w:pPr>
      <w:r>
        <w:rPr>
          <w:sz w:val="21"/>
          <w:szCs w:val="21"/>
        </w:rPr>
        <w:t>201</w:t>
      </w:r>
      <w:r>
        <w:rPr>
          <w:rFonts w:hint="eastAsia"/>
          <w:sz w:val="21"/>
          <w:szCs w:val="21"/>
        </w:rPr>
        <w:t>8年7月25-27日，全国有色金属标准化委员会在哈尔滨召开了有色金属标准工作会，来自全国有色金属标准化技术委员会、广西中检检测技术服务有限公司、北矿检测技术有限公司、云南锡业股份有限公司、广东省工业分析检测中心、西北有色金属研究院、湖南柿竹园有色金属有限公司、昆明冶金研究院公司等20家单位的多位代表参加了会议。会议对《粗锡化学分析方法》、《</w:t>
      </w:r>
      <w:r>
        <w:rPr>
          <w:rFonts w:hint="eastAsia" w:ascii="Tahoma" w:hAnsi="Tahoma" w:eastAsia="Tahoma" w:cs="Tahoma"/>
          <w:sz w:val="21"/>
          <w:szCs w:val="21"/>
        </w:rPr>
        <w:t>铜冶炼烟尘</w:t>
      </w:r>
      <w:r>
        <w:rPr>
          <w:rFonts w:hint="eastAsia"/>
          <w:sz w:val="21"/>
          <w:szCs w:val="21"/>
        </w:rPr>
        <w:t>化学分析方法》、《</w:t>
      </w:r>
      <w:r>
        <w:rPr>
          <w:rFonts w:hint="eastAsia" w:ascii="Tahoma" w:hAnsi="Tahoma" w:eastAsia="Tahoma" w:cs="Tahoma"/>
          <w:sz w:val="21"/>
          <w:szCs w:val="21"/>
        </w:rPr>
        <w:t>镍钴铝三元素复合氢氧化物化学</w:t>
      </w:r>
      <w:r>
        <w:rPr>
          <w:rFonts w:hint="eastAsia"/>
          <w:sz w:val="21"/>
          <w:szCs w:val="21"/>
        </w:rPr>
        <w:t>化学分析方法》等国家、行业标准进行了任务落实。</w:t>
      </w:r>
      <w:r>
        <w:rPr>
          <w:sz w:val="21"/>
          <w:szCs w:val="21"/>
        </w:rPr>
        <w:t>根据201</w:t>
      </w:r>
      <w:r>
        <w:rPr>
          <w:rFonts w:hint="eastAsia"/>
          <w:sz w:val="21"/>
          <w:szCs w:val="21"/>
        </w:rPr>
        <w:t>8</w:t>
      </w:r>
      <w:r>
        <w:rPr>
          <w:sz w:val="21"/>
          <w:szCs w:val="21"/>
        </w:rPr>
        <w:t>年</w:t>
      </w:r>
      <w:r>
        <w:rPr>
          <w:rFonts w:hint="eastAsia"/>
          <w:sz w:val="21"/>
          <w:szCs w:val="21"/>
        </w:rPr>
        <w:t>7</w:t>
      </w:r>
      <w:r>
        <w:rPr>
          <w:sz w:val="21"/>
          <w:szCs w:val="21"/>
        </w:rPr>
        <w:t>月全国有色金属标准化技术委员会有色标委【201</w:t>
      </w:r>
      <w:r>
        <w:rPr>
          <w:rFonts w:hint="eastAsia"/>
          <w:sz w:val="21"/>
          <w:szCs w:val="21"/>
        </w:rPr>
        <w:t>8</w:t>
      </w:r>
      <w:r>
        <w:rPr>
          <w:sz w:val="21"/>
          <w:szCs w:val="21"/>
        </w:rPr>
        <w:t>】4</w:t>
      </w:r>
      <w:r>
        <w:rPr>
          <w:rFonts w:hint="eastAsia"/>
          <w:sz w:val="21"/>
          <w:szCs w:val="21"/>
        </w:rPr>
        <w:t>1</w:t>
      </w:r>
      <w:r>
        <w:rPr>
          <w:sz w:val="21"/>
          <w:szCs w:val="21"/>
        </w:rPr>
        <w:t>号文关于印发</w:t>
      </w:r>
      <w:r>
        <w:rPr>
          <w:rFonts w:hint="eastAsia"/>
          <w:sz w:val="21"/>
          <w:szCs w:val="21"/>
        </w:rPr>
        <w:t>7</w:t>
      </w:r>
      <w:r>
        <w:rPr>
          <w:sz w:val="21"/>
          <w:szCs w:val="21"/>
        </w:rPr>
        <w:t>月2</w:t>
      </w:r>
      <w:r>
        <w:rPr>
          <w:rFonts w:hint="eastAsia"/>
          <w:sz w:val="21"/>
          <w:szCs w:val="21"/>
        </w:rPr>
        <w:t>6</w:t>
      </w:r>
      <w:r>
        <w:rPr>
          <w:sz w:val="21"/>
          <w:szCs w:val="21"/>
        </w:rPr>
        <w:t>日黑龙江哈尔滨</w:t>
      </w:r>
      <w:r>
        <w:rPr>
          <w:rFonts w:hint="eastAsia"/>
          <w:sz w:val="21"/>
          <w:szCs w:val="21"/>
        </w:rPr>
        <w:t>重</w:t>
      </w:r>
      <w:r>
        <w:rPr>
          <w:sz w:val="21"/>
          <w:szCs w:val="21"/>
        </w:rPr>
        <w:t>金属项目任务，关于《</w:t>
      </w:r>
      <w:r>
        <w:rPr>
          <w:rFonts w:hint="eastAsia"/>
          <w:sz w:val="21"/>
          <w:szCs w:val="21"/>
        </w:rPr>
        <w:t>粗锡</w:t>
      </w:r>
      <w:r>
        <w:rPr>
          <w:sz w:val="21"/>
          <w:szCs w:val="21"/>
        </w:rPr>
        <w:t>化学分析方法》行业标准项目制修订工作任务落实会会议纪要函的通知：</w:t>
      </w:r>
      <w:r>
        <w:rPr>
          <w:rFonts w:hint="eastAsia"/>
          <w:sz w:val="21"/>
          <w:szCs w:val="21"/>
        </w:rPr>
        <w:t>粗锡</w:t>
      </w:r>
      <w:r>
        <w:rPr>
          <w:sz w:val="21"/>
          <w:szCs w:val="21"/>
        </w:rPr>
        <w:t>系列标准由</w:t>
      </w:r>
      <w:r>
        <w:rPr>
          <w:rFonts w:hint="eastAsia"/>
          <w:sz w:val="21"/>
          <w:szCs w:val="21"/>
        </w:rPr>
        <w:t>云南锡业股份有限公司、广东工业分析检测中心、</w:t>
      </w:r>
      <w:r>
        <w:rPr>
          <w:kern w:val="0"/>
          <w:sz w:val="21"/>
          <w:szCs w:val="21"/>
        </w:rPr>
        <w:t>北矿检测技术有限公司</w:t>
      </w:r>
      <w:r>
        <w:rPr>
          <w:sz w:val="21"/>
          <w:szCs w:val="21"/>
        </w:rPr>
        <w:t>负责起草</w:t>
      </w:r>
      <w:r>
        <w:rPr>
          <w:rFonts w:hint="eastAsia"/>
          <w:sz w:val="21"/>
          <w:szCs w:val="21"/>
        </w:rPr>
        <w:t>。计划采用火焰原子吸收光谱法和Na</w:t>
      </w:r>
      <w:r>
        <w:rPr>
          <w:rFonts w:hint="eastAsia"/>
          <w:sz w:val="21"/>
          <w:szCs w:val="21"/>
          <w:vertAlign w:val="subscript"/>
        </w:rPr>
        <w:t>2</w:t>
      </w:r>
      <w:r>
        <w:rPr>
          <w:rFonts w:hint="eastAsia"/>
          <w:sz w:val="21"/>
          <w:szCs w:val="21"/>
        </w:rPr>
        <w:t>EDTA滴定法对粗锡中的铋进行测定。方法1由广西中检检测技术服务有限公司起草，由</w:t>
      </w:r>
      <w:r>
        <w:rPr>
          <w:rFonts w:hint="eastAsia"/>
          <w:sz w:val="21"/>
          <w:szCs w:val="21"/>
          <w:lang w:val="en-US" w:eastAsia="zh-CN"/>
        </w:rPr>
        <w:t>西安汉唐分析检测有限公司</w:t>
      </w:r>
      <w:r>
        <w:rPr>
          <w:sz w:val="21"/>
          <w:szCs w:val="21"/>
        </w:rPr>
        <w:t>、云南锡业股份有限公司、</w:t>
      </w:r>
      <w:r>
        <w:rPr>
          <w:kern w:val="0"/>
          <w:sz w:val="21"/>
          <w:szCs w:val="21"/>
        </w:rPr>
        <w:t>北矿检测技术有限公司、昆明冶金研究院、</w:t>
      </w:r>
      <w:r>
        <w:rPr>
          <w:rFonts w:hint="default"/>
          <w:kern w:val="0"/>
          <w:sz w:val="21"/>
          <w:szCs w:val="21"/>
        </w:rPr>
        <w:t>大冶有色设计研究院有限公司、</w:t>
      </w:r>
      <w:r>
        <w:rPr>
          <w:kern w:val="0"/>
          <w:sz w:val="21"/>
          <w:szCs w:val="21"/>
        </w:rPr>
        <w:t>紫金铜业有限公司</w:t>
      </w:r>
      <w:r>
        <w:rPr>
          <w:rFonts w:hint="eastAsia"/>
          <w:kern w:val="0"/>
          <w:sz w:val="21"/>
          <w:szCs w:val="21"/>
          <w:lang w:eastAsia="zh-CN"/>
        </w:rPr>
        <w:t>、</w:t>
      </w:r>
      <w:r>
        <w:rPr>
          <w:sz w:val="21"/>
          <w:szCs w:val="21"/>
        </w:rPr>
        <w:t>防城港市东途矿产检测有限公司</w:t>
      </w:r>
      <w:r>
        <w:rPr>
          <w:rFonts w:hint="eastAsia"/>
          <w:sz w:val="21"/>
          <w:szCs w:val="21"/>
        </w:rPr>
        <w:t>协助共同起草。方法2即Na</w:t>
      </w:r>
      <w:r>
        <w:rPr>
          <w:rFonts w:hint="eastAsia"/>
          <w:sz w:val="21"/>
          <w:szCs w:val="21"/>
          <w:vertAlign w:val="subscript"/>
        </w:rPr>
        <w:t>2</w:t>
      </w:r>
      <w:r>
        <w:rPr>
          <w:rFonts w:hint="eastAsia"/>
          <w:sz w:val="21"/>
          <w:szCs w:val="21"/>
        </w:rPr>
        <w:t>EDTA滴定法由</w:t>
      </w:r>
      <w:r>
        <w:rPr>
          <w:kern w:val="0"/>
          <w:sz w:val="21"/>
          <w:szCs w:val="21"/>
        </w:rPr>
        <w:t>北矿检测技术有限公司</w:t>
      </w:r>
      <w:r>
        <w:rPr>
          <w:rFonts w:hint="eastAsia"/>
          <w:sz w:val="21"/>
          <w:szCs w:val="21"/>
        </w:rPr>
        <w:t>起草，由</w:t>
      </w:r>
      <w:r>
        <w:rPr>
          <w:sz w:val="21"/>
          <w:szCs w:val="21"/>
        </w:rPr>
        <w:t>云南锡业股份有限公司</w:t>
      </w:r>
      <w:r>
        <w:rPr>
          <w:rFonts w:hint="eastAsia"/>
          <w:sz w:val="21"/>
          <w:szCs w:val="21"/>
        </w:rPr>
        <w:t>、大冶有色设计研究院有限公司、有研工程技术研究院、南通出入境检验检疫局、湖南柿竹园有色金属有限责任公司、福建紫金矿冶测试技术有限公司、富民薪冶工贸有限公司 、紫金铜业有限公司协同共同起草。本标准</w:t>
      </w:r>
      <w:r>
        <w:rPr>
          <w:sz w:val="21"/>
          <w:szCs w:val="21"/>
        </w:rPr>
        <w:t>技术归口单位为全国有色金属标准化技术委员会</w:t>
      </w:r>
      <w:r>
        <w:rPr>
          <w:rFonts w:hint="eastAsia"/>
          <w:sz w:val="21"/>
          <w:szCs w:val="21"/>
        </w:rPr>
        <w:t>。项目计划编号为工信厅科[2018]31号2018-0552T-YS。</w:t>
      </w:r>
    </w:p>
    <w:p>
      <w:pPr>
        <w:pStyle w:val="5"/>
        <w:bidi w:val="0"/>
      </w:pPr>
      <w:r>
        <w:t>4.2.2 预审会</w:t>
      </w:r>
    </w:p>
    <w:p>
      <w:pPr>
        <w:pStyle w:val="156"/>
        <w:keepNext w:val="0"/>
        <w:keepLines w:val="0"/>
        <w:pageBreakBefore w:val="0"/>
        <w:widowControl w:val="0"/>
        <w:numPr>
          <w:ilvl w:val="0"/>
          <w:numId w:val="14"/>
        </w:numPr>
        <w:kinsoku/>
        <w:wordWrap/>
        <w:overflowPunct/>
        <w:topLinePunct w:val="0"/>
        <w:autoSpaceDE/>
        <w:autoSpaceDN/>
        <w:bidi w:val="0"/>
        <w:adjustRightInd/>
        <w:snapToGrid/>
        <w:spacing w:before="0" w:line="360" w:lineRule="auto"/>
        <w:jc w:val="left"/>
        <w:textAlignment w:val="auto"/>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2019年10月29日-10月31日，全国有色金属标准化技术委员会在山东泰安召开了《粗锡化学分析方法》第1部分~第5部分行业标准预审会。来自全国有色金属标准化技术委员会、广东省工业分析检测中心、云南锡业股份有限公司、北矿检测技术有限公司、广西华锡集团股份有限公司、广西中检检测技术服务有限公司、富民薪冶工贸有限公司、深圳市中金岭南有色金属股份有限公司、大冶有色设计研究院有限公司、铜陵有色金属集团控股有限公司、国合通用测试评价认证股份公司、鲅鱼圈检验检疫局技术中心、</w:t>
      </w:r>
      <w:r>
        <w:rPr>
          <w:rFonts w:hint="eastAsia" w:cs="Times New Roman"/>
          <w:bCs/>
          <w:kern w:val="2"/>
          <w:sz w:val="21"/>
          <w:szCs w:val="21"/>
          <w:lang w:val="en-US" w:eastAsia="zh-CN" w:bidi="ar-SA"/>
        </w:rPr>
        <w:t>西安汉唐分析检测有限公司</w:t>
      </w:r>
      <w:r>
        <w:rPr>
          <w:rFonts w:hint="eastAsia" w:ascii="Times New Roman" w:hAnsi="Times New Roman" w:eastAsia="宋体" w:cs="Times New Roman"/>
          <w:bCs/>
          <w:kern w:val="2"/>
          <w:sz w:val="21"/>
          <w:szCs w:val="21"/>
          <w:lang w:val="en-US" w:eastAsia="zh-CN" w:bidi="ar-SA"/>
        </w:rPr>
        <w:t>、昆明冶金研究院、湖南有色金属研究院、福建紫金矿冶测试技术有限公司、江西瑞林稀贵金属科技有限公司、山东恒邦冶炼股份有限公司、紫金铜业有限公司、阳谷祥光铜业有限公司、贵州省分析测试研究院、中国有色桂林矿产地质研究院有限公司等30余名代表出席了会议，对本标准（预审稿、编制说明）进行了详细分析和充分讨论，肯定了技术方案，并提出了意见和建议。其主要意见分别如下：</w:t>
      </w:r>
    </w:p>
    <w:p>
      <w:pPr>
        <w:pStyle w:val="156"/>
        <w:keepNext w:val="0"/>
        <w:keepLines w:val="0"/>
        <w:pageBreakBefore w:val="0"/>
        <w:widowControl w:val="0"/>
        <w:numPr>
          <w:ilvl w:val="0"/>
          <w:numId w:val="0"/>
        </w:numPr>
        <w:kinsoku/>
        <w:wordWrap/>
        <w:overflowPunct/>
        <w:topLinePunct w:val="0"/>
        <w:autoSpaceDE/>
        <w:autoSpaceDN/>
        <w:bidi w:val="0"/>
        <w:adjustRightInd/>
        <w:snapToGrid/>
        <w:spacing w:before="0" w:line="360" w:lineRule="auto"/>
        <w:jc w:val="left"/>
        <w:textAlignment w:val="auto"/>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1.方法一：</w:t>
      </w:r>
    </w:p>
    <w:p>
      <w:pPr>
        <w:pStyle w:val="156"/>
        <w:keepNext w:val="0"/>
        <w:keepLines w:val="0"/>
        <w:pageBreakBefore w:val="0"/>
        <w:widowControl w:val="0"/>
        <w:numPr>
          <w:ilvl w:val="0"/>
          <w:numId w:val="15"/>
        </w:numPr>
        <w:kinsoku/>
        <w:wordWrap/>
        <w:overflowPunct/>
        <w:topLinePunct w:val="0"/>
        <w:autoSpaceDE/>
        <w:autoSpaceDN/>
        <w:bidi w:val="0"/>
        <w:adjustRightInd/>
        <w:snapToGrid/>
        <w:spacing w:before="0" w:line="360" w:lineRule="auto"/>
        <w:ind w:left="425" w:leftChars="0" w:hanging="425" w:firstLineChars="0"/>
        <w:jc w:val="left"/>
        <w:textAlignment w:val="auto"/>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方法一的范围为由“0.02%~5.00%”修改为“0.02%~4.00%”</w:t>
      </w:r>
      <w:r>
        <w:rPr>
          <w:rFonts w:ascii="Times New Roman" w:hAnsi="Times New Roman" w:eastAsia="宋体" w:cs="Times New Roman"/>
          <w:bCs/>
          <w:kern w:val="2"/>
          <w:sz w:val="21"/>
          <w:szCs w:val="21"/>
        </w:rPr>
        <w:t>。</w:t>
      </w:r>
    </w:p>
    <w:p>
      <w:pPr>
        <w:pStyle w:val="156"/>
        <w:keepNext w:val="0"/>
        <w:keepLines w:val="0"/>
        <w:pageBreakBefore w:val="0"/>
        <w:widowControl w:val="0"/>
        <w:numPr>
          <w:ilvl w:val="0"/>
          <w:numId w:val="15"/>
        </w:numPr>
        <w:kinsoku/>
        <w:wordWrap/>
        <w:overflowPunct/>
        <w:topLinePunct w:val="0"/>
        <w:autoSpaceDE/>
        <w:autoSpaceDN/>
        <w:bidi w:val="0"/>
        <w:adjustRightInd/>
        <w:snapToGrid/>
        <w:spacing w:before="0" w:line="360" w:lineRule="auto"/>
        <w:ind w:left="425" w:leftChars="0" w:hanging="425" w:firstLineChars="0"/>
        <w:jc w:val="left"/>
        <w:textAlignment w:val="auto"/>
        <w:rPr>
          <w:rFonts w:hint="eastAsia" w:ascii="Times New Roman" w:hAnsi="Times New Roman" w:eastAsia="宋体" w:cs="Times New Roman"/>
          <w:bCs/>
          <w:kern w:val="2"/>
          <w:sz w:val="21"/>
          <w:szCs w:val="21"/>
          <w:lang w:val="en-US" w:eastAsia="zh-CN"/>
        </w:rPr>
      </w:pPr>
      <w:r>
        <w:rPr>
          <w:rFonts w:hint="eastAsia" w:ascii="Times New Roman" w:hAnsi="Times New Roman" w:eastAsia="宋体" w:cs="Times New Roman"/>
          <w:bCs/>
          <w:kern w:val="2"/>
          <w:sz w:val="21"/>
          <w:szCs w:val="21"/>
          <w:lang w:val="en-US" w:eastAsia="zh-CN"/>
        </w:rPr>
        <w:t>试剂</w:t>
      </w:r>
      <w:r>
        <w:rPr>
          <w:rFonts w:ascii="Times New Roman" w:hAnsi="Times New Roman" w:eastAsia="宋体" w:cs="Times New Roman"/>
          <w:bCs/>
          <w:kern w:val="2"/>
          <w:sz w:val="21"/>
          <w:szCs w:val="21"/>
        </w:rPr>
        <w:t>中</w:t>
      </w:r>
      <w:r>
        <w:rPr>
          <w:rFonts w:hint="eastAsia" w:ascii="Times New Roman" w:hAnsi="Times New Roman" w:eastAsia="宋体" w:cs="Times New Roman"/>
          <w:bCs/>
          <w:kern w:val="2"/>
          <w:sz w:val="21"/>
          <w:szCs w:val="21"/>
          <w:lang w:val="en-US" w:eastAsia="zh-CN"/>
        </w:rPr>
        <w:t>在所有的“ρ”后面加上“=”。</w:t>
      </w:r>
    </w:p>
    <w:p>
      <w:pPr>
        <w:pStyle w:val="156"/>
        <w:keepNext w:val="0"/>
        <w:keepLines w:val="0"/>
        <w:pageBreakBefore w:val="0"/>
        <w:widowControl w:val="0"/>
        <w:numPr>
          <w:ilvl w:val="0"/>
          <w:numId w:val="15"/>
        </w:numPr>
        <w:kinsoku/>
        <w:wordWrap/>
        <w:overflowPunct/>
        <w:topLinePunct w:val="0"/>
        <w:autoSpaceDE/>
        <w:autoSpaceDN/>
        <w:bidi w:val="0"/>
        <w:adjustRightInd/>
        <w:snapToGrid/>
        <w:spacing w:before="0" w:line="360" w:lineRule="auto"/>
        <w:ind w:left="425" w:leftChars="0" w:hanging="425" w:firstLineChars="0"/>
        <w:jc w:val="left"/>
        <w:textAlignment w:val="auto"/>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将2.4试样的粒度规定统一为“锯取，锯屑粒度应不大于1.25 mm。”</w:t>
      </w:r>
      <w:r>
        <w:rPr>
          <w:rFonts w:hint="eastAsia" w:ascii="Times New Roman" w:hAnsi="Times New Roman" w:eastAsia="宋体" w:cs="Times New Roman"/>
          <w:bCs/>
          <w:kern w:val="2"/>
          <w:sz w:val="21"/>
          <w:szCs w:val="21"/>
          <w:lang w:eastAsia="zh-CN"/>
        </w:rPr>
        <w:t>。</w:t>
      </w:r>
    </w:p>
    <w:p>
      <w:pPr>
        <w:pStyle w:val="156"/>
        <w:keepNext w:val="0"/>
        <w:keepLines w:val="0"/>
        <w:pageBreakBefore w:val="0"/>
        <w:widowControl w:val="0"/>
        <w:numPr>
          <w:ilvl w:val="0"/>
          <w:numId w:val="15"/>
        </w:numPr>
        <w:kinsoku/>
        <w:wordWrap/>
        <w:overflowPunct/>
        <w:topLinePunct w:val="0"/>
        <w:autoSpaceDE/>
        <w:autoSpaceDN/>
        <w:bidi w:val="0"/>
        <w:adjustRightInd/>
        <w:snapToGrid/>
        <w:spacing w:before="0" w:line="360" w:lineRule="auto"/>
        <w:ind w:left="425" w:leftChars="0" w:hanging="425" w:firstLineChars="0"/>
        <w:jc w:val="left"/>
        <w:textAlignment w:val="auto"/>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2.5.4.1中将“再重复此步骤1~2次”修改为“重复此步骤2次”</w:t>
      </w:r>
    </w:p>
    <w:p>
      <w:pPr>
        <w:pStyle w:val="156"/>
        <w:keepNext w:val="0"/>
        <w:keepLines w:val="0"/>
        <w:pageBreakBefore w:val="0"/>
        <w:widowControl w:val="0"/>
        <w:numPr>
          <w:ilvl w:val="0"/>
          <w:numId w:val="15"/>
        </w:numPr>
        <w:kinsoku/>
        <w:wordWrap/>
        <w:overflowPunct/>
        <w:topLinePunct w:val="0"/>
        <w:autoSpaceDE/>
        <w:autoSpaceDN/>
        <w:bidi w:val="0"/>
        <w:adjustRightInd/>
        <w:snapToGrid/>
        <w:spacing w:before="0" w:line="360" w:lineRule="auto"/>
        <w:ind w:left="425" w:leftChars="0" w:hanging="425" w:firstLineChars="0"/>
        <w:jc w:val="left"/>
        <w:textAlignment w:val="auto"/>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lang w:val="en-US" w:eastAsia="zh-CN"/>
        </w:rPr>
        <w:t>对表一中Bi的质量分数进行了重新分段，并对内容一致的单元格进行了合并</w:t>
      </w:r>
      <w:r>
        <w:rPr>
          <w:rFonts w:hint="eastAsia" w:ascii="Times New Roman" w:hAnsi="Times New Roman" w:eastAsia="宋体" w:cs="Times New Roman"/>
          <w:bCs/>
          <w:kern w:val="2"/>
          <w:sz w:val="21"/>
          <w:szCs w:val="21"/>
        </w:rPr>
        <w:t>。</w:t>
      </w:r>
    </w:p>
    <w:p>
      <w:pPr>
        <w:numPr>
          <w:ilvl w:val="0"/>
          <w:numId w:val="16"/>
        </w:numPr>
        <w:spacing w:line="360" w:lineRule="auto"/>
        <w:rPr>
          <w:rFonts w:hint="eastAsia"/>
          <w:szCs w:val="21"/>
          <w:lang w:val="en-US" w:eastAsia="zh-CN"/>
        </w:rPr>
      </w:pPr>
      <w:r>
        <w:rPr>
          <w:rFonts w:hint="eastAsia"/>
          <w:szCs w:val="21"/>
          <w:lang w:val="en-US" w:eastAsia="zh-CN"/>
        </w:rPr>
        <w:t>方法二</w:t>
      </w:r>
    </w:p>
    <w:p>
      <w:pPr>
        <w:numPr>
          <w:ilvl w:val="0"/>
          <w:numId w:val="17"/>
        </w:numPr>
        <w:spacing w:line="360" w:lineRule="auto"/>
        <w:rPr>
          <w:rFonts w:ascii="Times New Roman" w:hAnsi="Times New Roman"/>
          <w:szCs w:val="21"/>
        </w:rPr>
      </w:pPr>
      <w:r>
        <w:rPr>
          <w:rFonts w:hint="eastAsia" w:ascii="Times New Roman" w:hAnsi="Times New Roman" w:eastAsia="宋体" w:cs="Times New Roman"/>
          <w:bCs/>
          <w:kern w:val="2"/>
          <w:sz w:val="21"/>
          <w:szCs w:val="21"/>
          <w:lang w:val="en-US" w:eastAsia="zh-CN"/>
        </w:rPr>
        <w:t>将2.4试样的粒度规定统一为“锯取，锯屑粒度应不大于1.25 mm。”</w:t>
      </w:r>
      <w:r>
        <w:rPr>
          <w:rFonts w:ascii="Times New Roman" w:hAnsi="Times New Roman"/>
          <w:szCs w:val="21"/>
        </w:rPr>
        <w:t>。</w:t>
      </w:r>
    </w:p>
    <w:p>
      <w:pPr>
        <w:numPr>
          <w:ilvl w:val="0"/>
          <w:numId w:val="17"/>
        </w:numPr>
        <w:spacing w:line="360" w:lineRule="auto"/>
        <w:rPr>
          <w:rFonts w:ascii="Times New Roman" w:hAnsi="Times New Roman"/>
          <w:szCs w:val="21"/>
        </w:rPr>
      </w:pPr>
      <w:r>
        <w:rPr>
          <w:rFonts w:ascii="Times New Roman" w:hAnsi="Times New Roman"/>
          <w:szCs w:val="21"/>
        </w:rPr>
        <w:t>规范化文本和编制说明。</w:t>
      </w:r>
    </w:p>
    <w:p>
      <w:pPr>
        <w:spacing w:line="360" w:lineRule="auto"/>
        <w:ind w:firstLine="420" w:firstLineChars="200"/>
        <w:rPr>
          <w:rFonts w:ascii="Times New Roman" w:hAnsi="Times New Roman"/>
          <w:szCs w:val="21"/>
        </w:rPr>
      </w:pPr>
      <w:r>
        <w:rPr>
          <w:rFonts w:ascii="Times New Roman" w:hAnsi="Times New Roman"/>
          <w:szCs w:val="21"/>
        </w:rPr>
        <w:t>会后，根据会议精神，标准编制小组对征求意见稿和编制说明进行了认真修改、补充、完善，形成了送审稿、</w:t>
      </w:r>
      <w:r>
        <w:rPr>
          <w:rFonts w:ascii="Times New Roman" w:hAnsi="Times New Roman"/>
        </w:rPr>
        <w:t>意见汇总表</w:t>
      </w:r>
      <w:r>
        <w:rPr>
          <w:rFonts w:ascii="Times New Roman" w:hAnsi="Times New Roman"/>
          <w:szCs w:val="21"/>
        </w:rPr>
        <w:t>及编制说明。</w:t>
      </w:r>
    </w:p>
    <w:p>
      <w:pPr>
        <w:pStyle w:val="3"/>
        <w:bidi w:val="0"/>
      </w:pPr>
      <w:r>
        <w:t>二、标准的编制原则</w:t>
      </w:r>
    </w:p>
    <w:p>
      <w:pPr>
        <w:spacing w:line="360" w:lineRule="auto"/>
        <w:ind w:firstLine="420" w:firstLineChars="200"/>
        <w:rPr>
          <w:rFonts w:ascii="Times New Roman" w:hAnsi="Times New Roman"/>
          <w:szCs w:val="21"/>
        </w:rPr>
      </w:pPr>
      <w:r>
        <w:rPr>
          <w:rFonts w:ascii="Times New Roman" w:hAnsi="Times New Roman" w:eastAsia="黑体"/>
          <w:szCs w:val="21"/>
        </w:rPr>
        <w:t>1、</w:t>
      </w:r>
      <w:r>
        <w:rPr>
          <w:rFonts w:ascii="Times New Roman" w:hAnsi="Times New Roman"/>
          <w:szCs w:val="21"/>
        </w:rPr>
        <w:t>符合性：该标准按照GB/T 1.1—2009《标准化工作导则 第1部分：标准的结构和编写》、GB/T 20001.4-2015《标准编写规则 第4部分：试验方法标准》的要求对本部分进行了编写。</w:t>
      </w:r>
    </w:p>
    <w:p>
      <w:pPr>
        <w:spacing w:line="360" w:lineRule="auto"/>
        <w:ind w:firstLine="420" w:firstLineChars="200"/>
        <w:rPr>
          <w:rFonts w:ascii="Times New Roman" w:hAnsi="Times New Roman"/>
          <w:szCs w:val="21"/>
        </w:rPr>
      </w:pPr>
      <w:r>
        <w:rPr>
          <w:rFonts w:ascii="Times New Roman" w:hAnsi="Times New Roman" w:eastAsia="黑体"/>
          <w:szCs w:val="21"/>
        </w:rPr>
        <w:t>2、</w:t>
      </w:r>
      <w:r>
        <w:rPr>
          <w:rFonts w:ascii="Times New Roman" w:hAnsi="Times New Roman"/>
          <w:szCs w:val="21"/>
        </w:rPr>
        <w:t>合理性：以满足我国</w:t>
      </w:r>
      <w:r>
        <w:rPr>
          <w:rFonts w:ascii="Times New Roman" w:hAnsi="Times New Roman"/>
          <w:szCs w:val="24"/>
        </w:rPr>
        <w:t>粗锡产品</w:t>
      </w:r>
      <w:r>
        <w:rPr>
          <w:rFonts w:ascii="Times New Roman" w:hAnsi="Times New Roman"/>
          <w:szCs w:val="21"/>
        </w:rPr>
        <w:t>实际生产和使用的需要为原则，与实际相结合，提高标准的适用性。反映当前国内各生产企业的技术水平，宜于应用，经济上合理，兼顾现有资源的合理配置，提高了标准的可操作性。</w:t>
      </w:r>
    </w:p>
    <w:p>
      <w:pPr>
        <w:spacing w:line="360" w:lineRule="auto"/>
        <w:ind w:firstLine="420" w:firstLineChars="200"/>
        <w:rPr>
          <w:rFonts w:ascii="Times New Roman" w:hAnsi="Times New Roman"/>
          <w:szCs w:val="21"/>
        </w:rPr>
      </w:pPr>
      <w:r>
        <w:rPr>
          <w:rFonts w:ascii="Times New Roman" w:hAnsi="Times New Roman" w:eastAsia="黑体"/>
          <w:szCs w:val="21"/>
        </w:rPr>
        <w:t>3、</w:t>
      </w:r>
      <w:r>
        <w:rPr>
          <w:rFonts w:ascii="Times New Roman" w:hAnsi="Times New Roman"/>
          <w:szCs w:val="21"/>
        </w:rPr>
        <w:t>先进性：该方法操作简便，系统稳定，工作效率高，精密度和准确度好，能很好地满足产品检查的需要</w:t>
      </w:r>
      <w:r>
        <w:rPr>
          <w:rFonts w:ascii="Times New Roman" w:hAnsi="Times New Roman"/>
          <w:kern w:val="1"/>
          <w:szCs w:val="21"/>
        </w:rPr>
        <w:t>。</w:t>
      </w:r>
    </w:p>
    <w:p>
      <w:pPr>
        <w:spacing w:line="360" w:lineRule="auto"/>
        <w:jc w:val="left"/>
        <w:rPr>
          <w:b/>
          <w:sz w:val="24"/>
          <w:szCs w:val="24"/>
        </w:rPr>
      </w:pPr>
    </w:p>
    <w:p>
      <w:pPr>
        <w:pStyle w:val="3"/>
        <w:bidi w:val="0"/>
      </w:pPr>
      <w:r>
        <w:rPr>
          <w:rFonts w:hint="eastAsia"/>
        </w:rPr>
        <w:t>三、确定标准主要内容的论据</w:t>
      </w:r>
    </w:p>
    <w:p>
      <w:pPr>
        <w:spacing w:after="156" w:afterLines="50" w:line="360" w:lineRule="auto"/>
        <w:rPr>
          <w:rFonts w:ascii="宋体" w:hAnsi="宋体"/>
          <w:b/>
          <w:bCs w:val="0"/>
          <w:sz w:val="21"/>
          <w:szCs w:val="21"/>
        </w:rPr>
      </w:pPr>
      <w:r>
        <w:rPr>
          <w:rFonts w:hint="eastAsia"/>
          <w:b/>
          <w:bCs w:val="0"/>
          <w:sz w:val="21"/>
          <w:szCs w:val="21"/>
        </w:rPr>
        <w:t>1 方法1：</w:t>
      </w:r>
      <w:r>
        <w:rPr>
          <w:rFonts w:ascii="宋体" w:hAnsi="宋体"/>
          <w:b/>
          <w:bCs w:val="0"/>
          <w:sz w:val="21"/>
          <w:szCs w:val="21"/>
        </w:rPr>
        <w:t>火焰原子吸收光谱法主要内容</w:t>
      </w:r>
    </w:p>
    <w:p>
      <w:pPr>
        <w:spacing w:line="360" w:lineRule="auto"/>
        <w:ind w:firstLine="420" w:firstLineChars="200"/>
        <w:rPr>
          <w:rFonts w:ascii="宋体" w:hAnsi="宋体"/>
          <w:szCs w:val="21"/>
        </w:rPr>
      </w:pPr>
      <w:r>
        <w:rPr>
          <w:rFonts w:ascii="宋体" w:hAnsi="宋体"/>
          <w:szCs w:val="21"/>
        </w:rPr>
        <w:t>查阅了大量的相关资料，从实验仪器普及程度及成本方面考虑并结合工作实际拟定了试验方案。通过实际试样和条件试验确定了测定范围、称样量、共存离子的影响等内容，确定了方法的准确度及精密度，最终形成了行业标准。本标准具有操作简便、准确度较好等优点。</w:t>
      </w:r>
    </w:p>
    <w:p>
      <w:pPr>
        <w:spacing w:line="360" w:lineRule="auto"/>
        <w:ind w:firstLine="420" w:firstLineChars="200"/>
        <w:rPr>
          <w:rFonts w:ascii="宋体" w:hAnsi="宋体"/>
          <w:szCs w:val="21"/>
        </w:rPr>
      </w:pPr>
      <w:r>
        <w:rPr>
          <w:rFonts w:ascii="宋体" w:hAnsi="宋体"/>
          <w:szCs w:val="21"/>
        </w:rPr>
        <w:t>主要内容包括以下方面：</w:t>
      </w:r>
    </w:p>
    <w:p>
      <w:pPr>
        <w:pStyle w:val="5"/>
        <w:spacing w:line="360" w:lineRule="auto"/>
        <w:rPr>
          <w:b/>
          <w:bCs/>
          <w:sz w:val="21"/>
          <w:szCs w:val="21"/>
        </w:rPr>
      </w:pPr>
      <w:r>
        <w:rPr>
          <w:rFonts w:hint="eastAsia"/>
          <w:b/>
          <w:bCs/>
          <w:sz w:val="21"/>
          <w:szCs w:val="21"/>
          <w:lang w:val="en-US" w:eastAsia="zh-CN"/>
        </w:rPr>
        <w:t>1.1</w:t>
      </w:r>
      <w:r>
        <w:rPr>
          <w:b/>
          <w:bCs/>
          <w:sz w:val="21"/>
          <w:szCs w:val="21"/>
        </w:rPr>
        <w:t>仪器条件选择试验</w:t>
      </w:r>
    </w:p>
    <w:p>
      <w:pPr>
        <w:spacing w:line="360" w:lineRule="auto"/>
        <w:ind w:firstLine="420" w:firstLineChars="200"/>
      </w:pPr>
      <w:r>
        <w:t>在不同的仪器参数条件下，测定铋标准溶液的吸光度，以确定仪器最佳的工作条件。</w:t>
      </w:r>
    </w:p>
    <w:p>
      <w:pPr>
        <w:pStyle w:val="5"/>
        <w:spacing w:line="360" w:lineRule="auto"/>
      </w:pPr>
      <w:r>
        <w:rPr>
          <w:rFonts w:hint="eastAsia"/>
          <w:lang w:val="en-US" w:eastAsia="zh-CN"/>
        </w:rPr>
        <w:t>1.1</w:t>
      </w:r>
      <w:r>
        <w:t xml:space="preserve">.1分析线的选择 </w:t>
      </w:r>
    </w:p>
    <w:p>
      <w:pPr>
        <w:spacing w:line="360" w:lineRule="auto"/>
        <w:ind w:firstLine="420" w:firstLineChars="200"/>
        <w:rPr>
          <w:color w:val="000000"/>
        </w:rPr>
      </w:pPr>
      <w:r>
        <w:rPr>
          <w:color w:val="000000"/>
        </w:rPr>
        <w:t>固定燃烧器高度7.0mm、狭缝宽度0.2nm、乙炔流量1200mL/min，灯电流为3.0mA，选择不同的分析线，测量1.00，10.00 μg/mL铋标准溶液的吸光度，结果见表</w:t>
      </w:r>
      <w:r>
        <w:rPr>
          <w:rFonts w:hint="eastAsia"/>
          <w:color w:val="000000"/>
          <w:lang w:val="en-US" w:eastAsia="zh-CN"/>
        </w:rPr>
        <w:t>1</w:t>
      </w:r>
      <w:r>
        <w:rPr>
          <w:color w:val="000000"/>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1</w:t>
      </w:r>
      <w:r>
        <w:rPr>
          <w:rFonts w:eastAsia="宋体" w:cs="Times New Roman"/>
          <w:sz w:val="21"/>
          <w:szCs w:val="21"/>
        </w:rPr>
        <w:t xml:space="preserve"> 分析线的选择</w:t>
      </w:r>
    </w:p>
    <w:tbl>
      <w:tblPr>
        <w:tblStyle w:val="37"/>
        <w:tblW w:w="0" w:type="auto"/>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3"/>
        <w:gridCol w:w="1884"/>
        <w:gridCol w:w="2025"/>
        <w:gridCol w:w="207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3077" w:type="dxa"/>
            <w:gridSpan w:val="2"/>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分析线/nm</w:t>
            </w:r>
          </w:p>
        </w:tc>
        <w:tc>
          <w:tcPr>
            <w:tcW w:w="202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223.1</w:t>
            </w:r>
          </w:p>
        </w:tc>
        <w:tc>
          <w:tcPr>
            <w:tcW w:w="2070"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306.8</w:t>
            </w:r>
          </w:p>
        </w:tc>
        <w:tc>
          <w:tcPr>
            <w:tcW w:w="1080"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227.7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3" w:type="dxa"/>
            <w:vMerge w:val="restart"/>
            <w:noWrap/>
            <w:tcMar>
              <w:top w:w="15" w:type="dxa"/>
              <w:left w:w="15" w:type="dxa"/>
              <w:right w:w="15" w:type="dxa"/>
            </w:tcMar>
            <w:vAlign w:val="center"/>
          </w:tcPr>
          <w:p>
            <w:pPr>
              <w:spacing w:line="360" w:lineRule="auto"/>
              <w:jc w:val="center"/>
              <w:rPr>
                <w:color w:val="000000"/>
              </w:rPr>
            </w:pPr>
            <w:r>
              <w:rPr>
                <w:color w:val="000000"/>
              </w:rPr>
              <w:t>吸光度</w:t>
            </w:r>
          </w:p>
        </w:tc>
        <w:tc>
          <w:tcPr>
            <w:tcW w:w="1884" w:type="dxa"/>
            <w:vMerge w:val="restart"/>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1.00μg/mL</w:t>
            </w: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0.0215</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0.0115</w:t>
            </w:r>
          </w:p>
        </w:tc>
        <w:tc>
          <w:tcPr>
            <w:tcW w:w="108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3" w:type="dxa"/>
            <w:vMerge w:val="continue"/>
            <w:noWrap/>
            <w:tcMar>
              <w:top w:w="15" w:type="dxa"/>
              <w:left w:w="15" w:type="dxa"/>
              <w:right w:w="15" w:type="dxa"/>
            </w:tcMar>
            <w:vAlign w:val="center"/>
          </w:tcPr>
          <w:p>
            <w:pPr>
              <w:spacing w:line="360" w:lineRule="auto"/>
              <w:jc w:val="center"/>
              <w:rPr>
                <w:color w:val="000000"/>
              </w:rPr>
            </w:pPr>
          </w:p>
        </w:tc>
        <w:tc>
          <w:tcPr>
            <w:tcW w:w="1884" w:type="dxa"/>
            <w:vMerge w:val="continue"/>
            <w:noWrap w:val="0"/>
            <w:tcMar>
              <w:top w:w="15" w:type="dxa"/>
              <w:left w:w="15" w:type="dxa"/>
              <w:right w:w="15" w:type="dxa"/>
            </w:tcMar>
            <w:vAlign w:val="center"/>
          </w:tcPr>
          <w:p>
            <w:pPr>
              <w:spacing w:line="360" w:lineRule="auto"/>
              <w:jc w:val="center"/>
              <w:rPr>
                <w:color w:val="000000"/>
              </w:rPr>
            </w:pP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0.0214</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0.0144</w:t>
            </w:r>
          </w:p>
        </w:tc>
        <w:tc>
          <w:tcPr>
            <w:tcW w:w="108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3" w:type="dxa"/>
            <w:vMerge w:val="continue"/>
            <w:noWrap/>
            <w:tcMar>
              <w:top w:w="15" w:type="dxa"/>
              <w:left w:w="15" w:type="dxa"/>
              <w:right w:w="15" w:type="dxa"/>
            </w:tcMar>
            <w:vAlign w:val="center"/>
          </w:tcPr>
          <w:p>
            <w:pPr>
              <w:spacing w:line="360" w:lineRule="auto"/>
              <w:jc w:val="center"/>
              <w:rPr>
                <w:color w:val="000000"/>
              </w:rPr>
            </w:pPr>
          </w:p>
        </w:tc>
        <w:tc>
          <w:tcPr>
            <w:tcW w:w="1884" w:type="dxa"/>
            <w:vMerge w:val="continue"/>
            <w:noWrap w:val="0"/>
            <w:tcMar>
              <w:top w:w="15" w:type="dxa"/>
              <w:left w:w="15" w:type="dxa"/>
              <w:right w:w="15" w:type="dxa"/>
            </w:tcMar>
            <w:vAlign w:val="center"/>
          </w:tcPr>
          <w:p>
            <w:pPr>
              <w:spacing w:line="360" w:lineRule="auto"/>
              <w:jc w:val="center"/>
              <w:rPr>
                <w:color w:val="000000"/>
              </w:rPr>
            </w:pP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0.0212</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0.0138</w:t>
            </w:r>
          </w:p>
        </w:tc>
        <w:tc>
          <w:tcPr>
            <w:tcW w:w="1080" w:type="dxa"/>
            <w:noWrap/>
            <w:tcMar>
              <w:top w:w="15" w:type="dxa"/>
              <w:left w:w="15" w:type="dxa"/>
              <w:right w:w="15" w:type="dxa"/>
            </w:tcMar>
            <w:vAlign w:val="center"/>
          </w:tcPr>
          <w:p>
            <w:pPr>
              <w:spacing w:line="360" w:lineRule="auto"/>
              <w:jc w:val="center"/>
              <w:rPr>
                <w:color w:val="000000"/>
              </w:rPr>
            </w:pPr>
            <w:r>
              <w:rPr>
                <w:color w:val="000000"/>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3" w:type="dxa"/>
            <w:vMerge w:val="continue"/>
            <w:noWrap/>
            <w:tcMar>
              <w:top w:w="15" w:type="dxa"/>
              <w:left w:w="15" w:type="dxa"/>
              <w:right w:w="15" w:type="dxa"/>
            </w:tcMar>
            <w:vAlign w:val="center"/>
          </w:tcPr>
          <w:p>
            <w:pPr>
              <w:spacing w:line="360" w:lineRule="auto"/>
              <w:jc w:val="center"/>
              <w:rPr>
                <w:color w:val="000000"/>
              </w:rPr>
            </w:pPr>
          </w:p>
        </w:tc>
        <w:tc>
          <w:tcPr>
            <w:tcW w:w="1884" w:type="dxa"/>
            <w:vMerge w:val="restart"/>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10.00μg/mL</w:t>
            </w: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0.2220</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0.0789</w:t>
            </w:r>
          </w:p>
        </w:tc>
        <w:tc>
          <w:tcPr>
            <w:tcW w:w="108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3" w:type="dxa"/>
            <w:vMerge w:val="continue"/>
            <w:noWrap/>
            <w:tcMar>
              <w:top w:w="15" w:type="dxa"/>
              <w:left w:w="15" w:type="dxa"/>
              <w:right w:w="15" w:type="dxa"/>
            </w:tcMar>
            <w:vAlign w:val="center"/>
          </w:tcPr>
          <w:p>
            <w:pPr>
              <w:spacing w:line="360" w:lineRule="auto"/>
              <w:jc w:val="center"/>
              <w:rPr>
                <w:color w:val="000000"/>
              </w:rPr>
            </w:pPr>
          </w:p>
        </w:tc>
        <w:tc>
          <w:tcPr>
            <w:tcW w:w="1884" w:type="dxa"/>
            <w:vMerge w:val="continue"/>
            <w:noWrap w:val="0"/>
            <w:tcMar>
              <w:top w:w="15" w:type="dxa"/>
              <w:left w:w="15" w:type="dxa"/>
              <w:right w:w="15" w:type="dxa"/>
            </w:tcMar>
            <w:vAlign w:val="center"/>
          </w:tcPr>
          <w:p>
            <w:pPr>
              <w:spacing w:line="360" w:lineRule="auto"/>
              <w:jc w:val="center"/>
              <w:rPr>
                <w:color w:val="000000"/>
              </w:rPr>
            </w:pP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0.2206</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0.0758</w:t>
            </w:r>
          </w:p>
        </w:tc>
        <w:tc>
          <w:tcPr>
            <w:tcW w:w="108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3" w:type="dxa"/>
            <w:vMerge w:val="continue"/>
            <w:noWrap/>
            <w:tcMar>
              <w:top w:w="15" w:type="dxa"/>
              <w:left w:w="15" w:type="dxa"/>
              <w:right w:w="15" w:type="dxa"/>
            </w:tcMar>
            <w:vAlign w:val="center"/>
          </w:tcPr>
          <w:p>
            <w:pPr>
              <w:spacing w:line="360" w:lineRule="auto"/>
              <w:jc w:val="center"/>
              <w:rPr>
                <w:color w:val="000000"/>
              </w:rPr>
            </w:pPr>
          </w:p>
        </w:tc>
        <w:tc>
          <w:tcPr>
            <w:tcW w:w="1884" w:type="dxa"/>
            <w:vMerge w:val="continue"/>
            <w:noWrap w:val="0"/>
            <w:tcMar>
              <w:top w:w="15" w:type="dxa"/>
              <w:left w:w="15" w:type="dxa"/>
              <w:right w:w="15" w:type="dxa"/>
            </w:tcMar>
            <w:vAlign w:val="center"/>
          </w:tcPr>
          <w:p>
            <w:pPr>
              <w:spacing w:line="360" w:lineRule="auto"/>
              <w:jc w:val="center"/>
              <w:rPr>
                <w:color w:val="000000"/>
              </w:rPr>
            </w:pP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0.2188</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0.0723</w:t>
            </w:r>
          </w:p>
        </w:tc>
        <w:tc>
          <w:tcPr>
            <w:tcW w:w="1080" w:type="dxa"/>
            <w:noWrap/>
            <w:tcMar>
              <w:top w:w="15" w:type="dxa"/>
              <w:left w:w="15" w:type="dxa"/>
              <w:right w:w="15" w:type="dxa"/>
            </w:tcMar>
            <w:vAlign w:val="center"/>
          </w:tcPr>
          <w:p>
            <w:pPr>
              <w:spacing w:line="360" w:lineRule="auto"/>
              <w:jc w:val="center"/>
              <w:rPr>
                <w:color w:val="000000"/>
              </w:rPr>
            </w:pPr>
            <w:r>
              <w:rPr>
                <w:color w:val="000000"/>
              </w:rPr>
              <w:t>0.0145</w:t>
            </w:r>
          </w:p>
        </w:tc>
      </w:tr>
    </w:tbl>
    <w:p>
      <w:pPr>
        <w:spacing w:line="360" w:lineRule="auto"/>
      </w:pPr>
    </w:p>
    <w:p>
      <w:pPr>
        <w:spacing w:line="360" w:lineRule="auto"/>
        <w:ind w:firstLine="420" w:firstLineChars="200"/>
        <w:rPr>
          <w:color w:val="000000"/>
        </w:rPr>
      </w:pPr>
      <w:r>
        <w:rPr>
          <w:color w:val="000000"/>
        </w:rPr>
        <w:t>根据表2可知，当以223.1nm作为分析线时，铋标准溶液的吸光度值最大，信号最稳定。此分析线为最灵敏线，也是铋元素的共振线，因此选择223.1nm作为分析线。</w:t>
      </w:r>
    </w:p>
    <w:p>
      <w:pPr>
        <w:pStyle w:val="5"/>
        <w:spacing w:line="360" w:lineRule="auto"/>
      </w:pPr>
      <w:r>
        <w:rPr>
          <w:rFonts w:hint="eastAsia"/>
          <w:lang w:val="en-US" w:eastAsia="zh-CN"/>
        </w:rPr>
        <w:t>1.1</w:t>
      </w:r>
      <w:r>
        <w:t>.2 灯电流的选择</w:t>
      </w:r>
    </w:p>
    <w:p>
      <w:pPr>
        <w:spacing w:line="360" w:lineRule="auto"/>
        <w:ind w:firstLine="420" w:firstLineChars="200"/>
        <w:rPr>
          <w:color w:val="000000"/>
        </w:rPr>
      </w:pPr>
      <w:r>
        <w:rPr>
          <w:color w:val="000000"/>
        </w:rPr>
        <w:t>固定燃烧器高度7.0mm、狭缝宽度0.2nm、乙炔流量1200mL/min，在223.1nm处，选择不同的灯电流，测量1.00，10.00 μg/mL铋标准溶液的吸光度，结果见表</w:t>
      </w:r>
      <w:r>
        <w:rPr>
          <w:rFonts w:hint="eastAsia"/>
          <w:color w:val="000000"/>
          <w:lang w:val="en-US" w:eastAsia="zh-CN"/>
        </w:rPr>
        <w:t>2</w:t>
      </w:r>
      <w:r>
        <w:rPr>
          <w:color w:val="000000"/>
        </w:rPr>
        <w:t>。</w:t>
      </w:r>
    </w:p>
    <w:p>
      <w:pPr>
        <w:pStyle w:val="3"/>
        <w:keepNext w:val="0"/>
        <w:keepLines w:val="0"/>
        <w:spacing w:line="360" w:lineRule="auto"/>
        <w:jc w:val="center"/>
        <w:rPr>
          <w:rFonts w:eastAsia="宋体" w:cs="Times New Roman"/>
          <w:szCs w:val="24"/>
        </w:rPr>
      </w:pPr>
      <w:r>
        <w:rPr>
          <w:rFonts w:eastAsia="宋体" w:cs="Times New Roman"/>
          <w:sz w:val="21"/>
          <w:szCs w:val="21"/>
        </w:rPr>
        <w:t>表</w:t>
      </w:r>
      <w:r>
        <w:rPr>
          <w:rFonts w:hint="eastAsia" w:cs="Times New Roman"/>
          <w:sz w:val="21"/>
          <w:szCs w:val="21"/>
          <w:lang w:val="en-US" w:eastAsia="zh-CN"/>
        </w:rPr>
        <w:t>2</w:t>
      </w:r>
      <w:r>
        <w:rPr>
          <w:rFonts w:eastAsia="宋体" w:cs="Times New Roman"/>
          <w:sz w:val="21"/>
          <w:szCs w:val="21"/>
        </w:rPr>
        <w:t xml:space="preserve">  灯电流的选择</w:t>
      </w:r>
    </w:p>
    <w:tbl>
      <w:tblPr>
        <w:tblStyle w:val="37"/>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3"/>
        <w:gridCol w:w="1263"/>
        <w:gridCol w:w="1163"/>
        <w:gridCol w:w="1297"/>
        <w:gridCol w:w="1297"/>
        <w:gridCol w:w="129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36" w:type="dxa"/>
            <w:gridSpan w:val="2"/>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灯电流/mA</w:t>
            </w:r>
          </w:p>
        </w:tc>
        <w:tc>
          <w:tcPr>
            <w:tcW w:w="1163"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1.0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2.0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3.0 </w:t>
            </w:r>
          </w:p>
        </w:tc>
        <w:tc>
          <w:tcPr>
            <w:tcW w:w="1298"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4.0 </w:t>
            </w:r>
          </w:p>
        </w:tc>
        <w:tc>
          <w:tcPr>
            <w:tcW w:w="1297"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73" w:type="dxa"/>
            <w:vMerge w:val="restart"/>
            <w:noWrap/>
            <w:tcMar>
              <w:top w:w="15" w:type="dxa"/>
              <w:left w:w="15" w:type="dxa"/>
              <w:right w:w="15" w:type="dxa"/>
            </w:tcMar>
            <w:vAlign w:val="center"/>
          </w:tcPr>
          <w:p>
            <w:pPr>
              <w:spacing w:line="360" w:lineRule="auto"/>
              <w:jc w:val="center"/>
              <w:rPr>
                <w:color w:val="000000"/>
              </w:rPr>
            </w:pPr>
            <w:r>
              <w:rPr>
                <w:color w:val="000000"/>
              </w:rPr>
              <w:t>吸光度</w:t>
            </w:r>
          </w:p>
        </w:tc>
        <w:tc>
          <w:tcPr>
            <w:tcW w:w="1263"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1.00μg/mL</w:t>
            </w:r>
          </w:p>
        </w:tc>
        <w:tc>
          <w:tcPr>
            <w:tcW w:w="1163"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0.0224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0.0219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0.0214 </w:t>
            </w:r>
          </w:p>
        </w:tc>
        <w:tc>
          <w:tcPr>
            <w:tcW w:w="129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0.0206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73" w:type="dxa"/>
            <w:vMerge w:val="continue"/>
            <w:noWrap/>
            <w:tcMar>
              <w:top w:w="15" w:type="dxa"/>
              <w:left w:w="15" w:type="dxa"/>
              <w:right w:w="15" w:type="dxa"/>
            </w:tcMar>
            <w:vAlign w:val="center"/>
          </w:tcPr>
          <w:p>
            <w:pPr>
              <w:spacing w:line="360" w:lineRule="auto"/>
              <w:jc w:val="center"/>
              <w:rPr>
                <w:color w:val="000000"/>
              </w:rPr>
            </w:pPr>
          </w:p>
        </w:tc>
        <w:tc>
          <w:tcPr>
            <w:tcW w:w="1263"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10.00μg/mL</w:t>
            </w:r>
          </w:p>
        </w:tc>
        <w:tc>
          <w:tcPr>
            <w:tcW w:w="1163"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0.2395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0.2311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0.2205 </w:t>
            </w:r>
          </w:p>
        </w:tc>
        <w:tc>
          <w:tcPr>
            <w:tcW w:w="129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0.2058 </w:t>
            </w:r>
          </w:p>
        </w:tc>
        <w:tc>
          <w:tcPr>
            <w:tcW w:w="129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0.1926 </w:t>
            </w:r>
          </w:p>
        </w:tc>
      </w:tr>
    </w:tbl>
    <w:p>
      <w:pPr>
        <w:spacing w:line="360" w:lineRule="auto"/>
        <w:ind w:firstLine="420" w:firstLineChars="200"/>
        <w:rPr>
          <w:color w:val="000000"/>
        </w:rPr>
      </w:pPr>
    </w:p>
    <w:p>
      <w:pPr>
        <w:spacing w:line="360" w:lineRule="auto"/>
        <w:ind w:firstLine="420" w:firstLineChars="200"/>
        <w:rPr>
          <w:color w:val="000000"/>
        </w:rPr>
      </w:pPr>
      <w:r>
        <w:rPr>
          <w:color w:val="000000"/>
        </w:rPr>
        <w:t>灯电流过小，发射强度小，稳定性差、信噪比下降；灯电流过大时，光谱线变宽，甚至产生自吸，灵敏度下降，影响灯的寿命。当灯电流为3.0 mA 时，能满足光源稳定且有足够光输出的要求。综合考虑，最终试验选择灯电流3.0mA为试验灯电流。</w:t>
      </w:r>
    </w:p>
    <w:p>
      <w:pPr>
        <w:pStyle w:val="5"/>
        <w:spacing w:line="360" w:lineRule="auto"/>
      </w:pPr>
      <w:r>
        <w:rPr>
          <w:rFonts w:hint="eastAsia"/>
          <w:lang w:val="en-US" w:eastAsia="zh-CN"/>
        </w:rPr>
        <w:t>1.1</w:t>
      </w:r>
      <w:r>
        <w:t>.3 狭缝宽度的选择</w:t>
      </w:r>
    </w:p>
    <w:p>
      <w:pPr>
        <w:spacing w:line="360" w:lineRule="auto"/>
        <w:ind w:firstLine="420" w:firstLineChars="200"/>
        <w:rPr>
          <w:b/>
          <w:color w:val="000000"/>
        </w:rPr>
      </w:pPr>
      <w:r>
        <w:rPr>
          <w:color w:val="000000"/>
        </w:rPr>
        <w:t>固定燃烧器高度7.0mm、灯电流为3.0mA、乙炔流量1200mL/min，在223.1nm处，选择不同的狭缝，测量1.00，10.00 μg/mL铋标准溶液的吸光度结果见表</w:t>
      </w:r>
      <w:r>
        <w:rPr>
          <w:rFonts w:hint="eastAsia"/>
          <w:color w:val="000000"/>
          <w:lang w:val="en-US" w:eastAsia="zh-CN"/>
        </w:rPr>
        <w:t>3</w:t>
      </w:r>
      <w:r>
        <w:rPr>
          <w:color w:val="000000"/>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3</w:t>
      </w:r>
      <w:r>
        <w:rPr>
          <w:rFonts w:eastAsia="宋体" w:cs="Times New Roman"/>
          <w:sz w:val="21"/>
          <w:szCs w:val="21"/>
        </w:rPr>
        <w:t xml:space="preserve"> 狭缝宽度的选择</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2"/>
        <w:gridCol w:w="1318"/>
        <w:gridCol w:w="1515"/>
        <w:gridCol w:w="1515"/>
        <w:gridCol w:w="15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60" w:type="dxa"/>
            <w:gridSpan w:val="2"/>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狭缝/nm</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0.2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0.5R</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0.5 </w:t>
            </w:r>
          </w:p>
        </w:tc>
        <w:tc>
          <w:tcPr>
            <w:tcW w:w="151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2" w:type="dxa"/>
            <w:vMerge w:val="restart"/>
            <w:noWrap/>
            <w:tcMar>
              <w:top w:w="15" w:type="dxa"/>
              <w:left w:w="15" w:type="dxa"/>
              <w:right w:w="15" w:type="dxa"/>
            </w:tcMar>
            <w:vAlign w:val="center"/>
          </w:tcPr>
          <w:p>
            <w:pPr>
              <w:spacing w:line="360" w:lineRule="auto"/>
              <w:jc w:val="center"/>
              <w:rPr>
                <w:color w:val="000000"/>
              </w:rPr>
            </w:pPr>
            <w:r>
              <w:rPr>
                <w:color w:val="000000"/>
              </w:rPr>
              <w:t>吸光度</w:t>
            </w:r>
          </w:p>
        </w:tc>
        <w:tc>
          <w:tcPr>
            <w:tcW w:w="131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1.00μg/mL</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0.0214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0.0136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0.0146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42" w:type="dxa"/>
            <w:vMerge w:val="continue"/>
            <w:noWrap/>
            <w:tcMar>
              <w:top w:w="15" w:type="dxa"/>
              <w:left w:w="15" w:type="dxa"/>
              <w:right w:w="15" w:type="dxa"/>
            </w:tcMar>
            <w:vAlign w:val="center"/>
          </w:tcPr>
          <w:p>
            <w:pPr>
              <w:spacing w:line="360" w:lineRule="auto"/>
              <w:jc w:val="center"/>
              <w:rPr>
                <w:color w:val="000000"/>
              </w:rPr>
            </w:pPr>
          </w:p>
        </w:tc>
        <w:tc>
          <w:tcPr>
            <w:tcW w:w="131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10.00μg/mL</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0.2205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0.1427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0.1560 </w:t>
            </w:r>
          </w:p>
        </w:tc>
        <w:tc>
          <w:tcPr>
            <w:tcW w:w="1515"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0.1563 </w:t>
            </w:r>
          </w:p>
        </w:tc>
      </w:tr>
    </w:tbl>
    <w:p>
      <w:pPr>
        <w:spacing w:line="360" w:lineRule="auto"/>
        <w:rPr>
          <w:color w:val="000000"/>
        </w:rPr>
      </w:pPr>
    </w:p>
    <w:p>
      <w:pPr>
        <w:spacing w:line="360" w:lineRule="auto"/>
        <w:ind w:firstLine="420" w:firstLineChars="200"/>
        <w:rPr>
          <w:color w:val="000000"/>
        </w:rPr>
      </w:pPr>
      <w:r>
        <w:rPr>
          <w:color w:val="000000"/>
        </w:rPr>
        <w:t>光谱通带是指单色器出射光谱所包含的波长范围。它由光栅线色散率的倒数（又称倒线色散率）和出射狭缝宽度所决定。调节出射狭缝的宽度可以影响光谱通带的范围。当狭缝宽度为0.2nm时，吸光度值最高，试验选择狭缝宽度为0.2nm。</w:t>
      </w:r>
    </w:p>
    <w:p>
      <w:pPr>
        <w:pStyle w:val="5"/>
        <w:spacing w:line="360" w:lineRule="auto"/>
      </w:pPr>
      <w:r>
        <w:rPr>
          <w:rFonts w:hint="eastAsia"/>
          <w:lang w:val="en-US" w:eastAsia="zh-CN"/>
        </w:rPr>
        <w:t>1.</w:t>
      </w:r>
      <w:r>
        <w:t>1.4 燃烧器高度的选择</w:t>
      </w:r>
    </w:p>
    <w:p>
      <w:pPr>
        <w:spacing w:line="360" w:lineRule="auto"/>
        <w:ind w:firstLine="420" w:firstLineChars="200"/>
        <w:rPr>
          <w:b/>
          <w:color w:val="000000"/>
        </w:rPr>
      </w:pPr>
      <w:r>
        <w:rPr>
          <w:color w:val="000000"/>
        </w:rPr>
        <w:t>固定狭缝宽度0.2nm、灯电流为3.0mA，乙炔流量1000mL/min，在223.1nm处，选择不同的燃烧器高度，测量1.00 μg/mL铋标准溶液的吸光度，结果见表</w:t>
      </w:r>
      <w:r>
        <w:rPr>
          <w:rFonts w:hint="eastAsia"/>
          <w:color w:val="000000"/>
          <w:lang w:val="en-US" w:eastAsia="zh-CN"/>
        </w:rPr>
        <w:t>4</w:t>
      </w:r>
      <w:r>
        <w:rPr>
          <w:color w:val="000000"/>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4</w:t>
      </w:r>
      <w:r>
        <w:rPr>
          <w:rFonts w:eastAsia="宋体" w:cs="Times New Roman"/>
          <w:sz w:val="21"/>
          <w:szCs w:val="21"/>
        </w:rPr>
        <w:t xml:space="preserve">  燃烧器高度的选择</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1168"/>
        <w:gridCol w:w="1168"/>
        <w:gridCol w:w="1167"/>
        <w:gridCol w:w="1168"/>
        <w:gridCol w:w="8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000"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燃烧器高度/mm</w:t>
            </w:r>
          </w:p>
        </w:tc>
        <w:tc>
          <w:tcPr>
            <w:tcW w:w="116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5.0 </w:t>
            </w:r>
          </w:p>
        </w:tc>
        <w:tc>
          <w:tcPr>
            <w:tcW w:w="116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6.0 </w:t>
            </w:r>
          </w:p>
        </w:tc>
        <w:tc>
          <w:tcPr>
            <w:tcW w:w="116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7.0 </w:t>
            </w:r>
          </w:p>
        </w:tc>
        <w:tc>
          <w:tcPr>
            <w:tcW w:w="1168"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8.0 </w:t>
            </w:r>
          </w:p>
        </w:tc>
        <w:tc>
          <w:tcPr>
            <w:tcW w:w="833"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9.0 </w:t>
            </w:r>
          </w:p>
        </w:tc>
        <w:tc>
          <w:tcPr>
            <w:tcW w:w="832"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00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吸光度</w:t>
            </w:r>
          </w:p>
        </w:tc>
        <w:tc>
          <w:tcPr>
            <w:tcW w:w="116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0.0098 </w:t>
            </w:r>
          </w:p>
        </w:tc>
        <w:tc>
          <w:tcPr>
            <w:tcW w:w="116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0.0140 </w:t>
            </w:r>
          </w:p>
        </w:tc>
        <w:tc>
          <w:tcPr>
            <w:tcW w:w="1167"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0.0214 </w:t>
            </w:r>
          </w:p>
        </w:tc>
        <w:tc>
          <w:tcPr>
            <w:tcW w:w="1168"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0.0202 </w:t>
            </w:r>
          </w:p>
        </w:tc>
        <w:tc>
          <w:tcPr>
            <w:tcW w:w="833"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0.0188 </w:t>
            </w:r>
          </w:p>
        </w:tc>
        <w:tc>
          <w:tcPr>
            <w:tcW w:w="832" w:type="dxa"/>
            <w:noWrap w:val="0"/>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 xml:space="preserve">0.0189 </w:t>
            </w:r>
          </w:p>
        </w:tc>
      </w:tr>
    </w:tbl>
    <w:p>
      <w:pPr>
        <w:spacing w:line="360" w:lineRule="auto"/>
        <w:rPr>
          <w:color w:val="000000"/>
        </w:rPr>
      </w:pPr>
    </w:p>
    <w:p>
      <w:pPr>
        <w:spacing w:line="360" w:lineRule="auto"/>
        <w:ind w:firstLine="420" w:firstLineChars="200"/>
        <w:rPr>
          <w:color w:val="000000"/>
          <w:highlight w:val="red"/>
        </w:rPr>
      </w:pPr>
      <w:r>
        <w:rPr>
          <w:color w:val="000000"/>
        </w:rPr>
        <w:t>为了使空心阴极灯发射出的锐线光透过火焰中待测元素基态原子密度最大的区域，以得到最高的灵敏线和较低的检出限，对仪器的燃烧器高度进行调节。可见，当燃烧器高度为7.0mm时吸光度值最大，此时原子化效率最高，因此最终试验选择燃烧器高度为7.0mm。</w:t>
      </w:r>
    </w:p>
    <w:p>
      <w:pPr>
        <w:pStyle w:val="5"/>
        <w:spacing w:line="360" w:lineRule="auto"/>
      </w:pPr>
      <w:r>
        <w:rPr>
          <w:rFonts w:hint="eastAsia"/>
          <w:lang w:val="en-US" w:eastAsia="zh-CN"/>
        </w:rPr>
        <w:t>1.</w:t>
      </w:r>
      <w:r>
        <w:t>1.5 乙炔流量的选择</w:t>
      </w:r>
    </w:p>
    <w:p>
      <w:pPr>
        <w:spacing w:line="360" w:lineRule="auto"/>
        <w:ind w:firstLine="420" w:firstLineChars="200"/>
        <w:rPr>
          <w:b/>
          <w:color w:val="000000"/>
        </w:rPr>
      </w:pPr>
      <w:r>
        <w:rPr>
          <w:color w:val="000000"/>
        </w:rPr>
        <w:t>固定燃烧器高度7.0mm、狭缝宽度0.2nm、灯电流为3.0mA，在223.1nm处，选择不同的乙炔流量，测量1.00 μg/mL铋标准溶液的吸光度，结果见表</w:t>
      </w:r>
      <w:r>
        <w:rPr>
          <w:rFonts w:hint="eastAsia"/>
          <w:color w:val="000000"/>
          <w:lang w:val="en-US" w:eastAsia="zh-CN"/>
        </w:rPr>
        <w:t>5</w:t>
      </w:r>
      <w:r>
        <w:rPr>
          <w:color w:val="000000"/>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5</w:t>
      </w:r>
      <w:r>
        <w:rPr>
          <w:rFonts w:eastAsia="宋体" w:cs="Times New Roman"/>
          <w:sz w:val="21"/>
          <w:szCs w:val="21"/>
        </w:rPr>
        <w:t xml:space="preserve">  乙炔流量的选择</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1071"/>
        <w:gridCol w:w="1071"/>
        <w:gridCol w:w="1071"/>
        <w:gridCol w:w="1071"/>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75" w:type="dxa"/>
            <w:noWrap w:val="0"/>
            <w:vAlign w:val="center"/>
          </w:tcPr>
          <w:p>
            <w:pPr>
              <w:spacing w:line="360" w:lineRule="auto"/>
              <w:jc w:val="center"/>
              <w:rPr>
                <w:color w:val="000000"/>
              </w:rPr>
            </w:pPr>
            <w:r>
              <w:rPr>
                <w:color w:val="000000"/>
              </w:rPr>
              <w:t>乙炔流/mL/min</w:t>
            </w:r>
          </w:p>
        </w:tc>
        <w:tc>
          <w:tcPr>
            <w:tcW w:w="1071" w:type="dxa"/>
            <w:noWrap w:val="0"/>
            <w:vAlign w:val="center"/>
          </w:tcPr>
          <w:p>
            <w:pPr>
              <w:spacing w:line="360" w:lineRule="auto"/>
              <w:jc w:val="center"/>
              <w:rPr>
                <w:color w:val="000000"/>
              </w:rPr>
            </w:pPr>
            <w:r>
              <w:rPr>
                <w:color w:val="000000"/>
              </w:rPr>
              <w:t>1000</w:t>
            </w:r>
          </w:p>
        </w:tc>
        <w:tc>
          <w:tcPr>
            <w:tcW w:w="1071" w:type="dxa"/>
            <w:noWrap w:val="0"/>
            <w:vAlign w:val="center"/>
          </w:tcPr>
          <w:p>
            <w:pPr>
              <w:spacing w:line="360" w:lineRule="auto"/>
              <w:jc w:val="center"/>
              <w:rPr>
                <w:color w:val="000000"/>
              </w:rPr>
            </w:pPr>
            <w:r>
              <w:rPr>
                <w:color w:val="000000"/>
              </w:rPr>
              <w:t>1200</w:t>
            </w:r>
          </w:p>
        </w:tc>
        <w:tc>
          <w:tcPr>
            <w:tcW w:w="1071" w:type="dxa"/>
            <w:noWrap w:val="0"/>
            <w:vAlign w:val="center"/>
          </w:tcPr>
          <w:p>
            <w:pPr>
              <w:spacing w:line="360" w:lineRule="auto"/>
              <w:jc w:val="center"/>
              <w:rPr>
                <w:color w:val="000000"/>
              </w:rPr>
            </w:pPr>
            <w:r>
              <w:rPr>
                <w:color w:val="000000"/>
              </w:rPr>
              <w:t>1500</w:t>
            </w:r>
          </w:p>
        </w:tc>
        <w:tc>
          <w:tcPr>
            <w:tcW w:w="1071" w:type="dxa"/>
            <w:noWrap w:val="0"/>
            <w:vAlign w:val="center"/>
          </w:tcPr>
          <w:p>
            <w:pPr>
              <w:spacing w:line="360" w:lineRule="auto"/>
              <w:jc w:val="center"/>
              <w:rPr>
                <w:color w:val="000000"/>
              </w:rPr>
            </w:pPr>
            <w:r>
              <w:rPr>
                <w:color w:val="000000"/>
              </w:rPr>
              <w:t>2000</w:t>
            </w:r>
          </w:p>
        </w:tc>
        <w:tc>
          <w:tcPr>
            <w:tcW w:w="1067" w:type="dxa"/>
            <w:noWrap w:val="0"/>
            <w:vAlign w:val="center"/>
          </w:tcPr>
          <w:p>
            <w:pPr>
              <w:spacing w:line="360" w:lineRule="auto"/>
              <w:jc w:val="center"/>
              <w:rPr>
                <w:color w:val="000000"/>
              </w:rPr>
            </w:pPr>
            <w:r>
              <w:rPr>
                <w:color w:val="00000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75" w:type="dxa"/>
            <w:noWrap w:val="0"/>
            <w:vAlign w:val="center"/>
          </w:tcPr>
          <w:p>
            <w:pPr>
              <w:spacing w:line="360" w:lineRule="auto"/>
              <w:jc w:val="center"/>
              <w:rPr>
                <w:color w:val="000000"/>
              </w:rPr>
            </w:pPr>
            <w:r>
              <w:rPr>
                <w:color w:val="000000"/>
              </w:rPr>
              <w:t>吸光度</w:t>
            </w:r>
          </w:p>
        </w:tc>
        <w:tc>
          <w:tcPr>
            <w:tcW w:w="1071" w:type="dxa"/>
            <w:noWrap w:val="0"/>
            <w:vAlign w:val="center"/>
          </w:tcPr>
          <w:p>
            <w:pPr>
              <w:spacing w:line="360" w:lineRule="auto"/>
              <w:jc w:val="center"/>
              <w:rPr>
                <w:color w:val="000000"/>
              </w:rPr>
            </w:pPr>
            <w:r>
              <w:rPr>
                <w:color w:val="000000"/>
              </w:rPr>
              <w:t>0.0184</w:t>
            </w:r>
          </w:p>
        </w:tc>
        <w:tc>
          <w:tcPr>
            <w:tcW w:w="1071" w:type="dxa"/>
            <w:noWrap w:val="0"/>
            <w:vAlign w:val="center"/>
          </w:tcPr>
          <w:p>
            <w:pPr>
              <w:spacing w:line="360" w:lineRule="auto"/>
              <w:jc w:val="center"/>
              <w:rPr>
                <w:color w:val="000000"/>
              </w:rPr>
            </w:pPr>
            <w:r>
              <w:rPr>
                <w:color w:val="000000"/>
              </w:rPr>
              <w:t>0.0214</w:t>
            </w:r>
          </w:p>
        </w:tc>
        <w:tc>
          <w:tcPr>
            <w:tcW w:w="1071" w:type="dxa"/>
            <w:noWrap w:val="0"/>
            <w:vAlign w:val="center"/>
          </w:tcPr>
          <w:p>
            <w:pPr>
              <w:spacing w:line="360" w:lineRule="auto"/>
              <w:jc w:val="center"/>
              <w:rPr>
                <w:color w:val="000000"/>
              </w:rPr>
            </w:pPr>
            <w:r>
              <w:rPr>
                <w:color w:val="000000"/>
              </w:rPr>
              <w:t>0.0294</w:t>
            </w:r>
          </w:p>
        </w:tc>
        <w:tc>
          <w:tcPr>
            <w:tcW w:w="1071" w:type="dxa"/>
            <w:noWrap w:val="0"/>
            <w:vAlign w:val="center"/>
          </w:tcPr>
          <w:p>
            <w:pPr>
              <w:spacing w:line="360" w:lineRule="auto"/>
              <w:jc w:val="center"/>
              <w:rPr>
                <w:color w:val="000000"/>
              </w:rPr>
            </w:pPr>
            <w:r>
              <w:rPr>
                <w:color w:val="000000"/>
              </w:rPr>
              <w:t>0.0329</w:t>
            </w:r>
          </w:p>
        </w:tc>
        <w:tc>
          <w:tcPr>
            <w:tcW w:w="1067" w:type="dxa"/>
            <w:noWrap w:val="0"/>
            <w:vAlign w:val="center"/>
          </w:tcPr>
          <w:p>
            <w:pPr>
              <w:spacing w:line="360" w:lineRule="auto"/>
              <w:jc w:val="center"/>
              <w:rPr>
                <w:color w:val="000000"/>
              </w:rPr>
            </w:pPr>
            <w:r>
              <w:rPr>
                <w:color w:val="000000"/>
              </w:rPr>
              <w:t>0.0217</w:t>
            </w:r>
          </w:p>
        </w:tc>
      </w:tr>
    </w:tbl>
    <w:p>
      <w:pPr>
        <w:spacing w:line="360" w:lineRule="auto"/>
        <w:rPr>
          <w:color w:val="000000"/>
        </w:rPr>
      </w:pPr>
    </w:p>
    <w:p>
      <w:pPr>
        <w:spacing w:line="360" w:lineRule="auto"/>
        <w:ind w:firstLine="420" w:firstLineChars="200"/>
        <w:rPr>
          <w:color w:val="000000"/>
        </w:rPr>
      </w:pPr>
      <w:r>
        <w:rPr>
          <w:color w:val="000000"/>
        </w:rPr>
        <w:t>燃助比影响火焰的性质，从而影响原子化，由于本型号的仪器其空气流量为固定值，可通过燃气流量变化选择燃助比。最终试验选择乙炔流量为1200mL/min。</w:t>
      </w:r>
    </w:p>
    <w:p>
      <w:pPr>
        <w:pStyle w:val="5"/>
        <w:spacing w:line="360" w:lineRule="auto"/>
      </w:pPr>
      <w:r>
        <w:rPr>
          <w:rFonts w:hint="eastAsia"/>
          <w:lang w:val="en-US" w:eastAsia="zh-CN"/>
        </w:rPr>
        <w:t>1.</w:t>
      </w:r>
      <w:r>
        <w:t>1.6最佳仪器条件</w:t>
      </w:r>
    </w:p>
    <w:p>
      <w:pPr>
        <w:adjustRightInd w:val="0"/>
        <w:snapToGrid w:val="0"/>
        <w:spacing w:line="360" w:lineRule="auto"/>
        <w:ind w:firstLine="561"/>
        <w:rPr>
          <w:b/>
          <w:color w:val="000000"/>
        </w:rPr>
      </w:pPr>
      <w:r>
        <w:rPr>
          <w:color w:val="000000"/>
        </w:rPr>
        <w:t>通过上述实验，确定铋测定的最佳仪器条件，结果见表</w:t>
      </w:r>
      <w:r>
        <w:rPr>
          <w:rFonts w:hint="eastAsia"/>
          <w:color w:val="000000"/>
          <w:lang w:val="en-US" w:eastAsia="zh-CN"/>
        </w:rPr>
        <w:t>6</w:t>
      </w:r>
      <w:r>
        <w:rPr>
          <w:color w:val="000000"/>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6</w:t>
      </w:r>
      <w:r>
        <w:rPr>
          <w:rFonts w:eastAsia="宋体" w:cs="Times New Roman"/>
          <w:sz w:val="21"/>
          <w:szCs w:val="21"/>
        </w:rPr>
        <w:t xml:space="preserve"> 最佳仪器条件</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696"/>
        <w:gridCol w:w="1480"/>
        <w:gridCol w:w="1696"/>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10" w:type="dxa"/>
            <w:noWrap w:val="0"/>
            <w:vAlign w:val="center"/>
          </w:tcPr>
          <w:p>
            <w:pPr>
              <w:spacing w:line="360" w:lineRule="auto"/>
              <w:jc w:val="center"/>
              <w:rPr>
                <w:color w:val="000000"/>
              </w:rPr>
            </w:pPr>
            <w:r>
              <w:rPr>
                <w:color w:val="000000"/>
              </w:rPr>
              <w:t>波长/nm</w:t>
            </w:r>
          </w:p>
        </w:tc>
        <w:tc>
          <w:tcPr>
            <w:tcW w:w="1696" w:type="dxa"/>
            <w:noWrap w:val="0"/>
            <w:vAlign w:val="center"/>
          </w:tcPr>
          <w:p>
            <w:pPr>
              <w:spacing w:line="360" w:lineRule="auto"/>
              <w:jc w:val="center"/>
              <w:rPr>
                <w:color w:val="000000"/>
              </w:rPr>
            </w:pPr>
            <w:r>
              <w:rPr>
                <w:color w:val="000000"/>
              </w:rPr>
              <w:t>乙炔流量/mL/min</w:t>
            </w:r>
          </w:p>
        </w:tc>
        <w:tc>
          <w:tcPr>
            <w:tcW w:w="1480" w:type="dxa"/>
            <w:noWrap w:val="0"/>
            <w:vAlign w:val="center"/>
          </w:tcPr>
          <w:p>
            <w:pPr>
              <w:spacing w:line="360" w:lineRule="auto"/>
              <w:jc w:val="center"/>
              <w:rPr>
                <w:color w:val="000000"/>
              </w:rPr>
            </w:pPr>
            <w:r>
              <w:rPr>
                <w:color w:val="000000"/>
              </w:rPr>
              <w:t>燃烧器高度/mm</w:t>
            </w:r>
          </w:p>
        </w:tc>
        <w:tc>
          <w:tcPr>
            <w:tcW w:w="1696" w:type="dxa"/>
            <w:noWrap w:val="0"/>
            <w:vAlign w:val="center"/>
          </w:tcPr>
          <w:p>
            <w:pPr>
              <w:spacing w:line="360" w:lineRule="auto"/>
              <w:jc w:val="center"/>
              <w:rPr>
                <w:color w:val="000000"/>
              </w:rPr>
            </w:pPr>
            <w:r>
              <w:rPr>
                <w:color w:val="000000"/>
              </w:rPr>
              <w:t>灯电流/mA</w:t>
            </w:r>
          </w:p>
        </w:tc>
        <w:tc>
          <w:tcPr>
            <w:tcW w:w="1906" w:type="dxa"/>
            <w:noWrap w:val="0"/>
            <w:vAlign w:val="center"/>
          </w:tcPr>
          <w:p>
            <w:pPr>
              <w:spacing w:line="360" w:lineRule="auto"/>
              <w:jc w:val="center"/>
              <w:rPr>
                <w:color w:val="000000"/>
              </w:rPr>
            </w:pPr>
            <w:r>
              <w:rPr>
                <w:color w:val="000000"/>
              </w:rPr>
              <w:t>狭逢宽度/nm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110" w:type="dxa"/>
            <w:noWrap w:val="0"/>
            <w:vAlign w:val="center"/>
          </w:tcPr>
          <w:p>
            <w:pPr>
              <w:spacing w:line="360" w:lineRule="auto"/>
              <w:jc w:val="center"/>
              <w:rPr>
                <w:color w:val="000000"/>
              </w:rPr>
            </w:pPr>
            <w:r>
              <w:rPr>
                <w:color w:val="000000"/>
              </w:rPr>
              <w:t>223.1</w:t>
            </w:r>
          </w:p>
        </w:tc>
        <w:tc>
          <w:tcPr>
            <w:tcW w:w="1696" w:type="dxa"/>
            <w:noWrap w:val="0"/>
            <w:vAlign w:val="center"/>
          </w:tcPr>
          <w:p>
            <w:pPr>
              <w:spacing w:line="360" w:lineRule="auto"/>
              <w:jc w:val="center"/>
              <w:rPr>
                <w:color w:val="000000"/>
              </w:rPr>
            </w:pPr>
            <w:r>
              <w:rPr>
                <w:color w:val="000000"/>
              </w:rPr>
              <w:t>1200</w:t>
            </w:r>
          </w:p>
        </w:tc>
        <w:tc>
          <w:tcPr>
            <w:tcW w:w="1480" w:type="dxa"/>
            <w:noWrap w:val="0"/>
            <w:vAlign w:val="center"/>
          </w:tcPr>
          <w:p>
            <w:pPr>
              <w:spacing w:line="360" w:lineRule="auto"/>
              <w:jc w:val="center"/>
              <w:rPr>
                <w:color w:val="000000"/>
              </w:rPr>
            </w:pPr>
            <w:r>
              <w:rPr>
                <w:color w:val="000000"/>
              </w:rPr>
              <w:t>7.0</w:t>
            </w:r>
          </w:p>
        </w:tc>
        <w:tc>
          <w:tcPr>
            <w:tcW w:w="1696" w:type="dxa"/>
            <w:noWrap w:val="0"/>
            <w:vAlign w:val="center"/>
          </w:tcPr>
          <w:p>
            <w:pPr>
              <w:spacing w:line="360" w:lineRule="auto"/>
              <w:jc w:val="center"/>
              <w:rPr>
                <w:color w:val="000000"/>
              </w:rPr>
            </w:pPr>
            <w:r>
              <w:rPr>
                <w:color w:val="000000"/>
              </w:rPr>
              <w:t>3.0</w:t>
            </w:r>
          </w:p>
        </w:tc>
        <w:tc>
          <w:tcPr>
            <w:tcW w:w="1906" w:type="dxa"/>
            <w:noWrap w:val="0"/>
            <w:vAlign w:val="center"/>
          </w:tcPr>
          <w:p>
            <w:pPr>
              <w:spacing w:line="360" w:lineRule="auto"/>
              <w:jc w:val="center"/>
              <w:rPr>
                <w:color w:val="000000"/>
              </w:rPr>
            </w:pPr>
            <w:r>
              <w:rPr>
                <w:color w:val="000000"/>
              </w:rPr>
              <w:t>0.2</w:t>
            </w:r>
          </w:p>
        </w:tc>
      </w:tr>
    </w:tbl>
    <w:p>
      <w:pPr>
        <w:pStyle w:val="5"/>
        <w:spacing w:line="360" w:lineRule="auto"/>
      </w:pPr>
      <w:bookmarkStart w:id="1" w:name="OLE_LINK28"/>
      <w:r>
        <w:rPr>
          <w:rFonts w:hint="eastAsia"/>
          <w:lang w:val="en-US" w:eastAsia="zh-CN"/>
        </w:rPr>
        <w:t>1.2</w:t>
      </w:r>
      <w:r>
        <w:t xml:space="preserve"> 仪器综合性能</w:t>
      </w:r>
    </w:p>
    <w:p>
      <w:pPr>
        <w:pStyle w:val="5"/>
        <w:spacing w:line="360" w:lineRule="auto"/>
      </w:pPr>
      <w:bookmarkStart w:id="2" w:name="OLE_LINK14"/>
      <w:r>
        <w:rPr>
          <w:rFonts w:hint="eastAsia"/>
          <w:lang w:val="en-US" w:eastAsia="zh-CN"/>
        </w:rPr>
        <w:t>1</w:t>
      </w:r>
      <w:r>
        <w:t>.2.1 工作曲线线性</w:t>
      </w:r>
      <w:bookmarkEnd w:id="2"/>
    </w:p>
    <w:p>
      <w:pPr>
        <w:snapToGrid w:val="0"/>
        <w:spacing w:line="360" w:lineRule="auto"/>
        <w:ind w:firstLine="420" w:firstLineChars="200"/>
        <w:rPr>
          <w:kern w:val="0"/>
        </w:rPr>
      </w:pPr>
      <w:r>
        <w:t>在选定的最佳工作条件下，以铋标准溶液浓度(μg/mL)为横坐标，测得吸光度的平均值为纵坐标，绘制工作曲线，见图1。</w:t>
      </w:r>
      <w:r>
        <w:rPr>
          <w:kern w:val="0"/>
        </w:rPr>
        <w:t>试验证实：在223.1nm波长下，铋量在0~10.00</w:t>
      </w:r>
      <w:r>
        <w:t>µg/mL</w:t>
      </w:r>
      <w:r>
        <w:rPr>
          <w:kern w:val="0"/>
        </w:rPr>
        <w:t>的浓度</w:t>
      </w:r>
      <w:r>
        <w:t>范围内符合朗伯比尔定律，</w:t>
      </w:r>
      <w:r>
        <w:rPr>
          <w:kern w:val="0"/>
        </w:rPr>
        <w:t>如图1所示。回归方程A=</w:t>
      </w:r>
      <w:r>
        <w:t>k</w:t>
      </w:r>
      <w:r>
        <w:rPr>
          <w:vertAlign w:val="subscript"/>
        </w:rPr>
        <w:t>1</w:t>
      </w:r>
      <w:r>
        <w:t>C+k</w:t>
      </w:r>
      <w:r>
        <w:rPr>
          <w:vertAlign w:val="subscript"/>
        </w:rPr>
        <w:t>0</w:t>
      </w:r>
      <w:r>
        <w:t>=0.0219C-0.0007，相关系数0.9999。</w:t>
      </w:r>
      <w:r>
        <w:rPr>
          <w:kern w:val="0"/>
        </w:rPr>
        <w:t>将工作曲线按浓度等分分成五段，最高段吸光度的差值与最低段吸光度的差值之比为</w:t>
      </w:r>
      <w:r>
        <w:rPr>
          <w:kern w:val="0"/>
          <w:position w:val="-24"/>
        </w:rPr>
        <w:object>
          <v:shape id="_x0000_i1025" o:spt="75" type="#_x0000_t75" style="height:26.05pt;width:163.6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kern w:val="0"/>
        </w:rPr>
        <w:t>，即灵敏度和工作曲线线性都满足要求。</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7</w:t>
      </w:r>
      <w:r>
        <w:rPr>
          <w:rFonts w:eastAsia="宋体" w:cs="Times New Roman"/>
          <w:sz w:val="21"/>
          <w:szCs w:val="21"/>
        </w:rPr>
        <w:t xml:space="preserve"> 工作曲线</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866"/>
        <w:gridCol w:w="866"/>
        <w:gridCol w:w="866"/>
        <w:gridCol w:w="866"/>
        <w:gridCol w:w="866"/>
        <w:gridCol w:w="866"/>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8" w:type="dxa"/>
            <w:noWrap w:val="0"/>
            <w:vAlign w:val="center"/>
          </w:tcPr>
          <w:p>
            <w:pPr>
              <w:spacing w:line="360" w:lineRule="auto"/>
              <w:jc w:val="center"/>
              <w:rPr>
                <w:kern w:val="0"/>
                <w:sz w:val="21"/>
                <w:szCs w:val="21"/>
              </w:rPr>
            </w:pPr>
            <w:r>
              <w:rPr>
                <w:kern w:val="0"/>
                <w:sz w:val="21"/>
                <w:szCs w:val="21"/>
              </w:rPr>
              <w:t>Bi浓度/</w:t>
            </w:r>
            <w:r>
              <w:rPr>
                <w:sz w:val="21"/>
                <w:szCs w:val="21"/>
              </w:rPr>
              <w:t>µg/mL</w:t>
            </w:r>
          </w:p>
        </w:tc>
        <w:tc>
          <w:tcPr>
            <w:tcW w:w="866" w:type="dxa"/>
            <w:noWrap w:val="0"/>
            <w:vAlign w:val="center"/>
          </w:tcPr>
          <w:p>
            <w:pPr>
              <w:spacing w:line="360" w:lineRule="auto"/>
              <w:jc w:val="center"/>
              <w:rPr>
                <w:kern w:val="0"/>
                <w:sz w:val="21"/>
                <w:szCs w:val="21"/>
              </w:rPr>
            </w:pPr>
            <w:r>
              <w:rPr>
                <w:kern w:val="0"/>
                <w:sz w:val="21"/>
                <w:szCs w:val="21"/>
              </w:rPr>
              <w:t>0.00</w:t>
            </w:r>
          </w:p>
        </w:tc>
        <w:tc>
          <w:tcPr>
            <w:tcW w:w="866" w:type="dxa"/>
            <w:noWrap w:val="0"/>
            <w:vAlign w:val="center"/>
          </w:tcPr>
          <w:p>
            <w:pPr>
              <w:spacing w:line="360" w:lineRule="auto"/>
              <w:jc w:val="center"/>
              <w:rPr>
                <w:kern w:val="0"/>
                <w:sz w:val="21"/>
                <w:szCs w:val="21"/>
              </w:rPr>
            </w:pPr>
            <w:r>
              <w:rPr>
                <w:kern w:val="0"/>
                <w:sz w:val="21"/>
                <w:szCs w:val="21"/>
              </w:rPr>
              <w:t>1.00</w:t>
            </w:r>
          </w:p>
        </w:tc>
        <w:tc>
          <w:tcPr>
            <w:tcW w:w="866" w:type="dxa"/>
            <w:noWrap w:val="0"/>
            <w:vAlign w:val="center"/>
          </w:tcPr>
          <w:p>
            <w:pPr>
              <w:spacing w:line="360" w:lineRule="auto"/>
              <w:jc w:val="center"/>
              <w:rPr>
                <w:kern w:val="0"/>
                <w:sz w:val="21"/>
                <w:szCs w:val="21"/>
              </w:rPr>
            </w:pPr>
            <w:r>
              <w:rPr>
                <w:kern w:val="0"/>
                <w:sz w:val="21"/>
                <w:szCs w:val="21"/>
              </w:rPr>
              <w:t>2.00</w:t>
            </w:r>
          </w:p>
        </w:tc>
        <w:tc>
          <w:tcPr>
            <w:tcW w:w="866" w:type="dxa"/>
            <w:noWrap w:val="0"/>
            <w:vAlign w:val="center"/>
          </w:tcPr>
          <w:p>
            <w:pPr>
              <w:spacing w:line="360" w:lineRule="auto"/>
              <w:jc w:val="center"/>
              <w:rPr>
                <w:kern w:val="0"/>
                <w:sz w:val="21"/>
                <w:szCs w:val="21"/>
              </w:rPr>
            </w:pPr>
            <w:r>
              <w:rPr>
                <w:kern w:val="0"/>
                <w:sz w:val="21"/>
                <w:szCs w:val="21"/>
              </w:rPr>
              <w:t>4.00</w:t>
            </w:r>
          </w:p>
        </w:tc>
        <w:tc>
          <w:tcPr>
            <w:tcW w:w="866" w:type="dxa"/>
            <w:noWrap w:val="0"/>
            <w:vAlign w:val="center"/>
          </w:tcPr>
          <w:p>
            <w:pPr>
              <w:spacing w:line="360" w:lineRule="auto"/>
              <w:jc w:val="center"/>
              <w:rPr>
                <w:kern w:val="0"/>
                <w:sz w:val="21"/>
                <w:szCs w:val="21"/>
              </w:rPr>
            </w:pPr>
            <w:r>
              <w:rPr>
                <w:kern w:val="0"/>
                <w:sz w:val="21"/>
                <w:szCs w:val="21"/>
              </w:rPr>
              <w:t>6.00</w:t>
            </w:r>
          </w:p>
        </w:tc>
        <w:tc>
          <w:tcPr>
            <w:tcW w:w="866" w:type="dxa"/>
            <w:noWrap w:val="0"/>
            <w:vAlign w:val="center"/>
          </w:tcPr>
          <w:p>
            <w:pPr>
              <w:spacing w:line="360" w:lineRule="auto"/>
              <w:jc w:val="center"/>
              <w:rPr>
                <w:kern w:val="0"/>
                <w:sz w:val="21"/>
                <w:szCs w:val="21"/>
              </w:rPr>
            </w:pPr>
            <w:r>
              <w:rPr>
                <w:kern w:val="0"/>
                <w:sz w:val="21"/>
                <w:szCs w:val="21"/>
              </w:rPr>
              <w:t>8.00</w:t>
            </w:r>
          </w:p>
        </w:tc>
        <w:tc>
          <w:tcPr>
            <w:tcW w:w="870" w:type="dxa"/>
            <w:noWrap w:val="0"/>
            <w:vAlign w:val="center"/>
          </w:tcPr>
          <w:p>
            <w:pPr>
              <w:spacing w:line="360" w:lineRule="auto"/>
              <w:jc w:val="center"/>
              <w:rPr>
                <w:kern w:val="0"/>
                <w:sz w:val="21"/>
                <w:szCs w:val="21"/>
              </w:rPr>
            </w:pPr>
            <w:r>
              <w:rPr>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8" w:type="dxa"/>
            <w:noWrap w:val="0"/>
            <w:vAlign w:val="center"/>
          </w:tcPr>
          <w:p>
            <w:pPr>
              <w:spacing w:line="360" w:lineRule="auto"/>
              <w:jc w:val="center"/>
              <w:rPr>
                <w:kern w:val="0"/>
                <w:sz w:val="21"/>
                <w:szCs w:val="21"/>
              </w:rPr>
            </w:pPr>
            <w:r>
              <w:rPr>
                <w:kern w:val="0"/>
                <w:sz w:val="21"/>
                <w:szCs w:val="21"/>
              </w:rPr>
              <w:t>吸光度值（AbS)</w:t>
            </w:r>
          </w:p>
        </w:tc>
        <w:tc>
          <w:tcPr>
            <w:tcW w:w="866" w:type="dxa"/>
            <w:noWrap w:val="0"/>
            <w:vAlign w:val="center"/>
          </w:tcPr>
          <w:p>
            <w:pPr>
              <w:spacing w:line="360" w:lineRule="auto"/>
              <w:jc w:val="center"/>
              <w:rPr>
                <w:kern w:val="0"/>
                <w:sz w:val="21"/>
                <w:szCs w:val="21"/>
              </w:rPr>
            </w:pPr>
            <w:r>
              <w:rPr>
                <w:kern w:val="0"/>
                <w:sz w:val="21"/>
                <w:szCs w:val="21"/>
              </w:rPr>
              <w:t>0.0001</w:t>
            </w:r>
          </w:p>
        </w:tc>
        <w:tc>
          <w:tcPr>
            <w:tcW w:w="866" w:type="dxa"/>
            <w:noWrap w:val="0"/>
            <w:vAlign w:val="center"/>
          </w:tcPr>
          <w:p>
            <w:pPr>
              <w:widowControl/>
              <w:spacing w:line="360" w:lineRule="auto"/>
              <w:jc w:val="center"/>
              <w:textAlignment w:val="center"/>
              <w:rPr>
                <w:kern w:val="0"/>
                <w:sz w:val="21"/>
                <w:szCs w:val="21"/>
              </w:rPr>
            </w:pPr>
            <w:r>
              <w:rPr>
                <w:color w:val="000000"/>
                <w:kern w:val="0"/>
                <w:sz w:val="21"/>
                <w:szCs w:val="21"/>
                <w:lang w:bidi="ar"/>
              </w:rPr>
              <w:t>0.0204</w:t>
            </w:r>
          </w:p>
        </w:tc>
        <w:tc>
          <w:tcPr>
            <w:tcW w:w="866" w:type="dxa"/>
            <w:noWrap w:val="0"/>
            <w:vAlign w:val="center"/>
          </w:tcPr>
          <w:p>
            <w:pPr>
              <w:widowControl/>
              <w:spacing w:line="360" w:lineRule="auto"/>
              <w:jc w:val="center"/>
              <w:textAlignment w:val="center"/>
              <w:rPr>
                <w:kern w:val="0"/>
                <w:sz w:val="21"/>
                <w:szCs w:val="21"/>
              </w:rPr>
            </w:pPr>
            <w:r>
              <w:rPr>
                <w:color w:val="000000"/>
                <w:kern w:val="0"/>
                <w:sz w:val="21"/>
                <w:szCs w:val="21"/>
                <w:lang w:bidi="ar"/>
              </w:rPr>
              <w:t>0.0425</w:t>
            </w:r>
          </w:p>
        </w:tc>
        <w:tc>
          <w:tcPr>
            <w:tcW w:w="866" w:type="dxa"/>
            <w:noWrap w:val="0"/>
            <w:vAlign w:val="center"/>
          </w:tcPr>
          <w:p>
            <w:pPr>
              <w:widowControl/>
              <w:spacing w:line="360" w:lineRule="auto"/>
              <w:jc w:val="center"/>
              <w:textAlignment w:val="center"/>
              <w:rPr>
                <w:kern w:val="0"/>
                <w:sz w:val="21"/>
                <w:szCs w:val="21"/>
              </w:rPr>
            </w:pPr>
            <w:r>
              <w:rPr>
                <w:color w:val="000000"/>
                <w:kern w:val="0"/>
                <w:sz w:val="21"/>
                <w:szCs w:val="21"/>
                <w:lang w:bidi="ar"/>
              </w:rPr>
              <w:t>0.0867</w:t>
            </w:r>
          </w:p>
        </w:tc>
        <w:tc>
          <w:tcPr>
            <w:tcW w:w="866" w:type="dxa"/>
            <w:noWrap w:val="0"/>
            <w:vAlign w:val="center"/>
          </w:tcPr>
          <w:p>
            <w:pPr>
              <w:widowControl/>
              <w:spacing w:line="360" w:lineRule="auto"/>
              <w:jc w:val="center"/>
              <w:textAlignment w:val="center"/>
              <w:rPr>
                <w:kern w:val="0"/>
                <w:sz w:val="21"/>
                <w:szCs w:val="21"/>
              </w:rPr>
            </w:pPr>
            <w:r>
              <w:rPr>
                <w:color w:val="000000"/>
                <w:kern w:val="0"/>
                <w:sz w:val="21"/>
                <w:szCs w:val="21"/>
                <w:lang w:bidi="ar"/>
              </w:rPr>
              <w:t>0.1305</w:t>
            </w:r>
          </w:p>
        </w:tc>
        <w:tc>
          <w:tcPr>
            <w:tcW w:w="866" w:type="dxa"/>
            <w:noWrap w:val="0"/>
            <w:vAlign w:val="center"/>
          </w:tcPr>
          <w:p>
            <w:pPr>
              <w:widowControl/>
              <w:spacing w:line="360" w:lineRule="auto"/>
              <w:jc w:val="center"/>
              <w:textAlignment w:val="center"/>
              <w:rPr>
                <w:kern w:val="0"/>
                <w:sz w:val="21"/>
                <w:szCs w:val="21"/>
              </w:rPr>
            </w:pPr>
            <w:r>
              <w:rPr>
                <w:color w:val="000000"/>
                <w:kern w:val="0"/>
                <w:sz w:val="21"/>
                <w:szCs w:val="21"/>
                <w:lang w:bidi="ar"/>
              </w:rPr>
              <w:t>0.1760</w:t>
            </w:r>
          </w:p>
        </w:tc>
        <w:tc>
          <w:tcPr>
            <w:tcW w:w="870" w:type="dxa"/>
            <w:noWrap w:val="0"/>
            <w:vAlign w:val="center"/>
          </w:tcPr>
          <w:p>
            <w:pPr>
              <w:widowControl/>
              <w:spacing w:line="360" w:lineRule="auto"/>
              <w:jc w:val="center"/>
              <w:textAlignment w:val="center"/>
              <w:rPr>
                <w:kern w:val="0"/>
                <w:sz w:val="21"/>
                <w:szCs w:val="21"/>
              </w:rPr>
            </w:pPr>
            <w:r>
              <w:rPr>
                <w:color w:val="000000"/>
                <w:kern w:val="0"/>
                <w:sz w:val="21"/>
                <w:szCs w:val="21"/>
                <w:lang w:bidi="ar"/>
              </w:rPr>
              <w:t>0.2170</w:t>
            </w:r>
          </w:p>
        </w:tc>
      </w:tr>
    </w:tbl>
    <w:p>
      <w:pPr>
        <w:spacing w:line="360" w:lineRule="auto"/>
        <w:ind w:firstLine="420" w:firstLineChars="200"/>
        <w:jc w:val="center"/>
        <w:rPr>
          <w:kern w:val="0"/>
          <w:highlight w:val="red"/>
        </w:rPr>
      </w:pPr>
    </w:p>
    <w:p>
      <w:pPr>
        <w:spacing w:line="360" w:lineRule="auto"/>
        <w:ind w:firstLine="420" w:firstLineChars="200"/>
        <w:jc w:val="center"/>
      </w:pPr>
      <w:r>
        <w:drawing>
          <wp:inline distT="0" distB="0" distL="114300" distR="114300">
            <wp:extent cx="5276850" cy="3200400"/>
            <wp:effectExtent l="4445" t="4445" r="14605" b="1460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2" w:firstLineChars="200"/>
        <w:jc w:val="center"/>
        <w:rPr>
          <w:b/>
          <w:kern w:val="0"/>
        </w:rPr>
      </w:pPr>
      <w:r>
        <w:rPr>
          <w:b/>
          <w:kern w:val="0"/>
        </w:rPr>
        <w:t>图1 工作曲线</w:t>
      </w:r>
    </w:p>
    <w:p>
      <w:pPr>
        <w:pStyle w:val="5"/>
        <w:spacing w:line="360" w:lineRule="auto"/>
      </w:pPr>
      <w:r>
        <w:rPr>
          <w:rFonts w:hint="eastAsia"/>
          <w:lang w:val="en-US" w:eastAsia="zh-CN"/>
        </w:rPr>
        <w:t>1</w:t>
      </w:r>
      <w:r>
        <w:t>.2.2 精密度</w:t>
      </w:r>
    </w:p>
    <w:p>
      <w:pPr>
        <w:spacing w:line="360" w:lineRule="auto"/>
        <w:ind w:firstLine="420" w:firstLineChars="200"/>
        <w:rPr>
          <w:b/>
          <w:color w:val="000000"/>
        </w:rPr>
      </w:pPr>
      <w:r>
        <w:rPr>
          <w:kern w:val="0"/>
        </w:rPr>
        <w:t>最高浓度与最低浓度标准溶液各测量11次，吸光度值见表</w:t>
      </w:r>
      <w:r>
        <w:rPr>
          <w:rFonts w:hint="eastAsia"/>
          <w:kern w:val="0"/>
          <w:lang w:val="en-US" w:eastAsia="zh-CN"/>
        </w:rPr>
        <w:t>8</w:t>
      </w:r>
      <w:r>
        <w:rPr>
          <w:kern w:val="0"/>
        </w:rPr>
        <w:t>。其读数的标准偏差是最高浓度标准溶液吸光度平均值的0.88%和0.30%。（</w:t>
      </w:r>
      <w:r>
        <w:rPr>
          <w:kern w:val="0"/>
          <w:position w:val="-24"/>
        </w:rPr>
        <w:object>
          <v:shape id="_x0000_i1026" o:spt="75" type="#_x0000_t75" style="height:22.1pt;width:135.6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kern w:val="0"/>
        </w:rPr>
        <w:t>，</w:t>
      </w:r>
      <w:bookmarkStart w:id="3" w:name="OLE_LINK33"/>
      <w:bookmarkStart w:id="4" w:name="OLE_LINK32"/>
      <w:r>
        <w:rPr>
          <w:kern w:val="0"/>
          <w:position w:val="-24"/>
        </w:rPr>
        <w:object>
          <v:shape id="_x0000_i1027" o:spt="75" type="#_x0000_t75" style="height:20.85pt;width:133.4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bookmarkEnd w:id="3"/>
      <w:bookmarkEnd w:id="4"/>
      <w:r>
        <w:t>）</w:t>
      </w:r>
      <w:r>
        <w:rPr>
          <w:kern w:val="0"/>
        </w:rPr>
        <w:t>。</w:t>
      </w:r>
      <w:r>
        <w:t>即10.00 µg/mL及1.00µg/mL标准溶液的吸光度值精密度满足最小精密度要求。</w:t>
      </w:r>
    </w:p>
    <w:p>
      <w:pPr>
        <w:snapToGrid w:val="0"/>
        <w:spacing w:line="360" w:lineRule="auto"/>
        <w:jc w:val="center"/>
        <w:rPr>
          <w:b/>
          <w:bCs/>
        </w:rPr>
      </w:pPr>
      <w:r>
        <w:rPr>
          <w:b/>
          <w:bCs/>
        </w:rPr>
        <w:t>表</w:t>
      </w:r>
      <w:r>
        <w:rPr>
          <w:rFonts w:hint="eastAsia"/>
          <w:b/>
          <w:bCs/>
          <w:lang w:val="en-US" w:eastAsia="zh-CN"/>
        </w:rPr>
        <w:t>8</w:t>
      </w:r>
      <w:r>
        <w:rPr>
          <w:b/>
          <w:bCs/>
        </w:rPr>
        <w:t>铋标准系列溶液的吸光度</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51"/>
        <w:gridCol w:w="1054"/>
        <w:gridCol w:w="1199"/>
        <w:gridCol w:w="1035"/>
        <w:gridCol w:w="1199"/>
        <w:gridCol w:w="1035"/>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铋标液浓度</w:t>
            </w:r>
          </w:p>
          <w:p>
            <w:pPr>
              <w:widowControl/>
              <w:spacing w:line="360" w:lineRule="auto"/>
              <w:jc w:val="center"/>
              <w:textAlignment w:val="center"/>
              <w:rPr>
                <w:color w:val="000000"/>
                <w:sz w:val="21"/>
                <w:szCs w:val="21"/>
              </w:rPr>
            </w:pPr>
            <w:r>
              <w:rPr>
                <w:color w:val="000000"/>
                <w:kern w:val="0"/>
                <w:sz w:val="21"/>
                <w:szCs w:val="21"/>
                <w:lang w:bidi="ar"/>
              </w:rPr>
              <w:t>μg/mL</w:t>
            </w: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1.00</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2.00</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4.00</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6.00</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8.00</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restart"/>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吸光度（A)</w:t>
            </w: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0.0206</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0.0428</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0.0866</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0.1333</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0.1786</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0.0205</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0.0423</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0.0848</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0.1302</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0.1789</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0.0207</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0.0418</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0.0877</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0.1291</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0.1761</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0.0196</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0.0423</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0.0859</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0.1282</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0.1759</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0.0195</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0.0438</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0.0869</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0.1291</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0.1757</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0.0207</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0.0417</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0.0872</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0.1292</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0.1767</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0.0197</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0.0418</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0.0861</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0.1289</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0.1735</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0.021</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0.0432</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0.0861</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0.1322</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0.1756</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0.0212</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0.0417</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0.1314</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0.1764</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0.0195</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0.0431</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0.0866</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0.1316</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0.1764</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0.0212</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0.0421</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0.0885</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0.1319</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0.173</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vMerge w:val="continue"/>
            <w:noWrap/>
            <w:tcMar>
              <w:top w:w="15" w:type="dxa"/>
              <w:left w:w="15" w:type="dxa"/>
              <w:right w:w="15" w:type="dxa"/>
            </w:tcMar>
            <w:vAlign w:val="center"/>
          </w:tcPr>
          <w:p>
            <w:pPr>
              <w:spacing w:line="360" w:lineRule="auto"/>
              <w:jc w:val="center"/>
              <w:rPr>
                <w:color w:val="000000"/>
                <w:sz w:val="21"/>
                <w:szCs w:val="21"/>
              </w:rPr>
            </w:pP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0.0206</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0.0439</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0.0882</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0.1314</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0.1755</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平均值</w:t>
            </w: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0.0204</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0.0425</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0.0867</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0.1305</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0.1760</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相对标准偏差</w:t>
            </w:r>
          </w:p>
        </w:tc>
        <w:tc>
          <w:tcPr>
            <w:tcW w:w="105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3.19</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1.88</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1.22</w:t>
            </w:r>
          </w:p>
        </w:tc>
        <w:tc>
          <w:tcPr>
            <w:tcW w:w="1199"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1.24</w:t>
            </w:r>
          </w:p>
        </w:tc>
        <w:tc>
          <w:tcPr>
            <w:tcW w:w="1035"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0.97</w:t>
            </w:r>
          </w:p>
        </w:tc>
        <w:tc>
          <w:tcPr>
            <w:tcW w:w="1034" w:type="dxa"/>
            <w:noWrap/>
            <w:tcMar>
              <w:top w:w="15" w:type="dxa"/>
              <w:left w:w="15" w:type="dxa"/>
              <w:right w:w="15" w:type="dxa"/>
            </w:tcMar>
            <w:vAlign w:val="center"/>
          </w:tcPr>
          <w:p>
            <w:pPr>
              <w:widowControl/>
              <w:spacing w:line="360" w:lineRule="auto"/>
              <w:jc w:val="center"/>
              <w:textAlignment w:val="center"/>
              <w:rPr>
                <w:color w:val="000000"/>
                <w:sz w:val="21"/>
                <w:szCs w:val="21"/>
              </w:rPr>
            </w:pPr>
            <w:r>
              <w:rPr>
                <w:color w:val="000000"/>
                <w:kern w:val="0"/>
                <w:sz w:val="21"/>
                <w:szCs w:val="21"/>
                <w:lang w:bidi="ar"/>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451"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标准偏差</w:t>
            </w:r>
          </w:p>
        </w:tc>
        <w:tc>
          <w:tcPr>
            <w:tcW w:w="1054"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0.00065</w:t>
            </w:r>
          </w:p>
        </w:tc>
        <w:tc>
          <w:tcPr>
            <w:tcW w:w="1199"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0.00080</w:t>
            </w:r>
          </w:p>
        </w:tc>
        <w:tc>
          <w:tcPr>
            <w:tcW w:w="1035"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0.00106</w:t>
            </w:r>
          </w:p>
        </w:tc>
        <w:tc>
          <w:tcPr>
            <w:tcW w:w="1199"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0.00163</w:t>
            </w:r>
          </w:p>
        </w:tc>
        <w:tc>
          <w:tcPr>
            <w:tcW w:w="1035"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0.00170</w:t>
            </w:r>
          </w:p>
        </w:tc>
        <w:tc>
          <w:tcPr>
            <w:tcW w:w="1034" w:type="dxa"/>
            <w:noWrap/>
            <w:tcMar>
              <w:top w:w="15" w:type="dxa"/>
              <w:left w:w="15" w:type="dxa"/>
              <w:right w:w="15" w:type="dxa"/>
            </w:tcMar>
            <w:vAlign w:val="center"/>
          </w:tcPr>
          <w:p>
            <w:pPr>
              <w:widowControl/>
              <w:spacing w:line="360" w:lineRule="auto"/>
              <w:jc w:val="center"/>
              <w:textAlignment w:val="center"/>
              <w:rPr>
                <w:color w:val="000000"/>
                <w:kern w:val="0"/>
                <w:sz w:val="21"/>
                <w:szCs w:val="21"/>
                <w:lang w:bidi="ar"/>
              </w:rPr>
            </w:pPr>
            <w:r>
              <w:rPr>
                <w:color w:val="000000"/>
                <w:kern w:val="0"/>
                <w:sz w:val="21"/>
                <w:szCs w:val="21"/>
                <w:lang w:bidi="ar"/>
              </w:rPr>
              <w:t>0.00192</w:t>
            </w:r>
          </w:p>
        </w:tc>
      </w:tr>
    </w:tbl>
    <w:p>
      <w:pPr>
        <w:pStyle w:val="5"/>
        <w:spacing w:line="360" w:lineRule="auto"/>
      </w:pPr>
      <w:r>
        <w:rPr>
          <w:rFonts w:hint="eastAsia"/>
          <w:lang w:val="en-US" w:eastAsia="zh-CN"/>
        </w:rPr>
        <w:t>1</w:t>
      </w:r>
      <w:r>
        <w:t>.2.3 检出限和测定下限</w:t>
      </w:r>
    </w:p>
    <w:p>
      <w:pPr>
        <w:spacing w:line="360" w:lineRule="auto"/>
        <w:ind w:firstLine="420" w:firstLineChars="200"/>
      </w:pPr>
      <w:r>
        <w:t>测定11次试剂空白溶液，计算标准偏差，以3倍的标准偏差为检出限，10倍的检出限为测定下限，结果见表</w:t>
      </w:r>
      <w:r>
        <w:rPr>
          <w:rFonts w:hint="eastAsia"/>
          <w:lang w:val="en-US" w:eastAsia="zh-CN"/>
        </w:rPr>
        <w:t>9</w:t>
      </w:r>
      <w:r>
        <w:t>。数据显示，各元素的检出限均能满足方法中的最低浓度要求。</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9</w:t>
      </w:r>
      <w:r>
        <w:rPr>
          <w:rFonts w:eastAsia="宋体" w:cs="Times New Roman"/>
          <w:sz w:val="21"/>
          <w:szCs w:val="21"/>
        </w:rPr>
        <w:t xml:space="preserve">  方法检出限及测定下限</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3"/>
        <w:gridCol w:w="1309"/>
        <w:gridCol w:w="15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023" w:type="dxa"/>
            <w:noWrap w:val="0"/>
            <w:vAlign w:val="center"/>
          </w:tcPr>
          <w:p>
            <w:pPr>
              <w:spacing w:line="360" w:lineRule="auto"/>
              <w:jc w:val="center"/>
            </w:pPr>
            <w:r>
              <w:t>空白溶液浓度值(µg/mL)</w:t>
            </w:r>
          </w:p>
        </w:tc>
        <w:tc>
          <w:tcPr>
            <w:tcW w:w="1309" w:type="dxa"/>
            <w:noWrap w:val="0"/>
            <w:vAlign w:val="center"/>
          </w:tcPr>
          <w:p>
            <w:pPr>
              <w:spacing w:line="360" w:lineRule="auto"/>
              <w:jc w:val="center"/>
            </w:pPr>
            <w:r>
              <w:t>SD(µg/mL)</w:t>
            </w:r>
          </w:p>
        </w:tc>
        <w:tc>
          <w:tcPr>
            <w:tcW w:w="1500" w:type="dxa"/>
            <w:noWrap w:val="0"/>
            <w:vAlign w:val="center"/>
          </w:tcPr>
          <w:p>
            <w:pPr>
              <w:spacing w:line="360" w:lineRule="auto"/>
              <w:jc w:val="center"/>
            </w:pPr>
            <w:r>
              <w:t>检出限(µg/mL)</w:t>
            </w:r>
          </w:p>
        </w:tc>
        <w:tc>
          <w:tcPr>
            <w:tcW w:w="1830" w:type="dxa"/>
            <w:noWrap w:val="0"/>
            <w:vAlign w:val="center"/>
          </w:tcPr>
          <w:p>
            <w:pPr>
              <w:spacing w:line="360" w:lineRule="auto"/>
              <w:jc w:val="center"/>
            </w:pPr>
            <w:r>
              <w:t>测定下限(µg/mL)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023" w:type="dxa"/>
            <w:noWrap w:val="0"/>
            <w:vAlign w:val="center"/>
          </w:tcPr>
          <w:p>
            <w:pPr>
              <w:spacing w:line="360" w:lineRule="auto"/>
            </w:pPr>
            <w:r>
              <w:t xml:space="preserve">0.0001，-0.0010，-0.0007， 0.0015， 0.0019，0.0021， 0.0013，0.0009， 0.0008，0.0020，0.0019 </w:t>
            </w:r>
          </w:p>
        </w:tc>
        <w:tc>
          <w:tcPr>
            <w:tcW w:w="1309" w:type="dxa"/>
            <w:noWrap w:val="0"/>
            <w:vAlign w:val="center"/>
          </w:tcPr>
          <w:p>
            <w:pPr>
              <w:spacing w:line="360" w:lineRule="auto"/>
              <w:jc w:val="center"/>
            </w:pPr>
            <w:r>
              <w:t>0.0011</w:t>
            </w:r>
          </w:p>
        </w:tc>
        <w:tc>
          <w:tcPr>
            <w:tcW w:w="1500" w:type="dxa"/>
            <w:noWrap w:val="0"/>
            <w:vAlign w:val="center"/>
          </w:tcPr>
          <w:p>
            <w:pPr>
              <w:spacing w:line="360" w:lineRule="auto"/>
              <w:jc w:val="center"/>
            </w:pPr>
            <w:r>
              <w:t>0.0033</w:t>
            </w:r>
          </w:p>
        </w:tc>
        <w:tc>
          <w:tcPr>
            <w:tcW w:w="1830" w:type="dxa"/>
            <w:noWrap w:val="0"/>
            <w:vAlign w:val="center"/>
          </w:tcPr>
          <w:p>
            <w:pPr>
              <w:spacing w:line="360" w:lineRule="auto"/>
              <w:jc w:val="center"/>
            </w:pPr>
            <w:r>
              <w:t>0.033</w:t>
            </w:r>
          </w:p>
        </w:tc>
      </w:tr>
      <w:bookmarkEnd w:id="1"/>
    </w:tbl>
    <w:p>
      <w:pPr>
        <w:pStyle w:val="5"/>
        <w:spacing w:line="360" w:lineRule="auto"/>
      </w:pPr>
      <w:r>
        <w:rPr>
          <w:rFonts w:hint="eastAsia"/>
          <w:lang w:val="en-US" w:eastAsia="zh-CN"/>
        </w:rPr>
        <w:t>1</w:t>
      </w:r>
      <w:r>
        <w:t>.3 干扰试验</w:t>
      </w:r>
    </w:p>
    <w:p>
      <w:pPr>
        <w:pStyle w:val="5"/>
        <w:spacing w:line="360" w:lineRule="auto"/>
      </w:pPr>
      <w:r>
        <w:rPr>
          <w:rFonts w:hint="eastAsia"/>
          <w:lang w:val="en-US" w:eastAsia="zh-CN"/>
        </w:rPr>
        <w:t>1</w:t>
      </w:r>
      <w:r>
        <w:t>.3.1 共存元素</w:t>
      </w:r>
    </w:p>
    <w:p>
      <w:pPr>
        <w:spacing w:line="360" w:lineRule="auto"/>
        <w:ind w:firstLine="420" w:firstLineChars="200"/>
      </w:pPr>
      <w:r>
        <w:t>粗锡中主要存在元素有Sn、Pb、Cu、、Bi、Sb、Fe、As等元素。其中锡最高含量99%，铅最高含量40%，铜最高含量5%，铁最高含量6%，铋最高含量10%。对样品进行了X射线荧光光谱法分析，共存元素含量见表1</w:t>
      </w:r>
      <w:r>
        <w:rPr>
          <w:rFonts w:hint="eastAsia"/>
          <w:lang w:val="en-US" w:eastAsia="zh-CN"/>
        </w:rPr>
        <w:t>0</w:t>
      </w:r>
      <w: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表1</w:t>
      </w:r>
      <w:r>
        <w:rPr>
          <w:rFonts w:hint="eastAsia" w:cs="Times New Roman"/>
          <w:sz w:val="21"/>
          <w:szCs w:val="21"/>
          <w:lang w:val="en-US" w:eastAsia="zh-CN"/>
        </w:rPr>
        <w:t>0</w:t>
      </w:r>
      <w:r>
        <w:rPr>
          <w:rFonts w:eastAsia="宋体" w:cs="Times New Roman"/>
          <w:sz w:val="21"/>
          <w:szCs w:val="21"/>
        </w:rPr>
        <w:t>：粗锡中的共存元素</w:t>
      </w:r>
    </w:p>
    <w:tbl>
      <w:tblPr>
        <w:tblStyle w:val="37"/>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129"/>
        <w:gridCol w:w="1068"/>
        <w:gridCol w:w="1069"/>
        <w:gridCol w:w="1069"/>
        <w:gridCol w:w="1067"/>
        <w:gridCol w:w="1067"/>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center"/>
          </w:tcPr>
          <w:p>
            <w:pPr>
              <w:widowControl/>
              <w:spacing w:line="360" w:lineRule="auto"/>
              <w:jc w:val="left"/>
            </w:pPr>
            <w:r>
              <w:t>共存元素</w:t>
            </w:r>
          </w:p>
        </w:tc>
        <w:tc>
          <w:tcPr>
            <w:tcW w:w="7521" w:type="dxa"/>
            <w:gridSpan w:val="7"/>
            <w:noWrap w:val="0"/>
            <w:vAlign w:val="top"/>
          </w:tcPr>
          <w:p>
            <w:pPr>
              <w:autoSpaceDE w:val="0"/>
              <w:autoSpaceDN w:val="0"/>
              <w:adjustRightInd w:val="0"/>
              <w:spacing w:line="360" w:lineRule="auto"/>
              <w:jc w:val="center"/>
            </w:pPr>
            <w: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left"/>
            </w:pPr>
            <w:r>
              <w:t>样品编号</w:t>
            </w:r>
          </w:p>
        </w:tc>
        <w:tc>
          <w:tcPr>
            <w:tcW w:w="1129" w:type="dxa"/>
            <w:noWrap w:val="0"/>
            <w:vAlign w:val="top"/>
          </w:tcPr>
          <w:p>
            <w:pPr>
              <w:autoSpaceDE w:val="0"/>
              <w:autoSpaceDN w:val="0"/>
              <w:adjustRightInd w:val="0"/>
              <w:spacing w:line="360" w:lineRule="auto"/>
              <w:jc w:val="center"/>
            </w:pPr>
            <w:r>
              <w:t>YT99</w:t>
            </w:r>
          </w:p>
        </w:tc>
        <w:tc>
          <w:tcPr>
            <w:tcW w:w="1068" w:type="dxa"/>
            <w:noWrap w:val="0"/>
            <w:vAlign w:val="top"/>
          </w:tcPr>
          <w:p>
            <w:pPr>
              <w:autoSpaceDE w:val="0"/>
              <w:autoSpaceDN w:val="0"/>
              <w:adjustRightInd w:val="0"/>
              <w:spacing w:line="360" w:lineRule="auto"/>
              <w:jc w:val="center"/>
            </w:pPr>
            <w:r>
              <w:t>YT97</w:t>
            </w:r>
          </w:p>
        </w:tc>
        <w:tc>
          <w:tcPr>
            <w:tcW w:w="1069" w:type="dxa"/>
            <w:noWrap w:val="0"/>
            <w:vAlign w:val="top"/>
          </w:tcPr>
          <w:p>
            <w:pPr>
              <w:autoSpaceDE w:val="0"/>
              <w:autoSpaceDN w:val="0"/>
              <w:adjustRightInd w:val="0"/>
              <w:spacing w:line="360" w:lineRule="auto"/>
              <w:jc w:val="center"/>
            </w:pPr>
            <w:r>
              <w:t>YT54</w:t>
            </w:r>
          </w:p>
        </w:tc>
        <w:tc>
          <w:tcPr>
            <w:tcW w:w="1069" w:type="dxa"/>
            <w:noWrap w:val="0"/>
            <w:vAlign w:val="top"/>
          </w:tcPr>
          <w:p>
            <w:pPr>
              <w:autoSpaceDE w:val="0"/>
              <w:autoSpaceDN w:val="0"/>
              <w:adjustRightInd w:val="0"/>
              <w:spacing w:line="360" w:lineRule="auto"/>
              <w:jc w:val="center"/>
            </w:pPr>
            <w:r>
              <w:t>YT92</w:t>
            </w:r>
          </w:p>
        </w:tc>
        <w:tc>
          <w:tcPr>
            <w:tcW w:w="1067" w:type="dxa"/>
            <w:noWrap w:val="0"/>
            <w:vAlign w:val="top"/>
          </w:tcPr>
          <w:p>
            <w:pPr>
              <w:autoSpaceDE w:val="0"/>
              <w:autoSpaceDN w:val="0"/>
              <w:adjustRightInd w:val="0"/>
              <w:spacing w:line="360" w:lineRule="auto"/>
              <w:jc w:val="center"/>
            </w:pPr>
            <w:r>
              <w:t>YT57</w:t>
            </w:r>
          </w:p>
        </w:tc>
        <w:tc>
          <w:tcPr>
            <w:tcW w:w="1067" w:type="dxa"/>
            <w:noWrap w:val="0"/>
            <w:vAlign w:val="top"/>
          </w:tcPr>
          <w:p>
            <w:pPr>
              <w:autoSpaceDE w:val="0"/>
              <w:autoSpaceDN w:val="0"/>
              <w:adjustRightInd w:val="0"/>
              <w:spacing w:line="360" w:lineRule="auto"/>
              <w:jc w:val="center"/>
            </w:pPr>
            <w:r>
              <w:t>YT84</w:t>
            </w:r>
          </w:p>
        </w:tc>
        <w:tc>
          <w:tcPr>
            <w:tcW w:w="1052" w:type="dxa"/>
            <w:noWrap w:val="0"/>
            <w:vAlign w:val="top"/>
          </w:tcPr>
          <w:p>
            <w:pPr>
              <w:autoSpaceDE w:val="0"/>
              <w:autoSpaceDN w:val="0"/>
              <w:adjustRightInd w:val="0"/>
              <w:spacing w:line="360" w:lineRule="auto"/>
              <w:jc w:val="center"/>
            </w:pPr>
            <w:r>
              <w:t>YT90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锡</w:t>
            </w:r>
          </w:p>
        </w:tc>
        <w:tc>
          <w:tcPr>
            <w:tcW w:w="1129" w:type="dxa"/>
            <w:noWrap w:val="0"/>
            <w:vAlign w:val="top"/>
          </w:tcPr>
          <w:p>
            <w:pPr>
              <w:autoSpaceDE w:val="0"/>
              <w:autoSpaceDN w:val="0"/>
              <w:adjustRightInd w:val="0"/>
              <w:spacing w:line="360" w:lineRule="auto"/>
              <w:jc w:val="center"/>
            </w:pPr>
            <w:r>
              <w:t>91.67</w:t>
            </w:r>
          </w:p>
        </w:tc>
        <w:tc>
          <w:tcPr>
            <w:tcW w:w="1068" w:type="dxa"/>
            <w:noWrap w:val="0"/>
            <w:vAlign w:val="top"/>
          </w:tcPr>
          <w:p>
            <w:pPr>
              <w:autoSpaceDE w:val="0"/>
              <w:autoSpaceDN w:val="0"/>
              <w:adjustRightInd w:val="0"/>
              <w:spacing w:line="360" w:lineRule="auto"/>
              <w:jc w:val="center"/>
            </w:pPr>
            <w:r>
              <w:t>88.20</w:t>
            </w:r>
          </w:p>
        </w:tc>
        <w:tc>
          <w:tcPr>
            <w:tcW w:w="1069" w:type="dxa"/>
            <w:noWrap w:val="0"/>
            <w:vAlign w:val="top"/>
          </w:tcPr>
          <w:p>
            <w:pPr>
              <w:autoSpaceDE w:val="0"/>
              <w:autoSpaceDN w:val="0"/>
              <w:adjustRightInd w:val="0"/>
              <w:spacing w:line="360" w:lineRule="auto"/>
              <w:jc w:val="center"/>
            </w:pPr>
            <w:r>
              <w:t>42.66</w:t>
            </w:r>
          </w:p>
        </w:tc>
        <w:tc>
          <w:tcPr>
            <w:tcW w:w="1069" w:type="dxa"/>
            <w:noWrap w:val="0"/>
            <w:vAlign w:val="top"/>
          </w:tcPr>
          <w:p>
            <w:pPr>
              <w:autoSpaceDE w:val="0"/>
              <w:autoSpaceDN w:val="0"/>
              <w:adjustRightInd w:val="0"/>
              <w:spacing w:line="360" w:lineRule="auto"/>
              <w:jc w:val="center"/>
            </w:pPr>
            <w:r>
              <w:t>79.87</w:t>
            </w:r>
          </w:p>
        </w:tc>
        <w:tc>
          <w:tcPr>
            <w:tcW w:w="1067" w:type="dxa"/>
            <w:noWrap w:val="0"/>
            <w:vAlign w:val="top"/>
          </w:tcPr>
          <w:p>
            <w:pPr>
              <w:autoSpaceDE w:val="0"/>
              <w:autoSpaceDN w:val="0"/>
              <w:adjustRightInd w:val="0"/>
              <w:spacing w:line="360" w:lineRule="auto"/>
              <w:jc w:val="center"/>
            </w:pPr>
            <w:r>
              <w:t>46.34</w:t>
            </w:r>
          </w:p>
        </w:tc>
        <w:tc>
          <w:tcPr>
            <w:tcW w:w="1067" w:type="dxa"/>
            <w:noWrap w:val="0"/>
            <w:vAlign w:val="top"/>
          </w:tcPr>
          <w:p>
            <w:pPr>
              <w:autoSpaceDE w:val="0"/>
              <w:autoSpaceDN w:val="0"/>
              <w:adjustRightInd w:val="0"/>
              <w:spacing w:line="360" w:lineRule="auto"/>
              <w:jc w:val="center"/>
            </w:pPr>
            <w:r>
              <w:t>74.06</w:t>
            </w:r>
          </w:p>
        </w:tc>
        <w:tc>
          <w:tcPr>
            <w:tcW w:w="1052" w:type="dxa"/>
            <w:noWrap w:val="0"/>
            <w:vAlign w:val="top"/>
          </w:tcPr>
          <w:p>
            <w:pPr>
              <w:autoSpaceDE w:val="0"/>
              <w:autoSpaceDN w:val="0"/>
              <w:adjustRightInd w:val="0"/>
              <w:spacing w:line="360" w:lineRule="auto"/>
              <w:jc w:val="center"/>
            </w:pPr>
            <w:r>
              <w:t>76.51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铅</w:t>
            </w:r>
          </w:p>
        </w:tc>
        <w:tc>
          <w:tcPr>
            <w:tcW w:w="1129" w:type="dxa"/>
            <w:noWrap w:val="0"/>
            <w:vAlign w:val="top"/>
          </w:tcPr>
          <w:p>
            <w:pPr>
              <w:autoSpaceDE w:val="0"/>
              <w:autoSpaceDN w:val="0"/>
              <w:adjustRightInd w:val="0"/>
              <w:spacing w:line="360" w:lineRule="auto"/>
              <w:jc w:val="center"/>
            </w:pPr>
            <w:r>
              <w:t>0.85</w:t>
            </w:r>
          </w:p>
        </w:tc>
        <w:tc>
          <w:tcPr>
            <w:tcW w:w="1068" w:type="dxa"/>
            <w:noWrap w:val="0"/>
            <w:vAlign w:val="top"/>
          </w:tcPr>
          <w:p>
            <w:pPr>
              <w:autoSpaceDE w:val="0"/>
              <w:autoSpaceDN w:val="0"/>
              <w:adjustRightInd w:val="0"/>
              <w:spacing w:line="360" w:lineRule="auto"/>
              <w:jc w:val="center"/>
            </w:pPr>
            <w:r>
              <w:t>2.04</w:t>
            </w:r>
          </w:p>
        </w:tc>
        <w:tc>
          <w:tcPr>
            <w:tcW w:w="1069" w:type="dxa"/>
            <w:noWrap w:val="0"/>
            <w:vAlign w:val="top"/>
          </w:tcPr>
          <w:p>
            <w:pPr>
              <w:autoSpaceDE w:val="0"/>
              <w:autoSpaceDN w:val="0"/>
              <w:adjustRightInd w:val="0"/>
              <w:spacing w:line="360" w:lineRule="auto"/>
              <w:jc w:val="center"/>
            </w:pPr>
            <w:r>
              <w:t>33.43</w:t>
            </w:r>
          </w:p>
        </w:tc>
        <w:tc>
          <w:tcPr>
            <w:tcW w:w="1069" w:type="dxa"/>
            <w:noWrap w:val="0"/>
            <w:vAlign w:val="top"/>
          </w:tcPr>
          <w:p>
            <w:pPr>
              <w:autoSpaceDE w:val="0"/>
              <w:autoSpaceDN w:val="0"/>
              <w:adjustRightInd w:val="0"/>
              <w:spacing w:line="360" w:lineRule="auto"/>
              <w:jc w:val="center"/>
            </w:pPr>
            <w:r>
              <w:t>3.62</w:t>
            </w:r>
          </w:p>
        </w:tc>
        <w:tc>
          <w:tcPr>
            <w:tcW w:w="1067" w:type="dxa"/>
            <w:noWrap w:val="0"/>
            <w:vAlign w:val="top"/>
          </w:tcPr>
          <w:p>
            <w:pPr>
              <w:autoSpaceDE w:val="0"/>
              <w:autoSpaceDN w:val="0"/>
              <w:adjustRightInd w:val="0"/>
              <w:spacing w:line="360" w:lineRule="auto"/>
              <w:jc w:val="center"/>
            </w:pPr>
            <w:r>
              <w:t>25.29</w:t>
            </w:r>
          </w:p>
        </w:tc>
        <w:tc>
          <w:tcPr>
            <w:tcW w:w="1067" w:type="dxa"/>
            <w:noWrap w:val="0"/>
            <w:vAlign w:val="top"/>
          </w:tcPr>
          <w:p>
            <w:pPr>
              <w:autoSpaceDE w:val="0"/>
              <w:autoSpaceDN w:val="0"/>
              <w:adjustRightInd w:val="0"/>
              <w:spacing w:line="360" w:lineRule="auto"/>
              <w:jc w:val="center"/>
            </w:pPr>
            <w:r>
              <w:t>4.09</w:t>
            </w:r>
          </w:p>
        </w:tc>
        <w:tc>
          <w:tcPr>
            <w:tcW w:w="1052" w:type="dxa"/>
            <w:noWrap w:val="0"/>
            <w:vAlign w:val="top"/>
          </w:tcPr>
          <w:p>
            <w:pPr>
              <w:autoSpaceDE w:val="0"/>
              <w:autoSpaceDN w:val="0"/>
              <w:adjustRightInd w:val="0"/>
              <w:spacing w:line="360" w:lineRule="auto"/>
              <w:jc w:val="center"/>
            </w:pPr>
            <w: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锑</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jc w:val="center"/>
            </w:pPr>
            <w:r>
              <w:t>0.40</w:t>
            </w:r>
          </w:p>
        </w:tc>
        <w:tc>
          <w:tcPr>
            <w:tcW w:w="1069" w:type="dxa"/>
            <w:noWrap w:val="0"/>
            <w:vAlign w:val="top"/>
          </w:tcPr>
          <w:p>
            <w:pPr>
              <w:autoSpaceDE w:val="0"/>
              <w:autoSpaceDN w:val="0"/>
              <w:adjustRightInd w:val="0"/>
              <w:spacing w:line="360" w:lineRule="auto"/>
              <w:jc w:val="center"/>
            </w:pPr>
            <w:r>
              <w:t>2.14</w:t>
            </w:r>
          </w:p>
        </w:tc>
        <w:tc>
          <w:tcPr>
            <w:tcW w:w="1069" w:type="dxa"/>
            <w:noWrap w:val="0"/>
            <w:vAlign w:val="top"/>
          </w:tcPr>
          <w:p>
            <w:pPr>
              <w:autoSpaceDE w:val="0"/>
              <w:autoSpaceDN w:val="0"/>
              <w:adjustRightInd w:val="0"/>
              <w:spacing w:line="360" w:lineRule="auto"/>
              <w:jc w:val="center"/>
            </w:pPr>
            <w:r>
              <w:t>1.51</w:t>
            </w:r>
          </w:p>
        </w:tc>
        <w:tc>
          <w:tcPr>
            <w:tcW w:w="1067" w:type="dxa"/>
            <w:noWrap w:val="0"/>
            <w:vAlign w:val="top"/>
          </w:tcPr>
          <w:p>
            <w:pPr>
              <w:autoSpaceDE w:val="0"/>
              <w:autoSpaceDN w:val="0"/>
              <w:adjustRightInd w:val="0"/>
              <w:spacing w:line="360" w:lineRule="auto"/>
              <w:jc w:val="center"/>
            </w:pPr>
            <w:r>
              <w:t>4.78</w:t>
            </w:r>
          </w:p>
        </w:tc>
        <w:tc>
          <w:tcPr>
            <w:tcW w:w="1067" w:type="dxa"/>
            <w:noWrap w:val="0"/>
            <w:vAlign w:val="top"/>
          </w:tcPr>
          <w:p>
            <w:pPr>
              <w:autoSpaceDE w:val="0"/>
              <w:autoSpaceDN w:val="0"/>
              <w:adjustRightInd w:val="0"/>
              <w:spacing w:line="360" w:lineRule="auto"/>
              <w:jc w:val="center"/>
            </w:pPr>
            <w:r>
              <w:t>3.96</w:t>
            </w:r>
          </w:p>
        </w:tc>
        <w:tc>
          <w:tcPr>
            <w:tcW w:w="1052" w:type="dxa"/>
            <w:noWrap w:val="0"/>
            <w:vAlign w:val="top"/>
          </w:tcPr>
          <w:p>
            <w:pPr>
              <w:autoSpaceDE w:val="0"/>
              <w:autoSpaceDN w:val="0"/>
              <w:adjustRightInd w:val="0"/>
              <w:spacing w:line="360" w:lineRule="auto"/>
              <w:jc w:val="center"/>
            </w:pPr>
            <w: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铜</w:t>
            </w:r>
          </w:p>
        </w:tc>
        <w:tc>
          <w:tcPr>
            <w:tcW w:w="1129" w:type="dxa"/>
            <w:noWrap w:val="0"/>
            <w:vAlign w:val="top"/>
          </w:tcPr>
          <w:p>
            <w:pPr>
              <w:autoSpaceDE w:val="0"/>
              <w:autoSpaceDN w:val="0"/>
              <w:adjustRightInd w:val="0"/>
              <w:spacing w:line="360" w:lineRule="auto"/>
              <w:jc w:val="center"/>
            </w:pPr>
            <w:r>
              <w:t>0.09</w:t>
            </w:r>
          </w:p>
        </w:tc>
        <w:tc>
          <w:tcPr>
            <w:tcW w:w="1068" w:type="dxa"/>
            <w:noWrap w:val="0"/>
            <w:vAlign w:val="top"/>
          </w:tcPr>
          <w:p>
            <w:pPr>
              <w:autoSpaceDE w:val="0"/>
              <w:autoSpaceDN w:val="0"/>
              <w:adjustRightInd w:val="0"/>
              <w:spacing w:line="360" w:lineRule="auto"/>
              <w:jc w:val="center"/>
            </w:pPr>
            <w:r>
              <w:t>0.34</w:t>
            </w:r>
          </w:p>
        </w:tc>
        <w:tc>
          <w:tcPr>
            <w:tcW w:w="1069" w:type="dxa"/>
            <w:noWrap w:val="0"/>
            <w:vAlign w:val="top"/>
          </w:tcPr>
          <w:p>
            <w:pPr>
              <w:autoSpaceDE w:val="0"/>
              <w:autoSpaceDN w:val="0"/>
              <w:adjustRightInd w:val="0"/>
              <w:spacing w:line="360" w:lineRule="auto"/>
              <w:jc w:val="center"/>
            </w:pPr>
            <w:r>
              <w:t>2.11</w:t>
            </w:r>
          </w:p>
        </w:tc>
        <w:tc>
          <w:tcPr>
            <w:tcW w:w="1069" w:type="dxa"/>
            <w:noWrap w:val="0"/>
            <w:vAlign w:val="top"/>
          </w:tcPr>
          <w:p>
            <w:pPr>
              <w:autoSpaceDE w:val="0"/>
              <w:autoSpaceDN w:val="0"/>
              <w:adjustRightInd w:val="0"/>
              <w:spacing w:line="360" w:lineRule="auto"/>
              <w:jc w:val="center"/>
            </w:pPr>
            <w:r>
              <w:t>0.78</w:t>
            </w:r>
          </w:p>
        </w:tc>
        <w:tc>
          <w:tcPr>
            <w:tcW w:w="1067" w:type="dxa"/>
            <w:noWrap w:val="0"/>
            <w:vAlign w:val="top"/>
          </w:tcPr>
          <w:p>
            <w:pPr>
              <w:autoSpaceDE w:val="0"/>
              <w:autoSpaceDN w:val="0"/>
              <w:adjustRightInd w:val="0"/>
              <w:spacing w:line="360" w:lineRule="auto"/>
              <w:jc w:val="center"/>
            </w:pPr>
            <w:r>
              <w:t>2.80</w:t>
            </w:r>
          </w:p>
        </w:tc>
        <w:tc>
          <w:tcPr>
            <w:tcW w:w="1067" w:type="dxa"/>
            <w:noWrap w:val="0"/>
            <w:vAlign w:val="top"/>
          </w:tcPr>
          <w:p>
            <w:pPr>
              <w:autoSpaceDE w:val="0"/>
              <w:autoSpaceDN w:val="0"/>
              <w:adjustRightInd w:val="0"/>
              <w:spacing w:line="360" w:lineRule="auto"/>
              <w:jc w:val="center"/>
            </w:pPr>
            <w:r>
              <w:t>2.11</w:t>
            </w:r>
          </w:p>
        </w:tc>
        <w:tc>
          <w:tcPr>
            <w:tcW w:w="1052" w:type="dxa"/>
            <w:noWrap w:val="0"/>
            <w:vAlign w:val="top"/>
          </w:tcPr>
          <w:p>
            <w:pPr>
              <w:autoSpaceDE w:val="0"/>
              <w:autoSpaceDN w:val="0"/>
              <w:adjustRightInd w:val="0"/>
              <w:spacing w:line="360" w:lineRule="auto"/>
              <w:jc w:val="center"/>
            </w:pPr>
            <w: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铋</w:t>
            </w:r>
          </w:p>
        </w:tc>
        <w:tc>
          <w:tcPr>
            <w:tcW w:w="1129" w:type="dxa"/>
            <w:noWrap w:val="0"/>
            <w:vAlign w:val="top"/>
          </w:tcPr>
          <w:p>
            <w:pPr>
              <w:autoSpaceDE w:val="0"/>
              <w:autoSpaceDN w:val="0"/>
              <w:adjustRightInd w:val="0"/>
              <w:spacing w:line="360" w:lineRule="auto"/>
              <w:jc w:val="center"/>
            </w:pPr>
            <w:r>
              <w:t>0.01</w:t>
            </w:r>
          </w:p>
        </w:tc>
        <w:tc>
          <w:tcPr>
            <w:tcW w:w="1068" w:type="dxa"/>
            <w:noWrap w:val="0"/>
            <w:vAlign w:val="top"/>
          </w:tcPr>
          <w:p>
            <w:pPr>
              <w:autoSpaceDE w:val="0"/>
              <w:autoSpaceDN w:val="0"/>
              <w:adjustRightInd w:val="0"/>
              <w:spacing w:line="360" w:lineRule="auto"/>
              <w:jc w:val="center"/>
            </w:pPr>
            <w:r>
              <w:t>0.14</w:t>
            </w:r>
          </w:p>
        </w:tc>
        <w:tc>
          <w:tcPr>
            <w:tcW w:w="1069" w:type="dxa"/>
            <w:noWrap w:val="0"/>
            <w:vAlign w:val="top"/>
          </w:tcPr>
          <w:p>
            <w:pPr>
              <w:autoSpaceDE w:val="0"/>
              <w:autoSpaceDN w:val="0"/>
              <w:adjustRightInd w:val="0"/>
              <w:spacing w:line="360" w:lineRule="auto"/>
              <w:jc w:val="center"/>
            </w:pPr>
            <w:r>
              <w:t>0.69</w:t>
            </w:r>
          </w:p>
        </w:tc>
        <w:tc>
          <w:tcPr>
            <w:tcW w:w="1069" w:type="dxa"/>
            <w:noWrap w:val="0"/>
            <w:vAlign w:val="top"/>
          </w:tcPr>
          <w:p>
            <w:pPr>
              <w:autoSpaceDE w:val="0"/>
              <w:autoSpaceDN w:val="0"/>
              <w:adjustRightInd w:val="0"/>
              <w:spacing w:line="360" w:lineRule="auto"/>
              <w:jc w:val="center"/>
            </w:pPr>
            <w:r>
              <w:t>0.95</w:t>
            </w:r>
          </w:p>
        </w:tc>
        <w:tc>
          <w:tcPr>
            <w:tcW w:w="1067" w:type="dxa"/>
            <w:noWrap w:val="0"/>
            <w:vAlign w:val="top"/>
          </w:tcPr>
          <w:p>
            <w:pPr>
              <w:autoSpaceDE w:val="0"/>
              <w:autoSpaceDN w:val="0"/>
              <w:adjustRightInd w:val="0"/>
              <w:spacing w:line="360" w:lineRule="auto"/>
              <w:jc w:val="center"/>
            </w:pPr>
            <w:r>
              <w:t>2.13</w:t>
            </w:r>
          </w:p>
        </w:tc>
        <w:tc>
          <w:tcPr>
            <w:tcW w:w="1067" w:type="dxa"/>
            <w:noWrap w:val="0"/>
            <w:vAlign w:val="top"/>
          </w:tcPr>
          <w:p>
            <w:pPr>
              <w:autoSpaceDE w:val="0"/>
              <w:autoSpaceDN w:val="0"/>
              <w:adjustRightInd w:val="0"/>
              <w:spacing w:line="360" w:lineRule="auto"/>
              <w:jc w:val="center"/>
            </w:pPr>
            <w:r>
              <w:t>3.30</w:t>
            </w:r>
          </w:p>
        </w:tc>
        <w:tc>
          <w:tcPr>
            <w:tcW w:w="1052" w:type="dxa"/>
            <w:noWrap w:val="0"/>
            <w:vAlign w:val="top"/>
          </w:tcPr>
          <w:p>
            <w:pPr>
              <w:autoSpaceDE w:val="0"/>
              <w:autoSpaceDN w:val="0"/>
              <w:adjustRightInd w:val="0"/>
              <w:spacing w:line="360" w:lineRule="auto"/>
              <w:jc w:val="center"/>
            </w:pPr>
            <w: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磷</w:t>
            </w:r>
          </w:p>
        </w:tc>
        <w:tc>
          <w:tcPr>
            <w:tcW w:w="1129" w:type="dxa"/>
            <w:noWrap w:val="0"/>
            <w:vAlign w:val="top"/>
          </w:tcPr>
          <w:p>
            <w:pPr>
              <w:autoSpaceDE w:val="0"/>
              <w:autoSpaceDN w:val="0"/>
              <w:adjustRightInd w:val="0"/>
              <w:spacing w:line="360" w:lineRule="auto"/>
              <w:jc w:val="center"/>
            </w:pPr>
            <w:r>
              <w:t>0.44</w:t>
            </w:r>
          </w:p>
        </w:tc>
        <w:tc>
          <w:tcPr>
            <w:tcW w:w="1068" w:type="dxa"/>
            <w:noWrap w:val="0"/>
            <w:vAlign w:val="top"/>
          </w:tcPr>
          <w:p>
            <w:pPr>
              <w:autoSpaceDE w:val="0"/>
              <w:autoSpaceDN w:val="0"/>
              <w:adjustRightInd w:val="0"/>
              <w:spacing w:line="360" w:lineRule="auto"/>
              <w:jc w:val="center"/>
            </w:pPr>
            <w:r>
              <w:t>0.47</w:t>
            </w:r>
          </w:p>
        </w:tc>
        <w:tc>
          <w:tcPr>
            <w:tcW w:w="1069" w:type="dxa"/>
            <w:noWrap w:val="0"/>
            <w:vAlign w:val="top"/>
          </w:tcPr>
          <w:p>
            <w:pPr>
              <w:autoSpaceDE w:val="0"/>
              <w:autoSpaceDN w:val="0"/>
              <w:adjustRightInd w:val="0"/>
              <w:spacing w:line="360" w:lineRule="auto"/>
              <w:jc w:val="center"/>
            </w:pPr>
            <w:r>
              <w:t>0.45</w:t>
            </w:r>
          </w:p>
        </w:tc>
        <w:tc>
          <w:tcPr>
            <w:tcW w:w="1069" w:type="dxa"/>
            <w:noWrap w:val="0"/>
            <w:vAlign w:val="top"/>
          </w:tcPr>
          <w:p>
            <w:pPr>
              <w:autoSpaceDE w:val="0"/>
              <w:autoSpaceDN w:val="0"/>
              <w:adjustRightInd w:val="0"/>
              <w:spacing w:line="360" w:lineRule="auto"/>
              <w:jc w:val="center"/>
            </w:pPr>
            <w:r>
              <w:t>0.45</w:t>
            </w:r>
          </w:p>
        </w:tc>
        <w:tc>
          <w:tcPr>
            <w:tcW w:w="1067" w:type="dxa"/>
            <w:noWrap w:val="0"/>
            <w:vAlign w:val="top"/>
          </w:tcPr>
          <w:p>
            <w:pPr>
              <w:autoSpaceDE w:val="0"/>
              <w:autoSpaceDN w:val="0"/>
              <w:adjustRightInd w:val="0"/>
              <w:spacing w:line="360" w:lineRule="auto"/>
              <w:jc w:val="center"/>
            </w:pPr>
            <w:r>
              <w:t>0.45</w:t>
            </w:r>
          </w:p>
        </w:tc>
        <w:tc>
          <w:tcPr>
            <w:tcW w:w="1067" w:type="dxa"/>
            <w:noWrap w:val="0"/>
            <w:vAlign w:val="top"/>
          </w:tcPr>
          <w:p>
            <w:pPr>
              <w:autoSpaceDE w:val="0"/>
              <w:autoSpaceDN w:val="0"/>
              <w:adjustRightInd w:val="0"/>
              <w:spacing w:line="360" w:lineRule="auto"/>
              <w:jc w:val="center"/>
            </w:pPr>
            <w:r>
              <w:t>0.46</w:t>
            </w:r>
          </w:p>
        </w:tc>
        <w:tc>
          <w:tcPr>
            <w:tcW w:w="1052" w:type="dxa"/>
            <w:noWrap w:val="0"/>
            <w:vAlign w:val="top"/>
          </w:tcPr>
          <w:p>
            <w:pPr>
              <w:autoSpaceDE w:val="0"/>
              <w:autoSpaceDN w:val="0"/>
              <w:adjustRightInd w:val="0"/>
              <w:spacing w:line="360" w:lineRule="auto"/>
              <w:jc w:val="center"/>
            </w:pPr>
            <w: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钙</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0.23</w:t>
            </w:r>
          </w:p>
        </w:tc>
        <w:tc>
          <w:tcPr>
            <w:tcW w:w="1069"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0.19</w:t>
            </w:r>
          </w:p>
        </w:tc>
        <w:tc>
          <w:tcPr>
            <w:tcW w:w="1067" w:type="dxa"/>
            <w:noWrap w:val="0"/>
            <w:vAlign w:val="top"/>
          </w:tcPr>
          <w:p>
            <w:pPr>
              <w:autoSpaceDE w:val="0"/>
              <w:autoSpaceDN w:val="0"/>
              <w:adjustRightInd w:val="0"/>
              <w:spacing w:line="360" w:lineRule="auto"/>
              <w:jc w:val="center"/>
            </w:pPr>
            <w:r>
              <w:t>/</w:t>
            </w:r>
          </w:p>
        </w:tc>
        <w:tc>
          <w:tcPr>
            <w:tcW w:w="1052" w:type="dxa"/>
            <w:noWrap w:val="0"/>
            <w:vAlign w:val="top"/>
          </w:tcPr>
          <w:p>
            <w:pPr>
              <w:autoSpaceDE w:val="0"/>
              <w:autoSpaceDN w:val="0"/>
              <w:adjustRightInd w:val="0"/>
              <w:spacing w:line="36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银</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0.06</w:t>
            </w:r>
          </w:p>
        </w:tc>
        <w:tc>
          <w:tcPr>
            <w:tcW w:w="1069"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0.04</w:t>
            </w:r>
          </w:p>
        </w:tc>
        <w:tc>
          <w:tcPr>
            <w:tcW w:w="1067" w:type="dxa"/>
            <w:noWrap w:val="0"/>
            <w:vAlign w:val="top"/>
          </w:tcPr>
          <w:p>
            <w:pPr>
              <w:autoSpaceDE w:val="0"/>
              <w:autoSpaceDN w:val="0"/>
              <w:adjustRightInd w:val="0"/>
              <w:spacing w:line="360" w:lineRule="auto"/>
              <w:jc w:val="center"/>
            </w:pPr>
            <w:r>
              <w:t>/</w:t>
            </w:r>
          </w:p>
        </w:tc>
        <w:tc>
          <w:tcPr>
            <w:tcW w:w="1052" w:type="dxa"/>
            <w:noWrap w:val="0"/>
            <w:vAlign w:val="top"/>
          </w:tcPr>
          <w:p>
            <w:pPr>
              <w:autoSpaceDE w:val="0"/>
              <w:autoSpaceDN w:val="0"/>
              <w:adjustRightInd w:val="0"/>
              <w:spacing w:line="36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镍</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ind w:firstLine="210" w:firstLineChars="100"/>
              <w:jc w:val="center"/>
            </w:pPr>
            <w:r>
              <w:t>0.04</w:t>
            </w:r>
          </w:p>
        </w:tc>
        <w:tc>
          <w:tcPr>
            <w:tcW w:w="1069" w:type="dxa"/>
            <w:noWrap w:val="0"/>
            <w:vAlign w:val="top"/>
          </w:tcPr>
          <w:p>
            <w:pPr>
              <w:autoSpaceDE w:val="0"/>
              <w:autoSpaceDN w:val="0"/>
              <w:adjustRightInd w:val="0"/>
              <w:spacing w:line="360" w:lineRule="auto"/>
              <w:jc w:val="center"/>
            </w:pPr>
            <w:r>
              <w:t>0.01</w:t>
            </w:r>
          </w:p>
        </w:tc>
        <w:tc>
          <w:tcPr>
            <w:tcW w:w="1069" w:type="dxa"/>
            <w:noWrap w:val="0"/>
            <w:vAlign w:val="top"/>
          </w:tcPr>
          <w:p>
            <w:pPr>
              <w:autoSpaceDE w:val="0"/>
              <w:autoSpaceDN w:val="0"/>
              <w:adjustRightInd w:val="0"/>
              <w:spacing w:line="360" w:lineRule="auto"/>
              <w:jc w:val="center"/>
            </w:pPr>
            <w:r>
              <w:t>0.03</w:t>
            </w:r>
          </w:p>
        </w:tc>
        <w:tc>
          <w:tcPr>
            <w:tcW w:w="1067"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w:t>
            </w:r>
          </w:p>
        </w:tc>
        <w:tc>
          <w:tcPr>
            <w:tcW w:w="1052" w:type="dxa"/>
            <w:noWrap w:val="0"/>
            <w:vAlign w:val="top"/>
          </w:tcPr>
          <w:p>
            <w:pPr>
              <w:autoSpaceDE w:val="0"/>
              <w:autoSpaceDN w:val="0"/>
              <w:adjustRightInd w:val="0"/>
              <w:spacing w:line="360" w:lineRule="auto"/>
              <w:jc w:val="center"/>
            </w:pPr>
            <w: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镁</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jc w:val="center"/>
            </w:pPr>
            <w:r>
              <w:t>0.13</w:t>
            </w:r>
          </w:p>
        </w:tc>
        <w:tc>
          <w:tcPr>
            <w:tcW w:w="1069"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0.11</w:t>
            </w:r>
          </w:p>
        </w:tc>
        <w:tc>
          <w:tcPr>
            <w:tcW w:w="1067" w:type="dxa"/>
            <w:noWrap w:val="0"/>
            <w:vAlign w:val="top"/>
          </w:tcPr>
          <w:p>
            <w:pPr>
              <w:autoSpaceDE w:val="0"/>
              <w:autoSpaceDN w:val="0"/>
              <w:adjustRightInd w:val="0"/>
              <w:spacing w:line="360" w:lineRule="auto"/>
              <w:jc w:val="center"/>
            </w:pPr>
            <w:r>
              <w:t>0.11</w:t>
            </w:r>
          </w:p>
        </w:tc>
        <w:tc>
          <w:tcPr>
            <w:tcW w:w="1067" w:type="dxa"/>
            <w:noWrap w:val="0"/>
            <w:vAlign w:val="top"/>
          </w:tcPr>
          <w:p>
            <w:pPr>
              <w:autoSpaceDE w:val="0"/>
              <w:autoSpaceDN w:val="0"/>
              <w:adjustRightInd w:val="0"/>
              <w:spacing w:line="360" w:lineRule="auto"/>
              <w:jc w:val="center"/>
            </w:pPr>
            <w:r>
              <w:t>/</w:t>
            </w:r>
          </w:p>
        </w:tc>
        <w:tc>
          <w:tcPr>
            <w:tcW w:w="1052" w:type="dxa"/>
            <w:noWrap w:val="0"/>
            <w:vAlign w:val="top"/>
          </w:tcPr>
          <w:p>
            <w:pPr>
              <w:autoSpaceDE w:val="0"/>
              <w:autoSpaceDN w:val="0"/>
              <w:adjustRightInd w:val="0"/>
              <w:spacing w:line="360" w:lineRule="auto"/>
              <w:jc w:val="center"/>
            </w:pPr>
            <w: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铁</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jc w:val="center"/>
            </w:pPr>
            <w:r>
              <w:t>0.03</w:t>
            </w:r>
          </w:p>
        </w:tc>
        <w:tc>
          <w:tcPr>
            <w:tcW w:w="1069"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0.02</w:t>
            </w:r>
          </w:p>
        </w:tc>
        <w:tc>
          <w:tcPr>
            <w:tcW w:w="1067"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0.01</w:t>
            </w:r>
          </w:p>
        </w:tc>
        <w:tc>
          <w:tcPr>
            <w:tcW w:w="1052" w:type="dxa"/>
            <w:noWrap w:val="0"/>
            <w:vAlign w:val="top"/>
          </w:tcPr>
          <w:p>
            <w:pPr>
              <w:autoSpaceDE w:val="0"/>
              <w:autoSpaceDN w:val="0"/>
              <w:adjustRightInd w:val="0"/>
              <w:spacing w:line="360" w:lineRule="auto"/>
              <w:jc w:val="center"/>
            </w:pPr>
            <w: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镉</w:t>
            </w:r>
          </w:p>
        </w:tc>
        <w:tc>
          <w:tcPr>
            <w:tcW w:w="1129" w:type="dxa"/>
            <w:noWrap w:val="0"/>
            <w:vAlign w:val="top"/>
          </w:tcPr>
          <w:p>
            <w:pPr>
              <w:autoSpaceDE w:val="0"/>
              <w:autoSpaceDN w:val="0"/>
              <w:adjustRightInd w:val="0"/>
              <w:spacing w:line="360" w:lineRule="auto"/>
              <w:jc w:val="center"/>
            </w:pPr>
            <w:r>
              <w:t>0.06</w:t>
            </w:r>
          </w:p>
        </w:tc>
        <w:tc>
          <w:tcPr>
            <w:tcW w:w="1068"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w:t>
            </w:r>
          </w:p>
        </w:tc>
        <w:tc>
          <w:tcPr>
            <w:tcW w:w="1052" w:type="dxa"/>
            <w:noWrap w:val="0"/>
            <w:vAlign w:val="top"/>
          </w:tcPr>
          <w:p>
            <w:pPr>
              <w:autoSpaceDE w:val="0"/>
              <w:autoSpaceDN w:val="0"/>
              <w:adjustRightInd w:val="0"/>
              <w:spacing w:line="36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5" w:type="dxa"/>
            <w:noWrap w:val="0"/>
            <w:vAlign w:val="top"/>
          </w:tcPr>
          <w:p>
            <w:pPr>
              <w:autoSpaceDE w:val="0"/>
              <w:autoSpaceDN w:val="0"/>
              <w:adjustRightInd w:val="0"/>
              <w:spacing w:line="360" w:lineRule="auto"/>
              <w:jc w:val="center"/>
            </w:pPr>
            <w:r>
              <w:t>砷</w:t>
            </w:r>
          </w:p>
        </w:tc>
        <w:tc>
          <w:tcPr>
            <w:tcW w:w="1129" w:type="dxa"/>
            <w:noWrap w:val="0"/>
            <w:vAlign w:val="top"/>
          </w:tcPr>
          <w:p>
            <w:pPr>
              <w:autoSpaceDE w:val="0"/>
              <w:autoSpaceDN w:val="0"/>
              <w:adjustRightInd w:val="0"/>
              <w:spacing w:line="360" w:lineRule="auto"/>
              <w:jc w:val="center"/>
            </w:pPr>
            <w:r>
              <w:t>/</w:t>
            </w:r>
          </w:p>
        </w:tc>
        <w:tc>
          <w:tcPr>
            <w:tcW w:w="1068"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w:t>
            </w:r>
          </w:p>
        </w:tc>
        <w:tc>
          <w:tcPr>
            <w:tcW w:w="1069" w:type="dxa"/>
            <w:noWrap w:val="0"/>
            <w:vAlign w:val="top"/>
          </w:tcPr>
          <w:p>
            <w:pPr>
              <w:autoSpaceDE w:val="0"/>
              <w:autoSpaceDN w:val="0"/>
              <w:adjustRightInd w:val="0"/>
              <w:spacing w:line="360" w:lineRule="auto"/>
              <w:jc w:val="center"/>
            </w:pPr>
            <w:r>
              <w:t>0.01</w:t>
            </w:r>
          </w:p>
        </w:tc>
        <w:tc>
          <w:tcPr>
            <w:tcW w:w="1067" w:type="dxa"/>
            <w:noWrap w:val="0"/>
            <w:vAlign w:val="top"/>
          </w:tcPr>
          <w:p>
            <w:pPr>
              <w:autoSpaceDE w:val="0"/>
              <w:autoSpaceDN w:val="0"/>
              <w:adjustRightInd w:val="0"/>
              <w:spacing w:line="360" w:lineRule="auto"/>
              <w:jc w:val="center"/>
            </w:pPr>
            <w:r>
              <w:t>/</w:t>
            </w:r>
          </w:p>
        </w:tc>
        <w:tc>
          <w:tcPr>
            <w:tcW w:w="1067" w:type="dxa"/>
            <w:noWrap w:val="0"/>
            <w:vAlign w:val="top"/>
          </w:tcPr>
          <w:p>
            <w:pPr>
              <w:autoSpaceDE w:val="0"/>
              <w:autoSpaceDN w:val="0"/>
              <w:adjustRightInd w:val="0"/>
              <w:spacing w:line="360" w:lineRule="auto"/>
              <w:jc w:val="center"/>
            </w:pPr>
            <w:r>
              <w:t>0.05</w:t>
            </w:r>
          </w:p>
        </w:tc>
        <w:tc>
          <w:tcPr>
            <w:tcW w:w="1052" w:type="dxa"/>
            <w:noWrap w:val="0"/>
            <w:vAlign w:val="top"/>
          </w:tcPr>
          <w:p>
            <w:pPr>
              <w:autoSpaceDE w:val="0"/>
              <w:autoSpaceDN w:val="0"/>
              <w:adjustRightInd w:val="0"/>
              <w:spacing w:line="360" w:lineRule="auto"/>
              <w:jc w:val="center"/>
            </w:pPr>
            <w:r>
              <w:t>/</w:t>
            </w:r>
          </w:p>
        </w:tc>
      </w:tr>
    </w:tbl>
    <w:p>
      <w:pPr>
        <w:pStyle w:val="5"/>
        <w:spacing w:line="360" w:lineRule="auto"/>
      </w:pPr>
      <w:r>
        <w:rPr>
          <w:rFonts w:hint="eastAsia"/>
          <w:lang w:val="en-US" w:eastAsia="zh-CN"/>
        </w:rPr>
        <w:t>1</w:t>
      </w:r>
      <w:r>
        <w:t>.3.2铋的干扰试验</w:t>
      </w:r>
    </w:p>
    <w:p>
      <w:pPr>
        <w:pStyle w:val="5"/>
        <w:spacing w:line="360" w:lineRule="auto"/>
      </w:pPr>
      <w:r>
        <w:rPr>
          <w:rFonts w:hint="eastAsia"/>
          <w:lang w:eastAsia="zh-CN"/>
        </w:rPr>
        <w:t>（</w:t>
      </w:r>
      <w:r>
        <w:rPr>
          <w:rFonts w:hint="eastAsia"/>
          <w:lang w:val="en-US" w:eastAsia="zh-CN"/>
        </w:rPr>
        <w:t>1</w:t>
      </w:r>
      <w:r>
        <w:rPr>
          <w:rFonts w:hint="eastAsia"/>
          <w:lang w:eastAsia="zh-CN"/>
        </w:rPr>
        <w:t>）</w:t>
      </w:r>
      <w:r>
        <w:t>单元素的干扰</w:t>
      </w:r>
    </w:p>
    <w:p>
      <w:pPr>
        <w:spacing w:line="360" w:lineRule="auto"/>
        <w:ind w:firstLine="420" w:firstLineChars="200"/>
      </w:pPr>
      <w:r>
        <w:t>向100ml容量瓶中分别加入铋标准溶液</w:t>
      </w:r>
      <w:r>
        <w:rPr>
          <w:rFonts w:hint="eastAsia"/>
        </w:rPr>
        <w:t>，</w:t>
      </w:r>
      <w:r>
        <w:t xml:space="preserve">使其浓度为1.00 </w:t>
      </w:r>
      <w:r>
        <w:rPr/>
        <w:sym w:font="Symbol" w:char="F06D"/>
      </w:r>
      <w:r>
        <w:t>g/mL的单元素标准溶液，通过在标准溶液中加入表1</w:t>
      </w:r>
      <w:r>
        <w:rPr>
          <w:rFonts w:hint="eastAsia"/>
          <w:lang w:val="en-US" w:eastAsia="zh-CN"/>
        </w:rPr>
        <w:t>1</w:t>
      </w:r>
      <w:r>
        <w:t>中浓度的基体元素进行干扰实验，浓度测定结果（已扣除基体空白）见表1</w:t>
      </w:r>
      <w:r>
        <w:rPr>
          <w:rFonts w:hint="eastAsia"/>
          <w:lang w:val="en-US" w:eastAsia="zh-CN"/>
        </w:rPr>
        <w:t>1</w:t>
      </w:r>
      <w:r>
        <w:t>。</w:t>
      </w:r>
      <w:r>
        <w:rPr>
          <w:bCs/>
          <w:lang w:val="zh-CN"/>
        </w:rPr>
        <w:t>结果表明，粗锡中</w:t>
      </w:r>
      <w:r>
        <w:t>大部分共存元素不干扰铋的测定，但是大量的锡对铋的测定产生负干扰，因此溶样过程中需要把锡除尽。</w:t>
      </w:r>
    </w:p>
    <w:p>
      <w:pPr>
        <w:pStyle w:val="3"/>
        <w:keepNext w:val="0"/>
        <w:keepLines w:val="0"/>
        <w:spacing w:line="360" w:lineRule="auto"/>
        <w:jc w:val="center"/>
        <w:rPr>
          <w:rFonts w:eastAsia="宋体" w:cs="Times New Roman"/>
          <w:b/>
          <w:sz w:val="21"/>
          <w:szCs w:val="21"/>
        </w:rPr>
      </w:pPr>
      <w:r>
        <w:rPr>
          <w:rFonts w:eastAsia="宋体" w:cs="Times New Roman"/>
          <w:b/>
          <w:sz w:val="21"/>
          <w:szCs w:val="21"/>
        </w:rPr>
        <w:t>表1</w:t>
      </w:r>
      <w:r>
        <w:rPr>
          <w:rFonts w:hint="eastAsia" w:cs="Times New Roman"/>
          <w:b/>
          <w:sz w:val="21"/>
          <w:szCs w:val="21"/>
          <w:lang w:val="en-US" w:eastAsia="zh-CN"/>
        </w:rPr>
        <w:t>1</w:t>
      </w:r>
      <w:r>
        <w:rPr>
          <w:rFonts w:eastAsia="宋体" w:cs="Times New Roman"/>
          <w:b/>
          <w:sz w:val="21"/>
          <w:szCs w:val="21"/>
        </w:rPr>
        <w:t xml:space="preserve"> 单元素干扰实验测定结果</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847"/>
        <w:gridCol w:w="788"/>
        <w:gridCol w:w="789"/>
        <w:gridCol w:w="789"/>
        <w:gridCol w:w="789"/>
        <w:gridCol w:w="789"/>
        <w:gridCol w:w="789"/>
        <w:gridCol w:w="789"/>
        <w:gridCol w:w="78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spacing w:line="360" w:lineRule="auto"/>
              <w:jc w:val="center"/>
            </w:pPr>
            <w:r>
              <w:t>干扰 元素</w:t>
            </w:r>
          </w:p>
        </w:tc>
        <w:tc>
          <w:tcPr>
            <w:tcW w:w="847" w:type="dxa"/>
            <w:noWrap w:val="0"/>
            <w:vAlign w:val="top"/>
          </w:tcPr>
          <w:p>
            <w:pPr>
              <w:spacing w:line="360" w:lineRule="auto"/>
              <w:jc w:val="center"/>
            </w:pPr>
            <w:r>
              <w:t>Sn</w:t>
            </w:r>
          </w:p>
        </w:tc>
        <w:tc>
          <w:tcPr>
            <w:tcW w:w="788" w:type="dxa"/>
            <w:noWrap w:val="0"/>
            <w:vAlign w:val="top"/>
          </w:tcPr>
          <w:p>
            <w:pPr>
              <w:spacing w:line="360" w:lineRule="auto"/>
              <w:jc w:val="center"/>
            </w:pPr>
            <w:r>
              <w:t>Pb</w:t>
            </w:r>
          </w:p>
        </w:tc>
        <w:tc>
          <w:tcPr>
            <w:tcW w:w="789" w:type="dxa"/>
            <w:noWrap w:val="0"/>
            <w:vAlign w:val="top"/>
          </w:tcPr>
          <w:p>
            <w:pPr>
              <w:spacing w:line="360" w:lineRule="auto"/>
              <w:jc w:val="center"/>
            </w:pPr>
            <w:r>
              <w:t>As</w:t>
            </w:r>
          </w:p>
        </w:tc>
        <w:tc>
          <w:tcPr>
            <w:tcW w:w="789" w:type="dxa"/>
            <w:noWrap w:val="0"/>
            <w:vAlign w:val="top"/>
          </w:tcPr>
          <w:p>
            <w:pPr>
              <w:spacing w:line="360" w:lineRule="auto"/>
              <w:jc w:val="center"/>
            </w:pPr>
            <w:r>
              <w:t>Cu</w:t>
            </w:r>
          </w:p>
        </w:tc>
        <w:tc>
          <w:tcPr>
            <w:tcW w:w="789" w:type="dxa"/>
            <w:noWrap w:val="0"/>
            <w:vAlign w:val="top"/>
          </w:tcPr>
          <w:p>
            <w:pPr>
              <w:spacing w:line="360" w:lineRule="auto"/>
              <w:jc w:val="center"/>
            </w:pPr>
            <w:r>
              <w:t>Fe</w:t>
            </w:r>
          </w:p>
        </w:tc>
        <w:tc>
          <w:tcPr>
            <w:tcW w:w="789" w:type="dxa"/>
            <w:noWrap w:val="0"/>
            <w:vAlign w:val="top"/>
          </w:tcPr>
          <w:p>
            <w:pPr>
              <w:spacing w:line="360" w:lineRule="auto"/>
              <w:jc w:val="center"/>
            </w:pPr>
            <w:r>
              <w:t>Sb</w:t>
            </w:r>
          </w:p>
        </w:tc>
        <w:tc>
          <w:tcPr>
            <w:tcW w:w="789" w:type="dxa"/>
            <w:noWrap w:val="0"/>
            <w:vAlign w:val="top"/>
          </w:tcPr>
          <w:p>
            <w:pPr>
              <w:spacing w:line="360" w:lineRule="auto"/>
              <w:jc w:val="center"/>
            </w:pPr>
            <w:r>
              <w:t>Ag</w:t>
            </w:r>
          </w:p>
        </w:tc>
        <w:tc>
          <w:tcPr>
            <w:tcW w:w="789" w:type="dxa"/>
            <w:noWrap w:val="0"/>
            <w:vAlign w:val="top"/>
          </w:tcPr>
          <w:p>
            <w:pPr>
              <w:spacing w:line="360" w:lineRule="auto"/>
              <w:jc w:val="center"/>
            </w:pPr>
            <w:r>
              <w:t>Au</w:t>
            </w:r>
          </w:p>
        </w:tc>
        <w:tc>
          <w:tcPr>
            <w:tcW w:w="789" w:type="dxa"/>
            <w:noWrap w:val="0"/>
            <w:vAlign w:val="top"/>
          </w:tcPr>
          <w:p>
            <w:pPr>
              <w:spacing w:line="360" w:lineRule="auto"/>
              <w:jc w:val="center"/>
            </w:pPr>
            <w:r>
              <w:t>Ni</w:t>
            </w:r>
          </w:p>
        </w:tc>
        <w:tc>
          <w:tcPr>
            <w:tcW w:w="788" w:type="dxa"/>
            <w:noWrap w:val="0"/>
            <w:vAlign w:val="top"/>
          </w:tcPr>
          <w:p>
            <w:pPr>
              <w:spacing w:line="360" w:lineRule="auto"/>
              <w:jc w:val="center"/>
            </w:pPr>
            <w: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spacing w:line="360" w:lineRule="auto"/>
              <w:jc w:val="center"/>
            </w:pPr>
            <w:r>
              <w:t>浓度（μg/mL</w:t>
            </w:r>
            <w:r>
              <w:rPr>
                <w:lang w:val="zh-CN"/>
              </w:rPr>
              <w:t>）</w:t>
            </w:r>
          </w:p>
        </w:tc>
        <w:tc>
          <w:tcPr>
            <w:tcW w:w="847" w:type="dxa"/>
            <w:noWrap w:val="0"/>
            <w:vAlign w:val="top"/>
          </w:tcPr>
          <w:p>
            <w:pPr>
              <w:spacing w:line="360" w:lineRule="auto"/>
            </w:pPr>
            <w:r>
              <w:t>200</w:t>
            </w:r>
            <w:r>
              <w:rPr>
                <w:rFonts w:hint="eastAsia"/>
              </w:rPr>
              <w:t>0</w:t>
            </w:r>
          </w:p>
        </w:tc>
        <w:tc>
          <w:tcPr>
            <w:tcW w:w="788" w:type="dxa"/>
            <w:noWrap w:val="0"/>
            <w:vAlign w:val="top"/>
          </w:tcPr>
          <w:p>
            <w:pPr>
              <w:spacing w:line="360" w:lineRule="auto"/>
              <w:jc w:val="center"/>
            </w:pPr>
            <w:r>
              <w:t>1000</w:t>
            </w:r>
          </w:p>
        </w:tc>
        <w:tc>
          <w:tcPr>
            <w:tcW w:w="789" w:type="dxa"/>
            <w:noWrap w:val="0"/>
            <w:vAlign w:val="top"/>
          </w:tcPr>
          <w:p>
            <w:pPr>
              <w:spacing w:line="360" w:lineRule="auto"/>
              <w:jc w:val="center"/>
            </w:pPr>
            <w:r>
              <w:t xml:space="preserve">500 </w:t>
            </w:r>
          </w:p>
        </w:tc>
        <w:tc>
          <w:tcPr>
            <w:tcW w:w="789" w:type="dxa"/>
            <w:noWrap w:val="0"/>
            <w:vAlign w:val="top"/>
          </w:tcPr>
          <w:p>
            <w:pPr>
              <w:spacing w:line="360" w:lineRule="auto"/>
              <w:jc w:val="center"/>
            </w:pPr>
            <w:r>
              <w:t>150</w:t>
            </w:r>
          </w:p>
        </w:tc>
        <w:tc>
          <w:tcPr>
            <w:tcW w:w="789" w:type="dxa"/>
            <w:noWrap w:val="0"/>
            <w:vAlign w:val="top"/>
          </w:tcPr>
          <w:p>
            <w:pPr>
              <w:spacing w:line="360" w:lineRule="auto"/>
              <w:jc w:val="center"/>
            </w:pPr>
            <w:r>
              <w:t>150</w:t>
            </w:r>
          </w:p>
        </w:tc>
        <w:tc>
          <w:tcPr>
            <w:tcW w:w="789" w:type="dxa"/>
            <w:noWrap w:val="0"/>
            <w:vAlign w:val="top"/>
          </w:tcPr>
          <w:p>
            <w:pPr>
              <w:spacing w:line="360" w:lineRule="auto"/>
              <w:jc w:val="center"/>
            </w:pPr>
            <w:r>
              <w:t>800</w:t>
            </w:r>
          </w:p>
        </w:tc>
        <w:tc>
          <w:tcPr>
            <w:tcW w:w="789" w:type="dxa"/>
            <w:noWrap w:val="0"/>
            <w:vAlign w:val="top"/>
          </w:tcPr>
          <w:p>
            <w:pPr>
              <w:spacing w:line="360" w:lineRule="auto"/>
              <w:jc w:val="center"/>
            </w:pPr>
            <w:r>
              <w:t>15</w:t>
            </w:r>
          </w:p>
        </w:tc>
        <w:tc>
          <w:tcPr>
            <w:tcW w:w="789" w:type="dxa"/>
            <w:noWrap w:val="0"/>
            <w:vAlign w:val="top"/>
          </w:tcPr>
          <w:p>
            <w:pPr>
              <w:spacing w:line="360" w:lineRule="auto"/>
              <w:jc w:val="center"/>
            </w:pPr>
            <w:r>
              <w:t>1.00</w:t>
            </w:r>
          </w:p>
        </w:tc>
        <w:tc>
          <w:tcPr>
            <w:tcW w:w="789" w:type="dxa"/>
            <w:noWrap w:val="0"/>
            <w:vAlign w:val="top"/>
          </w:tcPr>
          <w:p>
            <w:pPr>
              <w:spacing w:line="360" w:lineRule="auto"/>
              <w:jc w:val="center"/>
            </w:pPr>
            <w:r>
              <w:t>150</w:t>
            </w:r>
          </w:p>
        </w:tc>
        <w:tc>
          <w:tcPr>
            <w:tcW w:w="788" w:type="dxa"/>
            <w:noWrap w:val="0"/>
            <w:vAlign w:val="top"/>
          </w:tcPr>
          <w:p>
            <w:pPr>
              <w:spacing w:line="360" w:lineRule="auto"/>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7" w:type="dxa"/>
            <w:noWrap w:val="0"/>
            <w:vAlign w:val="top"/>
          </w:tcPr>
          <w:p>
            <w:pPr>
              <w:spacing w:line="360" w:lineRule="auto"/>
              <w:jc w:val="center"/>
            </w:pPr>
            <w:r>
              <w:t>测定值</w:t>
            </w:r>
          </w:p>
        </w:tc>
        <w:tc>
          <w:tcPr>
            <w:tcW w:w="847" w:type="dxa"/>
            <w:noWrap w:val="0"/>
            <w:vAlign w:val="top"/>
          </w:tcPr>
          <w:p>
            <w:pPr>
              <w:spacing w:line="360" w:lineRule="auto"/>
              <w:jc w:val="center"/>
            </w:pPr>
            <w:r>
              <w:t>0.44</w:t>
            </w:r>
          </w:p>
        </w:tc>
        <w:tc>
          <w:tcPr>
            <w:tcW w:w="788" w:type="dxa"/>
            <w:noWrap w:val="0"/>
            <w:vAlign w:val="top"/>
          </w:tcPr>
          <w:p>
            <w:pPr>
              <w:spacing w:line="360" w:lineRule="auto"/>
              <w:jc w:val="center"/>
            </w:pPr>
            <w:r>
              <w:t>1.04</w:t>
            </w:r>
          </w:p>
        </w:tc>
        <w:tc>
          <w:tcPr>
            <w:tcW w:w="789" w:type="dxa"/>
            <w:noWrap w:val="0"/>
            <w:vAlign w:val="top"/>
          </w:tcPr>
          <w:p>
            <w:pPr>
              <w:spacing w:line="360" w:lineRule="auto"/>
              <w:jc w:val="center"/>
            </w:pPr>
            <w:r>
              <w:t>0.99</w:t>
            </w:r>
          </w:p>
        </w:tc>
        <w:tc>
          <w:tcPr>
            <w:tcW w:w="789" w:type="dxa"/>
            <w:noWrap w:val="0"/>
            <w:vAlign w:val="top"/>
          </w:tcPr>
          <w:p>
            <w:pPr>
              <w:spacing w:line="360" w:lineRule="auto"/>
              <w:jc w:val="center"/>
            </w:pPr>
            <w:r>
              <w:t>0.98</w:t>
            </w:r>
          </w:p>
        </w:tc>
        <w:tc>
          <w:tcPr>
            <w:tcW w:w="789" w:type="dxa"/>
            <w:noWrap w:val="0"/>
            <w:vAlign w:val="top"/>
          </w:tcPr>
          <w:p>
            <w:pPr>
              <w:spacing w:line="360" w:lineRule="auto"/>
              <w:jc w:val="center"/>
            </w:pPr>
            <w:r>
              <w:t>1.03</w:t>
            </w:r>
          </w:p>
        </w:tc>
        <w:tc>
          <w:tcPr>
            <w:tcW w:w="789" w:type="dxa"/>
            <w:noWrap w:val="0"/>
            <w:vAlign w:val="top"/>
          </w:tcPr>
          <w:p>
            <w:pPr>
              <w:spacing w:line="360" w:lineRule="auto"/>
              <w:jc w:val="center"/>
            </w:pPr>
            <w:r>
              <w:t>1.03</w:t>
            </w:r>
          </w:p>
        </w:tc>
        <w:tc>
          <w:tcPr>
            <w:tcW w:w="789" w:type="dxa"/>
            <w:noWrap w:val="0"/>
            <w:vAlign w:val="top"/>
          </w:tcPr>
          <w:p>
            <w:pPr>
              <w:spacing w:line="360" w:lineRule="auto"/>
              <w:jc w:val="center"/>
            </w:pPr>
            <w:r>
              <w:t>0.98</w:t>
            </w:r>
          </w:p>
        </w:tc>
        <w:tc>
          <w:tcPr>
            <w:tcW w:w="789" w:type="dxa"/>
            <w:noWrap w:val="0"/>
            <w:vAlign w:val="top"/>
          </w:tcPr>
          <w:p>
            <w:pPr>
              <w:spacing w:line="360" w:lineRule="auto"/>
              <w:jc w:val="center"/>
            </w:pPr>
            <w:r>
              <w:t>0.97</w:t>
            </w:r>
          </w:p>
        </w:tc>
        <w:tc>
          <w:tcPr>
            <w:tcW w:w="789" w:type="dxa"/>
            <w:noWrap w:val="0"/>
            <w:vAlign w:val="top"/>
          </w:tcPr>
          <w:p>
            <w:pPr>
              <w:spacing w:line="360" w:lineRule="auto"/>
              <w:jc w:val="center"/>
            </w:pPr>
            <w:r>
              <w:t>1.02</w:t>
            </w:r>
          </w:p>
        </w:tc>
        <w:tc>
          <w:tcPr>
            <w:tcW w:w="788" w:type="dxa"/>
            <w:noWrap w:val="0"/>
            <w:vAlign w:val="top"/>
          </w:tcPr>
          <w:p>
            <w:pPr>
              <w:spacing w:line="360" w:lineRule="auto"/>
              <w:jc w:val="center"/>
            </w:pPr>
            <w:r>
              <w:t>1.04</w:t>
            </w:r>
          </w:p>
        </w:tc>
      </w:tr>
    </w:tbl>
    <w:p>
      <w:pPr>
        <w:pStyle w:val="103"/>
        <w:spacing w:line="360" w:lineRule="auto"/>
        <w:ind w:firstLine="228" w:firstLineChars="95"/>
        <w:rPr>
          <w:rFonts w:ascii="Times New Roman"/>
          <w:sz w:val="24"/>
          <w:szCs w:val="24"/>
        </w:rPr>
      </w:pPr>
    </w:p>
    <w:p>
      <w:pPr>
        <w:spacing w:line="360" w:lineRule="auto"/>
        <w:ind w:firstLine="420" w:firstLineChars="200"/>
        <w:rPr>
          <w:rFonts w:hint="default" w:eastAsia="宋体"/>
          <w:lang w:val="en-US" w:eastAsia="zh-CN"/>
        </w:rPr>
      </w:pPr>
      <w:r>
        <w:t>详细考察了锡对铋的干扰情况，通过向1.00μg/L</w:t>
      </w:r>
      <w:r>
        <w:rPr>
          <w:lang w:val="zh-CN"/>
        </w:rPr>
        <w:t>铋溶液中加入不同量的锡，测定溶液中铋的浓度，其结果见表</w:t>
      </w:r>
      <w:r>
        <w:t>1</w:t>
      </w:r>
      <w:r>
        <w:rPr>
          <w:rFonts w:hint="eastAsia"/>
          <w:lang w:val="en-US" w:eastAsia="zh-CN"/>
        </w:rPr>
        <w:t>2</w:t>
      </w:r>
      <w:r>
        <w:rPr>
          <w:rFonts w:hint="eastAsia"/>
        </w:rPr>
        <w:t>，</w:t>
      </w:r>
      <w:r>
        <w:t>结果表明，随着锡的加入量增大，所产生的干扰逐级增大，400倍的锡对铋的测定不干扰</w:t>
      </w:r>
      <w:r>
        <w:rPr>
          <w:rFonts w:hint="eastAsia"/>
          <w:lang w:val="en-US" w:eastAsia="zh-CN"/>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表1</w:t>
      </w:r>
      <w:r>
        <w:rPr>
          <w:rFonts w:hint="eastAsia" w:cs="Times New Roman"/>
          <w:sz w:val="21"/>
          <w:szCs w:val="21"/>
          <w:lang w:val="en-US" w:eastAsia="zh-CN"/>
        </w:rPr>
        <w:t>2</w:t>
      </w:r>
      <w:r>
        <w:rPr>
          <w:rFonts w:eastAsia="宋体" w:cs="Times New Roman"/>
          <w:sz w:val="21"/>
          <w:szCs w:val="21"/>
        </w:rPr>
        <w:t xml:space="preserve"> 锡元素对铋元素的影响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734"/>
        <w:gridCol w:w="734"/>
        <w:gridCol w:w="734"/>
        <w:gridCol w:w="734"/>
        <w:gridCol w:w="734"/>
        <w:gridCol w:w="734"/>
        <w:gridCol w:w="734"/>
        <w:gridCol w:w="734"/>
        <w:gridCol w:w="73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noWrap w:val="0"/>
            <w:vAlign w:val="top"/>
          </w:tcPr>
          <w:p>
            <w:pPr>
              <w:spacing w:line="360" w:lineRule="auto"/>
              <w:jc w:val="center"/>
            </w:pPr>
            <w:r>
              <w:t>锡加入量（μg/mL</w:t>
            </w:r>
            <w:r>
              <w:rPr>
                <w:lang w:val="zh-CN"/>
              </w:rPr>
              <w:t>）</w:t>
            </w:r>
          </w:p>
        </w:tc>
        <w:tc>
          <w:tcPr>
            <w:tcW w:w="734" w:type="dxa"/>
            <w:noWrap w:val="0"/>
            <w:vAlign w:val="top"/>
          </w:tcPr>
          <w:p>
            <w:pPr>
              <w:spacing w:line="360" w:lineRule="auto"/>
              <w:jc w:val="center"/>
            </w:pPr>
            <w:r>
              <w:t>4</w:t>
            </w:r>
          </w:p>
        </w:tc>
        <w:tc>
          <w:tcPr>
            <w:tcW w:w="734" w:type="dxa"/>
            <w:noWrap w:val="0"/>
            <w:vAlign w:val="top"/>
          </w:tcPr>
          <w:p>
            <w:pPr>
              <w:spacing w:line="360" w:lineRule="auto"/>
              <w:jc w:val="center"/>
            </w:pPr>
            <w:r>
              <w:t>20</w:t>
            </w:r>
          </w:p>
        </w:tc>
        <w:tc>
          <w:tcPr>
            <w:tcW w:w="734" w:type="dxa"/>
            <w:noWrap w:val="0"/>
            <w:vAlign w:val="top"/>
          </w:tcPr>
          <w:p>
            <w:pPr>
              <w:spacing w:line="360" w:lineRule="auto"/>
              <w:jc w:val="center"/>
            </w:pPr>
            <w:r>
              <w:t>40</w:t>
            </w:r>
          </w:p>
        </w:tc>
        <w:tc>
          <w:tcPr>
            <w:tcW w:w="734" w:type="dxa"/>
            <w:noWrap w:val="0"/>
            <w:vAlign w:val="top"/>
          </w:tcPr>
          <w:p>
            <w:pPr>
              <w:spacing w:line="360" w:lineRule="auto"/>
              <w:jc w:val="center"/>
            </w:pPr>
            <w:r>
              <w:t>80</w:t>
            </w:r>
          </w:p>
        </w:tc>
        <w:tc>
          <w:tcPr>
            <w:tcW w:w="734" w:type="dxa"/>
            <w:noWrap w:val="0"/>
            <w:vAlign w:val="top"/>
          </w:tcPr>
          <w:p>
            <w:pPr>
              <w:spacing w:line="360" w:lineRule="auto"/>
              <w:jc w:val="center"/>
            </w:pPr>
            <w:r>
              <w:t>200</w:t>
            </w:r>
          </w:p>
        </w:tc>
        <w:tc>
          <w:tcPr>
            <w:tcW w:w="734" w:type="dxa"/>
            <w:noWrap w:val="0"/>
            <w:vAlign w:val="top"/>
          </w:tcPr>
          <w:p>
            <w:pPr>
              <w:spacing w:line="360" w:lineRule="auto"/>
              <w:jc w:val="center"/>
            </w:pPr>
            <w:r>
              <w:t>400</w:t>
            </w:r>
          </w:p>
        </w:tc>
        <w:tc>
          <w:tcPr>
            <w:tcW w:w="734" w:type="dxa"/>
            <w:noWrap w:val="0"/>
            <w:vAlign w:val="top"/>
          </w:tcPr>
          <w:p>
            <w:pPr>
              <w:spacing w:line="360" w:lineRule="auto"/>
              <w:jc w:val="center"/>
            </w:pPr>
            <w:r>
              <w:t>600</w:t>
            </w:r>
          </w:p>
        </w:tc>
        <w:tc>
          <w:tcPr>
            <w:tcW w:w="734" w:type="dxa"/>
            <w:noWrap w:val="0"/>
            <w:vAlign w:val="top"/>
          </w:tcPr>
          <w:p>
            <w:pPr>
              <w:spacing w:line="360" w:lineRule="auto"/>
              <w:jc w:val="center"/>
            </w:pPr>
            <w:r>
              <w:t>800</w:t>
            </w:r>
          </w:p>
        </w:tc>
        <w:tc>
          <w:tcPr>
            <w:tcW w:w="734" w:type="dxa"/>
            <w:noWrap w:val="0"/>
            <w:vAlign w:val="top"/>
          </w:tcPr>
          <w:p>
            <w:pPr>
              <w:spacing w:line="360" w:lineRule="auto"/>
              <w:jc w:val="center"/>
            </w:pPr>
            <w:r>
              <w:t>1000</w:t>
            </w:r>
          </w:p>
        </w:tc>
        <w:tc>
          <w:tcPr>
            <w:tcW w:w="735" w:type="dxa"/>
            <w:noWrap w:val="0"/>
            <w:vAlign w:val="top"/>
          </w:tcPr>
          <w:p>
            <w:pPr>
              <w:spacing w:line="360" w:lineRule="auto"/>
              <w:jc w:val="center"/>
            </w:pPr>
            <w: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noWrap w:val="0"/>
            <w:vAlign w:val="top"/>
          </w:tcPr>
          <w:p>
            <w:pPr>
              <w:spacing w:line="360" w:lineRule="auto"/>
              <w:jc w:val="center"/>
            </w:pPr>
            <w:r>
              <w:t>Bi测定值</w:t>
            </w:r>
          </w:p>
        </w:tc>
        <w:tc>
          <w:tcPr>
            <w:tcW w:w="734" w:type="dxa"/>
            <w:noWrap w:val="0"/>
            <w:vAlign w:val="top"/>
          </w:tcPr>
          <w:p>
            <w:pPr>
              <w:spacing w:line="360" w:lineRule="auto"/>
              <w:jc w:val="center"/>
            </w:pPr>
            <w:r>
              <w:t>1.00</w:t>
            </w:r>
          </w:p>
        </w:tc>
        <w:tc>
          <w:tcPr>
            <w:tcW w:w="734" w:type="dxa"/>
            <w:noWrap w:val="0"/>
            <w:vAlign w:val="top"/>
          </w:tcPr>
          <w:p>
            <w:pPr>
              <w:spacing w:line="360" w:lineRule="auto"/>
              <w:jc w:val="center"/>
            </w:pPr>
            <w:r>
              <w:t>1.04</w:t>
            </w:r>
          </w:p>
        </w:tc>
        <w:tc>
          <w:tcPr>
            <w:tcW w:w="734" w:type="dxa"/>
            <w:noWrap w:val="0"/>
            <w:vAlign w:val="top"/>
          </w:tcPr>
          <w:p>
            <w:pPr>
              <w:spacing w:line="360" w:lineRule="auto"/>
              <w:jc w:val="center"/>
            </w:pPr>
            <w:r>
              <w:t>1.06</w:t>
            </w:r>
          </w:p>
        </w:tc>
        <w:tc>
          <w:tcPr>
            <w:tcW w:w="734" w:type="dxa"/>
            <w:noWrap w:val="0"/>
            <w:vAlign w:val="top"/>
          </w:tcPr>
          <w:p>
            <w:pPr>
              <w:spacing w:line="360" w:lineRule="auto"/>
              <w:jc w:val="center"/>
            </w:pPr>
            <w:r>
              <w:t>1.05</w:t>
            </w:r>
          </w:p>
        </w:tc>
        <w:tc>
          <w:tcPr>
            <w:tcW w:w="734" w:type="dxa"/>
            <w:noWrap w:val="0"/>
            <w:vAlign w:val="top"/>
          </w:tcPr>
          <w:p>
            <w:pPr>
              <w:spacing w:line="360" w:lineRule="auto"/>
              <w:jc w:val="center"/>
            </w:pPr>
            <w:r>
              <w:t>1.03</w:t>
            </w:r>
          </w:p>
        </w:tc>
        <w:tc>
          <w:tcPr>
            <w:tcW w:w="734" w:type="dxa"/>
            <w:noWrap w:val="0"/>
            <w:vAlign w:val="top"/>
          </w:tcPr>
          <w:p>
            <w:pPr>
              <w:spacing w:line="360" w:lineRule="auto"/>
              <w:jc w:val="center"/>
            </w:pPr>
            <w:r>
              <w:t>0.97</w:t>
            </w:r>
          </w:p>
        </w:tc>
        <w:tc>
          <w:tcPr>
            <w:tcW w:w="734" w:type="dxa"/>
            <w:noWrap w:val="0"/>
            <w:vAlign w:val="top"/>
          </w:tcPr>
          <w:p>
            <w:pPr>
              <w:spacing w:line="360" w:lineRule="auto"/>
              <w:jc w:val="center"/>
            </w:pPr>
            <w:r>
              <w:t>0.87</w:t>
            </w:r>
          </w:p>
        </w:tc>
        <w:tc>
          <w:tcPr>
            <w:tcW w:w="734" w:type="dxa"/>
            <w:noWrap w:val="0"/>
            <w:vAlign w:val="top"/>
          </w:tcPr>
          <w:p>
            <w:pPr>
              <w:spacing w:line="360" w:lineRule="auto"/>
              <w:jc w:val="center"/>
            </w:pPr>
            <w:r>
              <w:t>0.81</w:t>
            </w:r>
          </w:p>
        </w:tc>
        <w:tc>
          <w:tcPr>
            <w:tcW w:w="734" w:type="dxa"/>
            <w:noWrap w:val="0"/>
            <w:vAlign w:val="top"/>
          </w:tcPr>
          <w:p>
            <w:pPr>
              <w:spacing w:line="360" w:lineRule="auto"/>
              <w:jc w:val="center"/>
            </w:pPr>
            <w:r>
              <w:t>0.78</w:t>
            </w:r>
          </w:p>
        </w:tc>
        <w:tc>
          <w:tcPr>
            <w:tcW w:w="735" w:type="dxa"/>
            <w:noWrap w:val="0"/>
            <w:vAlign w:val="top"/>
          </w:tcPr>
          <w:p>
            <w:pPr>
              <w:spacing w:line="360" w:lineRule="auto"/>
              <w:jc w:val="center"/>
            </w:pPr>
            <w:r>
              <w:t>0.44</w:t>
            </w:r>
          </w:p>
        </w:tc>
      </w:tr>
    </w:tbl>
    <w:p>
      <w:pPr>
        <w:spacing w:line="360" w:lineRule="auto"/>
      </w:pPr>
    </w:p>
    <w:p>
      <w:pPr>
        <w:spacing w:line="360" w:lineRule="auto"/>
        <w:ind w:firstLine="420" w:firstLineChars="200"/>
      </w:pPr>
      <w:r>
        <w:rPr>
          <w:lang w:val="zh-CN"/>
        </w:rPr>
        <w:t>为了消除样品中锡对</w:t>
      </w:r>
      <w:r>
        <w:rPr>
          <w:rFonts w:hint="eastAsia"/>
          <w:lang w:val="en-US" w:eastAsia="zh-CN"/>
        </w:rPr>
        <w:t>低含量</w:t>
      </w:r>
      <w:r>
        <w:rPr>
          <w:lang w:val="zh-CN"/>
        </w:rPr>
        <w:t>铋元素测定的干扰，在溶样过程中加入</w:t>
      </w:r>
      <w:r>
        <w:t>氢溴酸（2.4）除锡。为了验证氢溴酸的除锡效果能否完全消除锡的干扰，以锡粒（Sn含量为99.99%）作为试样，分别按照试验方法溶样后，每次加入5mL氢溴酸除锡，考察加入不同次数的氢溴酸除锡后锡的剩余量，平行做3次，结果见表1</w:t>
      </w:r>
      <w:r>
        <w:rPr>
          <w:rFonts w:hint="eastAsia"/>
          <w:lang w:val="en-US" w:eastAsia="zh-CN"/>
        </w:rPr>
        <w:t>3</w:t>
      </w:r>
      <w:r>
        <w:t>。</w:t>
      </w:r>
    </w:p>
    <w:p>
      <w:pPr>
        <w:pStyle w:val="103"/>
        <w:spacing w:line="360" w:lineRule="auto"/>
        <w:ind w:firstLine="200" w:firstLineChars="95"/>
        <w:jc w:val="center"/>
        <w:rPr>
          <w:rFonts w:ascii="Times New Roman"/>
          <w:b/>
          <w:bCs/>
          <w:sz w:val="21"/>
          <w:szCs w:val="21"/>
        </w:rPr>
      </w:pPr>
      <w:r>
        <w:rPr>
          <w:rFonts w:ascii="Times New Roman"/>
          <w:b/>
          <w:bCs/>
          <w:sz w:val="21"/>
          <w:szCs w:val="21"/>
        </w:rPr>
        <w:t>表1</w:t>
      </w:r>
      <w:r>
        <w:rPr>
          <w:rFonts w:hint="eastAsia" w:ascii="Times New Roman"/>
          <w:b/>
          <w:bCs/>
          <w:sz w:val="21"/>
          <w:szCs w:val="21"/>
          <w:lang w:val="en-US" w:eastAsia="zh-CN"/>
        </w:rPr>
        <w:t>3</w:t>
      </w:r>
      <w:r>
        <w:rPr>
          <w:rFonts w:ascii="Times New Roman"/>
          <w:b/>
          <w:bCs/>
          <w:sz w:val="21"/>
          <w:szCs w:val="21"/>
        </w:rPr>
        <w:t xml:space="preserve"> 加入</w:t>
      </w:r>
      <w:r>
        <w:rPr>
          <w:rFonts w:hint="eastAsia" w:ascii="Times New Roman"/>
          <w:b/>
          <w:bCs/>
          <w:sz w:val="21"/>
          <w:szCs w:val="21"/>
        </w:rPr>
        <w:t>不同</w:t>
      </w:r>
      <w:r>
        <w:rPr>
          <w:rFonts w:ascii="Times New Roman"/>
          <w:b/>
          <w:bCs/>
          <w:sz w:val="21"/>
          <w:szCs w:val="21"/>
        </w:rPr>
        <w:t>次数</w:t>
      </w:r>
      <w:r>
        <w:rPr>
          <w:rFonts w:hint="eastAsia" w:ascii="Times New Roman"/>
          <w:b/>
          <w:bCs/>
          <w:sz w:val="21"/>
          <w:szCs w:val="21"/>
        </w:rPr>
        <w:t>氢溴酸</w:t>
      </w:r>
      <w:r>
        <w:rPr>
          <w:rFonts w:ascii="Times New Roman"/>
          <w:b/>
          <w:bCs/>
          <w:sz w:val="21"/>
          <w:szCs w:val="21"/>
        </w:rPr>
        <w:t>后锡的剩余量</w:t>
      </w:r>
    </w:p>
    <w:tbl>
      <w:tblPr>
        <w:tblStyle w:val="37"/>
        <w:tblW w:w="0" w:type="auto"/>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6"/>
        <w:gridCol w:w="1440"/>
        <w:gridCol w:w="2025"/>
        <w:gridCol w:w="20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56" w:type="dxa"/>
            <w:noWrap/>
            <w:tcMar>
              <w:top w:w="15" w:type="dxa"/>
              <w:left w:w="15" w:type="dxa"/>
              <w:right w:w="15" w:type="dxa"/>
            </w:tcMar>
            <w:vAlign w:val="center"/>
          </w:tcPr>
          <w:p>
            <w:pPr>
              <w:widowControl/>
              <w:spacing w:line="360" w:lineRule="auto"/>
              <w:jc w:val="left"/>
              <w:textAlignment w:val="center"/>
              <w:rPr>
                <w:color w:val="000000"/>
              </w:rPr>
            </w:pPr>
            <w:r>
              <w:rPr>
                <w:color w:val="000000"/>
                <w:kern w:val="0"/>
                <w:lang w:bidi="ar"/>
              </w:rPr>
              <w:t>加入</w:t>
            </w:r>
            <w:r>
              <w:rPr>
                <w:rFonts w:hint="eastAsia"/>
                <w:color w:val="000000"/>
                <w:kern w:val="0"/>
                <w:lang w:bidi="ar"/>
              </w:rPr>
              <w:t>氢溴酸</w:t>
            </w:r>
            <w:r>
              <w:rPr>
                <w:color w:val="000000"/>
                <w:kern w:val="0"/>
                <w:lang w:bidi="ar"/>
              </w:rPr>
              <w:t>次数</w:t>
            </w:r>
          </w:p>
        </w:tc>
        <w:tc>
          <w:tcPr>
            <w:tcW w:w="144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w:t>
            </w: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2</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3</w:t>
            </w:r>
          </w:p>
        </w:tc>
        <w:tc>
          <w:tcPr>
            <w:tcW w:w="178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56" w:type="dxa"/>
            <w:vMerge w:val="restart"/>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锡含量%</w:t>
            </w:r>
          </w:p>
        </w:tc>
        <w:tc>
          <w:tcPr>
            <w:tcW w:w="144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33.62</w:t>
            </w: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rPr>
              <w:t>3.024</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0.024</w:t>
            </w:r>
          </w:p>
        </w:tc>
        <w:tc>
          <w:tcPr>
            <w:tcW w:w="178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56" w:type="dxa"/>
            <w:vMerge w:val="continue"/>
            <w:noWrap/>
            <w:tcMar>
              <w:top w:w="15" w:type="dxa"/>
              <w:left w:w="15" w:type="dxa"/>
              <w:right w:w="15" w:type="dxa"/>
            </w:tcMar>
            <w:vAlign w:val="center"/>
          </w:tcPr>
          <w:p>
            <w:pPr>
              <w:spacing w:line="360" w:lineRule="auto"/>
              <w:jc w:val="center"/>
              <w:rPr>
                <w:color w:val="000000"/>
              </w:rPr>
            </w:pPr>
          </w:p>
        </w:tc>
        <w:tc>
          <w:tcPr>
            <w:tcW w:w="144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17.17</w:t>
            </w: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rPr>
              <w:t>0.893</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0.021</w:t>
            </w:r>
          </w:p>
        </w:tc>
        <w:tc>
          <w:tcPr>
            <w:tcW w:w="178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56" w:type="dxa"/>
            <w:vMerge w:val="continue"/>
            <w:noWrap/>
            <w:tcMar>
              <w:top w:w="15" w:type="dxa"/>
              <w:left w:w="15" w:type="dxa"/>
              <w:right w:w="15" w:type="dxa"/>
            </w:tcMar>
            <w:vAlign w:val="center"/>
          </w:tcPr>
          <w:p>
            <w:pPr>
              <w:spacing w:line="360" w:lineRule="auto"/>
              <w:jc w:val="center"/>
              <w:rPr>
                <w:color w:val="000000"/>
              </w:rPr>
            </w:pPr>
          </w:p>
        </w:tc>
        <w:tc>
          <w:tcPr>
            <w:tcW w:w="144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23.29</w:t>
            </w:r>
          </w:p>
        </w:tc>
        <w:tc>
          <w:tcPr>
            <w:tcW w:w="2025" w:type="dxa"/>
            <w:noWrap/>
            <w:tcMar>
              <w:top w:w="15" w:type="dxa"/>
              <w:left w:w="15" w:type="dxa"/>
              <w:right w:w="15" w:type="dxa"/>
            </w:tcMar>
            <w:vAlign w:val="center"/>
          </w:tcPr>
          <w:p>
            <w:pPr>
              <w:widowControl/>
              <w:spacing w:line="360" w:lineRule="auto"/>
              <w:jc w:val="center"/>
              <w:textAlignment w:val="center"/>
              <w:rPr>
                <w:color w:val="000000"/>
              </w:rPr>
            </w:pPr>
            <w:r>
              <w:rPr>
                <w:color w:val="000000"/>
              </w:rPr>
              <w:t>3.242</w:t>
            </w:r>
          </w:p>
        </w:tc>
        <w:tc>
          <w:tcPr>
            <w:tcW w:w="2070"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0.024</w:t>
            </w:r>
          </w:p>
        </w:tc>
        <w:tc>
          <w:tcPr>
            <w:tcW w:w="1785" w:type="dxa"/>
            <w:noWrap/>
            <w:tcMar>
              <w:top w:w="15" w:type="dxa"/>
              <w:left w:w="15" w:type="dxa"/>
              <w:right w:w="15" w:type="dxa"/>
            </w:tcMar>
            <w:vAlign w:val="center"/>
          </w:tcPr>
          <w:p>
            <w:pPr>
              <w:widowControl/>
              <w:spacing w:line="360" w:lineRule="auto"/>
              <w:jc w:val="center"/>
              <w:textAlignment w:val="center"/>
              <w:rPr>
                <w:color w:val="000000"/>
              </w:rPr>
            </w:pPr>
            <w:r>
              <w:rPr>
                <w:color w:val="000000"/>
                <w:kern w:val="0"/>
                <w:lang w:bidi="ar"/>
              </w:rPr>
              <w:t>0.009</w:t>
            </w:r>
          </w:p>
        </w:tc>
      </w:tr>
    </w:tbl>
    <w:p>
      <w:pPr>
        <w:spacing w:line="360" w:lineRule="auto"/>
        <w:ind w:firstLine="420" w:firstLineChars="200"/>
      </w:pPr>
    </w:p>
    <w:p>
      <w:pPr>
        <w:spacing w:line="360" w:lineRule="auto"/>
        <w:ind w:firstLine="420" w:firstLineChars="200"/>
        <w:rPr>
          <w:rFonts w:hint="default" w:eastAsia="宋体"/>
          <w:lang w:val="en-US" w:eastAsia="zh-CN"/>
        </w:rPr>
      </w:pPr>
      <w:r>
        <w:t>试验表明，加入氢溴酸三次后，锡已经基本除尽，粗锡中铋样品的最低浓度为0.04%，而99.99%的锡经过加入三次混合酸后，锡的余量为0.02%，其含量为铋的0.02%/0.04%=0.5倍，而400倍的锡对铋的测定不干扰，因此通过溶样方法处理后，锡的干扰已经消除。</w:t>
      </w:r>
      <w:r>
        <w:rPr>
          <w:rFonts w:hint="eastAsia"/>
          <w:lang w:val="en-US" w:eastAsia="zh-CN"/>
        </w:rPr>
        <w:t>由于不除尽，赶高氯酸会发生迸溅，因此加入HBr过程需要重复2~3次。</w:t>
      </w:r>
    </w:p>
    <w:p>
      <w:pPr>
        <w:pStyle w:val="5"/>
        <w:spacing w:line="360" w:lineRule="auto"/>
      </w:pPr>
      <w:r>
        <w:rPr>
          <w:rFonts w:hint="eastAsia"/>
          <w:lang w:eastAsia="zh-CN"/>
        </w:rPr>
        <w:t>（</w:t>
      </w:r>
      <w:r>
        <w:rPr>
          <w:rFonts w:hint="eastAsia"/>
          <w:lang w:val="en-US" w:eastAsia="zh-CN"/>
        </w:rPr>
        <w:t>2</w:t>
      </w:r>
      <w:r>
        <w:rPr>
          <w:rFonts w:hint="eastAsia"/>
          <w:lang w:eastAsia="zh-CN"/>
        </w:rPr>
        <w:t>）</w:t>
      </w:r>
      <w:r>
        <w:t xml:space="preserve"> 混合元素的干扰</w:t>
      </w:r>
    </w:p>
    <w:p>
      <w:pPr>
        <w:spacing w:line="360" w:lineRule="auto"/>
        <w:ind w:firstLine="420" w:firstLineChars="200"/>
      </w:pPr>
      <w:r>
        <w:t>向100ml容量瓶中分别加入铋标准溶液</w:t>
      </w:r>
      <w:r>
        <w:rPr>
          <w:rFonts w:hint="eastAsia"/>
        </w:rPr>
        <w:t>，</w:t>
      </w:r>
      <w:r>
        <w:t xml:space="preserve">使其浓度为1.00 </w:t>
      </w:r>
      <w:r>
        <w:rPr/>
        <w:sym w:font="Symbol" w:char="F06D"/>
      </w:r>
      <w:r>
        <w:t>g/mL的单元素标准溶液，通过在标准溶液中加入表1</w:t>
      </w:r>
      <w:r>
        <w:rPr>
          <w:rFonts w:hint="eastAsia"/>
          <w:lang w:val="en-US" w:eastAsia="zh-CN"/>
        </w:rPr>
        <w:t>4</w:t>
      </w:r>
      <w:r>
        <w:t>中浓度的基体元素进行干扰实验，其中锡元素在溶样过程中已经除去，此处不予考虑，浓度测定结果（已扣除基体空白）见表15。</w:t>
      </w:r>
      <w:r>
        <w:rPr>
          <w:bCs/>
          <w:lang w:val="zh-CN"/>
        </w:rPr>
        <w:t>结果表明，粗锡中</w:t>
      </w:r>
      <w:r>
        <w:t>共存元素不干扰铋的测定。</w:t>
      </w:r>
    </w:p>
    <w:p>
      <w:pPr>
        <w:pStyle w:val="103"/>
        <w:spacing w:line="360" w:lineRule="auto"/>
        <w:ind w:firstLine="228" w:firstLineChars="95"/>
        <w:rPr>
          <w:rFonts w:ascii="Times New Roman"/>
          <w:sz w:val="24"/>
          <w:szCs w:val="24"/>
          <w:lang w:val="zh-CN"/>
        </w:rPr>
      </w:pPr>
    </w:p>
    <w:p>
      <w:pPr>
        <w:pStyle w:val="3"/>
        <w:keepNext w:val="0"/>
        <w:keepLines w:val="0"/>
        <w:spacing w:line="360" w:lineRule="auto"/>
        <w:jc w:val="center"/>
        <w:rPr>
          <w:rFonts w:eastAsia="宋体" w:cs="Times New Roman"/>
          <w:b/>
          <w:sz w:val="21"/>
          <w:szCs w:val="21"/>
        </w:rPr>
      </w:pPr>
      <w:r>
        <w:rPr>
          <w:rFonts w:eastAsia="宋体" w:cs="Times New Roman"/>
          <w:b/>
          <w:sz w:val="21"/>
          <w:szCs w:val="21"/>
        </w:rPr>
        <w:t>表1</w:t>
      </w:r>
      <w:r>
        <w:rPr>
          <w:rFonts w:hint="eastAsia" w:cs="Times New Roman"/>
          <w:b/>
          <w:sz w:val="21"/>
          <w:szCs w:val="21"/>
          <w:lang w:val="en-US" w:eastAsia="zh-CN"/>
        </w:rPr>
        <w:t>4</w:t>
      </w:r>
      <w:r>
        <w:rPr>
          <w:rFonts w:eastAsia="宋体" w:cs="Times New Roman"/>
          <w:b/>
          <w:sz w:val="21"/>
          <w:szCs w:val="21"/>
        </w:rPr>
        <w:t xml:space="preserve"> 混合离子干扰实验测定结果（单位：</w:t>
      </w:r>
      <w:r>
        <w:rPr>
          <w:rFonts w:eastAsia="宋体" w:cs="Times New Roman"/>
          <w:b/>
          <w:sz w:val="21"/>
          <w:szCs w:val="21"/>
        </w:rPr>
        <w:sym w:font="Symbol" w:char="F06D"/>
      </w:r>
      <w:r>
        <w:rPr>
          <w:rFonts w:eastAsia="宋体" w:cs="Times New Roman"/>
          <w:b/>
          <w:sz w:val="21"/>
          <w:szCs w:val="21"/>
        </w:rPr>
        <w:t>g/mL）</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5"/>
        <w:gridCol w:w="6206"/>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65" w:type="dxa"/>
            <w:noWrap w:val="0"/>
            <w:vAlign w:val="center"/>
          </w:tcPr>
          <w:p>
            <w:pPr>
              <w:widowControl/>
              <w:spacing w:line="360" w:lineRule="auto"/>
              <w:jc w:val="center"/>
            </w:pPr>
            <w:r>
              <w:t>待测元素</w:t>
            </w:r>
          </w:p>
        </w:tc>
        <w:tc>
          <w:tcPr>
            <w:tcW w:w="6206" w:type="dxa"/>
            <w:noWrap w:val="0"/>
            <w:vAlign w:val="center"/>
          </w:tcPr>
          <w:p>
            <w:pPr>
              <w:widowControl/>
              <w:spacing w:line="360" w:lineRule="auto"/>
              <w:jc w:val="center"/>
            </w:pPr>
            <w:r>
              <w:t>共存离子</w:t>
            </w:r>
          </w:p>
        </w:tc>
        <w:tc>
          <w:tcPr>
            <w:tcW w:w="1193" w:type="dxa"/>
            <w:noWrap w:val="0"/>
            <w:vAlign w:val="center"/>
          </w:tcPr>
          <w:p>
            <w:pPr>
              <w:widowControl/>
              <w:spacing w:line="360" w:lineRule="auto"/>
              <w:jc w:val="center"/>
            </w:pPr>
            <w:r>
              <w:t>测定值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4" w:hRule="atLeast"/>
          <w:jc w:val="center"/>
        </w:trPr>
        <w:tc>
          <w:tcPr>
            <w:tcW w:w="1165" w:type="dxa"/>
            <w:noWrap w:val="0"/>
            <w:vAlign w:val="center"/>
          </w:tcPr>
          <w:p>
            <w:pPr>
              <w:widowControl/>
              <w:spacing w:line="360" w:lineRule="auto"/>
              <w:jc w:val="center"/>
            </w:pPr>
            <w:r>
              <w:t>Bi</w:t>
            </w:r>
          </w:p>
        </w:tc>
        <w:tc>
          <w:tcPr>
            <w:tcW w:w="6206" w:type="dxa"/>
            <w:noWrap w:val="0"/>
            <w:vAlign w:val="center"/>
          </w:tcPr>
          <w:p>
            <w:pPr>
              <w:spacing w:line="360" w:lineRule="auto"/>
              <w:jc w:val="center"/>
            </w:pPr>
            <w:r>
              <w:t>500</w:t>
            </w:r>
            <w:r>
              <w:rPr/>
              <w:sym w:font="Symbol" w:char="F06D"/>
            </w:r>
            <w:r>
              <w:t xml:space="preserve">g/mL Pb + 150 </w:t>
            </w:r>
            <w:r>
              <w:rPr/>
              <w:sym w:font="Symbol" w:char="F06D"/>
            </w:r>
            <w:r>
              <w:t xml:space="preserve">g/mL Cu+150 </w:t>
            </w:r>
            <w:r>
              <w:rPr/>
              <w:sym w:font="Symbol" w:char="F06D"/>
            </w:r>
            <w:r>
              <w:t xml:space="preserve">g/mL Sb+100 </w:t>
            </w:r>
            <w:r>
              <w:rPr/>
              <w:sym w:font="Symbol" w:char="F06D"/>
            </w:r>
            <w:r>
              <w:t xml:space="preserve">g/mL Fe +150 </w:t>
            </w:r>
            <w:r>
              <w:rPr/>
              <w:sym w:font="Symbol" w:char="F06D"/>
            </w:r>
            <w:r>
              <w:t xml:space="preserve">g/mL Ni+  10 </w:t>
            </w:r>
            <w:r>
              <w:rPr/>
              <w:sym w:font="Symbol" w:char="F06D"/>
            </w:r>
            <w:r>
              <w:t xml:space="preserve">g/mL As + 1 </w:t>
            </w:r>
            <w:r>
              <w:rPr/>
              <w:sym w:font="Symbol" w:char="F06D"/>
            </w:r>
            <w:r>
              <w:t>g/mL Au</w:t>
            </w:r>
          </w:p>
        </w:tc>
        <w:tc>
          <w:tcPr>
            <w:tcW w:w="1193" w:type="dxa"/>
            <w:noWrap w:val="0"/>
            <w:vAlign w:val="center"/>
          </w:tcPr>
          <w:p>
            <w:pPr>
              <w:spacing w:line="360" w:lineRule="auto"/>
              <w:jc w:val="center"/>
            </w:pPr>
            <w:r>
              <w:t>1.01</w:t>
            </w:r>
          </w:p>
        </w:tc>
      </w:tr>
    </w:tbl>
    <w:p>
      <w:pPr>
        <w:spacing w:line="360" w:lineRule="auto"/>
        <w:ind w:firstLine="420" w:firstLineChars="200"/>
      </w:pPr>
    </w:p>
    <w:p>
      <w:pPr>
        <w:spacing w:line="360" w:lineRule="auto"/>
        <w:ind w:firstLine="420" w:firstLineChars="200"/>
      </w:pPr>
      <w:r>
        <w:t>实验结果表明：在±5%的误差允许范围内，上述离子加入量的条件下，共存离子对测定元素无干扰。</w:t>
      </w:r>
    </w:p>
    <w:p>
      <w:pPr>
        <w:pStyle w:val="5"/>
        <w:spacing w:line="360" w:lineRule="auto"/>
      </w:pPr>
      <w:r>
        <w:rPr>
          <w:rFonts w:hint="eastAsia"/>
          <w:lang w:val="en-US" w:eastAsia="zh-CN"/>
        </w:rPr>
        <w:t>1</w:t>
      </w:r>
      <w:r>
        <w:t>.4 酸度影响</w:t>
      </w:r>
    </w:p>
    <w:p>
      <w:pPr>
        <w:spacing w:line="360" w:lineRule="auto"/>
        <w:ind w:firstLine="435"/>
        <w:rPr>
          <w:b/>
          <w:color w:val="000000"/>
          <w:sz w:val="21"/>
          <w:szCs w:val="21"/>
        </w:rPr>
      </w:pPr>
      <w:r>
        <w:rPr>
          <w:color w:val="000000"/>
          <w:kern w:val="0"/>
        </w:rPr>
        <w:t>由于粗锡中铅含量高达40%，如果使用盐酸介质，最终溶液中的铅以PbCl</w:t>
      </w:r>
      <w:r>
        <w:rPr>
          <w:color w:val="000000"/>
          <w:kern w:val="0"/>
          <w:vertAlign w:val="subscript"/>
        </w:rPr>
        <w:t>2</w:t>
      </w:r>
      <w:r>
        <w:rPr>
          <w:color w:val="000000"/>
          <w:kern w:val="0"/>
        </w:rPr>
        <w:t xml:space="preserve"> 形式存在，而PbCl</w:t>
      </w:r>
      <w:r>
        <w:rPr>
          <w:color w:val="000000"/>
          <w:kern w:val="0"/>
          <w:vertAlign w:val="subscript"/>
        </w:rPr>
        <w:t>2</w:t>
      </w:r>
      <w:r>
        <w:rPr>
          <w:color w:val="000000"/>
          <w:kern w:val="0"/>
        </w:rPr>
        <w:t>难溶于稀盐酸，因此在稀盐酸介质中容易析出，对铋产生吸附，因此本试验以硝酸作为介质。分别试验了不同浓度</w:t>
      </w:r>
      <w:r>
        <w:rPr>
          <w:color w:val="000000"/>
          <w:kern w:val="0"/>
          <w:sz w:val="21"/>
          <w:szCs w:val="21"/>
        </w:rPr>
        <w:t>的硝酸对1.00µg/mL铋标准溶液吸光度值的影响，见表1</w:t>
      </w:r>
      <w:r>
        <w:rPr>
          <w:rFonts w:hint="eastAsia"/>
          <w:color w:val="000000"/>
          <w:kern w:val="0"/>
          <w:sz w:val="21"/>
          <w:szCs w:val="21"/>
          <w:lang w:val="en-US" w:eastAsia="zh-CN"/>
        </w:rPr>
        <w:t>5</w:t>
      </w:r>
      <w:r>
        <w:rPr>
          <w:color w:val="000000"/>
          <w:kern w:val="0"/>
          <w:sz w:val="21"/>
          <w:szCs w:val="21"/>
        </w:rP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表1</w:t>
      </w:r>
      <w:r>
        <w:rPr>
          <w:rFonts w:hint="eastAsia" w:cs="Times New Roman"/>
          <w:sz w:val="21"/>
          <w:szCs w:val="21"/>
          <w:lang w:val="en-US" w:eastAsia="zh-CN"/>
        </w:rPr>
        <w:t>5</w:t>
      </w:r>
      <w:r>
        <w:rPr>
          <w:rFonts w:eastAsia="宋体" w:cs="Times New Roman"/>
          <w:sz w:val="21"/>
          <w:szCs w:val="21"/>
        </w:rPr>
        <w:t xml:space="preserve"> 介质的影响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648"/>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2" w:type="dxa"/>
            <w:noWrap w:val="0"/>
            <w:vAlign w:val="center"/>
          </w:tcPr>
          <w:p>
            <w:pPr>
              <w:spacing w:line="360" w:lineRule="auto"/>
              <w:jc w:val="center"/>
              <w:rPr>
                <w:color w:val="000000"/>
              </w:rPr>
            </w:pPr>
            <w:r>
              <w:rPr>
                <w:color w:val="000000"/>
              </w:rPr>
              <w:t>介质（%）</w:t>
            </w:r>
          </w:p>
        </w:tc>
        <w:tc>
          <w:tcPr>
            <w:tcW w:w="1648" w:type="dxa"/>
            <w:noWrap w:val="0"/>
            <w:vAlign w:val="center"/>
          </w:tcPr>
          <w:p>
            <w:pPr>
              <w:tabs>
                <w:tab w:val="left" w:pos="6300"/>
              </w:tabs>
              <w:spacing w:line="360" w:lineRule="auto"/>
              <w:jc w:val="center"/>
              <w:rPr>
                <w:color w:val="000000"/>
              </w:rPr>
            </w:pPr>
            <w:r>
              <w:rPr>
                <w:i/>
              </w:rPr>
              <w:t>φ</w:t>
            </w:r>
            <w:r>
              <w:t>(H</w:t>
            </w:r>
            <w:r>
              <w:rPr>
                <w:vertAlign w:val="subscript"/>
              </w:rPr>
              <w:t xml:space="preserve"> </w:t>
            </w:r>
            <w:r>
              <w:t>NO</w:t>
            </w:r>
            <w:r>
              <w:rPr>
                <w:vertAlign w:val="subscript"/>
              </w:rPr>
              <w:t>3</w:t>
            </w:r>
            <w:r>
              <w:t>)= 5%</w:t>
            </w:r>
          </w:p>
        </w:tc>
        <w:tc>
          <w:tcPr>
            <w:tcW w:w="1420" w:type="dxa"/>
            <w:noWrap w:val="0"/>
            <w:vAlign w:val="center"/>
          </w:tcPr>
          <w:p>
            <w:pPr>
              <w:tabs>
                <w:tab w:val="left" w:pos="6300"/>
              </w:tabs>
              <w:spacing w:line="360" w:lineRule="auto"/>
              <w:rPr>
                <w:color w:val="000000"/>
              </w:rPr>
            </w:pPr>
            <w:r>
              <w:rPr>
                <w:i/>
              </w:rPr>
              <w:t>φ</w:t>
            </w:r>
            <w:r>
              <w:t>(HNO</w:t>
            </w:r>
            <w:r>
              <w:rPr>
                <w:vertAlign w:val="subscript"/>
              </w:rPr>
              <w:t>3</w:t>
            </w:r>
            <w:r>
              <w:t>)= 10%</w:t>
            </w:r>
          </w:p>
        </w:tc>
        <w:tc>
          <w:tcPr>
            <w:tcW w:w="1420" w:type="dxa"/>
            <w:noWrap w:val="0"/>
            <w:vAlign w:val="center"/>
          </w:tcPr>
          <w:p>
            <w:pPr>
              <w:spacing w:line="360" w:lineRule="auto"/>
              <w:jc w:val="center"/>
              <w:rPr>
                <w:color w:val="000000"/>
              </w:rPr>
            </w:pPr>
            <w:r>
              <w:rPr>
                <w:i/>
              </w:rPr>
              <w:t>φ</w:t>
            </w:r>
            <w:r>
              <w:t>(H</w:t>
            </w:r>
            <w:r>
              <w:rPr>
                <w:vertAlign w:val="subscript"/>
              </w:rPr>
              <w:t xml:space="preserve"> </w:t>
            </w:r>
            <w:r>
              <w:t>NO</w:t>
            </w:r>
            <w:r>
              <w:rPr>
                <w:vertAlign w:val="subscript"/>
              </w:rPr>
              <w:t>3</w:t>
            </w:r>
            <w:r>
              <w:t>)= 15%</w:t>
            </w:r>
          </w:p>
        </w:tc>
        <w:tc>
          <w:tcPr>
            <w:tcW w:w="1420" w:type="dxa"/>
            <w:noWrap w:val="0"/>
            <w:vAlign w:val="center"/>
          </w:tcPr>
          <w:p>
            <w:pPr>
              <w:spacing w:line="360" w:lineRule="auto"/>
              <w:jc w:val="center"/>
              <w:rPr>
                <w:i/>
              </w:rPr>
            </w:pPr>
            <w:r>
              <w:rPr>
                <w:i/>
              </w:rPr>
              <w:t>φ</w:t>
            </w:r>
            <w:r>
              <w:t>(H</w:t>
            </w:r>
            <w:r>
              <w:rPr>
                <w:vertAlign w:val="subscript"/>
              </w:rPr>
              <w:t xml:space="preserve"> </w:t>
            </w:r>
            <w:r>
              <w:t>NO</w:t>
            </w:r>
            <w:r>
              <w:rPr>
                <w:vertAlign w:val="subscript"/>
              </w:rPr>
              <w:t>3</w:t>
            </w:r>
            <w:r>
              <w: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noWrap w:val="0"/>
            <w:vAlign w:val="center"/>
          </w:tcPr>
          <w:p>
            <w:pPr>
              <w:spacing w:line="360" w:lineRule="auto"/>
              <w:jc w:val="center"/>
              <w:rPr>
                <w:color w:val="000000"/>
              </w:rPr>
            </w:pPr>
            <w:r>
              <w:rPr>
                <w:color w:val="000000"/>
              </w:rPr>
              <w:t>Abs</w:t>
            </w:r>
          </w:p>
        </w:tc>
        <w:tc>
          <w:tcPr>
            <w:tcW w:w="1648" w:type="dxa"/>
            <w:noWrap w:val="0"/>
            <w:vAlign w:val="center"/>
          </w:tcPr>
          <w:p>
            <w:pPr>
              <w:spacing w:line="360" w:lineRule="auto"/>
              <w:jc w:val="center"/>
              <w:rPr>
                <w:color w:val="000000"/>
              </w:rPr>
            </w:pPr>
            <w:r>
              <w:rPr>
                <w:color w:val="000000"/>
              </w:rPr>
              <w:t>0.0256</w:t>
            </w:r>
          </w:p>
        </w:tc>
        <w:tc>
          <w:tcPr>
            <w:tcW w:w="1420" w:type="dxa"/>
            <w:noWrap w:val="0"/>
            <w:vAlign w:val="center"/>
          </w:tcPr>
          <w:p>
            <w:pPr>
              <w:spacing w:line="360" w:lineRule="auto"/>
              <w:jc w:val="center"/>
              <w:rPr>
                <w:color w:val="000000"/>
              </w:rPr>
            </w:pPr>
            <w:r>
              <w:rPr>
                <w:color w:val="000000"/>
              </w:rPr>
              <w:t>0.0252</w:t>
            </w:r>
          </w:p>
        </w:tc>
        <w:tc>
          <w:tcPr>
            <w:tcW w:w="1420" w:type="dxa"/>
            <w:noWrap w:val="0"/>
            <w:vAlign w:val="center"/>
          </w:tcPr>
          <w:p>
            <w:pPr>
              <w:spacing w:line="360" w:lineRule="auto"/>
              <w:jc w:val="center"/>
              <w:rPr>
                <w:color w:val="000000"/>
              </w:rPr>
            </w:pPr>
            <w:r>
              <w:rPr>
                <w:color w:val="000000"/>
              </w:rPr>
              <w:t>0.0261</w:t>
            </w:r>
          </w:p>
        </w:tc>
        <w:tc>
          <w:tcPr>
            <w:tcW w:w="1420" w:type="dxa"/>
            <w:noWrap w:val="0"/>
            <w:vAlign w:val="center"/>
          </w:tcPr>
          <w:p>
            <w:pPr>
              <w:spacing w:line="360" w:lineRule="auto"/>
              <w:jc w:val="center"/>
              <w:rPr>
                <w:color w:val="000000"/>
              </w:rPr>
            </w:pPr>
            <w:r>
              <w:rPr>
                <w:color w:val="000000"/>
              </w:rPr>
              <w:t>0.0252</w:t>
            </w:r>
          </w:p>
        </w:tc>
      </w:tr>
    </w:tbl>
    <w:p>
      <w:pPr>
        <w:spacing w:line="360" w:lineRule="auto"/>
        <w:ind w:firstLine="420" w:firstLineChars="200"/>
        <w:rPr>
          <w:color w:val="000000"/>
          <w:kern w:val="0"/>
        </w:rPr>
      </w:pPr>
    </w:p>
    <w:p>
      <w:pPr>
        <w:spacing w:line="360" w:lineRule="auto"/>
        <w:ind w:firstLine="420" w:firstLineChars="200"/>
        <w:rPr>
          <w:color w:val="000000"/>
          <w:kern w:val="0"/>
        </w:rPr>
      </w:pPr>
      <w:r>
        <w:rPr>
          <w:color w:val="000000"/>
          <w:kern w:val="0"/>
        </w:rPr>
        <w:t>从实验数据可以看出，5%~20%硝酸的存在对吸光度的测定基本没有影响，考虑到粗锡中含铋为易水解的元素，为防止水解和保证一定的酸度，使溶液更加澄清透亮，本方案选用10%的硝酸作为测定介质。</w:t>
      </w:r>
    </w:p>
    <w:p>
      <w:pPr>
        <w:pStyle w:val="5"/>
        <w:spacing w:line="360" w:lineRule="auto"/>
      </w:pPr>
      <w:r>
        <w:rPr>
          <w:rFonts w:hint="eastAsia"/>
          <w:lang w:val="en-US" w:eastAsia="zh-CN"/>
        </w:rPr>
        <w:t>1</w:t>
      </w:r>
      <w:r>
        <w:t>.5  溶解试验</w:t>
      </w:r>
    </w:p>
    <w:p>
      <w:pPr>
        <w:spacing w:line="360" w:lineRule="auto"/>
        <w:ind w:firstLine="420" w:firstLineChars="200"/>
      </w:pPr>
      <w:r>
        <w:t>分别采用不同的</w:t>
      </w:r>
      <w:r>
        <w:rPr>
          <w:rFonts w:hint="eastAsia"/>
        </w:rPr>
        <w:t>溶样方法</w:t>
      </w:r>
      <w:r>
        <w:t>对YT54</w:t>
      </w:r>
      <w:r>
        <w:rPr>
          <w:rFonts w:hint="eastAsia"/>
        </w:rPr>
        <w:t>，</w:t>
      </w:r>
      <w:r>
        <w:t>YT57，YT97</w:t>
      </w:r>
      <w:r>
        <w:rPr>
          <w:rFonts w:hint="eastAsia"/>
        </w:rPr>
        <w:t>三个</w:t>
      </w:r>
      <w:r>
        <w:t>试样进行分解，样品溶解后，</w:t>
      </w:r>
      <w:r>
        <w:rPr>
          <w:kern w:val="0"/>
        </w:rPr>
        <w:t>沿杯壁加入10</w:t>
      </w:r>
      <w:r>
        <w:rPr>
          <w:rFonts w:hint="eastAsia"/>
          <w:kern w:val="0"/>
        </w:rPr>
        <w:t xml:space="preserve"> </w:t>
      </w:r>
      <w:r>
        <w:rPr>
          <w:kern w:val="0"/>
        </w:rPr>
        <w:t>mL硝酸</w:t>
      </w:r>
      <w:r>
        <w:t>（2.</w:t>
      </w:r>
      <w:r>
        <w:rPr>
          <w:rFonts w:hint="eastAsia"/>
          <w:lang w:val="en-US" w:eastAsia="zh-CN"/>
        </w:rPr>
        <w:t>8</w:t>
      </w:r>
      <w:r>
        <w:t>），用少量水吹洗杯壁，加热煮沸使可溶性盐类溶解，取下，冷却至室温，移入100mL容量瓶中，稀释至刻度，</w:t>
      </w:r>
      <w:r>
        <w:rPr>
          <w:kern w:val="0"/>
        </w:rPr>
        <w:t>混匀。</w:t>
      </w:r>
      <w:r>
        <w:t>测定样品中铋的含量，结果见表1</w:t>
      </w:r>
      <w:r>
        <w:rPr>
          <w:rFonts w:hint="eastAsia"/>
          <w:lang w:val="en-US" w:eastAsia="zh-CN"/>
        </w:rPr>
        <w:t>6</w:t>
      </w:r>
      <w: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表1</w:t>
      </w:r>
      <w:r>
        <w:rPr>
          <w:rFonts w:hint="eastAsia" w:cs="Times New Roman"/>
          <w:sz w:val="21"/>
          <w:szCs w:val="21"/>
          <w:lang w:val="en-US" w:eastAsia="zh-CN"/>
        </w:rPr>
        <w:t>6</w:t>
      </w:r>
      <w:r>
        <w:rPr>
          <w:rFonts w:eastAsia="宋体" w:cs="Times New Roman"/>
          <w:sz w:val="21"/>
          <w:szCs w:val="21"/>
        </w:rPr>
        <w:t xml:space="preserve"> 试样分解试验</w:t>
      </w:r>
    </w:p>
    <w:tbl>
      <w:tblPr>
        <w:tblStyle w:val="37"/>
        <w:tblW w:w="0" w:type="auto"/>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815"/>
        <w:gridCol w:w="205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方法</w:t>
            </w:r>
          </w:p>
          <w:p>
            <w:pPr>
              <w:autoSpaceDE w:val="0"/>
              <w:autoSpaceDN w:val="0"/>
              <w:adjustRightInd w:val="0"/>
              <w:spacing w:line="360" w:lineRule="auto"/>
              <w:jc w:val="center"/>
              <w:rPr>
                <w:color w:val="000000"/>
                <w:kern w:val="0"/>
                <w:sz w:val="21"/>
                <w:szCs w:val="21"/>
              </w:rPr>
            </w:pPr>
            <w:r>
              <w:rPr>
                <w:color w:val="000000"/>
                <w:kern w:val="0"/>
                <w:sz w:val="21"/>
                <w:szCs w:val="21"/>
              </w:rPr>
              <w:t>名称</w:t>
            </w:r>
          </w:p>
        </w:tc>
        <w:tc>
          <w:tcPr>
            <w:tcW w:w="481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溶样方法</w:t>
            </w:r>
          </w:p>
        </w:tc>
        <w:tc>
          <w:tcPr>
            <w:tcW w:w="205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现象</w:t>
            </w: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0" w:type="dxa"/>
            <w:vMerge w:val="restart"/>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方案一</w:t>
            </w:r>
          </w:p>
        </w:tc>
        <w:tc>
          <w:tcPr>
            <w:tcW w:w="4815" w:type="dxa"/>
            <w:vMerge w:val="restart"/>
            <w:noWrap w:val="0"/>
            <w:vAlign w:val="center"/>
          </w:tcPr>
          <w:p>
            <w:pPr>
              <w:autoSpaceDE w:val="0"/>
              <w:autoSpaceDN w:val="0"/>
              <w:adjustRightInd w:val="0"/>
              <w:spacing w:line="360" w:lineRule="auto"/>
              <w:jc w:val="center"/>
              <w:rPr>
                <w:color w:val="000000"/>
                <w:sz w:val="21"/>
                <w:szCs w:val="21"/>
              </w:rPr>
            </w:pPr>
            <w:r>
              <w:rPr>
                <w:color w:val="000000"/>
                <w:sz w:val="21"/>
                <w:szCs w:val="21"/>
              </w:rPr>
              <w:t>硝酸+盐酸+硫酸</w:t>
            </w:r>
            <w:r>
              <w:rPr>
                <w:rFonts w:hint="eastAsia"/>
                <w:color w:val="000000"/>
                <w:sz w:val="21"/>
                <w:szCs w:val="21"/>
              </w:rPr>
              <w:t>+氢溴酸</w:t>
            </w:r>
          </w:p>
          <w:p>
            <w:pPr>
              <w:spacing w:line="360" w:lineRule="auto"/>
              <w:rPr>
                <w:kern w:val="0"/>
                <w:sz w:val="21"/>
                <w:szCs w:val="21"/>
              </w:rPr>
            </w:pPr>
            <w:r>
              <w:rPr>
                <w:sz w:val="21"/>
                <w:szCs w:val="21"/>
              </w:rPr>
              <w:t>称取1.00 g试样置于250 mL烧杯中</w:t>
            </w:r>
            <w:r>
              <w:rPr>
                <w:kern w:val="0"/>
                <w:sz w:val="21"/>
                <w:szCs w:val="21"/>
              </w:rPr>
              <w:t>，加入15mL盐酸</w:t>
            </w:r>
            <w:r>
              <w:rPr>
                <w:sz w:val="21"/>
                <w:szCs w:val="21"/>
              </w:rPr>
              <w:t>（2.2）</w:t>
            </w:r>
            <w:r>
              <w:rPr>
                <w:kern w:val="0"/>
                <w:sz w:val="21"/>
                <w:szCs w:val="21"/>
              </w:rPr>
              <w:t>，5mL硝酸</w:t>
            </w:r>
            <w:r>
              <w:rPr>
                <w:sz w:val="21"/>
                <w:szCs w:val="21"/>
              </w:rPr>
              <w:t>（2.3）</w:t>
            </w:r>
            <w:r>
              <w:rPr>
                <w:kern w:val="0"/>
                <w:sz w:val="21"/>
                <w:szCs w:val="21"/>
              </w:rPr>
              <w:t>、2mL硫酸</w:t>
            </w:r>
            <w:r>
              <w:rPr>
                <w:sz w:val="21"/>
                <w:szCs w:val="21"/>
              </w:rPr>
              <w:t>（2.6）</w:t>
            </w:r>
            <w:r>
              <w:rPr>
                <w:kern w:val="0"/>
                <w:sz w:val="21"/>
                <w:szCs w:val="21"/>
              </w:rPr>
              <w:t>，低温加热至试样溶解完全，加热至冒硫酸白烟，取下，冷却。沿杯壁加入5mL氢溴酸混合酸（2.4），加热至冒硫酸烟，取下，稍冷。重复此步骤2~3次，继续加热至硫酸烟冒尽，取下，冷却。</w:t>
            </w:r>
          </w:p>
        </w:tc>
        <w:tc>
          <w:tcPr>
            <w:tcW w:w="2055" w:type="dxa"/>
            <w:vMerge w:val="restart"/>
            <w:noWrap w:val="0"/>
            <w:vAlign w:val="center"/>
          </w:tcPr>
          <w:p>
            <w:pPr>
              <w:autoSpaceDE w:val="0"/>
              <w:autoSpaceDN w:val="0"/>
              <w:adjustRightInd w:val="0"/>
              <w:spacing w:line="360" w:lineRule="auto"/>
              <w:jc w:val="center"/>
              <w:rPr>
                <w:color w:val="000000"/>
                <w:kern w:val="0"/>
                <w:sz w:val="21"/>
                <w:szCs w:val="21"/>
              </w:rPr>
            </w:pPr>
            <w:r>
              <w:rPr>
                <w:sz w:val="21"/>
                <w:szCs w:val="21"/>
              </w:rPr>
              <w:t>试样溶解完全，但YT54</w:t>
            </w:r>
            <w:r>
              <w:rPr>
                <w:rFonts w:hint="eastAsia"/>
                <w:sz w:val="21"/>
                <w:szCs w:val="21"/>
              </w:rPr>
              <w:t>，</w:t>
            </w:r>
            <w:r>
              <w:rPr>
                <w:sz w:val="21"/>
                <w:szCs w:val="21"/>
              </w:rPr>
              <w:t>YT57由于铅含量较高，产生大量的白色硫酸铅沉淀，YT97试样溶解完全，试液澄清。</w:t>
            </w: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YT97:0.163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00" w:type="dxa"/>
            <w:vMerge w:val="continue"/>
            <w:noWrap w:val="0"/>
            <w:vAlign w:val="center"/>
          </w:tcPr>
          <w:p>
            <w:pPr>
              <w:autoSpaceDE w:val="0"/>
              <w:autoSpaceDN w:val="0"/>
              <w:adjustRightInd w:val="0"/>
              <w:spacing w:line="360" w:lineRule="auto"/>
              <w:jc w:val="center"/>
              <w:rPr>
                <w:color w:val="000000"/>
                <w:kern w:val="0"/>
                <w:sz w:val="21"/>
                <w:szCs w:val="21"/>
              </w:rPr>
            </w:pPr>
          </w:p>
        </w:tc>
        <w:tc>
          <w:tcPr>
            <w:tcW w:w="4815" w:type="dxa"/>
            <w:vMerge w:val="continue"/>
            <w:noWrap w:val="0"/>
            <w:vAlign w:val="center"/>
          </w:tcPr>
          <w:p>
            <w:pPr>
              <w:autoSpaceDE w:val="0"/>
              <w:autoSpaceDN w:val="0"/>
              <w:adjustRightInd w:val="0"/>
              <w:spacing w:line="360" w:lineRule="auto"/>
              <w:jc w:val="center"/>
              <w:rPr>
                <w:color w:val="000000"/>
                <w:sz w:val="21"/>
                <w:szCs w:val="21"/>
              </w:rPr>
            </w:pPr>
          </w:p>
        </w:tc>
        <w:tc>
          <w:tcPr>
            <w:tcW w:w="2055" w:type="dxa"/>
            <w:vMerge w:val="continue"/>
            <w:noWrap w:val="0"/>
            <w:vAlign w:val="center"/>
          </w:tcPr>
          <w:p>
            <w:pPr>
              <w:autoSpaceDE w:val="0"/>
              <w:autoSpaceDN w:val="0"/>
              <w:adjustRightInd w:val="0"/>
              <w:spacing w:line="360" w:lineRule="auto"/>
              <w:jc w:val="center"/>
              <w:rPr>
                <w:color w:val="000000"/>
                <w:kern w:val="0"/>
                <w:sz w:val="21"/>
                <w:szCs w:val="21"/>
              </w:rPr>
            </w:pP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YT54:0.97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noWrap w:val="0"/>
            <w:vAlign w:val="center"/>
          </w:tcPr>
          <w:p>
            <w:pPr>
              <w:autoSpaceDE w:val="0"/>
              <w:autoSpaceDN w:val="0"/>
              <w:adjustRightInd w:val="0"/>
              <w:spacing w:line="360" w:lineRule="auto"/>
              <w:jc w:val="center"/>
              <w:rPr>
                <w:color w:val="000000"/>
                <w:kern w:val="0"/>
                <w:sz w:val="21"/>
                <w:szCs w:val="21"/>
              </w:rPr>
            </w:pPr>
          </w:p>
        </w:tc>
        <w:tc>
          <w:tcPr>
            <w:tcW w:w="4815" w:type="dxa"/>
            <w:vMerge w:val="continue"/>
            <w:noWrap w:val="0"/>
            <w:vAlign w:val="center"/>
          </w:tcPr>
          <w:p>
            <w:pPr>
              <w:autoSpaceDE w:val="0"/>
              <w:autoSpaceDN w:val="0"/>
              <w:adjustRightInd w:val="0"/>
              <w:spacing w:line="360" w:lineRule="auto"/>
              <w:jc w:val="center"/>
              <w:rPr>
                <w:color w:val="000000"/>
                <w:sz w:val="21"/>
                <w:szCs w:val="21"/>
              </w:rPr>
            </w:pPr>
          </w:p>
        </w:tc>
        <w:tc>
          <w:tcPr>
            <w:tcW w:w="2055" w:type="dxa"/>
            <w:vMerge w:val="continue"/>
            <w:noWrap w:val="0"/>
            <w:vAlign w:val="center"/>
          </w:tcPr>
          <w:p>
            <w:pPr>
              <w:autoSpaceDE w:val="0"/>
              <w:autoSpaceDN w:val="0"/>
              <w:adjustRightInd w:val="0"/>
              <w:spacing w:line="360" w:lineRule="auto"/>
              <w:jc w:val="center"/>
              <w:rPr>
                <w:color w:val="000000"/>
                <w:kern w:val="0"/>
                <w:sz w:val="21"/>
                <w:szCs w:val="21"/>
              </w:rPr>
            </w:pP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YT57:2.70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900" w:type="dxa"/>
            <w:vMerge w:val="restart"/>
            <w:noWrap w:val="0"/>
            <w:vAlign w:val="center"/>
          </w:tcPr>
          <w:p>
            <w:pPr>
              <w:autoSpaceDE w:val="0"/>
              <w:autoSpaceDN w:val="0"/>
              <w:adjustRightInd w:val="0"/>
              <w:spacing w:line="360" w:lineRule="auto"/>
              <w:jc w:val="center"/>
              <w:rPr>
                <w:rFonts w:hint="eastAsia" w:eastAsia="宋体"/>
                <w:color w:val="000000"/>
                <w:kern w:val="0"/>
                <w:sz w:val="21"/>
                <w:szCs w:val="21"/>
                <w:lang w:eastAsia="zh-CN"/>
              </w:rPr>
            </w:pPr>
            <w:r>
              <w:rPr>
                <w:color w:val="000000"/>
                <w:kern w:val="0"/>
                <w:sz w:val="21"/>
                <w:szCs w:val="21"/>
              </w:rPr>
              <w:t>方案</w:t>
            </w:r>
            <w:r>
              <w:rPr>
                <w:rFonts w:hint="eastAsia"/>
                <w:color w:val="000000"/>
                <w:kern w:val="0"/>
                <w:sz w:val="21"/>
                <w:szCs w:val="21"/>
                <w:lang w:val="en-US" w:eastAsia="zh-CN"/>
              </w:rPr>
              <w:t>二</w:t>
            </w:r>
          </w:p>
        </w:tc>
        <w:tc>
          <w:tcPr>
            <w:tcW w:w="4815" w:type="dxa"/>
            <w:vMerge w:val="restart"/>
            <w:noWrap w:val="0"/>
            <w:vAlign w:val="center"/>
          </w:tcPr>
          <w:p>
            <w:pPr>
              <w:autoSpaceDE w:val="0"/>
              <w:autoSpaceDN w:val="0"/>
              <w:adjustRightInd w:val="0"/>
              <w:spacing w:line="360" w:lineRule="auto"/>
              <w:ind w:firstLine="420" w:firstLineChars="200"/>
              <w:jc w:val="center"/>
              <w:rPr>
                <w:color w:val="000000"/>
                <w:kern w:val="0"/>
                <w:sz w:val="21"/>
                <w:szCs w:val="21"/>
              </w:rPr>
            </w:pPr>
            <w:r>
              <w:rPr>
                <w:color w:val="000000"/>
                <w:kern w:val="0"/>
                <w:sz w:val="21"/>
                <w:szCs w:val="21"/>
              </w:rPr>
              <w:t>盐酸+硝酸+氢氟酸+高氯酸</w:t>
            </w:r>
            <w:r>
              <w:rPr>
                <w:color w:val="000000"/>
                <w:sz w:val="21"/>
                <w:szCs w:val="21"/>
              </w:rPr>
              <w:t>+</w:t>
            </w:r>
            <w:r>
              <w:rPr>
                <w:rFonts w:hint="eastAsia"/>
                <w:color w:val="000000"/>
                <w:sz w:val="21"/>
                <w:szCs w:val="21"/>
              </w:rPr>
              <w:t>氢溴酸</w:t>
            </w:r>
          </w:p>
          <w:p>
            <w:pPr>
              <w:tabs>
                <w:tab w:val="left" w:pos="6300"/>
              </w:tabs>
              <w:snapToGrid w:val="0"/>
              <w:spacing w:line="360" w:lineRule="auto"/>
              <w:ind w:firstLine="420" w:firstLineChars="200"/>
              <w:jc w:val="center"/>
              <w:rPr>
                <w:color w:val="000000"/>
                <w:sz w:val="21"/>
                <w:szCs w:val="21"/>
              </w:rPr>
            </w:pPr>
            <w:r>
              <w:rPr>
                <w:sz w:val="21"/>
                <w:szCs w:val="21"/>
              </w:rPr>
              <w:t>称取1.00 g试样置于250 mL烧杯中</w:t>
            </w:r>
            <w:r>
              <w:rPr>
                <w:kern w:val="0"/>
                <w:sz w:val="21"/>
                <w:szCs w:val="21"/>
              </w:rPr>
              <w:t>，加入15mL盐酸</w:t>
            </w:r>
            <w:r>
              <w:rPr>
                <w:sz w:val="21"/>
                <w:szCs w:val="21"/>
              </w:rPr>
              <w:t>（2</w:t>
            </w:r>
            <w:r>
              <w:rPr>
                <w:rFonts w:hint="eastAsia"/>
                <w:sz w:val="21"/>
                <w:szCs w:val="21"/>
                <w:lang w:val="en-US" w:eastAsia="zh-CN"/>
              </w:rPr>
              <w:t>.7</w:t>
            </w:r>
            <w:r>
              <w:rPr>
                <w:sz w:val="21"/>
                <w:szCs w:val="21"/>
              </w:rPr>
              <w:t>）</w:t>
            </w:r>
            <w:r>
              <w:rPr>
                <w:kern w:val="0"/>
                <w:sz w:val="21"/>
                <w:szCs w:val="21"/>
              </w:rPr>
              <w:t>，5mL硝酸</w:t>
            </w:r>
            <w:r>
              <w:rPr>
                <w:sz w:val="21"/>
                <w:szCs w:val="21"/>
              </w:rPr>
              <w:t>（2.</w:t>
            </w:r>
            <w:r>
              <w:rPr>
                <w:rFonts w:hint="eastAsia"/>
                <w:sz w:val="21"/>
                <w:szCs w:val="21"/>
                <w:lang w:val="en-US" w:eastAsia="zh-CN"/>
              </w:rPr>
              <w:t>8</w:t>
            </w:r>
            <w:r>
              <w:rPr>
                <w:sz w:val="21"/>
                <w:szCs w:val="21"/>
              </w:rPr>
              <w:t>）</w:t>
            </w:r>
            <w:r>
              <w:rPr>
                <w:kern w:val="0"/>
                <w:sz w:val="21"/>
                <w:szCs w:val="21"/>
              </w:rPr>
              <w:t>、2mL氢氟酸</w:t>
            </w:r>
            <w:r>
              <w:rPr>
                <w:sz w:val="21"/>
                <w:szCs w:val="21"/>
              </w:rPr>
              <w:t>（2.1）</w:t>
            </w:r>
            <w:r>
              <w:rPr>
                <w:kern w:val="0"/>
                <w:sz w:val="21"/>
                <w:szCs w:val="21"/>
              </w:rPr>
              <w:t>，2mL高氯酸</w:t>
            </w:r>
            <w:r>
              <w:rPr>
                <w:sz w:val="21"/>
                <w:szCs w:val="21"/>
              </w:rPr>
              <w:t>（2.5）</w:t>
            </w:r>
            <w:r>
              <w:rPr>
                <w:kern w:val="0"/>
                <w:sz w:val="21"/>
                <w:szCs w:val="21"/>
              </w:rPr>
              <w:t>，低温加热至试样溶解完全，加热至冒高氯酸白烟，取下，冷却。沿杯壁加入5mL氢溴酸混合酸（2.4），加热至冒高氯酸烟，取下，稍冷。重复此步骤2~3次，继续加热至高氯酸冒尽，取下，冷却。</w:t>
            </w:r>
          </w:p>
        </w:tc>
        <w:tc>
          <w:tcPr>
            <w:tcW w:w="2055" w:type="dxa"/>
            <w:vMerge w:val="restart"/>
            <w:noWrap w:val="0"/>
            <w:vAlign w:val="center"/>
          </w:tcPr>
          <w:p>
            <w:pPr>
              <w:autoSpaceDE w:val="0"/>
              <w:autoSpaceDN w:val="0"/>
              <w:adjustRightInd w:val="0"/>
              <w:spacing w:line="360" w:lineRule="auto"/>
              <w:jc w:val="center"/>
              <w:rPr>
                <w:color w:val="000000"/>
                <w:kern w:val="0"/>
                <w:sz w:val="21"/>
                <w:szCs w:val="21"/>
              </w:rPr>
            </w:pPr>
            <w:r>
              <w:rPr>
                <w:sz w:val="21"/>
                <w:szCs w:val="21"/>
              </w:rPr>
              <w:t>YT54,YT57，YT97试样溶解完全，试液澄清。</w:t>
            </w: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YT97:0.165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900" w:type="dxa"/>
            <w:vMerge w:val="continue"/>
            <w:noWrap w:val="0"/>
            <w:vAlign w:val="center"/>
          </w:tcPr>
          <w:p>
            <w:pPr>
              <w:autoSpaceDE w:val="0"/>
              <w:autoSpaceDN w:val="0"/>
              <w:adjustRightInd w:val="0"/>
              <w:spacing w:line="360" w:lineRule="auto"/>
              <w:jc w:val="center"/>
            </w:pPr>
          </w:p>
        </w:tc>
        <w:tc>
          <w:tcPr>
            <w:tcW w:w="4815" w:type="dxa"/>
            <w:vMerge w:val="continue"/>
            <w:noWrap w:val="0"/>
            <w:vAlign w:val="center"/>
          </w:tcPr>
          <w:p>
            <w:pPr>
              <w:autoSpaceDE w:val="0"/>
              <w:autoSpaceDN w:val="0"/>
              <w:adjustRightInd w:val="0"/>
              <w:spacing w:line="360" w:lineRule="auto"/>
              <w:ind w:firstLine="420" w:firstLineChars="200"/>
              <w:jc w:val="center"/>
            </w:pPr>
          </w:p>
        </w:tc>
        <w:tc>
          <w:tcPr>
            <w:tcW w:w="2055" w:type="dxa"/>
            <w:vMerge w:val="continue"/>
            <w:noWrap w:val="0"/>
            <w:vAlign w:val="center"/>
          </w:tcPr>
          <w:p>
            <w:pPr>
              <w:autoSpaceDE w:val="0"/>
              <w:autoSpaceDN w:val="0"/>
              <w:adjustRightInd w:val="0"/>
              <w:spacing w:line="360" w:lineRule="auto"/>
              <w:jc w:val="center"/>
            </w:pP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YT54:1.03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900" w:type="dxa"/>
            <w:vMerge w:val="continue"/>
            <w:noWrap w:val="0"/>
            <w:vAlign w:val="center"/>
          </w:tcPr>
          <w:p>
            <w:pPr>
              <w:autoSpaceDE w:val="0"/>
              <w:autoSpaceDN w:val="0"/>
              <w:adjustRightInd w:val="0"/>
              <w:spacing w:line="360" w:lineRule="auto"/>
              <w:jc w:val="center"/>
              <w:rPr>
                <w:color w:val="000000"/>
                <w:kern w:val="0"/>
                <w:sz w:val="21"/>
                <w:szCs w:val="21"/>
              </w:rPr>
            </w:pPr>
          </w:p>
        </w:tc>
        <w:tc>
          <w:tcPr>
            <w:tcW w:w="4815" w:type="dxa"/>
            <w:vMerge w:val="continue"/>
            <w:noWrap w:val="0"/>
            <w:vAlign w:val="center"/>
          </w:tcPr>
          <w:p>
            <w:pPr>
              <w:autoSpaceDE w:val="0"/>
              <w:autoSpaceDN w:val="0"/>
              <w:adjustRightInd w:val="0"/>
              <w:spacing w:line="360" w:lineRule="auto"/>
              <w:ind w:firstLine="420" w:firstLineChars="200"/>
              <w:jc w:val="center"/>
              <w:rPr>
                <w:color w:val="000000"/>
                <w:kern w:val="0"/>
                <w:sz w:val="21"/>
                <w:szCs w:val="21"/>
              </w:rPr>
            </w:pPr>
          </w:p>
        </w:tc>
        <w:tc>
          <w:tcPr>
            <w:tcW w:w="2055" w:type="dxa"/>
            <w:vMerge w:val="continue"/>
            <w:noWrap w:val="0"/>
            <w:vAlign w:val="center"/>
          </w:tcPr>
          <w:p>
            <w:pPr>
              <w:autoSpaceDE w:val="0"/>
              <w:autoSpaceDN w:val="0"/>
              <w:adjustRightInd w:val="0"/>
              <w:spacing w:line="360" w:lineRule="auto"/>
              <w:jc w:val="center"/>
              <w:rPr>
                <w:color w:val="000000"/>
                <w:kern w:val="0"/>
                <w:sz w:val="21"/>
                <w:szCs w:val="21"/>
              </w:rPr>
            </w:pP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YT57:2.91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00" w:type="dxa"/>
            <w:vMerge w:val="restart"/>
            <w:noWrap w:val="0"/>
            <w:vAlign w:val="center"/>
          </w:tcPr>
          <w:p>
            <w:pPr>
              <w:autoSpaceDE w:val="0"/>
              <w:autoSpaceDN w:val="0"/>
              <w:adjustRightInd w:val="0"/>
              <w:spacing w:line="360" w:lineRule="auto"/>
              <w:jc w:val="center"/>
              <w:rPr>
                <w:rFonts w:hint="eastAsia" w:eastAsia="宋体"/>
                <w:color w:val="000000"/>
                <w:kern w:val="0"/>
                <w:sz w:val="21"/>
                <w:szCs w:val="21"/>
                <w:lang w:eastAsia="zh-CN"/>
              </w:rPr>
            </w:pPr>
            <w:r>
              <w:rPr>
                <w:color w:val="000000"/>
                <w:kern w:val="0"/>
                <w:sz w:val="21"/>
                <w:szCs w:val="21"/>
              </w:rPr>
              <w:t>方案</w:t>
            </w:r>
            <w:r>
              <w:rPr>
                <w:rFonts w:hint="eastAsia"/>
                <w:color w:val="000000"/>
                <w:kern w:val="0"/>
                <w:sz w:val="21"/>
                <w:szCs w:val="21"/>
                <w:lang w:val="en-US" w:eastAsia="zh-CN"/>
              </w:rPr>
              <w:t>三</w:t>
            </w:r>
          </w:p>
        </w:tc>
        <w:tc>
          <w:tcPr>
            <w:tcW w:w="4815" w:type="dxa"/>
            <w:vMerge w:val="restart"/>
            <w:noWrap w:val="0"/>
            <w:vAlign w:val="center"/>
          </w:tcPr>
          <w:p>
            <w:pPr>
              <w:autoSpaceDE w:val="0"/>
              <w:autoSpaceDN w:val="0"/>
              <w:adjustRightInd w:val="0"/>
              <w:spacing w:line="360" w:lineRule="auto"/>
              <w:jc w:val="center"/>
              <w:rPr>
                <w:color w:val="000000"/>
                <w:sz w:val="21"/>
                <w:szCs w:val="21"/>
              </w:rPr>
            </w:pPr>
            <w:r>
              <w:rPr>
                <w:color w:val="000000"/>
                <w:sz w:val="21"/>
                <w:szCs w:val="21"/>
              </w:rPr>
              <w:t>硝酸+盐酸</w:t>
            </w:r>
            <w:r>
              <w:rPr>
                <w:rFonts w:hint="eastAsia"/>
                <w:color w:val="000000"/>
                <w:sz w:val="21"/>
                <w:szCs w:val="21"/>
              </w:rPr>
              <w:t>+</w:t>
            </w:r>
            <w:r>
              <w:rPr>
                <w:color w:val="000000"/>
                <w:sz w:val="21"/>
                <w:szCs w:val="21"/>
              </w:rPr>
              <w:t>高氯酸+</w:t>
            </w:r>
            <w:r>
              <w:rPr>
                <w:rFonts w:hint="eastAsia"/>
                <w:color w:val="000000"/>
                <w:sz w:val="21"/>
                <w:szCs w:val="21"/>
              </w:rPr>
              <w:t>氢溴酸</w:t>
            </w:r>
          </w:p>
          <w:p>
            <w:pPr>
              <w:tabs>
                <w:tab w:val="left" w:pos="6300"/>
              </w:tabs>
              <w:snapToGrid w:val="0"/>
              <w:spacing w:line="360" w:lineRule="auto"/>
              <w:jc w:val="center"/>
              <w:rPr>
                <w:color w:val="000000"/>
                <w:kern w:val="0"/>
                <w:sz w:val="21"/>
                <w:szCs w:val="21"/>
              </w:rPr>
            </w:pPr>
            <w:r>
              <w:rPr>
                <w:sz w:val="21"/>
                <w:szCs w:val="21"/>
              </w:rPr>
              <w:t>称取1.00 g试样置于250 mL烧杯中</w:t>
            </w:r>
            <w:r>
              <w:rPr>
                <w:kern w:val="0"/>
                <w:sz w:val="21"/>
                <w:szCs w:val="21"/>
              </w:rPr>
              <w:t>，加入15mL盐酸</w:t>
            </w:r>
            <w:r>
              <w:rPr>
                <w:sz w:val="21"/>
                <w:szCs w:val="21"/>
              </w:rPr>
              <w:t>（2.</w:t>
            </w:r>
            <w:r>
              <w:rPr>
                <w:rFonts w:hint="eastAsia"/>
                <w:sz w:val="21"/>
                <w:szCs w:val="21"/>
                <w:lang w:val="en-US" w:eastAsia="zh-CN"/>
              </w:rPr>
              <w:t>7</w:t>
            </w:r>
            <w:r>
              <w:rPr>
                <w:sz w:val="21"/>
                <w:szCs w:val="21"/>
              </w:rPr>
              <w:t>）</w:t>
            </w:r>
            <w:r>
              <w:rPr>
                <w:kern w:val="0"/>
                <w:sz w:val="21"/>
                <w:szCs w:val="21"/>
              </w:rPr>
              <w:t>，5mL硝酸</w:t>
            </w:r>
            <w:r>
              <w:rPr>
                <w:sz w:val="21"/>
                <w:szCs w:val="21"/>
              </w:rPr>
              <w:t>（2.</w:t>
            </w:r>
            <w:r>
              <w:rPr>
                <w:rFonts w:hint="eastAsia"/>
                <w:sz w:val="21"/>
                <w:szCs w:val="21"/>
                <w:lang w:val="en-US" w:eastAsia="zh-CN"/>
              </w:rPr>
              <w:t>8</w:t>
            </w:r>
            <w:r>
              <w:rPr>
                <w:sz w:val="21"/>
                <w:szCs w:val="21"/>
              </w:rPr>
              <w:t>）</w:t>
            </w:r>
            <w:r>
              <w:rPr>
                <w:kern w:val="0"/>
                <w:sz w:val="21"/>
                <w:szCs w:val="21"/>
              </w:rPr>
              <w:t>、2mL高氯酸</w:t>
            </w:r>
            <w:r>
              <w:rPr>
                <w:sz w:val="21"/>
                <w:szCs w:val="21"/>
              </w:rPr>
              <w:t>（2.5）</w:t>
            </w:r>
            <w:r>
              <w:rPr>
                <w:kern w:val="0"/>
                <w:sz w:val="21"/>
                <w:szCs w:val="21"/>
              </w:rPr>
              <w:t>，低温加热至试样溶解完全，加热至冒高氯酸白烟，取下，冷却。沿杯壁加入5mL氢溴酸混合酸（2.4），加热至冒高氯酸烟，取下，稍冷。重复此步骤2~3次，继续加热至高氯酸冒尽，取下，冷却。</w:t>
            </w:r>
          </w:p>
        </w:tc>
        <w:tc>
          <w:tcPr>
            <w:tcW w:w="2055" w:type="dxa"/>
            <w:vMerge w:val="restart"/>
            <w:noWrap w:val="0"/>
            <w:vAlign w:val="center"/>
          </w:tcPr>
          <w:p>
            <w:pPr>
              <w:autoSpaceDE w:val="0"/>
              <w:autoSpaceDN w:val="0"/>
              <w:adjustRightInd w:val="0"/>
              <w:spacing w:line="360" w:lineRule="auto"/>
              <w:jc w:val="center"/>
              <w:rPr>
                <w:color w:val="000000"/>
                <w:kern w:val="0"/>
                <w:sz w:val="21"/>
                <w:szCs w:val="21"/>
              </w:rPr>
            </w:pPr>
            <w:r>
              <w:rPr>
                <w:sz w:val="21"/>
                <w:szCs w:val="21"/>
              </w:rPr>
              <w:t>YT54,YT57，YT97试样溶解完全，试液澄清。</w:t>
            </w: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YT97:0.165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900" w:type="dxa"/>
            <w:vMerge w:val="continue"/>
            <w:noWrap w:val="0"/>
            <w:vAlign w:val="center"/>
          </w:tcPr>
          <w:p>
            <w:pPr>
              <w:autoSpaceDE w:val="0"/>
              <w:autoSpaceDN w:val="0"/>
              <w:adjustRightInd w:val="0"/>
              <w:spacing w:line="360" w:lineRule="auto"/>
              <w:jc w:val="center"/>
              <w:rPr>
                <w:color w:val="000000"/>
                <w:kern w:val="0"/>
                <w:sz w:val="21"/>
                <w:szCs w:val="21"/>
              </w:rPr>
            </w:pPr>
          </w:p>
        </w:tc>
        <w:tc>
          <w:tcPr>
            <w:tcW w:w="4815" w:type="dxa"/>
            <w:vMerge w:val="continue"/>
            <w:noWrap w:val="0"/>
            <w:vAlign w:val="center"/>
          </w:tcPr>
          <w:p>
            <w:pPr>
              <w:autoSpaceDE w:val="0"/>
              <w:autoSpaceDN w:val="0"/>
              <w:adjustRightInd w:val="0"/>
              <w:spacing w:line="360" w:lineRule="auto"/>
              <w:jc w:val="center"/>
              <w:rPr>
                <w:color w:val="000000"/>
                <w:kern w:val="0"/>
                <w:sz w:val="21"/>
                <w:szCs w:val="21"/>
              </w:rPr>
            </w:pPr>
          </w:p>
        </w:tc>
        <w:tc>
          <w:tcPr>
            <w:tcW w:w="2055" w:type="dxa"/>
            <w:vMerge w:val="continue"/>
            <w:noWrap w:val="0"/>
            <w:vAlign w:val="center"/>
          </w:tcPr>
          <w:p>
            <w:pPr>
              <w:autoSpaceDE w:val="0"/>
              <w:autoSpaceDN w:val="0"/>
              <w:adjustRightInd w:val="0"/>
              <w:spacing w:line="360" w:lineRule="auto"/>
              <w:jc w:val="center"/>
              <w:rPr>
                <w:color w:val="000000"/>
                <w:kern w:val="0"/>
                <w:sz w:val="21"/>
                <w:szCs w:val="21"/>
              </w:rPr>
            </w:pP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YT54:1.05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noWrap w:val="0"/>
            <w:vAlign w:val="center"/>
          </w:tcPr>
          <w:p>
            <w:pPr>
              <w:autoSpaceDE w:val="0"/>
              <w:autoSpaceDN w:val="0"/>
              <w:adjustRightInd w:val="0"/>
              <w:spacing w:line="360" w:lineRule="auto"/>
              <w:jc w:val="center"/>
              <w:rPr>
                <w:color w:val="000000"/>
                <w:kern w:val="0"/>
                <w:sz w:val="21"/>
                <w:szCs w:val="21"/>
              </w:rPr>
            </w:pPr>
          </w:p>
        </w:tc>
        <w:tc>
          <w:tcPr>
            <w:tcW w:w="4815" w:type="dxa"/>
            <w:vMerge w:val="continue"/>
            <w:noWrap w:val="0"/>
            <w:vAlign w:val="center"/>
          </w:tcPr>
          <w:p>
            <w:pPr>
              <w:autoSpaceDE w:val="0"/>
              <w:autoSpaceDN w:val="0"/>
              <w:adjustRightInd w:val="0"/>
              <w:spacing w:line="360" w:lineRule="auto"/>
              <w:jc w:val="center"/>
              <w:rPr>
                <w:color w:val="000000"/>
                <w:kern w:val="0"/>
                <w:sz w:val="21"/>
                <w:szCs w:val="21"/>
              </w:rPr>
            </w:pPr>
          </w:p>
        </w:tc>
        <w:tc>
          <w:tcPr>
            <w:tcW w:w="2055" w:type="dxa"/>
            <w:vMerge w:val="continue"/>
            <w:noWrap w:val="0"/>
            <w:vAlign w:val="center"/>
          </w:tcPr>
          <w:p>
            <w:pPr>
              <w:autoSpaceDE w:val="0"/>
              <w:autoSpaceDN w:val="0"/>
              <w:adjustRightInd w:val="0"/>
              <w:spacing w:line="360" w:lineRule="auto"/>
              <w:jc w:val="center"/>
              <w:rPr>
                <w:color w:val="000000"/>
                <w:kern w:val="0"/>
                <w:sz w:val="21"/>
                <w:szCs w:val="21"/>
              </w:rPr>
            </w:pPr>
          </w:p>
        </w:tc>
        <w:tc>
          <w:tcPr>
            <w:tcW w:w="1545" w:type="dxa"/>
            <w:noWrap w:val="0"/>
            <w:vAlign w:val="center"/>
          </w:tcPr>
          <w:p>
            <w:pPr>
              <w:autoSpaceDE w:val="0"/>
              <w:autoSpaceDN w:val="0"/>
              <w:adjustRightInd w:val="0"/>
              <w:spacing w:line="360" w:lineRule="auto"/>
              <w:jc w:val="center"/>
              <w:rPr>
                <w:color w:val="000000"/>
                <w:kern w:val="0"/>
                <w:sz w:val="21"/>
                <w:szCs w:val="21"/>
              </w:rPr>
            </w:pPr>
            <w:r>
              <w:rPr>
                <w:color w:val="000000"/>
                <w:kern w:val="0"/>
                <w:sz w:val="21"/>
                <w:szCs w:val="21"/>
              </w:rPr>
              <w:t>YT57:2.88</w:t>
            </w:r>
          </w:p>
        </w:tc>
      </w:tr>
    </w:tbl>
    <w:p>
      <w:pPr>
        <w:spacing w:line="360" w:lineRule="auto"/>
        <w:ind w:firstLine="420" w:firstLineChars="200"/>
      </w:pPr>
    </w:p>
    <w:p>
      <w:pPr>
        <w:spacing w:line="360" w:lineRule="auto"/>
        <w:ind w:firstLine="420" w:firstLineChars="200"/>
        <w:rPr>
          <w:rFonts w:hint="default" w:eastAsia="宋体"/>
          <w:lang w:val="en-US" w:eastAsia="zh-CN"/>
        </w:rPr>
      </w:pPr>
      <w:r>
        <w:t>方案一中样品用盐酸-硝酸-硫酸进行溶样，试样溶解完全，但YT54</w:t>
      </w:r>
      <w:r>
        <w:rPr>
          <w:rFonts w:hint="eastAsia"/>
        </w:rPr>
        <w:t>，</w:t>
      </w:r>
      <w:r>
        <w:t>YT57由于铅含量较高，产生大量的白色硫酸铅沉淀，虽然可以通过过滤将硫酸铅分离，但沉淀会对铋产生少量的吸附，导致结果偏低。YT97试样溶解完全，无残渣，试液澄清。案</w:t>
      </w:r>
      <w:r>
        <w:rPr>
          <w:rFonts w:hint="eastAsia"/>
          <w:lang w:val="en-US" w:eastAsia="zh-CN"/>
        </w:rPr>
        <w:t>二</w:t>
      </w:r>
      <w:r>
        <w:t>采用</w:t>
      </w:r>
      <w:r>
        <w:rPr>
          <w:rFonts w:hint="eastAsia"/>
          <w:lang w:eastAsia="zh-CN"/>
        </w:rPr>
        <w:t>、</w:t>
      </w:r>
      <w:r>
        <w:t>盐酸-硝酸-氢氟酸-高氯酸进行溶样，YT54,YT57，YT97试样溶解完全，无残渣，试液澄清。加入氢氟酸的目的是为了使溶解试样中的硅等元素，但方案</w:t>
      </w:r>
      <w:r>
        <w:rPr>
          <w:rFonts w:hint="eastAsia"/>
          <w:lang w:val="en-US" w:eastAsia="zh-CN"/>
        </w:rPr>
        <w:t>三</w:t>
      </w:r>
      <w:r>
        <w:t>没有加入氢氟酸可将样品充分溶解，且对样品进行X射线荧光光谱法分析时粗锡中硅含量极低，因此溶样过程中不需要加入氢氟酸</w:t>
      </w:r>
      <w:r>
        <w:rPr>
          <w:rFonts w:hint="eastAsia"/>
          <w:lang w:eastAsia="zh-CN"/>
        </w:rPr>
        <w:t>。</w:t>
      </w:r>
      <w:r>
        <w:rPr>
          <w:rFonts w:hint="eastAsia"/>
          <w:lang w:val="en-US" w:eastAsia="zh-CN"/>
        </w:rPr>
        <w:t>方案三采用</w:t>
      </w:r>
      <w:r>
        <w:t>盐酸-硝酸-高氯酸</w:t>
      </w:r>
      <w:r>
        <w:rPr>
          <w:rFonts w:hint="eastAsia"/>
          <w:lang w:val="en-US" w:eastAsia="zh-CN"/>
        </w:rPr>
        <w:t>-氢溴酸溶解样品，</w:t>
      </w:r>
      <w:r>
        <w:t>试样溶解完全，无残渣，试液澄清</w:t>
      </w:r>
      <w:r>
        <w:rPr>
          <w:rFonts w:hint="eastAsia"/>
          <w:lang w:eastAsia="zh-CN"/>
        </w:rPr>
        <w:t>，</w:t>
      </w:r>
      <w:r>
        <w:rPr>
          <w:rFonts w:hint="eastAsia"/>
          <w:lang w:val="en-US" w:eastAsia="zh-CN"/>
        </w:rPr>
        <w:t>因此本方法采用方案三进行溶样。</w:t>
      </w:r>
    </w:p>
    <w:p>
      <w:pPr>
        <w:pStyle w:val="5"/>
        <w:spacing w:line="360" w:lineRule="auto"/>
      </w:pPr>
      <w:r>
        <w:rPr>
          <w:rFonts w:hint="eastAsia"/>
          <w:lang w:val="en-US" w:eastAsia="zh-CN"/>
        </w:rPr>
        <w:t>1</w:t>
      </w:r>
      <w:r>
        <w:t>.6 回收率试验</w:t>
      </w:r>
    </w:p>
    <w:p>
      <w:pPr>
        <w:spacing w:line="360" w:lineRule="auto"/>
        <w:ind w:firstLine="420" w:firstLineChars="200"/>
      </w:pPr>
      <w:r>
        <w:t>选取YT97</w:t>
      </w:r>
      <w:r>
        <w:rPr>
          <w:rFonts w:hint="eastAsia"/>
        </w:rPr>
        <w:t>，</w:t>
      </w:r>
      <w:r>
        <w:t>YT54试样，加入一定量的铋标准溶液，按照本方法进行加标回收实验，分析结果见表1</w:t>
      </w:r>
      <w:r>
        <w:rPr>
          <w:rFonts w:hint="eastAsia"/>
          <w:lang w:val="en-US" w:eastAsia="zh-CN"/>
        </w:rPr>
        <w:t>7</w:t>
      </w:r>
      <w:r>
        <w:t>。</w:t>
      </w:r>
    </w:p>
    <w:p>
      <w:pPr>
        <w:pStyle w:val="3"/>
        <w:keepNext w:val="0"/>
        <w:keepLines w:val="0"/>
        <w:spacing w:line="360" w:lineRule="auto"/>
        <w:jc w:val="center"/>
        <w:rPr>
          <w:rFonts w:eastAsia="宋体" w:cs="Times New Roman"/>
          <w:color w:val="auto"/>
          <w:sz w:val="21"/>
          <w:szCs w:val="21"/>
        </w:rPr>
      </w:pPr>
      <w:r>
        <w:rPr>
          <w:rFonts w:eastAsia="宋体" w:cs="Times New Roman"/>
          <w:color w:val="auto"/>
          <w:sz w:val="21"/>
          <w:szCs w:val="21"/>
        </w:rPr>
        <w:t>表1</w:t>
      </w:r>
      <w:r>
        <w:rPr>
          <w:rFonts w:hint="eastAsia" w:cs="Times New Roman"/>
          <w:color w:val="auto"/>
          <w:sz w:val="21"/>
          <w:szCs w:val="21"/>
          <w:lang w:val="en-US" w:eastAsia="zh-CN"/>
        </w:rPr>
        <w:t>7</w:t>
      </w:r>
      <w:r>
        <w:rPr>
          <w:rFonts w:eastAsia="宋体" w:cs="Times New Roman"/>
          <w:color w:val="auto"/>
          <w:sz w:val="21"/>
          <w:szCs w:val="21"/>
        </w:rPr>
        <w:t xml:space="preserve"> 加标回收试验分析结果</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28"/>
        <w:gridCol w:w="1238"/>
        <w:gridCol w:w="1238"/>
        <w:gridCol w:w="1412"/>
        <w:gridCol w:w="1213"/>
        <w:gridCol w:w="1268"/>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4" w:type="dxa"/>
            <w:gridSpan w:val="2"/>
            <w:shd w:val="clear" w:color="auto" w:fill="FFFFFF"/>
            <w:noWrap w:val="0"/>
            <w:vAlign w:val="center"/>
          </w:tcPr>
          <w:p>
            <w:pPr>
              <w:spacing w:line="360" w:lineRule="auto"/>
              <w:jc w:val="center"/>
            </w:pPr>
            <w:r>
              <w:t>元素及样品</w:t>
            </w:r>
          </w:p>
        </w:tc>
        <w:tc>
          <w:tcPr>
            <w:tcW w:w="1238" w:type="dxa"/>
            <w:shd w:val="clear" w:color="auto" w:fill="FFFFFF"/>
            <w:noWrap w:val="0"/>
            <w:vAlign w:val="center"/>
          </w:tcPr>
          <w:p>
            <w:pPr>
              <w:spacing w:line="360" w:lineRule="auto"/>
              <w:jc w:val="center"/>
            </w:pPr>
            <w:r>
              <w:t>称样量/g</w:t>
            </w:r>
          </w:p>
        </w:tc>
        <w:tc>
          <w:tcPr>
            <w:tcW w:w="1238" w:type="dxa"/>
            <w:shd w:val="clear" w:color="auto" w:fill="FFFFFF"/>
            <w:noWrap w:val="0"/>
            <w:vAlign w:val="center"/>
          </w:tcPr>
          <w:p>
            <w:pPr>
              <w:spacing w:line="360" w:lineRule="auto"/>
              <w:jc w:val="center"/>
            </w:pPr>
            <w:r>
              <w:t>元素含量/%</w:t>
            </w:r>
          </w:p>
        </w:tc>
        <w:tc>
          <w:tcPr>
            <w:tcW w:w="1412" w:type="dxa"/>
            <w:shd w:val="clear" w:color="auto" w:fill="FFFFFF"/>
            <w:noWrap w:val="0"/>
            <w:vAlign w:val="center"/>
          </w:tcPr>
          <w:p>
            <w:pPr>
              <w:spacing w:line="360" w:lineRule="auto"/>
              <w:jc w:val="center"/>
            </w:pPr>
            <w:r>
              <w:t>样品含量/μg</w:t>
            </w:r>
          </w:p>
        </w:tc>
        <w:tc>
          <w:tcPr>
            <w:tcW w:w="1213" w:type="dxa"/>
            <w:shd w:val="clear" w:color="auto" w:fill="FFFFFF"/>
            <w:noWrap w:val="0"/>
            <w:vAlign w:val="center"/>
          </w:tcPr>
          <w:p>
            <w:pPr>
              <w:spacing w:line="360" w:lineRule="auto"/>
              <w:jc w:val="center"/>
            </w:pPr>
            <w:r>
              <w:t>加入量/μg</w:t>
            </w:r>
          </w:p>
        </w:tc>
        <w:tc>
          <w:tcPr>
            <w:tcW w:w="1268" w:type="dxa"/>
            <w:shd w:val="clear" w:color="auto" w:fill="FFFFFF"/>
            <w:noWrap w:val="0"/>
            <w:vAlign w:val="center"/>
          </w:tcPr>
          <w:p>
            <w:pPr>
              <w:spacing w:line="360" w:lineRule="auto"/>
              <w:jc w:val="center"/>
            </w:pPr>
            <w:r>
              <w:t>测得量/μg</w:t>
            </w:r>
          </w:p>
        </w:tc>
        <w:tc>
          <w:tcPr>
            <w:tcW w:w="1019" w:type="dxa"/>
            <w:shd w:val="clear" w:color="auto" w:fill="FFFFFF"/>
            <w:noWrap w:val="0"/>
            <w:vAlign w:val="center"/>
          </w:tcPr>
          <w:p>
            <w:pPr>
              <w:spacing w:line="360" w:lineRule="auto"/>
              <w:jc w:val="center"/>
            </w:pPr>
            <w: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restart"/>
            <w:shd w:val="clear" w:color="auto" w:fill="FFFFFF"/>
            <w:noWrap w:val="0"/>
            <w:vAlign w:val="center"/>
          </w:tcPr>
          <w:p>
            <w:pPr>
              <w:spacing w:line="360" w:lineRule="auto"/>
              <w:jc w:val="center"/>
            </w:pPr>
            <w:r>
              <w:t>Bi</w:t>
            </w:r>
          </w:p>
        </w:tc>
        <w:tc>
          <w:tcPr>
            <w:tcW w:w="828" w:type="dxa"/>
            <w:vMerge w:val="restart"/>
            <w:shd w:val="clear" w:color="auto" w:fill="FFFFFF"/>
            <w:noWrap w:val="0"/>
            <w:vAlign w:val="center"/>
          </w:tcPr>
          <w:p>
            <w:pPr>
              <w:widowControl/>
              <w:spacing w:line="360" w:lineRule="auto"/>
              <w:jc w:val="center"/>
              <w:textAlignment w:val="center"/>
            </w:pPr>
            <w:r>
              <w:rPr>
                <w:kern w:val="0"/>
              </w:rPr>
              <w:t>YT97</w:t>
            </w:r>
          </w:p>
        </w:tc>
        <w:tc>
          <w:tcPr>
            <w:tcW w:w="1238" w:type="dxa"/>
            <w:shd w:val="clear" w:color="auto" w:fill="FFFFFF"/>
            <w:noWrap w:val="0"/>
            <w:vAlign w:val="center"/>
          </w:tcPr>
          <w:p>
            <w:pPr>
              <w:widowControl/>
              <w:spacing w:line="360" w:lineRule="auto"/>
              <w:jc w:val="right"/>
              <w:textAlignment w:val="center"/>
            </w:pPr>
            <w:r>
              <w:rPr>
                <w:color w:val="000000"/>
                <w:kern w:val="0"/>
                <w:sz w:val="22"/>
                <w:szCs w:val="22"/>
                <w:lang w:bidi="ar"/>
              </w:rPr>
              <w:t xml:space="preserve">1.0065 </w:t>
            </w:r>
          </w:p>
        </w:tc>
        <w:tc>
          <w:tcPr>
            <w:tcW w:w="1238" w:type="dxa"/>
            <w:vMerge w:val="restart"/>
            <w:shd w:val="clear" w:color="auto" w:fill="FFFFFF"/>
            <w:noWrap w:val="0"/>
            <w:vAlign w:val="center"/>
          </w:tcPr>
          <w:p>
            <w:pPr>
              <w:widowControl/>
              <w:spacing w:line="360" w:lineRule="auto"/>
              <w:jc w:val="center"/>
              <w:textAlignment w:val="center"/>
              <w:rPr>
                <w:kern w:val="0"/>
                <w:sz w:val="22"/>
                <w:szCs w:val="22"/>
                <w:lang w:bidi="ar"/>
              </w:rPr>
            </w:pPr>
            <w:r>
              <w:rPr>
                <w:kern w:val="0"/>
                <w:sz w:val="22"/>
                <w:szCs w:val="22"/>
                <w:lang w:bidi="ar"/>
              </w:rPr>
              <w:t>0.165</w:t>
            </w:r>
          </w:p>
          <w:p>
            <w:pPr>
              <w:widowControl/>
              <w:spacing w:line="360" w:lineRule="auto"/>
              <w:jc w:val="center"/>
              <w:textAlignment w:val="center"/>
              <w:rPr>
                <w:kern w:val="0"/>
              </w:rPr>
            </w:pPr>
          </w:p>
        </w:tc>
        <w:tc>
          <w:tcPr>
            <w:tcW w:w="1412" w:type="dxa"/>
            <w:shd w:val="clear" w:color="auto" w:fill="FFFFFF"/>
            <w:noWrap w:val="0"/>
            <w:vAlign w:val="center"/>
          </w:tcPr>
          <w:p>
            <w:pPr>
              <w:widowControl/>
              <w:spacing w:line="360" w:lineRule="auto"/>
              <w:jc w:val="right"/>
              <w:textAlignment w:val="center"/>
            </w:pPr>
            <w:r>
              <w:rPr>
                <w:color w:val="000000"/>
                <w:kern w:val="0"/>
                <w:sz w:val="22"/>
                <w:szCs w:val="22"/>
                <w:lang w:bidi="ar"/>
              </w:rPr>
              <w:t xml:space="preserve">1660.73 </w:t>
            </w:r>
          </w:p>
        </w:tc>
        <w:tc>
          <w:tcPr>
            <w:tcW w:w="1213" w:type="dxa"/>
            <w:vMerge w:val="restart"/>
            <w:shd w:val="clear" w:color="auto" w:fill="FFFFFF"/>
            <w:noWrap w:val="0"/>
            <w:vAlign w:val="center"/>
          </w:tcPr>
          <w:p>
            <w:pPr>
              <w:widowControl/>
              <w:spacing w:line="360" w:lineRule="auto"/>
              <w:jc w:val="center"/>
              <w:textAlignment w:val="center"/>
              <w:rPr>
                <w:kern w:val="0"/>
              </w:rPr>
            </w:pPr>
            <w:r>
              <w:rPr>
                <w:kern w:val="0"/>
                <w:sz w:val="22"/>
                <w:szCs w:val="22"/>
                <w:lang w:bidi="ar"/>
              </w:rPr>
              <w:t>1500</w:t>
            </w:r>
          </w:p>
        </w:tc>
        <w:tc>
          <w:tcPr>
            <w:tcW w:w="1268" w:type="dxa"/>
            <w:shd w:val="clear" w:color="auto" w:fill="FFFFFF"/>
            <w:noWrap w:val="0"/>
            <w:vAlign w:val="center"/>
          </w:tcPr>
          <w:p>
            <w:pPr>
              <w:widowControl/>
              <w:spacing w:line="360" w:lineRule="auto"/>
              <w:jc w:val="right"/>
              <w:textAlignment w:val="center"/>
            </w:pPr>
            <w:r>
              <w:rPr>
                <w:color w:val="000000"/>
                <w:kern w:val="0"/>
                <w:sz w:val="22"/>
                <w:szCs w:val="22"/>
                <w:lang w:bidi="ar"/>
              </w:rPr>
              <w:t>3195</w:t>
            </w:r>
          </w:p>
        </w:tc>
        <w:tc>
          <w:tcPr>
            <w:tcW w:w="1019" w:type="dxa"/>
            <w:shd w:val="clear" w:color="auto" w:fill="FFFFFF"/>
            <w:noWrap w:val="0"/>
            <w:vAlign w:val="center"/>
          </w:tcPr>
          <w:p>
            <w:pPr>
              <w:widowControl/>
              <w:spacing w:line="360" w:lineRule="auto"/>
              <w:jc w:val="right"/>
              <w:textAlignment w:val="center"/>
            </w:pPr>
            <w:r>
              <w:rPr>
                <w:color w:val="000000"/>
                <w:kern w:val="0"/>
                <w:sz w:val="22"/>
                <w:szCs w:val="22"/>
                <w:lang w:bidi="ar"/>
              </w:rPr>
              <w:t xml:space="preserve">102.29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spacing w:line="360" w:lineRule="auto"/>
              <w:jc w:val="center"/>
            </w:pPr>
          </w:p>
        </w:tc>
        <w:tc>
          <w:tcPr>
            <w:tcW w:w="828" w:type="dxa"/>
            <w:vMerge w:val="continue"/>
            <w:shd w:val="clear" w:color="auto" w:fill="FFFFFF"/>
            <w:noWrap w:val="0"/>
            <w:vAlign w:val="center"/>
          </w:tcPr>
          <w:p>
            <w:pPr>
              <w:widowControl/>
              <w:spacing w:line="360" w:lineRule="auto"/>
              <w:jc w:val="center"/>
              <w:textAlignment w:val="center"/>
              <w:rPr>
                <w:kern w:val="0"/>
              </w:rPr>
            </w:pPr>
          </w:p>
        </w:tc>
        <w:tc>
          <w:tcPr>
            <w:tcW w:w="123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1.0250 </w:t>
            </w:r>
          </w:p>
        </w:tc>
        <w:tc>
          <w:tcPr>
            <w:tcW w:w="1238" w:type="dxa"/>
            <w:vMerge w:val="continue"/>
            <w:shd w:val="clear" w:color="auto" w:fill="FFFFFF"/>
            <w:noWrap w:val="0"/>
            <w:vAlign w:val="center"/>
          </w:tcPr>
          <w:p>
            <w:pPr>
              <w:widowControl/>
              <w:spacing w:line="360" w:lineRule="auto"/>
              <w:jc w:val="center"/>
              <w:textAlignment w:val="center"/>
              <w:rPr>
                <w:kern w:val="0"/>
              </w:rPr>
            </w:pPr>
          </w:p>
        </w:tc>
        <w:tc>
          <w:tcPr>
            <w:tcW w:w="1412"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1691.25 </w:t>
            </w:r>
          </w:p>
        </w:tc>
        <w:tc>
          <w:tcPr>
            <w:tcW w:w="1213" w:type="dxa"/>
            <w:vMerge w:val="continue"/>
            <w:shd w:val="clear" w:color="auto" w:fill="FFFFFF"/>
            <w:noWrap w:val="0"/>
            <w:vAlign w:val="center"/>
          </w:tcPr>
          <w:p>
            <w:pPr>
              <w:widowControl/>
              <w:spacing w:line="360" w:lineRule="auto"/>
              <w:jc w:val="center"/>
              <w:textAlignment w:val="center"/>
              <w:rPr>
                <w:kern w:val="0"/>
              </w:rPr>
            </w:pPr>
          </w:p>
        </w:tc>
        <w:tc>
          <w:tcPr>
            <w:tcW w:w="126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3230</w:t>
            </w:r>
          </w:p>
        </w:tc>
        <w:tc>
          <w:tcPr>
            <w:tcW w:w="1019"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widowControl/>
              <w:spacing w:line="360" w:lineRule="auto"/>
              <w:jc w:val="center"/>
            </w:pPr>
          </w:p>
        </w:tc>
        <w:tc>
          <w:tcPr>
            <w:tcW w:w="828" w:type="dxa"/>
            <w:vMerge w:val="continue"/>
            <w:shd w:val="clear" w:color="auto" w:fill="FFFFFF"/>
            <w:noWrap w:val="0"/>
            <w:vAlign w:val="center"/>
          </w:tcPr>
          <w:p>
            <w:pPr>
              <w:widowControl/>
              <w:spacing w:line="360" w:lineRule="auto"/>
              <w:jc w:val="center"/>
              <w:textAlignment w:val="center"/>
            </w:pPr>
          </w:p>
        </w:tc>
        <w:tc>
          <w:tcPr>
            <w:tcW w:w="1238" w:type="dxa"/>
            <w:shd w:val="clear" w:color="auto" w:fill="FFFFFF"/>
            <w:noWrap w:val="0"/>
            <w:vAlign w:val="center"/>
          </w:tcPr>
          <w:p>
            <w:pPr>
              <w:widowControl/>
              <w:spacing w:line="360" w:lineRule="auto"/>
              <w:jc w:val="right"/>
              <w:textAlignment w:val="center"/>
            </w:pPr>
            <w:r>
              <w:rPr>
                <w:color w:val="000000"/>
                <w:kern w:val="0"/>
                <w:sz w:val="22"/>
                <w:szCs w:val="22"/>
                <w:lang w:bidi="ar"/>
              </w:rPr>
              <w:t xml:space="preserve">1.0005 </w:t>
            </w:r>
          </w:p>
        </w:tc>
        <w:tc>
          <w:tcPr>
            <w:tcW w:w="1238" w:type="dxa"/>
            <w:vMerge w:val="continue"/>
            <w:shd w:val="clear" w:color="auto" w:fill="FFFFFF"/>
            <w:noWrap w:val="0"/>
            <w:vAlign w:val="center"/>
          </w:tcPr>
          <w:p>
            <w:pPr>
              <w:widowControl/>
              <w:spacing w:line="360" w:lineRule="auto"/>
              <w:jc w:val="center"/>
              <w:textAlignment w:val="center"/>
            </w:pPr>
          </w:p>
        </w:tc>
        <w:tc>
          <w:tcPr>
            <w:tcW w:w="1412" w:type="dxa"/>
            <w:shd w:val="clear" w:color="auto" w:fill="FFFFFF"/>
            <w:noWrap w:val="0"/>
            <w:vAlign w:val="center"/>
          </w:tcPr>
          <w:p>
            <w:pPr>
              <w:widowControl/>
              <w:spacing w:line="360" w:lineRule="auto"/>
              <w:jc w:val="right"/>
              <w:textAlignment w:val="center"/>
            </w:pPr>
            <w:r>
              <w:rPr>
                <w:color w:val="000000"/>
                <w:kern w:val="0"/>
                <w:sz w:val="22"/>
                <w:szCs w:val="22"/>
                <w:lang w:bidi="ar"/>
              </w:rPr>
              <w:t xml:space="preserve">1650.83 </w:t>
            </w:r>
          </w:p>
        </w:tc>
        <w:tc>
          <w:tcPr>
            <w:tcW w:w="1213" w:type="dxa"/>
            <w:vMerge w:val="restart"/>
            <w:shd w:val="clear" w:color="auto" w:fill="FFFFFF"/>
            <w:noWrap w:val="0"/>
            <w:vAlign w:val="center"/>
          </w:tcPr>
          <w:p>
            <w:pPr>
              <w:widowControl/>
              <w:spacing w:line="360" w:lineRule="auto"/>
              <w:jc w:val="center"/>
              <w:textAlignment w:val="center"/>
              <w:rPr>
                <w:kern w:val="0"/>
              </w:rPr>
            </w:pPr>
            <w:r>
              <w:rPr>
                <w:kern w:val="0"/>
                <w:sz w:val="22"/>
                <w:szCs w:val="22"/>
                <w:lang w:bidi="ar"/>
              </w:rPr>
              <w:t>2500</w:t>
            </w:r>
          </w:p>
        </w:tc>
        <w:tc>
          <w:tcPr>
            <w:tcW w:w="1268" w:type="dxa"/>
            <w:shd w:val="clear" w:color="auto" w:fill="FFFFFF"/>
            <w:noWrap w:val="0"/>
            <w:vAlign w:val="center"/>
          </w:tcPr>
          <w:p>
            <w:pPr>
              <w:widowControl/>
              <w:spacing w:line="360" w:lineRule="auto"/>
              <w:jc w:val="right"/>
              <w:textAlignment w:val="center"/>
            </w:pPr>
            <w:r>
              <w:rPr>
                <w:color w:val="000000"/>
                <w:kern w:val="0"/>
                <w:sz w:val="22"/>
                <w:szCs w:val="22"/>
                <w:lang w:bidi="ar"/>
              </w:rPr>
              <w:t>4065</w:t>
            </w:r>
          </w:p>
        </w:tc>
        <w:tc>
          <w:tcPr>
            <w:tcW w:w="1019" w:type="dxa"/>
            <w:shd w:val="clear" w:color="auto" w:fill="FFFFFF"/>
            <w:noWrap w:val="0"/>
            <w:vAlign w:val="center"/>
          </w:tcPr>
          <w:p>
            <w:pPr>
              <w:widowControl/>
              <w:spacing w:line="360" w:lineRule="auto"/>
              <w:jc w:val="right"/>
              <w:textAlignment w:val="center"/>
            </w:pPr>
            <w:r>
              <w:rPr>
                <w:color w:val="000000"/>
                <w:kern w:val="0"/>
                <w:sz w:val="22"/>
                <w:szCs w:val="22"/>
                <w:lang w:bidi="ar"/>
              </w:rPr>
              <w:t xml:space="preserve">96.57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widowControl/>
              <w:spacing w:line="360" w:lineRule="auto"/>
              <w:jc w:val="center"/>
            </w:pPr>
          </w:p>
        </w:tc>
        <w:tc>
          <w:tcPr>
            <w:tcW w:w="828" w:type="dxa"/>
            <w:vMerge w:val="continue"/>
            <w:shd w:val="clear" w:color="auto" w:fill="FFFFFF"/>
            <w:noWrap w:val="0"/>
            <w:vAlign w:val="center"/>
          </w:tcPr>
          <w:p>
            <w:pPr>
              <w:widowControl/>
              <w:spacing w:line="360" w:lineRule="auto"/>
              <w:jc w:val="center"/>
              <w:textAlignment w:val="center"/>
              <w:rPr>
                <w:kern w:val="0"/>
              </w:rPr>
            </w:pPr>
          </w:p>
        </w:tc>
        <w:tc>
          <w:tcPr>
            <w:tcW w:w="123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1.0015 </w:t>
            </w:r>
          </w:p>
        </w:tc>
        <w:tc>
          <w:tcPr>
            <w:tcW w:w="1238" w:type="dxa"/>
            <w:vMerge w:val="continue"/>
            <w:shd w:val="clear" w:color="auto" w:fill="FFFFFF"/>
            <w:noWrap w:val="0"/>
            <w:vAlign w:val="center"/>
          </w:tcPr>
          <w:p>
            <w:pPr>
              <w:widowControl/>
              <w:spacing w:line="360" w:lineRule="auto"/>
              <w:jc w:val="center"/>
              <w:textAlignment w:val="center"/>
              <w:rPr>
                <w:kern w:val="0"/>
              </w:rPr>
            </w:pPr>
          </w:p>
        </w:tc>
        <w:tc>
          <w:tcPr>
            <w:tcW w:w="1412"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1652.48 </w:t>
            </w:r>
          </w:p>
        </w:tc>
        <w:tc>
          <w:tcPr>
            <w:tcW w:w="1213" w:type="dxa"/>
            <w:vMerge w:val="continue"/>
            <w:shd w:val="clear" w:color="auto" w:fill="FFFFFF"/>
            <w:noWrap w:val="0"/>
            <w:vAlign w:val="center"/>
          </w:tcPr>
          <w:p>
            <w:pPr>
              <w:widowControl/>
              <w:spacing w:line="360" w:lineRule="auto"/>
              <w:jc w:val="center"/>
              <w:textAlignment w:val="center"/>
              <w:rPr>
                <w:kern w:val="0"/>
              </w:rPr>
            </w:pPr>
          </w:p>
        </w:tc>
        <w:tc>
          <w:tcPr>
            <w:tcW w:w="126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4055</w:t>
            </w:r>
          </w:p>
        </w:tc>
        <w:tc>
          <w:tcPr>
            <w:tcW w:w="1019"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96.10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widowControl/>
              <w:spacing w:line="360" w:lineRule="auto"/>
              <w:jc w:val="center"/>
            </w:pPr>
          </w:p>
        </w:tc>
        <w:tc>
          <w:tcPr>
            <w:tcW w:w="828" w:type="dxa"/>
            <w:vMerge w:val="restart"/>
            <w:shd w:val="clear" w:color="auto" w:fill="FFFFFF"/>
            <w:noWrap w:val="0"/>
            <w:vAlign w:val="center"/>
          </w:tcPr>
          <w:p>
            <w:pPr>
              <w:widowControl/>
              <w:spacing w:line="360" w:lineRule="auto"/>
              <w:jc w:val="center"/>
              <w:textAlignment w:val="center"/>
              <w:rPr>
                <w:kern w:val="0"/>
              </w:rPr>
            </w:pPr>
            <w:r>
              <w:rPr>
                <w:kern w:val="0"/>
              </w:rPr>
              <w:t>YT54</w:t>
            </w:r>
          </w:p>
        </w:tc>
        <w:tc>
          <w:tcPr>
            <w:tcW w:w="123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0.9930 </w:t>
            </w:r>
          </w:p>
        </w:tc>
        <w:tc>
          <w:tcPr>
            <w:tcW w:w="1238" w:type="dxa"/>
            <w:vMerge w:val="restart"/>
            <w:shd w:val="clear" w:color="auto" w:fill="FFFFFF"/>
            <w:noWrap w:val="0"/>
            <w:vAlign w:val="center"/>
          </w:tcPr>
          <w:p>
            <w:pPr>
              <w:widowControl/>
              <w:spacing w:line="360" w:lineRule="auto"/>
              <w:jc w:val="center"/>
              <w:textAlignment w:val="center"/>
              <w:rPr>
                <w:kern w:val="0"/>
              </w:rPr>
            </w:pPr>
            <w:r>
              <w:rPr>
                <w:kern w:val="0"/>
                <w:sz w:val="22"/>
                <w:szCs w:val="22"/>
                <w:lang w:bidi="ar"/>
              </w:rPr>
              <w:t>1.05</w:t>
            </w:r>
          </w:p>
        </w:tc>
        <w:tc>
          <w:tcPr>
            <w:tcW w:w="1412"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10426.50 </w:t>
            </w:r>
          </w:p>
        </w:tc>
        <w:tc>
          <w:tcPr>
            <w:tcW w:w="1213" w:type="dxa"/>
            <w:vMerge w:val="restart"/>
            <w:shd w:val="clear" w:color="auto" w:fill="FFFFFF"/>
            <w:noWrap w:val="0"/>
            <w:vAlign w:val="center"/>
          </w:tcPr>
          <w:p>
            <w:pPr>
              <w:widowControl/>
              <w:spacing w:line="360" w:lineRule="auto"/>
              <w:jc w:val="center"/>
              <w:textAlignment w:val="center"/>
              <w:rPr>
                <w:kern w:val="0"/>
              </w:rPr>
            </w:pPr>
            <w:r>
              <w:rPr>
                <w:kern w:val="0"/>
                <w:sz w:val="22"/>
                <w:szCs w:val="22"/>
                <w:lang w:bidi="ar"/>
              </w:rPr>
              <w:t>5000</w:t>
            </w:r>
          </w:p>
        </w:tc>
        <w:tc>
          <w:tcPr>
            <w:tcW w:w="126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15310</w:t>
            </w:r>
          </w:p>
        </w:tc>
        <w:tc>
          <w:tcPr>
            <w:tcW w:w="1019"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97.67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widowControl/>
              <w:spacing w:line="360" w:lineRule="auto"/>
              <w:jc w:val="center"/>
            </w:pPr>
          </w:p>
        </w:tc>
        <w:tc>
          <w:tcPr>
            <w:tcW w:w="828" w:type="dxa"/>
            <w:vMerge w:val="continue"/>
            <w:shd w:val="clear" w:color="auto" w:fill="FFFFFF"/>
            <w:noWrap w:val="0"/>
            <w:vAlign w:val="center"/>
          </w:tcPr>
          <w:p>
            <w:pPr>
              <w:widowControl/>
              <w:spacing w:line="360" w:lineRule="auto"/>
              <w:jc w:val="center"/>
              <w:textAlignment w:val="center"/>
              <w:rPr>
                <w:kern w:val="0"/>
              </w:rPr>
            </w:pPr>
          </w:p>
        </w:tc>
        <w:tc>
          <w:tcPr>
            <w:tcW w:w="123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1.0030 </w:t>
            </w:r>
          </w:p>
        </w:tc>
        <w:tc>
          <w:tcPr>
            <w:tcW w:w="1238" w:type="dxa"/>
            <w:vMerge w:val="continue"/>
            <w:shd w:val="clear" w:color="auto" w:fill="FFFFFF"/>
            <w:noWrap w:val="0"/>
            <w:vAlign w:val="center"/>
          </w:tcPr>
          <w:p>
            <w:pPr>
              <w:widowControl/>
              <w:spacing w:line="360" w:lineRule="auto"/>
              <w:jc w:val="center"/>
              <w:textAlignment w:val="center"/>
              <w:rPr>
                <w:kern w:val="0"/>
              </w:rPr>
            </w:pPr>
          </w:p>
        </w:tc>
        <w:tc>
          <w:tcPr>
            <w:tcW w:w="1412"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10531.50 </w:t>
            </w:r>
          </w:p>
        </w:tc>
        <w:tc>
          <w:tcPr>
            <w:tcW w:w="1213" w:type="dxa"/>
            <w:vMerge w:val="continue"/>
            <w:shd w:val="clear" w:color="auto" w:fill="FFFFFF"/>
            <w:noWrap w:val="0"/>
            <w:vAlign w:val="center"/>
          </w:tcPr>
          <w:p>
            <w:pPr>
              <w:widowControl/>
              <w:spacing w:line="360" w:lineRule="auto"/>
              <w:jc w:val="center"/>
              <w:textAlignment w:val="center"/>
              <w:rPr>
                <w:kern w:val="0"/>
              </w:rPr>
            </w:pPr>
          </w:p>
        </w:tc>
        <w:tc>
          <w:tcPr>
            <w:tcW w:w="126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15520</w:t>
            </w:r>
          </w:p>
        </w:tc>
        <w:tc>
          <w:tcPr>
            <w:tcW w:w="1019"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99.77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widowControl/>
              <w:spacing w:line="360" w:lineRule="auto"/>
              <w:jc w:val="center"/>
            </w:pPr>
          </w:p>
        </w:tc>
        <w:tc>
          <w:tcPr>
            <w:tcW w:w="828" w:type="dxa"/>
            <w:vMerge w:val="continue"/>
            <w:shd w:val="clear" w:color="auto" w:fill="FFFFFF"/>
            <w:noWrap w:val="0"/>
            <w:vAlign w:val="center"/>
          </w:tcPr>
          <w:p>
            <w:pPr>
              <w:widowControl/>
              <w:spacing w:line="360" w:lineRule="auto"/>
              <w:jc w:val="center"/>
              <w:textAlignment w:val="center"/>
              <w:rPr>
                <w:kern w:val="0"/>
              </w:rPr>
            </w:pPr>
          </w:p>
        </w:tc>
        <w:tc>
          <w:tcPr>
            <w:tcW w:w="123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1.0895 </w:t>
            </w:r>
          </w:p>
        </w:tc>
        <w:tc>
          <w:tcPr>
            <w:tcW w:w="1238" w:type="dxa"/>
            <w:vMerge w:val="continue"/>
            <w:shd w:val="clear" w:color="auto" w:fill="FFFFFF"/>
            <w:noWrap w:val="0"/>
            <w:vAlign w:val="center"/>
          </w:tcPr>
          <w:p>
            <w:pPr>
              <w:widowControl/>
              <w:spacing w:line="360" w:lineRule="auto"/>
              <w:jc w:val="center"/>
              <w:textAlignment w:val="center"/>
              <w:rPr>
                <w:kern w:val="0"/>
              </w:rPr>
            </w:pPr>
          </w:p>
        </w:tc>
        <w:tc>
          <w:tcPr>
            <w:tcW w:w="1412"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11439.75 </w:t>
            </w:r>
          </w:p>
        </w:tc>
        <w:tc>
          <w:tcPr>
            <w:tcW w:w="1213" w:type="dxa"/>
            <w:vMerge w:val="restart"/>
            <w:shd w:val="clear" w:color="auto" w:fill="FFFFFF"/>
            <w:noWrap w:val="0"/>
            <w:vAlign w:val="center"/>
          </w:tcPr>
          <w:p>
            <w:pPr>
              <w:widowControl/>
              <w:spacing w:line="360" w:lineRule="auto"/>
              <w:jc w:val="center"/>
              <w:textAlignment w:val="center"/>
              <w:rPr>
                <w:kern w:val="0"/>
              </w:rPr>
            </w:pPr>
            <w:r>
              <w:rPr>
                <w:kern w:val="0"/>
                <w:sz w:val="22"/>
                <w:szCs w:val="22"/>
                <w:lang w:bidi="ar"/>
              </w:rPr>
              <w:t>10000</w:t>
            </w:r>
          </w:p>
        </w:tc>
        <w:tc>
          <w:tcPr>
            <w:tcW w:w="126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21273</w:t>
            </w:r>
          </w:p>
        </w:tc>
        <w:tc>
          <w:tcPr>
            <w:tcW w:w="1019"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98.33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6" w:type="dxa"/>
            <w:vMerge w:val="continue"/>
            <w:shd w:val="clear" w:color="auto" w:fill="FFFFFF"/>
            <w:noWrap w:val="0"/>
            <w:vAlign w:val="center"/>
          </w:tcPr>
          <w:p>
            <w:pPr>
              <w:widowControl/>
              <w:spacing w:line="360" w:lineRule="auto"/>
              <w:jc w:val="center"/>
            </w:pPr>
          </w:p>
        </w:tc>
        <w:tc>
          <w:tcPr>
            <w:tcW w:w="828" w:type="dxa"/>
            <w:vMerge w:val="continue"/>
            <w:shd w:val="clear" w:color="auto" w:fill="FFFFFF"/>
            <w:noWrap w:val="0"/>
            <w:vAlign w:val="center"/>
          </w:tcPr>
          <w:p>
            <w:pPr>
              <w:widowControl/>
              <w:spacing w:line="360" w:lineRule="auto"/>
              <w:jc w:val="center"/>
              <w:textAlignment w:val="center"/>
              <w:rPr>
                <w:kern w:val="0"/>
              </w:rPr>
            </w:pPr>
          </w:p>
        </w:tc>
        <w:tc>
          <w:tcPr>
            <w:tcW w:w="123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0.9195 </w:t>
            </w:r>
          </w:p>
        </w:tc>
        <w:tc>
          <w:tcPr>
            <w:tcW w:w="1238" w:type="dxa"/>
            <w:vMerge w:val="continue"/>
            <w:shd w:val="clear" w:color="auto" w:fill="FFFFFF"/>
            <w:noWrap w:val="0"/>
            <w:vAlign w:val="center"/>
          </w:tcPr>
          <w:p>
            <w:pPr>
              <w:widowControl/>
              <w:spacing w:line="360" w:lineRule="auto"/>
              <w:jc w:val="center"/>
              <w:textAlignment w:val="center"/>
              <w:rPr>
                <w:kern w:val="0"/>
              </w:rPr>
            </w:pPr>
          </w:p>
        </w:tc>
        <w:tc>
          <w:tcPr>
            <w:tcW w:w="1412"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9654.75 </w:t>
            </w:r>
          </w:p>
        </w:tc>
        <w:tc>
          <w:tcPr>
            <w:tcW w:w="1213" w:type="dxa"/>
            <w:vMerge w:val="continue"/>
            <w:shd w:val="clear" w:color="auto" w:fill="FFFFFF"/>
            <w:noWrap w:val="0"/>
            <w:vAlign w:val="center"/>
          </w:tcPr>
          <w:p>
            <w:pPr>
              <w:widowControl/>
              <w:spacing w:line="360" w:lineRule="auto"/>
              <w:jc w:val="center"/>
              <w:textAlignment w:val="center"/>
              <w:rPr>
                <w:kern w:val="0"/>
              </w:rPr>
            </w:pPr>
          </w:p>
        </w:tc>
        <w:tc>
          <w:tcPr>
            <w:tcW w:w="1268"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19645</w:t>
            </w:r>
          </w:p>
        </w:tc>
        <w:tc>
          <w:tcPr>
            <w:tcW w:w="1019" w:type="dxa"/>
            <w:shd w:val="clear" w:color="auto" w:fill="FFFFFF"/>
            <w:noWrap w:val="0"/>
            <w:vAlign w:val="center"/>
          </w:tcPr>
          <w:p>
            <w:pPr>
              <w:widowControl/>
              <w:spacing w:line="360" w:lineRule="auto"/>
              <w:jc w:val="right"/>
              <w:textAlignment w:val="center"/>
              <w:rPr>
                <w:kern w:val="0"/>
              </w:rPr>
            </w:pPr>
            <w:r>
              <w:rPr>
                <w:color w:val="000000"/>
                <w:kern w:val="0"/>
                <w:sz w:val="22"/>
                <w:szCs w:val="22"/>
                <w:lang w:bidi="ar"/>
              </w:rPr>
              <w:t xml:space="preserve">99.90 </w:t>
            </w:r>
          </w:p>
        </w:tc>
      </w:tr>
    </w:tbl>
    <w:p>
      <w:pPr>
        <w:spacing w:line="360" w:lineRule="auto"/>
        <w:ind w:left="-4" w:leftChars="-2" w:firstLine="420" w:firstLineChars="200"/>
        <w:jc w:val="left"/>
        <w:rPr>
          <w:b/>
          <w:bCs/>
          <w:kern w:val="0"/>
        </w:rPr>
      </w:pPr>
      <w:r>
        <w:t>由表1</w:t>
      </w:r>
      <w:r>
        <w:rPr>
          <w:rFonts w:hint="eastAsia"/>
          <w:lang w:val="en-US" w:eastAsia="zh-CN"/>
        </w:rPr>
        <w:t>7</w:t>
      </w:r>
      <w:r>
        <w:t>可见，加标回收率介于96.10%-10</w:t>
      </w:r>
      <w:r>
        <w:rPr>
          <w:rFonts w:hint="eastAsia"/>
        </w:rPr>
        <w:t>2.58</w:t>
      </w:r>
      <w:r>
        <w:t>%之间，表明该方法的回收效果较好。</w:t>
      </w:r>
    </w:p>
    <w:p>
      <w:pPr>
        <w:pStyle w:val="5"/>
        <w:spacing w:line="360" w:lineRule="auto"/>
      </w:pPr>
      <w:r>
        <w:rPr>
          <w:rFonts w:hint="eastAsia"/>
          <w:lang w:val="en-US" w:eastAsia="zh-CN"/>
        </w:rPr>
        <w:t>1</w:t>
      </w:r>
      <w:r>
        <w:t>.7方法准确性试验</w:t>
      </w:r>
    </w:p>
    <w:p>
      <w:pPr>
        <w:spacing w:line="360" w:lineRule="auto"/>
        <w:ind w:firstLine="420" w:firstLineChars="200"/>
      </w:pPr>
      <w:r>
        <w:t>按照本方法进行溶样，所得的溶液分别用火焰原子吸收光谱仪(AAS)与电感耦合等离子体发射光谱仪(ICP-AES)进行测定，其结果见表</w:t>
      </w:r>
      <w:r>
        <w:rPr>
          <w:rFonts w:hint="eastAsia"/>
          <w:lang w:val="en-US" w:eastAsia="zh-CN"/>
        </w:rPr>
        <w:t>18</w:t>
      </w:r>
      <w:r>
        <w:t>。</w:t>
      </w:r>
    </w:p>
    <w:p>
      <w:pPr>
        <w:pStyle w:val="3"/>
        <w:keepNext w:val="0"/>
        <w:keepLines w:val="0"/>
        <w:spacing w:line="360" w:lineRule="auto"/>
        <w:jc w:val="center"/>
        <w:rPr>
          <w:rFonts w:eastAsia="宋体" w:cs="Times New Roman"/>
          <w:color w:val="auto"/>
          <w:sz w:val="21"/>
          <w:szCs w:val="21"/>
        </w:rPr>
      </w:pPr>
      <w:r>
        <w:rPr>
          <w:rFonts w:eastAsia="宋体" w:cs="Times New Roman"/>
          <w:color w:val="auto"/>
          <w:sz w:val="21"/>
          <w:szCs w:val="21"/>
        </w:rPr>
        <w:t>表</w:t>
      </w:r>
      <w:r>
        <w:rPr>
          <w:rFonts w:hint="eastAsia" w:cs="Times New Roman"/>
          <w:color w:val="auto"/>
          <w:sz w:val="21"/>
          <w:szCs w:val="21"/>
          <w:lang w:val="en-US" w:eastAsia="zh-CN"/>
        </w:rPr>
        <w:t>18</w:t>
      </w:r>
      <w:r>
        <w:rPr>
          <w:rFonts w:eastAsia="宋体" w:cs="Times New Roman"/>
          <w:color w:val="auto"/>
          <w:sz w:val="21"/>
          <w:szCs w:val="21"/>
        </w:rPr>
        <w:t>本方法与ICP-AES法结果对比</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840" w:type="dxa"/>
            <w:noWrap w:val="0"/>
            <w:vAlign w:val="center"/>
          </w:tcPr>
          <w:p>
            <w:pPr>
              <w:spacing w:line="360" w:lineRule="auto"/>
              <w:jc w:val="center"/>
              <w:rPr>
                <w:bCs/>
                <w:sz w:val="21"/>
                <w:szCs w:val="21"/>
              </w:rPr>
            </w:pPr>
            <w:r>
              <w:rPr>
                <w:bCs/>
                <w:sz w:val="21"/>
                <w:szCs w:val="21"/>
              </w:rPr>
              <w:t>试样</w:t>
            </w:r>
          </w:p>
        </w:tc>
        <w:tc>
          <w:tcPr>
            <w:tcW w:w="2841" w:type="dxa"/>
            <w:noWrap w:val="0"/>
            <w:vAlign w:val="center"/>
          </w:tcPr>
          <w:p>
            <w:pPr>
              <w:spacing w:line="360" w:lineRule="auto"/>
              <w:jc w:val="center"/>
              <w:rPr>
                <w:bCs/>
                <w:sz w:val="21"/>
                <w:szCs w:val="21"/>
              </w:rPr>
            </w:pPr>
            <w:r>
              <w:rPr>
                <w:bCs/>
                <w:sz w:val="21"/>
                <w:szCs w:val="21"/>
              </w:rPr>
              <w:t>本法结果平均值/%</w:t>
            </w:r>
          </w:p>
        </w:tc>
        <w:tc>
          <w:tcPr>
            <w:tcW w:w="2841" w:type="dxa"/>
            <w:noWrap w:val="0"/>
            <w:vAlign w:val="center"/>
          </w:tcPr>
          <w:p>
            <w:pPr>
              <w:spacing w:line="360" w:lineRule="auto"/>
              <w:jc w:val="center"/>
              <w:rPr>
                <w:bCs/>
                <w:sz w:val="21"/>
                <w:szCs w:val="21"/>
              </w:rPr>
            </w:pPr>
            <w:r>
              <w:rPr>
                <w:bCs/>
                <w:sz w:val="21"/>
                <w:szCs w:val="21"/>
              </w:rPr>
              <w:t>ICP-AES法结果平均值/%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bCs/>
              </w:rPr>
            </w:pPr>
            <w:r>
              <w:rPr>
                <w:bCs/>
              </w:rPr>
              <w:t>YT99</w:t>
            </w:r>
          </w:p>
        </w:tc>
        <w:tc>
          <w:tcPr>
            <w:tcW w:w="2841" w:type="dxa"/>
            <w:noWrap w:val="0"/>
            <w:vAlign w:val="center"/>
          </w:tcPr>
          <w:p>
            <w:pPr>
              <w:spacing w:line="360" w:lineRule="auto"/>
              <w:jc w:val="center"/>
              <w:rPr>
                <w:bCs/>
              </w:rPr>
            </w:pPr>
            <w:r>
              <w:rPr>
                <w:bCs/>
              </w:rPr>
              <w:t>0.0232</w:t>
            </w:r>
          </w:p>
        </w:tc>
        <w:tc>
          <w:tcPr>
            <w:tcW w:w="2841" w:type="dxa"/>
            <w:noWrap w:val="0"/>
            <w:vAlign w:val="center"/>
          </w:tcPr>
          <w:p>
            <w:pPr>
              <w:spacing w:line="360" w:lineRule="auto"/>
              <w:jc w:val="center"/>
              <w:rPr>
                <w:bCs/>
              </w:rPr>
            </w:pPr>
            <w:r>
              <w:rPr>
                <w:bCs/>
              </w:rPr>
              <w:t>0.0234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bCs/>
              </w:rPr>
            </w:pPr>
            <w:r>
              <w:rPr>
                <w:bCs/>
              </w:rPr>
              <w:t>YT97</w:t>
            </w:r>
          </w:p>
        </w:tc>
        <w:tc>
          <w:tcPr>
            <w:tcW w:w="2841" w:type="dxa"/>
            <w:noWrap w:val="0"/>
            <w:vAlign w:val="center"/>
          </w:tcPr>
          <w:p>
            <w:pPr>
              <w:spacing w:line="360" w:lineRule="auto"/>
              <w:jc w:val="center"/>
              <w:rPr>
                <w:bCs/>
              </w:rPr>
            </w:pPr>
            <w:r>
              <w:rPr>
                <w:bCs/>
              </w:rPr>
              <w:t>0.159</w:t>
            </w:r>
          </w:p>
        </w:tc>
        <w:tc>
          <w:tcPr>
            <w:tcW w:w="2841" w:type="dxa"/>
            <w:noWrap w:val="0"/>
            <w:vAlign w:val="center"/>
          </w:tcPr>
          <w:p>
            <w:pPr>
              <w:spacing w:line="360" w:lineRule="auto"/>
              <w:jc w:val="center"/>
              <w:rPr>
                <w:bCs/>
              </w:rPr>
            </w:pPr>
            <w:r>
              <w:rPr>
                <w:bCs/>
              </w:rPr>
              <w:t>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bCs/>
              </w:rPr>
            </w:pPr>
            <w:r>
              <w:rPr>
                <w:bCs/>
              </w:rPr>
              <w:t>YT92</w:t>
            </w:r>
          </w:p>
        </w:tc>
        <w:tc>
          <w:tcPr>
            <w:tcW w:w="2841" w:type="dxa"/>
            <w:noWrap w:val="0"/>
            <w:vAlign w:val="center"/>
          </w:tcPr>
          <w:p>
            <w:pPr>
              <w:spacing w:line="360" w:lineRule="auto"/>
              <w:jc w:val="center"/>
              <w:rPr>
                <w:bCs/>
              </w:rPr>
            </w:pPr>
            <w:r>
              <w:rPr>
                <w:bCs/>
              </w:rPr>
              <w:t>1.038</w:t>
            </w:r>
          </w:p>
        </w:tc>
        <w:tc>
          <w:tcPr>
            <w:tcW w:w="2841" w:type="dxa"/>
            <w:noWrap w:val="0"/>
            <w:vAlign w:val="center"/>
          </w:tcPr>
          <w:p>
            <w:pPr>
              <w:spacing w:line="360" w:lineRule="auto"/>
              <w:jc w:val="center"/>
              <w:rPr>
                <w:bCs/>
              </w:rPr>
            </w:pPr>
            <w:r>
              <w:rPr>
                <w:bCs/>
              </w:rPr>
              <w:t>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bCs/>
              </w:rPr>
            </w:pPr>
            <w:r>
              <w:rPr>
                <w:bCs/>
              </w:rPr>
              <w:t>YT57</w:t>
            </w:r>
          </w:p>
        </w:tc>
        <w:tc>
          <w:tcPr>
            <w:tcW w:w="2841" w:type="dxa"/>
            <w:noWrap w:val="0"/>
            <w:vAlign w:val="center"/>
          </w:tcPr>
          <w:p>
            <w:pPr>
              <w:spacing w:line="360" w:lineRule="auto"/>
              <w:jc w:val="center"/>
              <w:rPr>
                <w:bCs/>
              </w:rPr>
            </w:pPr>
            <w:r>
              <w:rPr>
                <w:bCs/>
              </w:rPr>
              <w:t>2.880</w:t>
            </w:r>
          </w:p>
        </w:tc>
        <w:tc>
          <w:tcPr>
            <w:tcW w:w="2841" w:type="dxa"/>
            <w:noWrap w:val="0"/>
            <w:vAlign w:val="center"/>
          </w:tcPr>
          <w:p>
            <w:pPr>
              <w:spacing w:line="360" w:lineRule="auto"/>
              <w:jc w:val="center"/>
              <w:rPr>
                <w:bCs/>
              </w:rPr>
            </w:pPr>
            <w:r>
              <w:rPr>
                <w:bCs/>
              </w:rPr>
              <w:t>2.867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spacing w:line="360" w:lineRule="auto"/>
              <w:jc w:val="center"/>
              <w:rPr>
                <w:bCs/>
              </w:rPr>
            </w:pPr>
            <w:r>
              <w:rPr>
                <w:bCs/>
              </w:rPr>
              <w:t>YT84</w:t>
            </w:r>
          </w:p>
        </w:tc>
        <w:tc>
          <w:tcPr>
            <w:tcW w:w="2841" w:type="dxa"/>
            <w:noWrap w:val="0"/>
            <w:vAlign w:val="center"/>
          </w:tcPr>
          <w:p>
            <w:pPr>
              <w:spacing w:line="360" w:lineRule="auto"/>
              <w:jc w:val="center"/>
              <w:rPr>
                <w:bCs/>
              </w:rPr>
            </w:pPr>
            <w:r>
              <w:rPr>
                <w:bCs/>
              </w:rPr>
              <w:t>3.867</w:t>
            </w:r>
          </w:p>
        </w:tc>
        <w:tc>
          <w:tcPr>
            <w:tcW w:w="2841" w:type="dxa"/>
            <w:noWrap w:val="0"/>
            <w:vAlign w:val="center"/>
          </w:tcPr>
          <w:p>
            <w:pPr>
              <w:spacing w:line="360" w:lineRule="auto"/>
              <w:jc w:val="center"/>
              <w:rPr>
                <w:bCs/>
              </w:rPr>
            </w:pPr>
            <w:r>
              <w:rPr>
                <w:bCs/>
              </w:rPr>
              <w:t>3.924</w:t>
            </w:r>
          </w:p>
        </w:tc>
      </w:tr>
    </w:tbl>
    <w:p>
      <w:pPr>
        <w:spacing w:line="360" w:lineRule="auto"/>
        <w:ind w:firstLine="420" w:firstLineChars="200"/>
      </w:pPr>
      <w:bookmarkStart w:id="7" w:name="_GoBack"/>
      <w:bookmarkEnd w:id="7"/>
      <w:r>
        <w:t>根据表</w:t>
      </w:r>
      <w:r>
        <w:rPr>
          <w:rFonts w:hint="eastAsia"/>
          <w:lang w:val="en-US" w:eastAsia="zh-CN"/>
        </w:rPr>
        <w:t>18</w:t>
      </w:r>
      <w:r>
        <w:t>对比可知，本法测定结果与ICP-AES法测定结果一致性好，说明本方法具有较好的准确性。</w:t>
      </w:r>
    </w:p>
    <w:p>
      <w:pPr>
        <w:pStyle w:val="5"/>
        <w:spacing w:line="360" w:lineRule="auto"/>
      </w:pPr>
      <w:r>
        <w:rPr>
          <w:rFonts w:hint="eastAsia"/>
          <w:bCs/>
          <w:lang w:val="en-US" w:eastAsia="zh-CN"/>
        </w:rPr>
        <w:t>1.8</w:t>
      </w:r>
      <w:r>
        <w:rPr>
          <w:bCs/>
        </w:rPr>
        <w:t>方法重复性试验</w:t>
      </w:r>
      <w:r>
        <w:t xml:space="preserve"> </w:t>
      </w:r>
    </w:p>
    <w:p>
      <w:pPr>
        <w:spacing w:line="360" w:lineRule="auto"/>
        <w:ind w:firstLine="420" w:firstLineChars="200"/>
      </w:pPr>
      <w:r>
        <w:t>对6个粗锡样品进行了11次独立测定，测定结果见表</w:t>
      </w:r>
      <w:r>
        <w:rPr>
          <w:rFonts w:hint="eastAsia"/>
          <w:lang w:val="en-US" w:eastAsia="zh-CN"/>
        </w:rPr>
        <w:t>19</w:t>
      </w:r>
      <w:r>
        <w:t>。</w:t>
      </w:r>
    </w:p>
    <w:p>
      <w:pPr>
        <w:pStyle w:val="3"/>
        <w:keepNext w:val="0"/>
        <w:keepLines w:val="0"/>
        <w:spacing w:line="360" w:lineRule="auto"/>
        <w:jc w:val="center"/>
        <w:rPr>
          <w:rFonts w:eastAsia="宋体" w:cs="Times New Roman"/>
          <w:sz w:val="21"/>
          <w:szCs w:val="21"/>
        </w:rPr>
      </w:pPr>
      <w:r>
        <w:rPr>
          <w:rFonts w:eastAsia="宋体" w:cs="Times New Roman"/>
          <w:sz w:val="21"/>
          <w:szCs w:val="21"/>
        </w:rPr>
        <w:t>表</w:t>
      </w:r>
      <w:r>
        <w:rPr>
          <w:rFonts w:hint="eastAsia" w:cs="Times New Roman"/>
          <w:sz w:val="21"/>
          <w:szCs w:val="21"/>
          <w:lang w:val="en-US" w:eastAsia="zh-CN"/>
        </w:rPr>
        <w:t>19</w:t>
      </w:r>
      <w:r>
        <w:rPr>
          <w:rFonts w:eastAsia="宋体" w:cs="Times New Roman"/>
          <w:sz w:val="21"/>
          <w:szCs w:val="21"/>
        </w:rPr>
        <w:t>方法重复性数据  （单位：%）</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0"/>
        <w:gridCol w:w="1173"/>
        <w:gridCol w:w="1173"/>
        <w:gridCol w:w="1173"/>
        <w:gridCol w:w="1173"/>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编试样号</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YT99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YT97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YT92</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YT57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YT84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restart"/>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Bi含量（%）</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0.0225</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1.033</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2.885</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0.0226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1.052</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2.829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0.0249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0.165</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1.079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2.926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0.0234</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0.165</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1.039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2.954</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0.0220</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1.0302</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2.836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0.0220</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1.049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2.896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0.0230</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0.158</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1.028</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2.832</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0.0241</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0.158</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1.046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2.836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0.0234</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1.037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2.927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0.0227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0.163</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1.027</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2.894</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vMerge w:val="continue"/>
            <w:noWrap/>
            <w:tcMar>
              <w:top w:w="15" w:type="dxa"/>
              <w:left w:w="15" w:type="dxa"/>
              <w:right w:w="15" w:type="dxa"/>
            </w:tcMar>
            <w:vAlign w:val="center"/>
          </w:tcPr>
          <w:p>
            <w:pPr>
              <w:spacing w:line="360" w:lineRule="auto"/>
              <w:jc w:val="center"/>
              <w:rPr>
                <w:color w:val="000000"/>
                <w:sz w:val="22"/>
                <w:szCs w:val="22"/>
              </w:rPr>
            </w:pP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0.0244</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1.001</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2.861</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平均值（%）</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0.0232</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0.159</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1.038</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2.880</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3.867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SD</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0.0010</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0.0035</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0.0193</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0.0441</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0.0631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00"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RSD（%）</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4.15</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2.18</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1.86</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1.53</w:t>
            </w:r>
          </w:p>
        </w:tc>
        <w:tc>
          <w:tcPr>
            <w:tcW w:w="1173" w:type="dxa"/>
            <w:noWrap/>
            <w:tcMar>
              <w:top w:w="15" w:type="dxa"/>
              <w:left w:w="15" w:type="dxa"/>
              <w:right w:w="15" w:type="dxa"/>
            </w:tcMar>
            <w:vAlign w:val="center"/>
          </w:tcPr>
          <w:p>
            <w:pPr>
              <w:widowControl/>
              <w:spacing w:line="360" w:lineRule="auto"/>
              <w:jc w:val="center"/>
              <w:textAlignment w:val="center"/>
              <w:rPr>
                <w:color w:val="000000"/>
                <w:sz w:val="22"/>
                <w:szCs w:val="22"/>
              </w:rPr>
            </w:pPr>
            <w:r>
              <w:rPr>
                <w:color w:val="000000"/>
                <w:kern w:val="0"/>
                <w:sz w:val="22"/>
                <w:szCs w:val="22"/>
                <w:lang w:bidi="ar"/>
              </w:rPr>
              <w:t>1.63</w:t>
            </w:r>
          </w:p>
        </w:tc>
      </w:tr>
    </w:tbl>
    <w:p>
      <w:pPr>
        <w:spacing w:line="360" w:lineRule="auto"/>
      </w:pPr>
    </w:p>
    <w:p>
      <w:pPr>
        <w:spacing w:line="360" w:lineRule="auto"/>
        <w:ind w:left="-4" w:leftChars="-2" w:firstLine="420" w:firstLineChars="200"/>
        <w:jc w:val="left"/>
        <w:rPr>
          <w:b/>
          <w:bCs/>
        </w:rPr>
      </w:pPr>
      <w:r>
        <w:t>由表</w:t>
      </w:r>
      <w:r>
        <w:rPr>
          <w:rFonts w:hint="eastAsia"/>
          <w:lang w:val="en-US" w:eastAsia="zh-CN"/>
        </w:rPr>
        <w:t>19</w:t>
      </w:r>
      <w:r>
        <w:t>可见，结果的相对标准偏差在1.</w:t>
      </w:r>
      <w:r>
        <w:rPr>
          <w:rFonts w:hint="eastAsia"/>
          <w:lang w:val="en-US" w:eastAsia="zh-CN"/>
        </w:rPr>
        <w:t>53</w:t>
      </w:r>
      <w:r>
        <w:t>%~4.15%之间，精密度符合要求。</w:t>
      </w:r>
    </w:p>
    <w:p>
      <w:pPr>
        <w:pStyle w:val="3"/>
        <w:spacing w:line="360" w:lineRule="auto"/>
        <w:rPr>
          <w:b/>
          <w:bCs w:val="0"/>
          <w:sz w:val="21"/>
          <w:szCs w:val="21"/>
        </w:rPr>
      </w:pPr>
      <w:r>
        <w:rPr>
          <w:rFonts w:hint="eastAsia"/>
          <w:b/>
          <w:bCs w:val="0"/>
          <w:sz w:val="21"/>
          <w:szCs w:val="21"/>
        </w:rPr>
        <w:t>3.2 方法2：</w:t>
      </w:r>
      <w:r>
        <w:rPr>
          <w:rFonts w:hint="eastAsia"/>
          <w:b/>
          <w:bCs w:val="0"/>
          <w:color w:val="auto"/>
          <w:sz w:val="21"/>
          <w:szCs w:val="21"/>
        </w:rPr>
        <w:t>Na</w:t>
      </w:r>
      <w:r>
        <w:rPr>
          <w:rFonts w:hint="eastAsia"/>
          <w:b/>
          <w:bCs w:val="0"/>
          <w:color w:val="auto"/>
          <w:sz w:val="21"/>
          <w:szCs w:val="21"/>
          <w:vertAlign w:val="subscript"/>
        </w:rPr>
        <w:t>2</w:t>
      </w:r>
      <w:r>
        <w:rPr>
          <w:rFonts w:hint="eastAsia"/>
          <w:b/>
          <w:bCs w:val="0"/>
          <w:color w:val="auto"/>
          <w:sz w:val="21"/>
          <w:szCs w:val="21"/>
        </w:rPr>
        <w:t>EDTA滴定法</w:t>
      </w:r>
      <w:r>
        <w:rPr>
          <w:rFonts w:hint="eastAsia"/>
          <w:b/>
          <w:bCs w:val="0"/>
          <w:sz w:val="21"/>
          <w:szCs w:val="21"/>
        </w:rPr>
        <w:t>标准编制依据</w:t>
      </w:r>
    </w:p>
    <w:p>
      <w:pPr>
        <w:pStyle w:val="5"/>
        <w:bidi w:val="0"/>
      </w:pPr>
      <w:r>
        <w:rPr>
          <w:rFonts w:hint="eastAsia"/>
        </w:rPr>
        <w:t>1铋含量范围确定及使用检测手段确定</w:t>
      </w:r>
    </w:p>
    <w:p>
      <w:pPr>
        <w:spacing w:line="360" w:lineRule="auto"/>
        <w:ind w:firstLine="420" w:firstLineChars="200"/>
        <w:rPr>
          <w:rFonts w:hint="eastAsia"/>
          <w:sz w:val="21"/>
          <w:szCs w:val="21"/>
        </w:rPr>
      </w:pPr>
      <w:r>
        <w:rPr>
          <w:rFonts w:hint="eastAsia"/>
          <w:sz w:val="21"/>
          <w:szCs w:val="21"/>
        </w:rPr>
        <w:t>根据云锡等单位提供的粗锡试样以及在实际生产中遇到的样品，铋含量的测定范围为0.04%~10.00%。其中对于试样中4.00%~10.00%铋含量的检测，从普及程度及成本方面考虑，最终选择了Na</w:t>
      </w:r>
      <w:r>
        <w:rPr>
          <w:rFonts w:hint="eastAsia"/>
          <w:sz w:val="21"/>
          <w:szCs w:val="21"/>
          <w:vertAlign w:val="subscript"/>
        </w:rPr>
        <w:t>2</w:t>
      </w:r>
      <w:r>
        <w:rPr>
          <w:rFonts w:hint="eastAsia"/>
          <w:sz w:val="21"/>
          <w:szCs w:val="21"/>
        </w:rPr>
        <w:t>EDTA滴定法。</w:t>
      </w:r>
    </w:p>
    <w:p>
      <w:pPr>
        <w:pStyle w:val="5"/>
        <w:bidi w:val="0"/>
        <w:rPr>
          <w:rFonts w:hint="eastAsia"/>
        </w:rPr>
      </w:pPr>
      <w:r>
        <w:rPr>
          <w:rFonts w:hint="eastAsia"/>
        </w:rPr>
        <w:t>2 实验结果及讨论</w:t>
      </w:r>
    </w:p>
    <w:p>
      <w:pPr>
        <w:pStyle w:val="5"/>
        <w:bidi w:val="0"/>
        <w:rPr>
          <w:rFonts w:hint="eastAsia" w:hAnsi="宋体"/>
          <w:bCs/>
          <w:szCs w:val="21"/>
        </w:rPr>
      </w:pPr>
      <w:r>
        <w:rPr>
          <w:bCs/>
          <w:szCs w:val="21"/>
        </w:rPr>
        <w:t>2.</w:t>
      </w:r>
      <w:r>
        <w:rPr>
          <w:rFonts w:hint="eastAsia"/>
          <w:bCs/>
          <w:szCs w:val="21"/>
        </w:rPr>
        <w:t>1</w:t>
      </w:r>
      <w:r>
        <w:rPr>
          <w:rFonts w:hint="eastAsia" w:hAnsi="宋体"/>
          <w:bCs/>
          <w:szCs w:val="21"/>
        </w:rPr>
        <w:t>滴定条件的选择</w:t>
      </w:r>
    </w:p>
    <w:p>
      <w:pPr>
        <w:pStyle w:val="5"/>
        <w:bidi w:val="0"/>
        <w:rPr>
          <w:rFonts w:eastAsia="黑体"/>
          <w:szCs w:val="21"/>
        </w:rPr>
      </w:pPr>
      <w:r>
        <w:rPr>
          <w:rFonts w:ascii="黑体" w:hAnsi="黑体" w:eastAsia="黑体"/>
        </w:rPr>
        <w:t>2.</w:t>
      </w:r>
      <w:r>
        <w:rPr>
          <w:rFonts w:hint="eastAsia" w:ascii="黑体" w:hAnsi="黑体" w:eastAsia="黑体"/>
        </w:rPr>
        <w:t>1</w:t>
      </w:r>
      <w:r>
        <w:rPr>
          <w:rFonts w:ascii="黑体" w:hAnsi="黑体" w:eastAsia="黑体"/>
        </w:rPr>
        <w:t>.1</w:t>
      </w:r>
      <w:r>
        <w:rPr>
          <w:rFonts w:ascii="宋体" w:hAnsi="宋体"/>
          <w:szCs w:val="21"/>
        </w:rPr>
        <w:t xml:space="preserve"> </w:t>
      </w:r>
      <w:r>
        <w:rPr>
          <w:rFonts w:hint="eastAsia" w:ascii="宋体" w:hAnsi="宋体"/>
          <w:szCs w:val="21"/>
        </w:rPr>
        <w:t>酸度条件</w:t>
      </w:r>
    </w:p>
    <w:p>
      <w:pPr>
        <w:spacing w:line="360" w:lineRule="auto"/>
        <w:ind w:firstLine="435"/>
        <w:outlineLvl w:val="0"/>
        <w:rPr>
          <w:rFonts w:hint="eastAsia"/>
          <w:szCs w:val="21"/>
        </w:rPr>
      </w:pPr>
      <w:r>
        <w:rPr>
          <w:rFonts w:hint="eastAsia"/>
          <w:szCs w:val="21"/>
        </w:rPr>
        <w:t>取10mg铋标准溶液，分别在pH为1.0、1.5、1.7、2.0、2.5，用Na</w:t>
      </w:r>
      <w:r>
        <w:rPr>
          <w:rFonts w:hint="eastAsia"/>
          <w:szCs w:val="21"/>
          <w:vertAlign w:val="subscript"/>
        </w:rPr>
        <w:t>2</w:t>
      </w:r>
      <w:r>
        <w:rPr>
          <w:rFonts w:hint="eastAsia"/>
          <w:szCs w:val="21"/>
        </w:rPr>
        <w:t>EDTA标准滴定溶液滴定铋的含量，</w:t>
      </w:r>
      <w:r>
        <w:rPr>
          <w:rFonts w:hint="eastAsia" w:ascii="宋体" w:hAnsi="宋体"/>
          <w:kern w:val="0"/>
        </w:rPr>
        <w:t>试验</w:t>
      </w:r>
      <w:r>
        <w:rPr>
          <w:rFonts w:hint="eastAsia"/>
          <w:szCs w:val="21"/>
        </w:rPr>
        <w:t>结果见下表</w:t>
      </w:r>
      <w:r>
        <w:rPr>
          <w:rFonts w:hint="eastAsia"/>
          <w:szCs w:val="21"/>
          <w:lang w:val="en-US" w:eastAsia="zh-CN"/>
        </w:rPr>
        <w:t>20</w:t>
      </w:r>
      <w:r>
        <w:rPr>
          <w:rFonts w:hint="eastAsia"/>
          <w:szCs w:val="21"/>
        </w:rPr>
        <w:t>。</w:t>
      </w:r>
    </w:p>
    <w:p>
      <w:pPr>
        <w:spacing w:line="360" w:lineRule="auto"/>
        <w:ind w:firstLine="435"/>
        <w:jc w:val="center"/>
        <w:outlineLvl w:val="0"/>
        <w:rPr>
          <w:rFonts w:hint="eastAsia"/>
          <w:sz w:val="18"/>
          <w:szCs w:val="18"/>
        </w:rPr>
      </w:pPr>
      <w:r>
        <w:rPr>
          <w:rFonts w:hint="eastAsia"/>
          <w:sz w:val="18"/>
          <w:szCs w:val="18"/>
        </w:rPr>
        <w:t>表</w:t>
      </w:r>
      <w:r>
        <w:rPr>
          <w:rFonts w:hint="eastAsia"/>
          <w:sz w:val="18"/>
          <w:szCs w:val="18"/>
          <w:lang w:val="en-US" w:eastAsia="zh-CN"/>
        </w:rPr>
        <w:t>20</w:t>
      </w:r>
      <w:r>
        <w:rPr>
          <w:rFonts w:hint="eastAsia"/>
          <w:sz w:val="18"/>
          <w:szCs w:val="18"/>
        </w:rPr>
        <w:t xml:space="preserve"> 酸度对Na</w:t>
      </w:r>
      <w:r>
        <w:rPr>
          <w:rFonts w:hint="eastAsia"/>
          <w:sz w:val="18"/>
          <w:szCs w:val="18"/>
          <w:vertAlign w:val="subscript"/>
        </w:rPr>
        <w:t>2</w:t>
      </w:r>
      <w:r>
        <w:rPr>
          <w:rFonts w:hint="eastAsia"/>
          <w:sz w:val="18"/>
          <w:szCs w:val="18"/>
        </w:rPr>
        <w:t>EDTA滴定铋的影响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495"/>
        <w:gridCol w:w="1495"/>
        <w:gridCol w:w="1495"/>
        <w:gridCol w:w="149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spacing w:line="240" w:lineRule="auto"/>
              <w:jc w:val="center"/>
              <w:outlineLvl w:val="0"/>
              <w:rPr>
                <w:rFonts w:hint="eastAsia"/>
                <w:sz w:val="18"/>
                <w:szCs w:val="18"/>
              </w:rPr>
            </w:pPr>
            <w:r>
              <w:rPr>
                <w:rFonts w:hint="eastAsia"/>
                <w:sz w:val="18"/>
                <w:szCs w:val="18"/>
              </w:rPr>
              <w:t>pH值</w:t>
            </w:r>
          </w:p>
        </w:tc>
        <w:tc>
          <w:tcPr>
            <w:tcW w:w="1495" w:type="dxa"/>
            <w:noWrap w:val="0"/>
            <w:vAlign w:val="center"/>
          </w:tcPr>
          <w:p>
            <w:pPr>
              <w:spacing w:line="240" w:lineRule="auto"/>
              <w:jc w:val="center"/>
              <w:outlineLvl w:val="0"/>
              <w:rPr>
                <w:rFonts w:hint="eastAsia"/>
                <w:sz w:val="18"/>
                <w:szCs w:val="18"/>
              </w:rPr>
            </w:pPr>
            <w:r>
              <w:rPr>
                <w:rFonts w:hint="eastAsia"/>
                <w:sz w:val="18"/>
                <w:szCs w:val="18"/>
              </w:rPr>
              <w:t>1.0</w:t>
            </w:r>
          </w:p>
        </w:tc>
        <w:tc>
          <w:tcPr>
            <w:tcW w:w="1495" w:type="dxa"/>
            <w:noWrap w:val="0"/>
            <w:vAlign w:val="center"/>
          </w:tcPr>
          <w:p>
            <w:pPr>
              <w:spacing w:line="240" w:lineRule="auto"/>
              <w:jc w:val="center"/>
              <w:outlineLvl w:val="0"/>
              <w:rPr>
                <w:rFonts w:hint="eastAsia"/>
                <w:sz w:val="18"/>
                <w:szCs w:val="18"/>
              </w:rPr>
            </w:pPr>
            <w:r>
              <w:rPr>
                <w:rFonts w:hint="eastAsia"/>
                <w:sz w:val="18"/>
                <w:szCs w:val="18"/>
              </w:rPr>
              <w:t>1.5</w:t>
            </w:r>
          </w:p>
        </w:tc>
        <w:tc>
          <w:tcPr>
            <w:tcW w:w="1495" w:type="dxa"/>
            <w:noWrap w:val="0"/>
            <w:vAlign w:val="center"/>
          </w:tcPr>
          <w:p>
            <w:pPr>
              <w:spacing w:line="240" w:lineRule="auto"/>
              <w:jc w:val="center"/>
              <w:outlineLvl w:val="0"/>
              <w:rPr>
                <w:rFonts w:hint="eastAsia"/>
                <w:sz w:val="18"/>
                <w:szCs w:val="18"/>
              </w:rPr>
            </w:pPr>
            <w:r>
              <w:rPr>
                <w:rFonts w:hint="eastAsia"/>
                <w:sz w:val="18"/>
                <w:szCs w:val="18"/>
              </w:rPr>
              <w:t>1.7</w:t>
            </w:r>
          </w:p>
        </w:tc>
        <w:tc>
          <w:tcPr>
            <w:tcW w:w="1495" w:type="dxa"/>
            <w:noWrap w:val="0"/>
            <w:vAlign w:val="center"/>
          </w:tcPr>
          <w:p>
            <w:pPr>
              <w:spacing w:line="240" w:lineRule="auto"/>
              <w:jc w:val="center"/>
              <w:outlineLvl w:val="0"/>
              <w:rPr>
                <w:rFonts w:hint="eastAsia"/>
                <w:sz w:val="18"/>
                <w:szCs w:val="18"/>
              </w:rPr>
            </w:pPr>
            <w:r>
              <w:rPr>
                <w:rFonts w:hint="eastAsia"/>
                <w:sz w:val="18"/>
                <w:szCs w:val="18"/>
              </w:rPr>
              <w:t>2.0</w:t>
            </w:r>
          </w:p>
        </w:tc>
        <w:tc>
          <w:tcPr>
            <w:tcW w:w="1499" w:type="dxa"/>
            <w:noWrap w:val="0"/>
            <w:vAlign w:val="center"/>
          </w:tcPr>
          <w:p>
            <w:pPr>
              <w:spacing w:line="240" w:lineRule="auto"/>
              <w:jc w:val="center"/>
              <w:outlineLvl w:val="0"/>
              <w:rPr>
                <w:rFonts w:hint="eastAsia"/>
                <w:sz w:val="18"/>
                <w:szCs w:val="18"/>
              </w:rPr>
            </w:pP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spacing w:line="240" w:lineRule="auto"/>
              <w:jc w:val="center"/>
              <w:outlineLvl w:val="0"/>
              <w:rPr>
                <w:rFonts w:hint="eastAsia"/>
                <w:sz w:val="18"/>
                <w:szCs w:val="18"/>
              </w:rPr>
            </w:pPr>
            <w:r>
              <w:rPr>
                <w:rFonts w:hint="eastAsia"/>
                <w:sz w:val="18"/>
                <w:szCs w:val="18"/>
              </w:rPr>
              <w:t>铋标准加入量/mg</w:t>
            </w:r>
          </w:p>
        </w:tc>
        <w:tc>
          <w:tcPr>
            <w:tcW w:w="1495" w:type="dxa"/>
            <w:noWrap w:val="0"/>
            <w:vAlign w:val="center"/>
          </w:tcPr>
          <w:p>
            <w:pPr>
              <w:spacing w:line="240" w:lineRule="auto"/>
              <w:jc w:val="center"/>
              <w:outlineLvl w:val="0"/>
              <w:rPr>
                <w:rFonts w:hint="eastAsia"/>
                <w:sz w:val="18"/>
                <w:szCs w:val="18"/>
              </w:rPr>
            </w:pPr>
            <w:r>
              <w:rPr>
                <w:rFonts w:hint="eastAsia"/>
                <w:sz w:val="18"/>
                <w:szCs w:val="18"/>
              </w:rPr>
              <w:t>10.00</w:t>
            </w:r>
          </w:p>
        </w:tc>
        <w:tc>
          <w:tcPr>
            <w:tcW w:w="1495" w:type="dxa"/>
            <w:noWrap w:val="0"/>
            <w:vAlign w:val="center"/>
          </w:tcPr>
          <w:p>
            <w:pPr>
              <w:spacing w:line="240" w:lineRule="auto"/>
              <w:jc w:val="center"/>
              <w:outlineLvl w:val="0"/>
              <w:rPr>
                <w:rFonts w:hint="eastAsia"/>
                <w:sz w:val="18"/>
                <w:szCs w:val="18"/>
              </w:rPr>
            </w:pPr>
            <w:r>
              <w:rPr>
                <w:rFonts w:hint="eastAsia"/>
                <w:sz w:val="18"/>
                <w:szCs w:val="18"/>
              </w:rPr>
              <w:t>10.00</w:t>
            </w:r>
          </w:p>
        </w:tc>
        <w:tc>
          <w:tcPr>
            <w:tcW w:w="1495" w:type="dxa"/>
            <w:noWrap w:val="0"/>
            <w:vAlign w:val="center"/>
          </w:tcPr>
          <w:p>
            <w:pPr>
              <w:spacing w:line="240" w:lineRule="auto"/>
              <w:jc w:val="center"/>
              <w:outlineLvl w:val="0"/>
              <w:rPr>
                <w:rFonts w:hint="eastAsia"/>
                <w:sz w:val="18"/>
                <w:szCs w:val="18"/>
              </w:rPr>
            </w:pPr>
            <w:r>
              <w:rPr>
                <w:rFonts w:hint="eastAsia"/>
                <w:sz w:val="18"/>
                <w:szCs w:val="18"/>
              </w:rPr>
              <w:t>10.00</w:t>
            </w:r>
          </w:p>
        </w:tc>
        <w:tc>
          <w:tcPr>
            <w:tcW w:w="1495" w:type="dxa"/>
            <w:noWrap w:val="0"/>
            <w:vAlign w:val="center"/>
          </w:tcPr>
          <w:p>
            <w:pPr>
              <w:spacing w:line="240" w:lineRule="auto"/>
              <w:jc w:val="center"/>
              <w:outlineLvl w:val="0"/>
              <w:rPr>
                <w:rFonts w:hint="eastAsia"/>
                <w:sz w:val="18"/>
                <w:szCs w:val="18"/>
              </w:rPr>
            </w:pPr>
            <w:r>
              <w:rPr>
                <w:rFonts w:hint="eastAsia"/>
                <w:sz w:val="18"/>
                <w:szCs w:val="18"/>
              </w:rPr>
              <w:t>10.00</w:t>
            </w:r>
          </w:p>
        </w:tc>
        <w:tc>
          <w:tcPr>
            <w:tcW w:w="1499" w:type="dxa"/>
            <w:noWrap w:val="0"/>
            <w:vAlign w:val="center"/>
          </w:tcPr>
          <w:p>
            <w:pPr>
              <w:spacing w:line="240" w:lineRule="auto"/>
              <w:jc w:val="center"/>
              <w:outlineLvl w:val="0"/>
              <w:rPr>
                <w:rFonts w:hint="eastAsia"/>
                <w:sz w:val="18"/>
                <w:szCs w:val="18"/>
              </w:rPr>
            </w:pPr>
            <w:r>
              <w:rPr>
                <w:rFonts w:hint="eastAsia"/>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spacing w:line="240" w:lineRule="auto"/>
              <w:jc w:val="center"/>
              <w:outlineLvl w:val="0"/>
              <w:rPr>
                <w:rFonts w:hint="eastAsia"/>
                <w:sz w:val="18"/>
                <w:szCs w:val="18"/>
              </w:rPr>
            </w:pPr>
            <w:r>
              <w:rPr>
                <w:rFonts w:hint="eastAsia"/>
                <w:sz w:val="18"/>
                <w:szCs w:val="18"/>
              </w:rPr>
              <w:t>测得铋量/mg</w:t>
            </w:r>
          </w:p>
        </w:tc>
        <w:tc>
          <w:tcPr>
            <w:tcW w:w="1495" w:type="dxa"/>
            <w:noWrap w:val="0"/>
            <w:vAlign w:val="center"/>
          </w:tcPr>
          <w:p>
            <w:pPr>
              <w:spacing w:line="240" w:lineRule="auto"/>
              <w:jc w:val="center"/>
              <w:outlineLvl w:val="0"/>
              <w:rPr>
                <w:sz w:val="18"/>
                <w:szCs w:val="18"/>
              </w:rPr>
            </w:pPr>
            <w:r>
              <w:rPr>
                <w:rFonts w:hint="eastAsia"/>
                <w:sz w:val="18"/>
                <w:szCs w:val="18"/>
              </w:rPr>
              <w:t>9.56</w:t>
            </w:r>
          </w:p>
        </w:tc>
        <w:tc>
          <w:tcPr>
            <w:tcW w:w="1495" w:type="dxa"/>
            <w:noWrap w:val="0"/>
            <w:vAlign w:val="center"/>
          </w:tcPr>
          <w:p>
            <w:pPr>
              <w:spacing w:line="240" w:lineRule="auto"/>
              <w:jc w:val="center"/>
              <w:outlineLvl w:val="0"/>
              <w:rPr>
                <w:sz w:val="18"/>
                <w:szCs w:val="18"/>
              </w:rPr>
            </w:pPr>
            <w:r>
              <w:rPr>
                <w:rFonts w:hint="eastAsia"/>
                <w:sz w:val="18"/>
                <w:szCs w:val="18"/>
              </w:rPr>
              <w:t>9.98</w:t>
            </w:r>
          </w:p>
        </w:tc>
        <w:tc>
          <w:tcPr>
            <w:tcW w:w="1495" w:type="dxa"/>
            <w:noWrap w:val="0"/>
            <w:vAlign w:val="center"/>
          </w:tcPr>
          <w:p>
            <w:pPr>
              <w:spacing w:line="240" w:lineRule="auto"/>
              <w:jc w:val="center"/>
              <w:outlineLvl w:val="0"/>
              <w:rPr>
                <w:sz w:val="18"/>
                <w:szCs w:val="18"/>
              </w:rPr>
            </w:pPr>
            <w:r>
              <w:rPr>
                <w:rFonts w:hint="eastAsia"/>
                <w:sz w:val="18"/>
                <w:szCs w:val="18"/>
              </w:rPr>
              <w:t>10.01</w:t>
            </w:r>
          </w:p>
        </w:tc>
        <w:tc>
          <w:tcPr>
            <w:tcW w:w="1495" w:type="dxa"/>
            <w:noWrap w:val="0"/>
            <w:vAlign w:val="center"/>
          </w:tcPr>
          <w:p>
            <w:pPr>
              <w:spacing w:line="240" w:lineRule="auto"/>
              <w:jc w:val="center"/>
              <w:outlineLvl w:val="0"/>
              <w:rPr>
                <w:sz w:val="18"/>
                <w:szCs w:val="18"/>
              </w:rPr>
            </w:pPr>
            <w:r>
              <w:rPr>
                <w:rFonts w:hint="eastAsia"/>
                <w:sz w:val="18"/>
                <w:szCs w:val="18"/>
              </w:rPr>
              <w:t>9.92</w:t>
            </w:r>
          </w:p>
        </w:tc>
        <w:tc>
          <w:tcPr>
            <w:tcW w:w="1499" w:type="dxa"/>
            <w:noWrap w:val="0"/>
            <w:vAlign w:val="center"/>
          </w:tcPr>
          <w:p>
            <w:pPr>
              <w:spacing w:line="240" w:lineRule="auto"/>
              <w:jc w:val="center"/>
              <w:outlineLvl w:val="0"/>
              <w:rPr>
                <w:sz w:val="18"/>
                <w:szCs w:val="18"/>
              </w:rPr>
            </w:pPr>
            <w:r>
              <w:rPr>
                <w:rFonts w:hint="eastAsia"/>
                <w:sz w:val="18"/>
                <w:szCs w:val="18"/>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noWrap w:val="0"/>
            <w:vAlign w:val="center"/>
          </w:tcPr>
          <w:p>
            <w:pPr>
              <w:spacing w:line="240" w:lineRule="auto"/>
              <w:jc w:val="center"/>
              <w:outlineLvl w:val="0"/>
              <w:rPr>
                <w:rFonts w:hint="eastAsia"/>
                <w:sz w:val="18"/>
                <w:szCs w:val="18"/>
              </w:rPr>
            </w:pPr>
            <w:r>
              <w:rPr>
                <w:rFonts w:hint="eastAsia"/>
                <w:sz w:val="18"/>
                <w:szCs w:val="18"/>
              </w:rPr>
              <w:t>滴定现象</w:t>
            </w:r>
          </w:p>
        </w:tc>
        <w:tc>
          <w:tcPr>
            <w:tcW w:w="1495" w:type="dxa"/>
            <w:noWrap w:val="0"/>
            <w:vAlign w:val="center"/>
          </w:tcPr>
          <w:p>
            <w:pPr>
              <w:spacing w:line="240" w:lineRule="auto"/>
              <w:jc w:val="center"/>
              <w:outlineLvl w:val="0"/>
              <w:rPr>
                <w:rFonts w:hint="eastAsia"/>
                <w:sz w:val="18"/>
                <w:szCs w:val="18"/>
              </w:rPr>
            </w:pPr>
            <w:r>
              <w:rPr>
                <w:rFonts w:hint="eastAsia"/>
                <w:sz w:val="18"/>
                <w:szCs w:val="18"/>
              </w:rPr>
              <w:t>开始溶液为橘黄色，滴定至黄色，颜色变化不敏锐，终点突跃不明显</w:t>
            </w:r>
          </w:p>
        </w:tc>
        <w:tc>
          <w:tcPr>
            <w:tcW w:w="1495" w:type="dxa"/>
            <w:noWrap w:val="0"/>
            <w:vAlign w:val="center"/>
          </w:tcPr>
          <w:p>
            <w:pPr>
              <w:spacing w:line="240" w:lineRule="auto"/>
              <w:outlineLvl w:val="0"/>
              <w:rPr>
                <w:rFonts w:hint="eastAsia"/>
                <w:sz w:val="18"/>
                <w:szCs w:val="18"/>
              </w:rPr>
            </w:pPr>
            <w:r>
              <w:rPr>
                <w:rFonts w:hint="eastAsia"/>
                <w:sz w:val="18"/>
                <w:szCs w:val="18"/>
              </w:rPr>
              <w:t>开始溶液为红色，滴定至黄色，颜色变化很敏锐，终点突跃很明显</w:t>
            </w:r>
          </w:p>
        </w:tc>
        <w:tc>
          <w:tcPr>
            <w:tcW w:w="1495" w:type="dxa"/>
            <w:noWrap w:val="0"/>
            <w:vAlign w:val="center"/>
          </w:tcPr>
          <w:p>
            <w:pPr>
              <w:spacing w:line="240" w:lineRule="auto"/>
              <w:jc w:val="center"/>
              <w:outlineLvl w:val="0"/>
              <w:rPr>
                <w:rFonts w:hint="eastAsia"/>
                <w:sz w:val="18"/>
                <w:szCs w:val="18"/>
              </w:rPr>
            </w:pPr>
            <w:r>
              <w:rPr>
                <w:rFonts w:hint="eastAsia"/>
                <w:sz w:val="18"/>
                <w:szCs w:val="18"/>
              </w:rPr>
              <w:t>开始溶液为红色，滴定至黄色，颜色变化很敏锐，终点突跃很明显</w:t>
            </w:r>
          </w:p>
        </w:tc>
        <w:tc>
          <w:tcPr>
            <w:tcW w:w="1495" w:type="dxa"/>
            <w:noWrap w:val="0"/>
            <w:vAlign w:val="center"/>
          </w:tcPr>
          <w:p>
            <w:pPr>
              <w:spacing w:line="240" w:lineRule="auto"/>
              <w:outlineLvl w:val="0"/>
              <w:rPr>
                <w:rFonts w:hint="eastAsia"/>
                <w:sz w:val="18"/>
                <w:szCs w:val="18"/>
                <w:highlight w:val="green"/>
              </w:rPr>
            </w:pPr>
            <w:r>
              <w:rPr>
                <w:rFonts w:hint="eastAsia"/>
                <w:sz w:val="18"/>
                <w:szCs w:val="18"/>
              </w:rPr>
              <w:t>开始溶液为红色，滴定至黄色，颜色变化敏锐，终点突跃较明显</w:t>
            </w:r>
          </w:p>
        </w:tc>
        <w:tc>
          <w:tcPr>
            <w:tcW w:w="1499" w:type="dxa"/>
            <w:noWrap w:val="0"/>
            <w:vAlign w:val="center"/>
          </w:tcPr>
          <w:p>
            <w:pPr>
              <w:spacing w:line="240" w:lineRule="auto"/>
              <w:jc w:val="center"/>
              <w:outlineLvl w:val="0"/>
              <w:rPr>
                <w:rFonts w:hint="eastAsia"/>
                <w:sz w:val="18"/>
                <w:szCs w:val="18"/>
              </w:rPr>
            </w:pPr>
            <w:r>
              <w:rPr>
                <w:rFonts w:hint="eastAsia"/>
                <w:sz w:val="18"/>
                <w:szCs w:val="18"/>
              </w:rPr>
              <w:t>开始溶液为暗红色，滴定至黄色，颜色变化不太敏锐，终点突跃不太明显</w:t>
            </w:r>
          </w:p>
        </w:tc>
      </w:tr>
    </w:tbl>
    <w:p>
      <w:pPr>
        <w:spacing w:line="360" w:lineRule="auto"/>
        <w:ind w:firstLine="435"/>
        <w:outlineLvl w:val="0"/>
        <w:rPr>
          <w:rFonts w:hint="eastAsia" w:hAnsi="宋体"/>
          <w:bCs/>
          <w:szCs w:val="21"/>
        </w:rPr>
      </w:pPr>
      <w:r>
        <w:rPr>
          <w:rFonts w:hint="eastAsia"/>
          <w:szCs w:val="21"/>
        </w:rPr>
        <w:t>由以上试验可知，选择pH值在1.5~1.7，试验结果理想，颜色变化敏锐，终点突跃明显，因此本方法选择调节溶液pH值1.5~1.7滴定铋。</w:t>
      </w:r>
    </w:p>
    <w:p>
      <w:pPr>
        <w:pStyle w:val="5"/>
        <w:bidi w:val="0"/>
        <w:rPr>
          <w:rFonts w:hint="eastAsia"/>
        </w:rPr>
      </w:pPr>
      <w:r>
        <w:t>2.</w:t>
      </w:r>
      <w:r>
        <w:rPr>
          <w:rFonts w:hint="eastAsia"/>
        </w:rPr>
        <w:t>1</w:t>
      </w:r>
      <w:r>
        <w:t>.</w:t>
      </w:r>
      <w:r>
        <w:rPr>
          <w:rFonts w:hint="eastAsia"/>
        </w:rPr>
        <w:t>2</w:t>
      </w:r>
      <w:r>
        <w:t xml:space="preserve">  </w:t>
      </w:r>
      <w:r>
        <w:rPr>
          <w:rFonts w:hint="eastAsia"/>
        </w:rPr>
        <w:t>硫脲用量</w:t>
      </w:r>
    </w:p>
    <w:p>
      <w:pPr>
        <w:spacing w:line="360" w:lineRule="auto"/>
        <w:ind w:firstLine="420" w:firstLineChars="200"/>
        <w:rPr>
          <w:rFonts w:hint="eastAsia"/>
          <w:bCs/>
          <w:szCs w:val="21"/>
        </w:rPr>
      </w:pPr>
      <w:r>
        <w:rPr>
          <w:rFonts w:hint="eastAsia"/>
          <w:bCs/>
          <w:szCs w:val="21"/>
        </w:rPr>
        <w:t>加入硫脲不仅可以掩蔽铜，还与铋生成黄色的络合物，增加了溶液稳定性。</w:t>
      </w:r>
      <w:r>
        <w:rPr>
          <w:rFonts w:hint="eastAsia"/>
        </w:rPr>
        <w:t>移取10.00mg铋标准溶液，加入10.00mg铜，分别加入不同量的</w:t>
      </w:r>
      <w:r>
        <w:rPr>
          <w:rFonts w:hint="eastAsia"/>
          <w:bCs/>
          <w:szCs w:val="21"/>
        </w:rPr>
        <w:t>硫脲饱和溶液，</w:t>
      </w:r>
      <w:r>
        <w:rPr>
          <w:rFonts w:hint="eastAsia"/>
        </w:rPr>
        <w:t>按照实验方法测定铋量，</w:t>
      </w:r>
      <w:r>
        <w:rPr>
          <w:rFonts w:hint="eastAsia"/>
          <w:bCs/>
          <w:szCs w:val="21"/>
        </w:rPr>
        <w:t>结果见表2</w:t>
      </w:r>
      <w:r>
        <w:rPr>
          <w:rFonts w:hint="eastAsia"/>
          <w:bCs/>
          <w:szCs w:val="21"/>
          <w:lang w:val="en-US" w:eastAsia="zh-CN"/>
        </w:rPr>
        <w:t>1</w:t>
      </w:r>
      <w:r>
        <w:rPr>
          <w:rFonts w:hint="eastAsia"/>
          <w:bCs/>
          <w:szCs w:val="21"/>
        </w:rPr>
        <w:t>。</w:t>
      </w:r>
    </w:p>
    <w:p>
      <w:pPr>
        <w:spacing w:line="360" w:lineRule="auto"/>
        <w:ind w:firstLine="360" w:firstLineChars="200"/>
        <w:jc w:val="center"/>
        <w:rPr>
          <w:rFonts w:hint="eastAsia"/>
          <w:sz w:val="18"/>
          <w:szCs w:val="18"/>
        </w:rPr>
      </w:pPr>
      <w:r>
        <w:rPr>
          <w:rFonts w:hint="eastAsia"/>
          <w:sz w:val="18"/>
          <w:szCs w:val="18"/>
        </w:rPr>
        <w:t>表2</w:t>
      </w:r>
      <w:r>
        <w:rPr>
          <w:rFonts w:hint="eastAsia"/>
          <w:sz w:val="18"/>
          <w:szCs w:val="18"/>
          <w:lang w:val="en-US" w:eastAsia="zh-CN"/>
        </w:rPr>
        <w:t>1</w:t>
      </w:r>
      <w:r>
        <w:rPr>
          <w:rFonts w:hint="eastAsia"/>
          <w:sz w:val="18"/>
          <w:szCs w:val="18"/>
        </w:rPr>
        <w:t xml:space="preserve"> </w:t>
      </w:r>
      <w:r>
        <w:rPr>
          <w:rFonts w:hint="eastAsia" w:hAnsi="宋体"/>
          <w:sz w:val="18"/>
          <w:szCs w:val="18"/>
        </w:rPr>
        <w:t>硫脲饱和溶液加入量对铋测定的影响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1369"/>
        <w:gridCol w:w="1369"/>
        <w:gridCol w:w="1369"/>
        <w:gridCol w:w="1369"/>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32" w:type="dxa"/>
            <w:noWrap w:val="0"/>
            <w:vAlign w:val="center"/>
          </w:tcPr>
          <w:p>
            <w:pPr>
              <w:spacing w:line="360" w:lineRule="auto"/>
              <w:jc w:val="center"/>
              <w:rPr>
                <w:sz w:val="18"/>
                <w:szCs w:val="18"/>
              </w:rPr>
            </w:pPr>
            <w:r>
              <w:rPr>
                <w:rFonts w:hint="eastAsia" w:hAnsi="宋体"/>
                <w:sz w:val="18"/>
                <w:szCs w:val="18"/>
              </w:rPr>
              <w:t>硫脲饱和溶液加入量</w:t>
            </w:r>
            <w:r>
              <w:rPr>
                <w:sz w:val="18"/>
                <w:szCs w:val="18"/>
              </w:rPr>
              <w:t>/mL</w:t>
            </w:r>
          </w:p>
        </w:tc>
        <w:tc>
          <w:tcPr>
            <w:tcW w:w="1369" w:type="dxa"/>
            <w:noWrap w:val="0"/>
            <w:vAlign w:val="center"/>
          </w:tcPr>
          <w:p>
            <w:pPr>
              <w:spacing w:line="360" w:lineRule="auto"/>
              <w:jc w:val="center"/>
              <w:rPr>
                <w:rFonts w:hint="eastAsia"/>
                <w:sz w:val="18"/>
                <w:szCs w:val="18"/>
              </w:rPr>
            </w:pPr>
            <w:r>
              <w:rPr>
                <w:rFonts w:hint="eastAsia"/>
                <w:sz w:val="18"/>
                <w:szCs w:val="18"/>
              </w:rPr>
              <w:t>1</w:t>
            </w:r>
          </w:p>
        </w:tc>
        <w:tc>
          <w:tcPr>
            <w:tcW w:w="1369" w:type="dxa"/>
            <w:noWrap w:val="0"/>
            <w:vAlign w:val="center"/>
          </w:tcPr>
          <w:p>
            <w:pPr>
              <w:spacing w:line="360" w:lineRule="auto"/>
              <w:jc w:val="center"/>
              <w:rPr>
                <w:rFonts w:hint="eastAsia"/>
                <w:sz w:val="18"/>
                <w:szCs w:val="18"/>
              </w:rPr>
            </w:pPr>
            <w:r>
              <w:rPr>
                <w:rFonts w:hint="eastAsia"/>
                <w:sz w:val="18"/>
                <w:szCs w:val="18"/>
              </w:rPr>
              <w:t>3</w:t>
            </w:r>
          </w:p>
        </w:tc>
        <w:tc>
          <w:tcPr>
            <w:tcW w:w="1369" w:type="dxa"/>
            <w:noWrap w:val="0"/>
            <w:vAlign w:val="center"/>
          </w:tcPr>
          <w:p>
            <w:pPr>
              <w:spacing w:line="360" w:lineRule="auto"/>
              <w:jc w:val="center"/>
              <w:rPr>
                <w:rFonts w:hint="eastAsia"/>
                <w:sz w:val="18"/>
                <w:szCs w:val="18"/>
              </w:rPr>
            </w:pPr>
            <w:r>
              <w:rPr>
                <w:rFonts w:hint="eastAsia"/>
                <w:sz w:val="18"/>
                <w:szCs w:val="18"/>
              </w:rPr>
              <w:t>5</w:t>
            </w:r>
          </w:p>
        </w:tc>
        <w:tc>
          <w:tcPr>
            <w:tcW w:w="1369" w:type="dxa"/>
            <w:noWrap w:val="0"/>
            <w:vAlign w:val="center"/>
          </w:tcPr>
          <w:p>
            <w:pPr>
              <w:spacing w:line="360" w:lineRule="auto"/>
              <w:jc w:val="center"/>
              <w:rPr>
                <w:rFonts w:hint="eastAsia"/>
                <w:sz w:val="18"/>
                <w:szCs w:val="18"/>
              </w:rPr>
            </w:pPr>
            <w:r>
              <w:rPr>
                <w:rFonts w:hint="eastAsia"/>
                <w:sz w:val="18"/>
                <w:szCs w:val="18"/>
              </w:rPr>
              <w:t>7</w:t>
            </w:r>
          </w:p>
        </w:tc>
        <w:tc>
          <w:tcPr>
            <w:tcW w:w="1373" w:type="dxa"/>
            <w:noWrap w:val="0"/>
            <w:vAlign w:val="center"/>
          </w:tcPr>
          <w:p>
            <w:pPr>
              <w:spacing w:line="360" w:lineRule="auto"/>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32" w:type="dxa"/>
            <w:noWrap w:val="0"/>
            <w:vAlign w:val="center"/>
          </w:tcPr>
          <w:p>
            <w:pPr>
              <w:spacing w:line="360" w:lineRule="auto"/>
              <w:jc w:val="center"/>
              <w:rPr>
                <w:rFonts w:hint="eastAsia"/>
                <w:sz w:val="18"/>
                <w:szCs w:val="18"/>
              </w:rPr>
            </w:pPr>
            <w:r>
              <w:rPr>
                <w:rFonts w:hint="eastAsia" w:hAnsi="宋体"/>
                <w:sz w:val="18"/>
                <w:szCs w:val="18"/>
              </w:rPr>
              <w:t>实验现象</w:t>
            </w:r>
          </w:p>
        </w:tc>
        <w:tc>
          <w:tcPr>
            <w:tcW w:w="1369" w:type="dxa"/>
            <w:noWrap w:val="0"/>
            <w:vAlign w:val="center"/>
          </w:tcPr>
          <w:p>
            <w:pPr>
              <w:spacing w:line="360" w:lineRule="auto"/>
              <w:jc w:val="center"/>
              <w:rPr>
                <w:sz w:val="18"/>
                <w:szCs w:val="18"/>
              </w:rPr>
            </w:pPr>
            <w:r>
              <w:rPr>
                <w:rFonts w:hint="eastAsia"/>
                <w:sz w:val="18"/>
                <w:szCs w:val="18"/>
              </w:rPr>
              <w:t>加入硫脲溶液浅黄色</w:t>
            </w:r>
          </w:p>
        </w:tc>
        <w:tc>
          <w:tcPr>
            <w:tcW w:w="1369" w:type="dxa"/>
            <w:noWrap w:val="0"/>
            <w:vAlign w:val="center"/>
          </w:tcPr>
          <w:p>
            <w:pPr>
              <w:spacing w:line="360" w:lineRule="auto"/>
              <w:jc w:val="center"/>
              <w:rPr>
                <w:rFonts w:hint="eastAsia"/>
                <w:sz w:val="18"/>
                <w:szCs w:val="18"/>
              </w:rPr>
            </w:pPr>
            <w:r>
              <w:rPr>
                <w:rFonts w:hint="eastAsia"/>
                <w:sz w:val="18"/>
                <w:szCs w:val="18"/>
              </w:rPr>
              <w:t>加入硫脲溶液黄色稍微加深</w:t>
            </w:r>
          </w:p>
        </w:tc>
        <w:tc>
          <w:tcPr>
            <w:tcW w:w="1369" w:type="dxa"/>
            <w:noWrap w:val="0"/>
            <w:vAlign w:val="center"/>
          </w:tcPr>
          <w:p>
            <w:pPr>
              <w:spacing w:line="360" w:lineRule="auto"/>
              <w:jc w:val="center"/>
              <w:rPr>
                <w:rFonts w:hint="eastAsia"/>
                <w:sz w:val="18"/>
                <w:szCs w:val="18"/>
              </w:rPr>
            </w:pPr>
            <w:r>
              <w:rPr>
                <w:rFonts w:hint="eastAsia"/>
                <w:sz w:val="18"/>
                <w:szCs w:val="18"/>
              </w:rPr>
              <w:t>加入硫脲溶液深黄色</w:t>
            </w:r>
          </w:p>
        </w:tc>
        <w:tc>
          <w:tcPr>
            <w:tcW w:w="1369" w:type="dxa"/>
            <w:noWrap w:val="0"/>
            <w:vAlign w:val="center"/>
          </w:tcPr>
          <w:p>
            <w:pPr>
              <w:spacing w:line="360" w:lineRule="auto"/>
              <w:jc w:val="center"/>
              <w:rPr>
                <w:rFonts w:hint="eastAsia"/>
                <w:sz w:val="18"/>
                <w:szCs w:val="18"/>
              </w:rPr>
            </w:pPr>
            <w:r>
              <w:rPr>
                <w:rFonts w:hint="eastAsia"/>
                <w:sz w:val="18"/>
                <w:szCs w:val="18"/>
              </w:rPr>
              <w:t>加入硫脲溶液深黄色</w:t>
            </w:r>
          </w:p>
        </w:tc>
        <w:tc>
          <w:tcPr>
            <w:tcW w:w="1373" w:type="dxa"/>
            <w:noWrap w:val="0"/>
            <w:vAlign w:val="center"/>
          </w:tcPr>
          <w:p>
            <w:pPr>
              <w:spacing w:line="360" w:lineRule="auto"/>
              <w:jc w:val="center"/>
              <w:rPr>
                <w:rFonts w:hint="eastAsia"/>
                <w:sz w:val="18"/>
                <w:szCs w:val="18"/>
              </w:rPr>
            </w:pPr>
            <w:r>
              <w:rPr>
                <w:rFonts w:hint="eastAsia"/>
                <w:sz w:val="18"/>
                <w:szCs w:val="18"/>
              </w:rPr>
              <w:t>加入硫脲溶液深黄色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32" w:type="dxa"/>
            <w:noWrap w:val="0"/>
            <w:vAlign w:val="center"/>
          </w:tcPr>
          <w:p>
            <w:pPr>
              <w:spacing w:line="360" w:lineRule="auto"/>
              <w:jc w:val="center"/>
              <w:rPr>
                <w:rFonts w:hint="eastAsia"/>
                <w:sz w:val="18"/>
                <w:szCs w:val="18"/>
              </w:rPr>
            </w:pPr>
            <w:r>
              <w:rPr>
                <w:rFonts w:hint="eastAsia"/>
                <w:sz w:val="18"/>
                <w:szCs w:val="18"/>
              </w:rPr>
              <w:t>终点突变的情况</w:t>
            </w:r>
          </w:p>
        </w:tc>
        <w:tc>
          <w:tcPr>
            <w:tcW w:w="1369" w:type="dxa"/>
            <w:noWrap w:val="0"/>
            <w:vAlign w:val="center"/>
          </w:tcPr>
          <w:p>
            <w:pPr>
              <w:spacing w:line="360" w:lineRule="auto"/>
              <w:jc w:val="center"/>
              <w:rPr>
                <w:rFonts w:hint="eastAsia"/>
                <w:sz w:val="18"/>
                <w:szCs w:val="18"/>
              </w:rPr>
            </w:pPr>
            <w:r>
              <w:rPr>
                <w:rFonts w:hint="eastAsia"/>
                <w:sz w:val="18"/>
                <w:szCs w:val="18"/>
              </w:rPr>
              <w:t>不敏锐</w:t>
            </w:r>
          </w:p>
        </w:tc>
        <w:tc>
          <w:tcPr>
            <w:tcW w:w="1369" w:type="dxa"/>
            <w:noWrap w:val="0"/>
            <w:vAlign w:val="center"/>
          </w:tcPr>
          <w:p>
            <w:pPr>
              <w:spacing w:line="360" w:lineRule="auto"/>
              <w:jc w:val="center"/>
              <w:rPr>
                <w:rFonts w:hint="eastAsia"/>
                <w:sz w:val="18"/>
                <w:szCs w:val="18"/>
              </w:rPr>
            </w:pPr>
            <w:r>
              <w:rPr>
                <w:rFonts w:hint="eastAsia"/>
                <w:sz w:val="18"/>
                <w:szCs w:val="18"/>
              </w:rPr>
              <w:t>较敏锐</w:t>
            </w:r>
          </w:p>
        </w:tc>
        <w:tc>
          <w:tcPr>
            <w:tcW w:w="1369" w:type="dxa"/>
            <w:noWrap w:val="0"/>
            <w:vAlign w:val="center"/>
          </w:tcPr>
          <w:p>
            <w:pPr>
              <w:spacing w:line="360" w:lineRule="auto"/>
              <w:jc w:val="center"/>
              <w:rPr>
                <w:rFonts w:hint="eastAsia"/>
                <w:sz w:val="18"/>
                <w:szCs w:val="18"/>
              </w:rPr>
            </w:pPr>
            <w:r>
              <w:rPr>
                <w:rFonts w:hint="eastAsia"/>
                <w:sz w:val="18"/>
                <w:szCs w:val="18"/>
              </w:rPr>
              <w:t>敏锐</w:t>
            </w:r>
          </w:p>
        </w:tc>
        <w:tc>
          <w:tcPr>
            <w:tcW w:w="1369" w:type="dxa"/>
            <w:noWrap w:val="0"/>
            <w:vAlign w:val="center"/>
          </w:tcPr>
          <w:p>
            <w:pPr>
              <w:spacing w:line="360" w:lineRule="auto"/>
              <w:jc w:val="center"/>
              <w:rPr>
                <w:rFonts w:hint="eastAsia"/>
                <w:sz w:val="18"/>
                <w:szCs w:val="18"/>
              </w:rPr>
            </w:pPr>
            <w:r>
              <w:rPr>
                <w:rFonts w:hint="eastAsia"/>
                <w:sz w:val="18"/>
                <w:szCs w:val="18"/>
              </w:rPr>
              <w:t>敏锐</w:t>
            </w:r>
          </w:p>
        </w:tc>
        <w:tc>
          <w:tcPr>
            <w:tcW w:w="1373" w:type="dxa"/>
            <w:noWrap w:val="0"/>
            <w:vAlign w:val="center"/>
          </w:tcPr>
          <w:p>
            <w:pPr>
              <w:spacing w:line="360" w:lineRule="auto"/>
              <w:jc w:val="center"/>
              <w:rPr>
                <w:rFonts w:hint="eastAsia"/>
                <w:sz w:val="18"/>
                <w:szCs w:val="18"/>
              </w:rPr>
            </w:pPr>
            <w:r>
              <w:rPr>
                <w:rFonts w:hint="eastAsia"/>
                <w:sz w:val="18"/>
                <w:szCs w:val="18"/>
              </w:rPr>
              <w:t>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32" w:type="dxa"/>
            <w:noWrap w:val="0"/>
            <w:vAlign w:val="center"/>
          </w:tcPr>
          <w:p>
            <w:pPr>
              <w:spacing w:line="360" w:lineRule="auto"/>
              <w:jc w:val="center"/>
              <w:rPr>
                <w:sz w:val="18"/>
                <w:szCs w:val="18"/>
              </w:rPr>
            </w:pPr>
            <w:r>
              <w:rPr>
                <w:rFonts w:hint="eastAsia" w:hAnsi="宋体"/>
                <w:sz w:val="18"/>
                <w:szCs w:val="18"/>
              </w:rPr>
              <w:t>测得铋量</w:t>
            </w:r>
            <w:r>
              <w:rPr>
                <w:sz w:val="18"/>
                <w:szCs w:val="18"/>
              </w:rPr>
              <w:t>/mg</w:t>
            </w:r>
          </w:p>
        </w:tc>
        <w:tc>
          <w:tcPr>
            <w:tcW w:w="1369" w:type="dxa"/>
            <w:noWrap w:val="0"/>
            <w:vAlign w:val="center"/>
          </w:tcPr>
          <w:p>
            <w:pPr>
              <w:spacing w:line="360" w:lineRule="auto"/>
              <w:jc w:val="center"/>
              <w:rPr>
                <w:sz w:val="18"/>
                <w:szCs w:val="18"/>
              </w:rPr>
            </w:pPr>
            <w:r>
              <w:rPr>
                <w:rFonts w:hint="eastAsia"/>
                <w:sz w:val="18"/>
                <w:szCs w:val="18"/>
              </w:rPr>
              <w:t>9.75</w:t>
            </w:r>
          </w:p>
        </w:tc>
        <w:tc>
          <w:tcPr>
            <w:tcW w:w="1369" w:type="dxa"/>
            <w:noWrap w:val="0"/>
            <w:vAlign w:val="center"/>
          </w:tcPr>
          <w:p>
            <w:pPr>
              <w:spacing w:line="360" w:lineRule="auto"/>
              <w:jc w:val="center"/>
              <w:rPr>
                <w:sz w:val="18"/>
                <w:szCs w:val="18"/>
              </w:rPr>
            </w:pPr>
            <w:r>
              <w:rPr>
                <w:rFonts w:hint="eastAsia"/>
                <w:sz w:val="18"/>
                <w:szCs w:val="18"/>
              </w:rPr>
              <w:t>9.88</w:t>
            </w:r>
          </w:p>
        </w:tc>
        <w:tc>
          <w:tcPr>
            <w:tcW w:w="1369" w:type="dxa"/>
            <w:noWrap w:val="0"/>
            <w:vAlign w:val="center"/>
          </w:tcPr>
          <w:p>
            <w:pPr>
              <w:spacing w:line="360" w:lineRule="auto"/>
              <w:jc w:val="center"/>
              <w:rPr>
                <w:sz w:val="18"/>
                <w:szCs w:val="18"/>
              </w:rPr>
            </w:pPr>
            <w:r>
              <w:rPr>
                <w:rFonts w:hint="eastAsia"/>
                <w:sz w:val="18"/>
                <w:szCs w:val="18"/>
              </w:rPr>
              <w:t>10.01</w:t>
            </w:r>
          </w:p>
        </w:tc>
        <w:tc>
          <w:tcPr>
            <w:tcW w:w="1369" w:type="dxa"/>
            <w:noWrap w:val="0"/>
            <w:vAlign w:val="center"/>
          </w:tcPr>
          <w:p>
            <w:pPr>
              <w:spacing w:line="360" w:lineRule="auto"/>
              <w:jc w:val="center"/>
              <w:rPr>
                <w:sz w:val="18"/>
                <w:szCs w:val="18"/>
              </w:rPr>
            </w:pPr>
            <w:r>
              <w:rPr>
                <w:rFonts w:hint="eastAsia"/>
                <w:sz w:val="18"/>
                <w:szCs w:val="18"/>
              </w:rPr>
              <w:t>10.03</w:t>
            </w:r>
          </w:p>
        </w:tc>
        <w:tc>
          <w:tcPr>
            <w:tcW w:w="1373" w:type="dxa"/>
            <w:noWrap w:val="0"/>
            <w:vAlign w:val="center"/>
          </w:tcPr>
          <w:p>
            <w:pPr>
              <w:spacing w:line="360" w:lineRule="auto"/>
              <w:jc w:val="center"/>
              <w:rPr>
                <w:sz w:val="18"/>
                <w:szCs w:val="18"/>
              </w:rPr>
            </w:pPr>
            <w:r>
              <w:rPr>
                <w:rFonts w:hint="eastAsia"/>
                <w:sz w:val="18"/>
                <w:szCs w:val="18"/>
              </w:rPr>
              <w:t>9.98</w:t>
            </w:r>
          </w:p>
        </w:tc>
      </w:tr>
    </w:tbl>
    <w:p>
      <w:pPr>
        <w:snapToGrid w:val="0"/>
        <w:spacing w:line="360" w:lineRule="auto"/>
        <w:ind w:firstLine="420" w:firstLineChars="200"/>
        <w:rPr>
          <w:bCs/>
          <w:szCs w:val="21"/>
        </w:rPr>
      </w:pPr>
      <w:r>
        <w:rPr>
          <w:rFonts w:hint="eastAsia"/>
          <w:bCs/>
          <w:szCs w:val="21"/>
        </w:rPr>
        <w:t>由表2可见，硫脲饱和溶液加入量在大于5mL时，铋的测定结果满足要求。本方法选择硫脲加入量为</w:t>
      </w:r>
      <w:r>
        <w:rPr>
          <w:bCs/>
          <w:szCs w:val="21"/>
        </w:rPr>
        <w:t>5mL</w:t>
      </w:r>
      <w:r>
        <w:rPr>
          <w:rFonts w:hint="eastAsia"/>
          <w:bCs/>
          <w:szCs w:val="21"/>
        </w:rPr>
        <w:t>。</w:t>
      </w:r>
    </w:p>
    <w:p>
      <w:pPr>
        <w:pStyle w:val="5"/>
        <w:bidi w:val="0"/>
      </w:pPr>
      <w:r>
        <w:t>2.</w:t>
      </w:r>
      <w:r>
        <w:rPr>
          <w:rFonts w:hint="eastAsia"/>
        </w:rPr>
        <w:t>1</w:t>
      </w:r>
      <w:r>
        <w:t>.</w:t>
      </w:r>
      <w:r>
        <w:rPr>
          <w:rFonts w:hint="eastAsia"/>
        </w:rPr>
        <w:t>3</w:t>
      </w:r>
      <w:r>
        <w:t xml:space="preserve"> </w:t>
      </w:r>
      <w:r>
        <w:rPr>
          <w:rFonts w:hint="eastAsia" w:hAnsi="宋体"/>
          <w:bCs/>
          <w:szCs w:val="21"/>
        </w:rPr>
        <w:t>抗坏血酸用量</w:t>
      </w:r>
    </w:p>
    <w:p>
      <w:pPr>
        <w:spacing w:line="360" w:lineRule="auto"/>
        <w:ind w:firstLine="420" w:firstLineChars="200"/>
      </w:pPr>
      <w:r>
        <w:rPr>
          <w:rFonts w:hint="eastAsia" w:hAnsi="宋体"/>
        </w:rPr>
        <w:t>Na</w:t>
      </w:r>
      <w:r>
        <w:rPr>
          <w:rFonts w:hint="eastAsia" w:hAnsi="宋体"/>
          <w:vertAlign w:val="subscript"/>
        </w:rPr>
        <w:t>2</w:t>
      </w:r>
      <w:r>
        <w:rPr>
          <w:rFonts w:hint="eastAsia" w:hAnsi="宋体"/>
        </w:rPr>
        <w:t>EDTA与三价铁的络合常数是25.1，而与二价铁的络合常数是14.32，通常采用加入抗坏血酸将溶液中的三价铁还原为二价铁，来消除三价铁对铋测定的影响。移取</w:t>
      </w:r>
      <w:r>
        <w:rPr>
          <w:rFonts w:hint="eastAsia"/>
        </w:rPr>
        <w:t>10.00</w:t>
      </w:r>
      <w:r>
        <w:t>m</w:t>
      </w:r>
      <w:r>
        <w:rPr>
          <w:rFonts w:hint="eastAsia"/>
        </w:rPr>
        <w:t>g</w:t>
      </w:r>
      <w:r>
        <w:rPr>
          <w:rFonts w:hint="eastAsia" w:hAnsi="宋体"/>
        </w:rPr>
        <w:t>铋标准溶液，加入15</w:t>
      </w:r>
      <w:r>
        <w:rPr>
          <w:rFonts w:hAnsi="宋体"/>
        </w:rPr>
        <w:t>.00mg</w:t>
      </w:r>
      <w:r>
        <w:rPr>
          <w:rFonts w:hint="eastAsia" w:hAnsi="宋体"/>
        </w:rPr>
        <w:t>铁溶液，按照实验方法进行测定，结果见表</w:t>
      </w:r>
      <w:r>
        <w:rPr>
          <w:rFonts w:hint="eastAsia"/>
          <w:lang w:val="en-US" w:eastAsia="zh-CN"/>
        </w:rPr>
        <w:t>22</w:t>
      </w:r>
      <w:r>
        <w:rPr>
          <w:rFonts w:hint="eastAsia" w:hAnsi="宋体"/>
        </w:rPr>
        <w:t>。</w:t>
      </w:r>
    </w:p>
    <w:p>
      <w:pPr>
        <w:spacing w:line="360" w:lineRule="auto"/>
        <w:jc w:val="center"/>
      </w:pPr>
      <w:r>
        <w:rPr>
          <w:rFonts w:hint="eastAsia" w:hAnsi="宋体"/>
        </w:rPr>
        <w:t>表</w:t>
      </w:r>
      <w:r>
        <w:rPr>
          <w:rFonts w:hint="eastAsia"/>
          <w:lang w:val="en-US" w:eastAsia="zh-CN"/>
        </w:rPr>
        <w:t>22</w:t>
      </w:r>
      <w:r>
        <w:t xml:space="preserve"> </w:t>
      </w:r>
      <w:r>
        <w:rPr>
          <w:rFonts w:hint="eastAsia" w:hAnsi="宋体"/>
        </w:rPr>
        <w:t>抗坏血酸用量对铋测定的影响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31"/>
        <w:gridCol w:w="1231"/>
        <w:gridCol w:w="1231"/>
        <w:gridCol w:w="1231"/>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809" w:type="dxa"/>
            <w:noWrap w:val="0"/>
            <w:vAlign w:val="center"/>
          </w:tcPr>
          <w:p>
            <w:pPr>
              <w:spacing w:line="360" w:lineRule="auto"/>
              <w:jc w:val="center"/>
              <w:rPr>
                <w:sz w:val="18"/>
                <w:szCs w:val="18"/>
              </w:rPr>
            </w:pPr>
            <w:r>
              <w:rPr>
                <w:rFonts w:hint="eastAsia" w:hAnsi="宋体"/>
                <w:sz w:val="18"/>
                <w:szCs w:val="18"/>
              </w:rPr>
              <w:t>抗坏血酸用量</w:t>
            </w:r>
            <w:r>
              <w:rPr>
                <w:sz w:val="18"/>
                <w:szCs w:val="18"/>
              </w:rPr>
              <w:t>/g</w:t>
            </w:r>
          </w:p>
        </w:tc>
        <w:tc>
          <w:tcPr>
            <w:tcW w:w="1231" w:type="dxa"/>
            <w:noWrap w:val="0"/>
            <w:vAlign w:val="center"/>
          </w:tcPr>
          <w:p>
            <w:pPr>
              <w:spacing w:line="360" w:lineRule="auto"/>
              <w:jc w:val="center"/>
              <w:rPr>
                <w:rFonts w:hint="eastAsia"/>
                <w:sz w:val="18"/>
                <w:szCs w:val="18"/>
              </w:rPr>
            </w:pPr>
            <w:r>
              <w:rPr>
                <w:rFonts w:hint="eastAsia"/>
                <w:sz w:val="18"/>
                <w:szCs w:val="18"/>
              </w:rPr>
              <w:t>0</w:t>
            </w:r>
          </w:p>
        </w:tc>
        <w:tc>
          <w:tcPr>
            <w:tcW w:w="1231" w:type="dxa"/>
            <w:noWrap w:val="0"/>
            <w:vAlign w:val="center"/>
          </w:tcPr>
          <w:p>
            <w:pPr>
              <w:spacing w:line="360" w:lineRule="auto"/>
              <w:jc w:val="center"/>
              <w:rPr>
                <w:sz w:val="18"/>
                <w:szCs w:val="18"/>
              </w:rPr>
            </w:pPr>
            <w:r>
              <w:rPr>
                <w:sz w:val="18"/>
                <w:szCs w:val="18"/>
              </w:rPr>
              <w:t>0.</w:t>
            </w:r>
            <w:r>
              <w:rPr>
                <w:rFonts w:hint="eastAsia"/>
                <w:sz w:val="18"/>
                <w:szCs w:val="18"/>
              </w:rPr>
              <w:t>1</w:t>
            </w:r>
          </w:p>
        </w:tc>
        <w:tc>
          <w:tcPr>
            <w:tcW w:w="1231" w:type="dxa"/>
            <w:noWrap w:val="0"/>
            <w:vAlign w:val="center"/>
          </w:tcPr>
          <w:p>
            <w:pPr>
              <w:spacing w:line="360" w:lineRule="auto"/>
              <w:jc w:val="center"/>
              <w:rPr>
                <w:rFonts w:hint="eastAsia"/>
                <w:sz w:val="18"/>
                <w:szCs w:val="18"/>
              </w:rPr>
            </w:pPr>
            <w:r>
              <w:rPr>
                <w:rFonts w:hint="eastAsia"/>
                <w:sz w:val="18"/>
                <w:szCs w:val="18"/>
              </w:rPr>
              <w:t>0.2</w:t>
            </w:r>
          </w:p>
        </w:tc>
        <w:tc>
          <w:tcPr>
            <w:tcW w:w="1231" w:type="dxa"/>
            <w:noWrap w:val="0"/>
            <w:vAlign w:val="center"/>
          </w:tcPr>
          <w:p>
            <w:pPr>
              <w:spacing w:line="360" w:lineRule="auto"/>
              <w:jc w:val="center"/>
              <w:rPr>
                <w:sz w:val="18"/>
                <w:szCs w:val="18"/>
              </w:rPr>
            </w:pPr>
            <w:r>
              <w:rPr>
                <w:sz w:val="18"/>
                <w:szCs w:val="18"/>
              </w:rPr>
              <w:t>0.3</w:t>
            </w:r>
          </w:p>
        </w:tc>
        <w:tc>
          <w:tcPr>
            <w:tcW w:w="1232" w:type="dxa"/>
            <w:noWrap w:val="0"/>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809" w:type="dxa"/>
            <w:noWrap w:val="0"/>
            <w:vAlign w:val="center"/>
          </w:tcPr>
          <w:p>
            <w:pPr>
              <w:spacing w:line="360" w:lineRule="auto"/>
              <w:jc w:val="center"/>
              <w:rPr>
                <w:sz w:val="18"/>
                <w:szCs w:val="18"/>
              </w:rPr>
            </w:pPr>
            <w:r>
              <w:rPr>
                <w:rFonts w:hint="eastAsia" w:hAnsi="宋体"/>
                <w:sz w:val="18"/>
                <w:szCs w:val="18"/>
              </w:rPr>
              <w:t>铋测定值</w:t>
            </w:r>
            <w:r>
              <w:rPr>
                <w:sz w:val="18"/>
                <w:szCs w:val="18"/>
              </w:rPr>
              <w:t>/mg</w:t>
            </w:r>
          </w:p>
        </w:tc>
        <w:tc>
          <w:tcPr>
            <w:tcW w:w="1231" w:type="dxa"/>
            <w:noWrap w:val="0"/>
            <w:vAlign w:val="center"/>
          </w:tcPr>
          <w:p>
            <w:pPr>
              <w:spacing w:line="360" w:lineRule="auto"/>
              <w:jc w:val="center"/>
              <w:rPr>
                <w:sz w:val="18"/>
                <w:szCs w:val="18"/>
              </w:rPr>
            </w:pPr>
            <w:r>
              <w:rPr>
                <w:rFonts w:hint="eastAsia"/>
                <w:sz w:val="18"/>
                <w:szCs w:val="18"/>
              </w:rPr>
              <w:t>12.19</w:t>
            </w:r>
          </w:p>
        </w:tc>
        <w:tc>
          <w:tcPr>
            <w:tcW w:w="1231" w:type="dxa"/>
            <w:noWrap w:val="0"/>
            <w:vAlign w:val="center"/>
          </w:tcPr>
          <w:p>
            <w:pPr>
              <w:spacing w:line="360" w:lineRule="auto"/>
              <w:jc w:val="center"/>
              <w:rPr>
                <w:sz w:val="18"/>
                <w:szCs w:val="18"/>
              </w:rPr>
            </w:pPr>
            <w:r>
              <w:rPr>
                <w:rFonts w:hint="eastAsia"/>
                <w:sz w:val="18"/>
                <w:szCs w:val="18"/>
              </w:rPr>
              <w:t>10.04</w:t>
            </w:r>
          </w:p>
        </w:tc>
        <w:tc>
          <w:tcPr>
            <w:tcW w:w="1231" w:type="dxa"/>
            <w:noWrap w:val="0"/>
            <w:vAlign w:val="center"/>
          </w:tcPr>
          <w:p>
            <w:pPr>
              <w:spacing w:line="360" w:lineRule="auto"/>
              <w:jc w:val="center"/>
              <w:rPr>
                <w:sz w:val="18"/>
                <w:szCs w:val="18"/>
              </w:rPr>
            </w:pPr>
            <w:r>
              <w:rPr>
                <w:rFonts w:hint="eastAsia"/>
                <w:sz w:val="18"/>
                <w:szCs w:val="18"/>
              </w:rPr>
              <w:t>10.02</w:t>
            </w:r>
          </w:p>
        </w:tc>
        <w:tc>
          <w:tcPr>
            <w:tcW w:w="1231" w:type="dxa"/>
            <w:noWrap w:val="0"/>
            <w:vAlign w:val="center"/>
          </w:tcPr>
          <w:p>
            <w:pPr>
              <w:spacing w:line="360" w:lineRule="auto"/>
              <w:jc w:val="center"/>
              <w:rPr>
                <w:sz w:val="18"/>
                <w:szCs w:val="18"/>
              </w:rPr>
            </w:pPr>
            <w:r>
              <w:rPr>
                <w:rFonts w:hint="eastAsia"/>
                <w:sz w:val="18"/>
                <w:szCs w:val="18"/>
              </w:rPr>
              <w:t>10.03</w:t>
            </w:r>
          </w:p>
        </w:tc>
        <w:tc>
          <w:tcPr>
            <w:tcW w:w="1232" w:type="dxa"/>
            <w:noWrap w:val="0"/>
            <w:vAlign w:val="center"/>
          </w:tcPr>
          <w:p>
            <w:pPr>
              <w:spacing w:line="360" w:lineRule="auto"/>
              <w:jc w:val="center"/>
              <w:rPr>
                <w:sz w:val="18"/>
                <w:szCs w:val="18"/>
              </w:rPr>
            </w:pPr>
            <w:r>
              <w:rPr>
                <w:rFonts w:hint="eastAsia"/>
                <w:sz w:val="18"/>
                <w:szCs w:val="18"/>
              </w:rPr>
              <w:t>9.98</w:t>
            </w:r>
          </w:p>
        </w:tc>
      </w:tr>
    </w:tbl>
    <w:p>
      <w:pPr>
        <w:spacing w:line="360" w:lineRule="auto"/>
        <w:ind w:firstLine="420" w:firstLineChars="200"/>
      </w:pPr>
      <w:r>
        <w:rPr>
          <w:rFonts w:hint="eastAsia" w:hAnsi="宋体"/>
        </w:rPr>
        <w:t>由此可知，当溶液中含有铁，如果不加抗坏血酸，铋的测定结果偏高，加入抗坏血酸用量为0.1~0.4g时，均可消除铁对铋的测定的影响，本实验选定加入量为0.2</w:t>
      </w:r>
      <w:r>
        <w:rPr>
          <w:rFonts w:hAnsi="宋体"/>
        </w:rPr>
        <w:t>g</w:t>
      </w:r>
      <w:r>
        <w:rPr>
          <w:rFonts w:hint="eastAsia" w:hAnsi="宋体"/>
        </w:rPr>
        <w:t>。</w:t>
      </w:r>
    </w:p>
    <w:p>
      <w:pPr>
        <w:pStyle w:val="5"/>
        <w:bidi w:val="0"/>
      </w:pPr>
      <w:r>
        <w:t>2.</w:t>
      </w:r>
      <w:r>
        <w:rPr>
          <w:rFonts w:hint="eastAsia"/>
        </w:rPr>
        <w:t>1</w:t>
      </w:r>
      <w:r>
        <w:t>.</w:t>
      </w:r>
      <w:r>
        <w:rPr>
          <w:rFonts w:hint="eastAsia"/>
        </w:rPr>
        <w:t>4</w:t>
      </w:r>
      <w:r>
        <w:t xml:space="preserve"> </w:t>
      </w:r>
      <w:r>
        <w:rPr>
          <w:rFonts w:hint="eastAsia" w:hAnsi="宋体"/>
        </w:rPr>
        <w:t>酒石酸溶液用量</w:t>
      </w:r>
    </w:p>
    <w:p>
      <w:pPr>
        <w:spacing w:line="360" w:lineRule="auto"/>
        <w:ind w:firstLine="420" w:firstLineChars="200"/>
      </w:pPr>
      <w:r>
        <w:rPr>
          <w:rFonts w:hint="eastAsia" w:hAnsi="宋体"/>
        </w:rPr>
        <w:t>溶液中的锑可以加酒石酸络合，移取</w:t>
      </w:r>
      <w:r>
        <w:rPr>
          <w:rFonts w:hint="eastAsia"/>
        </w:rPr>
        <w:t>10.</w:t>
      </w:r>
      <w:r>
        <w:t>00m</w:t>
      </w:r>
      <w:r>
        <w:rPr>
          <w:rFonts w:hint="eastAsia"/>
        </w:rPr>
        <w:t>g</w:t>
      </w:r>
      <w:r>
        <w:rPr>
          <w:rFonts w:hint="eastAsia" w:hAnsi="宋体"/>
        </w:rPr>
        <w:t>铋标准溶液，加入5.00</w:t>
      </w:r>
      <w:r>
        <w:rPr>
          <w:rFonts w:hAnsi="宋体"/>
        </w:rPr>
        <w:t>mg</w:t>
      </w:r>
      <w:r>
        <w:rPr>
          <w:rFonts w:hint="eastAsia" w:hAnsi="宋体"/>
        </w:rPr>
        <w:t>锑，按照实验方法进行测定，结果见表</w:t>
      </w:r>
      <w:r>
        <w:rPr>
          <w:rFonts w:hint="eastAsia" w:hAnsi="宋体"/>
          <w:lang w:val="en-US" w:eastAsia="zh-CN"/>
        </w:rPr>
        <w:t>23</w:t>
      </w:r>
      <w:r>
        <w:rPr>
          <w:rFonts w:hint="eastAsia" w:hAnsi="宋体"/>
        </w:rPr>
        <w:t>。</w:t>
      </w:r>
    </w:p>
    <w:p>
      <w:pPr>
        <w:spacing w:line="360" w:lineRule="auto"/>
        <w:ind w:firstLine="420" w:firstLineChars="200"/>
        <w:jc w:val="center"/>
      </w:pPr>
      <w:r>
        <w:rPr>
          <w:rFonts w:hint="eastAsia" w:hAnsi="宋体"/>
        </w:rPr>
        <w:t>表</w:t>
      </w:r>
      <w:r>
        <w:rPr>
          <w:rFonts w:hint="eastAsia"/>
          <w:lang w:val="en-US" w:eastAsia="zh-CN"/>
        </w:rPr>
        <w:t>23</w:t>
      </w:r>
      <w:r>
        <w:rPr>
          <w:rFonts w:hint="eastAsia" w:hAnsi="宋体"/>
        </w:rPr>
        <w:t>酒石酸用量对锑测定的影响</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1366"/>
        <w:gridCol w:w="1366"/>
        <w:gridCol w:w="1366"/>
        <w:gridCol w:w="136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304" w:type="dxa"/>
            <w:noWrap w:val="0"/>
            <w:vAlign w:val="center"/>
          </w:tcPr>
          <w:p>
            <w:pPr>
              <w:spacing w:line="360" w:lineRule="auto"/>
              <w:jc w:val="center"/>
              <w:rPr>
                <w:sz w:val="18"/>
                <w:szCs w:val="18"/>
              </w:rPr>
            </w:pPr>
            <w:r>
              <w:rPr>
                <w:rFonts w:hint="eastAsia" w:hAnsi="宋体"/>
                <w:sz w:val="18"/>
                <w:szCs w:val="18"/>
              </w:rPr>
              <w:t>酒石酸溶液加入量</w:t>
            </w:r>
            <w:r>
              <w:rPr>
                <w:sz w:val="18"/>
                <w:szCs w:val="18"/>
              </w:rPr>
              <w:t>/mL</w:t>
            </w:r>
          </w:p>
        </w:tc>
        <w:tc>
          <w:tcPr>
            <w:tcW w:w="1366" w:type="dxa"/>
            <w:noWrap w:val="0"/>
            <w:vAlign w:val="center"/>
          </w:tcPr>
          <w:p>
            <w:pPr>
              <w:spacing w:line="360" w:lineRule="auto"/>
              <w:jc w:val="center"/>
              <w:rPr>
                <w:sz w:val="18"/>
                <w:szCs w:val="18"/>
              </w:rPr>
            </w:pPr>
            <w:r>
              <w:rPr>
                <w:sz w:val="18"/>
                <w:szCs w:val="18"/>
              </w:rPr>
              <w:t>1</w:t>
            </w:r>
          </w:p>
        </w:tc>
        <w:tc>
          <w:tcPr>
            <w:tcW w:w="1366" w:type="dxa"/>
            <w:noWrap w:val="0"/>
            <w:vAlign w:val="center"/>
          </w:tcPr>
          <w:p>
            <w:pPr>
              <w:spacing w:line="360" w:lineRule="auto"/>
              <w:jc w:val="center"/>
              <w:rPr>
                <w:sz w:val="18"/>
                <w:szCs w:val="18"/>
              </w:rPr>
            </w:pPr>
            <w:r>
              <w:rPr>
                <w:sz w:val="18"/>
                <w:szCs w:val="18"/>
              </w:rPr>
              <w:t>3</w:t>
            </w:r>
          </w:p>
        </w:tc>
        <w:tc>
          <w:tcPr>
            <w:tcW w:w="1366" w:type="dxa"/>
            <w:noWrap w:val="0"/>
            <w:vAlign w:val="center"/>
          </w:tcPr>
          <w:p>
            <w:pPr>
              <w:spacing w:line="360" w:lineRule="auto"/>
              <w:jc w:val="center"/>
              <w:rPr>
                <w:sz w:val="18"/>
                <w:szCs w:val="18"/>
              </w:rPr>
            </w:pPr>
            <w:r>
              <w:rPr>
                <w:sz w:val="18"/>
                <w:szCs w:val="18"/>
              </w:rPr>
              <w:t>5</w:t>
            </w:r>
          </w:p>
        </w:tc>
        <w:tc>
          <w:tcPr>
            <w:tcW w:w="1366" w:type="dxa"/>
            <w:noWrap w:val="0"/>
            <w:vAlign w:val="center"/>
          </w:tcPr>
          <w:p>
            <w:pPr>
              <w:spacing w:line="360" w:lineRule="auto"/>
              <w:jc w:val="center"/>
              <w:rPr>
                <w:sz w:val="18"/>
                <w:szCs w:val="18"/>
              </w:rPr>
            </w:pPr>
            <w:r>
              <w:rPr>
                <w:sz w:val="18"/>
                <w:szCs w:val="18"/>
              </w:rPr>
              <w:t>7</w:t>
            </w:r>
          </w:p>
        </w:tc>
        <w:tc>
          <w:tcPr>
            <w:tcW w:w="1367" w:type="dxa"/>
            <w:noWrap w:val="0"/>
            <w:vAlign w:val="center"/>
          </w:tcPr>
          <w:p>
            <w:pPr>
              <w:spacing w:line="360" w:lineRule="auto"/>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304" w:type="dxa"/>
            <w:noWrap w:val="0"/>
            <w:vAlign w:val="center"/>
          </w:tcPr>
          <w:p>
            <w:pPr>
              <w:spacing w:line="360" w:lineRule="auto"/>
              <w:jc w:val="center"/>
              <w:rPr>
                <w:sz w:val="18"/>
                <w:szCs w:val="18"/>
              </w:rPr>
            </w:pPr>
            <w:r>
              <w:rPr>
                <w:rFonts w:hint="eastAsia" w:hAnsi="宋体"/>
                <w:sz w:val="18"/>
                <w:szCs w:val="18"/>
              </w:rPr>
              <w:t>铋测定量</w:t>
            </w:r>
            <w:r>
              <w:rPr>
                <w:sz w:val="18"/>
                <w:szCs w:val="18"/>
              </w:rPr>
              <w:t>/mg</w:t>
            </w:r>
          </w:p>
        </w:tc>
        <w:tc>
          <w:tcPr>
            <w:tcW w:w="1366" w:type="dxa"/>
            <w:noWrap w:val="0"/>
            <w:vAlign w:val="center"/>
          </w:tcPr>
          <w:p>
            <w:pPr>
              <w:spacing w:line="360" w:lineRule="auto"/>
              <w:jc w:val="center"/>
              <w:rPr>
                <w:rFonts w:hint="eastAsia"/>
                <w:sz w:val="18"/>
                <w:szCs w:val="18"/>
              </w:rPr>
            </w:pPr>
            <w:r>
              <w:rPr>
                <w:rFonts w:hint="eastAsia"/>
                <w:sz w:val="18"/>
                <w:szCs w:val="18"/>
              </w:rPr>
              <w:t>10.25</w:t>
            </w:r>
          </w:p>
        </w:tc>
        <w:tc>
          <w:tcPr>
            <w:tcW w:w="1366" w:type="dxa"/>
            <w:noWrap w:val="0"/>
            <w:vAlign w:val="center"/>
          </w:tcPr>
          <w:p>
            <w:pPr>
              <w:spacing w:line="360" w:lineRule="auto"/>
              <w:jc w:val="center"/>
              <w:rPr>
                <w:rFonts w:hint="eastAsia"/>
                <w:sz w:val="18"/>
                <w:szCs w:val="18"/>
              </w:rPr>
            </w:pPr>
            <w:r>
              <w:rPr>
                <w:rFonts w:hint="eastAsia"/>
                <w:sz w:val="18"/>
                <w:szCs w:val="18"/>
              </w:rPr>
              <w:t>10.05</w:t>
            </w:r>
          </w:p>
        </w:tc>
        <w:tc>
          <w:tcPr>
            <w:tcW w:w="1366" w:type="dxa"/>
            <w:noWrap w:val="0"/>
            <w:vAlign w:val="center"/>
          </w:tcPr>
          <w:p>
            <w:pPr>
              <w:spacing w:line="360" w:lineRule="auto"/>
              <w:jc w:val="center"/>
              <w:rPr>
                <w:sz w:val="18"/>
                <w:szCs w:val="18"/>
              </w:rPr>
            </w:pPr>
            <w:r>
              <w:rPr>
                <w:rFonts w:hint="eastAsia"/>
                <w:sz w:val="18"/>
                <w:szCs w:val="18"/>
              </w:rPr>
              <w:t>10.01</w:t>
            </w:r>
          </w:p>
        </w:tc>
        <w:tc>
          <w:tcPr>
            <w:tcW w:w="1366" w:type="dxa"/>
            <w:noWrap w:val="0"/>
            <w:vAlign w:val="center"/>
          </w:tcPr>
          <w:p>
            <w:pPr>
              <w:spacing w:line="360" w:lineRule="auto"/>
              <w:jc w:val="center"/>
              <w:rPr>
                <w:rFonts w:hint="eastAsia"/>
                <w:sz w:val="18"/>
                <w:szCs w:val="18"/>
              </w:rPr>
            </w:pPr>
            <w:r>
              <w:rPr>
                <w:rFonts w:hint="eastAsia"/>
                <w:sz w:val="18"/>
                <w:szCs w:val="18"/>
              </w:rPr>
              <w:t>10.06</w:t>
            </w:r>
          </w:p>
        </w:tc>
        <w:tc>
          <w:tcPr>
            <w:tcW w:w="1367" w:type="dxa"/>
            <w:noWrap w:val="0"/>
            <w:vAlign w:val="center"/>
          </w:tcPr>
          <w:p>
            <w:pPr>
              <w:spacing w:line="360" w:lineRule="auto"/>
              <w:jc w:val="center"/>
              <w:rPr>
                <w:sz w:val="18"/>
                <w:szCs w:val="18"/>
              </w:rPr>
            </w:pPr>
            <w:r>
              <w:rPr>
                <w:rFonts w:hint="eastAsia"/>
                <w:sz w:val="18"/>
                <w:szCs w:val="18"/>
              </w:rPr>
              <w:t>9.99</w:t>
            </w:r>
          </w:p>
        </w:tc>
      </w:tr>
    </w:tbl>
    <w:p>
      <w:pPr>
        <w:spacing w:line="360" w:lineRule="auto"/>
        <w:ind w:firstLine="420" w:firstLineChars="200"/>
        <w:rPr>
          <w:rFonts w:hint="eastAsia" w:hAnsi="宋体"/>
          <w:b/>
          <w:sz w:val="30"/>
          <w:szCs w:val="30"/>
        </w:rPr>
      </w:pPr>
      <w:r>
        <w:rPr>
          <w:rFonts w:hint="eastAsia" w:hAnsi="宋体"/>
        </w:rPr>
        <w:t>试验表明：酒石酸的用量 3~10</w:t>
      </w:r>
      <w:r>
        <w:rPr>
          <w:rFonts w:hAnsi="宋体"/>
        </w:rPr>
        <w:t>mL</w:t>
      </w:r>
      <w:r>
        <w:rPr>
          <w:rFonts w:hint="eastAsia" w:hAnsi="宋体"/>
        </w:rPr>
        <w:t>时，</w:t>
      </w:r>
      <w:r>
        <w:rPr>
          <w:rFonts w:hint="eastAsia"/>
          <w:bCs/>
          <w:szCs w:val="21"/>
        </w:rPr>
        <w:t>铋的测定结果满足要求。</w:t>
      </w:r>
      <w:r>
        <w:rPr>
          <w:rFonts w:hint="eastAsia" w:hAnsi="宋体"/>
        </w:rPr>
        <w:t>本方法选择酒石酸加入量为5</w:t>
      </w:r>
      <w:r>
        <w:rPr>
          <w:rFonts w:hAnsi="宋体"/>
        </w:rPr>
        <w:t>mL</w:t>
      </w:r>
      <w:r>
        <w:rPr>
          <w:rFonts w:hint="eastAsia" w:hAnsi="宋体"/>
        </w:rPr>
        <w:t>。</w:t>
      </w:r>
    </w:p>
    <w:p>
      <w:pPr>
        <w:pStyle w:val="5"/>
        <w:bidi w:val="0"/>
        <w:rPr>
          <w:rFonts w:hAnsi="宋体"/>
          <w:bCs/>
          <w:szCs w:val="21"/>
        </w:rPr>
      </w:pPr>
      <w:r>
        <w:rPr>
          <w:bCs/>
          <w:szCs w:val="21"/>
        </w:rPr>
        <w:t>2.</w:t>
      </w:r>
      <w:r>
        <w:rPr>
          <w:rFonts w:hint="eastAsia"/>
          <w:bCs/>
          <w:szCs w:val="21"/>
        </w:rPr>
        <w:t>2</w:t>
      </w:r>
      <w:r>
        <w:rPr>
          <w:rFonts w:hint="eastAsia" w:hAnsi="宋体"/>
          <w:bCs/>
          <w:szCs w:val="21"/>
        </w:rPr>
        <w:t>溶样方式</w:t>
      </w:r>
      <w:r>
        <w:rPr>
          <w:rFonts w:hAnsi="宋体"/>
          <w:bCs/>
          <w:szCs w:val="21"/>
        </w:rPr>
        <w:t xml:space="preserve"> </w:t>
      </w:r>
    </w:p>
    <w:p>
      <w:pPr>
        <w:pStyle w:val="5"/>
        <w:bidi w:val="0"/>
      </w:pPr>
      <w:r>
        <w:rPr>
          <w:rFonts w:hint="eastAsia"/>
        </w:rPr>
        <w:t>2.2.1主要成分</w:t>
      </w:r>
    </w:p>
    <w:p>
      <w:pPr>
        <w:snapToGrid w:val="0"/>
        <w:spacing w:line="360" w:lineRule="auto"/>
        <w:ind w:firstLine="420" w:firstLineChars="200"/>
        <w:rPr>
          <w:rFonts w:hint="eastAsia" w:hAnsi="宋体"/>
          <w:szCs w:val="21"/>
        </w:rPr>
      </w:pPr>
      <w:r>
        <w:rPr>
          <w:rFonts w:hint="eastAsia" w:hAnsi="宋体"/>
          <w:szCs w:val="21"/>
        </w:rPr>
        <w:t>对粗锡中各元素含量进行调查，其主要成分列于表</w:t>
      </w:r>
      <w:r>
        <w:rPr>
          <w:rFonts w:hint="eastAsia" w:hAnsi="宋体"/>
          <w:szCs w:val="21"/>
          <w:lang w:val="en-US" w:eastAsia="zh-CN"/>
        </w:rPr>
        <w:t>24</w:t>
      </w:r>
      <w:r>
        <w:rPr>
          <w:rFonts w:hint="eastAsia" w:hAnsi="宋体"/>
          <w:szCs w:val="21"/>
        </w:rPr>
        <w:t>。粗锡中元素主要有锡、铅、铜、锑、</w:t>
      </w:r>
      <w:r>
        <w:rPr>
          <w:rFonts w:hint="eastAsia" w:hAnsi="宋体"/>
        </w:rPr>
        <w:t>铁、砷、银、金、铟、镍、镉</w:t>
      </w:r>
      <w:r>
        <w:rPr>
          <w:rFonts w:hint="eastAsia" w:hAnsi="宋体"/>
          <w:szCs w:val="21"/>
        </w:rPr>
        <w:t>等。</w:t>
      </w:r>
    </w:p>
    <w:p>
      <w:pPr>
        <w:spacing w:line="360" w:lineRule="auto"/>
        <w:ind w:firstLine="210" w:firstLineChars="100"/>
        <w:jc w:val="center"/>
        <w:rPr>
          <w:rFonts w:hint="eastAsia" w:ascii="宋体" w:hAnsi="宋体" w:cs="宋体"/>
          <w:kern w:val="0"/>
          <w:szCs w:val="21"/>
        </w:rPr>
      </w:pPr>
      <w:r>
        <w:rPr>
          <w:rFonts w:hint="eastAsia" w:ascii="宋体" w:hAnsi="宋体" w:cs="宋体"/>
          <w:szCs w:val="21"/>
        </w:rPr>
        <w:t>表</w:t>
      </w:r>
      <w:r>
        <w:rPr>
          <w:rFonts w:hint="eastAsia" w:ascii="宋体" w:hAnsi="宋体" w:cs="宋体"/>
          <w:szCs w:val="21"/>
          <w:lang w:val="en-US" w:eastAsia="zh-CN"/>
        </w:rPr>
        <w:t>24</w:t>
      </w:r>
      <w:r>
        <w:rPr>
          <w:rFonts w:hint="eastAsia" w:ascii="宋体" w:hAnsi="宋体" w:cs="宋体"/>
          <w:kern w:val="0"/>
          <w:szCs w:val="21"/>
        </w:rPr>
        <w:t>粗锡中主要成分及其范围</w:t>
      </w: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6"/>
        <w:gridCol w:w="2338"/>
        <w:gridCol w:w="2250"/>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noWrap w:val="0"/>
            <w:vAlign w:val="top"/>
          </w:tcPr>
          <w:p>
            <w:pPr>
              <w:spacing w:line="360" w:lineRule="auto"/>
              <w:jc w:val="center"/>
              <w:rPr>
                <w:rFonts w:eastAsia="楷体"/>
                <w:kern w:val="0"/>
                <w:sz w:val="18"/>
                <w:szCs w:val="18"/>
              </w:rPr>
            </w:pPr>
            <w:r>
              <w:rPr>
                <w:rFonts w:hint="eastAsia" w:eastAsia="楷体"/>
                <w:kern w:val="0"/>
                <w:sz w:val="18"/>
                <w:szCs w:val="18"/>
              </w:rPr>
              <w:t>元素</w:t>
            </w:r>
          </w:p>
        </w:tc>
        <w:tc>
          <w:tcPr>
            <w:tcW w:w="2338" w:type="dxa"/>
            <w:tcBorders>
              <w:right w:val="single" w:color="auto" w:sz="4" w:space="0"/>
            </w:tcBorders>
            <w:noWrap w:val="0"/>
            <w:vAlign w:val="top"/>
          </w:tcPr>
          <w:p>
            <w:pPr>
              <w:spacing w:line="360" w:lineRule="auto"/>
              <w:jc w:val="center"/>
              <w:rPr>
                <w:rFonts w:eastAsia="楷体"/>
                <w:kern w:val="0"/>
                <w:sz w:val="18"/>
                <w:szCs w:val="18"/>
              </w:rPr>
            </w:pPr>
            <w:r>
              <w:rPr>
                <w:rFonts w:hint="eastAsia" w:eastAsia="楷体"/>
                <w:kern w:val="0"/>
                <w:sz w:val="18"/>
                <w:szCs w:val="18"/>
              </w:rPr>
              <w:t>范围（%）</w:t>
            </w:r>
          </w:p>
        </w:tc>
        <w:tc>
          <w:tcPr>
            <w:tcW w:w="2250" w:type="dxa"/>
            <w:tcBorders>
              <w:left w:val="single" w:color="auto" w:sz="4" w:space="0"/>
            </w:tcBorders>
            <w:noWrap w:val="0"/>
            <w:vAlign w:val="top"/>
          </w:tcPr>
          <w:p>
            <w:pPr>
              <w:spacing w:line="360" w:lineRule="auto"/>
              <w:jc w:val="center"/>
              <w:rPr>
                <w:rFonts w:eastAsia="楷体"/>
                <w:kern w:val="0"/>
                <w:sz w:val="18"/>
                <w:szCs w:val="18"/>
              </w:rPr>
            </w:pPr>
            <w:r>
              <w:rPr>
                <w:rFonts w:hint="eastAsia" w:eastAsia="楷体"/>
                <w:kern w:val="0"/>
                <w:sz w:val="18"/>
                <w:szCs w:val="18"/>
              </w:rPr>
              <w:t>元素</w:t>
            </w:r>
          </w:p>
        </w:tc>
        <w:tc>
          <w:tcPr>
            <w:tcW w:w="2161" w:type="dxa"/>
            <w:tcBorders>
              <w:left w:val="single" w:color="auto" w:sz="4" w:space="0"/>
            </w:tcBorders>
            <w:noWrap w:val="0"/>
            <w:vAlign w:val="top"/>
          </w:tcPr>
          <w:p>
            <w:pPr>
              <w:spacing w:line="360" w:lineRule="auto"/>
              <w:jc w:val="center"/>
              <w:rPr>
                <w:rFonts w:eastAsia="楷体"/>
                <w:kern w:val="0"/>
                <w:sz w:val="18"/>
                <w:szCs w:val="18"/>
              </w:rPr>
            </w:pPr>
            <w:r>
              <w:rPr>
                <w:rFonts w:hint="eastAsia" w:eastAsia="楷体"/>
                <w:kern w:val="0"/>
                <w:sz w:val="18"/>
                <w:szCs w:val="18"/>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tcBorders>
              <w:bottom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Sn</w:t>
            </w:r>
          </w:p>
        </w:tc>
        <w:tc>
          <w:tcPr>
            <w:tcW w:w="2338" w:type="dxa"/>
            <w:tcBorders>
              <w:righ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55</w:t>
            </w:r>
            <w:r>
              <w:rPr>
                <w:rFonts w:eastAsia="楷体"/>
                <w:kern w:val="0"/>
                <w:sz w:val="18"/>
                <w:szCs w:val="18"/>
              </w:rPr>
              <w:t>.00~99.00</w:t>
            </w:r>
          </w:p>
        </w:tc>
        <w:tc>
          <w:tcPr>
            <w:tcW w:w="2250"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Ag</w:t>
            </w:r>
          </w:p>
        </w:tc>
        <w:tc>
          <w:tcPr>
            <w:tcW w:w="2161" w:type="dxa"/>
            <w:tcBorders>
              <w:left w:val="single" w:color="auto" w:sz="4" w:space="0"/>
            </w:tcBorders>
            <w:noWrap w:val="0"/>
            <w:vAlign w:val="center"/>
          </w:tcPr>
          <w:p>
            <w:pPr>
              <w:spacing w:line="360" w:lineRule="auto"/>
              <w:jc w:val="center"/>
              <w:rPr>
                <w:rFonts w:eastAsia="楷体"/>
                <w:kern w:val="0"/>
                <w:sz w:val="18"/>
                <w:szCs w:val="18"/>
              </w:rPr>
            </w:pPr>
            <w:r>
              <w:rPr>
                <w:rFonts w:eastAsia="楷体"/>
                <w:kern w:val="0"/>
                <w:sz w:val="18"/>
                <w:szCs w:val="18"/>
              </w:rPr>
              <w:t>20.0g/t~</w:t>
            </w:r>
            <w:r>
              <w:rPr>
                <w:rFonts w:hint="eastAsia" w:eastAsia="楷体"/>
                <w:kern w:val="0"/>
                <w:sz w:val="18"/>
                <w:szCs w:val="18"/>
              </w:rPr>
              <w:t>5</w:t>
            </w:r>
            <w:r>
              <w:rPr>
                <w:rFonts w:eastAsia="楷体"/>
                <w:kern w:val="0"/>
                <w:sz w:val="18"/>
                <w:szCs w:val="18"/>
              </w:rPr>
              <w:t>000g/t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tcBorders>
              <w:bottom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Pb</w:t>
            </w:r>
          </w:p>
        </w:tc>
        <w:tc>
          <w:tcPr>
            <w:tcW w:w="2338" w:type="dxa"/>
            <w:tcBorders>
              <w:righ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0.15</w:t>
            </w:r>
            <w:r>
              <w:rPr>
                <w:rFonts w:eastAsia="楷体"/>
                <w:kern w:val="0"/>
                <w:sz w:val="18"/>
                <w:szCs w:val="18"/>
              </w:rPr>
              <w:t>~40.00</w:t>
            </w:r>
          </w:p>
        </w:tc>
        <w:tc>
          <w:tcPr>
            <w:tcW w:w="2250"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Au</w:t>
            </w:r>
          </w:p>
        </w:tc>
        <w:tc>
          <w:tcPr>
            <w:tcW w:w="2161" w:type="dxa"/>
            <w:tcBorders>
              <w:left w:val="single" w:color="auto" w:sz="4" w:space="0"/>
            </w:tcBorders>
            <w:noWrap w:val="0"/>
            <w:vAlign w:val="center"/>
          </w:tcPr>
          <w:p>
            <w:pPr>
              <w:spacing w:line="360" w:lineRule="auto"/>
              <w:jc w:val="center"/>
              <w:rPr>
                <w:rFonts w:eastAsia="楷体"/>
                <w:kern w:val="0"/>
                <w:sz w:val="18"/>
                <w:szCs w:val="18"/>
              </w:rPr>
            </w:pPr>
            <w:r>
              <w:rPr>
                <w:rFonts w:eastAsia="楷体"/>
                <w:kern w:val="0"/>
                <w:sz w:val="18"/>
                <w:szCs w:val="18"/>
              </w:rPr>
              <w:t>1.0g/t~300.0g/t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tcBorders>
              <w:top w:val="single" w:color="auto" w:sz="4" w:space="0"/>
              <w:bottom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Cu</w:t>
            </w:r>
          </w:p>
        </w:tc>
        <w:tc>
          <w:tcPr>
            <w:tcW w:w="2338" w:type="dxa"/>
            <w:tcBorders>
              <w:righ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0.08</w:t>
            </w:r>
            <w:r>
              <w:rPr>
                <w:rFonts w:eastAsia="楷体"/>
                <w:kern w:val="0"/>
                <w:sz w:val="18"/>
                <w:szCs w:val="18"/>
              </w:rPr>
              <w:t>~5.00</w:t>
            </w:r>
          </w:p>
        </w:tc>
        <w:tc>
          <w:tcPr>
            <w:tcW w:w="2250"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In</w:t>
            </w:r>
          </w:p>
        </w:tc>
        <w:tc>
          <w:tcPr>
            <w:tcW w:w="2161"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0.005</w:t>
            </w:r>
            <w:r>
              <w:rPr>
                <w:rFonts w:eastAsia="楷体"/>
                <w:kern w:val="0"/>
                <w:sz w:val="18"/>
                <w:szCs w:val="18"/>
              </w:rPr>
              <w:t>~0.</w:t>
            </w:r>
            <w:r>
              <w:rPr>
                <w:rFonts w:hint="eastAsia" w:eastAsia="楷体"/>
                <w:kern w:val="0"/>
                <w:sz w:val="18"/>
                <w:szCs w:val="18"/>
              </w:rPr>
              <w:t>1</w:t>
            </w:r>
            <w:r>
              <w:rPr>
                <w:rFonts w:eastAsia="楷体"/>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tcBorders>
              <w:top w:val="single" w:color="auto" w:sz="4" w:space="0"/>
              <w:bottom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Sb</w:t>
            </w:r>
          </w:p>
        </w:tc>
        <w:tc>
          <w:tcPr>
            <w:tcW w:w="2338" w:type="dxa"/>
            <w:tcBorders>
              <w:righ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0.07</w:t>
            </w:r>
            <w:r>
              <w:rPr>
                <w:rFonts w:eastAsia="楷体"/>
                <w:kern w:val="0"/>
                <w:sz w:val="18"/>
                <w:szCs w:val="18"/>
              </w:rPr>
              <w:t>~15.00</w:t>
            </w:r>
          </w:p>
        </w:tc>
        <w:tc>
          <w:tcPr>
            <w:tcW w:w="2250"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Ni</w:t>
            </w:r>
          </w:p>
        </w:tc>
        <w:tc>
          <w:tcPr>
            <w:tcW w:w="2161"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0.008</w:t>
            </w:r>
            <w:r>
              <w:rPr>
                <w:rFonts w:eastAsia="楷体"/>
                <w:kern w:val="0"/>
                <w:sz w:val="18"/>
                <w:szCs w:val="18"/>
              </w:rPr>
              <w:t>~1.</w:t>
            </w:r>
            <w:r>
              <w:rPr>
                <w:rFonts w:hint="eastAsia" w:eastAsia="楷体"/>
                <w:kern w:val="0"/>
                <w:sz w:val="18"/>
                <w:szCs w:val="18"/>
              </w:rPr>
              <w:t>7</w:t>
            </w:r>
            <w:r>
              <w:rPr>
                <w:rFonts w:eastAsia="楷体"/>
                <w:kern w:val="0"/>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tcBorders>
              <w:top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Fe</w:t>
            </w:r>
          </w:p>
        </w:tc>
        <w:tc>
          <w:tcPr>
            <w:tcW w:w="2338" w:type="dxa"/>
            <w:tcBorders>
              <w:righ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w:t>
            </w:r>
            <w:r>
              <w:rPr>
                <w:rFonts w:eastAsia="楷体"/>
                <w:kern w:val="0"/>
                <w:sz w:val="18"/>
                <w:szCs w:val="18"/>
              </w:rPr>
              <w:t>.05~</w:t>
            </w:r>
            <w:r>
              <w:rPr>
                <w:rFonts w:hint="eastAsia" w:eastAsia="楷体"/>
                <w:kern w:val="0"/>
                <w:sz w:val="18"/>
                <w:szCs w:val="18"/>
              </w:rPr>
              <w:t>6</w:t>
            </w:r>
            <w:r>
              <w:rPr>
                <w:rFonts w:eastAsia="楷体"/>
                <w:kern w:val="0"/>
                <w:sz w:val="18"/>
                <w:szCs w:val="18"/>
              </w:rPr>
              <w:t>.00</w:t>
            </w:r>
          </w:p>
        </w:tc>
        <w:tc>
          <w:tcPr>
            <w:tcW w:w="2250"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Cd</w:t>
            </w:r>
          </w:p>
        </w:tc>
        <w:tc>
          <w:tcPr>
            <w:tcW w:w="2161" w:type="dxa"/>
            <w:tcBorders>
              <w:lef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0.005</w:t>
            </w:r>
            <w:r>
              <w:rPr>
                <w:rFonts w:eastAsia="楷体"/>
                <w:kern w:val="0"/>
                <w:sz w:val="18"/>
                <w:szCs w:val="18"/>
              </w:rPr>
              <w:t>~0.</w:t>
            </w:r>
            <w:r>
              <w:rPr>
                <w:rFonts w:hint="eastAsia" w:eastAsia="楷体"/>
                <w:kern w:val="0"/>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6" w:type="dxa"/>
            <w:noWrap w:val="0"/>
            <w:vAlign w:val="center"/>
          </w:tcPr>
          <w:p>
            <w:pPr>
              <w:spacing w:line="360" w:lineRule="auto"/>
              <w:jc w:val="center"/>
              <w:rPr>
                <w:rFonts w:eastAsia="楷体"/>
                <w:kern w:val="0"/>
                <w:sz w:val="18"/>
                <w:szCs w:val="18"/>
              </w:rPr>
            </w:pPr>
            <w:r>
              <w:rPr>
                <w:rFonts w:hint="eastAsia" w:eastAsia="楷体"/>
                <w:kern w:val="0"/>
                <w:sz w:val="18"/>
                <w:szCs w:val="18"/>
              </w:rPr>
              <w:t>As</w:t>
            </w:r>
          </w:p>
        </w:tc>
        <w:tc>
          <w:tcPr>
            <w:tcW w:w="2338" w:type="dxa"/>
            <w:tcBorders>
              <w:right w:val="single" w:color="auto" w:sz="4" w:space="0"/>
            </w:tcBorders>
            <w:noWrap w:val="0"/>
            <w:vAlign w:val="center"/>
          </w:tcPr>
          <w:p>
            <w:pPr>
              <w:spacing w:line="360" w:lineRule="auto"/>
              <w:jc w:val="center"/>
              <w:rPr>
                <w:rFonts w:eastAsia="楷体"/>
                <w:kern w:val="0"/>
                <w:sz w:val="18"/>
                <w:szCs w:val="18"/>
              </w:rPr>
            </w:pPr>
            <w:r>
              <w:rPr>
                <w:rFonts w:hint="eastAsia" w:eastAsia="楷体"/>
                <w:kern w:val="0"/>
                <w:sz w:val="18"/>
                <w:szCs w:val="18"/>
              </w:rPr>
              <w:t>0.05</w:t>
            </w:r>
            <w:r>
              <w:rPr>
                <w:rFonts w:eastAsia="楷体"/>
                <w:kern w:val="0"/>
                <w:sz w:val="18"/>
                <w:szCs w:val="18"/>
              </w:rPr>
              <w:t>~5.00</w:t>
            </w:r>
          </w:p>
        </w:tc>
        <w:tc>
          <w:tcPr>
            <w:tcW w:w="2250" w:type="dxa"/>
            <w:tcBorders>
              <w:left w:val="single" w:color="auto" w:sz="4" w:space="0"/>
            </w:tcBorders>
            <w:noWrap w:val="0"/>
            <w:vAlign w:val="center"/>
          </w:tcPr>
          <w:p>
            <w:pPr>
              <w:spacing w:line="360" w:lineRule="auto"/>
              <w:jc w:val="center"/>
              <w:rPr>
                <w:rFonts w:eastAsia="楷体"/>
                <w:kern w:val="0"/>
                <w:sz w:val="18"/>
                <w:szCs w:val="18"/>
              </w:rPr>
            </w:pPr>
          </w:p>
        </w:tc>
        <w:tc>
          <w:tcPr>
            <w:tcW w:w="2161" w:type="dxa"/>
            <w:tcBorders>
              <w:left w:val="single" w:color="auto" w:sz="4" w:space="0"/>
            </w:tcBorders>
            <w:noWrap w:val="0"/>
            <w:vAlign w:val="top"/>
          </w:tcPr>
          <w:p>
            <w:pPr>
              <w:spacing w:line="360" w:lineRule="auto"/>
              <w:jc w:val="center"/>
              <w:rPr>
                <w:rFonts w:eastAsia="楷体"/>
                <w:kern w:val="0"/>
                <w:sz w:val="18"/>
                <w:szCs w:val="18"/>
              </w:rPr>
            </w:pPr>
          </w:p>
        </w:tc>
      </w:tr>
    </w:tbl>
    <w:p>
      <w:pPr>
        <w:pStyle w:val="5"/>
        <w:bidi w:val="0"/>
      </w:pPr>
      <w:r>
        <w:rPr>
          <w:rFonts w:hint="eastAsia"/>
        </w:rPr>
        <w:t>2.2.1溶样方式选择</w:t>
      </w:r>
    </w:p>
    <w:p>
      <w:pPr>
        <w:adjustRightInd w:val="0"/>
        <w:snapToGrid w:val="0"/>
        <w:spacing w:before="50" w:after="50" w:line="360" w:lineRule="auto"/>
        <w:ind w:firstLine="420" w:firstLineChars="200"/>
        <w:rPr>
          <w:rFonts w:hint="eastAsia" w:hAnsi="宋体"/>
          <w:bCs/>
          <w:szCs w:val="21"/>
        </w:rPr>
      </w:pPr>
      <w:r>
        <w:rPr>
          <w:rFonts w:hint="eastAsia" w:hAnsi="宋体"/>
          <w:bCs/>
          <w:szCs w:val="21"/>
        </w:rPr>
        <w:t>对粗锡样品，分别采用不同的溶解方法进行试验，其溶解情况列如下。</w:t>
      </w:r>
    </w:p>
    <w:p>
      <w:pPr>
        <w:adjustRightInd w:val="0"/>
        <w:snapToGrid w:val="0"/>
        <w:spacing w:before="50" w:after="50" w:line="360" w:lineRule="auto"/>
        <w:ind w:firstLine="420" w:firstLineChars="200"/>
        <w:rPr>
          <w:rFonts w:hint="eastAsia" w:hAnsi="宋体"/>
          <w:szCs w:val="21"/>
        </w:rPr>
      </w:pPr>
      <w:r>
        <w:rPr>
          <w:rFonts w:hint="eastAsia" w:hAnsi="宋体"/>
          <w:bCs/>
          <w:szCs w:val="21"/>
        </w:rPr>
        <w:t>方法1</w:t>
      </w:r>
      <w:r>
        <w:rPr>
          <w:rFonts w:hint="eastAsia" w:hAnsi="宋体"/>
          <w:szCs w:val="21"/>
        </w:rPr>
        <w:t>盐酸</w:t>
      </w:r>
      <w:r>
        <w:rPr>
          <w:rFonts w:hAnsi="宋体"/>
          <w:szCs w:val="21"/>
        </w:rPr>
        <w:t>+</w:t>
      </w:r>
      <w:r>
        <w:rPr>
          <w:rFonts w:hint="eastAsia" w:hAnsi="宋体"/>
          <w:szCs w:val="21"/>
        </w:rPr>
        <w:t>硝酸</w:t>
      </w:r>
      <w:r>
        <w:rPr>
          <w:rFonts w:hAnsi="宋体"/>
          <w:szCs w:val="21"/>
        </w:rPr>
        <w:t>+</w:t>
      </w:r>
      <w:r>
        <w:rPr>
          <w:rFonts w:hint="eastAsia" w:hAnsi="宋体"/>
          <w:szCs w:val="21"/>
        </w:rPr>
        <w:t>高氯酸：以盐酸和硝酸溶解样品，样品可以溶解完全，加高氯酸冒大烟，此时固形物较多有迸溅现象，加入硝酸溶解样品，生成大量白色沉淀，这是因为样品中的锡与硝酸反应生成白色沉淀β锡酸。</w:t>
      </w:r>
    </w:p>
    <w:p>
      <w:pPr>
        <w:adjustRightInd w:val="0"/>
        <w:snapToGrid w:val="0"/>
        <w:spacing w:before="50" w:after="50" w:line="360" w:lineRule="auto"/>
        <w:ind w:firstLine="420" w:firstLineChars="200"/>
        <w:rPr>
          <w:rFonts w:hint="eastAsia" w:hAnsi="宋体"/>
          <w:szCs w:val="21"/>
        </w:rPr>
      </w:pPr>
      <w:r>
        <w:rPr>
          <w:rFonts w:hint="eastAsia" w:hAnsi="宋体"/>
          <w:szCs w:val="21"/>
        </w:rPr>
        <w:t>方法2盐酸</w:t>
      </w:r>
      <w:r>
        <w:rPr>
          <w:rFonts w:hAnsi="宋体"/>
          <w:szCs w:val="21"/>
        </w:rPr>
        <w:t>+</w:t>
      </w:r>
      <w:r>
        <w:rPr>
          <w:rFonts w:hint="eastAsia" w:hAnsi="宋体"/>
          <w:szCs w:val="21"/>
        </w:rPr>
        <w:t>硝酸</w:t>
      </w:r>
      <w:r>
        <w:rPr>
          <w:rFonts w:hAnsi="宋体"/>
          <w:szCs w:val="21"/>
        </w:rPr>
        <w:t>+</w:t>
      </w:r>
      <w:r>
        <w:rPr>
          <w:rFonts w:hint="eastAsia" w:hAnsi="宋体"/>
          <w:szCs w:val="21"/>
        </w:rPr>
        <w:t>高氯酸+氢溴酸：以盐酸和硝酸溶解样品，样品可以溶解完全，加高氯酸冒大烟，此时固形物较多有迸溅现象，加入盐酸和氢溴酸低温溶解挥发除锡，共挥发三次氢溴酸（在前两次特别是第一次在溶液蒸至小体积时，固形物依然较多会有迸溅现象），升温冒高氯酸烟除去盐酸和氢溴酸，加入硝酸使铋溶解，样品基本澄清。</w:t>
      </w:r>
    </w:p>
    <w:p>
      <w:pPr>
        <w:adjustRightInd w:val="0"/>
        <w:snapToGrid w:val="0"/>
        <w:spacing w:before="50" w:after="50" w:line="360" w:lineRule="auto"/>
        <w:ind w:firstLine="420" w:firstLineChars="200"/>
        <w:rPr>
          <w:rFonts w:hint="eastAsia" w:hAnsi="宋体"/>
          <w:szCs w:val="21"/>
        </w:rPr>
      </w:pPr>
      <w:r>
        <w:rPr>
          <w:rFonts w:hint="eastAsia" w:hAnsi="宋体"/>
          <w:szCs w:val="21"/>
        </w:rPr>
        <w:t>方法3盐酸</w:t>
      </w:r>
      <w:r>
        <w:rPr>
          <w:rFonts w:hAnsi="宋体"/>
          <w:szCs w:val="21"/>
        </w:rPr>
        <w:t>+</w:t>
      </w:r>
      <w:r>
        <w:rPr>
          <w:rFonts w:hint="eastAsia" w:hAnsi="宋体"/>
          <w:szCs w:val="21"/>
        </w:rPr>
        <w:t>氢溴酸</w:t>
      </w:r>
      <w:r>
        <w:rPr>
          <w:rFonts w:hAnsi="宋体"/>
          <w:szCs w:val="21"/>
        </w:rPr>
        <w:t>+</w:t>
      </w:r>
      <w:r>
        <w:rPr>
          <w:rFonts w:hint="eastAsia" w:hAnsi="宋体"/>
          <w:szCs w:val="21"/>
        </w:rPr>
        <w:t>高氯酸：先以稀盐酸溶解部分锡，加入氢溴酸继续溶解和挥发除锡，共挥发三次氢溴酸，加高氯酸升温冒大烟除去盐酸和氢溴酸，加入硝酸使铋溶解，样品澄清。</w:t>
      </w:r>
    </w:p>
    <w:p>
      <w:pPr>
        <w:adjustRightInd w:val="0"/>
        <w:snapToGrid w:val="0"/>
        <w:spacing w:before="50" w:after="50" w:line="360" w:lineRule="auto"/>
        <w:ind w:firstLine="420" w:firstLineChars="200"/>
        <w:rPr>
          <w:rFonts w:hint="eastAsia" w:hAnsi="宋体"/>
        </w:rPr>
      </w:pPr>
      <w:r>
        <w:rPr>
          <w:rFonts w:hint="eastAsia" w:hAnsi="宋体"/>
          <w:szCs w:val="21"/>
        </w:rPr>
        <w:t>三个方法比较：方法1溶液含有大量沉淀，无法滴定铋；方法2处理时间耗时较长，因为盐酸和硝酸溶解样品后，还要冒高氯酸烟除硝酸，再加入盐酸和氢溴酸除锡、锑、砷等，而且在处理过程中有迸溅现象；方法3直接以稀盐酸溶解部分锡，加入氢溴酸挥发除锡，相对方法2处理时间缩短，溶液最后溶解澄清。因此方法3是样品最佳处理方法。</w:t>
      </w:r>
    </w:p>
    <w:p>
      <w:pPr>
        <w:spacing w:line="360" w:lineRule="auto"/>
        <w:jc w:val="center"/>
      </w:pPr>
      <w:r>
        <w:rPr>
          <w:rFonts w:hint="eastAsia" w:hAnsi="宋体"/>
        </w:rPr>
        <w:t>表</w:t>
      </w:r>
      <w:r>
        <w:rPr>
          <w:rFonts w:hint="eastAsia"/>
          <w:lang w:val="en-US" w:eastAsia="zh-CN"/>
        </w:rPr>
        <w:t>25</w:t>
      </w:r>
      <w:r>
        <w:t xml:space="preserve"> </w:t>
      </w:r>
      <w:r>
        <w:rPr>
          <w:rFonts w:hint="eastAsia" w:hAnsi="宋体"/>
        </w:rPr>
        <w:t>氢溴酸挥发次数对测定的影响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2868"/>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10" w:type="dxa"/>
            <w:noWrap w:val="0"/>
            <w:vAlign w:val="center"/>
          </w:tcPr>
          <w:p>
            <w:pPr>
              <w:adjustRightInd w:val="0"/>
              <w:snapToGrid w:val="0"/>
              <w:spacing w:before="50" w:after="50" w:line="360" w:lineRule="auto"/>
              <w:jc w:val="center"/>
              <w:rPr>
                <w:spacing w:val="6"/>
                <w:sz w:val="18"/>
                <w:szCs w:val="18"/>
              </w:rPr>
            </w:pPr>
            <w:r>
              <w:rPr>
                <w:rFonts w:hint="eastAsia" w:hAnsi="宋体"/>
                <w:spacing w:val="6"/>
                <w:sz w:val="18"/>
                <w:szCs w:val="18"/>
              </w:rPr>
              <w:t>处理方式</w:t>
            </w:r>
          </w:p>
        </w:tc>
        <w:tc>
          <w:tcPr>
            <w:tcW w:w="2868" w:type="dxa"/>
            <w:noWrap w:val="0"/>
            <w:vAlign w:val="top"/>
          </w:tcPr>
          <w:p>
            <w:pPr>
              <w:spacing w:line="360" w:lineRule="auto"/>
              <w:jc w:val="center"/>
              <w:rPr>
                <w:sz w:val="18"/>
                <w:szCs w:val="18"/>
              </w:rPr>
            </w:pPr>
            <w:r>
              <w:rPr>
                <w:rFonts w:hint="eastAsia"/>
                <w:sz w:val="18"/>
                <w:szCs w:val="18"/>
              </w:rPr>
              <w:t>实验现象</w:t>
            </w:r>
          </w:p>
        </w:tc>
        <w:tc>
          <w:tcPr>
            <w:tcW w:w="4425" w:type="dxa"/>
            <w:noWrap w:val="0"/>
            <w:vAlign w:val="top"/>
          </w:tcPr>
          <w:p>
            <w:pPr>
              <w:spacing w:line="360" w:lineRule="auto"/>
              <w:jc w:val="center"/>
              <w:rPr>
                <w:rFonts w:hAnsi="宋体"/>
                <w:sz w:val="18"/>
                <w:szCs w:val="18"/>
              </w:rPr>
            </w:pPr>
            <w:r>
              <w:rPr>
                <w:rFonts w:hint="eastAsia" w:hAnsi="宋体"/>
                <w:sz w:val="18"/>
                <w:szCs w:val="18"/>
              </w:rPr>
              <w:t>锡，锑，砷残留量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610" w:type="dxa"/>
            <w:noWrap w:val="0"/>
            <w:vAlign w:val="top"/>
          </w:tcPr>
          <w:p>
            <w:pPr>
              <w:spacing w:line="360" w:lineRule="auto"/>
              <w:jc w:val="center"/>
              <w:rPr>
                <w:sz w:val="18"/>
                <w:szCs w:val="18"/>
              </w:rPr>
            </w:pPr>
            <w:r>
              <w:rPr>
                <w:rFonts w:hint="eastAsia" w:hAnsi="宋体"/>
                <w:spacing w:val="6"/>
                <w:sz w:val="18"/>
                <w:szCs w:val="18"/>
              </w:rPr>
              <w:t>挥发一次</w:t>
            </w:r>
            <w:r>
              <w:rPr>
                <w:rFonts w:hint="eastAsia"/>
                <w:sz w:val="18"/>
                <w:szCs w:val="18"/>
              </w:rPr>
              <w:t>氢溴酸</w:t>
            </w:r>
          </w:p>
        </w:tc>
        <w:tc>
          <w:tcPr>
            <w:tcW w:w="2868" w:type="dxa"/>
            <w:noWrap w:val="0"/>
            <w:vAlign w:val="center"/>
          </w:tcPr>
          <w:p>
            <w:pPr>
              <w:spacing w:line="360" w:lineRule="auto"/>
              <w:jc w:val="center"/>
              <w:rPr>
                <w:sz w:val="18"/>
                <w:szCs w:val="18"/>
              </w:rPr>
            </w:pPr>
            <w:r>
              <w:rPr>
                <w:rFonts w:hint="eastAsia"/>
                <w:sz w:val="18"/>
                <w:szCs w:val="18"/>
              </w:rPr>
              <w:t>溶液含有大量白色沉淀，无法滴定。</w:t>
            </w:r>
          </w:p>
        </w:tc>
        <w:tc>
          <w:tcPr>
            <w:tcW w:w="4425" w:type="dxa"/>
            <w:noWrap w:val="0"/>
            <w:vAlign w:val="center"/>
          </w:tcPr>
          <w:p>
            <w:pPr>
              <w:spacing w:line="360" w:lineRule="auto"/>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610" w:type="dxa"/>
            <w:vMerge w:val="restart"/>
            <w:noWrap w:val="0"/>
            <w:vAlign w:val="top"/>
          </w:tcPr>
          <w:p>
            <w:pPr>
              <w:spacing w:line="360" w:lineRule="auto"/>
              <w:jc w:val="center"/>
              <w:rPr>
                <w:sz w:val="18"/>
                <w:szCs w:val="18"/>
              </w:rPr>
            </w:pPr>
            <w:r>
              <w:rPr>
                <w:rFonts w:hint="eastAsia" w:hAnsi="宋体"/>
                <w:spacing w:val="6"/>
                <w:sz w:val="18"/>
                <w:szCs w:val="18"/>
              </w:rPr>
              <w:t>挥发两次</w:t>
            </w:r>
            <w:r>
              <w:rPr>
                <w:rFonts w:hint="eastAsia"/>
                <w:sz w:val="18"/>
                <w:szCs w:val="18"/>
              </w:rPr>
              <w:t>氢溴酸</w:t>
            </w:r>
          </w:p>
        </w:tc>
        <w:tc>
          <w:tcPr>
            <w:tcW w:w="2868" w:type="dxa"/>
            <w:noWrap w:val="0"/>
            <w:vAlign w:val="center"/>
          </w:tcPr>
          <w:p>
            <w:pPr>
              <w:tabs>
                <w:tab w:val="left" w:pos="1905"/>
              </w:tabs>
              <w:spacing w:line="360" w:lineRule="auto"/>
              <w:rPr>
                <w:sz w:val="18"/>
                <w:szCs w:val="18"/>
              </w:rPr>
            </w:pPr>
            <w:r>
              <w:rPr>
                <w:rFonts w:hint="eastAsia"/>
                <w:sz w:val="18"/>
                <w:szCs w:val="18"/>
              </w:rPr>
              <w:t>YT90溶液澄清</w:t>
            </w:r>
          </w:p>
        </w:tc>
        <w:tc>
          <w:tcPr>
            <w:tcW w:w="4425" w:type="dxa"/>
            <w:noWrap w:val="0"/>
            <w:vAlign w:val="center"/>
          </w:tcPr>
          <w:p>
            <w:pPr>
              <w:spacing w:line="360" w:lineRule="auto"/>
              <w:rPr>
                <w:sz w:val="18"/>
                <w:szCs w:val="18"/>
              </w:rPr>
            </w:pPr>
            <w:r>
              <w:rPr>
                <w:rFonts w:hint="eastAsia"/>
                <w:sz w:val="18"/>
                <w:szCs w:val="18"/>
              </w:rPr>
              <w:t>YT90溶液残留1.86mg锡；0.52mg锑；0.02mg砷。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10" w:type="dxa"/>
            <w:vMerge w:val="continue"/>
            <w:noWrap w:val="0"/>
            <w:vAlign w:val="top"/>
          </w:tcPr>
          <w:p>
            <w:pPr>
              <w:spacing w:line="360" w:lineRule="auto"/>
              <w:jc w:val="center"/>
              <w:rPr>
                <w:rFonts w:hint="eastAsia" w:hAnsi="宋体"/>
                <w:spacing w:val="6"/>
                <w:sz w:val="18"/>
                <w:szCs w:val="18"/>
              </w:rPr>
            </w:pPr>
          </w:p>
        </w:tc>
        <w:tc>
          <w:tcPr>
            <w:tcW w:w="2868" w:type="dxa"/>
            <w:noWrap w:val="0"/>
            <w:vAlign w:val="center"/>
          </w:tcPr>
          <w:p>
            <w:pPr>
              <w:tabs>
                <w:tab w:val="left" w:pos="1905"/>
              </w:tabs>
              <w:spacing w:line="360" w:lineRule="auto"/>
              <w:rPr>
                <w:rFonts w:hint="eastAsia"/>
                <w:sz w:val="18"/>
                <w:szCs w:val="18"/>
              </w:rPr>
            </w:pPr>
            <w:r>
              <w:rPr>
                <w:rFonts w:hint="eastAsia"/>
                <w:sz w:val="18"/>
                <w:szCs w:val="18"/>
              </w:rPr>
              <w:t>YT88溶液有少许白色沉淀</w:t>
            </w:r>
          </w:p>
        </w:tc>
        <w:tc>
          <w:tcPr>
            <w:tcW w:w="4425" w:type="dxa"/>
            <w:noWrap w:val="0"/>
            <w:vAlign w:val="center"/>
          </w:tcPr>
          <w:p>
            <w:pPr>
              <w:spacing w:line="360" w:lineRule="auto"/>
              <w:rPr>
                <w:rFonts w:hint="eastAsia"/>
                <w:sz w:val="18"/>
                <w:szCs w:val="18"/>
              </w:rPr>
            </w:pPr>
            <w:r>
              <w:rPr>
                <w:rFonts w:hint="eastAsia"/>
                <w:sz w:val="18"/>
                <w:szCs w:val="18"/>
              </w:rPr>
              <w:t>YT88溶液残留3.65mg锡；0.88mg锑；0.01mg砷。</w:t>
            </w:r>
          </w:p>
          <w:p>
            <w:pPr>
              <w:spacing w:line="360" w:lineRule="auto"/>
              <w:rPr>
                <w:sz w:val="18"/>
                <w:szCs w:val="18"/>
              </w:rPr>
            </w:pPr>
            <w:r>
              <w:rPr>
                <w:rFonts w:hint="eastAsia"/>
                <w:sz w:val="18"/>
                <w:szCs w:val="18"/>
              </w:rPr>
              <w:t>白色沉淀过滤后碱熔测定含14.41mg锡；8.96mg锑。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610" w:type="dxa"/>
            <w:vMerge w:val="continue"/>
            <w:noWrap w:val="0"/>
            <w:vAlign w:val="top"/>
          </w:tcPr>
          <w:p>
            <w:pPr>
              <w:spacing w:line="360" w:lineRule="auto"/>
              <w:jc w:val="center"/>
              <w:rPr>
                <w:rFonts w:hint="eastAsia" w:hAnsi="宋体"/>
                <w:spacing w:val="6"/>
                <w:sz w:val="18"/>
                <w:szCs w:val="18"/>
              </w:rPr>
            </w:pPr>
          </w:p>
        </w:tc>
        <w:tc>
          <w:tcPr>
            <w:tcW w:w="2868" w:type="dxa"/>
            <w:noWrap w:val="0"/>
            <w:vAlign w:val="center"/>
          </w:tcPr>
          <w:p>
            <w:pPr>
              <w:tabs>
                <w:tab w:val="left" w:pos="1905"/>
              </w:tabs>
              <w:spacing w:line="360" w:lineRule="auto"/>
              <w:rPr>
                <w:rFonts w:hint="eastAsia"/>
                <w:sz w:val="18"/>
                <w:szCs w:val="18"/>
              </w:rPr>
            </w:pPr>
            <w:r>
              <w:rPr>
                <w:rFonts w:hint="eastAsia"/>
                <w:sz w:val="18"/>
                <w:szCs w:val="18"/>
              </w:rPr>
              <w:t>YT58溶液有较多白色沉淀</w:t>
            </w:r>
          </w:p>
        </w:tc>
        <w:tc>
          <w:tcPr>
            <w:tcW w:w="4425" w:type="dxa"/>
            <w:noWrap w:val="0"/>
            <w:vAlign w:val="center"/>
          </w:tcPr>
          <w:p>
            <w:pPr>
              <w:spacing w:line="360" w:lineRule="auto"/>
              <w:rPr>
                <w:rFonts w:hint="eastAsia"/>
                <w:sz w:val="18"/>
                <w:szCs w:val="18"/>
              </w:rPr>
            </w:pPr>
            <w:r>
              <w:rPr>
                <w:rFonts w:hint="eastAsia"/>
                <w:sz w:val="18"/>
                <w:szCs w:val="18"/>
              </w:rPr>
              <w:t>YT58溶液残留4.61mg锡；1.34mg锑；0.01mg砷。</w:t>
            </w:r>
          </w:p>
          <w:p>
            <w:pPr>
              <w:spacing w:line="360" w:lineRule="auto"/>
              <w:rPr>
                <w:rFonts w:hint="eastAsia"/>
                <w:sz w:val="18"/>
                <w:szCs w:val="18"/>
              </w:rPr>
            </w:pPr>
            <w:r>
              <w:rPr>
                <w:rFonts w:hint="eastAsia"/>
                <w:sz w:val="18"/>
                <w:szCs w:val="18"/>
              </w:rPr>
              <w:t>白色沉淀过滤后碱熔测定含51.42mg锡；38.56mg锑。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610" w:type="dxa"/>
            <w:vMerge w:val="restart"/>
            <w:noWrap w:val="0"/>
            <w:vAlign w:val="top"/>
          </w:tcPr>
          <w:p>
            <w:pPr>
              <w:spacing w:line="360" w:lineRule="auto"/>
              <w:jc w:val="center"/>
              <w:rPr>
                <w:sz w:val="18"/>
                <w:szCs w:val="18"/>
              </w:rPr>
            </w:pPr>
            <w:r>
              <w:rPr>
                <w:rFonts w:hint="eastAsia" w:hAnsi="宋体"/>
                <w:spacing w:val="6"/>
                <w:sz w:val="18"/>
                <w:szCs w:val="18"/>
              </w:rPr>
              <w:t>挥发三次氢溴酸</w:t>
            </w:r>
          </w:p>
        </w:tc>
        <w:tc>
          <w:tcPr>
            <w:tcW w:w="2868" w:type="dxa"/>
            <w:vMerge w:val="restart"/>
            <w:noWrap w:val="0"/>
            <w:vAlign w:val="center"/>
          </w:tcPr>
          <w:p>
            <w:pPr>
              <w:spacing w:line="360" w:lineRule="auto"/>
              <w:rPr>
                <w:sz w:val="18"/>
                <w:szCs w:val="18"/>
              </w:rPr>
            </w:pPr>
            <w:r>
              <w:rPr>
                <w:rFonts w:hint="eastAsia"/>
                <w:sz w:val="18"/>
                <w:szCs w:val="18"/>
              </w:rPr>
              <w:t>溶液均澄清无沉淀</w:t>
            </w:r>
          </w:p>
        </w:tc>
        <w:tc>
          <w:tcPr>
            <w:tcW w:w="4425" w:type="dxa"/>
            <w:noWrap w:val="0"/>
            <w:vAlign w:val="center"/>
          </w:tcPr>
          <w:p>
            <w:pPr>
              <w:spacing w:line="360" w:lineRule="auto"/>
              <w:rPr>
                <w:rFonts w:hint="eastAsia"/>
                <w:sz w:val="18"/>
                <w:szCs w:val="18"/>
              </w:rPr>
            </w:pPr>
            <w:r>
              <w:rPr>
                <w:rFonts w:hint="eastAsia"/>
                <w:sz w:val="18"/>
                <w:szCs w:val="18"/>
              </w:rPr>
              <w:t>YT90溶液残留0.03mg锡；0.09mg锑；0mg砷。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610" w:type="dxa"/>
            <w:vMerge w:val="continue"/>
            <w:noWrap w:val="0"/>
            <w:vAlign w:val="top"/>
          </w:tcPr>
          <w:p>
            <w:pPr>
              <w:spacing w:line="360" w:lineRule="auto"/>
              <w:jc w:val="center"/>
              <w:rPr>
                <w:rFonts w:hint="eastAsia" w:hAnsi="宋体"/>
                <w:spacing w:val="6"/>
                <w:sz w:val="18"/>
                <w:szCs w:val="18"/>
              </w:rPr>
            </w:pPr>
          </w:p>
        </w:tc>
        <w:tc>
          <w:tcPr>
            <w:tcW w:w="2868" w:type="dxa"/>
            <w:vMerge w:val="continue"/>
            <w:noWrap w:val="0"/>
            <w:vAlign w:val="center"/>
          </w:tcPr>
          <w:p>
            <w:pPr>
              <w:spacing w:line="360" w:lineRule="auto"/>
              <w:jc w:val="center"/>
              <w:rPr>
                <w:rFonts w:hint="eastAsia"/>
                <w:sz w:val="18"/>
                <w:szCs w:val="18"/>
              </w:rPr>
            </w:pPr>
          </w:p>
        </w:tc>
        <w:tc>
          <w:tcPr>
            <w:tcW w:w="4425" w:type="dxa"/>
            <w:noWrap w:val="0"/>
            <w:vAlign w:val="center"/>
          </w:tcPr>
          <w:p>
            <w:pPr>
              <w:spacing w:line="360" w:lineRule="auto"/>
              <w:rPr>
                <w:rFonts w:hint="eastAsia"/>
                <w:sz w:val="18"/>
                <w:szCs w:val="18"/>
              </w:rPr>
            </w:pPr>
            <w:r>
              <w:rPr>
                <w:rFonts w:hint="eastAsia"/>
                <w:sz w:val="18"/>
                <w:szCs w:val="18"/>
              </w:rPr>
              <w:t>YT88溶液残留0.02mg锡；0.08mg锑；0mg砷。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0" w:type="dxa"/>
            <w:vMerge w:val="continue"/>
            <w:noWrap w:val="0"/>
            <w:vAlign w:val="top"/>
          </w:tcPr>
          <w:p>
            <w:pPr>
              <w:spacing w:line="360" w:lineRule="auto"/>
              <w:jc w:val="center"/>
              <w:rPr>
                <w:rFonts w:hint="eastAsia" w:hAnsi="宋体"/>
                <w:spacing w:val="6"/>
                <w:sz w:val="18"/>
                <w:szCs w:val="18"/>
              </w:rPr>
            </w:pPr>
          </w:p>
        </w:tc>
        <w:tc>
          <w:tcPr>
            <w:tcW w:w="2868" w:type="dxa"/>
            <w:vMerge w:val="continue"/>
            <w:noWrap w:val="0"/>
            <w:vAlign w:val="center"/>
          </w:tcPr>
          <w:p>
            <w:pPr>
              <w:spacing w:line="360" w:lineRule="auto"/>
              <w:jc w:val="center"/>
              <w:rPr>
                <w:rFonts w:hint="eastAsia"/>
                <w:sz w:val="18"/>
                <w:szCs w:val="18"/>
              </w:rPr>
            </w:pPr>
          </w:p>
        </w:tc>
        <w:tc>
          <w:tcPr>
            <w:tcW w:w="4425" w:type="dxa"/>
            <w:noWrap w:val="0"/>
            <w:vAlign w:val="center"/>
          </w:tcPr>
          <w:p>
            <w:pPr>
              <w:spacing w:line="360" w:lineRule="auto"/>
              <w:rPr>
                <w:rFonts w:hint="eastAsia"/>
                <w:sz w:val="18"/>
                <w:szCs w:val="18"/>
              </w:rPr>
            </w:pPr>
            <w:r>
              <w:rPr>
                <w:rFonts w:hint="eastAsia"/>
                <w:sz w:val="18"/>
                <w:szCs w:val="18"/>
              </w:rPr>
              <w:t>YT58溶液残留0.03mg锡；0.08mg锑；0mg砷。</w:t>
            </w:r>
          </w:p>
        </w:tc>
      </w:tr>
    </w:tbl>
    <w:p>
      <w:pPr>
        <w:spacing w:line="360" w:lineRule="auto"/>
        <w:ind w:firstLine="420"/>
        <w:rPr>
          <w:rFonts w:hint="eastAsia"/>
          <w:szCs w:val="21"/>
        </w:rPr>
      </w:pPr>
      <w:r>
        <w:rPr>
          <w:rFonts w:hint="eastAsia"/>
          <w:szCs w:val="21"/>
        </w:rPr>
        <w:t>试验表明：</w:t>
      </w:r>
      <w:r>
        <w:rPr>
          <w:rFonts w:hint="eastAsia" w:hAnsi="宋体"/>
          <w:spacing w:val="6"/>
        </w:rPr>
        <w:t>挥发一次</w:t>
      </w:r>
      <w:r>
        <w:rPr>
          <w:rFonts w:hint="eastAsia"/>
          <w:szCs w:val="21"/>
        </w:rPr>
        <w:t>氢溴酸</w:t>
      </w:r>
      <w:r>
        <w:rPr>
          <w:rFonts w:hint="eastAsia" w:hAnsi="宋体"/>
          <w:spacing w:val="6"/>
        </w:rPr>
        <w:t>，还残留大量锡、锑，无法滴定</w:t>
      </w:r>
      <w:r>
        <w:rPr>
          <w:rFonts w:hint="eastAsia"/>
          <w:szCs w:val="21"/>
        </w:rPr>
        <w:t>；</w:t>
      </w:r>
      <w:r>
        <w:rPr>
          <w:rFonts w:hint="eastAsia" w:hAnsi="宋体"/>
          <w:spacing w:val="6"/>
        </w:rPr>
        <w:t>挥发两次</w:t>
      </w:r>
      <w:r>
        <w:rPr>
          <w:rFonts w:hint="eastAsia"/>
          <w:szCs w:val="21"/>
        </w:rPr>
        <w:t>氢溴酸，部分样品仍然残留较高的锡、锑；</w:t>
      </w:r>
      <w:r>
        <w:rPr>
          <w:rFonts w:hint="eastAsia" w:hAnsi="宋体"/>
          <w:spacing w:val="6"/>
        </w:rPr>
        <w:t>挥发三次</w:t>
      </w:r>
      <w:r>
        <w:rPr>
          <w:rFonts w:hint="eastAsia"/>
          <w:szCs w:val="21"/>
        </w:rPr>
        <w:t>氢溴酸，锡、锑基本上可以除完全。因此样品处理需要挥发三次氢溴酸。</w:t>
      </w:r>
    </w:p>
    <w:p>
      <w:pPr>
        <w:pStyle w:val="5"/>
        <w:bidi w:val="0"/>
      </w:pPr>
      <w:r>
        <w:t>2.</w:t>
      </w:r>
      <w:r>
        <w:rPr>
          <w:rFonts w:hint="eastAsia"/>
        </w:rPr>
        <w:t>3</w:t>
      </w:r>
      <w:r>
        <w:t xml:space="preserve">  </w:t>
      </w:r>
      <w:r>
        <w:rPr>
          <w:rFonts w:hint="eastAsia"/>
        </w:rPr>
        <w:t>共存元素的干扰</w:t>
      </w:r>
    </w:p>
    <w:p>
      <w:pPr>
        <w:pStyle w:val="5"/>
        <w:bidi w:val="0"/>
        <w:rPr>
          <w:rFonts w:hint="eastAsia"/>
        </w:rPr>
      </w:pPr>
      <w:r>
        <w:t>2.3.</w:t>
      </w:r>
      <w:r>
        <w:rPr>
          <w:rFonts w:hint="eastAsia"/>
        </w:rPr>
        <w:t>1</w:t>
      </w:r>
      <w:r>
        <w:t xml:space="preserve"> </w:t>
      </w:r>
      <w:r>
        <w:rPr>
          <w:rFonts w:hint="eastAsia"/>
        </w:rPr>
        <w:t>单元素的影响</w:t>
      </w:r>
    </w:p>
    <w:p>
      <w:pPr>
        <w:snapToGrid w:val="0"/>
        <w:spacing w:line="360" w:lineRule="auto"/>
        <w:ind w:firstLine="420" w:firstLineChars="200"/>
        <w:rPr>
          <w:rFonts w:hAnsi="宋体"/>
          <w:szCs w:val="21"/>
        </w:rPr>
      </w:pPr>
      <w:r>
        <w:rPr>
          <w:rFonts w:hint="eastAsia" w:hAnsi="宋体"/>
          <w:szCs w:val="21"/>
        </w:rPr>
        <w:t>粗锡中的锡、锑、砷在溶样过程中绝大部分已挥发除去。滴定时，铜通过硫脲掩蔽，铁采用抗坏血酸还原，残留锑通过酒石酸络合，按分析步骤</w:t>
      </w:r>
      <w:r>
        <w:rPr>
          <w:rFonts w:hAnsi="宋体"/>
          <w:szCs w:val="21"/>
        </w:rPr>
        <w:t>进行了共存元素对</w:t>
      </w:r>
      <w:r>
        <w:rPr>
          <w:rFonts w:hint="eastAsia" w:hAnsi="宋体"/>
          <w:szCs w:val="21"/>
        </w:rPr>
        <w:t>10.00mg铋、</w:t>
      </w:r>
      <w:r>
        <w:rPr>
          <w:rFonts w:hint="eastAsia"/>
          <w:szCs w:val="21"/>
        </w:rPr>
        <w:t>25.00</w:t>
      </w:r>
      <w:r>
        <w:rPr>
          <w:szCs w:val="21"/>
        </w:rPr>
        <w:t>mg</w:t>
      </w:r>
      <w:r>
        <w:rPr>
          <w:rFonts w:hint="eastAsia" w:hAnsi="宋体"/>
          <w:szCs w:val="21"/>
        </w:rPr>
        <w:t>铋</w:t>
      </w:r>
      <w:r>
        <w:rPr>
          <w:rFonts w:hAnsi="宋体"/>
          <w:szCs w:val="21"/>
        </w:rPr>
        <w:t>测定的影响</w:t>
      </w:r>
      <w:r>
        <w:rPr>
          <w:rFonts w:hint="eastAsia" w:hAnsi="宋体"/>
          <w:szCs w:val="21"/>
        </w:rPr>
        <w:t>实验</w:t>
      </w:r>
      <w:r>
        <w:rPr>
          <w:rFonts w:hAnsi="宋体"/>
          <w:szCs w:val="21"/>
        </w:rPr>
        <w:t>，结果见表</w:t>
      </w:r>
      <w:r>
        <w:rPr>
          <w:rFonts w:hint="eastAsia"/>
          <w:szCs w:val="21"/>
          <w:lang w:val="en-US" w:eastAsia="zh-CN"/>
        </w:rPr>
        <w:t>26</w:t>
      </w:r>
      <w:r>
        <w:rPr>
          <w:rFonts w:hAnsi="宋体"/>
          <w:szCs w:val="21"/>
        </w:rPr>
        <w:t>。</w:t>
      </w:r>
    </w:p>
    <w:p>
      <w:pPr>
        <w:snapToGrid w:val="0"/>
        <w:spacing w:line="360" w:lineRule="auto"/>
        <w:ind w:firstLine="420" w:firstLineChars="200"/>
        <w:jc w:val="center"/>
        <w:rPr>
          <w:szCs w:val="21"/>
        </w:rPr>
      </w:pPr>
      <w:r>
        <w:rPr>
          <w:rFonts w:hAnsi="宋体"/>
          <w:szCs w:val="21"/>
        </w:rPr>
        <w:t>表</w:t>
      </w:r>
      <w:r>
        <w:rPr>
          <w:rFonts w:hint="eastAsia"/>
          <w:szCs w:val="21"/>
          <w:lang w:val="en-US" w:eastAsia="zh-CN"/>
        </w:rPr>
        <w:t>26</w:t>
      </w:r>
      <w:r>
        <w:rPr>
          <w:rFonts w:hAnsi="宋体"/>
          <w:szCs w:val="21"/>
        </w:rPr>
        <w:t>共存单元素对</w:t>
      </w:r>
      <w:r>
        <w:rPr>
          <w:rFonts w:hint="eastAsia" w:hAnsi="宋体"/>
          <w:szCs w:val="21"/>
        </w:rPr>
        <w:t>铋</w:t>
      </w:r>
      <w:r>
        <w:rPr>
          <w:rFonts w:hAnsi="宋体"/>
          <w:szCs w:val="21"/>
        </w:rPr>
        <w:t>测定的影响</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400"/>
        <w:gridCol w:w="203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756" w:type="dxa"/>
            <w:gridSpan w:val="2"/>
            <w:noWrap w:val="0"/>
            <w:vAlign w:val="center"/>
          </w:tcPr>
          <w:p>
            <w:pPr>
              <w:snapToGrid w:val="0"/>
              <w:spacing w:line="360" w:lineRule="auto"/>
              <w:ind w:firstLine="210"/>
              <w:jc w:val="center"/>
              <w:rPr>
                <w:sz w:val="18"/>
                <w:szCs w:val="18"/>
              </w:rPr>
            </w:pPr>
            <w:r>
              <w:rPr>
                <w:rFonts w:hAnsi="宋体"/>
                <w:sz w:val="18"/>
                <w:szCs w:val="18"/>
              </w:rPr>
              <w:t>共存元素</w:t>
            </w:r>
            <w:r>
              <w:rPr>
                <w:rFonts w:hint="eastAsia" w:hAnsi="宋体"/>
                <w:sz w:val="18"/>
                <w:szCs w:val="18"/>
              </w:rPr>
              <w:t>及</w:t>
            </w:r>
            <w:r>
              <w:rPr>
                <w:rFonts w:hAnsi="宋体"/>
                <w:sz w:val="18"/>
                <w:szCs w:val="18"/>
              </w:rPr>
              <w:t>加入量</w:t>
            </w:r>
          </w:p>
        </w:tc>
        <w:tc>
          <w:tcPr>
            <w:tcW w:w="4075" w:type="dxa"/>
            <w:gridSpan w:val="2"/>
            <w:noWrap w:val="0"/>
            <w:vAlign w:val="center"/>
          </w:tcPr>
          <w:p>
            <w:pPr>
              <w:snapToGrid w:val="0"/>
              <w:spacing w:line="360" w:lineRule="auto"/>
              <w:jc w:val="center"/>
              <w:rPr>
                <w:rFonts w:hint="eastAsia" w:hAnsi="宋体"/>
                <w:sz w:val="18"/>
                <w:szCs w:val="18"/>
              </w:rPr>
            </w:pPr>
            <w:r>
              <w:rPr>
                <w:rFonts w:hint="eastAsia" w:hAnsi="宋体"/>
                <w:sz w:val="18"/>
                <w:szCs w:val="18"/>
              </w:rPr>
              <w:t>铋</w:t>
            </w:r>
            <w:r>
              <w:rPr>
                <w:rFonts w:hAnsi="宋体"/>
                <w:sz w:val="18"/>
                <w:szCs w:val="18"/>
              </w:rPr>
              <w:t>测定量</w:t>
            </w:r>
            <w:r>
              <w:rPr>
                <w:rFonts w:hint="eastAsia" w:hAnsi="宋体"/>
                <w:sz w:val="18"/>
                <w:szCs w:val="18"/>
              </w:rPr>
              <w:t>/</w:t>
            </w:r>
            <w:r>
              <w:rPr>
                <w:sz w:val="18"/>
                <w:szCs w:val="18"/>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356" w:type="dxa"/>
            <w:noWrap w:val="0"/>
            <w:vAlign w:val="center"/>
          </w:tcPr>
          <w:p>
            <w:pPr>
              <w:spacing w:line="360" w:lineRule="auto"/>
              <w:jc w:val="center"/>
              <w:rPr>
                <w:rFonts w:hint="eastAsia"/>
                <w:sz w:val="18"/>
                <w:szCs w:val="18"/>
              </w:rPr>
            </w:pPr>
            <w:r>
              <w:rPr>
                <w:rFonts w:hAnsi="宋体"/>
                <w:sz w:val="18"/>
                <w:szCs w:val="18"/>
              </w:rPr>
              <w:t>共存元素</w:t>
            </w:r>
          </w:p>
        </w:tc>
        <w:tc>
          <w:tcPr>
            <w:tcW w:w="2400" w:type="dxa"/>
            <w:noWrap w:val="0"/>
            <w:vAlign w:val="top"/>
          </w:tcPr>
          <w:p>
            <w:pPr>
              <w:spacing w:line="360" w:lineRule="auto"/>
              <w:jc w:val="center"/>
              <w:rPr>
                <w:rFonts w:hint="eastAsia"/>
                <w:sz w:val="18"/>
                <w:szCs w:val="18"/>
              </w:rPr>
            </w:pPr>
            <w:r>
              <w:rPr>
                <w:rFonts w:hAnsi="宋体"/>
                <w:sz w:val="18"/>
                <w:szCs w:val="18"/>
              </w:rPr>
              <w:t>加入量</w:t>
            </w:r>
            <w:r>
              <w:rPr>
                <w:rFonts w:hint="eastAsia" w:hAnsi="宋体"/>
                <w:sz w:val="18"/>
                <w:szCs w:val="18"/>
              </w:rPr>
              <w:t>/</w:t>
            </w:r>
            <w:r>
              <w:rPr>
                <w:sz w:val="18"/>
                <w:szCs w:val="18"/>
              </w:rPr>
              <w:t>mg</w:t>
            </w:r>
          </w:p>
        </w:tc>
        <w:tc>
          <w:tcPr>
            <w:tcW w:w="2037" w:type="dxa"/>
            <w:noWrap w:val="0"/>
            <w:vAlign w:val="top"/>
          </w:tcPr>
          <w:p>
            <w:pPr>
              <w:spacing w:line="360" w:lineRule="auto"/>
              <w:jc w:val="center"/>
              <w:rPr>
                <w:rFonts w:hint="eastAsia"/>
                <w:sz w:val="18"/>
                <w:szCs w:val="18"/>
              </w:rPr>
            </w:pPr>
            <w:r>
              <w:rPr>
                <w:rFonts w:hint="eastAsia"/>
                <w:sz w:val="18"/>
                <w:szCs w:val="18"/>
              </w:rPr>
              <w:t>加入10.00</w:t>
            </w:r>
            <w:r>
              <w:rPr>
                <w:sz w:val="18"/>
                <w:szCs w:val="18"/>
              </w:rPr>
              <w:t>mg</w:t>
            </w:r>
            <w:r>
              <w:rPr>
                <w:rFonts w:hint="eastAsia"/>
                <w:sz w:val="18"/>
                <w:szCs w:val="18"/>
              </w:rPr>
              <w:t>铋</w:t>
            </w:r>
          </w:p>
        </w:tc>
        <w:tc>
          <w:tcPr>
            <w:tcW w:w="2038" w:type="dxa"/>
            <w:noWrap w:val="0"/>
            <w:vAlign w:val="top"/>
          </w:tcPr>
          <w:p>
            <w:pPr>
              <w:spacing w:line="360" w:lineRule="auto"/>
              <w:jc w:val="center"/>
              <w:rPr>
                <w:sz w:val="18"/>
                <w:szCs w:val="18"/>
              </w:rPr>
            </w:pPr>
            <w:r>
              <w:rPr>
                <w:rFonts w:hint="eastAsia"/>
                <w:sz w:val="18"/>
                <w:szCs w:val="18"/>
              </w:rPr>
              <w:t>加入25.00</w:t>
            </w:r>
            <w:r>
              <w:rPr>
                <w:sz w:val="18"/>
                <w:szCs w:val="18"/>
              </w:rPr>
              <w:t>mg</w:t>
            </w:r>
            <w:r>
              <w:rPr>
                <w:rFonts w:hint="eastAsia"/>
                <w:sz w:val="18"/>
                <w:szCs w:val="18"/>
              </w:rPr>
              <w:t>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Sn</w:t>
            </w:r>
          </w:p>
        </w:tc>
        <w:tc>
          <w:tcPr>
            <w:tcW w:w="2400" w:type="dxa"/>
            <w:noWrap w:val="0"/>
            <w:vAlign w:val="top"/>
          </w:tcPr>
          <w:p>
            <w:pPr>
              <w:spacing w:line="360" w:lineRule="auto"/>
              <w:jc w:val="center"/>
              <w:rPr>
                <w:sz w:val="18"/>
                <w:szCs w:val="18"/>
              </w:rPr>
            </w:pPr>
            <w:r>
              <w:rPr>
                <w:rFonts w:hint="eastAsia"/>
                <w:sz w:val="18"/>
                <w:szCs w:val="18"/>
              </w:rPr>
              <w:t>5</w:t>
            </w:r>
          </w:p>
        </w:tc>
        <w:tc>
          <w:tcPr>
            <w:tcW w:w="2037" w:type="dxa"/>
            <w:noWrap w:val="0"/>
            <w:vAlign w:val="top"/>
          </w:tcPr>
          <w:p>
            <w:pPr>
              <w:spacing w:line="360" w:lineRule="auto"/>
              <w:jc w:val="center"/>
              <w:rPr>
                <w:sz w:val="18"/>
                <w:szCs w:val="18"/>
              </w:rPr>
            </w:pPr>
            <w:r>
              <w:rPr>
                <w:rFonts w:hint="eastAsia"/>
                <w:sz w:val="18"/>
                <w:szCs w:val="18"/>
              </w:rPr>
              <w:t>9.98</w:t>
            </w:r>
          </w:p>
        </w:tc>
        <w:tc>
          <w:tcPr>
            <w:tcW w:w="2038" w:type="dxa"/>
            <w:noWrap w:val="0"/>
            <w:vAlign w:val="top"/>
          </w:tcPr>
          <w:p>
            <w:pPr>
              <w:spacing w:line="360" w:lineRule="auto"/>
              <w:jc w:val="center"/>
              <w:rPr>
                <w:sz w:val="18"/>
                <w:szCs w:val="18"/>
              </w:rPr>
            </w:pPr>
            <w:r>
              <w:rPr>
                <w:rFonts w:hint="eastAsia"/>
                <w:sz w:val="18"/>
                <w:szCs w:val="18"/>
              </w:rP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sz w:val="18"/>
                <w:szCs w:val="18"/>
              </w:rPr>
            </w:pPr>
            <w:r>
              <w:rPr>
                <w:rFonts w:hint="eastAsia" w:eastAsia="楷体"/>
                <w:kern w:val="0"/>
                <w:sz w:val="18"/>
                <w:szCs w:val="18"/>
              </w:rPr>
              <w:t>Pb</w:t>
            </w:r>
          </w:p>
        </w:tc>
        <w:tc>
          <w:tcPr>
            <w:tcW w:w="2400" w:type="dxa"/>
            <w:noWrap w:val="0"/>
            <w:vAlign w:val="top"/>
          </w:tcPr>
          <w:p>
            <w:pPr>
              <w:spacing w:line="360" w:lineRule="auto"/>
              <w:jc w:val="center"/>
              <w:rPr>
                <w:sz w:val="18"/>
                <w:szCs w:val="18"/>
              </w:rPr>
            </w:pPr>
            <w:r>
              <w:rPr>
                <w:rFonts w:hint="eastAsia"/>
                <w:sz w:val="18"/>
                <w:szCs w:val="18"/>
              </w:rPr>
              <w:t>100</w:t>
            </w:r>
          </w:p>
        </w:tc>
        <w:tc>
          <w:tcPr>
            <w:tcW w:w="2037" w:type="dxa"/>
            <w:noWrap w:val="0"/>
            <w:vAlign w:val="top"/>
          </w:tcPr>
          <w:p>
            <w:pPr>
              <w:spacing w:line="360" w:lineRule="auto"/>
              <w:jc w:val="center"/>
              <w:rPr>
                <w:sz w:val="18"/>
                <w:szCs w:val="18"/>
              </w:rPr>
            </w:pPr>
            <w:r>
              <w:rPr>
                <w:rFonts w:hint="eastAsia"/>
                <w:sz w:val="18"/>
                <w:szCs w:val="18"/>
              </w:rPr>
              <w:t>9.97</w:t>
            </w:r>
          </w:p>
        </w:tc>
        <w:tc>
          <w:tcPr>
            <w:tcW w:w="2038" w:type="dxa"/>
            <w:noWrap w:val="0"/>
            <w:vAlign w:val="top"/>
          </w:tcPr>
          <w:p>
            <w:pPr>
              <w:spacing w:line="360" w:lineRule="auto"/>
              <w:jc w:val="center"/>
              <w:rPr>
                <w:sz w:val="18"/>
                <w:szCs w:val="18"/>
              </w:rPr>
            </w:pPr>
            <w:r>
              <w:rPr>
                <w:rFonts w:hint="eastAsia"/>
                <w:sz w:val="18"/>
                <w:szCs w:val="18"/>
              </w:rPr>
              <w:t>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sz w:val="18"/>
                <w:szCs w:val="18"/>
              </w:rPr>
            </w:pPr>
            <w:r>
              <w:rPr>
                <w:rFonts w:hint="eastAsia" w:eastAsia="楷体"/>
                <w:kern w:val="0"/>
                <w:sz w:val="18"/>
                <w:szCs w:val="18"/>
              </w:rPr>
              <w:t>Cu</w:t>
            </w:r>
          </w:p>
        </w:tc>
        <w:tc>
          <w:tcPr>
            <w:tcW w:w="2400" w:type="dxa"/>
            <w:noWrap w:val="0"/>
            <w:vAlign w:val="top"/>
          </w:tcPr>
          <w:p>
            <w:pPr>
              <w:spacing w:line="360" w:lineRule="auto"/>
              <w:jc w:val="center"/>
              <w:rPr>
                <w:sz w:val="18"/>
                <w:szCs w:val="18"/>
              </w:rPr>
            </w:pPr>
            <w:r>
              <w:rPr>
                <w:rFonts w:hint="eastAsia"/>
                <w:sz w:val="18"/>
                <w:szCs w:val="18"/>
              </w:rPr>
              <w:t>10</w:t>
            </w:r>
          </w:p>
        </w:tc>
        <w:tc>
          <w:tcPr>
            <w:tcW w:w="2037" w:type="dxa"/>
            <w:noWrap w:val="0"/>
            <w:vAlign w:val="top"/>
          </w:tcPr>
          <w:p>
            <w:pPr>
              <w:spacing w:line="360" w:lineRule="auto"/>
              <w:jc w:val="center"/>
              <w:rPr>
                <w:sz w:val="18"/>
                <w:szCs w:val="18"/>
              </w:rPr>
            </w:pPr>
            <w:r>
              <w:rPr>
                <w:rFonts w:hint="eastAsia"/>
                <w:sz w:val="18"/>
                <w:szCs w:val="18"/>
              </w:rPr>
              <w:t>10.01</w:t>
            </w:r>
          </w:p>
        </w:tc>
        <w:tc>
          <w:tcPr>
            <w:tcW w:w="2038" w:type="dxa"/>
            <w:noWrap w:val="0"/>
            <w:vAlign w:val="top"/>
          </w:tcPr>
          <w:p>
            <w:pPr>
              <w:spacing w:line="360" w:lineRule="auto"/>
              <w:jc w:val="center"/>
              <w:rPr>
                <w:sz w:val="18"/>
                <w:szCs w:val="18"/>
              </w:rPr>
            </w:pPr>
            <w:r>
              <w:rPr>
                <w:rFonts w:hint="eastAsia"/>
                <w:sz w:val="18"/>
                <w:szCs w:val="18"/>
              </w:rPr>
              <w:t>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sz w:val="18"/>
                <w:szCs w:val="18"/>
              </w:rPr>
            </w:pPr>
            <w:r>
              <w:rPr>
                <w:rFonts w:hint="eastAsia" w:eastAsia="楷体"/>
                <w:kern w:val="0"/>
                <w:sz w:val="18"/>
                <w:szCs w:val="18"/>
              </w:rPr>
              <w:t>Sb</w:t>
            </w:r>
          </w:p>
        </w:tc>
        <w:tc>
          <w:tcPr>
            <w:tcW w:w="2400" w:type="dxa"/>
            <w:noWrap w:val="0"/>
            <w:vAlign w:val="top"/>
          </w:tcPr>
          <w:p>
            <w:pPr>
              <w:spacing w:line="360" w:lineRule="auto"/>
              <w:jc w:val="center"/>
              <w:rPr>
                <w:sz w:val="18"/>
                <w:szCs w:val="18"/>
              </w:rPr>
            </w:pPr>
            <w:r>
              <w:rPr>
                <w:rFonts w:hint="eastAsia"/>
                <w:sz w:val="18"/>
                <w:szCs w:val="18"/>
              </w:rPr>
              <w:t>5</w:t>
            </w:r>
          </w:p>
        </w:tc>
        <w:tc>
          <w:tcPr>
            <w:tcW w:w="2037" w:type="dxa"/>
            <w:noWrap w:val="0"/>
            <w:vAlign w:val="top"/>
          </w:tcPr>
          <w:p>
            <w:pPr>
              <w:spacing w:line="360" w:lineRule="auto"/>
              <w:jc w:val="center"/>
              <w:rPr>
                <w:sz w:val="18"/>
                <w:szCs w:val="18"/>
              </w:rPr>
            </w:pPr>
            <w:r>
              <w:rPr>
                <w:rFonts w:hint="eastAsia"/>
                <w:sz w:val="18"/>
                <w:szCs w:val="18"/>
              </w:rPr>
              <w:t>10.01</w:t>
            </w:r>
          </w:p>
        </w:tc>
        <w:tc>
          <w:tcPr>
            <w:tcW w:w="2038" w:type="dxa"/>
            <w:noWrap w:val="0"/>
            <w:vAlign w:val="top"/>
          </w:tcPr>
          <w:p>
            <w:pPr>
              <w:spacing w:line="360" w:lineRule="auto"/>
              <w:jc w:val="center"/>
              <w:rPr>
                <w:sz w:val="18"/>
                <w:szCs w:val="18"/>
              </w:rPr>
            </w:pPr>
            <w:r>
              <w:rPr>
                <w:rFonts w:hint="eastAsia"/>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sz w:val="18"/>
                <w:szCs w:val="18"/>
              </w:rPr>
            </w:pPr>
            <w:r>
              <w:rPr>
                <w:rFonts w:hint="eastAsia" w:eastAsia="楷体"/>
                <w:kern w:val="0"/>
                <w:sz w:val="18"/>
                <w:szCs w:val="18"/>
              </w:rPr>
              <w:t>Fe</w:t>
            </w:r>
          </w:p>
        </w:tc>
        <w:tc>
          <w:tcPr>
            <w:tcW w:w="2400" w:type="dxa"/>
            <w:noWrap w:val="0"/>
            <w:vAlign w:val="top"/>
          </w:tcPr>
          <w:p>
            <w:pPr>
              <w:spacing w:line="360" w:lineRule="auto"/>
              <w:jc w:val="center"/>
              <w:rPr>
                <w:sz w:val="18"/>
                <w:szCs w:val="18"/>
              </w:rPr>
            </w:pPr>
            <w:r>
              <w:rPr>
                <w:rFonts w:hint="eastAsia"/>
                <w:sz w:val="18"/>
                <w:szCs w:val="18"/>
              </w:rPr>
              <w:t>15</w:t>
            </w:r>
          </w:p>
        </w:tc>
        <w:tc>
          <w:tcPr>
            <w:tcW w:w="2037" w:type="dxa"/>
            <w:noWrap w:val="0"/>
            <w:vAlign w:val="top"/>
          </w:tcPr>
          <w:p>
            <w:pPr>
              <w:spacing w:line="360" w:lineRule="auto"/>
              <w:jc w:val="center"/>
              <w:rPr>
                <w:sz w:val="18"/>
                <w:szCs w:val="18"/>
              </w:rPr>
            </w:pPr>
            <w:r>
              <w:rPr>
                <w:rFonts w:hint="eastAsia"/>
                <w:sz w:val="18"/>
                <w:szCs w:val="18"/>
              </w:rPr>
              <w:t>10.02</w:t>
            </w:r>
          </w:p>
        </w:tc>
        <w:tc>
          <w:tcPr>
            <w:tcW w:w="2038" w:type="dxa"/>
            <w:noWrap w:val="0"/>
            <w:vAlign w:val="top"/>
          </w:tcPr>
          <w:p>
            <w:pPr>
              <w:spacing w:line="360" w:lineRule="auto"/>
              <w:jc w:val="center"/>
              <w:rPr>
                <w:sz w:val="18"/>
                <w:szCs w:val="18"/>
              </w:rPr>
            </w:pPr>
            <w:r>
              <w:rPr>
                <w:rFonts w:hint="eastAsia"/>
                <w:sz w:val="18"/>
                <w:szCs w:val="18"/>
              </w:rPr>
              <w:t>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As</w:t>
            </w:r>
          </w:p>
        </w:tc>
        <w:tc>
          <w:tcPr>
            <w:tcW w:w="2400" w:type="dxa"/>
            <w:noWrap w:val="0"/>
            <w:vAlign w:val="top"/>
          </w:tcPr>
          <w:p>
            <w:pPr>
              <w:spacing w:line="360" w:lineRule="auto"/>
              <w:jc w:val="center"/>
              <w:rPr>
                <w:rFonts w:hint="eastAsia"/>
                <w:sz w:val="18"/>
                <w:szCs w:val="18"/>
              </w:rPr>
            </w:pPr>
            <w:r>
              <w:rPr>
                <w:rFonts w:hint="eastAsia"/>
                <w:sz w:val="18"/>
                <w:szCs w:val="18"/>
              </w:rPr>
              <w:t>5</w:t>
            </w:r>
          </w:p>
        </w:tc>
        <w:tc>
          <w:tcPr>
            <w:tcW w:w="2037" w:type="dxa"/>
            <w:noWrap w:val="0"/>
            <w:vAlign w:val="top"/>
          </w:tcPr>
          <w:p>
            <w:pPr>
              <w:spacing w:line="360" w:lineRule="auto"/>
              <w:jc w:val="center"/>
              <w:rPr>
                <w:sz w:val="18"/>
                <w:szCs w:val="18"/>
              </w:rPr>
            </w:pPr>
            <w:r>
              <w:rPr>
                <w:rFonts w:hint="eastAsia"/>
                <w:sz w:val="18"/>
                <w:szCs w:val="18"/>
              </w:rPr>
              <w:t>10.00</w:t>
            </w:r>
          </w:p>
        </w:tc>
        <w:tc>
          <w:tcPr>
            <w:tcW w:w="2038" w:type="dxa"/>
            <w:noWrap w:val="0"/>
            <w:vAlign w:val="top"/>
          </w:tcPr>
          <w:p>
            <w:pPr>
              <w:spacing w:line="360" w:lineRule="auto"/>
              <w:jc w:val="center"/>
              <w:rPr>
                <w:sz w:val="18"/>
                <w:szCs w:val="18"/>
              </w:rPr>
            </w:pPr>
            <w:r>
              <w:rPr>
                <w:rFonts w:hint="eastAsia"/>
                <w:sz w:val="18"/>
                <w:szCs w:val="18"/>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Ag</w:t>
            </w:r>
          </w:p>
        </w:tc>
        <w:tc>
          <w:tcPr>
            <w:tcW w:w="2400" w:type="dxa"/>
            <w:noWrap w:val="0"/>
            <w:vAlign w:val="top"/>
          </w:tcPr>
          <w:p>
            <w:pPr>
              <w:spacing w:line="360" w:lineRule="auto"/>
              <w:jc w:val="center"/>
              <w:rPr>
                <w:rFonts w:hint="eastAsia"/>
                <w:sz w:val="18"/>
                <w:szCs w:val="18"/>
              </w:rPr>
            </w:pPr>
            <w:r>
              <w:rPr>
                <w:rFonts w:hint="eastAsia"/>
                <w:sz w:val="18"/>
                <w:szCs w:val="18"/>
              </w:rPr>
              <w:t>2</w:t>
            </w:r>
          </w:p>
        </w:tc>
        <w:tc>
          <w:tcPr>
            <w:tcW w:w="2037" w:type="dxa"/>
            <w:noWrap w:val="0"/>
            <w:vAlign w:val="top"/>
          </w:tcPr>
          <w:p>
            <w:pPr>
              <w:spacing w:line="360" w:lineRule="auto"/>
              <w:jc w:val="center"/>
              <w:rPr>
                <w:sz w:val="18"/>
                <w:szCs w:val="18"/>
              </w:rPr>
            </w:pPr>
            <w:r>
              <w:rPr>
                <w:rFonts w:hint="eastAsia"/>
                <w:sz w:val="18"/>
                <w:szCs w:val="18"/>
              </w:rPr>
              <w:t>9.96</w:t>
            </w:r>
          </w:p>
        </w:tc>
        <w:tc>
          <w:tcPr>
            <w:tcW w:w="2038" w:type="dxa"/>
            <w:noWrap w:val="0"/>
            <w:vAlign w:val="top"/>
          </w:tcPr>
          <w:p>
            <w:pPr>
              <w:spacing w:line="360" w:lineRule="auto"/>
              <w:jc w:val="center"/>
              <w:rPr>
                <w:sz w:val="18"/>
                <w:szCs w:val="18"/>
              </w:rPr>
            </w:pPr>
            <w:r>
              <w:rPr>
                <w:rFonts w:hint="eastAsia"/>
                <w:sz w:val="18"/>
                <w:szCs w:val="18"/>
              </w:rP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Au</w:t>
            </w:r>
          </w:p>
        </w:tc>
        <w:tc>
          <w:tcPr>
            <w:tcW w:w="2400" w:type="dxa"/>
            <w:noWrap w:val="0"/>
            <w:vAlign w:val="top"/>
          </w:tcPr>
          <w:p>
            <w:pPr>
              <w:spacing w:line="360" w:lineRule="auto"/>
              <w:jc w:val="center"/>
              <w:rPr>
                <w:sz w:val="18"/>
                <w:szCs w:val="18"/>
              </w:rPr>
            </w:pPr>
            <w:r>
              <w:rPr>
                <w:rFonts w:hint="eastAsia"/>
                <w:sz w:val="18"/>
                <w:szCs w:val="18"/>
              </w:rPr>
              <w:t>0.5</w:t>
            </w:r>
          </w:p>
        </w:tc>
        <w:tc>
          <w:tcPr>
            <w:tcW w:w="2037" w:type="dxa"/>
            <w:noWrap w:val="0"/>
            <w:vAlign w:val="top"/>
          </w:tcPr>
          <w:p>
            <w:pPr>
              <w:spacing w:line="360" w:lineRule="auto"/>
              <w:jc w:val="center"/>
              <w:rPr>
                <w:sz w:val="18"/>
                <w:szCs w:val="18"/>
              </w:rPr>
            </w:pPr>
            <w:r>
              <w:rPr>
                <w:rFonts w:hint="eastAsia"/>
                <w:sz w:val="18"/>
                <w:szCs w:val="18"/>
              </w:rPr>
              <w:t>9.99</w:t>
            </w:r>
          </w:p>
        </w:tc>
        <w:tc>
          <w:tcPr>
            <w:tcW w:w="2038" w:type="dxa"/>
            <w:noWrap w:val="0"/>
            <w:vAlign w:val="top"/>
          </w:tcPr>
          <w:p>
            <w:pPr>
              <w:spacing w:line="360" w:lineRule="auto"/>
              <w:jc w:val="center"/>
              <w:rPr>
                <w:sz w:val="18"/>
                <w:szCs w:val="18"/>
              </w:rPr>
            </w:pPr>
            <w:r>
              <w:rPr>
                <w:rFonts w:hint="eastAsia"/>
                <w:sz w:val="18"/>
                <w:szCs w:val="18"/>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In</w:t>
            </w:r>
          </w:p>
        </w:tc>
        <w:tc>
          <w:tcPr>
            <w:tcW w:w="2400" w:type="dxa"/>
            <w:noWrap w:val="0"/>
            <w:vAlign w:val="top"/>
          </w:tcPr>
          <w:p>
            <w:pPr>
              <w:spacing w:line="360" w:lineRule="auto"/>
              <w:jc w:val="center"/>
              <w:rPr>
                <w:rFonts w:eastAsia="楷体"/>
                <w:kern w:val="0"/>
                <w:sz w:val="18"/>
                <w:szCs w:val="18"/>
              </w:rPr>
            </w:pPr>
            <w:r>
              <w:rPr>
                <w:rFonts w:hint="eastAsia" w:eastAsia="楷体"/>
                <w:kern w:val="0"/>
                <w:sz w:val="18"/>
                <w:szCs w:val="18"/>
              </w:rPr>
              <w:t>0.3</w:t>
            </w:r>
          </w:p>
        </w:tc>
        <w:tc>
          <w:tcPr>
            <w:tcW w:w="2037" w:type="dxa"/>
            <w:noWrap w:val="0"/>
            <w:vAlign w:val="top"/>
          </w:tcPr>
          <w:p>
            <w:pPr>
              <w:spacing w:line="360" w:lineRule="auto"/>
              <w:jc w:val="center"/>
              <w:rPr>
                <w:sz w:val="18"/>
                <w:szCs w:val="18"/>
              </w:rPr>
            </w:pPr>
            <w:r>
              <w:rPr>
                <w:rFonts w:hint="eastAsia"/>
                <w:sz w:val="18"/>
                <w:szCs w:val="18"/>
              </w:rPr>
              <w:t>10.16</w:t>
            </w:r>
          </w:p>
        </w:tc>
        <w:tc>
          <w:tcPr>
            <w:tcW w:w="2038" w:type="dxa"/>
            <w:noWrap w:val="0"/>
            <w:vAlign w:val="top"/>
          </w:tcPr>
          <w:p>
            <w:pPr>
              <w:spacing w:line="360" w:lineRule="auto"/>
              <w:jc w:val="center"/>
              <w:rPr>
                <w:sz w:val="18"/>
                <w:szCs w:val="18"/>
              </w:rPr>
            </w:pPr>
            <w:r>
              <w:rPr>
                <w:rFonts w:hint="eastAsia"/>
                <w:sz w:val="18"/>
                <w:szCs w:val="18"/>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Ni</w:t>
            </w:r>
          </w:p>
        </w:tc>
        <w:tc>
          <w:tcPr>
            <w:tcW w:w="2400" w:type="dxa"/>
            <w:noWrap w:val="0"/>
            <w:vAlign w:val="top"/>
          </w:tcPr>
          <w:p>
            <w:pPr>
              <w:spacing w:line="360" w:lineRule="auto"/>
              <w:jc w:val="center"/>
              <w:rPr>
                <w:rFonts w:hint="eastAsia"/>
                <w:sz w:val="18"/>
                <w:szCs w:val="18"/>
              </w:rPr>
            </w:pPr>
            <w:r>
              <w:rPr>
                <w:rFonts w:hint="eastAsia"/>
                <w:sz w:val="18"/>
                <w:szCs w:val="18"/>
              </w:rPr>
              <w:t>5</w:t>
            </w:r>
          </w:p>
        </w:tc>
        <w:tc>
          <w:tcPr>
            <w:tcW w:w="2037" w:type="dxa"/>
            <w:noWrap w:val="0"/>
            <w:vAlign w:val="top"/>
          </w:tcPr>
          <w:p>
            <w:pPr>
              <w:spacing w:line="360" w:lineRule="auto"/>
              <w:jc w:val="center"/>
              <w:rPr>
                <w:sz w:val="18"/>
                <w:szCs w:val="18"/>
              </w:rPr>
            </w:pPr>
            <w:r>
              <w:rPr>
                <w:rFonts w:hint="eastAsia"/>
                <w:sz w:val="18"/>
                <w:szCs w:val="18"/>
              </w:rPr>
              <w:t>10.06</w:t>
            </w:r>
          </w:p>
        </w:tc>
        <w:tc>
          <w:tcPr>
            <w:tcW w:w="2038" w:type="dxa"/>
            <w:noWrap w:val="0"/>
            <w:vAlign w:val="top"/>
          </w:tcPr>
          <w:p>
            <w:pPr>
              <w:spacing w:line="360" w:lineRule="auto"/>
              <w:jc w:val="center"/>
              <w:rPr>
                <w:rFonts w:hint="eastAsia"/>
                <w:sz w:val="18"/>
                <w:szCs w:val="18"/>
              </w:rPr>
            </w:pPr>
            <w:r>
              <w:rPr>
                <w:rFonts w:hint="eastAsia"/>
                <w:sz w:val="18"/>
                <w:szCs w:val="18"/>
              </w:rPr>
              <w:t>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356" w:type="dxa"/>
            <w:noWrap w:val="0"/>
            <w:vAlign w:val="center"/>
          </w:tcPr>
          <w:p>
            <w:pPr>
              <w:spacing w:line="360" w:lineRule="auto"/>
              <w:jc w:val="center"/>
              <w:rPr>
                <w:rFonts w:hint="eastAsia" w:eastAsia="楷体"/>
                <w:kern w:val="0"/>
                <w:sz w:val="18"/>
                <w:szCs w:val="18"/>
              </w:rPr>
            </w:pPr>
            <w:r>
              <w:rPr>
                <w:rFonts w:hint="eastAsia" w:eastAsia="楷体"/>
                <w:kern w:val="0"/>
                <w:sz w:val="18"/>
                <w:szCs w:val="18"/>
              </w:rPr>
              <w:t>Cd</w:t>
            </w:r>
          </w:p>
        </w:tc>
        <w:tc>
          <w:tcPr>
            <w:tcW w:w="2400" w:type="dxa"/>
            <w:noWrap w:val="0"/>
            <w:vAlign w:val="top"/>
          </w:tcPr>
          <w:p>
            <w:pPr>
              <w:spacing w:line="360" w:lineRule="auto"/>
              <w:jc w:val="center"/>
              <w:rPr>
                <w:sz w:val="18"/>
                <w:szCs w:val="18"/>
              </w:rPr>
            </w:pPr>
            <w:r>
              <w:rPr>
                <w:rFonts w:hint="eastAsia"/>
                <w:sz w:val="18"/>
                <w:szCs w:val="18"/>
              </w:rPr>
              <w:t>0.5</w:t>
            </w:r>
          </w:p>
        </w:tc>
        <w:tc>
          <w:tcPr>
            <w:tcW w:w="2037" w:type="dxa"/>
            <w:noWrap w:val="0"/>
            <w:vAlign w:val="top"/>
          </w:tcPr>
          <w:p>
            <w:pPr>
              <w:spacing w:line="360" w:lineRule="auto"/>
              <w:jc w:val="center"/>
              <w:rPr>
                <w:sz w:val="18"/>
                <w:szCs w:val="18"/>
              </w:rPr>
            </w:pPr>
            <w:r>
              <w:rPr>
                <w:rFonts w:hint="eastAsia"/>
                <w:sz w:val="18"/>
                <w:szCs w:val="18"/>
              </w:rPr>
              <w:t>10.01</w:t>
            </w:r>
          </w:p>
        </w:tc>
        <w:tc>
          <w:tcPr>
            <w:tcW w:w="2038" w:type="dxa"/>
            <w:noWrap w:val="0"/>
            <w:vAlign w:val="top"/>
          </w:tcPr>
          <w:p>
            <w:pPr>
              <w:spacing w:line="360" w:lineRule="auto"/>
              <w:jc w:val="center"/>
              <w:rPr>
                <w:sz w:val="18"/>
                <w:szCs w:val="18"/>
              </w:rPr>
            </w:pPr>
            <w:r>
              <w:rPr>
                <w:rFonts w:hint="eastAsia"/>
                <w:sz w:val="18"/>
                <w:szCs w:val="18"/>
              </w:rPr>
              <w:t>25.02</w:t>
            </w:r>
          </w:p>
        </w:tc>
      </w:tr>
    </w:tbl>
    <w:p>
      <w:pPr>
        <w:snapToGrid w:val="0"/>
        <w:spacing w:line="360" w:lineRule="auto"/>
        <w:ind w:firstLine="420" w:firstLineChars="200"/>
        <w:rPr>
          <w:rFonts w:hint="eastAsia" w:hAnsi="宋体"/>
          <w:szCs w:val="21"/>
        </w:rPr>
      </w:pPr>
    </w:p>
    <w:p>
      <w:pPr>
        <w:snapToGrid w:val="0"/>
        <w:spacing w:line="360" w:lineRule="auto"/>
        <w:ind w:firstLine="420" w:firstLineChars="200"/>
        <w:rPr>
          <w:szCs w:val="21"/>
        </w:rPr>
      </w:pPr>
      <w:r>
        <w:rPr>
          <w:rFonts w:hint="eastAsia" w:hAnsi="宋体"/>
          <w:szCs w:val="21"/>
        </w:rPr>
        <w:t>试验结果表明，上述单元素对铋的测定没有影响。</w:t>
      </w:r>
    </w:p>
    <w:p>
      <w:pPr>
        <w:pStyle w:val="5"/>
        <w:bidi w:val="0"/>
      </w:pPr>
      <w:r>
        <w:t>2.3.</w:t>
      </w:r>
      <w:r>
        <w:rPr>
          <w:rFonts w:hint="eastAsia"/>
        </w:rPr>
        <w:t>2</w:t>
      </w:r>
      <w:r>
        <w:t xml:space="preserve"> </w:t>
      </w:r>
      <w:r>
        <w:rPr>
          <w:rFonts w:hint="eastAsia"/>
        </w:rPr>
        <w:t>混合共存元素的影响</w:t>
      </w:r>
    </w:p>
    <w:p>
      <w:pPr>
        <w:spacing w:line="360" w:lineRule="auto"/>
        <w:ind w:firstLine="435"/>
        <w:rPr>
          <w:szCs w:val="21"/>
        </w:rPr>
      </w:pPr>
      <w:r>
        <w:rPr>
          <w:rFonts w:hint="eastAsia" w:hAnsi="宋体"/>
          <w:szCs w:val="21"/>
        </w:rPr>
        <w:t>试</w:t>
      </w:r>
      <w:r>
        <w:rPr>
          <w:rFonts w:hAnsi="宋体"/>
          <w:szCs w:val="21"/>
        </w:rPr>
        <w:t>验</w:t>
      </w:r>
      <w:r>
        <w:rPr>
          <w:rFonts w:hint="eastAsia" w:hAnsi="宋体"/>
          <w:szCs w:val="21"/>
        </w:rPr>
        <w:t>了</w:t>
      </w:r>
      <w:r>
        <w:rPr>
          <w:rFonts w:hAnsi="宋体"/>
          <w:szCs w:val="21"/>
        </w:rPr>
        <w:t>混合共存元素对</w:t>
      </w:r>
      <w:r>
        <w:rPr>
          <w:rFonts w:hint="eastAsia" w:hAnsi="宋体"/>
          <w:szCs w:val="21"/>
        </w:rPr>
        <w:t>10.00mg铋、</w:t>
      </w:r>
      <w:r>
        <w:rPr>
          <w:rFonts w:hint="eastAsia"/>
          <w:szCs w:val="21"/>
        </w:rPr>
        <w:t>25.00mg</w:t>
      </w:r>
      <w:r>
        <w:rPr>
          <w:rFonts w:hint="eastAsia" w:hAnsi="宋体"/>
          <w:szCs w:val="21"/>
        </w:rPr>
        <w:t>铋</w:t>
      </w:r>
      <w:r>
        <w:rPr>
          <w:rFonts w:hAnsi="宋体"/>
          <w:szCs w:val="21"/>
        </w:rPr>
        <w:t>的测定影响，实验结果见表</w:t>
      </w:r>
      <w:r>
        <w:rPr>
          <w:rFonts w:hint="eastAsia"/>
          <w:szCs w:val="21"/>
          <w:lang w:val="en-US" w:eastAsia="zh-CN"/>
        </w:rPr>
        <w:t>27</w:t>
      </w:r>
      <w:r>
        <w:rPr>
          <w:rFonts w:hint="eastAsia" w:hAnsi="宋体"/>
          <w:szCs w:val="21"/>
        </w:rPr>
        <w:t>。</w:t>
      </w:r>
    </w:p>
    <w:p>
      <w:pPr>
        <w:adjustRightInd w:val="0"/>
        <w:snapToGrid w:val="0"/>
        <w:spacing w:before="50" w:after="50" w:line="360" w:lineRule="auto"/>
        <w:ind w:firstLine="444" w:firstLineChars="200"/>
        <w:jc w:val="center"/>
        <w:rPr>
          <w:rFonts w:hint="eastAsia" w:hAnsi="宋体"/>
          <w:spacing w:val="6"/>
        </w:rPr>
      </w:pPr>
      <w:r>
        <w:rPr>
          <w:rFonts w:hint="eastAsia" w:hAnsi="宋体"/>
          <w:spacing w:val="6"/>
        </w:rPr>
        <w:t>表</w:t>
      </w:r>
      <w:r>
        <w:rPr>
          <w:rFonts w:hint="eastAsia"/>
          <w:spacing w:val="6"/>
          <w:lang w:val="en-US" w:eastAsia="zh-CN"/>
        </w:rPr>
        <w:t>27</w:t>
      </w:r>
      <w:r>
        <w:rPr>
          <w:spacing w:val="6"/>
        </w:rPr>
        <w:t xml:space="preserve"> </w:t>
      </w:r>
      <w:r>
        <w:rPr>
          <w:rFonts w:hint="eastAsia" w:hAnsi="宋体"/>
          <w:spacing w:val="6"/>
        </w:rPr>
        <w:t>混合干扰试验</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592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top"/>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铋加入量/mg</w:t>
            </w:r>
          </w:p>
        </w:tc>
        <w:tc>
          <w:tcPr>
            <w:tcW w:w="5926" w:type="dxa"/>
            <w:noWrap w:val="0"/>
            <w:vAlign w:val="top"/>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共存元素加入量/mg</w:t>
            </w:r>
          </w:p>
        </w:tc>
        <w:tc>
          <w:tcPr>
            <w:tcW w:w="1754" w:type="dxa"/>
            <w:noWrap w:val="0"/>
            <w:vAlign w:val="top"/>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铋测定值/mg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noWrap w:val="0"/>
            <w:vAlign w:val="center"/>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10.00</w:t>
            </w:r>
          </w:p>
        </w:tc>
        <w:tc>
          <w:tcPr>
            <w:tcW w:w="5926" w:type="dxa"/>
            <w:noWrap w:val="0"/>
            <w:vAlign w:val="center"/>
          </w:tcPr>
          <w:p>
            <w:pPr>
              <w:adjustRightInd w:val="0"/>
              <w:snapToGrid w:val="0"/>
              <w:spacing w:before="50" w:after="50" w:line="360" w:lineRule="auto"/>
              <w:jc w:val="center"/>
              <w:rPr>
                <w:rFonts w:ascii="宋体" w:hAnsi="宋体"/>
                <w:spacing w:val="6"/>
                <w:sz w:val="18"/>
                <w:szCs w:val="18"/>
              </w:rPr>
            </w:pPr>
            <w:r>
              <w:rPr>
                <w:rFonts w:hint="eastAsia" w:ascii="宋体" w:hAnsi="宋体"/>
                <w:spacing w:val="6"/>
                <w:sz w:val="18"/>
                <w:szCs w:val="18"/>
              </w:rPr>
              <w:t>Sn5、Pb100、Cu10、Sb5、Fe15、As5、Ag2、Au0.5、In0.3、Ni5、Cd0.5</w:t>
            </w:r>
          </w:p>
        </w:tc>
        <w:tc>
          <w:tcPr>
            <w:tcW w:w="1754" w:type="dxa"/>
            <w:noWrap w:val="0"/>
            <w:vAlign w:val="center"/>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9.94</w:t>
            </w:r>
          </w:p>
        </w:tc>
      </w:tr>
      <w:tr>
        <w:tblPrEx>
          <w:tblCellMar>
            <w:top w:w="0" w:type="dxa"/>
            <w:left w:w="108" w:type="dxa"/>
            <w:bottom w:w="0" w:type="dxa"/>
            <w:right w:w="108" w:type="dxa"/>
          </w:tblCellMar>
        </w:tblPrEx>
        <w:tc>
          <w:tcPr>
            <w:tcW w:w="1630" w:type="dxa"/>
            <w:noWrap w:val="0"/>
            <w:vAlign w:val="center"/>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25.00</w:t>
            </w:r>
          </w:p>
        </w:tc>
        <w:tc>
          <w:tcPr>
            <w:tcW w:w="5926" w:type="dxa"/>
            <w:noWrap w:val="0"/>
            <w:vAlign w:val="center"/>
          </w:tcPr>
          <w:p>
            <w:pPr>
              <w:adjustRightInd w:val="0"/>
              <w:snapToGrid w:val="0"/>
              <w:spacing w:before="50" w:after="50" w:line="360" w:lineRule="auto"/>
              <w:jc w:val="center"/>
              <w:rPr>
                <w:rFonts w:hint="eastAsia" w:hAnsi="宋体"/>
                <w:spacing w:val="6"/>
                <w:sz w:val="18"/>
                <w:szCs w:val="18"/>
              </w:rPr>
            </w:pPr>
            <w:r>
              <w:rPr>
                <w:rFonts w:hint="eastAsia" w:ascii="宋体" w:hAnsi="宋体"/>
                <w:spacing w:val="6"/>
                <w:sz w:val="18"/>
                <w:szCs w:val="18"/>
              </w:rPr>
              <w:t>Sn5、Pb100、Cu10、Sb5、Fe15、As5、Ag2、Au0.5、In0.3、Ni5、Cd0.5</w:t>
            </w:r>
          </w:p>
        </w:tc>
        <w:tc>
          <w:tcPr>
            <w:tcW w:w="1754" w:type="dxa"/>
            <w:noWrap w:val="0"/>
            <w:vAlign w:val="center"/>
          </w:tcPr>
          <w:p>
            <w:pPr>
              <w:adjustRightInd w:val="0"/>
              <w:snapToGrid w:val="0"/>
              <w:spacing w:before="50" w:after="50" w:line="360" w:lineRule="auto"/>
              <w:jc w:val="center"/>
              <w:rPr>
                <w:rFonts w:hint="eastAsia" w:hAnsi="宋体"/>
                <w:spacing w:val="6"/>
                <w:sz w:val="18"/>
                <w:szCs w:val="18"/>
              </w:rPr>
            </w:pPr>
            <w:r>
              <w:rPr>
                <w:rFonts w:hint="eastAsia" w:hAnsi="宋体"/>
                <w:spacing w:val="6"/>
                <w:sz w:val="18"/>
                <w:szCs w:val="18"/>
              </w:rPr>
              <w:t>24.93</w:t>
            </w:r>
          </w:p>
        </w:tc>
      </w:tr>
    </w:tbl>
    <w:p>
      <w:pPr>
        <w:spacing w:line="360" w:lineRule="auto"/>
        <w:ind w:firstLine="420" w:firstLineChars="200"/>
        <w:rPr>
          <w:szCs w:val="21"/>
        </w:rPr>
      </w:pPr>
      <w:r>
        <w:rPr>
          <w:rFonts w:hint="eastAsia" w:hAnsi="宋体"/>
          <w:szCs w:val="21"/>
        </w:rPr>
        <w:t>试验结果表明，上述混合共存元素对铋的测定基本没有影响。</w:t>
      </w:r>
    </w:p>
    <w:p>
      <w:pPr>
        <w:pStyle w:val="5"/>
        <w:bidi w:val="0"/>
      </w:pPr>
      <w:r>
        <w:t>2.</w:t>
      </w:r>
      <w:r>
        <w:rPr>
          <w:rFonts w:hint="eastAsia"/>
        </w:rPr>
        <w:t>4</w:t>
      </w:r>
      <w:r>
        <w:t xml:space="preserve"> </w:t>
      </w:r>
      <w:r>
        <w:rPr>
          <w:rFonts w:hint="eastAsia"/>
        </w:rPr>
        <w:t>精密度实验</w:t>
      </w:r>
    </w:p>
    <w:p>
      <w:pPr>
        <w:adjustRightInd w:val="0"/>
        <w:snapToGrid w:val="0"/>
        <w:spacing w:before="50" w:after="50" w:line="360" w:lineRule="auto"/>
        <w:ind w:firstLine="420" w:firstLineChars="200"/>
        <w:rPr>
          <w:rFonts w:hint="eastAsia" w:ascii="宋体" w:hAnsi="宋体"/>
          <w:szCs w:val="21"/>
        </w:rPr>
      </w:pPr>
      <w:r>
        <w:rPr>
          <w:rFonts w:hint="eastAsia"/>
        </w:rPr>
        <w:t>按拟定分析方法分别对3个样品进行了11次平行测定，结果见表</w:t>
      </w:r>
      <w:r>
        <w:rPr>
          <w:rFonts w:hint="eastAsia"/>
          <w:lang w:val="en-US" w:eastAsia="zh-CN"/>
        </w:rPr>
        <w:t>28</w:t>
      </w:r>
      <w:r>
        <w:rPr>
          <w:rFonts w:hint="eastAsia"/>
        </w:rPr>
        <w:t>。（YT61样品预估值8.2%，实际测定值9.3%，与YT58值非常接近，因此不用此样品）</w:t>
      </w:r>
      <w:r>
        <w:rPr>
          <w:rFonts w:hint="eastAsia" w:hAnsi="宋体"/>
          <w:szCs w:val="21"/>
        </w:rPr>
        <w:t>。</w:t>
      </w:r>
    </w:p>
    <w:p>
      <w:pPr>
        <w:spacing w:line="360" w:lineRule="auto"/>
        <w:jc w:val="center"/>
        <w:rPr>
          <w:rFonts w:ascii="宋体" w:hAnsi="宋体"/>
          <w:szCs w:val="21"/>
        </w:rPr>
      </w:pPr>
      <w:r>
        <w:rPr>
          <w:rFonts w:ascii="宋体" w:hAnsi="宋体"/>
          <w:szCs w:val="21"/>
        </w:rPr>
        <w:t>表</w:t>
      </w:r>
      <w:r>
        <w:rPr>
          <w:rFonts w:hint="eastAsia" w:ascii="宋体" w:hAnsi="宋体"/>
          <w:szCs w:val="21"/>
          <w:lang w:val="en-US" w:eastAsia="zh-CN"/>
        </w:rPr>
        <w:t>28</w:t>
      </w:r>
      <w:r>
        <w:rPr>
          <w:rFonts w:hint="eastAsia" w:ascii="宋体" w:hAnsi="宋体"/>
          <w:szCs w:val="21"/>
        </w:rPr>
        <w:t xml:space="preserve"> </w:t>
      </w:r>
      <w:r>
        <w:rPr>
          <w:rFonts w:ascii="宋体" w:hAnsi="宋体"/>
          <w:szCs w:val="21"/>
        </w:rPr>
        <w:t>精密度实验</w:t>
      </w:r>
      <w:r>
        <w:rPr>
          <w:rFonts w:hint="eastAsia" w:ascii="宋体" w:hAnsi="宋体"/>
          <w:szCs w:val="21"/>
        </w:rPr>
        <w:t>数据</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977"/>
        <w:gridCol w:w="977"/>
        <w:gridCol w:w="977"/>
        <w:gridCol w:w="977"/>
        <w:gridCol w:w="977"/>
        <w:gridCol w:w="977"/>
        <w:gridCol w:w="1185"/>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noWrap w:val="0"/>
            <w:vAlign w:val="center"/>
          </w:tcPr>
          <w:p>
            <w:pPr>
              <w:adjustRightInd w:val="0"/>
              <w:snapToGrid w:val="0"/>
              <w:spacing w:before="50" w:after="50" w:line="360" w:lineRule="auto"/>
              <w:jc w:val="center"/>
              <w:rPr>
                <w:rFonts w:ascii="宋体"/>
                <w:sz w:val="18"/>
                <w:szCs w:val="18"/>
              </w:rPr>
            </w:pPr>
            <w:r>
              <w:rPr>
                <w:rFonts w:hint="eastAsia" w:hAnsi="宋体"/>
                <w:spacing w:val="6"/>
                <w:sz w:val="18"/>
                <w:szCs w:val="18"/>
              </w:rPr>
              <w:t>编号</w:t>
            </w:r>
          </w:p>
        </w:tc>
        <w:tc>
          <w:tcPr>
            <w:tcW w:w="5862" w:type="dxa"/>
            <w:gridSpan w:val="6"/>
            <w:noWrap w:val="0"/>
            <w:vAlign w:val="center"/>
          </w:tcPr>
          <w:p>
            <w:pPr>
              <w:adjustRightInd w:val="0"/>
              <w:snapToGrid w:val="0"/>
              <w:spacing w:before="50" w:after="50" w:line="360" w:lineRule="auto"/>
              <w:jc w:val="center"/>
              <w:rPr>
                <w:rFonts w:ascii="宋体"/>
                <w:sz w:val="18"/>
                <w:szCs w:val="18"/>
              </w:rPr>
            </w:pPr>
            <w:r>
              <w:rPr>
                <w:rFonts w:hint="eastAsia" w:hAnsi="宋体"/>
                <w:spacing w:val="6"/>
                <w:sz w:val="18"/>
                <w:szCs w:val="18"/>
              </w:rPr>
              <w:t>铋的质量分数</w:t>
            </w:r>
            <w:r>
              <w:rPr>
                <w:spacing w:val="6"/>
                <w:sz w:val="18"/>
                <w:szCs w:val="18"/>
              </w:rPr>
              <w:t>/%</w:t>
            </w:r>
          </w:p>
        </w:tc>
        <w:tc>
          <w:tcPr>
            <w:tcW w:w="1185" w:type="dxa"/>
            <w:noWrap w:val="0"/>
            <w:vAlign w:val="center"/>
          </w:tcPr>
          <w:p>
            <w:pPr>
              <w:adjustRightInd w:val="0"/>
              <w:snapToGrid w:val="0"/>
              <w:spacing w:before="50" w:after="50" w:line="360" w:lineRule="auto"/>
              <w:jc w:val="center"/>
              <w:rPr>
                <w:rFonts w:ascii="宋体" w:hAnsi="宋体"/>
                <w:sz w:val="18"/>
                <w:szCs w:val="18"/>
              </w:rPr>
            </w:pPr>
            <w:r>
              <w:rPr>
                <w:rFonts w:hint="eastAsia" w:hAnsi="宋体"/>
                <w:spacing w:val="6"/>
                <w:sz w:val="18"/>
                <w:szCs w:val="18"/>
              </w:rPr>
              <w:t>平均值</w:t>
            </w:r>
            <w:r>
              <w:rPr>
                <w:rFonts w:hAnsi="宋体"/>
                <w:spacing w:val="6"/>
                <w:sz w:val="18"/>
                <w:szCs w:val="18"/>
              </w:rPr>
              <w:t>/</w:t>
            </w:r>
            <w:r>
              <w:rPr>
                <w:spacing w:val="6"/>
                <w:sz w:val="18"/>
                <w:szCs w:val="18"/>
              </w:rPr>
              <w:t>%</w:t>
            </w:r>
          </w:p>
        </w:tc>
        <w:tc>
          <w:tcPr>
            <w:tcW w:w="1350" w:type="dxa"/>
            <w:noWrap w:val="0"/>
            <w:vAlign w:val="center"/>
          </w:tcPr>
          <w:p>
            <w:pPr>
              <w:adjustRightInd w:val="0"/>
              <w:snapToGrid w:val="0"/>
              <w:spacing w:before="50" w:after="50" w:line="360" w:lineRule="auto"/>
              <w:jc w:val="center"/>
              <w:rPr>
                <w:rFonts w:ascii="宋体" w:hAnsi="宋体"/>
                <w:sz w:val="18"/>
                <w:szCs w:val="18"/>
              </w:rPr>
            </w:pPr>
            <w:r>
              <w:rPr>
                <w:spacing w:val="6"/>
                <w:sz w:val="18"/>
                <w:szCs w:val="18"/>
              </w:rPr>
              <w:t>RSD</w:t>
            </w:r>
            <w:r>
              <w:rPr>
                <w:rFonts w:hAnsi="宋体"/>
                <w:spacing w:val="6"/>
                <w:sz w:val="18"/>
                <w:szCs w:val="18"/>
              </w:rPr>
              <w:t>/</w:t>
            </w:r>
            <w:r>
              <w:rPr>
                <w:spacing w:val="6"/>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52" w:type="dxa"/>
            <w:vMerge w:val="restart"/>
            <w:noWrap w:val="0"/>
            <w:vAlign w:val="top"/>
          </w:tcPr>
          <w:p>
            <w:pPr>
              <w:spacing w:line="360" w:lineRule="auto"/>
              <w:jc w:val="center"/>
              <w:rPr>
                <w:rFonts w:ascii="宋体" w:hAnsi="宋体"/>
                <w:sz w:val="18"/>
                <w:szCs w:val="18"/>
              </w:rPr>
            </w:pPr>
            <w:r>
              <w:rPr>
                <w:rFonts w:hint="eastAsia" w:ascii="宋体" w:hAnsi="宋体" w:cs="宋体"/>
                <w:sz w:val="18"/>
                <w:szCs w:val="18"/>
              </w:rPr>
              <w:t>YT90</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4.44</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4.55</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4.65</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4.56</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4.48</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4.52</w:t>
            </w:r>
          </w:p>
        </w:tc>
        <w:tc>
          <w:tcPr>
            <w:tcW w:w="1185" w:type="dxa"/>
            <w:vMerge w:val="restart"/>
            <w:noWrap w:val="0"/>
            <w:vAlign w:val="center"/>
          </w:tcPr>
          <w:p>
            <w:pPr>
              <w:widowControl/>
              <w:spacing w:line="360" w:lineRule="auto"/>
              <w:jc w:val="center"/>
              <w:textAlignment w:val="center"/>
              <w:rPr>
                <w:rFonts w:ascii="宋体"/>
                <w:sz w:val="18"/>
                <w:szCs w:val="18"/>
              </w:rPr>
            </w:pPr>
            <w:r>
              <w:rPr>
                <w:rFonts w:hint="eastAsia" w:ascii="宋体"/>
                <w:sz w:val="18"/>
                <w:szCs w:val="18"/>
              </w:rPr>
              <w:t>4.54</w:t>
            </w:r>
          </w:p>
        </w:tc>
        <w:tc>
          <w:tcPr>
            <w:tcW w:w="1350" w:type="dxa"/>
            <w:vMerge w:val="restart"/>
            <w:noWrap w:val="0"/>
            <w:vAlign w:val="center"/>
          </w:tcPr>
          <w:p>
            <w:pPr>
              <w:widowControl/>
              <w:spacing w:line="360" w:lineRule="auto"/>
              <w:jc w:val="center"/>
              <w:textAlignment w:val="center"/>
              <w:rPr>
                <w:rFonts w:ascii="宋体"/>
                <w:sz w:val="18"/>
                <w:szCs w:val="18"/>
              </w:rPr>
            </w:pPr>
            <w:r>
              <w:rPr>
                <w:rFonts w:hint="eastAsia" w:ascii="宋体"/>
                <w:sz w:val="18"/>
                <w:szCs w:val="18"/>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2" w:type="dxa"/>
            <w:vMerge w:val="continue"/>
            <w:noWrap w:val="0"/>
            <w:vAlign w:val="center"/>
          </w:tcPr>
          <w:p>
            <w:pPr>
              <w:pStyle w:val="112"/>
              <w:spacing w:line="360" w:lineRule="auto"/>
              <w:ind w:firstLine="0" w:firstLineChars="0"/>
              <w:jc w:val="center"/>
              <w:rPr>
                <w:rFonts w:ascii="宋体" w:hAnsi="宋体"/>
                <w:sz w:val="18"/>
                <w:szCs w:val="18"/>
              </w:rPr>
            </w:pP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4.61</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4.57</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4.51</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4.60</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4.48</w:t>
            </w:r>
          </w:p>
        </w:tc>
        <w:tc>
          <w:tcPr>
            <w:tcW w:w="977" w:type="dxa"/>
            <w:tcBorders>
              <w:top w:val="single" w:color="auto" w:sz="4" w:space="0"/>
            </w:tcBorders>
            <w:noWrap w:val="0"/>
            <w:vAlign w:val="top"/>
          </w:tcPr>
          <w:p>
            <w:pPr>
              <w:spacing w:line="360" w:lineRule="auto"/>
              <w:jc w:val="center"/>
              <w:rPr>
                <w:rFonts w:ascii="宋体" w:hAnsi="宋体"/>
                <w:sz w:val="18"/>
                <w:szCs w:val="18"/>
              </w:rPr>
            </w:pPr>
          </w:p>
        </w:tc>
        <w:tc>
          <w:tcPr>
            <w:tcW w:w="1185" w:type="dxa"/>
            <w:vMerge w:val="continue"/>
            <w:noWrap w:val="0"/>
            <w:vAlign w:val="center"/>
          </w:tcPr>
          <w:p>
            <w:pPr>
              <w:spacing w:line="360" w:lineRule="auto"/>
              <w:jc w:val="center"/>
              <w:rPr>
                <w:rFonts w:ascii="宋体"/>
                <w:sz w:val="18"/>
                <w:szCs w:val="18"/>
              </w:rPr>
            </w:pPr>
          </w:p>
        </w:tc>
        <w:tc>
          <w:tcPr>
            <w:tcW w:w="1350" w:type="dxa"/>
            <w:vMerge w:val="continue"/>
            <w:noWrap w:val="0"/>
            <w:vAlign w:val="center"/>
          </w:tcPr>
          <w:p>
            <w:pPr>
              <w:spacing w:line="360" w:lineRule="auto"/>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852" w:type="dxa"/>
            <w:vMerge w:val="restart"/>
            <w:noWrap w:val="0"/>
            <w:vAlign w:val="top"/>
          </w:tcPr>
          <w:p>
            <w:pPr>
              <w:spacing w:line="360" w:lineRule="auto"/>
              <w:jc w:val="center"/>
              <w:rPr>
                <w:rFonts w:ascii="宋体" w:hAnsi="宋体"/>
                <w:sz w:val="18"/>
                <w:szCs w:val="18"/>
              </w:rPr>
            </w:pPr>
            <w:r>
              <w:rPr>
                <w:rFonts w:hint="eastAsia" w:ascii="宋体" w:hAnsi="宋体" w:cs="宋体"/>
                <w:sz w:val="18"/>
                <w:szCs w:val="18"/>
              </w:rPr>
              <w:t>YT88</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6.17</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6.19</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6.32</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6.31</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6.30</w:t>
            </w:r>
          </w:p>
        </w:tc>
        <w:tc>
          <w:tcPr>
            <w:tcW w:w="977" w:type="dxa"/>
            <w:tcBorders>
              <w:bottom w:val="single" w:color="auto" w:sz="4" w:space="0"/>
            </w:tcBorders>
            <w:noWrap w:val="0"/>
            <w:vAlign w:val="top"/>
          </w:tcPr>
          <w:p>
            <w:pPr>
              <w:tabs>
                <w:tab w:val="left" w:pos="419"/>
              </w:tabs>
              <w:spacing w:line="360" w:lineRule="auto"/>
              <w:jc w:val="center"/>
              <w:rPr>
                <w:rFonts w:ascii="宋体" w:hAnsi="宋体"/>
                <w:sz w:val="18"/>
                <w:szCs w:val="18"/>
              </w:rPr>
            </w:pPr>
            <w:r>
              <w:rPr>
                <w:rFonts w:hint="eastAsia" w:ascii="宋体" w:hAnsi="宋体"/>
                <w:sz w:val="18"/>
                <w:szCs w:val="18"/>
              </w:rPr>
              <w:t>6.24</w:t>
            </w:r>
          </w:p>
        </w:tc>
        <w:tc>
          <w:tcPr>
            <w:tcW w:w="1185" w:type="dxa"/>
            <w:vMerge w:val="restart"/>
            <w:noWrap w:val="0"/>
            <w:vAlign w:val="center"/>
          </w:tcPr>
          <w:p>
            <w:pPr>
              <w:widowControl/>
              <w:spacing w:line="360" w:lineRule="auto"/>
              <w:jc w:val="center"/>
              <w:textAlignment w:val="center"/>
              <w:rPr>
                <w:rFonts w:ascii="宋体"/>
                <w:sz w:val="18"/>
                <w:szCs w:val="18"/>
              </w:rPr>
            </w:pPr>
            <w:r>
              <w:rPr>
                <w:rFonts w:hint="eastAsia" w:ascii="宋体" w:hAnsi="宋体" w:cs="宋体"/>
                <w:kern w:val="0"/>
                <w:sz w:val="18"/>
                <w:szCs w:val="18"/>
                <w:lang w:bidi="ar"/>
              </w:rPr>
              <w:t>6.29</w:t>
            </w:r>
          </w:p>
        </w:tc>
        <w:tc>
          <w:tcPr>
            <w:tcW w:w="1350" w:type="dxa"/>
            <w:vMerge w:val="restart"/>
            <w:noWrap w:val="0"/>
            <w:vAlign w:val="center"/>
          </w:tcPr>
          <w:p>
            <w:pPr>
              <w:widowControl/>
              <w:spacing w:line="360" w:lineRule="auto"/>
              <w:jc w:val="center"/>
              <w:textAlignment w:val="center"/>
              <w:rPr>
                <w:rFonts w:ascii="宋体"/>
                <w:sz w:val="18"/>
                <w:szCs w:val="18"/>
              </w:rPr>
            </w:pPr>
            <w:r>
              <w:rPr>
                <w:rFonts w:hint="eastAsia" w:ascii="宋体"/>
                <w:sz w:val="18"/>
                <w:szCs w:val="18"/>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852" w:type="dxa"/>
            <w:vMerge w:val="continue"/>
            <w:noWrap w:val="0"/>
            <w:vAlign w:val="center"/>
          </w:tcPr>
          <w:p>
            <w:pPr>
              <w:pStyle w:val="112"/>
              <w:spacing w:line="360" w:lineRule="auto"/>
              <w:ind w:firstLine="0" w:firstLineChars="0"/>
              <w:jc w:val="center"/>
              <w:rPr>
                <w:rFonts w:ascii="宋体" w:hAnsi="宋体"/>
                <w:sz w:val="18"/>
                <w:szCs w:val="18"/>
              </w:rPr>
            </w:pP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6.26</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6.40</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6.35</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6.38</w:t>
            </w:r>
          </w:p>
        </w:tc>
        <w:tc>
          <w:tcPr>
            <w:tcW w:w="977" w:type="dxa"/>
            <w:tcBorders>
              <w:top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6.31</w:t>
            </w:r>
          </w:p>
        </w:tc>
        <w:tc>
          <w:tcPr>
            <w:tcW w:w="977" w:type="dxa"/>
            <w:tcBorders>
              <w:top w:val="single" w:color="auto" w:sz="4" w:space="0"/>
            </w:tcBorders>
            <w:noWrap w:val="0"/>
            <w:vAlign w:val="top"/>
          </w:tcPr>
          <w:p>
            <w:pPr>
              <w:spacing w:line="360" w:lineRule="auto"/>
              <w:jc w:val="center"/>
              <w:rPr>
                <w:rFonts w:ascii="宋体" w:hAnsi="宋体"/>
                <w:sz w:val="18"/>
                <w:szCs w:val="18"/>
              </w:rPr>
            </w:pPr>
          </w:p>
        </w:tc>
        <w:tc>
          <w:tcPr>
            <w:tcW w:w="1185" w:type="dxa"/>
            <w:vMerge w:val="continue"/>
            <w:noWrap w:val="0"/>
            <w:vAlign w:val="center"/>
          </w:tcPr>
          <w:p>
            <w:pPr>
              <w:spacing w:line="360" w:lineRule="auto"/>
              <w:jc w:val="center"/>
              <w:rPr>
                <w:rFonts w:ascii="宋体"/>
                <w:sz w:val="18"/>
                <w:szCs w:val="18"/>
              </w:rPr>
            </w:pPr>
          </w:p>
        </w:tc>
        <w:tc>
          <w:tcPr>
            <w:tcW w:w="1350" w:type="dxa"/>
            <w:vMerge w:val="continue"/>
            <w:noWrap w:val="0"/>
            <w:vAlign w:val="center"/>
          </w:tcPr>
          <w:p>
            <w:pPr>
              <w:spacing w:line="360" w:lineRule="auto"/>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852" w:type="dxa"/>
            <w:vMerge w:val="restart"/>
            <w:noWrap w:val="0"/>
            <w:vAlign w:val="center"/>
          </w:tcPr>
          <w:p>
            <w:pPr>
              <w:pStyle w:val="112"/>
              <w:spacing w:line="360" w:lineRule="auto"/>
              <w:ind w:firstLine="0" w:firstLineChars="0"/>
              <w:jc w:val="center"/>
              <w:rPr>
                <w:rFonts w:ascii="宋体" w:hAnsi="宋体"/>
                <w:sz w:val="18"/>
                <w:szCs w:val="18"/>
              </w:rPr>
            </w:pPr>
            <w:r>
              <w:rPr>
                <w:rFonts w:hint="eastAsia" w:ascii="宋体" w:hAnsi="宋体" w:cs="宋体"/>
                <w:sz w:val="18"/>
                <w:szCs w:val="18"/>
              </w:rPr>
              <w:t>YT58</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9.46</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9.61</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9.49</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9.32</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9.45</w:t>
            </w:r>
          </w:p>
        </w:tc>
        <w:tc>
          <w:tcPr>
            <w:tcW w:w="977" w:type="dxa"/>
            <w:tcBorders>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9.38</w:t>
            </w:r>
          </w:p>
        </w:tc>
        <w:tc>
          <w:tcPr>
            <w:tcW w:w="1185" w:type="dxa"/>
            <w:vMerge w:val="restart"/>
            <w:noWrap w:val="0"/>
            <w:vAlign w:val="center"/>
          </w:tcPr>
          <w:p>
            <w:pPr>
              <w:widowControl/>
              <w:spacing w:line="360" w:lineRule="auto"/>
              <w:jc w:val="center"/>
              <w:textAlignment w:val="center"/>
              <w:rPr>
                <w:rFonts w:ascii="宋体"/>
                <w:sz w:val="18"/>
                <w:szCs w:val="18"/>
              </w:rPr>
            </w:pPr>
            <w:r>
              <w:rPr>
                <w:rFonts w:hint="eastAsia" w:ascii="宋体"/>
                <w:sz w:val="18"/>
                <w:szCs w:val="18"/>
              </w:rPr>
              <w:t>9.44</w:t>
            </w:r>
          </w:p>
        </w:tc>
        <w:tc>
          <w:tcPr>
            <w:tcW w:w="1350" w:type="dxa"/>
            <w:vMerge w:val="restart"/>
            <w:noWrap w:val="0"/>
            <w:vAlign w:val="center"/>
          </w:tcPr>
          <w:p>
            <w:pPr>
              <w:widowControl/>
              <w:spacing w:line="360" w:lineRule="auto"/>
              <w:jc w:val="center"/>
              <w:textAlignment w:val="center"/>
              <w:rPr>
                <w:rFonts w:ascii="宋体"/>
                <w:sz w:val="18"/>
                <w:szCs w:val="18"/>
              </w:rPr>
            </w:pPr>
            <w:r>
              <w:rPr>
                <w:rFonts w:hint="eastAsia" w:ascii="宋体"/>
                <w:sz w:val="18"/>
                <w:szCs w:val="18"/>
              </w:rPr>
              <w:t>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852" w:type="dxa"/>
            <w:vMerge w:val="continue"/>
            <w:noWrap w:val="0"/>
            <w:vAlign w:val="center"/>
          </w:tcPr>
          <w:p>
            <w:pPr>
              <w:pStyle w:val="112"/>
              <w:spacing w:line="360" w:lineRule="auto"/>
              <w:ind w:firstLine="0" w:firstLineChars="0"/>
              <w:jc w:val="center"/>
              <w:rPr>
                <w:rFonts w:hint="eastAsia" w:ascii="宋体" w:hAnsi="宋体"/>
                <w:sz w:val="18"/>
                <w:szCs w:val="18"/>
              </w:rPr>
            </w:pPr>
          </w:p>
        </w:tc>
        <w:tc>
          <w:tcPr>
            <w:tcW w:w="977" w:type="dxa"/>
            <w:tcBorders>
              <w:top w:val="single" w:color="auto" w:sz="4" w:space="0"/>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9.31</w:t>
            </w:r>
          </w:p>
        </w:tc>
        <w:tc>
          <w:tcPr>
            <w:tcW w:w="977" w:type="dxa"/>
            <w:tcBorders>
              <w:top w:val="single" w:color="auto" w:sz="4" w:space="0"/>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9.37</w:t>
            </w:r>
          </w:p>
        </w:tc>
        <w:tc>
          <w:tcPr>
            <w:tcW w:w="977" w:type="dxa"/>
            <w:tcBorders>
              <w:top w:val="single" w:color="auto" w:sz="4" w:space="0"/>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9.50</w:t>
            </w:r>
          </w:p>
        </w:tc>
        <w:tc>
          <w:tcPr>
            <w:tcW w:w="977" w:type="dxa"/>
            <w:tcBorders>
              <w:top w:val="single" w:color="auto" w:sz="4" w:space="0"/>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9.52</w:t>
            </w:r>
          </w:p>
        </w:tc>
        <w:tc>
          <w:tcPr>
            <w:tcW w:w="977" w:type="dxa"/>
            <w:tcBorders>
              <w:top w:val="single" w:color="auto" w:sz="4" w:space="0"/>
              <w:bottom w:val="single" w:color="auto" w:sz="4" w:space="0"/>
            </w:tcBorders>
            <w:noWrap w:val="0"/>
            <w:vAlign w:val="top"/>
          </w:tcPr>
          <w:p>
            <w:pPr>
              <w:spacing w:line="360" w:lineRule="auto"/>
              <w:jc w:val="center"/>
              <w:rPr>
                <w:rFonts w:ascii="宋体" w:hAnsi="宋体"/>
                <w:sz w:val="18"/>
                <w:szCs w:val="18"/>
              </w:rPr>
            </w:pPr>
            <w:r>
              <w:rPr>
                <w:rFonts w:hint="eastAsia" w:ascii="宋体" w:hAnsi="宋体"/>
                <w:sz w:val="18"/>
                <w:szCs w:val="18"/>
              </w:rPr>
              <w:t>9.48</w:t>
            </w:r>
          </w:p>
        </w:tc>
        <w:tc>
          <w:tcPr>
            <w:tcW w:w="977" w:type="dxa"/>
            <w:tcBorders>
              <w:top w:val="single" w:color="auto" w:sz="4" w:space="0"/>
              <w:bottom w:val="single" w:color="auto" w:sz="4" w:space="0"/>
            </w:tcBorders>
            <w:noWrap w:val="0"/>
            <w:vAlign w:val="top"/>
          </w:tcPr>
          <w:p>
            <w:pPr>
              <w:spacing w:line="360" w:lineRule="auto"/>
              <w:rPr>
                <w:rFonts w:hint="eastAsia" w:ascii="宋体" w:hAnsi="宋体"/>
                <w:sz w:val="18"/>
                <w:szCs w:val="18"/>
              </w:rPr>
            </w:pPr>
          </w:p>
        </w:tc>
        <w:tc>
          <w:tcPr>
            <w:tcW w:w="1185" w:type="dxa"/>
            <w:vMerge w:val="continue"/>
            <w:noWrap w:val="0"/>
            <w:vAlign w:val="center"/>
          </w:tcPr>
          <w:p>
            <w:pPr>
              <w:adjustRightInd w:val="0"/>
              <w:snapToGrid w:val="0"/>
              <w:spacing w:before="50" w:after="50" w:line="360" w:lineRule="auto"/>
              <w:jc w:val="center"/>
              <w:rPr>
                <w:rFonts w:hint="eastAsia"/>
                <w:spacing w:val="6"/>
                <w:sz w:val="18"/>
                <w:szCs w:val="18"/>
              </w:rPr>
            </w:pPr>
          </w:p>
        </w:tc>
        <w:tc>
          <w:tcPr>
            <w:tcW w:w="1350" w:type="dxa"/>
            <w:vMerge w:val="continue"/>
            <w:noWrap w:val="0"/>
            <w:vAlign w:val="center"/>
          </w:tcPr>
          <w:p>
            <w:pPr>
              <w:spacing w:line="360" w:lineRule="auto"/>
              <w:rPr>
                <w:rFonts w:ascii="宋体"/>
                <w:sz w:val="18"/>
                <w:szCs w:val="18"/>
              </w:rPr>
            </w:pPr>
          </w:p>
        </w:tc>
      </w:tr>
    </w:tbl>
    <w:p>
      <w:pPr>
        <w:pStyle w:val="5"/>
        <w:bidi w:val="0"/>
      </w:pPr>
      <w:r>
        <w:t>2.</w:t>
      </w:r>
      <w:r>
        <w:rPr>
          <w:rFonts w:hint="eastAsia"/>
        </w:rPr>
        <w:t>5</w:t>
      </w:r>
      <w:r>
        <w:t xml:space="preserve">  </w:t>
      </w:r>
      <w:r>
        <w:rPr>
          <w:rFonts w:hint="eastAsia"/>
        </w:rPr>
        <w:t>加标回收率实验</w:t>
      </w:r>
    </w:p>
    <w:p>
      <w:pPr>
        <w:adjustRightInd w:val="0"/>
        <w:snapToGrid w:val="0"/>
        <w:spacing w:before="50" w:after="50" w:line="360" w:lineRule="auto"/>
        <w:ind w:firstLine="420" w:firstLineChars="200"/>
      </w:pPr>
      <w:r>
        <w:rPr>
          <w:rFonts w:hint="eastAsia"/>
        </w:rPr>
        <w:t>考察方法的回收率，准确称取1.0000g样品，分别加入不同量的</w:t>
      </w:r>
      <w:r>
        <w:rPr>
          <w:rFonts w:hint="eastAsia"/>
          <w:szCs w:val="21"/>
        </w:rPr>
        <w:t>铋</w:t>
      </w:r>
      <w:r>
        <w:rPr>
          <w:rFonts w:hint="eastAsia"/>
        </w:rPr>
        <w:t>，按拟定的分析方法对2个粗锡样品进行了加标回收试验，其结果列于表</w:t>
      </w:r>
      <w:r>
        <w:rPr>
          <w:rFonts w:hint="eastAsia"/>
          <w:lang w:val="en-US" w:eastAsia="zh-CN"/>
        </w:rPr>
        <w:t>29</w:t>
      </w:r>
      <w:r>
        <w:rPr>
          <w:rFonts w:hint="eastAsia"/>
        </w:rPr>
        <w:t>。</w:t>
      </w:r>
    </w:p>
    <w:p>
      <w:pPr>
        <w:adjustRightInd w:val="0"/>
        <w:snapToGrid w:val="0"/>
        <w:spacing w:before="50" w:after="50" w:line="360" w:lineRule="auto"/>
        <w:ind w:firstLine="420" w:firstLineChars="200"/>
        <w:jc w:val="center"/>
      </w:pPr>
      <w:r>
        <w:rPr>
          <w:rFonts w:hint="eastAsia"/>
        </w:rPr>
        <w:t>表</w:t>
      </w:r>
      <w:r>
        <w:rPr>
          <w:rFonts w:hint="eastAsia"/>
          <w:lang w:val="en-US" w:eastAsia="zh-CN"/>
        </w:rPr>
        <w:t>29</w:t>
      </w:r>
      <w:r>
        <w:t xml:space="preserve"> </w:t>
      </w:r>
      <w:r>
        <w:rPr>
          <w:rFonts w:hint="eastAsia"/>
        </w:rPr>
        <w:t>加标回收率实验</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090"/>
        <w:gridCol w:w="2090"/>
        <w:gridCol w:w="2090"/>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19"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编号</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样品含铋量/mg</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加标量/mg</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测得总量/mg</w:t>
            </w:r>
          </w:p>
        </w:tc>
        <w:tc>
          <w:tcPr>
            <w:tcW w:w="2091"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19" w:type="dxa"/>
            <w:vMerge w:val="restart"/>
            <w:noWrap w:val="0"/>
            <w:vAlign w:val="top"/>
          </w:tcPr>
          <w:p>
            <w:pPr>
              <w:spacing w:line="360" w:lineRule="auto"/>
              <w:jc w:val="center"/>
              <w:rPr>
                <w:rFonts w:hint="eastAsia" w:ascii="宋体" w:hAnsi="宋体" w:cs="宋体"/>
                <w:sz w:val="18"/>
                <w:szCs w:val="18"/>
              </w:rPr>
            </w:pPr>
            <w:r>
              <w:rPr>
                <w:rFonts w:hint="eastAsia" w:ascii="宋体" w:hAnsi="宋体" w:cs="宋体"/>
                <w:sz w:val="18"/>
                <w:szCs w:val="18"/>
              </w:rPr>
              <w:t>YT90</w:t>
            </w:r>
          </w:p>
        </w:tc>
        <w:tc>
          <w:tcPr>
            <w:tcW w:w="2090" w:type="dxa"/>
            <w:noWrap w:val="0"/>
            <w:vAlign w:val="center"/>
          </w:tcPr>
          <w:p>
            <w:pPr>
              <w:adjustRightInd w:val="0"/>
              <w:snapToGrid w:val="0"/>
              <w:spacing w:before="50" w:after="50" w:line="360" w:lineRule="auto"/>
              <w:jc w:val="center"/>
              <w:rPr>
                <w:rFonts w:ascii="宋体" w:hAnsi="宋体" w:cs="宋体"/>
                <w:sz w:val="18"/>
                <w:szCs w:val="18"/>
              </w:rPr>
            </w:pPr>
            <w:r>
              <w:rPr>
                <w:rFonts w:hint="eastAsia" w:ascii="宋体" w:hAnsi="宋体" w:cs="宋体"/>
                <w:sz w:val="18"/>
                <w:szCs w:val="18"/>
              </w:rPr>
              <w:t>45.4</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20.00</w:t>
            </w:r>
          </w:p>
        </w:tc>
        <w:tc>
          <w:tcPr>
            <w:tcW w:w="2090"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65.45</w:t>
            </w:r>
          </w:p>
        </w:tc>
        <w:tc>
          <w:tcPr>
            <w:tcW w:w="2091"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100.25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19" w:type="dxa"/>
            <w:vMerge w:val="continue"/>
            <w:noWrap w:val="0"/>
            <w:vAlign w:val="center"/>
          </w:tcPr>
          <w:p>
            <w:pPr>
              <w:adjustRightInd w:val="0"/>
              <w:snapToGrid w:val="0"/>
              <w:spacing w:before="50" w:after="50" w:line="360" w:lineRule="auto"/>
              <w:ind w:firstLine="360" w:firstLineChars="200"/>
              <w:jc w:val="center"/>
              <w:rPr>
                <w:rFonts w:hint="eastAsia" w:ascii="宋体" w:hAnsi="宋体" w:cs="宋体"/>
                <w:sz w:val="18"/>
                <w:szCs w:val="18"/>
              </w:rPr>
            </w:pPr>
          </w:p>
        </w:tc>
        <w:tc>
          <w:tcPr>
            <w:tcW w:w="2090" w:type="dxa"/>
            <w:noWrap w:val="0"/>
            <w:vAlign w:val="center"/>
          </w:tcPr>
          <w:p>
            <w:pPr>
              <w:adjustRightInd w:val="0"/>
              <w:snapToGrid w:val="0"/>
              <w:spacing w:before="50" w:after="50" w:line="360" w:lineRule="auto"/>
              <w:jc w:val="center"/>
              <w:rPr>
                <w:rFonts w:ascii="宋体" w:hAnsi="宋体" w:cs="宋体"/>
                <w:sz w:val="18"/>
                <w:szCs w:val="18"/>
              </w:rPr>
            </w:pPr>
            <w:r>
              <w:rPr>
                <w:rFonts w:hint="eastAsia" w:ascii="宋体" w:hAnsi="宋体" w:cs="宋体"/>
                <w:sz w:val="18"/>
                <w:szCs w:val="18"/>
              </w:rPr>
              <w:t>45.4</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40.00</w:t>
            </w:r>
          </w:p>
        </w:tc>
        <w:tc>
          <w:tcPr>
            <w:tcW w:w="2090"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85.25</w:t>
            </w:r>
          </w:p>
        </w:tc>
        <w:tc>
          <w:tcPr>
            <w:tcW w:w="2091"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19" w:type="dxa"/>
            <w:vMerge w:val="restart"/>
            <w:noWrap w:val="0"/>
            <w:vAlign w:val="top"/>
          </w:tcPr>
          <w:p>
            <w:pPr>
              <w:spacing w:line="360" w:lineRule="auto"/>
              <w:jc w:val="center"/>
              <w:rPr>
                <w:rFonts w:hint="eastAsia" w:ascii="宋体" w:hAnsi="宋体" w:cs="宋体"/>
                <w:sz w:val="18"/>
                <w:szCs w:val="18"/>
              </w:rPr>
            </w:pPr>
            <w:r>
              <w:rPr>
                <w:rFonts w:hint="eastAsia" w:ascii="宋体" w:hAnsi="宋体" w:cs="宋体"/>
                <w:sz w:val="18"/>
                <w:szCs w:val="18"/>
              </w:rPr>
              <w:t>YT88</w:t>
            </w:r>
          </w:p>
        </w:tc>
        <w:tc>
          <w:tcPr>
            <w:tcW w:w="2090" w:type="dxa"/>
            <w:noWrap w:val="0"/>
            <w:vAlign w:val="center"/>
          </w:tcPr>
          <w:p>
            <w:pPr>
              <w:adjustRightInd w:val="0"/>
              <w:snapToGrid w:val="0"/>
              <w:spacing w:before="50" w:after="50" w:line="360" w:lineRule="auto"/>
              <w:jc w:val="center"/>
              <w:rPr>
                <w:rFonts w:ascii="宋体" w:hAnsi="宋体" w:cs="宋体"/>
                <w:sz w:val="18"/>
                <w:szCs w:val="18"/>
              </w:rPr>
            </w:pPr>
            <w:r>
              <w:rPr>
                <w:rFonts w:hint="eastAsia" w:ascii="宋体" w:hAnsi="宋体" w:cs="宋体"/>
                <w:sz w:val="18"/>
                <w:szCs w:val="18"/>
              </w:rPr>
              <w:t>62.9</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30.00</w:t>
            </w:r>
          </w:p>
        </w:tc>
        <w:tc>
          <w:tcPr>
            <w:tcW w:w="2090"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92.49</w:t>
            </w:r>
          </w:p>
        </w:tc>
        <w:tc>
          <w:tcPr>
            <w:tcW w:w="2091"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98.63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19" w:type="dxa"/>
            <w:vMerge w:val="continue"/>
            <w:noWrap w:val="0"/>
            <w:vAlign w:val="center"/>
          </w:tcPr>
          <w:p>
            <w:pPr>
              <w:adjustRightInd w:val="0"/>
              <w:snapToGrid w:val="0"/>
              <w:spacing w:before="50" w:after="50" w:line="360" w:lineRule="auto"/>
              <w:ind w:firstLine="360" w:firstLineChars="200"/>
              <w:jc w:val="center"/>
              <w:rPr>
                <w:rFonts w:hint="eastAsia" w:ascii="宋体" w:hAnsi="宋体" w:cs="宋体"/>
                <w:sz w:val="18"/>
                <w:szCs w:val="18"/>
              </w:rPr>
            </w:pPr>
          </w:p>
        </w:tc>
        <w:tc>
          <w:tcPr>
            <w:tcW w:w="2090" w:type="dxa"/>
            <w:noWrap w:val="0"/>
            <w:vAlign w:val="center"/>
          </w:tcPr>
          <w:p>
            <w:pPr>
              <w:adjustRightInd w:val="0"/>
              <w:snapToGrid w:val="0"/>
              <w:spacing w:before="50" w:after="50" w:line="360" w:lineRule="auto"/>
              <w:jc w:val="center"/>
              <w:rPr>
                <w:rFonts w:ascii="宋体" w:hAnsi="宋体" w:cs="宋体"/>
                <w:sz w:val="18"/>
                <w:szCs w:val="18"/>
              </w:rPr>
            </w:pPr>
            <w:r>
              <w:rPr>
                <w:rFonts w:hint="eastAsia" w:ascii="宋体" w:hAnsi="宋体" w:cs="宋体"/>
                <w:sz w:val="18"/>
                <w:szCs w:val="18"/>
              </w:rPr>
              <w:t>62.9</w:t>
            </w:r>
          </w:p>
        </w:tc>
        <w:tc>
          <w:tcPr>
            <w:tcW w:w="2090" w:type="dxa"/>
            <w:noWrap w:val="0"/>
            <w:vAlign w:val="center"/>
          </w:tcPr>
          <w:p>
            <w:pPr>
              <w:adjustRightInd w:val="0"/>
              <w:snapToGrid w:val="0"/>
              <w:spacing w:before="50" w:after="50" w:line="360" w:lineRule="auto"/>
              <w:jc w:val="center"/>
              <w:rPr>
                <w:rFonts w:hint="eastAsia" w:ascii="宋体" w:hAnsi="宋体" w:cs="宋体"/>
                <w:sz w:val="18"/>
                <w:szCs w:val="18"/>
              </w:rPr>
            </w:pPr>
            <w:r>
              <w:rPr>
                <w:rFonts w:hint="eastAsia" w:ascii="宋体" w:hAnsi="宋体" w:cs="宋体"/>
                <w:sz w:val="18"/>
                <w:szCs w:val="18"/>
              </w:rPr>
              <w:t>60.00</w:t>
            </w:r>
          </w:p>
        </w:tc>
        <w:tc>
          <w:tcPr>
            <w:tcW w:w="2090"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122.65</w:t>
            </w:r>
          </w:p>
        </w:tc>
        <w:tc>
          <w:tcPr>
            <w:tcW w:w="2091" w:type="dxa"/>
            <w:noWrap w:val="0"/>
            <w:vAlign w:val="center"/>
          </w:tcPr>
          <w:p>
            <w:pPr>
              <w:widowControl/>
              <w:spacing w:line="360" w:lineRule="auto"/>
              <w:jc w:val="center"/>
              <w:textAlignment w:val="center"/>
              <w:rPr>
                <w:rFonts w:ascii="宋体" w:hAnsi="宋体" w:cs="宋体"/>
                <w:sz w:val="18"/>
                <w:szCs w:val="18"/>
              </w:rPr>
            </w:pPr>
            <w:r>
              <w:rPr>
                <w:rFonts w:hint="eastAsia" w:ascii="宋体" w:hAnsi="宋体" w:cs="宋体"/>
                <w:sz w:val="18"/>
                <w:szCs w:val="18"/>
              </w:rPr>
              <w:t>99.58</w:t>
            </w:r>
          </w:p>
        </w:tc>
      </w:tr>
    </w:tbl>
    <w:p>
      <w:pPr>
        <w:adjustRightInd w:val="0"/>
        <w:snapToGrid w:val="0"/>
        <w:spacing w:before="50" w:after="50" w:line="360" w:lineRule="auto"/>
        <w:ind w:firstLine="420" w:firstLineChars="200"/>
        <w:rPr>
          <w:rFonts w:hint="eastAsia"/>
        </w:rPr>
      </w:pPr>
      <w:r>
        <w:rPr>
          <w:rFonts w:hint="eastAsia"/>
        </w:rPr>
        <w:t>由表12可知，铋的加标回收率为 98.63%~100.25%，本方法加标回收率好，可以满足分析要求。</w:t>
      </w:r>
    </w:p>
    <w:p>
      <w:pPr>
        <w:pStyle w:val="5"/>
        <w:bidi w:val="0"/>
        <w:rPr>
          <w:rFonts w:hint="eastAsia"/>
        </w:rPr>
      </w:pPr>
      <w:r>
        <w:rPr>
          <w:rFonts w:hint="eastAsia"/>
        </w:rPr>
        <w:t>2.6 方法比对试验</w:t>
      </w:r>
    </w:p>
    <w:p>
      <w:pPr>
        <w:adjustRightInd w:val="0"/>
        <w:snapToGrid w:val="0"/>
        <w:spacing w:before="50" w:after="50" w:line="360" w:lineRule="auto"/>
      </w:pPr>
      <w:r>
        <w:rPr>
          <w:rFonts w:hint="eastAsia"/>
        </w:rPr>
        <w:t xml:space="preserve">     将Na</w:t>
      </w:r>
      <w:r>
        <w:rPr>
          <w:rFonts w:hint="eastAsia"/>
          <w:vertAlign w:val="subscript"/>
        </w:rPr>
        <w:t>2</w:t>
      </w:r>
      <w:r>
        <w:rPr>
          <w:rFonts w:hint="eastAsia"/>
        </w:rPr>
        <w:t>EDTA滴定法结果与ICP法测定结果进行了对比，结果如表</w:t>
      </w:r>
      <w:r>
        <w:rPr>
          <w:rFonts w:hint="eastAsia"/>
          <w:lang w:val="en-US" w:eastAsia="zh-CN"/>
        </w:rPr>
        <w:t>30</w:t>
      </w:r>
      <w:r>
        <w:rPr>
          <w:rFonts w:hint="eastAsia"/>
        </w:rPr>
        <w:t>。试验表明，滴定法与ICP法测定结果基本一致。</w:t>
      </w:r>
    </w:p>
    <w:p>
      <w:pPr>
        <w:spacing w:line="360" w:lineRule="auto"/>
        <w:jc w:val="center"/>
        <w:rPr>
          <w:rFonts w:hint="eastAsia" w:ascii="宋体" w:hAnsi="宋体" w:cs="宋体"/>
          <w:bCs/>
          <w:szCs w:val="21"/>
        </w:rPr>
      </w:pPr>
      <w:r>
        <w:rPr>
          <w:rFonts w:hint="eastAsia" w:ascii="宋体" w:hAnsi="宋体" w:cs="宋体"/>
          <w:bCs/>
          <w:szCs w:val="21"/>
        </w:rPr>
        <w:t>表</w:t>
      </w:r>
      <w:r>
        <w:rPr>
          <w:rFonts w:hint="eastAsia" w:ascii="宋体" w:hAnsi="宋体" w:cs="宋体"/>
          <w:bCs/>
          <w:szCs w:val="21"/>
          <w:lang w:val="en-US" w:eastAsia="zh-CN"/>
        </w:rPr>
        <w:t>30</w:t>
      </w:r>
      <w:r>
        <w:rPr>
          <w:rFonts w:hint="eastAsia" w:ascii="宋体" w:hAnsi="宋体" w:cs="宋体"/>
          <w:bCs/>
          <w:szCs w:val="21"/>
        </w:rPr>
        <w:t xml:space="preserve"> </w:t>
      </w:r>
      <w:r>
        <w:rPr>
          <w:rFonts w:hint="eastAsia"/>
        </w:rPr>
        <w:t xml:space="preserve"> 方法比对试验</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2400"/>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noWrap w:val="0"/>
            <w:vAlign w:val="top"/>
          </w:tcPr>
          <w:p>
            <w:pPr>
              <w:spacing w:line="360" w:lineRule="auto"/>
              <w:jc w:val="center"/>
              <w:rPr>
                <w:rFonts w:hint="eastAsia" w:ascii="宋体" w:hAnsi="宋体" w:cs="宋体"/>
                <w:bCs/>
                <w:sz w:val="18"/>
                <w:szCs w:val="18"/>
              </w:rPr>
            </w:pPr>
            <w:r>
              <w:rPr>
                <w:rFonts w:hint="eastAsia" w:ascii="宋体" w:hAnsi="宋体" w:cs="宋体"/>
                <w:bCs/>
                <w:sz w:val="18"/>
                <w:szCs w:val="18"/>
              </w:rPr>
              <w:t>样品名称</w:t>
            </w:r>
          </w:p>
        </w:tc>
        <w:tc>
          <w:tcPr>
            <w:tcW w:w="2400" w:type="dxa"/>
            <w:noWrap w:val="0"/>
            <w:vAlign w:val="top"/>
          </w:tcPr>
          <w:p>
            <w:pPr>
              <w:spacing w:line="360" w:lineRule="auto"/>
              <w:jc w:val="center"/>
              <w:rPr>
                <w:rFonts w:hint="eastAsia" w:ascii="宋体" w:hAnsi="宋体" w:cs="宋体"/>
                <w:bCs/>
                <w:sz w:val="18"/>
                <w:szCs w:val="18"/>
              </w:rPr>
            </w:pPr>
            <w:r>
              <w:rPr>
                <w:rFonts w:hint="eastAsia" w:ascii="宋体" w:hAnsi="宋体" w:cs="宋体"/>
                <w:bCs/>
                <w:sz w:val="18"/>
                <w:szCs w:val="18"/>
              </w:rPr>
              <w:t>滴定法测定结果（平均值）%</w:t>
            </w:r>
          </w:p>
        </w:tc>
        <w:tc>
          <w:tcPr>
            <w:tcW w:w="3091" w:type="dxa"/>
            <w:noWrap w:val="0"/>
            <w:vAlign w:val="top"/>
          </w:tcPr>
          <w:p>
            <w:pPr>
              <w:spacing w:line="360" w:lineRule="auto"/>
              <w:jc w:val="center"/>
              <w:rPr>
                <w:rFonts w:hint="eastAsia" w:ascii="宋体" w:hAnsi="宋体" w:cs="宋体"/>
                <w:bCs/>
                <w:sz w:val="18"/>
                <w:szCs w:val="18"/>
              </w:rPr>
            </w:pPr>
            <w:r>
              <w:rPr>
                <w:rFonts w:hint="eastAsia" w:ascii="宋体" w:hAnsi="宋体" w:cs="宋体"/>
                <w:bCs/>
                <w:sz w:val="18"/>
                <w:szCs w:val="18"/>
              </w:rPr>
              <w:t>ICP法测定结果（两次平行测定）%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noWrap w:val="0"/>
            <w:vAlign w:val="top"/>
          </w:tcPr>
          <w:p>
            <w:pPr>
              <w:spacing w:line="360" w:lineRule="auto"/>
              <w:jc w:val="center"/>
              <w:rPr>
                <w:rFonts w:hint="eastAsia" w:ascii="宋体" w:hAnsi="宋体" w:cs="宋体"/>
                <w:bCs/>
                <w:sz w:val="18"/>
                <w:szCs w:val="18"/>
              </w:rPr>
            </w:pPr>
            <w:r>
              <w:rPr>
                <w:rFonts w:hint="eastAsia" w:ascii="宋体" w:hAnsi="宋体" w:cs="宋体"/>
                <w:sz w:val="18"/>
                <w:szCs w:val="18"/>
              </w:rPr>
              <w:t>YT90</w:t>
            </w:r>
          </w:p>
        </w:tc>
        <w:tc>
          <w:tcPr>
            <w:tcW w:w="2400" w:type="dxa"/>
            <w:noWrap w:val="0"/>
            <w:vAlign w:val="center"/>
          </w:tcPr>
          <w:p>
            <w:pPr>
              <w:widowControl/>
              <w:spacing w:line="360" w:lineRule="auto"/>
              <w:jc w:val="center"/>
              <w:textAlignment w:val="center"/>
              <w:rPr>
                <w:rFonts w:hint="eastAsia" w:ascii="宋体" w:hAnsi="宋体" w:cs="宋体"/>
                <w:bCs/>
                <w:sz w:val="18"/>
                <w:szCs w:val="18"/>
              </w:rPr>
            </w:pPr>
            <w:r>
              <w:rPr>
                <w:rFonts w:hint="eastAsia" w:ascii="宋体"/>
                <w:sz w:val="18"/>
                <w:szCs w:val="18"/>
              </w:rPr>
              <w:t>4.54</w:t>
            </w:r>
          </w:p>
        </w:tc>
        <w:tc>
          <w:tcPr>
            <w:tcW w:w="3091" w:type="dxa"/>
            <w:noWrap w:val="0"/>
            <w:vAlign w:val="top"/>
          </w:tcPr>
          <w:p>
            <w:pPr>
              <w:spacing w:line="360" w:lineRule="auto"/>
              <w:jc w:val="center"/>
              <w:rPr>
                <w:rFonts w:ascii="宋体" w:hAnsi="宋体" w:cs="宋体"/>
                <w:bCs/>
                <w:sz w:val="18"/>
                <w:szCs w:val="18"/>
              </w:rPr>
            </w:pPr>
            <w:r>
              <w:rPr>
                <w:rFonts w:hint="eastAsia" w:ascii="宋体" w:hAnsi="宋体" w:cs="宋体"/>
                <w:bCs/>
                <w:sz w:val="18"/>
                <w:szCs w:val="18"/>
              </w:rPr>
              <w:t>4.51   4.47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noWrap w:val="0"/>
            <w:vAlign w:val="top"/>
          </w:tcPr>
          <w:p>
            <w:pPr>
              <w:spacing w:line="360" w:lineRule="auto"/>
              <w:jc w:val="center"/>
              <w:rPr>
                <w:rFonts w:hint="eastAsia" w:ascii="宋体" w:hAnsi="宋体" w:cs="宋体"/>
                <w:bCs/>
                <w:sz w:val="18"/>
                <w:szCs w:val="18"/>
              </w:rPr>
            </w:pPr>
            <w:r>
              <w:rPr>
                <w:rFonts w:hint="eastAsia" w:ascii="宋体" w:hAnsi="宋体" w:cs="宋体"/>
                <w:sz w:val="18"/>
                <w:szCs w:val="18"/>
              </w:rPr>
              <w:t>YT88</w:t>
            </w:r>
          </w:p>
        </w:tc>
        <w:tc>
          <w:tcPr>
            <w:tcW w:w="2400" w:type="dxa"/>
            <w:noWrap w:val="0"/>
            <w:vAlign w:val="center"/>
          </w:tcPr>
          <w:p>
            <w:pPr>
              <w:widowControl/>
              <w:spacing w:line="360" w:lineRule="auto"/>
              <w:jc w:val="center"/>
              <w:textAlignment w:val="center"/>
              <w:rPr>
                <w:rFonts w:hint="eastAsia" w:ascii="宋体" w:hAnsi="宋体" w:cs="宋体"/>
                <w:bCs/>
                <w:sz w:val="18"/>
                <w:szCs w:val="18"/>
              </w:rPr>
            </w:pPr>
            <w:r>
              <w:rPr>
                <w:rFonts w:hint="eastAsia" w:ascii="宋体" w:hAnsi="宋体" w:cs="宋体"/>
                <w:kern w:val="0"/>
                <w:sz w:val="18"/>
                <w:szCs w:val="18"/>
                <w:lang w:bidi="ar"/>
              </w:rPr>
              <w:t>6.29</w:t>
            </w:r>
          </w:p>
        </w:tc>
        <w:tc>
          <w:tcPr>
            <w:tcW w:w="3091" w:type="dxa"/>
            <w:noWrap w:val="0"/>
            <w:vAlign w:val="top"/>
          </w:tcPr>
          <w:p>
            <w:pPr>
              <w:spacing w:line="360" w:lineRule="auto"/>
              <w:jc w:val="center"/>
              <w:rPr>
                <w:rFonts w:ascii="宋体" w:hAnsi="宋体" w:cs="宋体"/>
                <w:bCs/>
                <w:sz w:val="18"/>
                <w:szCs w:val="18"/>
              </w:rPr>
            </w:pPr>
            <w:r>
              <w:rPr>
                <w:rFonts w:hint="eastAsia" w:ascii="宋体" w:hAnsi="宋体" w:cs="宋体"/>
                <w:bCs/>
                <w:sz w:val="18"/>
                <w:szCs w:val="18"/>
              </w:rPr>
              <w:t>6.33   6.38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66" w:type="dxa"/>
            <w:noWrap w:val="0"/>
            <w:vAlign w:val="center"/>
          </w:tcPr>
          <w:p>
            <w:pPr>
              <w:pStyle w:val="112"/>
              <w:spacing w:line="360" w:lineRule="auto"/>
              <w:ind w:firstLine="0" w:firstLineChars="0"/>
              <w:jc w:val="center"/>
              <w:rPr>
                <w:rFonts w:hint="eastAsia" w:ascii="宋体" w:hAnsi="宋体" w:cs="宋体"/>
                <w:bCs/>
                <w:sz w:val="18"/>
                <w:szCs w:val="18"/>
              </w:rPr>
            </w:pPr>
            <w:r>
              <w:rPr>
                <w:rFonts w:hint="eastAsia" w:ascii="宋体" w:hAnsi="宋体" w:cs="宋体"/>
                <w:sz w:val="18"/>
                <w:szCs w:val="18"/>
              </w:rPr>
              <w:t>YT88</w:t>
            </w:r>
          </w:p>
        </w:tc>
        <w:tc>
          <w:tcPr>
            <w:tcW w:w="2400" w:type="dxa"/>
            <w:noWrap w:val="0"/>
            <w:vAlign w:val="center"/>
          </w:tcPr>
          <w:p>
            <w:pPr>
              <w:widowControl/>
              <w:spacing w:line="360" w:lineRule="auto"/>
              <w:jc w:val="center"/>
              <w:textAlignment w:val="center"/>
              <w:rPr>
                <w:rFonts w:hint="eastAsia" w:ascii="宋体" w:hAnsi="宋体" w:cs="宋体"/>
                <w:bCs/>
                <w:sz w:val="18"/>
                <w:szCs w:val="18"/>
              </w:rPr>
            </w:pPr>
            <w:r>
              <w:rPr>
                <w:rFonts w:hint="eastAsia" w:ascii="宋体"/>
                <w:sz w:val="18"/>
                <w:szCs w:val="18"/>
              </w:rPr>
              <w:t>9.44</w:t>
            </w:r>
          </w:p>
        </w:tc>
        <w:tc>
          <w:tcPr>
            <w:tcW w:w="3091" w:type="dxa"/>
            <w:noWrap w:val="0"/>
            <w:vAlign w:val="top"/>
          </w:tcPr>
          <w:p>
            <w:pPr>
              <w:spacing w:line="360" w:lineRule="auto"/>
              <w:jc w:val="center"/>
              <w:rPr>
                <w:rFonts w:ascii="宋体" w:hAnsi="宋体" w:cs="宋体"/>
                <w:bCs/>
                <w:sz w:val="18"/>
                <w:szCs w:val="18"/>
              </w:rPr>
            </w:pPr>
            <w:r>
              <w:rPr>
                <w:rFonts w:hint="eastAsia" w:ascii="宋体" w:hAnsi="宋体" w:cs="宋体"/>
                <w:bCs/>
                <w:sz w:val="18"/>
                <w:szCs w:val="18"/>
              </w:rPr>
              <w:t>9.46   9.42</w:t>
            </w:r>
          </w:p>
        </w:tc>
      </w:tr>
    </w:tbl>
    <w:p>
      <w:pPr>
        <w:autoSpaceDE w:val="0"/>
        <w:autoSpaceDN w:val="0"/>
        <w:adjustRightInd w:val="0"/>
        <w:spacing w:line="360" w:lineRule="auto"/>
        <w:ind w:right="159"/>
        <w:rPr>
          <w:szCs w:val="21"/>
        </w:rPr>
      </w:pPr>
    </w:p>
    <w:p>
      <w:pPr>
        <w:pStyle w:val="5"/>
        <w:bidi w:val="0"/>
      </w:pPr>
      <w:r>
        <w:rPr>
          <w:rFonts w:hint="eastAsia"/>
        </w:rPr>
        <w:t>3.3 验证试验结果</w:t>
      </w:r>
    </w:p>
    <w:p>
      <w:pPr>
        <w:spacing w:line="360" w:lineRule="auto"/>
        <w:ind w:firstLine="210" w:firstLineChars="100"/>
        <w:rPr>
          <w:sz w:val="21"/>
          <w:szCs w:val="21"/>
        </w:rPr>
      </w:pPr>
      <w:r>
        <w:rPr>
          <w:rFonts w:hint="eastAsia"/>
          <w:sz w:val="21"/>
          <w:szCs w:val="21"/>
        </w:rPr>
        <w:t>在精密度试验方面，方法1 中8个实验室对5个水平的样品进行试验（表3</w:t>
      </w:r>
      <w:r>
        <w:rPr>
          <w:rFonts w:hint="eastAsia"/>
          <w:sz w:val="21"/>
          <w:szCs w:val="21"/>
          <w:lang w:val="en-US" w:eastAsia="zh-CN"/>
        </w:rPr>
        <w:t>1</w:t>
      </w:r>
      <w:r>
        <w:rPr>
          <w:rFonts w:hint="eastAsia"/>
          <w:sz w:val="21"/>
          <w:szCs w:val="21"/>
        </w:rPr>
        <w:t>），方法2 中8个实验室对3个水平的样品进行试验（表</w:t>
      </w:r>
      <w:r>
        <w:rPr>
          <w:rFonts w:hint="eastAsia"/>
          <w:sz w:val="21"/>
          <w:szCs w:val="21"/>
          <w:lang w:val="en-US" w:eastAsia="zh-CN"/>
        </w:rPr>
        <w:t>32</w:t>
      </w:r>
      <w:r>
        <w:rPr>
          <w:rFonts w:hint="eastAsia"/>
          <w:sz w:val="21"/>
          <w:szCs w:val="21"/>
        </w:rPr>
        <w:t>）.根据国家标准GB/T 6379.2-2004确定标准测量方法的重复性和再现性的基本方法（ISO 5725-2：1994，IDT）的规定，对收到的全部数据进行了统计分析,计算得到重复性限和再现性限。原始数据及统计结果方法1见附件1；方法2见附件2</w:t>
      </w:r>
      <w:r>
        <w:rPr>
          <w:rFonts w:hint="eastAsia" w:hAnsi="宋体"/>
          <w:kern w:val="0"/>
          <w:sz w:val="21"/>
          <w:szCs w:val="21"/>
        </w:rPr>
        <w:t>。</w:t>
      </w:r>
    </w:p>
    <w:p>
      <w:pPr>
        <w:spacing w:line="360" w:lineRule="auto"/>
        <w:ind w:firstLine="210" w:firstLineChars="100"/>
        <w:rPr>
          <w:sz w:val="21"/>
          <w:szCs w:val="21"/>
        </w:rPr>
      </w:pPr>
    </w:p>
    <w:p>
      <w:pPr>
        <w:pStyle w:val="3"/>
        <w:spacing w:line="360" w:lineRule="auto"/>
        <w:jc w:val="center"/>
        <w:rPr>
          <w:sz w:val="24"/>
          <w:szCs w:val="24"/>
        </w:rPr>
      </w:pPr>
      <w:r>
        <w:rPr>
          <w:sz w:val="24"/>
          <w:szCs w:val="24"/>
        </w:rPr>
        <w:t>表</w:t>
      </w:r>
      <w:r>
        <w:rPr>
          <w:rFonts w:hint="eastAsia"/>
          <w:sz w:val="24"/>
          <w:szCs w:val="24"/>
        </w:rPr>
        <w:t>3</w:t>
      </w:r>
      <w:r>
        <w:rPr>
          <w:rFonts w:hint="eastAsia"/>
          <w:sz w:val="24"/>
          <w:szCs w:val="24"/>
          <w:lang w:val="en-US" w:eastAsia="zh-CN"/>
        </w:rPr>
        <w:t>1</w:t>
      </w:r>
      <w:r>
        <w:rPr>
          <w:rFonts w:hint="eastAsia"/>
          <w:sz w:val="24"/>
          <w:szCs w:val="24"/>
        </w:rPr>
        <w:t>火焰原子吸收光谱法</w:t>
      </w:r>
      <w:r>
        <w:rPr>
          <w:sz w:val="24"/>
          <w:szCs w:val="24"/>
        </w:rPr>
        <w:t>协同试验的实验室编号</w:t>
      </w:r>
    </w:p>
    <w:tbl>
      <w:tblPr>
        <w:tblStyle w:val="37"/>
        <w:tblW w:w="5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4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sz w:val="24"/>
                <w:szCs w:val="24"/>
              </w:rPr>
            </w:pPr>
            <w:r>
              <w:rPr>
                <w:sz w:val="24"/>
                <w:szCs w:val="24"/>
              </w:rPr>
              <w:t>编号</w:t>
            </w:r>
          </w:p>
        </w:tc>
        <w:tc>
          <w:tcPr>
            <w:tcW w:w="4779" w:type="dxa"/>
            <w:vAlign w:val="center"/>
          </w:tcPr>
          <w:p>
            <w:pPr>
              <w:spacing w:line="360" w:lineRule="auto"/>
              <w:jc w:val="center"/>
              <w:rPr>
                <w:sz w:val="24"/>
                <w:szCs w:val="24"/>
              </w:rPr>
            </w:pPr>
            <w:r>
              <w:rPr>
                <w:sz w:val="24"/>
                <w:szCs w:val="24"/>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sz w:val="24"/>
                <w:szCs w:val="24"/>
              </w:rPr>
            </w:pPr>
            <w:r>
              <w:rPr>
                <w:rFonts w:hint="eastAsia"/>
                <w:sz w:val="24"/>
                <w:szCs w:val="24"/>
              </w:rPr>
              <w:t>1</w:t>
            </w:r>
          </w:p>
        </w:tc>
        <w:tc>
          <w:tcPr>
            <w:tcW w:w="4779" w:type="dxa"/>
            <w:vAlign w:val="center"/>
          </w:tcPr>
          <w:p>
            <w:pPr>
              <w:spacing w:line="360" w:lineRule="auto"/>
              <w:jc w:val="center"/>
              <w:rPr>
                <w:sz w:val="24"/>
                <w:szCs w:val="24"/>
              </w:rPr>
            </w:pPr>
            <w:r>
              <w:rPr>
                <w:rFonts w:hint="eastAsia"/>
                <w:sz w:val="24"/>
                <w:szCs w:val="24"/>
              </w:rPr>
              <w:t>广西中检检测技术服务有限公司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sz w:val="24"/>
                <w:szCs w:val="24"/>
              </w:rPr>
            </w:pPr>
            <w:r>
              <w:rPr>
                <w:rFonts w:hint="eastAsia"/>
                <w:sz w:val="24"/>
                <w:szCs w:val="24"/>
              </w:rPr>
              <w:t>2</w:t>
            </w:r>
          </w:p>
        </w:tc>
        <w:tc>
          <w:tcPr>
            <w:tcW w:w="4779" w:type="dxa"/>
            <w:vAlign w:val="center"/>
          </w:tcPr>
          <w:p>
            <w:pPr>
              <w:spacing w:line="360" w:lineRule="auto"/>
              <w:jc w:val="center"/>
              <w:rPr>
                <w:rFonts w:hint="eastAsia" w:eastAsia="宋体"/>
                <w:sz w:val="24"/>
                <w:szCs w:val="24"/>
                <w:lang w:eastAsia="zh-CN"/>
              </w:rPr>
            </w:pPr>
            <w:r>
              <w:rPr>
                <w:rFonts w:hint="eastAsia"/>
                <w:sz w:val="24"/>
                <w:szCs w:val="24"/>
                <w:lang w:eastAsia="zh-CN"/>
              </w:rPr>
              <w:t>西安汉唐分析检测有限公司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sz w:val="24"/>
                <w:szCs w:val="24"/>
              </w:rPr>
            </w:pPr>
            <w:r>
              <w:rPr>
                <w:rFonts w:hint="eastAsia"/>
                <w:sz w:val="24"/>
                <w:szCs w:val="24"/>
              </w:rPr>
              <w:t>3</w:t>
            </w:r>
          </w:p>
        </w:tc>
        <w:tc>
          <w:tcPr>
            <w:tcW w:w="4779" w:type="dxa"/>
            <w:vAlign w:val="center"/>
          </w:tcPr>
          <w:p>
            <w:pPr>
              <w:spacing w:line="360" w:lineRule="auto"/>
              <w:jc w:val="center"/>
              <w:rPr>
                <w:sz w:val="24"/>
                <w:szCs w:val="24"/>
              </w:rPr>
            </w:pPr>
            <w:r>
              <w:rPr>
                <w:sz w:val="24"/>
                <w:szCs w:val="24"/>
              </w:rPr>
              <w:t>云南锡业股份有限公司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sz w:val="24"/>
                <w:szCs w:val="24"/>
              </w:rPr>
            </w:pPr>
            <w:r>
              <w:rPr>
                <w:rFonts w:hint="eastAsia"/>
                <w:sz w:val="24"/>
                <w:szCs w:val="24"/>
              </w:rPr>
              <w:t>4</w:t>
            </w:r>
          </w:p>
        </w:tc>
        <w:tc>
          <w:tcPr>
            <w:tcW w:w="4779" w:type="dxa"/>
            <w:vAlign w:val="center"/>
          </w:tcPr>
          <w:p>
            <w:pPr>
              <w:spacing w:line="360" w:lineRule="auto"/>
              <w:jc w:val="center"/>
              <w:rPr>
                <w:sz w:val="24"/>
                <w:szCs w:val="24"/>
              </w:rPr>
            </w:pPr>
            <w:r>
              <w:rPr>
                <w:kern w:val="0"/>
                <w:sz w:val="24"/>
                <w:szCs w:val="24"/>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sz w:val="24"/>
                <w:szCs w:val="24"/>
              </w:rPr>
            </w:pPr>
            <w:r>
              <w:rPr>
                <w:rFonts w:hint="eastAsia"/>
                <w:sz w:val="24"/>
                <w:szCs w:val="24"/>
              </w:rPr>
              <w:t>5</w:t>
            </w:r>
          </w:p>
        </w:tc>
        <w:tc>
          <w:tcPr>
            <w:tcW w:w="4779" w:type="dxa"/>
            <w:vAlign w:val="center"/>
          </w:tcPr>
          <w:p>
            <w:pPr>
              <w:spacing w:line="360" w:lineRule="auto"/>
              <w:jc w:val="center"/>
              <w:rPr>
                <w:sz w:val="24"/>
                <w:szCs w:val="24"/>
              </w:rPr>
            </w:pPr>
            <w:r>
              <w:rPr>
                <w:kern w:val="0"/>
                <w:sz w:val="24"/>
                <w:szCs w:val="24"/>
              </w:rPr>
              <w:t>昆明冶金研究院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rFonts w:hint="eastAsia" w:eastAsia="宋体"/>
                <w:sz w:val="24"/>
                <w:szCs w:val="24"/>
                <w:lang w:val="en-US" w:eastAsia="zh-CN"/>
              </w:rPr>
            </w:pPr>
            <w:r>
              <w:rPr>
                <w:rFonts w:hint="eastAsia"/>
                <w:sz w:val="24"/>
                <w:szCs w:val="24"/>
                <w:lang w:val="en-US" w:eastAsia="zh-CN"/>
              </w:rPr>
              <w:t>6</w:t>
            </w:r>
          </w:p>
        </w:tc>
        <w:tc>
          <w:tcPr>
            <w:tcW w:w="4779" w:type="dxa"/>
            <w:vAlign w:val="center"/>
          </w:tcPr>
          <w:p>
            <w:pPr>
              <w:spacing w:line="360" w:lineRule="auto"/>
              <w:jc w:val="center"/>
              <w:rPr>
                <w:kern w:val="0"/>
                <w:sz w:val="24"/>
                <w:szCs w:val="24"/>
              </w:rPr>
            </w:pPr>
            <w:bookmarkStart w:id="5" w:name="OLE_LINK2"/>
            <w:r>
              <w:rPr>
                <w:rFonts w:hint="default" w:ascii="Times New Roman" w:hAnsi="Times New Roman" w:cs="Times New Roman"/>
                <w:szCs w:val="22"/>
              </w:rPr>
              <w:t>大冶有色设计研究院有限公司</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rFonts w:hint="eastAsia" w:eastAsia="宋体"/>
                <w:sz w:val="24"/>
                <w:szCs w:val="24"/>
                <w:lang w:eastAsia="zh-CN"/>
              </w:rPr>
            </w:pPr>
            <w:r>
              <w:rPr>
                <w:rFonts w:hint="eastAsia"/>
                <w:sz w:val="24"/>
                <w:szCs w:val="24"/>
                <w:lang w:val="en-US" w:eastAsia="zh-CN"/>
              </w:rPr>
              <w:t>7</w:t>
            </w:r>
          </w:p>
        </w:tc>
        <w:tc>
          <w:tcPr>
            <w:tcW w:w="4779" w:type="dxa"/>
            <w:vAlign w:val="center"/>
          </w:tcPr>
          <w:p>
            <w:pPr>
              <w:spacing w:line="360" w:lineRule="auto"/>
              <w:jc w:val="center"/>
              <w:rPr>
                <w:sz w:val="24"/>
                <w:szCs w:val="24"/>
              </w:rPr>
            </w:pPr>
            <w:r>
              <w:rPr>
                <w:kern w:val="0"/>
                <w:sz w:val="24"/>
                <w:szCs w:val="24"/>
              </w:rPr>
              <w:t>紫金铜业有限公司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4" w:type="dxa"/>
            <w:vAlign w:val="center"/>
          </w:tcPr>
          <w:p>
            <w:pPr>
              <w:spacing w:line="360" w:lineRule="auto"/>
              <w:jc w:val="center"/>
              <w:rPr>
                <w:rFonts w:hint="eastAsia" w:eastAsia="宋体"/>
                <w:sz w:val="24"/>
                <w:szCs w:val="24"/>
                <w:lang w:eastAsia="zh-CN"/>
              </w:rPr>
            </w:pPr>
            <w:r>
              <w:rPr>
                <w:rFonts w:hint="eastAsia"/>
                <w:sz w:val="24"/>
                <w:szCs w:val="24"/>
                <w:lang w:val="en-US" w:eastAsia="zh-CN"/>
              </w:rPr>
              <w:t>8</w:t>
            </w:r>
          </w:p>
        </w:tc>
        <w:tc>
          <w:tcPr>
            <w:tcW w:w="4779" w:type="dxa"/>
            <w:vAlign w:val="center"/>
          </w:tcPr>
          <w:p>
            <w:pPr>
              <w:spacing w:line="360" w:lineRule="auto"/>
              <w:jc w:val="center"/>
              <w:rPr>
                <w:sz w:val="24"/>
                <w:szCs w:val="24"/>
              </w:rPr>
            </w:pPr>
            <w:r>
              <w:rPr>
                <w:sz w:val="24"/>
                <w:szCs w:val="24"/>
              </w:rPr>
              <w:t>防城港市东途矿产检测有限公司</w:t>
            </w:r>
          </w:p>
        </w:tc>
      </w:tr>
    </w:tbl>
    <w:p>
      <w:pPr>
        <w:pStyle w:val="3"/>
        <w:spacing w:line="360" w:lineRule="auto"/>
        <w:jc w:val="center"/>
        <w:rPr>
          <w:rFonts w:hint="eastAsia" w:ascii="宋体" w:hAnsi="宋体"/>
          <w:sz w:val="24"/>
          <w:szCs w:val="24"/>
        </w:rPr>
      </w:pPr>
    </w:p>
    <w:p>
      <w:pPr>
        <w:pStyle w:val="3"/>
        <w:spacing w:line="360" w:lineRule="auto"/>
        <w:jc w:val="center"/>
        <w:rPr>
          <w:rFonts w:ascii="黑体" w:hAnsi="黑体"/>
          <w:sz w:val="24"/>
          <w:szCs w:val="24"/>
        </w:rPr>
      </w:pPr>
      <w:r>
        <w:rPr>
          <w:rFonts w:hint="eastAsia" w:ascii="宋体" w:hAnsi="宋体"/>
          <w:sz w:val="24"/>
          <w:szCs w:val="24"/>
        </w:rPr>
        <w:t>表</w:t>
      </w:r>
      <w:r>
        <w:rPr>
          <w:rFonts w:hint="eastAsia" w:ascii="宋体" w:hAnsi="宋体"/>
          <w:sz w:val="24"/>
          <w:szCs w:val="24"/>
          <w:lang w:val="en-US" w:eastAsia="zh-CN"/>
        </w:rPr>
        <w:t xml:space="preserve">32 </w:t>
      </w:r>
      <w:r>
        <w:rPr>
          <w:rFonts w:hint="eastAsia"/>
          <w:color w:val="auto"/>
          <w:sz w:val="24"/>
          <w:szCs w:val="24"/>
        </w:rPr>
        <w:t>Na</w:t>
      </w:r>
      <w:r>
        <w:rPr>
          <w:rFonts w:hint="eastAsia"/>
          <w:color w:val="auto"/>
          <w:sz w:val="24"/>
          <w:szCs w:val="24"/>
          <w:vertAlign w:val="subscript"/>
        </w:rPr>
        <w:t>2</w:t>
      </w:r>
      <w:r>
        <w:rPr>
          <w:rFonts w:hint="eastAsia"/>
          <w:color w:val="auto"/>
          <w:sz w:val="24"/>
          <w:szCs w:val="24"/>
        </w:rPr>
        <w:t>EDTA滴定法</w:t>
      </w:r>
      <w:r>
        <w:rPr>
          <w:rFonts w:ascii="黑体" w:hAnsi="黑体"/>
          <w:sz w:val="24"/>
          <w:szCs w:val="24"/>
        </w:rPr>
        <w:t>协同试验的实验室编号</w:t>
      </w:r>
    </w:p>
    <w:tbl>
      <w:tblPr>
        <w:tblStyle w:val="37"/>
        <w:tblW w:w="7470" w:type="dxa"/>
        <w:tblInd w:w="8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编号</w:t>
            </w:r>
          </w:p>
        </w:tc>
        <w:tc>
          <w:tcPr>
            <w:tcW w:w="6076" w:type="dxa"/>
            <w:noWrap/>
            <w:vAlign w:val="center"/>
          </w:tcPr>
          <w:p>
            <w:pPr>
              <w:pStyle w:val="24"/>
              <w:spacing w:line="360" w:lineRule="auto"/>
              <w:jc w:val="center"/>
              <w:rPr>
                <w:rFonts w:hAnsi="宋体"/>
                <w:kern w:val="0"/>
              </w:rPr>
            </w:pPr>
            <w:r>
              <w:rPr>
                <w:rFonts w:hAnsi="宋体"/>
                <w:kern w:val="0"/>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1</w:t>
            </w:r>
          </w:p>
        </w:tc>
        <w:tc>
          <w:tcPr>
            <w:tcW w:w="6076" w:type="dxa"/>
            <w:noWrap/>
            <w:vAlign w:val="center"/>
          </w:tcPr>
          <w:p>
            <w:pPr>
              <w:widowControl/>
              <w:spacing w:line="360" w:lineRule="auto"/>
              <w:jc w:val="center"/>
              <w:rPr>
                <w:rFonts w:ascii="宋体" w:hAnsi="宋体"/>
                <w:szCs w:val="21"/>
              </w:rPr>
            </w:pPr>
            <w:r>
              <w:rPr>
                <w:rFonts w:hint="eastAsia" w:ascii="宋体" w:hAnsi="宋体" w:cs="宋体"/>
                <w:kern w:val="0"/>
                <w:szCs w:val="21"/>
              </w:rPr>
              <w:t>北矿检测技术有限公司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2</w:t>
            </w:r>
          </w:p>
        </w:tc>
        <w:tc>
          <w:tcPr>
            <w:tcW w:w="6076" w:type="dxa"/>
            <w:noWrap/>
            <w:vAlign w:val="center"/>
          </w:tcPr>
          <w:p>
            <w:pPr>
              <w:widowControl/>
              <w:spacing w:line="360" w:lineRule="auto"/>
              <w:jc w:val="center"/>
              <w:rPr>
                <w:rFonts w:ascii="宋体" w:hAnsi="宋体"/>
              </w:rPr>
            </w:pPr>
            <w:r>
              <w:rPr>
                <w:rFonts w:hint="eastAsia"/>
              </w:rPr>
              <w:t>云锡股份有限公司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3</w:t>
            </w:r>
          </w:p>
        </w:tc>
        <w:tc>
          <w:tcPr>
            <w:tcW w:w="6076" w:type="dxa"/>
            <w:noWrap/>
            <w:vAlign w:val="center"/>
          </w:tcPr>
          <w:p>
            <w:pPr>
              <w:widowControl/>
              <w:spacing w:line="360" w:lineRule="auto"/>
              <w:jc w:val="center"/>
              <w:rPr>
                <w:rFonts w:ascii="宋体" w:hAnsi="宋体" w:cs="宋体"/>
                <w:kern w:val="0"/>
                <w:szCs w:val="21"/>
              </w:rPr>
            </w:pPr>
            <w:r>
              <w:rPr>
                <w:rFonts w:hint="eastAsia"/>
              </w:rPr>
              <w:t>大冶有色金属有限责任公司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4</w:t>
            </w:r>
          </w:p>
        </w:tc>
        <w:tc>
          <w:tcPr>
            <w:tcW w:w="6076" w:type="dxa"/>
            <w:noWrap/>
            <w:vAlign w:val="center"/>
          </w:tcPr>
          <w:p>
            <w:pPr>
              <w:widowControl/>
              <w:spacing w:line="360" w:lineRule="auto"/>
              <w:jc w:val="center"/>
              <w:rPr>
                <w:rFonts w:ascii="宋体" w:hAnsi="宋体" w:cs="宋体"/>
                <w:kern w:val="0"/>
                <w:szCs w:val="21"/>
              </w:rPr>
            </w:pPr>
            <w:r>
              <w:rPr>
                <w:rFonts w:hint="eastAsia"/>
              </w:rPr>
              <w:t>有研工程技术研究院有限公司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5</w:t>
            </w:r>
          </w:p>
        </w:tc>
        <w:tc>
          <w:tcPr>
            <w:tcW w:w="6076" w:type="dxa"/>
            <w:noWrap/>
            <w:vAlign w:val="center"/>
          </w:tcPr>
          <w:p>
            <w:pPr>
              <w:spacing w:line="360" w:lineRule="auto"/>
              <w:ind w:right="-105" w:rightChars="-50"/>
              <w:jc w:val="center"/>
              <w:rPr>
                <w:rFonts w:ascii="宋体" w:hAnsi="宋体"/>
                <w:szCs w:val="21"/>
              </w:rPr>
            </w:pPr>
            <w:r>
              <w:rPr>
                <w:rFonts w:hint="eastAsia"/>
              </w:rPr>
              <w:t>湖南柿竹园有色金属有限责任公司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6</w:t>
            </w:r>
          </w:p>
        </w:tc>
        <w:tc>
          <w:tcPr>
            <w:tcW w:w="6076" w:type="dxa"/>
            <w:noWrap/>
            <w:vAlign w:val="center"/>
          </w:tcPr>
          <w:p>
            <w:pPr>
              <w:widowControl/>
              <w:spacing w:line="360" w:lineRule="auto"/>
              <w:jc w:val="center"/>
              <w:rPr>
                <w:rFonts w:ascii="宋体" w:hAnsi="宋体"/>
                <w:szCs w:val="21"/>
              </w:rPr>
            </w:pPr>
            <w:r>
              <w:rPr>
                <w:rFonts w:hint="eastAsia"/>
              </w:rPr>
              <w:t>福建紫金矿冶测试技术有限公司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7</w:t>
            </w:r>
          </w:p>
        </w:tc>
        <w:tc>
          <w:tcPr>
            <w:tcW w:w="6076" w:type="dxa"/>
            <w:noWrap/>
            <w:vAlign w:val="center"/>
          </w:tcPr>
          <w:p>
            <w:pPr>
              <w:widowControl/>
              <w:spacing w:line="360" w:lineRule="auto"/>
              <w:jc w:val="center"/>
              <w:rPr>
                <w:rFonts w:ascii="宋体" w:hAnsi="宋体"/>
                <w:szCs w:val="21"/>
              </w:rPr>
            </w:pPr>
            <w:r>
              <w:rPr>
                <w:rFonts w:hint="eastAsia"/>
              </w:rPr>
              <w:t>富民薪冶工贸有限公司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94" w:type="dxa"/>
            <w:noWrap/>
            <w:vAlign w:val="center"/>
          </w:tcPr>
          <w:p>
            <w:pPr>
              <w:pStyle w:val="24"/>
              <w:spacing w:line="360" w:lineRule="auto"/>
              <w:jc w:val="center"/>
              <w:rPr>
                <w:rFonts w:hAnsi="宋体"/>
                <w:kern w:val="0"/>
              </w:rPr>
            </w:pPr>
            <w:r>
              <w:rPr>
                <w:rFonts w:hAnsi="宋体"/>
                <w:kern w:val="0"/>
              </w:rPr>
              <w:t>8</w:t>
            </w:r>
          </w:p>
        </w:tc>
        <w:tc>
          <w:tcPr>
            <w:tcW w:w="6076" w:type="dxa"/>
            <w:noWrap/>
            <w:vAlign w:val="center"/>
          </w:tcPr>
          <w:p>
            <w:pPr>
              <w:widowControl/>
              <w:spacing w:line="360" w:lineRule="auto"/>
              <w:jc w:val="center"/>
              <w:rPr>
                <w:rFonts w:ascii="宋体" w:hAnsi="宋体"/>
                <w:szCs w:val="21"/>
              </w:rPr>
            </w:pPr>
            <w:r>
              <w:rPr>
                <w:rFonts w:hint="eastAsia"/>
              </w:rPr>
              <w:t>紫金铜业有限公司</w:t>
            </w:r>
          </w:p>
        </w:tc>
      </w:tr>
    </w:tbl>
    <w:p>
      <w:pPr>
        <w:pStyle w:val="3"/>
        <w:spacing w:line="360" w:lineRule="auto"/>
        <w:rPr>
          <w:rFonts w:hint="eastAsia"/>
          <w:b w:val="0"/>
          <w:sz w:val="24"/>
          <w:szCs w:val="24"/>
        </w:rPr>
      </w:pPr>
    </w:p>
    <w:p>
      <w:pPr>
        <w:pStyle w:val="5"/>
        <w:bidi w:val="0"/>
      </w:pPr>
      <w:r>
        <w:rPr>
          <w:rFonts w:hint="eastAsia"/>
        </w:rPr>
        <w:t>3.4重复性和再现性</w:t>
      </w:r>
    </w:p>
    <w:p>
      <w:pPr>
        <w:pStyle w:val="5"/>
        <w:bidi w:val="0"/>
      </w:pPr>
      <w:r>
        <w:rPr>
          <w:rFonts w:hint="eastAsia"/>
        </w:rPr>
        <w:t>3.4.1 重复性</w:t>
      </w:r>
    </w:p>
    <w:p>
      <w:pPr>
        <w:spacing w:line="360" w:lineRule="auto"/>
        <w:ind w:firstLine="240" w:firstLineChars="100"/>
        <w:rPr>
          <w:sz w:val="24"/>
          <w:szCs w:val="24"/>
        </w:rPr>
      </w:pPr>
      <w:r>
        <w:rPr>
          <w:rFonts w:hint="eastAsia"/>
          <w:sz w:val="24"/>
          <w:szCs w:val="24"/>
        </w:rPr>
        <w:t xml:space="preserve"> 在重复性条件下获得的两次独立测试结果的测定值，在以下给出的平均值范围内，这两个测试结果的绝对差值不超过重复性限(r)，以大于重复性限(r)的情况不超过5%为前提。重复性限（r）按表</w:t>
      </w:r>
      <w:r>
        <w:rPr>
          <w:rFonts w:hint="eastAsia"/>
          <w:sz w:val="24"/>
          <w:szCs w:val="24"/>
          <w:lang w:val="en-US" w:eastAsia="zh-CN"/>
        </w:rPr>
        <w:t>33</w:t>
      </w:r>
      <w:r>
        <w:rPr>
          <w:rFonts w:hint="eastAsia"/>
          <w:sz w:val="24"/>
          <w:szCs w:val="24"/>
        </w:rPr>
        <w:t>、表</w:t>
      </w:r>
      <w:r>
        <w:rPr>
          <w:rFonts w:hint="eastAsia"/>
          <w:sz w:val="24"/>
          <w:szCs w:val="24"/>
          <w:lang w:val="en-US" w:eastAsia="zh-CN"/>
        </w:rPr>
        <w:t>34</w:t>
      </w:r>
      <w:r>
        <w:rPr>
          <w:rFonts w:hint="eastAsia"/>
          <w:sz w:val="24"/>
          <w:szCs w:val="24"/>
        </w:rPr>
        <w:t>采用线性内插法求得。</w:t>
      </w:r>
    </w:p>
    <w:p>
      <w:pPr>
        <w:pStyle w:val="3"/>
        <w:spacing w:line="360" w:lineRule="auto"/>
        <w:jc w:val="center"/>
        <w:rPr>
          <w:b w:val="0"/>
          <w:bCs/>
          <w:sz w:val="24"/>
          <w:szCs w:val="24"/>
        </w:rPr>
      </w:pPr>
      <w:r>
        <w:rPr>
          <w:b w:val="0"/>
          <w:bCs/>
          <w:sz w:val="24"/>
          <w:szCs w:val="24"/>
        </w:rPr>
        <w:t>表</w:t>
      </w:r>
      <w:r>
        <w:rPr>
          <w:rFonts w:hint="eastAsia"/>
          <w:b w:val="0"/>
          <w:bCs/>
          <w:sz w:val="24"/>
          <w:szCs w:val="24"/>
          <w:lang w:val="en-US" w:eastAsia="zh-CN"/>
        </w:rPr>
        <w:t>33</w:t>
      </w:r>
      <w:r>
        <w:rPr>
          <w:rFonts w:hint="eastAsia"/>
          <w:b w:val="0"/>
          <w:bCs/>
          <w:sz w:val="24"/>
          <w:szCs w:val="24"/>
        </w:rPr>
        <w:t>火焰原子吸收光谱法</w:t>
      </w:r>
      <w:r>
        <w:rPr>
          <w:b w:val="0"/>
          <w:bCs/>
          <w:sz w:val="24"/>
          <w:szCs w:val="24"/>
        </w:rPr>
        <w:t>重复性限</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58"/>
        <w:gridCol w:w="1358"/>
        <w:gridCol w:w="1358"/>
        <w:gridCol w:w="1358"/>
        <w:gridCol w:w="1356"/>
        <w:gridCol w:w="13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358" w:type="dxa"/>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w</w:t>
            </w:r>
            <w:r>
              <w:rPr>
                <w:rFonts w:hint="default" w:ascii="Times New Roman" w:hAnsi="Times New Roman" w:cs="Times New Roman"/>
                <w:vertAlign w:val="subscript"/>
              </w:rPr>
              <w:t>Bi</w:t>
            </w:r>
            <w:r>
              <w:rPr>
                <w:rFonts w:hint="default" w:ascii="Times New Roman" w:hAnsi="Times New Roman" w:cs="Times New Roman"/>
              </w:rPr>
              <w:t>/ %</w:t>
            </w:r>
          </w:p>
        </w:tc>
        <w:tc>
          <w:tcPr>
            <w:tcW w:w="1358"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0.023 </w:t>
            </w:r>
          </w:p>
        </w:tc>
        <w:tc>
          <w:tcPr>
            <w:tcW w:w="1358"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0.16 </w:t>
            </w:r>
          </w:p>
        </w:tc>
        <w:tc>
          <w:tcPr>
            <w:tcW w:w="1358"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1.03 </w:t>
            </w:r>
          </w:p>
        </w:tc>
        <w:tc>
          <w:tcPr>
            <w:tcW w:w="1356"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2.33</w:t>
            </w:r>
          </w:p>
        </w:tc>
        <w:tc>
          <w:tcPr>
            <w:tcW w:w="1353"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3.84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58" w:type="dxa"/>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r / %</w:t>
            </w:r>
          </w:p>
        </w:tc>
        <w:tc>
          <w:tcPr>
            <w:tcW w:w="1358"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0.00</w:t>
            </w:r>
            <w:r>
              <w:rPr>
                <w:rFonts w:hint="eastAsia" w:ascii="Times New Roman" w:hAnsi="Times New Roman" w:cs="Times New Roman"/>
                <w:color w:val="000000"/>
                <w:kern w:val="0"/>
                <w:sz w:val="24"/>
                <w:szCs w:val="24"/>
                <w:lang w:val="en-US" w:eastAsia="zh-CN" w:bidi="ar"/>
              </w:rPr>
              <w:t>3</w:t>
            </w:r>
            <w:r>
              <w:rPr>
                <w:rFonts w:hint="default" w:ascii="Times New Roman" w:hAnsi="Times New Roman" w:cs="Times New Roman"/>
                <w:color w:val="000000"/>
                <w:kern w:val="0"/>
                <w:sz w:val="24"/>
                <w:szCs w:val="24"/>
                <w:lang w:bidi="ar"/>
              </w:rPr>
              <w:t xml:space="preserve"> </w:t>
            </w:r>
          </w:p>
        </w:tc>
        <w:tc>
          <w:tcPr>
            <w:tcW w:w="1358"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0.01 </w:t>
            </w:r>
          </w:p>
        </w:tc>
        <w:tc>
          <w:tcPr>
            <w:tcW w:w="1358"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0.04 </w:t>
            </w:r>
          </w:p>
        </w:tc>
        <w:tc>
          <w:tcPr>
            <w:tcW w:w="1356"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0.09 </w:t>
            </w:r>
          </w:p>
        </w:tc>
        <w:tc>
          <w:tcPr>
            <w:tcW w:w="1353" w:type="dxa"/>
            <w:noWrap w:val="0"/>
            <w:vAlign w:val="bottom"/>
          </w:tcPr>
          <w:p>
            <w:pPr>
              <w:widowControl/>
              <w:jc w:val="center"/>
              <w:textAlignment w:val="bottom"/>
              <w:rPr>
                <w:rFonts w:hint="default" w:ascii="Times New Roman" w:hAnsi="Times New Roman" w:cs="Times New Roman"/>
              </w:rPr>
            </w:pPr>
            <w:r>
              <w:rPr>
                <w:rFonts w:hint="default" w:ascii="Times New Roman" w:hAnsi="Times New Roman" w:cs="Times New Roman"/>
                <w:color w:val="000000"/>
                <w:kern w:val="0"/>
                <w:sz w:val="24"/>
                <w:szCs w:val="24"/>
                <w:lang w:bidi="ar"/>
              </w:rPr>
              <w:t xml:space="preserve">0.14 </w:t>
            </w:r>
          </w:p>
        </w:tc>
      </w:tr>
    </w:tbl>
    <w:p>
      <w:pPr>
        <w:pStyle w:val="3"/>
        <w:spacing w:line="360" w:lineRule="auto"/>
        <w:jc w:val="center"/>
        <w:rPr>
          <w:b w:val="0"/>
          <w:bCs/>
          <w:color w:val="FF0000"/>
          <w:sz w:val="24"/>
          <w:szCs w:val="24"/>
        </w:rPr>
      </w:pPr>
    </w:p>
    <w:p>
      <w:pPr>
        <w:pStyle w:val="3"/>
        <w:spacing w:line="360" w:lineRule="auto"/>
        <w:jc w:val="center"/>
        <w:rPr>
          <w:b w:val="0"/>
          <w:bCs/>
          <w:color w:val="auto"/>
          <w:sz w:val="24"/>
          <w:szCs w:val="24"/>
        </w:rPr>
      </w:pPr>
      <w:r>
        <w:rPr>
          <w:b w:val="0"/>
          <w:bCs/>
          <w:color w:val="auto"/>
          <w:sz w:val="24"/>
          <w:szCs w:val="24"/>
        </w:rPr>
        <w:t>表</w:t>
      </w:r>
      <w:r>
        <w:rPr>
          <w:rFonts w:hint="eastAsia"/>
          <w:b w:val="0"/>
          <w:bCs/>
          <w:color w:val="auto"/>
          <w:sz w:val="24"/>
          <w:szCs w:val="24"/>
          <w:lang w:val="en-US" w:eastAsia="zh-CN"/>
        </w:rPr>
        <w:t>34</w:t>
      </w:r>
      <w:r>
        <w:rPr>
          <w:rFonts w:hint="eastAsia"/>
          <w:b w:val="0"/>
          <w:bCs/>
          <w:color w:val="auto"/>
          <w:sz w:val="24"/>
          <w:szCs w:val="24"/>
        </w:rPr>
        <w:t xml:space="preserve"> Na</w:t>
      </w:r>
      <w:r>
        <w:rPr>
          <w:rFonts w:hint="eastAsia"/>
          <w:b w:val="0"/>
          <w:bCs/>
          <w:color w:val="auto"/>
          <w:sz w:val="24"/>
          <w:szCs w:val="24"/>
          <w:vertAlign w:val="subscript"/>
        </w:rPr>
        <w:t>2</w:t>
      </w:r>
      <w:r>
        <w:rPr>
          <w:rFonts w:hint="eastAsia"/>
          <w:b w:val="0"/>
          <w:bCs/>
          <w:color w:val="auto"/>
          <w:sz w:val="24"/>
          <w:szCs w:val="24"/>
        </w:rPr>
        <w:t>EDTA滴定法</w:t>
      </w:r>
      <w:r>
        <w:rPr>
          <w:b w:val="0"/>
          <w:bCs/>
          <w:color w:val="auto"/>
          <w:sz w:val="24"/>
          <w:szCs w:val="24"/>
        </w:rPr>
        <w:t>重复性限</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noWrap w:val="0"/>
            <w:vAlign w:val="center"/>
          </w:tcPr>
          <w:p>
            <w:pPr>
              <w:jc w:val="center"/>
            </w:pPr>
            <w:r>
              <w:rPr>
                <w:rFonts w:hint="eastAsia"/>
                <w:i/>
                <w:sz w:val="18"/>
                <w:szCs w:val="18"/>
              </w:rPr>
              <w:t>w</w:t>
            </w:r>
            <w:r>
              <w:rPr>
                <w:rFonts w:hint="eastAsia"/>
                <w:sz w:val="18"/>
                <w:szCs w:val="18"/>
                <w:vertAlign w:val="subscript"/>
              </w:rPr>
              <w:t>Bi</w:t>
            </w:r>
            <w:r>
              <w:rPr>
                <w:rFonts w:hint="eastAsia"/>
                <w:sz w:val="18"/>
                <w:szCs w:val="18"/>
              </w:rPr>
              <w:t>/%</w:t>
            </w:r>
          </w:p>
        </w:tc>
        <w:tc>
          <w:tcPr>
            <w:tcW w:w="1595" w:type="dxa"/>
            <w:noWrap w:val="0"/>
            <w:vAlign w:val="center"/>
          </w:tcPr>
          <w:p>
            <w:pPr>
              <w:spacing w:line="360" w:lineRule="auto"/>
              <w:jc w:val="center"/>
              <w:rPr>
                <w:rFonts w:ascii="宋体" w:hAnsi="宋体" w:cs="宋体"/>
                <w:szCs w:val="21"/>
              </w:rPr>
            </w:pPr>
            <w:r>
              <w:rPr>
                <w:rFonts w:hint="eastAsia" w:ascii="宋体" w:hAnsi="宋体" w:cs="宋体"/>
                <w:szCs w:val="21"/>
              </w:rPr>
              <w:t>4.51</w:t>
            </w:r>
          </w:p>
        </w:tc>
        <w:tc>
          <w:tcPr>
            <w:tcW w:w="1595" w:type="dxa"/>
            <w:noWrap w:val="0"/>
            <w:vAlign w:val="center"/>
          </w:tcPr>
          <w:p>
            <w:pPr>
              <w:spacing w:line="360" w:lineRule="auto"/>
              <w:jc w:val="center"/>
              <w:rPr>
                <w:rFonts w:ascii="宋体" w:hAnsi="宋体" w:cs="宋体"/>
                <w:szCs w:val="21"/>
              </w:rPr>
            </w:pPr>
            <w:r>
              <w:rPr>
                <w:rFonts w:hint="eastAsia" w:ascii="宋体" w:hAnsi="宋体" w:cs="宋体"/>
                <w:szCs w:val="21"/>
              </w:rPr>
              <w:t>6.25</w:t>
            </w:r>
          </w:p>
        </w:tc>
        <w:tc>
          <w:tcPr>
            <w:tcW w:w="1595" w:type="dxa"/>
            <w:noWrap w:val="0"/>
            <w:vAlign w:val="center"/>
          </w:tcPr>
          <w:p>
            <w:pPr>
              <w:spacing w:line="360" w:lineRule="auto"/>
              <w:jc w:val="center"/>
              <w:rPr>
                <w:rFonts w:ascii="宋体" w:hAnsi="宋体" w:cs="宋体"/>
                <w:szCs w:val="21"/>
              </w:rPr>
            </w:pPr>
            <w:r>
              <w:rPr>
                <w:rFonts w:hint="eastAsia" w:ascii="宋体" w:hAnsi="宋体" w:cs="宋体"/>
                <w:szCs w:val="21"/>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noWrap w:val="0"/>
            <w:vAlign w:val="center"/>
          </w:tcPr>
          <w:p>
            <w:pPr>
              <w:jc w:val="center"/>
            </w:pPr>
            <w:r>
              <w:rPr>
                <w:rFonts w:hint="eastAsia"/>
                <w:i/>
                <w:iCs/>
              </w:rPr>
              <w:t>r</w:t>
            </w:r>
            <w:r>
              <w:rPr>
                <w:rFonts w:hint="eastAsia"/>
              </w:rPr>
              <w:t>/%</w:t>
            </w:r>
          </w:p>
        </w:tc>
        <w:tc>
          <w:tcPr>
            <w:tcW w:w="1595" w:type="dxa"/>
            <w:noWrap w:val="0"/>
            <w:vAlign w:val="center"/>
          </w:tcPr>
          <w:p>
            <w:pPr>
              <w:spacing w:line="360" w:lineRule="auto"/>
              <w:jc w:val="center"/>
              <w:rPr>
                <w:rFonts w:ascii="宋体" w:hAnsi="宋体" w:cs="宋体"/>
                <w:szCs w:val="21"/>
              </w:rPr>
            </w:pPr>
            <w:r>
              <w:rPr>
                <w:rFonts w:hint="eastAsia" w:ascii="宋体" w:hAnsi="宋体" w:cs="宋体"/>
                <w:szCs w:val="21"/>
              </w:rPr>
              <w:t>0.15</w:t>
            </w:r>
          </w:p>
        </w:tc>
        <w:tc>
          <w:tcPr>
            <w:tcW w:w="1595" w:type="dxa"/>
            <w:noWrap w:val="0"/>
            <w:vAlign w:val="center"/>
          </w:tcPr>
          <w:p>
            <w:pPr>
              <w:spacing w:line="360" w:lineRule="auto"/>
              <w:jc w:val="center"/>
              <w:rPr>
                <w:rFonts w:ascii="宋体" w:hAnsi="宋体" w:cs="宋体"/>
                <w:szCs w:val="21"/>
              </w:rPr>
            </w:pPr>
            <w:r>
              <w:rPr>
                <w:rFonts w:hint="eastAsia" w:ascii="宋体" w:hAnsi="宋体" w:cs="宋体"/>
                <w:szCs w:val="21"/>
              </w:rPr>
              <w:t>0.18</w:t>
            </w:r>
          </w:p>
        </w:tc>
        <w:tc>
          <w:tcPr>
            <w:tcW w:w="1595" w:type="dxa"/>
            <w:noWrap w:val="0"/>
            <w:vAlign w:val="center"/>
          </w:tcPr>
          <w:p>
            <w:pPr>
              <w:spacing w:line="360" w:lineRule="auto"/>
              <w:jc w:val="center"/>
              <w:rPr>
                <w:rFonts w:ascii="宋体" w:hAnsi="宋体" w:cs="宋体"/>
                <w:szCs w:val="21"/>
              </w:rPr>
            </w:pPr>
            <w:r>
              <w:rPr>
                <w:rFonts w:hint="eastAsia" w:ascii="宋体" w:hAnsi="宋体" w:cs="宋体"/>
                <w:szCs w:val="21"/>
              </w:rPr>
              <w:t>0.24</w:t>
            </w:r>
          </w:p>
        </w:tc>
      </w:tr>
    </w:tbl>
    <w:p>
      <w:pPr>
        <w:spacing w:line="360" w:lineRule="auto"/>
        <w:rPr>
          <w:bCs/>
          <w:sz w:val="24"/>
          <w:szCs w:val="24"/>
        </w:rPr>
      </w:pPr>
    </w:p>
    <w:p>
      <w:pPr>
        <w:pStyle w:val="5"/>
        <w:bidi w:val="0"/>
      </w:pPr>
      <w:r>
        <w:rPr>
          <w:rFonts w:hint="eastAsia"/>
        </w:rPr>
        <w:t>3.4.2再现性</w:t>
      </w:r>
    </w:p>
    <w:p>
      <w:pPr>
        <w:spacing w:line="360" w:lineRule="auto"/>
        <w:ind w:firstLine="240" w:firstLineChars="100"/>
        <w:rPr>
          <w:sz w:val="24"/>
          <w:szCs w:val="24"/>
        </w:rPr>
      </w:pPr>
      <w:r>
        <w:rPr>
          <w:rFonts w:hint="eastAsia"/>
          <w:sz w:val="24"/>
          <w:szCs w:val="24"/>
        </w:rPr>
        <w:t>在再现性条件下获得的两次独立测试结果的测定值，在以下给出的平均值范围内，这两个测试结果的绝对差值不超过再现性限（R），超过再现性限（R）的情况不超过5%，再现性限（R）按表</w:t>
      </w:r>
      <w:r>
        <w:rPr>
          <w:rFonts w:hint="eastAsia"/>
          <w:sz w:val="24"/>
          <w:szCs w:val="24"/>
          <w:lang w:val="en-US" w:eastAsia="zh-CN"/>
        </w:rPr>
        <w:t>35</w:t>
      </w:r>
      <w:r>
        <w:rPr>
          <w:rFonts w:hint="eastAsia"/>
          <w:sz w:val="24"/>
          <w:szCs w:val="24"/>
        </w:rPr>
        <w:t>、表</w:t>
      </w:r>
      <w:r>
        <w:rPr>
          <w:rFonts w:hint="eastAsia"/>
          <w:sz w:val="24"/>
          <w:szCs w:val="24"/>
          <w:lang w:val="en-US" w:eastAsia="zh-CN"/>
        </w:rPr>
        <w:t>36</w:t>
      </w:r>
      <w:r>
        <w:rPr>
          <w:rFonts w:hint="eastAsia"/>
          <w:sz w:val="24"/>
          <w:szCs w:val="24"/>
        </w:rPr>
        <w:t>数据采用线性内插法得。</w:t>
      </w:r>
    </w:p>
    <w:p>
      <w:pPr>
        <w:pStyle w:val="3"/>
        <w:spacing w:line="360" w:lineRule="auto"/>
        <w:jc w:val="center"/>
        <w:rPr>
          <w:rFonts w:hAnsi="黑体"/>
          <w:b w:val="0"/>
          <w:bCs/>
          <w:sz w:val="24"/>
          <w:szCs w:val="24"/>
        </w:rPr>
      </w:pPr>
      <w:r>
        <w:rPr>
          <w:rFonts w:hAnsi="黑体"/>
          <w:b w:val="0"/>
          <w:bCs/>
          <w:sz w:val="24"/>
          <w:szCs w:val="24"/>
        </w:rPr>
        <w:t>表</w:t>
      </w:r>
      <w:r>
        <w:rPr>
          <w:rFonts w:hint="eastAsia"/>
          <w:b w:val="0"/>
          <w:bCs/>
          <w:sz w:val="24"/>
          <w:szCs w:val="24"/>
          <w:lang w:val="en-US" w:eastAsia="zh-CN"/>
        </w:rPr>
        <w:t>35</w:t>
      </w:r>
      <w:r>
        <w:rPr>
          <w:rFonts w:hint="eastAsia"/>
          <w:b w:val="0"/>
          <w:bCs/>
          <w:sz w:val="24"/>
          <w:szCs w:val="24"/>
        </w:rPr>
        <w:t>火焰原子吸收光谱法</w:t>
      </w:r>
      <w:r>
        <w:rPr>
          <w:rFonts w:hAnsi="黑体"/>
          <w:b w:val="0"/>
          <w:bCs/>
          <w:sz w:val="24"/>
          <w:szCs w:val="24"/>
        </w:rPr>
        <w:t>再现性限</w:t>
      </w:r>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58"/>
        <w:gridCol w:w="1358"/>
        <w:gridCol w:w="1358"/>
        <w:gridCol w:w="1358"/>
        <w:gridCol w:w="1356"/>
        <w:gridCol w:w="13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1358" w:type="dxa"/>
            <w:noWrap w:val="0"/>
            <w:vAlign w:val="top"/>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w</w:t>
            </w:r>
            <w:r>
              <w:rPr>
                <w:rFonts w:hint="default" w:ascii="Times New Roman" w:hAnsi="Times New Roman" w:cs="Times New Roman"/>
                <w:color w:val="000000"/>
                <w:kern w:val="0"/>
                <w:sz w:val="24"/>
                <w:szCs w:val="24"/>
                <w:vertAlign w:val="subscript"/>
                <w:lang w:bidi="ar"/>
              </w:rPr>
              <w:t>Bi</w:t>
            </w:r>
            <w:r>
              <w:rPr>
                <w:rFonts w:hint="default" w:ascii="Times New Roman" w:hAnsi="Times New Roman" w:cs="Times New Roman"/>
                <w:color w:val="000000"/>
                <w:kern w:val="0"/>
                <w:sz w:val="24"/>
                <w:szCs w:val="24"/>
                <w:lang w:bidi="ar"/>
              </w:rPr>
              <w:t>/%</w:t>
            </w:r>
          </w:p>
        </w:tc>
        <w:tc>
          <w:tcPr>
            <w:tcW w:w="1358"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0.023 </w:t>
            </w:r>
          </w:p>
        </w:tc>
        <w:tc>
          <w:tcPr>
            <w:tcW w:w="1358"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0.16 </w:t>
            </w:r>
          </w:p>
        </w:tc>
        <w:tc>
          <w:tcPr>
            <w:tcW w:w="1358"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1.03 </w:t>
            </w:r>
          </w:p>
        </w:tc>
        <w:tc>
          <w:tcPr>
            <w:tcW w:w="1356"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2.33</w:t>
            </w:r>
          </w:p>
        </w:tc>
        <w:tc>
          <w:tcPr>
            <w:tcW w:w="1353"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3.84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1" w:hRule="atLeast"/>
          <w:jc w:val="center"/>
        </w:trPr>
        <w:tc>
          <w:tcPr>
            <w:tcW w:w="1358" w:type="dxa"/>
            <w:noWrap w:val="0"/>
            <w:vAlign w:val="top"/>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R / %</w:t>
            </w:r>
          </w:p>
        </w:tc>
        <w:tc>
          <w:tcPr>
            <w:tcW w:w="1358"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0.005 </w:t>
            </w:r>
          </w:p>
        </w:tc>
        <w:tc>
          <w:tcPr>
            <w:tcW w:w="1358"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0.01 </w:t>
            </w:r>
          </w:p>
        </w:tc>
        <w:tc>
          <w:tcPr>
            <w:tcW w:w="1358"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0.05 </w:t>
            </w:r>
          </w:p>
        </w:tc>
        <w:tc>
          <w:tcPr>
            <w:tcW w:w="1356"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0.15 </w:t>
            </w:r>
          </w:p>
        </w:tc>
        <w:tc>
          <w:tcPr>
            <w:tcW w:w="1353" w:type="dxa"/>
            <w:noWrap w:val="0"/>
            <w:vAlign w:val="bottom"/>
          </w:tcPr>
          <w:p>
            <w:pPr>
              <w:widowControl/>
              <w:jc w:val="center"/>
              <w:textAlignment w:val="bottom"/>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 xml:space="preserve">0.23 </w:t>
            </w:r>
          </w:p>
        </w:tc>
      </w:tr>
    </w:tbl>
    <w:p>
      <w:pPr>
        <w:pStyle w:val="3"/>
        <w:spacing w:line="360" w:lineRule="auto"/>
        <w:jc w:val="center"/>
        <w:rPr>
          <w:rFonts w:hAnsi="黑体"/>
          <w:b w:val="0"/>
          <w:bCs/>
          <w:color w:val="FF0000"/>
          <w:sz w:val="24"/>
          <w:szCs w:val="24"/>
        </w:rPr>
      </w:pPr>
    </w:p>
    <w:p>
      <w:pPr>
        <w:pStyle w:val="3"/>
        <w:spacing w:line="360" w:lineRule="auto"/>
        <w:jc w:val="center"/>
        <w:rPr>
          <w:b w:val="0"/>
          <w:bCs/>
          <w:color w:val="auto"/>
          <w:sz w:val="24"/>
          <w:szCs w:val="24"/>
        </w:rPr>
      </w:pPr>
      <w:r>
        <w:rPr>
          <w:rFonts w:hAnsi="黑体"/>
          <w:b w:val="0"/>
          <w:bCs/>
          <w:color w:val="auto"/>
          <w:sz w:val="24"/>
          <w:szCs w:val="24"/>
        </w:rPr>
        <w:t>表</w:t>
      </w:r>
      <w:r>
        <w:rPr>
          <w:rFonts w:hint="eastAsia"/>
          <w:b w:val="0"/>
          <w:bCs/>
          <w:color w:val="auto"/>
          <w:sz w:val="24"/>
          <w:szCs w:val="24"/>
          <w:lang w:val="en-US" w:eastAsia="zh-CN"/>
        </w:rPr>
        <w:t xml:space="preserve">36 </w:t>
      </w:r>
      <w:r>
        <w:rPr>
          <w:rFonts w:hint="eastAsia"/>
          <w:b w:val="0"/>
          <w:bCs/>
          <w:color w:val="auto"/>
          <w:sz w:val="24"/>
          <w:szCs w:val="24"/>
        </w:rPr>
        <w:t>Na</w:t>
      </w:r>
      <w:r>
        <w:rPr>
          <w:rFonts w:hint="eastAsia"/>
          <w:b w:val="0"/>
          <w:bCs/>
          <w:color w:val="auto"/>
          <w:sz w:val="24"/>
          <w:szCs w:val="24"/>
          <w:vertAlign w:val="subscript"/>
        </w:rPr>
        <w:t>2</w:t>
      </w:r>
      <w:r>
        <w:rPr>
          <w:rFonts w:hint="eastAsia"/>
          <w:b w:val="0"/>
          <w:bCs/>
          <w:color w:val="auto"/>
          <w:sz w:val="24"/>
          <w:szCs w:val="24"/>
        </w:rPr>
        <w:t>EDTA滴定法</w:t>
      </w:r>
      <w:r>
        <w:rPr>
          <w:rFonts w:hAnsi="黑体"/>
          <w:b w:val="0"/>
          <w:bCs/>
          <w:color w:val="auto"/>
          <w:sz w:val="24"/>
          <w:szCs w:val="24"/>
        </w:rPr>
        <w:t>再现性限</w:t>
      </w:r>
    </w:p>
    <w:tbl>
      <w:tblPr>
        <w:tblStyle w:val="37"/>
        <w:tblW w:w="5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360"/>
        <w:gridCol w:w="136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0" w:type="dxa"/>
            <w:vAlign w:val="center"/>
          </w:tcPr>
          <w:p>
            <w:pPr>
              <w:pStyle w:val="103"/>
              <w:widowControl w:val="0"/>
              <w:tabs>
                <w:tab w:val="center" w:pos="4201"/>
                <w:tab w:val="right" w:leader="dot" w:pos="9298"/>
              </w:tabs>
              <w:spacing w:line="360" w:lineRule="auto"/>
              <w:ind w:firstLine="0" w:firstLineChars="0"/>
              <w:jc w:val="center"/>
              <w:rPr>
                <w:rFonts w:ascii="Times New Roman"/>
                <w:bCs/>
                <w:color w:val="auto"/>
                <w:sz w:val="24"/>
                <w:szCs w:val="24"/>
              </w:rPr>
            </w:pPr>
            <w:r>
              <w:rPr>
                <w:rFonts w:ascii="Times New Roman"/>
                <w:bCs/>
                <w:i/>
                <w:color w:val="auto"/>
                <w:sz w:val="24"/>
                <w:szCs w:val="24"/>
              </w:rPr>
              <w:t>w</w:t>
            </w:r>
            <w:r>
              <w:rPr>
                <w:rFonts w:hint="eastAsia" w:ascii="Times New Roman"/>
                <w:bCs/>
                <w:iCs/>
                <w:color w:val="auto"/>
                <w:sz w:val="24"/>
                <w:szCs w:val="24"/>
                <w:vertAlign w:val="subscript"/>
              </w:rPr>
              <w:t>Bi</w:t>
            </w:r>
            <w:r>
              <w:rPr>
                <w:rFonts w:hint="eastAsia" w:ascii="Times New Roman"/>
                <w:bCs/>
                <w:color w:val="auto"/>
                <w:sz w:val="24"/>
                <w:szCs w:val="24"/>
              </w:rPr>
              <w:t xml:space="preserve">/ </w:t>
            </w:r>
            <w:r>
              <w:rPr>
                <w:rFonts w:ascii="Times New Roman"/>
                <w:bCs/>
                <w:color w:val="auto"/>
                <w:sz w:val="24"/>
                <w:szCs w:val="24"/>
              </w:rPr>
              <w:t>%</w:t>
            </w:r>
          </w:p>
        </w:tc>
        <w:tc>
          <w:tcPr>
            <w:tcW w:w="1360" w:type="dxa"/>
            <w:vAlign w:val="center"/>
          </w:tcPr>
          <w:p>
            <w:pPr>
              <w:spacing w:line="360" w:lineRule="auto"/>
              <w:jc w:val="center"/>
              <w:rPr>
                <w:bCs/>
                <w:color w:val="auto"/>
                <w:sz w:val="24"/>
                <w:szCs w:val="24"/>
              </w:rPr>
            </w:pPr>
            <w:r>
              <w:rPr>
                <w:rFonts w:hint="eastAsia"/>
                <w:color w:val="auto"/>
                <w:sz w:val="24"/>
                <w:szCs w:val="24"/>
              </w:rPr>
              <w:t>4.51</w:t>
            </w:r>
          </w:p>
        </w:tc>
        <w:tc>
          <w:tcPr>
            <w:tcW w:w="1360" w:type="dxa"/>
            <w:vAlign w:val="center"/>
          </w:tcPr>
          <w:p>
            <w:pPr>
              <w:spacing w:line="360" w:lineRule="auto"/>
              <w:jc w:val="center"/>
              <w:rPr>
                <w:bCs/>
                <w:color w:val="auto"/>
                <w:sz w:val="24"/>
                <w:szCs w:val="24"/>
              </w:rPr>
            </w:pPr>
            <w:r>
              <w:rPr>
                <w:rFonts w:hint="eastAsia"/>
                <w:color w:val="auto"/>
                <w:sz w:val="24"/>
                <w:szCs w:val="24"/>
              </w:rPr>
              <w:t>6.28</w:t>
            </w:r>
          </w:p>
        </w:tc>
        <w:tc>
          <w:tcPr>
            <w:tcW w:w="1360" w:type="dxa"/>
            <w:vAlign w:val="center"/>
          </w:tcPr>
          <w:p>
            <w:pPr>
              <w:spacing w:line="360" w:lineRule="auto"/>
              <w:jc w:val="center"/>
              <w:rPr>
                <w:bCs/>
                <w:color w:val="auto"/>
                <w:sz w:val="24"/>
                <w:szCs w:val="24"/>
              </w:rPr>
            </w:pPr>
            <w:r>
              <w:rPr>
                <w:rFonts w:hint="eastAsia"/>
                <w:color w:val="auto"/>
                <w:sz w:val="24"/>
                <w:szCs w:val="24"/>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0" w:type="dxa"/>
            <w:vAlign w:val="center"/>
          </w:tcPr>
          <w:p>
            <w:pPr>
              <w:pStyle w:val="103"/>
              <w:widowControl w:val="0"/>
              <w:tabs>
                <w:tab w:val="center" w:pos="4201"/>
                <w:tab w:val="right" w:leader="dot" w:pos="9298"/>
              </w:tabs>
              <w:spacing w:line="360" w:lineRule="auto"/>
              <w:ind w:firstLine="0" w:firstLineChars="0"/>
              <w:jc w:val="center"/>
              <w:rPr>
                <w:rFonts w:ascii="Times New Roman"/>
                <w:bCs/>
                <w:color w:val="auto"/>
                <w:sz w:val="24"/>
                <w:szCs w:val="24"/>
              </w:rPr>
            </w:pPr>
            <w:r>
              <w:rPr>
                <w:rFonts w:ascii="Times New Roman"/>
                <w:bCs/>
                <w:i/>
                <w:color w:val="auto"/>
                <w:sz w:val="24"/>
                <w:szCs w:val="24"/>
              </w:rPr>
              <w:t>R</w:t>
            </w:r>
            <w:r>
              <w:rPr>
                <w:rFonts w:hint="eastAsia" w:ascii="Times New Roman"/>
                <w:bCs/>
                <w:color w:val="auto"/>
                <w:sz w:val="24"/>
                <w:szCs w:val="24"/>
              </w:rPr>
              <w:t>/</w:t>
            </w:r>
            <w:r>
              <w:rPr>
                <w:rFonts w:ascii="Times New Roman"/>
                <w:bCs/>
                <w:color w:val="auto"/>
                <w:sz w:val="24"/>
                <w:szCs w:val="24"/>
              </w:rPr>
              <w:t>%</w:t>
            </w:r>
          </w:p>
        </w:tc>
        <w:tc>
          <w:tcPr>
            <w:tcW w:w="1360" w:type="dxa"/>
            <w:vAlign w:val="center"/>
          </w:tcPr>
          <w:p>
            <w:pPr>
              <w:autoSpaceDE w:val="0"/>
              <w:autoSpaceDN w:val="0"/>
              <w:adjustRightInd w:val="0"/>
              <w:spacing w:line="360" w:lineRule="auto"/>
              <w:jc w:val="center"/>
              <w:rPr>
                <w:bCs/>
                <w:color w:val="auto"/>
                <w:sz w:val="24"/>
                <w:szCs w:val="24"/>
              </w:rPr>
            </w:pPr>
            <w:r>
              <w:rPr>
                <w:rFonts w:hint="eastAsia" w:ascii="宋体" w:hAnsi="宋体" w:cs="宋体"/>
                <w:color w:val="auto"/>
                <w:kern w:val="0"/>
                <w:szCs w:val="21"/>
              </w:rPr>
              <w:t>0.193</w:t>
            </w:r>
          </w:p>
        </w:tc>
        <w:tc>
          <w:tcPr>
            <w:tcW w:w="1360" w:type="dxa"/>
            <w:vAlign w:val="center"/>
          </w:tcPr>
          <w:p>
            <w:pPr>
              <w:widowControl/>
              <w:spacing w:line="360" w:lineRule="auto"/>
              <w:jc w:val="center"/>
              <w:textAlignment w:val="center"/>
              <w:rPr>
                <w:bCs/>
                <w:color w:val="auto"/>
                <w:sz w:val="24"/>
                <w:szCs w:val="24"/>
              </w:rPr>
            </w:pPr>
            <w:r>
              <w:rPr>
                <w:rFonts w:hint="eastAsia" w:ascii="宋体" w:hAnsi="宋体" w:cs="宋体"/>
                <w:color w:val="auto"/>
                <w:kern w:val="0"/>
                <w:szCs w:val="21"/>
              </w:rPr>
              <w:t>0.258</w:t>
            </w:r>
          </w:p>
        </w:tc>
        <w:tc>
          <w:tcPr>
            <w:tcW w:w="1360" w:type="dxa"/>
            <w:vAlign w:val="center"/>
          </w:tcPr>
          <w:p>
            <w:pPr>
              <w:widowControl/>
              <w:spacing w:line="360" w:lineRule="auto"/>
              <w:jc w:val="center"/>
              <w:textAlignment w:val="center"/>
              <w:rPr>
                <w:bCs/>
                <w:color w:val="auto"/>
                <w:sz w:val="24"/>
                <w:szCs w:val="24"/>
              </w:rPr>
            </w:pPr>
            <w:r>
              <w:rPr>
                <w:rFonts w:hint="eastAsia" w:ascii="宋体" w:hAnsi="宋体" w:cs="宋体"/>
                <w:color w:val="auto"/>
                <w:kern w:val="0"/>
                <w:szCs w:val="21"/>
              </w:rPr>
              <w:t>0.332</w:t>
            </w:r>
          </w:p>
        </w:tc>
      </w:tr>
    </w:tbl>
    <w:p>
      <w:pPr>
        <w:spacing w:line="360" w:lineRule="auto"/>
        <w:ind w:firstLine="241" w:firstLineChars="100"/>
        <w:rPr>
          <w:rFonts w:hint="eastAsia"/>
          <w:b/>
          <w:bCs/>
          <w:sz w:val="24"/>
          <w:szCs w:val="24"/>
        </w:rPr>
      </w:pPr>
    </w:p>
    <w:p>
      <w:pPr>
        <w:spacing w:line="360" w:lineRule="auto"/>
        <w:ind w:firstLine="241" w:firstLineChars="100"/>
        <w:rPr>
          <w:b/>
          <w:bCs/>
          <w:sz w:val="24"/>
          <w:szCs w:val="24"/>
        </w:rPr>
      </w:pPr>
      <w:r>
        <w:rPr>
          <w:rFonts w:hint="eastAsia"/>
          <w:b/>
          <w:bCs/>
          <w:sz w:val="24"/>
          <w:szCs w:val="24"/>
        </w:rPr>
        <w:t>三、标准水平分析</w:t>
      </w:r>
    </w:p>
    <w:p>
      <w:pPr>
        <w:spacing w:line="360" w:lineRule="auto"/>
        <w:ind w:firstLine="240" w:firstLineChars="100"/>
        <w:rPr>
          <w:sz w:val="24"/>
          <w:szCs w:val="24"/>
        </w:rPr>
      </w:pPr>
      <w:r>
        <w:rPr>
          <w:rFonts w:hint="eastAsia"/>
          <w:sz w:val="24"/>
          <w:szCs w:val="24"/>
        </w:rPr>
        <w:t>目前国内外测定低含量铋的检测方法如下：</w:t>
      </w:r>
    </w:p>
    <w:p>
      <w:pPr>
        <w:spacing w:line="360" w:lineRule="auto"/>
        <w:ind w:firstLine="240" w:firstLineChars="100"/>
        <w:rPr>
          <w:sz w:val="24"/>
          <w:szCs w:val="24"/>
        </w:rPr>
      </w:pPr>
      <w:r>
        <w:rPr>
          <w:sz w:val="24"/>
          <w:szCs w:val="24"/>
        </w:rPr>
        <w:t>GB/T 1819.7-2004《锡精矿化学分析方法 铋量的测定 火焰原子吸收光谱法》</w:t>
      </w:r>
      <w:r>
        <w:rPr>
          <w:rFonts w:hint="eastAsia"/>
          <w:sz w:val="24"/>
          <w:szCs w:val="24"/>
        </w:rPr>
        <w:t>：试样经盐酸、硝酸溶解，在稀王水介质中，</w:t>
      </w:r>
      <w:r>
        <w:rPr>
          <w:sz w:val="24"/>
          <w:szCs w:val="24"/>
        </w:rPr>
        <w:t>使用空气-乙炔火焰，于原子吸收光谱仪波长223.1nm处</w:t>
      </w:r>
      <w:r>
        <w:rPr>
          <w:rFonts w:hint="eastAsia"/>
          <w:sz w:val="24"/>
          <w:szCs w:val="24"/>
        </w:rPr>
        <w:t>，</w:t>
      </w:r>
      <w:r>
        <w:rPr>
          <w:sz w:val="24"/>
          <w:szCs w:val="24"/>
        </w:rPr>
        <w:t>测量铋的吸光度，计算铋量</w:t>
      </w:r>
      <w:r>
        <w:rPr>
          <w:rFonts w:hint="eastAsia"/>
          <w:sz w:val="24"/>
          <w:szCs w:val="24"/>
        </w:rPr>
        <w:t>。测定范围：0.005%~2.00%。</w:t>
      </w:r>
    </w:p>
    <w:p>
      <w:pPr>
        <w:spacing w:line="360" w:lineRule="auto"/>
        <w:ind w:firstLine="240" w:firstLineChars="100"/>
        <w:rPr>
          <w:sz w:val="24"/>
          <w:szCs w:val="24"/>
        </w:rPr>
      </w:pPr>
      <w:r>
        <w:rPr>
          <w:sz w:val="24"/>
          <w:szCs w:val="24"/>
        </w:rPr>
        <w:t>GB/T</w:t>
      </w:r>
      <w:r>
        <w:rPr>
          <w:rFonts w:hint="eastAsia"/>
          <w:sz w:val="24"/>
          <w:szCs w:val="24"/>
        </w:rPr>
        <w:t>3260.3</w:t>
      </w:r>
      <w:r>
        <w:rPr>
          <w:sz w:val="24"/>
          <w:szCs w:val="24"/>
        </w:rPr>
        <w:t>-20</w:t>
      </w:r>
      <w:r>
        <w:rPr>
          <w:rFonts w:hint="eastAsia"/>
          <w:sz w:val="24"/>
          <w:szCs w:val="24"/>
        </w:rPr>
        <w:t>13</w:t>
      </w:r>
      <w:r>
        <w:rPr>
          <w:sz w:val="24"/>
          <w:szCs w:val="24"/>
        </w:rPr>
        <w:t xml:space="preserve">《锡化学分析方法 铋量的测定 </w:t>
      </w:r>
      <w:r>
        <w:rPr>
          <w:rFonts w:hint="eastAsia"/>
          <w:sz w:val="24"/>
          <w:szCs w:val="24"/>
        </w:rPr>
        <w:t>碘化钾分光光度法和</w:t>
      </w:r>
      <w:r>
        <w:rPr>
          <w:sz w:val="24"/>
          <w:szCs w:val="24"/>
        </w:rPr>
        <w:t>火焰原子吸收光谱法》</w:t>
      </w:r>
      <w:r>
        <w:rPr>
          <w:rFonts w:hint="eastAsia"/>
          <w:sz w:val="24"/>
          <w:szCs w:val="24"/>
        </w:rPr>
        <w:t>：试样经盐酸、硝酸溶解，在稀硫酸介质中，以盐酸-氢溴酸除去大量的锡，</w:t>
      </w:r>
      <w:r>
        <w:rPr>
          <w:sz w:val="24"/>
          <w:szCs w:val="24"/>
        </w:rPr>
        <w:t>使用空气-乙炔火焰，于原子吸收光谱仪波长223.1nm处</w:t>
      </w:r>
      <w:r>
        <w:rPr>
          <w:rFonts w:hint="eastAsia"/>
          <w:sz w:val="24"/>
          <w:szCs w:val="24"/>
        </w:rPr>
        <w:t>，</w:t>
      </w:r>
      <w:r>
        <w:rPr>
          <w:sz w:val="24"/>
          <w:szCs w:val="24"/>
        </w:rPr>
        <w:t>测量铋的吸光度，计算铋量</w:t>
      </w:r>
      <w:r>
        <w:rPr>
          <w:rFonts w:hint="eastAsia"/>
          <w:sz w:val="24"/>
          <w:szCs w:val="24"/>
        </w:rPr>
        <w:t>。测定范围：0.0003%~0.2%。</w:t>
      </w:r>
    </w:p>
    <w:p>
      <w:pPr>
        <w:spacing w:line="360" w:lineRule="auto"/>
        <w:ind w:firstLine="240" w:firstLineChars="100"/>
        <w:rPr>
          <w:sz w:val="24"/>
          <w:szCs w:val="24"/>
        </w:rPr>
      </w:pPr>
      <w:r>
        <w:rPr>
          <w:rFonts w:hint="eastAsia"/>
          <w:sz w:val="24"/>
          <w:szCs w:val="24"/>
        </w:rPr>
        <w:t>GB/T 10574.3-2003《锡铅焊料化学分析方法 铋量的测定》：试料用王水溶解，在硫酸介质中，控制适当温度，加入盐酸-氢溴酸挥发除锑，在盐酸介质中，于原子吸收光谱仪波长223.1nm处测量铋的吸光度。测定范围：0.0010%~0.050%。</w:t>
      </w:r>
    </w:p>
    <w:p>
      <w:pPr>
        <w:spacing w:line="360" w:lineRule="auto"/>
        <w:ind w:firstLine="240" w:firstLineChars="100"/>
        <w:rPr>
          <w:sz w:val="24"/>
          <w:szCs w:val="24"/>
        </w:rPr>
      </w:pPr>
      <w:r>
        <w:rPr>
          <w:rFonts w:hint="eastAsia"/>
          <w:sz w:val="24"/>
          <w:szCs w:val="24"/>
        </w:rPr>
        <w:t>BS 3338-8-1961《锡锭、锡-铅焊料和白色金属承轴合金中铋的测定  光度计法》：</w:t>
      </w:r>
      <w:r>
        <w:rPr>
          <w:sz w:val="24"/>
          <w:szCs w:val="24"/>
        </w:rPr>
        <w:t>在高氯酸的存在下，锡与锑与溴水-氢溴酸溶液发生反应生成溴化物而被除掉，溶液中的铋与硫脲反应显色，可用光度计测定其吸光度</w:t>
      </w:r>
      <w:bookmarkStart w:id="6" w:name="OLE_LINK20"/>
      <w:r>
        <w:rPr>
          <w:rFonts w:hint="eastAsia"/>
          <w:sz w:val="24"/>
          <w:szCs w:val="24"/>
        </w:rPr>
        <w:t>，</w:t>
      </w:r>
      <w:r>
        <w:rPr>
          <w:sz w:val="24"/>
          <w:szCs w:val="24"/>
        </w:rPr>
        <w:t>适用于测定铋含量（质量分数）</w:t>
      </w:r>
      <w:r>
        <w:rPr>
          <w:rFonts w:hint="eastAsia" w:ascii="宋体" w:hAnsi="宋体" w:cs="宋体"/>
          <w:sz w:val="24"/>
          <w:szCs w:val="24"/>
        </w:rPr>
        <w:t>≤</w:t>
      </w:r>
      <w:r>
        <w:rPr>
          <w:sz w:val="24"/>
          <w:szCs w:val="24"/>
        </w:rPr>
        <w:t>0.07%的样品</w:t>
      </w:r>
      <w:bookmarkEnd w:id="6"/>
      <w:r>
        <w:rPr>
          <w:rFonts w:hint="eastAsia"/>
          <w:sz w:val="24"/>
          <w:szCs w:val="24"/>
        </w:rPr>
        <w:t>。</w:t>
      </w:r>
    </w:p>
    <w:p>
      <w:pPr>
        <w:spacing w:line="360" w:lineRule="auto"/>
        <w:ind w:firstLine="480" w:firstLineChars="200"/>
        <w:jc w:val="left"/>
        <w:rPr>
          <w:sz w:val="24"/>
          <w:szCs w:val="24"/>
        </w:rPr>
      </w:pPr>
      <w:r>
        <w:rPr>
          <w:rFonts w:hint="eastAsia"/>
          <w:sz w:val="24"/>
          <w:szCs w:val="24"/>
        </w:rPr>
        <w:t>本标准针对目前粗锡的产品特点，提出了两个分析方法，即火焰原子吸收光谱法和Na</w:t>
      </w:r>
      <w:r>
        <w:rPr>
          <w:rFonts w:hint="eastAsia"/>
          <w:sz w:val="24"/>
          <w:szCs w:val="24"/>
          <w:vertAlign w:val="subscript"/>
        </w:rPr>
        <w:t>2</w:t>
      </w:r>
      <w:r>
        <w:rPr>
          <w:rFonts w:hint="eastAsia"/>
          <w:sz w:val="24"/>
          <w:szCs w:val="24"/>
        </w:rPr>
        <w:t>EDTA滴定法，这两个分析方法的制定完全能够满足粗锡的检测需求。与会代表一致认为：《粗锡化学分析方法 第4部分：铋量的测定 火焰原子吸收光谱法和Na</w:t>
      </w:r>
      <w:r>
        <w:rPr>
          <w:rFonts w:hint="eastAsia"/>
          <w:sz w:val="24"/>
          <w:szCs w:val="24"/>
          <w:vertAlign w:val="subscript"/>
        </w:rPr>
        <w:t>2</w:t>
      </w:r>
      <w:r>
        <w:rPr>
          <w:rFonts w:hint="eastAsia"/>
          <w:sz w:val="24"/>
          <w:szCs w:val="24"/>
        </w:rPr>
        <w:t>EDTA滴定法》标准的编写符合GB/T 1.1-2009《标准化工作导则》的编制要求。经过资料检索，国际标准和国外国家或组织均没有相同标准和规范。本标准是首次制定，填补了国际、国内粗锡中铋含量测定标准的空白。该标准技术先进、可操作性强，结构合理、文字简练、条理清晰，达到了国内先进水平。</w:t>
      </w:r>
    </w:p>
    <w:p>
      <w:pPr>
        <w:spacing w:line="360" w:lineRule="auto"/>
        <w:rPr>
          <w:b/>
          <w:sz w:val="24"/>
          <w:szCs w:val="24"/>
        </w:rPr>
      </w:pPr>
      <w:r>
        <w:rPr>
          <w:rFonts w:hint="eastAsia"/>
          <w:b/>
          <w:sz w:val="24"/>
          <w:szCs w:val="24"/>
        </w:rPr>
        <w:t>四</w:t>
      </w:r>
      <w:r>
        <w:rPr>
          <w:b/>
          <w:sz w:val="24"/>
          <w:szCs w:val="24"/>
        </w:rPr>
        <w:t>、与现行</w:t>
      </w:r>
      <w:r>
        <w:rPr>
          <w:rFonts w:hint="eastAsia"/>
          <w:b/>
          <w:sz w:val="24"/>
          <w:szCs w:val="24"/>
        </w:rPr>
        <w:t>相关</w:t>
      </w:r>
      <w:r>
        <w:rPr>
          <w:b/>
          <w:sz w:val="24"/>
          <w:szCs w:val="24"/>
        </w:rPr>
        <w:t>法律、法规、</w:t>
      </w:r>
      <w:r>
        <w:rPr>
          <w:rFonts w:hint="eastAsia"/>
          <w:b/>
          <w:sz w:val="24"/>
          <w:szCs w:val="24"/>
        </w:rPr>
        <w:t>规章及相关标准，特别是强制性标准的协调性</w:t>
      </w:r>
    </w:p>
    <w:p>
      <w:pPr>
        <w:autoSpaceDE w:val="0"/>
        <w:autoSpaceDN w:val="0"/>
        <w:adjustRightInd w:val="0"/>
        <w:spacing w:line="360" w:lineRule="auto"/>
        <w:ind w:firstLine="480" w:firstLineChars="200"/>
        <w:jc w:val="left"/>
        <w:rPr>
          <w:sz w:val="24"/>
          <w:szCs w:val="24"/>
        </w:rPr>
      </w:pPr>
      <w:r>
        <w:rPr>
          <w:rFonts w:hint="eastAsia"/>
          <w:sz w:val="24"/>
          <w:szCs w:val="24"/>
        </w:rPr>
        <w:t>本标准是根据GB/T1.1-2009《标准化工作导则 第1部分：标准的结构和编写规则》和GB/T20001.4-2001《标准编写规则 第4部分：化学分析方法》的要求进行编写的，</w:t>
      </w:r>
      <w:r>
        <w:rPr>
          <w:sz w:val="24"/>
          <w:szCs w:val="24"/>
        </w:rPr>
        <w:t>本标准完全满足现行法律、法规等的要求，标准格式规范。</w:t>
      </w:r>
    </w:p>
    <w:p>
      <w:pPr>
        <w:spacing w:line="360" w:lineRule="auto"/>
        <w:rPr>
          <w:b/>
          <w:sz w:val="24"/>
          <w:szCs w:val="24"/>
          <w:highlight w:val="yellow"/>
        </w:rPr>
      </w:pPr>
      <w:r>
        <w:rPr>
          <w:rFonts w:hint="eastAsia"/>
          <w:b/>
          <w:sz w:val="24"/>
          <w:szCs w:val="24"/>
        </w:rPr>
        <w:t>五</w:t>
      </w:r>
      <w:r>
        <w:rPr>
          <w:b/>
          <w:sz w:val="24"/>
          <w:szCs w:val="24"/>
        </w:rPr>
        <w:t>、标准中</w:t>
      </w:r>
      <w:r>
        <w:rPr>
          <w:rFonts w:hint="eastAsia"/>
          <w:b/>
          <w:sz w:val="24"/>
          <w:szCs w:val="24"/>
        </w:rPr>
        <w:t>如</w:t>
      </w:r>
      <w:r>
        <w:rPr>
          <w:b/>
          <w:sz w:val="24"/>
          <w:szCs w:val="24"/>
        </w:rPr>
        <w:t>涉及</w:t>
      </w:r>
      <w:r>
        <w:rPr>
          <w:rFonts w:hint="eastAsia"/>
          <w:b/>
          <w:sz w:val="24"/>
          <w:szCs w:val="24"/>
        </w:rPr>
        <w:t>专利，应有明确的知识产权说明</w:t>
      </w:r>
    </w:p>
    <w:p>
      <w:pPr>
        <w:spacing w:line="360" w:lineRule="auto"/>
        <w:ind w:firstLine="495"/>
        <w:rPr>
          <w:sz w:val="24"/>
          <w:szCs w:val="24"/>
        </w:rPr>
      </w:pPr>
      <w:r>
        <w:rPr>
          <w:sz w:val="24"/>
          <w:szCs w:val="24"/>
        </w:rPr>
        <w:t>无</w:t>
      </w:r>
    </w:p>
    <w:p>
      <w:pPr>
        <w:spacing w:line="360" w:lineRule="auto"/>
        <w:rPr>
          <w:b/>
          <w:sz w:val="24"/>
          <w:szCs w:val="24"/>
        </w:rPr>
      </w:pPr>
      <w:r>
        <w:rPr>
          <w:rFonts w:hint="eastAsia"/>
          <w:b/>
          <w:sz w:val="24"/>
          <w:szCs w:val="24"/>
        </w:rPr>
        <w:t>六</w:t>
      </w:r>
      <w:r>
        <w:rPr>
          <w:b/>
          <w:sz w:val="24"/>
          <w:szCs w:val="24"/>
        </w:rPr>
        <w:t>、重大分歧意见的处理经过和依据</w:t>
      </w:r>
    </w:p>
    <w:p>
      <w:pPr>
        <w:spacing w:line="360" w:lineRule="auto"/>
        <w:rPr>
          <w:sz w:val="24"/>
          <w:szCs w:val="24"/>
        </w:rPr>
      </w:pPr>
      <w:r>
        <w:rPr>
          <w:sz w:val="24"/>
          <w:szCs w:val="24"/>
        </w:rPr>
        <w:t>无</w:t>
      </w:r>
    </w:p>
    <w:p>
      <w:pPr>
        <w:spacing w:line="360" w:lineRule="auto"/>
        <w:rPr>
          <w:b/>
          <w:sz w:val="24"/>
          <w:szCs w:val="24"/>
        </w:rPr>
      </w:pPr>
      <w:r>
        <w:rPr>
          <w:rFonts w:hint="eastAsia"/>
          <w:b/>
          <w:sz w:val="24"/>
          <w:szCs w:val="24"/>
        </w:rPr>
        <w:t>七</w:t>
      </w:r>
      <w:r>
        <w:rPr>
          <w:b/>
          <w:sz w:val="24"/>
          <w:szCs w:val="24"/>
        </w:rPr>
        <w:t>、标准作为强制性或推荐性国家（或行业）标准的建议</w:t>
      </w:r>
    </w:p>
    <w:p>
      <w:pPr>
        <w:spacing w:line="360" w:lineRule="auto"/>
        <w:ind w:firstLine="600" w:firstLineChars="250"/>
        <w:rPr>
          <w:sz w:val="24"/>
          <w:szCs w:val="24"/>
        </w:rPr>
      </w:pPr>
      <w:r>
        <w:rPr>
          <w:sz w:val="24"/>
          <w:szCs w:val="24"/>
        </w:rPr>
        <w:t>建议该标准作为推荐性行业标准。</w:t>
      </w:r>
    </w:p>
    <w:p>
      <w:pPr>
        <w:spacing w:line="360" w:lineRule="auto"/>
        <w:rPr>
          <w:b/>
          <w:sz w:val="24"/>
          <w:szCs w:val="24"/>
        </w:rPr>
      </w:pPr>
      <w:r>
        <w:rPr>
          <w:rFonts w:hint="eastAsia"/>
          <w:b/>
          <w:sz w:val="24"/>
          <w:szCs w:val="24"/>
        </w:rPr>
        <w:t>八</w:t>
      </w:r>
      <w:r>
        <w:rPr>
          <w:b/>
          <w:sz w:val="24"/>
          <w:szCs w:val="24"/>
        </w:rPr>
        <w:t>、贯彻标准的要求和措施建议</w:t>
      </w:r>
    </w:p>
    <w:p>
      <w:pPr>
        <w:spacing w:line="360" w:lineRule="auto"/>
        <w:ind w:firstLine="600" w:firstLineChars="250"/>
        <w:rPr>
          <w:b/>
          <w:sz w:val="24"/>
          <w:szCs w:val="24"/>
        </w:rPr>
      </w:pPr>
      <w:r>
        <w:rPr>
          <w:sz w:val="24"/>
          <w:szCs w:val="24"/>
        </w:rPr>
        <w:t>无</w:t>
      </w:r>
    </w:p>
    <w:p>
      <w:pPr>
        <w:spacing w:line="360" w:lineRule="auto"/>
        <w:rPr>
          <w:b/>
          <w:sz w:val="24"/>
          <w:szCs w:val="24"/>
        </w:rPr>
      </w:pPr>
      <w:r>
        <w:rPr>
          <w:rFonts w:hint="eastAsia"/>
          <w:b/>
          <w:sz w:val="24"/>
          <w:szCs w:val="24"/>
        </w:rPr>
        <w:t>九</w:t>
      </w:r>
      <w:r>
        <w:rPr>
          <w:b/>
          <w:sz w:val="24"/>
          <w:szCs w:val="24"/>
        </w:rPr>
        <w:t>、废止现行有关标准的建议</w:t>
      </w:r>
    </w:p>
    <w:p>
      <w:pPr>
        <w:tabs>
          <w:tab w:val="left" w:pos="360"/>
        </w:tabs>
        <w:spacing w:line="360" w:lineRule="auto"/>
        <w:rPr>
          <w:rFonts w:eastAsia="黑体"/>
          <w:b/>
          <w:sz w:val="24"/>
          <w:szCs w:val="24"/>
        </w:rPr>
      </w:pPr>
      <w:r>
        <w:rPr>
          <w:sz w:val="24"/>
          <w:szCs w:val="24"/>
        </w:rPr>
        <w:t>本标准为首次起草，无废止/替代现行有关标准。</w:t>
      </w:r>
    </w:p>
    <w:p>
      <w:pPr>
        <w:spacing w:line="360" w:lineRule="auto"/>
        <w:rPr>
          <w:b/>
          <w:sz w:val="24"/>
          <w:szCs w:val="24"/>
        </w:rPr>
      </w:pPr>
      <w:r>
        <w:rPr>
          <w:b/>
          <w:sz w:val="24"/>
          <w:szCs w:val="24"/>
        </w:rPr>
        <w:t>十、其他应予说明的事项</w:t>
      </w:r>
    </w:p>
    <w:p>
      <w:pPr>
        <w:adjustRightInd w:val="0"/>
        <w:snapToGrid w:val="0"/>
        <w:spacing w:beforeLines="50" w:afterLines="50" w:line="360" w:lineRule="auto"/>
        <w:ind w:firstLine="597" w:firstLineChars="249"/>
        <w:jc w:val="left"/>
        <w:rPr>
          <w:sz w:val="24"/>
          <w:szCs w:val="24"/>
        </w:rPr>
      </w:pPr>
      <w:r>
        <w:rPr>
          <w:sz w:val="24"/>
          <w:szCs w:val="24"/>
        </w:rPr>
        <w:t>本标准在制定过程中，调研了国内多家生产企业、贸易公司和检测机构，标准技术先进，具有充分的可操作性、适用性，综合水平达到了国内先进水平，完全能够满足国内外用户、市场的需求。</w:t>
      </w:r>
      <w:r>
        <w:rPr>
          <w:rFonts w:hint="eastAsia"/>
          <w:sz w:val="24"/>
          <w:szCs w:val="24"/>
        </w:rPr>
        <w:t>本标准在制定过程中，调研了国内多家冶炼企业，标准技术先进，具有充分的可操作性、适用性，完全能够满足国内外用户、市场的需求。本标准为粗锡中铋含量的测定提供依据，有利于企业提高粗锡生产工艺指导控制精锡产品质量和提升对有价元素的的综合回收利用。</w:t>
      </w:r>
    </w:p>
    <w:p>
      <w:pPr>
        <w:spacing w:line="360" w:lineRule="auto"/>
        <w:rPr>
          <w:b/>
          <w:sz w:val="24"/>
          <w:szCs w:val="24"/>
        </w:rPr>
      </w:pPr>
      <w:r>
        <w:rPr>
          <w:rFonts w:hint="eastAsia"/>
          <w:b/>
          <w:sz w:val="24"/>
          <w:szCs w:val="24"/>
        </w:rPr>
        <w:t>十一、预期效果</w:t>
      </w:r>
    </w:p>
    <w:p>
      <w:pPr>
        <w:spacing w:line="360" w:lineRule="auto"/>
        <w:rPr>
          <w:b/>
          <w:sz w:val="24"/>
          <w:szCs w:val="24"/>
        </w:rPr>
      </w:pPr>
      <w:r>
        <w:rPr>
          <w:rFonts w:hint="eastAsia"/>
          <w:sz w:val="24"/>
          <w:szCs w:val="24"/>
        </w:rPr>
        <w:t>该标准的发布和实施，将为生产企业、第三方检测机构、科研院所等机构提供了检测方法和依据，推动了科技的进步，为社会的和谐发展提供了保障。</w:t>
      </w:r>
    </w:p>
    <w:p>
      <w:pPr>
        <w:spacing w:line="360" w:lineRule="auto"/>
        <w:rPr>
          <w:rFonts w:eastAsia="黑体"/>
          <w:sz w:val="24"/>
          <w:szCs w:val="24"/>
        </w:rPr>
      </w:pPr>
      <w:r>
        <w:rPr>
          <w:rFonts w:hint="eastAsia" w:eastAsia="黑体"/>
          <w:sz w:val="24"/>
          <w:szCs w:val="24"/>
        </w:rPr>
        <w:t>十二、产业化情况、推广应用论证和预期达到的经济效果</w:t>
      </w:r>
    </w:p>
    <w:p>
      <w:pPr>
        <w:spacing w:line="360" w:lineRule="auto"/>
        <w:rPr>
          <w:rFonts w:ascii="方正仿宋简体" w:hAnsi="黑体" w:eastAsia="方正仿宋简体"/>
          <w:sz w:val="24"/>
          <w:szCs w:val="24"/>
        </w:rPr>
      </w:pPr>
      <w:r>
        <w:rPr>
          <w:rFonts w:hint="eastAsia" w:ascii="方正仿宋简体" w:hAnsi="黑体" w:eastAsia="方正仿宋简体"/>
          <w:sz w:val="24"/>
          <w:szCs w:val="24"/>
        </w:rPr>
        <w:t>（1）</w:t>
      </w:r>
      <w:r>
        <w:rPr>
          <w:rFonts w:ascii="方正仿宋简体" w:hAnsi="黑体" w:eastAsia="方正仿宋简体"/>
          <w:sz w:val="24"/>
          <w:szCs w:val="24"/>
        </w:rPr>
        <w:t>提高了产品质量 </w:t>
      </w:r>
      <w:r>
        <w:rPr>
          <w:rFonts w:ascii="方正仿宋简体" w:hAnsi="黑体" w:eastAsia="方正仿宋简体"/>
          <w:sz w:val="24"/>
          <w:szCs w:val="24"/>
        </w:rPr>
        <w:br w:type="textWrapping"/>
      </w:r>
      <w:r>
        <w:rPr>
          <w:rFonts w:ascii="方正仿宋简体" w:hAnsi="黑体" w:eastAsia="方正仿宋简体"/>
          <w:sz w:val="24"/>
          <w:szCs w:val="24"/>
        </w:rPr>
        <w:t>　　质量是企业在市场竞争中得以生存和发展的基础保证，因此质量的好坏在很大程度上影响着企业的经济效益，而产品质量的好坏需要一个标准来衡量，使其在满足相关法规标准和顾客需求的前提下，也能够最大程度降低产品的成本，而标准化的实施使得这些问题迎刃而解。 </w:t>
      </w:r>
      <w:r>
        <w:rPr>
          <w:rFonts w:ascii="方正仿宋简体" w:hAnsi="黑体" w:eastAsia="方正仿宋简体"/>
          <w:sz w:val="24"/>
          <w:szCs w:val="24"/>
        </w:rPr>
        <w:br w:type="textWrapping"/>
      </w:r>
      <w:r>
        <w:rPr>
          <w:rFonts w:hint="eastAsia" w:ascii="方正仿宋简体" w:hAnsi="黑体" w:eastAsia="方正仿宋简体"/>
          <w:sz w:val="24"/>
          <w:szCs w:val="24"/>
        </w:rPr>
        <w:t>（2）</w:t>
      </w:r>
      <w:r>
        <w:rPr>
          <w:rFonts w:ascii="方正仿宋简体" w:hAnsi="黑体" w:eastAsia="方正仿宋简体"/>
          <w:sz w:val="24"/>
          <w:szCs w:val="24"/>
        </w:rPr>
        <w:t>消除对外贸易技术壁垒 </w:t>
      </w:r>
      <w:r>
        <w:rPr>
          <w:rFonts w:ascii="方正仿宋简体" w:hAnsi="黑体" w:eastAsia="方正仿宋简体"/>
          <w:sz w:val="24"/>
          <w:szCs w:val="24"/>
        </w:rPr>
        <w:br w:type="textWrapping"/>
      </w:r>
      <w:r>
        <w:rPr>
          <w:rFonts w:ascii="方正仿宋简体" w:hAnsi="黑体" w:eastAsia="方正仿宋简体"/>
          <w:sz w:val="24"/>
          <w:szCs w:val="24"/>
        </w:rPr>
        <w:t>　　自从我国加入WTO后，对外贸易已经成为影响我国经济发展的重要组成部分，然而长期以来，由于我国出口的产品经常遭受国外技术壁垒，也就是增加产品的技术标准等指标来限制我国产品出口，造成巨大的经济损失，因此，加强标准化工作，能够提高我们出口产品的竞争力，从而达到增加贸易额的目的。 </w:t>
      </w:r>
    </w:p>
    <w:p>
      <w:pPr>
        <w:spacing w:line="360" w:lineRule="auto"/>
        <w:jc w:val="left"/>
        <w:rPr>
          <w:b/>
          <w:sz w:val="24"/>
          <w:szCs w:val="24"/>
        </w:rPr>
      </w:pPr>
      <w:r>
        <w:rPr>
          <w:rFonts w:hint="eastAsia" w:eastAsia="黑体"/>
          <w:sz w:val="24"/>
          <w:szCs w:val="24"/>
        </w:rPr>
        <w:br w:type="page"/>
      </w:r>
    </w:p>
    <w:p>
      <w:pPr>
        <w:spacing w:line="360" w:lineRule="auto"/>
        <w:jc w:val="left"/>
        <w:rPr>
          <w:szCs w:val="21"/>
        </w:rPr>
      </w:pPr>
      <w:r>
        <w:rPr>
          <w:rFonts w:hint="eastAsia"/>
          <w:szCs w:val="21"/>
        </w:rPr>
        <w:t>附件1</w:t>
      </w:r>
    </w:p>
    <w:p>
      <w:pPr>
        <w:spacing w:line="360" w:lineRule="auto"/>
        <w:ind w:firstLine="562" w:firstLineChars="200"/>
        <w:jc w:val="center"/>
        <w:rPr>
          <w:b/>
          <w:bCs/>
          <w:sz w:val="28"/>
          <w:szCs w:val="28"/>
        </w:rPr>
      </w:pPr>
      <w:r>
        <w:rPr>
          <w:rFonts w:hint="eastAsia"/>
          <w:b/>
          <w:bCs/>
          <w:sz w:val="28"/>
          <w:szCs w:val="28"/>
        </w:rPr>
        <w:t>粗锡化学分析方法</w:t>
      </w:r>
    </w:p>
    <w:p>
      <w:pPr>
        <w:spacing w:line="360" w:lineRule="auto"/>
        <w:rPr>
          <w:b/>
          <w:bCs/>
          <w:sz w:val="28"/>
          <w:szCs w:val="28"/>
        </w:rPr>
      </w:pPr>
      <w:r>
        <w:rPr>
          <w:rFonts w:hint="eastAsia"/>
          <w:b/>
          <w:bCs/>
          <w:sz w:val="28"/>
          <w:szCs w:val="28"/>
        </w:rPr>
        <w:t>第4部分：铋量的测定 火焰原子吸收光谱法和Na</w:t>
      </w:r>
      <w:r>
        <w:rPr>
          <w:rFonts w:hint="eastAsia"/>
          <w:b/>
          <w:bCs/>
          <w:sz w:val="28"/>
          <w:szCs w:val="28"/>
          <w:vertAlign w:val="subscript"/>
        </w:rPr>
        <w:t>2</w:t>
      </w:r>
      <w:r>
        <w:rPr>
          <w:rFonts w:hint="eastAsia"/>
          <w:b/>
          <w:bCs/>
          <w:sz w:val="28"/>
          <w:szCs w:val="28"/>
        </w:rPr>
        <w:t>EDTA滴定法</w:t>
      </w:r>
    </w:p>
    <w:p>
      <w:pPr>
        <w:spacing w:line="360" w:lineRule="auto"/>
        <w:ind w:firstLine="562" w:firstLineChars="200"/>
        <w:jc w:val="center"/>
        <w:rPr>
          <w:b/>
          <w:bCs/>
          <w:sz w:val="28"/>
          <w:szCs w:val="28"/>
        </w:rPr>
      </w:pPr>
      <w:r>
        <w:rPr>
          <w:rFonts w:hint="eastAsia"/>
          <w:b/>
          <w:bCs/>
          <w:sz w:val="28"/>
          <w:szCs w:val="28"/>
        </w:rPr>
        <w:t>方法1：火焰原子吸收光谱法</w:t>
      </w:r>
    </w:p>
    <w:p>
      <w:pPr>
        <w:pStyle w:val="3"/>
        <w:spacing w:line="360" w:lineRule="auto"/>
        <w:jc w:val="center"/>
        <w:rPr>
          <w:sz w:val="28"/>
          <w:szCs w:val="28"/>
        </w:rPr>
      </w:pPr>
      <w:r>
        <w:rPr>
          <w:b w:val="0"/>
          <w:bCs/>
          <w:sz w:val="28"/>
          <w:szCs w:val="28"/>
        </w:rPr>
        <w:t>精密度试验数据处理</w:t>
      </w:r>
    </w:p>
    <w:p>
      <w:pPr>
        <w:pStyle w:val="3"/>
        <w:spacing w:line="360" w:lineRule="auto"/>
      </w:pPr>
      <w:r>
        <w:t>1  背景</w:t>
      </w:r>
    </w:p>
    <w:p>
      <w:pPr>
        <w:spacing w:line="360" w:lineRule="auto"/>
        <w:rPr>
          <w:szCs w:val="21"/>
        </w:rPr>
      </w:pPr>
      <w:r>
        <w:rPr>
          <w:szCs w:val="21"/>
        </w:rPr>
        <w:t>为了确定《</w:t>
      </w:r>
      <w:r>
        <w:rPr>
          <w:rFonts w:hint="eastAsia"/>
          <w:szCs w:val="21"/>
        </w:rPr>
        <w:t>粗锡</w:t>
      </w:r>
      <w:r>
        <w:rPr>
          <w:szCs w:val="21"/>
        </w:rPr>
        <w:t>化学分析方法第</w:t>
      </w:r>
      <w:r>
        <w:rPr>
          <w:rFonts w:hint="eastAsia"/>
          <w:szCs w:val="21"/>
        </w:rPr>
        <w:t>4</w:t>
      </w:r>
      <w:r>
        <w:rPr>
          <w:szCs w:val="21"/>
        </w:rPr>
        <w:t>部分：</w:t>
      </w:r>
      <w:r>
        <w:rPr>
          <w:rFonts w:hint="eastAsia"/>
          <w:szCs w:val="21"/>
        </w:rPr>
        <w:t>铋量的测定 火焰原子吸收光谱法</w:t>
      </w:r>
      <w:r>
        <w:rPr>
          <w:szCs w:val="21"/>
        </w:rPr>
        <w:t>》测定方法的重复性与再现性，</w:t>
      </w:r>
      <w:r>
        <w:rPr>
          <w:rFonts w:hint="eastAsia"/>
          <w:szCs w:val="21"/>
        </w:rPr>
        <w:t>7</w:t>
      </w:r>
      <w:r>
        <w:rPr>
          <w:szCs w:val="21"/>
        </w:rPr>
        <w:t>个实验室对</w:t>
      </w:r>
      <w:r>
        <w:rPr>
          <w:rFonts w:hint="eastAsia"/>
          <w:szCs w:val="21"/>
        </w:rPr>
        <w:t>6</w:t>
      </w:r>
      <w:r>
        <w:rPr>
          <w:szCs w:val="21"/>
        </w:rPr>
        <w:t>个水平的</w:t>
      </w:r>
      <w:r>
        <w:rPr>
          <w:rFonts w:hint="eastAsia"/>
          <w:szCs w:val="21"/>
        </w:rPr>
        <w:t>粗锡</w:t>
      </w:r>
      <w:r>
        <w:rPr>
          <w:szCs w:val="21"/>
        </w:rPr>
        <w:t>样品进行了协同试验。根据国家标准GB/T 6379.2-2004确定标准测量方法的重复性和再现性的基本方法（ISO 5725-2：1994，IDT）的规定，对收到的全部数据进行了统计分析。</w:t>
      </w:r>
    </w:p>
    <w:p>
      <w:pPr>
        <w:pStyle w:val="3"/>
        <w:spacing w:line="360" w:lineRule="auto"/>
      </w:pPr>
      <w:r>
        <w:rPr>
          <w:rFonts w:hint="eastAsia"/>
        </w:rPr>
        <w:t>2 各实验室的实验数据</w:t>
      </w:r>
    </w:p>
    <w:p>
      <w:pPr>
        <w:pStyle w:val="3"/>
        <w:spacing w:line="360" w:lineRule="auto"/>
        <w:jc w:val="center"/>
      </w:pPr>
      <w:r>
        <w:rPr>
          <w:rFonts w:hint="eastAsia"/>
        </w:rPr>
        <w:t>表1  数据及统计结果（%）</w:t>
      </w:r>
    </w:p>
    <w:tbl>
      <w:tblPr>
        <w:tblStyle w:val="37"/>
        <w:tblW w:w="58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11"/>
        <w:gridCol w:w="1181"/>
        <w:gridCol w:w="1095"/>
        <w:gridCol w:w="1095"/>
        <w:gridCol w:w="1095"/>
        <w:gridCol w:w="1095"/>
        <w:gridCol w:w="1095"/>
        <w:gridCol w:w="1095"/>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restart"/>
            <w:vAlign w:val="center"/>
          </w:tcPr>
          <w:p>
            <w:pPr>
              <w:spacing w:line="240" w:lineRule="auto"/>
              <w:jc w:val="center"/>
              <w:rPr>
                <w:sz w:val="21"/>
                <w:szCs w:val="21"/>
              </w:rPr>
            </w:pPr>
            <w:r>
              <w:rPr>
                <w:sz w:val="21"/>
                <w:szCs w:val="21"/>
              </w:rPr>
              <w:t>测定元素</w:t>
            </w:r>
          </w:p>
        </w:tc>
        <w:tc>
          <w:tcPr>
            <w:tcW w:w="356" w:type="pct"/>
            <w:vMerge w:val="restart"/>
            <w:vAlign w:val="center"/>
          </w:tcPr>
          <w:p>
            <w:pPr>
              <w:spacing w:line="240" w:lineRule="auto"/>
              <w:jc w:val="center"/>
              <w:rPr>
                <w:sz w:val="21"/>
                <w:szCs w:val="21"/>
              </w:rPr>
            </w:pPr>
            <w:r>
              <w:rPr>
                <w:sz w:val="21"/>
                <w:szCs w:val="21"/>
              </w:rPr>
              <w:t>样品编号</w:t>
            </w:r>
          </w:p>
        </w:tc>
        <w:tc>
          <w:tcPr>
            <w:tcW w:w="591" w:type="pct"/>
            <w:vAlign w:val="center"/>
          </w:tcPr>
          <w:p>
            <w:pPr>
              <w:spacing w:line="240" w:lineRule="auto"/>
              <w:jc w:val="center"/>
              <w:rPr>
                <w:sz w:val="21"/>
                <w:szCs w:val="21"/>
              </w:rPr>
            </w:pPr>
            <w:r>
              <w:rPr>
                <w:sz w:val="21"/>
                <w:szCs w:val="21"/>
              </w:rPr>
              <w:t>起草单位</w:t>
            </w:r>
          </w:p>
        </w:tc>
        <w:tc>
          <w:tcPr>
            <w:tcW w:w="3840" w:type="pct"/>
            <w:gridSpan w:val="7"/>
            <w:vAlign w:val="center"/>
          </w:tcPr>
          <w:p>
            <w:pPr>
              <w:spacing w:line="240" w:lineRule="auto"/>
              <w:jc w:val="center"/>
              <w:rPr>
                <w:sz w:val="21"/>
                <w:szCs w:val="21"/>
              </w:rPr>
            </w:pPr>
            <w:r>
              <w:rPr>
                <w:sz w:val="21"/>
                <w:szCs w:val="21"/>
              </w:rPr>
              <w:t>验证单位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spacing w:line="240" w:lineRule="auto"/>
              <w:jc w:val="center"/>
              <w:rPr>
                <w:sz w:val="21"/>
                <w:szCs w:val="21"/>
              </w:rPr>
            </w:pPr>
            <w:r>
              <w:rPr>
                <w:rFonts w:hint="eastAsia"/>
                <w:sz w:val="21"/>
                <w:szCs w:val="21"/>
              </w:rPr>
              <w:t>广西中检检测技术服务有限公司</w:t>
            </w:r>
          </w:p>
          <w:p>
            <w:pPr>
              <w:spacing w:line="240" w:lineRule="auto"/>
              <w:jc w:val="center"/>
              <w:rPr>
                <w:sz w:val="21"/>
                <w:szCs w:val="21"/>
              </w:rPr>
            </w:pPr>
            <w:r>
              <w:rPr>
                <w:rFonts w:hint="eastAsia"/>
                <w:sz w:val="21"/>
                <w:szCs w:val="21"/>
              </w:rPr>
              <w:t>（1）</w:t>
            </w:r>
          </w:p>
        </w:tc>
        <w:tc>
          <w:tcPr>
            <w:tcW w:w="548" w:type="pct"/>
            <w:vAlign w:val="center"/>
          </w:tcPr>
          <w:p>
            <w:pPr>
              <w:spacing w:line="240" w:lineRule="auto"/>
              <w:jc w:val="center"/>
              <w:rPr>
                <w:sz w:val="21"/>
                <w:szCs w:val="21"/>
              </w:rPr>
            </w:pPr>
            <w:r>
              <w:rPr>
                <w:rFonts w:hint="eastAsia"/>
                <w:sz w:val="21"/>
                <w:szCs w:val="21"/>
              </w:rPr>
              <w:t>西安汉唐分析检测有限公司（2）</w:t>
            </w:r>
          </w:p>
        </w:tc>
        <w:tc>
          <w:tcPr>
            <w:tcW w:w="548" w:type="pct"/>
            <w:vAlign w:val="center"/>
          </w:tcPr>
          <w:p>
            <w:pPr>
              <w:spacing w:line="240" w:lineRule="auto"/>
              <w:jc w:val="center"/>
              <w:rPr>
                <w:sz w:val="21"/>
                <w:szCs w:val="21"/>
              </w:rPr>
            </w:pPr>
            <w:r>
              <w:rPr>
                <w:rFonts w:hint="eastAsia"/>
                <w:kern w:val="0"/>
                <w:sz w:val="21"/>
                <w:szCs w:val="21"/>
              </w:rPr>
              <w:t>云南锡业股份有限公司冶炼分公司（3）</w:t>
            </w:r>
          </w:p>
        </w:tc>
        <w:tc>
          <w:tcPr>
            <w:tcW w:w="548" w:type="pct"/>
            <w:vAlign w:val="center"/>
          </w:tcPr>
          <w:p>
            <w:pPr>
              <w:spacing w:line="240" w:lineRule="auto"/>
              <w:jc w:val="center"/>
              <w:rPr>
                <w:sz w:val="21"/>
                <w:szCs w:val="21"/>
              </w:rPr>
            </w:pPr>
            <w:r>
              <w:rPr>
                <w:rFonts w:hint="eastAsia"/>
                <w:kern w:val="0"/>
                <w:sz w:val="21"/>
                <w:szCs w:val="21"/>
              </w:rPr>
              <w:t>北矿检测技术有限公司（4）</w:t>
            </w:r>
          </w:p>
        </w:tc>
        <w:tc>
          <w:tcPr>
            <w:tcW w:w="548" w:type="pct"/>
            <w:vAlign w:val="center"/>
          </w:tcPr>
          <w:p>
            <w:pPr>
              <w:spacing w:line="240" w:lineRule="auto"/>
              <w:jc w:val="center"/>
              <w:rPr>
                <w:sz w:val="21"/>
                <w:szCs w:val="21"/>
              </w:rPr>
            </w:pPr>
            <w:r>
              <w:rPr>
                <w:rFonts w:hint="eastAsia"/>
                <w:kern w:val="0"/>
                <w:sz w:val="21"/>
                <w:szCs w:val="21"/>
              </w:rPr>
              <w:t>防城港市东途矿产检测有限公司（5）</w:t>
            </w:r>
          </w:p>
        </w:tc>
        <w:tc>
          <w:tcPr>
            <w:tcW w:w="548" w:type="pct"/>
            <w:vAlign w:val="center"/>
          </w:tcPr>
          <w:p>
            <w:pPr>
              <w:spacing w:line="240" w:lineRule="auto"/>
              <w:jc w:val="center"/>
              <w:rPr>
                <w:sz w:val="21"/>
                <w:szCs w:val="21"/>
              </w:rPr>
            </w:pPr>
            <w:r>
              <w:rPr>
                <w:rFonts w:hint="eastAsia"/>
                <w:kern w:val="0"/>
                <w:sz w:val="21"/>
                <w:szCs w:val="21"/>
              </w:rPr>
              <w:t>大冶有色设计研究院有限公司(6)</w:t>
            </w:r>
          </w:p>
        </w:tc>
        <w:tc>
          <w:tcPr>
            <w:tcW w:w="548" w:type="pct"/>
            <w:vAlign w:val="center"/>
          </w:tcPr>
          <w:p>
            <w:pPr>
              <w:spacing w:line="240" w:lineRule="auto"/>
              <w:jc w:val="center"/>
              <w:rPr>
                <w:sz w:val="21"/>
                <w:szCs w:val="21"/>
              </w:rPr>
            </w:pPr>
            <w:r>
              <w:rPr>
                <w:rFonts w:hint="eastAsia"/>
                <w:sz w:val="21"/>
                <w:szCs w:val="21"/>
              </w:rPr>
              <w:t>紫金铜业有限公司（7）</w:t>
            </w:r>
          </w:p>
        </w:tc>
        <w:tc>
          <w:tcPr>
            <w:tcW w:w="550" w:type="pct"/>
            <w:vAlign w:val="center"/>
          </w:tcPr>
          <w:p>
            <w:pPr>
              <w:spacing w:line="240" w:lineRule="auto"/>
              <w:jc w:val="center"/>
              <w:rPr>
                <w:rFonts w:hint="default" w:eastAsia="宋体"/>
                <w:sz w:val="21"/>
                <w:szCs w:val="21"/>
                <w:lang w:val="en-US" w:eastAsia="zh-CN"/>
              </w:rPr>
            </w:pPr>
            <w:r>
              <w:rPr>
                <w:rFonts w:hint="eastAsia"/>
                <w:sz w:val="21"/>
                <w:szCs w:val="21"/>
              </w:rPr>
              <w:t>昆明冶金研究院</w:t>
            </w:r>
            <w:r>
              <w:rPr>
                <w:rFonts w:hint="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 w:type="pct"/>
            <w:vMerge w:val="restart"/>
            <w:shd w:val="clear" w:color="auto" w:fill="auto"/>
            <w:vAlign w:val="center"/>
          </w:tcPr>
          <w:p>
            <w:pPr>
              <w:spacing w:line="240" w:lineRule="auto"/>
              <w:jc w:val="center"/>
              <w:rPr>
                <w:sz w:val="21"/>
                <w:szCs w:val="21"/>
              </w:rPr>
            </w:pPr>
            <w:r>
              <w:rPr>
                <w:sz w:val="21"/>
                <w:szCs w:val="21"/>
              </w:rPr>
              <w:t>Bi</w:t>
            </w:r>
          </w:p>
        </w:tc>
        <w:tc>
          <w:tcPr>
            <w:tcW w:w="356" w:type="pct"/>
            <w:vMerge w:val="restart"/>
            <w:shd w:val="clear" w:color="auto" w:fill="auto"/>
            <w:vAlign w:val="center"/>
          </w:tcPr>
          <w:p>
            <w:pPr>
              <w:spacing w:line="240" w:lineRule="auto"/>
              <w:jc w:val="center"/>
              <w:rPr>
                <w:sz w:val="21"/>
                <w:szCs w:val="21"/>
              </w:rPr>
            </w:pPr>
            <w:r>
              <w:rPr>
                <w:rFonts w:hint="eastAsia"/>
                <w:sz w:val="21"/>
                <w:szCs w:val="21"/>
              </w:rPr>
              <w:t>YT99</w:t>
            </w:r>
          </w:p>
        </w:tc>
        <w:tc>
          <w:tcPr>
            <w:tcW w:w="591" w:type="pct"/>
            <w:tcBorders>
              <w:bottom w:val="single" w:color="auto" w:sz="4" w:space="0"/>
            </w:tcBorders>
            <w:shd w:val="clear" w:color="auto" w:fill="auto"/>
            <w:vAlign w:val="center"/>
          </w:tcPr>
          <w:p>
            <w:pPr>
              <w:widowControl/>
              <w:spacing w:line="240" w:lineRule="auto"/>
              <w:jc w:val="center"/>
              <w:textAlignment w:val="center"/>
              <w:rPr>
                <w:rFonts w:hint="eastAsia" w:eastAsia="宋体"/>
                <w:sz w:val="21"/>
                <w:szCs w:val="21"/>
                <w:lang w:val="en-US" w:eastAsia="zh-CN"/>
              </w:rPr>
            </w:pPr>
            <w:r>
              <w:rPr>
                <w:color w:val="000000"/>
                <w:kern w:val="0"/>
                <w:sz w:val="21"/>
                <w:szCs w:val="21"/>
              </w:rPr>
              <w:t>0.022</w:t>
            </w:r>
            <w:r>
              <w:rPr>
                <w:rFonts w:hint="eastAsia"/>
                <w:color w:val="000000"/>
                <w:kern w:val="0"/>
                <w:sz w:val="21"/>
                <w:szCs w:val="21"/>
                <w:lang w:val="en-US" w:eastAsia="zh-CN"/>
              </w:rPr>
              <w:t>0</w:t>
            </w:r>
          </w:p>
        </w:tc>
        <w:tc>
          <w:tcPr>
            <w:tcW w:w="548" w:type="pct"/>
            <w:tcBorders>
              <w:bottom w:val="single" w:color="auto" w:sz="4" w:space="0"/>
            </w:tcBorders>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0.0224</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0.023（*）</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0.020</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0.0218</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0.0186</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0.0219</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rFonts w:hint="eastAsia" w:eastAsia="宋体"/>
                <w:sz w:val="21"/>
                <w:szCs w:val="21"/>
                <w:lang w:val="en-US" w:eastAsia="zh-CN"/>
              </w:rPr>
            </w:pPr>
            <w:r>
              <w:rPr>
                <w:color w:val="000000"/>
                <w:kern w:val="0"/>
                <w:sz w:val="21"/>
                <w:szCs w:val="21"/>
              </w:rPr>
              <w:t>0.022</w:t>
            </w:r>
            <w:r>
              <w:rPr>
                <w:rFonts w:hint="eastAsia"/>
                <w:color w:val="000000"/>
                <w:kern w:val="0"/>
                <w:sz w:val="21"/>
                <w:szCs w:val="21"/>
                <w:lang w:val="en-US" w:eastAsia="zh-CN"/>
              </w:rPr>
              <w:t>0</w:t>
            </w:r>
          </w:p>
        </w:tc>
        <w:tc>
          <w:tcPr>
            <w:tcW w:w="548" w:type="pct"/>
            <w:tcBorders>
              <w:top w:val="single" w:color="auto" w:sz="4" w:space="0"/>
            </w:tcBorders>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0.0224</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0.024（*）</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0.021</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0.0222</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0.0196</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0.0220</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0.0225</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0.0225</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0.024（*）</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0.022</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0.0222</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0.0198</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0.0220</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0.0226</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0.0226</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0.024（*）</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0.023</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0.0225</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0.0203</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0.0221</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0.0227</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0.0227</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0.025（*）</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0.023</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0.0227</w:t>
            </w:r>
          </w:p>
        </w:tc>
        <w:tc>
          <w:tcPr>
            <w:tcW w:w="548" w:type="pct"/>
            <w:vAlign w:val="center"/>
          </w:tcPr>
          <w:p>
            <w:pPr>
              <w:widowControl/>
              <w:spacing w:line="240" w:lineRule="auto"/>
              <w:jc w:val="center"/>
              <w:textAlignment w:val="bottom"/>
              <w:rPr>
                <w:kern w:val="0"/>
                <w:sz w:val="21"/>
                <w:szCs w:val="21"/>
              </w:rPr>
            </w:pPr>
            <w:r>
              <w:rPr>
                <w:rFonts w:hint="eastAsia" w:ascii="宋体" w:hAnsi="宋体" w:cs="宋体"/>
                <w:color w:val="000000"/>
                <w:kern w:val="0"/>
                <w:sz w:val="21"/>
                <w:szCs w:val="21"/>
              </w:rPr>
              <w:t>0.0204</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0.0223</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0.023</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0.0235</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0.025（*）</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0.023</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0.0228</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0.0208</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0.0223</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0.0234</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0.0235</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0.025（*）</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0.025</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0.0229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0.0209</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0.0225</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0.0234</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0.0238</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0.026（*）</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keepNext w:val="0"/>
              <w:keepLines w:val="0"/>
              <w:widowControl/>
              <w:suppressLineNumbers w:val="0"/>
              <w:spacing w:line="240" w:lineRule="auto"/>
              <w:jc w:val="center"/>
              <w:textAlignment w:val="bottom"/>
              <w:rPr>
                <w:kern w:val="0"/>
                <w:sz w:val="21"/>
                <w:szCs w:val="21"/>
              </w:rPr>
            </w:pPr>
            <w:r>
              <w:rPr>
                <w:rFonts w:hint="eastAsia" w:ascii="宋体" w:hAnsi="宋体" w:eastAsia="宋体" w:cs="宋体"/>
                <w:i w:val="0"/>
                <w:color w:val="000000"/>
                <w:kern w:val="0"/>
                <w:sz w:val="21"/>
                <w:szCs w:val="21"/>
                <w:u w:val="none"/>
                <w:lang w:val="en-US" w:eastAsia="zh-CN" w:bidi="ar"/>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0.0241</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0.0240</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0.026（*）</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widowControl/>
              <w:spacing w:line="240" w:lineRule="auto"/>
              <w:jc w:val="center"/>
              <w:textAlignment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bottom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0.0244</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0.0245</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0.026（*）</w:t>
            </w:r>
          </w:p>
        </w:tc>
        <w:tc>
          <w:tcPr>
            <w:tcW w:w="548" w:type="pct"/>
            <w:shd w:val="clear" w:color="auto" w:fill="FFFFFF"/>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tcBorders>
              <w:top w:val="single" w:color="auto" w:sz="4" w:space="0"/>
            </w:tcBorders>
            <w:shd w:val="clear" w:color="auto" w:fill="auto"/>
            <w:vAlign w:val="center"/>
          </w:tcPr>
          <w:p>
            <w:pPr>
              <w:widowControl/>
              <w:spacing w:line="240" w:lineRule="auto"/>
              <w:jc w:val="center"/>
              <w:textAlignment w:val="center"/>
              <w:rPr>
                <w:sz w:val="21"/>
                <w:szCs w:val="21"/>
              </w:rPr>
            </w:pPr>
            <w:r>
              <w:rPr>
                <w:color w:val="000000"/>
                <w:kern w:val="0"/>
                <w:sz w:val="21"/>
                <w:szCs w:val="21"/>
              </w:rPr>
              <w:t>0.0249</w:t>
            </w:r>
          </w:p>
        </w:tc>
        <w:tc>
          <w:tcPr>
            <w:tcW w:w="548"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0.0248</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0.028（*）</w:t>
            </w:r>
          </w:p>
        </w:tc>
        <w:tc>
          <w:tcPr>
            <w:tcW w:w="548" w:type="pct"/>
            <w:shd w:val="clear" w:color="auto" w:fill="FFFFFF"/>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平均值</w:t>
            </w:r>
          </w:p>
        </w:tc>
        <w:tc>
          <w:tcPr>
            <w:tcW w:w="591" w:type="pct"/>
            <w:vAlign w:val="center"/>
          </w:tcPr>
          <w:p>
            <w:pPr>
              <w:widowControl/>
              <w:spacing w:line="240" w:lineRule="auto"/>
              <w:jc w:val="center"/>
              <w:textAlignment w:val="center"/>
              <w:rPr>
                <w:sz w:val="21"/>
                <w:szCs w:val="21"/>
              </w:rPr>
            </w:pPr>
            <w:r>
              <w:rPr>
                <w:color w:val="000000"/>
                <w:kern w:val="0"/>
                <w:sz w:val="21"/>
                <w:szCs w:val="21"/>
              </w:rPr>
              <w:t>0.0232</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0.0233</w:t>
            </w:r>
          </w:p>
        </w:tc>
        <w:tc>
          <w:tcPr>
            <w:tcW w:w="548" w:type="pct"/>
            <w:vAlign w:val="center"/>
          </w:tcPr>
          <w:p>
            <w:pPr>
              <w:widowControl/>
              <w:spacing w:line="240" w:lineRule="auto"/>
              <w:jc w:val="center"/>
              <w:textAlignment w:val="center"/>
              <w:rPr>
                <w:sz w:val="21"/>
                <w:szCs w:val="21"/>
              </w:rPr>
            </w:pPr>
            <w:r>
              <w:rPr>
                <w:color w:val="000000"/>
                <w:kern w:val="0"/>
                <w:sz w:val="21"/>
                <w:szCs w:val="21"/>
              </w:rPr>
              <w:t>0.0251</w:t>
            </w:r>
          </w:p>
        </w:tc>
        <w:tc>
          <w:tcPr>
            <w:tcW w:w="548" w:type="pct"/>
            <w:vAlign w:val="center"/>
          </w:tcPr>
          <w:p>
            <w:pPr>
              <w:widowControl/>
              <w:spacing w:line="240" w:lineRule="auto"/>
              <w:jc w:val="center"/>
              <w:textAlignment w:val="center"/>
              <w:rPr>
                <w:sz w:val="21"/>
                <w:szCs w:val="21"/>
              </w:rPr>
            </w:pPr>
            <w:r>
              <w:rPr>
                <w:color w:val="000000"/>
                <w:kern w:val="0"/>
                <w:sz w:val="21"/>
                <w:szCs w:val="21"/>
              </w:rPr>
              <w:t>0.0224</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0.0224</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0.0201</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0.0222</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RSD（%）</w:t>
            </w:r>
          </w:p>
        </w:tc>
        <w:tc>
          <w:tcPr>
            <w:tcW w:w="591" w:type="pct"/>
            <w:vAlign w:val="center"/>
          </w:tcPr>
          <w:p>
            <w:pPr>
              <w:widowControl/>
              <w:spacing w:line="240" w:lineRule="auto"/>
              <w:jc w:val="center"/>
              <w:textAlignment w:val="center"/>
              <w:rPr>
                <w:sz w:val="21"/>
                <w:szCs w:val="21"/>
              </w:rPr>
            </w:pPr>
            <w:r>
              <w:rPr>
                <w:color w:val="000000"/>
                <w:kern w:val="0"/>
                <w:sz w:val="21"/>
                <w:szCs w:val="21"/>
              </w:rPr>
              <w:t>4.15</w:t>
            </w:r>
          </w:p>
        </w:tc>
        <w:tc>
          <w:tcPr>
            <w:tcW w:w="548" w:type="pct"/>
            <w:vAlign w:val="center"/>
          </w:tcPr>
          <w:p>
            <w:pPr>
              <w:widowControl/>
              <w:spacing w:line="240" w:lineRule="auto"/>
              <w:jc w:val="center"/>
              <w:textAlignment w:val="center"/>
              <w:rPr>
                <w:sz w:val="21"/>
                <w:szCs w:val="21"/>
              </w:rPr>
            </w:pPr>
            <w:r>
              <w:rPr>
                <w:color w:val="000000"/>
                <w:kern w:val="0"/>
                <w:sz w:val="21"/>
                <w:szCs w:val="21"/>
              </w:rPr>
              <w:t>3.74</w:t>
            </w:r>
          </w:p>
        </w:tc>
        <w:tc>
          <w:tcPr>
            <w:tcW w:w="548" w:type="pct"/>
            <w:vAlign w:val="center"/>
          </w:tcPr>
          <w:p>
            <w:pPr>
              <w:widowControl/>
              <w:spacing w:line="240" w:lineRule="auto"/>
              <w:jc w:val="center"/>
              <w:textAlignment w:val="center"/>
              <w:rPr>
                <w:sz w:val="21"/>
                <w:szCs w:val="21"/>
              </w:rPr>
            </w:pPr>
            <w:r>
              <w:rPr>
                <w:color w:val="000000"/>
                <w:kern w:val="0"/>
                <w:sz w:val="21"/>
                <w:szCs w:val="21"/>
              </w:rPr>
              <w:t>5.48</w:t>
            </w:r>
          </w:p>
        </w:tc>
        <w:tc>
          <w:tcPr>
            <w:tcW w:w="548" w:type="pct"/>
            <w:vAlign w:val="center"/>
          </w:tcPr>
          <w:p>
            <w:pPr>
              <w:widowControl/>
              <w:spacing w:line="240" w:lineRule="auto"/>
              <w:jc w:val="center"/>
              <w:textAlignment w:val="center"/>
              <w:rPr>
                <w:sz w:val="21"/>
                <w:szCs w:val="21"/>
              </w:rPr>
            </w:pPr>
            <w:r>
              <w:rPr>
                <w:color w:val="000000"/>
                <w:kern w:val="0"/>
                <w:sz w:val="21"/>
                <w:szCs w:val="21"/>
              </w:rPr>
              <w:t>7.22</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1.76</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3.99</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0.97</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12" w:type="pct"/>
            <w:vMerge w:val="restart"/>
            <w:shd w:val="clear" w:color="auto" w:fill="auto"/>
            <w:vAlign w:val="center"/>
          </w:tcPr>
          <w:p>
            <w:pPr>
              <w:spacing w:line="240" w:lineRule="auto"/>
              <w:jc w:val="center"/>
              <w:rPr>
                <w:sz w:val="21"/>
                <w:szCs w:val="21"/>
              </w:rPr>
            </w:pPr>
            <w:r>
              <w:rPr>
                <w:sz w:val="21"/>
                <w:szCs w:val="21"/>
              </w:rPr>
              <w:t>Bi</w:t>
            </w:r>
          </w:p>
        </w:tc>
        <w:tc>
          <w:tcPr>
            <w:tcW w:w="356" w:type="pct"/>
            <w:vMerge w:val="restart"/>
            <w:shd w:val="clear" w:color="auto" w:fill="auto"/>
            <w:vAlign w:val="center"/>
          </w:tcPr>
          <w:p>
            <w:pPr>
              <w:spacing w:line="240" w:lineRule="auto"/>
              <w:jc w:val="center"/>
              <w:rPr>
                <w:sz w:val="21"/>
                <w:szCs w:val="21"/>
              </w:rPr>
            </w:pPr>
            <w:r>
              <w:rPr>
                <w:rFonts w:hint="eastAsia"/>
                <w:sz w:val="21"/>
                <w:szCs w:val="21"/>
              </w:rPr>
              <w:t>YT97</w:t>
            </w: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0.156</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0.158</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0.150</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0.12</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0.151</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0.159</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0.149</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0.156</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0.154</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0.153</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0.12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0.155</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0.159</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0.155</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0.156</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0.156</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0.155</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0.12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0.158</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0.160</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0.155</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0.157</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0.156</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0.155</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0.13</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0.159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0.161</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0.155</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0.158</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0.157</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0.157</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0.13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0.159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0.162</w:t>
            </w:r>
          </w:p>
        </w:tc>
        <w:tc>
          <w:tcPr>
            <w:tcW w:w="548" w:type="pct"/>
            <w:vAlign w:val="center"/>
          </w:tcPr>
          <w:p>
            <w:pPr>
              <w:widowControl/>
              <w:spacing w:line="240" w:lineRule="auto"/>
              <w:jc w:val="center"/>
              <w:textAlignment w:val="bottom"/>
              <w:rPr>
                <w:color w:val="000000"/>
                <w:kern w:val="0"/>
                <w:sz w:val="21"/>
                <w:szCs w:val="21"/>
              </w:rPr>
            </w:pPr>
            <w:r>
              <w:rPr>
                <w:rFonts w:hint="eastAsia" w:ascii="宋体" w:hAnsi="宋体" w:cs="宋体"/>
                <w:color w:val="000000"/>
                <w:kern w:val="0"/>
                <w:sz w:val="21"/>
                <w:szCs w:val="21"/>
              </w:rPr>
              <w:t>0.156</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0.158</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0.158</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0.158</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0.13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0.163</w:t>
            </w:r>
          </w:p>
        </w:tc>
        <w:tc>
          <w:tcPr>
            <w:tcW w:w="548" w:type="pct"/>
            <w:vAlign w:val="center"/>
          </w:tcPr>
          <w:p>
            <w:pPr>
              <w:widowControl/>
              <w:spacing w:line="240" w:lineRule="auto"/>
              <w:jc w:val="center"/>
              <w:textAlignment w:val="bottom"/>
              <w:rPr>
                <w:kern w:val="0"/>
                <w:sz w:val="21"/>
                <w:szCs w:val="21"/>
              </w:rPr>
            </w:pPr>
            <w:r>
              <w:rPr>
                <w:rFonts w:hint="eastAsia" w:ascii="宋体" w:hAnsi="宋体" w:cs="宋体"/>
                <w:color w:val="000000"/>
                <w:kern w:val="0"/>
                <w:sz w:val="21"/>
                <w:szCs w:val="21"/>
              </w:rPr>
              <w:t>0.166</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0.156</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0.159</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0.159</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0.158</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0.13</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0.163</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0.168</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0.157</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0.16</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0.160</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0.158</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keepNext w:val="0"/>
              <w:keepLines w:val="0"/>
              <w:widowControl/>
              <w:suppressLineNumbers w:val="0"/>
              <w:spacing w:line="240" w:lineRule="auto"/>
              <w:jc w:val="center"/>
              <w:textAlignment w:val="bottom"/>
              <w:rPr>
                <w:kern w:val="0"/>
                <w:sz w:val="21"/>
                <w:szCs w:val="21"/>
              </w:rPr>
            </w:pPr>
            <w:r>
              <w:rPr>
                <w:rFonts w:hint="eastAsia" w:ascii="宋体" w:hAnsi="宋体" w:eastAsia="宋体" w:cs="宋体"/>
                <w:i w:val="0"/>
                <w:color w:val="000000"/>
                <w:kern w:val="0"/>
                <w:sz w:val="21"/>
                <w:szCs w:val="21"/>
                <w:u w:val="none"/>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0.163</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0.161</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0.159</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widowControl/>
              <w:spacing w:line="240" w:lineRule="auto"/>
              <w:jc w:val="center"/>
              <w:textAlignment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0.165</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0.162</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0.159</w:t>
            </w:r>
          </w:p>
        </w:tc>
        <w:tc>
          <w:tcPr>
            <w:tcW w:w="548" w:type="pct"/>
            <w:shd w:val="clear" w:color="auto" w:fill="FFFFFF"/>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color w:val="000000"/>
                <w:kern w:val="0"/>
                <w:sz w:val="21"/>
                <w:szCs w:val="21"/>
              </w:rPr>
            </w:pPr>
            <w:r>
              <w:rPr>
                <w:color w:val="000000"/>
                <w:kern w:val="0"/>
                <w:sz w:val="21"/>
                <w:szCs w:val="21"/>
              </w:rPr>
              <w:t>0.165</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0.166</w:t>
            </w:r>
          </w:p>
        </w:tc>
        <w:tc>
          <w:tcPr>
            <w:tcW w:w="548" w:type="pct"/>
            <w:shd w:val="clear" w:color="auto" w:fill="auto"/>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0.166 （*）</w:t>
            </w:r>
          </w:p>
        </w:tc>
        <w:tc>
          <w:tcPr>
            <w:tcW w:w="548" w:type="pct"/>
            <w:shd w:val="clear" w:color="auto" w:fill="FFFFFF"/>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平均值</w:t>
            </w:r>
          </w:p>
        </w:tc>
        <w:tc>
          <w:tcPr>
            <w:tcW w:w="591" w:type="pct"/>
            <w:vAlign w:val="center"/>
          </w:tcPr>
          <w:p>
            <w:pPr>
              <w:widowControl/>
              <w:spacing w:line="240" w:lineRule="auto"/>
              <w:jc w:val="center"/>
              <w:textAlignment w:val="center"/>
              <w:rPr>
                <w:sz w:val="21"/>
                <w:szCs w:val="21"/>
              </w:rPr>
            </w:pPr>
            <w:r>
              <w:rPr>
                <w:color w:val="000000"/>
                <w:kern w:val="0"/>
                <w:sz w:val="21"/>
                <w:szCs w:val="21"/>
              </w:rPr>
              <w:t>0.159</w:t>
            </w:r>
          </w:p>
        </w:tc>
        <w:tc>
          <w:tcPr>
            <w:tcW w:w="548" w:type="pct"/>
            <w:vAlign w:val="center"/>
          </w:tcPr>
          <w:p>
            <w:pPr>
              <w:widowControl/>
              <w:spacing w:line="240" w:lineRule="auto"/>
              <w:jc w:val="center"/>
              <w:textAlignment w:val="center"/>
              <w:rPr>
                <w:sz w:val="21"/>
                <w:szCs w:val="21"/>
              </w:rPr>
            </w:pPr>
            <w:r>
              <w:rPr>
                <w:color w:val="000000"/>
                <w:kern w:val="0"/>
                <w:sz w:val="21"/>
                <w:szCs w:val="21"/>
              </w:rPr>
              <w:t>0.159</w:t>
            </w:r>
          </w:p>
        </w:tc>
        <w:tc>
          <w:tcPr>
            <w:tcW w:w="548" w:type="pct"/>
            <w:vAlign w:val="center"/>
          </w:tcPr>
          <w:p>
            <w:pPr>
              <w:widowControl/>
              <w:spacing w:line="240" w:lineRule="auto"/>
              <w:jc w:val="center"/>
              <w:textAlignment w:val="center"/>
              <w:rPr>
                <w:sz w:val="21"/>
                <w:szCs w:val="21"/>
              </w:rPr>
            </w:pPr>
            <w:r>
              <w:rPr>
                <w:color w:val="000000"/>
                <w:kern w:val="0"/>
                <w:sz w:val="21"/>
                <w:szCs w:val="21"/>
              </w:rPr>
              <w:t>0.157</w:t>
            </w:r>
          </w:p>
        </w:tc>
        <w:tc>
          <w:tcPr>
            <w:tcW w:w="548" w:type="pct"/>
            <w:vAlign w:val="center"/>
          </w:tcPr>
          <w:p>
            <w:pPr>
              <w:widowControl/>
              <w:spacing w:line="240" w:lineRule="auto"/>
              <w:jc w:val="center"/>
              <w:textAlignment w:val="center"/>
              <w:rPr>
                <w:sz w:val="21"/>
                <w:szCs w:val="21"/>
              </w:rPr>
            </w:pPr>
            <w:r>
              <w:rPr>
                <w:color w:val="000000"/>
                <w:kern w:val="0"/>
                <w:sz w:val="21"/>
                <w:szCs w:val="21"/>
              </w:rPr>
              <w:t>0.126</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0.158</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0.162</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0.155</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0.15</w:t>
            </w:r>
            <w:r>
              <w:rPr>
                <w:rFonts w:hint="eastAsia" w:cs="Times New Roman"/>
                <w:i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RSD（%）</w:t>
            </w:r>
          </w:p>
        </w:tc>
        <w:tc>
          <w:tcPr>
            <w:tcW w:w="591" w:type="pct"/>
            <w:vAlign w:val="center"/>
          </w:tcPr>
          <w:p>
            <w:pPr>
              <w:widowControl/>
              <w:spacing w:line="240" w:lineRule="auto"/>
              <w:jc w:val="center"/>
              <w:textAlignment w:val="center"/>
              <w:rPr>
                <w:sz w:val="21"/>
                <w:szCs w:val="21"/>
              </w:rPr>
            </w:pPr>
            <w:r>
              <w:rPr>
                <w:color w:val="000000"/>
                <w:kern w:val="0"/>
                <w:sz w:val="21"/>
                <w:szCs w:val="21"/>
              </w:rPr>
              <w:t>2.18</w:t>
            </w:r>
          </w:p>
        </w:tc>
        <w:tc>
          <w:tcPr>
            <w:tcW w:w="548" w:type="pct"/>
            <w:vAlign w:val="center"/>
          </w:tcPr>
          <w:p>
            <w:pPr>
              <w:widowControl/>
              <w:spacing w:line="240" w:lineRule="auto"/>
              <w:jc w:val="center"/>
              <w:textAlignment w:val="center"/>
              <w:rPr>
                <w:sz w:val="21"/>
                <w:szCs w:val="21"/>
              </w:rPr>
            </w:pPr>
            <w:r>
              <w:rPr>
                <w:color w:val="000000"/>
                <w:kern w:val="0"/>
                <w:sz w:val="21"/>
                <w:szCs w:val="21"/>
              </w:rPr>
              <w:t>2.10</w:t>
            </w:r>
          </w:p>
        </w:tc>
        <w:tc>
          <w:tcPr>
            <w:tcW w:w="548" w:type="pct"/>
            <w:vAlign w:val="center"/>
          </w:tcPr>
          <w:p>
            <w:pPr>
              <w:widowControl/>
              <w:spacing w:line="240" w:lineRule="auto"/>
              <w:jc w:val="center"/>
              <w:textAlignment w:val="center"/>
              <w:rPr>
                <w:sz w:val="21"/>
                <w:szCs w:val="21"/>
              </w:rPr>
            </w:pPr>
            <w:r>
              <w:rPr>
                <w:color w:val="000000"/>
                <w:kern w:val="0"/>
                <w:sz w:val="21"/>
                <w:szCs w:val="21"/>
              </w:rPr>
              <w:t>2.59</w:t>
            </w:r>
          </w:p>
        </w:tc>
        <w:tc>
          <w:tcPr>
            <w:tcW w:w="548" w:type="pct"/>
            <w:vAlign w:val="center"/>
          </w:tcPr>
          <w:p>
            <w:pPr>
              <w:widowControl/>
              <w:spacing w:line="240" w:lineRule="auto"/>
              <w:jc w:val="center"/>
              <w:textAlignment w:val="center"/>
              <w:rPr>
                <w:sz w:val="21"/>
                <w:szCs w:val="21"/>
              </w:rPr>
            </w:pPr>
            <w:r>
              <w:rPr>
                <w:color w:val="000000"/>
                <w:kern w:val="0"/>
                <w:sz w:val="21"/>
                <w:szCs w:val="21"/>
              </w:rPr>
              <w:t>4.25</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2.70</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2.18</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1.70</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restart"/>
            <w:vAlign w:val="center"/>
          </w:tcPr>
          <w:p>
            <w:pPr>
              <w:spacing w:line="240" w:lineRule="auto"/>
              <w:jc w:val="center"/>
              <w:rPr>
                <w:sz w:val="21"/>
                <w:szCs w:val="21"/>
              </w:rPr>
            </w:pPr>
            <w:r>
              <w:rPr>
                <w:sz w:val="21"/>
                <w:szCs w:val="21"/>
              </w:rPr>
              <w:t>Bi</w:t>
            </w:r>
          </w:p>
        </w:tc>
        <w:tc>
          <w:tcPr>
            <w:tcW w:w="356" w:type="pct"/>
            <w:vMerge w:val="restart"/>
            <w:vAlign w:val="center"/>
          </w:tcPr>
          <w:p>
            <w:pPr>
              <w:spacing w:line="240" w:lineRule="auto"/>
              <w:jc w:val="center"/>
              <w:rPr>
                <w:sz w:val="21"/>
                <w:szCs w:val="21"/>
              </w:rPr>
            </w:pPr>
            <w:r>
              <w:rPr>
                <w:rFonts w:hint="eastAsia"/>
                <w:sz w:val="21"/>
                <w:szCs w:val="21"/>
              </w:rPr>
              <w:t>YT92</w:t>
            </w:r>
          </w:p>
        </w:tc>
        <w:tc>
          <w:tcPr>
            <w:tcW w:w="591" w:type="pct"/>
            <w:vAlign w:val="center"/>
          </w:tcPr>
          <w:p>
            <w:pPr>
              <w:widowControl/>
              <w:spacing w:line="240" w:lineRule="auto"/>
              <w:jc w:val="center"/>
              <w:textAlignment w:val="center"/>
              <w:rPr>
                <w:sz w:val="21"/>
                <w:szCs w:val="21"/>
              </w:rPr>
            </w:pPr>
            <w:r>
              <w:rPr>
                <w:color w:val="000000"/>
                <w:kern w:val="0"/>
                <w:sz w:val="21"/>
                <w:szCs w:val="21"/>
              </w:rPr>
              <w:t>1.001</w:t>
            </w:r>
          </w:p>
        </w:tc>
        <w:tc>
          <w:tcPr>
            <w:tcW w:w="548" w:type="pct"/>
            <w:vAlign w:val="center"/>
          </w:tcPr>
          <w:p>
            <w:pPr>
              <w:widowControl/>
              <w:spacing w:line="240" w:lineRule="auto"/>
              <w:jc w:val="center"/>
              <w:textAlignment w:val="center"/>
              <w:rPr>
                <w:sz w:val="21"/>
                <w:szCs w:val="21"/>
              </w:rPr>
            </w:pPr>
            <w:r>
              <w:rPr>
                <w:color w:val="000000"/>
                <w:kern w:val="0"/>
                <w:sz w:val="21"/>
                <w:szCs w:val="21"/>
              </w:rPr>
              <w:t>1.035</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1.020</w:t>
            </w:r>
          </w:p>
        </w:tc>
        <w:tc>
          <w:tcPr>
            <w:tcW w:w="548" w:type="pct"/>
            <w:vAlign w:val="center"/>
          </w:tcPr>
          <w:p>
            <w:pPr>
              <w:widowControl/>
              <w:spacing w:line="240" w:lineRule="auto"/>
              <w:jc w:val="center"/>
              <w:textAlignment w:val="bottom"/>
              <w:rPr>
                <w:sz w:val="21"/>
                <w:szCs w:val="21"/>
              </w:rPr>
            </w:pPr>
            <w:r>
              <w:rPr>
                <w:color w:val="000000"/>
                <w:kern w:val="0"/>
                <w:sz w:val="21"/>
                <w:szCs w:val="21"/>
              </w:rPr>
              <w:t xml:space="preserve">0.85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1.000</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1.004</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1.000</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1.027</w:t>
            </w:r>
          </w:p>
        </w:tc>
        <w:tc>
          <w:tcPr>
            <w:tcW w:w="548" w:type="pct"/>
            <w:vAlign w:val="center"/>
          </w:tcPr>
          <w:p>
            <w:pPr>
              <w:widowControl/>
              <w:spacing w:line="240" w:lineRule="auto"/>
              <w:jc w:val="center"/>
              <w:textAlignment w:val="center"/>
              <w:rPr>
                <w:sz w:val="21"/>
                <w:szCs w:val="21"/>
              </w:rPr>
            </w:pPr>
            <w:r>
              <w:rPr>
                <w:color w:val="000000"/>
                <w:kern w:val="0"/>
                <w:sz w:val="21"/>
                <w:szCs w:val="21"/>
              </w:rPr>
              <w:t>1.016</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1.022</w:t>
            </w:r>
          </w:p>
        </w:tc>
        <w:tc>
          <w:tcPr>
            <w:tcW w:w="548" w:type="pct"/>
            <w:vAlign w:val="center"/>
          </w:tcPr>
          <w:p>
            <w:pPr>
              <w:widowControl/>
              <w:spacing w:line="240" w:lineRule="auto"/>
              <w:jc w:val="center"/>
              <w:textAlignment w:val="bottom"/>
              <w:rPr>
                <w:sz w:val="21"/>
                <w:szCs w:val="21"/>
              </w:rPr>
            </w:pPr>
            <w:r>
              <w:rPr>
                <w:color w:val="000000"/>
                <w:kern w:val="0"/>
                <w:sz w:val="21"/>
                <w:szCs w:val="21"/>
              </w:rPr>
              <w:t xml:space="preserve">0.87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1.002</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1.015</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1.002</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1.028</w:t>
            </w:r>
          </w:p>
        </w:tc>
        <w:tc>
          <w:tcPr>
            <w:tcW w:w="548" w:type="pct"/>
            <w:vAlign w:val="center"/>
          </w:tcPr>
          <w:p>
            <w:pPr>
              <w:widowControl/>
              <w:spacing w:line="240" w:lineRule="auto"/>
              <w:jc w:val="center"/>
              <w:textAlignment w:val="center"/>
              <w:rPr>
                <w:sz w:val="21"/>
                <w:szCs w:val="21"/>
              </w:rPr>
            </w:pPr>
            <w:r>
              <w:rPr>
                <w:color w:val="000000"/>
                <w:kern w:val="0"/>
                <w:sz w:val="21"/>
                <w:szCs w:val="21"/>
              </w:rPr>
              <w:t>1.024</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1.030</w:t>
            </w:r>
          </w:p>
        </w:tc>
        <w:tc>
          <w:tcPr>
            <w:tcW w:w="548" w:type="pct"/>
            <w:vAlign w:val="center"/>
          </w:tcPr>
          <w:p>
            <w:pPr>
              <w:widowControl/>
              <w:spacing w:line="240" w:lineRule="auto"/>
              <w:jc w:val="center"/>
              <w:textAlignment w:val="bottom"/>
              <w:rPr>
                <w:sz w:val="21"/>
                <w:szCs w:val="21"/>
              </w:rPr>
            </w:pPr>
            <w:r>
              <w:rPr>
                <w:color w:val="000000"/>
                <w:kern w:val="0"/>
                <w:sz w:val="21"/>
                <w:szCs w:val="21"/>
              </w:rPr>
              <w:t>0.88</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1.012</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1.029</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1.002</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1.0302</w:t>
            </w:r>
          </w:p>
        </w:tc>
        <w:tc>
          <w:tcPr>
            <w:tcW w:w="548" w:type="pct"/>
            <w:vAlign w:val="center"/>
          </w:tcPr>
          <w:p>
            <w:pPr>
              <w:widowControl/>
              <w:spacing w:line="240" w:lineRule="auto"/>
              <w:jc w:val="center"/>
              <w:textAlignment w:val="center"/>
              <w:rPr>
                <w:sz w:val="21"/>
                <w:szCs w:val="21"/>
              </w:rPr>
            </w:pPr>
            <w:r>
              <w:rPr>
                <w:color w:val="000000"/>
                <w:kern w:val="0"/>
                <w:sz w:val="21"/>
                <w:szCs w:val="21"/>
              </w:rPr>
              <w:t>1.029</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1.032</w:t>
            </w:r>
          </w:p>
        </w:tc>
        <w:tc>
          <w:tcPr>
            <w:tcW w:w="548" w:type="pct"/>
            <w:vAlign w:val="center"/>
          </w:tcPr>
          <w:p>
            <w:pPr>
              <w:widowControl/>
              <w:spacing w:line="240" w:lineRule="auto"/>
              <w:jc w:val="center"/>
              <w:textAlignment w:val="bottom"/>
              <w:rPr>
                <w:sz w:val="21"/>
                <w:szCs w:val="21"/>
              </w:rPr>
            </w:pPr>
            <w:r>
              <w:rPr>
                <w:color w:val="000000"/>
                <w:kern w:val="0"/>
                <w:sz w:val="21"/>
                <w:szCs w:val="21"/>
              </w:rPr>
              <w:t xml:space="preserve">0.90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1.019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1.034</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1.010</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1.033</w:t>
            </w:r>
          </w:p>
        </w:tc>
        <w:tc>
          <w:tcPr>
            <w:tcW w:w="548" w:type="pct"/>
            <w:vAlign w:val="center"/>
          </w:tcPr>
          <w:p>
            <w:pPr>
              <w:widowControl/>
              <w:spacing w:line="240" w:lineRule="auto"/>
              <w:jc w:val="center"/>
              <w:textAlignment w:val="center"/>
              <w:rPr>
                <w:sz w:val="21"/>
                <w:szCs w:val="21"/>
              </w:rPr>
            </w:pPr>
            <w:r>
              <w:rPr>
                <w:color w:val="000000"/>
                <w:kern w:val="0"/>
                <w:sz w:val="21"/>
                <w:szCs w:val="21"/>
              </w:rPr>
              <w:t>1.031</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1.034</w:t>
            </w:r>
          </w:p>
        </w:tc>
        <w:tc>
          <w:tcPr>
            <w:tcW w:w="548" w:type="pct"/>
            <w:vAlign w:val="center"/>
          </w:tcPr>
          <w:p>
            <w:pPr>
              <w:widowControl/>
              <w:spacing w:line="240" w:lineRule="auto"/>
              <w:jc w:val="center"/>
              <w:textAlignment w:val="bottom"/>
              <w:rPr>
                <w:sz w:val="21"/>
                <w:szCs w:val="21"/>
              </w:rPr>
            </w:pPr>
            <w:r>
              <w:rPr>
                <w:color w:val="000000"/>
                <w:kern w:val="0"/>
                <w:sz w:val="21"/>
                <w:szCs w:val="21"/>
              </w:rPr>
              <w:t xml:space="preserve">0.91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1.021</w:t>
            </w:r>
          </w:p>
        </w:tc>
        <w:tc>
          <w:tcPr>
            <w:tcW w:w="548" w:type="pct"/>
            <w:vAlign w:val="center"/>
          </w:tcPr>
          <w:p>
            <w:pPr>
              <w:widowControl/>
              <w:spacing w:line="240" w:lineRule="auto"/>
              <w:jc w:val="center"/>
              <w:textAlignment w:val="bottom"/>
              <w:rPr>
                <w:kern w:val="0"/>
                <w:sz w:val="21"/>
                <w:szCs w:val="21"/>
              </w:rPr>
            </w:pPr>
            <w:r>
              <w:rPr>
                <w:rFonts w:hint="eastAsia" w:ascii="宋体" w:hAnsi="宋体" w:cs="宋体"/>
                <w:color w:val="000000"/>
                <w:kern w:val="0"/>
                <w:sz w:val="21"/>
                <w:szCs w:val="21"/>
              </w:rPr>
              <w:t>1.037</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1.028</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1.037</w:t>
            </w:r>
          </w:p>
        </w:tc>
        <w:tc>
          <w:tcPr>
            <w:tcW w:w="548" w:type="pct"/>
            <w:vAlign w:val="center"/>
          </w:tcPr>
          <w:p>
            <w:pPr>
              <w:widowControl/>
              <w:spacing w:line="240" w:lineRule="auto"/>
              <w:jc w:val="center"/>
              <w:textAlignment w:val="center"/>
              <w:rPr>
                <w:sz w:val="21"/>
                <w:szCs w:val="21"/>
              </w:rPr>
            </w:pPr>
            <w:r>
              <w:rPr>
                <w:color w:val="000000"/>
                <w:kern w:val="0"/>
                <w:sz w:val="21"/>
                <w:szCs w:val="21"/>
              </w:rPr>
              <w:t>1.034</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1.042</w:t>
            </w:r>
          </w:p>
        </w:tc>
        <w:tc>
          <w:tcPr>
            <w:tcW w:w="548" w:type="pct"/>
            <w:vAlign w:val="center"/>
          </w:tcPr>
          <w:p>
            <w:pPr>
              <w:widowControl/>
              <w:spacing w:line="240" w:lineRule="auto"/>
              <w:jc w:val="center"/>
              <w:textAlignment w:val="bottom"/>
              <w:rPr>
                <w:sz w:val="21"/>
                <w:szCs w:val="21"/>
              </w:rPr>
            </w:pPr>
            <w:r>
              <w:rPr>
                <w:color w:val="000000"/>
                <w:kern w:val="0"/>
                <w:sz w:val="21"/>
                <w:szCs w:val="21"/>
              </w:rPr>
              <w:t xml:space="preserve">0.92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1.029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1.037</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1.029</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1.039</w:t>
            </w:r>
          </w:p>
        </w:tc>
        <w:tc>
          <w:tcPr>
            <w:tcW w:w="548" w:type="pct"/>
            <w:vAlign w:val="center"/>
          </w:tcPr>
          <w:p>
            <w:pPr>
              <w:widowControl/>
              <w:spacing w:line="240" w:lineRule="auto"/>
              <w:jc w:val="center"/>
              <w:textAlignment w:val="center"/>
              <w:rPr>
                <w:sz w:val="21"/>
                <w:szCs w:val="21"/>
              </w:rPr>
            </w:pPr>
            <w:r>
              <w:rPr>
                <w:color w:val="000000"/>
                <w:kern w:val="0"/>
                <w:sz w:val="21"/>
                <w:szCs w:val="21"/>
              </w:rPr>
              <w:t>1.035</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1.045</w:t>
            </w:r>
          </w:p>
        </w:tc>
        <w:tc>
          <w:tcPr>
            <w:tcW w:w="548" w:type="pct"/>
            <w:vAlign w:val="center"/>
          </w:tcPr>
          <w:p>
            <w:pPr>
              <w:widowControl/>
              <w:spacing w:line="240" w:lineRule="auto"/>
              <w:jc w:val="center"/>
              <w:textAlignment w:val="bottom"/>
              <w:rPr>
                <w:sz w:val="21"/>
                <w:szCs w:val="21"/>
              </w:rPr>
            </w:pPr>
            <w:r>
              <w:rPr>
                <w:color w:val="000000"/>
                <w:kern w:val="0"/>
                <w:sz w:val="21"/>
                <w:szCs w:val="21"/>
              </w:rPr>
              <w:t xml:space="preserve">0.96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1.031</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1.040</w:t>
            </w:r>
          </w:p>
        </w:tc>
        <w:tc>
          <w:tcPr>
            <w:tcW w:w="548" w:type="pct"/>
            <w:vAlign w:val="center"/>
          </w:tcPr>
          <w:p>
            <w:pPr>
              <w:widowControl/>
              <w:spacing w:line="240" w:lineRule="auto"/>
              <w:jc w:val="center"/>
              <w:textAlignment w:val="bottom"/>
              <w:rPr>
                <w:color w:val="000000"/>
                <w:kern w:val="0"/>
                <w:sz w:val="21"/>
                <w:szCs w:val="21"/>
              </w:rPr>
            </w:pPr>
            <w:r>
              <w:rPr>
                <w:rFonts w:hint="eastAsia" w:ascii="宋体" w:hAnsi="宋体" w:cs="宋体"/>
                <w:color w:val="000000"/>
                <w:kern w:val="0"/>
                <w:sz w:val="21"/>
                <w:szCs w:val="21"/>
              </w:rPr>
              <w:t>1.03</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1.046</w:t>
            </w:r>
          </w:p>
        </w:tc>
        <w:tc>
          <w:tcPr>
            <w:tcW w:w="548" w:type="pct"/>
            <w:vAlign w:val="center"/>
          </w:tcPr>
          <w:p>
            <w:pPr>
              <w:widowControl/>
              <w:spacing w:line="240" w:lineRule="auto"/>
              <w:jc w:val="center"/>
              <w:textAlignment w:val="center"/>
              <w:rPr>
                <w:sz w:val="21"/>
                <w:szCs w:val="21"/>
              </w:rPr>
            </w:pPr>
            <w:r>
              <w:rPr>
                <w:color w:val="000000"/>
                <w:kern w:val="0"/>
                <w:sz w:val="21"/>
                <w:szCs w:val="21"/>
              </w:rPr>
              <w:t>1.036</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1.057</w:t>
            </w:r>
          </w:p>
        </w:tc>
        <w:tc>
          <w:tcPr>
            <w:tcW w:w="548" w:type="pct"/>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keepNext w:val="0"/>
              <w:keepLines w:val="0"/>
              <w:widowControl/>
              <w:suppressLineNumbers w:val="0"/>
              <w:spacing w:line="240" w:lineRule="auto"/>
              <w:jc w:val="center"/>
              <w:textAlignment w:val="bottom"/>
              <w:rPr>
                <w:kern w:val="0"/>
                <w:sz w:val="21"/>
                <w:szCs w:val="21"/>
              </w:rPr>
            </w:pPr>
            <w:r>
              <w:rPr>
                <w:rFonts w:hint="eastAsia" w:ascii="宋体" w:hAnsi="宋体" w:eastAsia="宋体" w:cs="宋体"/>
                <w:i w:val="0"/>
                <w:color w:val="000000"/>
                <w:kern w:val="0"/>
                <w:sz w:val="21"/>
                <w:szCs w:val="21"/>
                <w:u w:val="none"/>
                <w:lang w:val="en-US" w:eastAsia="zh-CN" w:bidi="ar"/>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1.049</w:t>
            </w:r>
          </w:p>
        </w:tc>
        <w:tc>
          <w:tcPr>
            <w:tcW w:w="548" w:type="pct"/>
            <w:vAlign w:val="center"/>
          </w:tcPr>
          <w:p>
            <w:pPr>
              <w:widowControl/>
              <w:spacing w:line="240" w:lineRule="auto"/>
              <w:jc w:val="center"/>
              <w:textAlignment w:val="center"/>
              <w:rPr>
                <w:sz w:val="21"/>
                <w:szCs w:val="21"/>
              </w:rPr>
            </w:pPr>
            <w:r>
              <w:rPr>
                <w:color w:val="000000"/>
                <w:kern w:val="0"/>
                <w:sz w:val="21"/>
                <w:szCs w:val="21"/>
              </w:rPr>
              <w:t>1.045</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1.059</w:t>
            </w:r>
          </w:p>
        </w:tc>
        <w:tc>
          <w:tcPr>
            <w:tcW w:w="548" w:type="pct"/>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widowControl/>
              <w:spacing w:line="240" w:lineRule="auto"/>
              <w:jc w:val="center"/>
              <w:textAlignment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1.052</w:t>
            </w:r>
          </w:p>
        </w:tc>
        <w:tc>
          <w:tcPr>
            <w:tcW w:w="548" w:type="pct"/>
            <w:vAlign w:val="center"/>
          </w:tcPr>
          <w:p>
            <w:pPr>
              <w:widowControl/>
              <w:spacing w:line="240" w:lineRule="auto"/>
              <w:jc w:val="center"/>
              <w:textAlignment w:val="center"/>
              <w:rPr>
                <w:sz w:val="21"/>
                <w:szCs w:val="21"/>
              </w:rPr>
            </w:pPr>
            <w:r>
              <w:rPr>
                <w:color w:val="000000"/>
                <w:kern w:val="0"/>
                <w:sz w:val="21"/>
                <w:szCs w:val="21"/>
              </w:rPr>
              <w:t>1.050</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1.066</w:t>
            </w:r>
          </w:p>
        </w:tc>
        <w:tc>
          <w:tcPr>
            <w:tcW w:w="548" w:type="pct"/>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Merge w:val="continue"/>
            <w:vAlign w:val="center"/>
          </w:tcPr>
          <w:p>
            <w:pPr>
              <w:spacing w:line="240" w:lineRule="auto"/>
              <w:jc w:val="center"/>
              <w:rPr>
                <w:sz w:val="21"/>
                <w:szCs w:val="21"/>
              </w:rPr>
            </w:pPr>
          </w:p>
        </w:tc>
        <w:tc>
          <w:tcPr>
            <w:tcW w:w="591" w:type="pct"/>
            <w:vAlign w:val="center"/>
          </w:tcPr>
          <w:p>
            <w:pPr>
              <w:widowControl/>
              <w:spacing w:line="240" w:lineRule="auto"/>
              <w:jc w:val="center"/>
              <w:textAlignment w:val="center"/>
              <w:rPr>
                <w:sz w:val="21"/>
                <w:szCs w:val="21"/>
              </w:rPr>
            </w:pPr>
            <w:r>
              <w:rPr>
                <w:color w:val="000000"/>
                <w:kern w:val="0"/>
                <w:sz w:val="21"/>
                <w:szCs w:val="21"/>
              </w:rPr>
              <w:t>1.079</w:t>
            </w:r>
          </w:p>
        </w:tc>
        <w:tc>
          <w:tcPr>
            <w:tcW w:w="548" w:type="pct"/>
            <w:vAlign w:val="center"/>
          </w:tcPr>
          <w:p>
            <w:pPr>
              <w:widowControl/>
              <w:spacing w:line="240" w:lineRule="auto"/>
              <w:jc w:val="center"/>
              <w:textAlignment w:val="center"/>
              <w:rPr>
                <w:sz w:val="21"/>
                <w:szCs w:val="21"/>
              </w:rPr>
            </w:pPr>
            <w:r>
              <w:rPr>
                <w:color w:val="000000"/>
                <w:kern w:val="0"/>
                <w:sz w:val="21"/>
                <w:szCs w:val="21"/>
              </w:rPr>
              <w:t>1.078</w:t>
            </w:r>
          </w:p>
        </w:tc>
        <w:tc>
          <w:tcPr>
            <w:tcW w:w="548" w:type="pct"/>
            <w:vAlign w:val="center"/>
          </w:tcPr>
          <w:p>
            <w:pPr>
              <w:widowControl/>
              <w:spacing w:line="240" w:lineRule="auto"/>
              <w:jc w:val="center"/>
              <w:textAlignment w:val="center"/>
              <w:rPr>
                <w:sz w:val="21"/>
                <w:szCs w:val="21"/>
              </w:rPr>
            </w:pPr>
            <w:r>
              <w:rPr>
                <w:rFonts w:hint="eastAsia" w:ascii="宋体" w:hAnsi="宋体" w:cs="宋体"/>
                <w:color w:val="000000"/>
                <w:kern w:val="0"/>
                <w:sz w:val="21"/>
                <w:szCs w:val="21"/>
              </w:rPr>
              <w:t>1.067</w:t>
            </w:r>
          </w:p>
        </w:tc>
        <w:tc>
          <w:tcPr>
            <w:tcW w:w="548" w:type="pct"/>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平均值</w:t>
            </w:r>
          </w:p>
        </w:tc>
        <w:tc>
          <w:tcPr>
            <w:tcW w:w="591" w:type="pct"/>
            <w:vAlign w:val="center"/>
          </w:tcPr>
          <w:p>
            <w:pPr>
              <w:widowControl/>
              <w:spacing w:line="240" w:lineRule="auto"/>
              <w:jc w:val="center"/>
              <w:textAlignment w:val="center"/>
              <w:rPr>
                <w:sz w:val="21"/>
                <w:szCs w:val="21"/>
              </w:rPr>
            </w:pPr>
            <w:r>
              <w:rPr>
                <w:color w:val="000000"/>
                <w:kern w:val="0"/>
                <w:sz w:val="21"/>
                <w:szCs w:val="21"/>
              </w:rPr>
              <w:t>1.038</w:t>
            </w:r>
          </w:p>
        </w:tc>
        <w:tc>
          <w:tcPr>
            <w:tcW w:w="548" w:type="pct"/>
            <w:vAlign w:val="center"/>
          </w:tcPr>
          <w:p>
            <w:pPr>
              <w:widowControl/>
              <w:spacing w:line="240" w:lineRule="auto"/>
              <w:jc w:val="center"/>
              <w:textAlignment w:val="center"/>
              <w:rPr>
                <w:sz w:val="21"/>
                <w:szCs w:val="21"/>
              </w:rPr>
            </w:pPr>
            <w:r>
              <w:rPr>
                <w:color w:val="000000"/>
                <w:kern w:val="0"/>
                <w:sz w:val="21"/>
                <w:szCs w:val="21"/>
              </w:rPr>
              <w:t>1.038</w:t>
            </w:r>
          </w:p>
        </w:tc>
        <w:tc>
          <w:tcPr>
            <w:tcW w:w="548" w:type="pct"/>
            <w:vAlign w:val="center"/>
          </w:tcPr>
          <w:p>
            <w:pPr>
              <w:widowControl/>
              <w:spacing w:line="240" w:lineRule="auto"/>
              <w:jc w:val="center"/>
              <w:textAlignment w:val="center"/>
              <w:rPr>
                <w:sz w:val="21"/>
                <w:szCs w:val="21"/>
              </w:rPr>
            </w:pPr>
            <w:r>
              <w:rPr>
                <w:color w:val="000000"/>
                <w:kern w:val="0"/>
                <w:sz w:val="21"/>
                <w:szCs w:val="21"/>
              </w:rPr>
              <w:t>1.043</w:t>
            </w:r>
          </w:p>
        </w:tc>
        <w:tc>
          <w:tcPr>
            <w:tcW w:w="548" w:type="pct"/>
            <w:vAlign w:val="center"/>
          </w:tcPr>
          <w:p>
            <w:pPr>
              <w:widowControl/>
              <w:spacing w:line="240" w:lineRule="auto"/>
              <w:jc w:val="center"/>
              <w:textAlignment w:val="center"/>
              <w:rPr>
                <w:sz w:val="21"/>
                <w:szCs w:val="21"/>
              </w:rPr>
            </w:pPr>
            <w:r>
              <w:rPr>
                <w:color w:val="000000"/>
                <w:kern w:val="0"/>
                <w:sz w:val="21"/>
                <w:szCs w:val="21"/>
              </w:rPr>
              <w:t>0.899</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1.016</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1.028</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1.014</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RSD（%）</w:t>
            </w:r>
          </w:p>
        </w:tc>
        <w:tc>
          <w:tcPr>
            <w:tcW w:w="591" w:type="pct"/>
            <w:vAlign w:val="center"/>
          </w:tcPr>
          <w:p>
            <w:pPr>
              <w:widowControl/>
              <w:spacing w:line="240" w:lineRule="auto"/>
              <w:jc w:val="center"/>
              <w:textAlignment w:val="center"/>
              <w:rPr>
                <w:sz w:val="21"/>
                <w:szCs w:val="21"/>
              </w:rPr>
            </w:pPr>
            <w:r>
              <w:rPr>
                <w:color w:val="000000"/>
                <w:kern w:val="0"/>
                <w:sz w:val="21"/>
                <w:szCs w:val="21"/>
              </w:rPr>
              <w:t>1.86</w:t>
            </w:r>
          </w:p>
        </w:tc>
        <w:tc>
          <w:tcPr>
            <w:tcW w:w="548" w:type="pct"/>
            <w:vAlign w:val="center"/>
          </w:tcPr>
          <w:p>
            <w:pPr>
              <w:widowControl/>
              <w:spacing w:line="240" w:lineRule="auto"/>
              <w:jc w:val="center"/>
              <w:textAlignment w:val="center"/>
              <w:rPr>
                <w:sz w:val="21"/>
                <w:szCs w:val="21"/>
              </w:rPr>
            </w:pPr>
            <w:r>
              <w:rPr>
                <w:color w:val="000000"/>
                <w:kern w:val="0"/>
                <w:sz w:val="21"/>
                <w:szCs w:val="21"/>
              </w:rPr>
              <w:t>1.57</w:t>
            </w:r>
          </w:p>
        </w:tc>
        <w:tc>
          <w:tcPr>
            <w:tcW w:w="548" w:type="pct"/>
            <w:vAlign w:val="center"/>
          </w:tcPr>
          <w:p>
            <w:pPr>
              <w:widowControl/>
              <w:spacing w:line="240" w:lineRule="auto"/>
              <w:jc w:val="center"/>
              <w:textAlignment w:val="center"/>
              <w:rPr>
                <w:sz w:val="21"/>
                <w:szCs w:val="21"/>
              </w:rPr>
            </w:pPr>
            <w:r>
              <w:rPr>
                <w:color w:val="000000"/>
                <w:kern w:val="0"/>
                <w:sz w:val="21"/>
                <w:szCs w:val="21"/>
              </w:rPr>
              <w:t>1.63</w:t>
            </w:r>
          </w:p>
        </w:tc>
        <w:tc>
          <w:tcPr>
            <w:tcW w:w="548" w:type="pct"/>
            <w:vAlign w:val="center"/>
          </w:tcPr>
          <w:p>
            <w:pPr>
              <w:widowControl/>
              <w:spacing w:line="240" w:lineRule="auto"/>
              <w:jc w:val="center"/>
              <w:textAlignment w:val="center"/>
              <w:rPr>
                <w:sz w:val="21"/>
                <w:szCs w:val="21"/>
              </w:rPr>
            </w:pPr>
            <w:r>
              <w:rPr>
                <w:color w:val="000000"/>
                <w:kern w:val="0"/>
                <w:sz w:val="21"/>
                <w:szCs w:val="21"/>
              </w:rPr>
              <w:t>4.03</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1.20</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1.31</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1.38</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restart"/>
            <w:shd w:val="clear" w:color="auto" w:fill="auto"/>
            <w:vAlign w:val="center"/>
          </w:tcPr>
          <w:p>
            <w:pPr>
              <w:spacing w:line="240" w:lineRule="auto"/>
              <w:jc w:val="center"/>
              <w:rPr>
                <w:sz w:val="21"/>
                <w:szCs w:val="21"/>
              </w:rPr>
            </w:pPr>
            <w:r>
              <w:rPr>
                <w:sz w:val="21"/>
                <w:szCs w:val="21"/>
              </w:rPr>
              <w:t>Bi</w:t>
            </w:r>
          </w:p>
        </w:tc>
        <w:tc>
          <w:tcPr>
            <w:tcW w:w="356" w:type="pct"/>
            <w:vMerge w:val="restart"/>
            <w:shd w:val="clear" w:color="auto" w:fill="auto"/>
            <w:vAlign w:val="center"/>
          </w:tcPr>
          <w:p>
            <w:pPr>
              <w:spacing w:line="240" w:lineRule="auto"/>
              <w:jc w:val="center"/>
              <w:rPr>
                <w:sz w:val="21"/>
                <w:szCs w:val="21"/>
              </w:rPr>
            </w:pPr>
            <w:r>
              <w:rPr>
                <w:rFonts w:hint="eastAsia"/>
                <w:sz w:val="21"/>
                <w:szCs w:val="21"/>
              </w:rPr>
              <w:t>YT57</w:t>
            </w: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2.829</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2.825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2.768</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2.65</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2.821</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2.776</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2.852</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2.832</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2.835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2.824</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2.68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2.823</w:t>
            </w:r>
          </w:p>
        </w:tc>
        <w:tc>
          <w:tcPr>
            <w:tcW w:w="548" w:type="pct"/>
            <w:vAlign w:val="center"/>
          </w:tcPr>
          <w:p>
            <w:pPr>
              <w:widowControl/>
              <w:spacing w:line="240" w:lineRule="auto"/>
              <w:jc w:val="center"/>
              <w:textAlignment w:val="bottom"/>
              <w:rPr>
                <w:kern w:val="0"/>
                <w:sz w:val="21"/>
                <w:szCs w:val="21"/>
              </w:rPr>
            </w:pPr>
            <w:r>
              <w:rPr>
                <w:rFonts w:hint="eastAsia" w:ascii="宋体" w:hAnsi="宋体" w:cs="宋体"/>
                <w:color w:val="000000"/>
                <w:kern w:val="0"/>
                <w:sz w:val="21"/>
                <w:szCs w:val="21"/>
              </w:rPr>
              <w:t>2.778</w:t>
            </w:r>
          </w:p>
        </w:tc>
        <w:tc>
          <w:tcPr>
            <w:tcW w:w="548" w:type="pct"/>
            <w:vAlign w:val="center"/>
          </w:tcPr>
          <w:p>
            <w:pPr>
              <w:widowControl/>
              <w:spacing w:line="240" w:lineRule="auto"/>
              <w:jc w:val="center"/>
              <w:textAlignment w:val="bottom"/>
              <w:rPr>
                <w:color w:val="000000"/>
                <w:kern w:val="0"/>
                <w:sz w:val="21"/>
                <w:szCs w:val="21"/>
              </w:rPr>
            </w:pPr>
            <w:r>
              <w:rPr>
                <w:rFonts w:hint="eastAsia" w:ascii="宋体" w:hAnsi="宋体" w:cs="宋体"/>
                <w:color w:val="000000"/>
                <w:kern w:val="0"/>
                <w:sz w:val="21"/>
                <w:szCs w:val="21"/>
              </w:rPr>
              <w:t>2.865</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2.836</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2.835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2.829</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2.70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2.827</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2.779</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2.870</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2.836</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2.853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2.832</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2.71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2.829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2.812</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2.885</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2.861</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2.875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2.851</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2.73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2.836</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2.871</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2.888</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2.885</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4"/>
                <w:szCs w:val="24"/>
                <w:u w:val="none"/>
                <w:lang w:val="en-US" w:eastAsia="zh-CN" w:bidi="ar"/>
              </w:rPr>
              <w:t>2.886</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2.870</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2.74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2.838</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2.895</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2.889</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2.894</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2.886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2.880</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 xml:space="preserve">2.75 </w:t>
            </w:r>
            <w:r>
              <w:rPr>
                <w:rFonts w:hint="eastAsia"/>
                <w:color w:val="000000"/>
                <w:kern w:val="0"/>
                <w:sz w:val="21"/>
                <w:szCs w:val="21"/>
              </w:rPr>
              <w:t>（*）</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2.857</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2.898</w:t>
            </w:r>
          </w:p>
        </w:tc>
        <w:tc>
          <w:tcPr>
            <w:tcW w:w="548" w:type="pct"/>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2.890</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2.896</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2.898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2.919</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keepNext w:val="0"/>
              <w:keepLines w:val="0"/>
              <w:widowControl/>
              <w:suppressLineNumbers w:val="0"/>
              <w:spacing w:line="240" w:lineRule="auto"/>
              <w:jc w:val="center"/>
              <w:textAlignment w:val="bottom"/>
              <w:rPr>
                <w:kern w:val="0"/>
                <w:sz w:val="21"/>
                <w:szCs w:val="21"/>
              </w:rPr>
            </w:pPr>
            <w:r>
              <w:rPr>
                <w:rFonts w:hint="eastAsia" w:ascii="宋体" w:hAnsi="宋体" w:eastAsia="宋体" w:cs="宋体"/>
                <w:i w:val="0"/>
                <w:color w:val="000000"/>
                <w:kern w:val="0"/>
                <w:sz w:val="21"/>
                <w:szCs w:val="21"/>
                <w:u w:val="none"/>
                <w:lang w:val="en-US" w:eastAsia="zh-CN" w:bidi="ar"/>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2.926</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2.926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2.939</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widowControl/>
              <w:spacing w:line="240" w:lineRule="auto"/>
              <w:jc w:val="center"/>
              <w:textAlignment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2.927</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2.932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2.952</w:t>
            </w:r>
          </w:p>
        </w:tc>
        <w:tc>
          <w:tcPr>
            <w:tcW w:w="548" w:type="pct"/>
            <w:shd w:val="clear" w:color="auto" w:fill="FFFFFF"/>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2.954</w:t>
            </w:r>
          </w:p>
        </w:tc>
        <w:tc>
          <w:tcPr>
            <w:tcW w:w="1095" w:type="dxa"/>
            <w:shd w:val="clear" w:color="auto" w:fill="auto"/>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2.949 </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2.954</w:t>
            </w:r>
          </w:p>
        </w:tc>
        <w:tc>
          <w:tcPr>
            <w:tcW w:w="548" w:type="pct"/>
            <w:shd w:val="clear" w:color="auto" w:fill="FFFFFF"/>
            <w:vAlign w:val="center"/>
          </w:tcPr>
          <w:p>
            <w:pPr>
              <w:widowControl/>
              <w:spacing w:line="240" w:lineRule="auto"/>
              <w:jc w:val="center"/>
              <w:textAlignment w:val="bottom"/>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平均值</w:t>
            </w:r>
          </w:p>
        </w:tc>
        <w:tc>
          <w:tcPr>
            <w:tcW w:w="591" w:type="pct"/>
            <w:vAlign w:val="center"/>
          </w:tcPr>
          <w:p>
            <w:pPr>
              <w:widowControl/>
              <w:spacing w:line="240" w:lineRule="auto"/>
              <w:jc w:val="center"/>
              <w:textAlignment w:val="center"/>
              <w:rPr>
                <w:sz w:val="21"/>
                <w:szCs w:val="21"/>
              </w:rPr>
            </w:pPr>
            <w:r>
              <w:rPr>
                <w:color w:val="000000"/>
                <w:kern w:val="0"/>
                <w:sz w:val="21"/>
                <w:szCs w:val="21"/>
              </w:rPr>
              <w:t>2.880</w:t>
            </w:r>
          </w:p>
        </w:tc>
        <w:tc>
          <w:tcPr>
            <w:tcW w:w="1095" w:type="dxa"/>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2"/>
                <w:szCs w:val="22"/>
                <w:u w:val="none"/>
                <w:lang w:val="en-US" w:eastAsia="zh-CN" w:bidi="ar"/>
              </w:rPr>
              <w:t xml:space="preserve">2.882 </w:t>
            </w:r>
          </w:p>
        </w:tc>
        <w:tc>
          <w:tcPr>
            <w:tcW w:w="548" w:type="pct"/>
            <w:vAlign w:val="center"/>
          </w:tcPr>
          <w:p>
            <w:pPr>
              <w:widowControl/>
              <w:spacing w:line="240" w:lineRule="auto"/>
              <w:jc w:val="center"/>
              <w:textAlignment w:val="center"/>
              <w:rPr>
                <w:sz w:val="21"/>
                <w:szCs w:val="21"/>
              </w:rPr>
            </w:pPr>
            <w:r>
              <w:rPr>
                <w:color w:val="000000"/>
                <w:kern w:val="0"/>
                <w:sz w:val="21"/>
                <w:szCs w:val="21"/>
              </w:rPr>
              <w:t>2.874</w:t>
            </w:r>
          </w:p>
        </w:tc>
        <w:tc>
          <w:tcPr>
            <w:tcW w:w="548" w:type="pct"/>
            <w:vAlign w:val="center"/>
          </w:tcPr>
          <w:p>
            <w:pPr>
              <w:widowControl/>
              <w:spacing w:line="240" w:lineRule="auto"/>
              <w:jc w:val="center"/>
              <w:textAlignment w:val="center"/>
              <w:rPr>
                <w:sz w:val="21"/>
                <w:szCs w:val="21"/>
              </w:rPr>
            </w:pPr>
            <w:r>
              <w:rPr>
                <w:color w:val="000000"/>
                <w:kern w:val="0"/>
                <w:sz w:val="21"/>
                <w:szCs w:val="21"/>
              </w:rPr>
              <w:t>2.709</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2.833</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2.830</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2.877</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RSD（%）</w:t>
            </w:r>
          </w:p>
        </w:tc>
        <w:tc>
          <w:tcPr>
            <w:tcW w:w="591" w:type="pct"/>
            <w:vAlign w:val="center"/>
          </w:tcPr>
          <w:p>
            <w:pPr>
              <w:widowControl/>
              <w:spacing w:line="240" w:lineRule="auto"/>
              <w:jc w:val="center"/>
              <w:textAlignment w:val="center"/>
              <w:rPr>
                <w:sz w:val="21"/>
                <w:szCs w:val="21"/>
              </w:rPr>
            </w:pPr>
            <w:r>
              <w:rPr>
                <w:color w:val="000000"/>
                <w:kern w:val="0"/>
                <w:sz w:val="21"/>
                <w:szCs w:val="21"/>
              </w:rPr>
              <w:t>1.53</w:t>
            </w:r>
          </w:p>
        </w:tc>
        <w:tc>
          <w:tcPr>
            <w:tcW w:w="1095" w:type="dxa"/>
            <w:vAlign w:val="center"/>
          </w:tcPr>
          <w:p>
            <w:pPr>
              <w:keepNext w:val="0"/>
              <w:keepLines w:val="0"/>
              <w:widowControl/>
              <w:suppressLineNumbers w:val="0"/>
              <w:jc w:val="center"/>
              <w:textAlignment w:val="center"/>
              <w:rPr>
                <w:sz w:val="21"/>
                <w:szCs w:val="21"/>
              </w:rPr>
            </w:pPr>
            <w:r>
              <w:rPr>
                <w:rFonts w:hint="default" w:ascii="Times New Roman" w:hAnsi="Times New Roman" w:eastAsia="宋体" w:cs="Times New Roman"/>
                <w:i w:val="0"/>
                <w:color w:val="000000"/>
                <w:kern w:val="0"/>
                <w:sz w:val="22"/>
                <w:szCs w:val="22"/>
                <w:u w:val="none"/>
                <w:lang w:val="en-US" w:eastAsia="zh-CN" w:bidi="ar"/>
              </w:rPr>
              <w:t xml:space="preserve">1.46 </w:t>
            </w:r>
          </w:p>
        </w:tc>
        <w:tc>
          <w:tcPr>
            <w:tcW w:w="548" w:type="pct"/>
            <w:vAlign w:val="center"/>
          </w:tcPr>
          <w:p>
            <w:pPr>
              <w:widowControl/>
              <w:spacing w:line="240" w:lineRule="auto"/>
              <w:jc w:val="center"/>
              <w:textAlignment w:val="center"/>
              <w:rPr>
                <w:sz w:val="21"/>
                <w:szCs w:val="21"/>
              </w:rPr>
            </w:pPr>
            <w:r>
              <w:rPr>
                <w:color w:val="000000"/>
                <w:kern w:val="0"/>
                <w:sz w:val="21"/>
                <w:szCs w:val="21"/>
              </w:rPr>
              <w:t>2.11</w:t>
            </w:r>
          </w:p>
        </w:tc>
        <w:tc>
          <w:tcPr>
            <w:tcW w:w="548" w:type="pct"/>
            <w:vAlign w:val="center"/>
          </w:tcPr>
          <w:p>
            <w:pPr>
              <w:widowControl/>
              <w:spacing w:line="240" w:lineRule="auto"/>
              <w:jc w:val="center"/>
              <w:textAlignment w:val="center"/>
              <w:rPr>
                <w:sz w:val="21"/>
                <w:szCs w:val="21"/>
              </w:rPr>
            </w:pPr>
            <w:r>
              <w:rPr>
                <w:color w:val="000000"/>
                <w:kern w:val="0"/>
                <w:sz w:val="21"/>
                <w:szCs w:val="21"/>
              </w:rPr>
              <w:t>1.30</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0.43</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1.99</w:t>
            </w:r>
          </w:p>
        </w:tc>
        <w:tc>
          <w:tcPr>
            <w:tcW w:w="548" w:type="pct"/>
            <w:vAlign w:val="center"/>
          </w:tcPr>
          <w:p>
            <w:pPr>
              <w:widowControl/>
              <w:spacing w:line="240" w:lineRule="auto"/>
              <w:jc w:val="center"/>
              <w:textAlignment w:val="center"/>
              <w:rPr>
                <w:color w:val="000000"/>
                <w:kern w:val="0"/>
                <w:sz w:val="21"/>
                <w:szCs w:val="21"/>
              </w:rPr>
            </w:pPr>
            <w:r>
              <w:rPr>
                <w:color w:val="000000"/>
                <w:kern w:val="0"/>
                <w:sz w:val="21"/>
                <w:szCs w:val="21"/>
              </w:rPr>
              <w:t>0.51</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2" w:type="pct"/>
            <w:vMerge w:val="restart"/>
            <w:shd w:val="clear" w:color="auto" w:fill="auto"/>
            <w:vAlign w:val="center"/>
          </w:tcPr>
          <w:p>
            <w:pPr>
              <w:spacing w:line="240" w:lineRule="auto"/>
              <w:jc w:val="center"/>
              <w:rPr>
                <w:sz w:val="21"/>
                <w:szCs w:val="21"/>
              </w:rPr>
            </w:pPr>
            <w:r>
              <w:rPr>
                <w:sz w:val="21"/>
                <w:szCs w:val="21"/>
              </w:rPr>
              <w:t>Bi</w:t>
            </w:r>
          </w:p>
        </w:tc>
        <w:tc>
          <w:tcPr>
            <w:tcW w:w="356" w:type="pct"/>
            <w:vMerge w:val="restart"/>
            <w:shd w:val="clear" w:color="auto" w:fill="auto"/>
            <w:vAlign w:val="center"/>
          </w:tcPr>
          <w:p>
            <w:pPr>
              <w:spacing w:line="240" w:lineRule="auto"/>
              <w:jc w:val="center"/>
              <w:rPr>
                <w:sz w:val="21"/>
                <w:szCs w:val="21"/>
              </w:rPr>
            </w:pPr>
            <w:r>
              <w:rPr>
                <w:rFonts w:hint="eastAsia"/>
                <w:sz w:val="21"/>
                <w:szCs w:val="21"/>
              </w:rPr>
              <w:t>YT84</w:t>
            </w: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3.804</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3.821</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3.833</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3.61</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3.859</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3.652</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3.812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3.807</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3.806</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3.833</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3.62</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3.900</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3.691</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3.819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3.812</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3.815</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3.840</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3.65</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3.902</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3.734</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3.839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3.834</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3.824</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3.856</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3.68</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3.916</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3.776</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3.841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3.844</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3.846</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3.860</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3.70</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3.924</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3.812</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3.845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3.846</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3.864</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3.869</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3.74</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3.942</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3.825</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3.861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3.863</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3.864</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3.876</w:t>
            </w:r>
          </w:p>
        </w:tc>
        <w:tc>
          <w:tcPr>
            <w:tcW w:w="548" w:type="pct"/>
            <w:shd w:val="clear" w:color="auto" w:fill="FFFFFF"/>
            <w:vAlign w:val="center"/>
          </w:tcPr>
          <w:p>
            <w:pPr>
              <w:widowControl/>
              <w:spacing w:line="240" w:lineRule="auto"/>
              <w:jc w:val="center"/>
              <w:textAlignment w:val="bottom"/>
              <w:rPr>
                <w:sz w:val="21"/>
                <w:szCs w:val="21"/>
              </w:rPr>
            </w:pPr>
            <w:r>
              <w:rPr>
                <w:color w:val="000000"/>
                <w:kern w:val="0"/>
                <w:sz w:val="21"/>
                <w:szCs w:val="21"/>
              </w:rPr>
              <w:t>3.78</w:t>
            </w:r>
          </w:p>
        </w:tc>
        <w:tc>
          <w:tcPr>
            <w:tcW w:w="548" w:type="pct"/>
            <w:vAlign w:val="center"/>
          </w:tcPr>
          <w:p>
            <w:pPr>
              <w:widowControl/>
              <w:spacing w:line="240" w:lineRule="auto"/>
              <w:jc w:val="center"/>
              <w:textAlignment w:val="bottom"/>
              <w:rPr>
                <w:kern w:val="0"/>
                <w:sz w:val="21"/>
                <w:szCs w:val="21"/>
              </w:rPr>
            </w:pPr>
            <w:r>
              <w:rPr>
                <w:color w:val="000000"/>
                <w:kern w:val="0"/>
                <w:sz w:val="21"/>
                <w:szCs w:val="21"/>
              </w:rPr>
              <w:t>3.946</w:t>
            </w:r>
          </w:p>
        </w:tc>
        <w:tc>
          <w:tcPr>
            <w:tcW w:w="548" w:type="pct"/>
            <w:vAlign w:val="center"/>
          </w:tcPr>
          <w:p>
            <w:pPr>
              <w:widowControl/>
              <w:spacing w:line="240" w:lineRule="auto"/>
              <w:jc w:val="center"/>
              <w:textAlignment w:val="top"/>
              <w:rPr>
                <w:kern w:val="0"/>
                <w:sz w:val="21"/>
                <w:szCs w:val="21"/>
              </w:rPr>
            </w:pPr>
            <w:r>
              <w:rPr>
                <w:rFonts w:hint="eastAsia" w:ascii="宋体" w:hAnsi="宋体" w:cs="宋体"/>
                <w:color w:val="000000"/>
                <w:kern w:val="0"/>
                <w:sz w:val="21"/>
                <w:szCs w:val="21"/>
              </w:rPr>
              <w:t>3.854</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eastAsia" w:ascii="宋体" w:hAnsi="宋体" w:eastAsia="宋体" w:cs="宋体"/>
                <w:i w:val="0"/>
                <w:color w:val="000000"/>
                <w:kern w:val="0"/>
                <w:sz w:val="24"/>
                <w:szCs w:val="24"/>
                <w:u w:val="none"/>
                <w:lang w:val="en-US" w:eastAsia="zh-CN" w:bidi="ar"/>
              </w:rPr>
              <w:t xml:space="preserve">3.885 </w:t>
            </w:r>
          </w:p>
        </w:tc>
        <w:tc>
          <w:tcPr>
            <w:tcW w:w="550" w:type="pct"/>
            <w:vAlign w:val="center"/>
          </w:tcPr>
          <w:p>
            <w:pPr>
              <w:keepNext w:val="0"/>
              <w:keepLines w:val="0"/>
              <w:widowControl/>
              <w:suppressLineNumbers w:val="0"/>
              <w:spacing w:line="240" w:lineRule="auto"/>
              <w:jc w:val="center"/>
              <w:textAlignment w:val="bottom"/>
              <w:rPr>
                <w:rFonts w:hint="eastAsia" w:ascii="宋体" w:hAnsi="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3.881</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3.889</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3.927</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keepNext w:val="0"/>
              <w:keepLines w:val="0"/>
              <w:widowControl/>
              <w:suppressLineNumbers w:val="0"/>
              <w:spacing w:line="240" w:lineRule="auto"/>
              <w:jc w:val="center"/>
              <w:textAlignment w:val="bottom"/>
              <w:rPr>
                <w:kern w:val="0"/>
                <w:sz w:val="21"/>
                <w:szCs w:val="21"/>
              </w:rPr>
            </w:pPr>
            <w:r>
              <w:rPr>
                <w:rFonts w:hint="eastAsia" w:ascii="宋体" w:hAnsi="宋体" w:eastAsia="宋体" w:cs="宋体"/>
                <w:i w:val="0"/>
                <w:color w:val="000000"/>
                <w:kern w:val="0"/>
                <w:sz w:val="21"/>
                <w:szCs w:val="21"/>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3.882</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3.890</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3.929</w:t>
            </w:r>
          </w:p>
        </w:tc>
        <w:tc>
          <w:tcPr>
            <w:tcW w:w="548" w:type="pct"/>
            <w:shd w:val="clear" w:color="auto" w:fill="FFFFFF"/>
            <w:vAlign w:val="center"/>
          </w:tcPr>
          <w:p>
            <w:pPr>
              <w:widowControl/>
              <w:spacing w:line="240" w:lineRule="auto"/>
              <w:jc w:val="center"/>
              <w:textAlignment w:val="center"/>
              <w:rPr>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48" w:type="pct"/>
            <w:vAlign w:val="center"/>
          </w:tcPr>
          <w:p>
            <w:pPr>
              <w:widowControl/>
              <w:spacing w:line="240" w:lineRule="auto"/>
              <w:jc w:val="center"/>
              <w:textAlignment w:val="center"/>
              <w:rPr>
                <w:kern w:val="0"/>
                <w:sz w:val="21"/>
                <w:szCs w:val="21"/>
              </w:rPr>
            </w:pPr>
          </w:p>
        </w:tc>
        <w:tc>
          <w:tcPr>
            <w:tcW w:w="550" w:type="pct"/>
            <w:vAlign w:val="center"/>
          </w:tcPr>
          <w:p>
            <w:pPr>
              <w:widowControl/>
              <w:spacing w:line="240" w:lineRule="auto"/>
              <w:jc w:val="center"/>
              <w:textAlignment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3.981</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3.935</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3.974</w:t>
            </w:r>
          </w:p>
        </w:tc>
        <w:tc>
          <w:tcPr>
            <w:tcW w:w="548" w:type="pct"/>
            <w:shd w:val="clear" w:color="auto" w:fill="FFFFFF"/>
            <w:vAlign w:val="center"/>
          </w:tcPr>
          <w:p>
            <w:pPr>
              <w:widowControl/>
              <w:spacing w:line="240" w:lineRule="auto"/>
              <w:jc w:val="center"/>
              <w:textAlignment w:val="top"/>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shd w:val="clear" w:color="auto" w:fill="auto"/>
            <w:vAlign w:val="center"/>
          </w:tcPr>
          <w:p>
            <w:pPr>
              <w:spacing w:line="240" w:lineRule="auto"/>
              <w:jc w:val="center"/>
              <w:rPr>
                <w:sz w:val="21"/>
                <w:szCs w:val="21"/>
              </w:rPr>
            </w:pPr>
          </w:p>
        </w:tc>
        <w:tc>
          <w:tcPr>
            <w:tcW w:w="356" w:type="pct"/>
            <w:vMerge w:val="continue"/>
            <w:shd w:val="clear" w:color="auto" w:fill="auto"/>
            <w:vAlign w:val="center"/>
          </w:tcPr>
          <w:p>
            <w:pPr>
              <w:spacing w:line="240" w:lineRule="auto"/>
              <w:jc w:val="center"/>
              <w:rPr>
                <w:sz w:val="21"/>
                <w:szCs w:val="21"/>
              </w:rPr>
            </w:pPr>
          </w:p>
        </w:tc>
        <w:tc>
          <w:tcPr>
            <w:tcW w:w="591" w:type="pct"/>
            <w:shd w:val="clear" w:color="auto" w:fill="auto"/>
            <w:vAlign w:val="center"/>
          </w:tcPr>
          <w:p>
            <w:pPr>
              <w:widowControl/>
              <w:spacing w:line="240" w:lineRule="auto"/>
              <w:jc w:val="center"/>
              <w:textAlignment w:val="center"/>
              <w:rPr>
                <w:sz w:val="21"/>
                <w:szCs w:val="21"/>
              </w:rPr>
            </w:pPr>
            <w:r>
              <w:rPr>
                <w:color w:val="000000"/>
                <w:kern w:val="0"/>
                <w:sz w:val="21"/>
                <w:szCs w:val="21"/>
              </w:rPr>
              <w:t>3.984</w:t>
            </w:r>
          </w:p>
        </w:tc>
        <w:tc>
          <w:tcPr>
            <w:tcW w:w="548" w:type="pct"/>
            <w:shd w:val="clear" w:color="auto" w:fill="auto"/>
            <w:vAlign w:val="center"/>
          </w:tcPr>
          <w:p>
            <w:pPr>
              <w:widowControl/>
              <w:spacing w:line="240" w:lineRule="auto"/>
              <w:jc w:val="center"/>
              <w:textAlignment w:val="center"/>
              <w:rPr>
                <w:sz w:val="21"/>
                <w:szCs w:val="21"/>
              </w:rPr>
            </w:pPr>
            <w:r>
              <w:rPr>
                <w:color w:val="000000"/>
                <w:kern w:val="0"/>
                <w:sz w:val="21"/>
                <w:szCs w:val="21"/>
              </w:rPr>
              <w:t>3.975</w:t>
            </w:r>
          </w:p>
        </w:tc>
        <w:tc>
          <w:tcPr>
            <w:tcW w:w="548" w:type="pct"/>
            <w:shd w:val="clear" w:color="auto" w:fill="auto"/>
            <w:vAlign w:val="center"/>
          </w:tcPr>
          <w:p>
            <w:pPr>
              <w:widowControl/>
              <w:spacing w:line="240" w:lineRule="auto"/>
              <w:jc w:val="center"/>
              <w:textAlignment w:val="center"/>
              <w:rPr>
                <w:color w:val="000000"/>
                <w:kern w:val="0"/>
                <w:sz w:val="21"/>
                <w:szCs w:val="21"/>
              </w:rPr>
            </w:pPr>
            <w:r>
              <w:rPr>
                <w:rFonts w:hint="eastAsia" w:ascii="宋体" w:hAnsi="宋体" w:cs="宋体"/>
                <w:color w:val="000000"/>
                <w:kern w:val="0"/>
                <w:sz w:val="21"/>
                <w:szCs w:val="21"/>
              </w:rPr>
              <w:t>3.992</w:t>
            </w:r>
          </w:p>
        </w:tc>
        <w:tc>
          <w:tcPr>
            <w:tcW w:w="548" w:type="pct"/>
            <w:shd w:val="clear" w:color="auto" w:fill="FFFFFF"/>
            <w:vAlign w:val="center"/>
          </w:tcPr>
          <w:p>
            <w:pPr>
              <w:widowControl/>
              <w:spacing w:line="240" w:lineRule="auto"/>
              <w:jc w:val="center"/>
              <w:textAlignment w:val="top"/>
              <w:rPr>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48" w:type="pct"/>
            <w:vAlign w:val="center"/>
          </w:tcPr>
          <w:p>
            <w:pPr>
              <w:spacing w:line="240" w:lineRule="auto"/>
              <w:jc w:val="center"/>
              <w:rPr>
                <w:kern w:val="0"/>
                <w:sz w:val="21"/>
                <w:szCs w:val="21"/>
              </w:rPr>
            </w:pPr>
          </w:p>
        </w:tc>
        <w:tc>
          <w:tcPr>
            <w:tcW w:w="550" w:type="pct"/>
            <w:vAlign w:val="center"/>
          </w:tcPr>
          <w:p>
            <w:pPr>
              <w:spacing w:line="240"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平均值</w:t>
            </w:r>
          </w:p>
        </w:tc>
        <w:tc>
          <w:tcPr>
            <w:tcW w:w="591" w:type="pct"/>
            <w:vAlign w:val="center"/>
          </w:tcPr>
          <w:p>
            <w:pPr>
              <w:widowControl/>
              <w:spacing w:line="240" w:lineRule="auto"/>
              <w:jc w:val="center"/>
              <w:textAlignment w:val="center"/>
              <w:rPr>
                <w:sz w:val="21"/>
                <w:szCs w:val="21"/>
              </w:rPr>
            </w:pPr>
            <w:r>
              <w:rPr>
                <w:color w:val="000000"/>
                <w:kern w:val="0"/>
                <w:sz w:val="21"/>
                <w:szCs w:val="21"/>
              </w:rPr>
              <w:t>3.867</w:t>
            </w:r>
          </w:p>
        </w:tc>
        <w:tc>
          <w:tcPr>
            <w:tcW w:w="548" w:type="pct"/>
            <w:vAlign w:val="center"/>
          </w:tcPr>
          <w:p>
            <w:pPr>
              <w:widowControl/>
              <w:spacing w:line="240" w:lineRule="auto"/>
              <w:jc w:val="center"/>
              <w:textAlignment w:val="center"/>
              <w:rPr>
                <w:sz w:val="21"/>
                <w:szCs w:val="21"/>
              </w:rPr>
            </w:pPr>
            <w:r>
              <w:rPr>
                <w:color w:val="000000"/>
                <w:kern w:val="0"/>
                <w:sz w:val="21"/>
                <w:szCs w:val="21"/>
              </w:rPr>
              <w:t>3.866</w:t>
            </w:r>
          </w:p>
        </w:tc>
        <w:tc>
          <w:tcPr>
            <w:tcW w:w="548" w:type="pct"/>
            <w:vAlign w:val="center"/>
          </w:tcPr>
          <w:p>
            <w:pPr>
              <w:widowControl/>
              <w:spacing w:line="240" w:lineRule="auto"/>
              <w:jc w:val="center"/>
              <w:textAlignment w:val="center"/>
              <w:rPr>
                <w:sz w:val="21"/>
                <w:szCs w:val="21"/>
              </w:rPr>
            </w:pPr>
            <w:r>
              <w:rPr>
                <w:color w:val="000000"/>
                <w:kern w:val="0"/>
                <w:sz w:val="21"/>
                <w:szCs w:val="21"/>
              </w:rPr>
              <w:t>3.890</w:t>
            </w:r>
          </w:p>
        </w:tc>
        <w:tc>
          <w:tcPr>
            <w:tcW w:w="548" w:type="pct"/>
            <w:vAlign w:val="center"/>
          </w:tcPr>
          <w:p>
            <w:pPr>
              <w:widowControl/>
              <w:spacing w:line="240" w:lineRule="auto"/>
              <w:jc w:val="center"/>
              <w:textAlignment w:val="center"/>
              <w:rPr>
                <w:sz w:val="21"/>
                <w:szCs w:val="21"/>
              </w:rPr>
            </w:pPr>
            <w:r>
              <w:rPr>
                <w:color w:val="000000"/>
                <w:kern w:val="0"/>
                <w:sz w:val="21"/>
                <w:szCs w:val="21"/>
              </w:rPr>
              <w:t>3.683</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3.913</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3.763</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3.843 </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3.716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 w:type="pct"/>
            <w:vMerge w:val="continue"/>
            <w:vAlign w:val="center"/>
          </w:tcPr>
          <w:p>
            <w:pPr>
              <w:spacing w:line="240" w:lineRule="auto"/>
              <w:jc w:val="center"/>
              <w:rPr>
                <w:sz w:val="21"/>
                <w:szCs w:val="21"/>
              </w:rPr>
            </w:pPr>
          </w:p>
        </w:tc>
        <w:tc>
          <w:tcPr>
            <w:tcW w:w="356" w:type="pct"/>
            <w:vAlign w:val="center"/>
          </w:tcPr>
          <w:p>
            <w:pPr>
              <w:spacing w:line="240" w:lineRule="auto"/>
              <w:jc w:val="center"/>
              <w:rPr>
                <w:sz w:val="21"/>
                <w:szCs w:val="21"/>
              </w:rPr>
            </w:pPr>
            <w:r>
              <w:rPr>
                <w:sz w:val="21"/>
                <w:szCs w:val="21"/>
              </w:rPr>
              <w:t>RSD（%）</w:t>
            </w:r>
          </w:p>
        </w:tc>
        <w:tc>
          <w:tcPr>
            <w:tcW w:w="591" w:type="pct"/>
            <w:vAlign w:val="center"/>
          </w:tcPr>
          <w:p>
            <w:pPr>
              <w:widowControl/>
              <w:spacing w:line="240" w:lineRule="auto"/>
              <w:jc w:val="center"/>
              <w:textAlignment w:val="center"/>
              <w:rPr>
                <w:sz w:val="21"/>
                <w:szCs w:val="21"/>
              </w:rPr>
            </w:pPr>
            <w:r>
              <w:rPr>
                <w:color w:val="000000"/>
                <w:kern w:val="0"/>
                <w:sz w:val="21"/>
                <w:szCs w:val="21"/>
              </w:rPr>
              <w:t>1.63</w:t>
            </w:r>
          </w:p>
        </w:tc>
        <w:tc>
          <w:tcPr>
            <w:tcW w:w="548" w:type="pct"/>
            <w:vAlign w:val="center"/>
          </w:tcPr>
          <w:p>
            <w:pPr>
              <w:widowControl/>
              <w:spacing w:line="240" w:lineRule="auto"/>
              <w:jc w:val="center"/>
              <w:textAlignment w:val="center"/>
              <w:rPr>
                <w:sz w:val="21"/>
                <w:szCs w:val="21"/>
              </w:rPr>
            </w:pPr>
            <w:r>
              <w:rPr>
                <w:color w:val="000000"/>
                <w:kern w:val="0"/>
                <w:sz w:val="21"/>
                <w:szCs w:val="21"/>
              </w:rPr>
              <w:t>1.37</w:t>
            </w:r>
          </w:p>
        </w:tc>
        <w:tc>
          <w:tcPr>
            <w:tcW w:w="548" w:type="pct"/>
            <w:vAlign w:val="center"/>
          </w:tcPr>
          <w:p>
            <w:pPr>
              <w:widowControl/>
              <w:spacing w:line="240" w:lineRule="auto"/>
              <w:jc w:val="center"/>
              <w:textAlignment w:val="center"/>
              <w:rPr>
                <w:sz w:val="21"/>
                <w:szCs w:val="21"/>
              </w:rPr>
            </w:pPr>
            <w:r>
              <w:rPr>
                <w:color w:val="000000"/>
                <w:kern w:val="0"/>
                <w:sz w:val="21"/>
                <w:szCs w:val="21"/>
              </w:rPr>
              <w:t>1.46</w:t>
            </w:r>
          </w:p>
        </w:tc>
        <w:tc>
          <w:tcPr>
            <w:tcW w:w="548" w:type="pct"/>
            <w:vAlign w:val="center"/>
          </w:tcPr>
          <w:p>
            <w:pPr>
              <w:widowControl/>
              <w:spacing w:line="240" w:lineRule="auto"/>
              <w:jc w:val="center"/>
              <w:textAlignment w:val="center"/>
              <w:rPr>
                <w:sz w:val="21"/>
                <w:szCs w:val="21"/>
              </w:rPr>
            </w:pPr>
            <w:r>
              <w:rPr>
                <w:color w:val="000000"/>
                <w:kern w:val="0"/>
                <w:sz w:val="21"/>
                <w:szCs w:val="21"/>
              </w:rPr>
              <w:t>1.69</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0.76</w:t>
            </w:r>
          </w:p>
        </w:tc>
        <w:tc>
          <w:tcPr>
            <w:tcW w:w="548" w:type="pct"/>
            <w:vAlign w:val="center"/>
          </w:tcPr>
          <w:p>
            <w:pPr>
              <w:widowControl/>
              <w:spacing w:line="240" w:lineRule="auto"/>
              <w:jc w:val="center"/>
              <w:textAlignment w:val="center"/>
              <w:rPr>
                <w:kern w:val="0"/>
                <w:sz w:val="21"/>
                <w:szCs w:val="21"/>
              </w:rPr>
            </w:pPr>
            <w:r>
              <w:rPr>
                <w:color w:val="000000"/>
                <w:kern w:val="0"/>
                <w:sz w:val="21"/>
                <w:szCs w:val="21"/>
              </w:rPr>
              <w:t>1.97</w:t>
            </w:r>
          </w:p>
        </w:tc>
        <w:tc>
          <w:tcPr>
            <w:tcW w:w="1095" w:type="dxa"/>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0.64 </w:t>
            </w:r>
          </w:p>
        </w:tc>
        <w:tc>
          <w:tcPr>
            <w:tcW w:w="550" w:type="pct"/>
            <w:vAlign w:val="center"/>
          </w:tcPr>
          <w:p>
            <w:pPr>
              <w:keepNext w:val="0"/>
              <w:keepLines w:val="0"/>
              <w:widowControl/>
              <w:suppressLineNumbers w:val="0"/>
              <w:spacing w:line="240" w:lineRule="auto"/>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1.04</w:t>
            </w:r>
          </w:p>
        </w:tc>
      </w:tr>
    </w:tbl>
    <w:p>
      <w:pPr>
        <w:pStyle w:val="3"/>
        <w:spacing w:line="360" w:lineRule="auto"/>
      </w:pPr>
    </w:p>
    <w:p>
      <w:pPr>
        <w:pStyle w:val="3"/>
        <w:spacing w:line="360" w:lineRule="auto"/>
      </w:pPr>
      <w:r>
        <w:t>3 一致性和离群值的检查</w:t>
      </w:r>
    </w:p>
    <w:p>
      <w:pPr>
        <w:pStyle w:val="3"/>
        <w:spacing w:line="360" w:lineRule="auto"/>
      </w:pPr>
      <w:r>
        <w:rPr>
          <w:rFonts w:hint="eastAsia"/>
        </w:rPr>
        <w:t xml:space="preserve">3.1 </w:t>
      </w:r>
      <w:r>
        <w:t xml:space="preserve"> 格拉布斯检验</w:t>
      </w:r>
    </w:p>
    <w:p>
      <w:pPr>
        <w:spacing w:line="360" w:lineRule="auto"/>
      </w:pPr>
      <w:r>
        <w:rPr>
          <w:rFonts w:hint="eastAsia"/>
        </w:rPr>
        <w:t>3.1.1 对每家数据进行格拉布斯检验</w:t>
      </w:r>
    </w:p>
    <w:p>
      <w:pPr>
        <w:spacing w:line="360" w:lineRule="auto"/>
        <w:ind w:firstLine="420" w:firstLineChars="200"/>
        <w:jc w:val="left"/>
      </w:pPr>
      <w:r>
        <w:rPr>
          <w:szCs w:val="21"/>
        </w:rPr>
        <w:t>分别对每一家的每一个水平样进行格拉布斯检验，查表，n=11，a=0.05时临界值为2.355，a=0.01时舍临界值为2.564</w:t>
      </w:r>
      <w:r>
        <w:rPr>
          <w:rFonts w:hint="eastAsia"/>
          <w:szCs w:val="21"/>
        </w:rPr>
        <w:t>；</w:t>
      </w:r>
      <w:r>
        <w:rPr>
          <w:szCs w:val="21"/>
        </w:rPr>
        <w:t>n=</w:t>
      </w:r>
      <w:r>
        <w:rPr>
          <w:rFonts w:hint="eastAsia"/>
          <w:szCs w:val="21"/>
        </w:rPr>
        <w:t>7</w:t>
      </w:r>
      <w:r>
        <w:rPr>
          <w:szCs w:val="21"/>
        </w:rPr>
        <w:t>，a=0.05时临界值为2.</w:t>
      </w:r>
      <w:r>
        <w:rPr>
          <w:rFonts w:hint="eastAsia"/>
          <w:szCs w:val="21"/>
        </w:rPr>
        <w:t>020</w:t>
      </w:r>
      <w:r>
        <w:rPr>
          <w:szCs w:val="21"/>
        </w:rPr>
        <w:t>，a=0.01时舍临界值为2.</w:t>
      </w:r>
      <w:r>
        <w:rPr>
          <w:rFonts w:hint="eastAsia"/>
          <w:szCs w:val="21"/>
        </w:rPr>
        <w:t>139；</w:t>
      </w:r>
      <w:r>
        <w:rPr>
          <w:szCs w:val="21"/>
        </w:rPr>
        <w:t>根据国家标准GB/T6379.2-2004规定，检验统计量大于5%临界值时，为统计歧离值，仍参与后续计算，不需要舍弃，歧离值在表中用“*”标出；检验统计量大于1%临界值时，为统计离群值，需要舍弃，异常值在表中用“**”标出；</w:t>
      </w:r>
      <w:r>
        <w:rPr>
          <w:rFonts w:hint="eastAsia" w:ascii="宋体" w:hAnsi="宋体" w:cs="宋体"/>
          <w:szCs w:val="21"/>
        </w:rPr>
        <w:t>数据统计发现，</w:t>
      </w:r>
      <w:r>
        <w:rPr>
          <w:rFonts w:hint="eastAsia"/>
        </w:rPr>
        <w:t>云南锡业股份有限公司冶炼分公司</w:t>
      </w:r>
      <w:r>
        <w:rPr>
          <w:szCs w:val="21"/>
        </w:rPr>
        <w:t>的水平</w:t>
      </w:r>
      <w:r>
        <w:rPr>
          <w:rFonts w:hint="eastAsia"/>
          <w:szCs w:val="21"/>
        </w:rPr>
        <w:t>2</w:t>
      </w:r>
      <w:r>
        <w:rPr>
          <w:szCs w:val="21"/>
        </w:rPr>
        <w:t>的</w:t>
      </w:r>
      <w:r>
        <w:rPr>
          <w:rFonts w:hint="eastAsia"/>
          <w:szCs w:val="21"/>
        </w:rPr>
        <w:t>Gmax值为2.490</w:t>
      </w:r>
      <w:r>
        <w:rPr>
          <w:szCs w:val="21"/>
        </w:rPr>
        <w:t>，大于</w:t>
      </w:r>
      <w:r>
        <w:rPr>
          <w:rFonts w:hint="eastAsia"/>
          <w:szCs w:val="21"/>
        </w:rPr>
        <w:t>5</w:t>
      </w:r>
      <w:r>
        <w:rPr>
          <w:szCs w:val="21"/>
        </w:rPr>
        <w:t>%临界值</w:t>
      </w:r>
      <w:r>
        <w:rPr>
          <w:rFonts w:hint="eastAsia"/>
          <w:szCs w:val="21"/>
        </w:rPr>
        <w:t>2.355</w:t>
      </w:r>
      <w:r>
        <w:rPr>
          <w:szCs w:val="21"/>
        </w:rPr>
        <w:t>，</w:t>
      </w:r>
      <w:r>
        <w:rPr>
          <w:rFonts w:hint="eastAsia"/>
          <w:szCs w:val="21"/>
        </w:rPr>
        <w:t>小于1</w:t>
      </w:r>
      <w:r>
        <w:rPr>
          <w:szCs w:val="21"/>
        </w:rPr>
        <w:t>%临界值</w:t>
      </w:r>
      <w:r>
        <w:rPr>
          <w:rFonts w:hint="eastAsia"/>
          <w:szCs w:val="21"/>
        </w:rPr>
        <w:t>2.564，</w:t>
      </w:r>
      <w:r>
        <w:rPr>
          <w:szCs w:val="21"/>
        </w:rPr>
        <w:t>为统计</w:t>
      </w:r>
      <w:r>
        <w:rPr>
          <w:rFonts w:hint="eastAsia"/>
          <w:szCs w:val="21"/>
        </w:rPr>
        <w:t>歧离值</w:t>
      </w:r>
      <w:r>
        <w:rPr>
          <w:szCs w:val="21"/>
        </w:rPr>
        <w:t>，</w:t>
      </w:r>
      <w:r>
        <w:rPr>
          <w:rFonts w:hint="eastAsia"/>
          <w:szCs w:val="21"/>
        </w:rPr>
        <w:t>仍然</w:t>
      </w:r>
      <w:r>
        <w:rPr>
          <w:szCs w:val="21"/>
        </w:rPr>
        <w:t>参与后续计算。对剩下数据进行格拉布斯检验，符合要求。</w:t>
      </w:r>
    </w:p>
    <w:p>
      <w:pPr>
        <w:spacing w:line="360" w:lineRule="auto"/>
        <w:ind w:firstLine="420" w:firstLineChars="200"/>
        <w:jc w:val="left"/>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表2 格拉布斯检验</w:t>
      </w:r>
    </w:p>
    <w:tbl>
      <w:tblPr>
        <w:tblStyle w:val="37"/>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5"/>
        <w:gridCol w:w="524"/>
        <w:gridCol w:w="829"/>
        <w:gridCol w:w="829"/>
        <w:gridCol w:w="1"/>
        <w:gridCol w:w="828"/>
        <w:gridCol w:w="829"/>
        <w:gridCol w:w="2"/>
        <w:gridCol w:w="827"/>
        <w:gridCol w:w="829"/>
        <w:gridCol w:w="3"/>
        <w:gridCol w:w="826"/>
        <w:gridCol w:w="829"/>
        <w:gridCol w:w="4"/>
        <w:gridCol w:w="82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209" w:type="dxa"/>
            <w:gridSpan w:val="2"/>
            <w:vMerge w:val="restart"/>
            <w:shd w:val="clear" w:color="auto" w:fill="auto"/>
            <w:noWrap/>
            <w:tcMar>
              <w:top w:w="15" w:type="dxa"/>
              <w:left w:w="15" w:type="dxa"/>
              <w:right w:w="15" w:type="dxa"/>
            </w:tcMar>
            <w:vAlign w:val="bottom"/>
          </w:tcPr>
          <w:p>
            <w:pPr>
              <w:spacing w:line="360" w:lineRule="auto"/>
              <w:jc w:val="center"/>
              <w:rPr>
                <w:rFonts w:ascii="宋体" w:hAnsi="宋体" w:cs="宋体"/>
                <w:color w:val="000000"/>
                <w:sz w:val="24"/>
                <w:szCs w:val="24"/>
              </w:rPr>
            </w:pPr>
            <w:r>
              <w:rPr>
                <w:rFonts w:hint="eastAsia" w:ascii="宋体" w:hAnsi="宋体" w:cs="宋体"/>
                <w:color w:val="000000"/>
                <w:szCs w:val="21"/>
              </w:rPr>
              <w:t>格拉布斯检验最大值与最小值</w:t>
            </w:r>
          </w:p>
        </w:tc>
        <w:tc>
          <w:tcPr>
            <w:tcW w:w="8295" w:type="dxa"/>
            <w:gridSpan w:val="14"/>
            <w:shd w:val="clear" w:color="auto" w:fill="auto"/>
            <w:noWrap/>
            <w:tcMar>
              <w:top w:w="15" w:type="dxa"/>
              <w:left w:w="15" w:type="dxa"/>
              <w:right w:w="15" w:type="dxa"/>
            </w:tcMar>
            <w:vAlign w:val="center"/>
          </w:tcPr>
          <w:p>
            <w:pPr>
              <w:widowControl/>
              <w:spacing w:line="360" w:lineRule="auto"/>
              <w:jc w:val="center"/>
              <w:textAlignment w:val="center"/>
              <w:rPr>
                <w:color w:val="000000"/>
                <w:kern w:val="0"/>
                <w:sz w:val="22"/>
                <w:szCs w:val="22"/>
              </w:rPr>
            </w:pPr>
            <w:r>
              <w:rPr>
                <w:rFonts w:hint="eastAsia"/>
                <w:color w:val="000000"/>
                <w:kern w:val="0"/>
                <w:sz w:val="22"/>
                <w:szCs w:val="22"/>
              </w:rPr>
              <w:t>试样编号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209" w:type="dxa"/>
            <w:gridSpan w:val="2"/>
            <w:vMerge w:val="continue"/>
            <w:shd w:val="clear" w:color="auto" w:fill="auto"/>
            <w:noWrap/>
            <w:tcMar>
              <w:top w:w="15" w:type="dxa"/>
              <w:left w:w="15" w:type="dxa"/>
              <w:right w:w="15" w:type="dxa"/>
            </w:tcMar>
            <w:vAlign w:val="bottom"/>
          </w:tcPr>
          <w:p>
            <w:pPr>
              <w:spacing w:line="360" w:lineRule="auto"/>
              <w:rPr>
                <w:rFonts w:ascii="宋体" w:hAnsi="宋体" w:cs="宋体"/>
                <w:color w:val="000000"/>
                <w:sz w:val="24"/>
                <w:szCs w:val="24"/>
              </w:rPr>
            </w:pPr>
          </w:p>
        </w:tc>
        <w:tc>
          <w:tcPr>
            <w:tcW w:w="1659" w:type="dxa"/>
            <w:gridSpan w:val="3"/>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color w:val="000000"/>
                <w:kern w:val="0"/>
                <w:sz w:val="22"/>
                <w:szCs w:val="22"/>
              </w:rPr>
              <w:t>水平1</w:t>
            </w:r>
          </w:p>
        </w:tc>
        <w:tc>
          <w:tcPr>
            <w:tcW w:w="1659" w:type="dxa"/>
            <w:gridSpan w:val="3"/>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color w:val="000000"/>
                <w:kern w:val="0"/>
                <w:sz w:val="22"/>
                <w:szCs w:val="22"/>
              </w:rPr>
              <w:t>水平2</w:t>
            </w:r>
          </w:p>
        </w:tc>
        <w:tc>
          <w:tcPr>
            <w:tcW w:w="1659" w:type="dxa"/>
            <w:gridSpan w:val="3"/>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color w:val="000000"/>
                <w:kern w:val="0"/>
                <w:sz w:val="22"/>
                <w:szCs w:val="22"/>
              </w:rPr>
              <w:t>水平3</w:t>
            </w:r>
          </w:p>
        </w:tc>
        <w:tc>
          <w:tcPr>
            <w:tcW w:w="1659" w:type="dxa"/>
            <w:gridSpan w:val="3"/>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color w:val="000000"/>
                <w:kern w:val="0"/>
                <w:sz w:val="22"/>
                <w:szCs w:val="22"/>
              </w:rPr>
              <w:t>水平4</w:t>
            </w:r>
          </w:p>
        </w:tc>
        <w:tc>
          <w:tcPr>
            <w:tcW w:w="1659" w:type="dxa"/>
            <w:gridSpan w:val="2"/>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color w:val="000000"/>
                <w:kern w:val="0"/>
                <w:sz w:val="22"/>
                <w:szCs w:val="22"/>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209" w:type="dxa"/>
            <w:gridSpan w:val="2"/>
            <w:vMerge w:val="continue"/>
            <w:shd w:val="clear" w:color="auto" w:fill="auto"/>
            <w:noWrap/>
            <w:tcMar>
              <w:top w:w="15" w:type="dxa"/>
              <w:left w:w="15" w:type="dxa"/>
              <w:right w:w="15" w:type="dxa"/>
            </w:tcMar>
            <w:vAlign w:val="bottom"/>
          </w:tcPr>
          <w:p>
            <w:pPr>
              <w:spacing w:line="360" w:lineRule="auto"/>
              <w:rPr>
                <w:rFonts w:ascii="宋体" w:hAnsi="宋体" w:cs="宋体"/>
                <w:color w:val="000000"/>
                <w:sz w:val="24"/>
                <w:szCs w:val="24"/>
              </w:rPr>
            </w:pP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color w:val="000000"/>
                <w:szCs w:val="21"/>
              </w:rPr>
            </w:pPr>
            <w:r>
              <w:rPr>
                <w:color w:val="000000"/>
                <w:kern w:val="0"/>
                <w:szCs w:val="21"/>
              </w:rPr>
              <w:t>G</w:t>
            </w:r>
            <w:r>
              <w:rPr>
                <w:color w:val="000000"/>
                <w:kern w:val="0"/>
                <w:szCs w:val="21"/>
                <w:vertAlign w:val="subscript"/>
              </w:rPr>
              <w:t>min</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color w:val="000000"/>
                <w:szCs w:val="21"/>
              </w:rPr>
            </w:pPr>
            <w:r>
              <w:rPr>
                <w:color w:val="000000"/>
                <w:kern w:val="0"/>
                <w:szCs w:val="21"/>
              </w:rPr>
              <w:t>G</w:t>
            </w:r>
            <w:r>
              <w:rPr>
                <w:color w:val="000000"/>
                <w:kern w:val="0"/>
                <w:szCs w:val="21"/>
                <w:vertAlign w:val="subscript"/>
              </w:rPr>
              <w:t>max</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min</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max</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min</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max</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min</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max</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min</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color w:val="000000"/>
                <w:kern w:val="0"/>
                <w:szCs w:val="21"/>
              </w:rPr>
              <w:t>G</w:t>
            </w:r>
            <w:r>
              <w:rPr>
                <w:color w:val="000000"/>
                <w:kern w:val="0"/>
                <w:szCs w:val="21"/>
                <w:vertAlign w:val="subscript"/>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685" w:type="dxa"/>
            <w:vMerge w:val="restart"/>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实验室</w:t>
            </w: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1.230</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1.788</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0.969</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1.623</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1.929</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2.105</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1.149</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1.688</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1.000</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1.074</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1.678</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0.245</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2.149</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0.157</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2.490</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1.348</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1.594</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0.853</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1.521</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2.116</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1.746</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2.194</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1.355</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1.403</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1.752</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1.312</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1.005</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1.501</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1.589</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1.069</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0.802</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1.340</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1.694</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1.658</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1.173</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1.168</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1.627</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1.157</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1.706</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1.104</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1.333</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1.204</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0.977</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1.953</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1.813</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1.822</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1.054</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0.890</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1.658</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1.782</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0.891</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0.955</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1.209</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1.502</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szCs w:val="24"/>
              </w:rPr>
            </w:pPr>
            <w:r>
              <w:rPr>
                <w:rFonts w:hint="eastAsia" w:ascii="宋体" w:hAnsi="宋体" w:cs="宋体"/>
                <w:color w:val="000000"/>
                <w:kern w:val="0"/>
                <w:sz w:val="24"/>
                <w:szCs w:val="24"/>
              </w:rPr>
              <w:t>7</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1.196</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1.595</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2.175</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0.870</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1.031</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1.112</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1.688</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0.878</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1.263</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kern w:val="0"/>
                <w:szCs w:val="21"/>
              </w:rPr>
              <w:t>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5" w:type="dxa"/>
            <w:vMerge w:val="continue"/>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kern w:val="0"/>
                <w:sz w:val="24"/>
                <w:szCs w:val="24"/>
              </w:rPr>
            </w:pPr>
          </w:p>
        </w:tc>
        <w:tc>
          <w:tcPr>
            <w:tcW w:w="524" w:type="dxa"/>
            <w:shd w:val="clear" w:color="auto" w:fill="auto"/>
            <w:noWrap/>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0.725 </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1.208 </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0.725 </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1.208 </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0.685 </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1.142 </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1.560 </w:t>
            </w:r>
          </w:p>
        </w:tc>
        <w:tc>
          <w:tcPr>
            <w:tcW w:w="829" w:type="dxa"/>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1.560 </w:t>
            </w:r>
          </w:p>
        </w:tc>
        <w:tc>
          <w:tcPr>
            <w:tcW w:w="829" w:type="dxa"/>
            <w:gridSpan w:val="2"/>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1.720 </w:t>
            </w:r>
          </w:p>
        </w:tc>
        <w:tc>
          <w:tcPr>
            <w:tcW w:w="834" w:type="dxa"/>
            <w:shd w:val="clear" w:color="auto" w:fill="auto"/>
            <w:noWrap/>
            <w:tcMar>
              <w:top w:w="15" w:type="dxa"/>
              <w:left w:w="15" w:type="dxa"/>
              <w:right w:w="15" w:type="dxa"/>
            </w:tcMar>
            <w:vAlign w:val="bottom"/>
          </w:tcPr>
          <w:p>
            <w:pPr>
              <w:widowControl/>
              <w:spacing w:line="360" w:lineRule="auto"/>
              <w:jc w:val="center"/>
              <w:textAlignment w:val="bottom"/>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1.395 </w:t>
            </w:r>
          </w:p>
        </w:tc>
      </w:tr>
    </w:tbl>
    <w:p>
      <w:pPr>
        <w:spacing w:line="360" w:lineRule="auto"/>
        <w:rPr>
          <w:szCs w:val="21"/>
        </w:rPr>
      </w:pPr>
    </w:p>
    <w:p>
      <w:pPr>
        <w:spacing w:line="360" w:lineRule="auto"/>
      </w:pPr>
      <w:r>
        <w:t>3.1.2对7个</w:t>
      </w:r>
      <w:r>
        <w:rPr>
          <w:szCs w:val="21"/>
        </w:rPr>
        <w:t>实</w:t>
      </w:r>
      <w:r>
        <w:t>验室的平均值进行格拉布斯检验，结果见表</w:t>
      </w:r>
      <w:r>
        <w:rPr>
          <w:rFonts w:hint="eastAsia"/>
          <w:lang w:val="en-US" w:eastAsia="zh-CN"/>
        </w:rPr>
        <w:t>3</w:t>
      </w:r>
      <w:r>
        <w:t xml:space="preserve">：              </w:t>
      </w:r>
    </w:p>
    <w:p>
      <w:pPr>
        <w:pStyle w:val="3"/>
        <w:spacing w:line="360" w:lineRule="auto"/>
        <w:jc w:val="center"/>
      </w:pPr>
    </w:p>
    <w:p>
      <w:pPr>
        <w:pStyle w:val="3"/>
        <w:spacing w:line="360" w:lineRule="auto"/>
        <w:jc w:val="center"/>
      </w:pPr>
      <w:r>
        <w:t>表</w:t>
      </w:r>
      <w:r>
        <w:rPr>
          <w:rFonts w:hint="eastAsia"/>
          <w:lang w:val="en-US" w:eastAsia="zh-CN"/>
        </w:rPr>
        <w:t>3</w:t>
      </w:r>
      <w:r>
        <w:t xml:space="preserve">   对各家平均值进行格拉布斯检验</w:t>
      </w:r>
    </w:p>
    <w:tbl>
      <w:tblPr>
        <w:tblStyle w:val="37"/>
        <w:tblW w:w="6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81"/>
        <w:gridCol w:w="1412"/>
        <w:gridCol w:w="925"/>
        <w:gridCol w:w="925"/>
        <w:gridCol w:w="139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统计量</w:t>
            </w:r>
          </w:p>
        </w:tc>
        <w:tc>
          <w:tcPr>
            <w:tcW w:w="1412" w:type="dxa"/>
            <w:noWrap/>
            <w:vAlign w:val="bottom"/>
          </w:tcPr>
          <w:p>
            <w:pPr>
              <w:widowControl/>
              <w:spacing w:line="360" w:lineRule="auto"/>
              <w:jc w:val="center"/>
              <w:textAlignment w:val="bottom"/>
              <w:rPr>
                <w:color w:val="000000"/>
                <w:sz w:val="18"/>
                <w:szCs w:val="18"/>
              </w:rPr>
            </w:pPr>
            <w:r>
              <w:rPr>
                <w:color w:val="000000"/>
                <w:kern w:val="0"/>
                <w:sz w:val="18"/>
                <w:szCs w:val="18"/>
              </w:rPr>
              <w:t>水平1</w:t>
            </w:r>
          </w:p>
        </w:tc>
        <w:tc>
          <w:tcPr>
            <w:tcW w:w="925" w:type="dxa"/>
            <w:noWrap/>
            <w:vAlign w:val="bottom"/>
          </w:tcPr>
          <w:p>
            <w:pPr>
              <w:widowControl/>
              <w:spacing w:line="360" w:lineRule="auto"/>
              <w:jc w:val="center"/>
              <w:textAlignment w:val="bottom"/>
              <w:rPr>
                <w:color w:val="000000"/>
                <w:sz w:val="18"/>
                <w:szCs w:val="18"/>
              </w:rPr>
            </w:pPr>
            <w:r>
              <w:rPr>
                <w:color w:val="000000"/>
                <w:kern w:val="0"/>
                <w:sz w:val="18"/>
                <w:szCs w:val="18"/>
              </w:rPr>
              <w:t>水平2</w:t>
            </w:r>
          </w:p>
        </w:tc>
        <w:tc>
          <w:tcPr>
            <w:tcW w:w="925" w:type="dxa"/>
            <w:noWrap/>
            <w:vAlign w:val="bottom"/>
          </w:tcPr>
          <w:p>
            <w:pPr>
              <w:widowControl/>
              <w:spacing w:line="360" w:lineRule="auto"/>
              <w:jc w:val="center"/>
              <w:textAlignment w:val="bottom"/>
              <w:rPr>
                <w:color w:val="000000"/>
                <w:sz w:val="18"/>
                <w:szCs w:val="18"/>
              </w:rPr>
            </w:pPr>
            <w:r>
              <w:rPr>
                <w:color w:val="000000"/>
                <w:kern w:val="0"/>
                <w:sz w:val="18"/>
                <w:szCs w:val="18"/>
              </w:rPr>
              <w:t>水平3</w:t>
            </w:r>
          </w:p>
        </w:tc>
        <w:tc>
          <w:tcPr>
            <w:tcW w:w="1390" w:type="dxa"/>
            <w:noWrap/>
            <w:vAlign w:val="bottom"/>
          </w:tcPr>
          <w:p>
            <w:pPr>
              <w:widowControl/>
              <w:spacing w:line="360" w:lineRule="auto"/>
              <w:jc w:val="center"/>
              <w:textAlignment w:val="bottom"/>
              <w:rPr>
                <w:color w:val="000000"/>
                <w:sz w:val="18"/>
                <w:szCs w:val="18"/>
              </w:rPr>
            </w:pPr>
            <w:r>
              <w:rPr>
                <w:color w:val="000000"/>
                <w:kern w:val="0"/>
                <w:sz w:val="18"/>
                <w:szCs w:val="18"/>
              </w:rPr>
              <w:t>水平4</w:t>
            </w:r>
          </w:p>
        </w:tc>
        <w:tc>
          <w:tcPr>
            <w:tcW w:w="1063" w:type="dxa"/>
            <w:noWrap/>
            <w:vAlign w:val="bottom"/>
          </w:tcPr>
          <w:p>
            <w:pPr>
              <w:widowControl/>
              <w:spacing w:line="360" w:lineRule="auto"/>
              <w:jc w:val="center"/>
              <w:textAlignment w:val="bottom"/>
              <w:rPr>
                <w:color w:val="000000"/>
                <w:sz w:val="18"/>
                <w:szCs w:val="18"/>
              </w:rPr>
            </w:pPr>
            <w:r>
              <w:rPr>
                <w:color w:val="000000"/>
                <w:kern w:val="0"/>
                <w:sz w:val="18"/>
                <w:szCs w:val="18"/>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均值的平均值</w:t>
            </w:r>
          </w:p>
        </w:tc>
        <w:tc>
          <w:tcPr>
            <w:tcW w:w="1412" w:type="dxa"/>
            <w:noWrap/>
            <w:vAlign w:val="bottom"/>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 xml:space="preserve">0.0230 </w:t>
            </w:r>
          </w:p>
        </w:tc>
        <w:tc>
          <w:tcPr>
            <w:tcW w:w="925" w:type="dxa"/>
            <w:noWrap/>
            <w:vAlign w:val="bottom"/>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0.154</w:t>
            </w:r>
          </w:p>
        </w:tc>
        <w:tc>
          <w:tcPr>
            <w:tcW w:w="925" w:type="dxa"/>
            <w:noWrap/>
            <w:vAlign w:val="bottom"/>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1.006</w:t>
            </w:r>
          </w:p>
        </w:tc>
        <w:tc>
          <w:tcPr>
            <w:tcW w:w="1390" w:type="dxa"/>
            <w:noWrap/>
            <w:vAlign w:val="bottom"/>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2.833</w:t>
            </w:r>
          </w:p>
        </w:tc>
        <w:tc>
          <w:tcPr>
            <w:tcW w:w="1063" w:type="dxa"/>
            <w:noWrap/>
            <w:vAlign w:val="bottom"/>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3.818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均值的标准差</w:t>
            </w:r>
          </w:p>
        </w:tc>
        <w:tc>
          <w:tcPr>
            <w:tcW w:w="1412"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0.0014</w:t>
            </w:r>
          </w:p>
        </w:tc>
        <w:tc>
          <w:tcPr>
            <w:tcW w:w="925"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0.0116</w:t>
            </w:r>
          </w:p>
        </w:tc>
        <w:tc>
          <w:tcPr>
            <w:tcW w:w="925"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0.049</w:t>
            </w:r>
          </w:p>
        </w:tc>
        <w:tc>
          <w:tcPr>
            <w:tcW w:w="1390"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0.0615</w:t>
            </w:r>
          </w:p>
        </w:tc>
        <w:tc>
          <w:tcPr>
            <w:tcW w:w="1063"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最大均值</w:t>
            </w:r>
          </w:p>
        </w:tc>
        <w:tc>
          <w:tcPr>
            <w:tcW w:w="1412"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 xml:space="preserve">0.0250 </w:t>
            </w:r>
          </w:p>
        </w:tc>
        <w:tc>
          <w:tcPr>
            <w:tcW w:w="925"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0.162</w:t>
            </w:r>
          </w:p>
        </w:tc>
        <w:tc>
          <w:tcPr>
            <w:tcW w:w="925"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1.043</w:t>
            </w:r>
          </w:p>
        </w:tc>
        <w:tc>
          <w:tcPr>
            <w:tcW w:w="1390"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2.882</w:t>
            </w:r>
          </w:p>
        </w:tc>
        <w:tc>
          <w:tcPr>
            <w:tcW w:w="1063"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3.913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最小均值</w:t>
            </w:r>
          </w:p>
        </w:tc>
        <w:tc>
          <w:tcPr>
            <w:tcW w:w="1412"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 xml:space="preserve">0.0200 </w:t>
            </w:r>
          </w:p>
        </w:tc>
        <w:tc>
          <w:tcPr>
            <w:tcW w:w="925"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0.126</w:t>
            </w:r>
          </w:p>
        </w:tc>
        <w:tc>
          <w:tcPr>
            <w:tcW w:w="925"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0.899</w:t>
            </w:r>
          </w:p>
        </w:tc>
        <w:tc>
          <w:tcPr>
            <w:tcW w:w="1390"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2.709</w:t>
            </w:r>
          </w:p>
        </w:tc>
        <w:tc>
          <w:tcPr>
            <w:tcW w:w="1063" w:type="dxa"/>
            <w:noWrap/>
            <w:vAlign w:val="center"/>
          </w:tcPr>
          <w:p>
            <w:pPr>
              <w:keepNext w:val="0"/>
              <w:keepLines w:val="0"/>
              <w:widowControl/>
              <w:suppressLineNumbers w:val="0"/>
              <w:jc w:val="center"/>
              <w:textAlignment w:val="center"/>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3.683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kern w:val="0"/>
                <w:sz w:val="18"/>
                <w:szCs w:val="18"/>
              </w:rPr>
            </w:pPr>
            <w:r>
              <w:rPr>
                <w:color w:val="000000"/>
                <w:kern w:val="0"/>
                <w:sz w:val="18"/>
                <w:szCs w:val="18"/>
              </w:rPr>
              <w:t>Gmax</w:t>
            </w:r>
            <w:r>
              <w:rPr>
                <w:rFonts w:hint="eastAsia"/>
                <w:color w:val="000000"/>
                <w:kern w:val="0"/>
                <w:sz w:val="18"/>
                <w:szCs w:val="18"/>
              </w:rPr>
              <w:t>实验室</w:t>
            </w:r>
          </w:p>
        </w:tc>
        <w:tc>
          <w:tcPr>
            <w:tcW w:w="1412" w:type="dxa"/>
            <w:noWrap/>
            <w:vAlign w:val="center"/>
          </w:tcPr>
          <w:p>
            <w:pPr>
              <w:widowControl/>
              <w:spacing w:line="360" w:lineRule="auto"/>
              <w:jc w:val="center"/>
              <w:textAlignment w:val="center"/>
              <w:rPr>
                <w:color w:val="000000"/>
                <w:kern w:val="0"/>
                <w:szCs w:val="21"/>
              </w:rPr>
            </w:pPr>
            <w:r>
              <w:rPr>
                <w:rFonts w:hint="eastAsia"/>
                <w:color w:val="000000"/>
                <w:kern w:val="0"/>
                <w:szCs w:val="21"/>
              </w:rPr>
              <w:t>3</w:t>
            </w:r>
          </w:p>
        </w:tc>
        <w:tc>
          <w:tcPr>
            <w:tcW w:w="925" w:type="dxa"/>
            <w:noWrap/>
            <w:vAlign w:val="center"/>
          </w:tcPr>
          <w:p>
            <w:pPr>
              <w:widowControl/>
              <w:spacing w:line="360" w:lineRule="auto"/>
              <w:jc w:val="center"/>
              <w:textAlignment w:val="center"/>
              <w:rPr>
                <w:color w:val="000000"/>
                <w:kern w:val="0"/>
                <w:szCs w:val="21"/>
              </w:rPr>
            </w:pPr>
            <w:r>
              <w:rPr>
                <w:rFonts w:hint="eastAsia"/>
                <w:color w:val="000000"/>
                <w:kern w:val="0"/>
                <w:szCs w:val="21"/>
              </w:rPr>
              <w:t>6</w:t>
            </w:r>
          </w:p>
        </w:tc>
        <w:tc>
          <w:tcPr>
            <w:tcW w:w="925" w:type="dxa"/>
            <w:noWrap/>
            <w:vAlign w:val="center"/>
          </w:tcPr>
          <w:p>
            <w:pPr>
              <w:widowControl/>
              <w:spacing w:line="360" w:lineRule="auto"/>
              <w:jc w:val="center"/>
              <w:textAlignment w:val="center"/>
              <w:rPr>
                <w:color w:val="000000"/>
                <w:kern w:val="0"/>
                <w:szCs w:val="21"/>
              </w:rPr>
            </w:pPr>
            <w:r>
              <w:rPr>
                <w:rFonts w:hint="eastAsia"/>
                <w:color w:val="000000"/>
                <w:kern w:val="0"/>
                <w:szCs w:val="21"/>
              </w:rPr>
              <w:t>3</w:t>
            </w:r>
          </w:p>
        </w:tc>
        <w:tc>
          <w:tcPr>
            <w:tcW w:w="1390" w:type="dxa"/>
            <w:noWrap/>
            <w:vAlign w:val="center"/>
          </w:tcPr>
          <w:p>
            <w:pPr>
              <w:widowControl/>
              <w:spacing w:line="360" w:lineRule="auto"/>
              <w:jc w:val="center"/>
              <w:textAlignment w:val="center"/>
              <w:rPr>
                <w:color w:val="000000"/>
                <w:kern w:val="0"/>
                <w:szCs w:val="21"/>
              </w:rPr>
            </w:pPr>
            <w:r>
              <w:rPr>
                <w:rFonts w:hint="eastAsia"/>
                <w:color w:val="000000"/>
                <w:kern w:val="0"/>
                <w:szCs w:val="21"/>
              </w:rPr>
              <w:t>1</w:t>
            </w:r>
          </w:p>
        </w:tc>
        <w:tc>
          <w:tcPr>
            <w:tcW w:w="1063" w:type="dxa"/>
            <w:noWrap/>
            <w:vAlign w:val="center"/>
          </w:tcPr>
          <w:p>
            <w:pPr>
              <w:widowControl/>
              <w:spacing w:line="360" w:lineRule="auto"/>
              <w:jc w:val="center"/>
              <w:textAlignment w:val="center"/>
              <w:rPr>
                <w:color w:val="000000"/>
                <w:kern w:val="0"/>
                <w:szCs w:val="21"/>
              </w:rPr>
            </w:pPr>
            <w:r>
              <w:rPr>
                <w:rFonts w:hint="eastAsia"/>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Gmax</w:t>
            </w:r>
          </w:p>
        </w:tc>
        <w:tc>
          <w:tcPr>
            <w:tcW w:w="1412"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1.429</w:t>
            </w:r>
          </w:p>
        </w:tc>
        <w:tc>
          <w:tcPr>
            <w:tcW w:w="925"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0.690</w:t>
            </w:r>
          </w:p>
        </w:tc>
        <w:tc>
          <w:tcPr>
            <w:tcW w:w="925"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0.755</w:t>
            </w:r>
          </w:p>
        </w:tc>
        <w:tc>
          <w:tcPr>
            <w:tcW w:w="1390"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0.797</w:t>
            </w:r>
          </w:p>
        </w:tc>
        <w:tc>
          <w:tcPr>
            <w:tcW w:w="1063"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kern w:val="0"/>
                <w:sz w:val="18"/>
                <w:szCs w:val="18"/>
              </w:rPr>
            </w:pPr>
            <w:r>
              <w:rPr>
                <w:color w:val="000000"/>
                <w:kern w:val="0"/>
                <w:sz w:val="18"/>
                <w:szCs w:val="18"/>
              </w:rPr>
              <w:t>Gmax</w:t>
            </w:r>
            <w:r>
              <w:rPr>
                <w:rFonts w:hint="eastAsia"/>
                <w:color w:val="000000"/>
                <w:kern w:val="0"/>
                <w:sz w:val="18"/>
                <w:szCs w:val="18"/>
              </w:rPr>
              <w:t>实验室</w:t>
            </w:r>
          </w:p>
        </w:tc>
        <w:tc>
          <w:tcPr>
            <w:tcW w:w="1412" w:type="dxa"/>
            <w:noWrap/>
            <w:vAlign w:val="center"/>
          </w:tcPr>
          <w:p>
            <w:pPr>
              <w:widowControl/>
              <w:spacing w:line="360" w:lineRule="auto"/>
              <w:jc w:val="center"/>
              <w:textAlignment w:val="bottom"/>
              <w:rPr>
                <w:color w:val="000000"/>
                <w:kern w:val="0"/>
                <w:szCs w:val="21"/>
              </w:rPr>
            </w:pPr>
            <w:r>
              <w:rPr>
                <w:rFonts w:hint="eastAsia"/>
                <w:color w:val="000000"/>
                <w:kern w:val="0"/>
                <w:szCs w:val="21"/>
              </w:rPr>
              <w:t>6</w:t>
            </w:r>
          </w:p>
        </w:tc>
        <w:tc>
          <w:tcPr>
            <w:tcW w:w="925" w:type="dxa"/>
            <w:noWrap/>
            <w:vAlign w:val="center"/>
          </w:tcPr>
          <w:p>
            <w:pPr>
              <w:widowControl/>
              <w:spacing w:line="360" w:lineRule="auto"/>
              <w:jc w:val="center"/>
              <w:textAlignment w:val="bottom"/>
              <w:rPr>
                <w:color w:val="000000"/>
                <w:kern w:val="0"/>
                <w:szCs w:val="21"/>
              </w:rPr>
            </w:pPr>
            <w:r>
              <w:rPr>
                <w:rFonts w:hint="eastAsia"/>
                <w:color w:val="000000"/>
                <w:kern w:val="0"/>
                <w:szCs w:val="21"/>
              </w:rPr>
              <w:t>4</w:t>
            </w:r>
          </w:p>
        </w:tc>
        <w:tc>
          <w:tcPr>
            <w:tcW w:w="925" w:type="dxa"/>
            <w:noWrap/>
            <w:vAlign w:val="center"/>
          </w:tcPr>
          <w:p>
            <w:pPr>
              <w:widowControl/>
              <w:spacing w:line="360" w:lineRule="auto"/>
              <w:jc w:val="center"/>
              <w:textAlignment w:val="bottom"/>
              <w:rPr>
                <w:color w:val="000000"/>
                <w:kern w:val="0"/>
                <w:szCs w:val="21"/>
              </w:rPr>
            </w:pPr>
            <w:r>
              <w:rPr>
                <w:rFonts w:hint="eastAsia"/>
                <w:color w:val="000000"/>
                <w:kern w:val="0"/>
                <w:szCs w:val="21"/>
              </w:rPr>
              <w:t>4</w:t>
            </w:r>
          </w:p>
        </w:tc>
        <w:tc>
          <w:tcPr>
            <w:tcW w:w="1390" w:type="dxa"/>
            <w:noWrap/>
            <w:vAlign w:val="center"/>
          </w:tcPr>
          <w:p>
            <w:pPr>
              <w:widowControl/>
              <w:spacing w:line="360" w:lineRule="auto"/>
              <w:jc w:val="center"/>
              <w:textAlignment w:val="bottom"/>
              <w:rPr>
                <w:color w:val="000000"/>
                <w:kern w:val="0"/>
                <w:szCs w:val="21"/>
              </w:rPr>
            </w:pPr>
            <w:r>
              <w:rPr>
                <w:rFonts w:hint="eastAsia"/>
                <w:color w:val="000000"/>
                <w:kern w:val="0"/>
                <w:szCs w:val="21"/>
              </w:rPr>
              <w:t>4</w:t>
            </w:r>
          </w:p>
        </w:tc>
        <w:tc>
          <w:tcPr>
            <w:tcW w:w="1063" w:type="dxa"/>
            <w:noWrap/>
            <w:vAlign w:val="center"/>
          </w:tcPr>
          <w:p>
            <w:pPr>
              <w:widowControl/>
              <w:spacing w:line="360" w:lineRule="auto"/>
              <w:jc w:val="center"/>
              <w:textAlignment w:val="bottom"/>
              <w:rPr>
                <w:color w:val="000000"/>
                <w:kern w:val="0"/>
                <w:szCs w:val="21"/>
              </w:rPr>
            </w:pP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181" w:type="dxa"/>
            <w:noWrap/>
            <w:vAlign w:val="bottom"/>
          </w:tcPr>
          <w:p>
            <w:pPr>
              <w:widowControl/>
              <w:spacing w:line="360" w:lineRule="auto"/>
              <w:jc w:val="center"/>
              <w:textAlignment w:val="bottom"/>
              <w:rPr>
                <w:color w:val="000000"/>
                <w:sz w:val="18"/>
                <w:szCs w:val="18"/>
              </w:rPr>
            </w:pPr>
            <w:r>
              <w:rPr>
                <w:color w:val="000000"/>
                <w:kern w:val="0"/>
                <w:sz w:val="18"/>
                <w:szCs w:val="18"/>
              </w:rPr>
              <w:t>Gmin</w:t>
            </w:r>
          </w:p>
        </w:tc>
        <w:tc>
          <w:tcPr>
            <w:tcW w:w="1412"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2.143</w:t>
            </w:r>
          </w:p>
        </w:tc>
        <w:tc>
          <w:tcPr>
            <w:tcW w:w="925"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2.414</w:t>
            </w:r>
          </w:p>
        </w:tc>
        <w:tc>
          <w:tcPr>
            <w:tcW w:w="925"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2.184</w:t>
            </w:r>
          </w:p>
        </w:tc>
        <w:tc>
          <w:tcPr>
            <w:tcW w:w="1390"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2.016</w:t>
            </w:r>
          </w:p>
        </w:tc>
        <w:tc>
          <w:tcPr>
            <w:tcW w:w="1063" w:type="dxa"/>
            <w:noWrap/>
            <w:vAlign w:val="center"/>
          </w:tcPr>
          <w:p>
            <w:pPr>
              <w:keepNext w:val="0"/>
              <w:keepLines w:val="0"/>
              <w:widowControl/>
              <w:suppressLineNumbers w:val="0"/>
              <w:jc w:val="center"/>
              <w:textAlignment w:val="bottom"/>
              <w:rPr>
                <w:color w:val="000000"/>
                <w:sz w:val="18"/>
                <w:szCs w:val="18"/>
              </w:rPr>
            </w:pPr>
            <w:r>
              <w:rPr>
                <w:rFonts w:hint="default" w:ascii="Times New Roman" w:hAnsi="Times New Roman" w:eastAsia="宋体" w:cs="Times New Roman"/>
                <w:i w:val="0"/>
                <w:color w:val="000000"/>
                <w:kern w:val="0"/>
                <w:sz w:val="21"/>
                <w:szCs w:val="21"/>
                <w:u w:val="none"/>
                <w:lang w:val="en-US" w:eastAsia="zh-CN" w:bidi="ar"/>
              </w:rPr>
              <w:t>1.581</w:t>
            </w:r>
          </w:p>
        </w:tc>
      </w:tr>
    </w:tbl>
    <w:p>
      <w:pPr>
        <w:spacing w:line="360" w:lineRule="auto"/>
        <w:ind w:firstLine="420" w:firstLineChars="200"/>
        <w:jc w:val="left"/>
      </w:pPr>
      <w:r>
        <w:t>查表p=</w:t>
      </w:r>
      <w:r>
        <w:rPr>
          <w:rFonts w:hint="eastAsia"/>
          <w:lang w:val="en-US" w:eastAsia="zh-CN"/>
        </w:rPr>
        <w:t>8</w:t>
      </w:r>
      <w:r>
        <w:t>时</w:t>
      </w:r>
      <w:r>
        <w:rPr>
          <w:rFonts w:eastAsia="黑体"/>
          <w:szCs w:val="21"/>
        </w:rPr>
        <w:t>a=0.05</w:t>
      </w:r>
      <w:r>
        <w:rPr>
          <w:szCs w:val="21"/>
        </w:rPr>
        <w:t>时临界值为</w:t>
      </w:r>
      <w:r>
        <w:rPr>
          <w:rFonts w:hint="eastAsia"/>
          <w:szCs w:val="21"/>
        </w:rPr>
        <w:t>2.0</w:t>
      </w:r>
      <w:r>
        <w:rPr>
          <w:rFonts w:hint="eastAsia"/>
          <w:szCs w:val="21"/>
          <w:lang w:val="en-US" w:eastAsia="zh-CN"/>
        </w:rPr>
        <w:t>32</w:t>
      </w:r>
      <w:r>
        <w:rPr>
          <w:szCs w:val="21"/>
        </w:rPr>
        <w:t>，a=0.01时舍临界值为</w:t>
      </w:r>
      <w:r>
        <w:rPr>
          <w:rFonts w:hint="eastAsia"/>
          <w:szCs w:val="21"/>
        </w:rPr>
        <w:t>2.</w:t>
      </w:r>
      <w:r>
        <w:rPr>
          <w:rFonts w:hint="eastAsia"/>
          <w:szCs w:val="21"/>
          <w:lang w:val="en-US" w:eastAsia="zh-CN"/>
        </w:rPr>
        <w:t>220</w:t>
      </w:r>
      <w:r>
        <w:rPr>
          <w:szCs w:val="21"/>
        </w:rPr>
        <w:t>，</w:t>
      </w:r>
      <w:r>
        <w:t>数据统计发现，</w:t>
      </w:r>
      <w:r>
        <w:rPr>
          <w:rFonts w:hint="eastAsia"/>
          <w:kern w:val="0"/>
          <w:szCs w:val="21"/>
        </w:rPr>
        <w:t>北矿检测技术有限公司</w:t>
      </w:r>
      <w:r>
        <w:rPr>
          <w:szCs w:val="21"/>
        </w:rPr>
        <w:t>的水平</w:t>
      </w:r>
      <w:r>
        <w:rPr>
          <w:rFonts w:hint="eastAsia"/>
          <w:szCs w:val="21"/>
        </w:rPr>
        <w:t>2，水平3</w:t>
      </w:r>
      <w:r>
        <w:rPr>
          <w:rFonts w:hint="eastAsia"/>
          <w:szCs w:val="21"/>
          <w:lang w:eastAsia="zh-CN"/>
        </w:rPr>
        <w:t>，</w:t>
      </w:r>
      <w:r>
        <w:rPr>
          <w:rFonts w:hint="eastAsia"/>
          <w:szCs w:val="21"/>
          <w:lang w:val="en-US" w:eastAsia="zh-CN"/>
        </w:rPr>
        <w:t>水平4</w:t>
      </w:r>
      <w:r>
        <w:rPr>
          <w:szCs w:val="21"/>
        </w:rPr>
        <w:t>的T值</w:t>
      </w:r>
      <w:r>
        <w:rPr>
          <w:rFonts w:hint="eastAsia"/>
          <w:szCs w:val="21"/>
        </w:rPr>
        <w:t>分别为2.154、2.196</w:t>
      </w:r>
      <w:r>
        <w:rPr>
          <w:rFonts w:hint="eastAsia"/>
          <w:szCs w:val="21"/>
          <w:lang w:eastAsia="zh-CN"/>
        </w:rPr>
        <w:t>、</w:t>
      </w:r>
      <w:r>
        <w:rPr>
          <w:rFonts w:hint="eastAsia"/>
          <w:szCs w:val="21"/>
          <w:lang w:val="en-US" w:eastAsia="zh-CN"/>
        </w:rPr>
        <w:t>2.219</w:t>
      </w:r>
      <w:r>
        <w:rPr>
          <w:szCs w:val="21"/>
        </w:rPr>
        <w:t>，大于</w:t>
      </w:r>
      <w:r>
        <w:rPr>
          <w:rFonts w:hint="eastAsia"/>
          <w:szCs w:val="21"/>
        </w:rPr>
        <w:t>5</w:t>
      </w:r>
      <w:r>
        <w:rPr>
          <w:szCs w:val="21"/>
        </w:rPr>
        <w:t>%临界值</w:t>
      </w:r>
      <w:r>
        <w:rPr>
          <w:rFonts w:hint="eastAsia"/>
          <w:szCs w:val="21"/>
        </w:rPr>
        <w:t>2.0</w:t>
      </w:r>
      <w:r>
        <w:rPr>
          <w:rFonts w:hint="eastAsia"/>
          <w:szCs w:val="21"/>
          <w:lang w:val="en-US" w:eastAsia="zh-CN"/>
        </w:rPr>
        <w:t>32</w:t>
      </w:r>
      <w:r>
        <w:rPr>
          <w:szCs w:val="21"/>
        </w:rPr>
        <w:t>，</w:t>
      </w:r>
      <w:r>
        <w:rPr>
          <w:rFonts w:hint="eastAsia"/>
          <w:szCs w:val="21"/>
        </w:rPr>
        <w:t>小于1</w:t>
      </w:r>
      <w:r>
        <w:rPr>
          <w:szCs w:val="21"/>
        </w:rPr>
        <w:t>%临界值</w:t>
      </w:r>
      <w:r>
        <w:rPr>
          <w:rFonts w:hint="eastAsia"/>
          <w:szCs w:val="21"/>
        </w:rPr>
        <w:t>2.1</w:t>
      </w:r>
      <w:r>
        <w:rPr>
          <w:rFonts w:hint="eastAsia"/>
          <w:szCs w:val="21"/>
          <w:lang w:val="en-US" w:eastAsia="zh-CN"/>
        </w:rPr>
        <w:t>20</w:t>
      </w:r>
      <w:r>
        <w:rPr>
          <w:rFonts w:hint="eastAsia"/>
          <w:szCs w:val="21"/>
        </w:rPr>
        <w:t>，</w:t>
      </w:r>
      <w:r>
        <w:rPr>
          <w:szCs w:val="21"/>
        </w:rPr>
        <w:t>为统计</w:t>
      </w:r>
      <w:r>
        <w:rPr>
          <w:rFonts w:hint="eastAsia"/>
          <w:szCs w:val="21"/>
        </w:rPr>
        <w:t>歧离值</w:t>
      </w:r>
      <w:r>
        <w:rPr>
          <w:szCs w:val="21"/>
        </w:rPr>
        <w:t>，</w:t>
      </w:r>
      <w:r>
        <w:rPr>
          <w:rFonts w:hint="eastAsia"/>
          <w:szCs w:val="21"/>
        </w:rPr>
        <w:t>仍然</w:t>
      </w:r>
      <w:r>
        <w:rPr>
          <w:szCs w:val="21"/>
        </w:rPr>
        <w:t>参与后续计算。对剩下数据进行格拉布斯检验，符合要求。</w:t>
      </w:r>
    </w:p>
    <w:p>
      <w:pPr>
        <w:pStyle w:val="3"/>
        <w:spacing w:line="360" w:lineRule="auto"/>
      </w:pPr>
      <w:r>
        <w:t>3.</w:t>
      </w:r>
      <w:r>
        <w:rPr>
          <w:rFonts w:hint="eastAsia"/>
        </w:rPr>
        <w:t>2</w:t>
      </w:r>
      <w:r>
        <w:t>柯克伦检验</w:t>
      </w:r>
    </w:p>
    <w:p>
      <w:pPr>
        <w:spacing w:line="360" w:lineRule="auto"/>
        <w:jc w:val="center"/>
        <w:rPr>
          <w:rFonts w:ascii="Calibri"/>
          <w:szCs w:val="21"/>
        </w:rPr>
      </w:pPr>
      <w:r>
        <w:rPr>
          <w:rFonts w:hint="eastAsia"/>
          <w:szCs w:val="21"/>
        </w:rPr>
        <w:t>表3</w:t>
      </w:r>
      <w:r>
        <w:rPr>
          <w:rFonts w:ascii="黑体" w:hAnsi="黑体" w:eastAsia="黑体"/>
          <w:szCs w:val="21"/>
        </w:rPr>
        <w:t>柯克伦检验</w:t>
      </w:r>
    </w:p>
    <w:tbl>
      <w:tblPr>
        <w:tblStyle w:val="37"/>
        <w:tblpPr w:leftFromText="180" w:rightFromText="180" w:vertAnchor="text" w:horzAnchor="page" w:tblpXSpec="center" w:tblpY="314"/>
        <w:tblOverlap w:val="never"/>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739"/>
        <w:gridCol w:w="1293"/>
        <w:gridCol w:w="1293"/>
        <w:gridCol w:w="1293"/>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61" w:type="dxa"/>
            <w:noWrap/>
            <w:vAlign w:val="center"/>
          </w:tcPr>
          <w:p>
            <w:pPr>
              <w:spacing w:line="240" w:lineRule="auto"/>
              <w:jc w:val="center"/>
              <w:rPr>
                <w:szCs w:val="21"/>
              </w:rPr>
            </w:pPr>
            <w:r>
              <w:rPr>
                <w:szCs w:val="21"/>
              </w:rPr>
              <w:t>实验室i</w:t>
            </w:r>
          </w:p>
        </w:tc>
        <w:tc>
          <w:tcPr>
            <w:tcW w:w="1739" w:type="dxa"/>
            <w:noWrap/>
            <w:vAlign w:val="center"/>
          </w:tcPr>
          <w:p>
            <w:pPr>
              <w:spacing w:line="240" w:lineRule="auto"/>
              <w:jc w:val="center"/>
              <w:rPr>
                <w:szCs w:val="21"/>
              </w:rPr>
            </w:pPr>
            <w:r>
              <w:rPr>
                <w:szCs w:val="21"/>
              </w:rPr>
              <w:t>水平1</w:t>
            </w:r>
          </w:p>
        </w:tc>
        <w:tc>
          <w:tcPr>
            <w:tcW w:w="1293" w:type="dxa"/>
            <w:noWrap/>
            <w:vAlign w:val="center"/>
          </w:tcPr>
          <w:p>
            <w:pPr>
              <w:spacing w:line="240" w:lineRule="auto"/>
              <w:jc w:val="center"/>
              <w:rPr>
                <w:szCs w:val="21"/>
              </w:rPr>
            </w:pPr>
            <w:r>
              <w:rPr>
                <w:szCs w:val="21"/>
              </w:rPr>
              <w:t>水平2</w:t>
            </w:r>
          </w:p>
        </w:tc>
        <w:tc>
          <w:tcPr>
            <w:tcW w:w="1293" w:type="dxa"/>
            <w:noWrap/>
            <w:vAlign w:val="center"/>
          </w:tcPr>
          <w:p>
            <w:pPr>
              <w:spacing w:line="240" w:lineRule="auto"/>
              <w:jc w:val="center"/>
              <w:rPr>
                <w:szCs w:val="21"/>
              </w:rPr>
            </w:pPr>
            <w:r>
              <w:rPr>
                <w:szCs w:val="21"/>
              </w:rPr>
              <w:t>水平3</w:t>
            </w:r>
          </w:p>
        </w:tc>
        <w:tc>
          <w:tcPr>
            <w:tcW w:w="1293" w:type="dxa"/>
            <w:noWrap/>
            <w:vAlign w:val="center"/>
          </w:tcPr>
          <w:p>
            <w:pPr>
              <w:spacing w:line="240" w:lineRule="auto"/>
              <w:jc w:val="center"/>
              <w:rPr>
                <w:szCs w:val="21"/>
              </w:rPr>
            </w:pPr>
            <w:r>
              <w:rPr>
                <w:szCs w:val="21"/>
              </w:rPr>
              <w:t>水平4</w:t>
            </w:r>
          </w:p>
        </w:tc>
        <w:tc>
          <w:tcPr>
            <w:tcW w:w="1293" w:type="dxa"/>
            <w:noWrap/>
            <w:vAlign w:val="center"/>
          </w:tcPr>
          <w:p>
            <w:pPr>
              <w:spacing w:line="240" w:lineRule="auto"/>
              <w:jc w:val="center"/>
              <w:rPr>
                <w:szCs w:val="21"/>
              </w:rPr>
            </w:pPr>
            <w:r>
              <w:rPr>
                <w:szCs w:val="21"/>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noWrap/>
            <w:vAlign w:val="center"/>
          </w:tcPr>
          <w:p>
            <w:pPr>
              <w:spacing w:line="240" w:lineRule="auto"/>
              <w:jc w:val="center"/>
              <w:rPr>
                <w:szCs w:val="21"/>
              </w:rPr>
            </w:pPr>
            <w:r>
              <w:rPr>
                <w:szCs w:val="21"/>
              </w:rPr>
              <w:t>Smax实验室</w:t>
            </w:r>
          </w:p>
        </w:tc>
        <w:tc>
          <w:tcPr>
            <w:tcW w:w="1739" w:type="dxa"/>
            <w:noWrap/>
            <w:vAlign w:val="center"/>
          </w:tcPr>
          <w:p>
            <w:pPr>
              <w:widowControl/>
              <w:spacing w:line="240" w:lineRule="auto"/>
              <w:jc w:val="center"/>
              <w:textAlignment w:val="bottom"/>
              <w:rPr>
                <w:szCs w:val="21"/>
              </w:rPr>
            </w:pPr>
            <w:r>
              <w:rPr>
                <w:rFonts w:hint="eastAsia" w:ascii="宋体" w:hAnsi="宋体" w:cs="宋体"/>
                <w:color w:val="000000"/>
                <w:kern w:val="0"/>
                <w:szCs w:val="21"/>
              </w:rPr>
              <w:t>3</w:t>
            </w:r>
          </w:p>
        </w:tc>
        <w:tc>
          <w:tcPr>
            <w:tcW w:w="1293" w:type="dxa"/>
            <w:noWrap/>
            <w:vAlign w:val="center"/>
          </w:tcPr>
          <w:p>
            <w:pPr>
              <w:widowControl/>
              <w:spacing w:line="240" w:lineRule="auto"/>
              <w:jc w:val="center"/>
              <w:textAlignment w:val="bottom"/>
              <w:rPr>
                <w:szCs w:val="21"/>
              </w:rPr>
            </w:pPr>
            <w:r>
              <w:rPr>
                <w:rFonts w:hint="eastAsia" w:ascii="宋体" w:hAnsi="宋体" w:cs="宋体"/>
                <w:color w:val="000000"/>
                <w:kern w:val="0"/>
                <w:szCs w:val="21"/>
              </w:rPr>
              <w:t>5</w:t>
            </w:r>
          </w:p>
        </w:tc>
        <w:tc>
          <w:tcPr>
            <w:tcW w:w="1293" w:type="dxa"/>
            <w:noWrap/>
            <w:vAlign w:val="center"/>
          </w:tcPr>
          <w:p>
            <w:pPr>
              <w:widowControl/>
              <w:spacing w:line="240" w:lineRule="auto"/>
              <w:jc w:val="center"/>
              <w:textAlignment w:val="bottom"/>
              <w:rPr>
                <w:szCs w:val="21"/>
              </w:rPr>
            </w:pPr>
            <w:r>
              <w:rPr>
                <w:rFonts w:hint="eastAsia" w:ascii="宋体" w:hAnsi="宋体" w:cs="宋体"/>
                <w:color w:val="000000"/>
                <w:kern w:val="0"/>
                <w:szCs w:val="21"/>
              </w:rPr>
              <w:t>1</w:t>
            </w:r>
          </w:p>
        </w:tc>
        <w:tc>
          <w:tcPr>
            <w:tcW w:w="1293" w:type="dxa"/>
            <w:noWrap/>
            <w:vAlign w:val="center"/>
          </w:tcPr>
          <w:p>
            <w:pPr>
              <w:widowControl/>
              <w:spacing w:line="240" w:lineRule="auto"/>
              <w:jc w:val="center"/>
              <w:textAlignment w:val="bottom"/>
              <w:rPr>
                <w:szCs w:val="21"/>
              </w:rPr>
            </w:pPr>
            <w:r>
              <w:rPr>
                <w:rFonts w:hint="eastAsia" w:ascii="宋体" w:hAnsi="宋体" w:cs="宋体"/>
                <w:color w:val="000000"/>
                <w:kern w:val="0"/>
                <w:szCs w:val="21"/>
              </w:rPr>
              <w:t>3</w:t>
            </w:r>
          </w:p>
        </w:tc>
        <w:tc>
          <w:tcPr>
            <w:tcW w:w="1293" w:type="dxa"/>
            <w:noWrap/>
            <w:vAlign w:val="center"/>
          </w:tcPr>
          <w:p>
            <w:pPr>
              <w:widowControl/>
              <w:spacing w:line="240" w:lineRule="auto"/>
              <w:jc w:val="center"/>
              <w:textAlignment w:val="bottom"/>
              <w:rPr>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noWrap/>
            <w:vAlign w:val="center"/>
          </w:tcPr>
          <w:p>
            <w:pPr>
              <w:spacing w:line="240" w:lineRule="auto"/>
              <w:jc w:val="center"/>
              <w:rPr>
                <w:szCs w:val="21"/>
              </w:rPr>
            </w:pPr>
            <w:r>
              <w:rPr>
                <w:szCs w:val="21"/>
              </w:rPr>
              <w:t>Smax值</w:t>
            </w:r>
          </w:p>
        </w:tc>
        <w:tc>
          <w:tcPr>
            <w:tcW w:w="1739" w:type="dxa"/>
            <w:noWrap/>
            <w:vAlign w:val="bottom"/>
          </w:tcPr>
          <w:p>
            <w:pPr>
              <w:widowControl/>
              <w:spacing w:line="240" w:lineRule="auto"/>
              <w:jc w:val="right"/>
              <w:textAlignment w:val="bottom"/>
              <w:rPr>
                <w:color w:val="000000"/>
                <w:szCs w:val="21"/>
              </w:rPr>
            </w:pPr>
            <w:r>
              <w:rPr>
                <w:rFonts w:hint="eastAsia" w:ascii="宋体" w:hAnsi="宋体" w:cs="宋体"/>
                <w:color w:val="000000"/>
                <w:kern w:val="0"/>
                <w:szCs w:val="21"/>
              </w:rPr>
              <w:t>0.000001</w:t>
            </w:r>
            <w:r>
              <w:rPr>
                <w:rFonts w:hint="eastAsia" w:ascii="宋体" w:hAnsi="宋体" w:cs="宋体"/>
                <w:color w:val="000000"/>
                <w:kern w:val="0"/>
                <w:szCs w:val="21"/>
                <w:lang w:val="en-US" w:eastAsia="zh-CN"/>
              </w:rPr>
              <w:t>790</w:t>
            </w:r>
            <w:r>
              <w:rPr>
                <w:rFonts w:hint="eastAsia" w:ascii="宋体" w:hAnsi="宋体" w:cs="宋体"/>
                <w:color w:val="000000"/>
                <w:kern w:val="0"/>
                <w:szCs w:val="21"/>
              </w:rPr>
              <w:t xml:space="preserve"> </w:t>
            </w:r>
          </w:p>
        </w:tc>
        <w:tc>
          <w:tcPr>
            <w:tcW w:w="1293" w:type="dxa"/>
            <w:noWrap/>
            <w:vAlign w:val="bottom"/>
          </w:tcPr>
          <w:p>
            <w:pPr>
              <w:widowControl/>
              <w:spacing w:line="240" w:lineRule="auto"/>
              <w:jc w:val="right"/>
              <w:textAlignment w:val="bottom"/>
              <w:rPr>
                <w:color w:val="000000"/>
                <w:szCs w:val="21"/>
              </w:rPr>
            </w:pPr>
            <w:r>
              <w:rPr>
                <w:rFonts w:hint="eastAsia" w:ascii="宋体" w:hAnsi="宋体" w:cs="宋体"/>
                <w:color w:val="000000"/>
                <w:kern w:val="0"/>
                <w:szCs w:val="21"/>
              </w:rPr>
              <w:t xml:space="preserve">0.00001824 </w:t>
            </w:r>
          </w:p>
        </w:tc>
        <w:tc>
          <w:tcPr>
            <w:tcW w:w="1293" w:type="dxa"/>
            <w:noWrap/>
            <w:vAlign w:val="bottom"/>
          </w:tcPr>
          <w:p>
            <w:pPr>
              <w:widowControl/>
              <w:spacing w:line="240" w:lineRule="auto"/>
              <w:jc w:val="right"/>
              <w:textAlignment w:val="bottom"/>
              <w:rPr>
                <w:color w:val="000000"/>
                <w:szCs w:val="21"/>
              </w:rPr>
            </w:pPr>
            <w:r>
              <w:rPr>
                <w:rFonts w:hint="eastAsia" w:ascii="宋体" w:hAnsi="宋体" w:cs="宋体"/>
                <w:color w:val="000000"/>
                <w:kern w:val="0"/>
                <w:szCs w:val="21"/>
              </w:rPr>
              <w:t xml:space="preserve">0.0003739 </w:t>
            </w:r>
          </w:p>
        </w:tc>
        <w:tc>
          <w:tcPr>
            <w:tcW w:w="1293" w:type="dxa"/>
            <w:noWrap/>
            <w:vAlign w:val="bottom"/>
          </w:tcPr>
          <w:p>
            <w:pPr>
              <w:widowControl/>
              <w:spacing w:line="240" w:lineRule="auto"/>
              <w:jc w:val="right"/>
              <w:textAlignment w:val="bottom"/>
              <w:rPr>
                <w:color w:val="000000"/>
                <w:szCs w:val="21"/>
              </w:rPr>
            </w:pPr>
            <w:r>
              <w:rPr>
                <w:rFonts w:hint="eastAsia" w:ascii="宋体" w:hAnsi="宋体" w:cs="宋体"/>
                <w:color w:val="000000"/>
                <w:kern w:val="0"/>
                <w:szCs w:val="21"/>
              </w:rPr>
              <w:t xml:space="preserve">0.003684 </w:t>
            </w:r>
          </w:p>
        </w:tc>
        <w:tc>
          <w:tcPr>
            <w:tcW w:w="1293" w:type="dxa"/>
            <w:noWrap/>
            <w:vAlign w:val="bottom"/>
          </w:tcPr>
          <w:p>
            <w:pPr>
              <w:widowControl/>
              <w:spacing w:line="240" w:lineRule="auto"/>
              <w:jc w:val="right"/>
              <w:textAlignment w:val="bottom"/>
              <w:rPr>
                <w:color w:val="000000"/>
                <w:szCs w:val="21"/>
              </w:rPr>
            </w:pPr>
            <w:r>
              <w:rPr>
                <w:rFonts w:hint="eastAsia" w:ascii="宋体" w:hAnsi="宋体" w:cs="宋体"/>
                <w:color w:val="000000"/>
                <w:kern w:val="0"/>
                <w:szCs w:val="21"/>
              </w:rPr>
              <w:t xml:space="preserve">0.005507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noWrap/>
            <w:vAlign w:val="center"/>
          </w:tcPr>
          <w:p>
            <w:pPr>
              <w:spacing w:line="240" w:lineRule="auto"/>
              <w:jc w:val="center"/>
              <w:rPr>
                <w:szCs w:val="21"/>
              </w:rPr>
            </w:pPr>
            <w:r>
              <w:rPr>
                <w:szCs w:val="21"/>
              </w:rPr>
              <w:t>∑S</w:t>
            </w:r>
            <w:r>
              <w:rPr>
                <w:szCs w:val="21"/>
                <w:vertAlign w:val="superscript"/>
              </w:rPr>
              <w:t>2</w:t>
            </w:r>
          </w:p>
        </w:tc>
        <w:tc>
          <w:tcPr>
            <w:tcW w:w="1739" w:type="dxa"/>
            <w:noWrap/>
            <w:vAlign w:val="bottom"/>
          </w:tcPr>
          <w:p>
            <w:pPr>
              <w:keepNext w:val="0"/>
              <w:keepLines w:val="0"/>
              <w:widowControl/>
              <w:suppressLineNumbers w:val="0"/>
              <w:spacing w:line="240" w:lineRule="auto"/>
              <w:jc w:val="right"/>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0.000004685 </w:t>
            </w:r>
          </w:p>
        </w:tc>
        <w:tc>
          <w:tcPr>
            <w:tcW w:w="1293" w:type="dxa"/>
            <w:noWrap/>
            <w:vAlign w:val="bottom"/>
          </w:tcPr>
          <w:p>
            <w:pPr>
              <w:keepNext w:val="0"/>
              <w:keepLines w:val="0"/>
              <w:widowControl/>
              <w:suppressLineNumbers w:val="0"/>
              <w:spacing w:line="240" w:lineRule="auto"/>
              <w:jc w:val="right"/>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0.000132 </w:t>
            </w:r>
          </w:p>
        </w:tc>
        <w:tc>
          <w:tcPr>
            <w:tcW w:w="1293" w:type="dxa"/>
            <w:noWrap/>
            <w:vAlign w:val="bottom"/>
          </w:tcPr>
          <w:p>
            <w:pPr>
              <w:keepNext w:val="0"/>
              <w:keepLines w:val="0"/>
              <w:widowControl/>
              <w:suppressLineNumbers w:val="0"/>
              <w:spacing w:line="240" w:lineRule="auto"/>
              <w:jc w:val="right"/>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0.003038 </w:t>
            </w:r>
          </w:p>
        </w:tc>
        <w:tc>
          <w:tcPr>
            <w:tcW w:w="1293" w:type="dxa"/>
            <w:noWrap/>
            <w:vAlign w:val="bottom"/>
          </w:tcPr>
          <w:p>
            <w:pPr>
              <w:keepNext w:val="0"/>
              <w:keepLines w:val="0"/>
              <w:widowControl/>
              <w:suppressLineNumbers w:val="0"/>
              <w:spacing w:line="240" w:lineRule="auto"/>
              <w:jc w:val="right"/>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0.012856 </w:t>
            </w:r>
          </w:p>
        </w:tc>
        <w:tc>
          <w:tcPr>
            <w:tcW w:w="1293" w:type="dxa"/>
            <w:noWrap/>
            <w:vAlign w:val="bottom"/>
          </w:tcPr>
          <w:p>
            <w:pPr>
              <w:keepNext w:val="0"/>
              <w:keepLines w:val="0"/>
              <w:widowControl/>
              <w:suppressLineNumbers w:val="0"/>
              <w:spacing w:line="240" w:lineRule="auto"/>
              <w:jc w:val="right"/>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0.022362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noWrap/>
            <w:vAlign w:val="center"/>
          </w:tcPr>
          <w:p>
            <w:pPr>
              <w:spacing w:line="240" w:lineRule="auto"/>
              <w:jc w:val="center"/>
              <w:rPr>
                <w:szCs w:val="21"/>
              </w:rPr>
            </w:pPr>
            <w:r>
              <w:rPr>
                <w:szCs w:val="21"/>
              </w:rPr>
              <w:t>C</w:t>
            </w:r>
          </w:p>
        </w:tc>
        <w:tc>
          <w:tcPr>
            <w:tcW w:w="1739" w:type="dxa"/>
            <w:noWrap/>
            <w:vAlign w:val="bottom"/>
          </w:tcPr>
          <w:p>
            <w:pPr>
              <w:keepNext w:val="0"/>
              <w:keepLines w:val="0"/>
              <w:widowControl/>
              <w:suppressLineNumbers w:val="0"/>
              <w:spacing w:line="240" w:lineRule="auto"/>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0.404</w:t>
            </w:r>
          </w:p>
        </w:tc>
        <w:tc>
          <w:tcPr>
            <w:tcW w:w="1293" w:type="dxa"/>
            <w:noWrap/>
            <w:vAlign w:val="bottom"/>
          </w:tcPr>
          <w:p>
            <w:pPr>
              <w:keepNext w:val="0"/>
              <w:keepLines w:val="0"/>
              <w:widowControl/>
              <w:suppressLineNumbers w:val="0"/>
              <w:spacing w:line="240" w:lineRule="auto"/>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0.215</w:t>
            </w:r>
          </w:p>
        </w:tc>
        <w:tc>
          <w:tcPr>
            <w:tcW w:w="1293" w:type="dxa"/>
            <w:noWrap/>
            <w:vAlign w:val="bottom"/>
          </w:tcPr>
          <w:p>
            <w:pPr>
              <w:keepNext w:val="0"/>
              <w:keepLines w:val="0"/>
              <w:widowControl/>
              <w:suppressLineNumbers w:val="0"/>
              <w:spacing w:line="240" w:lineRule="auto"/>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0.123</w:t>
            </w:r>
          </w:p>
        </w:tc>
        <w:tc>
          <w:tcPr>
            <w:tcW w:w="1293" w:type="dxa"/>
            <w:noWrap/>
            <w:vAlign w:val="bottom"/>
          </w:tcPr>
          <w:p>
            <w:pPr>
              <w:keepNext w:val="0"/>
              <w:keepLines w:val="0"/>
              <w:widowControl/>
              <w:suppressLineNumbers w:val="0"/>
              <w:spacing w:line="240" w:lineRule="auto"/>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0.287</w:t>
            </w:r>
          </w:p>
        </w:tc>
        <w:tc>
          <w:tcPr>
            <w:tcW w:w="1293" w:type="dxa"/>
            <w:noWrap/>
            <w:vAlign w:val="bottom"/>
          </w:tcPr>
          <w:p>
            <w:pPr>
              <w:keepNext w:val="0"/>
              <w:keepLines w:val="0"/>
              <w:widowControl/>
              <w:suppressLineNumbers w:val="0"/>
              <w:spacing w:line="240" w:lineRule="auto"/>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61" w:type="dxa"/>
            <w:noWrap/>
            <w:vAlign w:val="center"/>
          </w:tcPr>
          <w:p>
            <w:pPr>
              <w:spacing w:line="240" w:lineRule="auto"/>
              <w:jc w:val="center"/>
              <w:rPr>
                <w:szCs w:val="21"/>
              </w:rPr>
            </w:pPr>
            <w:r>
              <w:rPr>
                <w:szCs w:val="21"/>
              </w:rPr>
              <w:t>离群值（Y/N）</w:t>
            </w:r>
          </w:p>
        </w:tc>
        <w:tc>
          <w:tcPr>
            <w:tcW w:w="1739" w:type="dxa"/>
            <w:noWrap/>
            <w:vAlign w:val="center"/>
          </w:tcPr>
          <w:p>
            <w:pPr>
              <w:spacing w:line="240" w:lineRule="auto"/>
              <w:jc w:val="center"/>
              <w:rPr>
                <w:szCs w:val="21"/>
              </w:rPr>
            </w:pPr>
            <w:r>
              <w:rPr>
                <w:rFonts w:hint="eastAsia"/>
                <w:szCs w:val="21"/>
              </w:rPr>
              <w:t>N</w:t>
            </w:r>
          </w:p>
        </w:tc>
        <w:tc>
          <w:tcPr>
            <w:tcW w:w="1293" w:type="dxa"/>
            <w:noWrap/>
            <w:vAlign w:val="center"/>
          </w:tcPr>
          <w:p>
            <w:pPr>
              <w:spacing w:line="240" w:lineRule="auto"/>
              <w:jc w:val="center"/>
              <w:rPr>
                <w:szCs w:val="21"/>
              </w:rPr>
            </w:pPr>
            <w:r>
              <w:rPr>
                <w:szCs w:val="21"/>
              </w:rPr>
              <w:t>N</w:t>
            </w:r>
          </w:p>
        </w:tc>
        <w:tc>
          <w:tcPr>
            <w:tcW w:w="1293" w:type="dxa"/>
            <w:noWrap/>
            <w:vAlign w:val="center"/>
          </w:tcPr>
          <w:p>
            <w:pPr>
              <w:spacing w:line="240" w:lineRule="auto"/>
              <w:jc w:val="center"/>
              <w:rPr>
                <w:szCs w:val="21"/>
              </w:rPr>
            </w:pPr>
            <w:r>
              <w:rPr>
                <w:szCs w:val="21"/>
              </w:rPr>
              <w:t>N</w:t>
            </w:r>
          </w:p>
        </w:tc>
        <w:tc>
          <w:tcPr>
            <w:tcW w:w="1293" w:type="dxa"/>
            <w:noWrap/>
            <w:vAlign w:val="center"/>
          </w:tcPr>
          <w:p>
            <w:pPr>
              <w:spacing w:line="240" w:lineRule="auto"/>
              <w:jc w:val="center"/>
              <w:rPr>
                <w:szCs w:val="21"/>
              </w:rPr>
            </w:pPr>
            <w:r>
              <w:rPr>
                <w:szCs w:val="21"/>
              </w:rPr>
              <w:t>N</w:t>
            </w:r>
          </w:p>
        </w:tc>
        <w:tc>
          <w:tcPr>
            <w:tcW w:w="1293" w:type="dxa"/>
            <w:noWrap/>
            <w:vAlign w:val="center"/>
          </w:tcPr>
          <w:p>
            <w:pPr>
              <w:spacing w:line="240" w:lineRule="auto"/>
              <w:jc w:val="center"/>
              <w:rPr>
                <w:szCs w:val="21"/>
              </w:rPr>
            </w:pPr>
            <w:r>
              <w:rPr>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noWrap/>
            <w:vAlign w:val="center"/>
          </w:tcPr>
          <w:p>
            <w:pPr>
              <w:spacing w:line="240" w:lineRule="auto"/>
              <w:jc w:val="center"/>
              <w:rPr>
                <w:szCs w:val="21"/>
              </w:rPr>
            </w:pPr>
            <w:r>
              <w:rPr>
                <w:szCs w:val="21"/>
              </w:rPr>
              <w:t>歧离值（Y/N）</w:t>
            </w:r>
          </w:p>
        </w:tc>
        <w:tc>
          <w:tcPr>
            <w:tcW w:w="1739" w:type="dxa"/>
            <w:noWrap/>
            <w:vAlign w:val="center"/>
          </w:tcPr>
          <w:p>
            <w:pPr>
              <w:widowControl/>
              <w:spacing w:line="240" w:lineRule="auto"/>
              <w:jc w:val="center"/>
              <w:rPr>
                <w:color w:val="000000"/>
                <w:szCs w:val="21"/>
              </w:rPr>
            </w:pPr>
            <w:r>
              <w:rPr>
                <w:rFonts w:hint="eastAsia"/>
                <w:color w:val="000000"/>
                <w:szCs w:val="21"/>
              </w:rPr>
              <w:t>Y</w:t>
            </w:r>
          </w:p>
        </w:tc>
        <w:tc>
          <w:tcPr>
            <w:tcW w:w="1293" w:type="dxa"/>
            <w:noWrap/>
            <w:vAlign w:val="center"/>
          </w:tcPr>
          <w:p>
            <w:pPr>
              <w:widowControl/>
              <w:spacing w:line="240" w:lineRule="auto"/>
              <w:jc w:val="center"/>
              <w:rPr>
                <w:color w:val="000000"/>
                <w:szCs w:val="21"/>
              </w:rPr>
            </w:pPr>
            <w:r>
              <w:rPr>
                <w:color w:val="000000"/>
                <w:szCs w:val="21"/>
              </w:rPr>
              <w:t>N</w:t>
            </w:r>
          </w:p>
        </w:tc>
        <w:tc>
          <w:tcPr>
            <w:tcW w:w="1293" w:type="dxa"/>
            <w:noWrap/>
            <w:vAlign w:val="center"/>
          </w:tcPr>
          <w:p>
            <w:pPr>
              <w:widowControl/>
              <w:spacing w:line="240" w:lineRule="auto"/>
              <w:jc w:val="center"/>
              <w:rPr>
                <w:color w:val="000000"/>
                <w:szCs w:val="21"/>
              </w:rPr>
            </w:pPr>
            <w:r>
              <w:rPr>
                <w:szCs w:val="21"/>
              </w:rPr>
              <w:t>N</w:t>
            </w:r>
          </w:p>
        </w:tc>
        <w:tc>
          <w:tcPr>
            <w:tcW w:w="1293" w:type="dxa"/>
            <w:noWrap/>
            <w:vAlign w:val="center"/>
          </w:tcPr>
          <w:p>
            <w:pPr>
              <w:widowControl/>
              <w:spacing w:line="240" w:lineRule="auto"/>
              <w:jc w:val="center"/>
              <w:rPr>
                <w:color w:val="000000"/>
                <w:szCs w:val="21"/>
              </w:rPr>
            </w:pPr>
            <w:r>
              <w:rPr>
                <w:szCs w:val="21"/>
              </w:rPr>
              <w:t>N</w:t>
            </w:r>
          </w:p>
        </w:tc>
        <w:tc>
          <w:tcPr>
            <w:tcW w:w="1293" w:type="dxa"/>
            <w:noWrap/>
            <w:vAlign w:val="center"/>
          </w:tcPr>
          <w:p>
            <w:pPr>
              <w:widowControl/>
              <w:spacing w:line="240" w:lineRule="auto"/>
              <w:jc w:val="center"/>
              <w:rPr>
                <w:color w:val="000000"/>
                <w:szCs w:val="21"/>
              </w:rPr>
            </w:pPr>
            <w:r>
              <w:rPr>
                <w:szCs w:val="21"/>
              </w:rPr>
              <w:t>N</w:t>
            </w:r>
          </w:p>
        </w:tc>
      </w:tr>
    </w:tbl>
    <w:p>
      <w:pPr>
        <w:spacing w:line="360" w:lineRule="auto"/>
        <w:ind w:firstLine="420"/>
        <w:rPr>
          <w:rFonts w:ascii="Calibri"/>
          <w:szCs w:val="21"/>
        </w:rPr>
      </w:pPr>
    </w:p>
    <w:p>
      <w:pPr>
        <w:spacing w:line="360" w:lineRule="auto"/>
        <w:ind w:firstLine="420" w:firstLineChars="200"/>
        <w:jc w:val="left"/>
      </w:pPr>
      <w:r>
        <w:rPr>
          <w:rFonts w:hint="eastAsia"/>
          <w:szCs w:val="21"/>
        </w:rPr>
        <w:t>查表n=7, p=</w:t>
      </w:r>
      <w:r>
        <w:rPr>
          <w:rFonts w:hint="eastAsia"/>
          <w:szCs w:val="21"/>
          <w:lang w:val="en-US" w:eastAsia="zh-CN"/>
        </w:rPr>
        <w:t>8</w:t>
      </w:r>
      <w:r>
        <w:rPr>
          <w:rFonts w:hint="eastAsia"/>
          <w:szCs w:val="21"/>
        </w:rPr>
        <w:t>时，柯克伦检验5%临界值为0.3</w:t>
      </w:r>
      <w:r>
        <w:rPr>
          <w:rFonts w:hint="eastAsia"/>
          <w:szCs w:val="21"/>
          <w:lang w:val="en-US" w:eastAsia="zh-CN"/>
        </w:rPr>
        <w:t>362</w:t>
      </w:r>
      <w:r>
        <w:rPr>
          <w:rFonts w:hint="eastAsia"/>
          <w:szCs w:val="21"/>
        </w:rPr>
        <w:t>，1%临界值为0.</w:t>
      </w:r>
      <w:r>
        <w:rPr>
          <w:rFonts w:hint="eastAsia"/>
          <w:szCs w:val="21"/>
          <w:lang w:val="en-US" w:eastAsia="zh-CN"/>
        </w:rPr>
        <w:t>3992</w:t>
      </w:r>
      <w:r>
        <w:rPr>
          <w:rFonts w:hint="eastAsia"/>
          <w:szCs w:val="21"/>
        </w:rPr>
        <w:t>；各统计量见表3，</w:t>
      </w:r>
      <w:r>
        <w:t>数据统计发现，</w:t>
      </w:r>
      <w:r>
        <w:rPr>
          <w:rFonts w:hint="eastAsia"/>
        </w:rPr>
        <w:t>云南锡业股份有限公司冶炼分公司</w:t>
      </w:r>
      <w:r>
        <w:rPr>
          <w:szCs w:val="21"/>
        </w:rPr>
        <w:t>的水平</w:t>
      </w:r>
      <w:r>
        <w:rPr>
          <w:rFonts w:hint="eastAsia"/>
          <w:szCs w:val="21"/>
        </w:rPr>
        <w:t>1</w:t>
      </w:r>
      <w:r>
        <w:rPr>
          <w:szCs w:val="21"/>
        </w:rPr>
        <w:t>的T值为</w:t>
      </w:r>
      <w:r>
        <w:rPr>
          <w:rFonts w:hint="eastAsia"/>
          <w:szCs w:val="21"/>
        </w:rPr>
        <w:t>0.</w:t>
      </w:r>
      <w:r>
        <w:rPr>
          <w:rFonts w:hint="eastAsia"/>
          <w:szCs w:val="21"/>
          <w:lang w:val="en-US" w:eastAsia="zh-CN"/>
        </w:rPr>
        <w:t>382</w:t>
      </w:r>
      <w:r>
        <w:rPr>
          <w:szCs w:val="21"/>
        </w:rPr>
        <w:t>，大于</w:t>
      </w:r>
      <w:r>
        <w:rPr>
          <w:rFonts w:hint="eastAsia"/>
          <w:szCs w:val="21"/>
        </w:rPr>
        <w:t>5</w:t>
      </w:r>
      <w:r>
        <w:rPr>
          <w:szCs w:val="21"/>
        </w:rPr>
        <w:t>%临界值</w:t>
      </w:r>
      <w:r>
        <w:rPr>
          <w:rFonts w:hint="eastAsia"/>
          <w:szCs w:val="21"/>
        </w:rPr>
        <w:t>0.</w:t>
      </w:r>
      <w:r>
        <w:rPr>
          <w:rFonts w:hint="eastAsia"/>
          <w:szCs w:val="21"/>
          <w:lang w:val="en-US" w:eastAsia="zh-CN"/>
        </w:rPr>
        <w:t>3362</w:t>
      </w:r>
      <w:r>
        <w:rPr>
          <w:szCs w:val="21"/>
        </w:rPr>
        <w:t>，</w:t>
      </w:r>
      <w:r>
        <w:rPr>
          <w:rFonts w:hint="eastAsia"/>
          <w:szCs w:val="21"/>
          <w:lang w:val="en-US" w:eastAsia="zh-CN"/>
        </w:rPr>
        <w:t>小</w:t>
      </w:r>
      <w:r>
        <w:rPr>
          <w:rFonts w:hint="eastAsia"/>
          <w:szCs w:val="21"/>
        </w:rPr>
        <w:t>于1</w:t>
      </w:r>
      <w:r>
        <w:rPr>
          <w:szCs w:val="21"/>
        </w:rPr>
        <w:t>%</w:t>
      </w:r>
      <w:r>
        <w:rPr>
          <w:rFonts w:hint="eastAsia"/>
          <w:szCs w:val="21"/>
        </w:rPr>
        <w:t>的</w:t>
      </w:r>
      <w:r>
        <w:rPr>
          <w:szCs w:val="21"/>
        </w:rPr>
        <w:t>临界值</w:t>
      </w:r>
      <w:r>
        <w:rPr>
          <w:rFonts w:hint="eastAsia"/>
          <w:szCs w:val="21"/>
        </w:rPr>
        <w:t>0.</w:t>
      </w:r>
      <w:r>
        <w:rPr>
          <w:rFonts w:hint="eastAsia"/>
          <w:szCs w:val="21"/>
          <w:lang w:val="en-US" w:eastAsia="zh-CN"/>
        </w:rPr>
        <w:t>3992</w:t>
      </w:r>
      <w:r>
        <w:rPr>
          <w:szCs w:val="21"/>
        </w:rPr>
        <w:t>，为统计</w:t>
      </w:r>
      <w:r>
        <w:rPr>
          <w:rFonts w:hint="eastAsia"/>
          <w:szCs w:val="21"/>
        </w:rPr>
        <w:t>歧离值</w:t>
      </w:r>
      <w:r>
        <w:rPr>
          <w:szCs w:val="21"/>
        </w:rPr>
        <w:t>，</w:t>
      </w:r>
      <w:r>
        <w:rPr>
          <w:rFonts w:hint="eastAsia"/>
          <w:szCs w:val="21"/>
        </w:rPr>
        <w:t>仍然</w:t>
      </w:r>
      <w:r>
        <w:rPr>
          <w:szCs w:val="21"/>
        </w:rPr>
        <w:t>参与后续计算。对剩下数据</w:t>
      </w:r>
      <w:r>
        <w:rPr>
          <w:rFonts w:hint="eastAsia"/>
          <w:szCs w:val="21"/>
        </w:rPr>
        <w:t>进行柯克伦</w:t>
      </w:r>
      <w:r>
        <w:rPr>
          <w:szCs w:val="21"/>
        </w:rPr>
        <w:t>检验，符合要求。</w:t>
      </w:r>
    </w:p>
    <w:p>
      <w:pPr>
        <w:pStyle w:val="3"/>
        <w:spacing w:line="360" w:lineRule="auto"/>
        <w:rPr>
          <w:rFonts w:ascii="黑体"/>
          <w:szCs w:val="21"/>
        </w:rPr>
      </w:pPr>
      <w:r>
        <w:rPr>
          <w:rFonts w:hint="eastAsia" w:ascii="黑体"/>
          <w:szCs w:val="21"/>
        </w:rPr>
        <w:t>3.4  S</w:t>
      </w:r>
      <w:r>
        <w:rPr>
          <w:rFonts w:hint="eastAsia" w:ascii="黑体"/>
          <w:szCs w:val="21"/>
          <w:vertAlign w:val="subscript"/>
        </w:rPr>
        <w:t>r</w:t>
      </w:r>
      <w:r>
        <w:rPr>
          <w:rFonts w:hint="eastAsia" w:ascii="黑体"/>
          <w:szCs w:val="21"/>
        </w:rPr>
        <w:t>、S</w:t>
      </w:r>
      <w:r>
        <w:rPr>
          <w:rFonts w:hint="eastAsia" w:ascii="黑体"/>
          <w:szCs w:val="21"/>
          <w:vertAlign w:val="subscript"/>
        </w:rPr>
        <w:t>R</w:t>
      </w:r>
      <w:r>
        <w:rPr>
          <w:rFonts w:hint="eastAsia" w:ascii="黑体"/>
          <w:szCs w:val="21"/>
        </w:rPr>
        <w:t>、R与r的计算</w:t>
      </w:r>
    </w:p>
    <w:p>
      <w:pPr>
        <w:pStyle w:val="3"/>
        <w:spacing w:line="360" w:lineRule="auto"/>
        <w:jc w:val="center"/>
      </w:pPr>
      <w:r>
        <w:rPr>
          <w:rFonts w:hint="eastAsia"/>
        </w:rPr>
        <w:t>表4  精密度计算</w:t>
      </w:r>
    </w:p>
    <w:tbl>
      <w:tblPr>
        <w:tblStyle w:val="37"/>
        <w:tblW w:w="729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11"/>
        <w:gridCol w:w="1217"/>
        <w:gridCol w:w="1217"/>
        <w:gridCol w:w="1217"/>
        <w:gridCol w:w="1217"/>
        <w:gridCol w:w="12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95" w:hRule="atLeast"/>
          <w:jc w:val="center"/>
        </w:trPr>
        <w:tc>
          <w:tcPr>
            <w:tcW w:w="1211" w:type="dxa"/>
            <w:vAlign w:val="center"/>
          </w:tcPr>
          <w:p>
            <w:pPr>
              <w:snapToGrid w:val="0"/>
              <w:spacing w:line="360" w:lineRule="auto"/>
              <w:jc w:val="center"/>
              <w:rPr>
                <w:color w:val="000000"/>
                <w:kern w:val="0"/>
                <w:sz w:val="18"/>
                <w:szCs w:val="18"/>
              </w:rPr>
            </w:pPr>
          </w:p>
        </w:tc>
        <w:tc>
          <w:tcPr>
            <w:tcW w:w="1217" w:type="dxa"/>
            <w:vAlign w:val="center"/>
          </w:tcPr>
          <w:p>
            <w:pPr>
              <w:snapToGrid w:val="0"/>
              <w:spacing w:line="360" w:lineRule="auto"/>
              <w:jc w:val="center"/>
              <w:rPr>
                <w:color w:val="000000"/>
                <w:kern w:val="0"/>
                <w:sz w:val="18"/>
                <w:szCs w:val="18"/>
              </w:rPr>
            </w:pPr>
            <w:r>
              <w:rPr>
                <w:rFonts w:hint="eastAsia"/>
                <w:color w:val="000000"/>
                <w:kern w:val="0"/>
                <w:sz w:val="18"/>
                <w:szCs w:val="18"/>
              </w:rPr>
              <w:t>水平1</w:t>
            </w:r>
          </w:p>
        </w:tc>
        <w:tc>
          <w:tcPr>
            <w:tcW w:w="1217" w:type="dxa"/>
            <w:vAlign w:val="center"/>
          </w:tcPr>
          <w:p>
            <w:pPr>
              <w:snapToGrid w:val="0"/>
              <w:spacing w:line="360" w:lineRule="auto"/>
              <w:jc w:val="center"/>
              <w:rPr>
                <w:color w:val="000000"/>
                <w:kern w:val="0"/>
                <w:sz w:val="18"/>
                <w:szCs w:val="18"/>
              </w:rPr>
            </w:pPr>
            <w:r>
              <w:rPr>
                <w:rFonts w:hint="eastAsia"/>
                <w:color w:val="000000"/>
                <w:kern w:val="0"/>
                <w:sz w:val="18"/>
                <w:szCs w:val="18"/>
              </w:rPr>
              <w:t>水平2</w:t>
            </w:r>
          </w:p>
        </w:tc>
        <w:tc>
          <w:tcPr>
            <w:tcW w:w="1217" w:type="dxa"/>
            <w:vAlign w:val="center"/>
          </w:tcPr>
          <w:p>
            <w:pPr>
              <w:snapToGrid w:val="0"/>
              <w:spacing w:line="360" w:lineRule="auto"/>
              <w:jc w:val="center"/>
              <w:rPr>
                <w:color w:val="000000"/>
                <w:kern w:val="0"/>
                <w:sz w:val="18"/>
                <w:szCs w:val="18"/>
              </w:rPr>
            </w:pPr>
            <w:r>
              <w:rPr>
                <w:rFonts w:hint="eastAsia"/>
                <w:color w:val="000000"/>
                <w:kern w:val="0"/>
                <w:sz w:val="18"/>
                <w:szCs w:val="18"/>
              </w:rPr>
              <w:t>水平3</w:t>
            </w:r>
          </w:p>
        </w:tc>
        <w:tc>
          <w:tcPr>
            <w:tcW w:w="1217" w:type="dxa"/>
            <w:vAlign w:val="center"/>
          </w:tcPr>
          <w:p>
            <w:pPr>
              <w:snapToGrid w:val="0"/>
              <w:spacing w:line="360" w:lineRule="auto"/>
              <w:jc w:val="center"/>
              <w:rPr>
                <w:color w:val="000000"/>
                <w:kern w:val="0"/>
                <w:sz w:val="18"/>
                <w:szCs w:val="18"/>
              </w:rPr>
            </w:pPr>
            <w:r>
              <w:rPr>
                <w:rFonts w:hint="eastAsia"/>
                <w:color w:val="000000"/>
                <w:kern w:val="0"/>
                <w:sz w:val="18"/>
                <w:szCs w:val="18"/>
              </w:rPr>
              <w:t>水平4</w:t>
            </w:r>
          </w:p>
        </w:tc>
        <w:tc>
          <w:tcPr>
            <w:tcW w:w="1217" w:type="dxa"/>
            <w:vAlign w:val="center"/>
          </w:tcPr>
          <w:p>
            <w:pPr>
              <w:snapToGrid w:val="0"/>
              <w:spacing w:line="360" w:lineRule="auto"/>
              <w:jc w:val="center"/>
              <w:rPr>
                <w:color w:val="000000"/>
                <w:kern w:val="0"/>
                <w:sz w:val="18"/>
                <w:szCs w:val="18"/>
              </w:rPr>
            </w:pPr>
            <w:r>
              <w:rPr>
                <w:rFonts w:hint="eastAsia"/>
                <w:color w:val="000000"/>
                <w:kern w:val="0"/>
                <w:sz w:val="18"/>
                <w:szCs w:val="18"/>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rFonts w:hint="eastAsia"/>
                <w:color w:val="000000"/>
                <w:kern w:val="0"/>
                <w:sz w:val="18"/>
                <w:szCs w:val="18"/>
              </w:rPr>
              <w:t>平均值</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0.023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0.15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1.01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2.38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3.83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color w:val="000000"/>
                <w:kern w:val="0"/>
                <w:sz w:val="18"/>
                <w:szCs w:val="18"/>
              </w:rPr>
              <w:t>T1</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1.58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10.66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69.78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164.27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264.00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color w:val="000000"/>
                <w:kern w:val="0"/>
                <w:sz w:val="18"/>
                <w:szCs w:val="18"/>
              </w:rPr>
              <w:t>T2</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0.036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1.655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70.698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556.810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1010.</w:t>
            </w:r>
            <w:r>
              <w:rPr>
                <w:rFonts w:hint="eastAsia" w:ascii="宋体" w:hAnsi="宋体" w:cs="宋体"/>
                <w:i w:val="0"/>
                <w:color w:val="000000"/>
                <w:kern w:val="0"/>
                <w:sz w:val="24"/>
                <w:szCs w:val="24"/>
                <w:u w:val="none"/>
                <w:lang w:val="en-US" w:eastAsia="zh-CN" w:bidi="ar"/>
              </w:rPr>
              <w:t>50</w:t>
            </w:r>
            <w:r>
              <w:rPr>
                <w:rFonts w:hint="eastAsia" w:ascii="宋体" w:hAnsi="宋体" w:eastAsia="宋体" w:cs="宋体"/>
                <w:i w:val="0"/>
                <w:color w:val="000000"/>
                <w:kern w:val="0"/>
                <w:sz w:val="24"/>
                <w:szCs w:val="24"/>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53" w:hRule="atLeast"/>
          <w:jc w:val="center"/>
        </w:trPr>
        <w:tc>
          <w:tcPr>
            <w:tcW w:w="1211" w:type="dxa"/>
            <w:vAlign w:val="center"/>
          </w:tcPr>
          <w:p>
            <w:pPr>
              <w:snapToGrid w:val="0"/>
              <w:spacing w:line="240" w:lineRule="auto"/>
              <w:jc w:val="center"/>
              <w:rPr>
                <w:color w:val="000000"/>
                <w:kern w:val="0"/>
                <w:sz w:val="18"/>
                <w:szCs w:val="18"/>
              </w:rPr>
            </w:pPr>
            <w:r>
              <w:rPr>
                <w:color w:val="000000"/>
                <w:kern w:val="0"/>
                <w:sz w:val="18"/>
                <w:szCs w:val="18"/>
              </w:rPr>
              <w:t>T3</w:t>
            </w:r>
          </w:p>
        </w:tc>
        <w:tc>
          <w:tcPr>
            <w:tcW w:w="1217" w:type="dxa"/>
            <w:vAlign w:val="bottom"/>
          </w:tcPr>
          <w:p>
            <w:pPr>
              <w:widowControl/>
              <w:spacing w:line="240" w:lineRule="auto"/>
              <w:jc w:val="center"/>
              <w:textAlignment w:val="bottom"/>
              <w:rPr>
                <w:rFonts w:hint="eastAsia" w:eastAsia="宋体"/>
                <w:color w:val="000000"/>
                <w:szCs w:val="21"/>
                <w:lang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9</w:t>
            </w:r>
          </w:p>
        </w:tc>
        <w:tc>
          <w:tcPr>
            <w:tcW w:w="1217" w:type="dxa"/>
            <w:vAlign w:val="bottom"/>
          </w:tcPr>
          <w:p>
            <w:pPr>
              <w:widowControl/>
              <w:spacing w:line="240" w:lineRule="auto"/>
              <w:jc w:val="center"/>
              <w:textAlignment w:val="bottom"/>
              <w:rPr>
                <w:color w:val="000000"/>
                <w:szCs w:val="21"/>
              </w:rPr>
            </w:pPr>
            <w:r>
              <w:rPr>
                <w:rFonts w:hint="eastAsia" w:ascii="宋体" w:hAnsi="宋体" w:cs="宋体"/>
                <w:color w:val="000000"/>
                <w:kern w:val="0"/>
                <w:szCs w:val="21"/>
              </w:rPr>
              <w:t>6</w:t>
            </w:r>
            <w:r>
              <w:rPr>
                <w:rFonts w:hint="eastAsia" w:ascii="宋体" w:hAnsi="宋体" w:cs="宋体"/>
                <w:color w:val="000000"/>
                <w:kern w:val="0"/>
                <w:szCs w:val="21"/>
                <w:lang w:val="en-US" w:eastAsia="zh-CN"/>
              </w:rPr>
              <w:t>9</w:t>
            </w:r>
          </w:p>
        </w:tc>
        <w:tc>
          <w:tcPr>
            <w:tcW w:w="1217" w:type="dxa"/>
            <w:vAlign w:val="bottom"/>
          </w:tcPr>
          <w:p>
            <w:pPr>
              <w:widowControl/>
              <w:spacing w:line="240" w:lineRule="auto"/>
              <w:jc w:val="center"/>
              <w:textAlignment w:val="bottom"/>
              <w:rPr>
                <w:color w:val="000000"/>
                <w:szCs w:val="21"/>
              </w:rPr>
            </w:pPr>
            <w:r>
              <w:rPr>
                <w:rFonts w:hint="eastAsia" w:ascii="宋体" w:hAnsi="宋体" w:cs="宋体"/>
                <w:color w:val="000000"/>
                <w:kern w:val="0"/>
                <w:szCs w:val="21"/>
              </w:rPr>
              <w:t>6</w:t>
            </w:r>
            <w:r>
              <w:rPr>
                <w:rFonts w:hint="eastAsia" w:ascii="宋体" w:hAnsi="宋体" w:cs="宋体"/>
                <w:color w:val="000000"/>
                <w:kern w:val="0"/>
                <w:szCs w:val="21"/>
                <w:lang w:val="en-US" w:eastAsia="zh-CN"/>
              </w:rPr>
              <w:t>9</w:t>
            </w:r>
          </w:p>
        </w:tc>
        <w:tc>
          <w:tcPr>
            <w:tcW w:w="1217" w:type="dxa"/>
            <w:vAlign w:val="bottom"/>
          </w:tcPr>
          <w:p>
            <w:pPr>
              <w:widowControl/>
              <w:spacing w:line="240" w:lineRule="auto"/>
              <w:jc w:val="center"/>
              <w:textAlignment w:val="bottom"/>
              <w:rPr>
                <w:color w:val="000000"/>
                <w:szCs w:val="21"/>
              </w:rPr>
            </w:pPr>
            <w:r>
              <w:rPr>
                <w:rFonts w:hint="eastAsia" w:ascii="宋体" w:hAnsi="宋体" w:cs="宋体"/>
                <w:color w:val="000000"/>
                <w:kern w:val="0"/>
                <w:szCs w:val="21"/>
              </w:rPr>
              <w:t>6</w:t>
            </w:r>
            <w:r>
              <w:rPr>
                <w:rFonts w:hint="eastAsia" w:ascii="宋体" w:hAnsi="宋体" w:cs="宋体"/>
                <w:color w:val="000000"/>
                <w:kern w:val="0"/>
                <w:szCs w:val="21"/>
                <w:lang w:val="en-US" w:eastAsia="zh-CN"/>
              </w:rPr>
              <w:t>9</w:t>
            </w:r>
          </w:p>
        </w:tc>
        <w:tc>
          <w:tcPr>
            <w:tcW w:w="1217" w:type="dxa"/>
            <w:vAlign w:val="bottom"/>
          </w:tcPr>
          <w:p>
            <w:pPr>
              <w:widowControl/>
              <w:spacing w:line="240" w:lineRule="auto"/>
              <w:jc w:val="center"/>
              <w:textAlignment w:val="bottom"/>
              <w:rPr>
                <w:color w:val="000000"/>
                <w:szCs w:val="21"/>
              </w:rPr>
            </w:pPr>
            <w:r>
              <w:rPr>
                <w:rFonts w:hint="eastAsia" w:ascii="宋体" w:hAnsi="宋体" w:cs="宋体"/>
                <w:color w:val="000000"/>
                <w:kern w:val="0"/>
                <w:szCs w:val="21"/>
              </w:rPr>
              <w:t>6</w:t>
            </w:r>
            <w:r>
              <w:rPr>
                <w:rFonts w:hint="eastAsia" w:ascii="宋体" w:hAnsi="宋体" w:cs="宋体"/>
                <w:color w:val="000000"/>
                <w:kern w:val="0"/>
                <w:szCs w:val="21"/>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color w:val="000000"/>
                <w:kern w:val="0"/>
                <w:sz w:val="18"/>
                <w:szCs w:val="18"/>
              </w:rPr>
              <w:t>T4</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623</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623</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623</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623</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623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color w:val="000000"/>
                <w:kern w:val="0"/>
                <w:sz w:val="18"/>
                <w:szCs w:val="18"/>
              </w:rPr>
              <w:t>T5</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0.0000583</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0.0009817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0.022213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0.089636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0.17564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rFonts w:hint="eastAsia"/>
                <w:color w:val="000000"/>
                <w:kern w:val="0"/>
                <w:sz w:val="18"/>
                <w:szCs w:val="18"/>
              </w:rPr>
              <w:t>s</w:t>
            </w:r>
            <w:r>
              <w:rPr>
                <w:color w:val="000000"/>
                <w:kern w:val="0"/>
                <w:sz w:val="18"/>
                <w:szCs w:val="18"/>
                <w:vertAlign w:val="subscript"/>
              </w:rPr>
              <w:t>r</w:t>
            </w:r>
            <w:r>
              <w:rPr>
                <w:color w:val="000000"/>
                <w:kern w:val="0"/>
                <w:sz w:val="18"/>
                <w:szCs w:val="18"/>
                <w:vertAlign w:val="superscript"/>
              </w:rPr>
              <w:t>2</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0.0000009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0.0000155</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0.0003525</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0.0014457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0.002833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rFonts w:hint="eastAsia"/>
                <w:color w:val="000000"/>
                <w:kern w:val="0"/>
                <w:sz w:val="18"/>
                <w:szCs w:val="18"/>
              </w:rPr>
              <w:t>s</w:t>
            </w:r>
            <w:r>
              <w:rPr>
                <w:color w:val="000000"/>
                <w:kern w:val="0"/>
                <w:sz w:val="18"/>
                <w:szCs w:val="18"/>
                <w:vertAlign w:val="subscript"/>
              </w:rPr>
              <w:t>L</w:t>
            </w:r>
            <w:r>
              <w:rPr>
                <w:color w:val="000000"/>
                <w:kern w:val="0"/>
                <w:sz w:val="18"/>
                <w:szCs w:val="18"/>
                <w:vertAlign w:val="superscript"/>
              </w:rPr>
              <w:t>2</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0.0000020</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0.0001142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0.0021792</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0.0024200</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0.0067237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rFonts w:hint="eastAsia"/>
                <w:color w:val="000000"/>
                <w:kern w:val="0"/>
                <w:sz w:val="18"/>
                <w:szCs w:val="18"/>
              </w:rPr>
              <w:t>s</w:t>
            </w:r>
            <w:r>
              <w:rPr>
                <w:color w:val="000000"/>
                <w:kern w:val="0"/>
                <w:sz w:val="18"/>
                <w:szCs w:val="18"/>
                <w:vertAlign w:val="subscript"/>
              </w:rPr>
              <w:t>R</w:t>
            </w:r>
            <w:r>
              <w:rPr>
                <w:color w:val="000000"/>
                <w:kern w:val="0"/>
                <w:sz w:val="18"/>
                <w:szCs w:val="18"/>
                <w:vertAlign w:val="superscript"/>
              </w:rPr>
              <w:t>2</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0.0000029</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0.0001298</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0.0025318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0.0038657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0.009557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9" w:hRule="atLeast"/>
          <w:jc w:val="center"/>
        </w:trPr>
        <w:tc>
          <w:tcPr>
            <w:tcW w:w="1211" w:type="dxa"/>
            <w:vAlign w:val="center"/>
          </w:tcPr>
          <w:p>
            <w:pPr>
              <w:snapToGrid w:val="0"/>
              <w:spacing w:line="360" w:lineRule="auto"/>
              <w:jc w:val="center"/>
              <w:rPr>
                <w:color w:val="000000"/>
                <w:kern w:val="0"/>
                <w:sz w:val="18"/>
                <w:szCs w:val="18"/>
              </w:rPr>
            </w:pPr>
            <w:r>
              <w:rPr>
                <w:rFonts w:hint="eastAsia"/>
                <w:color w:val="000000"/>
                <w:kern w:val="0"/>
                <w:sz w:val="18"/>
                <w:szCs w:val="18"/>
              </w:rPr>
              <w:t>s</w:t>
            </w:r>
            <w:r>
              <w:rPr>
                <w:color w:val="000000"/>
                <w:kern w:val="0"/>
                <w:sz w:val="18"/>
                <w:szCs w:val="18"/>
                <w:vertAlign w:val="subscript"/>
              </w:rPr>
              <w:t>r</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0.0009705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0.00395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0.01878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0.0380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0.0532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rFonts w:hint="eastAsia"/>
                <w:color w:val="000000"/>
                <w:kern w:val="0"/>
                <w:sz w:val="18"/>
                <w:szCs w:val="18"/>
              </w:rPr>
              <w:t>s</w:t>
            </w:r>
            <w:r>
              <w:rPr>
                <w:color w:val="000000"/>
                <w:kern w:val="0"/>
                <w:sz w:val="18"/>
                <w:szCs w:val="18"/>
                <w:vertAlign w:val="subscript"/>
              </w:rPr>
              <w:t>R</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0.001721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0.01140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0.0503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0.0622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0.0978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3" w:hRule="atLeast"/>
          <w:jc w:val="center"/>
        </w:trPr>
        <w:tc>
          <w:tcPr>
            <w:tcW w:w="1211" w:type="dxa"/>
            <w:vAlign w:val="center"/>
          </w:tcPr>
          <w:p>
            <w:pPr>
              <w:snapToGrid w:val="0"/>
              <w:spacing w:line="360" w:lineRule="auto"/>
              <w:jc w:val="center"/>
              <w:rPr>
                <w:color w:val="000000"/>
                <w:kern w:val="0"/>
                <w:sz w:val="18"/>
                <w:szCs w:val="18"/>
              </w:rPr>
            </w:pPr>
            <w:r>
              <w:rPr>
                <w:color w:val="000000"/>
                <w:kern w:val="0"/>
                <w:sz w:val="18"/>
                <w:szCs w:val="18"/>
              </w:rPr>
              <w:t>r</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0.0027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0.011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0.053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0.11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0.15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56" w:hRule="atLeast"/>
          <w:jc w:val="center"/>
        </w:trPr>
        <w:tc>
          <w:tcPr>
            <w:tcW w:w="1211" w:type="dxa"/>
            <w:vAlign w:val="center"/>
          </w:tcPr>
          <w:p>
            <w:pPr>
              <w:snapToGrid w:val="0"/>
              <w:spacing w:line="360" w:lineRule="auto"/>
              <w:jc w:val="center"/>
              <w:rPr>
                <w:color w:val="000000"/>
                <w:kern w:val="0"/>
                <w:sz w:val="18"/>
                <w:szCs w:val="18"/>
              </w:rPr>
            </w:pPr>
            <w:r>
              <w:rPr>
                <w:color w:val="000000"/>
                <w:kern w:val="0"/>
                <w:sz w:val="18"/>
                <w:szCs w:val="18"/>
              </w:rPr>
              <w:t>R</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0.0049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0.032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0.142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0.18 </w:t>
            </w:r>
          </w:p>
        </w:tc>
        <w:tc>
          <w:tcPr>
            <w:tcW w:w="1217" w:type="dxa"/>
            <w:vAlign w:val="bottom"/>
          </w:tcPr>
          <w:p>
            <w:pPr>
              <w:keepNext w:val="0"/>
              <w:keepLines w:val="0"/>
              <w:widowControl/>
              <w:suppressLineNumbers w:val="0"/>
              <w:jc w:val="center"/>
              <w:textAlignment w:val="bottom"/>
              <w:rPr>
                <w:color w:val="000000"/>
                <w:szCs w:val="21"/>
              </w:rPr>
            </w:pPr>
            <w:r>
              <w:rPr>
                <w:rFonts w:hint="eastAsia" w:ascii="宋体" w:hAnsi="宋体" w:eastAsia="宋体" w:cs="宋体"/>
                <w:i w:val="0"/>
                <w:color w:val="000000"/>
                <w:kern w:val="0"/>
                <w:sz w:val="24"/>
                <w:szCs w:val="24"/>
                <w:u w:val="none"/>
                <w:lang w:val="en-US" w:eastAsia="zh-CN" w:bidi="ar"/>
              </w:rPr>
              <w:t xml:space="preserve">0.28 </w:t>
            </w:r>
          </w:p>
        </w:tc>
      </w:tr>
    </w:tbl>
    <w:p>
      <w:pPr>
        <w:jc w:val="left"/>
        <w:rPr>
          <w:szCs w:val="21"/>
        </w:rPr>
      </w:pPr>
      <w:r>
        <w:rPr>
          <w:rFonts w:hint="eastAsia"/>
        </w:rPr>
        <w:br w:type="page"/>
      </w:r>
      <w:r>
        <w:rPr>
          <w:szCs w:val="21"/>
        </w:rPr>
        <w:t>附件</w:t>
      </w:r>
      <w:r>
        <w:rPr>
          <w:rFonts w:hint="eastAsia"/>
          <w:szCs w:val="21"/>
        </w:rPr>
        <w:t>2</w:t>
      </w:r>
      <w:r>
        <w:rPr>
          <w:szCs w:val="21"/>
        </w:rPr>
        <w:t>：</w:t>
      </w:r>
    </w:p>
    <w:p>
      <w:pPr>
        <w:ind w:firstLine="562" w:firstLineChars="200"/>
        <w:jc w:val="center"/>
        <w:rPr>
          <w:b/>
          <w:bCs/>
          <w:sz w:val="28"/>
          <w:szCs w:val="28"/>
        </w:rPr>
      </w:pPr>
      <w:r>
        <w:rPr>
          <w:rFonts w:hint="eastAsia"/>
          <w:b/>
          <w:bCs/>
          <w:sz w:val="28"/>
          <w:szCs w:val="28"/>
        </w:rPr>
        <w:t>方法2：Na</w:t>
      </w:r>
      <w:r>
        <w:rPr>
          <w:rFonts w:hint="eastAsia"/>
          <w:b/>
          <w:bCs/>
          <w:sz w:val="28"/>
          <w:szCs w:val="28"/>
          <w:vertAlign w:val="subscript"/>
        </w:rPr>
        <w:t>2</w:t>
      </w:r>
      <w:r>
        <w:rPr>
          <w:rFonts w:hint="eastAsia"/>
          <w:b/>
          <w:bCs/>
          <w:sz w:val="28"/>
          <w:szCs w:val="28"/>
        </w:rPr>
        <w:t>EDTA滴定法</w:t>
      </w:r>
    </w:p>
    <w:p>
      <w:pPr>
        <w:ind w:firstLine="562" w:firstLineChars="200"/>
        <w:jc w:val="center"/>
        <w:rPr>
          <w:b/>
          <w:bCs/>
          <w:sz w:val="28"/>
          <w:szCs w:val="28"/>
        </w:rPr>
      </w:pPr>
      <w:r>
        <w:rPr>
          <w:rFonts w:hint="eastAsia"/>
          <w:b/>
          <w:bCs/>
          <w:sz w:val="28"/>
          <w:szCs w:val="28"/>
        </w:rPr>
        <w:t>精密度试验统计分析</w:t>
      </w:r>
    </w:p>
    <w:p>
      <w:pPr>
        <w:spacing w:line="360" w:lineRule="auto"/>
        <w:ind w:firstLine="420" w:firstLineChars="200"/>
        <w:rPr>
          <w:szCs w:val="21"/>
        </w:rPr>
      </w:pPr>
      <w:r>
        <w:rPr>
          <w:szCs w:val="21"/>
        </w:rPr>
        <w:t>为了确定《</w:t>
      </w:r>
      <w:r>
        <w:rPr>
          <w:rFonts w:hint="eastAsia"/>
          <w:szCs w:val="21"/>
        </w:rPr>
        <w:t>粗锡化学分析方法第4部分铋量的测定 Na</w:t>
      </w:r>
      <w:r>
        <w:rPr>
          <w:rFonts w:hint="eastAsia"/>
          <w:szCs w:val="21"/>
          <w:vertAlign w:val="subscript"/>
        </w:rPr>
        <w:t>2</w:t>
      </w:r>
      <w:r>
        <w:rPr>
          <w:rFonts w:hint="eastAsia"/>
          <w:szCs w:val="21"/>
        </w:rPr>
        <w:t>EDTA滴定法</w:t>
      </w:r>
      <w:r>
        <w:rPr>
          <w:szCs w:val="21"/>
        </w:rPr>
        <w:t>》</w:t>
      </w:r>
      <w:r>
        <w:rPr>
          <w:rFonts w:hint="eastAsia"/>
          <w:szCs w:val="21"/>
        </w:rPr>
        <w:t>中铋量</w:t>
      </w:r>
      <w:r>
        <w:rPr>
          <w:szCs w:val="21"/>
        </w:rPr>
        <w:t>测定方法的重复性与再现性</w:t>
      </w:r>
      <w:r>
        <w:rPr>
          <w:rFonts w:hint="eastAsia"/>
          <w:szCs w:val="21"/>
        </w:rPr>
        <w:t>，8</w:t>
      </w:r>
      <w:r>
        <w:rPr>
          <w:szCs w:val="21"/>
        </w:rPr>
        <w:t>个实验室对</w:t>
      </w:r>
      <w:r>
        <w:rPr>
          <w:rFonts w:hint="eastAsia"/>
          <w:szCs w:val="21"/>
        </w:rPr>
        <w:t>每个元素3</w:t>
      </w:r>
      <w:r>
        <w:rPr>
          <w:szCs w:val="21"/>
        </w:rPr>
        <w:t>个水平的</w:t>
      </w:r>
      <w:r>
        <w:rPr>
          <w:rFonts w:hint="eastAsia"/>
          <w:szCs w:val="21"/>
        </w:rPr>
        <w:t>粗锡样品进行了协同试验。</w:t>
      </w:r>
      <w:r>
        <w:rPr>
          <w:szCs w:val="21"/>
        </w:rPr>
        <w:t>根据国家标准GB/T 6379.2-2004确定标准测量方法的重复性和再现性的基本方法（ISO 5725-2：1994，IDT）的规定，对收到的全部数据进行了统计分析。</w:t>
      </w:r>
    </w:p>
    <w:p>
      <w:pPr>
        <w:spacing w:line="360" w:lineRule="auto"/>
        <w:rPr>
          <w:rFonts w:ascii="黑体" w:hAnsi="黑体" w:eastAsia="黑体" w:cs="黑体"/>
          <w:sz w:val="24"/>
          <w:szCs w:val="24"/>
        </w:rPr>
      </w:pPr>
      <w:r>
        <w:rPr>
          <w:rFonts w:hint="eastAsia" w:ascii="黑体" w:hAnsi="黑体" w:eastAsia="黑体" w:cs="黑体"/>
          <w:sz w:val="24"/>
          <w:szCs w:val="24"/>
        </w:rPr>
        <w:t>1  原始实验数据和格拉布斯检验</w:t>
      </w:r>
    </w:p>
    <w:p>
      <w:pPr>
        <w:spacing w:line="360" w:lineRule="auto"/>
        <w:ind w:firstLine="420" w:firstLineChars="200"/>
        <w:rPr>
          <w:b/>
          <w:szCs w:val="21"/>
        </w:rPr>
      </w:pPr>
      <w:r>
        <w:rPr>
          <w:rFonts w:hint="eastAsia"/>
          <w:szCs w:val="21"/>
        </w:rPr>
        <w:t>汇总了各实验室试验原始数据，在柯克伦检验之前，为防止一个试验室内较高的变异来自某个测试结果，对各试验室内每个水平的的数据进行格拉布斯检验。</w:t>
      </w:r>
      <w:r>
        <w:rPr>
          <w:rFonts w:hint="eastAsia" w:hAnsi="宋体"/>
          <w:szCs w:val="21"/>
        </w:rPr>
        <w:t>通过格拉布斯检验，未发现异常值</w:t>
      </w:r>
      <w:r>
        <w:rPr>
          <w:rFonts w:hAnsi="宋体"/>
          <w:szCs w:val="21"/>
        </w:rPr>
        <w:t>。</w:t>
      </w:r>
    </w:p>
    <w:p>
      <w:pPr>
        <w:tabs>
          <w:tab w:val="left" w:pos="840"/>
        </w:tabs>
        <w:snapToGrid w:val="0"/>
        <w:spacing w:line="360" w:lineRule="auto"/>
        <w:ind w:firstLine="420" w:firstLineChars="200"/>
        <w:jc w:val="center"/>
        <w:rPr>
          <w:szCs w:val="21"/>
        </w:rPr>
      </w:pPr>
      <w:r>
        <w:rPr>
          <w:szCs w:val="21"/>
        </w:rPr>
        <w:t>表1-1 北矿检测技术有限公司原始数据及检验结果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360" w:lineRule="auto"/>
              <w:jc w:val="center"/>
              <w:rPr>
                <w:kern w:val="0"/>
                <w:szCs w:val="21"/>
              </w:rPr>
            </w:pPr>
            <w:r>
              <w:rPr>
                <w:kern w:val="0"/>
                <w:szCs w:val="21"/>
              </w:rPr>
              <w:t>测定结果</w:t>
            </w:r>
            <w:r>
              <w:rPr>
                <w:rFonts w:hint="eastAsia"/>
                <w:kern w:val="0"/>
                <w:szCs w:val="21"/>
              </w:rPr>
              <w:t>/%</w:t>
            </w:r>
          </w:p>
        </w:tc>
        <w:tc>
          <w:tcPr>
            <w:tcW w:w="1280" w:type="dxa"/>
            <w:noWrap/>
          </w:tcPr>
          <w:p>
            <w:pPr>
              <w:widowControl/>
              <w:jc w:val="center"/>
              <w:textAlignment w:val="top"/>
              <w:rPr>
                <w:szCs w:val="21"/>
              </w:rPr>
            </w:pPr>
            <w:r>
              <w:rPr>
                <w:rFonts w:hint="eastAsia" w:ascii="宋体" w:hAnsi="宋体" w:cs="宋体"/>
                <w:kern w:val="0"/>
                <w:szCs w:val="21"/>
              </w:rPr>
              <w:t>4.44</w:t>
            </w:r>
          </w:p>
        </w:tc>
        <w:tc>
          <w:tcPr>
            <w:tcW w:w="1279" w:type="dxa"/>
            <w:noWrap/>
          </w:tcPr>
          <w:p>
            <w:pPr>
              <w:widowControl/>
              <w:jc w:val="center"/>
              <w:textAlignment w:val="top"/>
              <w:rPr>
                <w:szCs w:val="21"/>
              </w:rPr>
            </w:pPr>
            <w:r>
              <w:rPr>
                <w:rFonts w:hint="eastAsia" w:ascii="宋体" w:hAnsi="宋体" w:cs="宋体"/>
                <w:kern w:val="0"/>
                <w:szCs w:val="21"/>
              </w:rPr>
              <w:t>6.17</w:t>
            </w:r>
          </w:p>
        </w:tc>
        <w:tc>
          <w:tcPr>
            <w:tcW w:w="1281" w:type="dxa"/>
            <w:noWrap/>
          </w:tcPr>
          <w:p>
            <w:pPr>
              <w:widowControl/>
              <w:jc w:val="center"/>
              <w:textAlignment w:val="top"/>
              <w:rPr>
                <w:szCs w:val="21"/>
              </w:rPr>
            </w:pPr>
            <w:r>
              <w:rPr>
                <w:rFonts w:hint="eastAsia" w:ascii="宋体" w:hAnsi="宋体" w:cs="宋体"/>
                <w:kern w:val="0"/>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4.56</w:t>
            </w:r>
          </w:p>
        </w:tc>
        <w:tc>
          <w:tcPr>
            <w:tcW w:w="1279" w:type="dxa"/>
            <w:noWrap/>
          </w:tcPr>
          <w:p>
            <w:pPr>
              <w:widowControl/>
              <w:jc w:val="center"/>
              <w:textAlignment w:val="top"/>
              <w:rPr>
                <w:szCs w:val="21"/>
              </w:rPr>
            </w:pPr>
            <w:r>
              <w:rPr>
                <w:rFonts w:hint="eastAsia" w:ascii="宋体" w:hAnsi="宋体" w:cs="宋体"/>
                <w:kern w:val="0"/>
                <w:szCs w:val="21"/>
              </w:rPr>
              <w:t>6.19</w:t>
            </w:r>
          </w:p>
        </w:tc>
        <w:tc>
          <w:tcPr>
            <w:tcW w:w="1281" w:type="dxa"/>
            <w:noWrap/>
          </w:tcPr>
          <w:p>
            <w:pPr>
              <w:widowControl/>
              <w:jc w:val="center"/>
              <w:textAlignment w:val="top"/>
              <w:rPr>
                <w:szCs w:val="21"/>
              </w:rPr>
            </w:pPr>
            <w:r>
              <w:rPr>
                <w:rFonts w:hint="eastAsia" w:ascii="宋体" w:hAnsi="宋体" w:cs="宋体"/>
                <w:kern w:val="0"/>
                <w:szCs w:val="21"/>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4.65</w:t>
            </w:r>
          </w:p>
        </w:tc>
        <w:tc>
          <w:tcPr>
            <w:tcW w:w="1279" w:type="dxa"/>
            <w:noWrap/>
          </w:tcPr>
          <w:p>
            <w:pPr>
              <w:widowControl/>
              <w:jc w:val="center"/>
              <w:textAlignment w:val="top"/>
              <w:rPr>
                <w:szCs w:val="21"/>
              </w:rPr>
            </w:pPr>
            <w:r>
              <w:rPr>
                <w:rFonts w:hint="eastAsia" w:ascii="宋体" w:hAnsi="宋体" w:cs="宋体"/>
                <w:kern w:val="0"/>
                <w:szCs w:val="21"/>
              </w:rPr>
              <w:t>6.32</w:t>
            </w:r>
          </w:p>
        </w:tc>
        <w:tc>
          <w:tcPr>
            <w:tcW w:w="1281" w:type="dxa"/>
            <w:noWrap/>
          </w:tcPr>
          <w:p>
            <w:pPr>
              <w:widowControl/>
              <w:jc w:val="center"/>
              <w:textAlignment w:val="top"/>
              <w:rPr>
                <w:szCs w:val="21"/>
              </w:rPr>
            </w:pPr>
            <w:r>
              <w:rPr>
                <w:rFonts w:hint="eastAsia" w:ascii="宋体" w:hAnsi="宋体" w:cs="宋体"/>
                <w:kern w:val="0"/>
                <w:szCs w:val="21"/>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4.56</w:t>
            </w:r>
          </w:p>
        </w:tc>
        <w:tc>
          <w:tcPr>
            <w:tcW w:w="1279" w:type="dxa"/>
            <w:noWrap/>
          </w:tcPr>
          <w:p>
            <w:pPr>
              <w:widowControl/>
              <w:jc w:val="center"/>
              <w:textAlignment w:val="top"/>
              <w:rPr>
                <w:szCs w:val="21"/>
              </w:rPr>
            </w:pPr>
            <w:r>
              <w:rPr>
                <w:rFonts w:hint="eastAsia" w:ascii="宋体" w:hAnsi="宋体" w:cs="宋体"/>
                <w:kern w:val="0"/>
                <w:szCs w:val="21"/>
              </w:rPr>
              <w:t>6.31</w:t>
            </w:r>
          </w:p>
        </w:tc>
        <w:tc>
          <w:tcPr>
            <w:tcW w:w="1281" w:type="dxa"/>
            <w:noWrap/>
          </w:tcPr>
          <w:p>
            <w:pPr>
              <w:widowControl/>
              <w:jc w:val="center"/>
              <w:textAlignment w:val="top"/>
              <w:rPr>
                <w:szCs w:val="21"/>
              </w:rPr>
            </w:pPr>
            <w:r>
              <w:rPr>
                <w:rFonts w:hint="eastAsia" w:ascii="宋体" w:hAnsi="宋体" w:cs="宋体"/>
                <w:kern w:val="0"/>
                <w:szCs w:val="21"/>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4.48</w:t>
            </w:r>
          </w:p>
        </w:tc>
        <w:tc>
          <w:tcPr>
            <w:tcW w:w="1279" w:type="dxa"/>
            <w:noWrap/>
          </w:tcPr>
          <w:p>
            <w:pPr>
              <w:widowControl/>
              <w:jc w:val="center"/>
              <w:textAlignment w:val="top"/>
              <w:rPr>
                <w:szCs w:val="21"/>
              </w:rPr>
            </w:pPr>
            <w:r>
              <w:rPr>
                <w:rFonts w:hint="eastAsia" w:ascii="宋体" w:hAnsi="宋体" w:cs="宋体"/>
                <w:kern w:val="0"/>
                <w:szCs w:val="21"/>
              </w:rPr>
              <w:t>6.3</w:t>
            </w:r>
          </w:p>
        </w:tc>
        <w:tc>
          <w:tcPr>
            <w:tcW w:w="1281" w:type="dxa"/>
            <w:noWrap/>
          </w:tcPr>
          <w:p>
            <w:pPr>
              <w:widowControl/>
              <w:jc w:val="center"/>
              <w:textAlignment w:val="top"/>
              <w:rPr>
                <w:szCs w:val="21"/>
              </w:rPr>
            </w:pPr>
            <w:r>
              <w:rPr>
                <w:rFonts w:hint="eastAsia" w:ascii="宋体" w:hAnsi="宋体" w:cs="宋体"/>
                <w:kern w:val="0"/>
                <w:szCs w:val="21"/>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4.52</w:t>
            </w:r>
          </w:p>
        </w:tc>
        <w:tc>
          <w:tcPr>
            <w:tcW w:w="1279" w:type="dxa"/>
            <w:noWrap/>
          </w:tcPr>
          <w:p>
            <w:pPr>
              <w:widowControl/>
              <w:jc w:val="center"/>
              <w:textAlignment w:val="top"/>
              <w:rPr>
                <w:szCs w:val="21"/>
              </w:rPr>
            </w:pPr>
            <w:r>
              <w:rPr>
                <w:rFonts w:hint="eastAsia" w:ascii="宋体" w:hAnsi="宋体" w:cs="宋体"/>
                <w:kern w:val="0"/>
                <w:szCs w:val="21"/>
              </w:rPr>
              <w:t>6.24</w:t>
            </w:r>
          </w:p>
        </w:tc>
        <w:tc>
          <w:tcPr>
            <w:tcW w:w="1281" w:type="dxa"/>
            <w:noWrap/>
          </w:tcPr>
          <w:p>
            <w:pPr>
              <w:widowControl/>
              <w:jc w:val="center"/>
              <w:textAlignment w:val="top"/>
              <w:rPr>
                <w:szCs w:val="21"/>
              </w:rPr>
            </w:pPr>
            <w:r>
              <w:rPr>
                <w:rFonts w:hint="eastAsia" w:ascii="宋体" w:hAnsi="宋体" w:cs="宋体"/>
                <w:kern w:val="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4.61</w:t>
            </w:r>
          </w:p>
        </w:tc>
        <w:tc>
          <w:tcPr>
            <w:tcW w:w="1279" w:type="dxa"/>
            <w:noWrap/>
          </w:tcPr>
          <w:p>
            <w:pPr>
              <w:widowControl/>
              <w:jc w:val="center"/>
              <w:textAlignment w:val="top"/>
              <w:rPr>
                <w:szCs w:val="21"/>
              </w:rPr>
            </w:pPr>
            <w:r>
              <w:rPr>
                <w:rFonts w:hint="eastAsia" w:ascii="宋体" w:hAnsi="宋体" w:cs="宋体"/>
                <w:kern w:val="0"/>
                <w:szCs w:val="21"/>
              </w:rPr>
              <w:t>6.26</w:t>
            </w:r>
          </w:p>
        </w:tc>
        <w:tc>
          <w:tcPr>
            <w:tcW w:w="1281" w:type="dxa"/>
            <w:noWrap/>
          </w:tcPr>
          <w:p>
            <w:pPr>
              <w:widowControl/>
              <w:jc w:val="center"/>
              <w:textAlignment w:val="top"/>
              <w:rPr>
                <w:szCs w:val="21"/>
              </w:rPr>
            </w:pPr>
            <w:r>
              <w:rPr>
                <w:rFonts w:hint="eastAsia" w:ascii="宋体" w:hAnsi="宋体" w:cs="宋体"/>
                <w:kern w:val="0"/>
                <w:szCs w:val="21"/>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4.57</w:t>
            </w:r>
          </w:p>
        </w:tc>
        <w:tc>
          <w:tcPr>
            <w:tcW w:w="1279" w:type="dxa"/>
            <w:noWrap/>
          </w:tcPr>
          <w:p>
            <w:pPr>
              <w:widowControl/>
              <w:jc w:val="center"/>
              <w:textAlignment w:val="top"/>
              <w:rPr>
                <w:szCs w:val="21"/>
              </w:rPr>
            </w:pPr>
            <w:r>
              <w:rPr>
                <w:rFonts w:hint="eastAsia" w:ascii="宋体" w:hAnsi="宋体" w:cs="宋体"/>
                <w:kern w:val="0"/>
                <w:szCs w:val="21"/>
              </w:rPr>
              <w:t>6.4</w:t>
            </w:r>
          </w:p>
        </w:tc>
        <w:tc>
          <w:tcPr>
            <w:tcW w:w="1281" w:type="dxa"/>
            <w:noWrap/>
          </w:tcPr>
          <w:p>
            <w:pPr>
              <w:widowControl/>
              <w:jc w:val="center"/>
              <w:textAlignment w:val="top"/>
              <w:rPr>
                <w:szCs w:val="21"/>
              </w:rPr>
            </w:pPr>
            <w:r>
              <w:rPr>
                <w:rFonts w:hint="eastAsia" w:ascii="宋体" w:hAnsi="宋体" w:cs="宋体"/>
                <w:kern w:val="0"/>
                <w:szCs w:val="21"/>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4.51</w:t>
            </w:r>
          </w:p>
        </w:tc>
        <w:tc>
          <w:tcPr>
            <w:tcW w:w="1279" w:type="dxa"/>
            <w:noWrap/>
          </w:tcPr>
          <w:p>
            <w:pPr>
              <w:widowControl/>
              <w:jc w:val="center"/>
              <w:textAlignment w:val="top"/>
              <w:rPr>
                <w:szCs w:val="21"/>
              </w:rPr>
            </w:pPr>
            <w:r>
              <w:rPr>
                <w:rFonts w:hint="eastAsia" w:ascii="宋体" w:hAnsi="宋体" w:cs="宋体"/>
                <w:kern w:val="0"/>
                <w:szCs w:val="21"/>
              </w:rPr>
              <w:t>6.35</w:t>
            </w:r>
          </w:p>
        </w:tc>
        <w:tc>
          <w:tcPr>
            <w:tcW w:w="1281" w:type="dxa"/>
            <w:noWrap/>
          </w:tcPr>
          <w:p>
            <w:pPr>
              <w:widowControl/>
              <w:jc w:val="center"/>
              <w:textAlignment w:val="top"/>
              <w:rPr>
                <w:szCs w:val="21"/>
              </w:rPr>
            </w:pPr>
            <w:r>
              <w:rPr>
                <w:rFonts w:hint="eastAsia" w:ascii="宋体" w:hAnsi="宋体" w:cs="宋体"/>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4.6</w:t>
            </w:r>
          </w:p>
        </w:tc>
        <w:tc>
          <w:tcPr>
            <w:tcW w:w="1279" w:type="dxa"/>
            <w:noWrap/>
          </w:tcPr>
          <w:p>
            <w:pPr>
              <w:widowControl/>
              <w:jc w:val="center"/>
              <w:textAlignment w:val="top"/>
              <w:rPr>
                <w:szCs w:val="21"/>
              </w:rPr>
            </w:pPr>
            <w:r>
              <w:rPr>
                <w:rFonts w:hint="eastAsia" w:ascii="宋体" w:hAnsi="宋体" w:cs="宋体"/>
                <w:kern w:val="0"/>
                <w:szCs w:val="21"/>
              </w:rPr>
              <w:t>6.38</w:t>
            </w:r>
          </w:p>
        </w:tc>
        <w:tc>
          <w:tcPr>
            <w:tcW w:w="1281" w:type="dxa"/>
            <w:noWrap/>
          </w:tcPr>
          <w:p>
            <w:pPr>
              <w:widowControl/>
              <w:jc w:val="center"/>
              <w:textAlignment w:val="top"/>
              <w:rPr>
                <w:szCs w:val="21"/>
              </w:rPr>
            </w:pPr>
            <w:r>
              <w:rPr>
                <w:rFonts w:hint="eastAsia" w:ascii="宋体" w:hAnsi="宋体" w:cs="宋体"/>
                <w:kern w:val="0"/>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4.48</w:t>
            </w:r>
          </w:p>
        </w:tc>
        <w:tc>
          <w:tcPr>
            <w:tcW w:w="1279" w:type="dxa"/>
            <w:noWrap/>
          </w:tcPr>
          <w:p>
            <w:pPr>
              <w:widowControl/>
              <w:jc w:val="center"/>
              <w:textAlignment w:val="top"/>
              <w:rPr>
                <w:szCs w:val="21"/>
              </w:rPr>
            </w:pPr>
            <w:r>
              <w:rPr>
                <w:rFonts w:hint="eastAsia" w:ascii="宋体" w:hAnsi="宋体" w:cs="宋体"/>
                <w:kern w:val="0"/>
                <w:szCs w:val="21"/>
              </w:rPr>
              <w:t>6.31</w:t>
            </w:r>
          </w:p>
        </w:tc>
        <w:tc>
          <w:tcPr>
            <w:tcW w:w="1281" w:type="dxa"/>
            <w:noWrap/>
          </w:tcPr>
          <w:p>
            <w:pPr>
              <w:widowControl/>
              <w:jc w:val="center"/>
              <w:textAlignment w:val="top"/>
              <w:rPr>
                <w:szCs w:val="21"/>
              </w:rPr>
            </w:pPr>
            <w:r>
              <w:rPr>
                <w:rFonts w:hint="eastAsia" w:ascii="宋体" w:hAnsi="宋体" w:cs="宋体"/>
                <w:kern w:val="0"/>
                <w:szCs w:val="21"/>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900" w:type="dxa"/>
            <w:noWrap/>
            <w:vAlign w:val="center"/>
          </w:tcPr>
          <w:p>
            <w:pPr>
              <w:widowControl/>
              <w:spacing w:line="360" w:lineRule="auto"/>
              <w:jc w:val="center"/>
              <w:rPr>
                <w:kern w:val="0"/>
                <w:szCs w:val="21"/>
              </w:rPr>
            </w:pPr>
            <w:r>
              <w:rPr>
                <w:kern w:val="0"/>
                <w:szCs w:val="21"/>
              </w:rPr>
              <w:t>均值</w:t>
            </w:r>
            <w:r>
              <w:rPr>
                <w:rFonts w:hint="eastAsia"/>
                <w:kern w:val="0"/>
                <w:szCs w:val="21"/>
              </w:rPr>
              <w:t>/%</w:t>
            </w:r>
          </w:p>
        </w:tc>
        <w:tc>
          <w:tcPr>
            <w:tcW w:w="1280" w:type="dxa"/>
            <w:noWrap/>
          </w:tcPr>
          <w:p>
            <w:pPr>
              <w:widowControl/>
              <w:jc w:val="center"/>
              <w:textAlignment w:val="top"/>
              <w:rPr>
                <w:szCs w:val="21"/>
              </w:rPr>
            </w:pPr>
            <w:r>
              <w:rPr>
                <w:rFonts w:hint="eastAsia" w:ascii="宋体" w:hAnsi="宋体" w:cs="宋体"/>
                <w:kern w:val="0"/>
                <w:szCs w:val="21"/>
              </w:rPr>
              <w:t>4.54</w:t>
            </w:r>
          </w:p>
        </w:tc>
        <w:tc>
          <w:tcPr>
            <w:tcW w:w="1279" w:type="dxa"/>
            <w:noWrap/>
          </w:tcPr>
          <w:p>
            <w:pPr>
              <w:widowControl/>
              <w:jc w:val="center"/>
              <w:textAlignment w:val="top"/>
              <w:rPr>
                <w:szCs w:val="21"/>
              </w:rPr>
            </w:pPr>
            <w:r>
              <w:rPr>
                <w:rFonts w:hint="eastAsia" w:ascii="宋体" w:hAnsi="宋体" w:cs="宋体"/>
                <w:kern w:val="0"/>
                <w:szCs w:val="21"/>
              </w:rPr>
              <w:t>6.29</w:t>
            </w:r>
          </w:p>
        </w:tc>
        <w:tc>
          <w:tcPr>
            <w:tcW w:w="1281" w:type="dxa"/>
            <w:noWrap/>
          </w:tcPr>
          <w:p>
            <w:pPr>
              <w:widowControl/>
              <w:jc w:val="center"/>
              <w:textAlignment w:val="top"/>
              <w:rPr>
                <w:szCs w:val="21"/>
              </w:rPr>
            </w:pPr>
            <w:r>
              <w:rPr>
                <w:rFonts w:hint="eastAsia" w:ascii="宋体" w:hAnsi="宋体" w:cs="宋体"/>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标准偏差</w:t>
            </w:r>
          </w:p>
        </w:tc>
        <w:tc>
          <w:tcPr>
            <w:tcW w:w="1280" w:type="dxa"/>
            <w:noWrap/>
            <w:vAlign w:val="center"/>
          </w:tcPr>
          <w:p>
            <w:pPr>
              <w:widowControl/>
              <w:jc w:val="center"/>
              <w:textAlignment w:val="center"/>
              <w:rPr>
                <w:szCs w:val="21"/>
              </w:rPr>
            </w:pPr>
            <w:r>
              <w:rPr>
                <w:rFonts w:hint="eastAsia" w:ascii="宋体" w:hAnsi="宋体" w:cs="宋体"/>
                <w:kern w:val="0"/>
                <w:szCs w:val="21"/>
              </w:rPr>
              <w:t>0.0638</w:t>
            </w:r>
          </w:p>
        </w:tc>
        <w:tc>
          <w:tcPr>
            <w:tcW w:w="1279" w:type="dxa"/>
            <w:noWrap/>
            <w:vAlign w:val="center"/>
          </w:tcPr>
          <w:p>
            <w:pPr>
              <w:widowControl/>
              <w:jc w:val="center"/>
              <w:textAlignment w:val="center"/>
              <w:rPr>
                <w:szCs w:val="21"/>
              </w:rPr>
            </w:pPr>
            <w:r>
              <w:rPr>
                <w:rFonts w:hint="eastAsia" w:ascii="宋体" w:hAnsi="宋体" w:cs="宋体"/>
                <w:kern w:val="0"/>
                <w:szCs w:val="21"/>
              </w:rPr>
              <w:t>0.0730</w:t>
            </w:r>
          </w:p>
        </w:tc>
        <w:tc>
          <w:tcPr>
            <w:tcW w:w="1281" w:type="dxa"/>
            <w:noWrap/>
            <w:vAlign w:val="center"/>
          </w:tcPr>
          <w:p>
            <w:pPr>
              <w:widowControl/>
              <w:jc w:val="center"/>
              <w:textAlignment w:val="center"/>
              <w:rPr>
                <w:szCs w:val="21"/>
              </w:rPr>
            </w:pPr>
            <w:r>
              <w:rPr>
                <w:rFonts w:hint="eastAsia" w:ascii="宋体" w:hAnsi="宋体" w:cs="宋体"/>
                <w:kern w:val="0"/>
                <w:szCs w:val="21"/>
              </w:rPr>
              <w:t>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4.65</w:t>
            </w:r>
          </w:p>
        </w:tc>
        <w:tc>
          <w:tcPr>
            <w:tcW w:w="1279" w:type="dxa"/>
            <w:noWrap/>
            <w:vAlign w:val="center"/>
          </w:tcPr>
          <w:p>
            <w:pPr>
              <w:widowControl/>
              <w:jc w:val="center"/>
              <w:textAlignment w:val="center"/>
              <w:rPr>
                <w:szCs w:val="21"/>
              </w:rPr>
            </w:pPr>
            <w:r>
              <w:rPr>
                <w:rFonts w:hint="eastAsia" w:ascii="宋体" w:hAnsi="宋体" w:cs="宋体"/>
                <w:kern w:val="0"/>
                <w:szCs w:val="21"/>
              </w:rPr>
              <w:t>6.4</w:t>
            </w:r>
          </w:p>
        </w:tc>
        <w:tc>
          <w:tcPr>
            <w:tcW w:w="1281" w:type="dxa"/>
            <w:noWrap/>
            <w:vAlign w:val="center"/>
          </w:tcPr>
          <w:p>
            <w:pPr>
              <w:widowControl/>
              <w:jc w:val="center"/>
              <w:textAlignment w:val="center"/>
              <w:rPr>
                <w:szCs w:val="21"/>
              </w:rPr>
            </w:pPr>
            <w:r>
              <w:rPr>
                <w:rFonts w:hint="eastAsia" w:ascii="宋体" w:hAnsi="宋体" w:cs="宋体"/>
                <w:kern w:val="0"/>
                <w:szCs w:val="21"/>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4.44</w:t>
            </w:r>
          </w:p>
        </w:tc>
        <w:tc>
          <w:tcPr>
            <w:tcW w:w="1279" w:type="dxa"/>
            <w:noWrap/>
            <w:vAlign w:val="center"/>
          </w:tcPr>
          <w:p>
            <w:pPr>
              <w:widowControl/>
              <w:jc w:val="center"/>
              <w:textAlignment w:val="center"/>
              <w:rPr>
                <w:szCs w:val="21"/>
              </w:rPr>
            </w:pPr>
            <w:r>
              <w:rPr>
                <w:rFonts w:hint="eastAsia" w:ascii="宋体" w:hAnsi="宋体" w:cs="宋体"/>
                <w:kern w:val="0"/>
                <w:szCs w:val="21"/>
              </w:rPr>
              <w:t>6.17</w:t>
            </w:r>
          </w:p>
        </w:tc>
        <w:tc>
          <w:tcPr>
            <w:tcW w:w="1281" w:type="dxa"/>
            <w:noWrap/>
            <w:vAlign w:val="center"/>
          </w:tcPr>
          <w:p>
            <w:pPr>
              <w:widowControl/>
              <w:jc w:val="center"/>
              <w:textAlignment w:val="center"/>
              <w:rPr>
                <w:szCs w:val="21"/>
              </w:rPr>
            </w:pPr>
            <w:r>
              <w:rPr>
                <w:rFonts w:hint="eastAsia" w:ascii="宋体" w:hAnsi="宋体" w:cs="宋体"/>
                <w:kern w:val="0"/>
                <w:szCs w:val="21"/>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1.668</w:t>
            </w:r>
          </w:p>
        </w:tc>
        <w:tc>
          <w:tcPr>
            <w:tcW w:w="1279" w:type="dxa"/>
            <w:noWrap/>
            <w:vAlign w:val="center"/>
          </w:tcPr>
          <w:p>
            <w:pPr>
              <w:widowControl/>
              <w:jc w:val="center"/>
              <w:textAlignment w:val="center"/>
              <w:rPr>
                <w:szCs w:val="21"/>
              </w:rPr>
            </w:pPr>
            <w:r>
              <w:rPr>
                <w:rFonts w:hint="eastAsia" w:ascii="宋体" w:hAnsi="宋体" w:cs="宋体"/>
                <w:kern w:val="0"/>
                <w:szCs w:val="21"/>
              </w:rPr>
              <w:t>1.458</w:t>
            </w:r>
          </w:p>
        </w:tc>
        <w:tc>
          <w:tcPr>
            <w:tcW w:w="1281" w:type="dxa"/>
            <w:noWrap/>
            <w:vAlign w:val="center"/>
          </w:tcPr>
          <w:p>
            <w:pPr>
              <w:widowControl/>
              <w:jc w:val="center"/>
              <w:textAlignment w:val="center"/>
              <w:rPr>
                <w:szCs w:val="21"/>
              </w:rPr>
            </w:pPr>
            <w:r>
              <w:rPr>
                <w:rFonts w:hint="eastAsia" w:ascii="宋体" w:hAnsi="宋体" w:cs="宋体"/>
                <w:kern w:val="0"/>
                <w:szCs w:val="21"/>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1.625</w:t>
            </w:r>
          </w:p>
        </w:tc>
        <w:tc>
          <w:tcPr>
            <w:tcW w:w="1279" w:type="dxa"/>
            <w:noWrap/>
            <w:vAlign w:val="center"/>
          </w:tcPr>
          <w:p>
            <w:pPr>
              <w:widowControl/>
              <w:jc w:val="center"/>
              <w:textAlignment w:val="center"/>
              <w:rPr>
                <w:szCs w:val="21"/>
              </w:rPr>
            </w:pPr>
            <w:r>
              <w:rPr>
                <w:rFonts w:hint="eastAsia" w:ascii="宋体" w:hAnsi="宋体" w:cs="宋体"/>
                <w:kern w:val="0"/>
                <w:szCs w:val="21"/>
              </w:rPr>
              <w:t>1.694</w:t>
            </w:r>
          </w:p>
        </w:tc>
        <w:tc>
          <w:tcPr>
            <w:tcW w:w="1281" w:type="dxa"/>
            <w:noWrap/>
            <w:vAlign w:val="center"/>
          </w:tcPr>
          <w:p>
            <w:pPr>
              <w:widowControl/>
              <w:jc w:val="center"/>
              <w:textAlignment w:val="center"/>
              <w:rPr>
                <w:szCs w:val="21"/>
              </w:rPr>
            </w:pPr>
            <w:r>
              <w:rPr>
                <w:rFonts w:hint="eastAsia" w:ascii="宋体" w:hAnsi="宋体" w:cs="宋体"/>
                <w:kern w:val="0"/>
                <w:szCs w:val="21"/>
              </w:rPr>
              <w:t>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740" w:type="dxa"/>
            <w:gridSpan w:val="4"/>
            <w:noWrap/>
            <w:vAlign w:val="center"/>
          </w:tcPr>
          <w:p>
            <w:pPr>
              <w:spacing w:line="360" w:lineRule="auto"/>
              <w:jc w:val="center"/>
              <w:rPr>
                <w:szCs w:val="21"/>
              </w:rPr>
            </w:pPr>
            <w:r>
              <w:rPr>
                <w:rFonts w:hint="eastAsia"/>
                <w:szCs w:val="21"/>
              </w:rPr>
              <w:t>当n=11，α=0.05时临界值为2.355，α=0.01时临界值为2.564。</w:t>
            </w:r>
          </w:p>
        </w:tc>
      </w:tr>
    </w:tbl>
    <w:p>
      <w:pPr>
        <w:spacing w:beforeLines="50"/>
        <w:rPr>
          <w:b/>
          <w:szCs w:val="21"/>
        </w:rPr>
      </w:pPr>
    </w:p>
    <w:p>
      <w:pPr>
        <w:tabs>
          <w:tab w:val="left" w:pos="840"/>
        </w:tabs>
        <w:snapToGrid w:val="0"/>
        <w:spacing w:line="360" w:lineRule="auto"/>
        <w:ind w:firstLine="420" w:firstLineChars="200"/>
        <w:jc w:val="center"/>
        <w:rPr>
          <w:szCs w:val="21"/>
        </w:rPr>
      </w:pPr>
      <w:r>
        <w:rPr>
          <w:szCs w:val="21"/>
        </w:rPr>
        <w:t>表1-</w:t>
      </w:r>
      <w:r>
        <w:rPr>
          <w:rFonts w:hint="eastAsia"/>
          <w:szCs w:val="21"/>
        </w:rPr>
        <w:t>2</w:t>
      </w:r>
      <w:r>
        <w:rPr>
          <w:rFonts w:hint="eastAsia" w:ascii="宋体" w:hAnsi="宋体" w:cs="宋体"/>
          <w:szCs w:val="21"/>
        </w:rPr>
        <w:t>云锡股份有限公司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360" w:lineRule="auto"/>
              <w:jc w:val="center"/>
              <w:rPr>
                <w:kern w:val="0"/>
                <w:szCs w:val="21"/>
              </w:rPr>
            </w:pPr>
            <w:r>
              <w:rPr>
                <w:kern w:val="0"/>
                <w:szCs w:val="21"/>
              </w:rPr>
              <w:t>测定结果</w:t>
            </w:r>
            <w:r>
              <w:rPr>
                <w:rFonts w:hint="eastAsia"/>
                <w:kern w:val="0"/>
                <w:szCs w:val="21"/>
              </w:rPr>
              <w:t>/%</w:t>
            </w:r>
          </w:p>
        </w:tc>
        <w:tc>
          <w:tcPr>
            <w:tcW w:w="1280" w:type="dxa"/>
            <w:noWrap/>
          </w:tcPr>
          <w:p>
            <w:pPr>
              <w:widowControl/>
              <w:jc w:val="center"/>
              <w:textAlignment w:val="top"/>
              <w:rPr>
                <w:szCs w:val="21"/>
              </w:rPr>
            </w:pPr>
            <w:r>
              <w:rPr>
                <w:rFonts w:hint="eastAsia" w:ascii="宋体" w:hAnsi="宋体" w:cs="宋体"/>
                <w:kern w:val="0"/>
                <w:szCs w:val="21"/>
              </w:rPr>
              <w:t>4.55</w:t>
            </w:r>
          </w:p>
        </w:tc>
        <w:tc>
          <w:tcPr>
            <w:tcW w:w="1279" w:type="dxa"/>
            <w:noWrap/>
          </w:tcPr>
          <w:p>
            <w:pPr>
              <w:widowControl/>
              <w:jc w:val="center"/>
              <w:textAlignment w:val="top"/>
              <w:rPr>
                <w:szCs w:val="21"/>
              </w:rPr>
            </w:pPr>
            <w:r>
              <w:rPr>
                <w:rFonts w:hint="eastAsia" w:ascii="宋体" w:hAnsi="宋体" w:cs="宋体"/>
                <w:kern w:val="0"/>
                <w:szCs w:val="21"/>
              </w:rPr>
              <w:t>6.25</w:t>
            </w:r>
          </w:p>
        </w:tc>
        <w:tc>
          <w:tcPr>
            <w:tcW w:w="1281" w:type="dxa"/>
            <w:noWrap/>
          </w:tcPr>
          <w:p>
            <w:pPr>
              <w:widowControl/>
              <w:jc w:val="center"/>
              <w:textAlignment w:val="top"/>
              <w:rPr>
                <w:szCs w:val="21"/>
              </w:rPr>
            </w:pPr>
            <w:r>
              <w:rPr>
                <w:rFonts w:hint="eastAsia" w:ascii="宋体" w:hAnsi="宋体" w:cs="宋体"/>
                <w:kern w:val="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4.54</w:t>
            </w:r>
          </w:p>
        </w:tc>
        <w:tc>
          <w:tcPr>
            <w:tcW w:w="1279" w:type="dxa"/>
            <w:noWrap/>
          </w:tcPr>
          <w:p>
            <w:pPr>
              <w:widowControl/>
              <w:jc w:val="center"/>
              <w:textAlignment w:val="top"/>
              <w:rPr>
                <w:szCs w:val="21"/>
              </w:rPr>
            </w:pPr>
            <w:r>
              <w:rPr>
                <w:rFonts w:hint="eastAsia" w:ascii="宋体" w:hAnsi="宋体" w:cs="宋体"/>
                <w:kern w:val="0"/>
                <w:szCs w:val="21"/>
              </w:rPr>
              <w:t>6.22</w:t>
            </w:r>
          </w:p>
        </w:tc>
        <w:tc>
          <w:tcPr>
            <w:tcW w:w="1281" w:type="dxa"/>
            <w:noWrap/>
          </w:tcPr>
          <w:p>
            <w:pPr>
              <w:widowControl/>
              <w:jc w:val="center"/>
              <w:textAlignment w:val="top"/>
              <w:rPr>
                <w:szCs w:val="21"/>
              </w:rPr>
            </w:pPr>
            <w:r>
              <w:rPr>
                <w:rFonts w:hint="eastAsia" w:ascii="宋体" w:hAnsi="宋体" w:cs="宋体"/>
                <w:kern w:val="0"/>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4.59</w:t>
            </w:r>
          </w:p>
        </w:tc>
        <w:tc>
          <w:tcPr>
            <w:tcW w:w="1279" w:type="dxa"/>
            <w:noWrap/>
          </w:tcPr>
          <w:p>
            <w:pPr>
              <w:widowControl/>
              <w:jc w:val="center"/>
              <w:textAlignment w:val="top"/>
              <w:rPr>
                <w:szCs w:val="21"/>
              </w:rPr>
            </w:pPr>
            <w:r>
              <w:rPr>
                <w:rFonts w:hint="eastAsia" w:ascii="宋体" w:hAnsi="宋体" w:cs="宋体"/>
                <w:kern w:val="0"/>
                <w:szCs w:val="21"/>
              </w:rPr>
              <w:t>6.3</w:t>
            </w:r>
          </w:p>
        </w:tc>
        <w:tc>
          <w:tcPr>
            <w:tcW w:w="1281" w:type="dxa"/>
            <w:noWrap/>
          </w:tcPr>
          <w:p>
            <w:pPr>
              <w:widowControl/>
              <w:jc w:val="center"/>
              <w:textAlignment w:val="top"/>
              <w:rPr>
                <w:szCs w:val="21"/>
              </w:rPr>
            </w:pPr>
            <w:r>
              <w:rPr>
                <w:rFonts w:hint="eastAsia" w:ascii="宋体" w:hAnsi="宋体" w:cs="宋体"/>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4.56</w:t>
            </w:r>
          </w:p>
        </w:tc>
        <w:tc>
          <w:tcPr>
            <w:tcW w:w="1279" w:type="dxa"/>
            <w:noWrap/>
          </w:tcPr>
          <w:p>
            <w:pPr>
              <w:widowControl/>
              <w:jc w:val="center"/>
              <w:textAlignment w:val="top"/>
              <w:rPr>
                <w:szCs w:val="21"/>
              </w:rPr>
            </w:pPr>
            <w:r>
              <w:rPr>
                <w:rFonts w:hint="eastAsia" w:ascii="宋体" w:hAnsi="宋体" w:cs="宋体"/>
                <w:kern w:val="0"/>
                <w:szCs w:val="21"/>
              </w:rPr>
              <w:t>6.3</w:t>
            </w:r>
          </w:p>
        </w:tc>
        <w:tc>
          <w:tcPr>
            <w:tcW w:w="1281" w:type="dxa"/>
            <w:noWrap/>
          </w:tcPr>
          <w:p>
            <w:pPr>
              <w:widowControl/>
              <w:jc w:val="center"/>
              <w:textAlignment w:val="top"/>
              <w:rPr>
                <w:szCs w:val="21"/>
              </w:rPr>
            </w:pPr>
            <w:r>
              <w:rPr>
                <w:rFonts w:hint="eastAsia" w:ascii="宋体" w:hAnsi="宋体" w:cs="宋体"/>
                <w:kern w:val="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4.57</w:t>
            </w:r>
          </w:p>
        </w:tc>
        <w:tc>
          <w:tcPr>
            <w:tcW w:w="1279" w:type="dxa"/>
            <w:noWrap/>
          </w:tcPr>
          <w:p>
            <w:pPr>
              <w:widowControl/>
              <w:jc w:val="center"/>
              <w:textAlignment w:val="top"/>
              <w:rPr>
                <w:szCs w:val="21"/>
              </w:rPr>
            </w:pPr>
            <w:r>
              <w:rPr>
                <w:rFonts w:hint="eastAsia" w:ascii="宋体" w:hAnsi="宋体" w:cs="宋体"/>
                <w:kern w:val="0"/>
                <w:szCs w:val="21"/>
              </w:rPr>
              <w:t>6.28</w:t>
            </w:r>
          </w:p>
        </w:tc>
        <w:tc>
          <w:tcPr>
            <w:tcW w:w="1281" w:type="dxa"/>
            <w:noWrap/>
          </w:tcPr>
          <w:p>
            <w:pPr>
              <w:widowControl/>
              <w:jc w:val="center"/>
              <w:textAlignment w:val="top"/>
              <w:rPr>
                <w:szCs w:val="21"/>
              </w:rPr>
            </w:pPr>
            <w:r>
              <w:rPr>
                <w:rFonts w:hint="eastAsia" w:ascii="宋体" w:hAnsi="宋体" w:cs="宋体"/>
                <w:kern w:val="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4.49</w:t>
            </w:r>
          </w:p>
        </w:tc>
        <w:tc>
          <w:tcPr>
            <w:tcW w:w="1279" w:type="dxa"/>
            <w:noWrap/>
          </w:tcPr>
          <w:p>
            <w:pPr>
              <w:widowControl/>
              <w:jc w:val="center"/>
              <w:textAlignment w:val="top"/>
              <w:rPr>
                <w:szCs w:val="21"/>
              </w:rPr>
            </w:pPr>
            <w:r>
              <w:rPr>
                <w:rFonts w:hint="eastAsia" w:ascii="宋体" w:hAnsi="宋体" w:cs="宋体"/>
                <w:kern w:val="0"/>
                <w:szCs w:val="21"/>
              </w:rPr>
              <w:t>6.22</w:t>
            </w:r>
          </w:p>
        </w:tc>
        <w:tc>
          <w:tcPr>
            <w:tcW w:w="1281" w:type="dxa"/>
            <w:noWrap/>
          </w:tcPr>
          <w:p>
            <w:pPr>
              <w:widowControl/>
              <w:jc w:val="center"/>
              <w:textAlignment w:val="top"/>
              <w:rPr>
                <w:szCs w:val="21"/>
              </w:rPr>
            </w:pPr>
            <w:r>
              <w:rPr>
                <w:rFonts w:hint="eastAsia" w:ascii="宋体" w:hAnsi="宋体" w:cs="宋体"/>
                <w:kern w:val="0"/>
                <w:szCs w:val="21"/>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4.56</w:t>
            </w:r>
          </w:p>
        </w:tc>
        <w:tc>
          <w:tcPr>
            <w:tcW w:w="1279" w:type="dxa"/>
            <w:noWrap/>
          </w:tcPr>
          <w:p>
            <w:pPr>
              <w:widowControl/>
              <w:jc w:val="center"/>
              <w:textAlignment w:val="top"/>
              <w:rPr>
                <w:szCs w:val="21"/>
              </w:rPr>
            </w:pPr>
            <w:r>
              <w:rPr>
                <w:rFonts w:hint="eastAsia" w:ascii="宋体" w:hAnsi="宋体" w:cs="宋体"/>
                <w:kern w:val="0"/>
                <w:szCs w:val="21"/>
              </w:rPr>
              <w:t>6.26</w:t>
            </w:r>
          </w:p>
        </w:tc>
        <w:tc>
          <w:tcPr>
            <w:tcW w:w="1281" w:type="dxa"/>
            <w:noWrap/>
          </w:tcPr>
          <w:p>
            <w:pPr>
              <w:widowControl/>
              <w:jc w:val="center"/>
              <w:textAlignment w:val="top"/>
              <w:rPr>
                <w:szCs w:val="21"/>
              </w:rPr>
            </w:pPr>
            <w:r>
              <w:rPr>
                <w:rFonts w:hint="eastAsia" w:ascii="宋体" w:hAnsi="宋体" w:cs="宋体"/>
                <w:kern w:val="0"/>
                <w:szCs w:val="21"/>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4.59</w:t>
            </w:r>
          </w:p>
        </w:tc>
        <w:tc>
          <w:tcPr>
            <w:tcW w:w="1279" w:type="dxa"/>
            <w:noWrap/>
          </w:tcPr>
          <w:p>
            <w:pPr>
              <w:widowControl/>
              <w:jc w:val="center"/>
              <w:textAlignment w:val="top"/>
              <w:rPr>
                <w:szCs w:val="21"/>
              </w:rPr>
            </w:pPr>
            <w:r>
              <w:rPr>
                <w:rFonts w:hint="eastAsia" w:ascii="宋体" w:hAnsi="宋体" w:cs="宋体"/>
                <w:kern w:val="0"/>
                <w:szCs w:val="21"/>
              </w:rPr>
              <w:t>6.3</w:t>
            </w:r>
          </w:p>
        </w:tc>
        <w:tc>
          <w:tcPr>
            <w:tcW w:w="1281" w:type="dxa"/>
            <w:noWrap/>
          </w:tcPr>
          <w:p>
            <w:pPr>
              <w:widowControl/>
              <w:jc w:val="center"/>
              <w:textAlignment w:val="top"/>
              <w:rPr>
                <w:szCs w:val="21"/>
              </w:rPr>
            </w:pPr>
            <w:r>
              <w:rPr>
                <w:rFonts w:hint="eastAsia" w:ascii="宋体" w:hAnsi="宋体" w:cs="宋体"/>
                <w:kern w:val="0"/>
                <w:szCs w:val="21"/>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4.58</w:t>
            </w:r>
          </w:p>
        </w:tc>
        <w:tc>
          <w:tcPr>
            <w:tcW w:w="1279" w:type="dxa"/>
            <w:noWrap/>
          </w:tcPr>
          <w:p>
            <w:pPr>
              <w:widowControl/>
              <w:jc w:val="center"/>
              <w:textAlignment w:val="top"/>
              <w:rPr>
                <w:szCs w:val="21"/>
              </w:rPr>
            </w:pPr>
            <w:r>
              <w:rPr>
                <w:rFonts w:hint="eastAsia" w:ascii="宋体" w:hAnsi="宋体" w:cs="宋体"/>
                <w:kern w:val="0"/>
                <w:szCs w:val="21"/>
              </w:rPr>
              <w:t>6.25</w:t>
            </w:r>
          </w:p>
        </w:tc>
        <w:tc>
          <w:tcPr>
            <w:tcW w:w="1281" w:type="dxa"/>
            <w:noWrap/>
          </w:tcPr>
          <w:p>
            <w:pPr>
              <w:widowControl/>
              <w:jc w:val="center"/>
              <w:textAlignment w:val="top"/>
              <w:rPr>
                <w:szCs w:val="21"/>
              </w:rPr>
            </w:pPr>
            <w:r>
              <w:rPr>
                <w:rFonts w:hint="eastAsia" w:ascii="宋体" w:hAnsi="宋体" w:cs="宋体"/>
                <w:kern w:val="0"/>
                <w:szCs w:val="21"/>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4.48</w:t>
            </w:r>
          </w:p>
        </w:tc>
        <w:tc>
          <w:tcPr>
            <w:tcW w:w="1279" w:type="dxa"/>
            <w:noWrap/>
          </w:tcPr>
          <w:p>
            <w:pPr>
              <w:widowControl/>
              <w:jc w:val="center"/>
              <w:textAlignment w:val="top"/>
              <w:rPr>
                <w:szCs w:val="21"/>
              </w:rPr>
            </w:pPr>
            <w:r>
              <w:rPr>
                <w:rFonts w:hint="eastAsia" w:ascii="宋体" w:hAnsi="宋体" w:cs="宋体"/>
                <w:kern w:val="0"/>
                <w:szCs w:val="21"/>
              </w:rPr>
              <w:t>6.22</w:t>
            </w:r>
          </w:p>
        </w:tc>
        <w:tc>
          <w:tcPr>
            <w:tcW w:w="1281" w:type="dxa"/>
            <w:noWrap/>
          </w:tcPr>
          <w:p>
            <w:pPr>
              <w:widowControl/>
              <w:jc w:val="center"/>
              <w:textAlignment w:val="top"/>
              <w:rPr>
                <w:szCs w:val="21"/>
              </w:rPr>
            </w:pPr>
            <w:r>
              <w:rPr>
                <w:rFonts w:hint="eastAsia" w:ascii="宋体" w:hAnsi="宋体" w:cs="宋体"/>
                <w:kern w:val="0"/>
                <w:szCs w:val="21"/>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4.6</w:t>
            </w:r>
          </w:p>
        </w:tc>
        <w:tc>
          <w:tcPr>
            <w:tcW w:w="1279" w:type="dxa"/>
            <w:noWrap/>
          </w:tcPr>
          <w:p>
            <w:pPr>
              <w:widowControl/>
              <w:jc w:val="center"/>
              <w:textAlignment w:val="top"/>
              <w:rPr>
                <w:szCs w:val="21"/>
              </w:rPr>
            </w:pPr>
            <w:r>
              <w:rPr>
                <w:rFonts w:hint="eastAsia" w:ascii="宋体" w:hAnsi="宋体" w:cs="宋体"/>
                <w:kern w:val="0"/>
                <w:szCs w:val="21"/>
              </w:rPr>
              <w:t>6.34</w:t>
            </w:r>
          </w:p>
        </w:tc>
        <w:tc>
          <w:tcPr>
            <w:tcW w:w="1281" w:type="dxa"/>
            <w:noWrap/>
          </w:tcPr>
          <w:p>
            <w:pPr>
              <w:widowControl/>
              <w:jc w:val="center"/>
              <w:textAlignment w:val="top"/>
              <w:rPr>
                <w:szCs w:val="21"/>
              </w:rPr>
            </w:pPr>
            <w:r>
              <w:rPr>
                <w:rFonts w:hint="eastAsia" w:ascii="宋体" w:hAnsi="宋体" w:cs="宋体"/>
                <w:kern w:val="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00" w:type="dxa"/>
            <w:noWrap/>
            <w:vAlign w:val="center"/>
          </w:tcPr>
          <w:p>
            <w:pPr>
              <w:widowControl/>
              <w:spacing w:line="360" w:lineRule="auto"/>
              <w:jc w:val="center"/>
              <w:rPr>
                <w:kern w:val="0"/>
                <w:szCs w:val="21"/>
              </w:rPr>
            </w:pPr>
            <w:r>
              <w:rPr>
                <w:kern w:val="0"/>
                <w:szCs w:val="21"/>
              </w:rPr>
              <w:t>均值</w:t>
            </w:r>
            <w:r>
              <w:rPr>
                <w:rFonts w:hint="eastAsia"/>
                <w:kern w:val="0"/>
                <w:szCs w:val="21"/>
              </w:rPr>
              <w:t>/%</w:t>
            </w:r>
          </w:p>
        </w:tc>
        <w:tc>
          <w:tcPr>
            <w:tcW w:w="1280" w:type="dxa"/>
            <w:noWrap/>
          </w:tcPr>
          <w:p>
            <w:pPr>
              <w:widowControl/>
              <w:jc w:val="center"/>
              <w:textAlignment w:val="top"/>
              <w:rPr>
                <w:szCs w:val="21"/>
              </w:rPr>
            </w:pPr>
            <w:r>
              <w:rPr>
                <w:rFonts w:hint="eastAsia" w:ascii="宋体" w:hAnsi="宋体" w:cs="宋体"/>
                <w:kern w:val="0"/>
                <w:szCs w:val="21"/>
              </w:rPr>
              <w:t>4.56</w:t>
            </w:r>
          </w:p>
        </w:tc>
        <w:tc>
          <w:tcPr>
            <w:tcW w:w="1279" w:type="dxa"/>
            <w:noWrap/>
          </w:tcPr>
          <w:p>
            <w:pPr>
              <w:widowControl/>
              <w:jc w:val="center"/>
              <w:textAlignment w:val="top"/>
              <w:rPr>
                <w:szCs w:val="21"/>
              </w:rPr>
            </w:pPr>
            <w:r>
              <w:rPr>
                <w:rFonts w:hint="eastAsia" w:ascii="宋体" w:hAnsi="宋体" w:cs="宋体"/>
                <w:kern w:val="0"/>
                <w:szCs w:val="21"/>
              </w:rPr>
              <w:t>6.27</w:t>
            </w:r>
          </w:p>
        </w:tc>
        <w:tc>
          <w:tcPr>
            <w:tcW w:w="1281" w:type="dxa"/>
            <w:noWrap/>
          </w:tcPr>
          <w:p>
            <w:pPr>
              <w:widowControl/>
              <w:jc w:val="center"/>
              <w:textAlignment w:val="top"/>
              <w:rPr>
                <w:szCs w:val="21"/>
              </w:rPr>
            </w:pPr>
            <w:r>
              <w:rPr>
                <w:rFonts w:hint="eastAsia" w:ascii="宋体" w:hAnsi="宋体" w:cs="宋体"/>
                <w:kern w:val="0"/>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标准偏差</w:t>
            </w:r>
          </w:p>
        </w:tc>
        <w:tc>
          <w:tcPr>
            <w:tcW w:w="1280" w:type="dxa"/>
            <w:noWrap/>
            <w:vAlign w:val="center"/>
          </w:tcPr>
          <w:p>
            <w:pPr>
              <w:widowControl/>
              <w:jc w:val="center"/>
              <w:textAlignment w:val="center"/>
              <w:rPr>
                <w:szCs w:val="21"/>
              </w:rPr>
            </w:pPr>
            <w:r>
              <w:rPr>
                <w:rFonts w:hint="eastAsia" w:ascii="宋体" w:hAnsi="宋体" w:cs="宋体"/>
                <w:kern w:val="0"/>
                <w:szCs w:val="21"/>
              </w:rPr>
              <w:t>0.0393</w:t>
            </w:r>
          </w:p>
        </w:tc>
        <w:tc>
          <w:tcPr>
            <w:tcW w:w="1279" w:type="dxa"/>
            <w:noWrap/>
            <w:vAlign w:val="center"/>
          </w:tcPr>
          <w:p>
            <w:pPr>
              <w:widowControl/>
              <w:jc w:val="center"/>
              <w:textAlignment w:val="center"/>
              <w:rPr>
                <w:szCs w:val="21"/>
              </w:rPr>
            </w:pPr>
            <w:r>
              <w:rPr>
                <w:rFonts w:hint="eastAsia" w:ascii="宋体" w:hAnsi="宋体" w:cs="宋体"/>
                <w:kern w:val="0"/>
                <w:szCs w:val="21"/>
              </w:rPr>
              <w:t>0.0400</w:t>
            </w:r>
          </w:p>
        </w:tc>
        <w:tc>
          <w:tcPr>
            <w:tcW w:w="1281" w:type="dxa"/>
            <w:noWrap/>
            <w:vAlign w:val="center"/>
          </w:tcPr>
          <w:p>
            <w:pPr>
              <w:widowControl/>
              <w:jc w:val="center"/>
              <w:textAlignment w:val="center"/>
              <w:rPr>
                <w:szCs w:val="21"/>
              </w:rPr>
            </w:pPr>
            <w:r>
              <w:rPr>
                <w:rFonts w:hint="eastAsia" w:ascii="宋体" w:hAnsi="宋体" w:cs="宋体"/>
                <w:kern w:val="0"/>
                <w:szCs w:val="21"/>
              </w:rPr>
              <w:t>0.0953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4.6</w:t>
            </w:r>
          </w:p>
        </w:tc>
        <w:tc>
          <w:tcPr>
            <w:tcW w:w="1279" w:type="dxa"/>
            <w:noWrap/>
            <w:vAlign w:val="center"/>
          </w:tcPr>
          <w:p>
            <w:pPr>
              <w:widowControl/>
              <w:jc w:val="center"/>
              <w:textAlignment w:val="center"/>
              <w:rPr>
                <w:szCs w:val="21"/>
              </w:rPr>
            </w:pPr>
            <w:r>
              <w:rPr>
                <w:rFonts w:hint="eastAsia" w:ascii="宋体" w:hAnsi="宋体" w:cs="宋体"/>
                <w:kern w:val="0"/>
                <w:szCs w:val="21"/>
              </w:rPr>
              <w:t>6.34</w:t>
            </w:r>
          </w:p>
        </w:tc>
        <w:tc>
          <w:tcPr>
            <w:tcW w:w="1281" w:type="dxa"/>
            <w:noWrap/>
            <w:vAlign w:val="center"/>
          </w:tcPr>
          <w:p>
            <w:pPr>
              <w:widowControl/>
              <w:jc w:val="center"/>
              <w:textAlignment w:val="center"/>
              <w:rPr>
                <w:szCs w:val="21"/>
              </w:rPr>
            </w:pPr>
            <w:r>
              <w:rPr>
                <w:rFonts w:hint="eastAsia" w:ascii="宋体" w:hAnsi="宋体" w:cs="宋体"/>
                <w:kern w:val="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4.48</w:t>
            </w:r>
          </w:p>
        </w:tc>
        <w:tc>
          <w:tcPr>
            <w:tcW w:w="1279" w:type="dxa"/>
            <w:noWrap/>
            <w:vAlign w:val="center"/>
          </w:tcPr>
          <w:p>
            <w:pPr>
              <w:widowControl/>
              <w:jc w:val="center"/>
              <w:textAlignment w:val="center"/>
              <w:rPr>
                <w:szCs w:val="21"/>
              </w:rPr>
            </w:pPr>
            <w:r>
              <w:rPr>
                <w:rFonts w:hint="eastAsia" w:ascii="宋体" w:hAnsi="宋体" w:cs="宋体"/>
                <w:kern w:val="0"/>
                <w:szCs w:val="21"/>
              </w:rPr>
              <w:t>6.22</w:t>
            </w:r>
          </w:p>
        </w:tc>
        <w:tc>
          <w:tcPr>
            <w:tcW w:w="1281" w:type="dxa"/>
            <w:noWrap/>
            <w:vAlign w:val="center"/>
          </w:tcPr>
          <w:p>
            <w:pPr>
              <w:widowControl/>
              <w:jc w:val="center"/>
              <w:textAlignment w:val="center"/>
              <w:rPr>
                <w:szCs w:val="21"/>
              </w:rPr>
            </w:pPr>
            <w:r>
              <w:rPr>
                <w:rFonts w:hint="eastAsia" w:ascii="宋体" w:hAnsi="宋体" w:cs="宋体"/>
                <w:kern w:val="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1.132</w:t>
            </w:r>
          </w:p>
        </w:tc>
        <w:tc>
          <w:tcPr>
            <w:tcW w:w="1279" w:type="dxa"/>
            <w:noWrap/>
            <w:vAlign w:val="center"/>
          </w:tcPr>
          <w:p>
            <w:pPr>
              <w:widowControl/>
              <w:jc w:val="center"/>
              <w:textAlignment w:val="center"/>
              <w:rPr>
                <w:szCs w:val="21"/>
              </w:rPr>
            </w:pPr>
            <w:r>
              <w:rPr>
                <w:rFonts w:hint="eastAsia" w:ascii="宋体" w:hAnsi="宋体" w:cs="宋体"/>
                <w:kern w:val="0"/>
                <w:szCs w:val="21"/>
              </w:rPr>
              <w:t>1.817</w:t>
            </w:r>
          </w:p>
        </w:tc>
        <w:tc>
          <w:tcPr>
            <w:tcW w:w="1281" w:type="dxa"/>
            <w:noWrap/>
            <w:vAlign w:val="center"/>
          </w:tcPr>
          <w:p>
            <w:pPr>
              <w:widowControl/>
              <w:jc w:val="center"/>
              <w:textAlignment w:val="center"/>
              <w:rPr>
                <w:szCs w:val="21"/>
              </w:rPr>
            </w:pPr>
            <w:r>
              <w:rPr>
                <w:rFonts w:hint="eastAsia" w:ascii="宋体" w:hAnsi="宋体" w:cs="宋体"/>
                <w:kern w:val="0"/>
                <w:szCs w:val="21"/>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1.918</w:t>
            </w:r>
          </w:p>
        </w:tc>
        <w:tc>
          <w:tcPr>
            <w:tcW w:w="1279" w:type="dxa"/>
            <w:noWrap/>
            <w:vAlign w:val="center"/>
          </w:tcPr>
          <w:p>
            <w:pPr>
              <w:widowControl/>
              <w:jc w:val="center"/>
              <w:textAlignment w:val="center"/>
              <w:rPr>
                <w:szCs w:val="21"/>
              </w:rPr>
            </w:pPr>
            <w:r>
              <w:rPr>
                <w:rFonts w:hint="eastAsia" w:ascii="宋体" w:hAnsi="宋体" w:cs="宋体"/>
                <w:kern w:val="0"/>
                <w:szCs w:val="21"/>
              </w:rPr>
              <w:t>1.181</w:t>
            </w:r>
          </w:p>
        </w:tc>
        <w:tc>
          <w:tcPr>
            <w:tcW w:w="1281" w:type="dxa"/>
            <w:noWrap/>
            <w:vAlign w:val="center"/>
          </w:tcPr>
          <w:p>
            <w:pPr>
              <w:widowControl/>
              <w:jc w:val="center"/>
              <w:textAlignment w:val="center"/>
              <w:rPr>
                <w:szCs w:val="21"/>
              </w:rPr>
            </w:pPr>
            <w:r>
              <w:rPr>
                <w:rFonts w:hint="eastAsia" w:ascii="宋体" w:hAnsi="宋体" w:cs="宋体"/>
                <w:kern w:val="0"/>
                <w:szCs w:val="21"/>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360" w:lineRule="auto"/>
              <w:jc w:val="center"/>
              <w:rPr>
                <w:szCs w:val="21"/>
              </w:rPr>
            </w:pPr>
            <w:r>
              <w:rPr>
                <w:rFonts w:hint="eastAsia"/>
                <w:szCs w:val="21"/>
              </w:rPr>
              <w:t>当n=11，α=0.05时临界值为2.355，α=0.01时临界值为2.564。</w:t>
            </w:r>
          </w:p>
        </w:tc>
      </w:tr>
    </w:tbl>
    <w:p>
      <w:pPr>
        <w:spacing w:beforeLines="50"/>
        <w:rPr>
          <w:b/>
          <w:szCs w:val="21"/>
        </w:rPr>
      </w:pPr>
    </w:p>
    <w:p>
      <w:pPr>
        <w:tabs>
          <w:tab w:val="left" w:pos="840"/>
        </w:tabs>
        <w:snapToGrid w:val="0"/>
        <w:spacing w:line="360" w:lineRule="auto"/>
        <w:ind w:firstLine="420" w:firstLineChars="200"/>
        <w:jc w:val="center"/>
        <w:rPr>
          <w:szCs w:val="21"/>
        </w:rPr>
      </w:pPr>
      <w:r>
        <w:rPr>
          <w:szCs w:val="21"/>
        </w:rPr>
        <w:t>表1-</w:t>
      </w:r>
      <w:r>
        <w:rPr>
          <w:rFonts w:hint="eastAsia"/>
          <w:szCs w:val="21"/>
        </w:rPr>
        <w:t>3大冶有色金属有限责任公司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360" w:lineRule="auto"/>
              <w:jc w:val="center"/>
              <w:rPr>
                <w:kern w:val="0"/>
                <w:szCs w:val="21"/>
              </w:rPr>
            </w:pPr>
            <w:r>
              <w:rPr>
                <w:kern w:val="0"/>
                <w:szCs w:val="21"/>
              </w:rPr>
              <w:t>测定结果</w:t>
            </w:r>
            <w:r>
              <w:rPr>
                <w:rFonts w:hint="eastAsia"/>
                <w:kern w:val="0"/>
                <w:szCs w:val="21"/>
              </w:rPr>
              <w:t>/%</w:t>
            </w:r>
          </w:p>
        </w:tc>
        <w:tc>
          <w:tcPr>
            <w:tcW w:w="1280" w:type="dxa"/>
            <w:noWrap/>
          </w:tcPr>
          <w:p>
            <w:pPr>
              <w:jc w:val="center"/>
              <w:rPr>
                <w:szCs w:val="21"/>
              </w:rPr>
            </w:pPr>
            <w:r>
              <w:rPr>
                <w:rFonts w:hint="eastAsia" w:ascii="宋体" w:hAnsi="宋体"/>
                <w:szCs w:val="21"/>
              </w:rPr>
              <w:t>4.585</w:t>
            </w:r>
          </w:p>
        </w:tc>
        <w:tc>
          <w:tcPr>
            <w:tcW w:w="1279" w:type="dxa"/>
            <w:noWrap/>
          </w:tcPr>
          <w:p>
            <w:pPr>
              <w:jc w:val="center"/>
              <w:rPr>
                <w:szCs w:val="21"/>
              </w:rPr>
            </w:pPr>
            <w:r>
              <w:rPr>
                <w:rFonts w:hint="eastAsia" w:ascii="宋体" w:hAnsi="宋体"/>
                <w:szCs w:val="21"/>
              </w:rPr>
              <w:t>6.404</w:t>
            </w:r>
          </w:p>
        </w:tc>
        <w:tc>
          <w:tcPr>
            <w:tcW w:w="1281" w:type="dxa"/>
            <w:noWrap/>
          </w:tcPr>
          <w:p>
            <w:pPr>
              <w:jc w:val="center"/>
              <w:rPr>
                <w:szCs w:val="21"/>
              </w:rPr>
            </w:pPr>
            <w:r>
              <w:rPr>
                <w:rFonts w:hint="eastAsia" w:ascii="宋体" w:hAnsi="宋体"/>
                <w:szCs w:val="21"/>
              </w:rPr>
              <w:t>9.621</w:t>
            </w:r>
          </w:p>
        </w:tc>
      </w:tr>
      <w:tr>
        <w:tblPrEx>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szCs w:val="21"/>
              </w:rPr>
            </w:pPr>
            <w:r>
              <w:rPr>
                <w:rFonts w:hint="eastAsia" w:ascii="宋体" w:hAnsi="宋体"/>
                <w:szCs w:val="21"/>
              </w:rPr>
              <w:t>4.675</w:t>
            </w:r>
          </w:p>
        </w:tc>
        <w:tc>
          <w:tcPr>
            <w:tcW w:w="1279" w:type="dxa"/>
            <w:noWrap/>
          </w:tcPr>
          <w:p>
            <w:pPr>
              <w:jc w:val="center"/>
              <w:rPr>
                <w:szCs w:val="21"/>
              </w:rPr>
            </w:pPr>
            <w:r>
              <w:rPr>
                <w:rFonts w:hint="eastAsia" w:ascii="宋体" w:hAnsi="宋体"/>
                <w:szCs w:val="21"/>
              </w:rPr>
              <w:t>6.432</w:t>
            </w:r>
          </w:p>
        </w:tc>
        <w:tc>
          <w:tcPr>
            <w:tcW w:w="1281" w:type="dxa"/>
            <w:noWrap/>
          </w:tcPr>
          <w:p>
            <w:pPr>
              <w:jc w:val="center"/>
              <w:rPr>
                <w:szCs w:val="21"/>
              </w:rPr>
            </w:pPr>
            <w:r>
              <w:rPr>
                <w:rFonts w:hint="eastAsia" w:ascii="宋体" w:hAnsi="宋体"/>
                <w:szCs w:val="21"/>
              </w:rPr>
              <w:t>9.492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szCs w:val="21"/>
              </w:rPr>
              <w:t>4.527</w:t>
            </w:r>
          </w:p>
        </w:tc>
        <w:tc>
          <w:tcPr>
            <w:tcW w:w="1279" w:type="dxa"/>
            <w:noWrap/>
          </w:tcPr>
          <w:p>
            <w:pPr>
              <w:jc w:val="center"/>
              <w:rPr>
                <w:szCs w:val="21"/>
              </w:rPr>
            </w:pPr>
            <w:r>
              <w:rPr>
                <w:rFonts w:hint="eastAsia" w:ascii="宋体" w:hAnsi="宋体"/>
                <w:szCs w:val="21"/>
              </w:rPr>
              <w:t>6.351</w:t>
            </w:r>
          </w:p>
        </w:tc>
        <w:tc>
          <w:tcPr>
            <w:tcW w:w="1281" w:type="dxa"/>
            <w:noWrap/>
          </w:tcPr>
          <w:p>
            <w:pPr>
              <w:jc w:val="center"/>
              <w:rPr>
                <w:szCs w:val="21"/>
              </w:rPr>
            </w:pPr>
            <w:r>
              <w:rPr>
                <w:rFonts w:hint="eastAsia" w:ascii="宋体" w:hAnsi="宋体"/>
                <w:szCs w:val="21"/>
              </w:rPr>
              <w:t>9.366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szCs w:val="21"/>
              </w:rPr>
            </w:pPr>
            <w:r>
              <w:rPr>
                <w:rFonts w:hint="eastAsia" w:ascii="宋体" w:hAnsi="宋体"/>
                <w:szCs w:val="21"/>
              </w:rPr>
              <w:t>4.557</w:t>
            </w:r>
          </w:p>
        </w:tc>
        <w:tc>
          <w:tcPr>
            <w:tcW w:w="1279" w:type="dxa"/>
            <w:noWrap/>
          </w:tcPr>
          <w:p>
            <w:pPr>
              <w:jc w:val="center"/>
              <w:rPr>
                <w:szCs w:val="21"/>
              </w:rPr>
            </w:pPr>
            <w:r>
              <w:rPr>
                <w:rFonts w:hint="eastAsia" w:ascii="宋体" w:hAnsi="宋体"/>
                <w:szCs w:val="21"/>
              </w:rPr>
              <w:t>6.295</w:t>
            </w:r>
          </w:p>
        </w:tc>
        <w:tc>
          <w:tcPr>
            <w:tcW w:w="1281" w:type="dxa"/>
            <w:noWrap/>
          </w:tcPr>
          <w:p>
            <w:pPr>
              <w:widowControl/>
              <w:jc w:val="center"/>
              <w:textAlignment w:val="top"/>
              <w:rPr>
                <w:szCs w:val="21"/>
              </w:rPr>
            </w:pPr>
            <w:r>
              <w:rPr>
                <w:rFonts w:hint="eastAsia" w:ascii="宋体" w:hAnsi="宋体"/>
                <w:szCs w:val="21"/>
              </w:rPr>
              <w:t>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szCs w:val="21"/>
              </w:rPr>
              <w:t>4.601</w:t>
            </w:r>
          </w:p>
        </w:tc>
        <w:tc>
          <w:tcPr>
            <w:tcW w:w="1279" w:type="dxa"/>
            <w:noWrap/>
          </w:tcPr>
          <w:p>
            <w:pPr>
              <w:jc w:val="center"/>
              <w:rPr>
                <w:szCs w:val="21"/>
              </w:rPr>
            </w:pPr>
            <w:r>
              <w:rPr>
                <w:rFonts w:hint="eastAsia" w:ascii="宋体" w:hAnsi="宋体"/>
                <w:szCs w:val="21"/>
              </w:rPr>
              <w:t>6.358</w:t>
            </w:r>
          </w:p>
        </w:tc>
        <w:tc>
          <w:tcPr>
            <w:tcW w:w="1281" w:type="dxa"/>
            <w:noWrap/>
          </w:tcPr>
          <w:p>
            <w:pPr>
              <w:jc w:val="center"/>
              <w:rPr>
                <w:szCs w:val="21"/>
              </w:rPr>
            </w:pPr>
            <w:r>
              <w:rPr>
                <w:rFonts w:hint="eastAsia" w:ascii="宋体" w:hAnsi="宋体"/>
                <w:szCs w:val="21"/>
              </w:rPr>
              <w:t>9.615</w:t>
            </w:r>
          </w:p>
        </w:tc>
      </w:tr>
      <w:tr>
        <w:tblPrEx>
          <w:tblCellMar>
            <w:top w:w="0" w:type="dxa"/>
            <w:left w:w="108" w:type="dxa"/>
            <w:bottom w:w="0" w:type="dxa"/>
            <w:right w:w="108" w:type="dxa"/>
          </w:tblCellMar>
        </w:tblPrEx>
        <w:trPr>
          <w:trHeight w:val="34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szCs w:val="21"/>
              </w:rPr>
              <w:t>4.617</w:t>
            </w:r>
          </w:p>
        </w:tc>
        <w:tc>
          <w:tcPr>
            <w:tcW w:w="1279" w:type="dxa"/>
            <w:noWrap/>
          </w:tcPr>
          <w:p>
            <w:pPr>
              <w:widowControl/>
              <w:jc w:val="center"/>
              <w:textAlignment w:val="top"/>
              <w:rPr>
                <w:szCs w:val="21"/>
              </w:rPr>
            </w:pPr>
            <w:r>
              <w:rPr>
                <w:rFonts w:hint="eastAsia" w:ascii="宋体" w:hAnsi="宋体"/>
                <w:szCs w:val="21"/>
              </w:rPr>
              <w:t>6.486</w:t>
            </w:r>
          </w:p>
        </w:tc>
        <w:tc>
          <w:tcPr>
            <w:tcW w:w="1281" w:type="dxa"/>
            <w:noWrap/>
          </w:tcPr>
          <w:p>
            <w:pPr>
              <w:widowControl/>
              <w:jc w:val="center"/>
              <w:textAlignment w:val="top"/>
              <w:rPr>
                <w:szCs w:val="21"/>
              </w:rPr>
            </w:pPr>
            <w:r>
              <w:rPr>
                <w:rFonts w:hint="eastAsia" w:ascii="宋体" w:hAnsi="宋体"/>
                <w:szCs w:val="21"/>
              </w:rPr>
              <w:t>9.471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szCs w:val="21"/>
              </w:rPr>
              <w:t>4.511</w:t>
            </w:r>
          </w:p>
        </w:tc>
        <w:tc>
          <w:tcPr>
            <w:tcW w:w="1279" w:type="dxa"/>
            <w:noWrap/>
          </w:tcPr>
          <w:p>
            <w:pPr>
              <w:widowControl/>
              <w:jc w:val="center"/>
              <w:textAlignment w:val="top"/>
              <w:rPr>
                <w:szCs w:val="21"/>
              </w:rPr>
            </w:pPr>
            <w:r>
              <w:rPr>
                <w:rFonts w:hint="eastAsia" w:ascii="宋体" w:hAnsi="宋体"/>
                <w:szCs w:val="21"/>
              </w:rPr>
              <w:t>6.315</w:t>
            </w:r>
          </w:p>
        </w:tc>
        <w:tc>
          <w:tcPr>
            <w:tcW w:w="1281" w:type="dxa"/>
            <w:noWrap/>
          </w:tcPr>
          <w:p>
            <w:pPr>
              <w:widowControl/>
              <w:jc w:val="center"/>
              <w:textAlignment w:val="top"/>
              <w:rPr>
                <w:szCs w:val="21"/>
              </w:rPr>
            </w:pPr>
            <w:r>
              <w:rPr>
                <w:rFonts w:hint="eastAsia" w:ascii="宋体" w:hAnsi="宋体"/>
                <w:szCs w:val="21"/>
              </w:rPr>
              <w:t>9.513</w:t>
            </w:r>
          </w:p>
        </w:tc>
      </w:tr>
      <w:tr>
        <w:tblPrEx>
          <w:tblCellMar>
            <w:top w:w="0" w:type="dxa"/>
            <w:left w:w="108" w:type="dxa"/>
            <w:bottom w:w="0" w:type="dxa"/>
            <w:right w:w="108" w:type="dxa"/>
          </w:tblCellMar>
        </w:tblPrEx>
        <w:trPr>
          <w:trHeight w:val="90" w:hRule="atLeast"/>
          <w:jc w:val="center"/>
        </w:trPr>
        <w:tc>
          <w:tcPr>
            <w:tcW w:w="1900" w:type="dxa"/>
            <w:noWrap/>
            <w:vAlign w:val="center"/>
          </w:tcPr>
          <w:p>
            <w:pPr>
              <w:widowControl/>
              <w:spacing w:line="360" w:lineRule="auto"/>
              <w:jc w:val="center"/>
              <w:rPr>
                <w:kern w:val="0"/>
                <w:szCs w:val="21"/>
              </w:rPr>
            </w:pPr>
            <w:r>
              <w:rPr>
                <w:kern w:val="0"/>
                <w:szCs w:val="21"/>
              </w:rPr>
              <w:t>均值</w:t>
            </w:r>
            <w:r>
              <w:rPr>
                <w:rFonts w:hint="eastAsia"/>
                <w:kern w:val="0"/>
                <w:szCs w:val="21"/>
              </w:rPr>
              <w:t>/%</w:t>
            </w:r>
          </w:p>
        </w:tc>
        <w:tc>
          <w:tcPr>
            <w:tcW w:w="1280" w:type="dxa"/>
            <w:noWrap/>
            <w:vAlign w:val="center"/>
          </w:tcPr>
          <w:p>
            <w:pPr>
              <w:widowControl/>
              <w:jc w:val="center"/>
              <w:textAlignment w:val="center"/>
              <w:rPr>
                <w:szCs w:val="21"/>
              </w:rPr>
            </w:pPr>
            <w:r>
              <w:rPr>
                <w:rFonts w:hint="eastAsia" w:ascii="宋体" w:hAnsi="宋体" w:cs="宋体"/>
                <w:kern w:val="0"/>
                <w:szCs w:val="21"/>
              </w:rPr>
              <w:t>4.58</w:t>
            </w:r>
          </w:p>
        </w:tc>
        <w:tc>
          <w:tcPr>
            <w:tcW w:w="1279" w:type="dxa"/>
            <w:noWrap/>
            <w:vAlign w:val="center"/>
          </w:tcPr>
          <w:p>
            <w:pPr>
              <w:widowControl/>
              <w:jc w:val="center"/>
              <w:textAlignment w:val="center"/>
              <w:rPr>
                <w:szCs w:val="21"/>
              </w:rPr>
            </w:pPr>
            <w:r>
              <w:rPr>
                <w:rFonts w:hint="eastAsia" w:ascii="宋体" w:hAnsi="宋体" w:cs="宋体"/>
                <w:kern w:val="0"/>
                <w:szCs w:val="21"/>
              </w:rPr>
              <w:t>6.38</w:t>
            </w:r>
          </w:p>
        </w:tc>
        <w:tc>
          <w:tcPr>
            <w:tcW w:w="1281" w:type="dxa"/>
            <w:noWrap/>
            <w:vAlign w:val="center"/>
          </w:tcPr>
          <w:p>
            <w:pPr>
              <w:widowControl/>
              <w:jc w:val="center"/>
              <w:textAlignment w:val="center"/>
              <w:rPr>
                <w:szCs w:val="21"/>
              </w:rPr>
            </w:pPr>
            <w:r>
              <w:rPr>
                <w:rFonts w:hint="eastAsia" w:ascii="宋体" w:hAnsi="宋体" w:cs="宋体"/>
                <w:kern w:val="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900" w:type="dxa"/>
            <w:noWrap/>
            <w:vAlign w:val="center"/>
          </w:tcPr>
          <w:p>
            <w:pPr>
              <w:widowControl/>
              <w:spacing w:line="360" w:lineRule="auto"/>
              <w:jc w:val="center"/>
              <w:rPr>
                <w:kern w:val="0"/>
                <w:szCs w:val="21"/>
              </w:rPr>
            </w:pPr>
            <w:r>
              <w:rPr>
                <w:kern w:val="0"/>
                <w:szCs w:val="21"/>
              </w:rPr>
              <w:t>标准偏差</w:t>
            </w:r>
          </w:p>
        </w:tc>
        <w:tc>
          <w:tcPr>
            <w:tcW w:w="1280" w:type="dxa"/>
            <w:noWrap/>
            <w:vAlign w:val="center"/>
          </w:tcPr>
          <w:p>
            <w:pPr>
              <w:widowControl/>
              <w:jc w:val="center"/>
              <w:textAlignment w:val="center"/>
              <w:rPr>
                <w:szCs w:val="21"/>
              </w:rPr>
            </w:pPr>
            <w:r>
              <w:rPr>
                <w:rFonts w:hint="eastAsia" w:ascii="宋体" w:hAnsi="宋体" w:cs="宋体"/>
                <w:kern w:val="0"/>
                <w:szCs w:val="21"/>
              </w:rPr>
              <w:t>0.0562</w:t>
            </w:r>
          </w:p>
        </w:tc>
        <w:tc>
          <w:tcPr>
            <w:tcW w:w="1279" w:type="dxa"/>
            <w:noWrap/>
            <w:vAlign w:val="center"/>
          </w:tcPr>
          <w:p>
            <w:pPr>
              <w:widowControl/>
              <w:jc w:val="center"/>
              <w:textAlignment w:val="center"/>
              <w:rPr>
                <w:szCs w:val="21"/>
              </w:rPr>
            </w:pPr>
            <w:r>
              <w:rPr>
                <w:rFonts w:hint="eastAsia" w:ascii="宋体" w:hAnsi="宋体" w:cs="宋体"/>
                <w:kern w:val="0"/>
                <w:szCs w:val="21"/>
              </w:rPr>
              <w:t>0.0674</w:t>
            </w:r>
          </w:p>
        </w:tc>
        <w:tc>
          <w:tcPr>
            <w:tcW w:w="1281" w:type="dxa"/>
            <w:noWrap/>
            <w:vAlign w:val="center"/>
          </w:tcPr>
          <w:p>
            <w:pPr>
              <w:widowControl/>
              <w:jc w:val="center"/>
              <w:textAlignment w:val="center"/>
              <w:rPr>
                <w:szCs w:val="21"/>
              </w:rPr>
            </w:pPr>
            <w:r>
              <w:rPr>
                <w:rFonts w:hint="eastAsia" w:ascii="宋体" w:hAnsi="宋体" w:cs="宋体"/>
                <w:kern w:val="0"/>
                <w:szCs w:val="21"/>
              </w:rPr>
              <w:t>0.0978</w:t>
            </w:r>
          </w:p>
        </w:tc>
      </w:tr>
      <w:tr>
        <w:tblPrEx>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4.675</w:t>
            </w:r>
          </w:p>
        </w:tc>
        <w:tc>
          <w:tcPr>
            <w:tcW w:w="1279" w:type="dxa"/>
            <w:noWrap/>
            <w:vAlign w:val="center"/>
          </w:tcPr>
          <w:p>
            <w:pPr>
              <w:widowControl/>
              <w:jc w:val="center"/>
              <w:textAlignment w:val="center"/>
              <w:rPr>
                <w:szCs w:val="21"/>
              </w:rPr>
            </w:pPr>
            <w:r>
              <w:rPr>
                <w:rFonts w:hint="eastAsia" w:ascii="宋体" w:hAnsi="宋体" w:cs="宋体"/>
                <w:kern w:val="0"/>
                <w:szCs w:val="21"/>
              </w:rPr>
              <w:t>6.486</w:t>
            </w:r>
          </w:p>
        </w:tc>
        <w:tc>
          <w:tcPr>
            <w:tcW w:w="1281" w:type="dxa"/>
            <w:noWrap/>
            <w:vAlign w:val="center"/>
          </w:tcPr>
          <w:p>
            <w:pPr>
              <w:widowControl/>
              <w:jc w:val="center"/>
              <w:textAlignment w:val="center"/>
              <w:rPr>
                <w:szCs w:val="21"/>
              </w:rPr>
            </w:pPr>
            <w:r>
              <w:rPr>
                <w:rFonts w:hint="eastAsia" w:ascii="宋体" w:hAnsi="宋体" w:cs="宋体"/>
                <w:kern w:val="0"/>
                <w:szCs w:val="21"/>
              </w:rPr>
              <w:t>9.629</w:t>
            </w:r>
          </w:p>
        </w:tc>
      </w:tr>
      <w:tr>
        <w:tblPrEx>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4.511</w:t>
            </w:r>
          </w:p>
        </w:tc>
        <w:tc>
          <w:tcPr>
            <w:tcW w:w="1279" w:type="dxa"/>
            <w:noWrap/>
            <w:vAlign w:val="center"/>
          </w:tcPr>
          <w:p>
            <w:pPr>
              <w:widowControl/>
              <w:jc w:val="center"/>
              <w:textAlignment w:val="center"/>
              <w:rPr>
                <w:szCs w:val="21"/>
              </w:rPr>
            </w:pPr>
            <w:r>
              <w:rPr>
                <w:rFonts w:hint="eastAsia" w:ascii="宋体" w:hAnsi="宋体" w:cs="宋体"/>
                <w:kern w:val="0"/>
                <w:szCs w:val="21"/>
              </w:rPr>
              <w:t>6.295</w:t>
            </w:r>
          </w:p>
        </w:tc>
        <w:tc>
          <w:tcPr>
            <w:tcW w:w="1281" w:type="dxa"/>
            <w:noWrap/>
            <w:vAlign w:val="center"/>
          </w:tcPr>
          <w:p>
            <w:pPr>
              <w:widowControl/>
              <w:jc w:val="center"/>
              <w:textAlignment w:val="center"/>
              <w:rPr>
                <w:szCs w:val="21"/>
              </w:rPr>
            </w:pPr>
            <w:r>
              <w:rPr>
                <w:rFonts w:hint="eastAsia" w:ascii="宋体" w:hAnsi="宋体" w:cs="宋体"/>
                <w:kern w:val="0"/>
                <w:szCs w:val="21"/>
              </w:rPr>
              <w:t>9.366</w:t>
            </w:r>
          </w:p>
        </w:tc>
      </w:tr>
      <w:tr>
        <w:tblPrEx>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1.658</w:t>
            </w:r>
          </w:p>
        </w:tc>
        <w:tc>
          <w:tcPr>
            <w:tcW w:w="1279" w:type="dxa"/>
            <w:noWrap/>
            <w:vAlign w:val="center"/>
          </w:tcPr>
          <w:p>
            <w:pPr>
              <w:widowControl/>
              <w:jc w:val="center"/>
              <w:textAlignment w:val="center"/>
              <w:rPr>
                <w:szCs w:val="21"/>
              </w:rPr>
            </w:pPr>
            <w:r>
              <w:rPr>
                <w:rFonts w:hint="eastAsia" w:ascii="宋体" w:hAnsi="宋体" w:cs="宋体"/>
                <w:kern w:val="0"/>
                <w:szCs w:val="21"/>
              </w:rPr>
              <w:t>1.613</w:t>
            </w:r>
          </w:p>
        </w:tc>
        <w:tc>
          <w:tcPr>
            <w:tcW w:w="1281" w:type="dxa"/>
            <w:noWrap/>
            <w:vAlign w:val="center"/>
          </w:tcPr>
          <w:p>
            <w:pPr>
              <w:widowControl/>
              <w:jc w:val="center"/>
              <w:textAlignment w:val="center"/>
              <w:rPr>
                <w:szCs w:val="21"/>
              </w:rPr>
            </w:pPr>
            <w:r>
              <w:rPr>
                <w:rFonts w:hint="eastAsia" w:ascii="宋体" w:hAnsi="宋体" w:cs="宋体"/>
                <w:kern w:val="0"/>
                <w:szCs w:val="21"/>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1.261</w:t>
            </w:r>
          </w:p>
        </w:tc>
        <w:tc>
          <w:tcPr>
            <w:tcW w:w="1279" w:type="dxa"/>
            <w:noWrap/>
            <w:vAlign w:val="center"/>
          </w:tcPr>
          <w:p>
            <w:pPr>
              <w:widowControl/>
              <w:jc w:val="center"/>
              <w:textAlignment w:val="center"/>
              <w:rPr>
                <w:szCs w:val="21"/>
              </w:rPr>
            </w:pPr>
            <w:r>
              <w:rPr>
                <w:rFonts w:hint="eastAsia" w:ascii="宋体" w:hAnsi="宋体" w:cs="宋体"/>
                <w:kern w:val="0"/>
                <w:szCs w:val="21"/>
              </w:rPr>
              <w:t>1.221</w:t>
            </w:r>
          </w:p>
        </w:tc>
        <w:tc>
          <w:tcPr>
            <w:tcW w:w="1281" w:type="dxa"/>
            <w:noWrap/>
            <w:vAlign w:val="center"/>
          </w:tcPr>
          <w:p>
            <w:pPr>
              <w:widowControl/>
              <w:jc w:val="center"/>
              <w:textAlignment w:val="center"/>
              <w:rPr>
                <w:szCs w:val="21"/>
              </w:rPr>
            </w:pPr>
            <w:r>
              <w:rPr>
                <w:rFonts w:hint="eastAsia" w:ascii="宋体" w:hAnsi="宋体" w:cs="宋体"/>
                <w:kern w:val="0"/>
                <w:szCs w:val="21"/>
              </w:rPr>
              <w:t>1.672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360" w:lineRule="auto"/>
              <w:jc w:val="center"/>
              <w:rPr>
                <w:szCs w:val="21"/>
              </w:rPr>
            </w:pPr>
            <w:r>
              <w:rPr>
                <w:rFonts w:hint="eastAsia"/>
                <w:szCs w:val="21"/>
              </w:rPr>
              <w:t>当n=7，α=0.05时临界值为2.020，α=0.01时临界值为2.139。</w:t>
            </w:r>
          </w:p>
        </w:tc>
      </w:tr>
    </w:tbl>
    <w:p>
      <w:pPr>
        <w:spacing w:beforeLines="50"/>
        <w:rPr>
          <w:b/>
          <w:szCs w:val="21"/>
        </w:rPr>
      </w:pPr>
    </w:p>
    <w:p>
      <w:pPr>
        <w:tabs>
          <w:tab w:val="left" w:pos="840"/>
        </w:tabs>
        <w:snapToGrid w:val="0"/>
        <w:spacing w:line="360" w:lineRule="auto"/>
        <w:ind w:firstLine="420" w:firstLineChars="200"/>
        <w:jc w:val="center"/>
        <w:rPr>
          <w:szCs w:val="21"/>
        </w:rPr>
      </w:pPr>
      <w:r>
        <w:rPr>
          <w:szCs w:val="21"/>
        </w:rPr>
        <w:t>表1-</w:t>
      </w:r>
      <w:r>
        <w:rPr>
          <w:rFonts w:hint="eastAsia"/>
          <w:szCs w:val="21"/>
        </w:rPr>
        <w:t>4有研工程技术研究院有限公司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360" w:lineRule="auto"/>
              <w:jc w:val="center"/>
              <w:rPr>
                <w:kern w:val="0"/>
                <w:szCs w:val="21"/>
              </w:rPr>
            </w:pPr>
            <w:r>
              <w:rPr>
                <w:kern w:val="0"/>
                <w:szCs w:val="21"/>
              </w:rPr>
              <w:t>测定结果</w:t>
            </w:r>
            <w:r>
              <w:rPr>
                <w:rFonts w:hint="eastAsia"/>
                <w:kern w:val="0"/>
                <w:szCs w:val="21"/>
              </w:rPr>
              <w:t>/%</w:t>
            </w:r>
          </w:p>
        </w:tc>
        <w:tc>
          <w:tcPr>
            <w:tcW w:w="1280" w:type="dxa"/>
            <w:noWrap/>
          </w:tcPr>
          <w:p>
            <w:pPr>
              <w:jc w:val="center"/>
              <w:rPr>
                <w:rFonts w:ascii="宋体" w:hAnsi="宋体" w:cs="宋体"/>
                <w:szCs w:val="21"/>
              </w:rPr>
            </w:pPr>
            <w:r>
              <w:rPr>
                <w:rFonts w:hint="eastAsia" w:ascii="宋体" w:hAnsi="宋体" w:cs="宋体"/>
                <w:szCs w:val="21"/>
              </w:rPr>
              <w:t>4.67</w:t>
            </w:r>
          </w:p>
        </w:tc>
        <w:tc>
          <w:tcPr>
            <w:tcW w:w="1279" w:type="dxa"/>
            <w:noWrap/>
          </w:tcPr>
          <w:p>
            <w:pPr>
              <w:jc w:val="center"/>
              <w:rPr>
                <w:rFonts w:ascii="宋体" w:hAnsi="宋体" w:cs="宋体"/>
                <w:szCs w:val="21"/>
              </w:rPr>
            </w:pPr>
            <w:r>
              <w:rPr>
                <w:rFonts w:hint="eastAsia" w:ascii="宋体" w:hAnsi="宋体" w:cs="宋体"/>
                <w:szCs w:val="21"/>
              </w:rPr>
              <w:t>6.28</w:t>
            </w:r>
          </w:p>
        </w:tc>
        <w:tc>
          <w:tcPr>
            <w:tcW w:w="1281" w:type="dxa"/>
            <w:noWrap/>
          </w:tcPr>
          <w:p>
            <w:pPr>
              <w:jc w:val="center"/>
              <w:rPr>
                <w:rFonts w:ascii="宋体" w:hAnsi="宋体" w:cs="宋体"/>
                <w:szCs w:val="21"/>
              </w:rPr>
            </w:pPr>
            <w:r>
              <w:rPr>
                <w:rFonts w:hint="eastAsia" w:ascii="宋体" w:hAnsi="宋体" w:cs="宋体"/>
                <w:szCs w:val="21"/>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rFonts w:ascii="宋体" w:hAnsi="宋体" w:cs="宋体"/>
                <w:szCs w:val="21"/>
              </w:rPr>
            </w:pPr>
            <w:r>
              <w:rPr>
                <w:rFonts w:hint="eastAsia" w:ascii="宋体" w:hAnsi="宋体" w:cs="宋体"/>
                <w:szCs w:val="21"/>
              </w:rPr>
              <w:t>4.55</w:t>
            </w:r>
          </w:p>
        </w:tc>
        <w:tc>
          <w:tcPr>
            <w:tcW w:w="1279" w:type="dxa"/>
            <w:noWrap/>
          </w:tcPr>
          <w:p>
            <w:pPr>
              <w:jc w:val="center"/>
              <w:rPr>
                <w:rFonts w:ascii="宋体" w:hAnsi="宋体" w:cs="宋体"/>
                <w:szCs w:val="21"/>
              </w:rPr>
            </w:pPr>
            <w:r>
              <w:rPr>
                <w:rFonts w:hint="eastAsia" w:ascii="宋体" w:hAnsi="宋体" w:cs="宋体"/>
                <w:szCs w:val="21"/>
              </w:rPr>
              <w:t>6.17</w:t>
            </w:r>
          </w:p>
        </w:tc>
        <w:tc>
          <w:tcPr>
            <w:tcW w:w="1281" w:type="dxa"/>
            <w:noWrap/>
          </w:tcPr>
          <w:p>
            <w:pPr>
              <w:jc w:val="center"/>
              <w:rPr>
                <w:rFonts w:ascii="宋体" w:hAnsi="宋体" w:cs="宋体"/>
                <w:szCs w:val="21"/>
              </w:rPr>
            </w:pPr>
            <w:r>
              <w:rPr>
                <w:rFonts w:hint="eastAsia" w:ascii="宋体" w:hAnsi="宋体" w:cs="宋体"/>
                <w:szCs w:val="21"/>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rFonts w:ascii="宋体" w:hAnsi="宋体" w:cs="宋体"/>
                <w:szCs w:val="21"/>
              </w:rPr>
            </w:pPr>
            <w:r>
              <w:rPr>
                <w:rFonts w:hint="eastAsia" w:ascii="宋体" w:hAnsi="宋体" w:cs="宋体"/>
                <w:szCs w:val="21"/>
              </w:rPr>
              <w:t>4.61</w:t>
            </w:r>
          </w:p>
        </w:tc>
        <w:tc>
          <w:tcPr>
            <w:tcW w:w="1279" w:type="dxa"/>
            <w:noWrap/>
          </w:tcPr>
          <w:p>
            <w:pPr>
              <w:jc w:val="center"/>
              <w:rPr>
                <w:rFonts w:ascii="宋体" w:hAnsi="宋体" w:cs="宋体"/>
                <w:szCs w:val="21"/>
              </w:rPr>
            </w:pPr>
            <w:r>
              <w:rPr>
                <w:rFonts w:hint="eastAsia" w:ascii="宋体" w:hAnsi="宋体" w:cs="宋体"/>
                <w:szCs w:val="21"/>
              </w:rPr>
              <w:t>6.22</w:t>
            </w:r>
          </w:p>
        </w:tc>
        <w:tc>
          <w:tcPr>
            <w:tcW w:w="1281" w:type="dxa"/>
            <w:noWrap/>
          </w:tcPr>
          <w:p>
            <w:pPr>
              <w:jc w:val="center"/>
              <w:rPr>
                <w:rFonts w:ascii="宋体" w:hAnsi="宋体" w:cs="宋体"/>
                <w:szCs w:val="21"/>
              </w:rPr>
            </w:pPr>
            <w:r>
              <w:rPr>
                <w:rFonts w:hint="eastAsia" w:ascii="宋体" w:hAnsi="宋体" w:cs="宋体"/>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rFonts w:ascii="宋体" w:hAnsi="宋体" w:cs="宋体"/>
                <w:szCs w:val="21"/>
              </w:rPr>
            </w:pPr>
            <w:r>
              <w:rPr>
                <w:rFonts w:hint="eastAsia" w:ascii="宋体" w:hAnsi="宋体" w:cs="宋体"/>
                <w:szCs w:val="21"/>
              </w:rPr>
              <w:t>4.51</w:t>
            </w:r>
          </w:p>
        </w:tc>
        <w:tc>
          <w:tcPr>
            <w:tcW w:w="1279" w:type="dxa"/>
            <w:noWrap/>
          </w:tcPr>
          <w:p>
            <w:pPr>
              <w:jc w:val="center"/>
              <w:rPr>
                <w:rFonts w:ascii="宋体" w:hAnsi="宋体" w:cs="宋体"/>
                <w:szCs w:val="21"/>
              </w:rPr>
            </w:pPr>
            <w:r>
              <w:rPr>
                <w:rFonts w:hint="eastAsia" w:ascii="宋体" w:hAnsi="宋体" w:cs="宋体"/>
                <w:szCs w:val="21"/>
              </w:rPr>
              <w:t>6.12</w:t>
            </w:r>
          </w:p>
        </w:tc>
        <w:tc>
          <w:tcPr>
            <w:tcW w:w="1281" w:type="dxa"/>
            <w:noWrap/>
          </w:tcPr>
          <w:p>
            <w:pPr>
              <w:jc w:val="center"/>
              <w:rPr>
                <w:rFonts w:ascii="宋体" w:hAnsi="宋体" w:cs="宋体"/>
                <w:szCs w:val="21"/>
              </w:rPr>
            </w:pPr>
            <w:r>
              <w:rPr>
                <w:rFonts w:hint="eastAsia" w:ascii="宋体" w:hAnsi="宋体" w:cs="宋体"/>
                <w:szCs w:val="21"/>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rFonts w:ascii="宋体" w:hAnsi="宋体" w:cs="宋体"/>
                <w:szCs w:val="21"/>
              </w:rPr>
            </w:pPr>
            <w:r>
              <w:rPr>
                <w:rFonts w:hint="eastAsia" w:ascii="宋体" w:hAnsi="宋体" w:cs="宋体"/>
                <w:szCs w:val="21"/>
              </w:rPr>
              <w:t>4.53</w:t>
            </w:r>
          </w:p>
        </w:tc>
        <w:tc>
          <w:tcPr>
            <w:tcW w:w="1279" w:type="dxa"/>
            <w:noWrap/>
          </w:tcPr>
          <w:p>
            <w:pPr>
              <w:jc w:val="center"/>
              <w:rPr>
                <w:rFonts w:ascii="宋体" w:hAnsi="宋体" w:cs="宋体"/>
                <w:szCs w:val="21"/>
              </w:rPr>
            </w:pPr>
            <w:r>
              <w:rPr>
                <w:rFonts w:hint="eastAsia" w:ascii="宋体" w:hAnsi="宋体" w:cs="宋体"/>
                <w:szCs w:val="21"/>
              </w:rPr>
              <w:t>6.06</w:t>
            </w:r>
          </w:p>
        </w:tc>
        <w:tc>
          <w:tcPr>
            <w:tcW w:w="1281" w:type="dxa"/>
            <w:noWrap/>
          </w:tcPr>
          <w:p>
            <w:pPr>
              <w:widowControl/>
              <w:jc w:val="center"/>
              <w:textAlignment w:val="top"/>
              <w:rPr>
                <w:rFonts w:ascii="宋体" w:hAnsi="宋体" w:cs="宋体"/>
                <w:szCs w:val="21"/>
              </w:rPr>
            </w:pPr>
            <w:r>
              <w:rPr>
                <w:rFonts w:hint="eastAsia" w:ascii="宋体" w:hAnsi="宋体" w:cs="宋体"/>
                <w:szCs w:val="21"/>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jc w:val="center"/>
              <w:rPr>
                <w:rFonts w:ascii="宋体" w:hAnsi="宋体" w:cs="宋体"/>
                <w:szCs w:val="21"/>
              </w:rPr>
            </w:pPr>
            <w:r>
              <w:rPr>
                <w:rFonts w:hint="eastAsia" w:ascii="宋体" w:hAnsi="宋体" w:cs="宋体"/>
                <w:szCs w:val="21"/>
              </w:rPr>
              <w:t>4.63</w:t>
            </w:r>
          </w:p>
        </w:tc>
        <w:tc>
          <w:tcPr>
            <w:tcW w:w="1279" w:type="dxa"/>
            <w:noWrap/>
          </w:tcPr>
          <w:p>
            <w:pPr>
              <w:jc w:val="center"/>
              <w:rPr>
                <w:rFonts w:ascii="宋体" w:hAnsi="宋体" w:cs="宋体"/>
                <w:szCs w:val="21"/>
              </w:rPr>
            </w:pPr>
            <w:r>
              <w:rPr>
                <w:rFonts w:hint="eastAsia" w:ascii="宋体" w:hAnsi="宋体" w:cs="宋体"/>
                <w:szCs w:val="21"/>
              </w:rPr>
              <w:t>6.14</w:t>
            </w:r>
          </w:p>
        </w:tc>
        <w:tc>
          <w:tcPr>
            <w:tcW w:w="1281" w:type="dxa"/>
            <w:noWrap/>
          </w:tcPr>
          <w:p>
            <w:pPr>
              <w:widowControl/>
              <w:jc w:val="center"/>
              <w:textAlignment w:val="top"/>
              <w:rPr>
                <w:rFonts w:ascii="宋体" w:hAnsi="宋体" w:cs="宋体"/>
                <w:szCs w:val="21"/>
              </w:rPr>
            </w:pPr>
            <w:r>
              <w:rPr>
                <w:rFonts w:hint="eastAsia" w:ascii="宋体" w:hAnsi="宋体" w:cs="宋体"/>
                <w:szCs w:val="21"/>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rFonts w:ascii="宋体" w:hAnsi="宋体" w:cs="宋体"/>
                <w:szCs w:val="21"/>
              </w:rPr>
            </w:pPr>
            <w:r>
              <w:rPr>
                <w:rFonts w:hint="eastAsia" w:ascii="宋体" w:hAnsi="宋体" w:cs="宋体"/>
                <w:szCs w:val="21"/>
              </w:rPr>
              <w:t>4.57</w:t>
            </w:r>
          </w:p>
        </w:tc>
        <w:tc>
          <w:tcPr>
            <w:tcW w:w="1279" w:type="dxa"/>
            <w:noWrap/>
          </w:tcPr>
          <w:p>
            <w:pPr>
              <w:widowControl/>
              <w:jc w:val="center"/>
              <w:textAlignment w:val="top"/>
              <w:rPr>
                <w:rFonts w:ascii="宋体" w:hAnsi="宋体" w:cs="宋体"/>
                <w:szCs w:val="21"/>
              </w:rPr>
            </w:pPr>
            <w:r>
              <w:rPr>
                <w:rFonts w:hint="eastAsia" w:ascii="宋体" w:hAnsi="宋体" w:cs="宋体"/>
                <w:szCs w:val="21"/>
              </w:rPr>
              <w:t>6.24</w:t>
            </w:r>
          </w:p>
        </w:tc>
        <w:tc>
          <w:tcPr>
            <w:tcW w:w="1281" w:type="dxa"/>
            <w:noWrap/>
          </w:tcPr>
          <w:p>
            <w:pPr>
              <w:widowControl/>
              <w:jc w:val="center"/>
              <w:textAlignment w:val="top"/>
              <w:rPr>
                <w:rFonts w:ascii="宋体" w:hAnsi="宋体" w:cs="宋体"/>
                <w:szCs w:val="21"/>
              </w:rPr>
            </w:pPr>
            <w:r>
              <w:rPr>
                <w:rFonts w:hint="eastAsia" w:ascii="宋体" w:hAnsi="宋体" w:cs="宋体"/>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rFonts w:ascii="宋体" w:hAnsi="宋体" w:cs="宋体"/>
                <w:szCs w:val="21"/>
              </w:rPr>
            </w:pPr>
            <w:r>
              <w:rPr>
                <w:rFonts w:hint="eastAsia" w:ascii="宋体" w:hAnsi="宋体" w:cs="宋体"/>
                <w:szCs w:val="21"/>
              </w:rPr>
              <w:t>4.54</w:t>
            </w:r>
          </w:p>
        </w:tc>
        <w:tc>
          <w:tcPr>
            <w:tcW w:w="1279" w:type="dxa"/>
            <w:noWrap/>
          </w:tcPr>
          <w:p>
            <w:pPr>
              <w:widowControl/>
              <w:jc w:val="center"/>
              <w:textAlignment w:val="top"/>
              <w:rPr>
                <w:rFonts w:ascii="宋体" w:hAnsi="宋体" w:cs="宋体"/>
                <w:szCs w:val="21"/>
              </w:rPr>
            </w:pPr>
            <w:r>
              <w:rPr>
                <w:rFonts w:hint="eastAsia" w:ascii="宋体" w:hAnsi="宋体" w:cs="宋体"/>
                <w:szCs w:val="21"/>
              </w:rPr>
              <w:t>6.08</w:t>
            </w:r>
          </w:p>
        </w:tc>
        <w:tc>
          <w:tcPr>
            <w:tcW w:w="1281" w:type="dxa"/>
            <w:noWrap/>
          </w:tcPr>
          <w:p>
            <w:pPr>
              <w:widowControl/>
              <w:jc w:val="center"/>
              <w:textAlignment w:val="top"/>
              <w:rPr>
                <w:rFonts w:ascii="宋体" w:hAnsi="宋体" w:cs="宋体"/>
                <w:szCs w:val="21"/>
              </w:rPr>
            </w:pPr>
            <w:r>
              <w:rPr>
                <w:rFonts w:hint="eastAsia" w:ascii="宋体" w:hAnsi="宋体" w:cs="宋体"/>
                <w:szCs w:val="21"/>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rFonts w:ascii="宋体" w:hAnsi="宋体" w:cs="宋体"/>
                <w:szCs w:val="21"/>
              </w:rPr>
            </w:pPr>
            <w:r>
              <w:rPr>
                <w:rFonts w:hint="eastAsia" w:ascii="宋体" w:hAnsi="宋体" w:cs="宋体"/>
                <w:szCs w:val="21"/>
              </w:rPr>
              <w:t>4.61</w:t>
            </w:r>
          </w:p>
        </w:tc>
        <w:tc>
          <w:tcPr>
            <w:tcW w:w="1279" w:type="dxa"/>
            <w:noWrap/>
          </w:tcPr>
          <w:p>
            <w:pPr>
              <w:widowControl/>
              <w:jc w:val="center"/>
              <w:textAlignment w:val="top"/>
              <w:rPr>
                <w:rFonts w:ascii="宋体" w:hAnsi="宋体" w:cs="宋体"/>
                <w:szCs w:val="21"/>
              </w:rPr>
            </w:pPr>
            <w:r>
              <w:rPr>
                <w:rFonts w:hint="eastAsia" w:ascii="宋体" w:hAnsi="宋体" w:cs="宋体"/>
                <w:szCs w:val="21"/>
              </w:rPr>
              <w:t>6.17</w:t>
            </w:r>
          </w:p>
        </w:tc>
        <w:tc>
          <w:tcPr>
            <w:tcW w:w="1281" w:type="dxa"/>
            <w:noWrap/>
          </w:tcPr>
          <w:p>
            <w:pPr>
              <w:widowControl/>
              <w:jc w:val="center"/>
              <w:textAlignment w:val="top"/>
              <w:rPr>
                <w:rFonts w:ascii="宋体" w:hAnsi="宋体" w:cs="宋体"/>
                <w:szCs w:val="21"/>
              </w:rPr>
            </w:pPr>
            <w:r>
              <w:rPr>
                <w:rFonts w:hint="eastAsia" w:ascii="宋体" w:hAnsi="宋体" w:cs="宋体"/>
                <w:szCs w:val="21"/>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rFonts w:ascii="宋体" w:hAnsi="宋体" w:cs="宋体"/>
                <w:szCs w:val="21"/>
              </w:rPr>
            </w:pPr>
            <w:r>
              <w:rPr>
                <w:rFonts w:hint="eastAsia" w:ascii="宋体" w:hAnsi="宋体" w:cs="宋体"/>
                <w:szCs w:val="21"/>
              </w:rPr>
              <w:t>4.65</w:t>
            </w:r>
          </w:p>
        </w:tc>
        <w:tc>
          <w:tcPr>
            <w:tcW w:w="1279" w:type="dxa"/>
            <w:noWrap/>
          </w:tcPr>
          <w:p>
            <w:pPr>
              <w:widowControl/>
              <w:jc w:val="center"/>
              <w:textAlignment w:val="top"/>
              <w:rPr>
                <w:rFonts w:ascii="宋体" w:hAnsi="宋体" w:cs="宋体"/>
                <w:szCs w:val="21"/>
              </w:rPr>
            </w:pPr>
            <w:r>
              <w:rPr>
                <w:rFonts w:hint="eastAsia" w:ascii="宋体" w:hAnsi="宋体" w:cs="宋体"/>
                <w:szCs w:val="21"/>
              </w:rPr>
              <w:t>6.08</w:t>
            </w:r>
          </w:p>
        </w:tc>
        <w:tc>
          <w:tcPr>
            <w:tcW w:w="1281" w:type="dxa"/>
            <w:noWrap/>
          </w:tcPr>
          <w:p>
            <w:pPr>
              <w:widowControl/>
              <w:jc w:val="center"/>
              <w:textAlignment w:val="top"/>
              <w:rPr>
                <w:rFonts w:ascii="宋体" w:hAnsi="宋体" w:cs="宋体"/>
                <w:szCs w:val="21"/>
              </w:rPr>
            </w:pPr>
            <w:r>
              <w:rPr>
                <w:rFonts w:hint="eastAsia" w:ascii="宋体" w:hAnsi="宋体" w:cs="宋体"/>
                <w:szCs w:val="21"/>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rFonts w:ascii="宋体" w:hAnsi="宋体" w:cs="宋体"/>
                <w:szCs w:val="21"/>
              </w:rPr>
            </w:pPr>
            <w:r>
              <w:rPr>
                <w:rFonts w:hint="eastAsia" w:ascii="宋体" w:hAnsi="宋体" w:cs="宋体"/>
                <w:szCs w:val="21"/>
              </w:rPr>
              <w:t>4.56</w:t>
            </w:r>
          </w:p>
        </w:tc>
        <w:tc>
          <w:tcPr>
            <w:tcW w:w="1279" w:type="dxa"/>
            <w:noWrap/>
          </w:tcPr>
          <w:p>
            <w:pPr>
              <w:widowControl/>
              <w:jc w:val="center"/>
              <w:textAlignment w:val="top"/>
              <w:rPr>
                <w:rFonts w:ascii="宋体" w:hAnsi="宋体" w:cs="宋体"/>
                <w:szCs w:val="21"/>
              </w:rPr>
            </w:pPr>
            <w:r>
              <w:rPr>
                <w:rFonts w:hint="eastAsia" w:ascii="宋体" w:hAnsi="宋体" w:cs="宋体"/>
                <w:szCs w:val="21"/>
              </w:rPr>
              <w:t>6.05</w:t>
            </w:r>
          </w:p>
        </w:tc>
        <w:tc>
          <w:tcPr>
            <w:tcW w:w="1281" w:type="dxa"/>
            <w:noWrap/>
          </w:tcPr>
          <w:p>
            <w:pPr>
              <w:widowControl/>
              <w:jc w:val="center"/>
              <w:textAlignment w:val="top"/>
              <w:rPr>
                <w:rFonts w:ascii="宋体" w:hAnsi="宋体" w:cs="宋体"/>
                <w:szCs w:val="21"/>
              </w:rPr>
            </w:pPr>
            <w:r>
              <w:rPr>
                <w:rFonts w:hint="eastAsia" w:ascii="宋体" w:hAnsi="宋体" w:cs="宋体"/>
                <w:szCs w:val="21"/>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jc w:val="center"/>
        </w:trPr>
        <w:tc>
          <w:tcPr>
            <w:tcW w:w="1900" w:type="dxa"/>
            <w:noWrap/>
            <w:vAlign w:val="center"/>
          </w:tcPr>
          <w:p>
            <w:pPr>
              <w:widowControl/>
              <w:spacing w:line="360" w:lineRule="auto"/>
              <w:jc w:val="center"/>
              <w:rPr>
                <w:kern w:val="0"/>
                <w:szCs w:val="21"/>
              </w:rPr>
            </w:pPr>
            <w:r>
              <w:rPr>
                <w:kern w:val="0"/>
                <w:szCs w:val="21"/>
              </w:rPr>
              <w:t>均值</w:t>
            </w:r>
            <w:r>
              <w:rPr>
                <w:rFonts w:hint="eastAsia"/>
                <w:kern w:val="0"/>
                <w:szCs w:val="21"/>
              </w:rPr>
              <w:t>/%</w:t>
            </w:r>
          </w:p>
        </w:tc>
        <w:tc>
          <w:tcPr>
            <w:tcW w:w="1280" w:type="dxa"/>
            <w:noWrap/>
            <w:vAlign w:val="center"/>
          </w:tcPr>
          <w:p>
            <w:pPr>
              <w:widowControl/>
              <w:jc w:val="center"/>
              <w:textAlignment w:val="center"/>
              <w:rPr>
                <w:rFonts w:ascii="宋体" w:hAnsi="宋体" w:cs="宋体"/>
                <w:szCs w:val="21"/>
              </w:rPr>
            </w:pPr>
            <w:r>
              <w:rPr>
                <w:rFonts w:hint="eastAsia" w:ascii="宋体" w:hAnsi="宋体" w:cs="宋体"/>
                <w:kern w:val="0"/>
                <w:szCs w:val="21"/>
              </w:rPr>
              <w:t>4.58</w:t>
            </w:r>
          </w:p>
        </w:tc>
        <w:tc>
          <w:tcPr>
            <w:tcW w:w="1279" w:type="dxa"/>
            <w:noWrap/>
            <w:vAlign w:val="center"/>
          </w:tcPr>
          <w:p>
            <w:pPr>
              <w:widowControl/>
              <w:jc w:val="center"/>
              <w:textAlignment w:val="center"/>
              <w:rPr>
                <w:rFonts w:ascii="宋体" w:hAnsi="宋体" w:cs="宋体"/>
                <w:szCs w:val="21"/>
              </w:rPr>
            </w:pPr>
            <w:r>
              <w:rPr>
                <w:rFonts w:hint="eastAsia" w:ascii="宋体" w:hAnsi="宋体" w:cs="宋体"/>
                <w:kern w:val="0"/>
                <w:szCs w:val="21"/>
              </w:rPr>
              <w:t>6.15</w:t>
            </w:r>
          </w:p>
        </w:tc>
        <w:tc>
          <w:tcPr>
            <w:tcW w:w="1281" w:type="dxa"/>
            <w:noWrap/>
            <w:vAlign w:val="center"/>
          </w:tcPr>
          <w:p>
            <w:pPr>
              <w:widowControl/>
              <w:jc w:val="center"/>
              <w:textAlignment w:val="center"/>
              <w:rPr>
                <w:rFonts w:ascii="宋体" w:hAnsi="宋体" w:cs="宋体"/>
                <w:szCs w:val="21"/>
              </w:rPr>
            </w:pPr>
            <w:r>
              <w:rPr>
                <w:rFonts w:hint="eastAsia" w:ascii="宋体" w:hAnsi="宋体" w:cs="宋体"/>
                <w:kern w:val="0"/>
                <w:szCs w:val="21"/>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标准偏差</w:t>
            </w:r>
          </w:p>
        </w:tc>
        <w:tc>
          <w:tcPr>
            <w:tcW w:w="1280" w:type="dxa"/>
            <w:noWrap/>
            <w:vAlign w:val="center"/>
          </w:tcPr>
          <w:p>
            <w:pPr>
              <w:widowControl/>
              <w:jc w:val="center"/>
              <w:textAlignment w:val="center"/>
              <w:rPr>
                <w:rFonts w:ascii="宋体" w:hAnsi="宋体" w:cs="宋体"/>
                <w:szCs w:val="21"/>
              </w:rPr>
            </w:pPr>
            <w:r>
              <w:rPr>
                <w:rFonts w:hint="eastAsia" w:ascii="宋体" w:hAnsi="宋体" w:cs="宋体"/>
                <w:kern w:val="0"/>
                <w:szCs w:val="21"/>
              </w:rPr>
              <w:t>0.0524</w:t>
            </w:r>
          </w:p>
        </w:tc>
        <w:tc>
          <w:tcPr>
            <w:tcW w:w="1279" w:type="dxa"/>
            <w:noWrap/>
            <w:vAlign w:val="center"/>
          </w:tcPr>
          <w:p>
            <w:pPr>
              <w:widowControl/>
              <w:jc w:val="center"/>
              <w:textAlignment w:val="center"/>
              <w:rPr>
                <w:rFonts w:ascii="宋体" w:hAnsi="宋体" w:cs="宋体"/>
                <w:szCs w:val="21"/>
              </w:rPr>
            </w:pPr>
            <w:r>
              <w:rPr>
                <w:rFonts w:hint="eastAsia" w:ascii="宋体" w:hAnsi="宋体" w:cs="宋体"/>
                <w:kern w:val="0"/>
                <w:szCs w:val="21"/>
              </w:rPr>
              <w:t>0.0771</w:t>
            </w:r>
          </w:p>
        </w:tc>
        <w:tc>
          <w:tcPr>
            <w:tcW w:w="1281" w:type="dxa"/>
            <w:noWrap/>
            <w:vAlign w:val="center"/>
          </w:tcPr>
          <w:p>
            <w:pPr>
              <w:widowControl/>
              <w:jc w:val="center"/>
              <w:textAlignment w:val="center"/>
              <w:rPr>
                <w:rFonts w:ascii="宋体" w:hAnsi="宋体" w:cs="宋体"/>
                <w:szCs w:val="21"/>
              </w:rPr>
            </w:pPr>
            <w:r>
              <w:rPr>
                <w:rFonts w:hint="eastAsia" w:ascii="宋体" w:hAnsi="宋体" w:cs="宋体"/>
                <w:kern w:val="0"/>
                <w:szCs w:val="21"/>
              </w:rPr>
              <w:t>0.1085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Max</w:t>
            </w:r>
          </w:p>
        </w:tc>
        <w:tc>
          <w:tcPr>
            <w:tcW w:w="1280" w:type="dxa"/>
            <w:noWrap/>
            <w:vAlign w:val="center"/>
          </w:tcPr>
          <w:p>
            <w:pPr>
              <w:widowControl/>
              <w:jc w:val="center"/>
              <w:textAlignment w:val="center"/>
              <w:rPr>
                <w:rFonts w:ascii="宋体" w:hAnsi="宋体" w:cs="宋体"/>
                <w:szCs w:val="21"/>
              </w:rPr>
            </w:pPr>
            <w:r>
              <w:rPr>
                <w:rFonts w:hint="eastAsia" w:ascii="宋体" w:hAnsi="宋体" w:cs="宋体"/>
                <w:kern w:val="0"/>
                <w:szCs w:val="21"/>
              </w:rPr>
              <w:t>4.67</w:t>
            </w:r>
          </w:p>
        </w:tc>
        <w:tc>
          <w:tcPr>
            <w:tcW w:w="1279" w:type="dxa"/>
            <w:noWrap/>
            <w:vAlign w:val="center"/>
          </w:tcPr>
          <w:p>
            <w:pPr>
              <w:widowControl/>
              <w:jc w:val="center"/>
              <w:textAlignment w:val="center"/>
              <w:rPr>
                <w:rFonts w:ascii="宋体" w:hAnsi="宋体" w:cs="宋体"/>
                <w:szCs w:val="21"/>
              </w:rPr>
            </w:pPr>
            <w:r>
              <w:rPr>
                <w:rFonts w:hint="eastAsia" w:ascii="宋体" w:hAnsi="宋体" w:cs="宋体"/>
                <w:kern w:val="0"/>
                <w:szCs w:val="21"/>
              </w:rPr>
              <w:t>6.28</w:t>
            </w:r>
          </w:p>
        </w:tc>
        <w:tc>
          <w:tcPr>
            <w:tcW w:w="1281" w:type="dxa"/>
            <w:noWrap/>
            <w:vAlign w:val="center"/>
          </w:tcPr>
          <w:p>
            <w:pPr>
              <w:widowControl/>
              <w:jc w:val="center"/>
              <w:textAlignment w:val="center"/>
              <w:rPr>
                <w:rFonts w:ascii="宋体" w:hAnsi="宋体" w:cs="宋体"/>
                <w:szCs w:val="21"/>
              </w:rPr>
            </w:pPr>
            <w:r>
              <w:rPr>
                <w:rFonts w:hint="eastAsia" w:ascii="宋体" w:hAnsi="宋体" w:cs="宋体"/>
                <w:kern w:val="0"/>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Min</w:t>
            </w:r>
          </w:p>
        </w:tc>
        <w:tc>
          <w:tcPr>
            <w:tcW w:w="1280" w:type="dxa"/>
            <w:noWrap/>
            <w:vAlign w:val="center"/>
          </w:tcPr>
          <w:p>
            <w:pPr>
              <w:widowControl/>
              <w:jc w:val="center"/>
              <w:textAlignment w:val="center"/>
              <w:rPr>
                <w:rFonts w:ascii="宋体" w:hAnsi="宋体" w:cs="宋体"/>
                <w:szCs w:val="21"/>
              </w:rPr>
            </w:pPr>
            <w:r>
              <w:rPr>
                <w:rFonts w:hint="eastAsia" w:ascii="宋体" w:hAnsi="宋体" w:cs="宋体"/>
                <w:kern w:val="0"/>
                <w:szCs w:val="21"/>
              </w:rPr>
              <w:t>4.51</w:t>
            </w:r>
          </w:p>
        </w:tc>
        <w:tc>
          <w:tcPr>
            <w:tcW w:w="1279" w:type="dxa"/>
            <w:noWrap/>
            <w:vAlign w:val="center"/>
          </w:tcPr>
          <w:p>
            <w:pPr>
              <w:widowControl/>
              <w:jc w:val="center"/>
              <w:textAlignment w:val="center"/>
              <w:rPr>
                <w:rFonts w:ascii="宋体" w:hAnsi="宋体" w:cs="宋体"/>
                <w:szCs w:val="21"/>
              </w:rPr>
            </w:pPr>
            <w:r>
              <w:rPr>
                <w:rFonts w:hint="eastAsia" w:ascii="宋体" w:hAnsi="宋体" w:cs="宋体"/>
                <w:kern w:val="0"/>
                <w:szCs w:val="21"/>
              </w:rPr>
              <w:t>6.05</w:t>
            </w:r>
          </w:p>
        </w:tc>
        <w:tc>
          <w:tcPr>
            <w:tcW w:w="1281" w:type="dxa"/>
            <w:noWrap/>
            <w:vAlign w:val="center"/>
          </w:tcPr>
          <w:p>
            <w:pPr>
              <w:widowControl/>
              <w:jc w:val="center"/>
              <w:textAlignment w:val="center"/>
              <w:rPr>
                <w:rFonts w:ascii="宋体" w:hAnsi="宋体" w:cs="宋体"/>
                <w:szCs w:val="21"/>
              </w:rPr>
            </w:pPr>
            <w:r>
              <w:rPr>
                <w:rFonts w:hint="eastAsia" w:ascii="宋体" w:hAnsi="宋体" w:cs="宋体"/>
                <w:kern w:val="0"/>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jc w:val="center"/>
              <w:textAlignment w:val="center"/>
              <w:rPr>
                <w:rFonts w:ascii="宋体" w:hAnsi="宋体" w:cs="宋体"/>
                <w:szCs w:val="21"/>
              </w:rPr>
            </w:pPr>
            <w:r>
              <w:rPr>
                <w:rFonts w:hint="eastAsia" w:ascii="宋体" w:hAnsi="宋体" w:cs="宋体"/>
                <w:kern w:val="0"/>
                <w:szCs w:val="21"/>
              </w:rPr>
              <w:t>1.630</w:t>
            </w:r>
          </w:p>
        </w:tc>
        <w:tc>
          <w:tcPr>
            <w:tcW w:w="1279" w:type="dxa"/>
            <w:noWrap/>
            <w:vAlign w:val="center"/>
          </w:tcPr>
          <w:p>
            <w:pPr>
              <w:widowControl/>
              <w:jc w:val="center"/>
              <w:textAlignment w:val="center"/>
              <w:rPr>
                <w:rFonts w:ascii="宋体" w:hAnsi="宋体" w:cs="宋体"/>
                <w:szCs w:val="21"/>
              </w:rPr>
            </w:pPr>
            <w:r>
              <w:rPr>
                <w:rFonts w:hint="eastAsia" w:ascii="宋体" w:hAnsi="宋体" w:cs="宋体"/>
                <w:kern w:val="0"/>
                <w:szCs w:val="21"/>
              </w:rPr>
              <w:t>1.733</w:t>
            </w:r>
          </w:p>
        </w:tc>
        <w:tc>
          <w:tcPr>
            <w:tcW w:w="1281" w:type="dxa"/>
            <w:noWrap/>
            <w:vAlign w:val="center"/>
          </w:tcPr>
          <w:p>
            <w:pPr>
              <w:widowControl/>
              <w:jc w:val="center"/>
              <w:textAlignment w:val="center"/>
              <w:rPr>
                <w:rFonts w:ascii="宋体" w:hAnsi="宋体" w:cs="宋体"/>
                <w:szCs w:val="21"/>
              </w:rPr>
            </w:pPr>
            <w:r>
              <w:rPr>
                <w:rFonts w:hint="eastAsia" w:ascii="宋体" w:hAnsi="宋体" w:cs="宋体"/>
                <w:kern w:val="0"/>
                <w:szCs w:val="21"/>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jc w:val="center"/>
              <w:textAlignment w:val="center"/>
              <w:rPr>
                <w:rFonts w:ascii="宋体" w:hAnsi="宋体" w:cs="宋体"/>
                <w:szCs w:val="21"/>
              </w:rPr>
            </w:pPr>
            <w:r>
              <w:rPr>
                <w:rFonts w:hint="eastAsia" w:ascii="宋体" w:hAnsi="宋体" w:cs="宋体"/>
                <w:kern w:val="0"/>
                <w:szCs w:val="21"/>
              </w:rPr>
              <w:t>1.422</w:t>
            </w:r>
          </w:p>
        </w:tc>
        <w:tc>
          <w:tcPr>
            <w:tcW w:w="1279" w:type="dxa"/>
            <w:noWrap/>
            <w:vAlign w:val="center"/>
          </w:tcPr>
          <w:p>
            <w:pPr>
              <w:widowControl/>
              <w:jc w:val="center"/>
              <w:textAlignment w:val="center"/>
              <w:rPr>
                <w:rFonts w:ascii="宋体" w:hAnsi="宋体" w:cs="宋体"/>
                <w:szCs w:val="21"/>
              </w:rPr>
            </w:pPr>
            <w:r>
              <w:rPr>
                <w:rFonts w:hint="eastAsia" w:ascii="宋体" w:hAnsi="宋体" w:cs="宋体"/>
                <w:kern w:val="0"/>
                <w:szCs w:val="21"/>
              </w:rPr>
              <w:t>1.250</w:t>
            </w:r>
          </w:p>
        </w:tc>
        <w:tc>
          <w:tcPr>
            <w:tcW w:w="1281" w:type="dxa"/>
            <w:noWrap/>
            <w:vAlign w:val="center"/>
          </w:tcPr>
          <w:p>
            <w:pPr>
              <w:widowControl/>
              <w:jc w:val="center"/>
              <w:textAlignment w:val="center"/>
              <w:rPr>
                <w:rFonts w:ascii="宋体" w:hAnsi="宋体" w:cs="宋体"/>
                <w:szCs w:val="21"/>
              </w:rPr>
            </w:pPr>
            <w:r>
              <w:rPr>
                <w:rFonts w:hint="eastAsia" w:ascii="宋体" w:hAnsi="宋体" w:cs="宋体"/>
                <w:kern w:val="0"/>
                <w:szCs w:val="21"/>
              </w:rPr>
              <w:t>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360" w:lineRule="auto"/>
              <w:jc w:val="center"/>
              <w:rPr>
                <w:szCs w:val="21"/>
              </w:rPr>
            </w:pPr>
            <w:r>
              <w:rPr>
                <w:rFonts w:hint="eastAsia"/>
                <w:szCs w:val="21"/>
              </w:rPr>
              <w:t>当n=11，α=0.05时临界值为2.355，α=0.01时临界值为2.564。</w:t>
            </w:r>
          </w:p>
        </w:tc>
      </w:tr>
    </w:tbl>
    <w:p>
      <w:pPr>
        <w:spacing w:beforeLines="50"/>
      </w:pPr>
    </w:p>
    <w:p>
      <w:pPr>
        <w:tabs>
          <w:tab w:val="left" w:pos="840"/>
        </w:tabs>
        <w:snapToGrid w:val="0"/>
        <w:spacing w:line="360" w:lineRule="auto"/>
        <w:ind w:firstLine="420" w:firstLineChars="200"/>
        <w:jc w:val="center"/>
        <w:rPr>
          <w:szCs w:val="21"/>
        </w:rPr>
      </w:pPr>
      <w:r>
        <w:rPr>
          <w:szCs w:val="21"/>
        </w:rPr>
        <w:t>表1-</w:t>
      </w:r>
      <w:r>
        <w:rPr>
          <w:rFonts w:hint="eastAsia"/>
          <w:szCs w:val="21"/>
        </w:rPr>
        <w:t>5</w:t>
      </w:r>
      <w:r>
        <w:rPr>
          <w:rFonts w:hint="eastAsia"/>
        </w:rPr>
        <w:t>湖南柿竹园有色金属有限责任公司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36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360" w:lineRule="auto"/>
              <w:jc w:val="center"/>
              <w:rPr>
                <w:kern w:val="0"/>
                <w:szCs w:val="21"/>
              </w:rPr>
            </w:pPr>
            <w:r>
              <w:rPr>
                <w:kern w:val="0"/>
                <w:szCs w:val="21"/>
              </w:rPr>
              <w:t>测定结果</w:t>
            </w:r>
            <w:r>
              <w:rPr>
                <w:rFonts w:hint="eastAsia"/>
                <w:kern w:val="0"/>
                <w:szCs w:val="21"/>
              </w:rPr>
              <w:t>/%</w:t>
            </w:r>
          </w:p>
        </w:tc>
        <w:tc>
          <w:tcPr>
            <w:tcW w:w="1280" w:type="dxa"/>
            <w:noWrap/>
          </w:tcPr>
          <w:p>
            <w:pPr>
              <w:widowControl/>
              <w:jc w:val="center"/>
              <w:textAlignment w:val="top"/>
              <w:rPr>
                <w:szCs w:val="21"/>
              </w:rPr>
            </w:pPr>
            <w:r>
              <w:rPr>
                <w:rFonts w:hint="eastAsia" w:ascii="宋体" w:hAnsi="宋体" w:cs="宋体"/>
                <w:kern w:val="0"/>
                <w:szCs w:val="21"/>
              </w:rPr>
              <w:t>4.61</w:t>
            </w:r>
          </w:p>
        </w:tc>
        <w:tc>
          <w:tcPr>
            <w:tcW w:w="1279" w:type="dxa"/>
            <w:noWrap/>
          </w:tcPr>
          <w:p>
            <w:pPr>
              <w:widowControl/>
              <w:jc w:val="center"/>
              <w:textAlignment w:val="top"/>
              <w:rPr>
                <w:szCs w:val="21"/>
              </w:rPr>
            </w:pPr>
            <w:r>
              <w:rPr>
                <w:rFonts w:hint="eastAsia" w:ascii="宋体" w:hAnsi="宋体" w:cs="宋体"/>
                <w:kern w:val="0"/>
                <w:szCs w:val="21"/>
              </w:rPr>
              <w:t>6.24</w:t>
            </w:r>
          </w:p>
        </w:tc>
        <w:tc>
          <w:tcPr>
            <w:tcW w:w="1281" w:type="dxa"/>
            <w:noWrap/>
          </w:tcPr>
          <w:p>
            <w:pPr>
              <w:widowControl/>
              <w:jc w:val="center"/>
              <w:textAlignment w:val="top"/>
              <w:rPr>
                <w:szCs w:val="21"/>
              </w:rPr>
            </w:pPr>
            <w:r>
              <w:rPr>
                <w:rFonts w:hint="eastAsia" w:ascii="宋体" w:hAnsi="宋体" w:cs="宋体"/>
                <w:kern w:val="0"/>
                <w:szCs w:val="21"/>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4.45</w:t>
            </w:r>
          </w:p>
        </w:tc>
        <w:tc>
          <w:tcPr>
            <w:tcW w:w="1279" w:type="dxa"/>
            <w:noWrap/>
          </w:tcPr>
          <w:p>
            <w:pPr>
              <w:widowControl/>
              <w:jc w:val="center"/>
              <w:textAlignment w:val="top"/>
              <w:rPr>
                <w:szCs w:val="21"/>
              </w:rPr>
            </w:pPr>
            <w:r>
              <w:rPr>
                <w:rFonts w:hint="eastAsia" w:ascii="宋体" w:hAnsi="宋体" w:cs="宋体"/>
                <w:kern w:val="0"/>
                <w:szCs w:val="21"/>
              </w:rPr>
              <w:t>6.37</w:t>
            </w:r>
          </w:p>
        </w:tc>
        <w:tc>
          <w:tcPr>
            <w:tcW w:w="1281" w:type="dxa"/>
            <w:noWrap/>
          </w:tcPr>
          <w:p>
            <w:pPr>
              <w:widowControl/>
              <w:jc w:val="center"/>
              <w:textAlignment w:val="top"/>
              <w:rPr>
                <w:szCs w:val="21"/>
              </w:rPr>
            </w:pPr>
            <w:r>
              <w:rPr>
                <w:rFonts w:hint="eastAsia" w:ascii="宋体" w:hAnsi="宋体" w:cs="宋体"/>
                <w:kern w:val="0"/>
                <w:szCs w:val="21"/>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4.39</w:t>
            </w:r>
          </w:p>
        </w:tc>
        <w:tc>
          <w:tcPr>
            <w:tcW w:w="1279" w:type="dxa"/>
            <w:noWrap/>
          </w:tcPr>
          <w:p>
            <w:pPr>
              <w:widowControl/>
              <w:jc w:val="center"/>
              <w:textAlignment w:val="top"/>
              <w:rPr>
                <w:szCs w:val="21"/>
              </w:rPr>
            </w:pPr>
            <w:r>
              <w:rPr>
                <w:rFonts w:hint="eastAsia" w:ascii="宋体" w:hAnsi="宋体" w:cs="宋体"/>
                <w:kern w:val="0"/>
                <w:szCs w:val="21"/>
              </w:rPr>
              <w:t>6.19</w:t>
            </w:r>
          </w:p>
        </w:tc>
        <w:tc>
          <w:tcPr>
            <w:tcW w:w="1281" w:type="dxa"/>
            <w:noWrap/>
          </w:tcPr>
          <w:p>
            <w:pPr>
              <w:widowControl/>
              <w:jc w:val="center"/>
              <w:textAlignment w:val="top"/>
              <w:rPr>
                <w:szCs w:val="21"/>
              </w:rPr>
            </w:pPr>
            <w:r>
              <w:rPr>
                <w:rFonts w:hint="eastAsia" w:ascii="宋体" w:hAnsi="宋体" w:cs="宋体"/>
                <w:kern w:val="0"/>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4.52</w:t>
            </w:r>
          </w:p>
        </w:tc>
        <w:tc>
          <w:tcPr>
            <w:tcW w:w="1279" w:type="dxa"/>
            <w:noWrap/>
          </w:tcPr>
          <w:p>
            <w:pPr>
              <w:widowControl/>
              <w:jc w:val="center"/>
              <w:textAlignment w:val="top"/>
              <w:rPr>
                <w:szCs w:val="21"/>
              </w:rPr>
            </w:pPr>
            <w:r>
              <w:rPr>
                <w:rFonts w:hint="eastAsia" w:ascii="宋体" w:hAnsi="宋体" w:cs="宋体"/>
                <w:kern w:val="0"/>
                <w:szCs w:val="21"/>
              </w:rPr>
              <w:t>6.32</w:t>
            </w:r>
          </w:p>
        </w:tc>
        <w:tc>
          <w:tcPr>
            <w:tcW w:w="1281" w:type="dxa"/>
            <w:noWrap/>
          </w:tcPr>
          <w:p>
            <w:pPr>
              <w:widowControl/>
              <w:jc w:val="center"/>
              <w:textAlignment w:val="top"/>
              <w:rPr>
                <w:szCs w:val="21"/>
              </w:rPr>
            </w:pPr>
            <w:r>
              <w:rPr>
                <w:rFonts w:hint="eastAsia" w:ascii="宋体" w:hAnsi="宋体" w:cs="宋体"/>
                <w:kern w:val="0"/>
                <w:szCs w:val="21"/>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4.56</w:t>
            </w:r>
          </w:p>
        </w:tc>
        <w:tc>
          <w:tcPr>
            <w:tcW w:w="1279" w:type="dxa"/>
            <w:noWrap/>
          </w:tcPr>
          <w:p>
            <w:pPr>
              <w:widowControl/>
              <w:jc w:val="center"/>
              <w:textAlignment w:val="top"/>
              <w:rPr>
                <w:szCs w:val="21"/>
              </w:rPr>
            </w:pPr>
            <w:r>
              <w:rPr>
                <w:rFonts w:hint="eastAsia" w:ascii="宋体" w:hAnsi="宋体" w:cs="宋体"/>
                <w:kern w:val="0"/>
                <w:szCs w:val="21"/>
              </w:rPr>
              <w:t>6.35</w:t>
            </w:r>
          </w:p>
        </w:tc>
        <w:tc>
          <w:tcPr>
            <w:tcW w:w="1281" w:type="dxa"/>
            <w:noWrap/>
          </w:tcPr>
          <w:p>
            <w:pPr>
              <w:widowControl/>
              <w:jc w:val="center"/>
              <w:textAlignment w:val="top"/>
              <w:rPr>
                <w:szCs w:val="21"/>
              </w:rPr>
            </w:pPr>
            <w:r>
              <w:rPr>
                <w:rFonts w:hint="eastAsia" w:ascii="宋体" w:hAnsi="宋体" w:cs="宋体"/>
                <w:kern w:val="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4.51</w:t>
            </w:r>
          </w:p>
        </w:tc>
        <w:tc>
          <w:tcPr>
            <w:tcW w:w="1279" w:type="dxa"/>
            <w:noWrap/>
          </w:tcPr>
          <w:p>
            <w:pPr>
              <w:widowControl/>
              <w:jc w:val="center"/>
              <w:textAlignment w:val="top"/>
              <w:rPr>
                <w:szCs w:val="21"/>
              </w:rPr>
            </w:pPr>
            <w:r>
              <w:rPr>
                <w:rFonts w:hint="eastAsia" w:ascii="宋体" w:hAnsi="宋体" w:cs="宋体"/>
                <w:kern w:val="0"/>
                <w:szCs w:val="21"/>
              </w:rPr>
              <w:t>6.4</w:t>
            </w:r>
          </w:p>
        </w:tc>
        <w:tc>
          <w:tcPr>
            <w:tcW w:w="1281" w:type="dxa"/>
            <w:noWrap/>
          </w:tcPr>
          <w:p>
            <w:pPr>
              <w:widowControl/>
              <w:jc w:val="center"/>
              <w:textAlignment w:val="top"/>
              <w:rPr>
                <w:szCs w:val="21"/>
              </w:rPr>
            </w:pPr>
            <w:r>
              <w:rPr>
                <w:rFonts w:hint="eastAsia" w:ascii="宋体" w:hAnsi="宋体" w:cs="宋体"/>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360" w:lineRule="auto"/>
              <w:jc w:val="center"/>
              <w:rPr>
                <w:kern w:val="0"/>
                <w:szCs w:val="21"/>
              </w:rPr>
            </w:pPr>
          </w:p>
        </w:tc>
        <w:tc>
          <w:tcPr>
            <w:tcW w:w="1280" w:type="dxa"/>
            <w:noWrap/>
          </w:tcPr>
          <w:p>
            <w:pPr>
              <w:widowControl/>
              <w:jc w:val="center"/>
              <w:textAlignment w:val="top"/>
              <w:rPr>
                <w:szCs w:val="21"/>
              </w:rPr>
            </w:pPr>
            <w:r>
              <w:rPr>
                <w:rFonts w:hint="eastAsia" w:ascii="宋体" w:hAnsi="宋体" w:cs="宋体"/>
                <w:kern w:val="0"/>
                <w:szCs w:val="21"/>
              </w:rPr>
              <w:t>4.55</w:t>
            </w:r>
          </w:p>
        </w:tc>
        <w:tc>
          <w:tcPr>
            <w:tcW w:w="1279" w:type="dxa"/>
            <w:noWrap/>
          </w:tcPr>
          <w:p>
            <w:pPr>
              <w:widowControl/>
              <w:jc w:val="center"/>
              <w:textAlignment w:val="top"/>
              <w:rPr>
                <w:szCs w:val="21"/>
              </w:rPr>
            </w:pPr>
            <w:r>
              <w:rPr>
                <w:rFonts w:hint="eastAsia" w:ascii="宋体" w:hAnsi="宋体" w:cs="宋体"/>
                <w:kern w:val="0"/>
                <w:szCs w:val="21"/>
              </w:rPr>
              <w:t>6.25</w:t>
            </w:r>
          </w:p>
        </w:tc>
        <w:tc>
          <w:tcPr>
            <w:tcW w:w="1281" w:type="dxa"/>
            <w:noWrap/>
          </w:tcPr>
          <w:p>
            <w:pPr>
              <w:widowControl/>
              <w:jc w:val="center"/>
              <w:textAlignment w:val="top"/>
              <w:rPr>
                <w:szCs w:val="21"/>
              </w:rPr>
            </w:pPr>
            <w:r>
              <w:rPr>
                <w:rFonts w:hint="eastAsia" w:ascii="宋体" w:hAnsi="宋体" w:cs="宋体"/>
                <w:kern w:val="0"/>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00" w:type="dxa"/>
            <w:noWrap/>
            <w:vAlign w:val="center"/>
          </w:tcPr>
          <w:p>
            <w:pPr>
              <w:widowControl/>
              <w:spacing w:line="360" w:lineRule="auto"/>
              <w:jc w:val="center"/>
              <w:rPr>
                <w:kern w:val="0"/>
                <w:szCs w:val="21"/>
              </w:rPr>
            </w:pPr>
            <w:r>
              <w:rPr>
                <w:kern w:val="0"/>
                <w:szCs w:val="21"/>
              </w:rPr>
              <w:t>均值</w:t>
            </w:r>
            <w:r>
              <w:rPr>
                <w:rFonts w:hint="eastAsia"/>
                <w:kern w:val="0"/>
                <w:szCs w:val="21"/>
              </w:rPr>
              <w:t>/%</w:t>
            </w:r>
          </w:p>
        </w:tc>
        <w:tc>
          <w:tcPr>
            <w:tcW w:w="1280" w:type="dxa"/>
            <w:noWrap/>
          </w:tcPr>
          <w:p>
            <w:pPr>
              <w:widowControl/>
              <w:jc w:val="center"/>
              <w:textAlignment w:val="top"/>
              <w:rPr>
                <w:szCs w:val="21"/>
              </w:rPr>
            </w:pPr>
            <w:r>
              <w:rPr>
                <w:rFonts w:hint="eastAsia" w:ascii="宋体" w:hAnsi="宋体" w:cs="宋体"/>
                <w:kern w:val="0"/>
                <w:szCs w:val="21"/>
              </w:rPr>
              <w:t>4.51</w:t>
            </w:r>
          </w:p>
        </w:tc>
        <w:tc>
          <w:tcPr>
            <w:tcW w:w="1279" w:type="dxa"/>
            <w:noWrap/>
          </w:tcPr>
          <w:p>
            <w:pPr>
              <w:widowControl/>
              <w:jc w:val="center"/>
              <w:textAlignment w:val="top"/>
              <w:rPr>
                <w:szCs w:val="21"/>
              </w:rPr>
            </w:pPr>
            <w:r>
              <w:rPr>
                <w:rFonts w:hint="eastAsia" w:ascii="宋体" w:hAnsi="宋体" w:cs="宋体"/>
                <w:kern w:val="0"/>
                <w:szCs w:val="21"/>
              </w:rPr>
              <w:t>6.30</w:t>
            </w:r>
          </w:p>
        </w:tc>
        <w:tc>
          <w:tcPr>
            <w:tcW w:w="1281" w:type="dxa"/>
            <w:noWrap/>
          </w:tcPr>
          <w:p>
            <w:pPr>
              <w:widowControl/>
              <w:jc w:val="center"/>
              <w:textAlignment w:val="top"/>
              <w:rPr>
                <w:szCs w:val="21"/>
              </w:rPr>
            </w:pPr>
            <w:r>
              <w:rPr>
                <w:rFonts w:hint="eastAsia" w:ascii="宋体" w:hAnsi="宋体" w:cs="宋体"/>
                <w:kern w:val="0"/>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标准偏差</w:t>
            </w:r>
          </w:p>
        </w:tc>
        <w:tc>
          <w:tcPr>
            <w:tcW w:w="1280" w:type="dxa"/>
            <w:noWrap/>
            <w:vAlign w:val="center"/>
          </w:tcPr>
          <w:p>
            <w:pPr>
              <w:widowControl/>
              <w:jc w:val="center"/>
              <w:textAlignment w:val="center"/>
              <w:rPr>
                <w:szCs w:val="21"/>
              </w:rPr>
            </w:pPr>
            <w:r>
              <w:rPr>
                <w:rFonts w:hint="eastAsia" w:ascii="宋体" w:hAnsi="宋体" w:cs="宋体"/>
                <w:kern w:val="0"/>
                <w:szCs w:val="21"/>
              </w:rPr>
              <w:t>0.0732</w:t>
            </w:r>
          </w:p>
        </w:tc>
        <w:tc>
          <w:tcPr>
            <w:tcW w:w="1279" w:type="dxa"/>
            <w:noWrap/>
            <w:vAlign w:val="center"/>
          </w:tcPr>
          <w:p>
            <w:pPr>
              <w:widowControl/>
              <w:jc w:val="center"/>
              <w:textAlignment w:val="center"/>
              <w:rPr>
                <w:szCs w:val="21"/>
              </w:rPr>
            </w:pPr>
            <w:r>
              <w:rPr>
                <w:rFonts w:hint="eastAsia" w:ascii="宋体" w:hAnsi="宋体" w:cs="宋体"/>
                <w:kern w:val="0"/>
                <w:szCs w:val="21"/>
              </w:rPr>
              <w:t>0.0774</w:t>
            </w:r>
          </w:p>
        </w:tc>
        <w:tc>
          <w:tcPr>
            <w:tcW w:w="1281" w:type="dxa"/>
            <w:noWrap/>
            <w:vAlign w:val="center"/>
          </w:tcPr>
          <w:p>
            <w:pPr>
              <w:widowControl/>
              <w:jc w:val="center"/>
              <w:textAlignment w:val="center"/>
              <w:rPr>
                <w:szCs w:val="21"/>
              </w:rPr>
            </w:pPr>
            <w:r>
              <w:rPr>
                <w:rFonts w:hint="eastAsia" w:ascii="宋体" w:hAnsi="宋体" w:cs="宋体"/>
                <w:kern w:val="0"/>
                <w:szCs w:val="21"/>
              </w:rPr>
              <w:t>0.0865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4.61</w:t>
            </w:r>
          </w:p>
        </w:tc>
        <w:tc>
          <w:tcPr>
            <w:tcW w:w="1279" w:type="dxa"/>
            <w:noWrap/>
            <w:vAlign w:val="center"/>
          </w:tcPr>
          <w:p>
            <w:pPr>
              <w:widowControl/>
              <w:jc w:val="center"/>
              <w:textAlignment w:val="center"/>
              <w:rPr>
                <w:szCs w:val="21"/>
              </w:rPr>
            </w:pPr>
            <w:r>
              <w:rPr>
                <w:rFonts w:hint="eastAsia" w:ascii="宋体" w:hAnsi="宋体" w:cs="宋体"/>
                <w:kern w:val="0"/>
                <w:szCs w:val="21"/>
              </w:rPr>
              <w:t>6.4</w:t>
            </w:r>
          </w:p>
        </w:tc>
        <w:tc>
          <w:tcPr>
            <w:tcW w:w="1281" w:type="dxa"/>
            <w:noWrap/>
            <w:vAlign w:val="center"/>
          </w:tcPr>
          <w:p>
            <w:pPr>
              <w:widowControl/>
              <w:jc w:val="center"/>
              <w:textAlignment w:val="center"/>
              <w:rPr>
                <w:szCs w:val="21"/>
              </w:rPr>
            </w:pPr>
            <w:r>
              <w:rPr>
                <w:rFonts w:hint="eastAsia" w:ascii="宋体" w:hAnsi="宋体" w:cs="宋体"/>
                <w:kern w:val="0"/>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360" w:lineRule="auto"/>
              <w:jc w:val="center"/>
              <w:rPr>
                <w:szCs w:val="21"/>
              </w:rPr>
            </w:pPr>
            <w:r>
              <w:rPr>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4.39</w:t>
            </w:r>
          </w:p>
        </w:tc>
        <w:tc>
          <w:tcPr>
            <w:tcW w:w="1279" w:type="dxa"/>
            <w:noWrap/>
            <w:vAlign w:val="center"/>
          </w:tcPr>
          <w:p>
            <w:pPr>
              <w:widowControl/>
              <w:jc w:val="center"/>
              <w:textAlignment w:val="center"/>
              <w:rPr>
                <w:szCs w:val="21"/>
              </w:rPr>
            </w:pPr>
            <w:r>
              <w:rPr>
                <w:rFonts w:hint="eastAsia" w:ascii="宋体" w:hAnsi="宋体" w:cs="宋体"/>
                <w:kern w:val="0"/>
                <w:szCs w:val="21"/>
              </w:rPr>
              <w:t>6.19</w:t>
            </w:r>
          </w:p>
        </w:tc>
        <w:tc>
          <w:tcPr>
            <w:tcW w:w="1281" w:type="dxa"/>
            <w:noWrap/>
            <w:vAlign w:val="center"/>
          </w:tcPr>
          <w:p>
            <w:pPr>
              <w:widowControl/>
              <w:jc w:val="center"/>
              <w:textAlignment w:val="center"/>
              <w:rPr>
                <w:szCs w:val="21"/>
              </w:rPr>
            </w:pPr>
            <w:r>
              <w:rPr>
                <w:rFonts w:hint="eastAsia" w:ascii="宋体" w:hAnsi="宋体" w:cs="宋体"/>
                <w:kern w:val="0"/>
                <w:szCs w:val="21"/>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jc w:val="center"/>
              <w:textAlignment w:val="center"/>
              <w:rPr>
                <w:szCs w:val="21"/>
              </w:rPr>
            </w:pPr>
            <w:r>
              <w:rPr>
                <w:rFonts w:hint="eastAsia" w:ascii="宋体" w:hAnsi="宋体" w:cs="宋体"/>
                <w:kern w:val="0"/>
                <w:szCs w:val="21"/>
              </w:rPr>
              <w:t>1.327</w:t>
            </w:r>
          </w:p>
        </w:tc>
        <w:tc>
          <w:tcPr>
            <w:tcW w:w="1279" w:type="dxa"/>
            <w:noWrap/>
            <w:vAlign w:val="center"/>
          </w:tcPr>
          <w:p>
            <w:pPr>
              <w:widowControl/>
              <w:jc w:val="center"/>
              <w:textAlignment w:val="center"/>
              <w:rPr>
                <w:szCs w:val="21"/>
              </w:rPr>
            </w:pPr>
            <w:r>
              <w:rPr>
                <w:rFonts w:hint="eastAsia" w:ascii="宋体" w:hAnsi="宋体" w:cs="宋体"/>
                <w:kern w:val="0"/>
                <w:szCs w:val="21"/>
              </w:rPr>
              <w:t>1.255</w:t>
            </w:r>
          </w:p>
        </w:tc>
        <w:tc>
          <w:tcPr>
            <w:tcW w:w="1281" w:type="dxa"/>
            <w:noWrap/>
            <w:vAlign w:val="center"/>
          </w:tcPr>
          <w:p>
            <w:pPr>
              <w:widowControl/>
              <w:jc w:val="center"/>
              <w:textAlignment w:val="center"/>
              <w:rPr>
                <w:szCs w:val="21"/>
              </w:rPr>
            </w:pPr>
            <w:r>
              <w:rPr>
                <w:rFonts w:hint="eastAsia" w:ascii="宋体" w:hAnsi="宋体" w:cs="宋体"/>
                <w:kern w:val="0"/>
                <w:szCs w:val="21"/>
              </w:rPr>
              <w:t>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36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jc w:val="center"/>
              <w:textAlignment w:val="center"/>
              <w:rPr>
                <w:szCs w:val="21"/>
              </w:rPr>
            </w:pPr>
            <w:r>
              <w:rPr>
                <w:rFonts w:hint="eastAsia" w:ascii="宋体" w:hAnsi="宋体" w:cs="宋体"/>
                <w:kern w:val="0"/>
                <w:szCs w:val="21"/>
              </w:rPr>
              <w:t>1.679</w:t>
            </w:r>
          </w:p>
        </w:tc>
        <w:tc>
          <w:tcPr>
            <w:tcW w:w="1279" w:type="dxa"/>
            <w:noWrap/>
            <w:vAlign w:val="center"/>
          </w:tcPr>
          <w:p>
            <w:pPr>
              <w:widowControl/>
              <w:jc w:val="center"/>
              <w:textAlignment w:val="center"/>
              <w:rPr>
                <w:szCs w:val="21"/>
              </w:rPr>
            </w:pPr>
            <w:r>
              <w:rPr>
                <w:rFonts w:hint="eastAsia" w:ascii="宋体" w:hAnsi="宋体" w:cs="宋体"/>
                <w:kern w:val="0"/>
                <w:szCs w:val="21"/>
              </w:rPr>
              <w:t>1.458</w:t>
            </w:r>
          </w:p>
        </w:tc>
        <w:tc>
          <w:tcPr>
            <w:tcW w:w="1281" w:type="dxa"/>
            <w:noWrap/>
            <w:vAlign w:val="center"/>
          </w:tcPr>
          <w:p>
            <w:pPr>
              <w:widowControl/>
              <w:jc w:val="center"/>
              <w:textAlignment w:val="center"/>
              <w:rPr>
                <w:szCs w:val="21"/>
              </w:rPr>
            </w:pPr>
            <w:r>
              <w:rPr>
                <w:rFonts w:hint="eastAsia" w:ascii="宋体" w:hAnsi="宋体" w:cs="宋体"/>
                <w:kern w:val="0"/>
                <w:szCs w:val="21"/>
              </w:rPr>
              <w:t>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360" w:lineRule="auto"/>
              <w:jc w:val="center"/>
              <w:rPr>
                <w:szCs w:val="21"/>
              </w:rPr>
            </w:pPr>
            <w:r>
              <w:rPr>
                <w:rFonts w:hint="eastAsia"/>
                <w:szCs w:val="21"/>
              </w:rPr>
              <w:t>当n=7，α=0.05时临界值为2.020，α=0.01时临界值为2.139。</w:t>
            </w:r>
          </w:p>
        </w:tc>
      </w:tr>
    </w:tbl>
    <w:p>
      <w:pPr>
        <w:spacing w:beforeLines="50"/>
        <w:jc w:val="center"/>
        <w:rPr>
          <w:szCs w:val="21"/>
        </w:rPr>
      </w:pPr>
    </w:p>
    <w:p>
      <w:pPr>
        <w:spacing w:beforeLines="50"/>
        <w:jc w:val="center"/>
        <w:rPr>
          <w:szCs w:val="21"/>
        </w:rPr>
      </w:pPr>
      <w:r>
        <w:rPr>
          <w:szCs w:val="21"/>
        </w:rPr>
        <w:t>表1-</w:t>
      </w:r>
      <w:r>
        <w:rPr>
          <w:rFonts w:hint="eastAsia"/>
          <w:szCs w:val="21"/>
        </w:rPr>
        <w:t>6</w:t>
      </w:r>
      <w:r>
        <w:rPr>
          <w:rFonts w:hint="eastAsia"/>
        </w:rPr>
        <w:t>福建紫金矿冶测试技术有限公司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00" w:type="dxa"/>
            <w:vMerge w:val="restart"/>
            <w:noWrap/>
            <w:vAlign w:val="center"/>
          </w:tcPr>
          <w:p>
            <w:pPr>
              <w:widowControl/>
              <w:spacing w:line="240" w:lineRule="auto"/>
              <w:jc w:val="center"/>
              <w:rPr>
                <w:kern w:val="0"/>
                <w:szCs w:val="21"/>
              </w:rPr>
            </w:pPr>
            <w:r>
              <w:rPr>
                <w:kern w:val="0"/>
                <w:szCs w:val="21"/>
              </w:rPr>
              <w:t>测定结果</w:t>
            </w:r>
            <w:r>
              <w:rPr>
                <w:rFonts w:hint="eastAsia"/>
                <w:kern w:val="0"/>
                <w:szCs w:val="21"/>
              </w:rPr>
              <w:t>/%</w:t>
            </w:r>
          </w:p>
        </w:tc>
        <w:tc>
          <w:tcPr>
            <w:tcW w:w="1280" w:type="dxa"/>
            <w:noWrap/>
            <w:vAlign w:val="center"/>
          </w:tcPr>
          <w:p>
            <w:pPr>
              <w:spacing w:line="240" w:lineRule="auto"/>
              <w:jc w:val="center"/>
              <w:rPr>
                <w:szCs w:val="21"/>
              </w:rPr>
            </w:pPr>
            <w:r>
              <w:rPr>
                <w:szCs w:val="21"/>
              </w:rPr>
              <w:t>4.43</w:t>
            </w:r>
          </w:p>
        </w:tc>
        <w:tc>
          <w:tcPr>
            <w:tcW w:w="1279" w:type="dxa"/>
            <w:noWrap/>
            <w:vAlign w:val="center"/>
          </w:tcPr>
          <w:p>
            <w:pPr>
              <w:spacing w:line="240" w:lineRule="auto"/>
              <w:jc w:val="center"/>
              <w:rPr>
                <w:szCs w:val="21"/>
              </w:rPr>
            </w:pPr>
            <w:r>
              <w:rPr>
                <w:szCs w:val="21"/>
              </w:rPr>
              <w:t>6.3</w:t>
            </w:r>
          </w:p>
        </w:tc>
        <w:tc>
          <w:tcPr>
            <w:tcW w:w="1281" w:type="dxa"/>
            <w:noWrap/>
            <w:vAlign w:val="center"/>
          </w:tcPr>
          <w:p>
            <w:pPr>
              <w:spacing w:line="240" w:lineRule="auto"/>
              <w:jc w:val="center"/>
              <w:rPr>
                <w:szCs w:val="21"/>
              </w:rPr>
            </w:pPr>
            <w:r>
              <w:rPr>
                <w:szCs w:val="21"/>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rPr>
                <w:szCs w:val="21"/>
              </w:rPr>
            </w:pPr>
            <w:r>
              <w:rPr>
                <w:kern w:val="0"/>
                <w:szCs w:val="21"/>
              </w:rPr>
              <w:t>4.46</w:t>
            </w:r>
          </w:p>
        </w:tc>
        <w:tc>
          <w:tcPr>
            <w:tcW w:w="1279" w:type="dxa"/>
            <w:noWrap/>
            <w:vAlign w:val="center"/>
          </w:tcPr>
          <w:p>
            <w:pPr>
              <w:widowControl/>
              <w:spacing w:line="240" w:lineRule="auto"/>
              <w:jc w:val="center"/>
              <w:rPr>
                <w:szCs w:val="21"/>
              </w:rPr>
            </w:pPr>
            <w:r>
              <w:rPr>
                <w:kern w:val="0"/>
                <w:szCs w:val="21"/>
              </w:rPr>
              <w:t>6.36</w:t>
            </w:r>
          </w:p>
        </w:tc>
        <w:tc>
          <w:tcPr>
            <w:tcW w:w="1281" w:type="dxa"/>
            <w:noWrap/>
            <w:vAlign w:val="center"/>
          </w:tcPr>
          <w:p>
            <w:pPr>
              <w:widowControl/>
              <w:spacing w:line="240" w:lineRule="auto"/>
              <w:jc w:val="center"/>
              <w:rPr>
                <w:szCs w:val="21"/>
              </w:rPr>
            </w:pPr>
            <w:r>
              <w:rPr>
                <w:kern w:val="0"/>
                <w:szCs w:val="21"/>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rPr>
                <w:szCs w:val="21"/>
              </w:rPr>
            </w:pPr>
            <w:r>
              <w:rPr>
                <w:kern w:val="0"/>
                <w:szCs w:val="21"/>
              </w:rPr>
              <w:t>4.47</w:t>
            </w:r>
          </w:p>
        </w:tc>
        <w:tc>
          <w:tcPr>
            <w:tcW w:w="1279" w:type="dxa"/>
            <w:noWrap/>
            <w:vAlign w:val="center"/>
          </w:tcPr>
          <w:p>
            <w:pPr>
              <w:widowControl/>
              <w:spacing w:line="240" w:lineRule="auto"/>
              <w:jc w:val="center"/>
              <w:rPr>
                <w:szCs w:val="21"/>
              </w:rPr>
            </w:pPr>
            <w:r>
              <w:rPr>
                <w:kern w:val="0"/>
                <w:szCs w:val="21"/>
              </w:rPr>
              <w:t>6.34</w:t>
            </w:r>
          </w:p>
        </w:tc>
        <w:tc>
          <w:tcPr>
            <w:tcW w:w="1281" w:type="dxa"/>
            <w:noWrap/>
            <w:vAlign w:val="center"/>
          </w:tcPr>
          <w:p>
            <w:pPr>
              <w:widowControl/>
              <w:spacing w:line="240" w:lineRule="auto"/>
              <w:jc w:val="center"/>
              <w:rPr>
                <w:szCs w:val="21"/>
              </w:rPr>
            </w:pPr>
            <w:r>
              <w:rPr>
                <w:kern w:val="0"/>
                <w:szCs w:val="21"/>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rPr>
                <w:szCs w:val="21"/>
              </w:rPr>
            </w:pPr>
            <w:r>
              <w:rPr>
                <w:kern w:val="0"/>
                <w:szCs w:val="21"/>
              </w:rPr>
              <w:t>4.47</w:t>
            </w:r>
          </w:p>
        </w:tc>
        <w:tc>
          <w:tcPr>
            <w:tcW w:w="1279" w:type="dxa"/>
            <w:noWrap/>
            <w:vAlign w:val="center"/>
          </w:tcPr>
          <w:p>
            <w:pPr>
              <w:widowControl/>
              <w:spacing w:line="240" w:lineRule="auto"/>
              <w:jc w:val="center"/>
              <w:rPr>
                <w:szCs w:val="21"/>
              </w:rPr>
            </w:pPr>
            <w:r>
              <w:rPr>
                <w:kern w:val="0"/>
                <w:szCs w:val="21"/>
              </w:rPr>
              <w:t>6.26</w:t>
            </w:r>
          </w:p>
        </w:tc>
        <w:tc>
          <w:tcPr>
            <w:tcW w:w="1281" w:type="dxa"/>
            <w:noWrap/>
            <w:vAlign w:val="center"/>
          </w:tcPr>
          <w:p>
            <w:pPr>
              <w:widowControl/>
              <w:spacing w:line="240" w:lineRule="auto"/>
              <w:jc w:val="center"/>
              <w:rPr>
                <w:szCs w:val="21"/>
              </w:rPr>
            </w:pPr>
            <w:r>
              <w:rPr>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rPr>
                <w:szCs w:val="21"/>
              </w:rPr>
            </w:pPr>
            <w:r>
              <w:rPr>
                <w:kern w:val="0"/>
                <w:szCs w:val="21"/>
              </w:rPr>
              <w:t>4.47</w:t>
            </w:r>
          </w:p>
        </w:tc>
        <w:tc>
          <w:tcPr>
            <w:tcW w:w="1279" w:type="dxa"/>
            <w:noWrap/>
            <w:vAlign w:val="center"/>
          </w:tcPr>
          <w:p>
            <w:pPr>
              <w:widowControl/>
              <w:spacing w:line="240" w:lineRule="auto"/>
              <w:jc w:val="center"/>
              <w:rPr>
                <w:szCs w:val="21"/>
              </w:rPr>
            </w:pPr>
            <w:r>
              <w:rPr>
                <w:kern w:val="0"/>
                <w:szCs w:val="21"/>
              </w:rPr>
              <w:t>6.30</w:t>
            </w:r>
          </w:p>
        </w:tc>
        <w:tc>
          <w:tcPr>
            <w:tcW w:w="1281" w:type="dxa"/>
            <w:noWrap/>
            <w:vAlign w:val="center"/>
          </w:tcPr>
          <w:p>
            <w:pPr>
              <w:widowControl/>
              <w:spacing w:line="240" w:lineRule="auto"/>
              <w:jc w:val="center"/>
              <w:rPr>
                <w:szCs w:val="21"/>
              </w:rPr>
            </w:pPr>
            <w:r>
              <w:rPr>
                <w:kern w:val="0"/>
                <w:szCs w:val="21"/>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rPr>
                <w:szCs w:val="21"/>
              </w:rPr>
            </w:pPr>
            <w:r>
              <w:rPr>
                <w:kern w:val="0"/>
                <w:szCs w:val="21"/>
              </w:rPr>
              <w:t>4.49</w:t>
            </w:r>
          </w:p>
        </w:tc>
        <w:tc>
          <w:tcPr>
            <w:tcW w:w="1279" w:type="dxa"/>
            <w:noWrap/>
            <w:vAlign w:val="center"/>
          </w:tcPr>
          <w:p>
            <w:pPr>
              <w:widowControl/>
              <w:spacing w:line="240" w:lineRule="auto"/>
              <w:jc w:val="center"/>
              <w:rPr>
                <w:szCs w:val="21"/>
              </w:rPr>
            </w:pPr>
            <w:r>
              <w:rPr>
                <w:kern w:val="0"/>
                <w:szCs w:val="21"/>
              </w:rPr>
              <w:t>6.26</w:t>
            </w:r>
          </w:p>
        </w:tc>
        <w:tc>
          <w:tcPr>
            <w:tcW w:w="1281" w:type="dxa"/>
            <w:noWrap/>
            <w:vAlign w:val="center"/>
          </w:tcPr>
          <w:p>
            <w:pPr>
              <w:widowControl/>
              <w:spacing w:line="240" w:lineRule="auto"/>
              <w:jc w:val="center"/>
              <w:rPr>
                <w:szCs w:val="21"/>
              </w:rPr>
            </w:pPr>
            <w:r>
              <w:rPr>
                <w:kern w:val="0"/>
                <w:szCs w:val="21"/>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rPr>
                <w:szCs w:val="21"/>
              </w:rPr>
            </w:pPr>
            <w:r>
              <w:rPr>
                <w:kern w:val="0"/>
                <w:szCs w:val="21"/>
              </w:rPr>
              <w:t>4.45</w:t>
            </w:r>
          </w:p>
        </w:tc>
        <w:tc>
          <w:tcPr>
            <w:tcW w:w="1279" w:type="dxa"/>
            <w:noWrap/>
            <w:vAlign w:val="center"/>
          </w:tcPr>
          <w:p>
            <w:pPr>
              <w:widowControl/>
              <w:spacing w:line="240" w:lineRule="auto"/>
              <w:jc w:val="center"/>
              <w:rPr>
                <w:szCs w:val="21"/>
              </w:rPr>
            </w:pPr>
            <w:r>
              <w:rPr>
                <w:kern w:val="0"/>
                <w:szCs w:val="21"/>
              </w:rPr>
              <w:t>6.28</w:t>
            </w:r>
          </w:p>
        </w:tc>
        <w:tc>
          <w:tcPr>
            <w:tcW w:w="1281" w:type="dxa"/>
            <w:noWrap/>
            <w:vAlign w:val="center"/>
          </w:tcPr>
          <w:p>
            <w:pPr>
              <w:widowControl/>
              <w:spacing w:line="240" w:lineRule="auto"/>
              <w:jc w:val="center"/>
              <w:rPr>
                <w:szCs w:val="21"/>
              </w:rPr>
            </w:pPr>
            <w:r>
              <w:rPr>
                <w:kern w:val="0"/>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900" w:type="dxa"/>
            <w:noWrap/>
            <w:vAlign w:val="center"/>
          </w:tcPr>
          <w:p>
            <w:pPr>
              <w:widowControl/>
              <w:spacing w:line="240" w:lineRule="auto"/>
              <w:jc w:val="center"/>
              <w:rPr>
                <w:kern w:val="0"/>
                <w:szCs w:val="21"/>
              </w:rPr>
            </w:pPr>
            <w:r>
              <w:rPr>
                <w:kern w:val="0"/>
                <w:szCs w:val="21"/>
              </w:rPr>
              <w:t>均值</w:t>
            </w:r>
            <w:r>
              <w:rPr>
                <w:rFonts w:hint="eastAsia"/>
                <w:kern w:val="0"/>
                <w:szCs w:val="21"/>
              </w:rPr>
              <w:t>/%</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4.46</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6.30</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标准偏差</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0.0189</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0.0383</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0.0718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00" w:type="dxa"/>
            <w:noWrap/>
            <w:vAlign w:val="center"/>
          </w:tcPr>
          <w:p>
            <w:pPr>
              <w:spacing w:line="240" w:lineRule="auto"/>
              <w:jc w:val="center"/>
              <w:rPr>
                <w:szCs w:val="21"/>
              </w:rPr>
            </w:pPr>
            <w:r>
              <w:rPr>
                <w:szCs w:val="21"/>
              </w:rPr>
              <w:t>Max</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4.49</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6.36</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240" w:lineRule="auto"/>
              <w:jc w:val="center"/>
              <w:rPr>
                <w:szCs w:val="21"/>
              </w:rPr>
            </w:pPr>
            <w:r>
              <w:rPr>
                <w:szCs w:val="21"/>
              </w:rPr>
              <w:t>Min</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4.43</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6.26</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1.44</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1.57</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1.74</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1.04</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240" w:lineRule="auto"/>
              <w:jc w:val="center"/>
              <w:rPr>
                <w:szCs w:val="21"/>
              </w:rPr>
            </w:pPr>
            <w:r>
              <w:rPr>
                <w:rFonts w:hint="eastAsia"/>
                <w:szCs w:val="21"/>
              </w:rPr>
              <w:t>当n=7，α=0.05时临界值为2.020，α=0.01时临界值为2.139。</w:t>
            </w:r>
          </w:p>
        </w:tc>
      </w:tr>
    </w:tbl>
    <w:p>
      <w:pPr>
        <w:spacing w:beforeLines="50"/>
        <w:rPr>
          <w:b/>
          <w:szCs w:val="21"/>
        </w:rPr>
      </w:pPr>
    </w:p>
    <w:p>
      <w:pPr>
        <w:tabs>
          <w:tab w:val="left" w:pos="840"/>
        </w:tabs>
        <w:snapToGrid w:val="0"/>
        <w:spacing w:line="360" w:lineRule="auto"/>
        <w:ind w:firstLine="420" w:firstLineChars="200"/>
        <w:jc w:val="center"/>
        <w:rPr>
          <w:szCs w:val="21"/>
        </w:rPr>
      </w:pPr>
      <w:r>
        <w:rPr>
          <w:szCs w:val="21"/>
        </w:rPr>
        <w:t>表1-</w:t>
      </w:r>
      <w:r>
        <w:rPr>
          <w:rFonts w:hint="eastAsia"/>
          <w:szCs w:val="21"/>
        </w:rPr>
        <w:t>7</w:t>
      </w:r>
      <w:r>
        <w:rPr>
          <w:rFonts w:hint="eastAsia" w:ascii="宋体" w:hAnsi="宋体" w:cs="宋体"/>
          <w:kern w:val="0"/>
          <w:szCs w:val="21"/>
        </w:rPr>
        <w:t>富民薪冶工贸有限公司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240" w:lineRule="auto"/>
              <w:jc w:val="center"/>
              <w:rPr>
                <w:kern w:val="0"/>
                <w:szCs w:val="21"/>
              </w:rPr>
            </w:pPr>
            <w:r>
              <w:rPr>
                <w:kern w:val="0"/>
                <w:szCs w:val="21"/>
              </w:rPr>
              <w:t>测定结果</w:t>
            </w:r>
            <w:r>
              <w:rPr>
                <w:rFonts w:hint="eastAsia"/>
                <w:kern w:val="0"/>
                <w:szCs w:val="21"/>
              </w:rPr>
              <w:t>/%</w:t>
            </w:r>
          </w:p>
        </w:tc>
        <w:tc>
          <w:tcPr>
            <w:tcW w:w="1280" w:type="dxa"/>
            <w:noWrap/>
          </w:tcPr>
          <w:p>
            <w:pPr>
              <w:widowControl/>
              <w:spacing w:line="240" w:lineRule="auto"/>
              <w:jc w:val="center"/>
              <w:textAlignment w:val="top"/>
              <w:rPr>
                <w:szCs w:val="21"/>
              </w:rPr>
            </w:pPr>
            <w:r>
              <w:rPr>
                <w:rFonts w:hint="eastAsia" w:ascii="宋体" w:hAnsi="宋体" w:cs="宋体"/>
                <w:kern w:val="0"/>
                <w:szCs w:val="21"/>
              </w:rPr>
              <w:t>4.46</w:t>
            </w:r>
          </w:p>
        </w:tc>
        <w:tc>
          <w:tcPr>
            <w:tcW w:w="1279" w:type="dxa"/>
            <w:noWrap/>
          </w:tcPr>
          <w:p>
            <w:pPr>
              <w:widowControl/>
              <w:spacing w:line="240" w:lineRule="auto"/>
              <w:jc w:val="center"/>
              <w:textAlignment w:val="top"/>
              <w:rPr>
                <w:szCs w:val="21"/>
              </w:rPr>
            </w:pPr>
            <w:r>
              <w:rPr>
                <w:rFonts w:hint="eastAsia" w:ascii="宋体" w:hAnsi="宋体" w:cs="宋体"/>
                <w:kern w:val="0"/>
                <w:szCs w:val="21"/>
              </w:rPr>
              <w:t>6.23</w:t>
            </w:r>
          </w:p>
        </w:tc>
        <w:tc>
          <w:tcPr>
            <w:tcW w:w="1281" w:type="dxa"/>
            <w:noWrap/>
          </w:tcPr>
          <w:p>
            <w:pPr>
              <w:widowControl/>
              <w:spacing w:line="240" w:lineRule="auto"/>
              <w:jc w:val="center"/>
              <w:textAlignment w:val="top"/>
              <w:rPr>
                <w:szCs w:val="21"/>
              </w:rPr>
            </w:pPr>
            <w:r>
              <w:rPr>
                <w:rFonts w:hint="eastAsia" w:ascii="宋体" w:hAnsi="宋体" w:cs="宋体"/>
                <w:kern w:val="0"/>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240" w:lineRule="auto"/>
              <w:jc w:val="center"/>
              <w:rPr>
                <w:kern w:val="0"/>
                <w:szCs w:val="21"/>
              </w:rPr>
            </w:pPr>
          </w:p>
        </w:tc>
        <w:tc>
          <w:tcPr>
            <w:tcW w:w="1280" w:type="dxa"/>
            <w:noWrap/>
          </w:tcPr>
          <w:p>
            <w:pPr>
              <w:widowControl/>
              <w:spacing w:line="240" w:lineRule="auto"/>
              <w:jc w:val="center"/>
              <w:textAlignment w:val="top"/>
              <w:rPr>
                <w:szCs w:val="21"/>
              </w:rPr>
            </w:pPr>
            <w:r>
              <w:rPr>
                <w:rFonts w:hint="eastAsia" w:ascii="宋体" w:hAnsi="宋体" w:cs="宋体"/>
                <w:kern w:val="0"/>
                <w:szCs w:val="21"/>
              </w:rPr>
              <w:t>4.43</w:t>
            </w:r>
          </w:p>
        </w:tc>
        <w:tc>
          <w:tcPr>
            <w:tcW w:w="1279" w:type="dxa"/>
            <w:noWrap/>
          </w:tcPr>
          <w:p>
            <w:pPr>
              <w:widowControl/>
              <w:spacing w:line="240" w:lineRule="auto"/>
              <w:jc w:val="center"/>
              <w:textAlignment w:val="top"/>
              <w:rPr>
                <w:szCs w:val="21"/>
              </w:rPr>
            </w:pPr>
            <w:r>
              <w:rPr>
                <w:rFonts w:hint="eastAsia" w:ascii="宋体" w:hAnsi="宋体" w:cs="宋体"/>
                <w:kern w:val="0"/>
                <w:szCs w:val="21"/>
              </w:rPr>
              <w:t>6.13</w:t>
            </w:r>
          </w:p>
        </w:tc>
        <w:tc>
          <w:tcPr>
            <w:tcW w:w="1281" w:type="dxa"/>
            <w:noWrap/>
          </w:tcPr>
          <w:p>
            <w:pPr>
              <w:widowControl/>
              <w:spacing w:line="240" w:lineRule="auto"/>
              <w:jc w:val="center"/>
              <w:textAlignment w:val="top"/>
              <w:rPr>
                <w:szCs w:val="21"/>
              </w:rPr>
            </w:pPr>
            <w:r>
              <w:rPr>
                <w:rFonts w:hint="eastAsia" w:ascii="宋体" w:hAnsi="宋体" w:cs="宋体"/>
                <w:kern w:val="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240" w:lineRule="auto"/>
              <w:jc w:val="center"/>
              <w:rPr>
                <w:kern w:val="0"/>
                <w:szCs w:val="21"/>
              </w:rPr>
            </w:pPr>
          </w:p>
        </w:tc>
        <w:tc>
          <w:tcPr>
            <w:tcW w:w="1280" w:type="dxa"/>
            <w:noWrap/>
          </w:tcPr>
          <w:p>
            <w:pPr>
              <w:widowControl/>
              <w:spacing w:line="240" w:lineRule="auto"/>
              <w:jc w:val="center"/>
              <w:textAlignment w:val="top"/>
              <w:rPr>
                <w:szCs w:val="21"/>
              </w:rPr>
            </w:pPr>
            <w:r>
              <w:rPr>
                <w:rFonts w:hint="eastAsia" w:ascii="宋体" w:hAnsi="宋体" w:cs="宋体"/>
                <w:kern w:val="0"/>
                <w:szCs w:val="21"/>
              </w:rPr>
              <w:t>4.45</w:t>
            </w:r>
          </w:p>
        </w:tc>
        <w:tc>
          <w:tcPr>
            <w:tcW w:w="1279" w:type="dxa"/>
            <w:noWrap/>
          </w:tcPr>
          <w:p>
            <w:pPr>
              <w:widowControl/>
              <w:spacing w:line="240" w:lineRule="auto"/>
              <w:jc w:val="center"/>
              <w:textAlignment w:val="top"/>
              <w:rPr>
                <w:szCs w:val="21"/>
              </w:rPr>
            </w:pPr>
            <w:r>
              <w:rPr>
                <w:rFonts w:hint="eastAsia" w:ascii="宋体" w:hAnsi="宋体" w:cs="宋体"/>
                <w:kern w:val="0"/>
                <w:szCs w:val="21"/>
              </w:rPr>
              <w:t>6.23</w:t>
            </w:r>
          </w:p>
        </w:tc>
        <w:tc>
          <w:tcPr>
            <w:tcW w:w="1281" w:type="dxa"/>
            <w:noWrap/>
          </w:tcPr>
          <w:p>
            <w:pPr>
              <w:widowControl/>
              <w:spacing w:line="240" w:lineRule="auto"/>
              <w:jc w:val="center"/>
              <w:textAlignment w:val="top"/>
              <w:rPr>
                <w:szCs w:val="21"/>
              </w:rPr>
            </w:pPr>
            <w:r>
              <w:rPr>
                <w:rFonts w:hint="eastAsia" w:ascii="宋体" w:hAnsi="宋体" w:cs="宋体"/>
                <w:kern w:val="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1900" w:type="dxa"/>
            <w:vMerge w:val="continue"/>
            <w:noWrap/>
            <w:vAlign w:val="center"/>
          </w:tcPr>
          <w:p>
            <w:pPr>
              <w:widowControl/>
              <w:spacing w:line="240" w:lineRule="auto"/>
              <w:jc w:val="center"/>
              <w:rPr>
                <w:kern w:val="0"/>
                <w:szCs w:val="21"/>
              </w:rPr>
            </w:pPr>
          </w:p>
        </w:tc>
        <w:tc>
          <w:tcPr>
            <w:tcW w:w="1280" w:type="dxa"/>
            <w:noWrap/>
          </w:tcPr>
          <w:p>
            <w:pPr>
              <w:widowControl/>
              <w:spacing w:line="240" w:lineRule="auto"/>
              <w:jc w:val="center"/>
              <w:textAlignment w:val="top"/>
              <w:rPr>
                <w:szCs w:val="21"/>
              </w:rPr>
            </w:pPr>
            <w:r>
              <w:rPr>
                <w:rFonts w:hint="eastAsia" w:ascii="宋体" w:hAnsi="宋体" w:cs="宋体"/>
                <w:kern w:val="0"/>
                <w:szCs w:val="21"/>
              </w:rPr>
              <w:t>4.4</w:t>
            </w:r>
          </w:p>
        </w:tc>
        <w:tc>
          <w:tcPr>
            <w:tcW w:w="1279" w:type="dxa"/>
            <w:noWrap/>
          </w:tcPr>
          <w:p>
            <w:pPr>
              <w:widowControl/>
              <w:spacing w:line="240" w:lineRule="auto"/>
              <w:jc w:val="center"/>
              <w:textAlignment w:val="top"/>
              <w:rPr>
                <w:szCs w:val="21"/>
              </w:rPr>
            </w:pPr>
            <w:r>
              <w:rPr>
                <w:rFonts w:hint="eastAsia" w:ascii="宋体" w:hAnsi="宋体" w:cs="宋体"/>
                <w:kern w:val="0"/>
                <w:szCs w:val="21"/>
              </w:rPr>
              <w:t>6.21</w:t>
            </w:r>
          </w:p>
        </w:tc>
        <w:tc>
          <w:tcPr>
            <w:tcW w:w="1281" w:type="dxa"/>
            <w:noWrap/>
          </w:tcPr>
          <w:p>
            <w:pPr>
              <w:widowControl/>
              <w:spacing w:line="240" w:lineRule="auto"/>
              <w:jc w:val="center"/>
              <w:textAlignment w:val="top"/>
              <w:rPr>
                <w:szCs w:val="21"/>
              </w:rPr>
            </w:pPr>
            <w:r>
              <w:rPr>
                <w:rFonts w:hint="eastAsia" w:ascii="宋体" w:hAnsi="宋体" w:cs="宋体"/>
                <w:kern w:val="0"/>
                <w:szCs w:val="21"/>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240" w:lineRule="auto"/>
              <w:jc w:val="center"/>
              <w:rPr>
                <w:kern w:val="0"/>
                <w:szCs w:val="21"/>
              </w:rPr>
            </w:pPr>
          </w:p>
        </w:tc>
        <w:tc>
          <w:tcPr>
            <w:tcW w:w="1280" w:type="dxa"/>
            <w:noWrap/>
          </w:tcPr>
          <w:p>
            <w:pPr>
              <w:widowControl/>
              <w:spacing w:line="240" w:lineRule="auto"/>
              <w:jc w:val="center"/>
              <w:textAlignment w:val="top"/>
              <w:rPr>
                <w:szCs w:val="21"/>
              </w:rPr>
            </w:pPr>
            <w:r>
              <w:rPr>
                <w:rFonts w:hint="eastAsia" w:ascii="宋体" w:hAnsi="宋体" w:cs="宋体"/>
                <w:kern w:val="0"/>
                <w:szCs w:val="21"/>
              </w:rPr>
              <w:t>4.42</w:t>
            </w:r>
          </w:p>
        </w:tc>
        <w:tc>
          <w:tcPr>
            <w:tcW w:w="1279" w:type="dxa"/>
            <w:noWrap/>
          </w:tcPr>
          <w:p>
            <w:pPr>
              <w:widowControl/>
              <w:spacing w:line="240" w:lineRule="auto"/>
              <w:jc w:val="center"/>
              <w:textAlignment w:val="top"/>
              <w:rPr>
                <w:szCs w:val="21"/>
              </w:rPr>
            </w:pPr>
            <w:r>
              <w:rPr>
                <w:rFonts w:hint="eastAsia" w:ascii="宋体" w:hAnsi="宋体" w:cs="宋体"/>
                <w:kern w:val="0"/>
                <w:szCs w:val="21"/>
              </w:rPr>
              <w:t>6.16</w:t>
            </w:r>
          </w:p>
        </w:tc>
        <w:tc>
          <w:tcPr>
            <w:tcW w:w="1281" w:type="dxa"/>
            <w:noWrap/>
          </w:tcPr>
          <w:p>
            <w:pPr>
              <w:widowControl/>
              <w:spacing w:line="240" w:lineRule="auto"/>
              <w:jc w:val="center"/>
              <w:textAlignment w:val="top"/>
              <w:rPr>
                <w:szCs w:val="21"/>
              </w:rPr>
            </w:pPr>
            <w:r>
              <w:rPr>
                <w:rFonts w:hint="eastAsia" w:ascii="宋体" w:hAnsi="宋体" w:cs="宋体"/>
                <w:kern w:val="0"/>
                <w:szCs w:val="21"/>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jc w:val="center"/>
        </w:trPr>
        <w:tc>
          <w:tcPr>
            <w:tcW w:w="1900" w:type="dxa"/>
            <w:vMerge w:val="continue"/>
            <w:noWrap/>
            <w:vAlign w:val="center"/>
          </w:tcPr>
          <w:p>
            <w:pPr>
              <w:widowControl/>
              <w:spacing w:line="240" w:lineRule="auto"/>
              <w:jc w:val="center"/>
              <w:rPr>
                <w:kern w:val="0"/>
                <w:szCs w:val="21"/>
              </w:rPr>
            </w:pPr>
          </w:p>
        </w:tc>
        <w:tc>
          <w:tcPr>
            <w:tcW w:w="1280" w:type="dxa"/>
            <w:noWrap/>
          </w:tcPr>
          <w:p>
            <w:pPr>
              <w:widowControl/>
              <w:spacing w:line="240" w:lineRule="auto"/>
              <w:jc w:val="center"/>
              <w:textAlignment w:val="top"/>
              <w:rPr>
                <w:szCs w:val="21"/>
              </w:rPr>
            </w:pPr>
            <w:r>
              <w:rPr>
                <w:rFonts w:hint="eastAsia" w:ascii="宋体" w:hAnsi="宋体" w:cs="宋体"/>
                <w:kern w:val="0"/>
                <w:szCs w:val="21"/>
              </w:rPr>
              <w:t>4.52</w:t>
            </w:r>
          </w:p>
        </w:tc>
        <w:tc>
          <w:tcPr>
            <w:tcW w:w="1279" w:type="dxa"/>
            <w:noWrap/>
          </w:tcPr>
          <w:p>
            <w:pPr>
              <w:widowControl/>
              <w:spacing w:line="240" w:lineRule="auto"/>
              <w:jc w:val="center"/>
              <w:textAlignment w:val="top"/>
              <w:rPr>
                <w:szCs w:val="21"/>
              </w:rPr>
            </w:pPr>
            <w:r>
              <w:rPr>
                <w:rFonts w:hint="eastAsia" w:ascii="宋体" w:hAnsi="宋体" w:cs="宋体"/>
                <w:kern w:val="0"/>
                <w:szCs w:val="21"/>
              </w:rPr>
              <w:t>6.26</w:t>
            </w:r>
          </w:p>
        </w:tc>
        <w:tc>
          <w:tcPr>
            <w:tcW w:w="1281" w:type="dxa"/>
            <w:noWrap/>
          </w:tcPr>
          <w:p>
            <w:pPr>
              <w:widowControl/>
              <w:spacing w:line="240" w:lineRule="auto"/>
              <w:jc w:val="center"/>
              <w:textAlignment w:val="top"/>
              <w:rPr>
                <w:szCs w:val="21"/>
              </w:rPr>
            </w:pPr>
            <w:r>
              <w:rPr>
                <w:rFonts w:hint="eastAsia" w:ascii="宋体" w:hAnsi="宋体" w:cs="宋体"/>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240" w:lineRule="auto"/>
              <w:jc w:val="center"/>
              <w:rPr>
                <w:kern w:val="0"/>
                <w:szCs w:val="21"/>
              </w:rPr>
            </w:pPr>
          </w:p>
        </w:tc>
        <w:tc>
          <w:tcPr>
            <w:tcW w:w="1280" w:type="dxa"/>
            <w:noWrap/>
          </w:tcPr>
          <w:p>
            <w:pPr>
              <w:widowControl/>
              <w:spacing w:line="240" w:lineRule="auto"/>
              <w:jc w:val="center"/>
              <w:textAlignment w:val="top"/>
              <w:rPr>
                <w:szCs w:val="21"/>
              </w:rPr>
            </w:pPr>
            <w:r>
              <w:rPr>
                <w:rFonts w:hint="eastAsia" w:ascii="宋体" w:hAnsi="宋体" w:cs="宋体"/>
                <w:kern w:val="0"/>
                <w:szCs w:val="21"/>
              </w:rPr>
              <w:t>4.55</w:t>
            </w:r>
          </w:p>
        </w:tc>
        <w:tc>
          <w:tcPr>
            <w:tcW w:w="1279" w:type="dxa"/>
            <w:noWrap/>
          </w:tcPr>
          <w:p>
            <w:pPr>
              <w:widowControl/>
              <w:spacing w:line="240" w:lineRule="auto"/>
              <w:jc w:val="center"/>
              <w:textAlignment w:val="top"/>
              <w:rPr>
                <w:szCs w:val="21"/>
              </w:rPr>
            </w:pPr>
            <w:r>
              <w:rPr>
                <w:rFonts w:hint="eastAsia" w:ascii="宋体" w:hAnsi="宋体" w:cs="宋体"/>
                <w:kern w:val="0"/>
                <w:szCs w:val="21"/>
              </w:rPr>
              <w:t>6.25</w:t>
            </w:r>
          </w:p>
        </w:tc>
        <w:tc>
          <w:tcPr>
            <w:tcW w:w="1281" w:type="dxa"/>
            <w:noWrap/>
          </w:tcPr>
          <w:p>
            <w:pPr>
              <w:widowControl/>
              <w:spacing w:line="240" w:lineRule="auto"/>
              <w:jc w:val="center"/>
              <w:textAlignment w:val="top"/>
              <w:rPr>
                <w:szCs w:val="21"/>
              </w:rPr>
            </w:pPr>
            <w:r>
              <w:rPr>
                <w:rFonts w:hint="eastAsia" w:ascii="宋体" w:hAnsi="宋体" w:cs="宋体"/>
                <w:kern w:val="0"/>
                <w:szCs w:val="21"/>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00" w:type="dxa"/>
            <w:noWrap/>
            <w:vAlign w:val="center"/>
          </w:tcPr>
          <w:p>
            <w:pPr>
              <w:widowControl/>
              <w:spacing w:line="240" w:lineRule="auto"/>
              <w:jc w:val="center"/>
              <w:rPr>
                <w:kern w:val="0"/>
                <w:szCs w:val="21"/>
              </w:rPr>
            </w:pPr>
            <w:r>
              <w:rPr>
                <w:kern w:val="0"/>
                <w:szCs w:val="21"/>
              </w:rPr>
              <w:t>均值</w:t>
            </w:r>
            <w:r>
              <w:rPr>
                <w:rFonts w:hint="eastAsia"/>
                <w:kern w:val="0"/>
                <w:szCs w:val="21"/>
              </w:rPr>
              <w:t>/%</w:t>
            </w:r>
          </w:p>
        </w:tc>
        <w:tc>
          <w:tcPr>
            <w:tcW w:w="1280" w:type="dxa"/>
            <w:noWrap/>
          </w:tcPr>
          <w:p>
            <w:pPr>
              <w:widowControl/>
              <w:spacing w:line="240" w:lineRule="auto"/>
              <w:jc w:val="center"/>
              <w:textAlignment w:val="top"/>
              <w:rPr>
                <w:szCs w:val="21"/>
              </w:rPr>
            </w:pPr>
            <w:r>
              <w:rPr>
                <w:rFonts w:hint="eastAsia" w:ascii="宋体" w:hAnsi="宋体" w:cs="宋体"/>
                <w:kern w:val="0"/>
                <w:szCs w:val="21"/>
              </w:rPr>
              <w:t>4.46</w:t>
            </w:r>
          </w:p>
        </w:tc>
        <w:tc>
          <w:tcPr>
            <w:tcW w:w="1279" w:type="dxa"/>
            <w:noWrap/>
          </w:tcPr>
          <w:p>
            <w:pPr>
              <w:widowControl/>
              <w:spacing w:line="240" w:lineRule="auto"/>
              <w:jc w:val="center"/>
              <w:textAlignment w:val="top"/>
              <w:rPr>
                <w:szCs w:val="21"/>
              </w:rPr>
            </w:pPr>
            <w:r>
              <w:rPr>
                <w:rFonts w:hint="eastAsia" w:ascii="宋体" w:hAnsi="宋体" w:cs="宋体"/>
                <w:kern w:val="0"/>
                <w:szCs w:val="21"/>
              </w:rPr>
              <w:t>6.21</w:t>
            </w:r>
          </w:p>
        </w:tc>
        <w:tc>
          <w:tcPr>
            <w:tcW w:w="1281" w:type="dxa"/>
            <w:noWrap/>
          </w:tcPr>
          <w:p>
            <w:pPr>
              <w:widowControl/>
              <w:spacing w:line="240" w:lineRule="auto"/>
              <w:jc w:val="center"/>
              <w:textAlignment w:val="top"/>
              <w:rPr>
                <w:szCs w:val="21"/>
              </w:rPr>
            </w:pPr>
            <w:r>
              <w:rPr>
                <w:rFonts w:hint="eastAsia" w:ascii="宋体" w:hAnsi="宋体" w:cs="宋体"/>
                <w:kern w:val="0"/>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标准偏差</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0.0546</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0.0480</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0.0216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240" w:lineRule="auto"/>
              <w:jc w:val="center"/>
              <w:rPr>
                <w:szCs w:val="21"/>
              </w:rPr>
            </w:pPr>
            <w:r>
              <w:rPr>
                <w:szCs w:val="21"/>
              </w:rPr>
              <w:t>Max</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4.55</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6.26</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240" w:lineRule="auto"/>
              <w:jc w:val="center"/>
              <w:rPr>
                <w:szCs w:val="21"/>
              </w:rPr>
            </w:pPr>
            <w:r>
              <w:rPr>
                <w:szCs w:val="21"/>
              </w:rPr>
              <w:t>Min</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6.13</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1.622</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1.043</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1.389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1.125</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1.668</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1.389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240" w:lineRule="auto"/>
              <w:jc w:val="center"/>
              <w:rPr>
                <w:szCs w:val="21"/>
              </w:rPr>
            </w:pPr>
            <w:r>
              <w:rPr>
                <w:rFonts w:hint="eastAsia"/>
                <w:szCs w:val="21"/>
              </w:rPr>
              <w:t>当n=7，α=0.05时临界值为2.020，α=0.01时临界值为2.139。</w:t>
            </w:r>
          </w:p>
        </w:tc>
      </w:tr>
    </w:tbl>
    <w:p>
      <w:pPr>
        <w:spacing w:beforeLines="50"/>
        <w:rPr>
          <w:b/>
          <w:szCs w:val="21"/>
        </w:rPr>
      </w:pPr>
    </w:p>
    <w:p>
      <w:pPr>
        <w:tabs>
          <w:tab w:val="left" w:pos="840"/>
        </w:tabs>
        <w:snapToGrid w:val="0"/>
        <w:spacing w:line="360" w:lineRule="auto"/>
        <w:ind w:firstLine="420" w:firstLineChars="200"/>
        <w:jc w:val="center"/>
        <w:rPr>
          <w:szCs w:val="21"/>
        </w:rPr>
      </w:pPr>
      <w:r>
        <w:rPr>
          <w:szCs w:val="21"/>
        </w:rPr>
        <w:t>表1-</w:t>
      </w:r>
      <w:r>
        <w:rPr>
          <w:rFonts w:hint="eastAsia"/>
          <w:szCs w:val="21"/>
        </w:rPr>
        <w:t>8紫金铜业有限公司</w:t>
      </w:r>
      <w:r>
        <w:rPr>
          <w:szCs w:val="21"/>
        </w:rPr>
        <w:t>原始数据及检验结果</w:t>
      </w:r>
    </w:p>
    <w:tbl>
      <w:tblPr>
        <w:tblStyle w:val="37"/>
        <w:tblW w:w="5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280"/>
        <w:gridCol w:w="127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样品编号</w:t>
            </w:r>
          </w:p>
        </w:tc>
        <w:tc>
          <w:tcPr>
            <w:tcW w:w="1280"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1</w:t>
            </w:r>
          </w:p>
        </w:tc>
        <w:tc>
          <w:tcPr>
            <w:tcW w:w="1279"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2</w:t>
            </w:r>
          </w:p>
        </w:tc>
        <w:tc>
          <w:tcPr>
            <w:tcW w:w="1281" w:type="dxa"/>
            <w:noWrap/>
            <w:vAlign w:val="center"/>
          </w:tcPr>
          <w:p>
            <w:pPr>
              <w:widowControl/>
              <w:spacing w:before="100" w:beforeAutospacing="1" w:after="100" w:afterAutospacing="1" w:line="240" w:lineRule="auto"/>
              <w:jc w:val="center"/>
              <w:rPr>
                <w:kern w:val="0"/>
                <w:szCs w:val="21"/>
              </w:rPr>
            </w:pPr>
            <w:r>
              <w:rPr>
                <w:rFonts w:hint="eastAsia"/>
                <w:kern w:val="0"/>
                <w:szCs w:val="21"/>
              </w:rPr>
              <w:t xml:space="preserve">Bi </w:t>
            </w:r>
            <w:r>
              <w:rPr>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restart"/>
            <w:noWrap/>
            <w:vAlign w:val="center"/>
          </w:tcPr>
          <w:p>
            <w:pPr>
              <w:widowControl/>
              <w:spacing w:line="240" w:lineRule="auto"/>
              <w:jc w:val="center"/>
              <w:rPr>
                <w:kern w:val="0"/>
                <w:szCs w:val="21"/>
              </w:rPr>
            </w:pPr>
            <w:r>
              <w:rPr>
                <w:kern w:val="0"/>
                <w:szCs w:val="21"/>
              </w:rPr>
              <w:t>测定结果</w:t>
            </w:r>
            <w:r>
              <w:rPr>
                <w:rFonts w:hint="eastAsia"/>
                <w:kern w:val="0"/>
                <w:szCs w:val="21"/>
              </w:rPr>
              <w:t>/%</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4.51</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6.34</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4.51</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6.33</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4.45</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6.21</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4.45</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6.21</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4.51</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6.34</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4.46</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900" w:type="dxa"/>
            <w:vMerge w:val="continue"/>
            <w:noWrap/>
            <w:vAlign w:val="center"/>
          </w:tcPr>
          <w:p>
            <w:pPr>
              <w:widowControl/>
              <w:spacing w:line="240" w:lineRule="auto"/>
              <w:jc w:val="center"/>
              <w:rPr>
                <w:kern w:val="0"/>
                <w:szCs w:val="21"/>
              </w:rPr>
            </w:pP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4.49</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6.32</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00" w:type="dxa"/>
            <w:noWrap/>
            <w:vAlign w:val="center"/>
          </w:tcPr>
          <w:p>
            <w:pPr>
              <w:widowControl/>
              <w:spacing w:line="240" w:lineRule="auto"/>
              <w:jc w:val="center"/>
              <w:rPr>
                <w:kern w:val="0"/>
                <w:szCs w:val="21"/>
              </w:rPr>
            </w:pPr>
            <w:r>
              <w:rPr>
                <w:kern w:val="0"/>
                <w:szCs w:val="21"/>
              </w:rPr>
              <w:t>均值</w:t>
            </w:r>
            <w:r>
              <w:rPr>
                <w:rFonts w:hint="eastAsia"/>
                <w:kern w:val="0"/>
                <w:szCs w:val="21"/>
              </w:rPr>
              <w:t>/%</w:t>
            </w:r>
          </w:p>
        </w:tc>
        <w:tc>
          <w:tcPr>
            <w:tcW w:w="1280" w:type="dxa"/>
            <w:noWrap/>
          </w:tcPr>
          <w:p>
            <w:pPr>
              <w:widowControl/>
              <w:spacing w:line="240" w:lineRule="auto"/>
              <w:jc w:val="center"/>
              <w:textAlignment w:val="top"/>
              <w:rPr>
                <w:szCs w:val="21"/>
              </w:rPr>
            </w:pPr>
            <w:r>
              <w:rPr>
                <w:rFonts w:hint="eastAsia" w:ascii="宋体" w:hAnsi="宋体" w:cs="宋体"/>
                <w:kern w:val="0"/>
                <w:szCs w:val="21"/>
              </w:rPr>
              <w:t>4.48</w:t>
            </w:r>
          </w:p>
        </w:tc>
        <w:tc>
          <w:tcPr>
            <w:tcW w:w="1279" w:type="dxa"/>
            <w:noWrap/>
          </w:tcPr>
          <w:p>
            <w:pPr>
              <w:widowControl/>
              <w:spacing w:line="240" w:lineRule="auto"/>
              <w:jc w:val="center"/>
              <w:textAlignment w:val="top"/>
              <w:rPr>
                <w:szCs w:val="21"/>
              </w:rPr>
            </w:pPr>
            <w:r>
              <w:rPr>
                <w:rFonts w:hint="eastAsia" w:ascii="宋体" w:hAnsi="宋体" w:cs="宋体"/>
                <w:kern w:val="0"/>
                <w:szCs w:val="21"/>
              </w:rPr>
              <w:t>6.29</w:t>
            </w:r>
          </w:p>
        </w:tc>
        <w:tc>
          <w:tcPr>
            <w:tcW w:w="1281" w:type="dxa"/>
            <w:noWrap/>
          </w:tcPr>
          <w:p>
            <w:pPr>
              <w:widowControl/>
              <w:spacing w:line="240" w:lineRule="auto"/>
              <w:jc w:val="center"/>
              <w:textAlignment w:val="top"/>
              <w:rPr>
                <w:szCs w:val="21"/>
              </w:rPr>
            </w:pPr>
            <w:r>
              <w:rPr>
                <w:rFonts w:hint="eastAsia" w:ascii="宋体" w:hAnsi="宋体" w:cs="宋体"/>
                <w:kern w:val="0"/>
                <w:szCs w:val="21"/>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标准偏差</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0.0287</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0.0582</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0.0465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240" w:lineRule="auto"/>
              <w:jc w:val="center"/>
              <w:rPr>
                <w:szCs w:val="21"/>
              </w:rPr>
            </w:pPr>
            <w:r>
              <w:rPr>
                <w:szCs w:val="21"/>
              </w:rPr>
              <w:t>Max</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4.51</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6.34</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spacing w:line="240" w:lineRule="auto"/>
              <w:jc w:val="center"/>
              <w:rPr>
                <w:szCs w:val="21"/>
              </w:rPr>
            </w:pPr>
            <w:r>
              <w:rPr>
                <w:szCs w:val="21"/>
              </w:rPr>
              <w:t>Min</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4.45</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6.21</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G</w:t>
            </w:r>
            <w:r>
              <w:rPr>
                <w:rFonts w:hint="eastAsia"/>
                <w:kern w:val="0"/>
                <w:szCs w:val="21"/>
              </w:rPr>
              <w:t>max</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0.946</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0.810</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00" w:type="dxa"/>
            <w:noWrap/>
            <w:vAlign w:val="center"/>
          </w:tcPr>
          <w:p>
            <w:pPr>
              <w:widowControl/>
              <w:spacing w:line="240" w:lineRule="auto"/>
              <w:jc w:val="center"/>
              <w:rPr>
                <w:kern w:val="0"/>
                <w:szCs w:val="21"/>
              </w:rPr>
            </w:pPr>
            <w:r>
              <w:rPr>
                <w:kern w:val="0"/>
                <w:szCs w:val="21"/>
              </w:rPr>
              <w:t>G</w:t>
            </w:r>
            <w:r>
              <w:rPr>
                <w:rFonts w:hint="eastAsia"/>
                <w:kern w:val="0"/>
                <w:szCs w:val="21"/>
              </w:rPr>
              <w:t>min</w:t>
            </w:r>
          </w:p>
        </w:tc>
        <w:tc>
          <w:tcPr>
            <w:tcW w:w="1280" w:type="dxa"/>
            <w:noWrap/>
            <w:vAlign w:val="center"/>
          </w:tcPr>
          <w:p>
            <w:pPr>
              <w:widowControl/>
              <w:spacing w:line="240" w:lineRule="auto"/>
              <w:jc w:val="center"/>
              <w:textAlignment w:val="center"/>
              <w:rPr>
                <w:szCs w:val="21"/>
              </w:rPr>
            </w:pPr>
            <w:r>
              <w:rPr>
                <w:rFonts w:hint="eastAsia" w:ascii="宋体" w:hAnsi="宋体" w:cs="宋体"/>
                <w:kern w:val="0"/>
                <w:szCs w:val="21"/>
              </w:rPr>
              <w:t>1.145</w:t>
            </w:r>
          </w:p>
        </w:tc>
        <w:tc>
          <w:tcPr>
            <w:tcW w:w="1279" w:type="dxa"/>
            <w:noWrap/>
            <w:vAlign w:val="center"/>
          </w:tcPr>
          <w:p>
            <w:pPr>
              <w:widowControl/>
              <w:spacing w:line="240" w:lineRule="auto"/>
              <w:jc w:val="center"/>
              <w:textAlignment w:val="center"/>
              <w:rPr>
                <w:szCs w:val="21"/>
              </w:rPr>
            </w:pPr>
            <w:r>
              <w:rPr>
                <w:rFonts w:hint="eastAsia" w:ascii="宋体" w:hAnsi="宋体" w:cs="宋体"/>
                <w:kern w:val="0"/>
                <w:szCs w:val="21"/>
              </w:rPr>
              <w:t>1.423</w:t>
            </w:r>
          </w:p>
        </w:tc>
        <w:tc>
          <w:tcPr>
            <w:tcW w:w="1281" w:type="dxa"/>
            <w:noWrap/>
            <w:vAlign w:val="center"/>
          </w:tcPr>
          <w:p>
            <w:pPr>
              <w:widowControl/>
              <w:spacing w:line="240" w:lineRule="auto"/>
              <w:jc w:val="center"/>
              <w:textAlignment w:val="center"/>
              <w:rPr>
                <w:szCs w:val="21"/>
              </w:rPr>
            </w:pPr>
            <w:r>
              <w:rPr>
                <w:rFonts w:hint="eastAsia" w:ascii="宋体" w:hAnsi="宋体" w:cs="宋体"/>
                <w:kern w:val="0"/>
                <w:szCs w:val="21"/>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740" w:type="dxa"/>
            <w:gridSpan w:val="4"/>
            <w:noWrap/>
            <w:vAlign w:val="center"/>
          </w:tcPr>
          <w:p>
            <w:pPr>
              <w:spacing w:line="240" w:lineRule="auto"/>
              <w:jc w:val="center"/>
              <w:rPr>
                <w:szCs w:val="21"/>
              </w:rPr>
            </w:pPr>
            <w:r>
              <w:rPr>
                <w:rFonts w:hint="eastAsia"/>
                <w:szCs w:val="21"/>
              </w:rPr>
              <w:t>当n=7，α=0.05时临界值为2.020，α=0.01时临界值为2.139。</w:t>
            </w:r>
          </w:p>
        </w:tc>
      </w:tr>
    </w:tbl>
    <w:p>
      <w:pPr>
        <w:spacing w:beforeLines="50"/>
        <w:rPr>
          <w:b/>
          <w:szCs w:val="21"/>
        </w:rPr>
      </w:pPr>
    </w:p>
    <w:p>
      <w:pPr>
        <w:spacing w:beforeLines="50"/>
        <w:rPr>
          <w:b/>
          <w:szCs w:val="21"/>
        </w:rPr>
      </w:pPr>
    </w:p>
    <w:p>
      <w:pPr>
        <w:rPr>
          <w:rFonts w:ascii="黑体" w:hAnsi="黑体" w:eastAsia="黑体" w:cs="黑体"/>
          <w:sz w:val="24"/>
          <w:szCs w:val="24"/>
        </w:rPr>
      </w:pPr>
      <w:r>
        <w:rPr>
          <w:rFonts w:hint="eastAsia" w:ascii="黑体" w:hAnsi="黑体" w:eastAsia="黑体" w:cs="黑体"/>
          <w:sz w:val="24"/>
          <w:szCs w:val="24"/>
        </w:rPr>
        <w:t>2 柯克伦检验</w:t>
      </w:r>
    </w:p>
    <w:p>
      <w:pPr>
        <w:tabs>
          <w:tab w:val="left" w:pos="0"/>
        </w:tabs>
        <w:snapToGrid w:val="0"/>
        <w:spacing w:beforeLines="50" w:line="360" w:lineRule="auto"/>
        <w:ind w:firstLine="420" w:firstLineChars="200"/>
        <w:rPr>
          <w:rFonts w:hAnsi="宋体"/>
          <w:szCs w:val="21"/>
        </w:rPr>
      </w:pPr>
      <w:r>
        <w:rPr>
          <w:rFonts w:hAnsi="宋体"/>
          <w:szCs w:val="21"/>
        </w:rPr>
        <w:t>柯克伦检验结果见表2，检验结果表明无异常</w:t>
      </w:r>
      <w:r>
        <w:rPr>
          <w:rFonts w:hint="eastAsia" w:hAnsi="宋体"/>
          <w:szCs w:val="21"/>
        </w:rPr>
        <w:t>值</w:t>
      </w:r>
      <w:r>
        <w:rPr>
          <w:rFonts w:hAnsi="宋体"/>
          <w:szCs w:val="21"/>
        </w:rPr>
        <w:t>。</w:t>
      </w:r>
    </w:p>
    <w:p>
      <w:pPr>
        <w:ind w:firstLine="420" w:firstLineChars="200"/>
        <w:jc w:val="center"/>
        <w:rPr>
          <w:rFonts w:hAnsi="宋体"/>
          <w:szCs w:val="21"/>
        </w:rPr>
      </w:pPr>
      <w:r>
        <w:rPr>
          <w:rFonts w:hAnsi="宋体"/>
          <w:szCs w:val="21"/>
        </w:rPr>
        <w:t>表</w:t>
      </w:r>
      <w:r>
        <w:rPr>
          <w:rFonts w:hint="eastAsia"/>
          <w:szCs w:val="21"/>
        </w:rPr>
        <w:t xml:space="preserve">2 </w:t>
      </w:r>
      <w:r>
        <w:rPr>
          <w:rFonts w:hAnsi="宋体"/>
          <w:szCs w:val="21"/>
        </w:rPr>
        <w:t>柯克伦检验</w:t>
      </w:r>
    </w:p>
    <w:tbl>
      <w:tblPr>
        <w:tblStyle w:val="38"/>
        <w:tblW w:w="8125" w:type="dxa"/>
        <w:tblInd w:w="7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3315"/>
        <w:gridCol w:w="1200"/>
        <w:gridCol w:w="121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gridSpan w:val="2"/>
            <w:noWrap/>
          </w:tcPr>
          <w:p>
            <w:pPr>
              <w:jc w:val="center"/>
              <w:rPr>
                <w:rFonts w:hAnsi="宋体"/>
                <w:szCs w:val="21"/>
              </w:rPr>
            </w:pPr>
          </w:p>
        </w:tc>
        <w:tc>
          <w:tcPr>
            <w:tcW w:w="1200" w:type="dxa"/>
            <w:noWrap/>
          </w:tcPr>
          <w:p>
            <w:pPr>
              <w:jc w:val="center"/>
              <w:rPr>
                <w:rFonts w:hAnsi="宋体"/>
                <w:szCs w:val="21"/>
              </w:rPr>
            </w:pPr>
            <w:r>
              <w:rPr>
                <w:rFonts w:hAnsi="宋体"/>
                <w:szCs w:val="21"/>
              </w:rPr>
              <w:t>水平</w:t>
            </w:r>
            <w:r>
              <w:rPr>
                <w:szCs w:val="21"/>
              </w:rPr>
              <w:t>1</w:t>
            </w:r>
          </w:p>
        </w:tc>
        <w:tc>
          <w:tcPr>
            <w:tcW w:w="1215" w:type="dxa"/>
            <w:noWrap/>
          </w:tcPr>
          <w:p>
            <w:pPr>
              <w:jc w:val="center"/>
              <w:rPr>
                <w:rFonts w:hAnsi="宋体"/>
                <w:szCs w:val="21"/>
              </w:rPr>
            </w:pPr>
            <w:r>
              <w:rPr>
                <w:rFonts w:hAnsi="宋体"/>
                <w:szCs w:val="21"/>
              </w:rPr>
              <w:t>水平</w:t>
            </w:r>
            <w:r>
              <w:rPr>
                <w:szCs w:val="21"/>
              </w:rPr>
              <w:t>2</w:t>
            </w:r>
          </w:p>
        </w:tc>
        <w:tc>
          <w:tcPr>
            <w:tcW w:w="1245" w:type="dxa"/>
            <w:noWrap/>
          </w:tcPr>
          <w:p>
            <w:pPr>
              <w:jc w:val="center"/>
              <w:rPr>
                <w:rFonts w:hAnsi="宋体"/>
                <w:szCs w:val="21"/>
              </w:rPr>
            </w:pPr>
            <w:r>
              <w:rPr>
                <w:rFonts w:hAnsi="宋体"/>
                <w:szCs w:val="21"/>
              </w:rPr>
              <w:t>水平</w:t>
            </w: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restart"/>
            <w:noWrap/>
          </w:tcPr>
          <w:p>
            <w:pPr>
              <w:jc w:val="center"/>
              <w:rPr>
                <w:rFonts w:hAnsi="宋体"/>
                <w:szCs w:val="21"/>
              </w:rPr>
            </w:pPr>
            <w:r>
              <w:rPr>
                <w:rFonts w:hint="eastAsia" w:hAnsi="宋体"/>
                <w:szCs w:val="21"/>
              </w:rPr>
              <w:t>各实验室测定结果标准偏差</w:t>
            </w:r>
          </w:p>
        </w:tc>
        <w:tc>
          <w:tcPr>
            <w:tcW w:w="3315" w:type="dxa"/>
            <w:noWrap/>
            <w:vAlign w:val="center"/>
          </w:tcPr>
          <w:p>
            <w:pPr>
              <w:widowControl/>
              <w:jc w:val="center"/>
              <w:rPr>
                <w:rFonts w:hAnsi="宋体"/>
                <w:szCs w:val="21"/>
              </w:rPr>
            </w:pPr>
            <w:r>
              <w:rPr>
                <w:rFonts w:hint="eastAsia" w:ascii="宋体" w:hAnsi="宋体" w:cs="宋体"/>
                <w:kern w:val="0"/>
                <w:szCs w:val="21"/>
              </w:rPr>
              <w:t>北矿检测技术有限公司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0.0638</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0.0730</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widowControl/>
              <w:jc w:val="center"/>
              <w:rPr>
                <w:rFonts w:hAnsi="宋体"/>
                <w:szCs w:val="21"/>
              </w:rPr>
            </w:pPr>
            <w:r>
              <w:rPr>
                <w:rFonts w:hint="eastAsia"/>
              </w:rPr>
              <w:t>云锡股份有限公司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0.0393</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0.0400</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widowControl/>
              <w:jc w:val="center"/>
              <w:rPr>
                <w:rFonts w:hAnsi="宋体"/>
                <w:szCs w:val="21"/>
              </w:rPr>
            </w:pPr>
            <w:r>
              <w:rPr>
                <w:rFonts w:hint="eastAsia"/>
              </w:rPr>
              <w:t>大冶有色金属有限责任公司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0.0562</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0.0674</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widowControl/>
              <w:jc w:val="center"/>
              <w:rPr>
                <w:rFonts w:hAnsi="宋体"/>
                <w:szCs w:val="21"/>
              </w:rPr>
            </w:pPr>
            <w:r>
              <w:rPr>
                <w:rFonts w:hint="eastAsia"/>
              </w:rPr>
              <w:t>有研工程技术研究院有限公司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0.0524</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0.0771</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ind w:right="-105" w:rightChars="-50"/>
              <w:jc w:val="center"/>
              <w:rPr>
                <w:rFonts w:hAnsi="宋体"/>
                <w:szCs w:val="21"/>
              </w:rPr>
            </w:pPr>
            <w:r>
              <w:rPr>
                <w:rFonts w:hint="eastAsia"/>
              </w:rPr>
              <w:t>湖南柿竹园有色金属有限责任公司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0.0717</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0.0774</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widowControl/>
              <w:jc w:val="center"/>
              <w:rPr>
                <w:rFonts w:hAnsi="宋体"/>
                <w:szCs w:val="21"/>
              </w:rPr>
            </w:pPr>
            <w:r>
              <w:rPr>
                <w:rFonts w:hint="eastAsia"/>
              </w:rPr>
              <w:t>福建紫金矿冶测试技术有限公司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0.0189</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0.0383</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widowControl/>
              <w:jc w:val="center"/>
              <w:rPr>
                <w:rFonts w:hAnsi="宋体"/>
                <w:szCs w:val="21"/>
              </w:rPr>
            </w:pPr>
            <w:r>
              <w:rPr>
                <w:rFonts w:hint="eastAsia"/>
              </w:rPr>
              <w:t>富民薪冶工贸有限公司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0.0546</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0.0480</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0" w:type="dxa"/>
            <w:vMerge w:val="continue"/>
            <w:noWrap/>
          </w:tcPr>
          <w:p>
            <w:pPr>
              <w:jc w:val="center"/>
              <w:rPr>
                <w:rFonts w:hAnsi="宋体"/>
                <w:szCs w:val="21"/>
              </w:rPr>
            </w:pPr>
          </w:p>
        </w:tc>
        <w:tc>
          <w:tcPr>
            <w:tcW w:w="3315" w:type="dxa"/>
            <w:noWrap/>
            <w:vAlign w:val="center"/>
          </w:tcPr>
          <w:p>
            <w:pPr>
              <w:widowControl/>
              <w:jc w:val="center"/>
              <w:rPr>
                <w:rFonts w:hAnsi="宋体"/>
                <w:szCs w:val="21"/>
              </w:rPr>
            </w:pPr>
            <w:r>
              <w:rPr>
                <w:rFonts w:hint="eastAsia"/>
              </w:rPr>
              <w:t>紫金铜业有限公司</w:t>
            </w:r>
          </w:p>
        </w:tc>
        <w:tc>
          <w:tcPr>
            <w:tcW w:w="1200" w:type="dxa"/>
            <w:noWrap/>
            <w:vAlign w:val="center"/>
          </w:tcPr>
          <w:p>
            <w:pPr>
              <w:widowControl/>
              <w:jc w:val="center"/>
              <w:textAlignment w:val="center"/>
              <w:rPr>
                <w:rFonts w:hAnsi="宋体"/>
                <w:szCs w:val="21"/>
              </w:rPr>
            </w:pPr>
            <w:r>
              <w:rPr>
                <w:rFonts w:hint="eastAsia" w:ascii="宋体" w:hAnsi="宋体" w:cs="宋体"/>
                <w:kern w:val="0"/>
                <w:szCs w:val="21"/>
              </w:rPr>
              <w:t>0.0287</w:t>
            </w:r>
          </w:p>
        </w:tc>
        <w:tc>
          <w:tcPr>
            <w:tcW w:w="1215" w:type="dxa"/>
            <w:noWrap/>
            <w:vAlign w:val="center"/>
          </w:tcPr>
          <w:p>
            <w:pPr>
              <w:widowControl/>
              <w:jc w:val="center"/>
              <w:textAlignment w:val="center"/>
              <w:rPr>
                <w:rFonts w:hAnsi="宋体"/>
                <w:szCs w:val="21"/>
              </w:rPr>
            </w:pPr>
            <w:r>
              <w:rPr>
                <w:rFonts w:hint="eastAsia" w:ascii="宋体" w:hAnsi="宋体" w:cs="宋体"/>
                <w:kern w:val="0"/>
                <w:szCs w:val="21"/>
              </w:rPr>
              <w:t>0.0582</w:t>
            </w:r>
          </w:p>
        </w:tc>
        <w:tc>
          <w:tcPr>
            <w:tcW w:w="1245" w:type="dxa"/>
            <w:noWrap/>
            <w:vAlign w:val="center"/>
          </w:tcPr>
          <w:p>
            <w:pPr>
              <w:widowControl/>
              <w:jc w:val="center"/>
              <w:textAlignment w:val="center"/>
              <w:rPr>
                <w:rFonts w:hAnsi="宋体"/>
                <w:szCs w:val="21"/>
              </w:rPr>
            </w:pPr>
            <w:r>
              <w:rPr>
                <w:rFonts w:hint="eastAsia" w:ascii="宋体" w:hAnsi="宋体" w:cs="宋体"/>
                <w:kern w:val="0"/>
                <w:szCs w:val="21"/>
              </w:rPr>
              <w:t>0.0465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gridSpan w:val="2"/>
            <w:noWrap/>
            <w:vAlign w:val="center"/>
          </w:tcPr>
          <w:p>
            <w:pPr>
              <w:jc w:val="center"/>
              <w:rPr>
                <w:rFonts w:hAnsi="宋体"/>
                <w:szCs w:val="21"/>
              </w:rPr>
            </w:pPr>
            <w:r>
              <w:rPr>
                <w:rFonts w:hint="eastAsia"/>
              </w:rPr>
              <w:t>s</w:t>
            </w:r>
            <w:r>
              <w:rPr>
                <w:rFonts w:hint="eastAsia"/>
                <w:vertAlign w:val="subscript"/>
              </w:rPr>
              <w:t>max</w:t>
            </w:r>
          </w:p>
        </w:tc>
        <w:tc>
          <w:tcPr>
            <w:tcW w:w="1200" w:type="dxa"/>
            <w:noWrap/>
          </w:tcPr>
          <w:p>
            <w:pPr>
              <w:jc w:val="center"/>
              <w:rPr>
                <w:rFonts w:hAnsi="宋体"/>
                <w:szCs w:val="21"/>
              </w:rPr>
            </w:pPr>
            <w:r>
              <w:rPr>
                <w:rFonts w:hint="eastAsia" w:ascii="宋体" w:hAnsi="宋体" w:cs="宋体"/>
                <w:kern w:val="0"/>
                <w:szCs w:val="21"/>
              </w:rPr>
              <w:t>0.0717</w:t>
            </w:r>
          </w:p>
        </w:tc>
        <w:tc>
          <w:tcPr>
            <w:tcW w:w="1215" w:type="dxa"/>
            <w:noWrap/>
          </w:tcPr>
          <w:p>
            <w:pPr>
              <w:jc w:val="center"/>
              <w:rPr>
                <w:rFonts w:hAnsi="宋体"/>
                <w:szCs w:val="21"/>
              </w:rPr>
            </w:pPr>
            <w:r>
              <w:rPr>
                <w:rFonts w:hint="eastAsia" w:hAnsi="宋体"/>
                <w:szCs w:val="21"/>
              </w:rPr>
              <w:t>0.0774</w:t>
            </w:r>
          </w:p>
        </w:tc>
        <w:tc>
          <w:tcPr>
            <w:tcW w:w="1245" w:type="dxa"/>
            <w:noWrap/>
          </w:tcPr>
          <w:p>
            <w:pPr>
              <w:jc w:val="center"/>
              <w:rPr>
                <w:rFonts w:hAnsi="宋体"/>
                <w:szCs w:val="21"/>
              </w:rPr>
            </w:pPr>
            <w:r>
              <w:rPr>
                <w:rFonts w:hint="eastAsia" w:hAnsi="宋体"/>
                <w:szCs w:val="21"/>
              </w:rPr>
              <w:t>0.1085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gridSpan w:val="2"/>
            <w:noWrap/>
            <w:vAlign w:val="center"/>
          </w:tcPr>
          <w:p>
            <w:pPr>
              <w:jc w:val="center"/>
              <w:rPr>
                <w:rFonts w:hAnsi="宋体"/>
                <w:szCs w:val="21"/>
              </w:rPr>
            </w:pPr>
            <w:r>
              <w:rPr>
                <w:rFonts w:hint="eastAsia" w:hAnsi="宋体"/>
                <w:szCs w:val="21"/>
              </w:rPr>
              <w:t>s</w:t>
            </w:r>
            <w:r>
              <w:rPr>
                <w:rFonts w:hint="eastAsia" w:hAnsi="宋体"/>
                <w:szCs w:val="21"/>
                <w:vertAlign w:val="superscript"/>
              </w:rPr>
              <w:t>2</w:t>
            </w:r>
            <w:r>
              <w:rPr>
                <w:rFonts w:hint="eastAsia" w:hAnsi="宋体"/>
                <w:szCs w:val="21"/>
                <w:vertAlign w:val="subscript"/>
              </w:rPr>
              <w:t>max</w:t>
            </w:r>
          </w:p>
        </w:tc>
        <w:tc>
          <w:tcPr>
            <w:tcW w:w="1200" w:type="dxa"/>
            <w:noWrap/>
          </w:tcPr>
          <w:p>
            <w:pPr>
              <w:jc w:val="center"/>
              <w:rPr>
                <w:rFonts w:hAnsi="宋体"/>
                <w:szCs w:val="21"/>
              </w:rPr>
            </w:pPr>
            <w:r>
              <w:rPr>
                <w:rFonts w:hint="eastAsia" w:hAnsi="宋体"/>
                <w:szCs w:val="21"/>
              </w:rPr>
              <w:t>0.00536</w:t>
            </w:r>
          </w:p>
        </w:tc>
        <w:tc>
          <w:tcPr>
            <w:tcW w:w="1215" w:type="dxa"/>
            <w:noWrap/>
          </w:tcPr>
          <w:p>
            <w:pPr>
              <w:jc w:val="center"/>
              <w:rPr>
                <w:rFonts w:hAnsi="宋体"/>
                <w:szCs w:val="21"/>
              </w:rPr>
            </w:pPr>
            <w:r>
              <w:rPr>
                <w:rFonts w:hint="eastAsia" w:hAnsi="宋体"/>
                <w:szCs w:val="21"/>
              </w:rPr>
              <w:t>0.00599</w:t>
            </w:r>
          </w:p>
        </w:tc>
        <w:tc>
          <w:tcPr>
            <w:tcW w:w="1245" w:type="dxa"/>
            <w:noWrap/>
          </w:tcPr>
          <w:p>
            <w:pPr>
              <w:jc w:val="center"/>
              <w:rPr>
                <w:rFonts w:hAnsi="宋体"/>
                <w:szCs w:val="21"/>
              </w:rPr>
            </w:pPr>
            <w:r>
              <w:rPr>
                <w:rFonts w:hint="eastAsia" w:hAnsi="宋体"/>
                <w:szCs w:val="21"/>
              </w:rPr>
              <w:t>0.0118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65" w:type="dxa"/>
            <w:gridSpan w:val="2"/>
            <w:noWrap/>
            <w:vAlign w:val="center"/>
          </w:tcPr>
          <w:p>
            <w:pPr>
              <w:jc w:val="center"/>
              <w:rPr>
                <w:rFonts w:hAnsi="宋体"/>
                <w:szCs w:val="21"/>
              </w:rPr>
            </w:pPr>
            <w:r>
              <w:rPr>
                <w:rFonts w:hint="eastAsia"/>
              </w:rPr>
              <w:t>所有实验室s</w:t>
            </w:r>
            <w:r>
              <w:rPr>
                <w:rFonts w:hint="eastAsia"/>
                <w:vertAlign w:val="superscript"/>
              </w:rPr>
              <w:t>2</w:t>
            </w:r>
            <w:r>
              <w:rPr>
                <w:rFonts w:hint="eastAsia"/>
              </w:rPr>
              <w:t>之和</w:t>
            </w:r>
          </w:p>
        </w:tc>
        <w:tc>
          <w:tcPr>
            <w:tcW w:w="1200" w:type="dxa"/>
            <w:noWrap/>
          </w:tcPr>
          <w:p>
            <w:pPr>
              <w:jc w:val="center"/>
              <w:rPr>
                <w:rFonts w:hAnsi="宋体"/>
                <w:szCs w:val="21"/>
              </w:rPr>
            </w:pPr>
            <w:r>
              <w:rPr>
                <w:rFonts w:hint="eastAsia" w:hAnsi="宋体"/>
                <w:szCs w:val="21"/>
              </w:rPr>
              <w:t>0.0210</w:t>
            </w:r>
          </w:p>
        </w:tc>
        <w:tc>
          <w:tcPr>
            <w:tcW w:w="1215" w:type="dxa"/>
            <w:noWrap/>
          </w:tcPr>
          <w:p>
            <w:pPr>
              <w:rPr>
                <w:rFonts w:hAnsi="宋体"/>
                <w:szCs w:val="21"/>
              </w:rPr>
            </w:pPr>
            <w:r>
              <w:rPr>
                <w:rFonts w:hint="eastAsia" w:hAnsi="宋体"/>
                <w:szCs w:val="21"/>
              </w:rPr>
              <w:t>0.0306</w:t>
            </w:r>
          </w:p>
        </w:tc>
        <w:tc>
          <w:tcPr>
            <w:tcW w:w="1245" w:type="dxa"/>
            <w:noWrap/>
          </w:tcPr>
          <w:p>
            <w:pPr>
              <w:jc w:val="center"/>
              <w:rPr>
                <w:rFonts w:hAnsi="宋体"/>
                <w:szCs w:val="21"/>
              </w:rPr>
            </w:pPr>
            <w:r>
              <w:rPr>
                <w:rFonts w:hint="eastAsia" w:hAnsi="宋体"/>
                <w:szCs w:val="21"/>
              </w:rPr>
              <w:t>0.0540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4465" w:type="dxa"/>
            <w:gridSpan w:val="2"/>
            <w:noWrap/>
            <w:vAlign w:val="center"/>
          </w:tcPr>
          <w:p>
            <w:pPr>
              <w:jc w:val="center"/>
            </w:pPr>
            <w:r>
              <w:rPr>
                <w:rFonts w:hint="eastAsia"/>
              </w:rPr>
              <w:t>C</w:t>
            </w:r>
          </w:p>
        </w:tc>
        <w:tc>
          <w:tcPr>
            <w:tcW w:w="1200" w:type="dxa"/>
            <w:noWrap/>
          </w:tcPr>
          <w:p>
            <w:pPr>
              <w:jc w:val="center"/>
              <w:rPr>
                <w:rFonts w:hAnsi="宋体"/>
                <w:szCs w:val="21"/>
              </w:rPr>
            </w:pPr>
            <w:r>
              <w:rPr>
                <w:rFonts w:hint="eastAsia" w:hAnsi="宋体"/>
                <w:szCs w:val="21"/>
              </w:rPr>
              <w:t>0.255</w:t>
            </w:r>
          </w:p>
        </w:tc>
        <w:tc>
          <w:tcPr>
            <w:tcW w:w="1215" w:type="dxa"/>
            <w:noWrap/>
          </w:tcPr>
          <w:p>
            <w:pPr>
              <w:jc w:val="center"/>
              <w:rPr>
                <w:rFonts w:hAnsi="宋体"/>
                <w:szCs w:val="21"/>
              </w:rPr>
            </w:pPr>
            <w:r>
              <w:rPr>
                <w:rFonts w:hint="eastAsia" w:hAnsi="宋体"/>
                <w:szCs w:val="21"/>
              </w:rPr>
              <w:t>0.196</w:t>
            </w:r>
          </w:p>
        </w:tc>
        <w:tc>
          <w:tcPr>
            <w:tcW w:w="1245" w:type="dxa"/>
            <w:noWrap/>
          </w:tcPr>
          <w:p>
            <w:pPr>
              <w:jc w:val="center"/>
              <w:rPr>
                <w:rFonts w:hAnsi="宋体"/>
                <w:szCs w:val="21"/>
              </w:rPr>
            </w:pPr>
            <w:r>
              <w:rPr>
                <w:rFonts w:hint="eastAsia" w:hAnsi="宋体"/>
                <w:szCs w:val="21"/>
              </w:rPr>
              <w:t>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gridSpan w:val="2"/>
            <w:vMerge w:val="restart"/>
            <w:noWrap/>
            <w:vAlign w:val="center"/>
          </w:tcPr>
          <w:p>
            <w:pPr>
              <w:jc w:val="center"/>
              <w:rPr>
                <w:rFonts w:hAnsi="宋体"/>
                <w:szCs w:val="21"/>
              </w:rPr>
            </w:pPr>
            <w:r>
              <w:rPr>
                <w:rFonts w:hint="eastAsia"/>
              </w:rPr>
              <w:t>C临界值</w:t>
            </w:r>
          </w:p>
        </w:tc>
        <w:tc>
          <w:tcPr>
            <w:tcW w:w="1200" w:type="dxa"/>
            <w:noWrap/>
            <w:vAlign w:val="center"/>
          </w:tcPr>
          <w:p>
            <w:pPr>
              <w:jc w:val="center"/>
              <w:rPr>
                <w:rFonts w:hAnsi="宋体"/>
                <w:szCs w:val="21"/>
              </w:rPr>
            </w:pPr>
            <w:r>
              <w:rPr>
                <w:rFonts w:hint="eastAsia"/>
              </w:rPr>
              <w:t>0.423（1%）</w:t>
            </w:r>
          </w:p>
        </w:tc>
        <w:tc>
          <w:tcPr>
            <w:tcW w:w="1215" w:type="dxa"/>
            <w:noWrap/>
            <w:vAlign w:val="center"/>
          </w:tcPr>
          <w:p>
            <w:pPr>
              <w:jc w:val="center"/>
              <w:rPr>
                <w:rFonts w:hAnsi="宋体"/>
                <w:szCs w:val="21"/>
              </w:rPr>
            </w:pPr>
            <w:r>
              <w:rPr>
                <w:rFonts w:hint="eastAsia"/>
              </w:rPr>
              <w:t>0.423（1%）</w:t>
            </w:r>
          </w:p>
        </w:tc>
        <w:tc>
          <w:tcPr>
            <w:tcW w:w="1245" w:type="dxa"/>
            <w:noWrap/>
            <w:vAlign w:val="center"/>
          </w:tcPr>
          <w:p>
            <w:pPr>
              <w:jc w:val="center"/>
              <w:rPr>
                <w:rFonts w:hAnsi="宋体"/>
                <w:szCs w:val="21"/>
              </w:rPr>
            </w:pPr>
            <w:r>
              <w:rPr>
                <w:rFonts w:hint="eastAsia"/>
              </w:rPr>
              <w:t>0.423（1%）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gridSpan w:val="2"/>
            <w:vMerge w:val="continue"/>
            <w:noWrap/>
          </w:tcPr>
          <w:p>
            <w:pPr>
              <w:jc w:val="center"/>
              <w:rPr>
                <w:rFonts w:hAnsi="宋体"/>
                <w:szCs w:val="21"/>
              </w:rPr>
            </w:pPr>
          </w:p>
        </w:tc>
        <w:tc>
          <w:tcPr>
            <w:tcW w:w="1200" w:type="dxa"/>
            <w:noWrap/>
            <w:vAlign w:val="center"/>
          </w:tcPr>
          <w:p>
            <w:pPr>
              <w:jc w:val="center"/>
              <w:rPr>
                <w:rFonts w:hAnsi="宋体"/>
                <w:szCs w:val="21"/>
              </w:rPr>
            </w:pPr>
            <w:r>
              <w:rPr>
                <w:rFonts w:hint="eastAsia"/>
              </w:rPr>
              <w:t>0.360（5%）</w:t>
            </w:r>
          </w:p>
        </w:tc>
        <w:tc>
          <w:tcPr>
            <w:tcW w:w="1215" w:type="dxa"/>
            <w:noWrap/>
            <w:vAlign w:val="center"/>
          </w:tcPr>
          <w:p>
            <w:pPr>
              <w:jc w:val="center"/>
              <w:rPr>
                <w:rFonts w:hAnsi="宋体"/>
                <w:szCs w:val="21"/>
              </w:rPr>
            </w:pPr>
            <w:r>
              <w:rPr>
                <w:rFonts w:hint="eastAsia"/>
              </w:rPr>
              <w:t>0.360（5%）</w:t>
            </w:r>
          </w:p>
        </w:tc>
        <w:tc>
          <w:tcPr>
            <w:tcW w:w="1245" w:type="dxa"/>
            <w:noWrap/>
            <w:vAlign w:val="center"/>
          </w:tcPr>
          <w:p>
            <w:pPr>
              <w:jc w:val="center"/>
              <w:rPr>
                <w:rFonts w:hAnsi="宋体"/>
                <w:szCs w:val="21"/>
              </w:rPr>
            </w:pPr>
            <w:r>
              <w:rPr>
                <w:rFonts w:hint="eastAsia"/>
              </w:rPr>
              <w:t>0.360（5%）</w:t>
            </w:r>
          </w:p>
        </w:tc>
      </w:tr>
    </w:tbl>
    <w:p>
      <w:pPr>
        <w:spacing w:beforeLines="50"/>
        <w:rPr>
          <w:rFonts w:ascii="黑体" w:hAnsi="黑体" w:eastAsia="黑体" w:cs="黑体"/>
          <w:sz w:val="24"/>
          <w:szCs w:val="24"/>
        </w:rPr>
      </w:pPr>
    </w:p>
    <w:p>
      <w:pPr>
        <w:spacing w:beforeLines="50"/>
        <w:rPr>
          <w:rFonts w:ascii="黑体" w:hAnsi="黑体" w:eastAsia="黑体"/>
          <w:sz w:val="24"/>
          <w:szCs w:val="24"/>
        </w:rPr>
      </w:pPr>
      <w:r>
        <w:rPr>
          <w:rFonts w:hint="eastAsia" w:ascii="黑体" w:hAnsi="黑体" w:eastAsia="黑体"/>
          <w:sz w:val="24"/>
          <w:szCs w:val="24"/>
        </w:rPr>
        <w:t>3 实验室间格拉布斯检验</w:t>
      </w:r>
    </w:p>
    <w:p>
      <w:pPr>
        <w:ind w:firstLine="420" w:firstLineChars="200"/>
        <w:jc w:val="center"/>
        <w:rPr>
          <w:szCs w:val="21"/>
        </w:rPr>
      </w:pPr>
      <w:r>
        <w:rPr>
          <w:rFonts w:hint="eastAsia"/>
          <w:szCs w:val="21"/>
        </w:rPr>
        <w:t>表10实验室数据平均值的格拉布斯检验</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861"/>
        <w:gridCol w:w="1861"/>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sz w:val="18"/>
                <w:szCs w:val="18"/>
              </w:rPr>
            </w:pPr>
            <w:r>
              <w:rPr>
                <w:rFonts w:hint="eastAsia"/>
                <w:sz w:val="18"/>
                <w:szCs w:val="18"/>
              </w:rPr>
              <w:t>统计量</w:t>
            </w:r>
          </w:p>
        </w:tc>
        <w:tc>
          <w:tcPr>
            <w:tcW w:w="0" w:type="auto"/>
            <w:vAlign w:val="center"/>
          </w:tcPr>
          <w:p>
            <w:pPr>
              <w:jc w:val="center"/>
              <w:rPr>
                <w:sz w:val="18"/>
                <w:szCs w:val="18"/>
              </w:rPr>
            </w:pPr>
            <w:r>
              <w:rPr>
                <w:rFonts w:hint="eastAsia"/>
                <w:sz w:val="18"/>
                <w:szCs w:val="18"/>
              </w:rPr>
              <w:t>水平1</w:t>
            </w:r>
          </w:p>
        </w:tc>
        <w:tc>
          <w:tcPr>
            <w:tcW w:w="0" w:type="auto"/>
            <w:vAlign w:val="center"/>
          </w:tcPr>
          <w:p>
            <w:pPr>
              <w:jc w:val="center"/>
              <w:rPr>
                <w:sz w:val="18"/>
                <w:szCs w:val="18"/>
              </w:rPr>
            </w:pPr>
            <w:r>
              <w:rPr>
                <w:rFonts w:hint="eastAsia"/>
                <w:sz w:val="18"/>
                <w:szCs w:val="18"/>
              </w:rPr>
              <w:t>水平2</w:t>
            </w:r>
          </w:p>
        </w:tc>
        <w:tc>
          <w:tcPr>
            <w:tcW w:w="0" w:type="auto"/>
            <w:vAlign w:val="center"/>
          </w:tcPr>
          <w:p>
            <w:pPr>
              <w:jc w:val="center"/>
              <w:rPr>
                <w:sz w:val="18"/>
                <w:szCs w:val="18"/>
              </w:rPr>
            </w:pPr>
            <w:r>
              <w:rPr>
                <w:rFonts w:hint="eastAsia"/>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0" w:type="auto"/>
            <w:vAlign w:val="bottom"/>
          </w:tcPr>
          <w:p>
            <w:pPr>
              <w:widowControl/>
              <w:jc w:val="center"/>
              <w:textAlignment w:val="bottom"/>
              <w:rPr>
                <w:sz w:val="18"/>
                <w:szCs w:val="18"/>
              </w:rPr>
            </w:pPr>
            <w:r>
              <w:rPr>
                <w:kern w:val="0"/>
                <w:sz w:val="18"/>
                <w:szCs w:val="18"/>
              </w:rPr>
              <w:t>均值的平均值</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4.52</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6.27</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0" w:type="auto"/>
            <w:vAlign w:val="bottom"/>
          </w:tcPr>
          <w:p>
            <w:pPr>
              <w:widowControl/>
              <w:jc w:val="center"/>
              <w:textAlignment w:val="bottom"/>
              <w:rPr>
                <w:sz w:val="18"/>
                <w:szCs w:val="18"/>
              </w:rPr>
            </w:pPr>
            <w:r>
              <w:rPr>
                <w:kern w:val="0"/>
                <w:sz w:val="18"/>
                <w:szCs w:val="18"/>
              </w:rPr>
              <w:t>均值的标准差</w:t>
            </w:r>
          </w:p>
        </w:tc>
        <w:tc>
          <w:tcPr>
            <w:tcW w:w="0" w:type="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0.0508</w:t>
            </w:r>
          </w:p>
        </w:tc>
        <w:tc>
          <w:tcPr>
            <w:tcW w:w="0" w:type="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0.0682</w:t>
            </w:r>
          </w:p>
        </w:tc>
        <w:tc>
          <w:tcPr>
            <w:tcW w:w="0" w:type="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Align w:val="center"/>
          </w:tcPr>
          <w:p>
            <w:pPr>
              <w:jc w:val="center"/>
              <w:rPr>
                <w:sz w:val="18"/>
                <w:szCs w:val="18"/>
              </w:rPr>
            </w:pPr>
            <w:r>
              <w:rPr>
                <w:rFonts w:hint="eastAsia"/>
                <w:sz w:val="18"/>
                <w:szCs w:val="18"/>
              </w:rPr>
              <w:t>Max</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4.58</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6.38</w:t>
            </w:r>
          </w:p>
        </w:tc>
        <w:tc>
          <w:tcPr>
            <w:tcW w:w="0" w:type="auto"/>
            <w:vAlign w:val="center"/>
          </w:tcPr>
          <w:p>
            <w:pPr>
              <w:ind w:right="540"/>
              <w:jc w:val="center"/>
              <w:rPr>
                <w:rFonts w:asciiTheme="minorEastAsia" w:hAnsiTheme="minorEastAsia" w:eastAsiaTheme="minorEastAsia"/>
                <w:szCs w:val="21"/>
              </w:rPr>
            </w:pPr>
            <w:r>
              <w:rPr>
                <w:rFonts w:hint="eastAsia" w:asciiTheme="minorEastAsia" w:hAnsiTheme="minorEastAsia" w:eastAsiaTheme="minorEastAsia"/>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sz w:val="18"/>
                <w:szCs w:val="18"/>
              </w:rPr>
            </w:pPr>
            <w:r>
              <w:rPr>
                <w:rFonts w:hint="eastAsia"/>
                <w:sz w:val="18"/>
                <w:szCs w:val="18"/>
              </w:rPr>
              <w:t>Min</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4.46</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6.15</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sz w:val="18"/>
                <w:szCs w:val="18"/>
              </w:rPr>
            </w:pPr>
            <w:r>
              <w:rPr>
                <w:rFonts w:hint="eastAsia"/>
                <w:sz w:val="18"/>
                <w:szCs w:val="18"/>
              </w:rPr>
              <w:t>Gmax</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1.156</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1.557</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1.451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sz w:val="18"/>
                <w:szCs w:val="18"/>
              </w:rPr>
            </w:pPr>
            <w:r>
              <w:rPr>
                <w:rFonts w:hint="eastAsia"/>
                <w:sz w:val="18"/>
                <w:szCs w:val="18"/>
              </w:rPr>
              <w:t>Gmin</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1.205</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1.814</w:t>
            </w:r>
          </w:p>
        </w:tc>
        <w:tc>
          <w:tcPr>
            <w:tcW w:w="0" w:type="auto"/>
            <w:vAlign w:val="center"/>
          </w:tcPr>
          <w:p>
            <w:pPr>
              <w:ind w:right="360"/>
              <w:jc w:val="center"/>
              <w:rPr>
                <w:rFonts w:asciiTheme="minorEastAsia" w:hAnsiTheme="minorEastAsia" w:eastAsiaTheme="minorEastAsia"/>
                <w:szCs w:val="21"/>
              </w:rPr>
            </w:pPr>
            <w:r>
              <w:rPr>
                <w:rFonts w:hint="eastAsia" w:asciiTheme="minorEastAsia" w:hAnsiTheme="minorEastAsia" w:eastAsiaTheme="minorEastAsia"/>
                <w:szCs w:val="21"/>
              </w:rPr>
              <w:t>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jc w:val="center"/>
              <w:rPr>
                <w:sz w:val="18"/>
                <w:szCs w:val="18"/>
              </w:rPr>
            </w:pPr>
            <w:r>
              <w:rPr>
                <w:rFonts w:hint="eastAsia"/>
                <w:sz w:val="18"/>
                <w:szCs w:val="18"/>
              </w:rPr>
              <w:t>G临界值</w:t>
            </w:r>
          </w:p>
        </w:tc>
        <w:tc>
          <w:tcPr>
            <w:tcW w:w="0" w:type="auto"/>
            <w:vAlign w:val="center"/>
          </w:tcPr>
          <w:p>
            <w:pPr>
              <w:jc w:val="center"/>
              <w:rPr>
                <w:szCs w:val="21"/>
              </w:rPr>
            </w:pPr>
            <w:r>
              <w:rPr>
                <w:rFonts w:hint="eastAsia"/>
                <w:szCs w:val="21"/>
              </w:rPr>
              <w:t>2.274（上1%点）</w:t>
            </w:r>
          </w:p>
        </w:tc>
        <w:tc>
          <w:tcPr>
            <w:tcW w:w="0" w:type="auto"/>
            <w:vAlign w:val="center"/>
          </w:tcPr>
          <w:p>
            <w:pPr>
              <w:jc w:val="center"/>
              <w:rPr>
                <w:szCs w:val="21"/>
              </w:rPr>
            </w:pPr>
            <w:r>
              <w:rPr>
                <w:rFonts w:hint="eastAsia"/>
                <w:szCs w:val="21"/>
              </w:rPr>
              <w:t>2.274（上1%点）</w:t>
            </w:r>
          </w:p>
        </w:tc>
        <w:tc>
          <w:tcPr>
            <w:tcW w:w="0" w:type="auto"/>
            <w:vAlign w:val="center"/>
          </w:tcPr>
          <w:p>
            <w:pPr>
              <w:jc w:val="center"/>
              <w:rPr>
                <w:szCs w:val="21"/>
              </w:rPr>
            </w:pPr>
            <w:r>
              <w:rPr>
                <w:rFonts w:hint="eastAsia"/>
                <w:szCs w:val="21"/>
              </w:rPr>
              <w:t>2.274（上1%点）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sz w:val="18"/>
                <w:szCs w:val="18"/>
              </w:rPr>
            </w:pPr>
          </w:p>
        </w:tc>
        <w:tc>
          <w:tcPr>
            <w:tcW w:w="0" w:type="auto"/>
            <w:vAlign w:val="center"/>
          </w:tcPr>
          <w:p>
            <w:pPr>
              <w:jc w:val="center"/>
              <w:rPr>
                <w:szCs w:val="21"/>
              </w:rPr>
            </w:pPr>
            <w:r>
              <w:rPr>
                <w:rFonts w:hint="eastAsia"/>
                <w:szCs w:val="21"/>
              </w:rPr>
              <w:t>2.216（上5%点）</w:t>
            </w:r>
          </w:p>
        </w:tc>
        <w:tc>
          <w:tcPr>
            <w:tcW w:w="0" w:type="auto"/>
            <w:vAlign w:val="center"/>
          </w:tcPr>
          <w:p>
            <w:pPr>
              <w:jc w:val="center"/>
              <w:rPr>
                <w:szCs w:val="21"/>
              </w:rPr>
            </w:pPr>
            <w:r>
              <w:rPr>
                <w:rFonts w:hint="eastAsia"/>
                <w:szCs w:val="21"/>
              </w:rPr>
              <w:t>2.216（上5%点）</w:t>
            </w:r>
          </w:p>
        </w:tc>
        <w:tc>
          <w:tcPr>
            <w:tcW w:w="0" w:type="auto"/>
            <w:vAlign w:val="center"/>
          </w:tcPr>
          <w:p>
            <w:pPr>
              <w:jc w:val="center"/>
              <w:rPr>
                <w:szCs w:val="21"/>
              </w:rPr>
            </w:pPr>
            <w:r>
              <w:rPr>
                <w:rFonts w:hint="eastAsia"/>
                <w:szCs w:val="21"/>
              </w:rPr>
              <w:t>2.216（上5%点）</w:t>
            </w:r>
          </w:p>
        </w:tc>
      </w:tr>
    </w:tbl>
    <w:p>
      <w:pPr>
        <w:spacing w:beforeLines="50"/>
        <w:rPr>
          <w:b/>
          <w:szCs w:val="21"/>
        </w:rPr>
      </w:pPr>
      <w:r>
        <w:rPr>
          <w:rFonts w:hint="eastAsia"/>
          <w:szCs w:val="21"/>
        </w:rPr>
        <w:t>格拉布斯检验显示，各水平均未出现离群值或岐离值。</w:t>
      </w:r>
    </w:p>
    <w:p>
      <w:pPr>
        <w:spacing w:beforeLines="50"/>
        <w:rPr>
          <w:rFonts w:ascii="黑体" w:hAnsi="黑体" w:eastAsia="黑体" w:cs="黑体"/>
          <w:sz w:val="24"/>
          <w:szCs w:val="24"/>
        </w:rPr>
      </w:pPr>
    </w:p>
    <w:p>
      <w:pPr>
        <w:spacing w:beforeLines="50"/>
        <w:rPr>
          <w:rFonts w:ascii="黑体" w:hAnsi="黑体" w:eastAsia="黑体" w:cs="黑体"/>
          <w:sz w:val="24"/>
          <w:szCs w:val="24"/>
        </w:rPr>
      </w:pPr>
      <w:r>
        <w:rPr>
          <w:rFonts w:hint="eastAsia" w:ascii="黑体" w:hAnsi="黑体" w:eastAsia="黑体" w:cs="黑体"/>
          <w:sz w:val="24"/>
          <w:szCs w:val="24"/>
        </w:rPr>
        <w:t>4  S</w:t>
      </w:r>
      <w:r>
        <w:rPr>
          <w:rFonts w:hint="eastAsia" w:ascii="黑体" w:hAnsi="黑体" w:eastAsia="黑体" w:cs="黑体"/>
          <w:sz w:val="24"/>
          <w:szCs w:val="24"/>
          <w:vertAlign w:val="subscript"/>
        </w:rPr>
        <w:t>r</w:t>
      </w:r>
      <w:r>
        <w:rPr>
          <w:rFonts w:hint="eastAsia" w:ascii="黑体" w:hAnsi="黑体" w:eastAsia="黑体" w:cs="黑体"/>
          <w:sz w:val="24"/>
          <w:szCs w:val="24"/>
        </w:rPr>
        <w:t>、S</w:t>
      </w:r>
      <w:r>
        <w:rPr>
          <w:rFonts w:hint="eastAsia" w:ascii="黑体" w:hAnsi="黑体" w:eastAsia="黑体" w:cs="黑体"/>
          <w:sz w:val="24"/>
          <w:szCs w:val="24"/>
          <w:vertAlign w:val="subscript"/>
        </w:rPr>
        <w:t>R</w:t>
      </w:r>
      <w:r>
        <w:rPr>
          <w:rFonts w:hint="eastAsia" w:ascii="黑体" w:hAnsi="黑体" w:eastAsia="黑体" w:cs="黑体"/>
          <w:sz w:val="24"/>
          <w:szCs w:val="24"/>
        </w:rPr>
        <w:t>、r与R的计算</w:t>
      </w:r>
    </w:p>
    <w:p>
      <w:pPr>
        <w:jc w:val="center"/>
        <w:rPr>
          <w:szCs w:val="21"/>
        </w:rPr>
      </w:pPr>
      <w:r>
        <w:rPr>
          <w:rFonts w:hint="eastAsia"/>
          <w:szCs w:val="21"/>
        </w:rPr>
        <w:t>表3铋的精密度计算</w:t>
      </w:r>
    </w:p>
    <w:tbl>
      <w:tblPr>
        <w:tblStyle w:val="37"/>
        <w:tblW w:w="59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10"/>
        <w:gridCol w:w="1576"/>
        <w:gridCol w:w="1576"/>
        <w:gridCol w:w="15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水平1</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水平2</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水平3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总平均值</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4.53</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6.27</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9.41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T1</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308.03</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426.16</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639.90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T2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1395.50</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2671.08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6022.04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T3</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T4</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608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608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608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T5</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0.159649</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0.234852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0.440647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r</w:t>
            </w:r>
            <w:r>
              <w:rPr>
                <w:rFonts w:hint="eastAsia" w:ascii="宋体" w:hAnsi="宋体" w:cs="宋体"/>
                <w:kern w:val="0"/>
                <w:szCs w:val="21"/>
                <w:vertAlign w:val="superscript"/>
              </w:rPr>
              <w:t>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0.002575</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0.003788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0.007107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L</w:t>
            </w:r>
            <w:r>
              <w:rPr>
                <w:rFonts w:hint="eastAsia" w:ascii="宋体" w:hAnsi="宋体" w:cs="宋体"/>
                <w:kern w:val="0"/>
                <w:szCs w:val="21"/>
                <w:vertAlign w:val="superscript"/>
              </w:rPr>
              <w:t>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0.002200</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0.004709</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0.006961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R</w:t>
            </w:r>
            <w:r>
              <w:rPr>
                <w:rFonts w:hint="eastAsia" w:ascii="宋体" w:hAnsi="宋体" w:cs="宋体"/>
                <w:kern w:val="0"/>
                <w:szCs w:val="21"/>
                <w:vertAlign w:val="superscript"/>
              </w:rPr>
              <w:t>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0.004775</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0.008497</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0.014068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r</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0.050744</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0.061546</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0.084304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s</w:t>
            </w:r>
            <w:r>
              <w:rPr>
                <w:rFonts w:hint="eastAsia" w:ascii="宋体" w:hAnsi="宋体" w:cs="宋体"/>
                <w:kern w:val="0"/>
                <w:szCs w:val="21"/>
                <w:vertAlign w:val="subscript"/>
              </w:rPr>
              <w:t>R</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0.069102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0.092181</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0.118610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r</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0.142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0.172</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0.236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1210"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R</w:t>
            </w:r>
          </w:p>
        </w:tc>
        <w:tc>
          <w:tcPr>
            <w:tcW w:w="1576" w:type="dxa"/>
            <w:noWrap/>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0.193</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0.258</w:t>
            </w:r>
          </w:p>
        </w:tc>
        <w:tc>
          <w:tcPr>
            <w:tcW w:w="1576" w:type="dxa"/>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0.332</w:t>
            </w:r>
          </w:p>
        </w:tc>
      </w:tr>
    </w:tbl>
    <w:p>
      <w:pPr>
        <w:rPr>
          <w:b/>
          <w:szCs w:val="21"/>
        </w:rPr>
      </w:pPr>
    </w:p>
    <w:p>
      <w:pPr>
        <w:spacing w:beforeLines="50"/>
        <w:rPr>
          <w:rFonts w:ascii="黑体" w:hAnsi="黑体" w:eastAsia="黑体" w:cs="黑体"/>
          <w:sz w:val="24"/>
          <w:szCs w:val="24"/>
        </w:rPr>
      </w:pPr>
    </w:p>
    <w:p>
      <w:pPr>
        <w:ind w:firstLine="562" w:firstLineChars="200"/>
        <w:jc w:val="center"/>
        <w:rPr>
          <w:b/>
          <w:bCs/>
          <w:sz w:val="28"/>
          <w:szCs w:val="28"/>
        </w:rPr>
      </w:pPr>
    </w:p>
    <w:p>
      <w:pPr>
        <w:spacing w:line="360" w:lineRule="auto"/>
        <w:rPr>
          <w:b/>
          <w:szCs w:val="21"/>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b7+W+vAEAAGMDAAAOAAAAAAAAAAEAIAAAACIBAABkcnMvZTJvRG9jLnhtbFBLBQYA&#10;AAAABgAGAFkBAABQBQAAAAA=&#10;">
              <v:fill on="f" focussize="0,0"/>
              <v:stroke on="f" weight="1.25pt"/>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610F4"/>
    <w:multiLevelType w:val="singleLevel"/>
    <w:tmpl w:val="F34610F4"/>
    <w:lvl w:ilvl="0" w:tentative="0">
      <w:start w:val="1"/>
      <w:numFmt w:val="chineseCounting"/>
      <w:suff w:val="nothing"/>
      <w:lvlText w:val="%1、"/>
      <w:lvlJc w:val="left"/>
      <w:rPr>
        <w:rFonts w:hint="eastAsia"/>
      </w:rPr>
    </w:lvl>
  </w:abstractNum>
  <w:abstractNum w:abstractNumId="1">
    <w:nsid w:val="1216F125"/>
    <w:multiLevelType w:val="singleLevel"/>
    <w:tmpl w:val="1216F125"/>
    <w:lvl w:ilvl="0" w:tentative="0">
      <w:start w:val="1"/>
      <w:numFmt w:val="decimal"/>
      <w:lvlText w:val="(%1)"/>
      <w:lvlJc w:val="left"/>
      <w:pPr>
        <w:ind w:left="425" w:hanging="425"/>
      </w:pPr>
      <w:rPr>
        <w:rFonts w:hint="default"/>
      </w:rPr>
    </w:lvl>
  </w:abstractNum>
  <w:abstractNum w:abstractNumId="2">
    <w:nsid w:val="1FC91163"/>
    <w:multiLevelType w:val="multilevel"/>
    <w:tmpl w:val="1FC91163"/>
    <w:lvl w:ilvl="0" w:tentative="0">
      <w:start w:val="1"/>
      <w:numFmt w:val="decimal"/>
      <w:pStyle w:val="146"/>
      <w:suff w:val="nothing"/>
      <w:lvlText w:val="%1　"/>
      <w:lvlJc w:val="left"/>
      <w:pPr>
        <w:ind w:left="0" w:firstLine="0"/>
      </w:pPr>
      <w:rPr>
        <w:rFonts w:hint="eastAsia" w:ascii="宋体" w:hAnsi="宋体" w:eastAsia="宋体"/>
        <w:b w:val="0"/>
        <w:i w:val="0"/>
        <w:sz w:val="21"/>
        <w:szCs w:val="21"/>
      </w:rPr>
    </w:lvl>
    <w:lvl w:ilvl="1" w:tentative="0">
      <w:start w:val="1"/>
      <w:numFmt w:val="decimal"/>
      <w:suff w:val="nothing"/>
      <w:lvlText w:val="%1.%2　"/>
      <w:lvlJc w:val="left"/>
      <w:pPr>
        <w:ind w:left="36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216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5F22B7C"/>
    <w:multiLevelType w:val="multilevel"/>
    <w:tmpl w:val="55F22B7C"/>
    <w:lvl w:ilvl="0" w:tentative="0">
      <w:start w:val="1"/>
      <w:numFmt w:val="none"/>
      <w:pStyle w:val="94"/>
      <w:lvlText w:val="%1示例"/>
      <w:lvlJc w:val="left"/>
      <w:rPr>
        <w:rFonts w:ascii="宋体" w:hAnsi="宋体"/>
        <w:b w:val="0"/>
        <w:i w:val="0"/>
        <w:sz w:val="18"/>
      </w:rPr>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4">
    <w:nsid w:val="55F22B7D"/>
    <w:multiLevelType w:val="multilevel"/>
    <w:tmpl w:val="55F22B7D"/>
    <w:lvl w:ilvl="0" w:tentative="0">
      <w:start w:val="1"/>
      <w:numFmt w:val="none"/>
      <w:pStyle w:val="69"/>
      <w:lvlText w:val="图"/>
      <w:lvlJc w:val="left"/>
      <w:rPr>
        <w:rFonts w:ascii="黑体" w:hAnsi="黑体"/>
        <w:b w:val="0"/>
        <w:i w:val="0"/>
        <w:sz w:val="21"/>
      </w:rPr>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5">
    <w:nsid w:val="56035034"/>
    <w:multiLevelType w:val="multilevel"/>
    <w:tmpl w:val="56035034"/>
    <w:lvl w:ilvl="0" w:tentative="0">
      <w:start w:val="1"/>
      <w:numFmt w:val="none"/>
      <w:pStyle w:val="135"/>
      <w:suff w:val="nothing"/>
      <w:lvlText w:val="%1"/>
      <w:lvlJc w:val="left"/>
      <w:pPr>
        <w:tabs>
          <w:tab w:val="left" w:pos="0"/>
        </w:tabs>
        <w:ind w:left="0" w:firstLine="0"/>
      </w:pPr>
      <w:rPr>
        <w:rFonts w:hint="default" w:ascii="Times New Roman" w:hAnsi="Times New Roman" w:cs="Times New Roman"/>
        <w:b/>
        <w:sz w:val="21"/>
      </w:rPr>
    </w:lvl>
    <w:lvl w:ilvl="1" w:tentative="0">
      <w:start w:val="1"/>
      <w:numFmt w:val="decimal"/>
      <w:pStyle w:val="93"/>
      <w:suff w:val="nothing"/>
      <w:lvlText w:val="%1%2　"/>
      <w:lvlJc w:val="left"/>
      <w:pPr>
        <w:tabs>
          <w:tab w:val="left" w:pos="0"/>
        </w:tabs>
        <w:ind w:left="0" w:firstLine="0"/>
      </w:pPr>
      <w:rPr>
        <w:rFonts w:hint="eastAsia" w:ascii="黑体" w:hAnsi="Times New Roman" w:eastAsia="黑体" w:cs="黑体"/>
        <w:b w:val="0"/>
        <w:sz w:val="21"/>
      </w:rPr>
    </w:lvl>
    <w:lvl w:ilvl="2" w:tentative="0">
      <w:start w:val="1"/>
      <w:numFmt w:val="decimal"/>
      <w:suff w:val="nothing"/>
      <w:lvlText w:val="%1%2.%3　"/>
      <w:lvlJc w:val="left"/>
      <w:pPr>
        <w:tabs>
          <w:tab w:val="left" w:pos="0"/>
        </w:tabs>
        <w:ind w:left="0" w:firstLine="0"/>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6">
    <w:nsid w:val="582ABBFA"/>
    <w:multiLevelType w:val="singleLevel"/>
    <w:tmpl w:val="582ABBFA"/>
    <w:lvl w:ilvl="0" w:tentative="0">
      <w:start w:val="1"/>
      <w:numFmt w:val="decimal"/>
      <w:pStyle w:val="141"/>
      <w:suff w:val="nothing"/>
      <w:lvlText w:val="%1、"/>
      <w:lvlJc w:val="left"/>
    </w:lvl>
  </w:abstractNum>
  <w:abstractNum w:abstractNumId="7">
    <w:nsid w:val="58FEE773"/>
    <w:multiLevelType w:val="singleLevel"/>
    <w:tmpl w:val="58FEE773"/>
    <w:lvl w:ilvl="0" w:tentative="0">
      <w:start w:val="1"/>
      <w:numFmt w:val="decimal"/>
      <w:pStyle w:val="149"/>
      <w:suff w:val="nothing"/>
      <w:lvlText w:val="%1、"/>
      <w:lvlJc w:val="left"/>
    </w:lvl>
  </w:abstractNum>
  <w:abstractNum w:abstractNumId="8">
    <w:nsid w:val="59093403"/>
    <w:multiLevelType w:val="singleLevel"/>
    <w:tmpl w:val="59093403"/>
    <w:lvl w:ilvl="0" w:tentative="0">
      <w:start w:val="2"/>
      <w:numFmt w:val="decimal"/>
      <w:pStyle w:val="111"/>
      <w:suff w:val="nothing"/>
      <w:lvlText w:val="（%1）"/>
      <w:lvlJc w:val="left"/>
    </w:lvl>
  </w:abstractNum>
  <w:abstractNum w:abstractNumId="9">
    <w:nsid w:val="5927CA3C"/>
    <w:multiLevelType w:val="singleLevel"/>
    <w:tmpl w:val="5927CA3C"/>
    <w:lvl w:ilvl="0" w:tentative="0">
      <w:start w:val="1"/>
      <w:numFmt w:val="decimal"/>
      <w:pStyle w:val="124"/>
      <w:suff w:val="nothing"/>
      <w:lvlText w:val="%1、"/>
      <w:lvlJc w:val="left"/>
    </w:lvl>
  </w:abstractNum>
  <w:abstractNum w:abstractNumId="10">
    <w:nsid w:val="592F7FC0"/>
    <w:multiLevelType w:val="singleLevel"/>
    <w:tmpl w:val="592F7FC0"/>
    <w:lvl w:ilvl="0" w:tentative="0">
      <w:start w:val="1"/>
      <w:numFmt w:val="decimal"/>
      <w:pStyle w:val="97"/>
      <w:suff w:val="nothing"/>
      <w:lvlText w:val="%1）"/>
      <w:lvlJc w:val="left"/>
      <w:rPr>
        <w:color w:val="auto"/>
      </w:rPr>
    </w:lvl>
  </w:abstractNum>
  <w:abstractNum w:abstractNumId="11">
    <w:nsid w:val="5941E23B"/>
    <w:multiLevelType w:val="singleLevel"/>
    <w:tmpl w:val="5941E23B"/>
    <w:lvl w:ilvl="0" w:tentative="0">
      <w:start w:val="1"/>
      <w:numFmt w:val="decimal"/>
      <w:pStyle w:val="116"/>
      <w:suff w:val="nothing"/>
      <w:lvlText w:val="%1、"/>
      <w:lvlJc w:val="left"/>
    </w:lvl>
  </w:abstractNum>
  <w:abstractNum w:abstractNumId="12">
    <w:nsid w:val="5A051343"/>
    <w:multiLevelType w:val="singleLevel"/>
    <w:tmpl w:val="5A051343"/>
    <w:lvl w:ilvl="0" w:tentative="0">
      <w:start w:val="1"/>
      <w:numFmt w:val="decimal"/>
      <w:suff w:val="nothing"/>
      <w:lvlText w:val="%1、"/>
      <w:lvlJc w:val="left"/>
    </w:lvl>
  </w:abstractNum>
  <w:abstractNum w:abstractNumId="13">
    <w:nsid w:val="5A9A7C7E"/>
    <w:multiLevelType w:val="multilevel"/>
    <w:tmpl w:val="5A9A7C7E"/>
    <w:lvl w:ilvl="0" w:tentative="0">
      <w:start w:val="1"/>
      <w:numFmt w:val="japaneseCounting"/>
      <w:pStyle w:val="117"/>
      <w:lvlText w:val="%1、"/>
      <w:lvlJc w:val="left"/>
      <w:pPr>
        <w:tabs>
          <w:tab w:val="left" w:pos="480"/>
        </w:tabs>
        <w:ind w:left="480" w:hanging="480"/>
      </w:pPr>
      <w:rPr>
        <w:rFonts w:hint="default"/>
      </w:rPr>
    </w:lvl>
    <w:lvl w:ilvl="1" w:tentative="0">
      <w:start w:val="1"/>
      <w:numFmt w:val="lowerLetter"/>
      <w:pStyle w:val="104"/>
      <w:lvlText w:val="%2)"/>
      <w:lvlJc w:val="left"/>
      <w:pPr>
        <w:tabs>
          <w:tab w:val="left" w:pos="840"/>
        </w:tabs>
        <w:ind w:left="840" w:hanging="420"/>
      </w:pPr>
    </w:lvl>
    <w:lvl w:ilvl="2" w:tentative="0">
      <w:start w:val="1"/>
      <w:numFmt w:val="lowerRoman"/>
      <w:pStyle w:val="122"/>
      <w:lvlText w:val="%3."/>
      <w:lvlJc w:val="right"/>
      <w:pPr>
        <w:tabs>
          <w:tab w:val="left" w:pos="1260"/>
        </w:tabs>
        <w:ind w:left="1260" w:hanging="420"/>
      </w:pPr>
    </w:lvl>
    <w:lvl w:ilvl="3" w:tentative="0">
      <w:start w:val="1"/>
      <w:numFmt w:val="decimal"/>
      <w:pStyle w:val="129"/>
      <w:lvlText w:val="%4."/>
      <w:lvlJc w:val="left"/>
      <w:pPr>
        <w:tabs>
          <w:tab w:val="left" w:pos="1680"/>
        </w:tabs>
        <w:ind w:left="1680" w:hanging="420"/>
      </w:pPr>
    </w:lvl>
    <w:lvl w:ilvl="4" w:tentative="0">
      <w:start w:val="1"/>
      <w:numFmt w:val="lowerLetter"/>
      <w:pStyle w:val="139"/>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157"/>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106D4E2"/>
    <w:multiLevelType w:val="singleLevel"/>
    <w:tmpl w:val="7106D4E2"/>
    <w:lvl w:ilvl="0" w:tentative="0">
      <w:start w:val="1"/>
      <w:numFmt w:val="decimal"/>
      <w:suff w:val="nothing"/>
      <w:lvlText w:val="（%1）"/>
      <w:lvlJc w:val="left"/>
    </w:lvl>
  </w:abstractNum>
  <w:abstractNum w:abstractNumId="15">
    <w:nsid w:val="73768136"/>
    <w:multiLevelType w:val="singleLevel"/>
    <w:tmpl w:val="73768136"/>
    <w:lvl w:ilvl="0" w:tentative="0">
      <w:start w:val="2"/>
      <w:numFmt w:val="decimal"/>
      <w:lvlText w:val="%1."/>
      <w:lvlJc w:val="left"/>
      <w:pPr>
        <w:tabs>
          <w:tab w:val="left" w:pos="312"/>
        </w:tabs>
      </w:pPr>
    </w:lvl>
  </w:abstractNum>
  <w:abstractNum w:abstractNumId="16">
    <w:nsid w:val="7CF3527C"/>
    <w:multiLevelType w:val="multilevel"/>
    <w:tmpl w:val="7CF3527C"/>
    <w:lvl w:ilvl="0" w:tentative="0">
      <w:start w:val="1"/>
      <w:numFmt w:val="decimal"/>
      <w:pStyle w:val="10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11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155"/>
      <w:lvlText w:val="%5)"/>
      <w:lvlJc w:val="left"/>
      <w:pPr>
        <w:tabs>
          <w:tab w:val="left" w:pos="2100"/>
        </w:tabs>
        <w:ind w:left="2100" w:hanging="420"/>
      </w:pPr>
    </w:lvl>
    <w:lvl w:ilvl="5" w:tentative="0">
      <w:start w:val="1"/>
      <w:numFmt w:val="lowerRoman"/>
      <w:pStyle w:val="142"/>
      <w:lvlText w:val="%6."/>
      <w:lvlJc w:val="right"/>
      <w:pPr>
        <w:tabs>
          <w:tab w:val="left" w:pos="2520"/>
        </w:tabs>
        <w:ind w:left="2520" w:hanging="420"/>
      </w:pPr>
    </w:lvl>
    <w:lvl w:ilvl="6" w:tentative="0">
      <w:start w:val="1"/>
      <w:numFmt w:val="decimal"/>
      <w:pStyle w:val="106"/>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3"/>
  </w:num>
  <w:num w:numId="4">
    <w:abstractNumId w:val="10"/>
  </w:num>
  <w:num w:numId="5">
    <w:abstractNumId w:val="16"/>
  </w:num>
  <w:num w:numId="6">
    <w:abstractNumId w:val="13"/>
  </w:num>
  <w:num w:numId="7">
    <w:abstractNumId w:val="8"/>
  </w:num>
  <w:num w:numId="8">
    <w:abstractNumId w:val="11"/>
  </w:num>
  <w:num w:numId="9">
    <w:abstractNumId w:val="9"/>
  </w:num>
  <w:num w:numId="10">
    <w:abstractNumId w:val="6"/>
  </w:num>
  <w:num w:numId="11">
    <w:abstractNumId w:val="2"/>
  </w:num>
  <w:num w:numId="12">
    <w:abstractNumId w:val="7"/>
  </w:num>
  <w:num w:numId="13">
    <w:abstractNumId w:val="0"/>
  </w:num>
  <w:num w:numId="14">
    <w:abstractNumId w:val="12"/>
  </w:num>
  <w:num w:numId="15">
    <w:abstractNumId w:val="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EC4"/>
    <w:rsid w:val="00040845"/>
    <w:rsid w:val="0005190E"/>
    <w:rsid w:val="00055495"/>
    <w:rsid w:val="00061053"/>
    <w:rsid w:val="000674CA"/>
    <w:rsid w:val="000A0938"/>
    <w:rsid w:val="000B6E5A"/>
    <w:rsid w:val="000C230F"/>
    <w:rsid w:val="000C421F"/>
    <w:rsid w:val="000E0364"/>
    <w:rsid w:val="000F6B73"/>
    <w:rsid w:val="00123C65"/>
    <w:rsid w:val="00161F6F"/>
    <w:rsid w:val="00172A27"/>
    <w:rsid w:val="001F0F4F"/>
    <w:rsid w:val="00204640"/>
    <w:rsid w:val="00222115"/>
    <w:rsid w:val="00232DFE"/>
    <w:rsid w:val="00250CF4"/>
    <w:rsid w:val="002738D0"/>
    <w:rsid w:val="00282EE6"/>
    <w:rsid w:val="00283D76"/>
    <w:rsid w:val="00286D53"/>
    <w:rsid w:val="0029168D"/>
    <w:rsid w:val="002A09DB"/>
    <w:rsid w:val="002B513A"/>
    <w:rsid w:val="002D76E7"/>
    <w:rsid w:val="002E5393"/>
    <w:rsid w:val="002E7AD5"/>
    <w:rsid w:val="00313DA5"/>
    <w:rsid w:val="00324649"/>
    <w:rsid w:val="00330B51"/>
    <w:rsid w:val="00334E8E"/>
    <w:rsid w:val="00356E87"/>
    <w:rsid w:val="003711C6"/>
    <w:rsid w:val="0037140A"/>
    <w:rsid w:val="00373B57"/>
    <w:rsid w:val="00375186"/>
    <w:rsid w:val="003A1A72"/>
    <w:rsid w:val="003A5774"/>
    <w:rsid w:val="003B2585"/>
    <w:rsid w:val="003B56A3"/>
    <w:rsid w:val="003D184F"/>
    <w:rsid w:val="003F6B89"/>
    <w:rsid w:val="00414AB1"/>
    <w:rsid w:val="00425A09"/>
    <w:rsid w:val="0044264C"/>
    <w:rsid w:val="004755C1"/>
    <w:rsid w:val="0049140E"/>
    <w:rsid w:val="004B0FD5"/>
    <w:rsid w:val="004B2D10"/>
    <w:rsid w:val="004B630A"/>
    <w:rsid w:val="004D5306"/>
    <w:rsid w:val="004D6EC2"/>
    <w:rsid w:val="004F4B51"/>
    <w:rsid w:val="0052470C"/>
    <w:rsid w:val="00561EDE"/>
    <w:rsid w:val="005B5392"/>
    <w:rsid w:val="005C52DC"/>
    <w:rsid w:val="005C7D00"/>
    <w:rsid w:val="005E43A9"/>
    <w:rsid w:val="00615E74"/>
    <w:rsid w:val="00631185"/>
    <w:rsid w:val="00650B72"/>
    <w:rsid w:val="006856DD"/>
    <w:rsid w:val="00692000"/>
    <w:rsid w:val="006969A5"/>
    <w:rsid w:val="006F7E44"/>
    <w:rsid w:val="007238E7"/>
    <w:rsid w:val="00737560"/>
    <w:rsid w:val="00770D15"/>
    <w:rsid w:val="00782C9D"/>
    <w:rsid w:val="00794714"/>
    <w:rsid w:val="007951BC"/>
    <w:rsid w:val="007A49A4"/>
    <w:rsid w:val="007C6D0E"/>
    <w:rsid w:val="007E15EE"/>
    <w:rsid w:val="007F0AE5"/>
    <w:rsid w:val="007F797B"/>
    <w:rsid w:val="0087206C"/>
    <w:rsid w:val="0088089E"/>
    <w:rsid w:val="008D0AEF"/>
    <w:rsid w:val="0092110D"/>
    <w:rsid w:val="0094564E"/>
    <w:rsid w:val="009866F3"/>
    <w:rsid w:val="009940B3"/>
    <w:rsid w:val="00996E5F"/>
    <w:rsid w:val="00997931"/>
    <w:rsid w:val="009B1D45"/>
    <w:rsid w:val="00A023A1"/>
    <w:rsid w:val="00A10F51"/>
    <w:rsid w:val="00A27B5E"/>
    <w:rsid w:val="00A5372D"/>
    <w:rsid w:val="00A62E42"/>
    <w:rsid w:val="00AB3CA8"/>
    <w:rsid w:val="00AF5B97"/>
    <w:rsid w:val="00B01321"/>
    <w:rsid w:val="00B06F89"/>
    <w:rsid w:val="00B32DC2"/>
    <w:rsid w:val="00B57B36"/>
    <w:rsid w:val="00B603E9"/>
    <w:rsid w:val="00B6043F"/>
    <w:rsid w:val="00B731D3"/>
    <w:rsid w:val="00B97A73"/>
    <w:rsid w:val="00BF3676"/>
    <w:rsid w:val="00C153A2"/>
    <w:rsid w:val="00C4147E"/>
    <w:rsid w:val="00C42139"/>
    <w:rsid w:val="00C55FB0"/>
    <w:rsid w:val="00C77A25"/>
    <w:rsid w:val="00C8204D"/>
    <w:rsid w:val="00CB1FAE"/>
    <w:rsid w:val="00CB29C1"/>
    <w:rsid w:val="00CD7BFF"/>
    <w:rsid w:val="00CE64EB"/>
    <w:rsid w:val="00D73098"/>
    <w:rsid w:val="00D83074"/>
    <w:rsid w:val="00D95EB3"/>
    <w:rsid w:val="00DB09CE"/>
    <w:rsid w:val="00DE6572"/>
    <w:rsid w:val="00DF1DB5"/>
    <w:rsid w:val="00E178BF"/>
    <w:rsid w:val="00E464F1"/>
    <w:rsid w:val="00E473C0"/>
    <w:rsid w:val="00E87AC6"/>
    <w:rsid w:val="00EA2880"/>
    <w:rsid w:val="00EC32DB"/>
    <w:rsid w:val="00EC3DAB"/>
    <w:rsid w:val="00EC6B11"/>
    <w:rsid w:val="00ED6C90"/>
    <w:rsid w:val="00EE7546"/>
    <w:rsid w:val="00F13ED0"/>
    <w:rsid w:val="00F15014"/>
    <w:rsid w:val="00F23585"/>
    <w:rsid w:val="00F23DCE"/>
    <w:rsid w:val="00F42F7D"/>
    <w:rsid w:val="00F604E2"/>
    <w:rsid w:val="00F6753F"/>
    <w:rsid w:val="00FB354A"/>
    <w:rsid w:val="00FC0CCE"/>
    <w:rsid w:val="00FD2F55"/>
    <w:rsid w:val="00FE36CB"/>
    <w:rsid w:val="01000313"/>
    <w:rsid w:val="01143EE5"/>
    <w:rsid w:val="01264DF7"/>
    <w:rsid w:val="012F322A"/>
    <w:rsid w:val="013736BB"/>
    <w:rsid w:val="016A306B"/>
    <w:rsid w:val="017C221F"/>
    <w:rsid w:val="01881DF9"/>
    <w:rsid w:val="01A23C51"/>
    <w:rsid w:val="01B155CF"/>
    <w:rsid w:val="01D54453"/>
    <w:rsid w:val="01D97732"/>
    <w:rsid w:val="01E00576"/>
    <w:rsid w:val="01F178BE"/>
    <w:rsid w:val="02087092"/>
    <w:rsid w:val="023F5269"/>
    <w:rsid w:val="02826CE2"/>
    <w:rsid w:val="02931771"/>
    <w:rsid w:val="029925B0"/>
    <w:rsid w:val="02D71D70"/>
    <w:rsid w:val="02F126A8"/>
    <w:rsid w:val="02FC4FC5"/>
    <w:rsid w:val="030641C7"/>
    <w:rsid w:val="0314419D"/>
    <w:rsid w:val="032941BF"/>
    <w:rsid w:val="034F4703"/>
    <w:rsid w:val="03780422"/>
    <w:rsid w:val="037811F6"/>
    <w:rsid w:val="03892256"/>
    <w:rsid w:val="03B26E33"/>
    <w:rsid w:val="03F57B4C"/>
    <w:rsid w:val="03FE0409"/>
    <w:rsid w:val="040C7228"/>
    <w:rsid w:val="042604B9"/>
    <w:rsid w:val="0435367A"/>
    <w:rsid w:val="04484DF5"/>
    <w:rsid w:val="046D462F"/>
    <w:rsid w:val="048B2123"/>
    <w:rsid w:val="04B649D8"/>
    <w:rsid w:val="04EA00EF"/>
    <w:rsid w:val="04FC133A"/>
    <w:rsid w:val="05333A1E"/>
    <w:rsid w:val="05337F68"/>
    <w:rsid w:val="05AB58E9"/>
    <w:rsid w:val="05CE27D0"/>
    <w:rsid w:val="05FB629D"/>
    <w:rsid w:val="06342FB7"/>
    <w:rsid w:val="06596DE7"/>
    <w:rsid w:val="067249A4"/>
    <w:rsid w:val="06776F17"/>
    <w:rsid w:val="068D061D"/>
    <w:rsid w:val="068D560D"/>
    <w:rsid w:val="069D49E2"/>
    <w:rsid w:val="06AA7A9A"/>
    <w:rsid w:val="06B44A0B"/>
    <w:rsid w:val="071D5E44"/>
    <w:rsid w:val="073161DB"/>
    <w:rsid w:val="07515D88"/>
    <w:rsid w:val="076B7ABC"/>
    <w:rsid w:val="07740BC9"/>
    <w:rsid w:val="07895AA1"/>
    <w:rsid w:val="079E5488"/>
    <w:rsid w:val="07A00975"/>
    <w:rsid w:val="07C32896"/>
    <w:rsid w:val="07DB0884"/>
    <w:rsid w:val="07F5582F"/>
    <w:rsid w:val="0803051B"/>
    <w:rsid w:val="081D1D56"/>
    <w:rsid w:val="084C43AA"/>
    <w:rsid w:val="085B7B8D"/>
    <w:rsid w:val="088676CD"/>
    <w:rsid w:val="08AE3149"/>
    <w:rsid w:val="08D049A5"/>
    <w:rsid w:val="08D16D83"/>
    <w:rsid w:val="08FA4876"/>
    <w:rsid w:val="09217393"/>
    <w:rsid w:val="0986110E"/>
    <w:rsid w:val="09E5611C"/>
    <w:rsid w:val="09F2407D"/>
    <w:rsid w:val="0A1D66C2"/>
    <w:rsid w:val="0A2B6FF6"/>
    <w:rsid w:val="0A4344FC"/>
    <w:rsid w:val="0A557D60"/>
    <w:rsid w:val="0A5D2E90"/>
    <w:rsid w:val="0A733A4D"/>
    <w:rsid w:val="0A8C44BC"/>
    <w:rsid w:val="0A980121"/>
    <w:rsid w:val="0AD815E1"/>
    <w:rsid w:val="0AE14B6D"/>
    <w:rsid w:val="0B0E1FFB"/>
    <w:rsid w:val="0B0F0390"/>
    <w:rsid w:val="0B49124E"/>
    <w:rsid w:val="0B6975DD"/>
    <w:rsid w:val="0B7B4C91"/>
    <w:rsid w:val="0BE116EF"/>
    <w:rsid w:val="0C1424BB"/>
    <w:rsid w:val="0CA440B9"/>
    <w:rsid w:val="0CB1041A"/>
    <w:rsid w:val="0CF050EF"/>
    <w:rsid w:val="0D096E2F"/>
    <w:rsid w:val="0D114DAA"/>
    <w:rsid w:val="0D1D3171"/>
    <w:rsid w:val="0D2B78E3"/>
    <w:rsid w:val="0D4F4C01"/>
    <w:rsid w:val="0D59677A"/>
    <w:rsid w:val="0D9021AD"/>
    <w:rsid w:val="0D973C0C"/>
    <w:rsid w:val="0DC024D7"/>
    <w:rsid w:val="0DDE10D0"/>
    <w:rsid w:val="0E134D53"/>
    <w:rsid w:val="0E4F6F77"/>
    <w:rsid w:val="0E616928"/>
    <w:rsid w:val="0E7B2EB5"/>
    <w:rsid w:val="0E94071E"/>
    <w:rsid w:val="0EA00052"/>
    <w:rsid w:val="0EA22B34"/>
    <w:rsid w:val="0ECB0C81"/>
    <w:rsid w:val="0ED615F1"/>
    <w:rsid w:val="0F0C779B"/>
    <w:rsid w:val="0FA65D6C"/>
    <w:rsid w:val="0FCC2D20"/>
    <w:rsid w:val="0FFB1102"/>
    <w:rsid w:val="10021109"/>
    <w:rsid w:val="10422979"/>
    <w:rsid w:val="10471206"/>
    <w:rsid w:val="10473563"/>
    <w:rsid w:val="10557B6B"/>
    <w:rsid w:val="105A7962"/>
    <w:rsid w:val="105B3D2C"/>
    <w:rsid w:val="108A52F4"/>
    <w:rsid w:val="10A959FE"/>
    <w:rsid w:val="10B03560"/>
    <w:rsid w:val="10DB5237"/>
    <w:rsid w:val="10EA3F92"/>
    <w:rsid w:val="10F40FC5"/>
    <w:rsid w:val="11550E7F"/>
    <w:rsid w:val="115C60B6"/>
    <w:rsid w:val="11871A60"/>
    <w:rsid w:val="11891B74"/>
    <w:rsid w:val="1192480F"/>
    <w:rsid w:val="1197611F"/>
    <w:rsid w:val="11A96F8A"/>
    <w:rsid w:val="11E31404"/>
    <w:rsid w:val="12092A10"/>
    <w:rsid w:val="12117034"/>
    <w:rsid w:val="12121C03"/>
    <w:rsid w:val="1223658E"/>
    <w:rsid w:val="123B168D"/>
    <w:rsid w:val="124D3615"/>
    <w:rsid w:val="124F3295"/>
    <w:rsid w:val="125C07B7"/>
    <w:rsid w:val="12641398"/>
    <w:rsid w:val="1271402D"/>
    <w:rsid w:val="12755F65"/>
    <w:rsid w:val="127F72AE"/>
    <w:rsid w:val="12FD227C"/>
    <w:rsid w:val="134F641A"/>
    <w:rsid w:val="13787B9F"/>
    <w:rsid w:val="13877F87"/>
    <w:rsid w:val="13910F87"/>
    <w:rsid w:val="139B3719"/>
    <w:rsid w:val="13AA7D96"/>
    <w:rsid w:val="13CE6D76"/>
    <w:rsid w:val="14444316"/>
    <w:rsid w:val="14A01D0E"/>
    <w:rsid w:val="14CC3848"/>
    <w:rsid w:val="15394F0C"/>
    <w:rsid w:val="153C391E"/>
    <w:rsid w:val="154C280E"/>
    <w:rsid w:val="155B5D4A"/>
    <w:rsid w:val="156B356D"/>
    <w:rsid w:val="157A4426"/>
    <w:rsid w:val="15DC2D54"/>
    <w:rsid w:val="161E7D6E"/>
    <w:rsid w:val="162E35F7"/>
    <w:rsid w:val="16550F32"/>
    <w:rsid w:val="166D0C6E"/>
    <w:rsid w:val="16AD41C1"/>
    <w:rsid w:val="16D22B8D"/>
    <w:rsid w:val="16E22526"/>
    <w:rsid w:val="16F833D1"/>
    <w:rsid w:val="174D266F"/>
    <w:rsid w:val="17FC0738"/>
    <w:rsid w:val="18143852"/>
    <w:rsid w:val="18740F2C"/>
    <w:rsid w:val="18D00DD8"/>
    <w:rsid w:val="18E83D3D"/>
    <w:rsid w:val="19233688"/>
    <w:rsid w:val="1923476C"/>
    <w:rsid w:val="19591E19"/>
    <w:rsid w:val="199A76FF"/>
    <w:rsid w:val="19CF3767"/>
    <w:rsid w:val="19F6408C"/>
    <w:rsid w:val="1A4E0C0C"/>
    <w:rsid w:val="1A6B6BD1"/>
    <w:rsid w:val="1A9C6F1D"/>
    <w:rsid w:val="1AA53994"/>
    <w:rsid w:val="1ABE21B2"/>
    <w:rsid w:val="1AC663B5"/>
    <w:rsid w:val="1ACD7308"/>
    <w:rsid w:val="1B132EA0"/>
    <w:rsid w:val="1B133B97"/>
    <w:rsid w:val="1B377BA0"/>
    <w:rsid w:val="1B4142E2"/>
    <w:rsid w:val="1B845DDB"/>
    <w:rsid w:val="1BCE44CE"/>
    <w:rsid w:val="1BD876A2"/>
    <w:rsid w:val="1BE33D52"/>
    <w:rsid w:val="1C0C53E7"/>
    <w:rsid w:val="1C341312"/>
    <w:rsid w:val="1C484D86"/>
    <w:rsid w:val="1CB94174"/>
    <w:rsid w:val="1CE56741"/>
    <w:rsid w:val="1CF94B3E"/>
    <w:rsid w:val="1CFB2BBB"/>
    <w:rsid w:val="1D1F1B1F"/>
    <w:rsid w:val="1D90697C"/>
    <w:rsid w:val="1D9E751D"/>
    <w:rsid w:val="1DBC5012"/>
    <w:rsid w:val="1E0C3ADC"/>
    <w:rsid w:val="1E1872AD"/>
    <w:rsid w:val="1E295E06"/>
    <w:rsid w:val="1E341ECF"/>
    <w:rsid w:val="1E4175D2"/>
    <w:rsid w:val="1E58595A"/>
    <w:rsid w:val="1E75551B"/>
    <w:rsid w:val="1E7B4C87"/>
    <w:rsid w:val="1EF075D2"/>
    <w:rsid w:val="1EFF4549"/>
    <w:rsid w:val="1F0A356A"/>
    <w:rsid w:val="1F171A10"/>
    <w:rsid w:val="1F3D7693"/>
    <w:rsid w:val="1F4252DD"/>
    <w:rsid w:val="1F527802"/>
    <w:rsid w:val="1F5E425F"/>
    <w:rsid w:val="1F6B5715"/>
    <w:rsid w:val="1F75782B"/>
    <w:rsid w:val="1F787FA6"/>
    <w:rsid w:val="1FF235D8"/>
    <w:rsid w:val="201C4DD9"/>
    <w:rsid w:val="20280651"/>
    <w:rsid w:val="204274E8"/>
    <w:rsid w:val="20545821"/>
    <w:rsid w:val="20577ABA"/>
    <w:rsid w:val="20810909"/>
    <w:rsid w:val="20EC55E9"/>
    <w:rsid w:val="20EE359E"/>
    <w:rsid w:val="21125CF9"/>
    <w:rsid w:val="216620C0"/>
    <w:rsid w:val="217458D5"/>
    <w:rsid w:val="21766A0E"/>
    <w:rsid w:val="21772AFC"/>
    <w:rsid w:val="217D38C3"/>
    <w:rsid w:val="217F176D"/>
    <w:rsid w:val="219022EF"/>
    <w:rsid w:val="219F7B9F"/>
    <w:rsid w:val="21B22A7E"/>
    <w:rsid w:val="21DB5DD0"/>
    <w:rsid w:val="21F6181A"/>
    <w:rsid w:val="21FE094F"/>
    <w:rsid w:val="22067159"/>
    <w:rsid w:val="221B2072"/>
    <w:rsid w:val="221F63C6"/>
    <w:rsid w:val="22880437"/>
    <w:rsid w:val="22C1524F"/>
    <w:rsid w:val="23873E99"/>
    <w:rsid w:val="23B8415C"/>
    <w:rsid w:val="23CB2434"/>
    <w:rsid w:val="23DC3AFE"/>
    <w:rsid w:val="23F84A91"/>
    <w:rsid w:val="23F91308"/>
    <w:rsid w:val="240C5C99"/>
    <w:rsid w:val="241D6EE3"/>
    <w:rsid w:val="244B0334"/>
    <w:rsid w:val="24B13886"/>
    <w:rsid w:val="24B93C00"/>
    <w:rsid w:val="25146F0A"/>
    <w:rsid w:val="25277ECE"/>
    <w:rsid w:val="252C3241"/>
    <w:rsid w:val="256B52F1"/>
    <w:rsid w:val="2577380F"/>
    <w:rsid w:val="25C9141C"/>
    <w:rsid w:val="25D77C8D"/>
    <w:rsid w:val="25F033BD"/>
    <w:rsid w:val="26027D08"/>
    <w:rsid w:val="26113C25"/>
    <w:rsid w:val="26543A4D"/>
    <w:rsid w:val="265A2DBD"/>
    <w:rsid w:val="266F4359"/>
    <w:rsid w:val="267F2F85"/>
    <w:rsid w:val="2681566D"/>
    <w:rsid w:val="268C2E58"/>
    <w:rsid w:val="268E50C0"/>
    <w:rsid w:val="269336CC"/>
    <w:rsid w:val="26A45860"/>
    <w:rsid w:val="26A64ED8"/>
    <w:rsid w:val="27020667"/>
    <w:rsid w:val="2715645B"/>
    <w:rsid w:val="27DF61E7"/>
    <w:rsid w:val="28162F98"/>
    <w:rsid w:val="2833607F"/>
    <w:rsid w:val="28812F0D"/>
    <w:rsid w:val="28D6698C"/>
    <w:rsid w:val="28EA576E"/>
    <w:rsid w:val="28F65D86"/>
    <w:rsid w:val="29117D5F"/>
    <w:rsid w:val="291C4E92"/>
    <w:rsid w:val="292745A2"/>
    <w:rsid w:val="29283DC4"/>
    <w:rsid w:val="29852A97"/>
    <w:rsid w:val="29A701EC"/>
    <w:rsid w:val="29F55274"/>
    <w:rsid w:val="2A202D6F"/>
    <w:rsid w:val="2A3641B9"/>
    <w:rsid w:val="2A4D268A"/>
    <w:rsid w:val="2A63776B"/>
    <w:rsid w:val="2A6529CC"/>
    <w:rsid w:val="2A7A1CFB"/>
    <w:rsid w:val="2AD25B22"/>
    <w:rsid w:val="2AEF3488"/>
    <w:rsid w:val="2AFA300F"/>
    <w:rsid w:val="2AFE59D4"/>
    <w:rsid w:val="2B395E43"/>
    <w:rsid w:val="2B470F10"/>
    <w:rsid w:val="2B676063"/>
    <w:rsid w:val="2B8375FB"/>
    <w:rsid w:val="2B9C641C"/>
    <w:rsid w:val="2BD523C9"/>
    <w:rsid w:val="2BE92304"/>
    <w:rsid w:val="2C3B1C48"/>
    <w:rsid w:val="2C521140"/>
    <w:rsid w:val="2C847C93"/>
    <w:rsid w:val="2CB14617"/>
    <w:rsid w:val="2CBE31D9"/>
    <w:rsid w:val="2CD35DB0"/>
    <w:rsid w:val="2D527EFB"/>
    <w:rsid w:val="2D57401D"/>
    <w:rsid w:val="2D7B73E0"/>
    <w:rsid w:val="2DA33EBA"/>
    <w:rsid w:val="2DAF7430"/>
    <w:rsid w:val="2E296A4A"/>
    <w:rsid w:val="2E3314C4"/>
    <w:rsid w:val="2E3F7BD3"/>
    <w:rsid w:val="2E4C136E"/>
    <w:rsid w:val="2E7446B0"/>
    <w:rsid w:val="2E861D4E"/>
    <w:rsid w:val="2EA42B11"/>
    <w:rsid w:val="2F5B2638"/>
    <w:rsid w:val="2F696F8D"/>
    <w:rsid w:val="2F6C7ADC"/>
    <w:rsid w:val="2F7C3D5F"/>
    <w:rsid w:val="2F9949C2"/>
    <w:rsid w:val="2F9D02C4"/>
    <w:rsid w:val="2FCA6806"/>
    <w:rsid w:val="2FDD2186"/>
    <w:rsid w:val="2FDE6D92"/>
    <w:rsid w:val="2FEF5FCE"/>
    <w:rsid w:val="30025898"/>
    <w:rsid w:val="302A5FB7"/>
    <w:rsid w:val="30431BE9"/>
    <w:rsid w:val="305A6629"/>
    <w:rsid w:val="305A678E"/>
    <w:rsid w:val="30665BA8"/>
    <w:rsid w:val="30705B12"/>
    <w:rsid w:val="30B501D8"/>
    <w:rsid w:val="30D7205F"/>
    <w:rsid w:val="30DE430C"/>
    <w:rsid w:val="30E45A45"/>
    <w:rsid w:val="30FC7F1F"/>
    <w:rsid w:val="3132217F"/>
    <w:rsid w:val="326546A4"/>
    <w:rsid w:val="326A399F"/>
    <w:rsid w:val="32AF07CF"/>
    <w:rsid w:val="32CD5B12"/>
    <w:rsid w:val="33371696"/>
    <w:rsid w:val="334E465C"/>
    <w:rsid w:val="335055AC"/>
    <w:rsid w:val="33852FED"/>
    <w:rsid w:val="33C54CD4"/>
    <w:rsid w:val="33D4386C"/>
    <w:rsid w:val="33FE754D"/>
    <w:rsid w:val="340A11F3"/>
    <w:rsid w:val="341B3FC8"/>
    <w:rsid w:val="34337470"/>
    <w:rsid w:val="346A1BB4"/>
    <w:rsid w:val="34984A38"/>
    <w:rsid w:val="34A15ACC"/>
    <w:rsid w:val="34FD13D8"/>
    <w:rsid w:val="35163297"/>
    <w:rsid w:val="352A77F8"/>
    <w:rsid w:val="353D6568"/>
    <w:rsid w:val="353D73A3"/>
    <w:rsid w:val="355A66D1"/>
    <w:rsid w:val="3589264F"/>
    <w:rsid w:val="35D21D2A"/>
    <w:rsid w:val="35DD0C0A"/>
    <w:rsid w:val="360A7A12"/>
    <w:rsid w:val="36342B42"/>
    <w:rsid w:val="36386400"/>
    <w:rsid w:val="36CE3FFD"/>
    <w:rsid w:val="370400EF"/>
    <w:rsid w:val="374167C1"/>
    <w:rsid w:val="374F4F24"/>
    <w:rsid w:val="377E660A"/>
    <w:rsid w:val="378E4E3F"/>
    <w:rsid w:val="37F91F7C"/>
    <w:rsid w:val="381B2119"/>
    <w:rsid w:val="3856677A"/>
    <w:rsid w:val="385D54DA"/>
    <w:rsid w:val="38672B8D"/>
    <w:rsid w:val="387C3BBF"/>
    <w:rsid w:val="38D71894"/>
    <w:rsid w:val="38D83263"/>
    <w:rsid w:val="38F74ED1"/>
    <w:rsid w:val="390849D0"/>
    <w:rsid w:val="392A0715"/>
    <w:rsid w:val="395C57B6"/>
    <w:rsid w:val="395D0363"/>
    <w:rsid w:val="398B2F8E"/>
    <w:rsid w:val="39A55852"/>
    <w:rsid w:val="3A331329"/>
    <w:rsid w:val="3A8A5B04"/>
    <w:rsid w:val="3A9F3B60"/>
    <w:rsid w:val="3AA21F89"/>
    <w:rsid w:val="3ACC2A06"/>
    <w:rsid w:val="3AD60172"/>
    <w:rsid w:val="3B475C4C"/>
    <w:rsid w:val="3B630063"/>
    <w:rsid w:val="3B6A638E"/>
    <w:rsid w:val="3B77523B"/>
    <w:rsid w:val="3BBF4C06"/>
    <w:rsid w:val="3BC437FA"/>
    <w:rsid w:val="3BFA7F16"/>
    <w:rsid w:val="3C1B77F9"/>
    <w:rsid w:val="3C5871EB"/>
    <w:rsid w:val="3CB81272"/>
    <w:rsid w:val="3D1274E1"/>
    <w:rsid w:val="3D261FA0"/>
    <w:rsid w:val="3D404E9A"/>
    <w:rsid w:val="3DAA6C4C"/>
    <w:rsid w:val="3E0456CC"/>
    <w:rsid w:val="3E062A67"/>
    <w:rsid w:val="3E4931F0"/>
    <w:rsid w:val="3E6E77BB"/>
    <w:rsid w:val="3E9C23C7"/>
    <w:rsid w:val="3EC32D46"/>
    <w:rsid w:val="3EDA7115"/>
    <w:rsid w:val="3F487A3B"/>
    <w:rsid w:val="3F721B29"/>
    <w:rsid w:val="3F897B99"/>
    <w:rsid w:val="3F9F2B57"/>
    <w:rsid w:val="3FA62581"/>
    <w:rsid w:val="4024097D"/>
    <w:rsid w:val="403E1AF3"/>
    <w:rsid w:val="407D3509"/>
    <w:rsid w:val="40D46C7C"/>
    <w:rsid w:val="412B3029"/>
    <w:rsid w:val="415121CD"/>
    <w:rsid w:val="41523148"/>
    <w:rsid w:val="41853504"/>
    <w:rsid w:val="41E6693F"/>
    <w:rsid w:val="41EE2270"/>
    <w:rsid w:val="41F56C46"/>
    <w:rsid w:val="42277249"/>
    <w:rsid w:val="423260CE"/>
    <w:rsid w:val="423676B0"/>
    <w:rsid w:val="425748B0"/>
    <w:rsid w:val="426835DF"/>
    <w:rsid w:val="42BF7524"/>
    <w:rsid w:val="42DD6A12"/>
    <w:rsid w:val="42EE6E5E"/>
    <w:rsid w:val="4316204B"/>
    <w:rsid w:val="43221730"/>
    <w:rsid w:val="43422AEE"/>
    <w:rsid w:val="434B3F78"/>
    <w:rsid w:val="437C4F62"/>
    <w:rsid w:val="43872506"/>
    <w:rsid w:val="438C1FF7"/>
    <w:rsid w:val="43B2164C"/>
    <w:rsid w:val="43D07C07"/>
    <w:rsid w:val="442F1E81"/>
    <w:rsid w:val="443D4393"/>
    <w:rsid w:val="4444686F"/>
    <w:rsid w:val="44CD043A"/>
    <w:rsid w:val="44FB6883"/>
    <w:rsid w:val="451E39B0"/>
    <w:rsid w:val="45406E82"/>
    <w:rsid w:val="455C4866"/>
    <w:rsid w:val="456A4B14"/>
    <w:rsid w:val="457B15B7"/>
    <w:rsid w:val="45AE37B6"/>
    <w:rsid w:val="45B9207A"/>
    <w:rsid w:val="45D66225"/>
    <w:rsid w:val="45DB3B37"/>
    <w:rsid w:val="45F0214E"/>
    <w:rsid w:val="46000C28"/>
    <w:rsid w:val="462A25C2"/>
    <w:rsid w:val="46331061"/>
    <w:rsid w:val="466B1FE8"/>
    <w:rsid w:val="467B433A"/>
    <w:rsid w:val="468F635E"/>
    <w:rsid w:val="46F61BA1"/>
    <w:rsid w:val="47012DC3"/>
    <w:rsid w:val="472C4722"/>
    <w:rsid w:val="478767A3"/>
    <w:rsid w:val="47E34821"/>
    <w:rsid w:val="47EE46E5"/>
    <w:rsid w:val="4856234C"/>
    <w:rsid w:val="48985320"/>
    <w:rsid w:val="489F368F"/>
    <w:rsid w:val="48A252B9"/>
    <w:rsid w:val="48AF0C51"/>
    <w:rsid w:val="48F81E51"/>
    <w:rsid w:val="491F2204"/>
    <w:rsid w:val="49371CED"/>
    <w:rsid w:val="49626DF3"/>
    <w:rsid w:val="49B53948"/>
    <w:rsid w:val="49B8027E"/>
    <w:rsid w:val="49D7479E"/>
    <w:rsid w:val="4A0F0210"/>
    <w:rsid w:val="4A192D1E"/>
    <w:rsid w:val="4A6261BC"/>
    <w:rsid w:val="4A7D1C42"/>
    <w:rsid w:val="4AAF77C5"/>
    <w:rsid w:val="4AE820F1"/>
    <w:rsid w:val="4AF347FE"/>
    <w:rsid w:val="4B246719"/>
    <w:rsid w:val="4BA74AAE"/>
    <w:rsid w:val="4BC21ED3"/>
    <w:rsid w:val="4BD364F8"/>
    <w:rsid w:val="4C7C6F87"/>
    <w:rsid w:val="4C9F75C5"/>
    <w:rsid w:val="4CB60956"/>
    <w:rsid w:val="4D152401"/>
    <w:rsid w:val="4D7652CF"/>
    <w:rsid w:val="4D967E27"/>
    <w:rsid w:val="4DB0201E"/>
    <w:rsid w:val="4DE21D97"/>
    <w:rsid w:val="4E1D3BCD"/>
    <w:rsid w:val="4E303D6C"/>
    <w:rsid w:val="4E354A99"/>
    <w:rsid w:val="4E467628"/>
    <w:rsid w:val="4E8B1F2A"/>
    <w:rsid w:val="4E9B2DF9"/>
    <w:rsid w:val="4F1E3333"/>
    <w:rsid w:val="4F286704"/>
    <w:rsid w:val="4F2B3D29"/>
    <w:rsid w:val="4F5A4332"/>
    <w:rsid w:val="4F714821"/>
    <w:rsid w:val="4F826FC1"/>
    <w:rsid w:val="4F8302E3"/>
    <w:rsid w:val="4FB40375"/>
    <w:rsid w:val="4FD84FB6"/>
    <w:rsid w:val="4FED63EB"/>
    <w:rsid w:val="50316929"/>
    <w:rsid w:val="505B6931"/>
    <w:rsid w:val="508A7BE4"/>
    <w:rsid w:val="50A166F5"/>
    <w:rsid w:val="50A71564"/>
    <w:rsid w:val="510D0F47"/>
    <w:rsid w:val="514B5F30"/>
    <w:rsid w:val="5162625D"/>
    <w:rsid w:val="51754A60"/>
    <w:rsid w:val="51953AC4"/>
    <w:rsid w:val="51BD4E22"/>
    <w:rsid w:val="51CE6CC2"/>
    <w:rsid w:val="51EB6F7B"/>
    <w:rsid w:val="52082F85"/>
    <w:rsid w:val="523A2EF7"/>
    <w:rsid w:val="524C797A"/>
    <w:rsid w:val="525E09AF"/>
    <w:rsid w:val="52612471"/>
    <w:rsid w:val="52A4729D"/>
    <w:rsid w:val="52AC1DB3"/>
    <w:rsid w:val="530A6F93"/>
    <w:rsid w:val="531212A4"/>
    <w:rsid w:val="53DC51E8"/>
    <w:rsid w:val="53F6291E"/>
    <w:rsid w:val="5426625D"/>
    <w:rsid w:val="543550A2"/>
    <w:rsid w:val="546422D8"/>
    <w:rsid w:val="54901560"/>
    <w:rsid w:val="54CC683C"/>
    <w:rsid w:val="550716E3"/>
    <w:rsid w:val="5524243C"/>
    <w:rsid w:val="55571991"/>
    <w:rsid w:val="556146F4"/>
    <w:rsid w:val="557D7F66"/>
    <w:rsid w:val="55D3228A"/>
    <w:rsid w:val="562E277C"/>
    <w:rsid w:val="568E0D8F"/>
    <w:rsid w:val="568F108A"/>
    <w:rsid w:val="56C76871"/>
    <w:rsid w:val="56FB31B3"/>
    <w:rsid w:val="56FE6A73"/>
    <w:rsid w:val="57250B54"/>
    <w:rsid w:val="5742451D"/>
    <w:rsid w:val="5796239C"/>
    <w:rsid w:val="57D61D0C"/>
    <w:rsid w:val="58256AC0"/>
    <w:rsid w:val="58352D52"/>
    <w:rsid w:val="583C2194"/>
    <w:rsid w:val="583D0784"/>
    <w:rsid w:val="585068E8"/>
    <w:rsid w:val="58525281"/>
    <w:rsid w:val="5886676B"/>
    <w:rsid w:val="588E1179"/>
    <w:rsid w:val="58B02D8E"/>
    <w:rsid w:val="58CB58A9"/>
    <w:rsid w:val="58D0063B"/>
    <w:rsid w:val="58E50319"/>
    <w:rsid w:val="59416899"/>
    <w:rsid w:val="598354B8"/>
    <w:rsid w:val="59AF3A47"/>
    <w:rsid w:val="59B447B9"/>
    <w:rsid w:val="59FC3486"/>
    <w:rsid w:val="5A8C3376"/>
    <w:rsid w:val="5B8228D9"/>
    <w:rsid w:val="5BA14C53"/>
    <w:rsid w:val="5BD92326"/>
    <w:rsid w:val="5BDF6C8F"/>
    <w:rsid w:val="5BE75B8B"/>
    <w:rsid w:val="5C0E5989"/>
    <w:rsid w:val="5C445A57"/>
    <w:rsid w:val="5C74245A"/>
    <w:rsid w:val="5C8B33BB"/>
    <w:rsid w:val="5CA705E6"/>
    <w:rsid w:val="5CCC49CC"/>
    <w:rsid w:val="5D1900CC"/>
    <w:rsid w:val="5D5749A1"/>
    <w:rsid w:val="5D5C15A5"/>
    <w:rsid w:val="5D6F4B05"/>
    <w:rsid w:val="5DA75E98"/>
    <w:rsid w:val="5DB63997"/>
    <w:rsid w:val="5DE32939"/>
    <w:rsid w:val="5E0A78D0"/>
    <w:rsid w:val="5E122AE4"/>
    <w:rsid w:val="5E183C1C"/>
    <w:rsid w:val="5E184055"/>
    <w:rsid w:val="5E1C33FF"/>
    <w:rsid w:val="5E7D5F62"/>
    <w:rsid w:val="5E9B5FE9"/>
    <w:rsid w:val="5EAA3A52"/>
    <w:rsid w:val="5EB72429"/>
    <w:rsid w:val="5EE56F76"/>
    <w:rsid w:val="5EEF7FEB"/>
    <w:rsid w:val="5F0A6012"/>
    <w:rsid w:val="5F20784A"/>
    <w:rsid w:val="5F47481E"/>
    <w:rsid w:val="5F546974"/>
    <w:rsid w:val="5FEA0F21"/>
    <w:rsid w:val="5FF50AA8"/>
    <w:rsid w:val="604B7DA2"/>
    <w:rsid w:val="60733548"/>
    <w:rsid w:val="60CB5C43"/>
    <w:rsid w:val="60E70DA5"/>
    <w:rsid w:val="610A1C31"/>
    <w:rsid w:val="614202B1"/>
    <w:rsid w:val="618F49AA"/>
    <w:rsid w:val="61B32D3B"/>
    <w:rsid w:val="61DD4B3E"/>
    <w:rsid w:val="61E166B5"/>
    <w:rsid w:val="620D29D9"/>
    <w:rsid w:val="62323F67"/>
    <w:rsid w:val="6241058E"/>
    <w:rsid w:val="62741E61"/>
    <w:rsid w:val="627C5741"/>
    <w:rsid w:val="627F70EA"/>
    <w:rsid w:val="62942ED0"/>
    <w:rsid w:val="62966436"/>
    <w:rsid w:val="62A95806"/>
    <w:rsid w:val="62AC2AB5"/>
    <w:rsid w:val="62B546DB"/>
    <w:rsid w:val="62C54DDC"/>
    <w:rsid w:val="62EF7ACF"/>
    <w:rsid w:val="633C3227"/>
    <w:rsid w:val="633C468C"/>
    <w:rsid w:val="6367204C"/>
    <w:rsid w:val="637E5892"/>
    <w:rsid w:val="63A82D12"/>
    <w:rsid w:val="63B35CFF"/>
    <w:rsid w:val="63CC1F48"/>
    <w:rsid w:val="64024C40"/>
    <w:rsid w:val="64032589"/>
    <w:rsid w:val="644314A6"/>
    <w:rsid w:val="64487F3D"/>
    <w:rsid w:val="646D7BA9"/>
    <w:rsid w:val="646F2024"/>
    <w:rsid w:val="64A5149D"/>
    <w:rsid w:val="64B17337"/>
    <w:rsid w:val="64F07BAD"/>
    <w:rsid w:val="64FA2D28"/>
    <w:rsid w:val="64FC3BD2"/>
    <w:rsid w:val="6521527E"/>
    <w:rsid w:val="654A10BA"/>
    <w:rsid w:val="654B0A88"/>
    <w:rsid w:val="65922657"/>
    <w:rsid w:val="659A302B"/>
    <w:rsid w:val="65A22D06"/>
    <w:rsid w:val="65AF247C"/>
    <w:rsid w:val="665C3F74"/>
    <w:rsid w:val="66640E05"/>
    <w:rsid w:val="669F633A"/>
    <w:rsid w:val="66A90A5B"/>
    <w:rsid w:val="66B05F40"/>
    <w:rsid w:val="66B80140"/>
    <w:rsid w:val="66C3014C"/>
    <w:rsid w:val="66CB5F1D"/>
    <w:rsid w:val="66D37C25"/>
    <w:rsid w:val="66DD6CD5"/>
    <w:rsid w:val="67010877"/>
    <w:rsid w:val="673B1F53"/>
    <w:rsid w:val="673C1611"/>
    <w:rsid w:val="677D4164"/>
    <w:rsid w:val="677F7BC0"/>
    <w:rsid w:val="67E83789"/>
    <w:rsid w:val="682C6CE6"/>
    <w:rsid w:val="682C7F52"/>
    <w:rsid w:val="683B1D2E"/>
    <w:rsid w:val="684D6DC6"/>
    <w:rsid w:val="6883031D"/>
    <w:rsid w:val="688703B4"/>
    <w:rsid w:val="68A35C36"/>
    <w:rsid w:val="68BE2888"/>
    <w:rsid w:val="68FD17AF"/>
    <w:rsid w:val="69210EE7"/>
    <w:rsid w:val="694661A9"/>
    <w:rsid w:val="69537742"/>
    <w:rsid w:val="69896B86"/>
    <w:rsid w:val="69C046FD"/>
    <w:rsid w:val="6A0B0C6D"/>
    <w:rsid w:val="6A1C075B"/>
    <w:rsid w:val="6A203DC8"/>
    <w:rsid w:val="6A412F23"/>
    <w:rsid w:val="6A8765FC"/>
    <w:rsid w:val="6A8A117A"/>
    <w:rsid w:val="6A903745"/>
    <w:rsid w:val="6A90535C"/>
    <w:rsid w:val="6A9D08C8"/>
    <w:rsid w:val="6AB5321D"/>
    <w:rsid w:val="6AB57031"/>
    <w:rsid w:val="6ABC1DD2"/>
    <w:rsid w:val="6ABF15AE"/>
    <w:rsid w:val="6B33274C"/>
    <w:rsid w:val="6B866CF2"/>
    <w:rsid w:val="6BD0508A"/>
    <w:rsid w:val="6C166B05"/>
    <w:rsid w:val="6C1F1D2F"/>
    <w:rsid w:val="6C535CDC"/>
    <w:rsid w:val="6CBF18BB"/>
    <w:rsid w:val="6CCD7D2A"/>
    <w:rsid w:val="6CEE0DAF"/>
    <w:rsid w:val="6D1248DD"/>
    <w:rsid w:val="6D4E1384"/>
    <w:rsid w:val="6D601F02"/>
    <w:rsid w:val="6D7F3203"/>
    <w:rsid w:val="6DDA1564"/>
    <w:rsid w:val="6E3F601B"/>
    <w:rsid w:val="6E4E03F3"/>
    <w:rsid w:val="6E752B4D"/>
    <w:rsid w:val="6E823705"/>
    <w:rsid w:val="6EA16115"/>
    <w:rsid w:val="6EB47B5E"/>
    <w:rsid w:val="6ED51091"/>
    <w:rsid w:val="6EF9381A"/>
    <w:rsid w:val="6F014ECD"/>
    <w:rsid w:val="6F307AF9"/>
    <w:rsid w:val="6F437663"/>
    <w:rsid w:val="6F556945"/>
    <w:rsid w:val="6F5E249B"/>
    <w:rsid w:val="6F815727"/>
    <w:rsid w:val="6F860170"/>
    <w:rsid w:val="6FA122DC"/>
    <w:rsid w:val="701264A4"/>
    <w:rsid w:val="70962BAF"/>
    <w:rsid w:val="70A92ADA"/>
    <w:rsid w:val="71085BB8"/>
    <w:rsid w:val="7118679B"/>
    <w:rsid w:val="711B08B5"/>
    <w:rsid w:val="71547EA6"/>
    <w:rsid w:val="71C94B33"/>
    <w:rsid w:val="71DD6918"/>
    <w:rsid w:val="71F86AAD"/>
    <w:rsid w:val="725E7E6C"/>
    <w:rsid w:val="72B35B6F"/>
    <w:rsid w:val="72BB2D33"/>
    <w:rsid w:val="72D55460"/>
    <w:rsid w:val="731971E5"/>
    <w:rsid w:val="73304933"/>
    <w:rsid w:val="733905E4"/>
    <w:rsid w:val="733B3BF0"/>
    <w:rsid w:val="733D7CCB"/>
    <w:rsid w:val="734113C6"/>
    <w:rsid w:val="7387085B"/>
    <w:rsid w:val="738C062D"/>
    <w:rsid w:val="73CF3EB0"/>
    <w:rsid w:val="73D52B16"/>
    <w:rsid w:val="73E11B6B"/>
    <w:rsid w:val="75171250"/>
    <w:rsid w:val="75377EFE"/>
    <w:rsid w:val="757758E5"/>
    <w:rsid w:val="75B6450E"/>
    <w:rsid w:val="75C56CE7"/>
    <w:rsid w:val="75EC4152"/>
    <w:rsid w:val="75F91B92"/>
    <w:rsid w:val="764C407D"/>
    <w:rsid w:val="76664B89"/>
    <w:rsid w:val="76914932"/>
    <w:rsid w:val="76B84962"/>
    <w:rsid w:val="76CD0870"/>
    <w:rsid w:val="76F55C12"/>
    <w:rsid w:val="76F91CB6"/>
    <w:rsid w:val="771976F5"/>
    <w:rsid w:val="773B66A7"/>
    <w:rsid w:val="773F5D89"/>
    <w:rsid w:val="776C2BAB"/>
    <w:rsid w:val="77807E32"/>
    <w:rsid w:val="779627F5"/>
    <w:rsid w:val="779D2C64"/>
    <w:rsid w:val="77BD68BC"/>
    <w:rsid w:val="77CE148C"/>
    <w:rsid w:val="785440B3"/>
    <w:rsid w:val="787F3AE5"/>
    <w:rsid w:val="78936C7C"/>
    <w:rsid w:val="78AD138E"/>
    <w:rsid w:val="78C60F7A"/>
    <w:rsid w:val="78F93D5C"/>
    <w:rsid w:val="790D5A39"/>
    <w:rsid w:val="790F4618"/>
    <w:rsid w:val="791135D5"/>
    <w:rsid w:val="7928703D"/>
    <w:rsid w:val="795D237B"/>
    <w:rsid w:val="797F1680"/>
    <w:rsid w:val="79E66D6E"/>
    <w:rsid w:val="79FE052D"/>
    <w:rsid w:val="7A07731A"/>
    <w:rsid w:val="7A0A4091"/>
    <w:rsid w:val="7A461AAB"/>
    <w:rsid w:val="7A5C074B"/>
    <w:rsid w:val="7A6822E3"/>
    <w:rsid w:val="7B1211CB"/>
    <w:rsid w:val="7B323253"/>
    <w:rsid w:val="7B773619"/>
    <w:rsid w:val="7B9B1C0D"/>
    <w:rsid w:val="7BA774F5"/>
    <w:rsid w:val="7BFA7D4F"/>
    <w:rsid w:val="7C050E57"/>
    <w:rsid w:val="7C1172DE"/>
    <w:rsid w:val="7C122A3B"/>
    <w:rsid w:val="7C2D3F80"/>
    <w:rsid w:val="7C323FFA"/>
    <w:rsid w:val="7C426C50"/>
    <w:rsid w:val="7CC27667"/>
    <w:rsid w:val="7CE048C6"/>
    <w:rsid w:val="7D6343A8"/>
    <w:rsid w:val="7D6D6963"/>
    <w:rsid w:val="7D9F4535"/>
    <w:rsid w:val="7DAE07F5"/>
    <w:rsid w:val="7E274C85"/>
    <w:rsid w:val="7E587102"/>
    <w:rsid w:val="7E6B1ECE"/>
    <w:rsid w:val="7EB56AA1"/>
    <w:rsid w:val="7ED73705"/>
    <w:rsid w:val="7EE80D75"/>
    <w:rsid w:val="7EF90B28"/>
    <w:rsid w:val="7EFD1210"/>
    <w:rsid w:val="7F0E6500"/>
    <w:rsid w:val="7F547540"/>
    <w:rsid w:val="7F5D6F9B"/>
    <w:rsid w:val="7F8E00F7"/>
    <w:rsid w:val="7F9F55F0"/>
    <w:rsid w:val="7FF864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3"/>
    <w:qFormat/>
    <w:uiPriority w:val="0"/>
    <w:pPr>
      <w:keepNext w:val="0"/>
      <w:keepLines w:val="0"/>
      <w:spacing w:before="100" w:after="100" w:line="576" w:lineRule="auto"/>
      <w:outlineLvl w:val="0"/>
    </w:pPr>
    <w:rPr>
      <w:b/>
      <w:color w:val="000000"/>
      <w:kern w:val="0"/>
      <w:sz w:val="24"/>
      <w:szCs w:val="44"/>
    </w:rPr>
  </w:style>
  <w:style w:type="paragraph" w:styleId="3">
    <w:name w:val="heading 2"/>
    <w:basedOn w:val="1"/>
    <w:next w:val="1"/>
    <w:link w:val="90"/>
    <w:qFormat/>
    <w:uiPriority w:val="0"/>
    <w:pPr>
      <w:spacing w:line="480" w:lineRule="auto"/>
      <w:outlineLvl w:val="1"/>
    </w:pPr>
    <w:rPr>
      <w:rFonts w:ascii="Arial" w:hAnsi="Arial" w:eastAsia="宋体" w:cs="Arial"/>
      <w:b/>
      <w:color w:val="000000"/>
      <w:kern w:val="0"/>
      <w:sz w:val="24"/>
      <w:szCs w:val="32"/>
    </w:rPr>
  </w:style>
  <w:style w:type="paragraph" w:styleId="4">
    <w:name w:val="heading 3"/>
    <w:basedOn w:val="1"/>
    <w:next w:val="1"/>
    <w:link w:val="65"/>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link w:val="70"/>
    <w:qFormat/>
    <w:uiPriority w:val="0"/>
    <w:pPr>
      <w:keepNext w:val="0"/>
      <w:keepLines w:val="0"/>
      <w:spacing w:before="140" w:after="140" w:line="360" w:lineRule="auto"/>
      <w:outlineLvl w:val="3"/>
    </w:pPr>
    <w:rPr>
      <w:rFonts w:ascii="Arial" w:hAnsi="Arial" w:cs="Arial"/>
      <w:b/>
      <w:color w:val="000000"/>
      <w:kern w:val="0"/>
      <w:szCs w:val="28"/>
    </w:rPr>
  </w:style>
  <w:style w:type="paragraph" w:styleId="6">
    <w:name w:val="heading 5"/>
    <w:basedOn w:val="1"/>
    <w:next w:val="1"/>
    <w:link w:val="78"/>
    <w:qFormat/>
    <w:uiPriority w:val="0"/>
    <w:pPr>
      <w:keepNext/>
      <w:keepLines/>
      <w:spacing w:before="280" w:after="290" w:line="374" w:lineRule="auto"/>
      <w:outlineLvl w:val="4"/>
    </w:pPr>
    <w:rPr>
      <w:b/>
      <w:color w:val="000000"/>
      <w:kern w:val="0"/>
      <w:sz w:val="28"/>
      <w:szCs w:val="28"/>
    </w:rPr>
  </w:style>
  <w:style w:type="paragraph" w:styleId="7">
    <w:name w:val="heading 6"/>
    <w:basedOn w:val="1"/>
    <w:next w:val="1"/>
    <w:link w:val="71"/>
    <w:qFormat/>
    <w:uiPriority w:val="0"/>
    <w:pPr>
      <w:keepNext/>
      <w:keepLines/>
      <w:spacing w:before="240" w:after="64" w:line="319" w:lineRule="auto"/>
      <w:outlineLvl w:val="5"/>
    </w:pPr>
    <w:rPr>
      <w:rFonts w:ascii="Arial" w:hAnsi="Arial" w:eastAsia="黑体" w:cs="Arial"/>
      <w:b/>
      <w:color w:val="000000"/>
      <w:kern w:val="0"/>
      <w:sz w:val="24"/>
      <w:szCs w:val="24"/>
    </w:rPr>
  </w:style>
  <w:style w:type="paragraph" w:styleId="8">
    <w:name w:val="heading 7"/>
    <w:basedOn w:val="1"/>
    <w:next w:val="1"/>
    <w:link w:val="54"/>
    <w:qFormat/>
    <w:uiPriority w:val="0"/>
    <w:pPr>
      <w:keepNext/>
      <w:keepLines/>
      <w:spacing w:before="240" w:after="64" w:line="319" w:lineRule="auto"/>
      <w:outlineLvl w:val="6"/>
    </w:pPr>
    <w:rPr>
      <w:b/>
      <w:color w:val="000000"/>
      <w:kern w:val="0"/>
      <w:sz w:val="24"/>
      <w:szCs w:val="24"/>
    </w:rPr>
  </w:style>
  <w:style w:type="paragraph" w:styleId="9">
    <w:name w:val="heading 8"/>
    <w:basedOn w:val="1"/>
    <w:next w:val="1"/>
    <w:link w:val="84"/>
    <w:qFormat/>
    <w:uiPriority w:val="0"/>
    <w:pPr>
      <w:keepNext/>
      <w:keepLines/>
      <w:spacing w:before="240" w:after="64" w:line="319" w:lineRule="auto"/>
      <w:outlineLvl w:val="7"/>
    </w:pPr>
    <w:rPr>
      <w:rFonts w:ascii="Arial" w:hAnsi="Arial" w:eastAsia="黑体" w:cs="Arial"/>
      <w:color w:val="000000"/>
      <w:kern w:val="0"/>
      <w:sz w:val="24"/>
      <w:szCs w:val="24"/>
    </w:rPr>
  </w:style>
  <w:style w:type="paragraph" w:styleId="10">
    <w:name w:val="heading 9"/>
    <w:basedOn w:val="1"/>
    <w:next w:val="1"/>
    <w:link w:val="76"/>
    <w:qFormat/>
    <w:uiPriority w:val="0"/>
    <w:pPr>
      <w:keepNext/>
      <w:keepLines/>
      <w:spacing w:before="240" w:after="64" w:line="319" w:lineRule="auto"/>
      <w:outlineLvl w:val="8"/>
    </w:pPr>
    <w:rPr>
      <w:rFonts w:ascii="Arial" w:hAnsi="Arial" w:eastAsia="黑体" w:cs="Arial"/>
      <w:color w:val="000000"/>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宋体" w:eastAsia="宋体" w:cs="Times New Roman"/>
      <w:color w:val="000000"/>
      <w:sz w:val="21"/>
      <w:lang w:val="en-US" w:eastAsia="zh-CN" w:bidi="ar-SA"/>
    </w:rPr>
  </w:style>
  <w:style w:type="paragraph" w:styleId="18">
    <w:name w:val="Normal Indent"/>
    <w:basedOn w:val="1"/>
    <w:qFormat/>
    <w:uiPriority w:val="0"/>
    <w:pPr>
      <w:ind w:firstLine="420" w:firstLineChars="200"/>
    </w:pPr>
    <w:rPr>
      <w:szCs w:val="24"/>
    </w:rPr>
  </w:style>
  <w:style w:type="paragraph" w:styleId="19">
    <w:name w:val="Document Map"/>
    <w:basedOn w:val="1"/>
    <w:link w:val="66"/>
    <w:qFormat/>
    <w:uiPriority w:val="0"/>
    <w:pPr>
      <w:shd w:val="clear" w:color="000000" w:fill="00007F"/>
    </w:pPr>
    <w:rPr>
      <w:color w:val="000000"/>
      <w:kern w:val="1"/>
      <w:szCs w:val="24"/>
    </w:rPr>
  </w:style>
  <w:style w:type="paragraph" w:styleId="20">
    <w:name w:val="annotation text"/>
    <w:basedOn w:val="1"/>
    <w:link w:val="61"/>
    <w:qFormat/>
    <w:uiPriority w:val="0"/>
    <w:pPr>
      <w:jc w:val="left"/>
    </w:pPr>
    <w:rPr>
      <w:sz w:val="28"/>
      <w:vertAlign w:val="superscript"/>
    </w:rPr>
  </w:style>
  <w:style w:type="paragraph" w:styleId="21">
    <w:name w:val="Body Text"/>
    <w:basedOn w:val="1"/>
    <w:link w:val="58"/>
    <w:qFormat/>
    <w:uiPriority w:val="0"/>
    <w:pPr>
      <w:spacing w:after="120"/>
    </w:pPr>
    <w:rPr>
      <w:color w:val="000000"/>
      <w:kern w:val="1"/>
      <w:szCs w:val="24"/>
    </w:rPr>
  </w:style>
  <w:style w:type="paragraph" w:styleId="22">
    <w:name w:val="Body Text Indent"/>
    <w:basedOn w:val="1"/>
    <w:link w:val="57"/>
    <w:qFormat/>
    <w:uiPriority w:val="0"/>
    <w:pPr>
      <w:ind w:firstLine="420"/>
    </w:pPr>
    <w:rPr>
      <w:rFonts w:ascii="宋体" w:hAnsi="宋体" w:cs="宋体"/>
      <w:color w:val="000000"/>
      <w:kern w:val="1"/>
      <w:szCs w:val="24"/>
    </w:rPr>
  </w:style>
  <w:style w:type="paragraph" w:styleId="23">
    <w:name w:val="HTML Address"/>
    <w:basedOn w:val="1"/>
    <w:link w:val="67"/>
    <w:qFormat/>
    <w:uiPriority w:val="0"/>
    <w:rPr>
      <w:i/>
      <w:color w:val="000000"/>
      <w:kern w:val="1"/>
      <w:szCs w:val="24"/>
    </w:rPr>
  </w:style>
  <w:style w:type="paragraph" w:styleId="24">
    <w:name w:val="Plain Text"/>
    <w:basedOn w:val="1"/>
    <w:link w:val="75"/>
    <w:unhideWhenUsed/>
    <w:qFormat/>
    <w:uiPriority w:val="0"/>
    <w:rPr>
      <w:rFonts w:ascii="宋体" w:hAnsi="Courier New" w:eastAsia="微软雅黑" w:cs="Courier New"/>
      <w:szCs w:val="21"/>
    </w:rPr>
  </w:style>
  <w:style w:type="paragraph" w:styleId="25">
    <w:name w:val="toc 8"/>
    <w:basedOn w:val="11"/>
    <w:next w:val="1"/>
    <w:qFormat/>
    <w:uiPriority w:val="0"/>
  </w:style>
  <w:style w:type="paragraph" w:styleId="26">
    <w:name w:val="Date"/>
    <w:basedOn w:val="1"/>
    <w:next w:val="1"/>
    <w:link w:val="81"/>
    <w:qFormat/>
    <w:uiPriority w:val="0"/>
    <w:rPr>
      <w:rFonts w:eastAsia="楷体_GB2312"/>
      <w:color w:val="000000"/>
      <w:kern w:val="1"/>
      <w:sz w:val="24"/>
    </w:rPr>
  </w:style>
  <w:style w:type="paragraph" w:styleId="27">
    <w:name w:val="Body Text Indent 2"/>
    <w:basedOn w:val="1"/>
    <w:link w:val="80"/>
    <w:qFormat/>
    <w:uiPriority w:val="0"/>
    <w:pPr>
      <w:spacing w:after="120" w:line="480" w:lineRule="auto"/>
      <w:ind w:left="420"/>
    </w:pPr>
    <w:rPr>
      <w:color w:val="000000"/>
      <w:kern w:val="1"/>
      <w:szCs w:val="24"/>
    </w:rPr>
  </w:style>
  <w:style w:type="paragraph" w:styleId="28">
    <w:name w:val="Balloon Text"/>
    <w:basedOn w:val="1"/>
    <w:link w:val="86"/>
    <w:qFormat/>
    <w:uiPriority w:val="0"/>
    <w:rPr>
      <w:color w:val="000000"/>
      <w:kern w:val="1"/>
      <w:sz w:val="18"/>
      <w:szCs w:val="18"/>
      <w:lang w:val="zh-CN"/>
    </w:rPr>
  </w:style>
  <w:style w:type="paragraph" w:styleId="29">
    <w:name w:val="footer"/>
    <w:basedOn w:val="1"/>
    <w:link w:val="82"/>
    <w:qFormat/>
    <w:uiPriority w:val="0"/>
    <w:pPr>
      <w:tabs>
        <w:tab w:val="center" w:pos="4153"/>
        <w:tab w:val="right" w:pos="8306"/>
      </w:tabs>
      <w:snapToGrid w:val="0"/>
      <w:jc w:val="left"/>
    </w:pPr>
    <w:rPr>
      <w:sz w:val="18"/>
    </w:rPr>
  </w:style>
  <w:style w:type="paragraph" w:styleId="30">
    <w:name w:val="header"/>
    <w:basedOn w:val="1"/>
    <w:link w:val="7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footnote text"/>
    <w:basedOn w:val="1"/>
    <w:link w:val="74"/>
    <w:qFormat/>
    <w:uiPriority w:val="0"/>
    <w:pPr>
      <w:jc w:val="left"/>
    </w:pPr>
    <w:rPr>
      <w:color w:val="000000"/>
      <w:kern w:val="1"/>
      <w:sz w:val="18"/>
      <w:szCs w:val="18"/>
    </w:rPr>
  </w:style>
  <w:style w:type="paragraph" w:styleId="32">
    <w:name w:val="toc 9"/>
    <w:basedOn w:val="25"/>
    <w:next w:val="1"/>
    <w:qFormat/>
    <w:uiPriority w:val="0"/>
  </w:style>
  <w:style w:type="paragraph" w:styleId="33">
    <w:name w:val="HTML Preformatted"/>
    <w:basedOn w:val="1"/>
    <w:link w:val="60"/>
    <w:qFormat/>
    <w:uiPriority w:val="0"/>
    <w:rPr>
      <w:rFonts w:ascii="Courier New" w:hAnsi="Courier New" w:cs="Courier New"/>
      <w:color w:val="000000"/>
      <w:kern w:val="1"/>
      <w:sz w:val="20"/>
    </w:rPr>
  </w:style>
  <w:style w:type="paragraph" w:styleId="34">
    <w:name w:val="Normal (Web)"/>
    <w:basedOn w:val="1"/>
    <w:unhideWhenUsed/>
    <w:qFormat/>
    <w:uiPriority w:val="99"/>
    <w:pPr>
      <w:widowControl/>
      <w:spacing w:before="100" w:beforeAutospacing="1" w:after="100" w:afterAutospacing="1"/>
      <w:jc w:val="left"/>
    </w:pPr>
    <w:rPr>
      <w:rFonts w:hint="eastAsia" w:ascii="宋体" w:hAnsi="宋体"/>
      <w:kern w:val="0"/>
      <w:sz w:val="24"/>
    </w:rPr>
  </w:style>
  <w:style w:type="paragraph" w:styleId="35">
    <w:name w:val="Title"/>
    <w:basedOn w:val="1"/>
    <w:link w:val="56"/>
    <w:qFormat/>
    <w:uiPriority w:val="0"/>
    <w:pPr>
      <w:spacing w:before="240" w:after="60"/>
      <w:jc w:val="center"/>
      <w:outlineLvl w:val="0"/>
    </w:pPr>
    <w:rPr>
      <w:rFonts w:ascii="Arial" w:hAnsi="Arial" w:cs="Arial"/>
      <w:b/>
      <w:color w:val="000000"/>
      <w:kern w:val="1"/>
      <w:sz w:val="32"/>
      <w:szCs w:val="32"/>
    </w:rPr>
  </w:style>
  <w:style w:type="paragraph" w:styleId="36">
    <w:name w:val="annotation subject"/>
    <w:basedOn w:val="20"/>
    <w:next w:val="20"/>
    <w:link w:val="85"/>
    <w:qFormat/>
    <w:uiPriority w:val="0"/>
    <w:rPr>
      <w:b/>
      <w:bCs/>
    </w:rPr>
  </w:style>
  <w:style w:type="table" w:styleId="38">
    <w:name w:val="Table Grid"/>
    <w:basedOn w:val="3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22"/>
    <w:rPr>
      <w:b/>
      <w:bCs/>
    </w:rPr>
  </w:style>
  <w:style w:type="character" w:styleId="41">
    <w:name w:val="page number"/>
    <w:basedOn w:val="39"/>
    <w:unhideWhenUsed/>
    <w:qFormat/>
    <w:uiPriority w:val="0"/>
  </w:style>
  <w:style w:type="character" w:styleId="42">
    <w:name w:val="FollowedHyperlink"/>
    <w:qFormat/>
    <w:uiPriority w:val="0"/>
    <w:rPr>
      <w:color w:val="7F007F"/>
      <w:u w:val="single"/>
    </w:rPr>
  </w:style>
  <w:style w:type="character" w:styleId="43">
    <w:name w:val="HTML Definition"/>
    <w:qFormat/>
    <w:uiPriority w:val="0"/>
    <w:rPr>
      <w:i/>
    </w:rPr>
  </w:style>
  <w:style w:type="character" w:styleId="44">
    <w:name w:val="HTML Typewriter"/>
    <w:qFormat/>
    <w:uiPriority w:val="0"/>
    <w:rPr>
      <w:rFonts w:ascii="Courier New" w:hAnsi="Courier New"/>
      <w:sz w:val="20"/>
      <w:szCs w:val="20"/>
    </w:rPr>
  </w:style>
  <w:style w:type="character" w:styleId="45">
    <w:name w:val="HTML Acronym"/>
    <w:basedOn w:val="39"/>
    <w:qFormat/>
    <w:uiPriority w:val="0"/>
  </w:style>
  <w:style w:type="character" w:styleId="46">
    <w:name w:val="HTML Variable"/>
    <w:qFormat/>
    <w:uiPriority w:val="0"/>
    <w:rPr>
      <w:i/>
    </w:rPr>
  </w:style>
  <w:style w:type="character" w:styleId="47">
    <w:name w:val="Hyperlink"/>
    <w:qFormat/>
    <w:uiPriority w:val="0"/>
    <w:rPr>
      <w:color w:val="0000FF"/>
      <w:u w:val="single"/>
    </w:rPr>
  </w:style>
  <w:style w:type="character" w:styleId="48">
    <w:name w:val="HTML Code"/>
    <w:qFormat/>
    <w:uiPriority w:val="0"/>
    <w:rPr>
      <w:rFonts w:ascii="Courier New" w:hAnsi="Courier New"/>
      <w:sz w:val="20"/>
      <w:szCs w:val="20"/>
    </w:rPr>
  </w:style>
  <w:style w:type="character" w:styleId="49">
    <w:name w:val="annotation reference"/>
    <w:qFormat/>
    <w:uiPriority w:val="0"/>
    <w:rPr>
      <w:sz w:val="21"/>
      <w:szCs w:val="21"/>
    </w:rPr>
  </w:style>
  <w:style w:type="character" w:styleId="50">
    <w:name w:val="HTML Cite"/>
    <w:qFormat/>
    <w:uiPriority w:val="0"/>
    <w:rPr>
      <w:i/>
    </w:rPr>
  </w:style>
  <w:style w:type="character" w:styleId="51">
    <w:name w:val="footnote reference"/>
    <w:qFormat/>
    <w:uiPriority w:val="0"/>
    <w:rPr>
      <w:position w:val="-2"/>
      <w:vertAlign w:val="superscript"/>
    </w:rPr>
  </w:style>
  <w:style w:type="character" w:styleId="52">
    <w:name w:val="HTML Keyboard"/>
    <w:qFormat/>
    <w:uiPriority w:val="0"/>
    <w:rPr>
      <w:rFonts w:ascii="Courier New" w:hAnsi="Courier New"/>
      <w:sz w:val="20"/>
      <w:szCs w:val="20"/>
    </w:rPr>
  </w:style>
  <w:style w:type="character" w:styleId="53">
    <w:name w:val="HTML Sample"/>
    <w:qFormat/>
    <w:uiPriority w:val="0"/>
    <w:rPr>
      <w:rFonts w:ascii="Courier New" w:hAnsi="Courier New"/>
    </w:rPr>
  </w:style>
  <w:style w:type="character" w:customStyle="1" w:styleId="54">
    <w:name w:val="标题 7 Char"/>
    <w:link w:val="8"/>
    <w:qFormat/>
    <w:uiPriority w:val="0"/>
    <w:rPr>
      <w:b/>
      <w:color w:val="000000"/>
      <w:sz w:val="24"/>
      <w:szCs w:val="24"/>
    </w:rPr>
  </w:style>
  <w:style w:type="character" w:customStyle="1" w:styleId="55">
    <w:name w:val="发布"/>
    <w:qFormat/>
    <w:uiPriority w:val="0"/>
    <w:rPr>
      <w:rFonts w:ascii="黑体" w:hAnsi="黑体" w:eastAsia="黑体"/>
      <w:spacing w:val="21"/>
      <w:w w:val="100"/>
      <w:position w:val="3"/>
      <w:sz w:val="28"/>
      <w:vertAlign w:val="baseline"/>
    </w:rPr>
  </w:style>
  <w:style w:type="character" w:customStyle="1" w:styleId="56">
    <w:name w:val="标题 Char"/>
    <w:link w:val="35"/>
    <w:qFormat/>
    <w:uiPriority w:val="0"/>
    <w:rPr>
      <w:rFonts w:ascii="Arial" w:hAnsi="Arial" w:cs="Arial"/>
      <w:b/>
      <w:color w:val="000000"/>
      <w:kern w:val="1"/>
      <w:sz w:val="32"/>
      <w:szCs w:val="32"/>
    </w:rPr>
  </w:style>
  <w:style w:type="character" w:customStyle="1" w:styleId="57">
    <w:name w:val="正文文本缩进 Char"/>
    <w:link w:val="22"/>
    <w:qFormat/>
    <w:uiPriority w:val="0"/>
    <w:rPr>
      <w:rFonts w:ascii="宋体" w:hAnsi="宋体" w:cs="宋体"/>
      <w:color w:val="000000"/>
      <w:kern w:val="1"/>
      <w:sz w:val="21"/>
      <w:szCs w:val="24"/>
    </w:rPr>
  </w:style>
  <w:style w:type="character" w:customStyle="1" w:styleId="58">
    <w:name w:val="正文文本 Char"/>
    <w:link w:val="21"/>
    <w:qFormat/>
    <w:uiPriority w:val="0"/>
    <w:rPr>
      <w:color w:val="000000"/>
      <w:kern w:val="1"/>
      <w:sz w:val="21"/>
      <w:szCs w:val="24"/>
    </w:rPr>
  </w:style>
  <w:style w:type="character" w:customStyle="1" w:styleId="59">
    <w:name w:val="段 Char"/>
    <w:qFormat/>
    <w:uiPriority w:val="0"/>
    <w:rPr>
      <w:rFonts w:ascii="宋体" w:hAnsi="宋体"/>
      <w:sz w:val="21"/>
      <w:lang w:val="en-US" w:eastAsia="zh-CN" w:bidi="ar-SA"/>
    </w:rPr>
  </w:style>
  <w:style w:type="character" w:customStyle="1" w:styleId="60">
    <w:name w:val="HTML 预设格式 Char"/>
    <w:link w:val="33"/>
    <w:qFormat/>
    <w:uiPriority w:val="0"/>
    <w:rPr>
      <w:rFonts w:ascii="Courier New" w:hAnsi="Courier New" w:cs="Courier New"/>
      <w:color w:val="000000"/>
      <w:kern w:val="1"/>
    </w:rPr>
  </w:style>
  <w:style w:type="character" w:customStyle="1" w:styleId="61">
    <w:name w:val="批注文字 Char"/>
    <w:link w:val="20"/>
    <w:qFormat/>
    <w:uiPriority w:val="0"/>
    <w:rPr>
      <w:kern w:val="2"/>
      <w:sz w:val="28"/>
      <w:vertAlign w:val="superscript"/>
    </w:rPr>
  </w:style>
  <w:style w:type="character" w:customStyle="1" w:styleId="62">
    <w:name w:val="个人撰写风格"/>
    <w:qFormat/>
    <w:uiPriority w:val="0"/>
    <w:rPr>
      <w:rFonts w:ascii="Arial" w:hAnsi="Arial" w:eastAsia="宋体" w:cs="Arial"/>
      <w:color w:val="000000"/>
      <w:sz w:val="20"/>
    </w:rPr>
  </w:style>
  <w:style w:type="character" w:customStyle="1" w:styleId="63">
    <w:name w:val="标题 1 Char"/>
    <w:link w:val="2"/>
    <w:qFormat/>
    <w:uiPriority w:val="0"/>
    <w:rPr>
      <w:rFonts w:eastAsia="宋体"/>
      <w:b/>
      <w:color w:val="000000"/>
      <w:sz w:val="24"/>
      <w:szCs w:val="44"/>
    </w:rPr>
  </w:style>
  <w:style w:type="character" w:customStyle="1" w:styleId="64">
    <w:name w:val="font11"/>
    <w:qFormat/>
    <w:uiPriority w:val="0"/>
    <w:rPr>
      <w:rFonts w:hint="eastAsia" w:ascii="宋体" w:hAnsi="宋体" w:eastAsia="宋体" w:cs="宋体"/>
      <w:color w:val="000000"/>
      <w:sz w:val="20"/>
      <w:szCs w:val="20"/>
      <w:u w:val="none"/>
      <w:vertAlign w:val="superscript"/>
    </w:rPr>
  </w:style>
  <w:style w:type="character" w:customStyle="1" w:styleId="65">
    <w:name w:val="标题 3 Char"/>
    <w:link w:val="4"/>
    <w:qFormat/>
    <w:uiPriority w:val="0"/>
    <w:rPr>
      <w:rFonts w:ascii="宋体" w:hAnsi="宋体"/>
      <w:b/>
      <w:sz w:val="27"/>
      <w:szCs w:val="27"/>
    </w:rPr>
  </w:style>
  <w:style w:type="character" w:customStyle="1" w:styleId="66">
    <w:name w:val="文档结构图 Char"/>
    <w:link w:val="19"/>
    <w:qFormat/>
    <w:uiPriority w:val="0"/>
    <w:rPr>
      <w:color w:val="000000"/>
      <w:kern w:val="1"/>
      <w:sz w:val="21"/>
      <w:szCs w:val="24"/>
      <w:shd w:val="clear" w:color="000000" w:fill="00007F"/>
    </w:rPr>
  </w:style>
  <w:style w:type="character" w:customStyle="1" w:styleId="67">
    <w:name w:val="HTML 地址 Char"/>
    <w:link w:val="23"/>
    <w:qFormat/>
    <w:uiPriority w:val="0"/>
    <w:rPr>
      <w:i/>
      <w:color w:val="000000"/>
      <w:kern w:val="1"/>
      <w:sz w:val="21"/>
      <w:szCs w:val="24"/>
    </w:rPr>
  </w:style>
  <w:style w:type="character" w:customStyle="1" w:styleId="68">
    <w:name w:val="列项——（一级） Char"/>
    <w:link w:val="69"/>
    <w:qFormat/>
    <w:uiPriority w:val="0"/>
    <w:rPr>
      <w:rFonts w:ascii="宋体" w:hAnsi="宋体"/>
      <w:color w:val="000000"/>
      <w:sz w:val="21"/>
      <w:lang w:val="en-US" w:eastAsia="zh-CN" w:bidi="ar-SA"/>
    </w:rPr>
  </w:style>
  <w:style w:type="paragraph" w:customStyle="1" w:styleId="69">
    <w:name w:val="列项——（一级）"/>
    <w:link w:val="68"/>
    <w:qFormat/>
    <w:uiPriority w:val="0"/>
    <w:pPr>
      <w:widowControl w:val="0"/>
      <w:numPr>
        <w:ilvl w:val="0"/>
        <w:numId w:val="1"/>
      </w:numPr>
      <w:tabs>
        <w:tab w:val="left" w:pos="854"/>
      </w:tabs>
      <w:ind w:left="840" w:hanging="420"/>
      <w:jc w:val="both"/>
    </w:pPr>
    <w:rPr>
      <w:rFonts w:ascii="宋体" w:hAnsi="宋体" w:eastAsia="宋体" w:cs="Times New Roman"/>
      <w:color w:val="000000"/>
      <w:sz w:val="21"/>
      <w:lang w:val="en-US" w:eastAsia="zh-CN" w:bidi="ar-SA"/>
    </w:rPr>
  </w:style>
  <w:style w:type="character" w:customStyle="1" w:styleId="70">
    <w:name w:val="标题 4 Char"/>
    <w:link w:val="5"/>
    <w:qFormat/>
    <w:uiPriority w:val="0"/>
    <w:rPr>
      <w:rFonts w:ascii="Arial" w:hAnsi="Arial" w:eastAsia="宋体" w:cs="Arial"/>
      <w:b/>
      <w:color w:val="000000"/>
      <w:sz w:val="21"/>
      <w:szCs w:val="28"/>
    </w:rPr>
  </w:style>
  <w:style w:type="character" w:customStyle="1" w:styleId="71">
    <w:name w:val="标题 6 Char"/>
    <w:link w:val="7"/>
    <w:qFormat/>
    <w:uiPriority w:val="0"/>
    <w:rPr>
      <w:rFonts w:ascii="Arial" w:hAnsi="Arial" w:eastAsia="黑体" w:cs="Arial"/>
      <w:b/>
      <w:color w:val="000000"/>
      <w:sz w:val="24"/>
      <w:szCs w:val="24"/>
    </w:rPr>
  </w:style>
  <w:style w:type="character" w:customStyle="1" w:styleId="72">
    <w:name w:val="二级条标题 Char"/>
    <w:basedOn w:val="39"/>
    <w:qFormat/>
    <w:uiPriority w:val="0"/>
  </w:style>
  <w:style w:type="character" w:customStyle="1" w:styleId="73">
    <w:name w:val="页眉 Char"/>
    <w:link w:val="30"/>
    <w:qFormat/>
    <w:uiPriority w:val="0"/>
    <w:rPr>
      <w:kern w:val="2"/>
      <w:sz w:val="18"/>
    </w:rPr>
  </w:style>
  <w:style w:type="character" w:customStyle="1" w:styleId="74">
    <w:name w:val="脚注文本 Char"/>
    <w:link w:val="31"/>
    <w:qFormat/>
    <w:uiPriority w:val="0"/>
    <w:rPr>
      <w:color w:val="000000"/>
      <w:kern w:val="1"/>
      <w:sz w:val="18"/>
      <w:szCs w:val="18"/>
    </w:rPr>
  </w:style>
  <w:style w:type="character" w:customStyle="1" w:styleId="75">
    <w:name w:val="纯文本 Char"/>
    <w:link w:val="24"/>
    <w:qFormat/>
    <w:uiPriority w:val="0"/>
    <w:rPr>
      <w:rFonts w:ascii="宋体" w:hAnsi="Courier New" w:eastAsia="微软雅黑" w:cs="Courier New"/>
      <w:kern w:val="2"/>
      <w:sz w:val="21"/>
      <w:szCs w:val="21"/>
    </w:rPr>
  </w:style>
  <w:style w:type="character" w:customStyle="1" w:styleId="76">
    <w:name w:val="标题 9 Char"/>
    <w:link w:val="10"/>
    <w:qFormat/>
    <w:uiPriority w:val="0"/>
    <w:rPr>
      <w:rFonts w:ascii="Arial" w:hAnsi="Arial" w:eastAsia="黑体" w:cs="Arial"/>
      <w:color w:val="000000"/>
      <w:sz w:val="21"/>
      <w:szCs w:val="21"/>
    </w:rPr>
  </w:style>
  <w:style w:type="character" w:customStyle="1" w:styleId="77">
    <w:name w:val="font01"/>
    <w:qFormat/>
    <w:uiPriority w:val="0"/>
    <w:rPr>
      <w:rFonts w:hint="eastAsia" w:ascii="宋体" w:hAnsi="宋体" w:eastAsia="宋体" w:cs="宋体"/>
      <w:color w:val="000000"/>
      <w:sz w:val="24"/>
      <w:szCs w:val="24"/>
      <w:u w:val="none"/>
      <w:vertAlign w:val="superscript"/>
    </w:rPr>
  </w:style>
  <w:style w:type="character" w:customStyle="1" w:styleId="78">
    <w:name w:val="标题 5 Char"/>
    <w:link w:val="6"/>
    <w:qFormat/>
    <w:uiPriority w:val="0"/>
    <w:rPr>
      <w:b/>
      <w:color w:val="000000"/>
      <w:sz w:val="28"/>
      <w:szCs w:val="28"/>
    </w:rPr>
  </w:style>
  <w:style w:type="character" w:customStyle="1" w:styleId="79">
    <w:name w:val="Char Char1"/>
    <w:qFormat/>
    <w:uiPriority w:val="0"/>
    <w:rPr>
      <w:rFonts w:ascii="宋体" w:hAnsi="宋体" w:eastAsia="宋体"/>
      <w:sz w:val="21"/>
      <w:lang w:val="en-US" w:eastAsia="zh-CN" w:bidi="ar-SA"/>
    </w:rPr>
  </w:style>
  <w:style w:type="character" w:customStyle="1" w:styleId="80">
    <w:name w:val="正文文本缩进 2 Char"/>
    <w:link w:val="27"/>
    <w:qFormat/>
    <w:uiPriority w:val="0"/>
    <w:rPr>
      <w:color w:val="000000"/>
      <w:kern w:val="1"/>
      <w:sz w:val="21"/>
      <w:szCs w:val="24"/>
    </w:rPr>
  </w:style>
  <w:style w:type="character" w:customStyle="1" w:styleId="81">
    <w:name w:val="日期 Char"/>
    <w:link w:val="26"/>
    <w:qFormat/>
    <w:uiPriority w:val="0"/>
    <w:rPr>
      <w:rFonts w:eastAsia="楷体_GB2312"/>
      <w:color w:val="000000"/>
      <w:kern w:val="1"/>
      <w:sz w:val="24"/>
    </w:rPr>
  </w:style>
  <w:style w:type="character" w:customStyle="1" w:styleId="82">
    <w:name w:val="页脚 Char"/>
    <w:link w:val="29"/>
    <w:qFormat/>
    <w:uiPriority w:val="0"/>
    <w:rPr>
      <w:kern w:val="2"/>
      <w:sz w:val="18"/>
    </w:rPr>
  </w:style>
  <w:style w:type="character" w:customStyle="1" w:styleId="83">
    <w:name w:val="doc_title fs_c_76"/>
    <w:basedOn w:val="39"/>
    <w:qFormat/>
    <w:uiPriority w:val="0"/>
  </w:style>
  <w:style w:type="character" w:customStyle="1" w:styleId="84">
    <w:name w:val="标题 8 Char"/>
    <w:link w:val="9"/>
    <w:qFormat/>
    <w:uiPriority w:val="0"/>
    <w:rPr>
      <w:rFonts w:ascii="Arial" w:hAnsi="Arial" w:eastAsia="黑体" w:cs="Arial"/>
      <w:color w:val="000000"/>
      <w:sz w:val="24"/>
      <w:szCs w:val="24"/>
    </w:rPr>
  </w:style>
  <w:style w:type="character" w:customStyle="1" w:styleId="85">
    <w:name w:val="批注主题 Char"/>
    <w:link w:val="36"/>
    <w:qFormat/>
    <w:uiPriority w:val="0"/>
    <w:rPr>
      <w:b/>
      <w:bCs/>
      <w:kern w:val="2"/>
      <w:sz w:val="28"/>
      <w:vertAlign w:val="superscript"/>
    </w:rPr>
  </w:style>
  <w:style w:type="character" w:customStyle="1" w:styleId="86">
    <w:name w:val="批注框文本 Char"/>
    <w:link w:val="28"/>
    <w:qFormat/>
    <w:uiPriority w:val="0"/>
    <w:rPr>
      <w:color w:val="000000"/>
      <w:kern w:val="1"/>
      <w:sz w:val="18"/>
      <w:szCs w:val="18"/>
      <w:lang w:val="zh-CN"/>
    </w:rPr>
  </w:style>
  <w:style w:type="character" w:customStyle="1" w:styleId="87">
    <w:name w:val="前言、引言标题 Char"/>
    <w:qFormat/>
    <w:uiPriority w:val="0"/>
    <w:rPr>
      <w:rFonts w:ascii="黑体" w:hAnsi="黑体" w:eastAsia="黑体"/>
      <w:sz w:val="32"/>
      <w:shd w:val="clear" w:color="auto" w:fill="FFFFFF"/>
      <w:lang w:val="en-US" w:eastAsia="zh-CN" w:bidi="ar-SA"/>
    </w:rPr>
  </w:style>
  <w:style w:type="character" w:customStyle="1" w:styleId="88">
    <w:name w:val="一级条标题 Char"/>
    <w:qFormat/>
    <w:uiPriority w:val="0"/>
    <w:rPr>
      <w:rFonts w:eastAsia="黑体"/>
      <w:kern w:val="1"/>
      <w:sz w:val="21"/>
      <w:szCs w:val="24"/>
      <w:lang w:val="en-US" w:eastAsia="zh-CN" w:bidi="ar-SA"/>
    </w:rPr>
  </w:style>
  <w:style w:type="character" w:customStyle="1" w:styleId="89">
    <w:name w:val="个人答复风格"/>
    <w:qFormat/>
    <w:uiPriority w:val="0"/>
    <w:rPr>
      <w:rFonts w:ascii="Arial" w:hAnsi="Arial" w:eastAsia="宋体" w:cs="Arial"/>
      <w:color w:val="000000"/>
      <w:sz w:val="20"/>
    </w:rPr>
  </w:style>
  <w:style w:type="character" w:customStyle="1" w:styleId="90">
    <w:name w:val="标题 2 Char"/>
    <w:link w:val="3"/>
    <w:qFormat/>
    <w:uiPriority w:val="0"/>
    <w:rPr>
      <w:rFonts w:ascii="Arial" w:hAnsi="Arial" w:eastAsia="宋体" w:cs="Arial"/>
      <w:b/>
      <w:color w:val="000000"/>
      <w:sz w:val="24"/>
      <w:szCs w:val="32"/>
    </w:rPr>
  </w:style>
  <w:style w:type="character" w:customStyle="1" w:styleId="91">
    <w:name w:val="high-light-bg4"/>
    <w:basedOn w:val="39"/>
    <w:qFormat/>
    <w:uiPriority w:val="0"/>
  </w:style>
  <w:style w:type="character" w:customStyle="1" w:styleId="92">
    <w:name w:val="章标题 Char"/>
    <w:link w:val="93"/>
    <w:qFormat/>
    <w:uiPriority w:val="0"/>
    <w:rPr>
      <w:rFonts w:hint="eastAsia" w:ascii="黑体" w:hAnsi="宋体" w:eastAsia="黑体" w:cs="黑体"/>
      <w:sz w:val="21"/>
      <w:lang w:val="en-US" w:eastAsia="zh-CN" w:bidi="ar-SA"/>
    </w:rPr>
  </w:style>
  <w:style w:type="paragraph" w:customStyle="1" w:styleId="93">
    <w:name w:val="章标题"/>
    <w:basedOn w:val="1"/>
    <w:next w:val="1"/>
    <w:link w:val="92"/>
    <w:qFormat/>
    <w:uiPriority w:val="0"/>
    <w:pPr>
      <w:widowControl/>
      <w:numPr>
        <w:ilvl w:val="1"/>
        <w:numId w:val="2"/>
      </w:numPr>
      <w:spacing w:beforeLines="50" w:afterLines="50"/>
      <w:outlineLvl w:val="1"/>
    </w:pPr>
    <w:rPr>
      <w:rFonts w:hint="eastAsia" w:ascii="黑体" w:hAnsi="宋体" w:eastAsia="黑体" w:cs="黑体"/>
      <w:kern w:val="0"/>
    </w:rPr>
  </w:style>
  <w:style w:type="paragraph" w:customStyle="1" w:styleId="94">
    <w:name w:val="编号列项（三级）"/>
    <w:qFormat/>
    <w:uiPriority w:val="0"/>
    <w:pPr>
      <w:numPr>
        <w:ilvl w:val="0"/>
        <w:numId w:val="3"/>
      </w:numPr>
      <w:ind w:left="800" w:hanging="200"/>
    </w:pPr>
    <w:rPr>
      <w:rFonts w:ascii="宋体" w:hAnsi="宋体" w:eastAsia="宋体" w:cs="Times New Roman"/>
      <w:color w:val="000000"/>
      <w:sz w:val="21"/>
      <w:lang w:val="en-US" w:eastAsia="zh-CN" w:bidi="ar-SA"/>
    </w:rPr>
  </w:style>
  <w:style w:type="paragraph" w:customStyle="1" w:styleId="95">
    <w:name w:val="标准书眉_偶数页"/>
    <w:basedOn w:val="96"/>
    <w:next w:val="1"/>
    <w:qFormat/>
    <w:uiPriority w:val="0"/>
    <w:pPr>
      <w:tabs>
        <w:tab w:val="center" w:pos="4154"/>
        <w:tab w:val="right" w:pos="8306"/>
      </w:tabs>
      <w:jc w:val="left"/>
    </w:pPr>
  </w:style>
  <w:style w:type="paragraph" w:customStyle="1" w:styleId="96">
    <w:name w:val="标准书眉_奇数页"/>
    <w:next w:val="1"/>
    <w:qFormat/>
    <w:uiPriority w:val="0"/>
    <w:pPr>
      <w:tabs>
        <w:tab w:val="center" w:pos="4154"/>
        <w:tab w:val="right" w:pos="8306"/>
      </w:tabs>
      <w:spacing w:after="120"/>
      <w:jc w:val="right"/>
    </w:pPr>
    <w:rPr>
      <w:rFonts w:ascii="Times New Roman" w:hAnsi="Times New Roman" w:eastAsia="宋体" w:cs="Times New Roman"/>
      <w:color w:val="000000"/>
      <w:sz w:val="21"/>
      <w:lang w:val="en-US" w:eastAsia="zh-CN" w:bidi="ar-SA"/>
    </w:rPr>
  </w:style>
  <w:style w:type="paragraph" w:customStyle="1" w:styleId="97">
    <w:name w:val="注×："/>
    <w:qFormat/>
    <w:uiPriority w:val="0"/>
    <w:pPr>
      <w:widowControl w:val="0"/>
      <w:numPr>
        <w:ilvl w:val="0"/>
        <w:numId w:val="4"/>
      </w:numPr>
      <w:tabs>
        <w:tab w:val="left" w:pos="630"/>
      </w:tabs>
      <w:ind w:left="900" w:hanging="500"/>
      <w:jc w:val="both"/>
    </w:pPr>
    <w:rPr>
      <w:rFonts w:ascii="宋体" w:hAnsi="宋体" w:eastAsia="宋体" w:cs="Times New Roman"/>
      <w:color w:val="000000"/>
      <w:sz w:val="18"/>
      <w:lang w:val="en-US" w:eastAsia="zh-CN" w:bidi="ar-SA"/>
    </w:rPr>
  </w:style>
  <w:style w:type="paragraph" w:customStyle="1" w:styleId="98">
    <w:name w:val="修订1"/>
    <w:unhideWhenUsed/>
    <w:qFormat/>
    <w:uiPriority w:val="99"/>
    <w:rPr>
      <w:rFonts w:ascii="Times New Roman" w:hAnsi="Times New Roman" w:eastAsia="宋体" w:cs="Times New Roman"/>
      <w:kern w:val="2"/>
      <w:sz w:val="28"/>
      <w:vertAlign w:val="superscript"/>
      <w:lang w:val="en-US" w:eastAsia="zh-CN" w:bidi="ar-SA"/>
    </w:rPr>
  </w:style>
  <w:style w:type="paragraph" w:customStyle="1" w:styleId="99">
    <w:name w:val="参考文献、索引标题"/>
    <w:basedOn w:val="100"/>
    <w:next w:val="1"/>
    <w:qFormat/>
    <w:uiPriority w:val="0"/>
    <w:pPr>
      <w:numPr>
        <w:numId w:val="0"/>
      </w:numPr>
      <w:tabs>
        <w:tab w:val="left" w:pos="360"/>
      </w:tabs>
      <w:spacing w:after="200"/>
    </w:pPr>
    <w:rPr>
      <w:sz w:val="21"/>
    </w:rPr>
  </w:style>
  <w:style w:type="paragraph" w:customStyle="1" w:styleId="100">
    <w:name w:val="前言、引言标题"/>
    <w:next w:val="1"/>
    <w:qFormat/>
    <w:uiPriority w:val="0"/>
    <w:pPr>
      <w:numPr>
        <w:ilvl w:val="0"/>
        <w:numId w:val="5"/>
      </w:numPr>
      <w:shd w:val="clear" w:color="FFFFFF" w:fill="FFFFFF"/>
      <w:spacing w:before="640" w:after="560"/>
      <w:jc w:val="center"/>
      <w:outlineLvl w:val="0"/>
    </w:pPr>
    <w:rPr>
      <w:rFonts w:ascii="黑体" w:hAnsi="黑体" w:eastAsia="黑体" w:cs="Times New Roman"/>
      <w:color w:val="000000"/>
      <w:sz w:val="32"/>
      <w:lang w:val="en-US" w:eastAsia="zh-CN" w:bidi="ar-SA"/>
    </w:rPr>
  </w:style>
  <w:style w:type="paragraph" w:customStyle="1" w:styleId="101">
    <w:name w:val="数字编号列项（二级）"/>
    <w:qFormat/>
    <w:uiPriority w:val="0"/>
    <w:pPr>
      <w:ind w:left="1260" w:hanging="420"/>
      <w:jc w:val="both"/>
    </w:pPr>
    <w:rPr>
      <w:rFonts w:ascii="宋体" w:hAnsi="宋体" w:eastAsia="宋体" w:cs="Times New Roman"/>
      <w:color w:val="000000"/>
      <w:sz w:val="21"/>
      <w:lang w:val="en-US" w:eastAsia="zh-CN" w:bidi="ar-SA"/>
    </w:rPr>
  </w:style>
  <w:style w:type="paragraph" w:customStyle="1" w:styleId="102">
    <w:name w:val="目次、标准名称标题"/>
    <w:basedOn w:val="100"/>
    <w:next w:val="103"/>
    <w:qFormat/>
    <w:uiPriority w:val="0"/>
    <w:pPr>
      <w:numPr>
        <w:numId w:val="0"/>
      </w:numPr>
      <w:spacing w:line="460" w:lineRule="exact"/>
    </w:p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104">
    <w:name w:val="附录章标题"/>
    <w:next w:val="103"/>
    <w:qFormat/>
    <w:uiPriority w:val="0"/>
    <w:pPr>
      <w:numPr>
        <w:ilvl w:val="1"/>
        <w:numId w:val="6"/>
      </w:numPr>
      <w:spacing w:before="50" w:after="50"/>
      <w:jc w:val="both"/>
      <w:outlineLvl w:val="1"/>
    </w:pPr>
    <w:rPr>
      <w:rFonts w:ascii="黑体" w:hAnsi="黑体" w:eastAsia="黑体" w:cs="Times New Roman"/>
      <w:color w:val="000000"/>
      <w:kern w:val="1"/>
      <w:sz w:val="21"/>
      <w:lang w:val="en-US" w:eastAsia="zh-CN" w:bidi="ar-SA"/>
    </w:rPr>
  </w:style>
  <w:style w:type="paragraph" w:customStyle="1" w:styleId="105">
    <w:name w:val="发布部门"/>
    <w:next w:val="103"/>
    <w:qFormat/>
    <w:uiPriority w:val="0"/>
    <w:pPr>
      <w:jc w:val="center"/>
    </w:pPr>
    <w:rPr>
      <w:rFonts w:ascii="宋体" w:hAnsi="宋体" w:eastAsia="宋体" w:cs="Times New Roman"/>
      <w:b/>
      <w:color w:val="000000"/>
      <w:spacing w:val="21"/>
      <w:w w:val="135"/>
      <w:sz w:val="36"/>
      <w:lang w:val="en-US" w:eastAsia="zh-CN" w:bidi="ar-SA"/>
    </w:rPr>
  </w:style>
  <w:style w:type="paragraph" w:customStyle="1" w:styleId="106">
    <w:name w:val="五级条标题"/>
    <w:basedOn w:val="107"/>
    <w:next w:val="103"/>
    <w:qFormat/>
    <w:uiPriority w:val="0"/>
    <w:pPr>
      <w:numPr>
        <w:ilvl w:val="6"/>
        <w:numId w:val="5"/>
      </w:numPr>
      <w:tabs>
        <w:tab w:val="left" w:pos="0"/>
        <w:tab w:val="left" w:pos="1260"/>
        <w:tab w:val="left" w:pos="2100"/>
      </w:tabs>
      <w:outlineLvl w:val="6"/>
    </w:pPr>
  </w:style>
  <w:style w:type="paragraph" w:customStyle="1" w:styleId="107">
    <w:name w:val="四级条标题"/>
    <w:basedOn w:val="108"/>
    <w:next w:val="103"/>
    <w:qFormat/>
    <w:uiPriority w:val="0"/>
    <w:pPr>
      <w:tabs>
        <w:tab w:val="left" w:pos="0"/>
        <w:tab w:val="left" w:pos="1260"/>
        <w:tab w:val="left" w:pos="2100"/>
      </w:tabs>
      <w:ind w:left="0" w:firstLine="0"/>
      <w:outlineLvl w:val="5"/>
    </w:pPr>
  </w:style>
  <w:style w:type="paragraph" w:customStyle="1" w:styleId="108">
    <w:name w:val="三级条标题"/>
    <w:basedOn w:val="109"/>
    <w:next w:val="103"/>
    <w:qFormat/>
    <w:uiPriority w:val="0"/>
    <w:pPr>
      <w:numPr>
        <w:ilvl w:val="0"/>
        <w:numId w:val="0"/>
      </w:numPr>
      <w:tabs>
        <w:tab w:val="left" w:pos="1260"/>
        <w:tab w:val="left" w:pos="2100"/>
      </w:tabs>
      <w:ind w:left="2100" w:hanging="420"/>
      <w:outlineLvl w:val="4"/>
    </w:pPr>
  </w:style>
  <w:style w:type="paragraph" w:customStyle="1" w:styleId="109">
    <w:name w:val="二级条标题"/>
    <w:basedOn w:val="110"/>
    <w:next w:val="103"/>
    <w:qFormat/>
    <w:uiPriority w:val="0"/>
    <w:pPr>
      <w:tabs>
        <w:tab w:val="left" w:pos="1260"/>
      </w:tabs>
    </w:pPr>
  </w:style>
  <w:style w:type="paragraph" w:customStyle="1" w:styleId="110">
    <w:name w:val="一级条标题"/>
    <w:next w:val="103"/>
    <w:qFormat/>
    <w:uiPriority w:val="0"/>
    <w:pPr>
      <w:numPr>
        <w:ilvl w:val="2"/>
        <w:numId w:val="5"/>
      </w:numPr>
      <w:outlineLvl w:val="2"/>
    </w:pPr>
    <w:rPr>
      <w:rFonts w:ascii="Times New Roman" w:hAnsi="Times New Roman" w:eastAsia="黑体" w:cs="Times New Roman"/>
      <w:color w:val="000000"/>
      <w:kern w:val="1"/>
      <w:sz w:val="21"/>
      <w:szCs w:val="24"/>
      <w:lang w:val="en-US" w:eastAsia="zh-CN" w:bidi="ar-SA"/>
    </w:rPr>
  </w:style>
  <w:style w:type="paragraph" w:customStyle="1" w:styleId="111">
    <w:name w:val="正文表标题"/>
    <w:next w:val="103"/>
    <w:qFormat/>
    <w:uiPriority w:val="0"/>
    <w:pPr>
      <w:numPr>
        <w:ilvl w:val="0"/>
        <w:numId w:val="7"/>
      </w:numPr>
      <w:jc w:val="center"/>
    </w:pPr>
    <w:rPr>
      <w:rFonts w:ascii="黑体" w:hAnsi="黑体" w:eastAsia="黑体" w:cs="Times New Roman"/>
      <w:color w:val="000000"/>
      <w:sz w:val="21"/>
      <w:lang w:val="en-US" w:eastAsia="zh-CN" w:bidi="ar-SA"/>
    </w:rPr>
  </w:style>
  <w:style w:type="paragraph" w:styleId="112">
    <w:name w:val="List Paragraph"/>
    <w:basedOn w:val="1"/>
    <w:qFormat/>
    <w:uiPriority w:val="34"/>
    <w:pPr>
      <w:ind w:firstLine="420" w:firstLineChars="200"/>
    </w:pPr>
    <w:rPr>
      <w:szCs w:val="24"/>
    </w:rPr>
  </w:style>
  <w:style w:type="paragraph" w:customStyle="1" w:styleId="113">
    <w:name w:val="发布日期"/>
    <w:qFormat/>
    <w:uiPriority w:val="0"/>
    <w:rPr>
      <w:rFonts w:ascii="Times New Roman" w:hAnsi="Times New Roman" w:eastAsia="黑体" w:cs="Times New Roman"/>
      <w:color w:val="000000"/>
      <w:sz w:val="28"/>
      <w:lang w:val="en-US" w:eastAsia="zh-CN" w:bidi="ar-SA"/>
    </w:rPr>
  </w:style>
  <w:style w:type="paragraph" w:customStyle="1" w:styleId="114">
    <w:name w:val="封面标准号2"/>
    <w:basedOn w:val="1"/>
    <w:qFormat/>
    <w:uiPriority w:val="0"/>
    <w:rPr>
      <w:szCs w:val="24"/>
    </w:rPr>
  </w:style>
  <w:style w:type="paragraph" w:customStyle="1" w:styleId="115">
    <w:name w:val="标准书脚_偶数页"/>
    <w:qFormat/>
    <w:uiPriority w:val="0"/>
    <w:pPr>
      <w:spacing w:before="120"/>
    </w:pPr>
    <w:rPr>
      <w:rFonts w:ascii="Times New Roman" w:hAnsi="Times New Roman" w:eastAsia="宋体" w:cs="Times New Roman"/>
      <w:color w:val="000000"/>
      <w:sz w:val="18"/>
      <w:lang w:val="en-US" w:eastAsia="zh-CN" w:bidi="ar-SA"/>
    </w:rPr>
  </w:style>
  <w:style w:type="paragraph" w:customStyle="1" w:styleId="116">
    <w:name w:val="附录表标题"/>
    <w:next w:val="103"/>
    <w:qFormat/>
    <w:uiPriority w:val="0"/>
    <w:pPr>
      <w:numPr>
        <w:ilvl w:val="0"/>
        <w:numId w:val="8"/>
      </w:numPr>
      <w:tabs>
        <w:tab w:val="left" w:pos="360"/>
      </w:tabs>
      <w:jc w:val="center"/>
    </w:pPr>
    <w:rPr>
      <w:rFonts w:ascii="黑体" w:hAnsi="黑体" w:eastAsia="黑体" w:cs="Times New Roman"/>
      <w:color w:val="000000"/>
      <w:kern w:val="1"/>
      <w:sz w:val="21"/>
      <w:lang w:val="en-US" w:eastAsia="zh-CN" w:bidi="ar-SA"/>
    </w:rPr>
  </w:style>
  <w:style w:type="paragraph" w:customStyle="1" w:styleId="117">
    <w:name w:val="附录标识"/>
    <w:basedOn w:val="100"/>
    <w:qFormat/>
    <w:uiPriority w:val="0"/>
    <w:pPr>
      <w:numPr>
        <w:ilvl w:val="0"/>
        <w:numId w:val="6"/>
      </w:numPr>
      <w:tabs>
        <w:tab w:val="left" w:pos="6405"/>
      </w:tabs>
      <w:spacing w:after="200"/>
    </w:pPr>
    <w:rPr>
      <w:sz w:val="21"/>
    </w:rPr>
  </w:style>
  <w:style w:type="paragraph" w:customStyle="1" w:styleId="118">
    <w:name w:val="普通文字"/>
    <w:basedOn w:val="1"/>
    <w:qFormat/>
    <w:uiPriority w:val="0"/>
    <w:pPr>
      <w:widowControl/>
      <w:spacing w:line="351" w:lineRule="atLeast"/>
      <w:ind w:firstLine="419"/>
      <w:textAlignment w:val="baseline"/>
    </w:pPr>
    <w:rPr>
      <w:rFonts w:ascii="宋体"/>
      <w:color w:val="000000"/>
      <w:kern w:val="0"/>
      <w:u w:color="000000"/>
    </w:rPr>
  </w:style>
  <w:style w:type="paragraph" w:customStyle="1" w:styleId="119">
    <w:name w:val="其他发布部门"/>
    <w:basedOn w:val="105"/>
    <w:qFormat/>
    <w:uiPriority w:val="0"/>
    <w:pPr>
      <w:spacing w:line="0" w:lineRule="atLeast"/>
    </w:pPr>
    <w:rPr>
      <w:rFonts w:ascii="黑体" w:hAnsi="黑体" w:eastAsia="黑体"/>
      <w:b w:val="0"/>
    </w:rPr>
  </w:style>
  <w:style w:type="paragraph" w:customStyle="1" w:styleId="120">
    <w:name w:val="ordinary-output target-outpu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标准标志"/>
    <w:next w:val="1"/>
    <w:qFormat/>
    <w:uiPriority w:val="0"/>
    <w:pPr>
      <w:shd w:val="solid" w:color="FFFFFF" w:fill="FFFFFF"/>
      <w:spacing w:line="0" w:lineRule="atLeast"/>
      <w:jc w:val="right"/>
    </w:pPr>
    <w:rPr>
      <w:rFonts w:ascii="Times New Roman" w:hAnsi="Times New Roman" w:eastAsia="宋体" w:cs="Times New Roman"/>
      <w:b/>
      <w:color w:val="000000"/>
      <w:w w:val="130"/>
      <w:sz w:val="96"/>
      <w:lang w:val="en-US" w:eastAsia="zh-CN" w:bidi="ar-SA"/>
    </w:rPr>
  </w:style>
  <w:style w:type="paragraph" w:customStyle="1" w:styleId="122">
    <w:name w:val="附录二级条标题"/>
    <w:basedOn w:val="123"/>
    <w:next w:val="103"/>
    <w:qFormat/>
    <w:uiPriority w:val="0"/>
    <w:pPr>
      <w:numPr>
        <w:ilvl w:val="2"/>
      </w:numPr>
      <w:tabs>
        <w:tab w:val="left" w:pos="840"/>
      </w:tabs>
      <w:outlineLvl w:val="3"/>
    </w:pPr>
  </w:style>
  <w:style w:type="paragraph" w:customStyle="1" w:styleId="123">
    <w:name w:val="附录一级条标题"/>
    <w:basedOn w:val="104"/>
    <w:next w:val="103"/>
    <w:qFormat/>
    <w:uiPriority w:val="0"/>
    <w:pPr>
      <w:spacing w:before="0" w:after="0"/>
      <w:outlineLvl w:val="2"/>
    </w:pPr>
  </w:style>
  <w:style w:type="paragraph" w:customStyle="1" w:styleId="124">
    <w:name w:val="附录图标题"/>
    <w:next w:val="103"/>
    <w:qFormat/>
    <w:uiPriority w:val="0"/>
    <w:pPr>
      <w:numPr>
        <w:ilvl w:val="0"/>
        <w:numId w:val="9"/>
      </w:numPr>
      <w:tabs>
        <w:tab w:val="left" w:pos="360"/>
      </w:tabs>
      <w:jc w:val="center"/>
    </w:pPr>
    <w:rPr>
      <w:rFonts w:ascii="黑体" w:hAnsi="黑体" w:eastAsia="黑体" w:cs="Times New Roman"/>
      <w:color w:val="000000"/>
      <w:sz w:val="21"/>
      <w:lang w:val="en-US" w:eastAsia="zh-CN" w:bidi="ar-SA"/>
    </w:rPr>
  </w:style>
  <w:style w:type="paragraph" w:customStyle="1" w:styleId="125">
    <w:name w:val="Char"/>
    <w:basedOn w:val="1"/>
    <w:qFormat/>
    <w:uiPriority w:val="0"/>
    <w:pPr>
      <w:widowControl/>
      <w:spacing w:after="160" w:line="240" w:lineRule="exact"/>
      <w:jc w:val="left"/>
    </w:pPr>
    <w:rPr>
      <w:rFonts w:ascii="Verdana" w:hAnsi="Verdana" w:cs="Verdana"/>
      <w:color w:val="000000"/>
      <w:kern w:val="0"/>
      <w:sz w:val="20"/>
      <w:lang w:eastAsia="en-US"/>
    </w:rPr>
  </w:style>
  <w:style w:type="paragraph" w:customStyle="1" w:styleId="126">
    <w:name w:val="文献分类号"/>
    <w:qFormat/>
    <w:uiPriority w:val="0"/>
    <w:pPr>
      <w:widowControl w:val="0"/>
    </w:pPr>
    <w:rPr>
      <w:rFonts w:ascii="Times New Roman" w:hAnsi="Times New Roman" w:eastAsia="黑体" w:cs="Times New Roman"/>
      <w:color w:val="000000"/>
      <w:sz w:val="21"/>
      <w:lang w:val="en-US" w:eastAsia="zh-CN" w:bidi="ar-SA"/>
    </w:rPr>
  </w:style>
  <w:style w:type="paragraph" w:customStyle="1" w:styleId="127">
    <w:name w:val="其他标准称谓"/>
    <w:qFormat/>
    <w:uiPriority w:val="0"/>
    <w:pPr>
      <w:spacing w:line="0" w:lineRule="atLeast"/>
      <w:jc w:val="both"/>
    </w:pPr>
    <w:rPr>
      <w:rFonts w:ascii="黑体" w:hAnsi="黑体" w:eastAsia="黑体" w:cs="宋体"/>
      <w:color w:val="000000"/>
      <w:sz w:val="52"/>
      <w:lang w:val="en-US" w:eastAsia="zh-CN" w:bidi="ar-SA"/>
    </w:rPr>
  </w:style>
  <w:style w:type="paragraph" w:customStyle="1" w:styleId="128">
    <w:name w:val="列出段落1"/>
    <w:basedOn w:val="1"/>
    <w:qFormat/>
    <w:uiPriority w:val="34"/>
    <w:pPr>
      <w:ind w:firstLine="420" w:firstLineChars="200"/>
    </w:pPr>
    <w:rPr>
      <w:szCs w:val="24"/>
    </w:rPr>
  </w:style>
  <w:style w:type="paragraph" w:customStyle="1" w:styleId="129">
    <w:name w:val="附录三级条标题"/>
    <w:basedOn w:val="122"/>
    <w:next w:val="103"/>
    <w:qFormat/>
    <w:uiPriority w:val="0"/>
    <w:pPr>
      <w:numPr>
        <w:ilvl w:val="3"/>
      </w:numPr>
      <w:outlineLvl w:val="4"/>
    </w:pPr>
  </w:style>
  <w:style w:type="paragraph" w:styleId="13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封面标准文稿编辑信息"/>
    <w:qFormat/>
    <w:uiPriority w:val="0"/>
    <w:pPr>
      <w:spacing w:before="180" w:line="180" w:lineRule="exact"/>
      <w:jc w:val="center"/>
    </w:pPr>
    <w:rPr>
      <w:rFonts w:ascii="宋体" w:hAnsi="宋体" w:eastAsia="宋体" w:cs="Times New Roman"/>
      <w:color w:val="000000"/>
      <w:sz w:val="21"/>
      <w:lang w:val="en-US" w:eastAsia="zh-CN" w:bidi="ar-SA"/>
    </w:rPr>
  </w:style>
  <w:style w:type="paragraph" w:customStyle="1" w:styleId="132">
    <w:name w:val="标准书脚_奇数页"/>
    <w:qFormat/>
    <w:uiPriority w:val="0"/>
    <w:pPr>
      <w:spacing w:before="120"/>
      <w:jc w:val="right"/>
    </w:pPr>
    <w:rPr>
      <w:rFonts w:ascii="Times New Roman" w:hAnsi="Times New Roman" w:eastAsia="宋体" w:cs="Times New Roman"/>
      <w:color w:val="000000"/>
      <w:sz w:val="18"/>
      <w:lang w:val="en-US" w:eastAsia="zh-CN" w:bidi="ar-SA"/>
    </w:rPr>
  </w:style>
  <w:style w:type="paragraph" w:customStyle="1" w:styleId="133">
    <w:name w:val="List Paragraph11"/>
    <w:basedOn w:val="1"/>
    <w:qFormat/>
    <w:uiPriority w:val="34"/>
    <w:pPr>
      <w:ind w:firstLine="420" w:firstLineChars="200"/>
    </w:pPr>
    <w:rPr>
      <w:szCs w:val="24"/>
    </w:rPr>
  </w:style>
  <w:style w:type="paragraph" w:customStyle="1" w:styleId="134">
    <w:name w:val="字母编号列项（一级）"/>
    <w:qFormat/>
    <w:uiPriority w:val="0"/>
    <w:pPr>
      <w:ind w:left="840" w:hanging="420"/>
      <w:jc w:val="both"/>
    </w:pPr>
    <w:rPr>
      <w:rFonts w:ascii="宋体" w:hAnsi="宋体" w:eastAsia="宋体" w:cs="Times New Roman"/>
      <w:color w:val="000000"/>
      <w:sz w:val="21"/>
      <w:lang w:val="en-US" w:eastAsia="zh-CN" w:bidi="ar-SA"/>
    </w:rPr>
  </w:style>
  <w:style w:type="paragraph" w:customStyle="1" w:styleId="135">
    <w:name w:val="示例"/>
    <w:next w:val="103"/>
    <w:qFormat/>
    <w:uiPriority w:val="0"/>
    <w:pPr>
      <w:numPr>
        <w:ilvl w:val="0"/>
        <w:numId w:val="2"/>
      </w:numPr>
      <w:tabs>
        <w:tab w:val="left" w:pos="816"/>
      </w:tabs>
      <w:ind w:firstLine="419"/>
      <w:jc w:val="both"/>
    </w:pPr>
    <w:rPr>
      <w:rFonts w:ascii="宋体" w:hAnsi="宋体" w:eastAsia="宋体" w:cs="Times New Roman"/>
      <w:color w:val="000000"/>
      <w:sz w:val="18"/>
      <w:lang w:val="en-US" w:eastAsia="zh-CN" w:bidi="ar-SA"/>
    </w:rPr>
  </w:style>
  <w:style w:type="paragraph" w:customStyle="1" w:styleId="136">
    <w:name w:val="封面标准文稿类别"/>
    <w:qFormat/>
    <w:uiPriority w:val="0"/>
    <w:pPr>
      <w:spacing w:before="440" w:line="400" w:lineRule="exact"/>
      <w:jc w:val="center"/>
    </w:pPr>
    <w:rPr>
      <w:rFonts w:ascii="宋体" w:hAnsi="宋体" w:eastAsia="宋体" w:cs="Times New Roman"/>
      <w:color w:val="000000"/>
      <w:sz w:val="24"/>
      <w:lang w:val="en-US" w:eastAsia="zh-CN" w:bidi="ar-SA"/>
    </w:rPr>
  </w:style>
  <w:style w:type="paragraph" w:customStyle="1" w:styleId="137">
    <w:name w:val="标准书眉一"/>
    <w:qFormat/>
    <w:uiPriority w:val="0"/>
    <w:pPr>
      <w:jc w:val="both"/>
    </w:pPr>
    <w:rPr>
      <w:rFonts w:ascii="Times New Roman" w:hAnsi="Times New Roman" w:eastAsia="宋体" w:cs="Times New Roman"/>
      <w:color w:val="000000"/>
      <w:lang w:val="en-US" w:eastAsia="zh-CN" w:bidi="ar-SA"/>
    </w:rPr>
  </w:style>
  <w:style w:type="paragraph" w:customStyle="1" w:styleId="138">
    <w:name w:val="Char Char Char"/>
    <w:basedOn w:val="1"/>
    <w:qFormat/>
    <w:uiPriority w:val="0"/>
    <w:pPr>
      <w:widowControl/>
      <w:spacing w:after="160" w:line="240" w:lineRule="exact"/>
      <w:jc w:val="left"/>
    </w:pPr>
    <w:rPr>
      <w:rFonts w:ascii="Verdana" w:hAnsi="Verdana"/>
      <w:kern w:val="0"/>
      <w:sz w:val="20"/>
      <w:lang w:eastAsia="en-US"/>
    </w:rPr>
  </w:style>
  <w:style w:type="paragraph" w:customStyle="1" w:styleId="139">
    <w:name w:val="附录四级条标题"/>
    <w:basedOn w:val="129"/>
    <w:next w:val="103"/>
    <w:qFormat/>
    <w:uiPriority w:val="0"/>
    <w:pPr>
      <w:numPr>
        <w:ilvl w:val="4"/>
      </w:numPr>
      <w:outlineLvl w:val="5"/>
    </w:pPr>
  </w:style>
  <w:style w:type="paragraph" w:customStyle="1" w:styleId="140">
    <w:name w:val="Char Char Char1"/>
    <w:basedOn w:val="1"/>
    <w:qFormat/>
    <w:uiPriority w:val="0"/>
    <w:pPr>
      <w:widowControl/>
      <w:spacing w:after="160" w:line="240" w:lineRule="exact"/>
      <w:jc w:val="left"/>
    </w:pPr>
    <w:rPr>
      <w:rFonts w:ascii="Verdana" w:hAnsi="Verdana"/>
      <w:kern w:val="0"/>
      <w:sz w:val="20"/>
      <w:lang w:eastAsia="en-US"/>
    </w:rPr>
  </w:style>
  <w:style w:type="paragraph" w:customStyle="1" w:styleId="141">
    <w:name w:val="列项◆（三级）"/>
    <w:qFormat/>
    <w:uiPriority w:val="0"/>
    <w:pPr>
      <w:numPr>
        <w:ilvl w:val="0"/>
        <w:numId w:val="10"/>
      </w:numPr>
      <w:tabs>
        <w:tab w:val="left" w:pos="960"/>
      </w:tabs>
      <w:ind w:left="800" w:hanging="200"/>
    </w:pPr>
    <w:rPr>
      <w:rFonts w:ascii="宋体" w:hAnsi="宋体" w:eastAsia="宋体" w:cs="Times New Roman"/>
      <w:color w:val="000000"/>
      <w:sz w:val="21"/>
      <w:lang w:val="en-US" w:eastAsia="zh-CN" w:bidi="ar-SA"/>
    </w:rPr>
  </w:style>
  <w:style w:type="paragraph" w:customStyle="1" w:styleId="142">
    <w:name w:val="图表脚注"/>
    <w:next w:val="103"/>
    <w:qFormat/>
    <w:uiPriority w:val="0"/>
    <w:pPr>
      <w:numPr>
        <w:ilvl w:val="5"/>
        <w:numId w:val="5"/>
      </w:numPr>
      <w:ind w:left="300" w:hanging="100"/>
      <w:jc w:val="both"/>
    </w:pPr>
    <w:rPr>
      <w:rFonts w:ascii="宋体" w:hAnsi="宋体" w:eastAsia="宋体" w:cs="Times New Roman"/>
      <w:color w:val="000000"/>
      <w:sz w:val="18"/>
      <w:lang w:val="en-US" w:eastAsia="zh-CN" w:bidi="ar-SA"/>
    </w:rPr>
  </w:style>
  <w:style w:type="paragraph" w:customStyle="1" w:styleId="143">
    <w:name w:val="封面标准号1"/>
    <w:qFormat/>
    <w:uiPriority w:val="0"/>
    <w:pPr>
      <w:widowControl w:val="0"/>
      <w:spacing w:before="308"/>
      <w:jc w:val="right"/>
    </w:pPr>
    <w:rPr>
      <w:rFonts w:ascii="Times New Roman" w:hAnsi="Times New Roman" w:eastAsia="宋体" w:cs="Times New Roman"/>
      <w:color w:val="000000"/>
      <w:sz w:val="28"/>
      <w:lang w:val="en-US" w:eastAsia="zh-CN" w:bidi="ar-SA"/>
    </w:rPr>
  </w:style>
  <w:style w:type="paragraph" w:customStyle="1" w:styleId="144">
    <w:name w:val="条文脚注"/>
    <w:basedOn w:val="31"/>
    <w:qFormat/>
    <w:uiPriority w:val="0"/>
    <w:pPr>
      <w:ind w:left="780" w:hanging="360"/>
      <w:jc w:val="both"/>
    </w:pPr>
    <w:rPr>
      <w:rFonts w:ascii="宋体" w:hAnsi="宋体"/>
    </w:rPr>
  </w:style>
  <w:style w:type="paragraph" w:customStyle="1" w:styleId="145">
    <w:name w:val="封面一致性程度标识"/>
    <w:qFormat/>
    <w:uiPriority w:val="0"/>
    <w:pPr>
      <w:spacing w:before="440" w:line="400" w:lineRule="exact"/>
      <w:jc w:val="center"/>
    </w:pPr>
    <w:rPr>
      <w:rFonts w:ascii="宋体" w:hAnsi="宋体" w:eastAsia="宋体" w:cs="Times New Roman"/>
      <w:color w:val="000000"/>
      <w:sz w:val="28"/>
      <w:lang w:val="en-US" w:eastAsia="zh-CN" w:bidi="ar-SA"/>
    </w:rPr>
  </w:style>
  <w:style w:type="paragraph" w:customStyle="1" w:styleId="146">
    <w:name w:val="正文图标题"/>
    <w:next w:val="103"/>
    <w:qFormat/>
    <w:uiPriority w:val="0"/>
    <w:pPr>
      <w:numPr>
        <w:ilvl w:val="0"/>
        <w:numId w:val="11"/>
      </w:numPr>
      <w:jc w:val="center"/>
    </w:pPr>
    <w:rPr>
      <w:rFonts w:ascii="黑体" w:hAnsi="黑体" w:eastAsia="黑体" w:cs="Times New Roman"/>
      <w:color w:val="000000"/>
      <w:sz w:val="21"/>
      <w:lang w:val="en-US" w:eastAsia="zh-CN" w:bidi="ar-SA"/>
    </w:rPr>
  </w:style>
  <w:style w:type="paragraph" w:customStyle="1" w:styleId="147">
    <w:name w:val="标准称谓"/>
    <w:next w:val="1"/>
    <w:qFormat/>
    <w:uiPriority w:val="0"/>
    <w:pPr>
      <w:widowControl w:val="0"/>
      <w:spacing w:line="0" w:lineRule="atLeast"/>
      <w:jc w:val="both"/>
    </w:pPr>
    <w:rPr>
      <w:rFonts w:ascii="宋体" w:hAnsi="宋体" w:eastAsia="宋体" w:cs="Times New Roman"/>
      <w:b/>
      <w:color w:val="000000"/>
      <w:spacing w:val="20"/>
      <w:w w:val="148"/>
      <w:sz w:val="52"/>
      <w:lang w:val="en-US" w:eastAsia="zh-CN" w:bidi="ar-SA"/>
    </w:rPr>
  </w:style>
  <w:style w:type="paragraph" w:customStyle="1" w:styleId="148">
    <w:name w:val="目次、索引正文"/>
    <w:qFormat/>
    <w:uiPriority w:val="0"/>
    <w:pPr>
      <w:spacing w:line="320" w:lineRule="exact"/>
      <w:jc w:val="both"/>
    </w:pPr>
    <w:rPr>
      <w:rFonts w:ascii="宋体" w:hAnsi="宋体" w:eastAsia="宋体" w:cs="Times New Roman"/>
      <w:color w:val="000000"/>
      <w:sz w:val="21"/>
      <w:lang w:val="en-US" w:eastAsia="zh-CN" w:bidi="ar-SA"/>
    </w:rPr>
  </w:style>
  <w:style w:type="paragraph" w:customStyle="1" w:styleId="149">
    <w:name w:val="列项●（二级）"/>
    <w:qFormat/>
    <w:uiPriority w:val="0"/>
    <w:pPr>
      <w:numPr>
        <w:ilvl w:val="0"/>
        <w:numId w:val="12"/>
      </w:numPr>
      <w:tabs>
        <w:tab w:val="left" w:pos="760"/>
        <w:tab w:val="left" w:pos="840"/>
      </w:tabs>
      <w:ind w:left="600" w:hanging="200"/>
      <w:jc w:val="both"/>
    </w:pPr>
    <w:rPr>
      <w:rFonts w:ascii="宋体" w:hAnsi="宋体" w:eastAsia="宋体" w:cs="Times New Roman"/>
      <w:color w:val="000000"/>
      <w:sz w:val="21"/>
      <w:lang w:val="en-US" w:eastAsia="zh-CN" w:bidi="ar-SA"/>
    </w:rPr>
  </w:style>
  <w:style w:type="paragraph" w:customStyle="1" w:styleId="150">
    <w:name w:val="标准"/>
    <w:basedOn w:val="1"/>
    <w:qFormat/>
    <w:uiPriority w:val="0"/>
    <w:pPr>
      <w:spacing w:line="312" w:lineRule="atLeast"/>
      <w:ind w:firstLine="200"/>
      <w:jc w:val="center"/>
    </w:pPr>
    <w:rPr>
      <w:color w:val="000000"/>
      <w:kern w:val="0"/>
    </w:rPr>
  </w:style>
  <w:style w:type="paragraph" w:customStyle="1" w:styleId="151">
    <w:name w:val="注："/>
    <w:next w:val="103"/>
    <w:qFormat/>
    <w:uiPriority w:val="0"/>
    <w:pPr>
      <w:widowControl w:val="0"/>
      <w:ind w:left="840" w:hanging="420"/>
      <w:jc w:val="both"/>
    </w:pPr>
    <w:rPr>
      <w:rFonts w:ascii="宋体" w:hAnsi="宋体" w:eastAsia="宋体" w:cs="Times New Roman"/>
      <w:color w:val="000000"/>
      <w:sz w:val="18"/>
      <w:lang w:val="en-US" w:eastAsia="zh-CN" w:bidi="ar-SA"/>
    </w:rPr>
  </w:style>
  <w:style w:type="paragraph" w:customStyle="1" w:styleId="152">
    <w:name w:val="封面标准代替信息"/>
    <w:basedOn w:val="114"/>
    <w:qFormat/>
    <w:uiPriority w:val="0"/>
    <w:pPr>
      <w:spacing w:before="57" w:line="280" w:lineRule="exact"/>
      <w:jc w:val="right"/>
    </w:pPr>
    <w:rPr>
      <w:rFonts w:ascii="宋体" w:hAnsi="宋体"/>
      <w:color w:val="000000"/>
      <w:kern w:val="0"/>
      <w:szCs w:val="20"/>
    </w:rPr>
  </w:style>
  <w:style w:type="paragraph" w:customStyle="1" w:styleId="153">
    <w:name w:val="List Paragraph1"/>
    <w:basedOn w:val="1"/>
    <w:qFormat/>
    <w:uiPriority w:val="34"/>
    <w:pPr>
      <w:ind w:firstLine="420" w:firstLineChars="200"/>
    </w:pPr>
    <w:rPr>
      <w:rFonts w:ascii="Calibri" w:hAnsi="Calibri" w:cs="黑体"/>
      <w:szCs w:val="22"/>
    </w:rPr>
  </w:style>
  <w:style w:type="paragraph" w:customStyle="1" w:styleId="154">
    <w:name w:val="封面标准名称"/>
    <w:qFormat/>
    <w:uiPriority w:val="0"/>
    <w:pPr>
      <w:widowControl w:val="0"/>
      <w:spacing w:line="680" w:lineRule="exact"/>
      <w:jc w:val="center"/>
    </w:pPr>
    <w:rPr>
      <w:rFonts w:ascii="黑体" w:hAnsi="黑体" w:eastAsia="黑体" w:cs="Times New Roman"/>
      <w:color w:val="000000"/>
      <w:sz w:val="52"/>
      <w:lang w:val="en-US" w:eastAsia="zh-CN" w:bidi="ar-SA"/>
    </w:rPr>
  </w:style>
  <w:style w:type="paragraph" w:customStyle="1" w:styleId="155">
    <w:name w:val="实施日期"/>
    <w:basedOn w:val="113"/>
    <w:qFormat/>
    <w:uiPriority w:val="0"/>
    <w:pPr>
      <w:numPr>
        <w:ilvl w:val="4"/>
        <w:numId w:val="5"/>
      </w:numPr>
      <w:jc w:val="right"/>
    </w:pPr>
  </w:style>
  <w:style w:type="paragraph" w:customStyle="1" w:styleId="156">
    <w:name w:val="封面标准英文名称"/>
    <w:qFormat/>
    <w:uiPriority w:val="0"/>
    <w:pPr>
      <w:widowControl w:val="0"/>
      <w:spacing w:before="370" w:line="400" w:lineRule="exact"/>
      <w:jc w:val="center"/>
    </w:pPr>
    <w:rPr>
      <w:rFonts w:ascii="Times New Roman" w:hAnsi="Times New Roman" w:eastAsia="宋体" w:cs="Times New Roman"/>
      <w:sz w:val="28"/>
      <w:szCs w:val="22"/>
      <w:lang w:val="en-US" w:eastAsia="zh-CN" w:bidi="ar-SA"/>
    </w:rPr>
  </w:style>
  <w:style w:type="paragraph" w:customStyle="1" w:styleId="157">
    <w:name w:val="附录五级条标题"/>
    <w:basedOn w:val="139"/>
    <w:next w:val="103"/>
    <w:qFormat/>
    <w:uiPriority w:val="0"/>
    <w:pPr>
      <w:numPr>
        <w:ilvl w:val="6"/>
      </w:numPr>
      <w:outlineLvl w:val="6"/>
    </w:pPr>
  </w:style>
  <w:style w:type="paragraph" w:customStyle="1" w:styleId="158">
    <w:name w:val="封面正文"/>
    <w:qFormat/>
    <w:uiPriority w:val="0"/>
    <w:pPr>
      <w:jc w:val="both"/>
    </w:pPr>
    <w:rPr>
      <w:rFonts w:ascii="Times New Roman" w:hAnsi="Times New Roman" w:eastAsia="宋体" w:cs="Times New Roman"/>
      <w:color w:val="000000"/>
      <w:lang w:val="en-US" w:eastAsia="zh-CN" w:bidi="ar-SA"/>
    </w:rPr>
  </w:style>
  <w:style w:type="character" w:customStyle="1" w:styleId="159">
    <w:name w:val="font21"/>
    <w:basedOn w:val="39"/>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chart" Target="charts/chart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F:\&#26700;&#38754;\&#21494;&#29618;&#29618;\&#26631;&#20934;&#36215;&#33609;\&#26631;&#20934;&#21046;&#23450;\2019&#26631;&#20934;&#24037;&#20316;\&#31895;&#38177;\&#31895;&#38177;&#20013;&#38091;&#21547;&#37327;&#30340;&#27979;&#23450;%20&#25968;&#25454;&#22788;&#29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Bi</a:t>
            </a:r>
            <a:r>
              <a:rPr altLang="en-US">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工作曲线</a:t>
            </a:r>
            <a:endParaRPr altLang="en-US">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layout/>
      <c:overlay val="0"/>
      <c:spPr>
        <a:noFill/>
        <a:ln>
          <a:noFill/>
        </a:ln>
        <a:effectLst/>
      </c:spPr>
    </c:title>
    <c:autoTitleDeleted val="0"/>
    <c:plotArea>
      <c:layout/>
      <c:scatterChart>
        <c:scatterStyle val="marker"/>
        <c:varyColors val="0"/>
        <c:ser>
          <c:idx val="0"/>
          <c:order val="0"/>
          <c:spPr>
            <a:ln w="19050" cap="rnd">
              <a:noFill/>
              <a:round/>
            </a:ln>
            <a:effectLst/>
          </c:spPr>
          <c:marker>
            <c:symbol val="circle"/>
            <c:size val="5"/>
            <c:spPr>
              <a:solidFill>
                <a:sysClr val="windowText" lastClr="000000"/>
              </a:solidFill>
              <a:ln w="9525">
                <a:solidFill>
                  <a:sysClr val="windowText" lastClr="000000"/>
                </a:solidFill>
              </a:ln>
              <a:effectLst/>
            </c:spPr>
          </c:marker>
          <c:dLbls>
            <c:delete val="1"/>
          </c:dLbls>
          <c:trendline>
            <c:spPr>
              <a:ln w="12700" cap="rnd" cmpd="sng">
                <a:solidFill>
                  <a:sysClr val="windowText" lastClr="000000"/>
                </a:solidFill>
                <a:prstDash val="solid"/>
              </a:ln>
              <a:effectLst/>
            </c:spPr>
            <c:trendlineType val="linear"/>
            <c:dispRSqr val="1"/>
            <c:dispEq val="1"/>
            <c:trendlineLbl>
              <c:layout>
                <c:manualLayout>
                  <c:x val="-0.0569514237855946"/>
                  <c:y val="-9.997083865777e-18"/>
                </c:manualLayout>
              </c:layout>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trendlineLbl>
          </c:trendline>
          <c:xVal>
            <c:numRef>
              <c:f>'[粗锡中铋含量的测定 数据处理.xlsx]Sheet1'!$H$81:$H$88</c:f>
              <c:numCache>
                <c:formatCode>General</c:formatCode>
                <c:ptCount val="8"/>
                <c:pt idx="0">
                  <c:v>0</c:v>
                </c:pt>
                <c:pt idx="2" c:formatCode="0.00_ ">
                  <c:v>1</c:v>
                </c:pt>
                <c:pt idx="3" c:formatCode="0.00_ ">
                  <c:v>2</c:v>
                </c:pt>
                <c:pt idx="4" c:formatCode="0.00_ ">
                  <c:v>4</c:v>
                </c:pt>
                <c:pt idx="5" c:formatCode="0.00_ ">
                  <c:v>6</c:v>
                </c:pt>
                <c:pt idx="6" c:formatCode="0.00_ ">
                  <c:v>8</c:v>
                </c:pt>
                <c:pt idx="7" c:formatCode="0.00_ ">
                  <c:v>10</c:v>
                </c:pt>
              </c:numCache>
            </c:numRef>
          </c:xVal>
          <c:yVal>
            <c:numRef>
              <c:f>'[粗锡中铋含量的测定 数据处理.xlsx]Sheet1'!$I$81:$I$88</c:f>
              <c:numCache>
                <c:formatCode>General</c:formatCode>
                <c:ptCount val="8"/>
                <c:pt idx="0">
                  <c:v>0.0001</c:v>
                </c:pt>
                <c:pt idx="1">
                  <c:v>0.009525</c:v>
                </c:pt>
                <c:pt idx="2">
                  <c:v>0.0204</c:v>
                </c:pt>
                <c:pt idx="3">
                  <c:v>0.0425416666666667</c:v>
                </c:pt>
                <c:pt idx="4">
                  <c:v>0.0867166666666666</c:v>
                </c:pt>
                <c:pt idx="5">
                  <c:v>0.130541666666667</c:v>
                </c:pt>
                <c:pt idx="6">
                  <c:v>0.176025</c:v>
                </c:pt>
                <c:pt idx="7">
                  <c:v>0.216991666666667</c:v>
                </c:pt>
              </c:numCache>
            </c:numRef>
          </c:yVal>
          <c:smooth val="0"/>
        </c:ser>
        <c:dLbls>
          <c:showLegendKey val="0"/>
          <c:showVal val="0"/>
          <c:showCatName val="0"/>
          <c:showSerName val="0"/>
          <c:showPercent val="0"/>
          <c:showBubbleSize val="0"/>
        </c:dLbls>
        <c:axId val="587690049"/>
        <c:axId val="796415508"/>
      </c:scatterChart>
      <c:valAx>
        <c:axId val="587690049"/>
        <c:scaling>
          <c:orientation val="minMax"/>
        </c:scaling>
        <c:delete val="0"/>
        <c:axPos val="b"/>
        <c:majorGridlines>
          <c:spPr>
            <a:ln w="9525" cap="flat" cmpd="sng" algn="ctr">
              <a:solidFill>
                <a:sysClr val="window" lastClr="FFFFFF"/>
              </a:solidFill>
              <a:round/>
            </a:ln>
            <a:effectLst/>
          </c:spPr>
        </c:majorGridlines>
        <c:title>
          <c:tx>
            <c:rich>
              <a:bodyPr rot="0" spcFirstLastPara="0" vertOverflow="ellipsis" vert="horz" wrap="square" anchor="ctr" anchorCtr="1"/>
              <a:lstStyle/>
              <a:p>
                <a:pPr defTabSz="914400">
                  <a:defRPr lang="zh-CN" sz="14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400" b="1" i="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c</a:t>
                </a:r>
                <a:r>
                  <a:rPr sz="1400" b="1" i="1" baseline="-25000">
                    <a:solidFill>
                      <a:sysClr val="windowText" lastClr="000000"/>
                    </a:solidFill>
                    <a:uFillTx/>
                    <a:latin typeface="Times New Roman" panose="02020603050405020304" charset="0"/>
                    <a:ea typeface="Times New Roman" panose="02020603050405020304" charset="0"/>
                    <a:cs typeface="Times New Roman" panose="02020603050405020304" charset="0"/>
                    <a:sym typeface="Times New Roman" panose="02020603050405020304" charset="0"/>
                  </a:rPr>
                  <a:t>Bi</a:t>
                </a:r>
                <a:r>
                  <a:rPr sz="14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（µg/mL）</a:t>
                </a:r>
                <a:endParaRPr sz="1400" b="1">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48391959798995"/>
              <c:y val="0.902669102335676"/>
            </c:manualLayout>
          </c:layout>
          <c:overlay val="0"/>
          <c:spPr>
            <a:noFill/>
            <a:ln>
              <a:noFill/>
            </a:ln>
            <a:effectLst/>
          </c:spPr>
        </c:title>
        <c:numFmt formatCode="General" sourceLinked="1"/>
        <c:majorTickMark val="none"/>
        <c:minorTickMark val="none"/>
        <c:tickLblPos val="nextTo"/>
        <c:spPr>
          <a:noFill/>
          <a:ln w="15875" cap="flat" cmpd="sng" algn="ctr">
            <a:solidFill>
              <a:sysClr val="windowText" lastClr="000000"/>
            </a:solidFill>
            <a:round/>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96415508"/>
        <c:crosses val="autoZero"/>
        <c:crossBetween val="midCat"/>
      </c:valAx>
      <c:valAx>
        <c:axId val="796415508"/>
        <c:scaling>
          <c:orientation val="minMax"/>
          <c:min val="0"/>
        </c:scaling>
        <c:delete val="0"/>
        <c:axPos val="l"/>
        <c:majorGridlines>
          <c:spPr>
            <a:ln w="9525" cap="flat" cmpd="sng" algn="ctr">
              <a:solidFill>
                <a:sysClr val="window" lastClr="FFFFFF"/>
              </a:solidFill>
              <a:round/>
            </a:ln>
            <a:effectLst/>
          </c:spPr>
        </c:majorGridlines>
        <c:title>
          <c:tx>
            <c:rich>
              <a:bodyPr rot="-5400000" spcFirstLastPara="0" vertOverflow="ellipsis" vert="horz" wrap="square" anchor="ctr" anchorCtr="1"/>
              <a:lstStyle/>
              <a:p>
                <a:pPr defTabSz="914400">
                  <a:defRPr lang="zh-CN" sz="1400" b="1" i="0" u="none" strike="noStrike" kern="1200" baseline="0">
                    <a:solidFill>
                      <a:sysClr val="windowText" lastClr="000000"/>
                    </a:solidFill>
                    <a:latin typeface="+mn-lt"/>
                    <a:ea typeface="+mn-ea"/>
                    <a:cs typeface="+mn-cs"/>
                  </a:defRPr>
                </a:pPr>
                <a:r>
                  <a:rPr lang="en-US" altLang="zh-CN" sz="1400" b="1">
                    <a:solidFill>
                      <a:sysClr val="windowText" lastClr="000000"/>
                    </a:solidFill>
                  </a:rPr>
                  <a:t>Abs</a:t>
                </a:r>
                <a:endParaRPr lang="en-US" altLang="zh-CN" sz="1400" b="1">
                  <a:solidFill>
                    <a:sysClr val="windowText" lastClr="000000"/>
                  </a:solidFill>
                </a:endParaRPr>
              </a:p>
            </c:rich>
          </c:tx>
          <c:layout/>
          <c:overlay val="0"/>
          <c:spPr>
            <a:noFill/>
            <a:ln>
              <a:noFill/>
            </a:ln>
            <a:effectLst/>
          </c:spPr>
        </c:title>
        <c:numFmt formatCode="General" sourceLinked="1"/>
        <c:majorTickMark val="none"/>
        <c:minorTickMark val="none"/>
        <c:tickLblPos val="nextTo"/>
        <c:spPr>
          <a:noFill/>
          <a:ln w="15875" cap="flat" cmpd="sng" algn="ctr">
            <a:solidFill>
              <a:sysClr val="windowText" lastClr="000000"/>
            </a:solidFill>
            <a:round/>
          </a:ln>
          <a:effectLst/>
        </c:spPr>
        <c:txPr>
          <a:bodyPr rot="-60000000" spcFirstLastPara="0" vertOverflow="ellipsis" vert="horz" wrap="square" anchor="ctr" anchorCtr="1"/>
          <a:lstStyle/>
          <a:p>
            <a:pPr>
              <a:defRPr lang="zh-CN" sz="1000" b="1"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87690049"/>
        <c:crosses val="autoZero"/>
        <c:crossBetween val="midCat"/>
      </c:valAx>
      <c:spPr>
        <a:noFill/>
        <a:ln>
          <a:noFill/>
        </a:ln>
        <a:effectLst/>
      </c:spPr>
    </c:plotArea>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25000"/>
            <a:lumOff val="7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19050" cap="rnd">
        <a:solidFill>
          <a:srgbClr val="FFFFFF"/>
        </a:solidFill>
        <a:round/>
      </a:ln>
    </cs:spPr>
  </cs:dataPointLine>
  <cs:dataPointMarker>
    <cs:lnRef idx="0">
      <cs:styleClr val="auto"/>
    </cs:lnRef>
    <cs:fillRef idx="1">
      <cs:styleClr val="auto"/>
    </cs:fillRef>
    <cs:effectRef idx="0"/>
    <cs:fontRef idx="minor">
      <a:sysClr val="windowText" lastClr="000000"/>
    </cs:fontRef>
    <cs:spPr>
      <a:ln w="9525">
        <a:solidFill>
          <a:srgbClr val="FFFFFF"/>
        </a:solidFill>
      </a:ln>
    </cs:spPr>
  </cs:dataPointMarker>
  <cs:dataPointMarkerLayout symbol="circle" size="5"/>
  <cs:dataPointWireframe>
    <cs:lnRef idx="0">
      <cs:styleClr val="auto"/>
    </cs:lnRef>
    <cs:fillRef idx="0"/>
    <cs:effectRef idx="0"/>
    <cs:fontRef idx="minor">
      <a:sysClr val="windowText" lastClr="000000"/>
    </cs:fontRef>
    <cs:spPr>
      <a:ln w="9525" cap="rnd">
        <a:solidFill>
          <a:srgbClr val="FFFFFF"/>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rgbClr val="FFFFFF"/>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spPr>
      <a:ln w="9525" cap="flat" cmpd="sng" algn="ctr">
        <a:solidFill>
          <a:sysClr val="windowText" lastClr="000000">
            <a:lumMod val="25000"/>
            <a:lumOff val="75000"/>
          </a:sysClr>
        </a:solidFill>
        <a:round/>
      </a:ln>
    </cs:spPr>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9845</Words>
  <Characters>7763</Characters>
  <Lines>64</Lines>
  <Paragraphs>35</Paragraphs>
  <TotalTime>9</TotalTime>
  <ScaleCrop>false</ScaleCrop>
  <LinksUpToDate>false</LinksUpToDate>
  <CharactersWithSpaces>17573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2018-11-15T11:31:00Z</dcterms:created>
  <dc:creator>jc2-1</dc:creator>
  <cp:lastModifiedBy>0*0</cp:lastModifiedBy>
  <cp:lastPrinted>2017-10-22T13:10:00Z</cp:lastPrinted>
  <dcterms:modified xsi:type="dcterms:W3CDTF">2020-07-30T07:41:48Z</dcterms:modified>
  <dc:title>铜精矿化学分析方法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