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rPr>
          <w:sz w:val="24"/>
          <w:szCs w:val="24"/>
        </w:rPr>
      </w:pPr>
    </w:p>
    <w:p>
      <w:pPr>
        <w:spacing w:before="100" w:beforeAutospacing="1" w:after="100" w:afterAutospacing="1" w:line="360" w:lineRule="auto"/>
        <w:ind w:firstLine="880" w:firstLineChars="200"/>
        <w:jc w:val="center"/>
        <w:rPr>
          <w:sz w:val="44"/>
          <w:szCs w:val="44"/>
        </w:rPr>
      </w:pPr>
    </w:p>
    <w:p>
      <w:pPr>
        <w:spacing w:before="100" w:beforeAutospacing="1" w:after="100" w:afterAutospacing="1" w:line="360" w:lineRule="auto"/>
        <w:ind w:firstLine="880" w:firstLineChars="200"/>
        <w:jc w:val="center"/>
        <w:rPr>
          <w:sz w:val="44"/>
          <w:szCs w:val="44"/>
        </w:rPr>
      </w:pPr>
    </w:p>
    <w:p>
      <w:pPr>
        <w:spacing w:before="100" w:beforeAutospacing="1" w:after="100" w:afterAutospacing="1" w:line="360" w:lineRule="auto"/>
        <w:jc w:val="center"/>
        <w:rPr>
          <w:rFonts w:hint="eastAsia" w:ascii="黑体" w:hAnsi="黑体" w:eastAsia="黑体" w:cs="黑体"/>
          <w:sz w:val="44"/>
          <w:szCs w:val="44"/>
        </w:rPr>
      </w:pPr>
      <w:r>
        <w:rPr>
          <w:rFonts w:hint="eastAsia" w:ascii="黑体" w:hAnsi="黑体" w:eastAsia="黑体" w:cs="黑体"/>
          <w:sz w:val="44"/>
          <w:szCs w:val="44"/>
        </w:rPr>
        <w:t>国家标准</w:t>
      </w:r>
    </w:p>
    <w:p>
      <w:pPr>
        <w:spacing w:before="100" w:beforeAutospacing="1" w:after="100" w:afterAutospacing="1" w:line="360" w:lineRule="auto"/>
        <w:jc w:val="center"/>
        <w:rPr>
          <w:rFonts w:hint="eastAsia" w:ascii="黑体" w:hAnsi="黑体" w:eastAsia="黑体" w:cs="黑体"/>
          <w:sz w:val="40"/>
          <w:szCs w:val="44"/>
        </w:rPr>
      </w:pPr>
      <w:r>
        <w:rPr>
          <w:rFonts w:hint="eastAsia" w:ascii="黑体" w:hAnsi="黑体" w:eastAsia="黑体" w:cs="黑体"/>
          <w:sz w:val="44"/>
          <w:szCs w:val="44"/>
        </w:rPr>
        <w:t>《金属粉末 高温时松装密度和流速的测定 第1部分：高温时松装密度的测定</w:t>
      </w:r>
      <w:r>
        <w:rPr>
          <w:rFonts w:hint="eastAsia" w:ascii="黑体" w:hAnsi="黑体" w:eastAsia="黑体" w:cs="黑体"/>
          <w:sz w:val="40"/>
          <w:szCs w:val="44"/>
        </w:rPr>
        <w:t>》</w:t>
      </w:r>
    </w:p>
    <w:p>
      <w:pPr>
        <w:spacing w:before="100" w:beforeAutospacing="1" w:after="100" w:afterAutospacing="1" w:line="360" w:lineRule="auto"/>
        <w:jc w:val="center"/>
        <w:rPr>
          <w:rFonts w:hint="eastAsia" w:ascii="黑体" w:hAnsi="黑体" w:eastAsia="黑体" w:cs="黑体"/>
          <w:sz w:val="44"/>
          <w:szCs w:val="44"/>
        </w:rPr>
      </w:pPr>
      <w:r>
        <w:rPr>
          <w:rFonts w:hint="eastAsia" w:ascii="黑体" w:hAnsi="黑体" w:eastAsia="黑体" w:cs="黑体"/>
          <w:sz w:val="44"/>
          <w:szCs w:val="44"/>
        </w:rPr>
        <w:t>编制说明</w:t>
      </w:r>
    </w:p>
    <w:p>
      <w:pPr>
        <w:spacing w:before="100" w:beforeAutospacing="1" w:after="100" w:afterAutospacing="1" w:line="360" w:lineRule="auto"/>
        <w:jc w:val="center"/>
        <w:rPr>
          <w:sz w:val="32"/>
          <w:szCs w:val="32"/>
        </w:rPr>
      </w:pPr>
      <w:r>
        <w:rPr>
          <w:sz w:val="32"/>
          <w:szCs w:val="32"/>
        </w:rPr>
        <w:t>（</w:t>
      </w:r>
      <w:r>
        <w:rPr>
          <w:rFonts w:hint="eastAsia"/>
          <w:sz w:val="32"/>
          <w:szCs w:val="32"/>
        </w:rPr>
        <w:t>征求意见</w:t>
      </w:r>
      <w:r>
        <w:rPr>
          <w:sz w:val="32"/>
          <w:szCs w:val="32"/>
        </w:rPr>
        <w:t>稿）</w:t>
      </w:r>
    </w:p>
    <w:p>
      <w:pPr>
        <w:spacing w:before="100" w:beforeAutospacing="1" w:after="100" w:afterAutospacing="1" w:line="360" w:lineRule="auto"/>
        <w:ind w:firstLine="480" w:firstLineChars="200"/>
        <w:jc w:val="left"/>
        <w:rPr>
          <w:sz w:val="24"/>
          <w:szCs w:val="24"/>
        </w:rPr>
      </w:pPr>
    </w:p>
    <w:p>
      <w:pPr>
        <w:spacing w:before="100" w:beforeAutospacing="1" w:after="100" w:afterAutospacing="1" w:line="360" w:lineRule="auto"/>
        <w:ind w:firstLine="480" w:firstLineChars="200"/>
        <w:jc w:val="left"/>
        <w:rPr>
          <w:sz w:val="24"/>
          <w:szCs w:val="24"/>
        </w:rPr>
      </w:pPr>
    </w:p>
    <w:p>
      <w:pPr>
        <w:spacing w:before="100" w:beforeAutospacing="1" w:after="100" w:afterAutospacing="1" w:line="360" w:lineRule="auto"/>
        <w:rPr>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440" w:header="851" w:footer="992" w:gutter="284"/>
          <w:pgNumType w:start="1"/>
          <w:cols w:space="425" w:num="1"/>
          <w:titlePg/>
          <w:docGrid w:linePitch="312" w:charSpace="0"/>
        </w:sectPr>
      </w:pPr>
    </w:p>
    <w:p>
      <w:pPr>
        <w:spacing w:before="100" w:beforeAutospacing="1" w:after="100" w:afterAutospacing="1" w:line="360" w:lineRule="auto"/>
        <w:ind w:firstLine="1280" w:firstLineChars="400"/>
        <w:rPr>
          <w:rFonts w:hint="eastAsia" w:ascii="黑体" w:hAnsi="黑体" w:eastAsia="黑体" w:cs="黑体"/>
          <w:sz w:val="32"/>
          <w:szCs w:val="32"/>
        </w:rPr>
      </w:pPr>
      <w:r>
        <w:rPr>
          <w:rFonts w:hint="eastAsia" w:ascii="黑体" w:hAnsi="黑体" w:eastAsia="黑体" w:cs="黑体"/>
          <w:sz w:val="32"/>
          <w:szCs w:val="36"/>
        </w:rPr>
        <w:t>国家标准《</w:t>
      </w:r>
      <w:r>
        <w:rPr>
          <w:rFonts w:hint="eastAsia" w:ascii="黑体" w:hAnsi="黑体" w:eastAsia="黑体" w:cs="黑体"/>
          <w:sz w:val="32"/>
          <w:szCs w:val="32"/>
        </w:rPr>
        <w:t xml:space="preserve">金属粉末 高温时松装密度和流速的测定 </w:t>
      </w:r>
    </w:p>
    <w:p>
      <w:pPr>
        <w:spacing w:before="100" w:beforeAutospacing="1" w:after="100" w:afterAutospacing="1" w:line="360" w:lineRule="auto"/>
        <w:jc w:val="center"/>
        <w:rPr>
          <w:rFonts w:hint="eastAsia" w:ascii="黑体" w:hAnsi="黑体" w:eastAsia="黑体" w:cs="黑体"/>
          <w:sz w:val="32"/>
          <w:szCs w:val="36"/>
        </w:rPr>
      </w:pPr>
      <w:r>
        <w:rPr>
          <w:rFonts w:hint="eastAsia" w:ascii="黑体" w:hAnsi="黑体" w:eastAsia="黑体" w:cs="黑体"/>
          <w:sz w:val="32"/>
          <w:szCs w:val="32"/>
        </w:rPr>
        <w:t>第1部分：高温时松装密度的测定</w:t>
      </w:r>
      <w:r>
        <w:rPr>
          <w:rFonts w:hint="eastAsia" w:ascii="黑体" w:hAnsi="黑体" w:eastAsia="黑体" w:cs="黑体"/>
          <w:sz w:val="32"/>
          <w:szCs w:val="36"/>
        </w:rPr>
        <w:t>》</w:t>
      </w:r>
    </w:p>
    <w:p>
      <w:pPr>
        <w:spacing w:before="100" w:beforeAutospacing="1" w:after="100" w:afterAutospacing="1" w:line="360" w:lineRule="auto"/>
        <w:jc w:val="center"/>
        <w:rPr>
          <w:rFonts w:hint="eastAsia" w:ascii="黑体" w:hAnsi="黑体" w:eastAsia="黑体" w:cs="黑体"/>
          <w:sz w:val="36"/>
          <w:szCs w:val="36"/>
        </w:rPr>
      </w:pPr>
      <w:r>
        <w:rPr>
          <w:rFonts w:hint="eastAsia" w:ascii="黑体" w:hAnsi="黑体" w:eastAsia="黑体" w:cs="黑体"/>
          <w:sz w:val="36"/>
          <w:szCs w:val="36"/>
        </w:rPr>
        <w:t>编制说明（征求意见稿）</w:t>
      </w:r>
    </w:p>
    <w:p>
      <w:pPr>
        <w:widowControl/>
        <w:snapToGrid w:val="0"/>
        <w:spacing w:after="120" w:afterLines="50" w:line="360" w:lineRule="auto"/>
        <w:jc w:val="left"/>
        <w:rPr>
          <w:b/>
          <w:bCs/>
          <w:kern w:val="0"/>
          <w:sz w:val="24"/>
          <w:szCs w:val="24"/>
        </w:rPr>
      </w:pPr>
      <w:r>
        <w:rPr>
          <w:rFonts w:hint="eastAsia"/>
          <w:b/>
          <w:bCs/>
          <w:kern w:val="0"/>
          <w:sz w:val="24"/>
          <w:szCs w:val="24"/>
        </w:rPr>
        <w:t>一、</w:t>
      </w:r>
      <w:r>
        <w:rPr>
          <w:b/>
          <w:bCs/>
          <w:kern w:val="0"/>
          <w:sz w:val="24"/>
          <w:szCs w:val="24"/>
        </w:rPr>
        <w:t>工作简况</w:t>
      </w:r>
    </w:p>
    <w:p>
      <w:pPr>
        <w:widowControl/>
        <w:snapToGrid w:val="0"/>
        <w:spacing w:before="240" w:beforeLines="100" w:line="360" w:lineRule="auto"/>
        <w:jc w:val="left"/>
        <w:rPr>
          <w:rFonts w:ascii="宋体" w:hAnsi="宋体"/>
          <w:b/>
          <w:bCs/>
          <w:kern w:val="0"/>
          <w:sz w:val="24"/>
          <w:szCs w:val="24"/>
        </w:rPr>
      </w:pPr>
      <w:r>
        <w:rPr>
          <w:rFonts w:hint="eastAsia" w:ascii="宋体" w:hAnsi="宋体"/>
          <w:b/>
          <w:bCs/>
          <w:kern w:val="0"/>
          <w:sz w:val="24"/>
          <w:szCs w:val="24"/>
        </w:rPr>
        <w:t>1．1</w:t>
      </w:r>
      <w:r>
        <w:rPr>
          <w:rFonts w:ascii="宋体" w:hAnsi="宋体"/>
          <w:b/>
          <w:bCs/>
          <w:kern w:val="0"/>
          <w:sz w:val="24"/>
          <w:szCs w:val="24"/>
        </w:rPr>
        <w:t xml:space="preserve"> 任务来源</w:t>
      </w:r>
    </w:p>
    <w:p>
      <w:pPr>
        <w:pStyle w:val="32"/>
        <w:spacing w:line="360" w:lineRule="auto"/>
        <w:ind w:firstLine="480"/>
        <w:jc w:val="left"/>
        <w:rPr>
          <w:rFonts w:hAnsi="宋体" w:cs="Times New Roman"/>
          <w:sz w:val="24"/>
          <w:szCs w:val="24"/>
        </w:rPr>
      </w:pPr>
      <w:r>
        <w:rPr>
          <w:rFonts w:hAnsi="宋体" w:cs="Times New Roman"/>
          <w:sz w:val="24"/>
          <w:szCs w:val="24"/>
        </w:rPr>
        <w:t>根据国标委《</w:t>
      </w:r>
      <w:r>
        <w:rPr>
          <w:rFonts w:hint="eastAsia" w:hAnsi="宋体" w:cs="Times New Roman"/>
          <w:sz w:val="24"/>
          <w:szCs w:val="24"/>
        </w:rPr>
        <w:t>国家标准化管理委员会关于下达第四批推荐性国家标准计划的通知</w:t>
      </w:r>
      <w:r>
        <w:rPr>
          <w:rFonts w:hAnsi="宋体" w:cs="Times New Roman"/>
          <w:sz w:val="24"/>
          <w:szCs w:val="24"/>
        </w:rPr>
        <w:t>》（国标委</w:t>
      </w:r>
      <w:r>
        <w:rPr>
          <w:rFonts w:hint="eastAsia" w:hAnsi="宋体" w:cs="Times New Roman"/>
          <w:sz w:val="24"/>
          <w:szCs w:val="24"/>
        </w:rPr>
        <w:t>发函</w:t>
      </w:r>
      <w:r>
        <w:rPr>
          <w:rFonts w:hAnsi="宋体" w:cs="Times New Roman"/>
          <w:sz w:val="24"/>
          <w:szCs w:val="24"/>
        </w:rPr>
        <w:t>[2018]83号）文件要求，国家标准《</w:t>
      </w:r>
      <w:r>
        <w:rPr>
          <w:rFonts w:hint="eastAsia" w:hAnsi="宋体" w:cs="Times New Roman"/>
          <w:sz w:val="24"/>
          <w:szCs w:val="24"/>
        </w:rPr>
        <w:t>金属粉末 高温时松装密度和流速的测定 第1部分：高温时松装密度的测定</w:t>
      </w:r>
      <w:r>
        <w:rPr>
          <w:rFonts w:hAnsi="宋体" w:cs="Times New Roman"/>
          <w:sz w:val="24"/>
          <w:szCs w:val="24"/>
        </w:rPr>
        <w:t>》的</w:t>
      </w:r>
      <w:r>
        <w:rPr>
          <w:rFonts w:hint="eastAsia" w:hAnsi="宋体" w:cs="Times New Roman"/>
          <w:sz w:val="24"/>
          <w:szCs w:val="24"/>
        </w:rPr>
        <w:t>制定</w:t>
      </w:r>
      <w:r>
        <w:rPr>
          <w:rFonts w:hAnsi="宋体" w:cs="Times New Roman"/>
          <w:sz w:val="24"/>
          <w:szCs w:val="24"/>
        </w:rPr>
        <w:t>工作由</w:t>
      </w:r>
      <w:r>
        <w:rPr>
          <w:rFonts w:hint="eastAsia" w:hAnsi="宋体" w:cs="Times New Roman"/>
          <w:sz w:val="24"/>
          <w:szCs w:val="24"/>
        </w:rPr>
        <w:t>中南大学粉末冶金研究院</w:t>
      </w:r>
      <w:r>
        <w:rPr>
          <w:rFonts w:hAnsi="宋体" w:cs="Times New Roman"/>
          <w:sz w:val="24"/>
          <w:szCs w:val="24"/>
        </w:rPr>
        <w:t>负责，项目计划编号为：20184707-</w:t>
      </w:r>
      <w:r>
        <w:rPr>
          <w:rFonts w:hint="eastAsia" w:hAnsi="宋体" w:cs="Times New Roman"/>
          <w:sz w:val="24"/>
          <w:szCs w:val="24"/>
        </w:rPr>
        <w:t>T-610</w:t>
      </w:r>
      <w:r>
        <w:rPr>
          <w:rFonts w:hAnsi="宋体" w:cs="Times New Roman"/>
          <w:sz w:val="24"/>
          <w:szCs w:val="24"/>
        </w:rPr>
        <w:t>，项目完成年限为20</w:t>
      </w:r>
      <w:r>
        <w:rPr>
          <w:rFonts w:hint="eastAsia" w:hAnsi="宋体" w:cs="Times New Roman"/>
          <w:sz w:val="24"/>
          <w:szCs w:val="24"/>
        </w:rPr>
        <w:t>20</w:t>
      </w:r>
      <w:r>
        <w:rPr>
          <w:rFonts w:hAnsi="宋体" w:cs="Times New Roman"/>
          <w:sz w:val="24"/>
          <w:szCs w:val="24"/>
        </w:rPr>
        <w:t>年。</w:t>
      </w:r>
    </w:p>
    <w:p>
      <w:pPr>
        <w:widowControl/>
        <w:snapToGrid w:val="0"/>
        <w:spacing w:line="360" w:lineRule="auto"/>
        <w:jc w:val="left"/>
        <w:rPr>
          <w:rFonts w:ascii="宋体" w:hAnsi="宋体"/>
          <w:b/>
          <w:bCs/>
          <w:kern w:val="0"/>
          <w:sz w:val="24"/>
          <w:szCs w:val="24"/>
        </w:rPr>
      </w:pPr>
      <w:r>
        <w:rPr>
          <w:rFonts w:hint="eastAsia" w:ascii="宋体" w:hAnsi="宋体"/>
          <w:b/>
          <w:bCs/>
          <w:kern w:val="0"/>
          <w:sz w:val="24"/>
          <w:szCs w:val="24"/>
        </w:rPr>
        <w:t>1.2 项目概况</w:t>
      </w:r>
    </w:p>
    <w:p>
      <w:pPr>
        <w:spacing w:line="360" w:lineRule="auto"/>
        <w:ind w:firstLine="480" w:firstLineChars="200"/>
        <w:rPr>
          <w:rFonts w:ascii="宋体" w:hAnsi="宋体"/>
          <w:sz w:val="24"/>
          <w:szCs w:val="24"/>
        </w:rPr>
      </w:pPr>
      <w:r>
        <w:rPr>
          <w:rFonts w:ascii="宋体" w:hAnsi="宋体" w:cs="Arial"/>
          <w:color w:val="333333"/>
          <w:kern w:val="0"/>
          <w:sz w:val="24"/>
          <w:szCs w:val="24"/>
          <w:shd w:val="clear" w:color="auto" w:fill="FFFFFF"/>
        </w:rPr>
        <w:t>粉末</w:t>
      </w:r>
      <w:r>
        <w:rPr>
          <w:rFonts w:ascii="宋体" w:hAnsi="宋体" w:cs="Arial"/>
          <w:bCs/>
          <w:color w:val="333333"/>
          <w:kern w:val="0"/>
          <w:sz w:val="24"/>
          <w:szCs w:val="24"/>
          <w:shd w:val="clear" w:color="auto" w:fill="FFFFFF"/>
        </w:rPr>
        <w:t>松装密度</w:t>
      </w:r>
      <w:r>
        <w:rPr>
          <w:rFonts w:ascii="宋体" w:hAnsi="宋体" w:cs="Arial"/>
          <w:color w:val="333333"/>
          <w:sz w:val="24"/>
          <w:szCs w:val="24"/>
          <w:shd w:val="clear" w:color="auto" w:fill="FFFFFF"/>
        </w:rPr>
        <w:t>是粉末在规定条件下自由充满标准容器后所测得的堆积密度，即粉末松散填装时单位体积的质量，以g/cm</w:t>
      </w:r>
      <w:r>
        <w:rPr>
          <w:rFonts w:ascii="宋体" w:hAnsi="宋体" w:cs="Arial"/>
          <w:color w:val="333333"/>
          <w:sz w:val="24"/>
          <w:szCs w:val="24"/>
          <w:shd w:val="clear" w:color="auto" w:fill="FFFFFF"/>
          <w:vertAlign w:val="superscript"/>
        </w:rPr>
        <w:t>3</w:t>
      </w:r>
      <w:r>
        <w:rPr>
          <w:rFonts w:ascii="宋体" w:hAnsi="宋体" w:cs="Arial"/>
          <w:color w:val="333333"/>
          <w:sz w:val="24"/>
          <w:szCs w:val="24"/>
          <w:shd w:val="clear" w:color="auto" w:fill="FFFFFF"/>
        </w:rPr>
        <w:t>表示，是粉末的一种工艺性能。松装密度是粉末多种性能的综合体现，对粉末冶金机械零件生产工艺的稳</w:t>
      </w:r>
      <w:r>
        <w:rPr>
          <w:rFonts w:ascii="宋体" w:hAnsi="宋体" w:cs="Arial"/>
          <w:sz w:val="24"/>
          <w:szCs w:val="24"/>
          <w:shd w:val="clear" w:color="auto" w:fill="FFFFFF"/>
        </w:rPr>
        <w:t>定，以及产品质量的控制都是很重要的，也是模具设计的依据</w:t>
      </w:r>
      <w:r>
        <w:rPr>
          <w:rFonts w:hint="eastAsia" w:ascii="宋体" w:hAnsi="宋体" w:cs="Arial"/>
          <w:sz w:val="24"/>
          <w:szCs w:val="24"/>
          <w:shd w:val="clear" w:color="auto" w:fill="FFFFFF"/>
        </w:rPr>
        <w:t>。</w:t>
      </w:r>
      <w:r>
        <w:rPr>
          <w:rFonts w:ascii="宋体" w:hAnsi="宋体" w:cs="Arial"/>
          <w:sz w:val="24"/>
          <w:szCs w:val="24"/>
          <w:shd w:val="clear" w:color="auto" w:fill="FFFFFF"/>
        </w:rPr>
        <w:t>松装密度是粉末冶金机械零件压模设计的重要工艺参数，它直接决定阴模模腔的装粉高度。在生产中，为了保证制品密度的一致，必须要求粉末松装密度稳定。</w:t>
      </w:r>
      <w:r>
        <w:rPr>
          <w:rFonts w:hint="eastAsia" w:ascii="宋体" w:hAnsi="宋体" w:cs="Arial"/>
          <w:sz w:val="24"/>
          <w:szCs w:val="24"/>
          <w:shd w:val="clear" w:color="auto" w:fill="FFFFFF"/>
        </w:rPr>
        <w:t>高温时松装密度的测定一般主要应用在温压成形工艺上，温压成形工艺是</w:t>
      </w:r>
      <w:r>
        <w:rPr>
          <w:rFonts w:ascii="宋体" w:hAnsi="宋体" w:cs="Arial"/>
          <w:sz w:val="24"/>
          <w:szCs w:val="24"/>
          <w:shd w:val="clear" w:color="auto" w:fill="FFFFFF"/>
        </w:rPr>
        <w:t>将预热的混合粉末(</w:t>
      </w:r>
      <w:r>
        <w:fldChar w:fldCharType="begin"/>
      </w:r>
      <w:r>
        <w:instrText xml:space="preserve"> HYPERLINK "https://baike.baidu.com/item/%E9%93%81%E7%B2%89" \t "_blank" </w:instrText>
      </w:r>
      <w:r>
        <w:fldChar w:fldCharType="separate"/>
      </w:r>
      <w:r>
        <w:rPr>
          <w:rStyle w:val="24"/>
          <w:rFonts w:ascii="宋体" w:hAnsi="宋体" w:cs="Arial"/>
          <w:color w:val="auto"/>
          <w:sz w:val="24"/>
          <w:szCs w:val="24"/>
          <w:u w:val="none"/>
          <w:shd w:val="clear" w:color="auto" w:fill="FFFFFF"/>
        </w:rPr>
        <w:t>铁粉</w:t>
      </w:r>
      <w:r>
        <w:rPr>
          <w:rStyle w:val="24"/>
          <w:rFonts w:ascii="宋体" w:hAnsi="宋体" w:cs="Arial"/>
          <w:color w:val="auto"/>
          <w:sz w:val="24"/>
          <w:szCs w:val="24"/>
          <w:u w:val="none"/>
          <w:shd w:val="clear" w:color="auto" w:fill="FFFFFF"/>
        </w:rPr>
        <w:fldChar w:fldCharType="end"/>
      </w:r>
      <w:r>
        <w:rPr>
          <w:rFonts w:ascii="宋体" w:hAnsi="宋体" w:cs="Arial"/>
          <w:sz w:val="24"/>
          <w:szCs w:val="24"/>
          <w:shd w:val="clear" w:color="auto" w:fill="FFFFFF"/>
        </w:rPr>
        <w:t>、</w:t>
      </w:r>
      <w:r>
        <w:fldChar w:fldCharType="begin"/>
      </w:r>
      <w:r>
        <w:instrText xml:space="preserve"> HYPERLINK "https://baike.baidu.com/item/%E7%9F%B3%E5%A2%A8%E7%B2%89" \t "_blank" </w:instrText>
      </w:r>
      <w:r>
        <w:fldChar w:fldCharType="separate"/>
      </w:r>
      <w:r>
        <w:rPr>
          <w:rStyle w:val="24"/>
          <w:rFonts w:ascii="宋体" w:hAnsi="宋体" w:cs="Arial"/>
          <w:color w:val="auto"/>
          <w:sz w:val="24"/>
          <w:szCs w:val="24"/>
          <w:u w:val="none"/>
          <w:shd w:val="clear" w:color="auto" w:fill="FFFFFF"/>
        </w:rPr>
        <w:t>石墨粉</w:t>
      </w:r>
      <w:r>
        <w:rPr>
          <w:rStyle w:val="24"/>
          <w:rFonts w:ascii="宋体" w:hAnsi="宋体" w:cs="Arial"/>
          <w:color w:val="auto"/>
          <w:sz w:val="24"/>
          <w:szCs w:val="24"/>
          <w:u w:val="none"/>
          <w:shd w:val="clear" w:color="auto" w:fill="FFFFFF"/>
        </w:rPr>
        <w:fldChar w:fldCharType="end"/>
      </w:r>
      <w:r>
        <w:rPr>
          <w:rFonts w:ascii="宋体" w:hAnsi="宋体" w:cs="Arial"/>
          <w:sz w:val="24"/>
          <w:szCs w:val="24"/>
          <w:shd w:val="clear" w:color="auto" w:fill="FFFFFF"/>
        </w:rPr>
        <w:t>、合金元素粉及高温润滑剂)在预热的封闭钢模中进行的加压成形。温压成形预热温度一般在100～150</w:t>
      </w:r>
      <w:r>
        <w:rPr>
          <w:rFonts w:hint="eastAsia" w:ascii="宋体" w:hAnsi="宋体" w:cs="宋体"/>
          <w:sz w:val="24"/>
          <w:szCs w:val="24"/>
          <w:shd w:val="clear" w:color="auto" w:fill="FFFFFF"/>
        </w:rPr>
        <w:t>℃</w:t>
      </w:r>
      <w:r>
        <w:rPr>
          <w:rFonts w:ascii="宋体" w:hAnsi="宋体" w:cs="Arial"/>
          <w:sz w:val="24"/>
          <w:szCs w:val="24"/>
          <w:shd w:val="clear" w:color="auto" w:fill="FFFFFF"/>
        </w:rPr>
        <w:t>。由于压制的温度介于通常的室温和热压温度之间，因而被称之为温压。正确的温压工艺可以将铁基零件的生坯密度由室温压制(600～800MPa)的6．6～6．8g/cm提高到7．25～7．45g/cm，而工艺成本又低于复压、复烧，渗铜，热锻。因此，以ANCORDENSE工艺为代表的温压成形技术被誉为90年代钢铁粉末冶金零件生产工艺的一大突破。温压工艺</w:t>
      </w:r>
      <w:r>
        <w:rPr>
          <w:rFonts w:hint="eastAsia" w:ascii="宋体" w:hAnsi="宋体" w:cs="Arial"/>
          <w:sz w:val="24"/>
          <w:szCs w:val="24"/>
          <w:shd w:val="clear" w:color="auto" w:fill="FFFFFF"/>
        </w:rPr>
        <w:t>由于</w:t>
      </w:r>
      <w:r>
        <w:rPr>
          <w:rFonts w:ascii="宋体" w:hAnsi="宋体" w:cs="Arial"/>
          <w:sz w:val="24"/>
          <w:szCs w:val="24"/>
          <w:shd w:val="clear" w:color="auto" w:fill="FFFFFF"/>
        </w:rPr>
        <w:t>可以用较低的压制压力获得较高的压坯密度和强度，即可以利用现有的压机生产截面较大的部件。同时，压坯密度的提高，可以使原来必须烧结后进行的后加工如钻盲孔和车削螺纹提前在压制后进行。这就大大减轻了粉末压坯后加工的难度，提高了生产效率。温压为高强度铁基零件在汽车、轿车上的应用开辟了新的低成本的工艺路线。因而，这项技术已引起人们的高度重视，正在被不断地完善和改进。粉末温压工艺对所采用的原料钢</w:t>
      </w:r>
      <w:r>
        <w:fldChar w:fldCharType="begin"/>
      </w:r>
      <w:r>
        <w:instrText xml:space="preserve"> HYPERLINK "https://baike.baidu.com/item/%E9%93%81%E7%B2%89" \t "_blank" </w:instrText>
      </w:r>
      <w:r>
        <w:fldChar w:fldCharType="separate"/>
      </w:r>
      <w:r>
        <w:rPr>
          <w:rStyle w:val="24"/>
          <w:rFonts w:ascii="宋体" w:hAnsi="宋体" w:cs="Arial"/>
          <w:color w:val="auto"/>
          <w:sz w:val="24"/>
          <w:szCs w:val="24"/>
          <w:u w:val="none"/>
          <w:shd w:val="clear" w:color="auto" w:fill="FFFFFF"/>
        </w:rPr>
        <w:t>铁粉</w:t>
      </w:r>
      <w:r>
        <w:rPr>
          <w:rStyle w:val="24"/>
          <w:rFonts w:ascii="宋体" w:hAnsi="宋体" w:cs="Arial"/>
          <w:color w:val="auto"/>
          <w:sz w:val="24"/>
          <w:szCs w:val="24"/>
          <w:u w:val="none"/>
          <w:shd w:val="clear" w:color="auto" w:fill="FFFFFF"/>
        </w:rPr>
        <w:fldChar w:fldCharType="end"/>
      </w:r>
      <w:r>
        <w:rPr>
          <w:rFonts w:ascii="宋体" w:hAnsi="宋体" w:cs="Arial"/>
          <w:sz w:val="24"/>
          <w:szCs w:val="24"/>
          <w:shd w:val="clear" w:color="auto" w:fill="FFFFFF"/>
        </w:rPr>
        <w:t>末的要求较严格。一般应使用高压缩性粉末，</w:t>
      </w:r>
      <w:r>
        <w:fldChar w:fldCharType="begin"/>
      </w:r>
      <w:r>
        <w:instrText xml:space="preserve"> HYPERLINK "https://baike.baidu.com/item/%E6%B0%A7%E5%90%AB%E9%87%8F" \t "_blank" </w:instrText>
      </w:r>
      <w:r>
        <w:fldChar w:fldCharType="separate"/>
      </w:r>
      <w:r>
        <w:rPr>
          <w:rStyle w:val="24"/>
          <w:rFonts w:ascii="宋体" w:hAnsi="宋体" w:cs="Arial"/>
          <w:color w:val="auto"/>
          <w:sz w:val="24"/>
          <w:szCs w:val="24"/>
          <w:u w:val="none"/>
          <w:shd w:val="clear" w:color="auto" w:fill="FFFFFF"/>
        </w:rPr>
        <w:t>氧含量</w:t>
      </w:r>
      <w:r>
        <w:rPr>
          <w:rStyle w:val="24"/>
          <w:rFonts w:ascii="宋体" w:hAnsi="宋体" w:cs="Arial"/>
          <w:color w:val="auto"/>
          <w:sz w:val="24"/>
          <w:szCs w:val="24"/>
          <w:u w:val="none"/>
          <w:shd w:val="clear" w:color="auto" w:fill="FFFFFF"/>
        </w:rPr>
        <w:fldChar w:fldCharType="end"/>
      </w:r>
      <w:r>
        <w:rPr>
          <w:rFonts w:ascii="宋体" w:hAnsi="宋体" w:cs="Arial"/>
          <w:sz w:val="24"/>
          <w:szCs w:val="24"/>
          <w:shd w:val="clear" w:color="auto" w:fill="FFFFFF"/>
        </w:rPr>
        <w:t>&lt;0．1%，碳含量&lt;0．01%，氮含量&lt;0．0013%，</w:t>
      </w:r>
      <w:r>
        <w:fldChar w:fldCharType="begin"/>
      </w:r>
      <w:r>
        <w:instrText xml:space="preserve"> HYPERLINK "https://baike.baidu.com/item/%E9%85%B8%E4%B8%8D%E6%BA%B6%E7%89%A9" \t "_blank" </w:instrText>
      </w:r>
      <w:r>
        <w:fldChar w:fldCharType="separate"/>
      </w:r>
      <w:r>
        <w:rPr>
          <w:rStyle w:val="24"/>
          <w:rFonts w:ascii="宋体" w:hAnsi="宋体" w:cs="Arial"/>
          <w:color w:val="auto"/>
          <w:sz w:val="24"/>
          <w:szCs w:val="24"/>
          <w:u w:val="none"/>
          <w:shd w:val="clear" w:color="auto" w:fill="FFFFFF"/>
        </w:rPr>
        <w:t>酸不溶物</w:t>
      </w:r>
      <w:r>
        <w:rPr>
          <w:rStyle w:val="24"/>
          <w:rFonts w:ascii="宋体" w:hAnsi="宋体" w:cs="Arial"/>
          <w:color w:val="auto"/>
          <w:sz w:val="24"/>
          <w:szCs w:val="24"/>
          <w:u w:val="none"/>
          <w:shd w:val="clear" w:color="auto" w:fill="FFFFFF"/>
        </w:rPr>
        <w:fldChar w:fldCharType="end"/>
      </w:r>
      <w:r>
        <w:rPr>
          <w:rFonts w:ascii="宋体" w:hAnsi="宋体" w:cs="Arial"/>
          <w:sz w:val="24"/>
          <w:szCs w:val="24"/>
          <w:shd w:val="clear" w:color="auto" w:fill="FFFFFF"/>
        </w:rPr>
        <w:t>&lt;0．1%，松装密度：2．90～3．00g/cm</w:t>
      </w:r>
      <w:r>
        <w:rPr>
          <w:rFonts w:hint="eastAsia" w:ascii="宋体" w:hAnsi="宋体" w:cs="Arial"/>
          <w:sz w:val="24"/>
          <w:szCs w:val="24"/>
          <w:shd w:val="clear" w:color="auto" w:fill="FFFFFF"/>
          <w:vertAlign w:val="superscript"/>
        </w:rPr>
        <w:t>3</w:t>
      </w:r>
      <w:r>
        <w:rPr>
          <w:rFonts w:ascii="宋体" w:hAnsi="宋体" w:cs="Arial"/>
          <w:sz w:val="24"/>
          <w:szCs w:val="24"/>
          <w:shd w:val="clear" w:color="auto" w:fill="FFFFFF"/>
        </w:rPr>
        <w:t>。</w:t>
      </w:r>
    </w:p>
    <w:p>
      <w:pPr>
        <w:spacing w:line="360" w:lineRule="auto"/>
        <w:ind w:firstLine="600" w:firstLineChars="250"/>
        <w:rPr>
          <w:rFonts w:ascii="宋体" w:hAnsi="宋体"/>
          <w:sz w:val="24"/>
          <w:szCs w:val="24"/>
        </w:rPr>
      </w:pPr>
      <w:r>
        <w:rPr>
          <w:rFonts w:hint="eastAsia" w:ascii="宋体" w:hAnsi="宋体"/>
          <w:sz w:val="24"/>
          <w:szCs w:val="24"/>
        </w:rPr>
        <w:t>对于温压成形工艺来说，高温时粉末松装密度是很重要的一个性能，目前国内只有常温下松装密度的测试国标，对于温压成形需要的高温时松装密度的测定方法还没有相关的国家标准或行业标准，还没有形成统一一致的测定方法，导致高温时松装密度的测定方法在不同企业或者科研院校不尽相同，测试结果各异，对温压工艺的质量控制造成不利影响，也为供需双方埋下质量异议的隐患，这些都不利于温压工艺产品性能的稳定和提高。</w:t>
      </w:r>
    </w:p>
    <w:p>
      <w:pPr>
        <w:spacing w:line="360" w:lineRule="auto"/>
        <w:ind w:firstLine="600" w:firstLineChars="250"/>
        <w:rPr>
          <w:rFonts w:ascii="宋体" w:hAnsi="宋体"/>
          <w:sz w:val="24"/>
          <w:szCs w:val="24"/>
        </w:rPr>
      </w:pPr>
      <w:r>
        <w:rPr>
          <w:rFonts w:hint="eastAsia" w:ascii="宋体" w:hAnsi="宋体"/>
          <w:sz w:val="24"/>
          <w:szCs w:val="24"/>
        </w:rPr>
        <w:t>目前国际上已有现行实施的国际标准《ISO 18549-1：2009</w:t>
      </w:r>
      <w:r>
        <w:rPr>
          <w:rFonts w:hint="eastAsia" w:ascii="宋体" w:hAnsi="宋体" w:cs="宋体"/>
          <w:sz w:val="24"/>
          <w:szCs w:val="24"/>
        </w:rPr>
        <w:t>金属粉末 高温时松装密度和流速的测定 第1部分：高温时松装密度的测定</w:t>
      </w:r>
      <w:r>
        <w:rPr>
          <w:rFonts w:hint="eastAsia" w:ascii="宋体" w:hAnsi="宋体"/>
          <w:sz w:val="24"/>
          <w:szCs w:val="24"/>
        </w:rPr>
        <w:t>》，为解决缺失，对它的采标就成必要了。而且等同采用国际标准，国际国内同步推进，可以确保国家标准的先进性，促进我国检测技术的进步。同时在国内形成统一的测试方法，保证行业从业人员在开发、生产、科研、检测过程中有法可依，填补我国在这一检测方法上的空白。其内容具有很强的先进性及教学指导意义，为粉末冶金和材料专业的教学、学术交流、学科发展产生积极的影响，产生很大的社会效益。</w:t>
      </w:r>
    </w:p>
    <w:p>
      <w:pPr>
        <w:widowControl/>
        <w:snapToGrid w:val="0"/>
        <w:spacing w:before="120" w:beforeLines="50" w:line="360" w:lineRule="auto"/>
        <w:jc w:val="left"/>
        <w:rPr>
          <w:rFonts w:ascii="宋体" w:hAnsi="宋体"/>
          <w:b/>
          <w:bCs/>
          <w:kern w:val="0"/>
          <w:sz w:val="24"/>
          <w:szCs w:val="24"/>
        </w:rPr>
      </w:pPr>
      <w:r>
        <w:rPr>
          <w:rFonts w:hint="eastAsia" w:ascii="宋体" w:hAnsi="宋体"/>
          <w:b/>
          <w:bCs/>
          <w:kern w:val="0"/>
          <w:sz w:val="24"/>
          <w:szCs w:val="24"/>
        </w:rPr>
        <w:t>1.3 承担单位情况</w:t>
      </w:r>
    </w:p>
    <w:p>
      <w:pPr>
        <w:widowControl/>
        <w:snapToGrid w:val="0"/>
        <w:spacing w:before="120" w:beforeLines="50" w:line="360" w:lineRule="auto"/>
        <w:ind w:firstLine="480" w:firstLineChars="200"/>
        <w:jc w:val="left"/>
        <w:rPr>
          <w:rFonts w:ascii="宋体" w:hAnsi="宋体"/>
          <w:b/>
          <w:bCs/>
          <w:kern w:val="0"/>
          <w:sz w:val="24"/>
          <w:szCs w:val="24"/>
        </w:rPr>
      </w:pPr>
      <w:r>
        <w:rPr>
          <w:rFonts w:hint="eastAsia" w:ascii="宋体" w:hAnsi="宋体"/>
          <w:sz w:val="24"/>
          <w:szCs w:val="24"/>
        </w:rPr>
        <w:t>本单位为国家双一流大学中南大学的二级学院</w:t>
      </w:r>
      <w:r>
        <w:rPr>
          <w:rFonts w:ascii="宋体" w:hAnsi="宋体"/>
          <w:color w:val="000000"/>
          <w:sz w:val="24"/>
          <w:szCs w:val="24"/>
        </w:rPr>
        <w:t>粉末冶金研究院</w:t>
      </w:r>
      <w:r>
        <w:rPr>
          <w:rFonts w:hint="eastAsia" w:ascii="宋体" w:hAnsi="宋体"/>
          <w:color w:val="000000"/>
          <w:sz w:val="24"/>
          <w:szCs w:val="24"/>
        </w:rPr>
        <w:t>，</w:t>
      </w:r>
      <w:r>
        <w:rPr>
          <w:rFonts w:ascii="宋体" w:hAnsi="宋体"/>
          <w:color w:val="000000"/>
          <w:sz w:val="24"/>
          <w:szCs w:val="24"/>
        </w:rPr>
        <w:t>是</w:t>
      </w:r>
      <w:r>
        <w:rPr>
          <w:rFonts w:hint="eastAsia" w:ascii="宋体" w:hAnsi="宋体"/>
          <w:color w:val="000000"/>
          <w:sz w:val="24"/>
          <w:szCs w:val="24"/>
        </w:rPr>
        <w:t>我</w:t>
      </w:r>
      <w:r>
        <w:rPr>
          <w:rFonts w:ascii="宋体" w:hAnsi="宋体"/>
          <w:color w:val="000000"/>
          <w:sz w:val="24"/>
          <w:szCs w:val="24"/>
        </w:rPr>
        <w:t>国新材料领域集教学、科研</w:t>
      </w:r>
      <w:r>
        <w:rPr>
          <w:rFonts w:hint="eastAsia" w:ascii="宋体" w:hAnsi="宋体"/>
          <w:color w:val="000000"/>
          <w:sz w:val="24"/>
          <w:szCs w:val="24"/>
        </w:rPr>
        <w:t>和</w:t>
      </w:r>
      <w:r>
        <w:rPr>
          <w:rFonts w:ascii="宋体" w:hAnsi="宋体"/>
          <w:color w:val="000000"/>
          <w:sz w:val="24"/>
          <w:szCs w:val="24"/>
        </w:rPr>
        <w:t>产业为一体的综合</w:t>
      </w:r>
      <w:r>
        <w:rPr>
          <w:rFonts w:hint="eastAsia" w:ascii="宋体" w:hAnsi="宋体"/>
          <w:color w:val="000000"/>
          <w:sz w:val="24"/>
          <w:szCs w:val="24"/>
        </w:rPr>
        <w:t>性</w:t>
      </w:r>
      <w:r>
        <w:rPr>
          <w:rFonts w:ascii="宋体" w:hAnsi="宋体"/>
          <w:color w:val="000000"/>
          <w:sz w:val="24"/>
          <w:szCs w:val="24"/>
        </w:rPr>
        <w:t>基地。依托</w:t>
      </w:r>
      <w:r>
        <w:rPr>
          <w:rFonts w:hint="eastAsia" w:ascii="宋体" w:hAnsi="宋体"/>
          <w:color w:val="000000"/>
          <w:sz w:val="24"/>
          <w:szCs w:val="24"/>
        </w:rPr>
        <w:t>研究院</w:t>
      </w:r>
      <w:r>
        <w:rPr>
          <w:rFonts w:ascii="宋体" w:hAnsi="宋体"/>
          <w:color w:val="000000"/>
          <w:sz w:val="24"/>
          <w:szCs w:val="24"/>
        </w:rPr>
        <w:t>建设有</w:t>
      </w:r>
      <w:r>
        <w:rPr>
          <w:rFonts w:hint="eastAsia" w:ascii="宋体" w:hAnsi="宋体"/>
          <w:color w:val="000000"/>
          <w:sz w:val="24"/>
          <w:szCs w:val="24"/>
        </w:rPr>
        <w:t>“</w:t>
      </w:r>
      <w:r>
        <w:rPr>
          <w:rFonts w:ascii="宋体" w:hAnsi="宋体"/>
          <w:color w:val="000000"/>
          <w:sz w:val="24"/>
          <w:szCs w:val="24"/>
        </w:rPr>
        <w:t>粉末冶金国家重点实验室</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w:t>
      </w:r>
      <w:r>
        <w:rPr>
          <w:rFonts w:ascii="宋体" w:hAnsi="宋体"/>
          <w:color w:val="000000"/>
          <w:sz w:val="24"/>
          <w:szCs w:val="24"/>
        </w:rPr>
        <w:t>轻质高强结构材料国家级重点实验室</w:t>
      </w:r>
      <w:r>
        <w:rPr>
          <w:rFonts w:hint="eastAsia" w:ascii="宋体" w:hAnsi="宋体"/>
          <w:color w:val="000000"/>
          <w:sz w:val="24"/>
          <w:szCs w:val="24"/>
        </w:rPr>
        <w:t>”</w:t>
      </w:r>
      <w:r>
        <w:rPr>
          <w:rFonts w:ascii="宋体" w:hAnsi="宋体"/>
          <w:color w:val="000000"/>
          <w:sz w:val="24"/>
          <w:szCs w:val="24"/>
        </w:rPr>
        <w:t>及</w:t>
      </w:r>
      <w:r>
        <w:rPr>
          <w:rFonts w:hint="eastAsia" w:ascii="宋体" w:hAnsi="宋体"/>
          <w:color w:val="000000"/>
          <w:sz w:val="24"/>
          <w:szCs w:val="24"/>
        </w:rPr>
        <w:t>“</w:t>
      </w:r>
      <w:r>
        <w:rPr>
          <w:rFonts w:ascii="宋体" w:hAnsi="宋体"/>
          <w:color w:val="000000"/>
          <w:sz w:val="24"/>
          <w:szCs w:val="24"/>
        </w:rPr>
        <w:t>粉末冶金国家工程研究中心</w:t>
      </w:r>
      <w:r>
        <w:rPr>
          <w:rFonts w:hint="eastAsia" w:ascii="宋体" w:hAnsi="宋体"/>
          <w:color w:val="000000"/>
          <w:sz w:val="24"/>
          <w:szCs w:val="24"/>
        </w:rPr>
        <w:t>”等3个国家级基地；</w:t>
      </w:r>
      <w:r>
        <w:rPr>
          <w:rFonts w:ascii="宋体" w:hAnsi="宋体"/>
          <w:color w:val="000000"/>
          <w:sz w:val="24"/>
          <w:szCs w:val="24"/>
        </w:rPr>
        <w:t>研究院辖有2个教学系、8个研究所、5个实验（检测）中心。有教职工</w:t>
      </w:r>
      <w:r>
        <w:rPr>
          <w:rFonts w:hint="eastAsia" w:ascii="宋体" w:hAnsi="宋体"/>
          <w:color w:val="000000"/>
          <w:sz w:val="24"/>
          <w:szCs w:val="24"/>
        </w:rPr>
        <w:t>300余</w:t>
      </w:r>
      <w:r>
        <w:rPr>
          <w:rFonts w:ascii="宋体" w:hAnsi="宋体"/>
          <w:color w:val="000000"/>
          <w:sz w:val="24"/>
          <w:szCs w:val="24"/>
        </w:rPr>
        <w:t>人，其中中国工程院院士3人，中国科学院院士1人，国家</w:t>
      </w:r>
      <w:r>
        <w:rPr>
          <w:rFonts w:hint="eastAsia" w:ascii="宋体" w:hAnsi="宋体"/>
          <w:color w:val="000000"/>
          <w:sz w:val="24"/>
          <w:szCs w:val="24"/>
        </w:rPr>
        <w:t>“</w:t>
      </w:r>
      <w:r>
        <w:rPr>
          <w:rFonts w:ascii="宋体" w:hAnsi="宋体"/>
          <w:color w:val="000000"/>
          <w:sz w:val="24"/>
          <w:szCs w:val="24"/>
        </w:rPr>
        <w:t>千人计划</w:t>
      </w:r>
      <w:r>
        <w:rPr>
          <w:rFonts w:hint="eastAsia" w:ascii="宋体" w:hAnsi="宋体"/>
          <w:color w:val="000000"/>
          <w:sz w:val="24"/>
          <w:szCs w:val="24"/>
        </w:rPr>
        <w:t>”</w:t>
      </w:r>
      <w:r>
        <w:rPr>
          <w:rFonts w:ascii="宋体" w:hAnsi="宋体"/>
          <w:color w:val="000000"/>
          <w:sz w:val="24"/>
          <w:szCs w:val="24"/>
        </w:rPr>
        <w:t>入选者4人，国家</w:t>
      </w:r>
      <w:r>
        <w:rPr>
          <w:rFonts w:hint="eastAsia" w:ascii="宋体" w:hAnsi="宋体"/>
          <w:color w:val="000000"/>
          <w:sz w:val="24"/>
          <w:szCs w:val="24"/>
        </w:rPr>
        <w:t>“</w:t>
      </w:r>
      <w:r>
        <w:rPr>
          <w:rFonts w:ascii="宋体" w:hAnsi="宋体"/>
          <w:color w:val="000000"/>
          <w:sz w:val="24"/>
          <w:szCs w:val="24"/>
        </w:rPr>
        <w:t>长江学者</w:t>
      </w:r>
      <w:r>
        <w:rPr>
          <w:rFonts w:hint="eastAsia" w:ascii="宋体" w:hAnsi="宋体"/>
          <w:color w:val="000000"/>
          <w:sz w:val="24"/>
          <w:szCs w:val="24"/>
        </w:rPr>
        <w:t>”</w:t>
      </w:r>
      <w:r>
        <w:rPr>
          <w:rFonts w:ascii="宋体" w:hAnsi="宋体"/>
          <w:color w:val="000000"/>
          <w:sz w:val="24"/>
          <w:szCs w:val="24"/>
        </w:rPr>
        <w:t>特聘教授5人、讲座教授</w:t>
      </w:r>
      <w:r>
        <w:rPr>
          <w:rFonts w:hint="eastAsia" w:ascii="宋体" w:hAnsi="宋体"/>
          <w:color w:val="000000"/>
          <w:sz w:val="24"/>
          <w:szCs w:val="24"/>
        </w:rPr>
        <w:t>4</w:t>
      </w:r>
      <w:r>
        <w:rPr>
          <w:rFonts w:ascii="宋体" w:hAnsi="宋体"/>
          <w:color w:val="000000"/>
          <w:sz w:val="24"/>
          <w:szCs w:val="24"/>
        </w:rPr>
        <w:t>人，国家杰出青年基金获得者4人，博士生导师54人，教授（研究员）51人。</w:t>
      </w:r>
    </w:p>
    <w:p>
      <w:pPr>
        <w:pStyle w:val="42"/>
        <w:shd w:val="clear" w:color="auto" w:fill="FFFFFF"/>
        <w:spacing w:beforeAutospacing="0" w:afterAutospacing="0" w:line="360" w:lineRule="auto"/>
        <w:ind w:firstLine="480" w:firstLineChars="200"/>
        <w:contextualSpacing/>
        <w:rPr>
          <w:color w:val="000000"/>
        </w:rPr>
      </w:pPr>
      <w:r>
        <w:rPr>
          <w:rFonts w:hint="eastAsia"/>
        </w:rPr>
        <w:t>本单位</w:t>
      </w:r>
      <w:r>
        <w:rPr>
          <w:rFonts w:cs="Times New Roman"/>
          <w:color w:val="000000"/>
        </w:rPr>
        <w:t>拥有</w:t>
      </w:r>
      <w:r>
        <w:rPr>
          <w:rFonts w:hint="eastAsia"/>
          <w:color w:val="000000"/>
        </w:rPr>
        <w:t>“</w:t>
      </w:r>
      <w:r>
        <w:rPr>
          <w:rFonts w:cs="Times New Roman"/>
          <w:color w:val="000000"/>
        </w:rPr>
        <w:t>材料科学与工程</w:t>
      </w:r>
      <w:r>
        <w:rPr>
          <w:rFonts w:hint="eastAsia"/>
          <w:color w:val="000000"/>
        </w:rPr>
        <w:t>”</w:t>
      </w:r>
      <w:r>
        <w:rPr>
          <w:rFonts w:cs="Times New Roman"/>
          <w:color w:val="000000"/>
        </w:rPr>
        <w:t>一级学科国家重点学科，</w:t>
      </w:r>
      <w:r>
        <w:rPr>
          <w:rFonts w:hint="eastAsia"/>
          <w:color w:val="000000"/>
        </w:rPr>
        <w:t>“</w:t>
      </w:r>
      <w:r>
        <w:rPr>
          <w:rFonts w:cs="Times New Roman"/>
          <w:color w:val="000000"/>
        </w:rPr>
        <w:t>材料科学与工程</w:t>
      </w:r>
      <w:r>
        <w:rPr>
          <w:rFonts w:hint="eastAsia"/>
          <w:color w:val="000000"/>
        </w:rPr>
        <w:t>”一级学科博士点和硕士点，</w:t>
      </w:r>
      <w:r>
        <w:rPr>
          <w:rFonts w:cs="Times New Roman"/>
          <w:color w:val="000000"/>
        </w:rPr>
        <w:t>建有材料科学与工程博士后科研流动站。现有各类在</w:t>
      </w:r>
      <w:r>
        <w:rPr>
          <w:rFonts w:hint="eastAsia"/>
          <w:color w:val="000000"/>
        </w:rPr>
        <w:t>校</w:t>
      </w:r>
      <w:r>
        <w:rPr>
          <w:rFonts w:cs="Times New Roman"/>
          <w:color w:val="000000"/>
        </w:rPr>
        <w:t>学生1500余人，其中博士后研究人员近50人，博士研究生160余人，硕士研究生</w:t>
      </w:r>
      <w:r>
        <w:rPr>
          <w:rFonts w:hint="eastAsia"/>
          <w:color w:val="000000"/>
        </w:rPr>
        <w:t>4</w:t>
      </w:r>
      <w:r>
        <w:rPr>
          <w:rFonts w:cs="Times New Roman"/>
          <w:color w:val="000000"/>
        </w:rPr>
        <w:t>00余人。</w:t>
      </w:r>
      <w:r>
        <w:rPr>
          <w:rFonts w:hint="eastAsia"/>
          <w:color w:val="000000"/>
        </w:rPr>
        <w:t>目前，研究院已</w:t>
      </w:r>
      <w:r>
        <w:rPr>
          <w:rFonts w:cs="Times New Roman"/>
          <w:color w:val="000000"/>
        </w:rPr>
        <w:t>培养了5000多名</w:t>
      </w:r>
      <w:r>
        <w:rPr>
          <w:rFonts w:hint="eastAsia"/>
          <w:color w:val="000000"/>
        </w:rPr>
        <w:t>各类高级专门人才活跃在</w:t>
      </w:r>
      <w:r>
        <w:rPr>
          <w:rFonts w:cs="Times New Roman"/>
          <w:color w:val="000000"/>
        </w:rPr>
        <w:t>高等教育、科学研究</w:t>
      </w:r>
      <w:r>
        <w:rPr>
          <w:rFonts w:hint="eastAsia"/>
          <w:color w:val="000000"/>
        </w:rPr>
        <w:t>、企业管理以及政府部门等社会领域。</w:t>
      </w:r>
    </w:p>
    <w:p>
      <w:pPr>
        <w:pStyle w:val="42"/>
        <w:shd w:val="clear" w:color="auto" w:fill="FFFFFF"/>
        <w:spacing w:beforeAutospacing="0" w:afterAutospacing="0" w:line="360" w:lineRule="auto"/>
        <w:ind w:firstLine="480" w:firstLineChars="200"/>
        <w:contextualSpacing/>
        <w:rPr>
          <w:color w:val="000000"/>
        </w:rPr>
      </w:pPr>
      <w:r>
        <w:rPr>
          <w:rFonts w:hint="eastAsia"/>
        </w:rPr>
        <w:t>本单位</w:t>
      </w:r>
      <w:r>
        <w:rPr>
          <w:rFonts w:hint="eastAsia"/>
          <w:color w:val="000000"/>
        </w:rPr>
        <w:t>建立了系统的从事材料研究的体系，从材料基础理论研究、应用基础研究、工程化研究到材料的性能检测评价，包含了材料基础与相图计算、难熔金属与硬质合金、摩擦减磨材料、粉末高温合金、特种陶瓷材料、轻质合金材料、电工电子材料、炭基复合材料和航空制动系统等研究领域，研究的材料和系统广泛应用于航空、航天、兵器、船舶、电子、核工业等工业部门和相关国民经济建设部门。近年来</w:t>
      </w:r>
      <w:r>
        <w:rPr>
          <w:rFonts w:cs="Times New Roman"/>
          <w:color w:val="000000"/>
        </w:rPr>
        <w:t>先后完成了</w:t>
      </w:r>
      <w:r>
        <w:rPr>
          <w:rFonts w:hint="eastAsia"/>
          <w:color w:val="000000"/>
        </w:rPr>
        <w:t>各类国家</w:t>
      </w:r>
      <w:r>
        <w:rPr>
          <w:rFonts w:hint="eastAsia" w:cs="Times New Roman"/>
          <w:color w:val="000000"/>
        </w:rPr>
        <w:t>863</w:t>
      </w:r>
      <w:r>
        <w:rPr>
          <w:rFonts w:hint="eastAsia"/>
          <w:color w:val="000000"/>
        </w:rPr>
        <w:t>计划、</w:t>
      </w:r>
      <w:r>
        <w:rPr>
          <w:rFonts w:hint="eastAsia" w:cs="Times New Roman"/>
          <w:color w:val="000000"/>
        </w:rPr>
        <w:t>973</w:t>
      </w:r>
      <w:r>
        <w:rPr>
          <w:rFonts w:hint="eastAsia"/>
          <w:color w:val="000000"/>
        </w:rPr>
        <w:t>计划、国家自然科学基金、国家科技重大专项、国防军工等</w:t>
      </w:r>
      <w:r>
        <w:rPr>
          <w:rFonts w:cs="Times New Roman"/>
          <w:color w:val="000000"/>
        </w:rPr>
        <w:t>国家级科研</w:t>
      </w:r>
      <w:r>
        <w:rPr>
          <w:rFonts w:hint="eastAsia"/>
          <w:color w:val="000000"/>
        </w:rPr>
        <w:t>项</w:t>
      </w:r>
      <w:r>
        <w:rPr>
          <w:rFonts w:cs="Times New Roman"/>
          <w:color w:val="000000"/>
        </w:rPr>
        <w:t>目500余项，获国家级和省部级</w:t>
      </w:r>
      <w:r>
        <w:rPr>
          <w:rFonts w:hint="eastAsia"/>
          <w:color w:val="000000"/>
        </w:rPr>
        <w:t>科技奖励</w:t>
      </w:r>
      <w:r>
        <w:rPr>
          <w:rFonts w:cs="Times New Roman"/>
          <w:color w:val="000000"/>
        </w:rPr>
        <w:t>60余项，其中国家</w:t>
      </w:r>
      <w:r>
        <w:rPr>
          <w:rFonts w:hint="eastAsia"/>
          <w:color w:val="000000"/>
        </w:rPr>
        <w:t>技术</w:t>
      </w:r>
      <w:r>
        <w:rPr>
          <w:rFonts w:cs="Times New Roman"/>
          <w:color w:val="000000"/>
        </w:rPr>
        <w:t>发明（科技进步）一等奖3项（次），拥有</w:t>
      </w:r>
      <w:r>
        <w:rPr>
          <w:rFonts w:hint="eastAsia"/>
          <w:color w:val="000000"/>
        </w:rPr>
        <w:t>发明</w:t>
      </w:r>
      <w:r>
        <w:rPr>
          <w:rFonts w:cs="Times New Roman"/>
          <w:color w:val="000000"/>
        </w:rPr>
        <w:t>专利200多项。</w:t>
      </w:r>
    </w:p>
    <w:p>
      <w:pPr>
        <w:pStyle w:val="42"/>
        <w:shd w:val="clear" w:color="auto" w:fill="FFFFFF"/>
        <w:spacing w:beforeAutospacing="0" w:afterAutospacing="0" w:line="360" w:lineRule="auto"/>
        <w:contextualSpacing/>
        <w:rPr>
          <w:color w:val="000000"/>
        </w:rPr>
      </w:pPr>
      <w:r>
        <w:rPr>
          <w:rFonts w:cs="Times New Roman"/>
          <w:color w:val="000000"/>
        </w:rPr>
        <w:t>　　</w:t>
      </w:r>
      <w:r>
        <w:rPr>
          <w:rFonts w:hint="eastAsia"/>
        </w:rPr>
        <w:t>本单位</w:t>
      </w:r>
      <w:r>
        <w:rPr>
          <w:rFonts w:hint="eastAsia"/>
          <w:color w:val="000000"/>
        </w:rPr>
        <w:t>积极推动产学研一体协调发展，</w:t>
      </w:r>
      <w:r>
        <w:rPr>
          <w:rFonts w:cs="Times New Roman"/>
          <w:color w:val="000000"/>
        </w:rPr>
        <w:t>以粉末冶金</w:t>
      </w:r>
      <w:r>
        <w:rPr>
          <w:rFonts w:hint="eastAsia"/>
          <w:color w:val="000000"/>
        </w:rPr>
        <w:t>国家</w:t>
      </w:r>
      <w:r>
        <w:rPr>
          <w:rFonts w:cs="Times New Roman"/>
          <w:color w:val="000000"/>
        </w:rPr>
        <w:t>工程研究中心为</w:t>
      </w:r>
      <w:r>
        <w:rPr>
          <w:rFonts w:hint="eastAsia"/>
          <w:color w:val="000000"/>
        </w:rPr>
        <w:t>“</w:t>
      </w:r>
      <w:r>
        <w:rPr>
          <w:rFonts w:cs="Times New Roman"/>
          <w:color w:val="000000"/>
        </w:rPr>
        <w:t>孵化器</w:t>
      </w:r>
      <w:r>
        <w:rPr>
          <w:rFonts w:hint="eastAsia"/>
          <w:color w:val="000000"/>
        </w:rPr>
        <w:t>”</w:t>
      </w:r>
      <w:r>
        <w:rPr>
          <w:rFonts w:cs="Times New Roman"/>
          <w:color w:val="000000"/>
        </w:rPr>
        <w:t>进行高新技术的产业转化，先后</w:t>
      </w:r>
      <w:r>
        <w:rPr>
          <w:rFonts w:hint="eastAsia"/>
          <w:color w:val="000000"/>
        </w:rPr>
        <w:t>发起组建</w:t>
      </w:r>
      <w:r>
        <w:rPr>
          <w:rFonts w:cs="Times New Roman"/>
          <w:color w:val="000000"/>
        </w:rPr>
        <w:t>多家学科性公司，</w:t>
      </w:r>
      <w:r>
        <w:rPr>
          <w:rFonts w:hint="eastAsia"/>
          <w:color w:val="000000"/>
        </w:rPr>
        <w:t>包括</w:t>
      </w:r>
      <w:r>
        <w:rPr>
          <w:rFonts w:hint="eastAsia" w:cs="Times New Roman"/>
          <w:color w:val="000000"/>
        </w:rPr>
        <w:t>1</w:t>
      </w:r>
      <w:r>
        <w:rPr>
          <w:rFonts w:hint="eastAsia"/>
          <w:color w:val="000000"/>
        </w:rPr>
        <w:t>家上市公司—湖南博云新材料股份有限公司，</w:t>
      </w:r>
      <w:r>
        <w:rPr>
          <w:rFonts w:hint="eastAsia" w:cs="Times New Roman"/>
          <w:color w:val="000000"/>
        </w:rPr>
        <w:t>1</w:t>
      </w:r>
      <w:r>
        <w:rPr>
          <w:rFonts w:hint="eastAsia"/>
          <w:color w:val="000000"/>
        </w:rPr>
        <w:t>家与美国</w:t>
      </w:r>
      <w:r>
        <w:rPr>
          <w:rFonts w:hint="eastAsia" w:cs="Times New Roman"/>
          <w:color w:val="000000"/>
        </w:rPr>
        <w:t>HONEYWELL</w:t>
      </w:r>
      <w:r>
        <w:rPr>
          <w:rFonts w:hint="eastAsia"/>
          <w:color w:val="000000"/>
        </w:rPr>
        <w:t>公司组建的合资公司—霍尼韦尔博云航空系统（湖南）有限公司。</w:t>
      </w:r>
    </w:p>
    <w:p>
      <w:pPr>
        <w:pStyle w:val="42"/>
        <w:shd w:val="clear" w:color="auto" w:fill="FFFFFF"/>
        <w:spacing w:beforeAutospacing="0" w:afterAutospacing="0" w:line="360" w:lineRule="auto"/>
        <w:ind w:firstLine="480" w:firstLineChars="200"/>
        <w:contextualSpacing/>
        <w:rPr>
          <w:rFonts w:cs="Times New Roman"/>
          <w:color w:val="000000"/>
        </w:rPr>
      </w:pPr>
      <w:r>
        <w:rPr>
          <w:rFonts w:hint="eastAsia"/>
        </w:rPr>
        <w:t>本单位</w:t>
      </w:r>
      <w:r>
        <w:rPr>
          <w:rFonts w:cs="Times New Roman"/>
          <w:color w:val="000000"/>
        </w:rPr>
        <w:t>是中国材料研究学会理事长、中国有色金属学会副理事长、中国粉末冶金联合会（筹）主席单位，在国际</w:t>
      </w:r>
      <w:r>
        <w:rPr>
          <w:rFonts w:hint="eastAsia"/>
          <w:color w:val="000000"/>
        </w:rPr>
        <w:t>材料界</w:t>
      </w:r>
      <w:r>
        <w:rPr>
          <w:rFonts w:cs="Times New Roman"/>
          <w:color w:val="000000"/>
        </w:rPr>
        <w:t>影响</w:t>
      </w:r>
      <w:r>
        <w:rPr>
          <w:rFonts w:hint="eastAsia"/>
          <w:color w:val="000000"/>
        </w:rPr>
        <w:t>日增</w:t>
      </w:r>
      <w:r>
        <w:rPr>
          <w:rFonts w:cs="Times New Roman"/>
          <w:color w:val="000000"/>
        </w:rPr>
        <w:t>，先后与美国、俄罗斯、英国、法国、德国</w:t>
      </w:r>
      <w:r>
        <w:rPr>
          <w:rFonts w:hint="eastAsia"/>
          <w:color w:val="000000"/>
        </w:rPr>
        <w:t>、日本、澳大利亚</w:t>
      </w:r>
      <w:r>
        <w:rPr>
          <w:rFonts w:cs="Times New Roman"/>
          <w:color w:val="000000"/>
        </w:rPr>
        <w:t>等国家</w:t>
      </w:r>
      <w:r>
        <w:rPr>
          <w:rFonts w:hint="eastAsia"/>
          <w:color w:val="000000"/>
        </w:rPr>
        <w:t>地区</w:t>
      </w:r>
      <w:r>
        <w:rPr>
          <w:rFonts w:cs="Times New Roman"/>
          <w:color w:val="000000"/>
        </w:rPr>
        <w:t>的</w:t>
      </w:r>
      <w:r>
        <w:rPr>
          <w:rFonts w:hint="eastAsia"/>
          <w:color w:val="000000"/>
        </w:rPr>
        <w:t>高等</w:t>
      </w:r>
      <w:r>
        <w:rPr>
          <w:rFonts w:cs="Times New Roman"/>
          <w:color w:val="000000"/>
        </w:rPr>
        <w:t>学校</w:t>
      </w:r>
      <w:r>
        <w:rPr>
          <w:rFonts w:hint="eastAsia"/>
          <w:color w:val="000000"/>
        </w:rPr>
        <w:t>和</w:t>
      </w:r>
      <w:r>
        <w:rPr>
          <w:rFonts w:cs="Times New Roman"/>
          <w:color w:val="000000"/>
        </w:rPr>
        <w:t>科研机构建立了广泛而深入的学术交流与合作关系。</w:t>
      </w:r>
    </w:p>
    <w:p>
      <w:pPr>
        <w:widowControl/>
        <w:snapToGrid w:val="0"/>
        <w:spacing w:before="120" w:beforeLines="50" w:line="360" w:lineRule="auto"/>
        <w:jc w:val="left"/>
        <w:rPr>
          <w:rFonts w:ascii="宋体" w:hAnsi="宋体"/>
          <w:b/>
          <w:bCs/>
          <w:kern w:val="0"/>
          <w:sz w:val="24"/>
          <w:szCs w:val="24"/>
        </w:rPr>
      </w:pPr>
      <w:r>
        <w:rPr>
          <w:rFonts w:hint="eastAsia" w:ascii="宋体" w:hAnsi="宋体"/>
          <w:b/>
          <w:bCs/>
          <w:kern w:val="0"/>
          <w:sz w:val="24"/>
          <w:szCs w:val="24"/>
        </w:rPr>
        <w:t>1.4 参编单位及主要起草人工作情况</w:t>
      </w:r>
    </w:p>
    <w:p>
      <w:pPr>
        <w:tabs>
          <w:tab w:val="left" w:pos="670"/>
        </w:tabs>
        <w:spacing w:line="360" w:lineRule="auto"/>
        <w:ind w:firstLine="480" w:firstLineChars="200"/>
        <w:rPr>
          <w:rFonts w:ascii="宋体" w:hAnsi="宋体"/>
          <w:color w:val="000000"/>
          <w:sz w:val="24"/>
        </w:rPr>
      </w:pPr>
      <w:r>
        <w:rPr>
          <w:rFonts w:hint="eastAsia" w:ascii="宋体" w:hAnsi="宋体"/>
          <w:color w:val="000000"/>
          <w:sz w:val="24"/>
        </w:rPr>
        <w:t>整个标准起草过程中各参编单位给予了大力的支持帮助。由西北有色金属研究院提供T</w:t>
      </w:r>
      <w:r>
        <w:rPr>
          <w:rFonts w:ascii="宋体" w:hAnsi="宋体"/>
          <w:color w:val="000000"/>
          <w:sz w:val="24"/>
        </w:rPr>
        <w:t>C4</w:t>
      </w:r>
      <w:r>
        <w:rPr>
          <w:rFonts w:hint="eastAsia" w:ascii="宋体" w:hAnsi="宋体"/>
          <w:color w:val="000000"/>
          <w:sz w:val="24"/>
        </w:rPr>
        <w:t>合金粉末样品，中南大学提供三种不同规格的还原铁粉样品。由广东省工业分析检测中心、江苏威拉里新材料科技有限公司、西安欧中材料科技有限公司3家单位提供实验数据的验证工作。</w:t>
      </w:r>
    </w:p>
    <w:p>
      <w:pPr>
        <w:spacing w:line="360" w:lineRule="auto"/>
        <w:ind w:firstLine="570"/>
        <w:rPr>
          <w:rFonts w:ascii="宋体" w:hAnsi="宋体"/>
          <w:color w:val="000000"/>
          <w:sz w:val="24"/>
        </w:rPr>
      </w:pPr>
      <w:r>
        <w:rPr>
          <w:rFonts w:hint="eastAsia" w:ascii="宋体" w:hAnsi="宋体"/>
          <w:color w:val="000000"/>
          <w:sz w:val="24"/>
        </w:rPr>
        <w:t>标准主要起草人以及分工见下表。</w:t>
      </w:r>
    </w:p>
    <w:p>
      <w:pPr>
        <w:adjustRightInd w:val="0"/>
        <w:snapToGrid w:val="0"/>
        <w:ind w:firstLine="200"/>
        <w:jc w:val="center"/>
        <w:rPr>
          <w:rFonts w:ascii="黑体" w:hAnsi="黑体" w:eastAsia="黑体"/>
          <w:sz w:val="24"/>
        </w:rPr>
      </w:pPr>
      <w:r>
        <w:rPr>
          <w:rFonts w:hint="eastAsia" w:ascii="黑体" w:hAnsi="黑体" w:eastAsia="黑体"/>
          <w:sz w:val="24"/>
        </w:rPr>
        <w:t>标准主要起草人及分工</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3825"/>
        <w:gridCol w:w="3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vAlign w:val="center"/>
          </w:tcPr>
          <w:p>
            <w:pPr>
              <w:adjustRightInd w:val="0"/>
              <w:snapToGrid w:val="0"/>
              <w:jc w:val="center"/>
              <w:rPr>
                <w:rFonts w:ascii="宋体" w:hAnsi="宋体"/>
              </w:rPr>
            </w:pPr>
            <w:bookmarkStart w:id="0" w:name="OLE_LINK3" w:colFirst="0" w:colLast="3"/>
            <w:bookmarkStart w:id="1" w:name="OLE_LINK4" w:colFirst="0" w:colLast="3"/>
            <w:bookmarkStart w:id="2" w:name="_Hlk517223113"/>
            <w:r>
              <w:rPr>
                <w:rFonts w:hint="eastAsia" w:ascii="宋体" w:hAnsi="宋体"/>
              </w:rPr>
              <w:t>姓名</w:t>
            </w:r>
          </w:p>
        </w:tc>
        <w:tc>
          <w:tcPr>
            <w:tcW w:w="2134" w:type="pct"/>
            <w:vAlign w:val="center"/>
          </w:tcPr>
          <w:p>
            <w:pPr>
              <w:adjustRightInd w:val="0"/>
              <w:snapToGrid w:val="0"/>
              <w:jc w:val="center"/>
              <w:rPr>
                <w:rFonts w:ascii="宋体" w:hAnsi="宋体"/>
              </w:rPr>
            </w:pPr>
            <w:r>
              <w:rPr>
                <w:rFonts w:hint="eastAsia" w:ascii="宋体" w:hAnsi="宋体"/>
              </w:rPr>
              <w:t>单位</w:t>
            </w:r>
          </w:p>
        </w:tc>
        <w:tc>
          <w:tcPr>
            <w:tcW w:w="2209" w:type="pct"/>
            <w:vAlign w:val="center"/>
          </w:tcPr>
          <w:p>
            <w:pPr>
              <w:adjustRightInd w:val="0"/>
              <w:snapToGrid w:val="0"/>
              <w:jc w:val="center"/>
              <w:rPr>
                <w:rFonts w:ascii="宋体" w:hAnsi="宋体"/>
              </w:rPr>
            </w:pPr>
            <w:r>
              <w:rPr>
                <w:rFonts w:hint="eastAsia" w:ascii="宋体" w:hAnsi="宋体"/>
              </w:rPr>
              <w:t>分工</w:t>
            </w:r>
          </w:p>
        </w:tc>
      </w:tr>
      <w:bookmarkEnd w:id="0"/>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pct"/>
            <w:vAlign w:val="center"/>
          </w:tcPr>
          <w:p>
            <w:pPr>
              <w:adjustRightInd w:val="0"/>
              <w:snapToGrid w:val="0"/>
              <w:jc w:val="center"/>
              <w:rPr>
                <w:rFonts w:hint="eastAsia" w:ascii="宋体" w:hAnsi="宋体"/>
              </w:rPr>
            </w:pPr>
            <w:r>
              <w:rPr>
                <w:rFonts w:hint="eastAsia" w:ascii="宋体" w:hAnsi="宋体"/>
              </w:rPr>
              <w:t>黄志锋</w:t>
            </w:r>
          </w:p>
        </w:tc>
        <w:tc>
          <w:tcPr>
            <w:tcW w:w="2134" w:type="pct"/>
            <w:vAlign w:val="center"/>
          </w:tcPr>
          <w:p>
            <w:pPr>
              <w:adjustRightInd w:val="0"/>
              <w:snapToGrid w:val="0"/>
              <w:jc w:val="center"/>
              <w:rPr>
                <w:rFonts w:ascii="宋体" w:hAnsi="宋体"/>
              </w:rPr>
            </w:pPr>
            <w:r>
              <w:rPr>
                <w:rFonts w:hint="eastAsia" w:ascii="宋体" w:hAnsi="宋体"/>
              </w:rPr>
              <w:t>中南大学</w:t>
            </w:r>
          </w:p>
        </w:tc>
        <w:tc>
          <w:tcPr>
            <w:tcW w:w="2209" w:type="pct"/>
            <w:vAlign w:val="center"/>
          </w:tcPr>
          <w:p>
            <w:pPr>
              <w:adjustRightInd w:val="0"/>
              <w:snapToGrid w:val="0"/>
              <w:jc w:val="center"/>
              <w:rPr>
                <w:rFonts w:ascii="宋体" w:hAnsi="宋体"/>
              </w:rPr>
            </w:pPr>
            <w:r>
              <w:rPr>
                <w:rFonts w:hint="eastAsia" w:ascii="宋体" w:hAnsi="宋体"/>
              </w:rPr>
              <w:t>负责调研、验证、标准起草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vAlign w:val="center"/>
          </w:tcPr>
          <w:p>
            <w:pPr>
              <w:adjustRightInd w:val="0"/>
              <w:snapToGrid w:val="0"/>
              <w:jc w:val="center"/>
              <w:rPr>
                <w:rFonts w:ascii="宋体" w:hAnsi="宋体"/>
              </w:rPr>
            </w:pPr>
            <w:r>
              <w:rPr>
                <w:rFonts w:hint="eastAsia" w:ascii="宋体" w:hAnsi="宋体"/>
              </w:rPr>
              <w:t>凌继容</w:t>
            </w:r>
          </w:p>
        </w:tc>
        <w:tc>
          <w:tcPr>
            <w:tcW w:w="2134" w:type="pct"/>
            <w:vAlign w:val="center"/>
          </w:tcPr>
          <w:p>
            <w:pPr>
              <w:adjustRightInd w:val="0"/>
              <w:snapToGrid w:val="0"/>
              <w:jc w:val="center"/>
              <w:rPr>
                <w:rFonts w:ascii="宋体" w:hAnsi="宋体"/>
              </w:rPr>
            </w:pPr>
            <w:r>
              <w:rPr>
                <w:rFonts w:hint="eastAsia" w:ascii="宋体" w:hAnsi="宋体"/>
              </w:rPr>
              <w:t>中南大学</w:t>
            </w:r>
          </w:p>
        </w:tc>
        <w:tc>
          <w:tcPr>
            <w:tcW w:w="2209" w:type="pct"/>
            <w:vAlign w:val="center"/>
          </w:tcPr>
          <w:p>
            <w:pPr>
              <w:adjustRightInd w:val="0"/>
              <w:snapToGrid w:val="0"/>
              <w:jc w:val="center"/>
              <w:rPr>
                <w:rFonts w:ascii="宋体" w:hAnsi="宋体"/>
              </w:rPr>
            </w:pPr>
            <w:r>
              <w:rPr>
                <w:rFonts w:hint="eastAsia" w:ascii="宋体" w:hAnsi="宋体"/>
              </w:rPr>
              <w:t>负责全过程的标准编制、协调工作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vAlign w:val="center"/>
          </w:tcPr>
          <w:p>
            <w:pPr>
              <w:adjustRightInd w:val="0"/>
              <w:snapToGrid w:val="0"/>
              <w:jc w:val="center"/>
              <w:rPr>
                <w:rFonts w:ascii="宋体" w:hAnsi="宋体"/>
              </w:rPr>
            </w:pPr>
            <w:r>
              <w:rPr>
                <w:rFonts w:hint="eastAsia" w:ascii="宋体" w:hAnsi="宋体"/>
              </w:rPr>
              <w:t>吴艳华</w:t>
            </w:r>
          </w:p>
        </w:tc>
        <w:tc>
          <w:tcPr>
            <w:tcW w:w="2134" w:type="pct"/>
            <w:vAlign w:val="center"/>
          </w:tcPr>
          <w:p>
            <w:pPr>
              <w:adjustRightInd w:val="0"/>
              <w:snapToGrid w:val="0"/>
              <w:jc w:val="center"/>
              <w:rPr>
                <w:rFonts w:hint="eastAsia" w:ascii="宋体" w:hAnsi="宋体" w:eastAsia="宋体"/>
                <w:lang w:eastAsia="zh-CN"/>
              </w:rPr>
            </w:pPr>
            <w:r>
              <w:rPr>
                <w:rFonts w:hint="eastAsia" w:ascii="宋体" w:hAnsi="宋体"/>
              </w:rPr>
              <w:t>有色金属技术经济研究院</w:t>
            </w:r>
            <w:r>
              <w:rPr>
                <w:rFonts w:hint="eastAsia" w:ascii="宋体" w:hAnsi="宋体"/>
                <w:lang w:eastAsia="zh-CN"/>
              </w:rPr>
              <w:t>有限责任公司</w:t>
            </w:r>
          </w:p>
        </w:tc>
        <w:tc>
          <w:tcPr>
            <w:tcW w:w="2209" w:type="pct"/>
            <w:vAlign w:val="center"/>
          </w:tcPr>
          <w:p>
            <w:pPr>
              <w:adjustRightInd w:val="0"/>
              <w:snapToGrid w:val="0"/>
              <w:jc w:val="center"/>
              <w:rPr>
                <w:rFonts w:ascii="宋体" w:hAnsi="宋体"/>
              </w:rPr>
            </w:pPr>
            <w:r>
              <w:rPr>
                <w:rFonts w:hint="eastAsia" w:ascii="宋体" w:hAnsi="宋体"/>
              </w:rPr>
              <w:t>负责标准审核、协调工作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vAlign w:val="center"/>
          </w:tcPr>
          <w:p>
            <w:pPr>
              <w:adjustRightInd w:val="0"/>
              <w:snapToGrid w:val="0"/>
              <w:jc w:val="center"/>
              <w:rPr>
                <w:rFonts w:ascii="宋体" w:hAnsi="宋体"/>
              </w:rPr>
            </w:pPr>
            <w:r>
              <w:rPr>
                <w:rFonts w:hint="eastAsia" w:ascii="宋体" w:hAnsi="宋体"/>
              </w:rPr>
              <w:t>谈萍</w:t>
            </w:r>
          </w:p>
        </w:tc>
        <w:tc>
          <w:tcPr>
            <w:tcW w:w="2134" w:type="pct"/>
            <w:vAlign w:val="center"/>
          </w:tcPr>
          <w:p>
            <w:pPr>
              <w:adjustRightInd w:val="0"/>
              <w:snapToGrid w:val="0"/>
              <w:jc w:val="center"/>
              <w:rPr>
                <w:rFonts w:ascii="宋体" w:hAnsi="宋体"/>
              </w:rPr>
            </w:pPr>
            <w:r>
              <w:rPr>
                <w:rFonts w:hint="eastAsia" w:ascii="宋体" w:hAnsi="宋体"/>
                <w:color w:val="000000"/>
              </w:rPr>
              <w:t>西北有色金属研究院</w:t>
            </w:r>
          </w:p>
        </w:tc>
        <w:tc>
          <w:tcPr>
            <w:tcW w:w="2209" w:type="pct"/>
            <w:vAlign w:val="center"/>
          </w:tcPr>
          <w:p>
            <w:pPr>
              <w:adjustRightInd w:val="0"/>
              <w:snapToGrid w:val="0"/>
              <w:jc w:val="center"/>
              <w:rPr>
                <w:rFonts w:ascii="宋体" w:hAnsi="宋体"/>
              </w:rPr>
            </w:pPr>
            <w:r>
              <w:rPr>
                <w:rFonts w:hint="eastAsia" w:ascii="宋体" w:hAnsi="宋体"/>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vAlign w:val="center"/>
          </w:tcPr>
          <w:p>
            <w:pPr>
              <w:adjustRightInd w:val="0"/>
              <w:snapToGrid w:val="0"/>
              <w:jc w:val="center"/>
              <w:rPr>
                <w:rFonts w:ascii="宋体" w:hAnsi="宋体"/>
              </w:rPr>
            </w:pPr>
            <w:r>
              <w:rPr>
                <w:rFonts w:hint="eastAsia" w:ascii="宋体" w:hAnsi="宋体"/>
              </w:rPr>
              <w:t>伍超群</w:t>
            </w:r>
          </w:p>
        </w:tc>
        <w:tc>
          <w:tcPr>
            <w:tcW w:w="2134" w:type="pct"/>
            <w:vAlign w:val="center"/>
          </w:tcPr>
          <w:p>
            <w:pPr>
              <w:adjustRightInd w:val="0"/>
              <w:snapToGrid w:val="0"/>
              <w:jc w:val="center"/>
              <w:rPr>
                <w:rFonts w:ascii="宋体" w:hAnsi="宋体"/>
              </w:rPr>
            </w:pPr>
            <w:r>
              <w:rPr>
                <w:rFonts w:hint="eastAsia" w:ascii="宋体" w:hAnsi="宋体"/>
                <w:color w:val="000000"/>
              </w:rPr>
              <w:t>广东省工业分析检测中心</w:t>
            </w:r>
          </w:p>
        </w:tc>
        <w:tc>
          <w:tcPr>
            <w:tcW w:w="2209" w:type="pct"/>
            <w:vAlign w:val="center"/>
          </w:tcPr>
          <w:p>
            <w:pPr>
              <w:adjustRightInd w:val="0"/>
              <w:snapToGrid w:val="0"/>
              <w:jc w:val="center"/>
              <w:rPr>
                <w:rFonts w:ascii="宋体" w:hAnsi="宋体"/>
              </w:rPr>
            </w:pPr>
            <w:r>
              <w:rPr>
                <w:rFonts w:hint="eastAsia" w:ascii="宋体" w:hAnsi="宋体"/>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vAlign w:val="center"/>
          </w:tcPr>
          <w:p>
            <w:pPr>
              <w:adjustRightInd w:val="0"/>
              <w:snapToGrid w:val="0"/>
              <w:jc w:val="center"/>
              <w:rPr>
                <w:rFonts w:ascii="宋体" w:hAnsi="宋体"/>
              </w:rPr>
            </w:pPr>
            <w:r>
              <w:rPr>
                <w:rFonts w:hint="eastAsia" w:ascii="宋体" w:hAnsi="宋体"/>
              </w:rPr>
              <w:t>薛飒</w:t>
            </w:r>
          </w:p>
        </w:tc>
        <w:tc>
          <w:tcPr>
            <w:tcW w:w="2134" w:type="pct"/>
            <w:vAlign w:val="center"/>
          </w:tcPr>
          <w:p>
            <w:pPr>
              <w:adjustRightInd w:val="0"/>
              <w:snapToGrid w:val="0"/>
              <w:jc w:val="center"/>
              <w:rPr>
                <w:rFonts w:ascii="宋体" w:hAnsi="宋体"/>
              </w:rPr>
            </w:pPr>
            <w:r>
              <w:rPr>
                <w:rFonts w:hint="eastAsia" w:ascii="宋体" w:hAnsi="宋体"/>
                <w:color w:val="000000"/>
              </w:rPr>
              <w:t>西安欧中材料科技有限公司</w:t>
            </w:r>
          </w:p>
        </w:tc>
        <w:tc>
          <w:tcPr>
            <w:tcW w:w="2209" w:type="pct"/>
            <w:vAlign w:val="center"/>
          </w:tcPr>
          <w:p>
            <w:pPr>
              <w:adjustRightInd w:val="0"/>
              <w:snapToGrid w:val="0"/>
              <w:jc w:val="center"/>
              <w:rPr>
                <w:rFonts w:ascii="宋体" w:hAnsi="宋体"/>
              </w:rPr>
            </w:pPr>
            <w:r>
              <w:rPr>
                <w:rFonts w:hint="eastAsia" w:ascii="宋体" w:hAnsi="宋体"/>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vAlign w:val="center"/>
          </w:tcPr>
          <w:p>
            <w:pPr>
              <w:adjustRightInd w:val="0"/>
              <w:snapToGrid w:val="0"/>
              <w:jc w:val="center"/>
              <w:rPr>
                <w:rFonts w:ascii="宋体" w:hAnsi="宋体"/>
              </w:rPr>
            </w:pPr>
            <w:r>
              <w:rPr>
                <w:rFonts w:hint="eastAsia" w:ascii="宋体" w:hAnsi="宋体"/>
              </w:rPr>
              <w:t>张柯</w:t>
            </w:r>
          </w:p>
        </w:tc>
        <w:tc>
          <w:tcPr>
            <w:tcW w:w="2134" w:type="pct"/>
            <w:vAlign w:val="center"/>
          </w:tcPr>
          <w:p>
            <w:pPr>
              <w:adjustRightInd w:val="0"/>
              <w:snapToGrid w:val="0"/>
              <w:jc w:val="center"/>
              <w:rPr>
                <w:rFonts w:ascii="宋体" w:hAnsi="宋体"/>
              </w:rPr>
            </w:pPr>
            <w:r>
              <w:rPr>
                <w:rFonts w:hint="eastAsia" w:ascii="宋体" w:hAnsi="宋体"/>
                <w:color w:val="000000"/>
              </w:rPr>
              <w:t>江苏威拉里新材料科技有限公司</w:t>
            </w:r>
          </w:p>
        </w:tc>
        <w:tc>
          <w:tcPr>
            <w:tcW w:w="2209" w:type="pct"/>
            <w:vAlign w:val="center"/>
          </w:tcPr>
          <w:p>
            <w:pPr>
              <w:adjustRightInd w:val="0"/>
              <w:snapToGrid w:val="0"/>
              <w:jc w:val="center"/>
              <w:rPr>
                <w:rFonts w:ascii="宋体" w:hAnsi="宋体"/>
              </w:rPr>
            </w:pPr>
            <w:r>
              <w:rPr>
                <w:rFonts w:hint="eastAsia" w:ascii="宋体" w:hAnsi="宋体"/>
              </w:rPr>
              <w:t>参与标准起草，资料收集，提供相关验证</w:t>
            </w:r>
          </w:p>
        </w:tc>
      </w:tr>
    </w:tbl>
    <w:p>
      <w:pPr>
        <w:widowControl/>
        <w:snapToGrid w:val="0"/>
        <w:spacing w:before="120" w:beforeLines="50" w:line="360" w:lineRule="auto"/>
        <w:jc w:val="left"/>
        <w:rPr>
          <w:rFonts w:hint="eastAsia" w:ascii="宋体" w:hAnsi="宋体"/>
          <w:b/>
          <w:bCs/>
          <w:kern w:val="0"/>
          <w:sz w:val="24"/>
          <w:szCs w:val="24"/>
        </w:rPr>
      </w:pPr>
    </w:p>
    <w:p>
      <w:pPr>
        <w:widowControl/>
        <w:snapToGrid w:val="0"/>
        <w:spacing w:before="120" w:beforeLines="50" w:line="360" w:lineRule="auto"/>
        <w:jc w:val="left"/>
        <w:rPr>
          <w:rFonts w:ascii="宋体" w:hAnsi="宋体"/>
          <w:b/>
          <w:bCs/>
          <w:kern w:val="0"/>
          <w:sz w:val="24"/>
          <w:szCs w:val="24"/>
        </w:rPr>
      </w:pPr>
      <w:r>
        <w:rPr>
          <w:rFonts w:hint="eastAsia" w:ascii="宋体" w:hAnsi="宋体"/>
          <w:b/>
          <w:bCs/>
          <w:kern w:val="0"/>
          <w:sz w:val="24"/>
          <w:szCs w:val="24"/>
        </w:rPr>
        <w:t xml:space="preserve">1.5 </w:t>
      </w:r>
      <w:r>
        <w:rPr>
          <w:rFonts w:ascii="宋体" w:hAnsi="宋体"/>
          <w:b/>
          <w:bCs/>
          <w:kern w:val="0"/>
          <w:sz w:val="24"/>
          <w:szCs w:val="24"/>
        </w:rPr>
        <w:t>主要工作过程</w:t>
      </w:r>
    </w:p>
    <w:p>
      <w:pPr>
        <w:spacing w:line="360" w:lineRule="auto"/>
        <w:ind w:firstLine="470" w:firstLineChars="196"/>
        <w:rPr>
          <w:rFonts w:ascii="宋体" w:hAnsi="宋体"/>
          <w:sz w:val="24"/>
          <w:szCs w:val="24"/>
        </w:rPr>
      </w:pPr>
      <w:r>
        <w:rPr>
          <w:rFonts w:ascii="宋体" w:hAnsi="宋体"/>
          <w:sz w:val="24"/>
          <w:szCs w:val="24"/>
        </w:rPr>
        <w:t>中南大学粉末冶金研究院接到《</w:t>
      </w:r>
      <w:r>
        <w:rPr>
          <w:rFonts w:hint="eastAsia" w:ascii="宋体" w:hAnsi="宋体"/>
          <w:sz w:val="24"/>
          <w:szCs w:val="24"/>
        </w:rPr>
        <w:t>金属粉末 高温时松装密度和流速的测定 第1部分：高温时松装密度的测定</w:t>
      </w:r>
      <w:r>
        <w:rPr>
          <w:rFonts w:ascii="宋体" w:hAnsi="宋体"/>
          <w:sz w:val="24"/>
          <w:szCs w:val="24"/>
        </w:rPr>
        <w:t>》标准的制定任务后，</w:t>
      </w:r>
      <w:r>
        <w:rPr>
          <w:rFonts w:hint="eastAsia" w:ascii="宋体" w:hAnsi="宋体"/>
          <w:color w:val="000000"/>
          <w:sz w:val="24"/>
        </w:rPr>
        <w:t>立即组织相关技术人员成立</w:t>
      </w:r>
      <w:r>
        <w:rPr>
          <w:rFonts w:ascii="宋体" w:hAnsi="宋体"/>
          <w:sz w:val="24"/>
          <w:szCs w:val="24"/>
        </w:rPr>
        <w:t>了标准编制小组，</w:t>
      </w:r>
      <w:r>
        <w:rPr>
          <w:rFonts w:hint="eastAsia" w:ascii="宋体" w:hAnsi="宋体"/>
          <w:color w:val="000000"/>
          <w:sz w:val="24"/>
        </w:rPr>
        <w:t>进行相关资料的查询与收集工作，</w:t>
      </w:r>
      <w:r>
        <w:rPr>
          <w:rFonts w:hint="eastAsia" w:ascii="宋体" w:hAnsi="宋体"/>
          <w:sz w:val="24"/>
          <w:szCs w:val="24"/>
        </w:rPr>
        <w:t>明确了成员的任务，</w:t>
      </w:r>
      <w:r>
        <w:rPr>
          <w:rFonts w:hint="eastAsia" w:ascii="宋体" w:hAnsi="宋体"/>
          <w:color w:val="000000"/>
          <w:sz w:val="24"/>
        </w:rPr>
        <w:t>制订了工作计划和进度安排。对该标准进行了翻译和熟悉，同时收集、分析、研究了国内外相关技术资料，</w:t>
      </w:r>
      <w:r>
        <w:rPr>
          <w:rFonts w:hint="eastAsia" w:ascii="宋体" w:hAnsi="宋体"/>
          <w:color w:val="333333"/>
          <w:sz w:val="24"/>
          <w:szCs w:val="24"/>
        </w:rPr>
        <w:t>对方法的可行性进行了试验.</w:t>
      </w:r>
      <w:r>
        <w:rPr>
          <w:rFonts w:hint="eastAsia" w:ascii="宋体" w:hAnsi="宋体"/>
          <w:color w:val="000000"/>
          <w:sz w:val="24"/>
        </w:rPr>
        <w:t>在此基础上，于2020年6月形成了标准的征求意见稿和编制说明。</w:t>
      </w:r>
    </w:p>
    <w:p>
      <w:pPr>
        <w:pStyle w:val="42"/>
        <w:shd w:val="clear" w:color="auto" w:fill="FFFFFF"/>
        <w:spacing w:beforeAutospacing="0" w:afterAutospacing="0" w:line="360" w:lineRule="auto"/>
        <w:ind w:firstLine="480" w:firstLineChars="200"/>
        <w:contextualSpacing/>
        <w:rPr>
          <w:rFonts w:hint="eastAsia" w:cs="Times New Roman"/>
          <w:color w:val="000000"/>
        </w:rPr>
      </w:pPr>
    </w:p>
    <w:p>
      <w:pPr>
        <w:spacing w:line="360" w:lineRule="auto"/>
        <w:rPr>
          <w:rFonts w:ascii="宋体" w:hAnsi="宋体"/>
          <w:b/>
          <w:color w:val="333333"/>
          <w:sz w:val="24"/>
          <w:szCs w:val="24"/>
        </w:rPr>
      </w:pPr>
      <w:r>
        <w:rPr>
          <w:rFonts w:hint="eastAsia" w:ascii="宋体" w:hAnsi="宋体"/>
          <w:b/>
          <w:color w:val="333333"/>
          <w:sz w:val="24"/>
          <w:szCs w:val="24"/>
        </w:rPr>
        <w:t>二、标准的制定原则、主要内容与论据</w:t>
      </w:r>
    </w:p>
    <w:p>
      <w:pPr>
        <w:tabs>
          <w:tab w:val="left" w:pos="5220"/>
        </w:tabs>
        <w:autoSpaceDE w:val="0"/>
        <w:autoSpaceDN w:val="0"/>
        <w:adjustRightInd w:val="0"/>
        <w:spacing w:line="360" w:lineRule="auto"/>
        <w:jc w:val="left"/>
        <w:rPr>
          <w:rFonts w:ascii="宋体" w:hAnsi="宋体"/>
          <w:kern w:val="0"/>
          <w:sz w:val="24"/>
          <w:szCs w:val="24"/>
        </w:rPr>
      </w:pPr>
      <w:r>
        <w:rPr>
          <w:rFonts w:hint="eastAsia" w:ascii="宋体" w:hAnsi="宋体"/>
          <w:b/>
          <w:bCs/>
          <w:kern w:val="0"/>
          <w:sz w:val="24"/>
          <w:szCs w:val="24"/>
        </w:rPr>
        <w:t>2.</w:t>
      </w:r>
      <w:r>
        <w:rPr>
          <w:rFonts w:ascii="宋体" w:hAnsi="宋体"/>
          <w:b/>
          <w:bCs/>
          <w:kern w:val="0"/>
          <w:sz w:val="24"/>
          <w:szCs w:val="24"/>
        </w:rPr>
        <w:t>1 标准</w:t>
      </w:r>
      <w:r>
        <w:rPr>
          <w:rFonts w:hint="eastAsia" w:ascii="宋体" w:hAnsi="宋体"/>
          <w:b/>
          <w:bCs/>
          <w:kern w:val="0"/>
          <w:sz w:val="24"/>
          <w:szCs w:val="24"/>
        </w:rPr>
        <w:t>制定的</w:t>
      </w:r>
      <w:r>
        <w:rPr>
          <w:rFonts w:ascii="宋体" w:hAnsi="宋体"/>
          <w:b/>
          <w:bCs/>
          <w:kern w:val="0"/>
          <w:sz w:val="24"/>
          <w:szCs w:val="24"/>
        </w:rPr>
        <w:t>原则</w:t>
      </w:r>
    </w:p>
    <w:p>
      <w:pPr>
        <w:autoSpaceDE w:val="0"/>
        <w:autoSpaceDN w:val="0"/>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等同采用</w:t>
      </w:r>
      <w:r>
        <w:rPr>
          <w:rFonts w:ascii="宋体" w:hAnsi="宋体"/>
          <w:bCs/>
          <w:sz w:val="24"/>
          <w:szCs w:val="24"/>
        </w:rPr>
        <w:t>《</w:t>
      </w:r>
      <w:r>
        <w:rPr>
          <w:rFonts w:hint="eastAsia" w:ascii="宋体" w:hAnsi="宋体"/>
          <w:sz w:val="24"/>
          <w:szCs w:val="24"/>
        </w:rPr>
        <w:t>ISO 18549-1：2009</w:t>
      </w:r>
      <w:r>
        <w:rPr>
          <w:rFonts w:hint="eastAsia" w:ascii="宋体" w:hAnsi="宋体" w:cs="宋体"/>
          <w:sz w:val="24"/>
          <w:szCs w:val="24"/>
        </w:rPr>
        <w:t xml:space="preserve"> Metallic powders—Determination ofapparent density and flow rate at elevatedtemperatures—Part 1:Determination of apparent density atelevated temperatures》</w:t>
      </w:r>
      <w:r>
        <w:rPr>
          <w:rFonts w:hint="eastAsia" w:ascii="宋体" w:hAnsi="宋体"/>
          <w:sz w:val="24"/>
          <w:szCs w:val="24"/>
        </w:rPr>
        <w:t>，</w:t>
      </w:r>
      <w:r>
        <w:rPr>
          <w:rFonts w:ascii="宋体" w:hAnsi="宋体"/>
          <w:kern w:val="0"/>
          <w:sz w:val="24"/>
          <w:szCs w:val="24"/>
        </w:rPr>
        <w:t>保证标准的适用性</w:t>
      </w:r>
      <w:r>
        <w:rPr>
          <w:rFonts w:hint="eastAsia" w:ascii="宋体" w:hAnsi="宋体"/>
          <w:kern w:val="0"/>
          <w:sz w:val="24"/>
          <w:szCs w:val="24"/>
        </w:rPr>
        <w:t>和</w:t>
      </w:r>
      <w:r>
        <w:rPr>
          <w:rFonts w:ascii="宋体" w:hAnsi="宋体"/>
          <w:kern w:val="0"/>
          <w:sz w:val="24"/>
          <w:szCs w:val="24"/>
        </w:rPr>
        <w:t>先进性，加快和国际接轨的步伐，提高产品的竞争能力。</w:t>
      </w:r>
    </w:p>
    <w:p>
      <w:pPr>
        <w:autoSpaceDE w:val="0"/>
        <w:autoSpaceDN w:val="0"/>
        <w:adjustRightInd w:val="0"/>
        <w:spacing w:line="360" w:lineRule="auto"/>
        <w:jc w:val="left"/>
        <w:rPr>
          <w:rFonts w:ascii="宋体" w:hAnsi="宋体"/>
          <w:b/>
          <w:bCs/>
          <w:kern w:val="0"/>
          <w:sz w:val="24"/>
          <w:szCs w:val="24"/>
        </w:rPr>
      </w:pPr>
      <w:r>
        <w:rPr>
          <w:rFonts w:hint="eastAsia" w:ascii="宋体" w:hAnsi="宋体"/>
          <w:b/>
          <w:bCs/>
          <w:kern w:val="0"/>
          <w:sz w:val="24"/>
          <w:szCs w:val="24"/>
        </w:rPr>
        <w:t>2.</w:t>
      </w:r>
      <w:r>
        <w:rPr>
          <w:rFonts w:ascii="宋体" w:hAnsi="宋体"/>
          <w:b/>
          <w:bCs/>
          <w:kern w:val="0"/>
          <w:sz w:val="24"/>
          <w:szCs w:val="24"/>
        </w:rPr>
        <w:t xml:space="preserve">2 </w:t>
      </w:r>
      <w:r>
        <w:rPr>
          <w:rFonts w:hint="eastAsia" w:ascii="宋体" w:hAnsi="宋体"/>
          <w:b/>
          <w:bCs/>
          <w:kern w:val="0"/>
          <w:sz w:val="24"/>
          <w:szCs w:val="24"/>
        </w:rPr>
        <w:t>标准</w:t>
      </w:r>
      <w:r>
        <w:rPr>
          <w:rFonts w:ascii="宋体" w:hAnsi="宋体"/>
          <w:b/>
          <w:bCs/>
          <w:kern w:val="0"/>
          <w:sz w:val="24"/>
          <w:szCs w:val="24"/>
        </w:rPr>
        <w:t>制定</w:t>
      </w:r>
      <w:r>
        <w:rPr>
          <w:rFonts w:hint="eastAsia" w:ascii="宋体" w:hAnsi="宋体"/>
          <w:b/>
          <w:bCs/>
          <w:kern w:val="0"/>
          <w:sz w:val="24"/>
          <w:szCs w:val="24"/>
        </w:rPr>
        <w:t>的主要</w:t>
      </w:r>
      <w:r>
        <w:rPr>
          <w:rFonts w:ascii="宋体" w:hAnsi="宋体"/>
          <w:b/>
          <w:bCs/>
          <w:kern w:val="0"/>
          <w:sz w:val="24"/>
          <w:szCs w:val="24"/>
        </w:rPr>
        <w:t>内容</w:t>
      </w:r>
    </w:p>
    <w:p>
      <w:pPr>
        <w:spacing w:line="360" w:lineRule="auto"/>
        <w:ind w:firstLine="480" w:firstLineChars="200"/>
        <w:jc w:val="left"/>
        <w:rPr>
          <w:rFonts w:ascii="宋体" w:hAnsi="宋体"/>
          <w:sz w:val="24"/>
          <w:szCs w:val="24"/>
        </w:rPr>
      </w:pPr>
      <w:r>
        <w:rPr>
          <w:rFonts w:ascii="宋体" w:hAnsi="宋体"/>
          <w:bCs/>
          <w:sz w:val="24"/>
          <w:szCs w:val="24"/>
        </w:rPr>
        <w:t>根据《</w:t>
      </w:r>
      <w:r>
        <w:rPr>
          <w:rFonts w:hint="eastAsia" w:ascii="宋体" w:hAnsi="宋体"/>
          <w:sz w:val="24"/>
          <w:szCs w:val="24"/>
        </w:rPr>
        <w:t>ISO 18549-1：2009</w:t>
      </w:r>
      <w:r>
        <w:rPr>
          <w:rFonts w:hint="eastAsia" w:ascii="宋体" w:hAnsi="宋体" w:cs="宋体"/>
          <w:sz w:val="24"/>
          <w:szCs w:val="24"/>
        </w:rPr>
        <w:t xml:space="preserve"> Metallic powders—Determination ofapparent density and flow rate at elevatedtemperatures—Part 1:Determination of apparent density atelevated temperatures》翻译等同</w:t>
      </w:r>
      <w:r>
        <w:rPr>
          <w:rFonts w:ascii="宋体" w:hAnsi="宋体"/>
          <w:bCs/>
          <w:sz w:val="24"/>
          <w:szCs w:val="24"/>
        </w:rPr>
        <w:t>制定。</w:t>
      </w:r>
      <w:r>
        <w:rPr>
          <w:rFonts w:hint="eastAsia" w:ascii="宋体" w:hAnsi="宋体"/>
          <w:sz w:val="24"/>
          <w:szCs w:val="24"/>
        </w:rPr>
        <w:t>标准规定了一种粉末混合料高温时松装密度的测定方法，这种粉末主要是用于温压的钢铁粉末。方法主要依据GB/T 1479.1规定的松装密度法（漏斗法）。</w:t>
      </w:r>
    </w:p>
    <w:p>
      <w:pPr>
        <w:spacing w:line="360" w:lineRule="auto"/>
        <w:ind w:firstLine="480" w:firstLineChars="200"/>
        <w:jc w:val="left"/>
        <w:rPr>
          <w:rFonts w:hint="eastAsia" w:ascii="宋体" w:hAnsi="宋体"/>
          <w:bCs/>
          <w:sz w:val="24"/>
          <w:szCs w:val="24"/>
        </w:rPr>
      </w:pPr>
    </w:p>
    <w:p>
      <w:pPr>
        <w:widowControl/>
        <w:snapToGrid w:val="0"/>
        <w:spacing w:after="120" w:afterLines="50" w:line="360" w:lineRule="auto"/>
        <w:jc w:val="left"/>
        <w:rPr>
          <w:rFonts w:ascii="宋体" w:hAnsi="宋体"/>
          <w:b/>
          <w:bCs/>
          <w:kern w:val="0"/>
          <w:sz w:val="24"/>
          <w:szCs w:val="24"/>
        </w:rPr>
      </w:pPr>
      <w:bookmarkStart w:id="3" w:name="_Toc464224262"/>
      <w:r>
        <w:rPr>
          <w:rFonts w:ascii="宋体" w:hAnsi="宋体"/>
          <w:b/>
          <w:bCs/>
          <w:kern w:val="0"/>
          <w:sz w:val="24"/>
          <w:szCs w:val="24"/>
        </w:rPr>
        <w:t>三、标准水平</w:t>
      </w:r>
    </w:p>
    <w:p>
      <w:pPr>
        <w:spacing w:line="360" w:lineRule="auto"/>
        <w:rPr>
          <w:rFonts w:hint="eastAsia" w:ascii="宋体" w:hAnsi="宋体"/>
          <w:b/>
          <w:bCs/>
          <w:color w:val="000000"/>
          <w:sz w:val="24"/>
        </w:rPr>
      </w:pPr>
      <w:r>
        <w:rPr>
          <w:rFonts w:ascii="宋体" w:hAnsi="宋体"/>
          <w:b/>
          <w:bCs/>
          <w:color w:val="000000"/>
          <w:sz w:val="24"/>
        </w:rPr>
        <w:t>3.1</w:t>
      </w:r>
      <w:r>
        <w:rPr>
          <w:rFonts w:hint="eastAsia" w:ascii="宋体" w:hAnsi="宋体"/>
          <w:b/>
          <w:bCs/>
          <w:color w:val="000000"/>
          <w:sz w:val="24"/>
        </w:rPr>
        <w:t xml:space="preserve"> 采用国际标准及国外先进标准的程度</w:t>
      </w:r>
    </w:p>
    <w:p>
      <w:pPr>
        <w:spacing w:line="360" w:lineRule="auto"/>
        <w:ind w:firstLine="480" w:firstLineChars="200"/>
        <w:rPr>
          <w:rFonts w:hint="eastAsia" w:ascii="宋体" w:hAnsi="宋体"/>
          <w:color w:val="000000"/>
          <w:sz w:val="24"/>
        </w:rPr>
      </w:pPr>
      <w:r>
        <w:rPr>
          <w:rFonts w:hint="eastAsia" w:ascii="宋体" w:hAnsi="宋体"/>
          <w:color w:val="000000"/>
          <w:sz w:val="24"/>
        </w:rPr>
        <w:t>本标准等同采用</w:t>
      </w:r>
      <w:r>
        <w:rPr>
          <w:rFonts w:ascii="宋体" w:hAnsi="宋体"/>
          <w:bCs/>
          <w:sz w:val="24"/>
          <w:szCs w:val="24"/>
        </w:rPr>
        <w:t>《</w:t>
      </w:r>
      <w:r>
        <w:rPr>
          <w:rFonts w:hint="eastAsia" w:ascii="宋体" w:hAnsi="宋体"/>
          <w:sz w:val="24"/>
          <w:szCs w:val="24"/>
        </w:rPr>
        <w:t>ISO 18549-1：2009</w:t>
      </w:r>
      <w:r>
        <w:rPr>
          <w:rFonts w:hint="eastAsia" w:ascii="宋体" w:hAnsi="宋体" w:cs="宋体"/>
          <w:sz w:val="24"/>
          <w:szCs w:val="24"/>
        </w:rPr>
        <w:t xml:space="preserve"> Metallic powders—Determination ofapparent density and flow rate at elevatedtemperatures—Part 1:Determination of apparent density atelevated temperatures》。</w:t>
      </w:r>
    </w:p>
    <w:p>
      <w:pPr>
        <w:spacing w:line="360" w:lineRule="auto"/>
        <w:rPr>
          <w:rFonts w:hint="eastAsia" w:ascii="宋体" w:hAnsi="宋体"/>
          <w:b/>
          <w:bCs/>
          <w:color w:val="000000"/>
          <w:sz w:val="24"/>
        </w:rPr>
      </w:pPr>
      <w:r>
        <w:rPr>
          <w:rFonts w:ascii="宋体" w:hAnsi="宋体"/>
          <w:b/>
          <w:bCs/>
          <w:color w:val="000000"/>
          <w:sz w:val="24"/>
        </w:rPr>
        <w:t>3.</w:t>
      </w:r>
      <w:r>
        <w:rPr>
          <w:rFonts w:hint="eastAsia" w:ascii="宋体" w:hAnsi="宋体"/>
          <w:b/>
          <w:bCs/>
          <w:color w:val="000000"/>
          <w:sz w:val="24"/>
        </w:rPr>
        <w:t>2 与国际标准及国外同类标准水平的对比</w:t>
      </w:r>
    </w:p>
    <w:p>
      <w:pPr>
        <w:spacing w:line="360" w:lineRule="auto"/>
        <w:rPr>
          <w:rFonts w:hint="eastAsia" w:ascii="宋体" w:hAnsi="宋体"/>
          <w:color w:val="000000"/>
          <w:sz w:val="24"/>
        </w:rPr>
      </w:pPr>
      <w:r>
        <w:rPr>
          <w:rFonts w:hint="eastAsia" w:ascii="宋体" w:hAnsi="宋体"/>
          <w:color w:val="000000"/>
          <w:sz w:val="24"/>
        </w:rPr>
        <w:t xml:space="preserve">    本标准达到了国际先进水平。</w:t>
      </w:r>
    </w:p>
    <w:p>
      <w:pPr>
        <w:spacing w:line="360" w:lineRule="auto"/>
        <w:rPr>
          <w:rFonts w:hint="eastAsia" w:ascii="宋体" w:hAnsi="宋体"/>
          <w:b/>
          <w:bCs/>
          <w:color w:val="000000"/>
          <w:sz w:val="24"/>
        </w:rPr>
      </w:pPr>
      <w:r>
        <w:rPr>
          <w:rFonts w:hint="eastAsia" w:ascii="宋体" w:hAnsi="宋体"/>
          <w:b/>
          <w:bCs/>
          <w:color w:val="000000"/>
          <w:sz w:val="24"/>
        </w:rPr>
        <w:t>3.3  与现有标准及</w:t>
      </w:r>
      <w:r>
        <w:rPr>
          <w:rFonts w:hint="eastAsia" w:ascii="宋体" w:hAnsi="宋体"/>
          <w:b/>
          <w:bCs/>
          <w:color w:val="000000"/>
          <w:sz w:val="24"/>
          <w:lang w:eastAsia="zh-CN"/>
        </w:rPr>
        <w:t>制</w:t>
      </w:r>
      <w:r>
        <w:rPr>
          <w:rFonts w:hint="eastAsia" w:ascii="宋体" w:hAnsi="宋体"/>
          <w:b/>
          <w:bCs/>
          <w:color w:val="000000"/>
          <w:sz w:val="24"/>
        </w:rPr>
        <w:t>修订中的标准协调配套情况</w:t>
      </w:r>
    </w:p>
    <w:p>
      <w:pPr>
        <w:spacing w:line="360" w:lineRule="auto"/>
        <w:ind w:firstLine="480"/>
        <w:rPr>
          <w:rFonts w:hint="eastAsia" w:ascii="宋体" w:hAnsi="宋体"/>
          <w:color w:val="000000"/>
          <w:sz w:val="24"/>
        </w:rPr>
      </w:pPr>
      <w:r>
        <w:rPr>
          <w:rFonts w:hint="eastAsia" w:ascii="宋体" w:hAnsi="宋体"/>
          <w:color w:val="000000"/>
          <w:sz w:val="24"/>
        </w:rPr>
        <w:t>本标准与现有标准及</w:t>
      </w:r>
      <w:r>
        <w:rPr>
          <w:rFonts w:hint="eastAsia" w:ascii="宋体" w:hAnsi="宋体"/>
          <w:color w:val="000000"/>
          <w:sz w:val="24"/>
          <w:lang w:eastAsia="zh-CN"/>
        </w:rPr>
        <w:t>制</w:t>
      </w:r>
      <w:r>
        <w:rPr>
          <w:rFonts w:hint="eastAsia" w:ascii="宋体" w:hAnsi="宋体"/>
          <w:color w:val="000000"/>
          <w:sz w:val="24"/>
        </w:rPr>
        <w:t>修订中的标准协调配套。</w:t>
      </w:r>
    </w:p>
    <w:p>
      <w:pPr>
        <w:spacing w:line="360" w:lineRule="auto"/>
        <w:rPr>
          <w:rFonts w:hint="eastAsia" w:ascii="宋体" w:hAnsi="宋体"/>
          <w:b/>
          <w:bCs/>
          <w:color w:val="000000"/>
          <w:sz w:val="24"/>
        </w:rPr>
      </w:pPr>
      <w:r>
        <w:rPr>
          <w:rFonts w:hint="eastAsia" w:ascii="宋体" w:hAnsi="宋体"/>
          <w:b/>
          <w:bCs/>
          <w:color w:val="000000"/>
          <w:sz w:val="24"/>
        </w:rPr>
        <w:t>3.4  涉及国内外专利及处置情况</w:t>
      </w:r>
    </w:p>
    <w:p>
      <w:pPr>
        <w:spacing w:line="360" w:lineRule="auto"/>
        <w:rPr>
          <w:rFonts w:hint="eastAsia" w:ascii="宋体" w:hAnsi="宋体"/>
          <w:color w:val="000000"/>
          <w:sz w:val="24"/>
        </w:rPr>
      </w:pPr>
      <w:r>
        <w:rPr>
          <w:rFonts w:hint="eastAsia" w:ascii="宋体" w:hAnsi="宋体"/>
          <w:b/>
          <w:color w:val="000000"/>
          <w:sz w:val="24"/>
        </w:rPr>
        <w:t xml:space="preserve">     </w:t>
      </w:r>
      <w:r>
        <w:rPr>
          <w:rFonts w:hint="eastAsia" w:ascii="宋体" w:hAnsi="宋体"/>
          <w:color w:val="000000"/>
          <w:sz w:val="24"/>
        </w:rPr>
        <w:t>经查，本标准没有涉及国内外专利。</w:t>
      </w:r>
    </w:p>
    <w:p>
      <w:pPr>
        <w:widowControl/>
        <w:snapToGrid w:val="0"/>
        <w:spacing w:after="120" w:afterLines="50" w:line="360" w:lineRule="auto"/>
        <w:jc w:val="left"/>
        <w:rPr>
          <w:rFonts w:ascii="宋体" w:hAnsi="宋体"/>
          <w:sz w:val="24"/>
          <w:szCs w:val="24"/>
        </w:rPr>
      </w:pPr>
      <w:bookmarkStart w:id="4" w:name="_Toc464224256"/>
      <w:r>
        <w:rPr>
          <w:rFonts w:ascii="宋体" w:hAnsi="宋体"/>
          <w:b/>
          <w:bCs/>
          <w:kern w:val="0"/>
          <w:sz w:val="24"/>
          <w:szCs w:val="24"/>
        </w:rPr>
        <w:t>四、与有关的现行法律、法规和强制性国家标准的关系</w:t>
      </w:r>
      <w:bookmarkEnd w:id="4"/>
    </w:p>
    <w:p>
      <w:pPr>
        <w:pStyle w:val="6"/>
        <w:spacing w:line="360" w:lineRule="auto"/>
        <w:ind w:firstLine="482"/>
        <w:rPr>
          <w:rFonts w:ascii="宋体" w:hAnsi="宋体"/>
          <w:color w:val="000000"/>
        </w:rPr>
      </w:pPr>
      <w:r>
        <w:rPr>
          <w:rFonts w:ascii="宋体" w:hAnsi="宋体"/>
          <w:color w:val="000000"/>
        </w:rPr>
        <w:t>与有关的现行法律、法规和强制性国家标准</w:t>
      </w:r>
      <w:r>
        <w:rPr>
          <w:rFonts w:hint="eastAsia" w:ascii="宋体" w:hAnsi="宋体"/>
          <w:color w:val="000000"/>
        </w:rPr>
        <w:t>具有一致性，</w:t>
      </w:r>
      <w:r>
        <w:rPr>
          <w:rFonts w:ascii="宋体" w:hAnsi="宋体"/>
          <w:color w:val="000000"/>
        </w:rPr>
        <w:t>没有冲突。</w:t>
      </w:r>
    </w:p>
    <w:p>
      <w:pPr>
        <w:widowControl/>
        <w:snapToGrid w:val="0"/>
        <w:spacing w:after="120" w:afterLines="50" w:line="360" w:lineRule="auto"/>
        <w:jc w:val="left"/>
        <w:rPr>
          <w:rFonts w:ascii="宋体" w:hAnsi="宋体"/>
          <w:b/>
          <w:bCs/>
          <w:kern w:val="0"/>
          <w:sz w:val="24"/>
          <w:szCs w:val="24"/>
        </w:rPr>
      </w:pPr>
      <w:bookmarkStart w:id="5" w:name="_Toc459479081"/>
      <w:bookmarkStart w:id="6" w:name="_Toc464224258"/>
      <w:r>
        <w:rPr>
          <w:rFonts w:hint="eastAsia" w:ascii="宋体" w:hAnsi="宋体"/>
          <w:b/>
          <w:bCs/>
          <w:kern w:val="0"/>
          <w:sz w:val="24"/>
          <w:szCs w:val="24"/>
        </w:rPr>
        <w:t>五</w:t>
      </w:r>
      <w:r>
        <w:rPr>
          <w:rFonts w:ascii="宋体" w:hAnsi="宋体"/>
          <w:b/>
          <w:bCs/>
          <w:kern w:val="0"/>
          <w:sz w:val="24"/>
          <w:szCs w:val="24"/>
        </w:rPr>
        <w:t>、重大分歧意见的处理经过和依据</w:t>
      </w:r>
      <w:bookmarkEnd w:id="5"/>
      <w:bookmarkEnd w:id="6"/>
    </w:p>
    <w:p>
      <w:pPr>
        <w:pStyle w:val="6"/>
        <w:spacing w:line="360" w:lineRule="auto"/>
        <w:ind w:firstLine="482"/>
        <w:rPr>
          <w:rFonts w:ascii="宋体" w:hAnsi="宋体"/>
          <w:color w:val="000000"/>
        </w:rPr>
      </w:pPr>
      <w:r>
        <w:rPr>
          <w:rFonts w:ascii="宋体" w:hAnsi="宋体"/>
          <w:color w:val="000000"/>
        </w:rPr>
        <w:t>无。</w:t>
      </w:r>
    </w:p>
    <w:p>
      <w:pPr>
        <w:widowControl/>
        <w:snapToGrid w:val="0"/>
        <w:spacing w:after="120" w:afterLines="50" w:line="360" w:lineRule="auto"/>
        <w:jc w:val="left"/>
        <w:rPr>
          <w:rFonts w:ascii="宋体" w:hAnsi="宋体"/>
          <w:b/>
          <w:bCs/>
          <w:kern w:val="0"/>
          <w:sz w:val="24"/>
          <w:szCs w:val="24"/>
        </w:rPr>
      </w:pPr>
      <w:bookmarkStart w:id="7" w:name="_Toc464224259"/>
      <w:bookmarkStart w:id="8" w:name="_Toc459479082"/>
      <w:r>
        <w:rPr>
          <w:rFonts w:hint="eastAsia" w:ascii="宋体" w:hAnsi="宋体"/>
          <w:b/>
          <w:bCs/>
          <w:kern w:val="0"/>
          <w:sz w:val="24"/>
          <w:szCs w:val="24"/>
        </w:rPr>
        <w:t>六</w:t>
      </w:r>
      <w:r>
        <w:rPr>
          <w:rFonts w:ascii="宋体" w:hAnsi="宋体"/>
          <w:b/>
          <w:bCs/>
          <w:kern w:val="0"/>
          <w:sz w:val="24"/>
          <w:szCs w:val="24"/>
        </w:rPr>
        <w:t>、标准作为强制性或推荐性国家标准的建议</w:t>
      </w:r>
      <w:bookmarkEnd w:id="7"/>
      <w:bookmarkEnd w:id="8"/>
    </w:p>
    <w:p>
      <w:pPr>
        <w:pStyle w:val="6"/>
        <w:spacing w:line="360" w:lineRule="auto"/>
        <w:ind w:firstLine="482"/>
        <w:rPr>
          <w:rFonts w:ascii="宋体" w:hAnsi="宋体"/>
          <w:color w:val="000000"/>
        </w:rPr>
      </w:pPr>
      <w:r>
        <w:rPr>
          <w:rFonts w:ascii="宋体" w:hAnsi="宋体"/>
          <w:color w:val="000000"/>
        </w:rPr>
        <w:t>本标准建议作为推荐性国家标准。</w:t>
      </w:r>
    </w:p>
    <w:p>
      <w:pPr>
        <w:widowControl/>
        <w:snapToGrid w:val="0"/>
        <w:spacing w:after="120" w:afterLines="50" w:line="360" w:lineRule="auto"/>
        <w:jc w:val="left"/>
        <w:rPr>
          <w:rFonts w:ascii="宋体" w:hAnsi="宋体"/>
          <w:b/>
          <w:bCs/>
          <w:kern w:val="0"/>
          <w:sz w:val="24"/>
          <w:szCs w:val="24"/>
        </w:rPr>
      </w:pPr>
      <w:bookmarkStart w:id="9" w:name="_Toc464224260"/>
      <w:r>
        <w:rPr>
          <w:rFonts w:hint="eastAsia" w:ascii="宋体" w:hAnsi="宋体"/>
          <w:b/>
          <w:bCs/>
          <w:kern w:val="0"/>
          <w:sz w:val="24"/>
          <w:szCs w:val="24"/>
        </w:rPr>
        <w:t>七</w:t>
      </w:r>
      <w:r>
        <w:rPr>
          <w:rFonts w:ascii="宋体" w:hAnsi="宋体"/>
          <w:b/>
          <w:bCs/>
          <w:kern w:val="0"/>
          <w:sz w:val="24"/>
          <w:szCs w:val="24"/>
        </w:rPr>
        <w:t>、贯彻国家标准的要求和措施建议</w:t>
      </w:r>
      <w:bookmarkEnd w:id="9"/>
    </w:p>
    <w:p>
      <w:pPr>
        <w:pStyle w:val="6"/>
        <w:spacing w:line="360" w:lineRule="auto"/>
        <w:ind w:firstLine="482"/>
        <w:rPr>
          <w:rFonts w:ascii="宋体" w:hAnsi="宋体"/>
          <w:color w:val="000000"/>
        </w:rPr>
      </w:pPr>
      <w:r>
        <w:rPr>
          <w:rFonts w:ascii="宋体" w:hAnsi="宋体"/>
          <w:color w:val="000000"/>
        </w:rPr>
        <w:t>无。</w:t>
      </w:r>
    </w:p>
    <w:p>
      <w:pPr>
        <w:widowControl/>
        <w:snapToGrid w:val="0"/>
        <w:spacing w:after="120" w:afterLines="50" w:line="360" w:lineRule="auto"/>
        <w:jc w:val="left"/>
        <w:rPr>
          <w:rFonts w:hint="eastAsia" w:ascii="宋体" w:hAnsi="宋体"/>
          <w:b/>
          <w:bCs/>
          <w:kern w:val="0"/>
          <w:sz w:val="24"/>
          <w:szCs w:val="24"/>
        </w:rPr>
      </w:pPr>
      <w:bookmarkStart w:id="10" w:name="_Toc464224261"/>
      <w:r>
        <w:rPr>
          <w:rFonts w:hint="eastAsia" w:ascii="宋体" w:hAnsi="宋体"/>
          <w:b/>
          <w:bCs/>
          <w:kern w:val="0"/>
          <w:sz w:val="24"/>
          <w:szCs w:val="24"/>
        </w:rPr>
        <w:t>八</w:t>
      </w:r>
      <w:r>
        <w:rPr>
          <w:rFonts w:ascii="宋体" w:hAnsi="宋体"/>
          <w:b/>
          <w:bCs/>
          <w:kern w:val="0"/>
          <w:sz w:val="24"/>
          <w:szCs w:val="24"/>
        </w:rPr>
        <w:t>、废止现行有关标准的建议</w:t>
      </w:r>
      <w:bookmarkEnd w:id="10"/>
    </w:p>
    <w:p>
      <w:pPr>
        <w:pStyle w:val="6"/>
        <w:spacing w:line="360" w:lineRule="auto"/>
        <w:ind w:firstLine="482"/>
        <w:rPr>
          <w:rFonts w:ascii="宋体" w:hAnsi="宋体"/>
          <w:color w:val="000000"/>
        </w:rPr>
      </w:pPr>
      <w:r>
        <w:rPr>
          <w:rFonts w:ascii="宋体" w:hAnsi="宋体"/>
          <w:color w:val="000000"/>
        </w:rPr>
        <w:t>无。</w:t>
      </w:r>
    </w:p>
    <w:p>
      <w:pPr>
        <w:widowControl/>
        <w:snapToGrid w:val="0"/>
        <w:spacing w:after="120" w:afterLines="50" w:line="360" w:lineRule="auto"/>
        <w:jc w:val="left"/>
        <w:rPr>
          <w:rFonts w:ascii="宋体" w:hAnsi="宋体"/>
          <w:b/>
          <w:bCs/>
          <w:kern w:val="0"/>
          <w:sz w:val="24"/>
          <w:szCs w:val="24"/>
        </w:rPr>
      </w:pPr>
      <w:r>
        <w:rPr>
          <w:rFonts w:hint="eastAsia" w:ascii="宋体" w:hAnsi="宋体"/>
          <w:b/>
          <w:bCs/>
          <w:kern w:val="0"/>
          <w:sz w:val="24"/>
          <w:szCs w:val="24"/>
        </w:rPr>
        <w:t>九</w:t>
      </w:r>
      <w:r>
        <w:rPr>
          <w:rFonts w:ascii="宋体" w:hAnsi="宋体"/>
          <w:b/>
          <w:bCs/>
          <w:kern w:val="0"/>
          <w:sz w:val="24"/>
          <w:szCs w:val="24"/>
        </w:rPr>
        <w:t>、</w:t>
      </w:r>
      <w:r>
        <w:rPr>
          <w:rFonts w:hint="eastAsia" w:ascii="宋体" w:hAnsi="宋体"/>
          <w:b/>
          <w:bCs/>
          <w:kern w:val="0"/>
          <w:sz w:val="24"/>
          <w:szCs w:val="24"/>
        </w:rPr>
        <w:t>其他应予以说明的事项</w:t>
      </w:r>
    </w:p>
    <w:p>
      <w:pPr>
        <w:pStyle w:val="6"/>
        <w:spacing w:line="360" w:lineRule="auto"/>
        <w:ind w:firstLine="482"/>
        <w:rPr>
          <w:rFonts w:hint="eastAsia" w:ascii="宋体" w:hAnsi="宋体"/>
          <w:color w:val="000000"/>
        </w:rPr>
      </w:pPr>
      <w:r>
        <w:rPr>
          <w:rFonts w:ascii="宋体" w:hAnsi="宋体"/>
          <w:color w:val="000000"/>
        </w:rPr>
        <w:t>无。</w:t>
      </w:r>
    </w:p>
    <w:p>
      <w:pPr>
        <w:widowControl/>
        <w:snapToGrid w:val="0"/>
        <w:spacing w:after="120" w:afterLines="50" w:line="360" w:lineRule="auto"/>
        <w:jc w:val="left"/>
        <w:rPr>
          <w:rFonts w:ascii="宋体" w:hAnsi="宋体"/>
          <w:b/>
          <w:bCs/>
          <w:kern w:val="0"/>
          <w:sz w:val="24"/>
          <w:szCs w:val="24"/>
        </w:rPr>
      </w:pPr>
      <w:r>
        <w:rPr>
          <w:rFonts w:ascii="宋体" w:hAnsi="宋体"/>
          <w:b/>
          <w:bCs/>
          <w:kern w:val="0"/>
          <w:sz w:val="24"/>
          <w:szCs w:val="24"/>
        </w:rPr>
        <w:t>十、预期效果</w:t>
      </w:r>
      <w:bookmarkEnd w:id="3"/>
    </w:p>
    <w:p>
      <w:pPr>
        <w:pStyle w:val="6"/>
        <w:spacing w:line="360" w:lineRule="auto"/>
        <w:ind w:firstLine="482"/>
        <w:rPr>
          <w:rFonts w:ascii="宋体" w:hAnsi="宋体"/>
          <w:color w:val="000000"/>
        </w:rPr>
      </w:pPr>
      <w:r>
        <w:rPr>
          <w:rFonts w:hint="eastAsia" w:ascii="宋体" w:hAnsi="宋体"/>
        </w:rPr>
        <w:t>《金属粉末 高温时松装密度和流速的测定 第1部分：高温时松装密度的测定》</w:t>
      </w:r>
      <w:r>
        <w:rPr>
          <w:rFonts w:ascii="宋体" w:hAnsi="宋体"/>
          <w:color w:val="000000"/>
        </w:rPr>
        <w:t>国家标准的制定，使标准更加满足各单位的要求，将为科研、试验、生产、应用、贸易等方面提供最基本的技术标准依据，在该标准的基础之上促使试验、产品与国际接轨。</w:t>
      </w:r>
    </w:p>
    <w:p>
      <w:pPr>
        <w:tabs>
          <w:tab w:val="left" w:pos="5265"/>
        </w:tabs>
        <w:spacing w:line="360" w:lineRule="auto"/>
        <w:jc w:val="right"/>
        <w:rPr>
          <w:rFonts w:ascii="宋体" w:hAnsi="宋体"/>
          <w:sz w:val="24"/>
          <w:szCs w:val="24"/>
        </w:rPr>
      </w:pPr>
      <w:r>
        <w:rPr>
          <w:rFonts w:ascii="宋体" w:hAnsi="宋体"/>
          <w:sz w:val="24"/>
          <w:szCs w:val="24"/>
        </w:rPr>
        <w:tab/>
      </w:r>
    </w:p>
    <w:p>
      <w:pPr>
        <w:tabs>
          <w:tab w:val="left" w:pos="5265"/>
        </w:tabs>
        <w:spacing w:line="360" w:lineRule="auto"/>
        <w:jc w:val="right"/>
        <w:rPr>
          <w:rFonts w:ascii="宋体" w:hAnsi="宋体"/>
          <w:sz w:val="24"/>
          <w:szCs w:val="24"/>
        </w:rPr>
      </w:pPr>
    </w:p>
    <w:p>
      <w:pPr>
        <w:tabs>
          <w:tab w:val="left" w:pos="5265"/>
        </w:tabs>
        <w:spacing w:line="360" w:lineRule="auto"/>
        <w:jc w:val="right"/>
        <w:rPr>
          <w:rFonts w:ascii="宋体" w:hAnsi="宋体"/>
          <w:sz w:val="24"/>
          <w:szCs w:val="24"/>
        </w:rPr>
      </w:pPr>
    </w:p>
    <w:p>
      <w:pPr>
        <w:tabs>
          <w:tab w:val="left" w:pos="5265"/>
        </w:tabs>
        <w:spacing w:line="360" w:lineRule="auto"/>
        <w:jc w:val="right"/>
        <w:rPr>
          <w:rFonts w:ascii="宋体" w:hAnsi="宋体"/>
          <w:sz w:val="24"/>
          <w:szCs w:val="24"/>
        </w:rPr>
      </w:pPr>
    </w:p>
    <w:p>
      <w:pPr>
        <w:spacing w:before="100" w:beforeAutospacing="1" w:after="100" w:afterAutospacing="1"/>
        <w:ind w:firstLine="3360" w:firstLineChars="1200"/>
        <w:rPr>
          <w:rFonts w:ascii="宋体" w:hAnsi="宋体" w:cs="宋体"/>
          <w:sz w:val="28"/>
          <w:szCs w:val="28"/>
        </w:rPr>
      </w:pPr>
      <w:r>
        <w:rPr>
          <w:sz w:val="28"/>
          <w:szCs w:val="32"/>
        </w:rPr>
        <w:t>《</w:t>
      </w:r>
      <w:r>
        <w:rPr>
          <w:rFonts w:hint="eastAsia" w:ascii="宋体" w:hAnsi="宋体" w:cs="宋体"/>
          <w:sz w:val="28"/>
          <w:szCs w:val="28"/>
        </w:rPr>
        <w:t xml:space="preserve">金属粉末 高温时松装密度和流速的测定 </w:t>
      </w:r>
    </w:p>
    <w:p>
      <w:pPr>
        <w:spacing w:before="100" w:beforeAutospacing="1" w:after="100" w:afterAutospacing="1"/>
        <w:jc w:val="center"/>
        <w:rPr>
          <w:sz w:val="28"/>
          <w:szCs w:val="32"/>
        </w:rPr>
      </w:pPr>
      <w:r>
        <w:rPr>
          <w:rFonts w:ascii="宋体" w:hAnsi="宋体" w:cs="宋体"/>
          <w:sz w:val="28"/>
          <w:szCs w:val="28"/>
        </w:rPr>
        <w:t xml:space="preserve">                   </w:t>
      </w:r>
      <w:r>
        <w:rPr>
          <w:rFonts w:hint="eastAsia" w:ascii="宋体" w:hAnsi="宋体" w:cs="宋体"/>
          <w:sz w:val="28"/>
          <w:szCs w:val="28"/>
        </w:rPr>
        <w:t>第1部分：高温时松装密度的测定</w:t>
      </w:r>
      <w:r>
        <w:rPr>
          <w:sz w:val="28"/>
          <w:szCs w:val="32"/>
        </w:rPr>
        <w:t>》标准编制组</w:t>
      </w:r>
    </w:p>
    <w:p>
      <w:pPr>
        <w:tabs>
          <w:tab w:val="left" w:pos="5265"/>
        </w:tabs>
        <w:jc w:val="right"/>
        <w:rPr>
          <w:rFonts w:ascii="宋体" w:hAnsi="宋体"/>
          <w:sz w:val="24"/>
          <w:szCs w:val="24"/>
        </w:rPr>
      </w:pPr>
      <w:r>
        <w:rPr>
          <w:rFonts w:ascii="宋体" w:hAnsi="宋体"/>
          <w:sz w:val="24"/>
          <w:szCs w:val="24"/>
        </w:rPr>
        <w:t>20</w:t>
      </w:r>
      <w:r>
        <w:rPr>
          <w:rFonts w:hint="eastAsia" w:ascii="宋体" w:hAnsi="宋体"/>
          <w:sz w:val="24"/>
          <w:szCs w:val="24"/>
        </w:rPr>
        <w:t>20</w:t>
      </w:r>
      <w:r>
        <w:rPr>
          <w:rFonts w:ascii="宋体" w:hAnsi="宋体"/>
          <w:sz w:val="24"/>
          <w:szCs w:val="24"/>
        </w:rPr>
        <w:t>年</w:t>
      </w:r>
      <w:r>
        <w:rPr>
          <w:rFonts w:hint="eastAsia" w:ascii="宋体" w:hAnsi="宋体"/>
          <w:sz w:val="24"/>
          <w:szCs w:val="24"/>
        </w:rPr>
        <w:t>6</w:t>
      </w:r>
      <w:r>
        <w:rPr>
          <w:rFonts w:ascii="宋体" w:hAnsi="宋体"/>
          <w:sz w:val="24"/>
          <w:szCs w:val="24"/>
        </w:rPr>
        <w:t>月</w:t>
      </w:r>
      <w:r>
        <w:rPr>
          <w:rFonts w:hint="eastAsia" w:ascii="宋体" w:hAnsi="宋体"/>
          <w:sz w:val="24"/>
          <w:szCs w:val="24"/>
          <w:lang w:val="en-US" w:eastAsia="zh-CN"/>
        </w:rPr>
        <w:t>1</w:t>
      </w:r>
      <w:bookmarkStart w:id="11" w:name="_GoBack"/>
      <w:bookmarkEnd w:id="11"/>
      <w:r>
        <w:rPr>
          <w:rFonts w:ascii="宋体" w:hAnsi="宋体"/>
          <w:sz w:val="24"/>
          <w:szCs w:val="24"/>
        </w:rPr>
        <w:t>日</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sectPr>
      <w:footerReference r:id="rId9" w:type="first"/>
      <w:pgSz w:w="11906" w:h="16838"/>
      <w:pgMar w:top="1440" w:right="1440" w:bottom="1440" w:left="1440" w:header="851" w:footer="992" w:gutter="284"/>
      <w:pgNumType w:start="1"/>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2"/>
      </w:rPr>
      <w:fldChar w:fldCharType="begin"/>
    </w:r>
    <w:r>
      <w:rPr>
        <w:rStyle w:val="22"/>
      </w:rPr>
      <w:instrText xml:space="preserve"> PAGE </w:instrText>
    </w:r>
    <w:r>
      <w:rPr>
        <w:rStyle w:val="22"/>
      </w:rPr>
      <w:fldChar w:fldCharType="separate"/>
    </w:r>
    <w:r>
      <w:rPr>
        <w:rStyle w:val="22"/>
      </w:rPr>
      <w:t>6</w:t>
    </w:r>
    <w:r>
      <w:rPr>
        <w:rStyle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2"/>
      </w:rPr>
      <w:fldChar w:fldCharType="begin"/>
    </w:r>
    <w:r>
      <w:rPr>
        <w:rStyle w:val="22"/>
      </w:rPr>
      <w:instrText xml:space="preserve"> PAGE </w:instrText>
    </w:r>
    <w:r>
      <w:rPr>
        <w:rStyle w:val="22"/>
      </w:rPr>
      <w:fldChar w:fldCharType="separate"/>
    </w:r>
    <w:r>
      <w:rPr>
        <w:rStyle w:val="22"/>
      </w:rPr>
      <w:t>1</w:t>
    </w:r>
    <w:r>
      <w:rPr>
        <w:rStyle w:val="2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B27391"/>
    <w:rsid w:val="000065FF"/>
    <w:rsid w:val="000069BF"/>
    <w:rsid w:val="000103A7"/>
    <w:rsid w:val="00011673"/>
    <w:rsid w:val="000203B8"/>
    <w:rsid w:val="00020EC9"/>
    <w:rsid w:val="00023F1E"/>
    <w:rsid w:val="000246B4"/>
    <w:rsid w:val="0002694D"/>
    <w:rsid w:val="00027ACA"/>
    <w:rsid w:val="00031667"/>
    <w:rsid w:val="0003197F"/>
    <w:rsid w:val="00031FB4"/>
    <w:rsid w:val="00033A81"/>
    <w:rsid w:val="00037036"/>
    <w:rsid w:val="00042AF3"/>
    <w:rsid w:val="00052272"/>
    <w:rsid w:val="000523C2"/>
    <w:rsid w:val="00054CB6"/>
    <w:rsid w:val="00060ACB"/>
    <w:rsid w:val="00064F8E"/>
    <w:rsid w:val="000670DD"/>
    <w:rsid w:val="00067E0E"/>
    <w:rsid w:val="00076271"/>
    <w:rsid w:val="0008196F"/>
    <w:rsid w:val="00084237"/>
    <w:rsid w:val="000876D8"/>
    <w:rsid w:val="00090C88"/>
    <w:rsid w:val="000912D2"/>
    <w:rsid w:val="00093C42"/>
    <w:rsid w:val="00095952"/>
    <w:rsid w:val="00097F47"/>
    <w:rsid w:val="000A4DCB"/>
    <w:rsid w:val="000B024B"/>
    <w:rsid w:val="000B3A6D"/>
    <w:rsid w:val="000C119F"/>
    <w:rsid w:val="000C1D62"/>
    <w:rsid w:val="000C5E00"/>
    <w:rsid w:val="000C5F91"/>
    <w:rsid w:val="000D1596"/>
    <w:rsid w:val="000E4254"/>
    <w:rsid w:val="000E6195"/>
    <w:rsid w:val="000E6B3A"/>
    <w:rsid w:val="000F1314"/>
    <w:rsid w:val="000F44B8"/>
    <w:rsid w:val="000F6B19"/>
    <w:rsid w:val="00101925"/>
    <w:rsid w:val="00103FBC"/>
    <w:rsid w:val="00112C47"/>
    <w:rsid w:val="00114294"/>
    <w:rsid w:val="00123138"/>
    <w:rsid w:val="00123FDE"/>
    <w:rsid w:val="00124A0C"/>
    <w:rsid w:val="0012567B"/>
    <w:rsid w:val="00133DAF"/>
    <w:rsid w:val="0013604B"/>
    <w:rsid w:val="00143D9A"/>
    <w:rsid w:val="00146631"/>
    <w:rsid w:val="00146AF4"/>
    <w:rsid w:val="00146C09"/>
    <w:rsid w:val="00152077"/>
    <w:rsid w:val="00156FBB"/>
    <w:rsid w:val="001664B1"/>
    <w:rsid w:val="00166E44"/>
    <w:rsid w:val="00174744"/>
    <w:rsid w:val="00177A43"/>
    <w:rsid w:val="00177C84"/>
    <w:rsid w:val="001832B1"/>
    <w:rsid w:val="00186215"/>
    <w:rsid w:val="001866F3"/>
    <w:rsid w:val="00191E51"/>
    <w:rsid w:val="00195AAF"/>
    <w:rsid w:val="001B742F"/>
    <w:rsid w:val="001C103A"/>
    <w:rsid w:val="001C45BA"/>
    <w:rsid w:val="001C58D9"/>
    <w:rsid w:val="001D0DC0"/>
    <w:rsid w:val="001D25B3"/>
    <w:rsid w:val="001E14EA"/>
    <w:rsid w:val="001F0283"/>
    <w:rsid w:val="001F53EB"/>
    <w:rsid w:val="001F54FA"/>
    <w:rsid w:val="001F6EDE"/>
    <w:rsid w:val="002001F6"/>
    <w:rsid w:val="0020325B"/>
    <w:rsid w:val="002057E4"/>
    <w:rsid w:val="00211D7F"/>
    <w:rsid w:val="00211FFE"/>
    <w:rsid w:val="002138BA"/>
    <w:rsid w:val="00214295"/>
    <w:rsid w:val="002177CA"/>
    <w:rsid w:val="00221001"/>
    <w:rsid w:val="00230A46"/>
    <w:rsid w:val="00232A51"/>
    <w:rsid w:val="00234ED7"/>
    <w:rsid w:val="00240429"/>
    <w:rsid w:val="00241F90"/>
    <w:rsid w:val="00244180"/>
    <w:rsid w:val="00252851"/>
    <w:rsid w:val="0025462A"/>
    <w:rsid w:val="00264B5B"/>
    <w:rsid w:val="00267DB0"/>
    <w:rsid w:val="00273B08"/>
    <w:rsid w:val="00274084"/>
    <w:rsid w:val="00275624"/>
    <w:rsid w:val="00280356"/>
    <w:rsid w:val="002925AC"/>
    <w:rsid w:val="002B0CE2"/>
    <w:rsid w:val="002B3198"/>
    <w:rsid w:val="002D2499"/>
    <w:rsid w:val="002D5A9C"/>
    <w:rsid w:val="002D6464"/>
    <w:rsid w:val="002E081C"/>
    <w:rsid w:val="002E205D"/>
    <w:rsid w:val="002E5CD5"/>
    <w:rsid w:val="002F10F0"/>
    <w:rsid w:val="002F58AB"/>
    <w:rsid w:val="00301D2E"/>
    <w:rsid w:val="00304CE9"/>
    <w:rsid w:val="0031221F"/>
    <w:rsid w:val="0031224C"/>
    <w:rsid w:val="003177DC"/>
    <w:rsid w:val="00325E43"/>
    <w:rsid w:val="00326279"/>
    <w:rsid w:val="00327327"/>
    <w:rsid w:val="00334FAD"/>
    <w:rsid w:val="00340F45"/>
    <w:rsid w:val="003432A8"/>
    <w:rsid w:val="0034360F"/>
    <w:rsid w:val="00344F1B"/>
    <w:rsid w:val="00350808"/>
    <w:rsid w:val="003622AC"/>
    <w:rsid w:val="00362EA0"/>
    <w:rsid w:val="00364632"/>
    <w:rsid w:val="00370C26"/>
    <w:rsid w:val="00391D56"/>
    <w:rsid w:val="00394398"/>
    <w:rsid w:val="003A19A9"/>
    <w:rsid w:val="003A3394"/>
    <w:rsid w:val="003A4422"/>
    <w:rsid w:val="003A5C87"/>
    <w:rsid w:val="003A70C6"/>
    <w:rsid w:val="003B36D4"/>
    <w:rsid w:val="003B36E9"/>
    <w:rsid w:val="003B5623"/>
    <w:rsid w:val="003C0804"/>
    <w:rsid w:val="003C0827"/>
    <w:rsid w:val="003C0FCD"/>
    <w:rsid w:val="003C777A"/>
    <w:rsid w:val="003D4D85"/>
    <w:rsid w:val="003D66B7"/>
    <w:rsid w:val="003D74CD"/>
    <w:rsid w:val="003D7C65"/>
    <w:rsid w:val="003E1FAD"/>
    <w:rsid w:val="003E2022"/>
    <w:rsid w:val="003E5707"/>
    <w:rsid w:val="003E62CB"/>
    <w:rsid w:val="003E6E31"/>
    <w:rsid w:val="00401B8F"/>
    <w:rsid w:val="00407FDE"/>
    <w:rsid w:val="004120D0"/>
    <w:rsid w:val="0041375C"/>
    <w:rsid w:val="0042068C"/>
    <w:rsid w:val="00422A79"/>
    <w:rsid w:val="00424C60"/>
    <w:rsid w:val="00430A2C"/>
    <w:rsid w:val="00442F9E"/>
    <w:rsid w:val="004445EC"/>
    <w:rsid w:val="00444963"/>
    <w:rsid w:val="004449C0"/>
    <w:rsid w:val="00453846"/>
    <w:rsid w:val="00455DE8"/>
    <w:rsid w:val="00460C2D"/>
    <w:rsid w:val="00460CFD"/>
    <w:rsid w:val="004622E1"/>
    <w:rsid w:val="00462E6D"/>
    <w:rsid w:val="00467B1E"/>
    <w:rsid w:val="004715DB"/>
    <w:rsid w:val="0048200E"/>
    <w:rsid w:val="00493D64"/>
    <w:rsid w:val="0049466B"/>
    <w:rsid w:val="00494C81"/>
    <w:rsid w:val="0049723F"/>
    <w:rsid w:val="004A17FC"/>
    <w:rsid w:val="004A74E6"/>
    <w:rsid w:val="004B31AB"/>
    <w:rsid w:val="004B56DD"/>
    <w:rsid w:val="004C4F10"/>
    <w:rsid w:val="004D7BD4"/>
    <w:rsid w:val="004E23EE"/>
    <w:rsid w:val="004E2C77"/>
    <w:rsid w:val="004E467B"/>
    <w:rsid w:val="004F022D"/>
    <w:rsid w:val="00500709"/>
    <w:rsid w:val="0050085A"/>
    <w:rsid w:val="005011D5"/>
    <w:rsid w:val="0050307C"/>
    <w:rsid w:val="00507993"/>
    <w:rsid w:val="005154DC"/>
    <w:rsid w:val="00521A36"/>
    <w:rsid w:val="005230CF"/>
    <w:rsid w:val="005233DC"/>
    <w:rsid w:val="0052387C"/>
    <w:rsid w:val="0052790E"/>
    <w:rsid w:val="00533A8F"/>
    <w:rsid w:val="005407FF"/>
    <w:rsid w:val="00541667"/>
    <w:rsid w:val="00543C22"/>
    <w:rsid w:val="00545BEE"/>
    <w:rsid w:val="00547309"/>
    <w:rsid w:val="005479B6"/>
    <w:rsid w:val="00550481"/>
    <w:rsid w:val="005518D5"/>
    <w:rsid w:val="00551A5F"/>
    <w:rsid w:val="0055385D"/>
    <w:rsid w:val="00554184"/>
    <w:rsid w:val="00565254"/>
    <w:rsid w:val="0057026C"/>
    <w:rsid w:val="005709F3"/>
    <w:rsid w:val="00573A8D"/>
    <w:rsid w:val="0057567D"/>
    <w:rsid w:val="00580EF3"/>
    <w:rsid w:val="005848FB"/>
    <w:rsid w:val="005862CD"/>
    <w:rsid w:val="00586BF9"/>
    <w:rsid w:val="0058765B"/>
    <w:rsid w:val="00591351"/>
    <w:rsid w:val="005A1CBB"/>
    <w:rsid w:val="005A53A3"/>
    <w:rsid w:val="005C1630"/>
    <w:rsid w:val="005C2242"/>
    <w:rsid w:val="005C7852"/>
    <w:rsid w:val="005C78A0"/>
    <w:rsid w:val="005C7FE7"/>
    <w:rsid w:val="005D49AB"/>
    <w:rsid w:val="005E1A13"/>
    <w:rsid w:val="005E329F"/>
    <w:rsid w:val="005F1848"/>
    <w:rsid w:val="005F3F9E"/>
    <w:rsid w:val="005F4725"/>
    <w:rsid w:val="005F4A9A"/>
    <w:rsid w:val="005F4E49"/>
    <w:rsid w:val="005F5F29"/>
    <w:rsid w:val="00600065"/>
    <w:rsid w:val="006020DB"/>
    <w:rsid w:val="006032D8"/>
    <w:rsid w:val="006056EE"/>
    <w:rsid w:val="00611A0E"/>
    <w:rsid w:val="00613DA4"/>
    <w:rsid w:val="006157C1"/>
    <w:rsid w:val="00623E56"/>
    <w:rsid w:val="00627384"/>
    <w:rsid w:val="00635EEB"/>
    <w:rsid w:val="00637CCD"/>
    <w:rsid w:val="006400A8"/>
    <w:rsid w:val="0064113C"/>
    <w:rsid w:val="00645F29"/>
    <w:rsid w:val="0064625C"/>
    <w:rsid w:val="006476CD"/>
    <w:rsid w:val="006521C3"/>
    <w:rsid w:val="0065771B"/>
    <w:rsid w:val="00660147"/>
    <w:rsid w:val="00660B61"/>
    <w:rsid w:val="00660F0B"/>
    <w:rsid w:val="00661EE2"/>
    <w:rsid w:val="00670DE8"/>
    <w:rsid w:val="00677211"/>
    <w:rsid w:val="00684ECE"/>
    <w:rsid w:val="0068550A"/>
    <w:rsid w:val="006917BD"/>
    <w:rsid w:val="00692468"/>
    <w:rsid w:val="006929ED"/>
    <w:rsid w:val="006948C4"/>
    <w:rsid w:val="006A3647"/>
    <w:rsid w:val="006A5836"/>
    <w:rsid w:val="006A741D"/>
    <w:rsid w:val="006A7439"/>
    <w:rsid w:val="006A761C"/>
    <w:rsid w:val="006B4B25"/>
    <w:rsid w:val="006B5486"/>
    <w:rsid w:val="006B7081"/>
    <w:rsid w:val="006C34CD"/>
    <w:rsid w:val="006C4A21"/>
    <w:rsid w:val="006C5B81"/>
    <w:rsid w:val="006C6BF0"/>
    <w:rsid w:val="006D2A8D"/>
    <w:rsid w:val="006D67AB"/>
    <w:rsid w:val="006E6972"/>
    <w:rsid w:val="006E7F0C"/>
    <w:rsid w:val="006F1050"/>
    <w:rsid w:val="006F3C84"/>
    <w:rsid w:val="007020AC"/>
    <w:rsid w:val="0070467E"/>
    <w:rsid w:val="007058AC"/>
    <w:rsid w:val="00717801"/>
    <w:rsid w:val="007248C8"/>
    <w:rsid w:val="007261B7"/>
    <w:rsid w:val="00731AF1"/>
    <w:rsid w:val="00741027"/>
    <w:rsid w:val="00743CD9"/>
    <w:rsid w:val="00744471"/>
    <w:rsid w:val="00751BAD"/>
    <w:rsid w:val="00751E5C"/>
    <w:rsid w:val="00774C1B"/>
    <w:rsid w:val="007755EE"/>
    <w:rsid w:val="0078044B"/>
    <w:rsid w:val="007833BA"/>
    <w:rsid w:val="00783E85"/>
    <w:rsid w:val="007932D4"/>
    <w:rsid w:val="00794DC7"/>
    <w:rsid w:val="00796D69"/>
    <w:rsid w:val="007A0D2D"/>
    <w:rsid w:val="007B4D33"/>
    <w:rsid w:val="007C4399"/>
    <w:rsid w:val="007C69DD"/>
    <w:rsid w:val="007D6451"/>
    <w:rsid w:val="007E03E3"/>
    <w:rsid w:val="007E4790"/>
    <w:rsid w:val="007E489D"/>
    <w:rsid w:val="007E59AF"/>
    <w:rsid w:val="007E6D64"/>
    <w:rsid w:val="008049A3"/>
    <w:rsid w:val="0080653F"/>
    <w:rsid w:val="00813251"/>
    <w:rsid w:val="008155DC"/>
    <w:rsid w:val="00823047"/>
    <w:rsid w:val="0082347B"/>
    <w:rsid w:val="0082491B"/>
    <w:rsid w:val="008256A8"/>
    <w:rsid w:val="008278BE"/>
    <w:rsid w:val="00827B80"/>
    <w:rsid w:val="008300B3"/>
    <w:rsid w:val="00832775"/>
    <w:rsid w:val="008331B0"/>
    <w:rsid w:val="00834186"/>
    <w:rsid w:val="0083477A"/>
    <w:rsid w:val="00836370"/>
    <w:rsid w:val="00837CB1"/>
    <w:rsid w:val="00846C83"/>
    <w:rsid w:val="00847B3E"/>
    <w:rsid w:val="00852C29"/>
    <w:rsid w:val="008560E3"/>
    <w:rsid w:val="0085639A"/>
    <w:rsid w:val="00861A27"/>
    <w:rsid w:val="008632A3"/>
    <w:rsid w:val="0086690A"/>
    <w:rsid w:val="008705AE"/>
    <w:rsid w:val="00870EE2"/>
    <w:rsid w:val="0087181E"/>
    <w:rsid w:val="0088074B"/>
    <w:rsid w:val="00883CA6"/>
    <w:rsid w:val="00896D6F"/>
    <w:rsid w:val="008A3F66"/>
    <w:rsid w:val="008B45CA"/>
    <w:rsid w:val="008B5AD7"/>
    <w:rsid w:val="008C0171"/>
    <w:rsid w:val="008C5F0C"/>
    <w:rsid w:val="008D1579"/>
    <w:rsid w:val="008D5FF2"/>
    <w:rsid w:val="008E370E"/>
    <w:rsid w:val="008E382B"/>
    <w:rsid w:val="008F02D8"/>
    <w:rsid w:val="00902B09"/>
    <w:rsid w:val="00904B4C"/>
    <w:rsid w:val="009065E8"/>
    <w:rsid w:val="00911ADC"/>
    <w:rsid w:val="00915C58"/>
    <w:rsid w:val="00931255"/>
    <w:rsid w:val="00932C2F"/>
    <w:rsid w:val="00934285"/>
    <w:rsid w:val="009426CB"/>
    <w:rsid w:val="0094359E"/>
    <w:rsid w:val="0094643F"/>
    <w:rsid w:val="00952F40"/>
    <w:rsid w:val="0096291E"/>
    <w:rsid w:val="00963104"/>
    <w:rsid w:val="00964A48"/>
    <w:rsid w:val="00967750"/>
    <w:rsid w:val="00971312"/>
    <w:rsid w:val="00972909"/>
    <w:rsid w:val="009A60D8"/>
    <w:rsid w:val="009A637A"/>
    <w:rsid w:val="009A64EE"/>
    <w:rsid w:val="009B0464"/>
    <w:rsid w:val="009B0B43"/>
    <w:rsid w:val="009B1367"/>
    <w:rsid w:val="009B1C02"/>
    <w:rsid w:val="009B3C73"/>
    <w:rsid w:val="009C2BA4"/>
    <w:rsid w:val="009C4431"/>
    <w:rsid w:val="009D14B2"/>
    <w:rsid w:val="009D645F"/>
    <w:rsid w:val="009E0114"/>
    <w:rsid w:val="009E2AE2"/>
    <w:rsid w:val="009F0120"/>
    <w:rsid w:val="009F2B8B"/>
    <w:rsid w:val="00A03584"/>
    <w:rsid w:val="00A10682"/>
    <w:rsid w:val="00A23C2F"/>
    <w:rsid w:val="00A26A03"/>
    <w:rsid w:val="00A30DCA"/>
    <w:rsid w:val="00A335E6"/>
    <w:rsid w:val="00A3409E"/>
    <w:rsid w:val="00A36945"/>
    <w:rsid w:val="00A41D8C"/>
    <w:rsid w:val="00A44D3D"/>
    <w:rsid w:val="00A4592A"/>
    <w:rsid w:val="00A50D11"/>
    <w:rsid w:val="00A52F32"/>
    <w:rsid w:val="00A56FAA"/>
    <w:rsid w:val="00A64D54"/>
    <w:rsid w:val="00A6502C"/>
    <w:rsid w:val="00A74C0F"/>
    <w:rsid w:val="00A851C6"/>
    <w:rsid w:val="00A87AEC"/>
    <w:rsid w:val="00A9122D"/>
    <w:rsid w:val="00A91D0E"/>
    <w:rsid w:val="00A94E65"/>
    <w:rsid w:val="00A96B4F"/>
    <w:rsid w:val="00AA15E0"/>
    <w:rsid w:val="00AA1C74"/>
    <w:rsid w:val="00AA3BCD"/>
    <w:rsid w:val="00AA3CDC"/>
    <w:rsid w:val="00AA4083"/>
    <w:rsid w:val="00AB35E5"/>
    <w:rsid w:val="00AB4005"/>
    <w:rsid w:val="00AB459D"/>
    <w:rsid w:val="00AC3BD1"/>
    <w:rsid w:val="00AC667B"/>
    <w:rsid w:val="00AC7658"/>
    <w:rsid w:val="00AD1575"/>
    <w:rsid w:val="00AD5B6F"/>
    <w:rsid w:val="00AD6CFB"/>
    <w:rsid w:val="00AD7994"/>
    <w:rsid w:val="00AE40A0"/>
    <w:rsid w:val="00AF0949"/>
    <w:rsid w:val="00AF1927"/>
    <w:rsid w:val="00AF4872"/>
    <w:rsid w:val="00AF6132"/>
    <w:rsid w:val="00AF67C2"/>
    <w:rsid w:val="00AF68AF"/>
    <w:rsid w:val="00B00F02"/>
    <w:rsid w:val="00B01D16"/>
    <w:rsid w:val="00B0305C"/>
    <w:rsid w:val="00B051AD"/>
    <w:rsid w:val="00B14FD0"/>
    <w:rsid w:val="00B20210"/>
    <w:rsid w:val="00B22B34"/>
    <w:rsid w:val="00B249A6"/>
    <w:rsid w:val="00B2501F"/>
    <w:rsid w:val="00B27391"/>
    <w:rsid w:val="00B31247"/>
    <w:rsid w:val="00B34FB3"/>
    <w:rsid w:val="00B369E2"/>
    <w:rsid w:val="00B36FFB"/>
    <w:rsid w:val="00B43699"/>
    <w:rsid w:val="00B436F8"/>
    <w:rsid w:val="00B467B5"/>
    <w:rsid w:val="00B519D9"/>
    <w:rsid w:val="00B52668"/>
    <w:rsid w:val="00B55E3E"/>
    <w:rsid w:val="00B6333A"/>
    <w:rsid w:val="00B70817"/>
    <w:rsid w:val="00B70C99"/>
    <w:rsid w:val="00B735A9"/>
    <w:rsid w:val="00B74FF4"/>
    <w:rsid w:val="00B77406"/>
    <w:rsid w:val="00B77630"/>
    <w:rsid w:val="00B83DB3"/>
    <w:rsid w:val="00B90988"/>
    <w:rsid w:val="00B93D29"/>
    <w:rsid w:val="00B9716D"/>
    <w:rsid w:val="00BA1DCF"/>
    <w:rsid w:val="00BA73F8"/>
    <w:rsid w:val="00BB185A"/>
    <w:rsid w:val="00BB30EB"/>
    <w:rsid w:val="00BB6626"/>
    <w:rsid w:val="00BC3D8A"/>
    <w:rsid w:val="00BC4AFB"/>
    <w:rsid w:val="00BC6527"/>
    <w:rsid w:val="00BD062A"/>
    <w:rsid w:val="00BD1FB5"/>
    <w:rsid w:val="00BD2B7B"/>
    <w:rsid w:val="00BE1ADC"/>
    <w:rsid w:val="00BF25B4"/>
    <w:rsid w:val="00BF27E9"/>
    <w:rsid w:val="00BF6CA9"/>
    <w:rsid w:val="00C056E8"/>
    <w:rsid w:val="00C134F1"/>
    <w:rsid w:val="00C15A17"/>
    <w:rsid w:val="00C222CF"/>
    <w:rsid w:val="00C22E7F"/>
    <w:rsid w:val="00C24D05"/>
    <w:rsid w:val="00C26C6B"/>
    <w:rsid w:val="00C36983"/>
    <w:rsid w:val="00C40B76"/>
    <w:rsid w:val="00C40E26"/>
    <w:rsid w:val="00C41439"/>
    <w:rsid w:val="00C428F6"/>
    <w:rsid w:val="00C472DD"/>
    <w:rsid w:val="00C50F17"/>
    <w:rsid w:val="00C55488"/>
    <w:rsid w:val="00C610F1"/>
    <w:rsid w:val="00C640FC"/>
    <w:rsid w:val="00C67863"/>
    <w:rsid w:val="00C70F26"/>
    <w:rsid w:val="00C70F41"/>
    <w:rsid w:val="00C764C8"/>
    <w:rsid w:val="00C76701"/>
    <w:rsid w:val="00C76F30"/>
    <w:rsid w:val="00C77BAB"/>
    <w:rsid w:val="00C80343"/>
    <w:rsid w:val="00C830AD"/>
    <w:rsid w:val="00C83AE3"/>
    <w:rsid w:val="00C87225"/>
    <w:rsid w:val="00C91297"/>
    <w:rsid w:val="00C972C9"/>
    <w:rsid w:val="00CB0922"/>
    <w:rsid w:val="00CB36DF"/>
    <w:rsid w:val="00CB5FDA"/>
    <w:rsid w:val="00CC0219"/>
    <w:rsid w:val="00CC0EE6"/>
    <w:rsid w:val="00CC1A20"/>
    <w:rsid w:val="00CD7E5A"/>
    <w:rsid w:val="00CE1A03"/>
    <w:rsid w:val="00CE76C8"/>
    <w:rsid w:val="00CE794E"/>
    <w:rsid w:val="00CF7266"/>
    <w:rsid w:val="00D0032E"/>
    <w:rsid w:val="00D00593"/>
    <w:rsid w:val="00D05F12"/>
    <w:rsid w:val="00D071AC"/>
    <w:rsid w:val="00D11CFF"/>
    <w:rsid w:val="00D25B5F"/>
    <w:rsid w:val="00D40618"/>
    <w:rsid w:val="00D42EA7"/>
    <w:rsid w:val="00D47866"/>
    <w:rsid w:val="00D5052E"/>
    <w:rsid w:val="00D66410"/>
    <w:rsid w:val="00D70541"/>
    <w:rsid w:val="00D72E96"/>
    <w:rsid w:val="00D75891"/>
    <w:rsid w:val="00D80A70"/>
    <w:rsid w:val="00D85516"/>
    <w:rsid w:val="00D85EC2"/>
    <w:rsid w:val="00D9038C"/>
    <w:rsid w:val="00D91EF1"/>
    <w:rsid w:val="00D92438"/>
    <w:rsid w:val="00D924BD"/>
    <w:rsid w:val="00D9467B"/>
    <w:rsid w:val="00DA1230"/>
    <w:rsid w:val="00DA5D58"/>
    <w:rsid w:val="00DA78B9"/>
    <w:rsid w:val="00DB51BE"/>
    <w:rsid w:val="00DB54FE"/>
    <w:rsid w:val="00DC78C0"/>
    <w:rsid w:val="00DD00AD"/>
    <w:rsid w:val="00DD2388"/>
    <w:rsid w:val="00DD7BDA"/>
    <w:rsid w:val="00DE2ED9"/>
    <w:rsid w:val="00DF2C7B"/>
    <w:rsid w:val="00E10594"/>
    <w:rsid w:val="00E106C4"/>
    <w:rsid w:val="00E13F0E"/>
    <w:rsid w:val="00E209E8"/>
    <w:rsid w:val="00E21457"/>
    <w:rsid w:val="00E2586E"/>
    <w:rsid w:val="00E371F3"/>
    <w:rsid w:val="00E37919"/>
    <w:rsid w:val="00E37B57"/>
    <w:rsid w:val="00E4364E"/>
    <w:rsid w:val="00E537C2"/>
    <w:rsid w:val="00E549CA"/>
    <w:rsid w:val="00E6037C"/>
    <w:rsid w:val="00E71C3C"/>
    <w:rsid w:val="00E73EBA"/>
    <w:rsid w:val="00E74FDA"/>
    <w:rsid w:val="00E80B6D"/>
    <w:rsid w:val="00E87646"/>
    <w:rsid w:val="00E900F5"/>
    <w:rsid w:val="00E9149B"/>
    <w:rsid w:val="00E971AF"/>
    <w:rsid w:val="00EA2079"/>
    <w:rsid w:val="00EA3CFC"/>
    <w:rsid w:val="00EA42E5"/>
    <w:rsid w:val="00EA4A9F"/>
    <w:rsid w:val="00EA4EC4"/>
    <w:rsid w:val="00EB0922"/>
    <w:rsid w:val="00ED7731"/>
    <w:rsid w:val="00EE0B3C"/>
    <w:rsid w:val="00EE6865"/>
    <w:rsid w:val="00EE727A"/>
    <w:rsid w:val="00EF23B3"/>
    <w:rsid w:val="00EF6303"/>
    <w:rsid w:val="00F00BDE"/>
    <w:rsid w:val="00F0521C"/>
    <w:rsid w:val="00F070C0"/>
    <w:rsid w:val="00F104EF"/>
    <w:rsid w:val="00F1365B"/>
    <w:rsid w:val="00F14BD9"/>
    <w:rsid w:val="00F1673B"/>
    <w:rsid w:val="00F173CE"/>
    <w:rsid w:val="00F2124D"/>
    <w:rsid w:val="00F216CF"/>
    <w:rsid w:val="00F3043A"/>
    <w:rsid w:val="00F362DD"/>
    <w:rsid w:val="00F4131F"/>
    <w:rsid w:val="00F43BE0"/>
    <w:rsid w:val="00F50EF7"/>
    <w:rsid w:val="00F52033"/>
    <w:rsid w:val="00F566B6"/>
    <w:rsid w:val="00F56C02"/>
    <w:rsid w:val="00F630E7"/>
    <w:rsid w:val="00F6334D"/>
    <w:rsid w:val="00F7419D"/>
    <w:rsid w:val="00F74A95"/>
    <w:rsid w:val="00F757BA"/>
    <w:rsid w:val="00F8358D"/>
    <w:rsid w:val="00F86E0A"/>
    <w:rsid w:val="00FA2E6C"/>
    <w:rsid w:val="00FA5F2D"/>
    <w:rsid w:val="00FB1933"/>
    <w:rsid w:val="00FB3ED6"/>
    <w:rsid w:val="00FB4318"/>
    <w:rsid w:val="00FC1084"/>
    <w:rsid w:val="00FD04D8"/>
    <w:rsid w:val="00FD3CF6"/>
    <w:rsid w:val="00FD7116"/>
    <w:rsid w:val="00FE1571"/>
    <w:rsid w:val="00FE1A2F"/>
    <w:rsid w:val="00FE7FC8"/>
    <w:rsid w:val="00FF2983"/>
    <w:rsid w:val="00FF7255"/>
    <w:rsid w:val="0C2D4CF3"/>
    <w:rsid w:val="1B310B11"/>
    <w:rsid w:val="3B7B6242"/>
    <w:rsid w:val="3D542D7F"/>
    <w:rsid w:val="3D797749"/>
    <w:rsid w:val="3DF70C6F"/>
    <w:rsid w:val="6A9642F5"/>
    <w:rsid w:val="75065A2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99"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6"/>
    <w:qFormat/>
    <w:uiPriority w:val="99"/>
    <w:pPr>
      <w:keepNext/>
      <w:keepLines/>
      <w:spacing w:before="340" w:after="330" w:line="578" w:lineRule="auto"/>
      <w:outlineLvl w:val="0"/>
    </w:pPr>
    <w:rPr>
      <w:b/>
      <w:bCs/>
      <w:kern w:val="44"/>
      <w:sz w:val="44"/>
      <w:szCs w:val="44"/>
    </w:rPr>
  </w:style>
  <w:style w:type="paragraph" w:styleId="3">
    <w:name w:val="heading 4"/>
    <w:basedOn w:val="1"/>
    <w:next w:val="1"/>
    <w:link w:val="27"/>
    <w:qFormat/>
    <w:uiPriority w:val="99"/>
    <w:pPr>
      <w:keepNext/>
      <w:jc w:val="center"/>
      <w:outlineLvl w:val="3"/>
    </w:pPr>
    <w:rPr>
      <w:rFonts w:ascii="Cambria" w:hAnsi="Cambria" w:cs="Cambria"/>
      <w:b/>
      <w:bCs/>
      <w:kern w:val="0"/>
      <w:sz w:val="28"/>
      <w:szCs w:val="28"/>
    </w:rPr>
  </w:style>
  <w:style w:type="paragraph" w:styleId="4">
    <w:name w:val="heading 5"/>
    <w:basedOn w:val="1"/>
    <w:next w:val="1"/>
    <w:link w:val="28"/>
    <w:qFormat/>
    <w:uiPriority w:val="99"/>
    <w:pPr>
      <w:keepNext/>
      <w:ind w:left="459" w:hanging="459" w:hangingChars="254"/>
      <w:jc w:val="center"/>
      <w:outlineLvl w:val="4"/>
    </w:pPr>
    <w:rPr>
      <w:b/>
      <w:bCs/>
      <w:kern w:val="0"/>
      <w:sz w:val="28"/>
      <w:szCs w:val="28"/>
    </w:rPr>
  </w:style>
  <w:style w:type="character" w:default="1" w:styleId="21">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8"/>
    <w:semiHidden/>
    <w:qFormat/>
    <w:uiPriority w:val="99"/>
    <w:pPr>
      <w:jc w:val="left"/>
    </w:pPr>
    <w:rPr>
      <w:sz w:val="24"/>
      <w:szCs w:val="24"/>
    </w:rPr>
  </w:style>
  <w:style w:type="paragraph" w:styleId="6">
    <w:name w:val="Body Text"/>
    <w:basedOn w:val="1"/>
    <w:link w:val="46"/>
    <w:qFormat/>
    <w:uiPriority w:val="99"/>
    <w:pPr>
      <w:spacing w:after="120"/>
    </w:pPr>
    <w:rPr>
      <w:sz w:val="24"/>
      <w:szCs w:val="24"/>
    </w:rPr>
  </w:style>
  <w:style w:type="paragraph" w:styleId="7">
    <w:name w:val="Body Text Indent"/>
    <w:basedOn w:val="1"/>
    <w:link w:val="35"/>
    <w:qFormat/>
    <w:uiPriority w:val="99"/>
    <w:pPr>
      <w:autoSpaceDE w:val="0"/>
      <w:autoSpaceDN w:val="0"/>
      <w:adjustRightInd w:val="0"/>
      <w:spacing w:line="360" w:lineRule="auto"/>
      <w:ind w:firstLine="640" w:firstLineChars="200"/>
    </w:pPr>
    <w:rPr>
      <w:kern w:val="0"/>
    </w:rPr>
  </w:style>
  <w:style w:type="paragraph" w:styleId="8">
    <w:name w:val="Plain Text"/>
    <w:basedOn w:val="1"/>
    <w:link w:val="31"/>
    <w:qFormat/>
    <w:uiPriority w:val="99"/>
    <w:rPr>
      <w:rFonts w:ascii="宋体" w:hAnsi="Courier New" w:cs="宋体"/>
      <w:kern w:val="0"/>
    </w:rPr>
  </w:style>
  <w:style w:type="paragraph" w:styleId="9">
    <w:name w:val="Date"/>
    <w:basedOn w:val="1"/>
    <w:next w:val="1"/>
    <w:link w:val="40"/>
    <w:qFormat/>
    <w:uiPriority w:val="99"/>
    <w:pPr>
      <w:ind w:left="100" w:leftChars="2500"/>
    </w:pPr>
    <w:rPr>
      <w:kern w:val="0"/>
    </w:rPr>
  </w:style>
  <w:style w:type="paragraph" w:styleId="10">
    <w:name w:val="Body Text Indent 2"/>
    <w:basedOn w:val="1"/>
    <w:link w:val="36"/>
    <w:uiPriority w:val="99"/>
    <w:pPr>
      <w:spacing w:after="120" w:line="480" w:lineRule="auto"/>
      <w:ind w:left="420" w:leftChars="200"/>
    </w:pPr>
    <w:rPr>
      <w:kern w:val="0"/>
    </w:rPr>
  </w:style>
  <w:style w:type="paragraph" w:styleId="11">
    <w:name w:val="Balloon Text"/>
    <w:basedOn w:val="1"/>
    <w:link w:val="50"/>
    <w:semiHidden/>
    <w:qFormat/>
    <w:uiPriority w:val="99"/>
    <w:rPr>
      <w:sz w:val="18"/>
      <w:szCs w:val="18"/>
    </w:rPr>
  </w:style>
  <w:style w:type="paragraph" w:styleId="12">
    <w:name w:val="footer"/>
    <w:basedOn w:val="1"/>
    <w:link w:val="30"/>
    <w:qFormat/>
    <w:uiPriority w:val="99"/>
    <w:pPr>
      <w:tabs>
        <w:tab w:val="center" w:pos="4153"/>
        <w:tab w:val="right" w:pos="8306"/>
      </w:tabs>
      <w:snapToGrid w:val="0"/>
      <w:jc w:val="left"/>
    </w:pPr>
    <w:rPr>
      <w:kern w:val="0"/>
      <w:sz w:val="18"/>
      <w:szCs w:val="18"/>
    </w:rPr>
  </w:style>
  <w:style w:type="paragraph" w:styleId="13">
    <w:name w:val="header"/>
    <w:basedOn w:val="1"/>
    <w:link w:val="29"/>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Subtitle"/>
    <w:basedOn w:val="1"/>
    <w:next w:val="1"/>
    <w:link w:val="47"/>
    <w:qFormat/>
    <w:uiPriority w:val="99"/>
    <w:pPr>
      <w:spacing w:before="120" w:after="120" w:line="360" w:lineRule="auto"/>
      <w:jc w:val="left"/>
      <w:outlineLvl w:val="1"/>
    </w:pPr>
    <w:rPr>
      <w:rFonts w:ascii="Cambria" w:hAnsi="Cambria" w:eastAsia="黑体" w:cs="Cambria"/>
      <w:b/>
      <w:bCs/>
      <w:kern w:val="28"/>
      <w:sz w:val="32"/>
      <w:szCs w:val="32"/>
    </w:rPr>
  </w:style>
  <w:style w:type="paragraph" w:styleId="15">
    <w:name w:val="HTML Preformatted"/>
    <w:basedOn w:val="1"/>
    <w:link w:val="4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16">
    <w:name w:val="Normal (Web)"/>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styleId="17">
    <w:name w:val="annotation subject"/>
    <w:basedOn w:val="5"/>
    <w:next w:val="5"/>
    <w:link w:val="49"/>
    <w:semiHidden/>
    <w:qFormat/>
    <w:uiPriority w:val="99"/>
    <w:rPr>
      <w:b/>
      <w:bCs/>
    </w:rPr>
  </w:style>
  <w:style w:type="table" w:styleId="19">
    <w:name w:val="Table Grid"/>
    <w:basedOn w:val="18"/>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Table Professional"/>
    <w:basedOn w:val="18"/>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l2br w:val="nil"/>
          <w:tr2bl w:val="nil"/>
        </w:tcBorders>
        <w:shd w:val="solid" w:color="000000" w:fill="FFFFFF"/>
      </w:tcPr>
    </w:tblStylePr>
  </w:style>
  <w:style w:type="character" w:styleId="22">
    <w:name w:val="page number"/>
    <w:basedOn w:val="21"/>
    <w:qFormat/>
    <w:uiPriority w:val="99"/>
  </w:style>
  <w:style w:type="character" w:styleId="23">
    <w:name w:val="Emphasis"/>
    <w:qFormat/>
    <w:uiPriority w:val="99"/>
    <w:rPr>
      <w:i/>
      <w:iCs/>
    </w:rPr>
  </w:style>
  <w:style w:type="character" w:styleId="24">
    <w:name w:val="Hyperlink"/>
    <w:qFormat/>
    <w:uiPriority w:val="99"/>
    <w:rPr>
      <w:color w:val="0000FF"/>
      <w:u w:val="single"/>
    </w:rPr>
  </w:style>
  <w:style w:type="character" w:styleId="25">
    <w:name w:val="annotation reference"/>
    <w:semiHidden/>
    <w:qFormat/>
    <w:uiPriority w:val="99"/>
    <w:rPr>
      <w:sz w:val="21"/>
      <w:szCs w:val="21"/>
    </w:rPr>
  </w:style>
  <w:style w:type="character" w:customStyle="1" w:styleId="26">
    <w:name w:val="标题 1 字符"/>
    <w:link w:val="2"/>
    <w:qFormat/>
    <w:locked/>
    <w:uiPriority w:val="99"/>
    <w:rPr>
      <w:b/>
      <w:bCs/>
      <w:kern w:val="44"/>
      <w:sz w:val="44"/>
      <w:szCs w:val="44"/>
    </w:rPr>
  </w:style>
  <w:style w:type="character" w:customStyle="1" w:styleId="27">
    <w:name w:val="标题 4 字符"/>
    <w:link w:val="3"/>
    <w:semiHidden/>
    <w:qFormat/>
    <w:locked/>
    <w:uiPriority w:val="99"/>
    <w:rPr>
      <w:rFonts w:ascii="Cambria" w:hAnsi="Cambria" w:eastAsia="宋体" w:cs="Cambria"/>
      <w:b/>
      <w:bCs/>
      <w:sz w:val="28"/>
      <w:szCs w:val="28"/>
    </w:rPr>
  </w:style>
  <w:style w:type="character" w:customStyle="1" w:styleId="28">
    <w:name w:val="标题 5 字符"/>
    <w:link w:val="4"/>
    <w:semiHidden/>
    <w:qFormat/>
    <w:locked/>
    <w:uiPriority w:val="99"/>
    <w:rPr>
      <w:b/>
      <w:bCs/>
      <w:sz w:val="28"/>
      <w:szCs w:val="28"/>
    </w:rPr>
  </w:style>
  <w:style w:type="character" w:customStyle="1" w:styleId="29">
    <w:name w:val="页眉 字符"/>
    <w:link w:val="13"/>
    <w:semiHidden/>
    <w:qFormat/>
    <w:locked/>
    <w:uiPriority w:val="99"/>
    <w:rPr>
      <w:sz w:val="18"/>
      <w:szCs w:val="18"/>
    </w:rPr>
  </w:style>
  <w:style w:type="character" w:customStyle="1" w:styleId="30">
    <w:name w:val="页脚 字符"/>
    <w:link w:val="12"/>
    <w:semiHidden/>
    <w:qFormat/>
    <w:locked/>
    <w:uiPriority w:val="99"/>
    <w:rPr>
      <w:sz w:val="18"/>
      <w:szCs w:val="18"/>
    </w:rPr>
  </w:style>
  <w:style w:type="character" w:customStyle="1" w:styleId="31">
    <w:name w:val="纯文本 字符"/>
    <w:link w:val="8"/>
    <w:semiHidden/>
    <w:qFormat/>
    <w:locked/>
    <w:uiPriority w:val="99"/>
    <w:rPr>
      <w:rFonts w:ascii="宋体" w:hAnsi="Courier New" w:cs="宋体"/>
      <w:sz w:val="21"/>
      <w:szCs w:val="21"/>
    </w:rPr>
  </w:style>
  <w:style w:type="paragraph" w:customStyle="1" w:styleId="32">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3">
    <w:name w:val="xl36"/>
    <w:basedOn w:val="1"/>
    <w:qFormat/>
    <w:uiPriority w:val="99"/>
    <w:pPr>
      <w:widowControl/>
      <w:spacing w:before="100" w:beforeAutospacing="1" w:after="100" w:afterAutospacing="1"/>
      <w:jc w:val="center"/>
      <w:textAlignment w:val="top"/>
    </w:pPr>
    <w:rPr>
      <w:kern w:val="0"/>
    </w:rPr>
  </w:style>
  <w:style w:type="paragraph" w:customStyle="1" w:styleId="34">
    <w:name w:val="xl37"/>
    <w:basedOn w:val="1"/>
    <w:qFormat/>
    <w:uiPriority w:val="99"/>
    <w:pPr>
      <w:widowControl/>
      <w:spacing w:before="100" w:beforeAutospacing="1" w:after="100" w:afterAutospacing="1"/>
      <w:textAlignment w:val="top"/>
    </w:pPr>
    <w:rPr>
      <w:kern w:val="0"/>
    </w:rPr>
  </w:style>
  <w:style w:type="character" w:customStyle="1" w:styleId="35">
    <w:name w:val="正文文本缩进 字符"/>
    <w:link w:val="7"/>
    <w:semiHidden/>
    <w:qFormat/>
    <w:locked/>
    <w:uiPriority w:val="99"/>
    <w:rPr>
      <w:sz w:val="21"/>
      <w:szCs w:val="21"/>
    </w:rPr>
  </w:style>
  <w:style w:type="character" w:customStyle="1" w:styleId="36">
    <w:name w:val="正文文本缩进 2 字符"/>
    <w:link w:val="10"/>
    <w:semiHidden/>
    <w:qFormat/>
    <w:locked/>
    <w:uiPriority w:val="99"/>
    <w:rPr>
      <w:sz w:val="21"/>
      <w:szCs w:val="21"/>
    </w:rPr>
  </w:style>
  <w:style w:type="character" w:customStyle="1" w:styleId="37">
    <w:name w:val="e1 style1 style2 style3 style3 style4 style4"/>
    <w:basedOn w:val="21"/>
    <w:qFormat/>
    <w:uiPriority w:val="99"/>
  </w:style>
  <w:style w:type="character" w:customStyle="1" w:styleId="38">
    <w:name w:val="style81"/>
    <w:qFormat/>
    <w:uiPriority w:val="99"/>
    <w:rPr>
      <w:color w:val="auto"/>
    </w:rPr>
  </w:style>
  <w:style w:type="paragraph" w:customStyle="1" w:styleId="39">
    <w:name w:val="Char Char Char Char"/>
    <w:basedOn w:val="1"/>
    <w:qFormat/>
    <w:uiPriority w:val="99"/>
    <w:pPr>
      <w:widowControl/>
      <w:spacing w:after="160" w:line="240" w:lineRule="exact"/>
      <w:jc w:val="left"/>
    </w:pPr>
  </w:style>
  <w:style w:type="character" w:customStyle="1" w:styleId="40">
    <w:name w:val="日期 字符"/>
    <w:link w:val="9"/>
    <w:semiHidden/>
    <w:qFormat/>
    <w:locked/>
    <w:uiPriority w:val="99"/>
    <w:rPr>
      <w:sz w:val="21"/>
      <w:szCs w:val="21"/>
    </w:rPr>
  </w:style>
  <w:style w:type="character" w:customStyle="1" w:styleId="41">
    <w:name w:val="HTML 预设格式 字符"/>
    <w:link w:val="15"/>
    <w:semiHidden/>
    <w:qFormat/>
    <w:locked/>
    <w:uiPriority w:val="99"/>
    <w:rPr>
      <w:rFonts w:ascii="Courier New" w:hAnsi="Courier New" w:cs="Courier New"/>
      <w:sz w:val="20"/>
      <w:szCs w:val="20"/>
    </w:rPr>
  </w:style>
  <w:style w:type="paragraph" w:customStyle="1" w:styleId="42">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3">
    <w:name w:val="apple-converted-space"/>
    <w:basedOn w:val="21"/>
    <w:qFormat/>
    <w:uiPriority w:val="99"/>
  </w:style>
  <w:style w:type="character" w:customStyle="1" w:styleId="44">
    <w:name w:val="news1"/>
    <w:qFormat/>
    <w:uiPriority w:val="99"/>
    <w:rPr>
      <w:color w:val="000000"/>
      <w:sz w:val="21"/>
      <w:szCs w:val="21"/>
      <w:u w:val="none"/>
    </w:rPr>
  </w:style>
  <w:style w:type="character" w:customStyle="1" w:styleId="45">
    <w:name w:val="warp"/>
    <w:basedOn w:val="21"/>
    <w:qFormat/>
    <w:uiPriority w:val="99"/>
  </w:style>
  <w:style w:type="character" w:customStyle="1" w:styleId="46">
    <w:name w:val="正文文本 字符"/>
    <w:link w:val="6"/>
    <w:qFormat/>
    <w:locked/>
    <w:uiPriority w:val="99"/>
    <w:rPr>
      <w:kern w:val="2"/>
      <w:sz w:val="24"/>
      <w:szCs w:val="24"/>
    </w:rPr>
  </w:style>
  <w:style w:type="character" w:customStyle="1" w:styleId="47">
    <w:name w:val="副标题 字符"/>
    <w:link w:val="14"/>
    <w:qFormat/>
    <w:locked/>
    <w:uiPriority w:val="99"/>
    <w:rPr>
      <w:rFonts w:ascii="Cambria" w:hAnsi="Cambria" w:eastAsia="黑体" w:cs="Cambria"/>
      <w:b/>
      <w:bCs/>
      <w:kern w:val="28"/>
      <w:sz w:val="32"/>
      <w:szCs w:val="32"/>
    </w:rPr>
  </w:style>
  <w:style w:type="character" w:customStyle="1" w:styleId="48">
    <w:name w:val="批注文字 字符"/>
    <w:link w:val="5"/>
    <w:qFormat/>
    <w:locked/>
    <w:uiPriority w:val="99"/>
    <w:rPr>
      <w:kern w:val="2"/>
      <w:sz w:val="24"/>
      <w:szCs w:val="24"/>
    </w:rPr>
  </w:style>
  <w:style w:type="character" w:customStyle="1" w:styleId="49">
    <w:name w:val="批注主题 字符"/>
    <w:link w:val="17"/>
    <w:qFormat/>
    <w:locked/>
    <w:uiPriority w:val="99"/>
    <w:rPr>
      <w:b/>
      <w:bCs/>
      <w:kern w:val="2"/>
      <w:sz w:val="24"/>
      <w:szCs w:val="24"/>
    </w:rPr>
  </w:style>
  <w:style w:type="character" w:customStyle="1" w:styleId="50">
    <w:name w:val="批注框文本 字符"/>
    <w:link w:val="11"/>
    <w:qFormat/>
    <w:locked/>
    <w:uiPriority w:val="99"/>
    <w:rPr>
      <w:kern w:val="2"/>
      <w:sz w:val="18"/>
      <w:szCs w:val="18"/>
    </w:rPr>
  </w:style>
  <w:style w:type="paragraph" w:styleId="5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采购部</Company>
  <Pages>7</Pages>
  <Words>709</Words>
  <Characters>4045</Characters>
  <Lines>33</Lines>
  <Paragraphs>9</Paragraphs>
  <TotalTime>161</TotalTime>
  <ScaleCrop>false</ScaleCrop>
  <LinksUpToDate>false</LinksUpToDate>
  <CharactersWithSpaces>4745</CharactersWithSpaces>
  <Application>WPS Office_11.1.0.9137_F1E327BC-269C-435d-A152-05C5408002CA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2019-05-15T03:11:00Z</dcterms:created>
  <dc:creator>惠志恭</dc:creator>
  <cp:lastModifiedBy>wuyanhua</cp:lastModifiedBy>
  <cp:lastPrinted>2018-06-19T08:01:00Z</cp:lastPrinted>
  <dcterms:modified xsi:type="dcterms:W3CDTF">2020-06-08T06:18:16Z</dcterms:modified>
  <dc:title>球形氢氧化镍国家标准修订说明</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2052-11.1.0.9137</vt:lpwstr>
  </property>
</Properties>
</file>