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2"/>
        </w:rPr>
      </w:pPr>
      <w:bookmarkStart w:id="0" w:name="_GoBack"/>
      <w:bookmarkEnd w:id="0"/>
      <w:r>
        <w:rPr>
          <w:rFonts w:hint="eastAsia" w:ascii="宋体"/>
          <w:b/>
          <w:bCs/>
          <w:sz w:val="32"/>
        </w:rPr>
        <w:t>YS/T XXX-XXXX《多晶硅制备炉衬用银板材》</w:t>
      </w:r>
    </w:p>
    <w:p>
      <w:pPr>
        <w:jc w:val="center"/>
        <w:rPr>
          <w:rFonts w:hint="eastAsia" w:ascii="宋体"/>
          <w:b/>
          <w:bCs/>
          <w:sz w:val="32"/>
        </w:rPr>
      </w:pPr>
      <w:r>
        <w:rPr>
          <w:rFonts w:hint="eastAsia" w:ascii="宋体"/>
          <w:b/>
          <w:bCs/>
          <w:sz w:val="32"/>
        </w:rPr>
        <w:t>编制说明</w:t>
      </w:r>
    </w:p>
    <w:p>
      <w:pPr>
        <w:jc w:val="center"/>
        <w:rPr>
          <w:rFonts w:hint="eastAsia" w:ascii="宋体" w:eastAsia="宋体"/>
          <w:b w:val="0"/>
          <w:bCs w:val="0"/>
          <w:sz w:val="32"/>
          <w:lang w:eastAsia="zh-CN"/>
        </w:rPr>
      </w:pPr>
      <w:r>
        <w:rPr>
          <w:rFonts w:hint="eastAsia" w:ascii="宋体"/>
          <w:b w:val="0"/>
          <w:bCs w:val="0"/>
          <w:sz w:val="32"/>
          <w:lang w:eastAsia="zh-CN"/>
        </w:rPr>
        <w:t>（讨论稿）</w:t>
      </w:r>
    </w:p>
    <w:p>
      <w:pPr>
        <w:spacing w:line="360" w:lineRule="auto"/>
        <w:rPr>
          <w:rFonts w:ascii="黑体" w:eastAsia="黑体"/>
          <w:b/>
          <w:bCs/>
          <w:sz w:val="24"/>
        </w:rPr>
      </w:pPr>
      <w:r>
        <w:rPr>
          <w:rFonts w:hint="eastAsia" w:ascii="黑体" w:eastAsia="黑体"/>
          <w:b/>
          <w:bCs/>
          <w:sz w:val="24"/>
        </w:rPr>
        <w:t>一、工作简况</w:t>
      </w:r>
    </w:p>
    <w:p>
      <w:pPr>
        <w:spacing w:line="360" w:lineRule="auto"/>
        <w:rPr>
          <w:rFonts w:ascii="宋体"/>
          <w:color w:val="000000" w:themeColor="text1"/>
          <w:sz w:val="24"/>
        </w:rPr>
      </w:pPr>
      <w:r>
        <w:rPr>
          <w:color w:val="000000" w:themeColor="text1"/>
          <w:sz w:val="24"/>
        </w:rPr>
        <w:t>1</w:t>
      </w:r>
      <w:r>
        <w:rPr>
          <w:rFonts w:hint="eastAsia" w:ascii="宋体"/>
          <w:color w:val="000000" w:themeColor="text1"/>
          <w:sz w:val="24"/>
        </w:rPr>
        <w:t>、项目必要性及可行性</w:t>
      </w:r>
    </w:p>
    <w:p>
      <w:pPr>
        <w:spacing w:line="360" w:lineRule="auto"/>
        <w:ind w:firstLine="480" w:firstLineChars="200"/>
        <w:rPr>
          <w:rFonts w:ascii="宋体"/>
          <w:color w:val="000000" w:themeColor="text1"/>
          <w:sz w:val="24"/>
        </w:rPr>
      </w:pPr>
      <w:r>
        <w:rPr>
          <w:rFonts w:ascii="宋体"/>
          <w:color w:val="000000"/>
          <w:sz w:val="24"/>
        </w:rPr>
        <w:t>纯</w:t>
      </w:r>
      <w:r>
        <w:rPr>
          <w:rFonts w:hint="eastAsia" w:ascii="宋体"/>
          <w:color w:val="000000"/>
          <w:sz w:val="24"/>
        </w:rPr>
        <w:t>银具有强烈的金属光泽，在所有金属中其导电性和导热性最好，对白色光线的反射性能最强。在贵金属中，银的密度小、熔点低、价格相对较低，且加工性能优异，因此广泛用于特种装备制造领域。多晶硅还原制备设备就是用于</w:t>
      </w:r>
      <w:r>
        <w:rPr>
          <w:rFonts w:ascii="宋体"/>
          <w:color w:val="000000"/>
          <w:sz w:val="24"/>
        </w:rPr>
        <w:t>银/钢、银/钛复合板材</w:t>
      </w:r>
      <w:r>
        <w:rPr>
          <w:rFonts w:hint="eastAsia" w:ascii="宋体"/>
          <w:color w:val="000000"/>
          <w:sz w:val="24"/>
        </w:rPr>
        <w:t>制造的还原炉体</w:t>
      </w:r>
      <w:r>
        <w:rPr>
          <w:rFonts w:ascii="宋体"/>
          <w:color w:val="000000"/>
          <w:sz w:val="24"/>
        </w:rPr>
        <w:t>。</w:t>
      </w:r>
      <w:r>
        <w:rPr>
          <w:rFonts w:hint="eastAsia" w:ascii="宋体"/>
          <w:color w:val="000000"/>
          <w:sz w:val="24"/>
        </w:rPr>
        <w:t>即</w:t>
      </w:r>
      <w:r>
        <w:rPr>
          <w:rFonts w:ascii="宋体"/>
          <w:color w:val="000000"/>
          <w:sz w:val="24"/>
        </w:rPr>
        <w:t>利用了纯银良好的抗氧化性又克服了纯银的低强度弱点，</w:t>
      </w:r>
      <w:r>
        <w:rPr>
          <w:rFonts w:hint="eastAsia" w:ascii="宋体"/>
          <w:color w:val="000000"/>
          <w:sz w:val="24"/>
        </w:rPr>
        <w:t>同时利用银对光的反射作用，提高炉内热辐射，有利于电子级多晶硅的提纯。</w:t>
      </w:r>
      <w:r>
        <w:rPr>
          <w:color w:val="000000" w:themeColor="text1"/>
          <w:sz w:val="24"/>
        </w:rPr>
        <w:t>2016</w:t>
      </w:r>
      <w:r>
        <w:rPr>
          <w:rFonts w:hint="eastAsia" w:ascii="宋体"/>
          <w:color w:val="000000" w:themeColor="text1"/>
          <w:sz w:val="24"/>
        </w:rPr>
        <w:t>年</w:t>
      </w:r>
      <w:r>
        <w:rPr>
          <w:rFonts w:hint="eastAsia" w:ascii="宋体"/>
          <w:color w:val="000000"/>
          <w:sz w:val="24"/>
        </w:rPr>
        <w:t>国务院指导工业调结构促转型增效意见明确提出大力发展高端电子级多晶硅行业</w:t>
      </w:r>
      <w:r>
        <w:rPr>
          <w:rFonts w:hint="eastAsia" w:ascii="宋体"/>
          <w:color w:val="000000" w:themeColor="text1"/>
          <w:sz w:val="24"/>
        </w:rPr>
        <w:t>。</w:t>
      </w:r>
    </w:p>
    <w:p>
      <w:pPr>
        <w:spacing w:line="360" w:lineRule="auto"/>
        <w:ind w:firstLine="480" w:firstLineChars="200"/>
        <w:rPr>
          <w:rFonts w:ascii="宋体"/>
          <w:bCs/>
          <w:sz w:val="24"/>
        </w:rPr>
      </w:pPr>
      <w:r>
        <w:rPr>
          <w:rFonts w:hint="eastAsia" w:ascii="宋体"/>
          <w:color w:val="000000" w:themeColor="text1"/>
          <w:sz w:val="24"/>
        </w:rPr>
        <w:t>以前</w:t>
      </w:r>
      <w:r>
        <w:rPr>
          <w:rFonts w:hint="eastAsia" w:ascii="宋体"/>
          <w:bCs/>
          <w:color w:val="000000"/>
          <w:sz w:val="24"/>
        </w:rPr>
        <w:t>由于银/钢复合材料所用银板宽幅大（大于</w:t>
      </w:r>
      <w:r>
        <w:rPr>
          <w:bCs/>
          <w:color w:val="000000"/>
          <w:sz w:val="24"/>
        </w:rPr>
        <w:t>1.2</w:t>
      </w:r>
      <w:r>
        <w:rPr>
          <w:rFonts w:hint="eastAsia" w:ascii="宋体"/>
          <w:bCs/>
          <w:color w:val="000000"/>
          <w:sz w:val="24"/>
        </w:rPr>
        <w:t>米）、长度长（大于</w:t>
      </w:r>
      <w:r>
        <w:rPr>
          <w:bCs/>
          <w:color w:val="000000"/>
          <w:sz w:val="24"/>
        </w:rPr>
        <w:t>2.4</w:t>
      </w:r>
      <w:r>
        <w:rPr>
          <w:rFonts w:hint="eastAsia" w:ascii="宋体"/>
          <w:bCs/>
          <w:color w:val="000000"/>
          <w:sz w:val="24"/>
        </w:rPr>
        <w:t>米），受生产工艺和设备限制，众多高端多晶硅的生产设备主要由国外控制，严重制约着国内电子级多晶硅</w:t>
      </w:r>
      <w:r>
        <w:rPr>
          <w:rFonts w:hint="eastAsia" w:ascii="宋体"/>
          <w:bCs/>
          <w:sz w:val="24"/>
        </w:rPr>
        <w:t>材料的应用和发展。为解决多晶硅制备设备制造问题就先应有大量的、稳定的先进材料供应。为了促进制造业转型升级，“中国制造</w:t>
      </w:r>
      <w:r>
        <w:rPr>
          <w:bCs/>
          <w:sz w:val="24"/>
        </w:rPr>
        <w:t>2025</w:t>
      </w:r>
      <w:r>
        <w:rPr>
          <w:rFonts w:hint="eastAsia" w:ascii="宋体"/>
          <w:bCs/>
          <w:sz w:val="24"/>
        </w:rPr>
        <w:t>”要求我国制造业应加大重大技术装备创新、推动新材料产业向高端化发展。因此，国内为了打破国外垄断，加大开发多晶硅还原设备。这也对多晶硅制备炉衬用银板材需求不断增加，对大规格银板（宽度大于</w:t>
      </w:r>
      <w:r>
        <w:rPr>
          <w:bCs/>
          <w:sz w:val="24"/>
        </w:rPr>
        <w:t>1.2米，长度大于2.4米</w:t>
      </w:r>
      <w:r>
        <w:rPr>
          <w:rFonts w:hint="eastAsia" w:ascii="宋体"/>
          <w:bCs/>
          <w:sz w:val="24"/>
        </w:rPr>
        <w:t>）的需求每年超过50吨以上。</w:t>
      </w:r>
    </w:p>
    <w:p>
      <w:pPr>
        <w:spacing w:line="360" w:lineRule="auto"/>
        <w:ind w:firstLine="480" w:firstLineChars="200"/>
        <w:rPr>
          <w:rFonts w:ascii="宋体"/>
          <w:sz w:val="24"/>
        </w:rPr>
      </w:pPr>
      <w:r>
        <w:rPr>
          <w:rFonts w:hint="eastAsia" w:ascii="宋体"/>
          <w:sz w:val="24"/>
        </w:rPr>
        <w:t>目前国内用于指导银板材生产的标准有</w:t>
      </w:r>
      <w:r>
        <w:rPr>
          <w:sz w:val="24"/>
        </w:rPr>
        <w:t>YS/T 201-2007</w:t>
      </w:r>
      <w:r>
        <w:rPr>
          <w:rFonts w:hint="eastAsia" w:ascii="宋体"/>
          <w:sz w:val="24"/>
        </w:rPr>
        <w:t>《贵金属及其合金板、带材》、</w:t>
      </w:r>
      <w:r>
        <w:rPr>
          <w:sz w:val="24"/>
        </w:rPr>
        <w:t>HB 5190-1994</w:t>
      </w:r>
      <w:r>
        <w:rPr>
          <w:rFonts w:hint="eastAsia" w:ascii="宋体"/>
          <w:sz w:val="24"/>
        </w:rPr>
        <w:t>《航空用贵金属及其合金板、带材》、</w:t>
      </w:r>
      <w:r>
        <w:rPr>
          <w:sz w:val="24"/>
        </w:rPr>
        <w:t>GJB 953A-2008 《贵金属及其合金板、片、带材规范》等。以上标准中产品宽度仅在0.2米以下</w:t>
      </w:r>
      <w:r>
        <w:rPr>
          <w:rFonts w:hint="eastAsia" w:ascii="宋体"/>
          <w:sz w:val="24"/>
        </w:rPr>
        <w:t>，对引用标准、尺寸规格、杂质元素等各方面的规定也不够完善，不适用于</w:t>
      </w:r>
      <w:r>
        <w:rPr>
          <w:rFonts w:hint="eastAsia" w:ascii="宋体"/>
          <w:bCs/>
          <w:sz w:val="24"/>
        </w:rPr>
        <w:t>多晶硅制备炉衬用大规格银板材产品</w:t>
      </w:r>
      <w:r>
        <w:rPr>
          <w:rFonts w:hint="eastAsia" w:ascii="宋体"/>
          <w:sz w:val="24"/>
        </w:rPr>
        <w:t>。因此急需制定专用产品</w:t>
      </w:r>
      <w:r>
        <w:rPr>
          <w:rFonts w:hint="eastAsia" w:ascii="宋体"/>
          <w:bCs/>
          <w:sz w:val="24"/>
        </w:rPr>
        <w:t>标准</w:t>
      </w:r>
      <w:r>
        <w:rPr>
          <w:rFonts w:hint="eastAsia" w:ascii="宋体"/>
          <w:sz w:val="24"/>
        </w:rPr>
        <w:t>。</w:t>
      </w:r>
    </w:p>
    <w:p>
      <w:pPr>
        <w:spacing w:line="360" w:lineRule="auto"/>
        <w:ind w:firstLine="480" w:firstLineChars="200"/>
        <w:rPr>
          <w:rFonts w:ascii="宋体"/>
          <w:color w:val="000000" w:themeColor="text1"/>
          <w:sz w:val="24"/>
        </w:rPr>
      </w:pPr>
      <w:r>
        <w:rPr>
          <w:rFonts w:hint="eastAsia" w:ascii="宋体"/>
          <w:color w:val="000000" w:themeColor="text1"/>
          <w:sz w:val="24"/>
        </w:rPr>
        <w:t>本标准的制订将为</w:t>
      </w:r>
      <w:r>
        <w:rPr>
          <w:rFonts w:hint="eastAsia" w:ascii="宋体"/>
          <w:bCs/>
          <w:color w:val="000000" w:themeColor="text1"/>
          <w:sz w:val="24"/>
        </w:rPr>
        <w:t>多晶硅制备炉衬用银板材</w:t>
      </w:r>
      <w:r>
        <w:rPr>
          <w:rFonts w:hint="eastAsia" w:ascii="宋体"/>
          <w:color w:val="000000" w:themeColor="text1"/>
          <w:sz w:val="24"/>
        </w:rPr>
        <w:t>生产提供先进的、达到国际相同水平的标准体系，促进我国相关产业不断发展。</w:t>
      </w:r>
    </w:p>
    <w:p>
      <w:pPr>
        <w:spacing w:line="360" w:lineRule="auto"/>
        <w:rPr>
          <w:rFonts w:ascii="宋体"/>
          <w:sz w:val="24"/>
        </w:rPr>
      </w:pPr>
      <w:r>
        <w:rPr>
          <w:sz w:val="24"/>
        </w:rPr>
        <w:t>2</w:t>
      </w:r>
      <w:r>
        <w:rPr>
          <w:rFonts w:hint="eastAsia" w:ascii="宋体"/>
          <w:sz w:val="24"/>
        </w:rPr>
        <w:t>、任务来源</w:t>
      </w:r>
    </w:p>
    <w:p>
      <w:pPr>
        <w:spacing w:line="360" w:lineRule="auto"/>
        <w:ind w:firstLine="480" w:firstLineChars="200"/>
        <w:rPr>
          <w:color w:val="000000" w:themeColor="text1"/>
          <w:sz w:val="24"/>
        </w:rPr>
      </w:pPr>
      <w:r>
        <w:rPr>
          <w:color w:val="000000" w:themeColor="text1"/>
          <w:sz w:val="24"/>
        </w:rPr>
        <w:t>201</w:t>
      </w:r>
      <w:r>
        <w:rPr>
          <w:rFonts w:hint="eastAsia"/>
          <w:color w:val="000000" w:themeColor="text1"/>
          <w:sz w:val="24"/>
        </w:rPr>
        <w:t>7</w:t>
      </w:r>
      <w:r>
        <w:rPr>
          <w:color w:val="000000" w:themeColor="text1"/>
          <w:sz w:val="24"/>
        </w:rPr>
        <w:t>年</w:t>
      </w:r>
      <w:r>
        <w:rPr>
          <w:rFonts w:hint="eastAsia"/>
          <w:color w:val="000000" w:themeColor="text1"/>
          <w:sz w:val="24"/>
        </w:rPr>
        <w:t>10</w:t>
      </w:r>
      <w:r>
        <w:rPr>
          <w:color w:val="000000" w:themeColor="text1"/>
          <w:sz w:val="24"/>
        </w:rPr>
        <w:t>月，</w:t>
      </w:r>
      <w:r>
        <w:rPr>
          <w:rFonts w:hint="eastAsia" w:ascii="宋体" w:hAnsi="宋体" w:cs="宋体"/>
          <w:kern w:val="0"/>
          <w:sz w:val="24"/>
        </w:rPr>
        <w:t>西安诺博尔稀贵金属材料股份有限公司（以下简称西诺公司）</w:t>
      </w:r>
      <w:r>
        <w:rPr>
          <w:color w:val="000000" w:themeColor="text1"/>
          <w:sz w:val="24"/>
        </w:rPr>
        <w:t>提出</w:t>
      </w:r>
      <w:r>
        <w:rPr>
          <w:rFonts w:hint="eastAsia"/>
          <w:color w:val="000000" w:themeColor="text1"/>
          <w:sz w:val="24"/>
        </w:rPr>
        <w:t>制订《</w:t>
      </w:r>
      <w:r>
        <w:rPr>
          <w:rFonts w:hint="eastAsia"/>
          <w:bCs/>
          <w:color w:val="000000" w:themeColor="text1"/>
          <w:sz w:val="24"/>
        </w:rPr>
        <w:t>多晶硅制备炉衬用银板材》有色行业标准</w:t>
      </w:r>
      <w:r>
        <w:rPr>
          <w:rFonts w:hint="eastAsia"/>
          <w:color w:val="000000" w:themeColor="text1"/>
          <w:sz w:val="24"/>
        </w:rPr>
        <w:t>的建议书。</w:t>
      </w:r>
    </w:p>
    <w:p>
      <w:pPr>
        <w:spacing w:line="360" w:lineRule="auto"/>
        <w:ind w:firstLine="480" w:firstLineChars="200"/>
        <w:rPr>
          <w:rFonts w:hint="eastAsia" w:ascii="宋体" w:hAnsi="宋体" w:cs="宋体"/>
          <w:kern w:val="0"/>
          <w:sz w:val="24"/>
        </w:rPr>
      </w:pPr>
      <w:r>
        <w:rPr>
          <w:kern w:val="0"/>
          <w:sz w:val="24"/>
        </w:rPr>
        <w:t>2018</w:t>
      </w:r>
      <w:r>
        <w:rPr>
          <w:rFonts w:hAnsi="宋体"/>
          <w:kern w:val="0"/>
          <w:sz w:val="24"/>
        </w:rPr>
        <w:t>年</w:t>
      </w:r>
      <w:r>
        <w:rPr>
          <w:kern w:val="0"/>
          <w:sz w:val="24"/>
        </w:rPr>
        <w:t>4</w:t>
      </w:r>
      <w:r>
        <w:rPr>
          <w:rFonts w:hAnsi="宋体"/>
          <w:kern w:val="0"/>
          <w:sz w:val="24"/>
        </w:rPr>
        <w:t>月</w:t>
      </w:r>
      <w:r>
        <w:rPr>
          <w:rFonts w:hint="eastAsia" w:ascii="宋体" w:hAnsi="宋体" w:cs="宋体"/>
          <w:color w:val="070707"/>
          <w:kern w:val="0"/>
          <w:sz w:val="23"/>
          <w:szCs w:val="23"/>
        </w:rPr>
        <w:t>，</w:t>
      </w:r>
      <w:r>
        <w:rPr>
          <w:rFonts w:hint="eastAsia" w:ascii="宋体" w:hAnsi="宋体" w:cs="宋体"/>
          <w:kern w:val="0"/>
          <w:sz w:val="24"/>
        </w:rPr>
        <w:t>根据《工业和信息化部办公厅关于印发2018年第二批行业标准制修订和外文版项目计划的通知》（工信厅科</w:t>
      </w:r>
      <w:r>
        <w:rPr>
          <w:rFonts w:hAnsi="宋体"/>
          <w:kern w:val="0"/>
          <w:sz w:val="24"/>
        </w:rPr>
        <w:t>［</w:t>
      </w:r>
      <w:r>
        <w:rPr>
          <w:kern w:val="0"/>
          <w:sz w:val="24"/>
        </w:rPr>
        <w:t>2018</w:t>
      </w:r>
      <w:r>
        <w:rPr>
          <w:rFonts w:hAnsi="宋体"/>
          <w:kern w:val="0"/>
          <w:sz w:val="24"/>
        </w:rPr>
        <w:t>］</w:t>
      </w:r>
      <w:r>
        <w:rPr>
          <w:kern w:val="0"/>
          <w:sz w:val="24"/>
        </w:rPr>
        <w:t>31</w:t>
      </w:r>
      <w:r>
        <w:rPr>
          <w:rFonts w:hint="eastAsia" w:ascii="宋体" w:hAnsi="宋体" w:cs="宋体"/>
          <w:kern w:val="0"/>
          <w:sz w:val="24"/>
        </w:rPr>
        <w:t>号）的任务要求，项目确定立项，计划号：</w:t>
      </w:r>
      <w:r>
        <w:fldChar w:fldCharType="begin"/>
      </w:r>
      <w:r>
        <w:instrText xml:space="preserve"> HYPERLINK "http://219.239.107.155:8080/TaskBook.aspx?id=YSCPZT11972018" </w:instrText>
      </w:r>
      <w:r>
        <w:fldChar w:fldCharType="separate"/>
      </w:r>
      <w:r>
        <w:rPr>
          <w:kern w:val="0"/>
          <w:sz w:val="24"/>
        </w:rPr>
        <w:t>2018-0559T-YS</w:t>
      </w:r>
      <w:r>
        <w:rPr>
          <w:kern w:val="0"/>
          <w:sz w:val="24"/>
        </w:rPr>
        <w:fldChar w:fldCharType="end"/>
      </w:r>
      <w:r>
        <w:rPr>
          <w:rFonts w:hint="eastAsia" w:ascii="宋体" w:hAnsi="宋体" w:cs="宋体"/>
          <w:kern w:val="0"/>
          <w:sz w:val="24"/>
        </w:rPr>
        <w:t>，标准名称《多晶硅制备炉衬用银板材》，由西安诺博尔稀贵金属材料股份有限公司（以下简称西诺公司）负责起草，西安瑞鑫科金属材料有限责任公司参与起草。项目起止时间为</w:t>
      </w:r>
      <w:r>
        <w:rPr>
          <w:color w:val="000000" w:themeColor="text1"/>
          <w:kern w:val="0"/>
          <w:sz w:val="24"/>
        </w:rPr>
        <w:t>2019</w:t>
      </w:r>
      <w:r>
        <w:rPr>
          <w:rFonts w:hAnsi="宋体"/>
          <w:color w:val="000000" w:themeColor="text1"/>
          <w:kern w:val="0"/>
          <w:sz w:val="24"/>
        </w:rPr>
        <w:t>年</w:t>
      </w:r>
      <w:r>
        <w:rPr>
          <w:color w:val="000000" w:themeColor="text1"/>
          <w:kern w:val="0"/>
          <w:sz w:val="24"/>
        </w:rPr>
        <w:t>5</w:t>
      </w:r>
      <w:r>
        <w:rPr>
          <w:rFonts w:hAnsi="宋体"/>
          <w:color w:val="000000" w:themeColor="text1"/>
          <w:kern w:val="0"/>
          <w:sz w:val="24"/>
        </w:rPr>
        <w:t>月</w:t>
      </w:r>
      <w:r>
        <w:rPr>
          <w:rFonts w:hAnsi="宋体"/>
          <w:kern w:val="0"/>
          <w:sz w:val="24"/>
        </w:rPr>
        <w:t>～</w:t>
      </w:r>
      <w:r>
        <w:rPr>
          <w:kern w:val="0"/>
          <w:sz w:val="24"/>
        </w:rPr>
        <w:t>2020</w:t>
      </w:r>
      <w:r>
        <w:rPr>
          <w:rFonts w:hAnsi="宋体"/>
          <w:kern w:val="0"/>
          <w:sz w:val="24"/>
        </w:rPr>
        <w:t>年</w:t>
      </w:r>
      <w:r>
        <w:rPr>
          <w:kern w:val="0"/>
          <w:sz w:val="24"/>
        </w:rPr>
        <w:t>9</w:t>
      </w:r>
      <w:r>
        <w:rPr>
          <w:rFonts w:hAnsi="宋体"/>
          <w:kern w:val="0"/>
          <w:sz w:val="24"/>
        </w:rPr>
        <w:t>月</w:t>
      </w:r>
      <w:r>
        <w:rPr>
          <w:rFonts w:hint="eastAsia" w:ascii="宋体" w:hAnsi="宋体" w:cs="宋体"/>
          <w:kern w:val="0"/>
          <w:sz w:val="24"/>
        </w:rPr>
        <w:t>，技术归口单位为全国有色金属标准化技术委员会。</w:t>
      </w:r>
    </w:p>
    <w:p>
      <w:pPr>
        <w:spacing w:line="360" w:lineRule="auto"/>
        <w:rPr>
          <w:rFonts w:ascii="宋体" w:hAnsi="宋体" w:cs="宋体"/>
          <w:kern w:val="0"/>
          <w:sz w:val="24"/>
        </w:rPr>
      </w:pPr>
      <w:r>
        <w:rPr>
          <w:rFonts w:hint="eastAsia"/>
          <w:kern w:val="0"/>
          <w:sz w:val="24"/>
          <w:lang w:val="en-US" w:eastAsia="zh-CN"/>
        </w:rPr>
        <w:t>3</w:t>
      </w:r>
      <w:r>
        <w:rPr>
          <w:rFonts w:hint="eastAsia" w:ascii="宋体" w:hAnsi="宋体" w:cs="宋体"/>
          <w:kern w:val="0"/>
          <w:sz w:val="24"/>
        </w:rPr>
        <w:t>、编制单位及起草人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本项目编制单位由西诺公司、西安瑞鑫科金属材料有限责任公司组成。西诺公司是国内最早从事贵金属研发的单位之一，先后承担过多项国家重点工程及军工用材的研制和生产任务，产品已成功应用于</w:t>
      </w:r>
      <w:r>
        <w:rPr>
          <w:rFonts w:ascii="宋体" w:hAnsi="宋体"/>
          <w:color w:val="000000" w:themeColor="text1"/>
          <w:sz w:val="24"/>
        </w:rPr>
        <w:t>“</w:t>
      </w:r>
      <w:r>
        <w:rPr>
          <w:rFonts w:hint="eastAsia" w:ascii="宋体" w:hAnsi="宋体"/>
          <w:color w:val="000000" w:themeColor="text1"/>
          <w:sz w:val="24"/>
        </w:rPr>
        <w:t>神舟飞船</w:t>
      </w:r>
      <w:r>
        <w:rPr>
          <w:rFonts w:ascii="宋体" w:hAnsi="宋体"/>
          <w:color w:val="000000" w:themeColor="text1"/>
          <w:sz w:val="24"/>
        </w:rPr>
        <w:t>”</w:t>
      </w:r>
      <w:r>
        <w:rPr>
          <w:rFonts w:hint="eastAsia" w:ascii="宋体" w:hAnsi="宋体"/>
          <w:color w:val="000000" w:themeColor="text1"/>
          <w:sz w:val="24"/>
        </w:rPr>
        <w:t>、</w:t>
      </w:r>
      <w:r>
        <w:rPr>
          <w:rFonts w:ascii="宋体" w:hAnsi="宋体"/>
          <w:color w:val="000000" w:themeColor="text1"/>
          <w:sz w:val="24"/>
        </w:rPr>
        <w:t>“</w:t>
      </w:r>
      <w:r>
        <w:rPr>
          <w:rFonts w:hint="eastAsia" w:ascii="宋体" w:hAnsi="宋体"/>
          <w:color w:val="000000" w:themeColor="text1"/>
          <w:sz w:val="24"/>
        </w:rPr>
        <w:t>嫦娥</w:t>
      </w:r>
      <w:r>
        <w:rPr>
          <w:rFonts w:ascii="宋体" w:hAnsi="宋体"/>
          <w:color w:val="000000" w:themeColor="text1"/>
          <w:sz w:val="24"/>
        </w:rPr>
        <w:t>”</w:t>
      </w:r>
      <w:r>
        <w:rPr>
          <w:rFonts w:hint="eastAsia" w:ascii="宋体" w:hAnsi="宋体"/>
          <w:color w:val="000000" w:themeColor="text1"/>
          <w:sz w:val="24"/>
        </w:rPr>
        <w:t>、“大船”、“</w:t>
      </w:r>
      <w:r>
        <w:rPr>
          <w:color w:val="000000" w:themeColor="text1"/>
          <w:sz w:val="24"/>
        </w:rPr>
        <w:t>AP1000</w:t>
      </w:r>
      <w:r>
        <w:rPr>
          <w:rFonts w:hint="eastAsia" w:ascii="宋体" w:hAnsi="宋体"/>
          <w:color w:val="000000" w:themeColor="text1"/>
          <w:sz w:val="24"/>
        </w:rPr>
        <w:t>”等重点工程配套。通过多年发展，西诺公司已形成专业化、规模化、完整配套的贵金属锭坯、丝棒、管、板带材生产线，是国内专业生产贵金属材料的主要供应商之一。其中核电用银合金控制棒材料、高可靠密封继电器接点材料、高排流复合阳极材料、氢同位素分离材料、</w:t>
      </w:r>
      <w:r>
        <w:rPr>
          <w:rFonts w:hint="eastAsia"/>
          <w:bCs/>
          <w:color w:val="000000" w:themeColor="text1"/>
          <w:sz w:val="24"/>
        </w:rPr>
        <w:t>多晶硅制备炉衬用大规格银板材</w:t>
      </w:r>
      <w:r>
        <w:rPr>
          <w:rFonts w:hint="eastAsia" w:ascii="宋体" w:hAnsi="宋体"/>
          <w:color w:val="000000" w:themeColor="text1"/>
          <w:sz w:val="24"/>
        </w:rPr>
        <w:t>等均达到国内一流或国际先进水平。因此，西诺公司是该项目产品国内主要生产商，对产品性能和使用特性熟悉，具有稳定客户，了解市场需求。</w:t>
      </w:r>
    </w:p>
    <w:p>
      <w:pPr>
        <w:spacing w:line="360" w:lineRule="auto"/>
        <w:ind w:firstLine="480" w:firstLineChars="200"/>
        <w:rPr>
          <w:rFonts w:ascii="宋体" w:hAnsi="宋体"/>
          <w:color w:val="000000" w:themeColor="text1"/>
          <w:sz w:val="24"/>
        </w:rPr>
      </w:pPr>
      <w:r>
        <w:rPr>
          <w:rFonts w:hint="eastAsia" w:ascii="宋体" w:hAnsi="宋体"/>
          <w:sz w:val="24"/>
        </w:rPr>
        <w:t>本</w:t>
      </w:r>
      <w:r>
        <w:rPr>
          <w:rFonts w:ascii="宋体" w:hAnsi="宋体"/>
          <w:sz w:val="24"/>
        </w:rPr>
        <w:t>标准</w:t>
      </w:r>
      <w:r>
        <w:rPr>
          <w:rFonts w:hint="eastAsia" w:ascii="宋体" w:hAnsi="宋体"/>
          <w:sz w:val="24"/>
        </w:rPr>
        <w:t>主要</w:t>
      </w:r>
      <w:r>
        <w:rPr>
          <w:rFonts w:ascii="宋体" w:hAnsi="宋体"/>
          <w:sz w:val="24"/>
        </w:rPr>
        <w:t>起草</w:t>
      </w:r>
      <w:r>
        <w:rPr>
          <w:rFonts w:hint="eastAsia" w:ascii="宋体" w:hAnsi="宋体"/>
          <w:sz w:val="24"/>
        </w:rPr>
        <w:t>人包括：赵</w:t>
      </w:r>
      <w:r>
        <w:rPr>
          <w:rFonts w:hint="eastAsia" w:ascii="宋体" w:hAnsi="宋体"/>
          <w:color w:val="000000" w:themeColor="text1"/>
          <w:sz w:val="24"/>
        </w:rPr>
        <w:t>涛</w:t>
      </w:r>
      <w:r>
        <w:rPr>
          <w:rFonts w:hint="eastAsia" w:ascii="宋体" w:hAnsi="宋体"/>
          <w:sz w:val="24"/>
        </w:rPr>
        <w:t>、马小龙、马晓东、周龙海、韩吉庆、陈昊</w:t>
      </w:r>
      <w:r>
        <w:rPr>
          <w:rFonts w:hint="eastAsia" w:ascii="宋体" w:hAnsi="宋体"/>
          <w:color w:val="000000" w:themeColor="text1"/>
          <w:sz w:val="24"/>
        </w:rPr>
        <w:t>等，主要负责如下工作：</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 确立</w:t>
      </w:r>
      <w:r>
        <w:rPr>
          <w:rFonts w:ascii="宋体" w:hAnsi="宋体"/>
          <w:color w:val="000000" w:themeColor="text1"/>
          <w:sz w:val="24"/>
        </w:rPr>
        <w:t>《</w:t>
      </w:r>
      <w:r>
        <w:rPr>
          <w:rFonts w:hint="eastAsia"/>
          <w:bCs/>
          <w:color w:val="000000" w:themeColor="text1"/>
          <w:sz w:val="24"/>
        </w:rPr>
        <w:t>多晶硅制备炉衬用银板材</w:t>
      </w:r>
      <w:r>
        <w:rPr>
          <w:rFonts w:ascii="宋体" w:hAnsi="宋体"/>
          <w:color w:val="000000" w:themeColor="text1"/>
          <w:sz w:val="24"/>
        </w:rPr>
        <w:t>》</w:t>
      </w:r>
      <w:r>
        <w:rPr>
          <w:rFonts w:hint="eastAsia" w:ascii="宋体" w:hAnsi="宋体"/>
          <w:color w:val="000000" w:themeColor="text1"/>
          <w:sz w:val="24"/>
        </w:rPr>
        <w:t>行业标准制订遵循的基本原则；</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 申报制订该标准的立项报告；</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 行业调研、收集资料；</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 查阅相关标准、资料，确定标准制订方案；</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 确定</w:t>
      </w:r>
      <w:r>
        <w:rPr>
          <w:rFonts w:hint="eastAsia"/>
          <w:bCs/>
          <w:color w:val="000000" w:themeColor="text1"/>
          <w:sz w:val="24"/>
        </w:rPr>
        <w:t>多晶硅制备炉衬用银板材</w:t>
      </w:r>
      <w:r>
        <w:rPr>
          <w:rFonts w:hint="eastAsia" w:ascii="宋体" w:hAnsi="宋体"/>
          <w:color w:val="000000" w:themeColor="text1"/>
          <w:sz w:val="24"/>
        </w:rPr>
        <w:t>的主要技术内容；</w:t>
      </w:r>
    </w:p>
    <w:p>
      <w:pPr>
        <w:spacing w:line="360" w:lineRule="auto"/>
        <w:ind w:firstLine="480" w:firstLineChars="200"/>
        <w:rPr>
          <w:rFonts w:hint="eastAsia" w:ascii="宋体" w:hAnsi="宋体" w:cs="宋体"/>
          <w:kern w:val="0"/>
          <w:sz w:val="24"/>
        </w:rPr>
      </w:pPr>
      <w:r>
        <w:rPr>
          <w:rFonts w:hint="eastAsia" w:ascii="宋体" w:hAnsi="宋体"/>
          <w:color w:val="000000" w:themeColor="text1"/>
          <w:sz w:val="24"/>
        </w:rPr>
        <w:t>6) 根据测试数据确定技术指标取值范围。</w:t>
      </w:r>
    </w:p>
    <w:p>
      <w:pPr>
        <w:spacing w:line="360" w:lineRule="auto"/>
        <w:rPr>
          <w:rFonts w:ascii="宋体" w:hAnsi="宋体" w:cs="宋体"/>
          <w:kern w:val="0"/>
          <w:sz w:val="24"/>
        </w:rPr>
      </w:pPr>
      <w:r>
        <w:rPr>
          <w:rFonts w:hint="eastAsia"/>
          <w:kern w:val="0"/>
          <w:sz w:val="24"/>
          <w:lang w:val="en-US" w:eastAsia="zh-CN"/>
        </w:rPr>
        <w:t>4</w:t>
      </w:r>
      <w:r>
        <w:rPr>
          <w:rFonts w:hint="eastAsia" w:ascii="宋体" w:hAnsi="宋体" w:cs="宋体"/>
          <w:kern w:val="0"/>
          <w:sz w:val="24"/>
        </w:rPr>
        <w:t>、主要工作过程</w:t>
      </w:r>
    </w:p>
    <w:p>
      <w:pPr>
        <w:spacing w:line="360" w:lineRule="auto"/>
        <w:ind w:firstLine="480" w:firstLineChars="200"/>
        <w:rPr>
          <w:rFonts w:ascii="宋体" w:hAnsi="宋体" w:cs="宋体"/>
          <w:kern w:val="0"/>
          <w:sz w:val="24"/>
        </w:rPr>
      </w:pPr>
      <w:r>
        <w:rPr>
          <w:kern w:val="0"/>
          <w:sz w:val="24"/>
        </w:rPr>
        <w:t>2019</w:t>
      </w:r>
      <w:r>
        <w:rPr>
          <w:rFonts w:hAnsi="宋体"/>
          <w:kern w:val="0"/>
          <w:sz w:val="24"/>
        </w:rPr>
        <w:t>年</w:t>
      </w:r>
      <w:r>
        <w:rPr>
          <w:kern w:val="0"/>
          <w:sz w:val="24"/>
        </w:rPr>
        <w:t>4</w:t>
      </w:r>
      <w:r>
        <w:rPr>
          <w:rFonts w:hAnsi="宋体"/>
          <w:kern w:val="0"/>
          <w:sz w:val="24"/>
        </w:rPr>
        <w:t>月，由中国有色金属工业标准计量质量研究所主持，在浙江桐乡召开了任务落实会，根据任务落实会会议精神、与会专家意见和全国有色金属标准化技术委员会要求</w:t>
      </w:r>
      <w:r>
        <w:rPr>
          <w:rFonts w:hint="eastAsia" w:hAnsi="宋体"/>
          <w:kern w:val="0"/>
          <w:sz w:val="24"/>
          <w:lang w:eastAsia="zh-CN"/>
        </w:rPr>
        <w:t>，制定了标准工作计划。</w:t>
      </w:r>
      <w:r>
        <w:rPr>
          <w:rFonts w:hAnsi="宋体"/>
          <w:kern w:val="0"/>
          <w:sz w:val="24"/>
        </w:rPr>
        <w:t>计划</w:t>
      </w:r>
      <w:r>
        <w:rPr>
          <w:kern w:val="0"/>
          <w:sz w:val="24"/>
        </w:rPr>
        <w:t>2020</w:t>
      </w:r>
      <w:r>
        <w:rPr>
          <w:rFonts w:hAnsi="宋体"/>
          <w:kern w:val="0"/>
          <w:sz w:val="24"/>
        </w:rPr>
        <w:t>年</w:t>
      </w:r>
      <w:r>
        <w:rPr>
          <w:kern w:val="0"/>
          <w:sz w:val="24"/>
        </w:rPr>
        <w:t>5</w:t>
      </w:r>
      <w:r>
        <w:rPr>
          <w:rFonts w:hAnsi="宋体"/>
          <w:kern w:val="0"/>
          <w:sz w:val="24"/>
        </w:rPr>
        <w:t>月</w:t>
      </w:r>
      <w:r>
        <w:rPr>
          <w:kern w:val="0"/>
          <w:sz w:val="24"/>
        </w:rPr>
        <w:t>30</w:t>
      </w:r>
      <w:r>
        <w:rPr>
          <w:rFonts w:hAnsi="宋体"/>
          <w:kern w:val="0"/>
          <w:sz w:val="24"/>
        </w:rPr>
        <w:t>日前，主起草单位组织并完成调研工作，编制组工作会议按需要组织召开；</w:t>
      </w:r>
      <w:r>
        <w:rPr>
          <w:kern w:val="0"/>
          <w:sz w:val="24"/>
        </w:rPr>
        <w:t>2020</w:t>
      </w:r>
      <w:r>
        <w:rPr>
          <w:rFonts w:hAnsi="宋体"/>
          <w:kern w:val="0"/>
          <w:sz w:val="24"/>
        </w:rPr>
        <w:t>年</w:t>
      </w:r>
      <w:r>
        <w:rPr>
          <w:kern w:val="0"/>
          <w:sz w:val="24"/>
        </w:rPr>
        <w:t>6</w:t>
      </w:r>
      <w:r>
        <w:rPr>
          <w:rFonts w:hAnsi="宋体"/>
          <w:kern w:val="0"/>
          <w:sz w:val="24"/>
        </w:rPr>
        <w:t>月</w:t>
      </w:r>
      <w:r>
        <w:rPr>
          <w:kern w:val="0"/>
          <w:sz w:val="24"/>
        </w:rPr>
        <w:t>30</w:t>
      </w:r>
      <w:r>
        <w:rPr>
          <w:rFonts w:hAnsi="宋体"/>
          <w:kern w:val="0"/>
          <w:sz w:val="24"/>
        </w:rPr>
        <w:t>日前，主起草单位准备标准及编制说明讨论稿、征求意见汇总处理表，并召开讨论会；</w:t>
      </w:r>
      <w:r>
        <w:rPr>
          <w:kern w:val="0"/>
          <w:sz w:val="24"/>
        </w:rPr>
        <w:t>2020</w:t>
      </w:r>
      <w:r>
        <w:rPr>
          <w:rFonts w:hAnsi="宋体"/>
          <w:kern w:val="0"/>
          <w:sz w:val="24"/>
        </w:rPr>
        <w:t>年</w:t>
      </w:r>
      <w:r>
        <w:rPr>
          <w:kern w:val="0"/>
          <w:sz w:val="24"/>
        </w:rPr>
        <w:t>7</w:t>
      </w:r>
      <w:r>
        <w:rPr>
          <w:rFonts w:hAnsi="宋体"/>
          <w:kern w:val="0"/>
          <w:sz w:val="24"/>
        </w:rPr>
        <w:t>月</w:t>
      </w:r>
      <w:r>
        <w:rPr>
          <w:kern w:val="0"/>
          <w:sz w:val="24"/>
        </w:rPr>
        <w:t>30</w:t>
      </w:r>
      <w:r>
        <w:rPr>
          <w:rFonts w:hAnsi="宋体"/>
          <w:kern w:val="0"/>
          <w:sz w:val="24"/>
        </w:rPr>
        <w:t>日前，主起草单位准备标准及编制说明预审稿、征求意见汇总处理表，并召开预审会；</w:t>
      </w:r>
      <w:r>
        <w:rPr>
          <w:kern w:val="0"/>
          <w:sz w:val="24"/>
        </w:rPr>
        <w:t>2020</w:t>
      </w:r>
      <w:r>
        <w:rPr>
          <w:rFonts w:hAnsi="宋体"/>
          <w:kern w:val="0"/>
          <w:sz w:val="24"/>
        </w:rPr>
        <w:t>年</w:t>
      </w:r>
      <w:r>
        <w:rPr>
          <w:kern w:val="0"/>
          <w:sz w:val="24"/>
        </w:rPr>
        <w:t>9</w:t>
      </w:r>
      <w:r>
        <w:rPr>
          <w:rFonts w:hAnsi="宋体"/>
          <w:kern w:val="0"/>
          <w:sz w:val="24"/>
        </w:rPr>
        <w:t>月</w:t>
      </w:r>
      <w:r>
        <w:rPr>
          <w:kern w:val="0"/>
          <w:sz w:val="24"/>
        </w:rPr>
        <w:t>30</w:t>
      </w:r>
      <w:r>
        <w:rPr>
          <w:rFonts w:hAnsi="宋体"/>
          <w:kern w:val="0"/>
          <w:sz w:val="24"/>
        </w:rPr>
        <w:t>日前，</w:t>
      </w:r>
      <w:r>
        <w:rPr>
          <w:rFonts w:hint="eastAsia" w:ascii="宋体" w:hAnsi="宋体" w:cs="宋体"/>
          <w:kern w:val="0"/>
          <w:sz w:val="24"/>
        </w:rPr>
        <w:t>主起草单位准备标准及编制说明送审稿、征求意见汇总处理表，并召开审定会。</w:t>
      </w:r>
    </w:p>
    <w:p>
      <w:pPr>
        <w:spacing w:line="360" w:lineRule="auto"/>
        <w:ind w:firstLine="480" w:firstLineChars="200"/>
        <w:rPr>
          <w:rFonts w:hint="eastAsia" w:hAnsi="宋体"/>
          <w:sz w:val="24"/>
        </w:rPr>
      </w:pPr>
      <w:r>
        <w:rPr>
          <w:rFonts w:hint="eastAsia" w:ascii="宋体" w:hAnsi="宋体" w:cs="宋体"/>
          <w:kern w:val="0"/>
          <w:sz w:val="24"/>
        </w:rPr>
        <w:t>西诺公司按照任务落实会要求，</w:t>
      </w:r>
      <w:r>
        <w:rPr>
          <w:rFonts w:hAnsi="宋体"/>
          <w:kern w:val="0"/>
          <w:sz w:val="24"/>
        </w:rPr>
        <w:t>于</w:t>
      </w:r>
      <w:r>
        <w:rPr>
          <w:kern w:val="0"/>
          <w:sz w:val="24"/>
        </w:rPr>
        <w:t>2019</w:t>
      </w:r>
      <w:r>
        <w:rPr>
          <w:rFonts w:hAnsi="宋体"/>
          <w:kern w:val="0"/>
          <w:sz w:val="24"/>
        </w:rPr>
        <w:t>年</w:t>
      </w:r>
      <w:r>
        <w:rPr>
          <w:kern w:val="0"/>
          <w:sz w:val="24"/>
        </w:rPr>
        <w:t>5</w:t>
      </w:r>
      <w:r>
        <w:rPr>
          <w:rFonts w:hAnsi="宋体"/>
          <w:kern w:val="0"/>
          <w:sz w:val="24"/>
        </w:rPr>
        <w:t>月</w:t>
      </w:r>
      <w:r>
        <w:rPr>
          <w:kern w:val="0"/>
          <w:sz w:val="24"/>
        </w:rPr>
        <w:t>10</w:t>
      </w:r>
      <w:r>
        <w:rPr>
          <w:rFonts w:hAnsi="宋体"/>
          <w:kern w:val="0"/>
          <w:sz w:val="24"/>
        </w:rPr>
        <w:t>日前，成立了标准编制组，</w:t>
      </w:r>
      <w:r>
        <w:rPr>
          <w:color w:val="000000" w:themeColor="text1"/>
          <w:sz w:val="24"/>
        </w:rPr>
        <w:t>并进行了工作分配，拟定了工作计划、进度和要求</w:t>
      </w:r>
      <w:r>
        <w:rPr>
          <w:rFonts w:hAnsi="宋体"/>
          <w:kern w:val="0"/>
          <w:sz w:val="24"/>
        </w:rPr>
        <w:t>；</w:t>
      </w:r>
      <w:r>
        <w:rPr>
          <w:kern w:val="0"/>
          <w:sz w:val="24"/>
        </w:rPr>
        <w:t>2020</w:t>
      </w:r>
      <w:r>
        <w:rPr>
          <w:rFonts w:hAnsi="宋体"/>
          <w:kern w:val="0"/>
          <w:sz w:val="24"/>
        </w:rPr>
        <w:t>年</w:t>
      </w:r>
      <w:r>
        <w:rPr>
          <w:kern w:val="0"/>
          <w:sz w:val="24"/>
        </w:rPr>
        <w:t>5</w:t>
      </w:r>
      <w:r>
        <w:rPr>
          <w:rFonts w:hAnsi="宋体"/>
          <w:kern w:val="0"/>
          <w:sz w:val="24"/>
        </w:rPr>
        <w:t>月</w:t>
      </w:r>
      <w:r>
        <w:rPr>
          <w:kern w:val="0"/>
          <w:sz w:val="24"/>
        </w:rPr>
        <w:t>12</w:t>
      </w:r>
      <w:r>
        <w:rPr>
          <w:rFonts w:hAnsi="宋体"/>
          <w:kern w:val="0"/>
          <w:sz w:val="24"/>
        </w:rPr>
        <w:t>日前，标准编制组通过网络、电话、现场走访等形式完成了调研工作；并同期根据</w:t>
      </w:r>
      <w:r>
        <w:rPr>
          <w:color w:val="000000" w:themeColor="text1"/>
          <w:sz w:val="24"/>
        </w:rPr>
        <w:t>大量相关资料及行业内厂家的相关产品技术指标和技术条件，</w:t>
      </w:r>
      <w:r>
        <w:rPr>
          <w:rFonts w:hAnsi="宋体"/>
          <w:kern w:val="0"/>
          <w:sz w:val="24"/>
        </w:rPr>
        <w:t>完成了标准及编制说明初稿</w:t>
      </w:r>
      <w:r>
        <w:rPr>
          <w:rFonts w:hint="eastAsia" w:hAnsi="宋体"/>
          <w:kern w:val="0"/>
          <w:sz w:val="24"/>
          <w:lang w:eastAsia="zh-CN"/>
        </w:rPr>
        <w:t>，</w:t>
      </w:r>
      <w:r>
        <w:rPr>
          <w:rFonts w:hint="eastAsia" w:hAnsi="宋体"/>
          <w:sz w:val="24"/>
        </w:rPr>
        <w:t>结合企业的内控技术指标和检验数据形成了本标准的征求意见稿。</w:t>
      </w:r>
    </w:p>
    <w:p>
      <w:pPr>
        <w:spacing w:line="360" w:lineRule="auto"/>
        <w:ind w:firstLine="480" w:firstLineChars="200"/>
        <w:rPr>
          <w:rFonts w:ascii="宋体" w:hAnsi="宋体"/>
          <w:color w:val="000000" w:themeColor="text1"/>
          <w:sz w:val="24"/>
        </w:rPr>
      </w:pPr>
      <w:r>
        <w:rPr>
          <w:rFonts w:hint="eastAsia" w:hAnsi="宋体"/>
          <w:sz w:val="24"/>
        </w:rPr>
        <w:t>然后下发各有关单位广泛征求意见，</w:t>
      </w:r>
      <w:r>
        <w:rPr>
          <w:rFonts w:hAnsi="宋体"/>
          <w:kern w:val="0"/>
          <w:sz w:val="24"/>
        </w:rPr>
        <w:t>经</w:t>
      </w:r>
      <w:r>
        <w:rPr>
          <w:color w:val="000000" w:themeColor="text1"/>
          <w:sz w:val="24"/>
        </w:rPr>
        <w:t>编制组内部讨论，拟定了行业内6个意见征</w:t>
      </w:r>
      <w:r>
        <w:rPr>
          <w:rFonts w:hint="eastAsia" w:ascii="宋体"/>
          <w:color w:val="000000" w:themeColor="text1"/>
          <w:sz w:val="24"/>
        </w:rPr>
        <w:t>求单位，具体包括：西北有色金属研究院、西安天力金属复合材料股份有限公司、</w:t>
      </w:r>
      <w:r>
        <w:rPr>
          <w:rFonts w:hint="eastAsia" w:ascii="宋体" w:hAnsi="宋体"/>
          <w:sz w:val="24"/>
        </w:rPr>
        <w:t>贵研铂业股份有限公司</w:t>
      </w:r>
      <w:r>
        <w:rPr>
          <w:rFonts w:hint="eastAsia" w:ascii="宋体"/>
          <w:sz w:val="24"/>
        </w:rPr>
        <w:t>、贵研中希（上海）新材料科技有限公司、</w:t>
      </w:r>
      <w:r>
        <w:rPr>
          <w:rFonts w:hint="eastAsia" w:ascii="宋体"/>
          <w:color w:val="000000" w:themeColor="text1"/>
          <w:sz w:val="24"/>
        </w:rPr>
        <w:t>黄山顺钛新材料科技有限公司、</w:t>
      </w:r>
      <w:r>
        <w:rPr>
          <w:rFonts w:hint="eastAsia" w:ascii="宋体"/>
          <w:sz w:val="24"/>
        </w:rPr>
        <w:t>四川惊雷科技股份有限公司。</w:t>
      </w:r>
      <w:r>
        <w:rPr>
          <w:rFonts w:hint="eastAsia" w:hAnsi="宋体"/>
          <w:sz w:val="24"/>
        </w:rPr>
        <w:t>回函的单位数6个，回函并有建议或意见的单位数4个。编制小组根据各单位的回函意见对标准进行修改完善，并对各项性能指标进行了检测数据对比，20</w:t>
      </w:r>
      <w:r>
        <w:rPr>
          <w:rFonts w:hint="eastAsia" w:hAnsi="宋体"/>
          <w:sz w:val="24"/>
          <w:lang w:val="en-US" w:eastAsia="zh-CN"/>
        </w:rPr>
        <w:t>20</w:t>
      </w:r>
      <w:r>
        <w:rPr>
          <w:rFonts w:hint="eastAsia" w:hAnsi="宋体"/>
          <w:sz w:val="24"/>
        </w:rPr>
        <w:t>年</w:t>
      </w:r>
      <w:r>
        <w:rPr>
          <w:rFonts w:hint="eastAsia" w:hAnsi="宋体"/>
          <w:sz w:val="24"/>
          <w:lang w:val="en-US" w:eastAsia="zh-CN"/>
        </w:rPr>
        <w:t>6</w:t>
      </w:r>
      <w:r>
        <w:rPr>
          <w:rFonts w:hint="eastAsia" w:hAnsi="宋体"/>
          <w:sz w:val="24"/>
        </w:rPr>
        <w:t>月30日前修改完善了形成了标准</w:t>
      </w:r>
      <w:r>
        <w:rPr>
          <w:rFonts w:hint="eastAsia" w:hAnsi="宋体"/>
          <w:sz w:val="24"/>
          <w:lang w:eastAsia="zh-CN"/>
        </w:rPr>
        <w:t>讨论</w:t>
      </w:r>
      <w:r>
        <w:rPr>
          <w:rFonts w:hint="eastAsia" w:hAnsi="宋体"/>
          <w:sz w:val="24"/>
        </w:rPr>
        <w:t>稿。</w:t>
      </w:r>
    </w:p>
    <w:p>
      <w:pPr>
        <w:spacing w:line="360" w:lineRule="auto"/>
        <w:rPr>
          <w:rFonts w:ascii="宋体"/>
          <w:bCs/>
          <w:sz w:val="24"/>
        </w:rPr>
      </w:pPr>
      <w:r>
        <w:rPr>
          <w:rFonts w:hint="eastAsia" w:ascii="宋体"/>
          <w:bCs/>
          <w:sz w:val="24"/>
        </w:rPr>
        <w:t>二、</w:t>
      </w:r>
      <w:r>
        <w:rPr>
          <w:rFonts w:hint="eastAsia" w:ascii="宋体"/>
          <w:sz w:val="24"/>
        </w:rPr>
        <w:t>制订</w:t>
      </w:r>
      <w:r>
        <w:rPr>
          <w:rFonts w:hint="eastAsia" w:ascii="宋体"/>
          <w:bCs/>
          <w:sz w:val="24"/>
        </w:rPr>
        <w:t>原则</w:t>
      </w:r>
    </w:p>
    <w:p>
      <w:pPr>
        <w:spacing w:line="360" w:lineRule="auto"/>
        <w:ind w:firstLine="480" w:firstLineChars="200"/>
        <w:rPr>
          <w:rFonts w:ascii="宋体"/>
          <w:sz w:val="24"/>
        </w:rPr>
      </w:pPr>
      <w:r>
        <w:rPr>
          <w:rFonts w:hint="eastAsia" w:ascii="宋体"/>
          <w:sz w:val="24"/>
        </w:rPr>
        <w:t>编制本标准的原则是使制订的标准达到一定的先进水平，与同类国家标准保持横向协调，促进相关技术的进步，为国内相关产业提供技术指导。保证本标准的规范性、先进性，注重其使用性、可操作性和完整性。本标准按照</w:t>
      </w:r>
      <w:r>
        <w:rPr>
          <w:sz w:val="24"/>
        </w:rPr>
        <w:t>GB/T 1.1-2009</w:t>
      </w:r>
      <w:r>
        <w:rPr>
          <w:rFonts w:hint="eastAsia" w:ascii="宋体"/>
          <w:sz w:val="24"/>
        </w:rPr>
        <w:t>给出的规则要求进行编写。</w:t>
      </w:r>
    </w:p>
    <w:p>
      <w:pPr>
        <w:spacing w:line="360" w:lineRule="auto"/>
        <w:rPr>
          <w:rFonts w:ascii="宋体"/>
          <w:sz w:val="24"/>
        </w:rPr>
      </w:pPr>
      <w:r>
        <w:rPr>
          <w:rFonts w:hint="eastAsia" w:ascii="宋体"/>
          <w:sz w:val="24"/>
        </w:rPr>
        <w:t>三、</w:t>
      </w:r>
      <w:r>
        <w:rPr>
          <w:rFonts w:hint="eastAsia" w:ascii="宋体"/>
          <w:bCs/>
          <w:sz w:val="24"/>
        </w:rPr>
        <w:t>标准内容确定依据</w:t>
      </w:r>
    </w:p>
    <w:p>
      <w:pPr>
        <w:spacing w:line="360" w:lineRule="auto"/>
        <w:rPr>
          <w:rFonts w:ascii="宋体"/>
          <w:sz w:val="24"/>
        </w:rPr>
      </w:pPr>
      <w:r>
        <w:rPr>
          <w:rFonts w:hint="eastAsia" w:ascii="宋体"/>
          <w:sz w:val="24"/>
        </w:rPr>
        <w:t xml:space="preserve">    根据该产品的使用情况，本标准对银板材化学成分、外形尺寸</w:t>
      </w:r>
      <w:r>
        <w:rPr>
          <w:rFonts w:ascii="宋体"/>
          <w:sz w:val="24"/>
        </w:rPr>
        <w:t>及</w:t>
      </w:r>
      <w:r>
        <w:rPr>
          <w:rFonts w:hint="eastAsia" w:ascii="宋体"/>
          <w:sz w:val="24"/>
        </w:rPr>
        <w:t>其</w:t>
      </w:r>
      <w:r>
        <w:rPr>
          <w:rFonts w:ascii="宋体"/>
          <w:sz w:val="24"/>
        </w:rPr>
        <w:t>允许偏差</w:t>
      </w:r>
      <w:r>
        <w:rPr>
          <w:rFonts w:hint="eastAsia" w:ascii="宋体"/>
          <w:sz w:val="24"/>
        </w:rPr>
        <w:t>、力学性能、表面质量等指标进行了规定。</w:t>
      </w:r>
    </w:p>
    <w:p>
      <w:pPr>
        <w:spacing w:line="360" w:lineRule="auto"/>
        <w:rPr>
          <w:rFonts w:ascii="宋体"/>
          <w:b/>
          <w:bCs/>
          <w:sz w:val="24"/>
        </w:rPr>
      </w:pPr>
      <w:r>
        <w:rPr>
          <w:sz w:val="24"/>
        </w:rPr>
        <w:t>3.1</w:t>
      </w:r>
      <w:r>
        <w:rPr>
          <w:rFonts w:ascii="宋体"/>
          <w:sz w:val="24"/>
        </w:rPr>
        <w:t xml:space="preserve"> </w:t>
      </w:r>
      <w:r>
        <w:rPr>
          <w:rFonts w:hint="eastAsia" w:ascii="宋体"/>
          <w:sz w:val="24"/>
        </w:rPr>
        <w:t>牌号及化学成分</w:t>
      </w:r>
    </w:p>
    <w:p>
      <w:pPr>
        <w:spacing w:line="360" w:lineRule="auto"/>
        <w:ind w:firstLine="480" w:firstLineChars="200"/>
        <w:rPr>
          <w:rFonts w:hint="eastAsia" w:ascii="宋体"/>
          <w:sz w:val="24"/>
        </w:rPr>
      </w:pPr>
      <w:r>
        <w:rPr>
          <w:rFonts w:hint="eastAsia" w:ascii="宋体"/>
          <w:sz w:val="24"/>
        </w:rPr>
        <w:t>产品的牌号和化学成分应符合表1的规定。供货状态以硬态（</w:t>
      </w:r>
      <w:r>
        <w:rPr>
          <w:sz w:val="24"/>
        </w:rPr>
        <w:t>Y</w:t>
      </w:r>
      <w:r>
        <w:rPr>
          <w:rFonts w:hint="eastAsia" w:ascii="宋体"/>
          <w:sz w:val="24"/>
        </w:rPr>
        <w:t>）供货。</w:t>
      </w:r>
    </w:p>
    <w:p>
      <w:pPr>
        <w:spacing w:line="360" w:lineRule="auto"/>
        <w:ind w:firstLine="480" w:firstLineChars="200"/>
        <w:rPr>
          <w:rFonts w:hint="default" w:ascii="宋体" w:eastAsia="宋体"/>
          <w:sz w:val="24"/>
          <w:lang w:val="en-US" w:eastAsia="zh-CN"/>
        </w:rPr>
      </w:pPr>
      <w:r>
        <w:rPr>
          <w:rFonts w:hint="eastAsia" w:ascii="宋体"/>
          <w:sz w:val="24"/>
          <w:lang w:val="en-US" w:eastAsia="zh-CN"/>
        </w:rPr>
        <w:t>Fe、Pb、Sb、Bi元素为银中通常的杂质元素，影响银的加工和力学性能，应对这几种元素含量进行规定限制。根据使用单位的意见，P、B是高纯单晶硅中的有害的杂质元素，因此此标准中对P、B的含量进行规定限制。</w:t>
      </w:r>
    </w:p>
    <w:p>
      <w:pPr>
        <w:spacing w:line="360" w:lineRule="auto"/>
        <w:jc w:val="center"/>
        <w:rPr>
          <w:sz w:val="24"/>
        </w:rPr>
      </w:pPr>
      <w:r>
        <w:rPr>
          <w:sz w:val="24"/>
        </w:rPr>
        <w:t>表1</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450"/>
        <w:gridCol w:w="700"/>
        <w:gridCol w:w="701"/>
        <w:gridCol w:w="700"/>
        <w:gridCol w:w="701"/>
        <w:gridCol w:w="836"/>
        <w:gridCol w:w="836"/>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9" w:type="dxa"/>
            <w:vMerge w:val="restart"/>
            <w:vAlign w:val="center"/>
          </w:tcPr>
          <w:p>
            <w:pPr>
              <w:jc w:val="center"/>
              <w:rPr>
                <w:color w:val="000000"/>
                <w:sz w:val="18"/>
                <w:szCs w:val="18"/>
              </w:rPr>
            </w:pPr>
            <w:r>
              <w:rPr>
                <w:rFonts w:hint="eastAsia"/>
                <w:color w:val="000000"/>
                <w:sz w:val="18"/>
                <w:szCs w:val="18"/>
              </w:rPr>
              <w:t>牌号</w:t>
            </w:r>
          </w:p>
        </w:tc>
        <w:tc>
          <w:tcPr>
            <w:tcW w:w="2450" w:type="dxa"/>
            <w:vAlign w:val="center"/>
          </w:tcPr>
          <w:p>
            <w:pPr>
              <w:jc w:val="center"/>
              <w:rPr>
                <w:color w:val="000000" w:themeColor="text1"/>
                <w:sz w:val="18"/>
                <w:szCs w:val="18"/>
              </w:rPr>
            </w:pPr>
            <w:r>
              <w:rPr>
                <w:rFonts w:hint="eastAsia"/>
                <w:color w:val="000000" w:themeColor="text1"/>
                <w:sz w:val="18"/>
                <w:szCs w:val="18"/>
              </w:rPr>
              <w:t>主要成分（质量分数）</w:t>
            </w:r>
            <w:r>
              <w:rPr>
                <w:rFonts w:hint="eastAsia"/>
                <w:b/>
                <w:color w:val="000000" w:themeColor="text1"/>
                <w:sz w:val="18"/>
                <w:szCs w:val="18"/>
              </w:rPr>
              <w:t>/</w:t>
            </w:r>
            <w:r>
              <w:rPr>
                <w:rFonts w:hint="eastAsia" w:ascii="黑体" w:eastAsia="黑体"/>
                <w:b/>
                <w:color w:val="000000" w:themeColor="text1"/>
              </w:rPr>
              <w:t>%</w:t>
            </w:r>
          </w:p>
        </w:tc>
        <w:tc>
          <w:tcPr>
            <w:tcW w:w="5123" w:type="dxa"/>
            <w:gridSpan w:val="7"/>
            <w:vAlign w:val="center"/>
          </w:tcPr>
          <w:p>
            <w:pPr>
              <w:jc w:val="center"/>
              <w:rPr>
                <w:color w:val="000000" w:themeColor="text1"/>
                <w:sz w:val="18"/>
                <w:szCs w:val="18"/>
              </w:rPr>
            </w:pPr>
            <w:r>
              <w:rPr>
                <w:rFonts w:hint="eastAsia"/>
                <w:color w:val="000000" w:themeColor="text1"/>
                <w:sz w:val="18"/>
                <w:szCs w:val="18"/>
              </w:rPr>
              <w:t>杂质元素（质量分数）</w:t>
            </w:r>
            <w:r>
              <w:rPr>
                <w:rFonts w:hint="eastAsia"/>
                <w:b/>
                <w:color w:val="000000" w:themeColor="text1"/>
                <w:sz w:val="18"/>
                <w:szCs w:val="18"/>
              </w:rPr>
              <w:t>/</w:t>
            </w:r>
            <w:r>
              <w:rPr>
                <w:rFonts w:hint="eastAsia" w:ascii="黑体" w:eastAsia="黑体"/>
                <w:b/>
                <w:color w:val="000000" w:themeColor="text1"/>
              </w:rPr>
              <w:t>%</w:t>
            </w:r>
            <w:r>
              <w:rPr>
                <w:rFonts w:hint="eastAsia"/>
                <w:color w:val="000000" w:themeColor="text1"/>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vAlign w:val="center"/>
          </w:tcPr>
          <w:p>
            <w:pPr>
              <w:jc w:val="center"/>
              <w:rPr>
                <w:color w:val="000000"/>
                <w:sz w:val="18"/>
                <w:szCs w:val="18"/>
              </w:rPr>
            </w:pPr>
          </w:p>
        </w:tc>
        <w:tc>
          <w:tcPr>
            <w:tcW w:w="2450" w:type="dxa"/>
            <w:vAlign w:val="center"/>
          </w:tcPr>
          <w:p>
            <w:pPr>
              <w:jc w:val="center"/>
              <w:rPr>
                <w:color w:val="000000" w:themeColor="text1"/>
                <w:sz w:val="18"/>
                <w:szCs w:val="18"/>
              </w:rPr>
            </w:pPr>
            <w:r>
              <w:rPr>
                <w:rFonts w:hint="eastAsia"/>
                <w:color w:val="000000" w:themeColor="text1"/>
                <w:sz w:val="18"/>
                <w:szCs w:val="18"/>
              </w:rPr>
              <w:t>Ag</w:t>
            </w:r>
          </w:p>
        </w:tc>
        <w:tc>
          <w:tcPr>
            <w:tcW w:w="700" w:type="dxa"/>
            <w:vAlign w:val="center"/>
          </w:tcPr>
          <w:p>
            <w:pPr>
              <w:jc w:val="center"/>
              <w:rPr>
                <w:color w:val="000000" w:themeColor="text1"/>
                <w:sz w:val="18"/>
                <w:szCs w:val="18"/>
              </w:rPr>
            </w:pPr>
            <w:r>
              <w:rPr>
                <w:rFonts w:hint="eastAsia"/>
                <w:color w:val="000000" w:themeColor="text1"/>
                <w:sz w:val="18"/>
                <w:szCs w:val="18"/>
              </w:rPr>
              <w:t>Fe</w:t>
            </w:r>
          </w:p>
        </w:tc>
        <w:tc>
          <w:tcPr>
            <w:tcW w:w="701" w:type="dxa"/>
            <w:vAlign w:val="center"/>
          </w:tcPr>
          <w:p>
            <w:pPr>
              <w:jc w:val="center"/>
              <w:rPr>
                <w:color w:val="000000" w:themeColor="text1"/>
                <w:sz w:val="18"/>
                <w:szCs w:val="18"/>
              </w:rPr>
            </w:pPr>
            <w:r>
              <w:rPr>
                <w:rFonts w:hint="eastAsia"/>
                <w:color w:val="000000" w:themeColor="text1"/>
                <w:sz w:val="18"/>
                <w:szCs w:val="18"/>
              </w:rPr>
              <w:t>Pb</w:t>
            </w:r>
          </w:p>
        </w:tc>
        <w:tc>
          <w:tcPr>
            <w:tcW w:w="700" w:type="dxa"/>
            <w:vAlign w:val="center"/>
          </w:tcPr>
          <w:p>
            <w:pPr>
              <w:jc w:val="center"/>
              <w:rPr>
                <w:color w:val="000000" w:themeColor="text1"/>
                <w:sz w:val="18"/>
                <w:szCs w:val="18"/>
              </w:rPr>
            </w:pPr>
            <w:r>
              <w:rPr>
                <w:rFonts w:hint="eastAsia"/>
                <w:color w:val="000000" w:themeColor="text1"/>
                <w:sz w:val="18"/>
                <w:szCs w:val="18"/>
              </w:rPr>
              <w:t>Sb</w:t>
            </w:r>
          </w:p>
        </w:tc>
        <w:tc>
          <w:tcPr>
            <w:tcW w:w="701" w:type="dxa"/>
            <w:vAlign w:val="center"/>
          </w:tcPr>
          <w:p>
            <w:pPr>
              <w:jc w:val="center"/>
              <w:rPr>
                <w:color w:val="000000" w:themeColor="text1"/>
                <w:sz w:val="18"/>
                <w:szCs w:val="18"/>
              </w:rPr>
            </w:pPr>
            <w:r>
              <w:rPr>
                <w:rFonts w:hint="eastAsia"/>
                <w:color w:val="000000" w:themeColor="text1"/>
                <w:sz w:val="18"/>
                <w:szCs w:val="18"/>
              </w:rPr>
              <w:t>Bi</w:t>
            </w:r>
          </w:p>
        </w:tc>
        <w:tc>
          <w:tcPr>
            <w:tcW w:w="836"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P</w:t>
            </w:r>
          </w:p>
        </w:tc>
        <w:tc>
          <w:tcPr>
            <w:tcW w:w="836"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B</w:t>
            </w:r>
          </w:p>
        </w:tc>
        <w:tc>
          <w:tcPr>
            <w:tcW w:w="649" w:type="dxa"/>
            <w:vAlign w:val="center"/>
          </w:tcPr>
          <w:p>
            <w:pPr>
              <w:jc w:val="center"/>
              <w:rPr>
                <w:color w:val="000000" w:themeColor="text1"/>
                <w:sz w:val="18"/>
                <w:szCs w:val="18"/>
              </w:rPr>
            </w:pPr>
            <w:r>
              <w:rPr>
                <w:rFonts w:hint="eastAsia"/>
                <w:color w:val="000000" w:themeColor="text1"/>
                <w:sz w:val="18"/>
                <w:szCs w:val="18"/>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9" w:type="dxa"/>
            <w:vAlign w:val="center"/>
          </w:tcPr>
          <w:p>
            <w:pPr>
              <w:jc w:val="center"/>
              <w:rPr>
                <w:color w:val="000000"/>
                <w:sz w:val="18"/>
                <w:szCs w:val="18"/>
              </w:rPr>
            </w:pPr>
            <w:r>
              <w:rPr>
                <w:rFonts w:hint="eastAsia"/>
                <w:color w:val="000000"/>
                <w:sz w:val="18"/>
                <w:szCs w:val="18"/>
              </w:rPr>
              <w:t>Ag99.99</w:t>
            </w:r>
          </w:p>
        </w:tc>
        <w:tc>
          <w:tcPr>
            <w:tcW w:w="2450" w:type="dxa"/>
            <w:vAlign w:val="center"/>
          </w:tcPr>
          <w:p>
            <w:pPr>
              <w:jc w:val="center"/>
              <w:rPr>
                <w:color w:val="000000" w:themeColor="text1"/>
                <w:sz w:val="18"/>
                <w:szCs w:val="18"/>
              </w:rPr>
            </w:pPr>
            <w:r>
              <w:rPr>
                <w:rFonts w:hint="eastAsia"/>
                <w:color w:val="000000" w:themeColor="text1"/>
                <w:sz w:val="18"/>
                <w:szCs w:val="18"/>
              </w:rPr>
              <w:t>≥99.99</w:t>
            </w:r>
          </w:p>
        </w:tc>
        <w:tc>
          <w:tcPr>
            <w:tcW w:w="700" w:type="dxa"/>
            <w:vAlign w:val="center"/>
          </w:tcPr>
          <w:p>
            <w:pPr>
              <w:jc w:val="center"/>
              <w:rPr>
                <w:color w:val="000000" w:themeColor="text1"/>
                <w:sz w:val="18"/>
                <w:szCs w:val="18"/>
              </w:rPr>
            </w:pPr>
            <w:r>
              <w:rPr>
                <w:rFonts w:hint="eastAsia"/>
                <w:color w:val="000000" w:themeColor="text1"/>
                <w:sz w:val="18"/>
                <w:szCs w:val="18"/>
              </w:rPr>
              <w:t>0.004</w:t>
            </w:r>
          </w:p>
        </w:tc>
        <w:tc>
          <w:tcPr>
            <w:tcW w:w="701" w:type="dxa"/>
            <w:vAlign w:val="center"/>
          </w:tcPr>
          <w:p>
            <w:pPr>
              <w:jc w:val="center"/>
              <w:rPr>
                <w:color w:val="000000" w:themeColor="text1"/>
                <w:sz w:val="18"/>
                <w:szCs w:val="18"/>
              </w:rPr>
            </w:pPr>
            <w:r>
              <w:rPr>
                <w:rFonts w:hint="eastAsia"/>
                <w:color w:val="000000" w:themeColor="text1"/>
                <w:sz w:val="18"/>
                <w:szCs w:val="18"/>
              </w:rPr>
              <w:t>0.002</w:t>
            </w:r>
          </w:p>
        </w:tc>
        <w:tc>
          <w:tcPr>
            <w:tcW w:w="700" w:type="dxa"/>
            <w:vAlign w:val="center"/>
          </w:tcPr>
          <w:p>
            <w:pPr>
              <w:jc w:val="center"/>
              <w:rPr>
                <w:color w:val="000000" w:themeColor="text1"/>
                <w:sz w:val="18"/>
                <w:szCs w:val="18"/>
              </w:rPr>
            </w:pPr>
            <w:r>
              <w:rPr>
                <w:rFonts w:hint="eastAsia"/>
                <w:color w:val="000000" w:themeColor="text1"/>
                <w:sz w:val="18"/>
                <w:szCs w:val="18"/>
              </w:rPr>
              <w:t>0.002</w:t>
            </w:r>
          </w:p>
        </w:tc>
        <w:tc>
          <w:tcPr>
            <w:tcW w:w="701" w:type="dxa"/>
            <w:vAlign w:val="center"/>
          </w:tcPr>
          <w:p>
            <w:pPr>
              <w:jc w:val="center"/>
              <w:rPr>
                <w:color w:val="000000" w:themeColor="text1"/>
                <w:sz w:val="18"/>
                <w:szCs w:val="18"/>
              </w:rPr>
            </w:pPr>
            <w:r>
              <w:rPr>
                <w:rFonts w:hint="eastAsia"/>
                <w:color w:val="000000" w:themeColor="text1"/>
                <w:sz w:val="18"/>
                <w:szCs w:val="18"/>
              </w:rPr>
              <w:t>0.002</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0.002</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0.002</w:t>
            </w:r>
          </w:p>
        </w:tc>
        <w:tc>
          <w:tcPr>
            <w:tcW w:w="649" w:type="dxa"/>
            <w:vAlign w:val="center"/>
          </w:tcPr>
          <w:p>
            <w:pPr>
              <w:jc w:val="center"/>
              <w:rPr>
                <w:color w:val="000000" w:themeColor="text1"/>
                <w:sz w:val="18"/>
                <w:szCs w:val="18"/>
              </w:rPr>
            </w:pPr>
            <w:r>
              <w:rPr>
                <w:rFonts w:hint="eastAsia"/>
                <w:color w:val="000000" w:themeColor="text1"/>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9" w:type="dxa"/>
            <w:vAlign w:val="center"/>
          </w:tcPr>
          <w:p>
            <w:pPr>
              <w:jc w:val="center"/>
              <w:rPr>
                <w:color w:val="000000"/>
                <w:sz w:val="18"/>
                <w:szCs w:val="18"/>
              </w:rPr>
            </w:pPr>
            <w:r>
              <w:rPr>
                <w:rFonts w:hint="eastAsia"/>
                <w:color w:val="000000"/>
                <w:sz w:val="18"/>
                <w:szCs w:val="18"/>
              </w:rPr>
              <w:t>Ag99.95</w:t>
            </w:r>
          </w:p>
        </w:tc>
        <w:tc>
          <w:tcPr>
            <w:tcW w:w="2450" w:type="dxa"/>
            <w:vAlign w:val="center"/>
          </w:tcPr>
          <w:p>
            <w:pPr>
              <w:jc w:val="center"/>
              <w:rPr>
                <w:color w:val="000000" w:themeColor="text1"/>
                <w:sz w:val="18"/>
                <w:szCs w:val="18"/>
              </w:rPr>
            </w:pPr>
            <w:r>
              <w:rPr>
                <w:rFonts w:hint="eastAsia"/>
                <w:color w:val="000000" w:themeColor="text1"/>
                <w:sz w:val="18"/>
                <w:szCs w:val="18"/>
              </w:rPr>
              <w:t>≥99.95</w:t>
            </w:r>
          </w:p>
        </w:tc>
        <w:tc>
          <w:tcPr>
            <w:tcW w:w="700" w:type="dxa"/>
            <w:vAlign w:val="center"/>
          </w:tcPr>
          <w:p>
            <w:pPr>
              <w:jc w:val="center"/>
              <w:rPr>
                <w:color w:val="000000" w:themeColor="text1"/>
                <w:sz w:val="18"/>
                <w:szCs w:val="18"/>
              </w:rPr>
            </w:pPr>
            <w:r>
              <w:rPr>
                <w:rFonts w:hint="eastAsia"/>
                <w:color w:val="000000" w:themeColor="text1"/>
                <w:sz w:val="18"/>
                <w:szCs w:val="18"/>
              </w:rPr>
              <w:t>0.03</w:t>
            </w:r>
          </w:p>
        </w:tc>
        <w:tc>
          <w:tcPr>
            <w:tcW w:w="701" w:type="dxa"/>
            <w:vAlign w:val="center"/>
          </w:tcPr>
          <w:p>
            <w:pPr>
              <w:jc w:val="center"/>
              <w:rPr>
                <w:color w:val="000000" w:themeColor="text1"/>
                <w:sz w:val="18"/>
                <w:szCs w:val="18"/>
              </w:rPr>
            </w:pPr>
            <w:r>
              <w:rPr>
                <w:rFonts w:hint="eastAsia"/>
                <w:color w:val="000000" w:themeColor="text1"/>
                <w:sz w:val="18"/>
                <w:szCs w:val="18"/>
              </w:rPr>
              <w:t>0.004</w:t>
            </w:r>
          </w:p>
        </w:tc>
        <w:tc>
          <w:tcPr>
            <w:tcW w:w="700" w:type="dxa"/>
            <w:vAlign w:val="center"/>
          </w:tcPr>
          <w:p>
            <w:pPr>
              <w:jc w:val="center"/>
              <w:rPr>
                <w:color w:val="000000" w:themeColor="text1"/>
                <w:sz w:val="18"/>
                <w:szCs w:val="18"/>
              </w:rPr>
            </w:pPr>
            <w:r>
              <w:rPr>
                <w:rFonts w:hint="eastAsia"/>
                <w:color w:val="000000" w:themeColor="text1"/>
                <w:sz w:val="18"/>
                <w:szCs w:val="18"/>
              </w:rPr>
              <w:t>0.004</w:t>
            </w:r>
          </w:p>
        </w:tc>
        <w:tc>
          <w:tcPr>
            <w:tcW w:w="701" w:type="dxa"/>
            <w:vAlign w:val="center"/>
          </w:tcPr>
          <w:p>
            <w:pPr>
              <w:jc w:val="center"/>
              <w:rPr>
                <w:color w:val="000000" w:themeColor="text1"/>
                <w:sz w:val="18"/>
                <w:szCs w:val="18"/>
              </w:rPr>
            </w:pPr>
            <w:r>
              <w:rPr>
                <w:rFonts w:hint="eastAsia"/>
                <w:color w:val="000000" w:themeColor="text1"/>
                <w:sz w:val="18"/>
                <w:szCs w:val="18"/>
              </w:rPr>
              <w:t>0.004</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0.004</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0.004</w:t>
            </w:r>
          </w:p>
        </w:tc>
        <w:tc>
          <w:tcPr>
            <w:tcW w:w="649" w:type="dxa"/>
            <w:vAlign w:val="center"/>
          </w:tcPr>
          <w:p>
            <w:pPr>
              <w:jc w:val="center"/>
              <w:rPr>
                <w:color w:val="000000" w:themeColor="text1"/>
                <w:sz w:val="18"/>
                <w:szCs w:val="18"/>
              </w:rPr>
            </w:pPr>
            <w:r>
              <w:rPr>
                <w:rFonts w:hint="eastAsia"/>
                <w:color w:val="000000" w:themeColor="text1"/>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22" w:type="dxa"/>
            <w:gridSpan w:val="9"/>
            <w:vAlign w:val="center"/>
          </w:tcPr>
          <w:p>
            <w:pPr>
              <w:jc w:val="left"/>
              <w:rPr>
                <w:color w:val="000000"/>
                <w:sz w:val="18"/>
                <w:szCs w:val="18"/>
              </w:rPr>
            </w:pPr>
            <w:r>
              <w:rPr>
                <w:rFonts w:hint="eastAsia"/>
                <w:color w:val="000000"/>
                <w:sz w:val="18"/>
                <w:szCs w:val="18"/>
              </w:rPr>
              <w:t xml:space="preserve">    注：对其他杂质元素有要求时，应在合同中注明。</w:t>
            </w:r>
          </w:p>
        </w:tc>
      </w:tr>
    </w:tbl>
    <w:p>
      <w:pPr>
        <w:spacing w:line="360" w:lineRule="auto"/>
        <w:rPr>
          <w:b/>
          <w:sz w:val="24"/>
        </w:rPr>
      </w:pPr>
      <w:r>
        <w:rPr>
          <w:sz w:val="24"/>
        </w:rPr>
        <w:t>3.2 外形尺寸及其允许偏差</w:t>
      </w:r>
    </w:p>
    <w:p>
      <w:pPr>
        <w:spacing w:line="360" w:lineRule="auto"/>
        <w:ind w:firstLine="480" w:firstLineChars="200"/>
        <w:rPr>
          <w:sz w:val="24"/>
        </w:rPr>
      </w:pPr>
      <w:r>
        <w:rPr>
          <w:sz w:val="24"/>
        </w:rPr>
        <w:t xml:space="preserve">外形尺寸及其允许偏差应符合表2的规定。                       </w:t>
      </w:r>
    </w:p>
    <w:p>
      <w:pPr>
        <w:spacing w:line="360" w:lineRule="auto"/>
        <w:ind w:firstLine="480" w:firstLineChars="200"/>
        <w:jc w:val="center"/>
        <w:rPr>
          <w:rFonts w:ascii="宋体"/>
          <w:sz w:val="24"/>
        </w:rPr>
      </w:pPr>
      <w:r>
        <w:rPr>
          <w:sz w:val="24"/>
        </w:rPr>
        <w:t>表2</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151"/>
        <w:gridCol w:w="1691"/>
        <w:gridCol w:w="215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61" w:type="dxa"/>
            <w:vAlign w:val="center"/>
          </w:tcPr>
          <w:p>
            <w:pPr>
              <w:jc w:val="center"/>
              <w:rPr>
                <w:color w:val="000000"/>
                <w:sz w:val="18"/>
                <w:szCs w:val="18"/>
              </w:rPr>
            </w:pPr>
            <w:r>
              <w:rPr>
                <w:rFonts w:hint="eastAsia"/>
                <w:color w:val="000000"/>
                <w:sz w:val="18"/>
                <w:szCs w:val="18"/>
              </w:rPr>
              <w:t>厚度</w:t>
            </w:r>
            <w:r>
              <w:rPr>
                <w:rFonts w:hint="eastAsia"/>
                <w:color w:val="FF0000"/>
                <w:sz w:val="18"/>
                <w:szCs w:val="18"/>
              </w:rPr>
              <w:t>/mm</w:t>
            </w:r>
          </w:p>
        </w:tc>
        <w:tc>
          <w:tcPr>
            <w:tcW w:w="2151" w:type="dxa"/>
            <w:vAlign w:val="center"/>
          </w:tcPr>
          <w:p>
            <w:pPr>
              <w:jc w:val="center"/>
              <w:rPr>
                <w:color w:val="000000"/>
                <w:sz w:val="18"/>
                <w:szCs w:val="18"/>
              </w:rPr>
            </w:pPr>
            <w:r>
              <w:rPr>
                <w:rFonts w:hint="eastAsia"/>
                <w:color w:val="000000"/>
                <w:sz w:val="18"/>
                <w:szCs w:val="18"/>
              </w:rPr>
              <w:t>厚度允许偏差</w:t>
            </w:r>
            <w:r>
              <w:rPr>
                <w:rFonts w:hint="eastAsia"/>
                <w:color w:val="FF0000"/>
                <w:sz w:val="18"/>
                <w:szCs w:val="18"/>
              </w:rPr>
              <w:t>/mm</w:t>
            </w:r>
          </w:p>
        </w:tc>
        <w:tc>
          <w:tcPr>
            <w:tcW w:w="1691" w:type="dxa"/>
            <w:vAlign w:val="center"/>
          </w:tcPr>
          <w:p>
            <w:pPr>
              <w:jc w:val="center"/>
              <w:rPr>
                <w:color w:val="000000"/>
                <w:sz w:val="18"/>
                <w:szCs w:val="18"/>
              </w:rPr>
            </w:pPr>
            <w:r>
              <w:rPr>
                <w:rFonts w:hint="eastAsia"/>
                <w:color w:val="000000"/>
                <w:sz w:val="18"/>
                <w:szCs w:val="18"/>
              </w:rPr>
              <w:t>宽度</w:t>
            </w:r>
            <w:r>
              <w:rPr>
                <w:rFonts w:hint="eastAsia"/>
                <w:color w:val="FF0000"/>
                <w:sz w:val="18"/>
                <w:szCs w:val="18"/>
              </w:rPr>
              <w:t>/mm</w:t>
            </w:r>
          </w:p>
        </w:tc>
        <w:tc>
          <w:tcPr>
            <w:tcW w:w="2151" w:type="dxa"/>
            <w:vAlign w:val="center"/>
          </w:tcPr>
          <w:p>
            <w:pPr>
              <w:jc w:val="center"/>
              <w:rPr>
                <w:color w:val="000000"/>
                <w:sz w:val="18"/>
                <w:szCs w:val="18"/>
              </w:rPr>
            </w:pPr>
            <w:r>
              <w:rPr>
                <w:rFonts w:hint="eastAsia"/>
                <w:color w:val="000000"/>
                <w:sz w:val="18"/>
                <w:szCs w:val="18"/>
              </w:rPr>
              <w:t>宽度允许偏差</w:t>
            </w:r>
            <w:r>
              <w:rPr>
                <w:rFonts w:hint="eastAsia"/>
                <w:color w:val="FF0000"/>
                <w:sz w:val="18"/>
                <w:szCs w:val="18"/>
              </w:rPr>
              <w:t>/mm</w:t>
            </w:r>
          </w:p>
        </w:tc>
        <w:tc>
          <w:tcPr>
            <w:tcW w:w="968" w:type="dxa"/>
            <w:vAlign w:val="center"/>
          </w:tcPr>
          <w:p>
            <w:pPr>
              <w:jc w:val="center"/>
              <w:rPr>
                <w:color w:val="000000"/>
                <w:sz w:val="18"/>
                <w:szCs w:val="18"/>
              </w:rPr>
            </w:pPr>
            <w:r>
              <w:rPr>
                <w:rFonts w:hint="eastAsia"/>
                <w:color w:val="000000"/>
                <w:sz w:val="18"/>
                <w:szCs w:val="18"/>
              </w:rPr>
              <w:t>长度</w:t>
            </w:r>
            <w:r>
              <w:rPr>
                <w:rFonts w:hint="eastAsia"/>
                <w:color w:val="FF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61" w:type="dxa"/>
            <w:vAlign w:val="center"/>
          </w:tcPr>
          <w:p>
            <w:pPr>
              <w:jc w:val="center"/>
              <w:rPr>
                <w:color w:val="000000"/>
                <w:sz w:val="18"/>
                <w:szCs w:val="18"/>
              </w:rPr>
            </w:pPr>
            <w:r>
              <w:rPr>
                <w:rFonts w:hint="eastAsia"/>
                <w:color w:val="000000"/>
                <w:sz w:val="18"/>
                <w:szCs w:val="18"/>
              </w:rPr>
              <w:t>0.5～1.0</w:t>
            </w:r>
          </w:p>
        </w:tc>
        <w:tc>
          <w:tcPr>
            <w:tcW w:w="2151" w:type="dxa"/>
            <w:vAlign w:val="center"/>
          </w:tcPr>
          <w:p>
            <w:pPr>
              <w:jc w:val="center"/>
              <w:rPr>
                <w:color w:val="000000"/>
                <w:sz w:val="18"/>
                <w:szCs w:val="18"/>
              </w:rPr>
            </w:pPr>
            <w:r>
              <w:rPr>
                <w:rFonts w:hint="eastAsia"/>
                <w:color w:val="000000"/>
                <w:sz w:val="18"/>
                <w:szCs w:val="18"/>
              </w:rPr>
              <w:t>±0.04</w:t>
            </w:r>
          </w:p>
        </w:tc>
        <w:tc>
          <w:tcPr>
            <w:tcW w:w="1691" w:type="dxa"/>
            <w:vMerge w:val="restart"/>
            <w:vAlign w:val="center"/>
          </w:tcPr>
          <w:p>
            <w:pPr>
              <w:jc w:val="center"/>
              <w:rPr>
                <w:color w:val="000000"/>
                <w:sz w:val="18"/>
                <w:szCs w:val="18"/>
              </w:rPr>
            </w:pPr>
            <w:r>
              <w:rPr>
                <w:rFonts w:hint="eastAsia"/>
                <w:color w:val="000000"/>
                <w:sz w:val="18"/>
                <w:szCs w:val="18"/>
              </w:rPr>
              <w:t>400～1500</w:t>
            </w:r>
          </w:p>
        </w:tc>
        <w:tc>
          <w:tcPr>
            <w:tcW w:w="2151" w:type="dxa"/>
            <w:vMerge w:val="restart"/>
            <w:vAlign w:val="center"/>
          </w:tcPr>
          <w:p>
            <w:pPr>
              <w:jc w:val="center"/>
              <w:rPr>
                <w:color w:val="000000"/>
                <w:sz w:val="18"/>
                <w:szCs w:val="18"/>
              </w:rPr>
            </w:pPr>
            <w:r>
              <w:rPr>
                <w:rFonts w:hint="eastAsia"/>
                <w:color w:val="000000"/>
                <w:sz w:val="18"/>
                <w:szCs w:val="18"/>
              </w:rPr>
              <w:t>±2.0</w:t>
            </w:r>
          </w:p>
        </w:tc>
        <w:tc>
          <w:tcPr>
            <w:tcW w:w="968" w:type="dxa"/>
            <w:vMerge w:val="restart"/>
            <w:vAlign w:val="center"/>
          </w:tcPr>
          <w:p>
            <w:pPr>
              <w:jc w:val="center"/>
              <w:rPr>
                <w:color w:val="000000"/>
                <w:sz w:val="18"/>
                <w:szCs w:val="18"/>
              </w:rPr>
            </w:pPr>
            <w:r>
              <w:rPr>
                <w:rFonts w:hint="eastAsia"/>
                <w:color w:val="000000"/>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61" w:type="dxa"/>
            <w:vAlign w:val="center"/>
          </w:tcPr>
          <w:p>
            <w:pPr>
              <w:jc w:val="center"/>
              <w:rPr>
                <w:color w:val="000000"/>
                <w:sz w:val="18"/>
                <w:szCs w:val="18"/>
              </w:rPr>
            </w:pPr>
            <w:r>
              <w:rPr>
                <w:rFonts w:hint="eastAsia"/>
                <w:color w:val="000000"/>
                <w:sz w:val="18"/>
                <w:szCs w:val="18"/>
              </w:rPr>
              <w:t>&gt;1.0～2.0</w:t>
            </w:r>
          </w:p>
        </w:tc>
        <w:tc>
          <w:tcPr>
            <w:tcW w:w="2151" w:type="dxa"/>
            <w:vAlign w:val="center"/>
          </w:tcPr>
          <w:p>
            <w:pPr>
              <w:jc w:val="center"/>
              <w:rPr>
                <w:color w:val="000000"/>
                <w:sz w:val="18"/>
                <w:szCs w:val="18"/>
              </w:rPr>
            </w:pPr>
            <w:r>
              <w:rPr>
                <w:rFonts w:hint="eastAsia"/>
                <w:color w:val="000000"/>
                <w:sz w:val="18"/>
                <w:szCs w:val="18"/>
              </w:rPr>
              <w:t>±0.05</w:t>
            </w:r>
          </w:p>
        </w:tc>
        <w:tc>
          <w:tcPr>
            <w:tcW w:w="1691" w:type="dxa"/>
            <w:vMerge w:val="continue"/>
            <w:vAlign w:val="center"/>
          </w:tcPr>
          <w:p>
            <w:pPr>
              <w:jc w:val="center"/>
              <w:rPr>
                <w:color w:val="000000"/>
                <w:sz w:val="18"/>
                <w:szCs w:val="18"/>
              </w:rPr>
            </w:pPr>
          </w:p>
        </w:tc>
        <w:tc>
          <w:tcPr>
            <w:tcW w:w="2151" w:type="dxa"/>
            <w:vMerge w:val="continue"/>
            <w:vAlign w:val="center"/>
          </w:tcPr>
          <w:p>
            <w:pPr>
              <w:jc w:val="center"/>
              <w:rPr>
                <w:color w:val="000000"/>
                <w:sz w:val="18"/>
                <w:szCs w:val="18"/>
              </w:rPr>
            </w:pPr>
          </w:p>
        </w:tc>
        <w:tc>
          <w:tcPr>
            <w:tcW w:w="968" w:type="dxa"/>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61" w:type="dxa"/>
            <w:vAlign w:val="center"/>
          </w:tcPr>
          <w:p>
            <w:pPr>
              <w:jc w:val="center"/>
              <w:rPr>
                <w:color w:val="000000"/>
                <w:sz w:val="18"/>
                <w:szCs w:val="18"/>
              </w:rPr>
            </w:pPr>
            <w:r>
              <w:rPr>
                <w:rFonts w:hint="eastAsia"/>
                <w:color w:val="000000"/>
                <w:sz w:val="18"/>
                <w:szCs w:val="18"/>
              </w:rPr>
              <w:t>&gt;2.0～3.0</w:t>
            </w:r>
          </w:p>
        </w:tc>
        <w:tc>
          <w:tcPr>
            <w:tcW w:w="2151" w:type="dxa"/>
            <w:vAlign w:val="center"/>
          </w:tcPr>
          <w:p>
            <w:pPr>
              <w:jc w:val="center"/>
              <w:rPr>
                <w:color w:val="000000"/>
                <w:sz w:val="18"/>
                <w:szCs w:val="18"/>
              </w:rPr>
            </w:pPr>
            <w:r>
              <w:rPr>
                <w:rFonts w:hint="eastAsia"/>
                <w:color w:val="000000"/>
                <w:sz w:val="18"/>
                <w:szCs w:val="18"/>
              </w:rPr>
              <w:t>±0.06</w:t>
            </w:r>
          </w:p>
        </w:tc>
        <w:tc>
          <w:tcPr>
            <w:tcW w:w="1691" w:type="dxa"/>
            <w:vMerge w:val="continue"/>
            <w:vAlign w:val="center"/>
          </w:tcPr>
          <w:p>
            <w:pPr>
              <w:jc w:val="center"/>
              <w:rPr>
                <w:color w:val="000000"/>
                <w:sz w:val="18"/>
                <w:szCs w:val="18"/>
              </w:rPr>
            </w:pPr>
          </w:p>
        </w:tc>
        <w:tc>
          <w:tcPr>
            <w:tcW w:w="2151" w:type="dxa"/>
            <w:vMerge w:val="continue"/>
            <w:vAlign w:val="center"/>
          </w:tcPr>
          <w:p>
            <w:pPr>
              <w:jc w:val="center"/>
              <w:rPr>
                <w:color w:val="000000"/>
                <w:sz w:val="18"/>
                <w:szCs w:val="18"/>
              </w:rPr>
            </w:pPr>
          </w:p>
        </w:tc>
        <w:tc>
          <w:tcPr>
            <w:tcW w:w="968" w:type="dxa"/>
            <w:vMerge w:val="restart"/>
            <w:vAlign w:val="center"/>
          </w:tcPr>
          <w:p>
            <w:pPr>
              <w:jc w:val="center"/>
              <w:rPr>
                <w:color w:val="000000"/>
                <w:sz w:val="18"/>
                <w:szCs w:val="18"/>
              </w:rPr>
            </w:pPr>
            <w:r>
              <w:rPr>
                <w:rFonts w:hint="eastAsia"/>
                <w:color w:val="000000"/>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61" w:type="dxa"/>
            <w:vAlign w:val="center"/>
          </w:tcPr>
          <w:p>
            <w:pPr>
              <w:jc w:val="center"/>
              <w:rPr>
                <w:color w:val="000000"/>
                <w:sz w:val="18"/>
                <w:szCs w:val="18"/>
              </w:rPr>
            </w:pPr>
            <w:r>
              <w:rPr>
                <w:rFonts w:hint="eastAsia"/>
                <w:color w:val="000000"/>
                <w:sz w:val="18"/>
                <w:szCs w:val="18"/>
              </w:rPr>
              <w:t>&gt;3.0～5.0</w:t>
            </w:r>
          </w:p>
        </w:tc>
        <w:tc>
          <w:tcPr>
            <w:tcW w:w="2151" w:type="dxa"/>
            <w:vAlign w:val="center"/>
          </w:tcPr>
          <w:p>
            <w:pPr>
              <w:jc w:val="center"/>
              <w:rPr>
                <w:color w:val="000000"/>
                <w:sz w:val="18"/>
                <w:szCs w:val="18"/>
              </w:rPr>
            </w:pPr>
            <w:r>
              <w:rPr>
                <w:rFonts w:hint="eastAsia"/>
                <w:color w:val="000000"/>
                <w:sz w:val="18"/>
                <w:szCs w:val="18"/>
              </w:rPr>
              <w:t>±0.07</w:t>
            </w:r>
          </w:p>
        </w:tc>
        <w:tc>
          <w:tcPr>
            <w:tcW w:w="1691" w:type="dxa"/>
            <w:vMerge w:val="continue"/>
            <w:vAlign w:val="center"/>
          </w:tcPr>
          <w:p>
            <w:pPr>
              <w:spacing w:line="300" w:lineRule="auto"/>
              <w:jc w:val="center"/>
              <w:rPr>
                <w:color w:val="000000"/>
                <w:szCs w:val="21"/>
              </w:rPr>
            </w:pPr>
          </w:p>
        </w:tc>
        <w:tc>
          <w:tcPr>
            <w:tcW w:w="2151" w:type="dxa"/>
            <w:vMerge w:val="continue"/>
            <w:vAlign w:val="center"/>
          </w:tcPr>
          <w:p>
            <w:pPr>
              <w:spacing w:line="300" w:lineRule="auto"/>
              <w:jc w:val="center"/>
              <w:rPr>
                <w:color w:val="000000"/>
                <w:szCs w:val="21"/>
              </w:rPr>
            </w:pPr>
          </w:p>
        </w:tc>
        <w:tc>
          <w:tcPr>
            <w:tcW w:w="968" w:type="dxa"/>
            <w:vMerge w:val="continue"/>
            <w:vAlign w:val="center"/>
          </w:tcPr>
          <w:p>
            <w:pPr>
              <w:spacing w:line="300" w:lineRule="auto"/>
              <w:jc w:val="center"/>
              <w:rPr>
                <w:color w:val="000000"/>
                <w:szCs w:val="21"/>
              </w:rPr>
            </w:pPr>
          </w:p>
        </w:tc>
      </w:tr>
    </w:tbl>
    <w:p>
      <w:pPr>
        <w:spacing w:line="360" w:lineRule="auto"/>
        <w:ind w:firstLine="480" w:firstLineChars="200"/>
        <w:rPr>
          <w:rFonts w:ascii="宋体"/>
          <w:sz w:val="24"/>
        </w:rPr>
      </w:pPr>
      <w:r>
        <w:rPr>
          <w:rFonts w:hint="eastAsia"/>
          <w:bCs/>
          <w:color w:val="000000" w:themeColor="text1"/>
          <w:sz w:val="24"/>
        </w:rPr>
        <w:t>多晶硅制备炉使用过程中要保持银面干净清洁，</w:t>
      </w:r>
      <w:r>
        <w:rPr>
          <w:rFonts w:hint="eastAsia" w:ascii="宋体"/>
          <w:color w:val="000000"/>
          <w:sz w:val="24"/>
        </w:rPr>
        <w:t>提高银对光和热的反射，降低能耗、同时保证多晶硅纯度，定期会对银内衬进行打磨清洗，所以还原炉的</w:t>
      </w:r>
      <w:r>
        <w:rPr>
          <w:rFonts w:hint="eastAsia"/>
          <w:bCs/>
          <w:color w:val="000000" w:themeColor="text1"/>
          <w:sz w:val="24"/>
        </w:rPr>
        <w:t>使用期与炉体银内衬的厚度、其他结构材料相关。为保证银内衬多厚度均匀，对银板材的厚度公差及同板差有着较高要求，结合国内宽幅板材生产设备及后续爆炸复合、旋压成型等后续制备过程中银板厚度控制情况制定出板材厚度公差控制在下表分为内，厚度测量方法边部千分尺、中间部位超声测量。国内外多晶硅制备炉用银内衬最好为一整张板材，板幅面积尽可能大。却因设备限制银板材可以焊接，焊缝数量不易过多，如还原炉制备筒体用银钢复合板约9m</w:t>
      </w:r>
      <w:r>
        <w:rPr>
          <w:rFonts w:hint="eastAsia"/>
          <w:bCs/>
          <w:color w:val="000000" w:themeColor="text1"/>
          <w:sz w:val="24"/>
          <w:vertAlign w:val="superscript"/>
        </w:rPr>
        <w:t>2</w:t>
      </w:r>
      <w:r>
        <w:rPr>
          <w:rFonts w:hint="eastAsia"/>
          <w:bCs/>
          <w:color w:val="000000" w:themeColor="text1"/>
          <w:sz w:val="24"/>
        </w:rPr>
        <w:t>，焊缝不得超过4条。长度宽度可采用卷尺测量。</w:t>
      </w:r>
    </w:p>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1" name="图片 1" descr="E:\生产文件\2016年\研发\大银板\大银板照片\20160516_14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生产文件\2016年\研发\大银板\大银板照片\20160516_145443.jpg"/>
                    <pic:cNvPicPr>
                      <a:picLocks noChangeAspect="1" noChangeArrowheads="1"/>
                    </pic:cNvPicPr>
                  </pic:nvPicPr>
                  <pic:blipFill>
                    <a:blip r:embed="rId4"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长度测量</w:t>
      </w:r>
    </w:p>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2" name="图片 2" descr="E:\生产文件\2016年\研发\大银板\大银板照片\20160516_14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生产文件\2016年\研发\大银板\大银板照片\20160516_145756.jpg"/>
                    <pic:cNvPicPr>
                      <a:picLocks noChangeAspect="1" noChangeArrowheads="1"/>
                    </pic:cNvPicPr>
                  </pic:nvPicPr>
                  <pic:blipFill>
                    <a:blip r:embed="rId5"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厚度测量</w:t>
      </w:r>
    </w:p>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3" name="图片 3" descr="E:\生产文件\2016年\研发\大银板\大银板照片\20160516_15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生产文件\2016年\研发\大银板\大银板照片\20160516_152641.jpg"/>
                    <pic:cNvPicPr>
                      <a:picLocks noChangeAspect="1" noChangeArrowheads="1"/>
                    </pic:cNvPicPr>
                  </pic:nvPicPr>
                  <pic:blipFill>
                    <a:blip r:embed="rId6"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厚度检测</w:t>
      </w:r>
    </w:p>
    <w:p>
      <w:pPr>
        <w:spacing w:line="360" w:lineRule="auto"/>
        <w:rPr>
          <w:sz w:val="24"/>
        </w:rPr>
      </w:pPr>
      <w:r>
        <w:rPr>
          <w:sz w:val="24"/>
        </w:rPr>
        <w:t>3.3</w:t>
      </w:r>
      <w:r>
        <w:rPr>
          <w:rFonts w:hint="eastAsia"/>
          <w:sz w:val="24"/>
        </w:rPr>
        <w:t xml:space="preserve"> </w:t>
      </w:r>
      <w:r>
        <w:rPr>
          <w:sz w:val="24"/>
        </w:rPr>
        <w:t>力学性能</w:t>
      </w:r>
    </w:p>
    <w:p>
      <w:pPr>
        <w:spacing w:line="360" w:lineRule="auto"/>
        <w:rPr>
          <w:rFonts w:ascii="宋体"/>
          <w:b/>
          <w:sz w:val="24"/>
        </w:rPr>
      </w:pPr>
      <w:r>
        <w:rPr>
          <w:sz w:val="24"/>
        </w:rPr>
        <w:t>3.3.1</w:t>
      </w:r>
      <w:r>
        <w:rPr>
          <w:rFonts w:hint="eastAsia"/>
          <w:sz w:val="24"/>
        </w:rPr>
        <w:t xml:space="preserve"> </w:t>
      </w:r>
      <w:r>
        <w:rPr>
          <w:rFonts w:hint="eastAsia" w:ascii="宋体"/>
          <w:sz w:val="24"/>
        </w:rPr>
        <w:t>维氏硬度</w:t>
      </w:r>
    </w:p>
    <w:p>
      <w:pPr>
        <w:spacing w:line="360" w:lineRule="auto"/>
        <w:ind w:firstLine="480" w:firstLineChars="200"/>
        <w:rPr>
          <w:rFonts w:ascii="宋体"/>
          <w:sz w:val="24"/>
        </w:rPr>
      </w:pPr>
      <w:r>
        <w:rPr>
          <w:rFonts w:hint="eastAsia" w:ascii="宋体"/>
          <w:sz w:val="24"/>
        </w:rPr>
        <w:t>爆炸过程中为实现结合界面冶金结合，银板材和基材与对应的硬度要求，银板材的维氏硬度硬度不小于</w:t>
      </w:r>
      <w:r>
        <w:rPr>
          <w:sz w:val="24"/>
        </w:rPr>
        <w:t>80HV</w:t>
      </w:r>
      <w:r>
        <w:rPr>
          <w:rFonts w:hint="eastAsia" w:ascii="宋体"/>
          <w:sz w:val="24"/>
        </w:rPr>
        <w:t>。</w:t>
      </w:r>
    </w:p>
    <w:p>
      <w:pPr>
        <w:spacing w:line="360" w:lineRule="auto"/>
        <w:rPr>
          <w:rFonts w:ascii="宋体"/>
          <w:sz w:val="24"/>
        </w:rPr>
      </w:pPr>
      <w:r>
        <w:rPr>
          <w:sz w:val="24"/>
        </w:rPr>
        <w:t>3.3.2</w:t>
      </w:r>
      <w:r>
        <w:rPr>
          <w:rFonts w:hint="eastAsia" w:ascii="宋体"/>
          <w:sz w:val="24"/>
        </w:rPr>
        <w:t xml:space="preserve"> 拉伸性能</w:t>
      </w:r>
    </w:p>
    <w:p>
      <w:pPr>
        <w:spacing w:line="360" w:lineRule="auto"/>
        <w:ind w:firstLine="480" w:firstLineChars="200"/>
        <w:rPr>
          <w:sz w:val="24"/>
        </w:rPr>
      </w:pPr>
      <w:r>
        <w:rPr>
          <w:sz w:val="24"/>
        </w:rPr>
        <w:t>合同中要求时，板材的拉伸性能提供实测值。</w:t>
      </w:r>
    </w:p>
    <w:p>
      <w:pPr>
        <w:spacing w:line="360" w:lineRule="auto"/>
        <w:rPr>
          <w:sz w:val="24"/>
        </w:rPr>
      </w:pPr>
      <w:r>
        <w:rPr>
          <w:sz w:val="24"/>
        </w:rPr>
        <w:t>3.4 表面粗糙度</w:t>
      </w:r>
    </w:p>
    <w:p>
      <w:pPr>
        <w:spacing w:line="360" w:lineRule="auto"/>
        <w:ind w:firstLine="480" w:firstLineChars="200"/>
        <w:rPr>
          <w:sz w:val="24"/>
        </w:rPr>
      </w:pPr>
      <w:r>
        <w:rPr>
          <w:sz w:val="24"/>
        </w:rPr>
        <w:t>板材表面粗糙度Rz不大于</w:t>
      </w:r>
      <w:r>
        <w:rPr>
          <w:rFonts w:hint="eastAsia"/>
          <w:sz w:val="24"/>
          <w:lang w:val="en-US" w:eastAsia="zh-CN"/>
        </w:rPr>
        <w:t>0.8</w:t>
      </w:r>
      <w:r>
        <w:rPr>
          <w:sz w:val="24"/>
        </w:rPr>
        <w:t>μm。</w:t>
      </w:r>
    </w:p>
    <w:p>
      <w:pPr>
        <w:spacing w:line="360" w:lineRule="auto"/>
        <w:rPr>
          <w:rFonts w:ascii="宋体"/>
          <w:sz w:val="24"/>
        </w:rPr>
      </w:pPr>
      <w:r>
        <w:rPr>
          <w:sz w:val="24"/>
        </w:rPr>
        <w:t>3.5 平直</w:t>
      </w:r>
      <w:r>
        <w:rPr>
          <w:rFonts w:hint="eastAsia" w:ascii="宋体"/>
          <w:sz w:val="24"/>
        </w:rPr>
        <w:t>度</w:t>
      </w:r>
    </w:p>
    <w:p>
      <w:pPr>
        <w:spacing w:line="360" w:lineRule="auto"/>
        <w:ind w:firstLine="480" w:firstLineChars="200"/>
        <w:rPr>
          <w:rFonts w:ascii="宋体"/>
          <w:sz w:val="24"/>
        </w:rPr>
      </w:pPr>
      <w:r>
        <w:rPr>
          <w:rFonts w:hint="eastAsia" w:ascii="宋体"/>
          <w:sz w:val="24"/>
        </w:rPr>
        <w:t>板材平直度应不大于</w:t>
      </w:r>
      <w:r>
        <w:rPr>
          <w:rFonts w:eastAsia="楷体"/>
          <w:sz w:val="24"/>
        </w:rPr>
        <w:t>6%</w:t>
      </w:r>
      <w:r>
        <w:rPr>
          <w:rFonts w:hint="eastAsia" w:ascii="宋体"/>
          <w:sz w:val="24"/>
        </w:rPr>
        <w:t>。因后续复合板制备通过爆炸瞬间获得高温高压实现银板材与基材冶金结合，银板材和基材在爆炸前间隙距离必须保持一致，间隙过大或不均匀会影响爆炸后的结合强度，因此对板材平面度要求不大于长度范围</w:t>
      </w:r>
      <w:r>
        <w:rPr>
          <w:sz w:val="24"/>
        </w:rPr>
        <w:t>6%。</w:t>
      </w:r>
    </w:p>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5" name="图片 4" descr="E:\生产文件\2016年\研发\大银板\大银板照片\20151117_170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E:\生产文件\2016年\研发\大银板\大银板照片\20151117_170827.jpg"/>
                    <pic:cNvPicPr>
                      <a:picLocks noChangeAspect="1" noChangeArrowheads="1"/>
                    </pic:cNvPicPr>
                  </pic:nvPicPr>
                  <pic:blipFill>
                    <a:blip r:embed="rId7"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平面度检测</w:t>
      </w:r>
    </w:p>
    <w:p>
      <w:pPr>
        <w:spacing w:line="360" w:lineRule="auto"/>
        <w:rPr>
          <w:rFonts w:ascii="宋体"/>
          <w:sz w:val="24"/>
        </w:rPr>
      </w:pPr>
      <w:r>
        <w:rPr>
          <w:sz w:val="24"/>
        </w:rPr>
        <w:t>3.6</w:t>
      </w:r>
      <w:r>
        <w:rPr>
          <w:rFonts w:hint="eastAsia" w:ascii="宋体"/>
          <w:sz w:val="24"/>
        </w:rPr>
        <w:t xml:space="preserve"> 外观质量</w:t>
      </w:r>
    </w:p>
    <w:p>
      <w:pPr>
        <w:spacing w:line="360" w:lineRule="auto"/>
        <w:ind w:firstLine="480" w:firstLineChars="200"/>
        <w:rPr>
          <w:rFonts w:ascii="宋体"/>
          <w:sz w:val="24"/>
        </w:rPr>
      </w:pPr>
      <w:r>
        <w:rPr>
          <w:rFonts w:hint="eastAsia" w:ascii="宋体"/>
          <w:sz w:val="24"/>
        </w:rPr>
        <w:t>板材表面应光洁、平整，不允许有裂纹、起皮、气泡、油渍、夹杂等缺陷，允许有轻微的、局部的、其尺寸不超过厚度允许偏差的表面划伤、凹坑、压痕和辊印。板材边部应整齐，无裂边和卷边，允许有轻微的、不影响使用的毛刺。</w:t>
      </w:r>
    </w:p>
    <w:p>
      <w:pPr>
        <w:spacing w:line="360" w:lineRule="auto"/>
        <w:rPr>
          <w:rFonts w:ascii="宋体"/>
          <w:b/>
          <w:bCs/>
          <w:sz w:val="24"/>
        </w:rPr>
      </w:pPr>
      <w:r>
        <w:rPr>
          <w:rFonts w:hint="eastAsia" w:ascii="宋体"/>
          <w:b/>
          <w:bCs/>
          <w:sz w:val="24"/>
        </w:rPr>
        <w:t>四、标准水平分析</w:t>
      </w:r>
    </w:p>
    <w:p>
      <w:pPr>
        <w:spacing w:line="360" w:lineRule="auto"/>
        <w:ind w:firstLine="480" w:firstLineChars="200"/>
        <w:rPr>
          <w:rFonts w:ascii="宋体"/>
          <w:sz w:val="24"/>
        </w:rPr>
      </w:pPr>
      <w:r>
        <w:rPr>
          <w:rFonts w:hint="eastAsia" w:ascii="宋体"/>
          <w:sz w:val="24"/>
        </w:rPr>
        <w:t>本标准的制订，将促进国内大规格银板材生产技术标准的进步。制订后的主要技术指标达到了国际多晶硅还原炉用纯银内衬板材相关标准的要求。从而促进我国大规格银板材产品工艺技术水平的提高和产品质量的提升，有利于推进我国多晶硅还原设备自主化进程，具有较好的社会效益和经济效益。</w:t>
      </w:r>
    </w:p>
    <w:p>
      <w:pPr>
        <w:spacing w:line="360" w:lineRule="auto"/>
        <w:rPr>
          <w:rFonts w:ascii="宋体"/>
          <w:b/>
          <w:bCs/>
          <w:sz w:val="24"/>
        </w:rPr>
      </w:pPr>
      <w:r>
        <w:rPr>
          <w:rFonts w:hint="eastAsia" w:ascii="宋体"/>
          <w:b/>
          <w:bCs/>
          <w:sz w:val="24"/>
        </w:rPr>
        <w:t>五、与现行相关法律、法规、强制性标准协调配套情况</w:t>
      </w:r>
    </w:p>
    <w:p>
      <w:pPr>
        <w:spacing w:line="360" w:lineRule="auto"/>
        <w:ind w:firstLine="480" w:firstLineChars="200"/>
        <w:rPr>
          <w:rFonts w:ascii="宋体"/>
          <w:sz w:val="24"/>
        </w:rPr>
      </w:pPr>
      <w:r>
        <w:rPr>
          <w:rFonts w:hint="eastAsia" w:ascii="宋体"/>
          <w:sz w:val="24"/>
        </w:rPr>
        <w:t>本标准所引用的标准全部是我国现行有效的国家标准、国家军用标准或行业标准，是本标准的一部分。与引用标准协调一致。</w:t>
      </w:r>
    </w:p>
    <w:p>
      <w:pPr>
        <w:spacing w:line="360" w:lineRule="auto"/>
        <w:rPr>
          <w:rFonts w:ascii="宋体"/>
          <w:b/>
          <w:bCs/>
          <w:sz w:val="24"/>
        </w:rPr>
      </w:pPr>
      <w:r>
        <w:rPr>
          <w:rFonts w:hint="eastAsia" w:ascii="宋体"/>
          <w:b/>
          <w:bCs/>
          <w:sz w:val="24"/>
        </w:rPr>
        <w:t>六、标准中涉及的专利或知识产权说明</w:t>
      </w:r>
    </w:p>
    <w:p>
      <w:pPr>
        <w:spacing w:line="360" w:lineRule="auto"/>
        <w:ind w:firstLine="480" w:firstLineChars="200"/>
        <w:rPr>
          <w:rFonts w:ascii="宋体"/>
          <w:sz w:val="24"/>
        </w:rPr>
      </w:pPr>
      <w:r>
        <w:rPr>
          <w:rFonts w:hint="eastAsia" w:ascii="宋体"/>
          <w:sz w:val="24"/>
        </w:rPr>
        <w:t>无。</w:t>
      </w:r>
    </w:p>
    <w:p>
      <w:pPr>
        <w:spacing w:line="360" w:lineRule="auto"/>
        <w:rPr>
          <w:rFonts w:ascii="宋体"/>
          <w:b/>
          <w:bCs/>
          <w:sz w:val="24"/>
        </w:rPr>
      </w:pPr>
      <w:r>
        <w:rPr>
          <w:rFonts w:hint="eastAsia" w:ascii="宋体"/>
          <w:b/>
          <w:bCs/>
          <w:sz w:val="24"/>
        </w:rPr>
        <w:t>七、重大分歧意见的处理经过和依据</w:t>
      </w:r>
    </w:p>
    <w:p>
      <w:pPr>
        <w:spacing w:line="360" w:lineRule="auto"/>
        <w:ind w:firstLine="480" w:firstLineChars="200"/>
        <w:rPr>
          <w:rFonts w:ascii="宋体"/>
          <w:sz w:val="24"/>
        </w:rPr>
      </w:pPr>
      <w:r>
        <w:rPr>
          <w:rFonts w:hint="eastAsia" w:ascii="宋体"/>
          <w:sz w:val="24"/>
        </w:rPr>
        <w:t>标准制定过程中无重大分歧意见。</w:t>
      </w:r>
    </w:p>
    <w:p>
      <w:pPr>
        <w:spacing w:line="360" w:lineRule="auto"/>
        <w:rPr>
          <w:rFonts w:ascii="宋体"/>
          <w:sz w:val="24"/>
        </w:rPr>
      </w:pPr>
      <w:r>
        <w:rPr>
          <w:rFonts w:hint="eastAsia" w:ascii="宋体"/>
          <w:b/>
          <w:bCs/>
          <w:sz w:val="24"/>
        </w:rPr>
        <w:t>八、标准作为强制性或推荐性国家（或行业）标准的建议</w:t>
      </w:r>
    </w:p>
    <w:p>
      <w:pPr>
        <w:spacing w:line="360" w:lineRule="auto"/>
        <w:ind w:firstLine="480" w:firstLineChars="200"/>
        <w:rPr>
          <w:rFonts w:ascii="宋体"/>
          <w:sz w:val="24"/>
        </w:rPr>
      </w:pPr>
      <w:r>
        <w:rPr>
          <w:rFonts w:hint="eastAsia" w:ascii="宋体"/>
          <w:sz w:val="24"/>
        </w:rPr>
        <w:t>建议该标准为推荐性有色金属行业标准。</w:t>
      </w:r>
    </w:p>
    <w:p>
      <w:pPr>
        <w:spacing w:line="360" w:lineRule="auto"/>
        <w:rPr>
          <w:rFonts w:ascii="宋体"/>
          <w:b/>
          <w:bCs/>
          <w:sz w:val="24"/>
        </w:rPr>
      </w:pPr>
      <w:r>
        <w:rPr>
          <w:rFonts w:hint="eastAsia" w:ascii="宋体"/>
          <w:b/>
          <w:bCs/>
          <w:sz w:val="24"/>
        </w:rPr>
        <w:t>九、贯彻标准的要求和措施建议</w:t>
      </w:r>
    </w:p>
    <w:p>
      <w:pPr>
        <w:spacing w:line="360" w:lineRule="auto"/>
        <w:ind w:firstLine="480" w:firstLineChars="200"/>
        <w:rPr>
          <w:rFonts w:ascii="宋体"/>
          <w:sz w:val="24"/>
        </w:rPr>
      </w:pPr>
      <w:r>
        <w:rPr>
          <w:rFonts w:hint="eastAsia" w:ascii="宋体"/>
          <w:sz w:val="24"/>
        </w:rPr>
        <w:t>无。</w:t>
      </w:r>
    </w:p>
    <w:p>
      <w:pPr>
        <w:spacing w:line="360" w:lineRule="auto"/>
        <w:rPr>
          <w:rFonts w:ascii="宋体"/>
          <w:b/>
          <w:bCs/>
          <w:sz w:val="24"/>
        </w:rPr>
      </w:pPr>
      <w:r>
        <w:rPr>
          <w:rFonts w:hint="eastAsia" w:ascii="宋体"/>
          <w:b/>
          <w:bCs/>
          <w:sz w:val="24"/>
        </w:rPr>
        <w:t>十、废止现行有关标准的建议</w:t>
      </w:r>
    </w:p>
    <w:p>
      <w:pPr>
        <w:spacing w:line="360" w:lineRule="auto"/>
        <w:ind w:firstLine="480" w:firstLineChars="200"/>
        <w:rPr>
          <w:rFonts w:ascii="宋体"/>
          <w:sz w:val="24"/>
        </w:rPr>
      </w:pPr>
      <w:r>
        <w:rPr>
          <w:rFonts w:hint="eastAsia" w:ascii="宋体"/>
          <w:sz w:val="24"/>
        </w:rPr>
        <w:t>无。</w:t>
      </w:r>
    </w:p>
    <w:p>
      <w:pPr>
        <w:spacing w:line="360" w:lineRule="auto"/>
        <w:rPr>
          <w:rFonts w:ascii="宋体"/>
          <w:b/>
          <w:bCs/>
          <w:sz w:val="24"/>
        </w:rPr>
      </w:pPr>
      <w:r>
        <w:rPr>
          <w:rFonts w:hint="eastAsia" w:ascii="宋体"/>
          <w:b/>
          <w:bCs/>
          <w:sz w:val="24"/>
        </w:rPr>
        <w:t>十一、其他说明事项</w:t>
      </w:r>
    </w:p>
    <w:p>
      <w:pPr>
        <w:spacing w:line="360" w:lineRule="auto"/>
        <w:ind w:firstLine="480" w:firstLineChars="200"/>
        <w:rPr>
          <w:rFonts w:ascii="宋体"/>
          <w:sz w:val="24"/>
        </w:rPr>
      </w:pPr>
      <w:r>
        <w:rPr>
          <w:rFonts w:hint="eastAsia" w:ascii="宋体"/>
          <w:sz w:val="24"/>
        </w:rPr>
        <w:t>目前国内只能够生产宽度小于300mm的银板，大规格银板材能够减小材料焊接，满足材料性能组织的均匀性，减少缺陷，材料规格尺寸一致性要求。宽度大于400mm的银板及相关设备都是依赖进口。随着装备制造业的高速发展，国内对大规格银板材的需求不断增加，例如：厚度为0.5mm～5mm，宽度为400mm～1500mm的大规格银板材。大规格银板材主要用作制备多晶硅熔炼提纯设备用银钢复合材料。该材料在多晶硅熔炼炉中内衬反射体，利用银对光的反射作用，提高炉内热辐射，有利于高纯电子级多晶硅的提纯。</w:t>
      </w:r>
    </w:p>
    <w:p>
      <w:pPr>
        <w:spacing w:line="360" w:lineRule="auto"/>
        <w:ind w:firstLine="480" w:firstLineChars="200"/>
        <w:rPr>
          <w:rFonts w:ascii="宋体"/>
          <w:sz w:val="24"/>
        </w:rPr>
      </w:pPr>
      <w:r>
        <w:rPr>
          <w:rFonts w:hint="eastAsia" w:ascii="宋体"/>
          <w:sz w:val="24"/>
        </w:rPr>
        <w:t>大规格银板材的技术质量对该复合材料的制造和使用性能具有决定性的影响。推进原材料工业转型升级，推进供给侧结构性改革，发展材料精深加工，满足先进装备制造用新材料发展，促进产业融合的体现。大规格银的生产解决了有色金属工业长期积累的结构性产能过剩问题，是</w:t>
      </w:r>
      <w:r>
        <w:rPr>
          <w:rFonts w:ascii="宋体"/>
          <w:sz w:val="24"/>
        </w:rPr>
        <w:t>有色金属工业调结构促转型</w:t>
      </w:r>
      <w:r>
        <w:rPr>
          <w:rFonts w:hint="eastAsia" w:ascii="宋体"/>
          <w:sz w:val="24"/>
        </w:rPr>
        <w:t>的体现。国内不断开发硅熔炼设备，打破国外的垄断，对</w:t>
      </w:r>
      <w:r>
        <w:rPr>
          <w:rFonts w:hint="eastAsia" w:ascii="宋体"/>
          <w:bCs/>
          <w:sz w:val="24"/>
        </w:rPr>
        <w:t>多晶硅制备炉衬用银板</w:t>
      </w:r>
      <w:r>
        <w:rPr>
          <w:rFonts w:hint="eastAsia" w:ascii="宋体"/>
          <w:sz w:val="24"/>
        </w:rPr>
        <w:t>材料的需求不断增加，对大规格银的需求每年超过50吨以上。</w:t>
      </w:r>
    </w:p>
    <w:p>
      <w:pPr>
        <w:spacing w:line="360" w:lineRule="auto"/>
        <w:ind w:firstLine="480" w:firstLineChars="200"/>
        <w:rPr>
          <w:rFonts w:ascii="宋体"/>
          <w:sz w:val="24"/>
        </w:rPr>
      </w:pPr>
      <w:r>
        <w:rPr>
          <w:rFonts w:hint="eastAsia" w:ascii="宋体"/>
          <w:sz w:val="24"/>
        </w:rPr>
        <w:t>“十三五”国家战略性新兴产业发展规划中提出，进一步发展壮大高端装备产业，大规格银板材是大型工业装备的基础材料支撑。大规格银板材在化学工业设备中也有很大的需求，对大规格银的需求逐渐增加。目前大规格银板材在装备制造领域已经大量应用，其生产工艺及设备成熟，产品完全满足技术要求，但目前还没有相应的标准可依，因此急需制定其国家标准，以规范该材料的制造和应用，促进该中国装备制造的大发展。</w:t>
      </w:r>
    </w:p>
    <w:p>
      <w:pPr>
        <w:spacing w:line="360" w:lineRule="auto"/>
        <w:ind w:firstLine="480" w:firstLineChars="200"/>
        <w:rPr>
          <w:rFonts w:ascii="宋体"/>
          <w:sz w:val="24"/>
        </w:rPr>
      </w:pPr>
      <w:r>
        <w:rPr>
          <w:rFonts w:hint="eastAsia" w:ascii="宋体"/>
          <w:sz w:val="24"/>
        </w:rPr>
        <w:t>本次对《多晶硅制备炉衬用银板材》国家标准的制订，是根据产品使用性能和市场需求的深入了解进行的，以满足国内外用户的需要，社会效益和经济效益显著。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10"/>
    <w:rsid w:val="00013FF6"/>
    <w:rsid w:val="0001512E"/>
    <w:rsid w:val="00045329"/>
    <w:rsid w:val="00065114"/>
    <w:rsid w:val="00077ABA"/>
    <w:rsid w:val="00083169"/>
    <w:rsid w:val="000840F8"/>
    <w:rsid w:val="000920D5"/>
    <w:rsid w:val="000D13AE"/>
    <w:rsid w:val="000D36B8"/>
    <w:rsid w:val="00102A1F"/>
    <w:rsid w:val="00103833"/>
    <w:rsid w:val="00124825"/>
    <w:rsid w:val="001306C2"/>
    <w:rsid w:val="00152C10"/>
    <w:rsid w:val="00194954"/>
    <w:rsid w:val="001B47C7"/>
    <w:rsid w:val="001C27C4"/>
    <w:rsid w:val="001E28E3"/>
    <w:rsid w:val="002026C2"/>
    <w:rsid w:val="002246A7"/>
    <w:rsid w:val="00230863"/>
    <w:rsid w:val="00244382"/>
    <w:rsid w:val="002B16B8"/>
    <w:rsid w:val="003334BA"/>
    <w:rsid w:val="00344C3B"/>
    <w:rsid w:val="00352FB6"/>
    <w:rsid w:val="00391690"/>
    <w:rsid w:val="003B7BA0"/>
    <w:rsid w:val="003D5810"/>
    <w:rsid w:val="003F2750"/>
    <w:rsid w:val="00411B5E"/>
    <w:rsid w:val="0043609D"/>
    <w:rsid w:val="00470852"/>
    <w:rsid w:val="004C1437"/>
    <w:rsid w:val="004C2C8B"/>
    <w:rsid w:val="00511866"/>
    <w:rsid w:val="00536CAD"/>
    <w:rsid w:val="00557AFA"/>
    <w:rsid w:val="00583611"/>
    <w:rsid w:val="005B476D"/>
    <w:rsid w:val="005C2720"/>
    <w:rsid w:val="005E4084"/>
    <w:rsid w:val="005E4274"/>
    <w:rsid w:val="005E6300"/>
    <w:rsid w:val="005F1720"/>
    <w:rsid w:val="0060186B"/>
    <w:rsid w:val="00626237"/>
    <w:rsid w:val="00643206"/>
    <w:rsid w:val="006653E7"/>
    <w:rsid w:val="006A7733"/>
    <w:rsid w:val="006B3D47"/>
    <w:rsid w:val="006E010C"/>
    <w:rsid w:val="006F74D8"/>
    <w:rsid w:val="00746B0C"/>
    <w:rsid w:val="00760DC9"/>
    <w:rsid w:val="007A1F2D"/>
    <w:rsid w:val="007A288A"/>
    <w:rsid w:val="007B0586"/>
    <w:rsid w:val="007D7C22"/>
    <w:rsid w:val="00855C69"/>
    <w:rsid w:val="008840CE"/>
    <w:rsid w:val="0089137B"/>
    <w:rsid w:val="008A23C0"/>
    <w:rsid w:val="008C3160"/>
    <w:rsid w:val="00906DA8"/>
    <w:rsid w:val="009133B5"/>
    <w:rsid w:val="009323C0"/>
    <w:rsid w:val="00934BA8"/>
    <w:rsid w:val="009467FF"/>
    <w:rsid w:val="00951178"/>
    <w:rsid w:val="009519EE"/>
    <w:rsid w:val="00987522"/>
    <w:rsid w:val="00995E7D"/>
    <w:rsid w:val="009A5069"/>
    <w:rsid w:val="009B2C36"/>
    <w:rsid w:val="00A17B65"/>
    <w:rsid w:val="00A34AFE"/>
    <w:rsid w:val="00A400A0"/>
    <w:rsid w:val="00A54296"/>
    <w:rsid w:val="00A54EE2"/>
    <w:rsid w:val="00A6033A"/>
    <w:rsid w:val="00B17659"/>
    <w:rsid w:val="00B50A2C"/>
    <w:rsid w:val="00B60192"/>
    <w:rsid w:val="00BA0000"/>
    <w:rsid w:val="00BD3E3F"/>
    <w:rsid w:val="00BE32BE"/>
    <w:rsid w:val="00C15653"/>
    <w:rsid w:val="00C372A0"/>
    <w:rsid w:val="00C523F1"/>
    <w:rsid w:val="00C815CF"/>
    <w:rsid w:val="00CA3CC0"/>
    <w:rsid w:val="00CC3DB3"/>
    <w:rsid w:val="00CC7DB4"/>
    <w:rsid w:val="00CD5CD1"/>
    <w:rsid w:val="00CE10CC"/>
    <w:rsid w:val="00D0456C"/>
    <w:rsid w:val="00D44668"/>
    <w:rsid w:val="00D703CA"/>
    <w:rsid w:val="00D715BD"/>
    <w:rsid w:val="00D77732"/>
    <w:rsid w:val="00D87C79"/>
    <w:rsid w:val="00DB3C60"/>
    <w:rsid w:val="00DC2F19"/>
    <w:rsid w:val="00DE59B6"/>
    <w:rsid w:val="00E04C81"/>
    <w:rsid w:val="00E05D1B"/>
    <w:rsid w:val="00E26072"/>
    <w:rsid w:val="00E4165A"/>
    <w:rsid w:val="00E422B1"/>
    <w:rsid w:val="00E455E5"/>
    <w:rsid w:val="00E55ACB"/>
    <w:rsid w:val="00E97355"/>
    <w:rsid w:val="00EB20D6"/>
    <w:rsid w:val="00EC1E81"/>
    <w:rsid w:val="00F44C18"/>
    <w:rsid w:val="00FE73C8"/>
    <w:rsid w:val="011C708E"/>
    <w:rsid w:val="080D42D6"/>
    <w:rsid w:val="09632376"/>
    <w:rsid w:val="0A8E18BD"/>
    <w:rsid w:val="0CD443AC"/>
    <w:rsid w:val="126A3DAB"/>
    <w:rsid w:val="1BA50CBC"/>
    <w:rsid w:val="2BBB0E7C"/>
    <w:rsid w:val="34075085"/>
    <w:rsid w:val="46271298"/>
    <w:rsid w:val="51016C00"/>
    <w:rsid w:val="5184503A"/>
    <w:rsid w:val="64F81380"/>
    <w:rsid w:val="679052D8"/>
    <w:rsid w:val="69F8573A"/>
    <w:rsid w:val="6EB565C0"/>
    <w:rsid w:val="7F252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rPr>
      <w:rFonts w:ascii="宋体" w:hAnsi="宋体"/>
    </w:rPr>
  </w:style>
  <w:style w:type="paragraph" w:styleId="3">
    <w:name w:val="Body Text Indent"/>
    <w:basedOn w:val="1"/>
    <w:link w:val="13"/>
    <w:semiHidden/>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正文文本 Char"/>
    <w:basedOn w:val="9"/>
    <w:link w:val="2"/>
    <w:qFormat/>
    <w:uiPriority w:val="0"/>
    <w:rPr>
      <w:rFonts w:ascii="宋体" w:hAnsi="宋体" w:eastAsia="宋体" w:cs="Times New Roman"/>
      <w:szCs w:val="24"/>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 w:type="character" w:customStyle="1" w:styleId="13">
    <w:name w:val="正文文本缩进 Char"/>
    <w:basedOn w:val="9"/>
    <w:link w:val="3"/>
    <w:semiHidden/>
    <w:qFormat/>
    <w:uiPriority w:val="99"/>
    <w:rPr>
      <w:rFonts w:ascii="Times New Roman" w:hAnsi="Times New Roman" w:eastAsia="宋体" w:cs="Times New Roman"/>
      <w:szCs w:val="24"/>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13A5E-AD01-4554-AB85-11F02EB25A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684</Words>
  <Characters>3904</Characters>
  <Lines>32</Lines>
  <Paragraphs>9</Paragraphs>
  <TotalTime>1</TotalTime>
  <ScaleCrop>false</ScaleCrop>
  <LinksUpToDate>false</LinksUpToDate>
  <CharactersWithSpaces>4579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2020-05-12T01:50:00Z</dcterms:created>
  <dc:creator>AutoBVT</dc:creator>
  <cp:lastModifiedBy>CathayMok</cp:lastModifiedBy>
  <dcterms:modified xsi:type="dcterms:W3CDTF">2020-07-31T02:51:42Z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