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bookmarkStart w:id="0" w:name="SectionMark0"/>
      <w:bookmarkStart w:id="45" w:name="_GoBack"/>
      <w:bookmarkEnd w:id="45"/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1624330</wp:posOffset>
                </wp:positionV>
                <wp:extent cx="6021070" cy="621030"/>
                <wp:effectExtent l="0" t="0" r="0" b="7620"/>
                <wp:wrapNone/>
                <wp:docPr id="161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黑体"/>
                                <w:sz w:val="28"/>
                                <w:szCs w:val="28"/>
                                <w:lang w:val="de-DE"/>
                              </w:rPr>
                              <w:t>GB</w:t>
                            </w:r>
                            <w:r>
                              <w:rPr>
                                <w:rFonts w:ascii="黑体"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>/T</w:t>
                            </w:r>
                            <w:r>
                              <w:rPr>
                                <w:rFonts w:hint="eastAsia" w:ascii="黑体"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  <w:sz w:val="28"/>
                                <w:szCs w:val="28"/>
                                <w:lang w:val="de-DE"/>
                              </w:rPr>
                              <w:t>3198</w:t>
                            </w:r>
                            <w:r>
                              <w:rPr>
                                <w:rFonts w:ascii="黑体"/>
                                <w:sz w:val="28"/>
                                <w:szCs w:val="28"/>
                                <w:lang w:val="de-DE"/>
                              </w:rPr>
                              <w:t>—201X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黑体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代替GB/T 3198—2010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-2.85pt;margin-top:127.9pt;height:48.9pt;width:474.1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m3hSzaAAAACgEAAA8AAAAAAAAAAQAgAAAAIgAAAGRycy9kb3ducmV2LnhtbFBL&#10;AQIUABQAAAAIAIdO4kAuuQLR9AEAAN8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黑体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黑体"/>
                          <w:sz w:val="28"/>
                          <w:szCs w:val="28"/>
                          <w:lang w:val="de-DE"/>
                        </w:rPr>
                        <w:t>GB</w:t>
                      </w:r>
                      <w:r>
                        <w:rPr>
                          <w:rFonts w:ascii="黑体"/>
                          <w:color w:val="000000"/>
                          <w:sz w:val="28"/>
                          <w:szCs w:val="28"/>
                          <w:lang w:val="de-DE"/>
                        </w:rPr>
                        <w:t>/T</w:t>
                      </w:r>
                      <w:r>
                        <w:rPr>
                          <w:rFonts w:hint="eastAsia" w:ascii="黑体"/>
                          <w:color w:val="0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  <w:sz w:val="28"/>
                          <w:szCs w:val="28"/>
                          <w:lang w:val="de-DE"/>
                        </w:rPr>
                        <w:t>3198</w:t>
                      </w:r>
                      <w:r>
                        <w:rPr>
                          <w:rFonts w:ascii="黑体"/>
                          <w:sz w:val="28"/>
                          <w:szCs w:val="28"/>
                          <w:lang w:val="de-DE"/>
                        </w:rPr>
                        <w:t>—201X</w:t>
                      </w:r>
                    </w:p>
                    <w:p>
                      <w:pPr>
                        <w:jc w:val="right"/>
                        <w:rPr>
                          <w:rFonts w:ascii="黑体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hint="eastAsia"/>
                        </w:rPr>
                        <w:t>代替GB/T 3198—2010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1102360</wp:posOffset>
                </wp:positionV>
                <wp:extent cx="6120130" cy="564515"/>
                <wp:effectExtent l="0" t="0" r="0" b="6985"/>
                <wp:wrapNone/>
                <wp:docPr id="160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2.7pt;margin-top:86.8pt;height:44.45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V3EF9kAAAAKAQAADwAAAAAAAAABACAAAAAiAAAAZHJzL2Rvd25yZXYueG1sUEsB&#10;AhQAFAAAAAgAh07iQCmWZaj0AQAA3w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175260</wp:posOffset>
            </wp:positionV>
            <wp:extent cx="1403350" cy="720090"/>
            <wp:effectExtent l="0" t="0" r="6350" b="3810"/>
            <wp:wrapNone/>
            <wp:docPr id="4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2803525</wp:posOffset>
                </wp:positionV>
                <wp:extent cx="6120765" cy="635"/>
                <wp:effectExtent l="0" t="0" r="13335" b="37465"/>
                <wp:wrapNone/>
                <wp:docPr id="6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margin-left:72pt;margin-top:220.75pt;height:0.05pt;width:481.95pt;mso-position-horizontal-relative:page;mso-position-vertical-relative:page;z-index:251658240;mso-width-relative:page;mso-height-relative:page;" filled="f" stroked="t" coordsize="21600,21600" o:allowincell="f" o:gfxdata="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nBr1tkAAAAMAQAADwAAAAAAAAAB&#10;ACAAAAAiAAAAZHJzL2Rvd25yZXYueG1sUEsBAhQAFAAAAAgAh07iQF8Vm0HWAQAAtAMAAA4AAAAA&#10;AAAAAQAgAAAAKAEAAGRycy9lMm9Eb2MueG1sUEsFBgAAAAAGAAYAWQEAAHAFAAAAAA==&#10;">
                <v:fill on="f" focussize="0,0"/>
                <v:stroke weight="1.5pt" color="#000000" joinstyle="round" startarrowwidth="narrow" startarrowlength="short" endarrowwidth="narrow" endarrowlength="short"/>
                <v:imagedata o:title=""/>
                <o:lock v:ext="edit" aspectratio="f"/>
                <w10:anchorlock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8915400</wp:posOffset>
                </wp:positionV>
                <wp:extent cx="6134100" cy="693420"/>
                <wp:effectExtent l="0" t="0" r="0" b="0"/>
                <wp:wrapNone/>
                <wp:docPr id="61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5"/>
                              <w:spacing w:line="0" w:lineRule="atLeast"/>
                              <w:rPr>
                                <w:rFonts w:ascii="MS Mincho" w:hAnsi="MS Mincho" w:eastAsiaTheme="minorEastAsia"/>
                                <w:spacing w:val="0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40"/>
                                <w:w w:val="100"/>
                                <w:sz w:val="72"/>
                                <w:szCs w:val="72"/>
                                <w:eastAsianLayout w:id="8" w:combine="1"/>
                              </w:rPr>
                              <w:t>国家市场监督管理总局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4"/>
                                <w:w w:val="100"/>
                                <w:sz w:val="72"/>
                                <w:szCs w:val="72"/>
                                <w:eastAsianLayout w:id="9" w:combine="1"/>
                              </w:rPr>
                              <w:t>中国国家标准化管理委员会</w:t>
                            </w:r>
                            <w:r>
                              <w:rPr>
                                <w:rFonts w:hint="eastAsia" w:ascii="仿宋" w:hAnsi="仿宋" w:eastAsia="仿宋" w:cs="宋体"/>
                                <w:spacing w:val="0"/>
                                <w:w w:val="1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宋体" w:eastAsia="黑体"/>
                                <w:b w:val="0"/>
                                <w:color w:val="000000"/>
                                <w:spacing w:val="0"/>
                                <w:w w:val="100"/>
                                <w:kern w:val="2"/>
                              </w:rPr>
                              <w:t>发 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5.25pt;margin-top:702pt;height:54.6pt;width:483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9RlWdoAAAANAQAADwAAAAAAAAABACAAAAAiAAAAZHJzL2Rvd25yZXYueG1s&#10;UEsBAhQAFAAAAAgAh07iQKNXkW72AQAA3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5"/>
                        <w:spacing w:line="0" w:lineRule="atLeast"/>
                        <w:rPr>
                          <w:rFonts w:ascii="MS Mincho" w:hAnsi="MS Mincho" w:eastAsiaTheme="minorEastAsia"/>
                          <w:spacing w:val="0"/>
                          <w:sz w:val="72"/>
                          <w:szCs w:val="72"/>
                          <w:vertAlign w:val="superscript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40"/>
                          <w:w w:val="100"/>
                          <w:sz w:val="72"/>
                          <w:szCs w:val="72"/>
                          <w:eastAsianLayout w:id="10" w:combine="1"/>
                        </w:rPr>
                        <w:t>国家市场监督管理总局</w:t>
                      </w:r>
                      <w:r>
                        <w:rPr>
                          <w:rFonts w:hint="eastAsia" w:ascii="仿宋" w:hAnsi="仿宋" w:eastAsia="仿宋"/>
                          <w:spacing w:val="4"/>
                          <w:w w:val="100"/>
                          <w:sz w:val="72"/>
                          <w:szCs w:val="72"/>
                          <w:eastAsianLayout w:id="11" w:combine="1"/>
                        </w:rPr>
                        <w:t>中国国家标准化管理委员会</w:t>
                      </w:r>
                      <w:r>
                        <w:rPr>
                          <w:rFonts w:hint="eastAsia" w:ascii="仿宋" w:hAnsi="仿宋" w:eastAsia="仿宋" w:cs="宋体"/>
                          <w:spacing w:val="0"/>
                          <w:w w:val="1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黑体" w:hAnsi="宋体" w:eastAsia="黑体"/>
                          <w:b w:val="0"/>
                          <w:color w:val="000000"/>
                          <w:spacing w:val="0"/>
                          <w:w w:val="100"/>
                          <w:kern w:val="2"/>
                        </w:rPr>
                        <w:t>发 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8889365</wp:posOffset>
                </wp:positionV>
                <wp:extent cx="6121400" cy="0"/>
                <wp:effectExtent l="0" t="0" r="12700" b="19050"/>
                <wp:wrapNone/>
                <wp:docPr id="6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699.95pt;height:0pt;width:482pt;z-index:251657216;mso-width-relative:page;mso-height-relative:page;" filled="f" stroked="t" coordsize="21600,21600" o:gfxdata="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GB/vvX&#10;AAAACgEAAA8AAAAAAAAAAQAgAAAAIgAAAGRycy9kb3ducmV2LnhtbFBLAQIUABQAAAAIAIdO4kC1&#10;3bSrrwEAAFQDAAAOAAAAAAAAAAEAIAAAACYBAABkcnMvZTJvRG9jLnhtbFBLBQYAAAAABgAGAFkB&#10;AABH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59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6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/arX2gAAAA0BAAAPAAAAAAAAAAEAIAAAACIAAABkcnMvZG93bnJldi54bWxQ&#10;SwECFAAUAAAACACHTuJAgJkeu/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58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6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fntZfPQBAADe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6319520" cy="4681220"/>
                <wp:effectExtent l="0" t="0" r="5080" b="5080"/>
                <wp:wrapNone/>
                <wp:docPr id="57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0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铝及铝合金箔</w:t>
                            </w:r>
                          </w:p>
                          <w:p>
                            <w:pPr>
                              <w:pStyle w:val="103"/>
                            </w:pPr>
                            <w:r>
                              <w:rPr>
                                <w:rFonts w:hint="eastAsia" w:eastAsia="黑体"/>
                                <w:b/>
                              </w:rPr>
                              <w:t>A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 xml:space="preserve">luminium </w:t>
                            </w:r>
                            <w:r>
                              <w:rPr>
                                <w:rFonts w:hint="eastAsia" w:eastAsia="黑体"/>
                                <w:b/>
                              </w:rPr>
                              <w:t xml:space="preserve">and aluminium 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 xml:space="preserve">alloy </w:t>
                            </w:r>
                            <w:r>
                              <w:rPr>
                                <w:rFonts w:hint="eastAsia" w:eastAsia="黑体"/>
                                <w:b/>
                              </w:rPr>
                              <w:t>foil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>s</w:t>
                            </w:r>
                          </w:p>
                          <w:p>
                            <w:pPr>
                              <w:pStyle w:val="102"/>
                            </w:pPr>
                            <w:r>
                              <w:rPr>
                                <w:rFonts w:hint="eastAsia"/>
                              </w:rPr>
                              <w:t>（报批稿）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68.6pt;width:497.6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mHNDjZAAAACQEAAA8AAAAAAAAAAQAgAAAAIgAAAGRycy9kb3ducmV2LnhtbFBL&#10;AQIUABQAAAAIAIdO4kBRon089QEAAN8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0"/>
                      </w:pPr>
                      <w:r>
                        <w:rPr>
                          <w:rFonts w:hint="eastAsia"/>
                          <w:bCs/>
                        </w:rPr>
                        <w:t>铝及铝合金箔</w:t>
                      </w:r>
                    </w:p>
                    <w:p>
                      <w:pPr>
                        <w:pStyle w:val="103"/>
                      </w:pPr>
                      <w:r>
                        <w:rPr>
                          <w:rFonts w:hint="eastAsia" w:eastAsia="黑体"/>
                          <w:b/>
                        </w:rPr>
                        <w:t>A</w:t>
                      </w:r>
                      <w:r>
                        <w:rPr>
                          <w:rFonts w:eastAsia="黑体"/>
                          <w:b/>
                        </w:rPr>
                        <w:t xml:space="preserve">luminium </w:t>
                      </w:r>
                      <w:r>
                        <w:rPr>
                          <w:rFonts w:hint="eastAsia" w:eastAsia="黑体"/>
                          <w:b/>
                        </w:rPr>
                        <w:t xml:space="preserve">and aluminium </w:t>
                      </w:r>
                      <w:r>
                        <w:rPr>
                          <w:rFonts w:eastAsia="黑体"/>
                          <w:b/>
                        </w:rPr>
                        <w:t xml:space="preserve">alloy </w:t>
                      </w:r>
                      <w:r>
                        <w:rPr>
                          <w:rFonts w:hint="eastAsia" w:eastAsia="黑体"/>
                          <w:b/>
                        </w:rPr>
                        <w:t>foil</w:t>
                      </w:r>
                      <w:r>
                        <w:rPr>
                          <w:rFonts w:eastAsia="黑体"/>
                          <w:b/>
                        </w:rPr>
                        <w:t>s</w:t>
                      </w:r>
                    </w:p>
                    <w:p>
                      <w:pPr>
                        <w:pStyle w:val="102"/>
                      </w:pPr>
                      <w:r>
                        <w:rPr>
                          <w:rFonts w:hint="eastAsia"/>
                        </w:rPr>
                        <w:t>（报批稿）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56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3"/>
                              <w:rPr>
                                <w:bCs/>
                                <w:color w:val="000000"/>
                              </w:rPr>
                            </w:pPr>
                            <w:bookmarkStart w:id="43" w:name="OLE_LINK25"/>
                            <w:r>
                              <w:rPr>
                                <w:bCs/>
                                <w:color w:val="000000"/>
                              </w:rPr>
                              <w:t xml:space="preserve">ICS </w:t>
                            </w:r>
                            <w:r>
                              <w:rPr>
                                <w:szCs w:val="21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2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Cs w:val="21"/>
                              </w:rPr>
                              <w:t>0.</w:t>
                            </w:r>
                            <w:r>
                              <w:rPr>
                                <w:rFonts w:hint="eastAsia"/>
                                <w:spacing w:val="-2"/>
                                <w:szCs w:val="21"/>
                              </w:rPr>
                              <w:t>10</w:t>
                            </w:r>
                          </w:p>
                          <w:bookmarkEnd w:id="43"/>
                          <w:p>
                            <w:pPr>
                              <w:pStyle w:val="133"/>
                              <w:rPr>
                                <w:bCs/>
                                <w:color w:val="000000"/>
                              </w:rPr>
                            </w:pPr>
                            <w:bookmarkStart w:id="44" w:name="OLE_LINK29"/>
                            <w:r>
                              <w:rPr>
                                <w:bCs/>
                                <w:color w:val="000000"/>
                              </w:rPr>
                              <w:t xml:space="preserve">H 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1</w:t>
                            </w:r>
                          </w:p>
                          <w:bookmarkEnd w:id="44"/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312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Xsy+DTAAAABQEAAA8AAAAAAAAAAQAgAAAAIgAAAGRycy9kb3ducmV2LnhtbFBLAQIUABQA&#10;AAAIAIdO4kABS8ho9QEAAN4DAAAOAAAAAAAAAAEAIAAAACIBAABkcnMvZTJvRG9jLnhtbFBLBQYA&#10;AAAABgAGAFkBAACJ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3"/>
                        <w:rPr>
                          <w:bCs/>
                          <w:color w:val="000000"/>
                        </w:rPr>
                      </w:pPr>
                      <w:bookmarkStart w:id="43" w:name="OLE_LINK25"/>
                      <w:r>
                        <w:rPr>
                          <w:bCs/>
                          <w:color w:val="000000"/>
                        </w:rPr>
                        <w:t xml:space="preserve">ICS </w:t>
                      </w:r>
                      <w:r>
                        <w:rPr>
                          <w:szCs w:val="21"/>
                        </w:rPr>
                        <w:t>77</w:t>
                      </w:r>
                      <w:r>
                        <w:rPr>
                          <w:spacing w:val="-2"/>
                          <w:szCs w:val="21"/>
                        </w:rPr>
                        <w:t>.</w:t>
                      </w:r>
                      <w:r>
                        <w:rPr>
                          <w:rFonts w:hint="eastAsia"/>
                          <w:spacing w:val="-2"/>
                          <w:szCs w:val="21"/>
                        </w:rPr>
                        <w:t>15</w:t>
                      </w:r>
                      <w:r>
                        <w:rPr>
                          <w:spacing w:val="-2"/>
                          <w:szCs w:val="21"/>
                        </w:rPr>
                        <w:t>0.</w:t>
                      </w:r>
                      <w:r>
                        <w:rPr>
                          <w:rFonts w:hint="eastAsia"/>
                          <w:spacing w:val="-2"/>
                          <w:szCs w:val="21"/>
                        </w:rPr>
                        <w:t>10</w:t>
                      </w:r>
                    </w:p>
                    <w:bookmarkEnd w:id="43"/>
                    <w:p>
                      <w:pPr>
                        <w:pStyle w:val="133"/>
                        <w:rPr>
                          <w:bCs/>
                          <w:color w:val="000000"/>
                        </w:rPr>
                      </w:pPr>
                      <w:bookmarkStart w:id="44" w:name="OLE_LINK29"/>
                      <w:r>
                        <w:rPr>
                          <w:bCs/>
                          <w:color w:val="000000"/>
                        </w:rPr>
                        <w:t xml:space="preserve">H </w:t>
                      </w:r>
                      <w:r>
                        <w:rPr>
                          <w:rFonts w:hint="eastAsia"/>
                          <w:bCs/>
                          <w:color w:val="000000"/>
                        </w:rPr>
                        <w:t>6</w:t>
                      </w:r>
                      <w:r>
                        <w:rPr>
                          <w:bCs/>
                          <w:color w:val="000000"/>
                        </w:rPr>
                        <w:t>1</w:t>
                      </w:r>
                    </w:p>
                    <w:bookmarkEnd w:id="44"/>
                    <w:p/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87"/>
        <w:sectPr>
          <w:headerReference r:id="rId9" w:type="default"/>
          <w:footerReference r:id="rId11" w:type="default"/>
          <w:headerReference r:id="rId10" w:type="even"/>
          <w:footerReference r:id="rId12" w:type="even"/>
          <w:type w:val="continuous"/>
          <w:pgSz w:w="11907" w:h="16839"/>
          <w:pgMar w:top="1418" w:right="1134" w:bottom="1134" w:left="1418" w:header="1418" w:footer="851" w:gutter="0"/>
          <w:pgNumType w:fmt="upperRoman" w:start="1"/>
          <w:cols w:space="425" w:num="1"/>
          <w:docGrid w:type="lines" w:linePitch="312" w:charSpace="0"/>
        </w:sectPr>
      </w:pPr>
      <w:bookmarkStart w:id="1" w:name="_Toc238456475"/>
      <w:bookmarkStart w:id="2" w:name="SectionMark2"/>
    </w:p>
    <w:p>
      <w:pPr>
        <w:pStyle w:val="87"/>
      </w:pPr>
      <w:r>
        <w:rPr>
          <w:rFonts w:hint="eastAsia"/>
        </w:rPr>
        <w:t>前  言</w:t>
      </w:r>
      <w:bookmarkEnd w:id="1"/>
    </w:p>
    <w:p>
      <w:pPr>
        <w:ind w:firstLine="420" w:firstLineChars="200"/>
      </w:pPr>
      <w:r>
        <w:rPr>
          <w:rFonts w:hint="eastAsia"/>
        </w:rPr>
        <w:t>本标准按照GB/T 1.1-2009给出的规则起草。</w:t>
      </w:r>
    </w:p>
    <w:p>
      <w:pPr>
        <w:ind w:firstLine="420" w:firstLineChars="200"/>
      </w:pPr>
      <w:r>
        <w:rPr>
          <w:rFonts w:hint="eastAsia"/>
        </w:rPr>
        <w:t>本标准代替GB/T 3198—2010《铝及铝合金箔》。本标准与GB/T 3198—2010《铝及铝合金箔》相比，除编辑性修改后，主要技术变化如下：</w:t>
      </w:r>
    </w:p>
    <w:p>
      <w:pPr>
        <w:ind w:left="850" w:leftChars="200" w:hanging="430" w:hangingChars="205"/>
      </w:pPr>
      <w:r>
        <w:rPr>
          <w:rFonts w:hint="eastAsia"/>
        </w:rPr>
        <w:t>——修改了适用范围（见第1章，2010年版的第1章）；</w:t>
      </w:r>
    </w:p>
    <w:p>
      <w:pPr>
        <w:ind w:left="850" w:leftChars="200" w:hanging="430" w:hangingChars="205"/>
      </w:pPr>
      <w:r>
        <w:rPr>
          <w:rFonts w:hint="eastAsia"/>
        </w:rPr>
        <w:t>——修改了规范性引用文件（见第2章，2010年版的第2章）；</w:t>
      </w:r>
    </w:p>
    <w:p>
      <w:pPr>
        <w:ind w:left="850" w:leftChars="200" w:hanging="430" w:hangingChars="205"/>
      </w:pPr>
      <w:r>
        <w:rPr>
          <w:rFonts w:hint="eastAsia"/>
        </w:rPr>
        <w:t>——修改了牌号、状态、尺寸规格的要求（见3.1.1，2010年版的3.1.1）；</w:t>
      </w:r>
    </w:p>
    <w:p>
      <w:pPr>
        <w:ind w:left="850" w:leftChars="200" w:hanging="430" w:hangingChars="205"/>
      </w:pPr>
      <w:r>
        <w:rPr>
          <w:rFonts w:hint="eastAsia"/>
        </w:rPr>
        <w:t>——增加了</w:t>
      </w:r>
      <w:r>
        <w:rPr>
          <w:rFonts w:hint="eastAsia" w:ascii="宋体" w:hAnsi="宋体"/>
        </w:rPr>
        <w:t>需方应</w:t>
      </w:r>
      <w:r>
        <w:rPr>
          <w:rFonts w:ascii="宋体" w:hAnsi="宋体"/>
        </w:rPr>
        <w:t>在订货单（或合同）中注明按</w:t>
      </w:r>
      <w:r>
        <w:rPr>
          <w:rFonts w:hint="eastAsia" w:ascii="宋体" w:hAnsi="宋体"/>
        </w:rPr>
        <w:t>单面光</w:t>
      </w:r>
      <w:r>
        <w:rPr>
          <w:rFonts w:ascii="宋体" w:hAnsi="宋体"/>
        </w:rPr>
        <w:t>铝箔</w:t>
      </w:r>
      <w:r>
        <w:rPr>
          <w:rFonts w:hint="eastAsia" w:ascii="宋体" w:hAnsi="宋体"/>
        </w:rPr>
        <w:t>或双面光</w:t>
      </w:r>
      <w:r>
        <w:rPr>
          <w:rFonts w:ascii="宋体" w:hAnsi="宋体"/>
        </w:rPr>
        <w:t>铝箔</w:t>
      </w:r>
      <w:r>
        <w:rPr>
          <w:rFonts w:hint="eastAsia" w:ascii="宋体" w:hAnsi="宋体"/>
        </w:rPr>
        <w:t>供货的规定及单面光铝箔供货卷取朝向的要求</w:t>
      </w:r>
      <w:r>
        <w:rPr>
          <w:rFonts w:hint="eastAsia"/>
        </w:rPr>
        <w:t>（见3.1.2）；</w:t>
      </w:r>
    </w:p>
    <w:p>
      <w:pPr>
        <w:ind w:left="850" w:leftChars="200" w:hanging="430" w:hangingChars="205"/>
      </w:pPr>
      <w:r>
        <w:rPr>
          <w:rFonts w:hint="eastAsia"/>
        </w:rPr>
        <w:t>——修改了标记及示例的要求（见3.1.3，2010年版的3.1.2）；</w:t>
      </w:r>
    </w:p>
    <w:p>
      <w:pPr>
        <w:ind w:left="850" w:leftChars="200" w:hanging="430" w:hangingChars="205"/>
      </w:pPr>
      <w:r>
        <w:rPr>
          <w:rFonts w:hint="eastAsia"/>
        </w:rPr>
        <w:t>——修改了局部厚度允许偏差的要求（见3.3.1.1，2010年版的3.3.1.1）；</w:t>
      </w:r>
    </w:p>
    <w:p>
      <w:pPr>
        <w:ind w:left="850" w:leftChars="200" w:hanging="430" w:hangingChars="205"/>
      </w:pPr>
      <w:r>
        <w:rPr>
          <w:rFonts w:hint="eastAsia"/>
        </w:rPr>
        <w:t>——修改了室温拉伸力学性能的要求（见3.4，2010年版的3.4）；</w:t>
      </w:r>
    </w:p>
    <w:p>
      <w:pPr>
        <w:ind w:left="850" w:leftChars="200" w:hanging="430" w:hangingChars="205"/>
      </w:pPr>
      <w:r>
        <w:rPr>
          <w:rFonts w:hint="eastAsia"/>
        </w:rPr>
        <w:t>——修改了针孔要求中铝箔厚度范围的最小值（见3.5.1，2010年版的3.6）；</w:t>
      </w:r>
    </w:p>
    <w:p>
      <w:pPr>
        <w:ind w:left="850" w:leftChars="200" w:hanging="430" w:hangingChars="205"/>
      </w:pPr>
      <w:r>
        <w:rPr>
          <w:rFonts w:hint="eastAsia"/>
        </w:rPr>
        <w:t>——增加了在线检测针孔的要求（见3.5.2）；</w:t>
      </w:r>
    </w:p>
    <w:p>
      <w:pPr>
        <w:ind w:left="850" w:leftChars="200" w:hanging="430" w:hangingChars="205"/>
      </w:pPr>
      <w:r>
        <w:rPr>
          <w:rFonts w:hint="eastAsia"/>
        </w:rPr>
        <w:t>——修改了粘附性的要求（见3.6.1，2010年版的3.7）；</w:t>
      </w:r>
    </w:p>
    <w:p>
      <w:pPr>
        <w:ind w:left="850" w:leftChars="200" w:hanging="430" w:hangingChars="205"/>
      </w:pPr>
      <w:r>
        <w:rPr>
          <w:rFonts w:hint="eastAsia"/>
        </w:rPr>
        <w:t>——增加了局部粘附性的要求（见3.6.2）；</w:t>
      </w:r>
    </w:p>
    <w:p>
      <w:pPr>
        <w:ind w:left="850" w:leftChars="200" w:hanging="430" w:hangingChars="205"/>
      </w:pPr>
      <w:r>
        <w:rPr>
          <w:rFonts w:hint="eastAsia"/>
        </w:rPr>
        <w:t>——删除了表面润湿张力宜不小于</w:t>
      </w:r>
      <w:r>
        <w:rPr>
          <w:rFonts w:hint="eastAsia" w:hAnsi="宋体"/>
          <w:szCs w:val="21"/>
        </w:rPr>
        <w:t>33×10</w:t>
      </w:r>
      <w:r>
        <w:rPr>
          <w:rFonts w:hint="eastAsia" w:hAnsi="宋体"/>
          <w:szCs w:val="21"/>
          <w:vertAlign w:val="superscript"/>
        </w:rPr>
        <w:t>-3</w:t>
      </w:r>
      <w:r>
        <w:rPr>
          <w:rFonts w:hint="eastAsia" w:hAnsi="宋体"/>
          <w:szCs w:val="21"/>
        </w:rPr>
        <w:t>N/m的规定（见2010</w:t>
      </w:r>
      <w:r>
        <w:rPr>
          <w:rFonts w:hint="eastAsia"/>
        </w:rPr>
        <w:t>年</w:t>
      </w:r>
      <w:r>
        <w:rPr>
          <w:rFonts w:hint="eastAsia" w:hAnsi="宋体"/>
          <w:szCs w:val="21"/>
        </w:rPr>
        <w:t>版的3.8）</w:t>
      </w:r>
      <w:r>
        <w:rPr>
          <w:rFonts w:hint="eastAsia"/>
        </w:rPr>
        <w:t>；</w:t>
      </w:r>
    </w:p>
    <w:p>
      <w:pPr>
        <w:ind w:left="850" w:leftChars="200" w:hanging="430" w:hangingChars="205"/>
      </w:pPr>
      <w:r>
        <w:rPr>
          <w:rFonts w:hint="eastAsia"/>
        </w:rPr>
        <w:t>——将“刷水试验结果”修改为“润湿性”，删除了O状态铝箔表面应无油斑的规定（见3.8，2010年版的3.9）；</w:t>
      </w:r>
    </w:p>
    <w:p>
      <w:pPr>
        <w:ind w:left="850" w:leftChars="200" w:hanging="430" w:hangingChars="205"/>
      </w:pPr>
      <w:r>
        <w:rPr>
          <w:rFonts w:hint="eastAsia"/>
        </w:rPr>
        <w:t>——增加了热封强度的要求（见3.10）；</w:t>
      </w:r>
    </w:p>
    <w:p>
      <w:pPr>
        <w:ind w:left="850" w:leftChars="200" w:hanging="430" w:hangingChars="205"/>
      </w:pPr>
      <w:r>
        <w:rPr>
          <w:rFonts w:hint="eastAsia"/>
        </w:rPr>
        <w:t>——修改了接头的要求（见3.12，2010年版的3.11）；</w:t>
      </w:r>
    </w:p>
    <w:p>
      <w:pPr>
        <w:ind w:left="850" w:leftChars="200" w:hanging="430" w:hangingChars="205"/>
      </w:pPr>
      <w:r>
        <w:rPr>
          <w:rFonts w:hint="eastAsia"/>
        </w:rPr>
        <w:t>——增加了规格为305.0mm的管芯内径偏差（见3.13）；</w:t>
      </w:r>
    </w:p>
    <w:p>
      <w:pPr>
        <w:ind w:left="850" w:leftChars="200" w:hanging="430" w:hangingChars="205"/>
      </w:pPr>
      <w:r>
        <w:rPr>
          <w:rFonts w:hint="eastAsia"/>
        </w:rPr>
        <w:t>——将单面光铝箔、双面光铝箔的产品分类移到3.1产品分类中，删除了表面光亮程度的要求（见3.1.2，2010年版的3.13.1）；</w:t>
      </w:r>
    </w:p>
    <w:p>
      <w:pPr>
        <w:ind w:left="850" w:leftChars="200" w:hanging="430" w:hangingChars="205"/>
      </w:pPr>
      <w:r>
        <w:rPr>
          <w:rFonts w:hint="eastAsia"/>
        </w:rPr>
        <w:t>——删除了当立拿铝箔卷时，不允许有层与层之间的滑动以及管芯脱出的规定（见2010年版的3.13.5）；</w:t>
      </w:r>
    </w:p>
    <w:p>
      <w:pPr>
        <w:ind w:left="850" w:leftChars="200" w:hanging="430" w:hangingChars="205"/>
      </w:pPr>
      <w:r>
        <w:rPr>
          <w:rFonts w:hint="eastAsia"/>
        </w:rPr>
        <w:t>——增加了化学元素的分析和计算要求（见4.1.2）；</w:t>
      </w:r>
    </w:p>
    <w:p>
      <w:pPr>
        <w:ind w:left="850" w:leftChars="200" w:hanging="430" w:hangingChars="205"/>
      </w:pPr>
      <w:r>
        <w:rPr>
          <w:rFonts w:hint="eastAsia"/>
        </w:rPr>
        <w:t>——增加了化学元素分析数值修约的要求（见4.1.3）；</w:t>
      </w:r>
    </w:p>
    <w:p>
      <w:pPr>
        <w:ind w:left="850" w:leftChars="200" w:hanging="430" w:hangingChars="205"/>
      </w:pPr>
      <w:r>
        <w:rPr>
          <w:rFonts w:hint="eastAsia"/>
        </w:rPr>
        <w:t>——增加了尺寸修约的要求（见4.2.1）；</w:t>
      </w:r>
    </w:p>
    <w:p>
      <w:pPr>
        <w:ind w:left="850" w:leftChars="200" w:hanging="430" w:hangingChars="205"/>
      </w:pPr>
      <w:r>
        <w:rPr>
          <w:rFonts w:hint="eastAsia"/>
        </w:rPr>
        <w:t>——修改了局部厚度的仲裁测定要求（见4.2.2，2010年版的4.2.1）；</w:t>
      </w:r>
    </w:p>
    <w:p>
      <w:pPr>
        <w:ind w:left="850" w:leftChars="200" w:hanging="430" w:hangingChars="205"/>
      </w:pPr>
      <w:r>
        <w:rPr>
          <w:rFonts w:hint="eastAsia"/>
        </w:rPr>
        <w:t>——修改了室温拉伸力学性能的试验方法（见4.3，2010年版的4.3）；</w:t>
      </w:r>
    </w:p>
    <w:p>
      <w:pPr>
        <w:ind w:left="850" w:leftChars="200" w:hanging="430" w:hangingChars="205"/>
      </w:pPr>
      <w:r>
        <w:rPr>
          <w:rFonts w:hint="eastAsia"/>
        </w:rPr>
        <w:t>——增加了在线检测针孔方法的要求（见4.4）；</w:t>
      </w:r>
    </w:p>
    <w:p>
      <w:pPr>
        <w:ind w:left="850" w:leftChars="200" w:hanging="430" w:hangingChars="205"/>
      </w:pPr>
      <w:r>
        <w:rPr>
          <w:rFonts w:hint="eastAsia"/>
        </w:rPr>
        <w:t>——增加了粘附性的仲裁检测方法（见4.5）；</w:t>
      </w:r>
    </w:p>
    <w:p>
      <w:pPr>
        <w:ind w:left="850" w:leftChars="200" w:hanging="430" w:hangingChars="205"/>
      </w:pPr>
      <w:r>
        <w:rPr>
          <w:rFonts w:hint="eastAsia"/>
        </w:rPr>
        <w:t>——增加了表面润湿张力的仲裁测定方法（见4.6）；</w:t>
      </w:r>
    </w:p>
    <w:p>
      <w:pPr>
        <w:ind w:left="850" w:leftChars="200" w:hanging="430" w:hangingChars="205"/>
      </w:pPr>
      <w:r>
        <w:rPr>
          <w:rFonts w:hint="eastAsia"/>
        </w:rPr>
        <w:t>——增加了润湿性的仲裁检测方法（见4.7）；</w:t>
      </w:r>
    </w:p>
    <w:p>
      <w:pPr>
        <w:ind w:left="850" w:leftChars="200" w:hanging="430" w:hangingChars="205"/>
      </w:pPr>
      <w:r>
        <w:rPr>
          <w:rFonts w:hint="eastAsia"/>
        </w:rPr>
        <w:t>——增加了热封强度的试验方法（见4.9）；</w:t>
      </w:r>
    </w:p>
    <w:p>
      <w:pPr>
        <w:ind w:left="850" w:leftChars="200" w:hanging="430" w:hangingChars="205"/>
      </w:pPr>
      <w:r>
        <w:rPr>
          <w:rFonts w:hint="eastAsia"/>
        </w:rPr>
        <w:t>——增加了在线检测表面质量方法的要求（见4.13）；</w:t>
      </w:r>
    </w:p>
    <w:p>
      <w:pPr>
        <w:ind w:left="850" w:leftChars="200" w:hanging="430" w:hangingChars="205"/>
      </w:pPr>
      <w:r>
        <w:rPr>
          <w:rFonts w:hint="eastAsia"/>
        </w:rPr>
        <w:t>——增加了产品计重的要求（见5.3）；</w:t>
      </w:r>
    </w:p>
    <w:p>
      <w:pPr>
        <w:ind w:left="850" w:leftChars="200" w:hanging="430" w:hangingChars="205"/>
      </w:pPr>
      <w:r>
        <w:rPr>
          <w:rFonts w:hint="eastAsia"/>
        </w:rPr>
        <w:t>——修改了检验项目的要求（见5.4，2010年版的5.3）；</w:t>
      </w:r>
    </w:p>
    <w:p>
      <w:pPr>
        <w:ind w:left="850" w:leftChars="200" w:hanging="430" w:hangingChars="205"/>
      </w:pPr>
      <w:r>
        <w:rPr>
          <w:rFonts w:hint="eastAsia"/>
        </w:rPr>
        <w:t>——增加了热封强度的取样规定（见5.5）；</w:t>
      </w:r>
    </w:p>
    <w:p>
      <w:pPr>
        <w:ind w:left="850" w:leftChars="200" w:hanging="430" w:hangingChars="205"/>
      </w:pPr>
      <w:r>
        <w:rPr>
          <w:rFonts w:hint="eastAsia"/>
        </w:rPr>
        <w:t>——修改了检验结果的判定要求（见5.6，2010年版的5.5）；</w:t>
      </w:r>
    </w:p>
    <w:p>
      <w:pPr>
        <w:ind w:left="850" w:leftChars="200" w:hanging="430" w:hangingChars="205"/>
      </w:pPr>
      <w:r>
        <w:rPr>
          <w:rFonts w:hint="eastAsia"/>
        </w:rPr>
        <w:t>——增加了产品标志中二维码或条形码等标识的规定（见6.1.1.2）；</w:t>
      </w:r>
    </w:p>
    <w:p>
      <w:pPr>
        <w:ind w:left="850" w:leftChars="200" w:hanging="430" w:hangingChars="205"/>
      </w:pPr>
      <w:r>
        <w:rPr>
          <w:rFonts w:hint="eastAsia"/>
        </w:rPr>
        <w:t>——增加了包装箱标志中二维码或条形码等标识的规定（见6.1.2）；</w:t>
      </w:r>
    </w:p>
    <w:p>
      <w:pPr>
        <w:ind w:left="850" w:leftChars="200" w:hanging="430" w:hangingChars="205"/>
      </w:pPr>
      <w:r>
        <w:rPr>
          <w:rFonts w:hint="eastAsia"/>
        </w:rPr>
        <w:t>——增加了采用钢托架、纸板包装箱、纸木包装箱包装的要求（见6.1.3）；</w:t>
      </w:r>
    </w:p>
    <w:p>
      <w:pPr>
        <w:ind w:left="850" w:leftChars="200" w:hanging="430" w:hangingChars="205"/>
      </w:pPr>
      <w:r>
        <w:rPr>
          <w:rFonts w:hint="eastAsia"/>
        </w:rPr>
        <w:t>——修改了订货单（或合同）的内容（见第8章，2010年版的第7章）；</w:t>
      </w:r>
    </w:p>
    <w:p>
      <w:pPr>
        <w:ind w:left="850" w:leftChars="200" w:hanging="430" w:hangingChars="205"/>
      </w:pPr>
      <w:r>
        <w:rPr>
          <w:rFonts w:hint="eastAsia"/>
        </w:rPr>
        <w:t>——增加了3102等5个牌号及其密度（见附录B，2010年版的附录B）。</w:t>
      </w:r>
    </w:p>
    <w:p>
      <w:pPr>
        <w:ind w:firstLine="420" w:firstLineChars="200"/>
      </w:pPr>
      <w:r>
        <w:rPr>
          <w:rFonts w:hint="eastAsia"/>
        </w:rPr>
        <w:t>本标准由中国有色金属工业协会提出。</w:t>
      </w:r>
    </w:p>
    <w:p>
      <w:pPr>
        <w:ind w:firstLine="420" w:firstLineChars="200"/>
      </w:pPr>
      <w:r>
        <w:rPr>
          <w:rFonts w:hint="eastAsia"/>
        </w:rPr>
        <w:t>本标准由全国有色金属标准化技术委员会（SAC/TC</w:t>
      </w:r>
      <w:r>
        <w:t xml:space="preserve"> </w:t>
      </w:r>
      <w:r>
        <w:rPr>
          <w:rFonts w:hint="eastAsia"/>
        </w:rPr>
        <w:t>243）归口。</w:t>
      </w:r>
    </w:p>
    <w:p>
      <w:pPr>
        <w:ind w:firstLine="420" w:firstLineChars="200"/>
      </w:pPr>
      <w:r>
        <w:rPr>
          <w:rFonts w:hint="eastAsia"/>
        </w:rPr>
        <w:t>本标准起草单位：厦门厦顺铝箔有限公司、山东南山铝业股份有限公司、</w:t>
      </w:r>
      <w:r>
        <w:rPr>
          <w:rFonts w:ascii="宋体" w:hAnsi="宋体" w:cs="华文仿宋"/>
          <w:szCs w:val="21"/>
        </w:rPr>
        <w:t>江苏鼎胜新能源材料股份有限公司</w:t>
      </w:r>
      <w:r>
        <w:rPr>
          <w:rFonts w:hint="eastAsia" w:ascii="宋体" w:hAnsi="宋体" w:cs="华文仿宋"/>
          <w:szCs w:val="21"/>
        </w:rPr>
        <w:t>、乳源东阳光优艾希杰精箔有限公司、东北轻合金有限责任公司、贵州中铝铝业有限公司、江苏大亚铝业有限公司、昆山铝业有限公司、中铝铝箔有限公司、中铝瑞闽股份有限公司、云南浩鑫铝箔有限公司、昆明冶金研究院、云南大理天新包装材料有限公司、云南新兴仁恒包装材料有限公司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本标准主要起草人：王建国、田小梅、赵立锋、吴保剑、夏俊杰、张劲松、晏南军、华焕灵、高珺、贾瑞娇、池国明、刘桂云、陈清、张义光、孙雁宏。</w:t>
      </w:r>
    </w:p>
    <w:p>
      <w:pPr>
        <w:ind w:firstLine="420" w:firstLineChars="200"/>
      </w:pPr>
      <w:r>
        <w:rPr>
          <w:rFonts w:hint="eastAsia"/>
        </w:rPr>
        <w:t>本标准所代替标准的历次版本发布情况为：</w:t>
      </w:r>
    </w:p>
    <w:p>
      <w:pPr>
        <w:ind w:firstLine="420" w:firstLineChars="200"/>
      </w:pPr>
      <w:r>
        <w:rPr>
          <w:rFonts w:hint="eastAsia"/>
        </w:rPr>
        <w:t>——GB 3198—1982、GB 3198—1996、GB/T 3198—2003；GB/T 3198—2010；</w:t>
      </w:r>
    </w:p>
    <w:p>
      <w:pPr>
        <w:ind w:firstLine="420" w:firstLineChars="200"/>
      </w:pPr>
      <w:r>
        <w:rPr>
          <w:rFonts w:hint="eastAsia"/>
        </w:rPr>
        <w:t>——GB 3614—1983、GB/T 3614—1999、</w:t>
      </w:r>
    </w:p>
    <w:p>
      <w:pPr>
        <w:ind w:firstLine="420" w:firstLineChars="200"/>
      </w:pPr>
      <w:r>
        <w:rPr>
          <w:rFonts w:hint="eastAsia"/>
        </w:rPr>
        <w:t>——GB 3616—1983、GB/T 3619—1999。</w:t>
      </w:r>
    </w:p>
    <w:p>
      <w:pPr>
        <w:ind w:firstLine="420" w:firstLineChars="200"/>
      </w:pPr>
    </w:p>
    <w:p>
      <w:pPr>
        <w:rPr>
          <w:rFonts w:ascii="宋体" w:hAnsi="宋体"/>
        </w:rPr>
        <w:sectPr>
          <w:pgSz w:w="11907" w:h="16839"/>
          <w:pgMar w:top="1418" w:right="1134" w:bottom="1134" w:left="1418" w:header="1418" w:footer="851" w:gutter="0"/>
          <w:pgNumType w:fmt="upperRoman" w:start="1"/>
          <w:cols w:space="425" w:num="1"/>
          <w:docGrid w:type="lines" w:linePitch="312" w:charSpace="0"/>
        </w:sectPr>
      </w:pPr>
    </w:p>
    <w:p>
      <w:pPr>
        <w:rPr>
          <w:rFonts w:ascii="宋体"/>
        </w:rPr>
        <w:sectPr>
          <w:footerReference r:id="rId13" w:type="default"/>
          <w:type w:val="continuous"/>
          <w:pgSz w:w="11907" w:h="16839"/>
          <w:pgMar w:top="1418" w:right="1134" w:bottom="1134" w:left="1418" w:header="1418" w:footer="851" w:gutter="0"/>
          <w:pgNumType w:start="1"/>
          <w:cols w:space="425" w:num="1"/>
          <w:docGrid w:type="lines" w:linePitch="312" w:charSpace="0"/>
        </w:sectPr>
      </w:pPr>
    </w:p>
    <w:bookmarkEnd w:id="2"/>
    <w:p>
      <w:pPr>
        <w:adjustRightInd w:val="0"/>
        <w:snapToGrid w:val="0"/>
        <w:spacing w:before="312" w:beforeLines="100" w:line="276" w:lineRule="auto"/>
        <w:jc w:val="center"/>
        <w:rPr>
          <w:rFonts w:ascii="黑体" w:hAnsi="宋体" w:eastAsia="黑体"/>
          <w:sz w:val="32"/>
          <w:szCs w:val="32"/>
        </w:rPr>
        <w:sectPr>
          <w:footerReference r:id="rId15" w:type="default"/>
          <w:headerReference r:id="rId14" w:type="even"/>
          <w:footerReference r:id="rId16" w:type="even"/>
          <w:type w:val="continuous"/>
          <w:pgSz w:w="11907" w:h="16839"/>
          <w:pgMar w:top="1418" w:right="1134" w:bottom="1134" w:left="1418" w:header="1418" w:footer="851" w:gutter="0"/>
          <w:pgNumType w:start="1"/>
          <w:cols w:space="425" w:num="1"/>
          <w:docGrid w:type="lines" w:linePitch="312" w:charSpace="0"/>
        </w:sectPr>
      </w:pPr>
      <w:bookmarkStart w:id="3" w:name="SectionMark4"/>
    </w:p>
    <w:p>
      <w:pPr>
        <w:adjustRightInd w:val="0"/>
        <w:snapToGrid w:val="0"/>
        <w:spacing w:before="312" w:beforeLines="100" w:line="276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铝及铝合金箔</w:t>
      </w:r>
    </w:p>
    <w:bookmarkEnd w:id="3"/>
    <w:p>
      <w:pPr>
        <w:pStyle w:val="90"/>
        <w:spacing w:before="312" w:beforeLines="100" w:after="312" w:afterLines="100"/>
      </w:pPr>
      <w:r>
        <w:rPr>
          <w:rFonts w:hint="eastAsia"/>
        </w:rPr>
        <w:t>范围</w:t>
      </w:r>
    </w:p>
    <w:p>
      <w:pPr>
        <w:pStyle w:val="89"/>
        <w:ind w:firstLine="420"/>
        <w:rPr>
          <w:rFonts w:hAnsi="宋体"/>
          <w:sz w:val="21"/>
          <w:szCs w:val="24"/>
        </w:rPr>
      </w:pPr>
      <w:bookmarkStart w:id="4" w:name="OLE_LINK72"/>
      <w:r>
        <w:rPr>
          <w:rFonts w:hint="eastAsia" w:hAnsi="宋体"/>
          <w:sz w:val="21"/>
          <w:szCs w:val="24"/>
        </w:rPr>
        <w:t>本标准规定了铝及铝合金箔的要求、试验方法、检验规则和标志、包装、运输、贮存及质量证明书与订货单（或合同）内容。</w:t>
      </w:r>
    </w:p>
    <w:p>
      <w:pPr>
        <w:pStyle w:val="89"/>
        <w:ind w:firstLine="420"/>
        <w:rPr>
          <w:rFonts w:hAnsi="宋体"/>
        </w:rPr>
      </w:pPr>
      <w:r>
        <w:rPr>
          <w:rFonts w:hint="eastAsia" w:hAnsi="宋体"/>
          <w:sz w:val="21"/>
          <w:szCs w:val="24"/>
        </w:rPr>
        <w:t>本标准适用于铝及铝合金箔（以下简称铝箔）</w:t>
      </w:r>
      <w:r>
        <w:rPr>
          <w:rFonts w:hint="eastAsia" w:hAnsi="宋体"/>
        </w:rPr>
        <w:t>。</w:t>
      </w:r>
    </w:p>
    <w:bookmarkEnd w:id="4"/>
    <w:p>
      <w:pPr>
        <w:pStyle w:val="90"/>
        <w:spacing w:before="312" w:beforeLines="100" w:after="312" w:afterLines="100"/>
      </w:pPr>
      <w:r>
        <w:rPr>
          <w:rFonts w:hint="eastAsia"/>
        </w:rPr>
        <w:t>规范性引用文件</w:t>
      </w:r>
    </w:p>
    <w:p>
      <w:pPr>
        <w:pStyle w:val="89"/>
        <w:ind w:firstLine="420"/>
        <w:rPr>
          <w:sz w:val="21"/>
          <w:szCs w:val="21"/>
        </w:rPr>
      </w:pPr>
      <w:bookmarkStart w:id="5" w:name="OLE_LINK71"/>
      <w:r>
        <w:rPr>
          <w:rFonts w:hint="eastAsia"/>
          <w:sz w:val="21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454  纸耐破度的测定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3190  变形铝及铝合金化学成分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3199  铝及铝合金加工产品  包装、标志、运输、贮存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7999  铝及铝合金光电直读发射光谱分析方法</w:t>
      </w:r>
    </w:p>
    <w:p>
      <w:pPr>
        <w:snapToGrid w:val="0"/>
        <w:spacing w:line="276" w:lineRule="auto"/>
        <w:ind w:right="5"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GB</w:t>
      </w:r>
      <w:r>
        <w:rPr>
          <w:rFonts w:ascii="宋体" w:hAnsi="宋体"/>
          <w:szCs w:val="21"/>
        </w:rPr>
        <w:t>/T</w:t>
      </w:r>
      <w:r>
        <w:rPr>
          <w:rFonts w:hint="eastAsia" w:ascii="宋体" w:hAnsi="宋体"/>
          <w:szCs w:val="21"/>
        </w:rPr>
        <w:t xml:space="preserve"> 8</w:t>
      </w:r>
      <w:r>
        <w:rPr>
          <w:rFonts w:hint="eastAsia" w:ascii="宋体"/>
          <w:szCs w:val="21"/>
        </w:rPr>
        <w:t>170  数值修约规则与极限数值的表示和判定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16865  </w:t>
      </w:r>
      <w:bookmarkStart w:id="6" w:name="OLE_LINK55"/>
      <w:bookmarkStart w:id="7" w:name="OLE_LINK56"/>
      <w:r>
        <w:rPr>
          <w:rFonts w:hint="eastAsia"/>
          <w:sz w:val="21"/>
          <w:szCs w:val="21"/>
        </w:rPr>
        <w:t>变形铝、镁及其合金加工制品拉伸试验用试样及方法</w:t>
      </w:r>
      <w:bookmarkEnd w:id="6"/>
      <w:bookmarkEnd w:id="7"/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17432  变形铝及铝合金化学成分分析取样方法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GB/T 20975（所有部分） 铝及铝合金化学分析方法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22638.1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第1部分：厚度的测定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22638.2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部分：</w:t>
      </w:r>
      <w:r>
        <w:rPr>
          <w:rFonts w:hint="eastAsia"/>
          <w:sz w:val="21"/>
          <w:szCs w:val="21"/>
        </w:rPr>
        <w:t>针孔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检</w:t>
      </w:r>
      <w:r>
        <w:rPr>
          <w:sz w:val="21"/>
          <w:szCs w:val="21"/>
        </w:rPr>
        <w:t>测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22638.3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部分：</w:t>
      </w:r>
      <w:r>
        <w:rPr>
          <w:rFonts w:hint="eastAsia"/>
          <w:sz w:val="21"/>
          <w:szCs w:val="21"/>
        </w:rPr>
        <w:t>粘附性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检</w:t>
      </w:r>
      <w:r>
        <w:rPr>
          <w:sz w:val="21"/>
          <w:szCs w:val="21"/>
        </w:rPr>
        <w:t>测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22638.4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部分：</w:t>
      </w:r>
      <w:r>
        <w:rPr>
          <w:rFonts w:hint="eastAsia"/>
          <w:sz w:val="21"/>
          <w:szCs w:val="21"/>
        </w:rPr>
        <w:t>表面润湿张力的测定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22638.5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第5部分：润湿性的检测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22638.6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第6部分：直流电阻的测定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GB/T 22638.7  </w:t>
      </w:r>
      <w:r>
        <w:rPr>
          <w:sz w:val="21"/>
          <w:szCs w:val="21"/>
        </w:rPr>
        <w:t>铝箔试验方法</w:t>
      </w:r>
      <w:r>
        <w:rPr>
          <w:rFonts w:hint="eastAsia"/>
          <w:sz w:val="21"/>
          <w:szCs w:val="21"/>
        </w:rPr>
        <w:t xml:space="preserve"> 第7部分：热封强度的测定</w:t>
      </w:r>
    </w:p>
    <w:bookmarkEnd w:id="5"/>
    <w:p>
      <w:pPr>
        <w:pStyle w:val="90"/>
        <w:spacing w:before="312" w:beforeLines="100" w:after="312" w:afterLines="100"/>
      </w:pPr>
      <w:r>
        <w:rPr>
          <w:rFonts w:hint="eastAsia"/>
        </w:rPr>
        <w:t>要求</w:t>
      </w:r>
    </w:p>
    <w:p>
      <w:pPr>
        <w:pStyle w:val="91"/>
        <w:spacing w:before="156" w:beforeLines="50" w:after="156" w:afterLines="50"/>
      </w:pPr>
      <w:r>
        <w:rPr>
          <w:rFonts w:hint="eastAsia"/>
        </w:rPr>
        <w:t>产品分类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铝箔的牌号、状态及尺寸规格见表1。</w:t>
      </w:r>
      <w:r>
        <w:rPr>
          <w:rFonts w:ascii="宋体" w:hAnsi="宋体" w:eastAsia="宋体"/>
        </w:rPr>
        <w:t>需方需要其他牌号、状态、</w:t>
      </w:r>
      <w:r>
        <w:rPr>
          <w:rFonts w:hint="eastAsia" w:ascii="宋体" w:hAnsi="宋体" w:eastAsia="宋体"/>
        </w:rPr>
        <w:t>尺寸</w:t>
      </w:r>
      <w:r>
        <w:rPr>
          <w:rFonts w:ascii="宋体" w:hAnsi="宋体" w:eastAsia="宋体"/>
        </w:rPr>
        <w:t>规格时，由供需双方协商确定</w:t>
      </w:r>
      <w:r>
        <w:rPr>
          <w:rFonts w:hint="eastAsia" w:ascii="宋体" w:hAnsi="宋体" w:eastAsia="宋体"/>
        </w:rPr>
        <w:t>，并</w:t>
      </w:r>
      <w:r>
        <w:rPr>
          <w:rFonts w:ascii="宋体" w:hAnsi="宋体" w:eastAsia="宋体"/>
        </w:rPr>
        <w:t>在订货单（或合同）中注明。</w:t>
      </w:r>
    </w:p>
    <w:p>
      <w:pPr>
        <w:pStyle w:val="140"/>
        <w:tabs>
          <w:tab w:val="left" w:pos="0"/>
        </w:tabs>
        <w:ind w:left="-2" w:leftChars="-1"/>
      </w:pPr>
      <w:r>
        <w:rPr>
          <w:rFonts w:hint="eastAsia"/>
        </w:rPr>
        <w:t>牌号、状态、尺寸规格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715"/>
        <w:gridCol w:w="1742"/>
        <w:gridCol w:w="1422"/>
        <w:gridCol w:w="1564"/>
        <w:gridCol w:w="12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牌号</w:t>
            </w:r>
          </w:p>
        </w:tc>
        <w:tc>
          <w:tcPr>
            <w:tcW w:w="896" w:type="pct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状态</w:t>
            </w:r>
          </w:p>
        </w:tc>
        <w:tc>
          <w:tcPr>
            <w:tcW w:w="3111" w:type="pct"/>
            <w:gridSpan w:val="4"/>
            <w:tcBorders>
              <w:top w:val="single" w:color="000000" w:sz="12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8" w:name="OLE_LINK1"/>
            <w:bookmarkStart w:id="9" w:name="OLE_LINK2"/>
            <w:r>
              <w:rPr>
                <w:rFonts w:asciiTheme="minorEastAsia" w:hAnsiTheme="minorEastAsia" w:eastAsiaTheme="minorEastAsia"/>
                <w:sz w:val="18"/>
                <w:szCs w:val="18"/>
              </w:rPr>
              <w:t>尺寸</w:t>
            </w:r>
            <w:bookmarkEnd w:id="8"/>
            <w:bookmarkEnd w:id="9"/>
            <w:r>
              <w:rPr>
                <w:rFonts w:asciiTheme="minorEastAsia" w:hAnsiTheme="minorEastAsia" w:eastAsiaTheme="minorEastAsia"/>
                <w:sz w:val="18"/>
                <w:szCs w:val="18"/>
              </w:rPr>
              <w:t>规格</w:t>
            </w:r>
          </w:p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厚度</w:t>
            </w:r>
            <w:r>
              <w:rPr>
                <w:rFonts w:asciiTheme="minorEastAsia" w:hAnsiTheme="minorEastAsia" w:eastAsiaTheme="minorEastAsia"/>
                <w:i/>
                <w:sz w:val="18"/>
                <w:szCs w:val="18"/>
              </w:rPr>
              <w:t>T</w:t>
            </w:r>
          </w:p>
        </w:tc>
        <w:tc>
          <w:tcPr>
            <w:tcW w:w="743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宽度</w:t>
            </w:r>
          </w:p>
        </w:tc>
        <w:tc>
          <w:tcPr>
            <w:tcW w:w="817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管芯内径</w:t>
            </w:r>
          </w:p>
        </w:tc>
        <w:tc>
          <w:tcPr>
            <w:tcW w:w="641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pStyle w:val="89"/>
              <w:widowControl w:val="0"/>
              <w:ind w:left="-114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卷外径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1035、1050、1060、1070、1100、1145、1200、1235</w:t>
            </w:r>
          </w:p>
        </w:tc>
        <w:tc>
          <w:tcPr>
            <w:tcW w:w="896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0.004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890.0</w:t>
            </w:r>
          </w:p>
        </w:tc>
        <w:tc>
          <w:tcPr>
            <w:tcW w:w="817" w:type="pct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75.0、76.2、150.0、152.4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、300.0、305.0、400.0、406.0</w:t>
            </w:r>
          </w:p>
        </w:tc>
        <w:tc>
          <w:tcPr>
            <w:tcW w:w="641" w:type="pct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pStyle w:val="89"/>
              <w:widowControl w:val="0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150～</w:t>
            </w:r>
            <w:r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＞0.0045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pStyle w:val="89"/>
              <w:widowControl w:val="0"/>
              <w:ind w:firstLine="36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H14、H24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pStyle w:val="89"/>
              <w:widowControl w:val="0"/>
              <w:ind w:firstLine="36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H16、H26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pStyle w:val="89"/>
              <w:widowControl w:val="0"/>
              <w:ind w:firstLine="36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pStyle w:val="89"/>
              <w:widowControl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3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0.0060～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pStyle w:val="89"/>
              <w:widowControl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</w:tbl>
    <w:p>
      <w:pPr>
        <w:pStyle w:val="89"/>
        <w:ind w:firstLine="0" w:firstLineChars="0"/>
        <w:jc w:val="center"/>
        <w:rPr>
          <w:rFonts w:ascii="黑体" w:eastAsia="黑体"/>
          <w:sz w:val="21"/>
          <w:szCs w:val="20"/>
        </w:rPr>
      </w:pPr>
      <w:r>
        <w:rPr>
          <w:rFonts w:hint="eastAsia" w:ascii="黑体" w:eastAsia="黑体"/>
          <w:sz w:val="21"/>
          <w:szCs w:val="20"/>
        </w:rPr>
        <w:t xml:space="preserve">表1 </w:t>
      </w:r>
      <w:r>
        <w:rPr>
          <w:rFonts w:hint="eastAsia" w:asciiTheme="minorEastAsia" w:hAnsiTheme="minorEastAsia" w:eastAsiaTheme="minorEastAsia"/>
          <w:sz w:val="21"/>
          <w:szCs w:val="20"/>
        </w:rPr>
        <w:t>（续）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727"/>
        <w:gridCol w:w="1742"/>
        <w:gridCol w:w="1422"/>
        <w:gridCol w:w="1564"/>
        <w:gridCol w:w="12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牌号</w:t>
            </w:r>
          </w:p>
        </w:tc>
        <w:tc>
          <w:tcPr>
            <w:tcW w:w="902" w:type="pct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状态</w:t>
            </w:r>
          </w:p>
        </w:tc>
        <w:tc>
          <w:tcPr>
            <w:tcW w:w="3111" w:type="pct"/>
            <w:gridSpan w:val="4"/>
            <w:tcBorders>
              <w:top w:val="single" w:color="000000" w:sz="12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尺寸规格</w:t>
            </w:r>
          </w:p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vMerge w:val="continue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厚度</w:t>
            </w:r>
            <w:r>
              <w:rPr>
                <w:rFonts w:asciiTheme="minorEastAsia" w:hAnsiTheme="minorEastAsia" w:eastAsiaTheme="minorEastAsia"/>
                <w:i/>
                <w:sz w:val="18"/>
                <w:szCs w:val="18"/>
              </w:rPr>
              <w:t>T</w:t>
            </w:r>
          </w:p>
        </w:tc>
        <w:tc>
          <w:tcPr>
            <w:tcW w:w="743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spacing w:line="240" w:lineRule="exact"/>
              <w:ind w:firstLine="2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宽度</w:t>
            </w:r>
          </w:p>
        </w:tc>
        <w:tc>
          <w:tcPr>
            <w:tcW w:w="817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pStyle w:val="89"/>
              <w:widowControl w:val="0"/>
              <w:spacing w:line="24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管芯内径</w:t>
            </w:r>
          </w:p>
        </w:tc>
        <w:tc>
          <w:tcPr>
            <w:tcW w:w="641" w:type="pc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</w:tcPr>
          <w:p>
            <w:pPr>
              <w:pStyle w:val="89"/>
              <w:widowControl w:val="0"/>
              <w:spacing w:line="240" w:lineRule="exact"/>
              <w:ind w:left="-114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卷外径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2A11、2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024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O、H18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0.0300～0.2000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890.0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75.0、76.2、150.0、152.4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、300.0、305.0、400.0、406.0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0～1200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3003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0.0090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100～1850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H12、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H14、H24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0.0270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H16、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0.1000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0.0100～0.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0.0170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0.1500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3004、3005、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3104、3105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、H19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3102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0.0800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4A13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O、H18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5A02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H16、H26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0.1000～0.2000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0.0200～0.2000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5B02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0400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5005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0.1300～0.1600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5052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H14、H24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0.0500～0.2000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H16、H26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0.1000～0.2000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0.0500～0.2000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＞0.1000～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5082、5083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O、H18、H38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0.1000～0.2000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8006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0.0060～0.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250～1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H24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8021、8021B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0.0900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8011、8011A、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8079、8111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H14、H24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7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91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0.0200～0.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743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17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firstLine="36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pStyle w:val="89"/>
        <w:ind w:firstLine="0" w:firstLineChars="0"/>
      </w:pPr>
    </w:p>
    <w:p>
      <w:pPr>
        <w:pStyle w:val="92"/>
        <w:ind w:left="0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3665" distR="113665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0" cy="0"/>
                <wp:effectExtent l="0" t="0" r="0" b="0"/>
                <wp:wrapNone/>
                <wp:docPr id="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0pt;margin-top:39.3pt;height:0pt;width:0pt;z-index:251668480;mso-width-relative:page;mso-height-relative:page;" filled="f" stroked="t" coordsize="21600,21600" o:gfxdata="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1gSztEAAAADAQAADwAAAAAA&#10;AAABACAAAAAiAAAAZHJzL2Rvd25yZXYueG1sUEsBAhQAFAAAAAgAh07iQDtSjkeoAQAATAMAAA4A&#10;AAAAAAAAAQAgAAAAIAEAAGRycy9lMm9Eb2MueG1sUEsFBgAAAAAGAAYAWQEAAD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</w:rPr>
        <w:t>铝箔分为单面光铝箔和双面光铝箔，需方应</w:t>
      </w:r>
      <w:r>
        <w:rPr>
          <w:rFonts w:ascii="宋体" w:hAnsi="宋体" w:eastAsia="宋体"/>
        </w:rPr>
        <w:t>在订货单（或合同）中注明按</w:t>
      </w:r>
      <w:r>
        <w:rPr>
          <w:rFonts w:hint="eastAsia" w:ascii="宋体" w:hAnsi="宋体" w:eastAsia="宋体"/>
        </w:rPr>
        <w:t>单面光</w:t>
      </w:r>
      <w:r>
        <w:rPr>
          <w:rFonts w:ascii="宋体" w:hAnsi="宋体" w:eastAsia="宋体"/>
        </w:rPr>
        <w:t>铝箔</w:t>
      </w:r>
      <w:r>
        <w:rPr>
          <w:rFonts w:hint="eastAsia" w:ascii="宋体" w:hAnsi="宋体" w:eastAsia="宋体"/>
        </w:rPr>
        <w:t>或双面光</w:t>
      </w:r>
      <w:r>
        <w:rPr>
          <w:rFonts w:ascii="宋体" w:hAnsi="宋体" w:eastAsia="宋体"/>
        </w:rPr>
        <w:t>铝箔</w:t>
      </w:r>
      <w:r>
        <w:rPr>
          <w:rFonts w:hint="eastAsia" w:ascii="宋体" w:hAnsi="宋体" w:eastAsia="宋体"/>
        </w:rPr>
        <w:t>供货。单面光铝箔按亮面朝外卷取进行供货，需要按暗面朝外卷取进行供货时，由供需双方协商确定，并在订货单（或合同）中注明。</w:t>
      </w:r>
    </w:p>
    <w:p>
      <w:pPr>
        <w:pStyle w:val="89"/>
        <w:ind w:firstLine="0" w:firstLineChars="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  <w:highlight w:val="yellow"/>
        </w:rPr>
        <w:t>3.1.3</w:t>
      </w:r>
      <w:r>
        <w:rPr>
          <w:rFonts w:hint="eastAsia" w:hAnsi="宋体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铝箔的标记按照产品名称、标准编号</w:t>
      </w:r>
      <w:r>
        <w:rPr>
          <w:rFonts w:hint="eastAsia" w:hAnsi="宋体"/>
          <w:sz w:val="18"/>
          <w:szCs w:val="18"/>
        </w:rPr>
        <w:t>、</w:t>
      </w:r>
      <w:r>
        <w:rPr>
          <w:rFonts w:hAnsi="宋体"/>
          <w:sz w:val="18"/>
          <w:szCs w:val="18"/>
        </w:rPr>
        <w:t>牌号、状态</w:t>
      </w:r>
      <w:r>
        <w:rPr>
          <w:rFonts w:hint="eastAsia" w:hAnsi="宋体"/>
          <w:sz w:val="18"/>
          <w:szCs w:val="18"/>
        </w:rPr>
        <w:t>、厚度、宽度</w:t>
      </w:r>
      <w:r>
        <w:rPr>
          <w:rFonts w:hAnsi="宋体"/>
          <w:sz w:val="18"/>
          <w:szCs w:val="18"/>
        </w:rPr>
        <w:t>的顺序表示。标记示例如下：</w:t>
      </w:r>
    </w:p>
    <w:p>
      <w:pPr>
        <w:pStyle w:val="89"/>
        <w:ind w:firstLineChars="0"/>
        <w:rPr>
          <w:rFonts w:hAnsi="宋体"/>
          <w:sz w:val="18"/>
        </w:rPr>
      </w:pPr>
      <w:r>
        <w:rPr>
          <w:rFonts w:hint="eastAsia"/>
          <w:sz w:val="18"/>
          <w:szCs w:val="18"/>
        </w:rPr>
        <w:t>1235</w:t>
      </w:r>
      <w:r>
        <w:rPr>
          <w:sz w:val="18"/>
          <w:szCs w:val="18"/>
        </w:rPr>
        <w:t>牌号、</w:t>
      </w:r>
      <w:r>
        <w:rPr>
          <w:rFonts w:hint="eastAsia" w:hAnsi="宋体"/>
          <w:sz w:val="18"/>
          <w:szCs w:val="18"/>
        </w:rPr>
        <w:t>○</w:t>
      </w:r>
      <w:r>
        <w:rPr>
          <w:sz w:val="18"/>
          <w:szCs w:val="18"/>
        </w:rPr>
        <w:t>状态、厚度为0.</w:t>
      </w:r>
      <w:r>
        <w:rPr>
          <w:rFonts w:hint="eastAsia"/>
          <w:sz w:val="18"/>
          <w:szCs w:val="18"/>
        </w:rPr>
        <w:t>0150</w:t>
      </w:r>
      <w:r>
        <w:rPr>
          <w:sz w:val="18"/>
          <w:szCs w:val="18"/>
        </w:rPr>
        <w:t>mm、宽度为</w:t>
      </w:r>
      <w:r>
        <w:rPr>
          <w:rFonts w:hint="eastAsia"/>
          <w:sz w:val="18"/>
          <w:szCs w:val="18"/>
        </w:rPr>
        <w:t>476.0</w:t>
      </w:r>
      <w:r>
        <w:rPr>
          <w:sz w:val="18"/>
          <w:szCs w:val="18"/>
        </w:rPr>
        <w:t>mm的铝箔，标记为：</w:t>
      </w:r>
    </w:p>
    <w:p>
      <w:pPr>
        <w:snapToGrid w:val="0"/>
        <w:ind w:right="5"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铝</w:t>
      </w:r>
      <w:r>
        <w:rPr>
          <w:rFonts w:ascii="宋体" w:hAnsi="宋体"/>
          <w:sz w:val="18"/>
          <w:szCs w:val="18"/>
        </w:rPr>
        <w:t xml:space="preserve">箔 </w:t>
      </w:r>
      <w:r>
        <w:rPr>
          <w:rFonts w:hint="eastAsia" w:ascii="宋体" w:hAnsi="宋体"/>
          <w:sz w:val="18"/>
          <w:szCs w:val="18"/>
        </w:rPr>
        <w:t>GB</w:t>
      </w:r>
      <w:r>
        <w:rPr>
          <w:rFonts w:asciiTheme="minorEastAsia" w:hAnsiTheme="minorEastAsia" w:eastAsiaTheme="minorEastAsia"/>
          <w:sz w:val="18"/>
          <w:szCs w:val="18"/>
        </w:rPr>
        <w:t xml:space="preserve">/T </w:t>
      </w:r>
      <w:r>
        <w:rPr>
          <w:rFonts w:hint="eastAsia" w:asciiTheme="minorEastAsia" w:hAnsiTheme="minorEastAsia" w:eastAsiaTheme="minorEastAsia"/>
          <w:sz w:val="18"/>
          <w:szCs w:val="18"/>
        </w:rPr>
        <w:t>3198-1235○-</w:t>
      </w:r>
      <w:r>
        <w:rPr>
          <w:rFonts w:asciiTheme="minorEastAsia" w:hAnsiTheme="minorEastAsia" w:eastAsiaTheme="minorEastAsia"/>
          <w:sz w:val="18"/>
          <w:szCs w:val="18"/>
        </w:rPr>
        <w:t>0.</w:t>
      </w:r>
      <w:r>
        <w:rPr>
          <w:rFonts w:hint="eastAsia" w:asciiTheme="minorEastAsia" w:hAnsiTheme="minorEastAsia" w:eastAsiaTheme="minorEastAsia"/>
          <w:sz w:val="18"/>
          <w:szCs w:val="18"/>
        </w:rPr>
        <w:t>015</w:t>
      </w:r>
      <w:r>
        <w:rPr>
          <w:rFonts w:asciiTheme="minorEastAsia" w:hAnsiTheme="minorEastAsia" w:eastAsiaTheme="minorEastAsia"/>
          <w:sz w:val="18"/>
          <w:szCs w:val="18"/>
        </w:rPr>
        <w:t>×</w:t>
      </w:r>
      <w:r>
        <w:rPr>
          <w:rFonts w:hint="eastAsia" w:asciiTheme="minorEastAsia" w:hAnsiTheme="minorEastAsia" w:eastAsiaTheme="minorEastAsia"/>
          <w:sz w:val="18"/>
          <w:szCs w:val="18"/>
        </w:rPr>
        <w:t>47</w:t>
      </w:r>
      <w:r>
        <w:rPr>
          <w:rFonts w:hint="eastAsia" w:ascii="宋体" w:hAnsi="宋体"/>
          <w:sz w:val="18"/>
          <w:szCs w:val="18"/>
        </w:rPr>
        <w:t>6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化学成分</w:t>
      </w:r>
    </w:p>
    <w:p>
      <w:pPr>
        <w:pStyle w:val="92"/>
        <w:numPr>
          <w:ilvl w:val="0"/>
          <w:numId w:val="0"/>
        </w:numPr>
        <w:ind w:firstLine="420" w:firstLineChars="200"/>
      </w:pPr>
      <w:r>
        <w:rPr>
          <w:rFonts w:hint="eastAsia" w:ascii="宋体" w:hAnsi="宋体" w:eastAsia="宋体"/>
        </w:rPr>
        <w:t>铝箔的化学成分应符合</w:t>
      </w:r>
      <w:r>
        <w:rPr>
          <w:rFonts w:ascii="宋体" w:hAnsi="宋体" w:eastAsia="宋体"/>
        </w:rPr>
        <w:t>GB/T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3190的规定</w:t>
      </w:r>
      <w:r>
        <w:rPr>
          <w:rFonts w:hint="eastAsia" w:ascii="宋体" w:hAnsi="宋体" w:eastAsia="宋体"/>
        </w:rPr>
        <w:t>。对化学成分有特殊要求时，由供需双方协商确定，并在</w:t>
      </w:r>
      <w:r>
        <w:rPr>
          <w:rFonts w:hint="eastAsia" w:asciiTheme="minorEastAsia" w:hAnsiTheme="minorEastAsia" w:eastAsiaTheme="minorEastAsia"/>
        </w:rPr>
        <w:t>订货单（或合同）中注明。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尺寸偏差</w:t>
      </w: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厚度</w:t>
      </w:r>
    </w:p>
    <w:p>
      <w:pPr>
        <w:pStyle w:val="124"/>
        <w:rPr>
          <w:rFonts w:hAnsi="黑体"/>
        </w:rPr>
      </w:pPr>
      <w:r>
        <w:rPr>
          <w:rFonts w:hint="eastAsia" w:hAnsi="黑体"/>
        </w:rPr>
        <w:t>局部厚度</w:t>
      </w:r>
    </w:p>
    <w:p>
      <w:pPr>
        <w:pStyle w:val="124"/>
        <w:numPr>
          <w:ilvl w:val="0"/>
          <w:numId w:val="0"/>
        </w:num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2A11、2024、5A02、5052合金铝箔的局部厚度允许偏差为±5</w:t>
      </w:r>
      <w:r>
        <w:rPr>
          <w:rFonts w:asciiTheme="minorEastAsia" w:hAnsiTheme="minorEastAsia" w:eastAsiaTheme="minorEastAsia"/>
        </w:rPr>
        <w:t>%</w:t>
      </w:r>
      <w:r>
        <w:rPr>
          <w:rFonts w:asciiTheme="minorEastAsia" w:hAnsiTheme="minorEastAsia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，其他牌号铝箔的局部厚度偏差应符合表2的规定。需要高精级时，应在订货单（或合同）中具体注明，未注明时按普通级供货。</w:t>
      </w:r>
    </w:p>
    <w:p>
      <w:pPr>
        <w:pStyle w:val="140"/>
        <w:tabs>
          <w:tab w:val="left" w:pos="8931"/>
        </w:tabs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/>
        </w:rPr>
        <w:t xml:space="preserve">局部厚度偏差                           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5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3262"/>
        <w:gridCol w:w="3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38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厚度</w:t>
            </w:r>
            <w:r>
              <w:rPr>
                <w:rFonts w:hint="eastAsia" w:ascii="宋体"/>
                <w:i/>
                <w:sz w:val="18"/>
              </w:rPr>
              <w:t>T</w:t>
            </w:r>
          </w:p>
        </w:tc>
        <w:tc>
          <w:tcPr>
            <w:tcW w:w="3462" w:type="pct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局部厚度允许偏差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38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高精级</w:t>
            </w:r>
          </w:p>
        </w:tc>
        <w:tc>
          <w:tcPr>
            <w:tcW w:w="1758" w:type="pct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0.0040</w:t>
            </w:r>
            <w:r>
              <w:rPr>
                <w:rFonts w:hint="eastAsia" w:ascii="宋体"/>
                <w:sz w:val="18"/>
              </w:rPr>
              <w:t>～0.0090</w:t>
            </w:r>
          </w:p>
        </w:tc>
        <w:tc>
          <w:tcPr>
            <w:tcW w:w="170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±5% </w:t>
            </w:r>
            <w:r>
              <w:rPr>
                <w:rFonts w:hint="eastAsia" w:ascii="宋体" w:hAnsi="宋体"/>
                <w:i/>
                <w:sz w:val="18"/>
              </w:rPr>
              <w:t>T</w:t>
            </w:r>
          </w:p>
        </w:tc>
        <w:tc>
          <w:tcPr>
            <w:tcW w:w="1758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±6% </w:t>
            </w:r>
            <w:r>
              <w:rPr>
                <w:rFonts w:hint="eastAsia" w:ascii="宋体" w:hAnsi="宋体"/>
                <w:i/>
                <w:sz w:val="18"/>
              </w:rPr>
              <w:t>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＞0.0090～0.2000</w:t>
            </w:r>
          </w:p>
        </w:tc>
        <w:tc>
          <w:tcPr>
            <w:tcW w:w="1704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±4% </w:t>
            </w:r>
            <w:r>
              <w:rPr>
                <w:rFonts w:hint="eastAsia" w:ascii="宋体" w:hAnsi="宋体"/>
                <w:i/>
                <w:sz w:val="18"/>
              </w:rPr>
              <w:t>T</w:t>
            </w:r>
          </w:p>
        </w:tc>
        <w:tc>
          <w:tcPr>
            <w:tcW w:w="1758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±5% </w:t>
            </w:r>
            <w:r>
              <w:rPr>
                <w:rFonts w:hint="eastAsia" w:ascii="宋体" w:hAnsi="宋体"/>
                <w:i/>
                <w:sz w:val="18"/>
              </w:rPr>
              <w:t>T</w:t>
            </w:r>
          </w:p>
        </w:tc>
      </w:tr>
    </w:tbl>
    <w:p>
      <w:pPr>
        <w:pStyle w:val="124"/>
        <w:numPr>
          <w:ilvl w:val="0"/>
          <w:numId w:val="0"/>
        </w:numPr>
        <w:rPr>
          <w:rFonts w:asciiTheme="minorEastAsia" w:hAnsiTheme="minorEastAsia" w:eastAsiaTheme="minorEastAsia"/>
        </w:rPr>
      </w:pPr>
    </w:p>
    <w:p>
      <w:pPr>
        <w:pStyle w:val="124"/>
        <w:rPr>
          <w:rFonts w:hAnsi="黑体"/>
        </w:rPr>
      </w:pPr>
      <w:r>
        <w:rPr>
          <w:rFonts w:hint="eastAsia" w:hAnsi="黑体"/>
        </w:rPr>
        <w:t>平均厚度</w:t>
      </w:r>
    </w:p>
    <w:p>
      <w:pPr>
        <w:pStyle w:val="124"/>
        <w:numPr>
          <w:ilvl w:val="0"/>
          <w:numId w:val="0"/>
        </w:num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需方对铝箔的平均厚度有要求时，应在订货单（或合同）中注明，铝箔的平均厚度偏差应符合表3的规定。</w:t>
      </w:r>
    </w:p>
    <w:p>
      <w:pPr>
        <w:pStyle w:val="140"/>
        <w:ind w:left="-2" w:leftChars="-1"/>
        <w:rPr>
          <w:sz w:val="18"/>
          <w:szCs w:val="18"/>
        </w:rPr>
      </w:pPr>
      <w:r>
        <w:rPr>
          <w:rFonts w:hint="eastAsia"/>
        </w:rPr>
        <w:t>平均厚度偏差</w:t>
      </w:r>
    </w:p>
    <w:tbl>
      <w:tblPr>
        <w:tblStyle w:val="50"/>
        <w:tblW w:w="50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8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2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卷批量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t</w:t>
            </w:r>
          </w:p>
        </w:tc>
        <w:tc>
          <w:tcPr>
            <w:tcW w:w="2528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平均</w:t>
            </w:r>
            <w:r>
              <w:rPr>
                <w:rFonts w:ascii="宋体" w:hAnsi="宋体"/>
                <w:sz w:val="18"/>
                <w:szCs w:val="18"/>
              </w:rPr>
              <w:t>厚度</w:t>
            </w:r>
            <w:r>
              <w:rPr>
                <w:rFonts w:hint="eastAsia" w:ascii="宋体" w:hAnsi="宋体"/>
                <w:sz w:val="18"/>
                <w:szCs w:val="18"/>
              </w:rPr>
              <w:t>允许</w:t>
            </w:r>
            <w:r>
              <w:rPr>
                <w:rFonts w:ascii="宋体" w:hAnsi="宋体"/>
                <w:sz w:val="18"/>
                <w:szCs w:val="18"/>
              </w:rPr>
              <w:t>偏差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72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≤3</w:t>
            </w:r>
          </w:p>
        </w:tc>
        <w:tc>
          <w:tcPr>
            <w:tcW w:w="252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±5%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＞3～10</w:t>
            </w:r>
          </w:p>
        </w:tc>
        <w:tc>
          <w:tcPr>
            <w:tcW w:w="2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±4%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7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＞10</w:t>
            </w:r>
          </w:p>
        </w:tc>
        <w:tc>
          <w:tcPr>
            <w:tcW w:w="252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±3%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</w:p>
        </w:tc>
      </w:tr>
    </w:tbl>
    <w:p>
      <w:pPr>
        <w:pStyle w:val="92"/>
        <w:numPr>
          <w:ilvl w:val="0"/>
          <w:numId w:val="0"/>
        </w:numPr>
        <w:rPr>
          <w:rFonts w:hAnsi="黑体"/>
        </w:rPr>
      </w:pP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宽度</w:t>
      </w:r>
    </w:p>
    <w:p>
      <w:pPr>
        <w:pStyle w:val="91"/>
        <w:numPr>
          <w:ilvl w:val="0"/>
          <w:numId w:val="0"/>
        </w:numPr>
        <w:rPr>
          <w:rFonts w:ascii="宋体" w:hAnsi="宋体" w:eastAsia="宋体"/>
        </w:rPr>
      </w:pPr>
      <w:r>
        <w:rPr>
          <w:rFonts w:hint="eastAsia" w:ascii="宋体" w:eastAsia="宋体"/>
        </w:rPr>
        <w:t xml:space="preserve">    铝箔的宽度偏差应符合表4的规定。</w:t>
      </w:r>
      <w:r>
        <w:rPr>
          <w:rFonts w:hint="eastAsia" w:ascii="宋体" w:hAnsi="宋体" w:eastAsia="宋体"/>
        </w:rPr>
        <w:t>需要高精级时，应在订货单（或合同）中注明，未注明时按普通级供货。</w:t>
      </w:r>
    </w:p>
    <w:p>
      <w:pPr>
        <w:pStyle w:val="140"/>
        <w:ind w:left="-2" w:leftChars="-1"/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 w:hAnsi="黑体"/>
        </w:rPr>
        <w:t>宽度偏差</w:t>
      </w:r>
      <w:r>
        <w:rPr>
          <w:rFonts w:hint="eastAsia" w:hAnsi="黑体"/>
          <w:szCs w:val="21"/>
        </w:rPr>
        <w:t xml:space="preserve">                        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   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5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3386"/>
        <w:gridCol w:w="3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50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宽度</w:t>
            </w:r>
          </w:p>
        </w:tc>
        <w:tc>
          <w:tcPr>
            <w:tcW w:w="3750" w:type="pct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宽度允许偏差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5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69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高精级</w:t>
            </w:r>
          </w:p>
        </w:tc>
        <w:tc>
          <w:tcPr>
            <w:tcW w:w="1981" w:type="pc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5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≤200.0</w:t>
            </w:r>
          </w:p>
        </w:tc>
        <w:tc>
          <w:tcPr>
            <w:tcW w:w="1769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±0.5</w:t>
            </w:r>
          </w:p>
        </w:tc>
        <w:tc>
          <w:tcPr>
            <w:tcW w:w="1981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0" w:type="pc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＞200.0～1200.0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5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＞1200.0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±2.0</w:t>
            </w:r>
          </w:p>
        </w:tc>
      </w:tr>
    </w:tbl>
    <w:p>
      <w:pPr>
        <w:pStyle w:val="89"/>
        <w:ind w:firstLine="0" w:firstLineChars="0"/>
      </w:pP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长度、卷外径</w:t>
      </w:r>
    </w:p>
    <w:p>
      <w:pPr>
        <w:pStyle w:val="89"/>
        <w:ind w:firstLine="420"/>
        <w:rPr>
          <w:rFonts w:hAnsi="宋体"/>
          <w:sz w:val="21"/>
          <w:szCs w:val="21"/>
        </w:rPr>
      </w:pPr>
      <w:r>
        <w:rPr>
          <w:rFonts w:hint="eastAsia"/>
          <w:sz w:val="21"/>
          <w:szCs w:val="21"/>
        </w:rPr>
        <w:t>定尺交货的铝箔，长度偏差由供需双方协商确定，并在</w:t>
      </w:r>
      <w:r>
        <w:rPr>
          <w:rFonts w:hint="eastAsia" w:hAnsi="宋体"/>
          <w:sz w:val="21"/>
          <w:szCs w:val="21"/>
        </w:rPr>
        <w:t>订货单（或合同）中注明。</w:t>
      </w:r>
      <w:r>
        <w:rPr>
          <w:rFonts w:hint="eastAsia"/>
          <w:sz w:val="21"/>
          <w:szCs w:val="21"/>
        </w:rPr>
        <w:t>非定尺交货的铝箔，长度或卷外径偏差宜符合表5的规定</w:t>
      </w:r>
      <w:r>
        <w:rPr>
          <w:rFonts w:hint="eastAsia" w:hAnsi="宋体"/>
          <w:sz w:val="21"/>
          <w:szCs w:val="21"/>
        </w:rPr>
        <w:t>。</w:t>
      </w:r>
    </w:p>
    <w:p>
      <w:pPr>
        <w:pStyle w:val="140"/>
        <w:ind w:left="-2" w:leftChars="-1"/>
        <w:rPr>
          <w:rFonts w:ascii="宋体" w:hAnsi="宋体" w:eastAsia="宋体"/>
          <w:sz w:val="18"/>
          <w:szCs w:val="18"/>
        </w:rPr>
      </w:pPr>
      <w:r>
        <w:rPr>
          <w:rFonts w:hint="eastAsia" w:hAnsi="黑体"/>
        </w:rPr>
        <w:t>长度或卷外径偏差</w:t>
      </w:r>
    </w:p>
    <w:tbl>
      <w:tblPr>
        <w:tblStyle w:val="5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52"/>
        <w:gridCol w:w="2052"/>
        <w:gridCol w:w="1935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4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卷外径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mm</w:t>
            </w:r>
          </w:p>
        </w:tc>
        <w:tc>
          <w:tcPr>
            <w:tcW w:w="2144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vertAlign w:val="superscript"/>
              </w:rPr>
            </w:pPr>
            <w:r>
              <w:rPr>
                <w:rFonts w:hint="eastAsia" w:ascii="宋体"/>
                <w:sz w:val="18"/>
              </w:rPr>
              <w:t>长度</w:t>
            </w:r>
            <w:r>
              <w:rPr>
                <w:rFonts w:hint="eastAsia" w:ascii="宋体"/>
                <w:i/>
                <w:sz w:val="18"/>
              </w:rPr>
              <w:t>L的</w:t>
            </w:r>
            <w:r>
              <w:rPr>
                <w:rFonts w:hint="eastAsia" w:ascii="宋体"/>
                <w:sz w:val="18"/>
              </w:rPr>
              <w:t>允许偏差</w:t>
            </w:r>
            <w:r>
              <w:rPr>
                <w:rFonts w:hint="eastAsia" w:ascii="宋体"/>
                <w:sz w:val="18"/>
                <w:vertAlign w:val="superscript"/>
              </w:rPr>
              <w:t>a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</w:t>
            </w:r>
          </w:p>
        </w:tc>
        <w:tc>
          <w:tcPr>
            <w:tcW w:w="2142" w:type="pct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卷外径允许偏差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72" w:type="pct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每批中个数不少于80%的铝卷</w:t>
            </w:r>
          </w:p>
        </w:tc>
        <w:tc>
          <w:tcPr>
            <w:tcW w:w="1072" w:type="pct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每批中个数少于20%的铝卷</w:t>
            </w:r>
          </w:p>
        </w:tc>
        <w:tc>
          <w:tcPr>
            <w:tcW w:w="1011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每批中个数不少于80%的铝卷</w:t>
            </w:r>
          </w:p>
        </w:tc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每批中个数少于20%的铝卷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4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≤450</w:t>
            </w:r>
          </w:p>
        </w:tc>
        <w:tc>
          <w:tcPr>
            <w:tcW w:w="107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±2%</w:t>
            </w:r>
            <w:r>
              <w:rPr>
                <w:rFonts w:hint="eastAsia" w:ascii="宋体"/>
                <w:i/>
                <w:sz w:val="18"/>
              </w:rPr>
              <w:t xml:space="preserve"> L</w:t>
            </w:r>
          </w:p>
        </w:tc>
        <w:tc>
          <w:tcPr>
            <w:tcW w:w="1072" w:type="pct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±5%</w:t>
            </w:r>
            <w:r>
              <w:rPr>
                <w:rFonts w:hint="eastAsia" w:ascii="宋体"/>
                <w:i/>
                <w:sz w:val="18"/>
              </w:rPr>
              <w:t xml:space="preserve"> L</w:t>
            </w:r>
          </w:p>
        </w:tc>
        <w:tc>
          <w:tcPr>
            <w:tcW w:w="2142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4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＞450</w:t>
            </w:r>
          </w:p>
        </w:tc>
        <w:tc>
          <w:tcPr>
            <w:tcW w:w="2144" w:type="pct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-</w:t>
            </w:r>
          </w:p>
        </w:tc>
        <w:tc>
          <w:tcPr>
            <w:tcW w:w="1011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±10</w:t>
            </w:r>
          </w:p>
        </w:tc>
        <w:tc>
          <w:tcPr>
            <w:tcW w:w="1131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±20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/>
                <w:sz w:val="18"/>
                <w:szCs w:val="18"/>
              </w:rPr>
              <w:t>当订货单（或合同）中要求单向偏差时，其允许偏差值应为表中对应数值的2倍。</w:t>
            </w:r>
          </w:p>
        </w:tc>
      </w:tr>
    </w:tbl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错层、塔形</w:t>
      </w:r>
    </w:p>
    <w:p>
      <w:pPr>
        <w:pStyle w:val="140"/>
        <w:numPr>
          <w:ilvl w:val="0"/>
          <w:numId w:val="0"/>
        </w:numPr>
        <w:ind w:firstLine="420" w:firstLineChars="200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t>铝箔</w:t>
      </w:r>
      <w:r>
        <w:rPr>
          <w:rFonts w:hint="eastAsia" w:ascii="宋体" w:hAnsi="宋体" w:eastAsia="宋体"/>
        </w:rPr>
        <w:t>卷</w:t>
      </w:r>
      <w:r>
        <w:rPr>
          <w:rFonts w:ascii="宋体" w:hAnsi="宋体" w:eastAsia="宋体"/>
        </w:rPr>
        <w:t>端面错层</w:t>
      </w:r>
      <w:r>
        <w:rPr>
          <w:rFonts w:hint="eastAsia" w:ascii="宋体" w:hAnsi="宋体" w:eastAsia="宋体"/>
        </w:rPr>
        <w:t>和塔形应符合表6的规定，需要高精级时，应在订货单（或合同）中注明，未注明时按普通级供货。</w:t>
      </w:r>
    </w:p>
    <w:p>
      <w:pPr>
        <w:pStyle w:val="140"/>
        <w:ind w:left="-2" w:leftChars="-1"/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 w:hAnsi="黑体"/>
        </w:rPr>
        <w:t>错层、塔形要求</w:t>
      </w:r>
      <w:r>
        <w:rPr>
          <w:rFonts w:hint="eastAsia" w:hAnsi="黑体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   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5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5"/>
        <w:gridCol w:w="2257"/>
        <w:gridCol w:w="2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02" w:type="pct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错层</w:t>
            </w:r>
          </w:p>
        </w:tc>
        <w:tc>
          <w:tcPr>
            <w:tcW w:w="2498" w:type="pct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塔形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251" w:type="pct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高精级</w:t>
            </w:r>
          </w:p>
        </w:tc>
        <w:tc>
          <w:tcPr>
            <w:tcW w:w="1251" w:type="pct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普通级</w:t>
            </w:r>
          </w:p>
        </w:tc>
        <w:tc>
          <w:tcPr>
            <w:tcW w:w="1179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高精级</w:t>
            </w:r>
          </w:p>
        </w:tc>
        <w:tc>
          <w:tcPr>
            <w:tcW w:w="1319" w:type="pct"/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51" w:type="pct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</w:rPr>
              <w:t>≤0.5</w:t>
            </w:r>
          </w:p>
        </w:tc>
        <w:tc>
          <w:tcPr>
            <w:tcW w:w="1251" w:type="pct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</w:rPr>
              <w:t>≤1.0</w:t>
            </w:r>
          </w:p>
        </w:tc>
        <w:tc>
          <w:tcPr>
            <w:tcW w:w="1179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≤1.0</w:t>
            </w:r>
          </w:p>
        </w:tc>
        <w:tc>
          <w:tcPr>
            <w:tcW w:w="1319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≤2.0</w:t>
            </w:r>
          </w:p>
        </w:tc>
      </w:tr>
    </w:tbl>
    <w:p>
      <w:pPr>
        <w:pStyle w:val="89"/>
        <w:ind w:firstLine="0" w:firstLineChars="0"/>
      </w:pP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室温拉伸力学性能</w:t>
      </w:r>
    </w:p>
    <w:p>
      <w:pPr>
        <w:pStyle w:val="92"/>
        <w:numPr>
          <w:ilvl w:val="0"/>
          <w:numId w:val="0"/>
        </w:numPr>
        <w:ind w:firstLine="420" w:firstLineChars="200"/>
      </w:pPr>
      <w:r>
        <w:rPr>
          <w:rFonts w:hint="eastAsia" w:ascii="宋体" w:hAnsi="宋体" w:eastAsia="宋体"/>
        </w:rPr>
        <w:t>铝箔的室温拉伸试验结果应符合表7的规定。需方有特殊要求时，由供需双方协商确定，并在</w:t>
      </w:r>
      <w:r>
        <w:rPr>
          <w:rFonts w:hint="eastAsia" w:asciiTheme="minorEastAsia" w:hAnsiTheme="minorEastAsia" w:eastAsiaTheme="minorEastAsia"/>
        </w:rPr>
        <w:t>订货单（或合同）中注明。</w:t>
      </w:r>
    </w:p>
    <w:p>
      <w:pPr>
        <w:pStyle w:val="140"/>
        <w:tabs>
          <w:tab w:val="left" w:pos="3969"/>
        </w:tabs>
        <w:ind w:left="-2" w:leftChars="-1" w:firstLine="2"/>
        <w:rPr>
          <w:rFonts w:hAnsi="黑体"/>
        </w:rPr>
      </w:pPr>
      <w:r>
        <w:rPr>
          <w:rFonts w:hint="eastAsia" w:hAnsi="黑体"/>
        </w:rPr>
        <w:t>室温拉伸力学性能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91"/>
        <w:gridCol w:w="2071"/>
        <w:gridCol w:w="1773"/>
        <w:gridCol w:w="1093"/>
        <w:gridCol w:w="16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牌号</w:t>
            </w:r>
          </w:p>
        </w:tc>
        <w:tc>
          <w:tcPr>
            <w:tcW w:w="831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状态</w:t>
            </w:r>
          </w:p>
        </w:tc>
        <w:tc>
          <w:tcPr>
            <w:tcW w:w="1082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厚度</w:t>
            </w:r>
            <w:r>
              <w:rPr>
                <w:rFonts w:ascii="宋体" w:hAnsi="宋体"/>
                <w:i/>
                <w:sz w:val="18"/>
                <w:szCs w:val="18"/>
              </w:rPr>
              <w:t>T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352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室温拉伸试验结果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抗拉强度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Cs w:val="21"/>
                <w:vertAlign w:val="subscript"/>
              </w:rPr>
              <w:t>m</w:t>
            </w:r>
          </w:p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断后伸长率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不小于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50mm</w:t>
            </w:r>
          </w:p>
        </w:tc>
        <w:tc>
          <w:tcPr>
            <w:tcW w:w="855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100mm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1035、1050、1060、1070、1100、1145、1200、1235</w:t>
            </w:r>
          </w:p>
        </w:tc>
        <w:tc>
          <w:tcPr>
            <w:tcW w:w="831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0.004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＜</w:t>
            </w:r>
            <w:r>
              <w:rPr>
                <w:rFonts w:ascii="宋体" w:hAnsi="宋体"/>
                <w:sz w:val="18"/>
                <w:szCs w:val="18"/>
              </w:rPr>
              <w:t>0.0060</w:t>
            </w:r>
          </w:p>
        </w:tc>
        <w:tc>
          <w:tcPr>
            <w:tcW w:w="926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45～95</w:t>
            </w:r>
          </w:p>
        </w:tc>
        <w:tc>
          <w:tcPr>
            <w:tcW w:w="571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tcBorders>
              <w:top w:val="single" w:color="auto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0.0060～</w:t>
            </w:r>
            <w:r>
              <w:rPr>
                <w:rFonts w:hint="eastAsia" w:ascii="宋体" w:hAnsi="宋体"/>
                <w:sz w:val="18"/>
                <w:szCs w:val="18"/>
              </w:rPr>
              <w:t>0.0090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45～100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＞0.0090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0.0250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45～105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＞0.0250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50～105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55～105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＞0.0900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0.1400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60～115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＞0.1400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60～115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0.004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0.0250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＞0.0250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90～135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90～135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＞0.0900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0.1400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90～135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＞0.1400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90～135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H14、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H24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0.004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0.0250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＞0.0250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＞0.0900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0.1400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＞0.1400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H16、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0.004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0.0250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＞0.0250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125～180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＞0.0900</w:t>
            </w:r>
            <w:r>
              <w:rPr>
                <w:rFonts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125～180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0.0060～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≥140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0.0060～</w:t>
            </w:r>
            <w:r>
              <w:rPr>
                <w:rFonts w:hint="eastAsia" w:ascii="宋体" w:hAnsi="宋体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2A11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0.030</w:t>
            </w:r>
            <w:r>
              <w:rPr>
                <w:rFonts w:hint="eastAsia" w:ascii="宋体" w:hAnsi="宋体"/>
                <w:sz w:val="18"/>
                <w:szCs w:val="18"/>
              </w:rPr>
              <w:t>0～</w:t>
            </w:r>
            <w:r>
              <w:rPr>
                <w:rFonts w:ascii="宋体" w:hAnsi="宋体"/>
                <w:sz w:val="18"/>
                <w:szCs w:val="18"/>
              </w:rPr>
              <w:t>0.049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195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hint="eastAsia" w:ascii="宋体" w:hAnsi="宋体"/>
                <w:sz w:val="18"/>
                <w:szCs w:val="18"/>
              </w:rPr>
              <w:t>490～</w:t>
            </w:r>
            <w:r>
              <w:rPr>
                <w:rFonts w:ascii="宋体" w:hAnsi="宋体"/>
                <w:sz w:val="18"/>
                <w:szCs w:val="18"/>
              </w:rPr>
              <w:t>0.200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195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0.030</w:t>
            </w:r>
            <w:r>
              <w:rPr>
                <w:rFonts w:hint="eastAsia" w:ascii="宋体" w:hAnsi="宋体"/>
                <w:sz w:val="18"/>
                <w:szCs w:val="18"/>
              </w:rPr>
              <w:t>0～</w:t>
            </w:r>
            <w:r>
              <w:rPr>
                <w:rFonts w:ascii="宋体" w:hAnsi="宋体"/>
                <w:sz w:val="18"/>
                <w:szCs w:val="18"/>
              </w:rPr>
              <w:t>0.049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205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hint="eastAsia" w:ascii="宋体" w:hAnsi="宋体"/>
                <w:sz w:val="18"/>
                <w:szCs w:val="18"/>
              </w:rPr>
              <w:t>490～</w:t>
            </w:r>
            <w:r>
              <w:rPr>
                <w:rFonts w:ascii="宋体" w:hAnsi="宋体"/>
                <w:sz w:val="18"/>
                <w:szCs w:val="18"/>
              </w:rPr>
              <w:t>0.200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215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2024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0.030</w:t>
            </w:r>
            <w:r>
              <w:rPr>
                <w:rFonts w:hint="eastAsia" w:ascii="宋体" w:hAnsi="宋体"/>
                <w:sz w:val="18"/>
                <w:szCs w:val="18"/>
              </w:rPr>
              <w:t>0～</w:t>
            </w:r>
            <w:r>
              <w:rPr>
                <w:rFonts w:ascii="宋体" w:hAnsi="宋体"/>
                <w:sz w:val="18"/>
                <w:szCs w:val="18"/>
              </w:rPr>
              <w:t>0.049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195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hint="eastAsia" w:ascii="宋体" w:hAnsi="宋体"/>
                <w:sz w:val="18"/>
                <w:szCs w:val="18"/>
              </w:rPr>
              <w:t>490～</w:t>
            </w:r>
            <w:r>
              <w:rPr>
                <w:rFonts w:ascii="宋体" w:hAnsi="宋体"/>
                <w:sz w:val="18"/>
                <w:szCs w:val="18"/>
              </w:rPr>
              <w:t>0.200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205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0.030</w:t>
            </w:r>
            <w:r>
              <w:rPr>
                <w:rFonts w:hint="eastAsia" w:ascii="宋体" w:hAnsi="宋体"/>
                <w:sz w:val="18"/>
                <w:szCs w:val="18"/>
              </w:rPr>
              <w:t>0～</w:t>
            </w:r>
            <w:r>
              <w:rPr>
                <w:rFonts w:ascii="宋体" w:hAnsi="宋体"/>
                <w:sz w:val="18"/>
                <w:szCs w:val="18"/>
              </w:rPr>
              <w:t>0.049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225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hint="eastAsia" w:ascii="宋体" w:hAnsi="宋体"/>
                <w:sz w:val="18"/>
                <w:szCs w:val="18"/>
              </w:rPr>
              <w:t>490～</w:t>
            </w:r>
            <w:r>
              <w:rPr>
                <w:rFonts w:ascii="宋体" w:hAnsi="宋体"/>
                <w:sz w:val="18"/>
                <w:szCs w:val="18"/>
              </w:rPr>
              <w:t>0.200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245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0.0090～0.0120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80～135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＞0.0180～0.2000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80～140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H12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sz w:val="18"/>
                <w:szCs w:val="18"/>
              </w:rPr>
              <w:t>1500</w:t>
            </w:r>
            <w:r>
              <w:rPr>
                <w:rFonts w:ascii="宋体" w:hAnsi="宋体"/>
                <w:sz w:val="18"/>
                <w:szCs w:val="18"/>
              </w:rPr>
              <w:t>～0.</w:t>
            </w: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  <w:r>
              <w:rPr>
                <w:rFonts w:ascii="宋体" w:hAnsi="宋体"/>
                <w:sz w:val="18"/>
                <w:szCs w:val="18"/>
              </w:rPr>
              <w:t>0～</w:t>
            </w:r>
            <w:r>
              <w:rPr>
                <w:rFonts w:hint="eastAsia" w:ascii="宋体" w:hAnsi="宋体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</w:t>
            </w:r>
            <w:r>
              <w:rPr>
                <w:rFonts w:hint="eastAsia"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～0.05</w:t>
            </w: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  <w:r>
              <w:rPr>
                <w:rFonts w:ascii="宋体" w:hAnsi="宋体"/>
                <w:sz w:val="18"/>
                <w:szCs w:val="18"/>
              </w:rPr>
              <w:t>0～</w:t>
            </w:r>
            <w:r>
              <w:rPr>
                <w:rFonts w:hint="eastAsia" w:ascii="宋体" w:hAnsi="宋体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＞0.0500～0.2000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  <w:r>
              <w:rPr>
                <w:rFonts w:ascii="宋体" w:hAnsi="宋体"/>
                <w:sz w:val="18"/>
                <w:szCs w:val="18"/>
              </w:rPr>
              <w:t>0～</w:t>
            </w:r>
            <w:r>
              <w:rPr>
                <w:rFonts w:hint="eastAsia" w:ascii="宋体" w:hAnsi="宋体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</w:tbl>
    <w:p>
      <w:pPr>
        <w:pStyle w:val="140"/>
        <w:numPr>
          <w:ilvl w:val="0"/>
          <w:numId w:val="0"/>
        </w:numPr>
        <w:ind w:left="-2"/>
        <w:rPr>
          <w:rFonts w:asciiTheme="minorEastAsia" w:hAnsiTheme="minorEastAsia" w:eastAsiaTheme="minorEastAsia"/>
        </w:rPr>
      </w:pPr>
      <w:r>
        <w:rPr>
          <w:rFonts w:hint="eastAsia" w:hAnsi="黑体"/>
        </w:rPr>
        <w:t xml:space="preserve">表7 </w:t>
      </w:r>
      <w:r>
        <w:rPr>
          <w:rFonts w:hint="eastAsia" w:asciiTheme="minorEastAsia" w:hAnsiTheme="minorEastAsia" w:eastAsiaTheme="minorEastAsia"/>
        </w:rPr>
        <w:t>（续）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91"/>
        <w:gridCol w:w="2071"/>
        <w:gridCol w:w="1773"/>
        <w:gridCol w:w="1093"/>
        <w:gridCol w:w="16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牌号</w:t>
            </w:r>
          </w:p>
        </w:tc>
        <w:tc>
          <w:tcPr>
            <w:tcW w:w="831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状态</w:t>
            </w:r>
          </w:p>
        </w:tc>
        <w:tc>
          <w:tcPr>
            <w:tcW w:w="1082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厚度</w:t>
            </w:r>
            <w:r>
              <w:rPr>
                <w:rFonts w:ascii="宋体" w:hAnsi="宋体"/>
                <w:i/>
                <w:sz w:val="18"/>
                <w:szCs w:val="18"/>
              </w:rPr>
              <w:t>T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352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室温拉伸试验结果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抗拉强度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Cs w:val="21"/>
                <w:vertAlign w:val="subscript"/>
              </w:rPr>
              <w:t>m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断后伸长率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不小于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50m</w:t>
            </w:r>
            <w:r>
              <w:rPr>
                <w:rFonts w:hint="eastAsia" w:ascii="宋体" w:hAnsi="宋体"/>
                <w:i/>
                <w:szCs w:val="21"/>
                <w:vertAlign w:val="subscript"/>
              </w:rPr>
              <w:t>m</w:t>
            </w:r>
          </w:p>
        </w:tc>
        <w:tc>
          <w:tcPr>
            <w:tcW w:w="855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100mm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H14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H24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0.0270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0.1000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≥170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0.1000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≥170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0.0100～0.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≥190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0.0170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0.1500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≥200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3004、3104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0.1200～0.2000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≥280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3005、3105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0.1500～0.2000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≥230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3102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0.0800～0.2000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≥200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3104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0.0300～0.1500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155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195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5A02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0.049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≤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195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≤195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H16、H26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255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265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5B02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300～0.0400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5005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0.1300～0.1600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00～140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5052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225</w:t>
            </w:r>
          </w:p>
        </w:tc>
        <w:tc>
          <w:tcPr>
            <w:tcW w:w="571" w:type="pct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H14、H24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250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300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H16、H26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270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0.05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275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＞0.1000～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0.20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8006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135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＞0.009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0～0.0900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15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0.0350～0.0900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120～150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120～150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120～150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H24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0.0350～0.0900</w:t>
            </w: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125～150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125～155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125～155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18"/>
                <w:szCs w:val="18"/>
              </w:rPr>
              <w:t>130～160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pStyle w:val="89"/>
              <w:widowControl w:val="0"/>
              <w:spacing w:line="2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18"/>
                <w:szCs w:val="18"/>
              </w:rPr>
              <w:t>130～160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0.0180～0.0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≥140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＞0.0250～0.0400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≥150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＞0.0400～0.0900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＞0.0900～0.2000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8021、8021B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06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60～110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0.0060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09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110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＞0.0090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75～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25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0.0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90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8011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8011A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8079、8111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0.0050～0.00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100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＞0.0090～0.0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55～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110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</w:tbl>
    <w:p>
      <w:pPr>
        <w:pStyle w:val="140"/>
        <w:numPr>
          <w:ilvl w:val="0"/>
          <w:numId w:val="0"/>
        </w:numPr>
        <w:ind w:left="-2"/>
        <w:rPr>
          <w:rFonts w:hAnsi="黑体"/>
          <w:szCs w:val="21"/>
        </w:rPr>
      </w:pPr>
    </w:p>
    <w:p>
      <w:pPr>
        <w:pStyle w:val="140"/>
        <w:numPr>
          <w:ilvl w:val="0"/>
          <w:numId w:val="0"/>
        </w:numPr>
        <w:ind w:left="-2"/>
        <w:rPr>
          <w:rFonts w:asciiTheme="minorEastAsia" w:hAnsiTheme="minorEastAsia" w:eastAsiaTheme="minorEastAsia"/>
          <w:szCs w:val="21"/>
        </w:rPr>
      </w:pPr>
      <w:r>
        <w:rPr>
          <w:rFonts w:hint="eastAsia" w:hAnsi="黑体"/>
          <w:szCs w:val="21"/>
        </w:rPr>
        <w:t>表7</w:t>
      </w:r>
      <w:r>
        <w:rPr>
          <w:rFonts w:hint="eastAsia" w:asciiTheme="minorEastAsia" w:hAnsiTheme="minorEastAsia" w:eastAsiaTheme="minorEastAsia"/>
          <w:szCs w:val="21"/>
        </w:rPr>
        <w:t xml:space="preserve"> （续）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91"/>
        <w:gridCol w:w="2071"/>
        <w:gridCol w:w="1773"/>
        <w:gridCol w:w="1093"/>
        <w:gridCol w:w="16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牌号</w:t>
            </w:r>
          </w:p>
        </w:tc>
        <w:tc>
          <w:tcPr>
            <w:tcW w:w="831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状态</w:t>
            </w:r>
          </w:p>
        </w:tc>
        <w:tc>
          <w:tcPr>
            <w:tcW w:w="1082" w:type="pct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厚度</w:t>
            </w:r>
            <w:r>
              <w:rPr>
                <w:rFonts w:asciiTheme="minorEastAsia" w:hAnsiTheme="minorEastAsia" w:eastAsiaTheme="minorEastAsia"/>
                <w:i/>
                <w:sz w:val="18"/>
                <w:szCs w:val="18"/>
              </w:rPr>
              <w:t>T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mm</w:t>
            </w:r>
          </w:p>
        </w:tc>
        <w:tc>
          <w:tcPr>
            <w:tcW w:w="2352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室温拉伸试验结果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抗拉强度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Cs w:val="21"/>
                <w:vertAlign w:val="subscript"/>
              </w:rPr>
              <w:t>m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断后伸长率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不小于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6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50m</w:t>
            </w:r>
            <w:r>
              <w:rPr>
                <w:rFonts w:hint="eastAsia" w:ascii="宋体" w:hAnsi="宋体"/>
                <w:i/>
                <w:szCs w:val="21"/>
                <w:vertAlign w:val="subscript"/>
              </w:rPr>
              <w:t>m</w:t>
            </w:r>
          </w:p>
        </w:tc>
        <w:tc>
          <w:tcPr>
            <w:tcW w:w="855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szCs w:val="21"/>
                <w:vertAlign w:val="subscript"/>
              </w:rPr>
              <w:t>100mm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8011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8011A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8079、8111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H22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150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150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150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150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H14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H24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00～0.090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170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6" w:space="0"/>
              <w:lef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color="000000" w:sz="6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400</w:t>
            </w:r>
          </w:p>
        </w:tc>
        <w:tc>
          <w:tcPr>
            <w:tcW w:w="926" w:type="pct"/>
            <w:tcBorders>
              <w:top w:val="single" w:color="000000" w:sz="6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170</w:t>
            </w:r>
          </w:p>
        </w:tc>
        <w:tc>
          <w:tcPr>
            <w:tcW w:w="571" w:type="pct"/>
            <w:tcBorders>
              <w:top w:val="single" w:color="000000" w:sz="6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color="000000" w:sz="6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170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H26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0～0.0090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190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55" w:type="pct"/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＞0.0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190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5" w:type="pct"/>
            <w:shd w:val="clear" w:color="auto" w:fill="auto"/>
          </w:tcPr>
          <w:p>
            <w:pPr>
              <w:pStyle w:val="215"/>
              <w:snapToGrid w:val="0"/>
              <w:spacing w:line="200" w:lineRule="exact"/>
              <w:ind w:left="4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H18</w:t>
            </w:r>
          </w:p>
        </w:tc>
        <w:tc>
          <w:tcPr>
            <w:tcW w:w="1082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0.0100～0.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160</w:t>
            </w:r>
          </w:p>
        </w:tc>
        <w:tc>
          <w:tcPr>
            <w:tcW w:w="571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pct"/>
            <w:vMerge w:val="continue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1" w:type="pct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H19</w:t>
            </w:r>
          </w:p>
        </w:tc>
        <w:tc>
          <w:tcPr>
            <w:tcW w:w="1082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0.0200～0.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926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≥170</w:t>
            </w:r>
          </w:p>
        </w:tc>
        <w:tc>
          <w:tcPr>
            <w:tcW w:w="571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  <w:tc>
          <w:tcPr>
            <w:tcW w:w="855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napToGrid w:val="0"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－</w:t>
            </w:r>
          </w:p>
        </w:tc>
      </w:tr>
    </w:tbl>
    <w:p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针孔</w:t>
      </w:r>
    </w:p>
    <w:p>
      <w:pPr>
        <w:pStyle w:val="92"/>
        <w:ind w:left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铝箔的针孔个数、针孔直径应符合表8的规定。</w:t>
      </w:r>
      <w:r>
        <w:rPr>
          <w:rFonts w:hint="eastAsia" w:asciiTheme="minorEastAsia" w:hAnsiTheme="minorEastAsia" w:eastAsiaTheme="minorEastAsia"/>
        </w:rPr>
        <w:t>需要高精级或超高精级时，应在订货单（或合同）中注明，未注明时按普通级供货。</w:t>
      </w:r>
    </w:p>
    <w:p>
      <w:pPr>
        <w:pStyle w:val="140"/>
        <w:tabs>
          <w:tab w:val="left" w:pos="3969"/>
        </w:tabs>
        <w:ind w:left="-2" w:leftChars="-1" w:firstLine="2"/>
        <w:rPr>
          <w:rFonts w:ascii="宋体" w:hAnsi="宋体" w:eastAsia="宋体"/>
          <w:sz w:val="18"/>
          <w:szCs w:val="18"/>
        </w:rPr>
      </w:pPr>
      <w:r>
        <w:rPr>
          <w:rFonts w:hint="eastAsia" w:hAnsi="黑体"/>
        </w:rPr>
        <w:t>针孔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71"/>
        <w:gridCol w:w="812"/>
        <w:gridCol w:w="798"/>
        <w:gridCol w:w="882"/>
        <w:gridCol w:w="796"/>
        <w:gridCol w:w="810"/>
        <w:gridCol w:w="1016"/>
        <w:gridCol w:w="823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厚度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648" w:type="pct"/>
            <w:gridSpan w:val="6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针孔</w:t>
            </w:r>
            <w:r>
              <w:rPr>
                <w:rFonts w:hint="eastAsia"/>
                <w:sz w:val="18"/>
                <w:szCs w:val="18"/>
              </w:rPr>
              <w:t>个数，不大于</w:t>
            </w:r>
          </w:p>
        </w:tc>
        <w:tc>
          <w:tcPr>
            <w:tcW w:w="1344" w:type="pct"/>
            <w:gridSpan w:val="3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针孔直径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任意1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1300" w:type="pct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82" w:rightChars="-3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任意</w:t>
            </w:r>
            <w:r>
              <w:rPr>
                <w:rFonts w:ascii="宋体" w:hAnsi="宋体"/>
                <w:sz w:val="18"/>
                <w:szCs w:val="18"/>
              </w:rPr>
              <w:t>4mm×4mm或1mm×16mm</w:t>
            </w:r>
          </w:p>
          <w:p>
            <w:pPr>
              <w:spacing w:line="240" w:lineRule="exact"/>
              <w:ind w:right="-82" w:rightChars="-3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面积上的针孔个数</w:t>
            </w:r>
          </w:p>
        </w:tc>
        <w:tc>
          <w:tcPr>
            <w:tcW w:w="1344" w:type="pct"/>
            <w:gridSpan w:val="3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超高精级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高精级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61" w:rightChars="-2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普通级</w:t>
            </w:r>
          </w:p>
        </w:tc>
        <w:tc>
          <w:tcPr>
            <w:tcW w:w="461" w:type="pct"/>
            <w:tcBorders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超高精级</w:t>
            </w:r>
          </w:p>
        </w:tc>
        <w:tc>
          <w:tcPr>
            <w:tcW w:w="416" w:type="pct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高精级</w:t>
            </w:r>
          </w:p>
        </w:tc>
        <w:tc>
          <w:tcPr>
            <w:tcW w:w="423" w:type="pct"/>
            <w:tcBorders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普通级</w:t>
            </w:r>
          </w:p>
        </w:tc>
        <w:tc>
          <w:tcPr>
            <w:tcW w:w="531" w:type="pct"/>
            <w:tcBorders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超高精级</w:t>
            </w:r>
          </w:p>
        </w:tc>
        <w:tc>
          <w:tcPr>
            <w:tcW w:w="430" w:type="pct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高精级</w:t>
            </w:r>
          </w:p>
        </w:tc>
        <w:tc>
          <w:tcPr>
            <w:tcW w:w="383" w:type="pct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-525"/>
              </w:tabs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0.0040～＜0.0060</w:t>
            </w:r>
          </w:p>
        </w:tc>
        <w:tc>
          <w:tcPr>
            <w:tcW w:w="1348" w:type="pct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供需双方商定</w:t>
            </w:r>
          </w:p>
        </w:tc>
        <w:tc>
          <w:tcPr>
            <w:tcW w:w="461" w:type="pct"/>
            <w:vMerge w:val="restart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416" w:type="pct"/>
            <w:vMerge w:val="restart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7 </w:t>
            </w:r>
          </w:p>
        </w:tc>
        <w:tc>
          <w:tcPr>
            <w:tcW w:w="423" w:type="pct"/>
            <w:vMerge w:val="restart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0.1 </w:t>
            </w:r>
          </w:p>
        </w:tc>
        <w:tc>
          <w:tcPr>
            <w:tcW w:w="43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0.2 </w:t>
            </w:r>
          </w:p>
        </w:tc>
        <w:tc>
          <w:tcPr>
            <w:tcW w:w="383" w:type="pct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-525"/>
              </w:tabs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0.0060</w:t>
            </w:r>
          </w:p>
        </w:tc>
        <w:tc>
          <w:tcPr>
            <w:tcW w:w="507" w:type="pct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500</w:t>
            </w:r>
          </w:p>
        </w:tc>
        <w:tc>
          <w:tcPr>
            <w:tcW w:w="424" w:type="pct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417" w:type="pct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1500</w:t>
            </w:r>
          </w:p>
        </w:tc>
        <w:tc>
          <w:tcPr>
            <w:tcW w:w="46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right="-94" w:rightChars="-4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＞0.0060～0.0065</w:t>
            </w:r>
          </w:p>
        </w:tc>
        <w:tc>
          <w:tcPr>
            <w:tcW w:w="507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400</w:t>
            </w:r>
          </w:p>
        </w:tc>
        <w:tc>
          <w:tcPr>
            <w:tcW w:w="424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46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＞0.0065～0.0070</w:t>
            </w:r>
          </w:p>
        </w:tc>
        <w:tc>
          <w:tcPr>
            <w:tcW w:w="50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424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41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500</w:t>
            </w:r>
          </w:p>
        </w:tc>
        <w:tc>
          <w:tcPr>
            <w:tcW w:w="46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＞0.0070～0.0090</w:t>
            </w:r>
          </w:p>
        </w:tc>
        <w:tc>
          <w:tcPr>
            <w:tcW w:w="50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424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41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46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＞0.0090～0.0120</w:t>
            </w:r>
          </w:p>
        </w:tc>
        <w:tc>
          <w:tcPr>
            <w:tcW w:w="50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424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41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46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＞0.0120～0.0180</w:t>
            </w:r>
          </w:p>
        </w:tc>
        <w:tc>
          <w:tcPr>
            <w:tcW w:w="507" w:type="pct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424" w:type="pct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417" w:type="pct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1300" w:type="pct"/>
            <w:gridSpan w:val="3"/>
            <w:vMerge w:val="restar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＞0.0180～0.0200</w:t>
            </w:r>
          </w:p>
        </w:tc>
        <w:tc>
          <w:tcPr>
            <w:tcW w:w="507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417" w:type="pc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300" w:type="pct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＞0.0200～0.0400</w:t>
            </w:r>
          </w:p>
        </w:tc>
        <w:tc>
          <w:tcPr>
            <w:tcW w:w="50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300" w:type="pct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＞0.0400</w:t>
            </w:r>
          </w:p>
        </w:tc>
        <w:tc>
          <w:tcPr>
            <w:tcW w:w="507" w:type="pct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300" w:type="pct"/>
            <w:gridSpan w:val="3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31" w:type="pct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" w:type="pct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>
      <w:pPr>
        <w:pStyle w:val="92"/>
        <w:ind w:left="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需方要求在线检测针孔时，针孔个数、针孔直径由供需双方协商确定，并在订货单（或合同）中注明</w:t>
      </w:r>
      <w:r>
        <w:rPr>
          <w:rFonts w:hint="eastAsia"/>
          <w:szCs w:val="21"/>
        </w:rPr>
        <w:t>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粘附性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退火态</w:t>
      </w:r>
      <w:r>
        <w:rPr>
          <w:rFonts w:ascii="宋体" w:hAnsi="宋体" w:eastAsia="宋体"/>
        </w:rPr>
        <w:t>铝箔</w:t>
      </w:r>
      <w:r>
        <w:rPr>
          <w:rFonts w:hint="eastAsia" w:ascii="宋体" w:hAnsi="宋体" w:eastAsia="宋体"/>
        </w:rPr>
        <w:t>整体的</w:t>
      </w:r>
      <w:r>
        <w:rPr>
          <w:rFonts w:ascii="宋体" w:hAnsi="宋体" w:eastAsia="宋体"/>
        </w:rPr>
        <w:t>开卷性能应良好，展开时不</w:t>
      </w:r>
      <w:r>
        <w:rPr>
          <w:rFonts w:hint="eastAsia" w:ascii="宋体" w:hAnsi="宋体" w:eastAsia="宋体"/>
        </w:rPr>
        <w:t>准</w:t>
      </w:r>
      <w:r>
        <w:rPr>
          <w:rFonts w:ascii="宋体" w:hAnsi="宋体" w:eastAsia="宋体"/>
        </w:rPr>
        <w:t>许粘连</w:t>
      </w:r>
      <w:r>
        <w:rPr>
          <w:rFonts w:hint="eastAsia" w:ascii="宋体" w:hAnsi="宋体" w:eastAsia="宋体"/>
        </w:rPr>
        <w:t>或</w:t>
      </w:r>
      <w:r>
        <w:rPr>
          <w:rFonts w:ascii="宋体" w:hAnsi="宋体" w:eastAsia="宋体"/>
        </w:rPr>
        <w:t>撕裂。铝箔</w:t>
      </w:r>
      <w:bookmarkStart w:id="10" w:name="OLE_LINK110"/>
      <w:bookmarkStart w:id="11" w:name="OLE_LINK109"/>
      <w:r>
        <w:rPr>
          <w:rFonts w:ascii="宋体" w:hAnsi="宋体" w:eastAsia="宋体"/>
        </w:rPr>
        <w:t>借自重自然展开所需的脱落长度</w:t>
      </w:r>
      <w:bookmarkEnd w:id="10"/>
      <w:bookmarkEnd w:id="11"/>
      <w:r>
        <w:rPr>
          <w:rFonts w:ascii="宋体" w:hAnsi="宋体" w:eastAsia="宋体"/>
        </w:rPr>
        <w:t>应</w:t>
      </w:r>
      <w:r>
        <w:rPr>
          <w:rFonts w:hint="eastAsia" w:ascii="宋体" w:hAnsi="宋体" w:eastAsia="宋体"/>
        </w:rPr>
        <w:t>符合表9的规定。</w:t>
      </w:r>
      <w:bookmarkStart w:id="12" w:name="OLE_LINK111"/>
    </w:p>
    <w:bookmarkEnd w:id="12"/>
    <w:p>
      <w:pPr>
        <w:pStyle w:val="140"/>
        <w:tabs>
          <w:tab w:val="left" w:pos="3969"/>
        </w:tabs>
        <w:ind w:left="-2" w:leftChars="-1" w:firstLine="2"/>
        <w:rPr>
          <w:rFonts w:hAnsi="黑体"/>
        </w:rPr>
      </w:pPr>
      <w:r>
        <w:rPr>
          <w:rFonts w:hint="eastAsia" w:hAnsi="黑体"/>
        </w:rPr>
        <w:t>粘附性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3191"/>
        <w:gridCol w:w="31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1667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1666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脱落长度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≤0.1000</w:t>
            </w:r>
          </w:p>
        </w:tc>
        <w:tc>
          <w:tcPr>
            <w:tcW w:w="1667" w:type="pct"/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1666" w:type="pct"/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＞1000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1666" w:type="pct"/>
            <w:shd w:val="clear" w:color="auto" w:fill="auto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1.5</w:t>
            </w:r>
          </w:p>
        </w:tc>
      </w:tr>
    </w:tbl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需方对退火态铝箔局部粘附性有要求时，由供需双方协商确定，并在订货单（或合同）中注明，铝箔局部借自重自然展开所需的脱落长度宜不大于1.5m。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表面润湿张力</w:t>
      </w:r>
    </w:p>
    <w:p>
      <w:pPr>
        <w:pStyle w:val="89"/>
        <w:ind w:firstLine="440"/>
        <w:rPr>
          <w:rFonts w:hAnsi="宋体"/>
          <w:szCs w:val="21"/>
        </w:rPr>
      </w:pPr>
      <w:bookmarkStart w:id="13" w:name="OLE_LINK115"/>
      <w:bookmarkStart w:id="14" w:name="OLE_LINK114"/>
      <w:r>
        <w:rPr>
          <w:rFonts w:hint="eastAsia" w:hAnsi="宋体"/>
          <w:szCs w:val="21"/>
        </w:rPr>
        <w:t>需方对</w:t>
      </w:r>
      <w:r>
        <w:rPr>
          <w:rFonts w:hint="eastAsia" w:hAnsi="宋体"/>
          <w:sz w:val="21"/>
          <w:szCs w:val="21"/>
        </w:rPr>
        <w:t>铝箔的表面润湿张力有要求时，</w:t>
      </w:r>
      <w:r>
        <w:rPr>
          <w:rFonts w:hint="eastAsia"/>
          <w:sz w:val="21"/>
          <w:szCs w:val="21"/>
        </w:rPr>
        <w:t>由供需双方协商确定，并在</w:t>
      </w:r>
      <w:r>
        <w:rPr>
          <w:rFonts w:hint="eastAsia" w:hAnsi="宋体"/>
          <w:sz w:val="21"/>
          <w:szCs w:val="21"/>
        </w:rPr>
        <w:t>订货单（或合同）中注明。</w:t>
      </w:r>
    </w:p>
    <w:bookmarkEnd w:id="13"/>
    <w:bookmarkEnd w:id="14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润湿性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 w:ascii="Times New Roman"/>
          <w:sz w:val="21"/>
          <w:szCs w:val="21"/>
        </w:rPr>
        <w:t>需方对</w:t>
      </w:r>
      <w:r>
        <w:rPr>
          <w:rFonts w:ascii="Times New Roman"/>
          <w:sz w:val="21"/>
          <w:szCs w:val="21"/>
        </w:rPr>
        <w:t>O</w:t>
      </w:r>
      <w:r>
        <w:rPr>
          <w:rFonts w:hint="eastAsia"/>
          <w:sz w:val="21"/>
          <w:szCs w:val="21"/>
        </w:rPr>
        <w:t>状态铝箔</w:t>
      </w:r>
      <w:r>
        <w:rPr>
          <w:rFonts w:hint="eastAsia" w:ascii="Times New Roman"/>
          <w:sz w:val="21"/>
          <w:szCs w:val="21"/>
        </w:rPr>
        <w:t>的</w:t>
      </w:r>
      <w:r>
        <w:rPr>
          <w:rFonts w:hint="eastAsia"/>
          <w:sz w:val="21"/>
          <w:szCs w:val="21"/>
        </w:rPr>
        <w:t>表面润湿性</w:t>
      </w:r>
      <w:r>
        <w:rPr>
          <w:rFonts w:hint="eastAsia" w:ascii="Times New Roman"/>
          <w:sz w:val="21"/>
          <w:szCs w:val="21"/>
        </w:rPr>
        <w:t>有要求时，</w:t>
      </w:r>
      <w:r>
        <w:rPr>
          <w:rFonts w:hint="eastAsia"/>
          <w:sz w:val="21"/>
          <w:szCs w:val="21"/>
        </w:rPr>
        <w:t>由供需双方协商确定，并在订货单（或合同）中注明，表面润湿性宜达到B</w:t>
      </w:r>
      <w:r>
        <w:rPr>
          <w:sz w:val="21"/>
          <w:szCs w:val="21"/>
        </w:rPr>
        <w:t>级</w:t>
      </w:r>
      <w:r>
        <w:rPr>
          <w:rFonts w:hint="eastAsia"/>
          <w:sz w:val="21"/>
          <w:szCs w:val="21"/>
        </w:rPr>
        <w:t>或优于B</w:t>
      </w:r>
      <w:r>
        <w:rPr>
          <w:sz w:val="21"/>
          <w:szCs w:val="21"/>
        </w:rPr>
        <w:t>级。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直流电阻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需方对铝箔的直流电阻有要求时，</w:t>
      </w:r>
      <w:bookmarkStart w:id="15" w:name="OLE_LINK47"/>
      <w:bookmarkStart w:id="16" w:name="OLE_LINK46"/>
      <w:r>
        <w:rPr>
          <w:rFonts w:hint="eastAsia"/>
          <w:sz w:val="21"/>
          <w:szCs w:val="21"/>
        </w:rPr>
        <w:t>由供需双方协商确定，并在订货单（或合同）中注明</w:t>
      </w:r>
      <w:bookmarkEnd w:id="15"/>
      <w:bookmarkEnd w:id="16"/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1145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1235</w:t>
      </w:r>
      <w:r>
        <w:rPr>
          <w:rFonts w:hint="eastAsia"/>
          <w:sz w:val="21"/>
          <w:szCs w:val="21"/>
        </w:rPr>
        <w:t>牌号铝箔的直流电阻参见附录A。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热封强度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需方对铝箔的热封强度有要求时，由供需双方协商确定，并在订货单（或合同）中注明。</w:t>
      </w:r>
      <w:bookmarkStart w:id="17" w:name="OLE_LINK141"/>
    </w:p>
    <w:bookmarkEnd w:id="17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破裂强度</w:t>
      </w:r>
    </w:p>
    <w:p>
      <w:pPr>
        <w:pStyle w:val="89"/>
        <w:ind w:firstLine="420"/>
        <w:rPr>
          <w:rFonts w:hAnsi="宋体"/>
          <w:strike/>
          <w:sz w:val="21"/>
          <w:szCs w:val="21"/>
        </w:rPr>
      </w:pPr>
      <w:r>
        <w:rPr>
          <w:rFonts w:hint="eastAsia"/>
          <w:sz w:val="21"/>
          <w:szCs w:val="21"/>
        </w:rPr>
        <w:t>需方对铝箔的破裂强度有要求时，由供需双方协商确定，并</w:t>
      </w:r>
      <w:r>
        <w:rPr>
          <w:rFonts w:hint="eastAsia" w:hAnsi="宋体"/>
          <w:sz w:val="21"/>
          <w:szCs w:val="21"/>
        </w:rPr>
        <w:t>在</w:t>
      </w:r>
      <w:r>
        <w:rPr>
          <w:rFonts w:hint="eastAsia"/>
          <w:sz w:val="21"/>
          <w:szCs w:val="21"/>
        </w:rPr>
        <w:t>订货单（或合同）</w:t>
      </w:r>
      <w:r>
        <w:rPr>
          <w:rFonts w:hint="eastAsia" w:hAnsi="宋体"/>
          <w:sz w:val="21"/>
          <w:szCs w:val="21"/>
        </w:rPr>
        <w:t>中注明。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接头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铝箔断头应用</w:t>
      </w:r>
      <w:r>
        <w:rPr>
          <w:bCs/>
          <w:sz w:val="21"/>
          <w:szCs w:val="21"/>
        </w:rPr>
        <w:t>超声波焊接仪焊接</w:t>
      </w:r>
      <w:r>
        <w:rPr>
          <w:rFonts w:hint="eastAsia"/>
          <w:bCs/>
          <w:sz w:val="21"/>
          <w:szCs w:val="21"/>
        </w:rPr>
        <w:t>或用耐高温胶带粘接牢固</w:t>
      </w:r>
      <w:r>
        <w:rPr>
          <w:rFonts w:hint="eastAsia"/>
          <w:sz w:val="21"/>
          <w:szCs w:val="21"/>
        </w:rPr>
        <w:t>并保持平整，接头处应作明显标记。每卷铝箔的接头个数、接头间距应符合</w:t>
      </w:r>
      <w:r>
        <w:rPr>
          <w:rFonts w:hAnsi="宋体"/>
          <w:bCs/>
          <w:sz w:val="21"/>
          <w:szCs w:val="21"/>
        </w:rPr>
        <w:t>表</w:t>
      </w:r>
      <w:r>
        <w:rPr>
          <w:rFonts w:hint="eastAsia" w:hAnsi="宋体"/>
          <w:bCs/>
          <w:sz w:val="21"/>
          <w:szCs w:val="21"/>
        </w:rPr>
        <w:t>10</w:t>
      </w:r>
      <w:r>
        <w:rPr>
          <w:rFonts w:hAnsi="宋体"/>
          <w:bCs/>
          <w:sz w:val="21"/>
          <w:szCs w:val="21"/>
        </w:rPr>
        <w:t>的规定</w:t>
      </w:r>
      <w:r>
        <w:rPr>
          <w:rFonts w:hint="eastAsia" w:hAnsi="宋体"/>
          <w:bCs/>
          <w:sz w:val="21"/>
          <w:szCs w:val="21"/>
        </w:rPr>
        <w:t>。</w:t>
      </w:r>
      <w:r>
        <w:rPr>
          <w:rFonts w:hint="eastAsia" w:hAnsi="宋体"/>
          <w:sz w:val="21"/>
          <w:szCs w:val="21"/>
        </w:rPr>
        <w:t>需要高精级时，应在订货单（或合同）中注明，未注明时按普通级供货。</w:t>
      </w:r>
    </w:p>
    <w:p>
      <w:pPr>
        <w:pStyle w:val="140"/>
        <w:tabs>
          <w:tab w:val="left" w:pos="3969"/>
        </w:tabs>
        <w:ind w:left="-2" w:leftChars="-1" w:firstLine="2"/>
        <w:rPr>
          <w:rFonts w:ascii="宋体"/>
          <w:szCs w:val="21"/>
        </w:rPr>
      </w:pPr>
      <w:r>
        <w:rPr>
          <w:rFonts w:hint="eastAsia" w:ascii="宋体"/>
          <w:szCs w:val="21"/>
        </w:rPr>
        <w:t>接头</w:t>
      </w:r>
    </w:p>
    <w:tbl>
      <w:tblPr>
        <w:tblStyle w:val="5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7"/>
        <w:gridCol w:w="1131"/>
        <w:gridCol w:w="1166"/>
        <w:gridCol w:w="1036"/>
        <w:gridCol w:w="1177"/>
        <w:gridCol w:w="980"/>
        <w:gridCol w:w="785"/>
        <w:gridCol w:w="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646" w:type="pct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卷外径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mm</w:t>
            </w:r>
          </w:p>
        </w:tc>
        <w:tc>
          <w:tcPr>
            <w:tcW w:w="3535" w:type="pct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每卷允许接头个数，不大于</w:t>
            </w:r>
          </w:p>
        </w:tc>
        <w:tc>
          <w:tcPr>
            <w:tcW w:w="819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接头间距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646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厚度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  <w:r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81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vMerge w:val="continue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0.0040～0.0055</w:t>
            </w:r>
          </w:p>
        </w:tc>
        <w:tc>
          <w:tcPr>
            <w:tcW w:w="591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＞0.0055～0.0090</w:t>
            </w:r>
          </w:p>
        </w:tc>
        <w:tc>
          <w:tcPr>
            <w:tcW w:w="609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＞0.0090～0.0120</w:t>
            </w:r>
          </w:p>
        </w:tc>
        <w:tc>
          <w:tcPr>
            <w:tcW w:w="541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＞0.0120～0.0200</w:t>
            </w:r>
          </w:p>
        </w:tc>
        <w:tc>
          <w:tcPr>
            <w:tcW w:w="615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＞0.0200～0.0400</w:t>
            </w:r>
          </w:p>
        </w:tc>
        <w:tc>
          <w:tcPr>
            <w:tcW w:w="512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＞0.0400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高精级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-97" w:leftChars="-46" w:right="-101" w:rightChars="-4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≤</w:t>
            </w: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667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12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vAlign w:val="center"/>
          </w:tcPr>
          <w:p>
            <w:pPr>
              <w:spacing w:line="240" w:lineRule="exact"/>
              <w:ind w:right="-84" w:rightChars="-4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＞200～390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0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1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0" w:type="pct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pct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＞390～450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9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0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61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0" w:type="pct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pct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tcBorders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＞450～650</w:t>
            </w:r>
          </w:p>
        </w:tc>
        <w:tc>
          <w:tcPr>
            <w:tcW w:w="667" w:type="pct"/>
            <w:tcBorders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09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4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15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≥2000</w:t>
            </w:r>
          </w:p>
        </w:tc>
        <w:tc>
          <w:tcPr>
            <w:tcW w:w="409" w:type="pct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46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＞650</w:t>
            </w:r>
          </w:p>
        </w:tc>
        <w:tc>
          <w:tcPr>
            <w:tcW w:w="667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15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0" w:type="pct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pct"/>
            <w:vMerge w:val="continue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szCs w:val="21"/>
        </w:rPr>
      </w:pP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管芯</w:t>
      </w:r>
    </w:p>
    <w:p>
      <w:pPr>
        <w:ind w:firstLine="451" w:firstLineChars="215"/>
        <w:rPr>
          <w:szCs w:val="21"/>
        </w:rPr>
      </w:pPr>
      <w:r>
        <w:rPr>
          <w:szCs w:val="21"/>
        </w:rPr>
        <w:t>管芯</w:t>
      </w:r>
      <w:r>
        <w:rPr>
          <w:rFonts w:hint="eastAsia"/>
          <w:szCs w:val="21"/>
        </w:rPr>
        <w:t>材质、长度、长度偏差由供需双方协商确定，并在订货单（或合同）中注明。</w:t>
      </w:r>
      <w:r>
        <w:t>管芯的内</w:t>
      </w:r>
      <w:r>
        <w:rPr>
          <w:rFonts w:hint="eastAsia"/>
        </w:rPr>
        <w:t>、</w:t>
      </w:r>
      <w:r>
        <w:t>外壁应</w:t>
      </w:r>
      <w:r>
        <w:rPr>
          <w:szCs w:val="21"/>
        </w:rPr>
        <w:t>洁</w:t>
      </w:r>
      <w:r>
        <w:t>净、光滑、无污物</w:t>
      </w:r>
      <w:r>
        <w:rPr>
          <w:rFonts w:hint="eastAsia"/>
          <w:szCs w:val="21"/>
        </w:rPr>
        <w:t>。管芯内径及偏差应符合表11的规定。</w:t>
      </w:r>
    </w:p>
    <w:p>
      <w:pPr>
        <w:pStyle w:val="140"/>
        <w:tabs>
          <w:tab w:val="left" w:pos="3969"/>
        </w:tabs>
        <w:ind w:left="-2" w:leftChars="-1" w:firstLine="2"/>
        <w:jc w:val="right"/>
        <w:rPr>
          <w:sz w:val="18"/>
        </w:rPr>
      </w:pPr>
      <w:r>
        <w:rPr>
          <w:rFonts w:hint="eastAsia" w:hAnsi="黑体"/>
        </w:rPr>
        <w:t xml:space="preserve">管芯内径偏差                              </w:t>
      </w:r>
      <w:r>
        <w:rPr>
          <w:rFonts w:hint="eastAsia" w:ascii="宋体" w:hAnsi="宋体" w:eastAsia="宋体"/>
          <w:sz w:val="18"/>
          <w:szCs w:val="18"/>
        </w:rPr>
        <w:t>单位为毫米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48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54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管芯内径</w:t>
            </w:r>
          </w:p>
        </w:tc>
        <w:tc>
          <w:tcPr>
            <w:tcW w:w="2546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管芯内径允许</w:t>
            </w:r>
            <w:r>
              <w:rPr>
                <w:rFonts w:ascii="宋体" w:hAnsi="宋体"/>
                <w:sz w:val="18"/>
                <w:szCs w:val="18"/>
              </w:rPr>
              <w:t>偏差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54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75.0、76.2</w:t>
            </w:r>
          </w:p>
        </w:tc>
        <w:tc>
          <w:tcPr>
            <w:tcW w:w="2546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54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</w:t>
            </w:r>
            <w:r>
              <w:rPr>
                <w:rFonts w:hint="eastAsia" w:ascii="宋体" w:hAnsi="宋体"/>
                <w:sz w:val="18"/>
                <w:szCs w:val="18"/>
              </w:rPr>
              <w:t>.0、152.4</w:t>
            </w:r>
          </w:p>
        </w:tc>
        <w:tc>
          <w:tcPr>
            <w:tcW w:w="2546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position w:val="-12"/>
                <w:sz w:val="18"/>
                <w:szCs w:val="18"/>
              </w:rPr>
              <w:object>
                <v:shape id="_x0000_i1025" o:spt="75" type="#_x0000_t75" style="height:22.15pt;width:21.4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54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300.0、</w:t>
            </w:r>
            <w:r>
              <w:rPr>
                <w:rFonts w:ascii="宋体" w:hAnsi="宋体"/>
                <w:sz w:val="18"/>
                <w:szCs w:val="18"/>
              </w:rPr>
              <w:t>305.0</w:t>
            </w:r>
            <w:r>
              <w:rPr>
                <w:rFonts w:hint="eastAsia" w:ascii="宋体" w:hAnsi="宋体"/>
                <w:sz w:val="18"/>
                <w:szCs w:val="18"/>
              </w:rPr>
              <w:t>、400.0、406.0</w:t>
            </w:r>
          </w:p>
        </w:tc>
        <w:tc>
          <w:tcPr>
            <w:tcW w:w="2546" w:type="pct"/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±2.0</w:t>
            </w:r>
          </w:p>
        </w:tc>
      </w:tr>
    </w:tbl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外观质量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ascii="宋体" w:hAnsi="宋体" w:eastAsia="宋体"/>
        </w:rPr>
        <w:t>铝箔表面</w:t>
      </w:r>
      <w:r>
        <w:rPr>
          <w:rFonts w:hint="eastAsia" w:ascii="宋体" w:hAnsi="宋体" w:eastAsia="宋体"/>
        </w:rPr>
        <w:t>应</w:t>
      </w:r>
      <w:r>
        <w:rPr>
          <w:rFonts w:ascii="宋体" w:hAnsi="宋体" w:eastAsia="宋体"/>
        </w:rPr>
        <w:t>平整、洁净</w:t>
      </w:r>
      <w:r>
        <w:rPr>
          <w:rFonts w:hint="eastAsia" w:ascii="宋体" w:hAnsi="宋体" w:eastAsia="宋体"/>
        </w:rPr>
        <w:t>。不准许</w:t>
      </w:r>
      <w:r>
        <w:rPr>
          <w:rFonts w:ascii="宋体" w:hAnsi="宋体" w:eastAsia="宋体"/>
        </w:rPr>
        <w:t>有腐蚀</w:t>
      </w:r>
      <w:r>
        <w:rPr>
          <w:rFonts w:hint="eastAsia" w:ascii="宋体" w:hAnsi="宋体" w:eastAsia="宋体"/>
        </w:rPr>
        <w:t>、辊印、擦伤、划伤、暗面亮点、油斑、起皱</w:t>
      </w:r>
      <w:r>
        <w:rPr>
          <w:rFonts w:ascii="宋体" w:hAnsi="宋体" w:eastAsia="宋体"/>
        </w:rPr>
        <w:t>等影响使用的缺陷</w:t>
      </w:r>
      <w:r>
        <w:rPr>
          <w:rFonts w:hint="eastAsia" w:ascii="宋体" w:hAnsi="宋体" w:eastAsia="宋体"/>
        </w:rPr>
        <w:t>, 不准许有严重的起棱、起鼓、亮线、色差、条纹及影响使用的碰伤。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铝箔卷端面应整齐，边缘光滑、无毛刺。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ascii="宋体" w:hAnsi="宋体" w:eastAsia="宋体"/>
        </w:rPr>
        <w:t>管芯</w:t>
      </w:r>
      <w:r>
        <w:rPr>
          <w:rFonts w:hint="eastAsia" w:ascii="宋体" w:hAnsi="宋体" w:eastAsia="宋体"/>
        </w:rPr>
        <w:t>长度应不小</w:t>
      </w:r>
      <w:r>
        <w:rPr>
          <w:rFonts w:ascii="宋体" w:hAnsi="宋体" w:eastAsia="宋体"/>
        </w:rPr>
        <w:t>于箔宽</w:t>
      </w:r>
      <w:r>
        <w:rPr>
          <w:rFonts w:hint="eastAsia" w:ascii="宋体" w:hAnsi="宋体" w:eastAsia="宋体"/>
        </w:rPr>
        <w:t>，且任一端不准</w:t>
      </w:r>
      <w:r>
        <w:rPr>
          <w:rFonts w:ascii="宋体" w:hAnsi="宋体" w:eastAsia="宋体"/>
        </w:rPr>
        <w:t>许凹入铝箔卷</w:t>
      </w:r>
      <w:r>
        <w:rPr>
          <w:rFonts w:hint="eastAsia" w:ascii="宋体" w:hAnsi="宋体" w:eastAsia="宋体"/>
        </w:rPr>
        <w:t>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需方要求在线检测表</w:t>
      </w:r>
      <w:r>
        <w:rPr>
          <w:rFonts w:hint="eastAsia" w:asciiTheme="minorEastAsia" w:hAnsiTheme="minorEastAsia" w:eastAsiaTheme="minorEastAsia"/>
        </w:rPr>
        <w:t>面质量时，</w:t>
      </w:r>
      <w:r>
        <w:rPr>
          <w:rFonts w:hint="eastAsia" w:asciiTheme="minorEastAsia" w:hAnsiTheme="minorEastAsia" w:eastAsiaTheme="minorEastAsia"/>
          <w:szCs w:val="21"/>
        </w:rPr>
        <w:t>由供需双方协商确定</w:t>
      </w:r>
      <w:r>
        <w:rPr>
          <w:rFonts w:hint="eastAsia" w:asciiTheme="minorEastAsia" w:hAnsiTheme="minorEastAsia" w:eastAsiaTheme="minorEastAsia"/>
        </w:rPr>
        <w:t>在线检测表面质量的要求</w:t>
      </w:r>
      <w:r>
        <w:rPr>
          <w:rFonts w:hint="eastAsia" w:asciiTheme="minorEastAsia" w:hAnsiTheme="minorEastAsia" w:eastAsiaTheme="minorEastAsia"/>
          <w:szCs w:val="21"/>
        </w:rPr>
        <w:t>，并在订货单（或合同）中注明</w:t>
      </w:r>
      <w:r>
        <w:rPr>
          <w:rFonts w:hint="eastAsia"/>
          <w:szCs w:val="21"/>
        </w:rPr>
        <w:t>。</w:t>
      </w:r>
    </w:p>
    <w:p>
      <w:pPr>
        <w:pStyle w:val="90"/>
        <w:spacing w:before="312" w:beforeLines="100" w:after="312" w:afterLines="100"/>
      </w:pPr>
      <w:r>
        <w:rPr>
          <w:rFonts w:hint="eastAsia"/>
        </w:rPr>
        <w:t>试验方法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化学成分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化学成分按GB/T 20975或GB/T 7999规定的方法进行检测，仲裁分析检测应采用GB/T 20975规定的方法进行。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分析数值的判定采用修约比较法，数值修约规则按GB/T 8170的有关规定进行，修约数位应与GB/T 3190规定的极限数位一致。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尺寸偏差</w:t>
      </w: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尺寸修约</w:t>
      </w:r>
    </w:p>
    <w:p>
      <w:pPr>
        <w:pStyle w:val="89"/>
        <w:ind w:firstLine="420"/>
        <w:rPr>
          <w:rFonts w:ascii="黑体" w:eastAsia="黑体"/>
          <w:kern w:val="2"/>
          <w:sz w:val="21"/>
          <w:szCs w:val="21"/>
        </w:rPr>
      </w:pPr>
      <w:r>
        <w:rPr>
          <w:rFonts w:hint="eastAsia" w:hAnsi="宋体"/>
          <w:sz w:val="21"/>
          <w:szCs w:val="21"/>
        </w:rPr>
        <w:t>尺寸测量值不准许修约，极限数值的判定方法应符合GB/T 8170的规定。</w:t>
      </w: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局部厚度</w:t>
      </w:r>
    </w:p>
    <w:p>
      <w:pPr>
        <w:pStyle w:val="89"/>
        <w:ind w:firstLine="42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铝箔局部厚度采用能保证检测精度的仪器测量。厚度小于0.1000 mm的铝箔厚度</w:t>
      </w:r>
      <w:r>
        <w:rPr>
          <w:rFonts w:hint="eastAsia" w:hAnsi="宋体"/>
          <w:strike/>
          <w:sz w:val="21"/>
          <w:szCs w:val="21"/>
        </w:rPr>
        <w:t>仲裁</w:t>
      </w:r>
      <w:r>
        <w:rPr>
          <w:rFonts w:hint="eastAsia" w:hAnsi="宋体"/>
          <w:sz w:val="21"/>
          <w:szCs w:val="21"/>
        </w:rPr>
        <w:t>测定方法按GB/T 22638.1规定</w:t>
      </w:r>
      <w:r>
        <w:rPr>
          <w:rFonts w:hint="eastAsia" w:hAnsi="宋体"/>
          <w:strike/>
          <w:sz w:val="21"/>
          <w:szCs w:val="21"/>
        </w:rPr>
        <w:t>的重量法</w:t>
      </w:r>
      <w:r>
        <w:rPr>
          <w:rFonts w:hint="eastAsia" w:hAnsi="宋体"/>
          <w:sz w:val="21"/>
          <w:szCs w:val="21"/>
        </w:rPr>
        <w:t>进行，厚度不小于0.1000mm的铝箔厚度</w:t>
      </w:r>
      <w:r>
        <w:rPr>
          <w:rFonts w:hint="eastAsia" w:hAnsi="宋体"/>
          <w:strike/>
          <w:sz w:val="21"/>
          <w:szCs w:val="21"/>
        </w:rPr>
        <w:t>仲裁</w:t>
      </w:r>
      <w:r>
        <w:rPr>
          <w:rFonts w:hint="eastAsia" w:hAnsi="宋体"/>
          <w:sz w:val="21"/>
          <w:szCs w:val="21"/>
        </w:rPr>
        <w:t>测定方法按GB/T 22638.1规定</w:t>
      </w:r>
      <w:r>
        <w:rPr>
          <w:rFonts w:hint="eastAsia" w:hAnsi="宋体"/>
          <w:strike/>
          <w:sz w:val="21"/>
          <w:szCs w:val="21"/>
        </w:rPr>
        <w:t>的数显千分尺法</w:t>
      </w:r>
      <w:r>
        <w:rPr>
          <w:rFonts w:hint="eastAsia" w:hAnsi="宋体"/>
          <w:sz w:val="21"/>
          <w:szCs w:val="21"/>
        </w:rPr>
        <w:t>进行。</w:t>
      </w:r>
    </w:p>
    <w:p>
      <w:pPr>
        <w:pStyle w:val="92"/>
        <w:ind w:left="0"/>
        <w:rPr>
          <w:rFonts w:hAnsi="宋体"/>
        </w:rPr>
      </w:pPr>
      <w:r>
        <w:rPr>
          <w:rFonts w:hint="eastAsia" w:hAnsi="宋体"/>
        </w:rPr>
        <w:t>平均厚度</w:t>
      </w:r>
    </w:p>
    <w:p>
      <w:pPr>
        <w:pStyle w:val="89"/>
        <w:ind w:firstLine="42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平均厚度按公式(1) 计算。</w:t>
      </w:r>
    </w:p>
    <w:p>
      <w:pPr>
        <w:snapToGrid w:val="0"/>
        <w:jc w:val="right"/>
        <w:rPr>
          <w:rFonts w:ascii="宋体" w:hAnsi="宋体"/>
          <w:bCs/>
          <w:szCs w:val="20"/>
        </w:rPr>
      </w:pPr>
      <w:bookmarkStart w:id="18" w:name="OLE_LINK159"/>
      <w:bookmarkStart w:id="19" w:name="OLE_LINK160"/>
      <w:r>
        <w:rPr>
          <w:rFonts w:hint="eastAsia" w:ascii="宋体" w:hAnsi="宋体"/>
          <w:bCs/>
          <w:i/>
          <w:szCs w:val="20"/>
        </w:rPr>
        <w:t>E</w:t>
      </w:r>
      <w:r>
        <w:rPr>
          <w:rFonts w:hint="eastAsia" w:ascii="宋体" w:hAnsi="宋体"/>
          <w:bCs/>
          <w:szCs w:val="20"/>
          <w:vertAlign w:val="subscript"/>
        </w:rPr>
        <w:t>m</w:t>
      </w:r>
      <w:r>
        <w:rPr>
          <w:rFonts w:hint="eastAsia" w:ascii="宋体" w:hAnsi="宋体"/>
          <w:bCs/>
          <w:szCs w:val="20"/>
        </w:rPr>
        <w:t>＝</w:t>
      </w:r>
      <w:r>
        <w:rPr>
          <w:rFonts w:ascii="宋体" w:hAnsi="宋体"/>
          <w:bCs/>
          <w:position w:val="-24"/>
          <w:szCs w:val="20"/>
        </w:rPr>
        <w:object>
          <v:shape id="_x0000_i1026" o:spt="75" type="#_x0000_t75" style="height:36pt;width:49.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1">
            <o:LockedField>false</o:LockedField>
          </o:OLEObject>
        </w:object>
      </w:r>
      <w:r>
        <w:rPr>
          <w:rFonts w:hint="eastAsia"/>
          <w:spacing w:val="-2"/>
        </w:rPr>
        <w:t>……………………………………………(1)</w:t>
      </w:r>
    </w:p>
    <w:p>
      <w:pPr>
        <w:snapToGrid w:val="0"/>
        <w:ind w:firstLine="420" w:firstLineChars="200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式中：</w:t>
      </w:r>
    </w:p>
    <w:p>
      <w:pPr>
        <w:snapToGrid w:val="0"/>
        <w:ind w:firstLine="359" w:firstLineChars="171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i/>
          <w:szCs w:val="20"/>
        </w:rPr>
        <w:t>E</w:t>
      </w:r>
      <w:r>
        <w:rPr>
          <w:rFonts w:hint="eastAsia" w:ascii="宋体" w:hAnsi="宋体"/>
          <w:bCs/>
          <w:szCs w:val="20"/>
          <w:vertAlign w:val="subscript"/>
        </w:rPr>
        <w:t>m</w:t>
      </w:r>
      <w:r>
        <w:rPr>
          <w:rFonts w:hint="eastAsia" w:ascii="宋体" w:hAnsi="宋体"/>
          <w:bCs/>
          <w:i/>
          <w:szCs w:val="20"/>
        </w:rPr>
        <w:t>——</w:t>
      </w:r>
      <w:r>
        <w:rPr>
          <w:rFonts w:hint="eastAsia" w:ascii="宋体" w:hAnsi="宋体"/>
          <w:bCs/>
          <w:szCs w:val="20"/>
        </w:rPr>
        <w:t>铝箔的平均厚度，单位为毫米（mm）；</w:t>
      </w:r>
    </w:p>
    <w:p>
      <w:pPr>
        <w:snapToGrid w:val="0"/>
        <w:ind w:firstLine="359" w:firstLineChars="171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i/>
          <w:szCs w:val="20"/>
        </w:rPr>
        <w:t>P——</w:t>
      </w:r>
      <w:r>
        <w:rPr>
          <w:rFonts w:hint="eastAsia" w:ascii="宋体" w:hAnsi="宋体"/>
          <w:bCs/>
          <w:szCs w:val="20"/>
        </w:rPr>
        <w:t>铝箔卷的净重，单位为千克(kg)；</w:t>
      </w:r>
    </w:p>
    <w:p>
      <w:pPr>
        <w:snapToGrid w:val="0"/>
        <w:ind w:firstLine="359" w:firstLineChars="171"/>
        <w:rPr>
          <w:rFonts w:ascii="宋体" w:hAnsi="宋体"/>
          <w:bCs/>
          <w:i/>
          <w:szCs w:val="20"/>
        </w:rPr>
      </w:pPr>
      <w:r>
        <w:rPr>
          <w:rFonts w:hint="eastAsia" w:ascii="宋体" w:hAnsi="宋体"/>
          <w:bCs/>
          <w:i/>
          <w:szCs w:val="20"/>
        </w:rPr>
        <w:t>L——</w:t>
      </w:r>
      <w:r>
        <w:rPr>
          <w:rFonts w:hint="eastAsia" w:ascii="宋体" w:hAnsi="宋体"/>
          <w:bCs/>
          <w:szCs w:val="20"/>
        </w:rPr>
        <w:t>铝箔长度, 单位为毫米（mm）；</w:t>
      </w:r>
    </w:p>
    <w:p>
      <w:pPr>
        <w:snapToGrid w:val="0"/>
        <w:ind w:firstLine="359" w:firstLineChars="171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i/>
          <w:szCs w:val="20"/>
        </w:rPr>
        <w:t>W——</w:t>
      </w:r>
      <w:r>
        <w:rPr>
          <w:rFonts w:hint="eastAsia" w:ascii="宋体" w:hAnsi="宋体"/>
          <w:bCs/>
          <w:szCs w:val="20"/>
        </w:rPr>
        <w:t>铝箔宽度，单位为毫米（mm）；</w:t>
      </w:r>
    </w:p>
    <w:p>
      <w:pPr>
        <w:snapToGrid w:val="0"/>
        <w:ind w:firstLine="359" w:firstLineChars="171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i/>
          <w:szCs w:val="20"/>
        </w:rPr>
        <w:t>D——</w:t>
      </w:r>
      <w:r>
        <w:rPr>
          <w:rFonts w:hint="eastAsia" w:ascii="宋体" w:hAnsi="宋体"/>
          <w:bCs/>
          <w:szCs w:val="20"/>
        </w:rPr>
        <w:t>铝箔密度(按</w:t>
      </w:r>
      <w:r>
        <w:rPr>
          <w:rFonts w:ascii="宋体" w:hAnsi="宋体"/>
          <w:bCs/>
          <w:szCs w:val="20"/>
        </w:rPr>
        <w:t>GB/T 22638.1</w:t>
      </w:r>
      <w:r>
        <w:rPr>
          <w:rFonts w:hint="eastAsia" w:ascii="宋体" w:hAnsi="宋体"/>
          <w:bCs/>
          <w:szCs w:val="20"/>
        </w:rPr>
        <w:t>计算，常用牌号的密度值见附录B)，单位为克每立方厘米(g/cm</w:t>
      </w:r>
      <w:r>
        <w:rPr>
          <w:rFonts w:hint="eastAsia" w:ascii="宋体" w:hAnsi="宋体"/>
          <w:bCs/>
          <w:szCs w:val="20"/>
          <w:vertAlign w:val="superscript"/>
        </w:rPr>
        <w:t>3</w:t>
      </w:r>
      <w:r>
        <w:rPr>
          <w:rFonts w:hint="eastAsia" w:ascii="宋体" w:hAnsi="宋体"/>
          <w:bCs/>
          <w:szCs w:val="20"/>
        </w:rPr>
        <w:t>)。</w:t>
      </w:r>
    </w:p>
    <w:p>
      <w:pPr>
        <w:pStyle w:val="89"/>
        <w:ind w:firstLine="440"/>
        <w:rPr>
          <w:rFonts w:hAnsi="宋体"/>
        </w:rPr>
      </w:pPr>
    </w:p>
    <w:bookmarkEnd w:id="18"/>
    <w:bookmarkEnd w:id="19"/>
    <w:p>
      <w:pPr>
        <w:pStyle w:val="92"/>
        <w:ind w:left="0"/>
        <w:rPr>
          <w:rFonts w:hAnsi="宋体"/>
        </w:rPr>
      </w:pPr>
      <w:r>
        <w:rPr>
          <w:rFonts w:hint="eastAsia" w:hAnsi="宋体"/>
        </w:rPr>
        <w:t>其他尺寸</w:t>
      </w:r>
    </w:p>
    <w:p>
      <w:pPr>
        <w:pStyle w:val="89"/>
        <w:ind w:firstLine="42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铝箔的其他尺寸采用</w:t>
      </w:r>
      <w:r>
        <w:rPr>
          <w:rFonts w:hint="eastAsia" w:hAnsi="宋体"/>
          <w:bCs/>
          <w:sz w:val="21"/>
          <w:szCs w:val="21"/>
        </w:rPr>
        <w:t>能保证相应精度</w:t>
      </w:r>
      <w:r>
        <w:rPr>
          <w:rFonts w:hint="eastAsia" w:hAnsi="宋体"/>
          <w:sz w:val="21"/>
          <w:szCs w:val="21"/>
        </w:rPr>
        <w:t>的工具或仪器测量。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室温拉伸力学性能</w:t>
      </w:r>
    </w:p>
    <w:p>
      <w:pPr>
        <w:pStyle w:val="92"/>
        <w:numPr>
          <w:ilvl w:val="0"/>
          <w:numId w:val="0"/>
        </w:numPr>
        <w:ind w:left="735" w:leftChars="200" w:hanging="315" w:hanging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铝箔的室温拉伸力学性能试验按GB/T 16865规定的方法进行。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针孔</w:t>
      </w:r>
    </w:p>
    <w:p>
      <w:pPr>
        <w:pStyle w:val="89"/>
        <w:ind w:firstLine="420"/>
      </w:pPr>
      <w:bookmarkStart w:id="20" w:name="OLE_LINK3"/>
      <w:r>
        <w:rPr>
          <w:rFonts w:hint="eastAsia"/>
          <w:sz w:val="21"/>
          <w:szCs w:val="21"/>
        </w:rPr>
        <w:t>铝箔的针孔按GB/T 22638.2规定的方法进行检测</w:t>
      </w:r>
      <w:r>
        <w:rPr>
          <w:rFonts w:hint="eastAsia"/>
        </w:rPr>
        <w:t>。</w:t>
      </w:r>
      <w:r>
        <w:rPr>
          <w:rFonts w:hint="eastAsia"/>
          <w:sz w:val="21"/>
          <w:szCs w:val="21"/>
        </w:rPr>
        <w:t>在线检测针孔的试验方法由供需双方协商确定，并在订货单（或合同）中注明。</w:t>
      </w:r>
    </w:p>
    <w:bookmarkEnd w:id="20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粘附性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铝箔的粘附性按GB/T 22638.3规定的方法进行检测</w:t>
      </w:r>
      <w:bookmarkStart w:id="21" w:name="OLE_LINK131"/>
      <w:bookmarkStart w:id="22" w:name="OLE_LINK130"/>
      <w:r>
        <w:rPr>
          <w:rFonts w:hint="eastAsia"/>
          <w:sz w:val="21"/>
          <w:szCs w:val="21"/>
        </w:rPr>
        <w:t>，</w:t>
      </w:r>
      <w:bookmarkStart w:id="23" w:name="OLE_LINK128"/>
      <w:bookmarkStart w:id="24" w:name="OLE_LINK129"/>
      <w:r>
        <w:rPr>
          <w:rFonts w:hint="eastAsia"/>
          <w:sz w:val="21"/>
          <w:szCs w:val="21"/>
        </w:rPr>
        <w:t>仲裁检测方法按GB/T 22638.3规定的整体检测法进行。</w:t>
      </w:r>
    </w:p>
    <w:bookmarkEnd w:id="21"/>
    <w:bookmarkEnd w:id="22"/>
    <w:bookmarkEnd w:id="23"/>
    <w:bookmarkEnd w:id="24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表面润湿张力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铝箔的表面润湿张力</w:t>
      </w:r>
      <w:r>
        <w:rPr>
          <w:rFonts w:hint="eastAsia" w:hAnsi="宋体"/>
          <w:sz w:val="21"/>
          <w:szCs w:val="21"/>
        </w:rPr>
        <w:t>按</w:t>
      </w:r>
      <w:bookmarkStart w:id="25" w:name="OLE_LINK122"/>
      <w:bookmarkStart w:id="26" w:name="OLE_LINK123"/>
      <w:r>
        <w:rPr>
          <w:rFonts w:hint="eastAsia" w:hAnsi="宋体"/>
          <w:sz w:val="21"/>
          <w:szCs w:val="21"/>
        </w:rPr>
        <w:t>GB/T 22638.4规定的</w:t>
      </w:r>
      <w:bookmarkEnd w:id="25"/>
      <w:bookmarkEnd w:id="26"/>
      <w:r>
        <w:rPr>
          <w:rFonts w:hint="eastAsia" w:hAnsi="宋体"/>
          <w:sz w:val="21"/>
          <w:szCs w:val="21"/>
        </w:rPr>
        <w:t>方法进行测定</w:t>
      </w:r>
      <w:bookmarkStart w:id="27" w:name="OLE_LINK124"/>
      <w:bookmarkStart w:id="28" w:name="OLE_LINK125"/>
      <w:bookmarkStart w:id="29" w:name="OLE_LINK127"/>
      <w:r>
        <w:rPr>
          <w:rFonts w:hint="eastAsia" w:hAnsi="宋体"/>
          <w:sz w:val="21"/>
          <w:szCs w:val="21"/>
        </w:rPr>
        <w:t>，仲裁测定方法按GB/T 22638.4规定的擦拭法进行</w:t>
      </w:r>
      <w:r>
        <w:rPr>
          <w:rFonts w:hint="eastAsia"/>
          <w:sz w:val="21"/>
          <w:szCs w:val="21"/>
        </w:rPr>
        <w:t>。</w:t>
      </w:r>
    </w:p>
    <w:bookmarkEnd w:id="27"/>
    <w:bookmarkEnd w:id="28"/>
    <w:bookmarkEnd w:id="29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润湿性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铝箔的润湿性按GB/T 22638.5规定的方法进行检测，</w:t>
      </w:r>
      <w:bookmarkStart w:id="30" w:name="OLE_LINK133"/>
      <w:bookmarkStart w:id="31" w:name="OLE_LINK132"/>
      <w:r>
        <w:rPr>
          <w:rFonts w:hint="eastAsia"/>
          <w:sz w:val="21"/>
          <w:szCs w:val="21"/>
        </w:rPr>
        <w:t>仲裁检测方法按GB/T 22638.5规定的擦拭法进行。</w:t>
      </w:r>
    </w:p>
    <w:bookmarkEnd w:id="30"/>
    <w:bookmarkEnd w:id="31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直流电阻</w:t>
      </w:r>
    </w:p>
    <w:p>
      <w:pPr>
        <w:snapToGrid w:val="0"/>
        <w:ind w:firstLine="420" w:firstLineChars="200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铝箔的直流电阻按GB/T 22638.6规定的方法进行测定。铝箔的直流电阻可由供方采用规定厚度（一般为0.25mm～0.36mm）的坯料（试样表面应洁净、无油痕）检测直流电阻作为铝箔的试验结果。 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热封强度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铝箔的热封强度</w:t>
      </w:r>
      <w:r>
        <w:rPr>
          <w:rFonts w:hint="eastAsia" w:hAnsi="宋体"/>
          <w:sz w:val="21"/>
          <w:szCs w:val="21"/>
        </w:rPr>
        <w:t>按GB/T 22638.7规定的方法进行测定</w:t>
      </w:r>
      <w:r>
        <w:rPr>
          <w:rFonts w:hint="eastAsia"/>
          <w:sz w:val="21"/>
          <w:szCs w:val="21"/>
        </w:rPr>
        <w:t>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破裂强度</w:t>
      </w:r>
    </w:p>
    <w:p>
      <w:pPr>
        <w:snapToGrid w:val="0"/>
        <w:ind w:firstLine="420" w:firstLineChars="200"/>
        <w:rPr>
          <w:rFonts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铝箔的破裂强度试验方法参照</w:t>
      </w:r>
      <w:r>
        <w:rPr>
          <w:rFonts w:ascii="宋体" w:hAnsi="宋体"/>
          <w:bCs/>
          <w:szCs w:val="20"/>
        </w:rPr>
        <w:t>GB/T</w:t>
      </w:r>
      <w:r>
        <w:rPr>
          <w:rFonts w:hint="eastAsia" w:ascii="宋体" w:hAnsi="宋体"/>
          <w:bCs/>
          <w:szCs w:val="20"/>
        </w:rPr>
        <w:t xml:space="preserve"> </w:t>
      </w:r>
      <w:r>
        <w:rPr>
          <w:rFonts w:ascii="宋体" w:hAnsi="宋体"/>
          <w:bCs/>
          <w:szCs w:val="20"/>
        </w:rPr>
        <w:t>454</w:t>
      </w:r>
      <w:r>
        <w:rPr>
          <w:rFonts w:hint="eastAsia" w:ascii="宋体" w:hAnsi="宋体"/>
          <w:bCs/>
          <w:szCs w:val="20"/>
        </w:rPr>
        <w:t>的规定进行。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接头</w:t>
      </w:r>
    </w:p>
    <w:p>
      <w:pPr>
        <w:snapToGrid w:val="0"/>
        <w:ind w:firstLine="420" w:firstLineChars="200"/>
      </w:pPr>
      <w:r>
        <w:rPr>
          <w:rFonts w:hint="eastAsia" w:ascii="宋体" w:hAnsi="宋体"/>
          <w:bCs/>
          <w:szCs w:val="20"/>
        </w:rPr>
        <w:t>根据接头标记计算每卷铝箔接头数；根据铝箔卷端面相临接头的层间壁厚（借助相应精度的量具测量）换算出接头间距</w:t>
      </w:r>
      <w:r>
        <w:rPr>
          <w:rFonts w:hint="eastAsia"/>
        </w:rPr>
        <w:t>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管芯</w:t>
      </w:r>
    </w:p>
    <w:p>
      <w:pPr>
        <w:snapToGrid w:val="0"/>
        <w:ind w:firstLine="420" w:firstLineChars="200"/>
        <w:rPr>
          <w:rFonts w:ascii="宋体" w:hAnsi="宋体"/>
          <w:bCs/>
          <w:szCs w:val="20"/>
        </w:rPr>
      </w:pPr>
      <w:bookmarkStart w:id="32" w:name="OLE_LINK139"/>
      <w:bookmarkStart w:id="33" w:name="OLE_LINK140"/>
      <w:r>
        <w:rPr>
          <w:rFonts w:hint="eastAsia" w:ascii="宋体" w:hAnsi="宋体"/>
          <w:bCs/>
          <w:szCs w:val="20"/>
        </w:rPr>
        <w:t>管芯尺寸偏差用能保证相应精度的量具测量，管芯材质由供方保证，其他项目目视检查</w:t>
      </w:r>
      <w:r>
        <w:rPr>
          <w:rFonts w:hint="eastAsia"/>
        </w:rPr>
        <w:t>。</w:t>
      </w:r>
    </w:p>
    <w:bookmarkEnd w:id="32"/>
    <w:bookmarkEnd w:id="33"/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外观质量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 w:hAnsi="宋体"/>
          <w:sz w:val="21"/>
          <w:szCs w:val="21"/>
        </w:rPr>
        <w:t>铝箔的外观质量以目视检查。在线检测表面质量的试验方法由供需双方协商确定，并在订货单（或合同）中注明</w:t>
      </w:r>
      <w:r>
        <w:rPr>
          <w:rFonts w:hint="eastAsia"/>
          <w:sz w:val="21"/>
          <w:szCs w:val="21"/>
        </w:rPr>
        <w:t>。</w:t>
      </w:r>
    </w:p>
    <w:p>
      <w:pPr>
        <w:pStyle w:val="90"/>
        <w:spacing w:before="312" w:beforeLines="100" w:after="312" w:afterLines="100"/>
      </w:pPr>
      <w:r>
        <w:rPr>
          <w:rFonts w:hint="eastAsia"/>
        </w:rPr>
        <w:t>检验规则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检查与验收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产品应由供方进行检验，保证产品质量符合本标准及订货单（或合同）的规定，并填写质量证明书。</w:t>
      </w:r>
    </w:p>
    <w:p>
      <w:pPr>
        <w:pStyle w:val="92"/>
        <w:ind w:left="0"/>
      </w:pPr>
      <w:r>
        <w:rPr>
          <w:rFonts w:hint="eastAsia" w:ascii="宋体" w:hAnsi="宋体" w:eastAsia="宋体"/>
        </w:rPr>
        <w:t>需方应对收到的产品按本标准的规定进行检验。检验结果与本标准及订货单（或合同）的规定不符时，应以书面形式向供方提出，由供需双方协商解决。属于外观质量及尺寸偏差的异议，应在收到产品之日起一个月内提出，属于其他性能的异议，应在收到产品之日起三个月内提出。如需仲裁，可委托供需双方认可的单位进行，并在需方共同取样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组批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产品应成批提交验收，每批应由同一牌号、状态、尺寸规格的产品组成，批重不限。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计重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 w:hAnsi="宋体"/>
          <w:sz w:val="21"/>
          <w:szCs w:val="21"/>
        </w:rPr>
        <w:t>产品</w:t>
      </w:r>
      <w:r>
        <w:rPr>
          <w:rFonts w:hint="eastAsia"/>
          <w:sz w:val="21"/>
          <w:szCs w:val="21"/>
        </w:rPr>
        <w:t>应检斤计重（除非供需双方另有约定）。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检验项目及工艺保证项目</w:t>
      </w:r>
    </w:p>
    <w:p>
      <w:pPr>
        <w:pStyle w:val="92"/>
        <w:numPr>
          <w:ilvl w:val="0"/>
          <w:numId w:val="0"/>
        </w:num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出厂检验项目、定期检验项目和工艺保证项目应符合表12的规定。供方每年至少应进行一次定期检验。</w:t>
      </w:r>
    </w:p>
    <w:p>
      <w:pPr>
        <w:pStyle w:val="140"/>
        <w:tabs>
          <w:tab w:val="left" w:pos="3969"/>
        </w:tabs>
        <w:ind w:left="-2" w:leftChars="-1" w:firstLine="2"/>
        <w:rPr>
          <w:rFonts w:ascii="宋体"/>
          <w:szCs w:val="21"/>
        </w:rPr>
      </w:pPr>
      <w:r>
        <w:rPr>
          <w:rFonts w:hint="eastAsia" w:ascii="宋体"/>
          <w:szCs w:val="21"/>
        </w:rPr>
        <w:t>检验项目及工艺保证项目</w:t>
      </w:r>
    </w:p>
    <w:tbl>
      <w:tblPr>
        <w:tblStyle w:val="50"/>
        <w:tblW w:w="495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563"/>
        <w:gridCol w:w="1703"/>
        <w:gridCol w:w="1703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tblHeader/>
        </w:trPr>
        <w:tc>
          <w:tcPr>
            <w:tcW w:w="2282" w:type="pct"/>
            <w:gridSpan w:val="2"/>
            <w:tcBorders>
              <w:bottom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检验项目</w:t>
            </w:r>
          </w:p>
        </w:tc>
        <w:tc>
          <w:tcPr>
            <w:tcW w:w="907" w:type="pct"/>
            <w:tcBorders>
              <w:bottom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出厂检验</w:t>
            </w:r>
          </w:p>
        </w:tc>
        <w:tc>
          <w:tcPr>
            <w:tcW w:w="907" w:type="pct"/>
            <w:tcBorders>
              <w:bottom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定期检验</w:t>
            </w:r>
          </w:p>
        </w:tc>
        <w:tc>
          <w:tcPr>
            <w:tcW w:w="904" w:type="pct"/>
            <w:tcBorders>
              <w:bottom w:val="single" w:color="auto" w:sz="12" w:space="0"/>
            </w:tcBorders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工艺保证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917" w:type="pct"/>
            <w:vMerge w:val="restart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化学成分</w:t>
            </w:r>
          </w:p>
        </w:tc>
        <w:tc>
          <w:tcPr>
            <w:tcW w:w="1365" w:type="pct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Pb、Cd、Hg、</w:t>
            </w:r>
            <w:r>
              <w:rPr>
                <w:rFonts w:hAnsi="宋体"/>
                <w:sz w:val="18"/>
                <w:szCs w:val="18"/>
              </w:rPr>
              <w:t>Cr</w:t>
            </w:r>
            <w:r>
              <w:rPr>
                <w:rFonts w:hAnsi="宋体"/>
                <w:sz w:val="18"/>
                <w:szCs w:val="18"/>
                <w:vertAlign w:val="superscript"/>
              </w:rPr>
              <w:t>6＋</w:t>
            </w:r>
          </w:p>
        </w:tc>
        <w:tc>
          <w:tcPr>
            <w:tcW w:w="907" w:type="pct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907" w:type="pct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4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917" w:type="pct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</w:p>
        </w:tc>
        <w:tc>
          <w:tcPr>
            <w:tcW w:w="136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其他元素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91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尺寸偏差</w:t>
            </w:r>
          </w:p>
        </w:tc>
        <w:tc>
          <w:tcPr>
            <w:tcW w:w="1365" w:type="pct"/>
            <w:shd w:val="clear" w:color="auto" w:fill="auto"/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平均厚度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917" w:type="pct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Ansi="宋体"/>
                <w:sz w:val="18"/>
                <w:szCs w:val="18"/>
                <w:lang w:bidi="mn-Mong-CN"/>
              </w:rPr>
              <w:t>其余尺寸偏差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室温拉伸力学性能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厚度≤</w:t>
            </w:r>
            <w:r>
              <w:rPr>
                <w:rFonts w:hint="eastAsia" w:ascii="宋体" w:hAnsi="宋体"/>
                <w:sz w:val="18"/>
                <w:szCs w:val="18"/>
              </w:rPr>
              <w:t>0.0500mm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铝箔的针孔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厚度</w:t>
            </w:r>
            <w:r>
              <w:rPr>
                <w:rFonts w:hint="eastAsia" w:ascii="宋体" w:hAnsi="宋体"/>
                <w:sz w:val="18"/>
                <w:szCs w:val="18"/>
              </w:rPr>
              <w:t>＞0.0500mm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铝箔的针孔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粘附性（局部粘附性除外）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局部粘附性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表面润湿张力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润湿性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直流电阻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热封强度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破裂强度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－</w:t>
            </w:r>
            <w:r>
              <w:rPr>
                <w:rFonts w:hint="eastAsia" w:ascii="Verdana" w:hAnsi="Verdan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接头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管芯材质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管芯其余要求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  <w:lang w:bidi="mn-Mong-CN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228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外观质量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9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  <w:tc>
          <w:tcPr>
            <w:tcW w:w="904" w:type="pct"/>
            <w:vAlign w:val="center"/>
          </w:tcPr>
          <w:p>
            <w:pPr>
              <w:pStyle w:val="89"/>
              <w:widowControl w:val="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18"/>
                <w:szCs w:val="18"/>
                <w:lang w:bidi="mn-Mong-CN"/>
              </w:rPr>
            </w:pPr>
            <w:r>
              <w:rPr>
                <w:rFonts w:hint="eastAsia" w:hAnsi="宋体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142"/>
              <w:numPr>
                <w:ilvl w:val="0"/>
                <w:numId w:val="0"/>
              </w:numPr>
              <w:adjustRightInd w:val="0"/>
              <w:snapToGrid w:val="0"/>
              <w:ind w:left="42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注：</w:t>
            </w:r>
            <w:r>
              <w:rPr>
                <w:rFonts w:hint="eastAsia" w:hAnsi="宋体"/>
                <w:szCs w:val="18"/>
              </w:rPr>
              <w:t>表中“√”表示“选择”；“-” 表示“不选择”。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</w:trPr>
        <w:tc>
          <w:tcPr>
            <w:tcW w:w="5000" w:type="pct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89"/>
              <w:adjustRightInd w:val="0"/>
              <w:snapToGrid w:val="0"/>
              <w:ind w:firstLine="36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hint="eastAsia" w:ascii="Verdana" w:hAnsi="Verdana"/>
                <w:sz w:val="18"/>
                <w:szCs w:val="18"/>
              </w:rPr>
              <w:t>订货单（或合同）中有要求且注明检验时</w:t>
            </w:r>
            <w:r>
              <w:rPr>
                <w:rFonts w:hint="eastAsia" w:hAnsi="宋体"/>
                <w:sz w:val="18"/>
                <w:szCs w:val="18"/>
              </w:rPr>
              <w:t>为“√”。</w:t>
            </w:r>
          </w:p>
        </w:tc>
      </w:tr>
    </w:tbl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取样</w:t>
      </w:r>
    </w:p>
    <w:p>
      <w:pPr>
        <w:pStyle w:val="89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产品取样应符合表13的规定。</w:t>
      </w:r>
    </w:p>
    <w:p>
      <w:pPr>
        <w:pStyle w:val="140"/>
        <w:ind w:left="-2" w:leftChars="-1"/>
      </w:pPr>
      <w:r>
        <w:rPr>
          <w:rFonts w:hint="eastAsia"/>
        </w:rPr>
        <w:t>产品取样</w:t>
      </w:r>
    </w:p>
    <w:tbl>
      <w:tblPr>
        <w:tblStyle w:val="50"/>
        <w:tblW w:w="92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252"/>
        <w:gridCol w:w="1611"/>
        <w:gridCol w:w="16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检验项目</w:t>
            </w:r>
          </w:p>
        </w:tc>
        <w:tc>
          <w:tcPr>
            <w:tcW w:w="425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取样规定</w:t>
            </w:r>
          </w:p>
        </w:tc>
        <w:tc>
          <w:tcPr>
            <w:tcW w:w="161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76" w:right="-181" w:rightChars="-86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要求的章条号</w:t>
            </w:r>
          </w:p>
        </w:tc>
        <w:tc>
          <w:tcPr>
            <w:tcW w:w="169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化学成分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按 GB/T 17432的规定进行。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3.2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尺寸偏差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逐卷检查。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3.3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室温拉伸力学性能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每批（热处理炉）抽取不少于1卷，每卷切取3个纵向试样，试样应符合GB/T 16865的规定。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3.4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针孔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每批不少于2卷。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3.5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粘附性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每批（热处理炉）不少于1卷。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3.6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表面润湿张力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每批（热处理炉）不少于1卷。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3.7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润湿性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每批（热处理炉）不少于1卷。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3.8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直流电阻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3.9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热封强度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3.10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破裂强度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每批不少于1卷。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3.11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接头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逐卷检查。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3.12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管芯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每批不少于2根。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3.13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外观质量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逐卷检查。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3.14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4.13</w:t>
            </w:r>
          </w:p>
        </w:tc>
      </w:tr>
    </w:tbl>
    <w:p>
      <w:pPr>
        <w:pStyle w:val="89"/>
        <w:ind w:firstLine="0" w:firstLineChars="0"/>
      </w:pP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检验结果的判定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任一试样的化学成分不合格时，产品能区分熔次时，则判该试样代表的熔次不合格，其他熔次依次检验，合格者交货。不能区分熔次时，则判该批产品不合格。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任一产品的尺寸偏差不合格时，判该卷产品不合格。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试样的室温拉伸力学性能不合格时，应从该批（炉）产品（包括该不合格试样代表的那件产品）中（或该不合格试样代表的那件产品上）另取双倍数量的试样进行重复试验。重复试验结果全部合格，则判该批（炉）产品合格。若重复试验结果中仍有试样性能不合格，则判该批（炉）产品不合格。经供需双方商定允许供方逐卷检验时，合格者交货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任一产品的针孔不合格时，判该批产品不合格。但允许供方逐卷检验，合格者交货。</w:t>
      </w:r>
    </w:p>
    <w:p>
      <w:pPr>
        <w:pStyle w:val="92"/>
        <w:ind w:left="0"/>
        <w:rPr>
          <w:rFonts w:ascii="宋体" w:hAnsi="宋体" w:eastAsia="宋体"/>
        </w:rPr>
      </w:pPr>
      <w:bookmarkStart w:id="34" w:name="OLE_LINK173"/>
      <w:bookmarkStart w:id="35" w:name="OLE_LINK172"/>
      <w:r>
        <w:rPr>
          <w:rFonts w:hint="eastAsia" w:ascii="宋体" w:hAnsi="宋体" w:eastAsia="宋体"/>
        </w:rPr>
        <w:t>任一产品的</w:t>
      </w:r>
      <w:bookmarkEnd w:id="34"/>
      <w:bookmarkEnd w:id="35"/>
      <w:bookmarkStart w:id="36" w:name="OLE_LINK174"/>
      <w:r>
        <w:rPr>
          <w:rFonts w:hint="eastAsia" w:ascii="宋体" w:hAnsi="宋体" w:eastAsia="宋体"/>
        </w:rPr>
        <w:t>粘附性、表面润湿张力、润湿性</w:t>
      </w:r>
      <w:bookmarkEnd w:id="36"/>
      <w:r>
        <w:rPr>
          <w:rFonts w:hint="eastAsia" w:ascii="宋体" w:hAnsi="宋体" w:eastAsia="宋体"/>
        </w:rPr>
        <w:t>不合格时，应从该批（炉）产品（包括该不合格的产品）另取双倍数量的产品进行重复试验。重复试验结果全部合格，则判该批（炉）产品合格。若重复试验结果中仍有不合格，则判该批（炉）产品不合格。经供需双方商定允许供方逐卷检验时，合格者交货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任一产品的直流电阻不合格时，产品能区分熔次时，则判该产品代表的熔次不合格，其他熔次依次检验，合格者交货。不能区分熔次时，则判该批产品不合格。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</w:t>
      </w:r>
      <w:bookmarkStart w:id="37" w:name="OLE_LINK176"/>
      <w:bookmarkStart w:id="38" w:name="OLE_LINK175"/>
      <w:r>
        <w:rPr>
          <w:rFonts w:hint="eastAsia" w:ascii="宋体" w:hAnsi="宋体" w:eastAsia="宋体"/>
        </w:rPr>
        <w:t>热封强度</w:t>
      </w:r>
      <w:bookmarkEnd w:id="37"/>
      <w:bookmarkEnd w:id="38"/>
      <w:r>
        <w:rPr>
          <w:rFonts w:hint="eastAsia" w:ascii="宋体" w:hAnsi="宋体" w:eastAsia="宋体"/>
        </w:rPr>
        <w:t>不合格时，判该批产品不合格。经供需双方商定允许供方逐卷检验时，合格者交货。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任一产品的破裂强度不合格时，判该批产品不合格。经供需双方商定允许供方逐卷检验时，合格者交货。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任一产品的接头不合格时，判该卷产品不合格。</w:t>
      </w:r>
    </w:p>
    <w:p>
      <w:pPr>
        <w:pStyle w:val="92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任一产品的管芯不合格时，判该批产品不合格，但允许逐卷检验，合格者交货。</w:t>
      </w:r>
    </w:p>
    <w:p>
      <w:pPr>
        <w:pStyle w:val="92"/>
        <w:ind w:left="0"/>
      </w:pPr>
      <w:r>
        <w:rPr>
          <w:rFonts w:hint="eastAsia" w:ascii="宋体" w:hAnsi="宋体" w:eastAsia="宋体"/>
        </w:rPr>
        <w:t>任一产品的外观质量不合格时，判该卷产品不合格</w:t>
      </w:r>
      <w:r>
        <w:rPr>
          <w:rFonts w:hint="eastAsia"/>
        </w:rPr>
        <w:t>。</w:t>
      </w:r>
    </w:p>
    <w:p>
      <w:pPr>
        <w:pStyle w:val="90"/>
        <w:spacing w:before="312" w:beforeLines="100" w:after="312" w:afterLines="100"/>
      </w:pPr>
      <w:r>
        <w:rPr>
          <w:rFonts w:hint="eastAsia"/>
        </w:rPr>
        <w:t>标志、包装、运输、贮存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标志</w:t>
      </w: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产品标志</w:t>
      </w:r>
    </w:p>
    <w:p>
      <w:pPr>
        <w:pStyle w:val="124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在检验合格的每卷产品上应做标记（或贴标签），标记内容如下：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产品名称；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牌号、状态；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尺寸规格；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批号（或卷号）；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净重；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供方质检部门的检印</w:t>
      </w:r>
      <w:r>
        <w:rPr>
          <w:rFonts w:hint="eastAsia" w:hAnsi="宋体"/>
        </w:rPr>
        <w:t>（或质检人员的签名或印章）</w:t>
      </w:r>
      <w:r>
        <w:rPr>
          <w:rFonts w:hint="eastAsia"/>
        </w:rPr>
        <w:t>。</w:t>
      </w:r>
    </w:p>
    <w:p>
      <w:pPr>
        <w:pStyle w:val="124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当需方对产品标志有二维码或条形码等标识要求时，应供需双方协商确定，并在订货单（或合同）中注明。</w:t>
      </w:r>
    </w:p>
    <w:p>
      <w:pPr>
        <w:pStyle w:val="92"/>
        <w:ind w:left="0"/>
        <w:rPr>
          <w:rFonts w:hAnsi="黑体"/>
        </w:rPr>
      </w:pPr>
      <w:r>
        <w:rPr>
          <w:rFonts w:hint="eastAsia" w:hAnsi="黑体"/>
        </w:rPr>
        <w:t>包装箱标志</w:t>
      </w:r>
    </w:p>
    <w:p>
      <w:pPr>
        <w:pStyle w:val="144"/>
        <w:ind w:left="0" w:leftChars="0" w:firstLine="420" w:firstLineChars="200"/>
      </w:pPr>
      <w:r>
        <w:rPr>
          <w:rFonts w:hint="eastAsia" w:hAnsi="宋体"/>
          <w:szCs w:val="21"/>
        </w:rPr>
        <w:t>产品包装箱的标志应符合GB/T 3199的规定。</w:t>
      </w:r>
      <w:r>
        <w:rPr>
          <w:rFonts w:hint="eastAsia"/>
        </w:rPr>
        <w:t>当需方对包装箱标志有二维码或条形码等标识要求时，应供需双方协商确定，并在订货</w:t>
      </w:r>
      <w:r>
        <w:rPr>
          <w:rFonts w:hint="eastAsia" w:asciiTheme="minorEastAsia" w:hAnsiTheme="minorEastAsia" w:eastAsiaTheme="minorEastAsia"/>
        </w:rPr>
        <w:t>单</w:t>
      </w:r>
      <w:r>
        <w:rPr>
          <w:rFonts w:hint="eastAsia"/>
        </w:rPr>
        <w:t>（或合同）中注明。</w:t>
      </w:r>
    </w:p>
    <w:p>
      <w:pPr>
        <w:pStyle w:val="91"/>
        <w:spacing w:before="156" w:beforeLines="50" w:after="156" w:afterLines="50"/>
        <w:ind w:left="2205" w:hanging="2205"/>
      </w:pPr>
      <w:r>
        <w:rPr>
          <w:rFonts w:hint="eastAsia"/>
        </w:rPr>
        <w:t>包装、运输、贮存</w:t>
      </w:r>
    </w:p>
    <w:p>
      <w:pPr>
        <w:pStyle w:val="124"/>
        <w:numPr>
          <w:ilvl w:val="0"/>
          <w:numId w:val="0"/>
        </w:numPr>
        <w:ind w:firstLine="420" w:firstLineChars="200"/>
        <w:rPr>
          <w:rFonts w:asciiTheme="minorEastAsia" w:hAnsiTheme="minorEastAsia" w:eastAsiaTheme="minorEastAsia"/>
          <w:strike/>
        </w:rPr>
      </w:pPr>
      <w:r>
        <w:rPr>
          <w:rFonts w:hint="eastAsia" w:asciiTheme="minorEastAsia" w:hAnsiTheme="minorEastAsia" w:eastAsiaTheme="minorEastAsia"/>
        </w:rPr>
        <w:t>产品的的包装、运输、贮存按GB/T 3199的规定执行。需方要求使用钢托架、纸板包装箱、纸木包装箱进行包装或有特殊要求时，应供需双方协商确定，并在订货单（或合同）中注明。</w:t>
      </w:r>
    </w:p>
    <w:p>
      <w:pPr>
        <w:pStyle w:val="90"/>
        <w:spacing w:before="312" w:beforeLines="100" w:after="312" w:afterLines="100"/>
      </w:pPr>
      <w:r>
        <w:rPr>
          <w:rFonts w:hint="eastAsia"/>
        </w:rPr>
        <w:t>质量证明书</w:t>
      </w:r>
    </w:p>
    <w:p>
      <w:pPr>
        <w:pStyle w:val="89"/>
        <w:ind w:firstLine="420"/>
        <w:rPr>
          <w:rFonts w:hAnsi="宋体"/>
        </w:rPr>
      </w:pPr>
      <w:r>
        <w:rPr>
          <w:rFonts w:hint="eastAsia" w:hAnsi="宋体"/>
          <w:sz w:val="21"/>
          <w:szCs w:val="21"/>
        </w:rPr>
        <w:t>每批铝箔应附有产品质量证明书，其上注明：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供方名称；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产品名称；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牌号、状态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尺寸规格；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净重；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批号（或卷号）；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各项分析项目的检验结果；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 xml:space="preserve">本标准编号； 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供方质检部门的印章；</w:t>
      </w:r>
    </w:p>
    <w:p>
      <w:pPr>
        <w:pStyle w:val="144"/>
        <w:numPr>
          <w:ilvl w:val="0"/>
          <w:numId w:val="16"/>
        </w:numPr>
        <w:tabs>
          <w:tab w:val="left" w:pos="840"/>
        </w:tabs>
        <w:ind w:leftChars="0" w:firstLineChars="0"/>
      </w:pPr>
      <w:r>
        <w:rPr>
          <w:rFonts w:hint="eastAsia"/>
        </w:rPr>
        <w:t>包装日期（或出厂日期）。</w:t>
      </w:r>
    </w:p>
    <w:p>
      <w:pPr>
        <w:pStyle w:val="90"/>
        <w:spacing w:before="312" w:beforeLines="100" w:after="312" w:afterLines="100"/>
      </w:pPr>
      <w:r>
        <w:rPr>
          <w:rFonts w:hint="eastAsia"/>
        </w:rPr>
        <w:t>订货单（或合同）内容</w:t>
      </w:r>
    </w:p>
    <w:p>
      <w:pPr>
        <w:pStyle w:val="89"/>
        <w:ind w:firstLine="420"/>
      </w:pPr>
      <w:r>
        <w:rPr>
          <w:rFonts w:hint="eastAsia"/>
          <w:sz w:val="21"/>
          <w:szCs w:val="21"/>
        </w:rPr>
        <w:t>订购本标准所列产品的订货单（或合同）内应包括下列内容：</w:t>
      </w:r>
    </w:p>
    <w:p>
      <w:pPr>
        <w:numPr>
          <w:ilvl w:val="0"/>
          <w:numId w:val="17"/>
        </w:numPr>
        <w:tabs>
          <w:tab w:val="left" w:pos="840"/>
        </w:tabs>
      </w:pPr>
      <w:r>
        <w:rPr>
          <w:rFonts w:hint="eastAsia"/>
        </w:rPr>
        <w:t>产品名称；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牌号、状态；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尺寸规格；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 xml:space="preserve">重量； 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管芯材质及规格；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铝箔类型（单面光铝箔、双面光铝箔）；</w:t>
      </w:r>
    </w:p>
    <w:p>
      <w:pPr>
        <w:pStyle w:val="89"/>
        <w:numPr>
          <w:ilvl w:val="0"/>
          <w:numId w:val="1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对单面光铝箔卷取朝向有要求时，应具体注明；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 xml:space="preserve">对产品的局部厚度偏差、宽度偏差、错层、塔形、针孔、接头有高精级或更高级别要求时，应具体注明； 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对产品的平均厚度、长度、在线检测针孔及其试验方法、局部粘附性、表面润湿张力、润湿性、直流电阻、热封强度、破裂强度、在线检测表面质量及其试验方法有要求时，</w:t>
      </w:r>
      <w:bookmarkStart w:id="39" w:name="OLE_LINK16"/>
      <w:bookmarkStart w:id="40" w:name="OLE_LINK17"/>
      <w:r>
        <w:rPr>
          <w:rFonts w:hint="eastAsia"/>
        </w:rPr>
        <w:t>应具体注明；</w:t>
      </w:r>
      <w:bookmarkEnd w:id="39"/>
      <w:bookmarkEnd w:id="40"/>
    </w:p>
    <w:p>
      <w:pPr>
        <w:pStyle w:val="89"/>
        <w:numPr>
          <w:ilvl w:val="0"/>
          <w:numId w:val="15"/>
        </w:numPr>
        <w:ind w:firstLineChars="0"/>
      </w:pPr>
      <w:r>
        <w:rPr>
          <w:rFonts w:hint="eastAsia"/>
          <w:sz w:val="21"/>
          <w:szCs w:val="21"/>
        </w:rPr>
        <w:t>对产品标志、包装箱标志有二维码或条形码等标识要求时，应具体注明；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要求使用钢托架、纸板包装箱、纸木包装箱时，应具体注明；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其他特殊要求；</w:t>
      </w:r>
    </w:p>
    <w:p>
      <w:pPr>
        <w:pStyle w:val="144"/>
        <w:ind w:left="839" w:leftChars="0" w:firstLine="0" w:firstLineChars="0"/>
      </w:pPr>
      <w:r>
        <w:rPr>
          <w:rFonts w:hint="eastAsia"/>
        </w:rPr>
        <w:t>——特殊的化学成分；</w:t>
      </w:r>
    </w:p>
    <w:p>
      <w:pPr>
        <w:pStyle w:val="144"/>
        <w:ind w:left="839" w:leftChars="0" w:firstLine="0" w:firstLineChars="0"/>
      </w:pPr>
      <w:r>
        <w:rPr>
          <w:rFonts w:hint="eastAsia"/>
        </w:rPr>
        <w:t>——特殊的室温拉伸力学性能；</w:t>
      </w:r>
    </w:p>
    <w:p>
      <w:pPr>
        <w:pStyle w:val="144"/>
        <w:ind w:left="839" w:leftChars="0" w:firstLine="0" w:firstLineChars="0"/>
      </w:pPr>
      <w:r>
        <w:rPr>
          <w:rFonts w:hint="eastAsia"/>
        </w:rPr>
        <w:t>——特殊的包装方式。</w:t>
      </w:r>
    </w:p>
    <w:p>
      <w:pPr>
        <w:pStyle w:val="144"/>
        <w:numPr>
          <w:ilvl w:val="0"/>
          <w:numId w:val="15"/>
        </w:numPr>
        <w:ind w:leftChars="0" w:firstLineChars="0"/>
      </w:pPr>
      <w:r>
        <w:rPr>
          <w:rFonts w:hint="eastAsia"/>
        </w:rPr>
        <w:t>本标准编号。</w:t>
      </w:r>
    </w:p>
    <w:p>
      <w:pPr>
        <w:pStyle w:val="89"/>
        <w:ind w:firstLine="440"/>
        <w:rPr>
          <w:rFonts w:hAnsi="宋体"/>
        </w:rPr>
      </w:pPr>
    </w:p>
    <w:p>
      <w:pPr>
        <w:jc w:val="center"/>
        <w:rPr>
          <w:rFonts w:ascii="黑体" w:eastAsia="黑体"/>
          <w:bCs/>
        </w:rPr>
      </w:pPr>
      <w:r>
        <w:rPr>
          <w:rFonts w:ascii="黑体" w:eastAsia="黑体"/>
          <w:b/>
          <w:bCs/>
        </w:rPr>
        <w:br w:type="page"/>
      </w:r>
      <w:r>
        <w:rPr>
          <w:rFonts w:hint="eastAsia" w:ascii="黑体" w:eastAsia="黑体"/>
          <w:bCs/>
        </w:rPr>
        <w:t>附录A</w:t>
      </w:r>
    </w:p>
    <w:p>
      <w:pPr>
        <w:jc w:val="center"/>
        <w:rPr>
          <w:rFonts w:eastAsia="黑体"/>
        </w:rPr>
      </w:pPr>
      <w:r>
        <w:rPr>
          <w:rFonts w:hint="eastAsia" w:eastAsia="黑体"/>
        </w:rPr>
        <w:t>（资料性附录）</w:t>
      </w:r>
    </w:p>
    <w:p>
      <w:pPr>
        <w:jc w:val="center"/>
        <w:rPr>
          <w:rFonts w:eastAsia="黑体"/>
        </w:rPr>
      </w:pPr>
      <w:r>
        <w:rPr>
          <w:rFonts w:eastAsia="黑体"/>
        </w:rPr>
        <w:t>1145</w:t>
      </w:r>
      <w:r>
        <w:rPr>
          <w:rFonts w:hint="eastAsia" w:eastAsia="黑体"/>
        </w:rPr>
        <w:t>、</w:t>
      </w:r>
      <w:r>
        <w:rPr>
          <w:rFonts w:eastAsia="黑体"/>
        </w:rPr>
        <w:t>1235</w:t>
      </w:r>
      <w:r>
        <w:rPr>
          <w:rFonts w:hint="eastAsia" w:eastAsia="黑体"/>
        </w:rPr>
        <w:t>牌号铝箔的直流电阻</w:t>
      </w:r>
    </w:p>
    <w:p>
      <w:pPr>
        <w:jc w:val="center"/>
        <w:rPr>
          <w:rFonts w:eastAsia="黑体"/>
        </w:rPr>
      </w:pPr>
    </w:p>
    <w:p>
      <w:pPr>
        <w:tabs>
          <w:tab w:val="left" w:pos="426"/>
        </w:tabs>
        <w:ind w:left="566" w:leftChars="203" w:hanging="140" w:hangingChars="67"/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1145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1235</w:t>
      </w:r>
      <w:r>
        <w:rPr>
          <w:rFonts w:hint="eastAsia" w:asciiTheme="minorEastAsia" w:hAnsiTheme="minorEastAsia" w:eastAsiaTheme="minorEastAsia"/>
        </w:rPr>
        <w:t>牌号铝箔的直流电阻参见表A.1。</w:t>
      </w:r>
    </w:p>
    <w:p>
      <w:pPr>
        <w:jc w:val="left"/>
        <w:rPr>
          <w:rFonts w:eastAsia="黑体"/>
        </w:rPr>
      </w:pPr>
    </w:p>
    <w:p>
      <w:pPr>
        <w:jc w:val="center"/>
        <w:rPr>
          <w:rFonts w:eastAsia="黑体"/>
        </w:rPr>
      </w:pPr>
      <w:r>
        <w:rPr>
          <w:rFonts w:hint="eastAsia" w:eastAsia="黑体"/>
        </w:rPr>
        <w:t>表A.1</w:t>
      </w:r>
      <w:r>
        <w:rPr>
          <w:rFonts w:eastAsia="黑体"/>
        </w:rPr>
        <w:t xml:space="preserve"> 1145</w:t>
      </w:r>
      <w:r>
        <w:rPr>
          <w:rFonts w:hint="eastAsia" w:eastAsia="黑体"/>
        </w:rPr>
        <w:t>、</w:t>
      </w:r>
      <w:r>
        <w:rPr>
          <w:rFonts w:eastAsia="黑体"/>
        </w:rPr>
        <w:t>1235</w:t>
      </w:r>
      <w:r>
        <w:rPr>
          <w:rFonts w:hint="eastAsia" w:eastAsia="黑体"/>
        </w:rPr>
        <w:t>牌号铝箔的直流电阻</w:t>
      </w:r>
    </w:p>
    <w:tbl>
      <w:tblPr>
        <w:tblStyle w:val="50"/>
        <w:tblW w:w="97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0"/>
        <w:gridCol w:w="56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41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标定厚度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560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直流电阻（长度1000.0mm，宽度</w:t>
            </w:r>
            <w:r>
              <w:rPr>
                <w:sz w:val="18"/>
              </w:rPr>
              <w:t>10.0mm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Ω</w:t>
            </w:r>
          </w:p>
          <w:p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highlight w:val="yellow"/>
              </w:rPr>
              <w:t>小于或等于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" w:hRule="atLeast"/>
        </w:trPr>
        <w:tc>
          <w:tcPr>
            <w:tcW w:w="41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0.0060</w:t>
            </w:r>
          </w:p>
        </w:tc>
        <w:tc>
          <w:tcPr>
            <w:tcW w:w="56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0.0065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0.0070</w:t>
            </w:r>
          </w:p>
        </w:tc>
        <w:tc>
          <w:tcPr>
            <w:tcW w:w="56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0.0080</w:t>
            </w:r>
          </w:p>
        </w:tc>
        <w:tc>
          <w:tcPr>
            <w:tcW w:w="56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0.0090</w:t>
            </w:r>
          </w:p>
        </w:tc>
        <w:tc>
          <w:tcPr>
            <w:tcW w:w="56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0.010</w:t>
            </w: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56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0.011</w:t>
            </w: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56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41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0.016</w:t>
            </w: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56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" w:hRule="atLeast"/>
        </w:trPr>
        <w:tc>
          <w:tcPr>
            <w:tcW w:w="9748" w:type="dxa"/>
            <w:gridSpan w:val="2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>注：纯度越高的纯铝，其电阻值越小。</w:t>
            </w:r>
          </w:p>
        </w:tc>
      </w:tr>
    </w:tbl>
    <w:p/>
    <w:p>
      <w:pPr>
        <w:pStyle w:val="89"/>
        <w:ind w:firstLine="0" w:firstLineChars="0"/>
      </w:pPr>
    </w:p>
    <w:p>
      <w:pPr>
        <w:pStyle w:val="89"/>
        <w:ind w:firstLine="0" w:firstLineChars="0"/>
      </w:pPr>
    </w:p>
    <w:p>
      <w:pPr>
        <w:pStyle w:val="89"/>
        <w:ind w:firstLine="0" w:firstLineChars="0"/>
      </w:pPr>
    </w:p>
    <w:p>
      <w:pPr>
        <w:jc w:val="center"/>
        <w:rPr>
          <w:rFonts w:eastAsia="黑体"/>
        </w:rPr>
      </w:pPr>
      <w:r>
        <w:rPr>
          <w:rFonts w:eastAsia="黑体"/>
          <w:b/>
        </w:rPr>
        <w:br w:type="page"/>
      </w:r>
      <w:r>
        <w:rPr>
          <w:rFonts w:hint="eastAsia" w:eastAsia="黑体"/>
        </w:rPr>
        <w:t>附录B</w:t>
      </w:r>
    </w:p>
    <w:p>
      <w:pPr>
        <w:jc w:val="center"/>
        <w:rPr>
          <w:rFonts w:eastAsia="黑体"/>
        </w:rPr>
      </w:pPr>
      <w:r>
        <w:rPr>
          <w:rFonts w:hint="eastAsia" w:eastAsia="黑体"/>
        </w:rPr>
        <w:t>（资料性附录）</w:t>
      </w:r>
    </w:p>
    <w:p>
      <w:pPr>
        <w:jc w:val="center"/>
        <w:rPr>
          <w:rFonts w:eastAsia="黑体"/>
        </w:rPr>
      </w:pPr>
      <w:r>
        <w:rPr>
          <w:rFonts w:hint="eastAsia" w:eastAsia="黑体"/>
        </w:rPr>
        <w:t>常见铝及铝合金密度</w:t>
      </w:r>
    </w:p>
    <w:p>
      <w:pPr>
        <w:jc w:val="center"/>
        <w:rPr>
          <w:rFonts w:eastAsia="黑体"/>
          <w:b/>
        </w:rPr>
      </w:pPr>
    </w:p>
    <w:p>
      <w:pPr>
        <w:ind w:left="424" w:leftChars="202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常见铝及铝合金密度见表B.1。</w:t>
      </w:r>
    </w:p>
    <w:p>
      <w:pPr>
        <w:jc w:val="center"/>
        <w:rPr>
          <w:rFonts w:eastAsia="黑体"/>
          <w:b/>
        </w:rPr>
      </w:pPr>
    </w:p>
    <w:p>
      <w:pPr>
        <w:jc w:val="center"/>
        <w:rPr>
          <w:rFonts w:eastAsia="黑体"/>
          <w:b/>
        </w:rPr>
      </w:pPr>
      <w:r>
        <w:rPr>
          <w:rFonts w:hint="eastAsia" w:eastAsia="黑体"/>
          <w:b/>
        </w:rPr>
        <w:t>表B.1</w:t>
      </w:r>
      <w:r>
        <w:rPr>
          <w:rFonts w:eastAsia="黑体"/>
          <w:b/>
        </w:rPr>
        <w:t xml:space="preserve"> </w:t>
      </w:r>
      <w:r>
        <w:rPr>
          <w:rFonts w:hint="eastAsia" w:eastAsia="黑体"/>
        </w:rPr>
        <w:t>常见铝及铝合金密度</w:t>
      </w:r>
    </w:p>
    <w:tbl>
      <w:tblPr>
        <w:tblStyle w:val="5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2"/>
        <w:gridCol w:w="45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牌号</w:t>
            </w:r>
          </w:p>
        </w:tc>
        <w:tc>
          <w:tcPr>
            <w:tcW w:w="2361" w:type="pct"/>
            <w:tcBorders>
              <w:bottom w:val="single" w:color="000000" w:sz="12" w:space="0"/>
            </w:tcBorders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密度</w:t>
            </w:r>
          </w:p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bookmarkStart w:id="41" w:name="OLE_LINK6"/>
            <w:bookmarkStart w:id="42" w:name="OLE_LINK7"/>
            <w:r>
              <w:rPr>
                <w:sz w:val="18"/>
                <w:szCs w:val="18"/>
              </w:rPr>
              <w:t>2.705</w:t>
            </w:r>
            <w:bookmarkEnd w:id="41"/>
            <w:bookmarkEnd w:id="4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3102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5A02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8011A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8111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8021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8021B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8079</w:t>
            </w:r>
          </w:p>
        </w:tc>
        <w:tc>
          <w:tcPr>
            <w:tcW w:w="2361" w:type="pct"/>
            <w:shd w:val="clear" w:color="auto" w:fill="auto"/>
          </w:tcPr>
          <w:p>
            <w:pPr>
              <w:pStyle w:val="89"/>
              <w:widowControl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2.720</w:t>
            </w:r>
          </w:p>
        </w:tc>
      </w:tr>
    </w:tbl>
    <w:p>
      <w:pPr>
        <w:pStyle w:val="89"/>
        <w:ind w:firstLine="0" w:firstLineChars="0"/>
      </w:pPr>
    </w:p>
    <w:p>
      <w:pPr>
        <w:pStyle w:val="89"/>
        <w:ind w:firstLine="0" w:firstLineChars="0"/>
      </w:pPr>
    </w:p>
    <w:p>
      <w:pPr>
        <w:pStyle w:val="89"/>
        <w:ind w:firstLine="0" w:firstLineChars="0"/>
      </w:pPr>
    </w:p>
    <w:p>
      <w:pPr>
        <w:pStyle w:val="89"/>
        <w:ind w:firstLine="0" w:firstLineChars="0"/>
      </w:pPr>
    </w:p>
    <w:p>
      <w:pPr>
        <w:pStyle w:val="89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1943100" cy="0"/>
                <wp:effectExtent l="0" t="0" r="0" b="0"/>
                <wp:wrapNone/>
                <wp:docPr id="1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9" o:spid="_x0000_s1026" o:spt="20" style="position:absolute;left:0pt;margin-left:180pt;margin-top:11.3pt;height:0pt;width:153pt;z-index:251666432;mso-width-relative:page;mso-height-relative:page;" filled="f" stroked="t" coordsize="21600,21600" o:gfxdata="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jOgbTVAAAA&#10;CQEAAA8AAAAAAAAAAQAgAAAAIgAAAGRycy9kb3ducmV2LnhtbFBLAQIUABQAAAAIAIdO4kAVFXxF&#10;rgEAAFMDAAAOAAAAAAAAAAEAIAAAACQBAABkcnMvZTJvRG9jLnhtbFBLBQYAAAAABgAGAFkBAABE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9"/>
        <w:ind w:firstLine="0" w:firstLineChars="0"/>
        <w:rPr>
          <w:rFonts w:hAnsi="宋体"/>
        </w:rPr>
      </w:pPr>
    </w:p>
    <w:sectPr>
      <w:pgSz w:w="11907" w:h="16839"/>
      <w:pgMar w:top="1418" w:right="1134" w:bottom="1134" w:left="1418" w:header="1418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1</w:t>
    </w:r>
    <w:r>
      <w:rPr>
        <w:rStyle w:val="5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I</w:t>
    </w:r>
    <w:r>
      <w:rPr>
        <w:rStyle w:val="5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II</w:t>
    </w:r>
    <w:r>
      <w:rPr>
        <w:rStyle w:val="5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1</w:t>
    </w:r>
    <w:r>
      <w:rPr>
        <w:rStyle w:val="5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13</w:t>
    </w:r>
    <w:r>
      <w:rPr>
        <w:rStyle w:val="55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55"/>
      </w:rPr>
    </w:pPr>
    <w:r>
      <w:rPr>
        <w:rStyle w:val="55"/>
      </w:rPr>
      <w:fldChar w:fldCharType="begin"/>
    </w:r>
    <w:r>
      <w:rPr>
        <w:rStyle w:val="55"/>
      </w:rPr>
      <w:instrText xml:space="preserve">PAGE  </w:instrText>
    </w:r>
    <w:r>
      <w:rPr>
        <w:rStyle w:val="55"/>
      </w:rPr>
      <w:fldChar w:fldCharType="separate"/>
    </w:r>
    <w:r>
      <w:rPr>
        <w:rStyle w:val="55"/>
      </w:rPr>
      <w:t>12</w:t>
    </w:r>
    <w:r>
      <w:rPr>
        <w:rStyle w:val="5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 xml:space="preserve">GB/T </w:t>
    </w:r>
    <w:r>
      <w:rPr>
        <w:rFonts w:hint="eastAsia"/>
      </w:rPr>
      <w:t>3198</w:t>
    </w:r>
    <w:r>
      <w:t>—201×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  <w:jc w:val="both"/>
    </w:pPr>
    <w:r>
      <w:t>GB/T XXXXX—201×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GB/T XXXXX—201×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39"/>
      <w:suff w:val="nothing"/>
      <w:lvlText w:val="%1%2.%3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3"/>
      <w:suff w:val="nothing"/>
      <w:lvlText w:val="%1%2.%3.%4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25"/>
      <w:suff w:val="nothing"/>
      <w:lvlText w:val="%1%2.%3.%4.%5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0"/>
      <w:suff w:val="nothing"/>
      <w:lvlText w:val="%1%2.%3.%4.%5.%6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36"/>
      <w:suff w:val="nothing"/>
      <w:lvlText w:val="%1%2.%3.%4.%5.%6.%7　"/>
      <w:lvlJc w:val="left"/>
      <w:pPr>
        <w:ind w:left="-25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43"/>
        </w:tabs>
        <w:ind w:left="1843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551"/>
        </w:tabs>
        <w:ind w:left="2551" w:hanging="1700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9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7"/>
      <w:lvlText w:val="%1示例"/>
      <w:lvlJc w:val="left"/>
      <w:pPr>
        <w:tabs>
          <w:tab w:val="left" w:pos="1120"/>
        </w:tabs>
        <w:ind w:firstLine="400"/>
      </w:pPr>
      <w:rPr>
        <w:rFonts w:hint="eastAsia" w:ascii="宋体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1DBF583A"/>
    <w:multiLevelType w:val="multilevel"/>
    <w:tmpl w:val="1DBF583A"/>
    <w:lvl w:ilvl="0" w:tentative="0">
      <w:start w:val="1"/>
      <w:numFmt w:val="decimal"/>
      <w:pStyle w:val="17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>
    <w:nsid w:val="2C5917C3"/>
    <w:multiLevelType w:val="multilevel"/>
    <w:tmpl w:val="2C5917C3"/>
    <w:lvl w:ilvl="0" w:tentative="0">
      <w:start w:val="1"/>
      <w:numFmt w:val="none"/>
      <w:pStyle w:val="16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6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6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407E65F9"/>
    <w:multiLevelType w:val="multilevel"/>
    <w:tmpl w:val="407E65F9"/>
    <w:lvl w:ilvl="0" w:tentative="0">
      <w:start w:val="1"/>
      <w:numFmt w:val="none"/>
      <w:pStyle w:val="119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 w:cs="Times New Roman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44C50F90"/>
    <w:multiLevelType w:val="multilevel"/>
    <w:tmpl w:val="44C50F90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>
    <w:nsid w:val="496E4D7B"/>
    <w:multiLevelType w:val="multilevel"/>
    <w:tmpl w:val="496E4D7B"/>
    <w:lvl w:ilvl="0" w:tentative="0">
      <w:start w:val="1"/>
      <w:numFmt w:val="none"/>
      <w:pStyle w:val="143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557C2AF5"/>
    <w:multiLevelType w:val="multilevel"/>
    <w:tmpl w:val="557C2AF5"/>
    <w:lvl w:ilvl="0" w:tentative="0">
      <w:start w:val="1"/>
      <w:numFmt w:val="decimal"/>
      <w:pStyle w:val="141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-567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84"/>
        </w:tabs>
        <w:ind w:left="340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210"/>
        </w:tabs>
        <w:ind w:left="4110" w:hanging="1700"/>
      </w:pPr>
      <w:rPr>
        <w:rFonts w:hint="eastAsia" w:cs="Times New Roman"/>
      </w:rPr>
    </w:lvl>
  </w:abstractNum>
  <w:abstractNum w:abstractNumId="9">
    <w:nsid w:val="646260FA"/>
    <w:multiLevelType w:val="multilevel"/>
    <w:tmpl w:val="646260FA"/>
    <w:lvl w:ilvl="0" w:tentative="0">
      <w:start w:val="1"/>
      <w:numFmt w:val="decimal"/>
      <w:pStyle w:val="140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0">
    <w:nsid w:val="657D3FBC"/>
    <w:multiLevelType w:val="multilevel"/>
    <w:tmpl w:val="657D3FBC"/>
    <w:lvl w:ilvl="0" w:tentative="0">
      <w:start w:val="1"/>
      <w:numFmt w:val="upperLetter"/>
      <w:pStyle w:val="106"/>
      <w:suff w:val="nothing"/>
      <w:lvlText w:val="附　录　%1"/>
      <w:lvlJc w:val="left"/>
      <w:pPr>
        <w:ind w:left="4253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108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9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10"/>
      <w:suff w:val="nothing"/>
      <w:lvlText w:val="%1.%2.%3.%4　"/>
      <w:lvlJc w:val="left"/>
      <w:pPr>
        <w:ind w:left="426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11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12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14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1">
    <w:nsid w:val="6CEA2025"/>
    <w:multiLevelType w:val="multilevel"/>
    <w:tmpl w:val="6CEA2025"/>
    <w:lvl w:ilvl="0" w:tentative="0">
      <w:start w:val="1"/>
      <w:numFmt w:val="none"/>
      <w:pStyle w:val="87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201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7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90"/>
      <w:suff w:val="nothing"/>
      <w:lvlText w:val="%1%2.%3.%4　"/>
      <w:lvlJc w:val="left"/>
      <w:pPr>
        <w:ind w:left="1277"/>
      </w:pPr>
      <w:rPr>
        <w:rFonts w:hint="eastAsia" w:ascii="黑体" w:hAnsi="Times New Roman" w:eastAsia="黑体" w:cs="Times New Roman"/>
        <w:b w:val="0"/>
        <w:i w:val="0"/>
        <w:strike w:val="0"/>
        <w:sz w:val="21"/>
      </w:rPr>
    </w:lvl>
    <w:lvl w:ilvl="4" w:tentative="0">
      <w:start w:val="1"/>
      <w:numFmt w:val="decimal"/>
      <w:pStyle w:val="124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trike w:val="0"/>
        <w:color w:val="auto"/>
        <w:sz w:val="21"/>
      </w:rPr>
    </w:lvl>
    <w:lvl w:ilvl="5" w:tentative="0">
      <w:start w:val="1"/>
      <w:numFmt w:val="decimal"/>
      <w:pStyle w:val="200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35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2">
    <w:nsid w:val="6D6C07CD"/>
    <w:multiLevelType w:val="multilevel"/>
    <w:tmpl w:val="6D6C07CD"/>
    <w:lvl w:ilvl="0" w:tentative="0">
      <w:start w:val="1"/>
      <w:numFmt w:val="lowerLetter"/>
      <w:pStyle w:val="18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 w:tentative="0">
      <w:start w:val="1"/>
      <w:numFmt w:val="none"/>
      <w:pStyle w:val="142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（%2）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4">
    <w:nsid w:val="76933334"/>
    <w:multiLevelType w:val="multilevel"/>
    <w:tmpl w:val="76933334"/>
    <w:lvl w:ilvl="0" w:tentative="0">
      <w:start w:val="1"/>
      <w:numFmt w:val="none"/>
      <w:pStyle w:val="118"/>
      <w:lvlText w:val="%1——"/>
      <w:lvlJc w:val="left"/>
      <w:pPr>
        <w:tabs>
          <w:tab w:val="left" w:pos="1140"/>
        </w:tabs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EA"/>
    <w:rsid w:val="000001E3"/>
    <w:rsid w:val="000008D0"/>
    <w:rsid w:val="000011D2"/>
    <w:rsid w:val="00002623"/>
    <w:rsid w:val="00004928"/>
    <w:rsid w:val="000054FB"/>
    <w:rsid w:val="00005F53"/>
    <w:rsid w:val="0000668E"/>
    <w:rsid w:val="00006962"/>
    <w:rsid w:val="00006F31"/>
    <w:rsid w:val="00007748"/>
    <w:rsid w:val="00007979"/>
    <w:rsid w:val="00007F0E"/>
    <w:rsid w:val="00010066"/>
    <w:rsid w:val="000108A2"/>
    <w:rsid w:val="000121C7"/>
    <w:rsid w:val="00012508"/>
    <w:rsid w:val="00014780"/>
    <w:rsid w:val="00014E06"/>
    <w:rsid w:val="00015E89"/>
    <w:rsid w:val="00016C71"/>
    <w:rsid w:val="0002251C"/>
    <w:rsid w:val="00023FDB"/>
    <w:rsid w:val="0002435B"/>
    <w:rsid w:val="00024DE5"/>
    <w:rsid w:val="00024E92"/>
    <w:rsid w:val="000252BC"/>
    <w:rsid w:val="00025701"/>
    <w:rsid w:val="00027597"/>
    <w:rsid w:val="00027A73"/>
    <w:rsid w:val="00030535"/>
    <w:rsid w:val="00030BDB"/>
    <w:rsid w:val="00031BB7"/>
    <w:rsid w:val="00031CFC"/>
    <w:rsid w:val="00031F9D"/>
    <w:rsid w:val="000330AC"/>
    <w:rsid w:val="0003523B"/>
    <w:rsid w:val="000354B5"/>
    <w:rsid w:val="00035A9F"/>
    <w:rsid w:val="00035C38"/>
    <w:rsid w:val="00036097"/>
    <w:rsid w:val="000367F9"/>
    <w:rsid w:val="00040AFA"/>
    <w:rsid w:val="00043705"/>
    <w:rsid w:val="000450CD"/>
    <w:rsid w:val="00046F12"/>
    <w:rsid w:val="0005181A"/>
    <w:rsid w:val="00053796"/>
    <w:rsid w:val="0005398E"/>
    <w:rsid w:val="00055DBD"/>
    <w:rsid w:val="00055ECB"/>
    <w:rsid w:val="000562AE"/>
    <w:rsid w:val="00057E8D"/>
    <w:rsid w:val="0006117B"/>
    <w:rsid w:val="000615AD"/>
    <w:rsid w:val="000617C0"/>
    <w:rsid w:val="00061A6F"/>
    <w:rsid w:val="00062860"/>
    <w:rsid w:val="00063E94"/>
    <w:rsid w:val="00064385"/>
    <w:rsid w:val="0006454E"/>
    <w:rsid w:val="00065B97"/>
    <w:rsid w:val="00066725"/>
    <w:rsid w:val="0006761B"/>
    <w:rsid w:val="00067B4F"/>
    <w:rsid w:val="00070D23"/>
    <w:rsid w:val="000712E1"/>
    <w:rsid w:val="00071406"/>
    <w:rsid w:val="0007163E"/>
    <w:rsid w:val="00071B5B"/>
    <w:rsid w:val="00073A21"/>
    <w:rsid w:val="00073CB8"/>
    <w:rsid w:val="00073E04"/>
    <w:rsid w:val="000749CE"/>
    <w:rsid w:val="000749F7"/>
    <w:rsid w:val="00074C45"/>
    <w:rsid w:val="000753AD"/>
    <w:rsid w:val="00075F24"/>
    <w:rsid w:val="000762FE"/>
    <w:rsid w:val="00076362"/>
    <w:rsid w:val="000764D2"/>
    <w:rsid w:val="00081033"/>
    <w:rsid w:val="00082CD2"/>
    <w:rsid w:val="00083508"/>
    <w:rsid w:val="0008363B"/>
    <w:rsid w:val="00086D56"/>
    <w:rsid w:val="00094775"/>
    <w:rsid w:val="00096FCC"/>
    <w:rsid w:val="000A12A9"/>
    <w:rsid w:val="000A22B6"/>
    <w:rsid w:val="000A323A"/>
    <w:rsid w:val="000A365B"/>
    <w:rsid w:val="000A3AAF"/>
    <w:rsid w:val="000A40CC"/>
    <w:rsid w:val="000A4D43"/>
    <w:rsid w:val="000A6013"/>
    <w:rsid w:val="000A720D"/>
    <w:rsid w:val="000A7EC1"/>
    <w:rsid w:val="000B1373"/>
    <w:rsid w:val="000B405F"/>
    <w:rsid w:val="000B4992"/>
    <w:rsid w:val="000B5CD9"/>
    <w:rsid w:val="000B63BC"/>
    <w:rsid w:val="000B6745"/>
    <w:rsid w:val="000B6A66"/>
    <w:rsid w:val="000B6CC1"/>
    <w:rsid w:val="000B72C2"/>
    <w:rsid w:val="000B7CE6"/>
    <w:rsid w:val="000B7EAE"/>
    <w:rsid w:val="000C0F3A"/>
    <w:rsid w:val="000C124B"/>
    <w:rsid w:val="000C20DF"/>
    <w:rsid w:val="000C21BB"/>
    <w:rsid w:val="000C6EE4"/>
    <w:rsid w:val="000D0C75"/>
    <w:rsid w:val="000D1915"/>
    <w:rsid w:val="000D1F56"/>
    <w:rsid w:val="000D24CE"/>
    <w:rsid w:val="000D2BB2"/>
    <w:rsid w:val="000D3050"/>
    <w:rsid w:val="000D3584"/>
    <w:rsid w:val="000D4743"/>
    <w:rsid w:val="000D4840"/>
    <w:rsid w:val="000D5119"/>
    <w:rsid w:val="000D535C"/>
    <w:rsid w:val="000D569D"/>
    <w:rsid w:val="000D62C8"/>
    <w:rsid w:val="000D63DF"/>
    <w:rsid w:val="000D6D91"/>
    <w:rsid w:val="000E06F6"/>
    <w:rsid w:val="000E0BFD"/>
    <w:rsid w:val="000E0D7C"/>
    <w:rsid w:val="000E1CE4"/>
    <w:rsid w:val="000E28E8"/>
    <w:rsid w:val="000E379C"/>
    <w:rsid w:val="000E3C1E"/>
    <w:rsid w:val="000E406D"/>
    <w:rsid w:val="000E546A"/>
    <w:rsid w:val="000E5BAD"/>
    <w:rsid w:val="000E6665"/>
    <w:rsid w:val="000F0C1D"/>
    <w:rsid w:val="000F11B4"/>
    <w:rsid w:val="000F1554"/>
    <w:rsid w:val="000F1570"/>
    <w:rsid w:val="000F18AB"/>
    <w:rsid w:val="000F1FEB"/>
    <w:rsid w:val="000F2166"/>
    <w:rsid w:val="000F294D"/>
    <w:rsid w:val="000F4AD9"/>
    <w:rsid w:val="000F4E92"/>
    <w:rsid w:val="000F5A13"/>
    <w:rsid w:val="000F70E4"/>
    <w:rsid w:val="000F76AA"/>
    <w:rsid w:val="00100F34"/>
    <w:rsid w:val="001019DA"/>
    <w:rsid w:val="00103285"/>
    <w:rsid w:val="001035C7"/>
    <w:rsid w:val="00104FC7"/>
    <w:rsid w:val="00106EED"/>
    <w:rsid w:val="001075F4"/>
    <w:rsid w:val="001107CF"/>
    <w:rsid w:val="00111F86"/>
    <w:rsid w:val="00112647"/>
    <w:rsid w:val="001127AB"/>
    <w:rsid w:val="0011293E"/>
    <w:rsid w:val="001130A4"/>
    <w:rsid w:val="00114FF9"/>
    <w:rsid w:val="00116258"/>
    <w:rsid w:val="00116D46"/>
    <w:rsid w:val="00120C61"/>
    <w:rsid w:val="00120F4E"/>
    <w:rsid w:val="00121014"/>
    <w:rsid w:val="00121B2C"/>
    <w:rsid w:val="00122374"/>
    <w:rsid w:val="00123041"/>
    <w:rsid w:val="0012450A"/>
    <w:rsid w:val="0012453C"/>
    <w:rsid w:val="001249D1"/>
    <w:rsid w:val="00125380"/>
    <w:rsid w:val="00126738"/>
    <w:rsid w:val="00126D2A"/>
    <w:rsid w:val="00127678"/>
    <w:rsid w:val="00131460"/>
    <w:rsid w:val="001315E4"/>
    <w:rsid w:val="00132709"/>
    <w:rsid w:val="0013300E"/>
    <w:rsid w:val="00133CD2"/>
    <w:rsid w:val="00134A0B"/>
    <w:rsid w:val="001353AE"/>
    <w:rsid w:val="00135DD0"/>
    <w:rsid w:val="0013604C"/>
    <w:rsid w:val="0014046D"/>
    <w:rsid w:val="00141C3A"/>
    <w:rsid w:val="00142682"/>
    <w:rsid w:val="0014288C"/>
    <w:rsid w:val="00142D64"/>
    <w:rsid w:val="00143AB9"/>
    <w:rsid w:val="00143DC2"/>
    <w:rsid w:val="00146586"/>
    <w:rsid w:val="001468C6"/>
    <w:rsid w:val="00147043"/>
    <w:rsid w:val="00147088"/>
    <w:rsid w:val="0014747F"/>
    <w:rsid w:val="00150021"/>
    <w:rsid w:val="0015009A"/>
    <w:rsid w:val="0015158C"/>
    <w:rsid w:val="0015286D"/>
    <w:rsid w:val="00152F15"/>
    <w:rsid w:val="001546F2"/>
    <w:rsid w:val="00154F1B"/>
    <w:rsid w:val="001556D3"/>
    <w:rsid w:val="001559F0"/>
    <w:rsid w:val="001565E5"/>
    <w:rsid w:val="00156678"/>
    <w:rsid w:val="00157547"/>
    <w:rsid w:val="0016016A"/>
    <w:rsid w:val="0016090B"/>
    <w:rsid w:val="00161BA3"/>
    <w:rsid w:val="0016252B"/>
    <w:rsid w:val="00162F42"/>
    <w:rsid w:val="00163119"/>
    <w:rsid w:val="00166E24"/>
    <w:rsid w:val="00167A17"/>
    <w:rsid w:val="0017030D"/>
    <w:rsid w:val="0017047F"/>
    <w:rsid w:val="00170A58"/>
    <w:rsid w:val="001738E9"/>
    <w:rsid w:val="00174087"/>
    <w:rsid w:val="00174786"/>
    <w:rsid w:val="00175225"/>
    <w:rsid w:val="001758BE"/>
    <w:rsid w:val="001816EF"/>
    <w:rsid w:val="001821B3"/>
    <w:rsid w:val="00182CF1"/>
    <w:rsid w:val="00184404"/>
    <w:rsid w:val="001849C0"/>
    <w:rsid w:val="001856D5"/>
    <w:rsid w:val="0019101A"/>
    <w:rsid w:val="0019146F"/>
    <w:rsid w:val="001915DE"/>
    <w:rsid w:val="00191AD6"/>
    <w:rsid w:val="0019218E"/>
    <w:rsid w:val="001938F8"/>
    <w:rsid w:val="001955C0"/>
    <w:rsid w:val="00196542"/>
    <w:rsid w:val="00196892"/>
    <w:rsid w:val="00196968"/>
    <w:rsid w:val="00196B84"/>
    <w:rsid w:val="0019721D"/>
    <w:rsid w:val="0019772A"/>
    <w:rsid w:val="00197CBF"/>
    <w:rsid w:val="001A08B5"/>
    <w:rsid w:val="001A172A"/>
    <w:rsid w:val="001A2035"/>
    <w:rsid w:val="001A311E"/>
    <w:rsid w:val="001A3643"/>
    <w:rsid w:val="001A6512"/>
    <w:rsid w:val="001A6CA7"/>
    <w:rsid w:val="001A7703"/>
    <w:rsid w:val="001A792D"/>
    <w:rsid w:val="001A7FD0"/>
    <w:rsid w:val="001B008D"/>
    <w:rsid w:val="001B06B6"/>
    <w:rsid w:val="001B08C4"/>
    <w:rsid w:val="001B0C3A"/>
    <w:rsid w:val="001B1FAC"/>
    <w:rsid w:val="001B289A"/>
    <w:rsid w:val="001B3917"/>
    <w:rsid w:val="001B3F37"/>
    <w:rsid w:val="001B5154"/>
    <w:rsid w:val="001B5A9E"/>
    <w:rsid w:val="001B659E"/>
    <w:rsid w:val="001B6AA9"/>
    <w:rsid w:val="001B6D76"/>
    <w:rsid w:val="001B76D6"/>
    <w:rsid w:val="001B7BFA"/>
    <w:rsid w:val="001C0ECD"/>
    <w:rsid w:val="001C2A2B"/>
    <w:rsid w:val="001C3A0C"/>
    <w:rsid w:val="001C3E42"/>
    <w:rsid w:val="001C70B7"/>
    <w:rsid w:val="001C77B2"/>
    <w:rsid w:val="001D090C"/>
    <w:rsid w:val="001D22D8"/>
    <w:rsid w:val="001D253C"/>
    <w:rsid w:val="001D2609"/>
    <w:rsid w:val="001D38A3"/>
    <w:rsid w:val="001D3D17"/>
    <w:rsid w:val="001D5350"/>
    <w:rsid w:val="001D58A7"/>
    <w:rsid w:val="001D6EFC"/>
    <w:rsid w:val="001D796F"/>
    <w:rsid w:val="001D7B09"/>
    <w:rsid w:val="001E1FDB"/>
    <w:rsid w:val="001E21B4"/>
    <w:rsid w:val="001E28E2"/>
    <w:rsid w:val="001E2917"/>
    <w:rsid w:val="001E39DB"/>
    <w:rsid w:val="001E4078"/>
    <w:rsid w:val="001E51B6"/>
    <w:rsid w:val="001E5547"/>
    <w:rsid w:val="001E6D56"/>
    <w:rsid w:val="001E703B"/>
    <w:rsid w:val="001F0D66"/>
    <w:rsid w:val="001F1584"/>
    <w:rsid w:val="001F377E"/>
    <w:rsid w:val="001F3F62"/>
    <w:rsid w:val="001F5040"/>
    <w:rsid w:val="001F5837"/>
    <w:rsid w:val="001F585B"/>
    <w:rsid w:val="001F638A"/>
    <w:rsid w:val="001F74EA"/>
    <w:rsid w:val="001F79CB"/>
    <w:rsid w:val="00200948"/>
    <w:rsid w:val="00200A0D"/>
    <w:rsid w:val="00200ABE"/>
    <w:rsid w:val="0020417E"/>
    <w:rsid w:val="00204FE3"/>
    <w:rsid w:val="00205EEA"/>
    <w:rsid w:val="00206C3D"/>
    <w:rsid w:val="00207F59"/>
    <w:rsid w:val="0021085E"/>
    <w:rsid w:val="0021106E"/>
    <w:rsid w:val="002131B4"/>
    <w:rsid w:val="002163BC"/>
    <w:rsid w:val="00217020"/>
    <w:rsid w:val="00217D38"/>
    <w:rsid w:val="0022180C"/>
    <w:rsid w:val="00221CC3"/>
    <w:rsid w:val="0022285D"/>
    <w:rsid w:val="00222AE0"/>
    <w:rsid w:val="00222CBF"/>
    <w:rsid w:val="00223E41"/>
    <w:rsid w:val="00224CDC"/>
    <w:rsid w:val="0022577A"/>
    <w:rsid w:val="00225E66"/>
    <w:rsid w:val="0022691F"/>
    <w:rsid w:val="00226C31"/>
    <w:rsid w:val="002306FA"/>
    <w:rsid w:val="00231B05"/>
    <w:rsid w:val="00231D7C"/>
    <w:rsid w:val="00232874"/>
    <w:rsid w:val="00232CBE"/>
    <w:rsid w:val="00232E9C"/>
    <w:rsid w:val="002405DE"/>
    <w:rsid w:val="00240A7D"/>
    <w:rsid w:val="002429E4"/>
    <w:rsid w:val="002441E5"/>
    <w:rsid w:val="0024559D"/>
    <w:rsid w:val="002456C6"/>
    <w:rsid w:val="00245DA0"/>
    <w:rsid w:val="00250574"/>
    <w:rsid w:val="0025067C"/>
    <w:rsid w:val="0025080F"/>
    <w:rsid w:val="002511F1"/>
    <w:rsid w:val="002516A1"/>
    <w:rsid w:val="00251F0E"/>
    <w:rsid w:val="00252279"/>
    <w:rsid w:val="002557E5"/>
    <w:rsid w:val="00256984"/>
    <w:rsid w:val="00262355"/>
    <w:rsid w:val="00262C1C"/>
    <w:rsid w:val="00263053"/>
    <w:rsid w:val="00263560"/>
    <w:rsid w:val="00263860"/>
    <w:rsid w:val="0026461D"/>
    <w:rsid w:val="002649D6"/>
    <w:rsid w:val="002651D4"/>
    <w:rsid w:val="00265AA3"/>
    <w:rsid w:val="00270036"/>
    <w:rsid w:val="00270246"/>
    <w:rsid w:val="00272F4D"/>
    <w:rsid w:val="00274014"/>
    <w:rsid w:val="002759B0"/>
    <w:rsid w:val="00276753"/>
    <w:rsid w:val="0028091C"/>
    <w:rsid w:val="002829B4"/>
    <w:rsid w:val="002847E1"/>
    <w:rsid w:val="00284D0C"/>
    <w:rsid w:val="00287C0F"/>
    <w:rsid w:val="00290AC9"/>
    <w:rsid w:val="00291C7F"/>
    <w:rsid w:val="00293D73"/>
    <w:rsid w:val="00297A4E"/>
    <w:rsid w:val="002A09F1"/>
    <w:rsid w:val="002A4DA5"/>
    <w:rsid w:val="002A5592"/>
    <w:rsid w:val="002A5C03"/>
    <w:rsid w:val="002A6C64"/>
    <w:rsid w:val="002B1061"/>
    <w:rsid w:val="002B16D7"/>
    <w:rsid w:val="002B1E3C"/>
    <w:rsid w:val="002B23C2"/>
    <w:rsid w:val="002B27FA"/>
    <w:rsid w:val="002B3CA2"/>
    <w:rsid w:val="002B43E6"/>
    <w:rsid w:val="002B5B37"/>
    <w:rsid w:val="002B61E8"/>
    <w:rsid w:val="002B65B1"/>
    <w:rsid w:val="002B6941"/>
    <w:rsid w:val="002B78EB"/>
    <w:rsid w:val="002B7E83"/>
    <w:rsid w:val="002C04C4"/>
    <w:rsid w:val="002C1239"/>
    <w:rsid w:val="002C1CA5"/>
    <w:rsid w:val="002C3728"/>
    <w:rsid w:val="002C4D86"/>
    <w:rsid w:val="002C6FA5"/>
    <w:rsid w:val="002C7348"/>
    <w:rsid w:val="002D05A0"/>
    <w:rsid w:val="002D0736"/>
    <w:rsid w:val="002D0D64"/>
    <w:rsid w:val="002D1D19"/>
    <w:rsid w:val="002D3F76"/>
    <w:rsid w:val="002D5D46"/>
    <w:rsid w:val="002D5D52"/>
    <w:rsid w:val="002D6700"/>
    <w:rsid w:val="002E1285"/>
    <w:rsid w:val="002E3801"/>
    <w:rsid w:val="002E4E67"/>
    <w:rsid w:val="002E67F4"/>
    <w:rsid w:val="002E6817"/>
    <w:rsid w:val="002E7BC1"/>
    <w:rsid w:val="002F0049"/>
    <w:rsid w:val="002F10F5"/>
    <w:rsid w:val="002F2AE5"/>
    <w:rsid w:val="002F2DAE"/>
    <w:rsid w:val="002F4DE7"/>
    <w:rsid w:val="002F56A1"/>
    <w:rsid w:val="002F668D"/>
    <w:rsid w:val="002F6A79"/>
    <w:rsid w:val="003003EA"/>
    <w:rsid w:val="00300A1B"/>
    <w:rsid w:val="00301466"/>
    <w:rsid w:val="00301543"/>
    <w:rsid w:val="00303455"/>
    <w:rsid w:val="00304792"/>
    <w:rsid w:val="0031145D"/>
    <w:rsid w:val="0031157C"/>
    <w:rsid w:val="00312898"/>
    <w:rsid w:val="003137FB"/>
    <w:rsid w:val="00313AC4"/>
    <w:rsid w:val="00315C1A"/>
    <w:rsid w:val="0031666C"/>
    <w:rsid w:val="00316870"/>
    <w:rsid w:val="003215B5"/>
    <w:rsid w:val="003220BF"/>
    <w:rsid w:val="00322372"/>
    <w:rsid w:val="003227BE"/>
    <w:rsid w:val="00323057"/>
    <w:rsid w:val="00324666"/>
    <w:rsid w:val="00325F83"/>
    <w:rsid w:val="00326DAA"/>
    <w:rsid w:val="0033049C"/>
    <w:rsid w:val="003304FD"/>
    <w:rsid w:val="00331985"/>
    <w:rsid w:val="003326B1"/>
    <w:rsid w:val="00332D2E"/>
    <w:rsid w:val="0033393B"/>
    <w:rsid w:val="003348EC"/>
    <w:rsid w:val="00334BBD"/>
    <w:rsid w:val="003373F7"/>
    <w:rsid w:val="003375DF"/>
    <w:rsid w:val="0033775E"/>
    <w:rsid w:val="00337EC9"/>
    <w:rsid w:val="00340F05"/>
    <w:rsid w:val="00342325"/>
    <w:rsid w:val="0034298D"/>
    <w:rsid w:val="00342A63"/>
    <w:rsid w:val="00343BEC"/>
    <w:rsid w:val="00343C0A"/>
    <w:rsid w:val="0034482B"/>
    <w:rsid w:val="003448E9"/>
    <w:rsid w:val="00345ABD"/>
    <w:rsid w:val="00345B1B"/>
    <w:rsid w:val="00347B9F"/>
    <w:rsid w:val="00347C1A"/>
    <w:rsid w:val="00347DD4"/>
    <w:rsid w:val="003509CE"/>
    <w:rsid w:val="00350F87"/>
    <w:rsid w:val="003515FE"/>
    <w:rsid w:val="003529BA"/>
    <w:rsid w:val="00352DAF"/>
    <w:rsid w:val="003577DC"/>
    <w:rsid w:val="00360287"/>
    <w:rsid w:val="00360F49"/>
    <w:rsid w:val="003630C7"/>
    <w:rsid w:val="003667AF"/>
    <w:rsid w:val="003673C9"/>
    <w:rsid w:val="00367710"/>
    <w:rsid w:val="00367D10"/>
    <w:rsid w:val="0037073E"/>
    <w:rsid w:val="0037516F"/>
    <w:rsid w:val="003751E2"/>
    <w:rsid w:val="003757A6"/>
    <w:rsid w:val="003759EF"/>
    <w:rsid w:val="003759FB"/>
    <w:rsid w:val="0037683D"/>
    <w:rsid w:val="00376994"/>
    <w:rsid w:val="00377BFD"/>
    <w:rsid w:val="003807D1"/>
    <w:rsid w:val="00380EF1"/>
    <w:rsid w:val="0038276A"/>
    <w:rsid w:val="00383276"/>
    <w:rsid w:val="003839C4"/>
    <w:rsid w:val="00384893"/>
    <w:rsid w:val="003851E9"/>
    <w:rsid w:val="00385621"/>
    <w:rsid w:val="00385A63"/>
    <w:rsid w:val="003866CE"/>
    <w:rsid w:val="00387C73"/>
    <w:rsid w:val="00387FD3"/>
    <w:rsid w:val="00390DBB"/>
    <w:rsid w:val="003916E3"/>
    <w:rsid w:val="00392483"/>
    <w:rsid w:val="003929B2"/>
    <w:rsid w:val="00393024"/>
    <w:rsid w:val="0039506C"/>
    <w:rsid w:val="00396014"/>
    <w:rsid w:val="00396C54"/>
    <w:rsid w:val="00397171"/>
    <w:rsid w:val="003A018B"/>
    <w:rsid w:val="003A0393"/>
    <w:rsid w:val="003A0DD0"/>
    <w:rsid w:val="003A1575"/>
    <w:rsid w:val="003A18A2"/>
    <w:rsid w:val="003A1C67"/>
    <w:rsid w:val="003A4100"/>
    <w:rsid w:val="003A47D7"/>
    <w:rsid w:val="003A6AA9"/>
    <w:rsid w:val="003A6FCA"/>
    <w:rsid w:val="003A710D"/>
    <w:rsid w:val="003B03D0"/>
    <w:rsid w:val="003B0843"/>
    <w:rsid w:val="003B36DC"/>
    <w:rsid w:val="003B4A34"/>
    <w:rsid w:val="003B5718"/>
    <w:rsid w:val="003B63AA"/>
    <w:rsid w:val="003B6F8D"/>
    <w:rsid w:val="003C1663"/>
    <w:rsid w:val="003C2B09"/>
    <w:rsid w:val="003C4D42"/>
    <w:rsid w:val="003C4EFC"/>
    <w:rsid w:val="003C55EB"/>
    <w:rsid w:val="003C609B"/>
    <w:rsid w:val="003C6219"/>
    <w:rsid w:val="003C7733"/>
    <w:rsid w:val="003C79CD"/>
    <w:rsid w:val="003D03C4"/>
    <w:rsid w:val="003D04D6"/>
    <w:rsid w:val="003D07FC"/>
    <w:rsid w:val="003D0A6E"/>
    <w:rsid w:val="003D2759"/>
    <w:rsid w:val="003D4F9F"/>
    <w:rsid w:val="003D505B"/>
    <w:rsid w:val="003D5218"/>
    <w:rsid w:val="003D5BC9"/>
    <w:rsid w:val="003D699B"/>
    <w:rsid w:val="003E0561"/>
    <w:rsid w:val="003E1E65"/>
    <w:rsid w:val="003E2297"/>
    <w:rsid w:val="003E3270"/>
    <w:rsid w:val="003E4A0D"/>
    <w:rsid w:val="003E4F65"/>
    <w:rsid w:val="003E52E7"/>
    <w:rsid w:val="003E7D4C"/>
    <w:rsid w:val="003F08E9"/>
    <w:rsid w:val="003F0AB7"/>
    <w:rsid w:val="003F104B"/>
    <w:rsid w:val="003F1CAA"/>
    <w:rsid w:val="003F2B7E"/>
    <w:rsid w:val="003F3453"/>
    <w:rsid w:val="003F3849"/>
    <w:rsid w:val="003F5881"/>
    <w:rsid w:val="003F6861"/>
    <w:rsid w:val="003F68CE"/>
    <w:rsid w:val="003F6C47"/>
    <w:rsid w:val="003F6FC3"/>
    <w:rsid w:val="00400FDE"/>
    <w:rsid w:val="00402D82"/>
    <w:rsid w:val="004030C0"/>
    <w:rsid w:val="00404EF2"/>
    <w:rsid w:val="004056F8"/>
    <w:rsid w:val="004110B3"/>
    <w:rsid w:val="00411748"/>
    <w:rsid w:val="00412593"/>
    <w:rsid w:val="00413233"/>
    <w:rsid w:val="00413A72"/>
    <w:rsid w:val="0041499F"/>
    <w:rsid w:val="00414A88"/>
    <w:rsid w:val="0041708B"/>
    <w:rsid w:val="004171F9"/>
    <w:rsid w:val="0042112E"/>
    <w:rsid w:val="004214B0"/>
    <w:rsid w:val="00424C76"/>
    <w:rsid w:val="004255A6"/>
    <w:rsid w:val="00425EA2"/>
    <w:rsid w:val="00426BD1"/>
    <w:rsid w:val="004277AB"/>
    <w:rsid w:val="004314AD"/>
    <w:rsid w:val="0043151D"/>
    <w:rsid w:val="0043199F"/>
    <w:rsid w:val="00432254"/>
    <w:rsid w:val="0043271F"/>
    <w:rsid w:val="004350C1"/>
    <w:rsid w:val="004371BA"/>
    <w:rsid w:val="00440B29"/>
    <w:rsid w:val="0044114A"/>
    <w:rsid w:val="00441F40"/>
    <w:rsid w:val="00442D0C"/>
    <w:rsid w:val="00443186"/>
    <w:rsid w:val="00446DD6"/>
    <w:rsid w:val="0044719A"/>
    <w:rsid w:val="0045030A"/>
    <w:rsid w:val="0045041B"/>
    <w:rsid w:val="004514F9"/>
    <w:rsid w:val="00453C17"/>
    <w:rsid w:val="004547B3"/>
    <w:rsid w:val="00454C5B"/>
    <w:rsid w:val="00454E41"/>
    <w:rsid w:val="004553A7"/>
    <w:rsid w:val="00455C87"/>
    <w:rsid w:val="00456534"/>
    <w:rsid w:val="00456B56"/>
    <w:rsid w:val="00456C10"/>
    <w:rsid w:val="004574A4"/>
    <w:rsid w:val="00457A30"/>
    <w:rsid w:val="00457AFF"/>
    <w:rsid w:val="0046034B"/>
    <w:rsid w:val="004603C4"/>
    <w:rsid w:val="00461126"/>
    <w:rsid w:val="004616C9"/>
    <w:rsid w:val="004628AF"/>
    <w:rsid w:val="00463FC0"/>
    <w:rsid w:val="00465A70"/>
    <w:rsid w:val="00465BBD"/>
    <w:rsid w:val="0046605B"/>
    <w:rsid w:val="004702B3"/>
    <w:rsid w:val="00470875"/>
    <w:rsid w:val="00473B0A"/>
    <w:rsid w:val="00473D64"/>
    <w:rsid w:val="00475BAC"/>
    <w:rsid w:val="004764A8"/>
    <w:rsid w:val="00476AA2"/>
    <w:rsid w:val="00480E70"/>
    <w:rsid w:val="00480E86"/>
    <w:rsid w:val="00483872"/>
    <w:rsid w:val="00484FB1"/>
    <w:rsid w:val="00486DD2"/>
    <w:rsid w:val="00487F6C"/>
    <w:rsid w:val="00490363"/>
    <w:rsid w:val="00491121"/>
    <w:rsid w:val="004913CF"/>
    <w:rsid w:val="004925FE"/>
    <w:rsid w:val="00492A9B"/>
    <w:rsid w:val="00492D11"/>
    <w:rsid w:val="00494CED"/>
    <w:rsid w:val="00495285"/>
    <w:rsid w:val="00495848"/>
    <w:rsid w:val="004963DF"/>
    <w:rsid w:val="0049733D"/>
    <w:rsid w:val="004977A4"/>
    <w:rsid w:val="00497C61"/>
    <w:rsid w:val="004A09B2"/>
    <w:rsid w:val="004A0C73"/>
    <w:rsid w:val="004A143A"/>
    <w:rsid w:val="004A1495"/>
    <w:rsid w:val="004A17BE"/>
    <w:rsid w:val="004A194B"/>
    <w:rsid w:val="004A20DC"/>
    <w:rsid w:val="004A2CE6"/>
    <w:rsid w:val="004A37E6"/>
    <w:rsid w:val="004A3C13"/>
    <w:rsid w:val="004A4B8C"/>
    <w:rsid w:val="004A4F66"/>
    <w:rsid w:val="004A6019"/>
    <w:rsid w:val="004A7195"/>
    <w:rsid w:val="004A73BE"/>
    <w:rsid w:val="004A73BF"/>
    <w:rsid w:val="004A76C4"/>
    <w:rsid w:val="004A7C77"/>
    <w:rsid w:val="004A7E40"/>
    <w:rsid w:val="004A7E4C"/>
    <w:rsid w:val="004B0B4D"/>
    <w:rsid w:val="004B1278"/>
    <w:rsid w:val="004B1DC6"/>
    <w:rsid w:val="004B2181"/>
    <w:rsid w:val="004B3597"/>
    <w:rsid w:val="004B6538"/>
    <w:rsid w:val="004B655E"/>
    <w:rsid w:val="004B67C5"/>
    <w:rsid w:val="004B6844"/>
    <w:rsid w:val="004B7BDE"/>
    <w:rsid w:val="004C0947"/>
    <w:rsid w:val="004C0B6B"/>
    <w:rsid w:val="004C25FA"/>
    <w:rsid w:val="004C2796"/>
    <w:rsid w:val="004C31F9"/>
    <w:rsid w:val="004C5057"/>
    <w:rsid w:val="004C5153"/>
    <w:rsid w:val="004C5188"/>
    <w:rsid w:val="004C5816"/>
    <w:rsid w:val="004C75A6"/>
    <w:rsid w:val="004D015F"/>
    <w:rsid w:val="004D0323"/>
    <w:rsid w:val="004D1563"/>
    <w:rsid w:val="004D171D"/>
    <w:rsid w:val="004D1F03"/>
    <w:rsid w:val="004D3629"/>
    <w:rsid w:val="004D579C"/>
    <w:rsid w:val="004D5BC1"/>
    <w:rsid w:val="004D7B09"/>
    <w:rsid w:val="004E3E7F"/>
    <w:rsid w:val="004E4310"/>
    <w:rsid w:val="004E4B99"/>
    <w:rsid w:val="004E541A"/>
    <w:rsid w:val="004E5C81"/>
    <w:rsid w:val="004E5E07"/>
    <w:rsid w:val="004E6668"/>
    <w:rsid w:val="004E767B"/>
    <w:rsid w:val="004E7761"/>
    <w:rsid w:val="004F1977"/>
    <w:rsid w:val="004F28EF"/>
    <w:rsid w:val="004F2F63"/>
    <w:rsid w:val="004F2FB7"/>
    <w:rsid w:val="004F346F"/>
    <w:rsid w:val="004F54BE"/>
    <w:rsid w:val="004F682E"/>
    <w:rsid w:val="004F77E9"/>
    <w:rsid w:val="004F7CE9"/>
    <w:rsid w:val="0050025F"/>
    <w:rsid w:val="00501104"/>
    <w:rsid w:val="0050141A"/>
    <w:rsid w:val="00501EE1"/>
    <w:rsid w:val="0050254F"/>
    <w:rsid w:val="00502674"/>
    <w:rsid w:val="005042D8"/>
    <w:rsid w:val="0050583B"/>
    <w:rsid w:val="0050615A"/>
    <w:rsid w:val="00511D17"/>
    <w:rsid w:val="00512A52"/>
    <w:rsid w:val="00512ADC"/>
    <w:rsid w:val="00514CEB"/>
    <w:rsid w:val="00514DD3"/>
    <w:rsid w:val="00514DE8"/>
    <w:rsid w:val="00515061"/>
    <w:rsid w:val="00516DF1"/>
    <w:rsid w:val="0051738A"/>
    <w:rsid w:val="00520592"/>
    <w:rsid w:val="005209D2"/>
    <w:rsid w:val="005212F3"/>
    <w:rsid w:val="00521C33"/>
    <w:rsid w:val="00521EDD"/>
    <w:rsid w:val="00521F58"/>
    <w:rsid w:val="005238F0"/>
    <w:rsid w:val="00523B55"/>
    <w:rsid w:val="00525163"/>
    <w:rsid w:val="00525F4C"/>
    <w:rsid w:val="00525F7F"/>
    <w:rsid w:val="0052630C"/>
    <w:rsid w:val="00526B0E"/>
    <w:rsid w:val="00526B42"/>
    <w:rsid w:val="00526BC6"/>
    <w:rsid w:val="00527B6C"/>
    <w:rsid w:val="005304AF"/>
    <w:rsid w:val="00530B1C"/>
    <w:rsid w:val="005318FE"/>
    <w:rsid w:val="00531F2B"/>
    <w:rsid w:val="00532D9D"/>
    <w:rsid w:val="005339A9"/>
    <w:rsid w:val="0053468D"/>
    <w:rsid w:val="00535E4C"/>
    <w:rsid w:val="0053771F"/>
    <w:rsid w:val="00537923"/>
    <w:rsid w:val="005379D7"/>
    <w:rsid w:val="00537FCE"/>
    <w:rsid w:val="00540440"/>
    <w:rsid w:val="0054125D"/>
    <w:rsid w:val="005414E4"/>
    <w:rsid w:val="00541501"/>
    <w:rsid w:val="005416A5"/>
    <w:rsid w:val="005418A9"/>
    <w:rsid w:val="005422C0"/>
    <w:rsid w:val="005429D8"/>
    <w:rsid w:val="00542CC2"/>
    <w:rsid w:val="00543554"/>
    <w:rsid w:val="00543D3F"/>
    <w:rsid w:val="005445F9"/>
    <w:rsid w:val="0054492C"/>
    <w:rsid w:val="005455E4"/>
    <w:rsid w:val="00547356"/>
    <w:rsid w:val="00547F7E"/>
    <w:rsid w:val="00550A6A"/>
    <w:rsid w:val="00551FED"/>
    <w:rsid w:val="00553036"/>
    <w:rsid w:val="0055401C"/>
    <w:rsid w:val="00555344"/>
    <w:rsid w:val="00556342"/>
    <w:rsid w:val="00556ECA"/>
    <w:rsid w:val="00557B00"/>
    <w:rsid w:val="0056119A"/>
    <w:rsid w:val="00564220"/>
    <w:rsid w:val="005642E2"/>
    <w:rsid w:val="00565469"/>
    <w:rsid w:val="00565FF9"/>
    <w:rsid w:val="00567A5C"/>
    <w:rsid w:val="00567CC4"/>
    <w:rsid w:val="005709C8"/>
    <w:rsid w:val="005727B1"/>
    <w:rsid w:val="005735F6"/>
    <w:rsid w:val="00574ACB"/>
    <w:rsid w:val="005752AF"/>
    <w:rsid w:val="00575D84"/>
    <w:rsid w:val="00580052"/>
    <w:rsid w:val="0058029D"/>
    <w:rsid w:val="005810BC"/>
    <w:rsid w:val="00581824"/>
    <w:rsid w:val="00582D79"/>
    <w:rsid w:val="0058351A"/>
    <w:rsid w:val="00583647"/>
    <w:rsid w:val="00586364"/>
    <w:rsid w:val="00587177"/>
    <w:rsid w:val="00587629"/>
    <w:rsid w:val="0059021A"/>
    <w:rsid w:val="00590795"/>
    <w:rsid w:val="00590C27"/>
    <w:rsid w:val="00592CBF"/>
    <w:rsid w:val="00593557"/>
    <w:rsid w:val="005946EE"/>
    <w:rsid w:val="005947F6"/>
    <w:rsid w:val="00596812"/>
    <w:rsid w:val="00596EA9"/>
    <w:rsid w:val="0059712E"/>
    <w:rsid w:val="0059713E"/>
    <w:rsid w:val="0059764C"/>
    <w:rsid w:val="005A0E26"/>
    <w:rsid w:val="005A1F4F"/>
    <w:rsid w:val="005A2F92"/>
    <w:rsid w:val="005A4990"/>
    <w:rsid w:val="005A5871"/>
    <w:rsid w:val="005A6A9C"/>
    <w:rsid w:val="005B0478"/>
    <w:rsid w:val="005B04F0"/>
    <w:rsid w:val="005B11AD"/>
    <w:rsid w:val="005B1606"/>
    <w:rsid w:val="005B163B"/>
    <w:rsid w:val="005B2316"/>
    <w:rsid w:val="005B34E6"/>
    <w:rsid w:val="005B36D1"/>
    <w:rsid w:val="005B380F"/>
    <w:rsid w:val="005B4C50"/>
    <w:rsid w:val="005B516A"/>
    <w:rsid w:val="005B5EF0"/>
    <w:rsid w:val="005B70AD"/>
    <w:rsid w:val="005B77DA"/>
    <w:rsid w:val="005C01BE"/>
    <w:rsid w:val="005C03B8"/>
    <w:rsid w:val="005C0E65"/>
    <w:rsid w:val="005C182E"/>
    <w:rsid w:val="005C2738"/>
    <w:rsid w:val="005C2CB5"/>
    <w:rsid w:val="005C383D"/>
    <w:rsid w:val="005C3890"/>
    <w:rsid w:val="005C45F9"/>
    <w:rsid w:val="005C47CA"/>
    <w:rsid w:val="005C49F0"/>
    <w:rsid w:val="005C607E"/>
    <w:rsid w:val="005C67F7"/>
    <w:rsid w:val="005D04F2"/>
    <w:rsid w:val="005D14D6"/>
    <w:rsid w:val="005D4B45"/>
    <w:rsid w:val="005D5E0E"/>
    <w:rsid w:val="005D5ED1"/>
    <w:rsid w:val="005E0275"/>
    <w:rsid w:val="005E271E"/>
    <w:rsid w:val="005E2828"/>
    <w:rsid w:val="005E283F"/>
    <w:rsid w:val="005E3200"/>
    <w:rsid w:val="005E366F"/>
    <w:rsid w:val="005E3787"/>
    <w:rsid w:val="005E3E02"/>
    <w:rsid w:val="005E52F8"/>
    <w:rsid w:val="005E565E"/>
    <w:rsid w:val="005E737B"/>
    <w:rsid w:val="005E74EE"/>
    <w:rsid w:val="005E7FD4"/>
    <w:rsid w:val="005F0094"/>
    <w:rsid w:val="005F17BD"/>
    <w:rsid w:val="005F1D04"/>
    <w:rsid w:val="005F2804"/>
    <w:rsid w:val="005F2893"/>
    <w:rsid w:val="005F2AD5"/>
    <w:rsid w:val="005F3D5B"/>
    <w:rsid w:val="005F4294"/>
    <w:rsid w:val="005F5282"/>
    <w:rsid w:val="005F5BF8"/>
    <w:rsid w:val="005F6821"/>
    <w:rsid w:val="005F6B5C"/>
    <w:rsid w:val="00600693"/>
    <w:rsid w:val="00601C08"/>
    <w:rsid w:val="00602D99"/>
    <w:rsid w:val="00603A6B"/>
    <w:rsid w:val="0060564E"/>
    <w:rsid w:val="00606387"/>
    <w:rsid w:val="00607A73"/>
    <w:rsid w:val="00610631"/>
    <w:rsid w:val="0061341F"/>
    <w:rsid w:val="0061398C"/>
    <w:rsid w:val="0061566D"/>
    <w:rsid w:val="00616AC1"/>
    <w:rsid w:val="0062038E"/>
    <w:rsid w:val="00620AEF"/>
    <w:rsid w:val="006214CD"/>
    <w:rsid w:val="006236EC"/>
    <w:rsid w:val="00623A5D"/>
    <w:rsid w:val="0062424B"/>
    <w:rsid w:val="0062463B"/>
    <w:rsid w:val="00624AC3"/>
    <w:rsid w:val="00624AFB"/>
    <w:rsid w:val="006252A6"/>
    <w:rsid w:val="0062635E"/>
    <w:rsid w:val="0062639E"/>
    <w:rsid w:val="00630DFB"/>
    <w:rsid w:val="006310B6"/>
    <w:rsid w:val="006325A6"/>
    <w:rsid w:val="006346CB"/>
    <w:rsid w:val="00634FC3"/>
    <w:rsid w:val="006369E3"/>
    <w:rsid w:val="00636D3C"/>
    <w:rsid w:val="00636DAC"/>
    <w:rsid w:val="006403B7"/>
    <w:rsid w:val="006405EF"/>
    <w:rsid w:val="00641849"/>
    <w:rsid w:val="00642DBD"/>
    <w:rsid w:val="006438F7"/>
    <w:rsid w:val="00643D42"/>
    <w:rsid w:val="0064598A"/>
    <w:rsid w:val="00645FDE"/>
    <w:rsid w:val="00646CB7"/>
    <w:rsid w:val="00650332"/>
    <w:rsid w:val="006509A0"/>
    <w:rsid w:val="00651753"/>
    <w:rsid w:val="00652450"/>
    <w:rsid w:val="00656C30"/>
    <w:rsid w:val="00657305"/>
    <w:rsid w:val="006607C9"/>
    <w:rsid w:val="0066252D"/>
    <w:rsid w:val="00662F78"/>
    <w:rsid w:val="006633A0"/>
    <w:rsid w:val="0066371D"/>
    <w:rsid w:val="00663CAD"/>
    <w:rsid w:val="00663E1F"/>
    <w:rsid w:val="006640AF"/>
    <w:rsid w:val="00666042"/>
    <w:rsid w:val="00666311"/>
    <w:rsid w:val="00666D97"/>
    <w:rsid w:val="0066731B"/>
    <w:rsid w:val="006678DB"/>
    <w:rsid w:val="006705CE"/>
    <w:rsid w:val="00670F11"/>
    <w:rsid w:val="00671BE0"/>
    <w:rsid w:val="0067362E"/>
    <w:rsid w:val="00674D5C"/>
    <w:rsid w:val="006754CE"/>
    <w:rsid w:val="00675D18"/>
    <w:rsid w:val="00676299"/>
    <w:rsid w:val="00676511"/>
    <w:rsid w:val="00677376"/>
    <w:rsid w:val="00680E5D"/>
    <w:rsid w:val="00680EF3"/>
    <w:rsid w:val="006813C8"/>
    <w:rsid w:val="0068351F"/>
    <w:rsid w:val="0068358A"/>
    <w:rsid w:val="006835CC"/>
    <w:rsid w:val="00685391"/>
    <w:rsid w:val="00685912"/>
    <w:rsid w:val="00686F64"/>
    <w:rsid w:val="00687ECC"/>
    <w:rsid w:val="006926AF"/>
    <w:rsid w:val="006945F6"/>
    <w:rsid w:val="00694A5E"/>
    <w:rsid w:val="00694FF6"/>
    <w:rsid w:val="006952E8"/>
    <w:rsid w:val="006A06F6"/>
    <w:rsid w:val="006A28A1"/>
    <w:rsid w:val="006A302F"/>
    <w:rsid w:val="006A34A7"/>
    <w:rsid w:val="006A3B25"/>
    <w:rsid w:val="006A4EFB"/>
    <w:rsid w:val="006A6F0F"/>
    <w:rsid w:val="006A7022"/>
    <w:rsid w:val="006A787D"/>
    <w:rsid w:val="006B1463"/>
    <w:rsid w:val="006B24E2"/>
    <w:rsid w:val="006B25D8"/>
    <w:rsid w:val="006B2A29"/>
    <w:rsid w:val="006B3569"/>
    <w:rsid w:val="006B3CC7"/>
    <w:rsid w:val="006B4128"/>
    <w:rsid w:val="006B4F2E"/>
    <w:rsid w:val="006B53C3"/>
    <w:rsid w:val="006B54D7"/>
    <w:rsid w:val="006B59F5"/>
    <w:rsid w:val="006B750E"/>
    <w:rsid w:val="006C0189"/>
    <w:rsid w:val="006C1161"/>
    <w:rsid w:val="006C2978"/>
    <w:rsid w:val="006C2ECF"/>
    <w:rsid w:val="006C411A"/>
    <w:rsid w:val="006C483D"/>
    <w:rsid w:val="006C4F9B"/>
    <w:rsid w:val="006C5403"/>
    <w:rsid w:val="006C6DF7"/>
    <w:rsid w:val="006D347E"/>
    <w:rsid w:val="006D37C7"/>
    <w:rsid w:val="006D40FE"/>
    <w:rsid w:val="006D47BF"/>
    <w:rsid w:val="006D4CD1"/>
    <w:rsid w:val="006E0934"/>
    <w:rsid w:val="006E11B8"/>
    <w:rsid w:val="006E12C2"/>
    <w:rsid w:val="006E35B3"/>
    <w:rsid w:val="006E3632"/>
    <w:rsid w:val="006E4553"/>
    <w:rsid w:val="006E473C"/>
    <w:rsid w:val="006E658C"/>
    <w:rsid w:val="006E676A"/>
    <w:rsid w:val="006E7720"/>
    <w:rsid w:val="006F01E8"/>
    <w:rsid w:val="006F204C"/>
    <w:rsid w:val="006F59A7"/>
    <w:rsid w:val="006F5F9A"/>
    <w:rsid w:val="006F70B7"/>
    <w:rsid w:val="006F7589"/>
    <w:rsid w:val="006F7DDF"/>
    <w:rsid w:val="00702071"/>
    <w:rsid w:val="0070305B"/>
    <w:rsid w:val="007030FB"/>
    <w:rsid w:val="0070348A"/>
    <w:rsid w:val="00704942"/>
    <w:rsid w:val="00704975"/>
    <w:rsid w:val="00704CB4"/>
    <w:rsid w:val="00705643"/>
    <w:rsid w:val="007069EC"/>
    <w:rsid w:val="00710F4E"/>
    <w:rsid w:val="00711558"/>
    <w:rsid w:val="007120DA"/>
    <w:rsid w:val="007122AD"/>
    <w:rsid w:val="007134EC"/>
    <w:rsid w:val="0071366D"/>
    <w:rsid w:val="00715D47"/>
    <w:rsid w:val="00715DFD"/>
    <w:rsid w:val="00716A7A"/>
    <w:rsid w:val="0072018E"/>
    <w:rsid w:val="00720E98"/>
    <w:rsid w:val="007229B5"/>
    <w:rsid w:val="00723F04"/>
    <w:rsid w:val="00724DDD"/>
    <w:rsid w:val="00725317"/>
    <w:rsid w:val="00725D46"/>
    <w:rsid w:val="00726884"/>
    <w:rsid w:val="007301D6"/>
    <w:rsid w:val="00730F80"/>
    <w:rsid w:val="0073109D"/>
    <w:rsid w:val="00731E84"/>
    <w:rsid w:val="007335D3"/>
    <w:rsid w:val="007337C8"/>
    <w:rsid w:val="007341AB"/>
    <w:rsid w:val="0073422F"/>
    <w:rsid w:val="0073456B"/>
    <w:rsid w:val="0073472E"/>
    <w:rsid w:val="00736809"/>
    <w:rsid w:val="007376C9"/>
    <w:rsid w:val="00737D91"/>
    <w:rsid w:val="007408DF"/>
    <w:rsid w:val="007424BB"/>
    <w:rsid w:val="0074273A"/>
    <w:rsid w:val="007435DC"/>
    <w:rsid w:val="007436AB"/>
    <w:rsid w:val="0074507E"/>
    <w:rsid w:val="007453FA"/>
    <w:rsid w:val="00746063"/>
    <w:rsid w:val="00746726"/>
    <w:rsid w:val="00747542"/>
    <w:rsid w:val="0075174E"/>
    <w:rsid w:val="00751E01"/>
    <w:rsid w:val="0075367F"/>
    <w:rsid w:val="00753AC8"/>
    <w:rsid w:val="00753B23"/>
    <w:rsid w:val="00753EB2"/>
    <w:rsid w:val="0075467D"/>
    <w:rsid w:val="00755E51"/>
    <w:rsid w:val="00756107"/>
    <w:rsid w:val="00756362"/>
    <w:rsid w:val="007564FF"/>
    <w:rsid w:val="00756760"/>
    <w:rsid w:val="007568CA"/>
    <w:rsid w:val="007570EE"/>
    <w:rsid w:val="007575D7"/>
    <w:rsid w:val="0076073F"/>
    <w:rsid w:val="00761B5C"/>
    <w:rsid w:val="00762003"/>
    <w:rsid w:val="0076278F"/>
    <w:rsid w:val="0076398B"/>
    <w:rsid w:val="00764057"/>
    <w:rsid w:val="007647C7"/>
    <w:rsid w:val="00766A66"/>
    <w:rsid w:val="00767D53"/>
    <w:rsid w:val="007702E5"/>
    <w:rsid w:val="007707B0"/>
    <w:rsid w:val="0077126A"/>
    <w:rsid w:val="007720DC"/>
    <w:rsid w:val="0077221E"/>
    <w:rsid w:val="00772DA9"/>
    <w:rsid w:val="007734F8"/>
    <w:rsid w:val="0077354E"/>
    <w:rsid w:val="00775000"/>
    <w:rsid w:val="00775B16"/>
    <w:rsid w:val="00775F3B"/>
    <w:rsid w:val="007760A3"/>
    <w:rsid w:val="007761F8"/>
    <w:rsid w:val="0077632B"/>
    <w:rsid w:val="007777F4"/>
    <w:rsid w:val="00780337"/>
    <w:rsid w:val="00781223"/>
    <w:rsid w:val="00781457"/>
    <w:rsid w:val="00783A64"/>
    <w:rsid w:val="00785F7B"/>
    <w:rsid w:val="007865E3"/>
    <w:rsid w:val="00787114"/>
    <w:rsid w:val="0079203E"/>
    <w:rsid w:val="0079318C"/>
    <w:rsid w:val="00793978"/>
    <w:rsid w:val="00793BAD"/>
    <w:rsid w:val="00793EDD"/>
    <w:rsid w:val="0079518C"/>
    <w:rsid w:val="00796C2F"/>
    <w:rsid w:val="00797148"/>
    <w:rsid w:val="00797A49"/>
    <w:rsid w:val="007A01CE"/>
    <w:rsid w:val="007A37B3"/>
    <w:rsid w:val="007A5664"/>
    <w:rsid w:val="007A649B"/>
    <w:rsid w:val="007A649C"/>
    <w:rsid w:val="007A682A"/>
    <w:rsid w:val="007A6DCE"/>
    <w:rsid w:val="007B06A1"/>
    <w:rsid w:val="007B0B9D"/>
    <w:rsid w:val="007B0F09"/>
    <w:rsid w:val="007B16A5"/>
    <w:rsid w:val="007B1C13"/>
    <w:rsid w:val="007B1E3A"/>
    <w:rsid w:val="007B278E"/>
    <w:rsid w:val="007B30DD"/>
    <w:rsid w:val="007B44F3"/>
    <w:rsid w:val="007B6E04"/>
    <w:rsid w:val="007B7611"/>
    <w:rsid w:val="007B7721"/>
    <w:rsid w:val="007B7996"/>
    <w:rsid w:val="007C24E5"/>
    <w:rsid w:val="007C2AB3"/>
    <w:rsid w:val="007C2E11"/>
    <w:rsid w:val="007C3799"/>
    <w:rsid w:val="007C3ACC"/>
    <w:rsid w:val="007C40A6"/>
    <w:rsid w:val="007C4FF0"/>
    <w:rsid w:val="007C5CF1"/>
    <w:rsid w:val="007C5CF5"/>
    <w:rsid w:val="007C661C"/>
    <w:rsid w:val="007C6C27"/>
    <w:rsid w:val="007C7177"/>
    <w:rsid w:val="007D00B0"/>
    <w:rsid w:val="007D06C7"/>
    <w:rsid w:val="007D18A2"/>
    <w:rsid w:val="007D2AF8"/>
    <w:rsid w:val="007D2F56"/>
    <w:rsid w:val="007D3B58"/>
    <w:rsid w:val="007D6123"/>
    <w:rsid w:val="007D71AF"/>
    <w:rsid w:val="007E1330"/>
    <w:rsid w:val="007E51DD"/>
    <w:rsid w:val="007E60A0"/>
    <w:rsid w:val="007E778F"/>
    <w:rsid w:val="007F0B83"/>
    <w:rsid w:val="007F0CC3"/>
    <w:rsid w:val="007F0D4D"/>
    <w:rsid w:val="007F1403"/>
    <w:rsid w:val="007F32FD"/>
    <w:rsid w:val="007F3487"/>
    <w:rsid w:val="007F473C"/>
    <w:rsid w:val="007F5E89"/>
    <w:rsid w:val="007F75DE"/>
    <w:rsid w:val="007F760A"/>
    <w:rsid w:val="00800602"/>
    <w:rsid w:val="00800FC0"/>
    <w:rsid w:val="0080179A"/>
    <w:rsid w:val="00801FD7"/>
    <w:rsid w:val="00802058"/>
    <w:rsid w:val="00802885"/>
    <w:rsid w:val="008037F5"/>
    <w:rsid w:val="0080461B"/>
    <w:rsid w:val="008057B9"/>
    <w:rsid w:val="008069DD"/>
    <w:rsid w:val="00811A70"/>
    <w:rsid w:val="00811DCD"/>
    <w:rsid w:val="00814292"/>
    <w:rsid w:val="008144D9"/>
    <w:rsid w:val="00820451"/>
    <w:rsid w:val="00820727"/>
    <w:rsid w:val="00820BDC"/>
    <w:rsid w:val="00822875"/>
    <w:rsid w:val="00822FE5"/>
    <w:rsid w:val="00823372"/>
    <w:rsid w:val="008256CE"/>
    <w:rsid w:val="008276D9"/>
    <w:rsid w:val="00830A92"/>
    <w:rsid w:val="00831276"/>
    <w:rsid w:val="00832E20"/>
    <w:rsid w:val="00833F4E"/>
    <w:rsid w:val="00834623"/>
    <w:rsid w:val="00834E64"/>
    <w:rsid w:val="00836706"/>
    <w:rsid w:val="00836E3D"/>
    <w:rsid w:val="00840838"/>
    <w:rsid w:val="00840AFA"/>
    <w:rsid w:val="00841ABC"/>
    <w:rsid w:val="00846890"/>
    <w:rsid w:val="00850841"/>
    <w:rsid w:val="0085187B"/>
    <w:rsid w:val="00851E71"/>
    <w:rsid w:val="00852CB4"/>
    <w:rsid w:val="008534EB"/>
    <w:rsid w:val="00853DC6"/>
    <w:rsid w:val="008554CD"/>
    <w:rsid w:val="00855528"/>
    <w:rsid w:val="0085558A"/>
    <w:rsid w:val="008569F2"/>
    <w:rsid w:val="0086122E"/>
    <w:rsid w:val="00861D19"/>
    <w:rsid w:val="0086282E"/>
    <w:rsid w:val="0086294C"/>
    <w:rsid w:val="00863620"/>
    <w:rsid w:val="00863CBF"/>
    <w:rsid w:val="008648E2"/>
    <w:rsid w:val="00865774"/>
    <w:rsid w:val="00865987"/>
    <w:rsid w:val="00865EE1"/>
    <w:rsid w:val="00867182"/>
    <w:rsid w:val="00867771"/>
    <w:rsid w:val="00867E8E"/>
    <w:rsid w:val="00870EA0"/>
    <w:rsid w:val="00871A43"/>
    <w:rsid w:val="008740CB"/>
    <w:rsid w:val="00876866"/>
    <w:rsid w:val="00876EEA"/>
    <w:rsid w:val="00877DF3"/>
    <w:rsid w:val="00881442"/>
    <w:rsid w:val="0088476F"/>
    <w:rsid w:val="00885FCF"/>
    <w:rsid w:val="00886302"/>
    <w:rsid w:val="008901AC"/>
    <w:rsid w:val="008912C2"/>
    <w:rsid w:val="00891655"/>
    <w:rsid w:val="00891B10"/>
    <w:rsid w:val="00891C31"/>
    <w:rsid w:val="00893064"/>
    <w:rsid w:val="008940A3"/>
    <w:rsid w:val="00894E73"/>
    <w:rsid w:val="008950ED"/>
    <w:rsid w:val="008951F1"/>
    <w:rsid w:val="008A37A4"/>
    <w:rsid w:val="008A37A7"/>
    <w:rsid w:val="008A3894"/>
    <w:rsid w:val="008A4808"/>
    <w:rsid w:val="008A48E0"/>
    <w:rsid w:val="008A4AF8"/>
    <w:rsid w:val="008A629C"/>
    <w:rsid w:val="008A79BA"/>
    <w:rsid w:val="008B048E"/>
    <w:rsid w:val="008B1CAF"/>
    <w:rsid w:val="008B2876"/>
    <w:rsid w:val="008B2F74"/>
    <w:rsid w:val="008B5404"/>
    <w:rsid w:val="008B5640"/>
    <w:rsid w:val="008B6469"/>
    <w:rsid w:val="008B68E0"/>
    <w:rsid w:val="008B7C7D"/>
    <w:rsid w:val="008B7FCC"/>
    <w:rsid w:val="008C0151"/>
    <w:rsid w:val="008C0EE9"/>
    <w:rsid w:val="008C1921"/>
    <w:rsid w:val="008C2351"/>
    <w:rsid w:val="008C4292"/>
    <w:rsid w:val="008C50E0"/>
    <w:rsid w:val="008C5722"/>
    <w:rsid w:val="008D036F"/>
    <w:rsid w:val="008D4125"/>
    <w:rsid w:val="008D4946"/>
    <w:rsid w:val="008D5898"/>
    <w:rsid w:val="008D5BF3"/>
    <w:rsid w:val="008E0F13"/>
    <w:rsid w:val="008E1806"/>
    <w:rsid w:val="008E223C"/>
    <w:rsid w:val="008E2A99"/>
    <w:rsid w:val="008E4E7B"/>
    <w:rsid w:val="008E51A0"/>
    <w:rsid w:val="008E5C2B"/>
    <w:rsid w:val="008E62F8"/>
    <w:rsid w:val="008E66E1"/>
    <w:rsid w:val="008E708F"/>
    <w:rsid w:val="008F00AA"/>
    <w:rsid w:val="008F0DF0"/>
    <w:rsid w:val="008F1944"/>
    <w:rsid w:val="008F1FAB"/>
    <w:rsid w:val="008F2A78"/>
    <w:rsid w:val="008F2A79"/>
    <w:rsid w:val="008F31D3"/>
    <w:rsid w:val="008F3FB2"/>
    <w:rsid w:val="008F6B7F"/>
    <w:rsid w:val="008F7451"/>
    <w:rsid w:val="008F75BB"/>
    <w:rsid w:val="00900318"/>
    <w:rsid w:val="0090185E"/>
    <w:rsid w:val="00902964"/>
    <w:rsid w:val="00902E53"/>
    <w:rsid w:val="009036E4"/>
    <w:rsid w:val="00904519"/>
    <w:rsid w:val="00904A5A"/>
    <w:rsid w:val="009059B2"/>
    <w:rsid w:val="0090659C"/>
    <w:rsid w:val="0090739A"/>
    <w:rsid w:val="0091025B"/>
    <w:rsid w:val="00910838"/>
    <w:rsid w:val="00910EB1"/>
    <w:rsid w:val="009128F2"/>
    <w:rsid w:val="00912A42"/>
    <w:rsid w:val="009131FE"/>
    <w:rsid w:val="00916687"/>
    <w:rsid w:val="0092165B"/>
    <w:rsid w:val="00921CE1"/>
    <w:rsid w:val="00924F7C"/>
    <w:rsid w:val="00925778"/>
    <w:rsid w:val="00926F80"/>
    <w:rsid w:val="00931AAF"/>
    <w:rsid w:val="009322E5"/>
    <w:rsid w:val="00932F49"/>
    <w:rsid w:val="0093413B"/>
    <w:rsid w:val="009344A4"/>
    <w:rsid w:val="0093550C"/>
    <w:rsid w:val="00935546"/>
    <w:rsid w:val="00935A73"/>
    <w:rsid w:val="00935EA1"/>
    <w:rsid w:val="00937023"/>
    <w:rsid w:val="00937F3C"/>
    <w:rsid w:val="009410D9"/>
    <w:rsid w:val="0094140D"/>
    <w:rsid w:val="009420BC"/>
    <w:rsid w:val="00942A28"/>
    <w:rsid w:val="00942B7E"/>
    <w:rsid w:val="00942BB3"/>
    <w:rsid w:val="00943410"/>
    <w:rsid w:val="00943554"/>
    <w:rsid w:val="0094488F"/>
    <w:rsid w:val="009461F4"/>
    <w:rsid w:val="0094676F"/>
    <w:rsid w:val="00946D85"/>
    <w:rsid w:val="00950015"/>
    <w:rsid w:val="00951DD3"/>
    <w:rsid w:val="00952CD5"/>
    <w:rsid w:val="00952F4F"/>
    <w:rsid w:val="009535A4"/>
    <w:rsid w:val="00953A4D"/>
    <w:rsid w:val="00953ACF"/>
    <w:rsid w:val="00954302"/>
    <w:rsid w:val="00954578"/>
    <w:rsid w:val="009558CC"/>
    <w:rsid w:val="009561A8"/>
    <w:rsid w:val="00956C8B"/>
    <w:rsid w:val="00957726"/>
    <w:rsid w:val="00960092"/>
    <w:rsid w:val="00960960"/>
    <w:rsid w:val="00960CD4"/>
    <w:rsid w:val="00961263"/>
    <w:rsid w:val="0096224C"/>
    <w:rsid w:val="00962CBF"/>
    <w:rsid w:val="0096482B"/>
    <w:rsid w:val="00964BA8"/>
    <w:rsid w:val="00970F6A"/>
    <w:rsid w:val="0097283F"/>
    <w:rsid w:val="00972D09"/>
    <w:rsid w:val="00973131"/>
    <w:rsid w:val="00973796"/>
    <w:rsid w:val="009744D7"/>
    <w:rsid w:val="00974C50"/>
    <w:rsid w:val="00975091"/>
    <w:rsid w:val="00975572"/>
    <w:rsid w:val="00976743"/>
    <w:rsid w:val="00977994"/>
    <w:rsid w:val="00977E6A"/>
    <w:rsid w:val="009806CE"/>
    <w:rsid w:val="00980A3E"/>
    <w:rsid w:val="00981D9A"/>
    <w:rsid w:val="009828FB"/>
    <w:rsid w:val="00983417"/>
    <w:rsid w:val="00983BC3"/>
    <w:rsid w:val="009843AF"/>
    <w:rsid w:val="00985041"/>
    <w:rsid w:val="0098530E"/>
    <w:rsid w:val="00985371"/>
    <w:rsid w:val="0098546A"/>
    <w:rsid w:val="0098676D"/>
    <w:rsid w:val="00987A27"/>
    <w:rsid w:val="00990232"/>
    <w:rsid w:val="00990504"/>
    <w:rsid w:val="00993172"/>
    <w:rsid w:val="009934D9"/>
    <w:rsid w:val="00993CC2"/>
    <w:rsid w:val="00994E8F"/>
    <w:rsid w:val="00995C1F"/>
    <w:rsid w:val="009968B4"/>
    <w:rsid w:val="009A001A"/>
    <w:rsid w:val="009A0E62"/>
    <w:rsid w:val="009A1DA0"/>
    <w:rsid w:val="009A2E43"/>
    <w:rsid w:val="009A3514"/>
    <w:rsid w:val="009A3954"/>
    <w:rsid w:val="009A48A6"/>
    <w:rsid w:val="009A4CC4"/>
    <w:rsid w:val="009A74DC"/>
    <w:rsid w:val="009B0C64"/>
    <w:rsid w:val="009B313A"/>
    <w:rsid w:val="009B4F19"/>
    <w:rsid w:val="009B5AD8"/>
    <w:rsid w:val="009B7FE4"/>
    <w:rsid w:val="009C08EA"/>
    <w:rsid w:val="009C2B9A"/>
    <w:rsid w:val="009C3463"/>
    <w:rsid w:val="009C3F86"/>
    <w:rsid w:val="009C4D9A"/>
    <w:rsid w:val="009C6757"/>
    <w:rsid w:val="009C6913"/>
    <w:rsid w:val="009C721C"/>
    <w:rsid w:val="009C7B9D"/>
    <w:rsid w:val="009C7C1D"/>
    <w:rsid w:val="009C7F7D"/>
    <w:rsid w:val="009D0D3B"/>
    <w:rsid w:val="009D1188"/>
    <w:rsid w:val="009D1F8D"/>
    <w:rsid w:val="009D37A1"/>
    <w:rsid w:val="009D3EE3"/>
    <w:rsid w:val="009D402C"/>
    <w:rsid w:val="009D47BF"/>
    <w:rsid w:val="009D4AAA"/>
    <w:rsid w:val="009D6CE6"/>
    <w:rsid w:val="009D7814"/>
    <w:rsid w:val="009E3918"/>
    <w:rsid w:val="009E3CC5"/>
    <w:rsid w:val="009E4CAF"/>
    <w:rsid w:val="009E50E5"/>
    <w:rsid w:val="009E752D"/>
    <w:rsid w:val="009F1B8E"/>
    <w:rsid w:val="009F2524"/>
    <w:rsid w:val="009F4138"/>
    <w:rsid w:val="009F46A4"/>
    <w:rsid w:val="009F4A1E"/>
    <w:rsid w:val="009F766C"/>
    <w:rsid w:val="009F77A5"/>
    <w:rsid w:val="009F78CB"/>
    <w:rsid w:val="009F78D9"/>
    <w:rsid w:val="009F790C"/>
    <w:rsid w:val="00A0006F"/>
    <w:rsid w:val="00A01862"/>
    <w:rsid w:val="00A02702"/>
    <w:rsid w:val="00A02AEA"/>
    <w:rsid w:val="00A02E54"/>
    <w:rsid w:val="00A03F9F"/>
    <w:rsid w:val="00A04912"/>
    <w:rsid w:val="00A04D8A"/>
    <w:rsid w:val="00A05E03"/>
    <w:rsid w:val="00A079C5"/>
    <w:rsid w:val="00A1043C"/>
    <w:rsid w:val="00A10618"/>
    <w:rsid w:val="00A11E0B"/>
    <w:rsid w:val="00A12442"/>
    <w:rsid w:val="00A1561B"/>
    <w:rsid w:val="00A1601B"/>
    <w:rsid w:val="00A1605F"/>
    <w:rsid w:val="00A17BFD"/>
    <w:rsid w:val="00A20C7D"/>
    <w:rsid w:val="00A21552"/>
    <w:rsid w:val="00A2212F"/>
    <w:rsid w:val="00A22F0D"/>
    <w:rsid w:val="00A22FBF"/>
    <w:rsid w:val="00A23F06"/>
    <w:rsid w:val="00A24563"/>
    <w:rsid w:val="00A25982"/>
    <w:rsid w:val="00A25A5B"/>
    <w:rsid w:val="00A26770"/>
    <w:rsid w:val="00A27D4E"/>
    <w:rsid w:val="00A3020F"/>
    <w:rsid w:val="00A3031F"/>
    <w:rsid w:val="00A309AE"/>
    <w:rsid w:val="00A32034"/>
    <w:rsid w:val="00A34D39"/>
    <w:rsid w:val="00A357DE"/>
    <w:rsid w:val="00A3606E"/>
    <w:rsid w:val="00A36502"/>
    <w:rsid w:val="00A377C3"/>
    <w:rsid w:val="00A4088D"/>
    <w:rsid w:val="00A40C8F"/>
    <w:rsid w:val="00A42448"/>
    <w:rsid w:val="00A43149"/>
    <w:rsid w:val="00A43ECD"/>
    <w:rsid w:val="00A457E5"/>
    <w:rsid w:val="00A45B05"/>
    <w:rsid w:val="00A53D7A"/>
    <w:rsid w:val="00A53DC4"/>
    <w:rsid w:val="00A545F2"/>
    <w:rsid w:val="00A54E1F"/>
    <w:rsid w:val="00A55169"/>
    <w:rsid w:val="00A56F3E"/>
    <w:rsid w:val="00A575C5"/>
    <w:rsid w:val="00A600CE"/>
    <w:rsid w:val="00A60191"/>
    <w:rsid w:val="00A601B8"/>
    <w:rsid w:val="00A62A66"/>
    <w:rsid w:val="00A6314E"/>
    <w:rsid w:val="00A63D21"/>
    <w:rsid w:val="00A63E2C"/>
    <w:rsid w:val="00A63EC6"/>
    <w:rsid w:val="00A63F10"/>
    <w:rsid w:val="00A6455C"/>
    <w:rsid w:val="00A64F9A"/>
    <w:rsid w:val="00A656F8"/>
    <w:rsid w:val="00A66320"/>
    <w:rsid w:val="00A66708"/>
    <w:rsid w:val="00A6697E"/>
    <w:rsid w:val="00A6724F"/>
    <w:rsid w:val="00A67FA6"/>
    <w:rsid w:val="00A70019"/>
    <w:rsid w:val="00A728F3"/>
    <w:rsid w:val="00A74B65"/>
    <w:rsid w:val="00A75E3D"/>
    <w:rsid w:val="00A76E5C"/>
    <w:rsid w:val="00A80AA3"/>
    <w:rsid w:val="00A85B59"/>
    <w:rsid w:val="00A866C7"/>
    <w:rsid w:val="00A90DA1"/>
    <w:rsid w:val="00A932F0"/>
    <w:rsid w:val="00A947CC"/>
    <w:rsid w:val="00A95133"/>
    <w:rsid w:val="00A957BE"/>
    <w:rsid w:val="00A95F1F"/>
    <w:rsid w:val="00A960B6"/>
    <w:rsid w:val="00A9617F"/>
    <w:rsid w:val="00A964BB"/>
    <w:rsid w:val="00A97EBA"/>
    <w:rsid w:val="00AA0B80"/>
    <w:rsid w:val="00AA13C2"/>
    <w:rsid w:val="00AA1557"/>
    <w:rsid w:val="00AA1830"/>
    <w:rsid w:val="00AA3A9D"/>
    <w:rsid w:val="00AA6969"/>
    <w:rsid w:val="00AA7760"/>
    <w:rsid w:val="00AB1B66"/>
    <w:rsid w:val="00AB6911"/>
    <w:rsid w:val="00AC0665"/>
    <w:rsid w:val="00AC0729"/>
    <w:rsid w:val="00AC1F8B"/>
    <w:rsid w:val="00AC30D7"/>
    <w:rsid w:val="00AC3225"/>
    <w:rsid w:val="00AC5342"/>
    <w:rsid w:val="00AC717D"/>
    <w:rsid w:val="00AC7620"/>
    <w:rsid w:val="00AC7B7C"/>
    <w:rsid w:val="00AD0208"/>
    <w:rsid w:val="00AD0BBA"/>
    <w:rsid w:val="00AD38E8"/>
    <w:rsid w:val="00AD4129"/>
    <w:rsid w:val="00AD41FC"/>
    <w:rsid w:val="00AD5467"/>
    <w:rsid w:val="00AD7568"/>
    <w:rsid w:val="00AE0A79"/>
    <w:rsid w:val="00AE0BBD"/>
    <w:rsid w:val="00AE0FFA"/>
    <w:rsid w:val="00AE13D5"/>
    <w:rsid w:val="00AE2113"/>
    <w:rsid w:val="00AE46F6"/>
    <w:rsid w:val="00AF14F6"/>
    <w:rsid w:val="00AF15B0"/>
    <w:rsid w:val="00AF18D7"/>
    <w:rsid w:val="00AF1C07"/>
    <w:rsid w:val="00AF268C"/>
    <w:rsid w:val="00AF2992"/>
    <w:rsid w:val="00AF368C"/>
    <w:rsid w:val="00AF487C"/>
    <w:rsid w:val="00AF6724"/>
    <w:rsid w:val="00B014D7"/>
    <w:rsid w:val="00B01D79"/>
    <w:rsid w:val="00B024D6"/>
    <w:rsid w:val="00B02664"/>
    <w:rsid w:val="00B02B8D"/>
    <w:rsid w:val="00B04372"/>
    <w:rsid w:val="00B05247"/>
    <w:rsid w:val="00B05C81"/>
    <w:rsid w:val="00B100B0"/>
    <w:rsid w:val="00B12665"/>
    <w:rsid w:val="00B13B75"/>
    <w:rsid w:val="00B14955"/>
    <w:rsid w:val="00B15E91"/>
    <w:rsid w:val="00B17E33"/>
    <w:rsid w:val="00B20391"/>
    <w:rsid w:val="00B20404"/>
    <w:rsid w:val="00B2043E"/>
    <w:rsid w:val="00B219C9"/>
    <w:rsid w:val="00B232D0"/>
    <w:rsid w:val="00B233D8"/>
    <w:rsid w:val="00B23419"/>
    <w:rsid w:val="00B2531A"/>
    <w:rsid w:val="00B25B29"/>
    <w:rsid w:val="00B2605D"/>
    <w:rsid w:val="00B2644F"/>
    <w:rsid w:val="00B2694D"/>
    <w:rsid w:val="00B27077"/>
    <w:rsid w:val="00B27317"/>
    <w:rsid w:val="00B30597"/>
    <w:rsid w:val="00B305AC"/>
    <w:rsid w:val="00B31584"/>
    <w:rsid w:val="00B32102"/>
    <w:rsid w:val="00B32133"/>
    <w:rsid w:val="00B34350"/>
    <w:rsid w:val="00B35226"/>
    <w:rsid w:val="00B35541"/>
    <w:rsid w:val="00B35CF6"/>
    <w:rsid w:val="00B35DBD"/>
    <w:rsid w:val="00B40126"/>
    <w:rsid w:val="00B4282D"/>
    <w:rsid w:val="00B4433C"/>
    <w:rsid w:val="00B4470E"/>
    <w:rsid w:val="00B51089"/>
    <w:rsid w:val="00B51B29"/>
    <w:rsid w:val="00B526D8"/>
    <w:rsid w:val="00B527F4"/>
    <w:rsid w:val="00B52C9E"/>
    <w:rsid w:val="00B5751D"/>
    <w:rsid w:val="00B60455"/>
    <w:rsid w:val="00B6125C"/>
    <w:rsid w:val="00B614E4"/>
    <w:rsid w:val="00B6226E"/>
    <w:rsid w:val="00B6235D"/>
    <w:rsid w:val="00B62C63"/>
    <w:rsid w:val="00B634E9"/>
    <w:rsid w:val="00B66EC8"/>
    <w:rsid w:val="00B670A2"/>
    <w:rsid w:val="00B6784E"/>
    <w:rsid w:val="00B7071D"/>
    <w:rsid w:val="00B70C02"/>
    <w:rsid w:val="00B70E44"/>
    <w:rsid w:val="00B7134C"/>
    <w:rsid w:val="00B71788"/>
    <w:rsid w:val="00B722F1"/>
    <w:rsid w:val="00B74ED0"/>
    <w:rsid w:val="00B757D5"/>
    <w:rsid w:val="00B75AD8"/>
    <w:rsid w:val="00B76DA5"/>
    <w:rsid w:val="00B76E0B"/>
    <w:rsid w:val="00B776FA"/>
    <w:rsid w:val="00B77EC3"/>
    <w:rsid w:val="00B815D4"/>
    <w:rsid w:val="00B830EA"/>
    <w:rsid w:val="00B83713"/>
    <w:rsid w:val="00B83E93"/>
    <w:rsid w:val="00B84671"/>
    <w:rsid w:val="00B85C96"/>
    <w:rsid w:val="00B8697B"/>
    <w:rsid w:val="00B908EE"/>
    <w:rsid w:val="00B90EF9"/>
    <w:rsid w:val="00B9101A"/>
    <w:rsid w:val="00B9102A"/>
    <w:rsid w:val="00B92670"/>
    <w:rsid w:val="00B9383B"/>
    <w:rsid w:val="00B93963"/>
    <w:rsid w:val="00B9461E"/>
    <w:rsid w:val="00B953B6"/>
    <w:rsid w:val="00B973F6"/>
    <w:rsid w:val="00BA0885"/>
    <w:rsid w:val="00BA4C33"/>
    <w:rsid w:val="00BA6197"/>
    <w:rsid w:val="00BA7942"/>
    <w:rsid w:val="00BA7B6D"/>
    <w:rsid w:val="00BB0068"/>
    <w:rsid w:val="00BB123B"/>
    <w:rsid w:val="00BB1A86"/>
    <w:rsid w:val="00BB1DCB"/>
    <w:rsid w:val="00BC07CB"/>
    <w:rsid w:val="00BC0A61"/>
    <w:rsid w:val="00BC0B2C"/>
    <w:rsid w:val="00BC0CC7"/>
    <w:rsid w:val="00BC1164"/>
    <w:rsid w:val="00BC1273"/>
    <w:rsid w:val="00BC245D"/>
    <w:rsid w:val="00BC2A76"/>
    <w:rsid w:val="00BC2C62"/>
    <w:rsid w:val="00BC2C9E"/>
    <w:rsid w:val="00BC328B"/>
    <w:rsid w:val="00BC4056"/>
    <w:rsid w:val="00BC6272"/>
    <w:rsid w:val="00BD1204"/>
    <w:rsid w:val="00BD1268"/>
    <w:rsid w:val="00BD2F3C"/>
    <w:rsid w:val="00BD36D8"/>
    <w:rsid w:val="00BD39AB"/>
    <w:rsid w:val="00BD3CF0"/>
    <w:rsid w:val="00BD6519"/>
    <w:rsid w:val="00BD683A"/>
    <w:rsid w:val="00BD6AF2"/>
    <w:rsid w:val="00BD6E3D"/>
    <w:rsid w:val="00BD7051"/>
    <w:rsid w:val="00BD723E"/>
    <w:rsid w:val="00BE260B"/>
    <w:rsid w:val="00BE2CCE"/>
    <w:rsid w:val="00BE403E"/>
    <w:rsid w:val="00BE7460"/>
    <w:rsid w:val="00BE77A5"/>
    <w:rsid w:val="00BF02FE"/>
    <w:rsid w:val="00BF037D"/>
    <w:rsid w:val="00BF0715"/>
    <w:rsid w:val="00BF0E92"/>
    <w:rsid w:val="00BF239E"/>
    <w:rsid w:val="00BF2BC3"/>
    <w:rsid w:val="00BF30C5"/>
    <w:rsid w:val="00BF3C58"/>
    <w:rsid w:val="00BF449A"/>
    <w:rsid w:val="00BF53E8"/>
    <w:rsid w:val="00BF71FC"/>
    <w:rsid w:val="00C03BEE"/>
    <w:rsid w:val="00C07C84"/>
    <w:rsid w:val="00C110BC"/>
    <w:rsid w:val="00C116FF"/>
    <w:rsid w:val="00C1196E"/>
    <w:rsid w:val="00C11CC7"/>
    <w:rsid w:val="00C13BD7"/>
    <w:rsid w:val="00C143D1"/>
    <w:rsid w:val="00C161BD"/>
    <w:rsid w:val="00C16EDA"/>
    <w:rsid w:val="00C20129"/>
    <w:rsid w:val="00C2089E"/>
    <w:rsid w:val="00C20CB7"/>
    <w:rsid w:val="00C20EAA"/>
    <w:rsid w:val="00C2155A"/>
    <w:rsid w:val="00C236F6"/>
    <w:rsid w:val="00C24CD4"/>
    <w:rsid w:val="00C24F48"/>
    <w:rsid w:val="00C2607C"/>
    <w:rsid w:val="00C30611"/>
    <w:rsid w:val="00C3173D"/>
    <w:rsid w:val="00C31E9F"/>
    <w:rsid w:val="00C34318"/>
    <w:rsid w:val="00C34877"/>
    <w:rsid w:val="00C34BC7"/>
    <w:rsid w:val="00C3595E"/>
    <w:rsid w:val="00C35B78"/>
    <w:rsid w:val="00C362AB"/>
    <w:rsid w:val="00C36E79"/>
    <w:rsid w:val="00C373DB"/>
    <w:rsid w:val="00C377D0"/>
    <w:rsid w:val="00C404B6"/>
    <w:rsid w:val="00C4132A"/>
    <w:rsid w:val="00C4138D"/>
    <w:rsid w:val="00C41466"/>
    <w:rsid w:val="00C4160C"/>
    <w:rsid w:val="00C433DB"/>
    <w:rsid w:val="00C436FB"/>
    <w:rsid w:val="00C43A19"/>
    <w:rsid w:val="00C443E5"/>
    <w:rsid w:val="00C46CF8"/>
    <w:rsid w:val="00C46D96"/>
    <w:rsid w:val="00C4785A"/>
    <w:rsid w:val="00C4799F"/>
    <w:rsid w:val="00C47CE2"/>
    <w:rsid w:val="00C502CB"/>
    <w:rsid w:val="00C504B4"/>
    <w:rsid w:val="00C51017"/>
    <w:rsid w:val="00C520C9"/>
    <w:rsid w:val="00C522A7"/>
    <w:rsid w:val="00C53BF4"/>
    <w:rsid w:val="00C546CA"/>
    <w:rsid w:val="00C54B26"/>
    <w:rsid w:val="00C54E97"/>
    <w:rsid w:val="00C54FEC"/>
    <w:rsid w:val="00C56CD3"/>
    <w:rsid w:val="00C605A0"/>
    <w:rsid w:val="00C63108"/>
    <w:rsid w:val="00C633BA"/>
    <w:rsid w:val="00C648E9"/>
    <w:rsid w:val="00C65A51"/>
    <w:rsid w:val="00C7083E"/>
    <w:rsid w:val="00C713FF"/>
    <w:rsid w:val="00C724C4"/>
    <w:rsid w:val="00C73471"/>
    <w:rsid w:val="00C73C38"/>
    <w:rsid w:val="00C7499F"/>
    <w:rsid w:val="00C75BFF"/>
    <w:rsid w:val="00C76BF0"/>
    <w:rsid w:val="00C77D12"/>
    <w:rsid w:val="00C80364"/>
    <w:rsid w:val="00C808ED"/>
    <w:rsid w:val="00C81F29"/>
    <w:rsid w:val="00C82433"/>
    <w:rsid w:val="00C83342"/>
    <w:rsid w:val="00C836E9"/>
    <w:rsid w:val="00C84D9E"/>
    <w:rsid w:val="00C85510"/>
    <w:rsid w:val="00C86A96"/>
    <w:rsid w:val="00C90412"/>
    <w:rsid w:val="00C90FB4"/>
    <w:rsid w:val="00C91F18"/>
    <w:rsid w:val="00C92264"/>
    <w:rsid w:val="00C922E9"/>
    <w:rsid w:val="00C924CC"/>
    <w:rsid w:val="00C93A66"/>
    <w:rsid w:val="00C93CE6"/>
    <w:rsid w:val="00C942E1"/>
    <w:rsid w:val="00C945DC"/>
    <w:rsid w:val="00C94898"/>
    <w:rsid w:val="00C956AE"/>
    <w:rsid w:val="00C95957"/>
    <w:rsid w:val="00C95EEB"/>
    <w:rsid w:val="00C960F6"/>
    <w:rsid w:val="00C966CC"/>
    <w:rsid w:val="00C9674A"/>
    <w:rsid w:val="00C971C3"/>
    <w:rsid w:val="00C974DA"/>
    <w:rsid w:val="00C978C6"/>
    <w:rsid w:val="00C97D00"/>
    <w:rsid w:val="00CA0BDA"/>
    <w:rsid w:val="00CA0C3C"/>
    <w:rsid w:val="00CA0EBA"/>
    <w:rsid w:val="00CA1D4F"/>
    <w:rsid w:val="00CA2C9B"/>
    <w:rsid w:val="00CA3520"/>
    <w:rsid w:val="00CA404E"/>
    <w:rsid w:val="00CA5542"/>
    <w:rsid w:val="00CA6DE2"/>
    <w:rsid w:val="00CA7113"/>
    <w:rsid w:val="00CA79CC"/>
    <w:rsid w:val="00CB0A0E"/>
    <w:rsid w:val="00CB0DB0"/>
    <w:rsid w:val="00CB2E00"/>
    <w:rsid w:val="00CB33A3"/>
    <w:rsid w:val="00CB40B7"/>
    <w:rsid w:val="00CB53FA"/>
    <w:rsid w:val="00CB586D"/>
    <w:rsid w:val="00CB7434"/>
    <w:rsid w:val="00CC1A32"/>
    <w:rsid w:val="00CC2055"/>
    <w:rsid w:val="00CC2142"/>
    <w:rsid w:val="00CC2273"/>
    <w:rsid w:val="00CC34B8"/>
    <w:rsid w:val="00CC3A72"/>
    <w:rsid w:val="00CC3CA7"/>
    <w:rsid w:val="00CC68E0"/>
    <w:rsid w:val="00CC6FB6"/>
    <w:rsid w:val="00CC71AC"/>
    <w:rsid w:val="00CC74ED"/>
    <w:rsid w:val="00CD0683"/>
    <w:rsid w:val="00CD1B37"/>
    <w:rsid w:val="00CD1C19"/>
    <w:rsid w:val="00CD1D55"/>
    <w:rsid w:val="00CD22ED"/>
    <w:rsid w:val="00CD3BF3"/>
    <w:rsid w:val="00CD4176"/>
    <w:rsid w:val="00CD4E29"/>
    <w:rsid w:val="00CD4EB3"/>
    <w:rsid w:val="00CD56CC"/>
    <w:rsid w:val="00CD5726"/>
    <w:rsid w:val="00CD7EFF"/>
    <w:rsid w:val="00CE0FAB"/>
    <w:rsid w:val="00CE1580"/>
    <w:rsid w:val="00CE2C55"/>
    <w:rsid w:val="00CE3D4C"/>
    <w:rsid w:val="00CE438A"/>
    <w:rsid w:val="00CE4470"/>
    <w:rsid w:val="00CE4C3D"/>
    <w:rsid w:val="00CE6A26"/>
    <w:rsid w:val="00CE6C8B"/>
    <w:rsid w:val="00CE7379"/>
    <w:rsid w:val="00CF0CB4"/>
    <w:rsid w:val="00CF124E"/>
    <w:rsid w:val="00CF16FC"/>
    <w:rsid w:val="00CF2632"/>
    <w:rsid w:val="00CF30F5"/>
    <w:rsid w:val="00CF364A"/>
    <w:rsid w:val="00CF41FD"/>
    <w:rsid w:val="00CF4EC4"/>
    <w:rsid w:val="00CF5EB0"/>
    <w:rsid w:val="00CF74F3"/>
    <w:rsid w:val="00CF7E71"/>
    <w:rsid w:val="00D00520"/>
    <w:rsid w:val="00D018E8"/>
    <w:rsid w:val="00D0448E"/>
    <w:rsid w:val="00D05625"/>
    <w:rsid w:val="00D06B0F"/>
    <w:rsid w:val="00D07160"/>
    <w:rsid w:val="00D07B05"/>
    <w:rsid w:val="00D10D5F"/>
    <w:rsid w:val="00D1156B"/>
    <w:rsid w:val="00D11613"/>
    <w:rsid w:val="00D13848"/>
    <w:rsid w:val="00D150AA"/>
    <w:rsid w:val="00D16BF4"/>
    <w:rsid w:val="00D176A8"/>
    <w:rsid w:val="00D17C47"/>
    <w:rsid w:val="00D17F43"/>
    <w:rsid w:val="00D20164"/>
    <w:rsid w:val="00D21734"/>
    <w:rsid w:val="00D21CE6"/>
    <w:rsid w:val="00D23131"/>
    <w:rsid w:val="00D2381B"/>
    <w:rsid w:val="00D2475D"/>
    <w:rsid w:val="00D24EF3"/>
    <w:rsid w:val="00D25301"/>
    <w:rsid w:val="00D2622C"/>
    <w:rsid w:val="00D266EE"/>
    <w:rsid w:val="00D26F00"/>
    <w:rsid w:val="00D30220"/>
    <w:rsid w:val="00D30ED9"/>
    <w:rsid w:val="00D32127"/>
    <w:rsid w:val="00D32610"/>
    <w:rsid w:val="00D36E08"/>
    <w:rsid w:val="00D4024D"/>
    <w:rsid w:val="00D4075A"/>
    <w:rsid w:val="00D415FC"/>
    <w:rsid w:val="00D4160F"/>
    <w:rsid w:val="00D42725"/>
    <w:rsid w:val="00D44346"/>
    <w:rsid w:val="00D4575B"/>
    <w:rsid w:val="00D46B39"/>
    <w:rsid w:val="00D53DC4"/>
    <w:rsid w:val="00D54250"/>
    <w:rsid w:val="00D556D2"/>
    <w:rsid w:val="00D56822"/>
    <w:rsid w:val="00D56A01"/>
    <w:rsid w:val="00D600C6"/>
    <w:rsid w:val="00D617F5"/>
    <w:rsid w:val="00D62572"/>
    <w:rsid w:val="00D62C6B"/>
    <w:rsid w:val="00D6359C"/>
    <w:rsid w:val="00D66D76"/>
    <w:rsid w:val="00D6712C"/>
    <w:rsid w:val="00D67870"/>
    <w:rsid w:val="00D702AF"/>
    <w:rsid w:val="00D705BC"/>
    <w:rsid w:val="00D73493"/>
    <w:rsid w:val="00D742D9"/>
    <w:rsid w:val="00D75143"/>
    <w:rsid w:val="00D75B3C"/>
    <w:rsid w:val="00D77F30"/>
    <w:rsid w:val="00D813AA"/>
    <w:rsid w:val="00D82945"/>
    <w:rsid w:val="00D83A82"/>
    <w:rsid w:val="00D856F9"/>
    <w:rsid w:val="00D85D24"/>
    <w:rsid w:val="00D86773"/>
    <w:rsid w:val="00D86B4D"/>
    <w:rsid w:val="00D874BA"/>
    <w:rsid w:val="00D9041E"/>
    <w:rsid w:val="00D90BB6"/>
    <w:rsid w:val="00D91A4B"/>
    <w:rsid w:val="00D9275D"/>
    <w:rsid w:val="00D92A66"/>
    <w:rsid w:val="00D948EE"/>
    <w:rsid w:val="00D94F83"/>
    <w:rsid w:val="00D95026"/>
    <w:rsid w:val="00D95249"/>
    <w:rsid w:val="00D959E2"/>
    <w:rsid w:val="00D95E70"/>
    <w:rsid w:val="00D973BD"/>
    <w:rsid w:val="00D97F11"/>
    <w:rsid w:val="00DA19AA"/>
    <w:rsid w:val="00DA1A10"/>
    <w:rsid w:val="00DA2486"/>
    <w:rsid w:val="00DA3C2C"/>
    <w:rsid w:val="00DA4407"/>
    <w:rsid w:val="00DA5B3E"/>
    <w:rsid w:val="00DA631B"/>
    <w:rsid w:val="00DB0024"/>
    <w:rsid w:val="00DB0238"/>
    <w:rsid w:val="00DB1792"/>
    <w:rsid w:val="00DB27A2"/>
    <w:rsid w:val="00DB4BC6"/>
    <w:rsid w:val="00DB5428"/>
    <w:rsid w:val="00DB6E83"/>
    <w:rsid w:val="00DB79CE"/>
    <w:rsid w:val="00DB7ABE"/>
    <w:rsid w:val="00DC13E2"/>
    <w:rsid w:val="00DC1A4B"/>
    <w:rsid w:val="00DC2177"/>
    <w:rsid w:val="00DC35D1"/>
    <w:rsid w:val="00DC48A6"/>
    <w:rsid w:val="00DC4E5B"/>
    <w:rsid w:val="00DC5CA9"/>
    <w:rsid w:val="00DC74B9"/>
    <w:rsid w:val="00DC7558"/>
    <w:rsid w:val="00DD028D"/>
    <w:rsid w:val="00DD0710"/>
    <w:rsid w:val="00DD2BBC"/>
    <w:rsid w:val="00DD45B0"/>
    <w:rsid w:val="00DD4892"/>
    <w:rsid w:val="00DD4A88"/>
    <w:rsid w:val="00DD580E"/>
    <w:rsid w:val="00DD6E37"/>
    <w:rsid w:val="00DE0B9B"/>
    <w:rsid w:val="00DE164F"/>
    <w:rsid w:val="00DE185D"/>
    <w:rsid w:val="00DE25D3"/>
    <w:rsid w:val="00DE6522"/>
    <w:rsid w:val="00DE6CFD"/>
    <w:rsid w:val="00DE78AB"/>
    <w:rsid w:val="00DF0F2F"/>
    <w:rsid w:val="00DF1023"/>
    <w:rsid w:val="00DF155E"/>
    <w:rsid w:val="00DF2029"/>
    <w:rsid w:val="00DF24C8"/>
    <w:rsid w:val="00DF2E5E"/>
    <w:rsid w:val="00DF494C"/>
    <w:rsid w:val="00DF4DE7"/>
    <w:rsid w:val="00DF51CF"/>
    <w:rsid w:val="00DF69DA"/>
    <w:rsid w:val="00E016CE"/>
    <w:rsid w:val="00E02445"/>
    <w:rsid w:val="00E02C40"/>
    <w:rsid w:val="00E02E1A"/>
    <w:rsid w:val="00E033E2"/>
    <w:rsid w:val="00E0392E"/>
    <w:rsid w:val="00E03D8C"/>
    <w:rsid w:val="00E05CFE"/>
    <w:rsid w:val="00E06484"/>
    <w:rsid w:val="00E067B0"/>
    <w:rsid w:val="00E104F6"/>
    <w:rsid w:val="00E108E4"/>
    <w:rsid w:val="00E109DE"/>
    <w:rsid w:val="00E128E7"/>
    <w:rsid w:val="00E16359"/>
    <w:rsid w:val="00E17253"/>
    <w:rsid w:val="00E2016F"/>
    <w:rsid w:val="00E20F8A"/>
    <w:rsid w:val="00E23CDD"/>
    <w:rsid w:val="00E24367"/>
    <w:rsid w:val="00E2533A"/>
    <w:rsid w:val="00E27BC9"/>
    <w:rsid w:val="00E30266"/>
    <w:rsid w:val="00E30A52"/>
    <w:rsid w:val="00E323D3"/>
    <w:rsid w:val="00E32A85"/>
    <w:rsid w:val="00E334D7"/>
    <w:rsid w:val="00E335FD"/>
    <w:rsid w:val="00E33896"/>
    <w:rsid w:val="00E33CC7"/>
    <w:rsid w:val="00E34022"/>
    <w:rsid w:val="00E3530F"/>
    <w:rsid w:val="00E36231"/>
    <w:rsid w:val="00E362DB"/>
    <w:rsid w:val="00E36875"/>
    <w:rsid w:val="00E36BE8"/>
    <w:rsid w:val="00E37B50"/>
    <w:rsid w:val="00E37E80"/>
    <w:rsid w:val="00E40505"/>
    <w:rsid w:val="00E40849"/>
    <w:rsid w:val="00E41930"/>
    <w:rsid w:val="00E41B80"/>
    <w:rsid w:val="00E41EDD"/>
    <w:rsid w:val="00E43D0C"/>
    <w:rsid w:val="00E4566C"/>
    <w:rsid w:val="00E46418"/>
    <w:rsid w:val="00E476B0"/>
    <w:rsid w:val="00E479AC"/>
    <w:rsid w:val="00E5181A"/>
    <w:rsid w:val="00E520EC"/>
    <w:rsid w:val="00E5214D"/>
    <w:rsid w:val="00E52184"/>
    <w:rsid w:val="00E525C9"/>
    <w:rsid w:val="00E53C71"/>
    <w:rsid w:val="00E54287"/>
    <w:rsid w:val="00E5438C"/>
    <w:rsid w:val="00E5567B"/>
    <w:rsid w:val="00E55694"/>
    <w:rsid w:val="00E55C39"/>
    <w:rsid w:val="00E56159"/>
    <w:rsid w:val="00E56D52"/>
    <w:rsid w:val="00E602EC"/>
    <w:rsid w:val="00E602FE"/>
    <w:rsid w:val="00E61693"/>
    <w:rsid w:val="00E6359B"/>
    <w:rsid w:val="00E650A9"/>
    <w:rsid w:val="00E673C0"/>
    <w:rsid w:val="00E67873"/>
    <w:rsid w:val="00E70DA5"/>
    <w:rsid w:val="00E726A9"/>
    <w:rsid w:val="00E736F5"/>
    <w:rsid w:val="00E739DF"/>
    <w:rsid w:val="00E75600"/>
    <w:rsid w:val="00E75844"/>
    <w:rsid w:val="00E80BF2"/>
    <w:rsid w:val="00E8146B"/>
    <w:rsid w:val="00E8168D"/>
    <w:rsid w:val="00E81C01"/>
    <w:rsid w:val="00E82545"/>
    <w:rsid w:val="00E8335E"/>
    <w:rsid w:val="00E84479"/>
    <w:rsid w:val="00E84F03"/>
    <w:rsid w:val="00E851B0"/>
    <w:rsid w:val="00E859A0"/>
    <w:rsid w:val="00E86A88"/>
    <w:rsid w:val="00E8793E"/>
    <w:rsid w:val="00E90530"/>
    <w:rsid w:val="00E90BCA"/>
    <w:rsid w:val="00E90C29"/>
    <w:rsid w:val="00E9276A"/>
    <w:rsid w:val="00E92DF7"/>
    <w:rsid w:val="00E95170"/>
    <w:rsid w:val="00E95948"/>
    <w:rsid w:val="00E9614B"/>
    <w:rsid w:val="00E964F5"/>
    <w:rsid w:val="00E96B94"/>
    <w:rsid w:val="00E97576"/>
    <w:rsid w:val="00E97985"/>
    <w:rsid w:val="00EA04F8"/>
    <w:rsid w:val="00EA2F4D"/>
    <w:rsid w:val="00EA3F43"/>
    <w:rsid w:val="00EA461C"/>
    <w:rsid w:val="00EA5EF8"/>
    <w:rsid w:val="00EA62FC"/>
    <w:rsid w:val="00EA67D7"/>
    <w:rsid w:val="00EA6A95"/>
    <w:rsid w:val="00EA7C60"/>
    <w:rsid w:val="00EB1871"/>
    <w:rsid w:val="00EB19AA"/>
    <w:rsid w:val="00EB3B07"/>
    <w:rsid w:val="00EB4830"/>
    <w:rsid w:val="00EB4B3B"/>
    <w:rsid w:val="00EB53E6"/>
    <w:rsid w:val="00EB6300"/>
    <w:rsid w:val="00EB74C3"/>
    <w:rsid w:val="00EC013B"/>
    <w:rsid w:val="00EC0653"/>
    <w:rsid w:val="00EC076D"/>
    <w:rsid w:val="00EC0B67"/>
    <w:rsid w:val="00EC0FD0"/>
    <w:rsid w:val="00EC1678"/>
    <w:rsid w:val="00EC1C15"/>
    <w:rsid w:val="00EC2009"/>
    <w:rsid w:val="00EC52EE"/>
    <w:rsid w:val="00EC5DC1"/>
    <w:rsid w:val="00EC6298"/>
    <w:rsid w:val="00EC6A0E"/>
    <w:rsid w:val="00EC6D94"/>
    <w:rsid w:val="00ED0B34"/>
    <w:rsid w:val="00ED0EB6"/>
    <w:rsid w:val="00ED1E2C"/>
    <w:rsid w:val="00ED264E"/>
    <w:rsid w:val="00ED2710"/>
    <w:rsid w:val="00ED2D2E"/>
    <w:rsid w:val="00ED2D48"/>
    <w:rsid w:val="00ED329E"/>
    <w:rsid w:val="00ED3AEE"/>
    <w:rsid w:val="00ED57C9"/>
    <w:rsid w:val="00ED6DE5"/>
    <w:rsid w:val="00ED742F"/>
    <w:rsid w:val="00EE0982"/>
    <w:rsid w:val="00EE0F0A"/>
    <w:rsid w:val="00EE38B3"/>
    <w:rsid w:val="00EE3DE5"/>
    <w:rsid w:val="00EE442E"/>
    <w:rsid w:val="00EE5080"/>
    <w:rsid w:val="00EE59F1"/>
    <w:rsid w:val="00EE797D"/>
    <w:rsid w:val="00EE7BCB"/>
    <w:rsid w:val="00EF05D5"/>
    <w:rsid w:val="00EF100D"/>
    <w:rsid w:val="00EF135F"/>
    <w:rsid w:val="00EF3AB0"/>
    <w:rsid w:val="00EF46A8"/>
    <w:rsid w:val="00EF5C56"/>
    <w:rsid w:val="00EF7A65"/>
    <w:rsid w:val="00F01031"/>
    <w:rsid w:val="00F018A1"/>
    <w:rsid w:val="00F0211D"/>
    <w:rsid w:val="00F02EBE"/>
    <w:rsid w:val="00F02FF8"/>
    <w:rsid w:val="00F0360E"/>
    <w:rsid w:val="00F04BCE"/>
    <w:rsid w:val="00F04EFF"/>
    <w:rsid w:val="00F0579B"/>
    <w:rsid w:val="00F05E30"/>
    <w:rsid w:val="00F05FBC"/>
    <w:rsid w:val="00F06664"/>
    <w:rsid w:val="00F06E6F"/>
    <w:rsid w:val="00F07316"/>
    <w:rsid w:val="00F1103A"/>
    <w:rsid w:val="00F1158D"/>
    <w:rsid w:val="00F12446"/>
    <w:rsid w:val="00F128A7"/>
    <w:rsid w:val="00F130B5"/>
    <w:rsid w:val="00F13EDF"/>
    <w:rsid w:val="00F15259"/>
    <w:rsid w:val="00F1554C"/>
    <w:rsid w:val="00F15A2E"/>
    <w:rsid w:val="00F174A8"/>
    <w:rsid w:val="00F177D7"/>
    <w:rsid w:val="00F204D8"/>
    <w:rsid w:val="00F2094F"/>
    <w:rsid w:val="00F20AA2"/>
    <w:rsid w:val="00F215D9"/>
    <w:rsid w:val="00F21E6E"/>
    <w:rsid w:val="00F23541"/>
    <w:rsid w:val="00F23D1B"/>
    <w:rsid w:val="00F2566B"/>
    <w:rsid w:val="00F27409"/>
    <w:rsid w:val="00F27647"/>
    <w:rsid w:val="00F27B6B"/>
    <w:rsid w:val="00F27C79"/>
    <w:rsid w:val="00F30805"/>
    <w:rsid w:val="00F31271"/>
    <w:rsid w:val="00F31619"/>
    <w:rsid w:val="00F317C9"/>
    <w:rsid w:val="00F35142"/>
    <w:rsid w:val="00F35438"/>
    <w:rsid w:val="00F359F0"/>
    <w:rsid w:val="00F35C5C"/>
    <w:rsid w:val="00F35F0C"/>
    <w:rsid w:val="00F37E84"/>
    <w:rsid w:val="00F403FE"/>
    <w:rsid w:val="00F40AB4"/>
    <w:rsid w:val="00F436E6"/>
    <w:rsid w:val="00F440A7"/>
    <w:rsid w:val="00F451E8"/>
    <w:rsid w:val="00F46F62"/>
    <w:rsid w:val="00F4778F"/>
    <w:rsid w:val="00F53B28"/>
    <w:rsid w:val="00F550C5"/>
    <w:rsid w:val="00F555F6"/>
    <w:rsid w:val="00F55A3F"/>
    <w:rsid w:val="00F5645B"/>
    <w:rsid w:val="00F566BB"/>
    <w:rsid w:val="00F5775B"/>
    <w:rsid w:val="00F61089"/>
    <w:rsid w:val="00F6356C"/>
    <w:rsid w:val="00F6479B"/>
    <w:rsid w:val="00F64818"/>
    <w:rsid w:val="00F649F4"/>
    <w:rsid w:val="00F676E5"/>
    <w:rsid w:val="00F740F1"/>
    <w:rsid w:val="00F7530C"/>
    <w:rsid w:val="00F7532E"/>
    <w:rsid w:val="00F75720"/>
    <w:rsid w:val="00F75817"/>
    <w:rsid w:val="00F771AA"/>
    <w:rsid w:val="00F77B9D"/>
    <w:rsid w:val="00F8075B"/>
    <w:rsid w:val="00F8089D"/>
    <w:rsid w:val="00F809C4"/>
    <w:rsid w:val="00F80C52"/>
    <w:rsid w:val="00F80FEF"/>
    <w:rsid w:val="00F81DCD"/>
    <w:rsid w:val="00F820A2"/>
    <w:rsid w:val="00F82B3C"/>
    <w:rsid w:val="00F85396"/>
    <w:rsid w:val="00F85AE0"/>
    <w:rsid w:val="00F926F3"/>
    <w:rsid w:val="00F941E8"/>
    <w:rsid w:val="00F965FD"/>
    <w:rsid w:val="00F966B0"/>
    <w:rsid w:val="00F96F06"/>
    <w:rsid w:val="00F9749A"/>
    <w:rsid w:val="00F97F79"/>
    <w:rsid w:val="00FA1726"/>
    <w:rsid w:val="00FA1AEF"/>
    <w:rsid w:val="00FA31DD"/>
    <w:rsid w:val="00FA4A91"/>
    <w:rsid w:val="00FA688F"/>
    <w:rsid w:val="00FA72FA"/>
    <w:rsid w:val="00FB0528"/>
    <w:rsid w:val="00FB0585"/>
    <w:rsid w:val="00FB06A8"/>
    <w:rsid w:val="00FB0F51"/>
    <w:rsid w:val="00FB1942"/>
    <w:rsid w:val="00FB1C27"/>
    <w:rsid w:val="00FB2214"/>
    <w:rsid w:val="00FB3C56"/>
    <w:rsid w:val="00FB5747"/>
    <w:rsid w:val="00FB59CB"/>
    <w:rsid w:val="00FB6E0D"/>
    <w:rsid w:val="00FC0026"/>
    <w:rsid w:val="00FC0F17"/>
    <w:rsid w:val="00FC16EB"/>
    <w:rsid w:val="00FC2029"/>
    <w:rsid w:val="00FC206F"/>
    <w:rsid w:val="00FC234D"/>
    <w:rsid w:val="00FC265A"/>
    <w:rsid w:val="00FC26FD"/>
    <w:rsid w:val="00FC2D84"/>
    <w:rsid w:val="00FC7AC0"/>
    <w:rsid w:val="00FC7DB6"/>
    <w:rsid w:val="00FD1A9C"/>
    <w:rsid w:val="00FD2FD8"/>
    <w:rsid w:val="00FD4233"/>
    <w:rsid w:val="00FD4E89"/>
    <w:rsid w:val="00FD52D1"/>
    <w:rsid w:val="00FD5794"/>
    <w:rsid w:val="00FD60B4"/>
    <w:rsid w:val="00FD73E9"/>
    <w:rsid w:val="00FE0287"/>
    <w:rsid w:val="00FE42FE"/>
    <w:rsid w:val="00FE4DFA"/>
    <w:rsid w:val="00FE78AF"/>
    <w:rsid w:val="00FF0314"/>
    <w:rsid w:val="00FF27C9"/>
    <w:rsid w:val="00FF2FDD"/>
    <w:rsid w:val="00FF31F6"/>
    <w:rsid w:val="00FF3910"/>
    <w:rsid w:val="00FF3AEF"/>
    <w:rsid w:val="00FF4626"/>
    <w:rsid w:val="00FF5F29"/>
    <w:rsid w:val="00FF7D17"/>
    <w:rsid w:val="48312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99" w:semiHidden="0" w:name="Normal Indent"/>
    <w:lsdException w:unhideWhenUsed="0" w:uiPriority="0" w:semiHidden="0" w:name="footnote text"/>
    <w:lsdException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99" w:name="annotation reference"/>
    <w:lsdException w:uiPriority="99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0" w:name="Document Map"/>
    <w:lsdException w:unhideWhenUsed="0" w:uiPriority="99" w:semiHidden="0" w:name="Plain Text"/>
    <w:lsdException w:uiPriority="99" w:name="E-mail Signature"/>
    <w:lsdException w:uiPriority="99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2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3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74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5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76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52">
    <w:name w:val="Default Paragraph Font"/>
    <w:semiHidden/>
    <w:unhideWhenUsed/>
    <w:uiPriority w:val="1"/>
  </w:style>
  <w:style w:type="table" w:default="1" w:styleId="5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uiPriority w:val="0"/>
  </w:style>
  <w:style w:type="paragraph" w:styleId="12">
    <w:name w:val="toc 6"/>
    <w:basedOn w:val="13"/>
    <w:next w:val="1"/>
    <w:semiHidden/>
    <w:uiPriority w:val="0"/>
  </w:style>
  <w:style w:type="paragraph" w:styleId="13">
    <w:name w:val="toc 5"/>
    <w:basedOn w:val="14"/>
    <w:next w:val="1"/>
    <w:semiHidden/>
    <w:uiPriority w:val="0"/>
  </w:style>
  <w:style w:type="paragraph" w:styleId="14">
    <w:name w:val="toc 4"/>
    <w:basedOn w:val="15"/>
    <w:next w:val="1"/>
    <w:semiHidden/>
    <w:uiPriority w:val="0"/>
  </w:style>
  <w:style w:type="paragraph" w:styleId="15">
    <w:name w:val="toc 3"/>
    <w:basedOn w:val="16"/>
    <w:next w:val="1"/>
    <w:semiHidden/>
    <w:uiPriority w:val="0"/>
  </w:style>
  <w:style w:type="paragraph" w:styleId="16">
    <w:name w:val="toc 2"/>
    <w:basedOn w:val="17"/>
    <w:next w:val="1"/>
    <w:semiHidden/>
    <w:uiPriority w:val="0"/>
  </w:style>
  <w:style w:type="paragraph" w:styleId="17">
    <w:name w:val="toc 1"/>
    <w:basedOn w:val="1"/>
    <w:next w:val="1"/>
    <w:semiHidden/>
    <w:uiPriority w:val="0"/>
    <w:pPr>
      <w:widowControl/>
    </w:pPr>
    <w:rPr>
      <w:rFonts w:ascii="宋体"/>
      <w:kern w:val="0"/>
      <w:szCs w:val="20"/>
    </w:rPr>
  </w:style>
  <w:style w:type="paragraph" w:styleId="18">
    <w:name w:val="index 8"/>
    <w:basedOn w:val="1"/>
    <w:next w:val="1"/>
    <w:uiPriority w:val="0"/>
    <w:pPr>
      <w:ind w:left="1400" w:leftChars="1400"/>
    </w:pPr>
  </w:style>
  <w:style w:type="paragraph" w:styleId="19">
    <w:name w:val="Normal Indent"/>
    <w:basedOn w:val="1"/>
    <w:uiPriority w:val="99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20">
    <w:name w:val="caption"/>
    <w:basedOn w:val="1"/>
    <w:next w:val="1"/>
    <w:qFormat/>
    <w:locked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21">
    <w:name w:val="index 5"/>
    <w:basedOn w:val="1"/>
    <w:next w:val="1"/>
    <w:uiPriority w:val="0"/>
    <w:pPr>
      <w:ind w:left="800" w:leftChars="800"/>
    </w:pPr>
  </w:style>
  <w:style w:type="paragraph" w:styleId="22">
    <w:name w:val="Document Map"/>
    <w:basedOn w:val="1"/>
    <w:link w:val="199"/>
    <w:semiHidden/>
    <w:uiPriority w:val="0"/>
    <w:pPr>
      <w:shd w:val="clear" w:color="auto" w:fill="000080"/>
    </w:pPr>
  </w:style>
  <w:style w:type="paragraph" w:styleId="23">
    <w:name w:val="annotation text"/>
    <w:basedOn w:val="1"/>
    <w:link w:val="146"/>
    <w:semiHidden/>
    <w:uiPriority w:val="99"/>
    <w:pPr>
      <w:jc w:val="left"/>
    </w:pPr>
  </w:style>
  <w:style w:type="paragraph" w:styleId="24">
    <w:name w:val="index 6"/>
    <w:basedOn w:val="1"/>
    <w:next w:val="1"/>
    <w:uiPriority w:val="0"/>
    <w:pPr>
      <w:ind w:left="1000" w:leftChars="1000"/>
    </w:pPr>
  </w:style>
  <w:style w:type="paragraph" w:styleId="25">
    <w:name w:val="Body Text"/>
    <w:basedOn w:val="1"/>
    <w:link w:val="161"/>
    <w:uiPriority w:val="0"/>
    <w:pPr>
      <w:spacing w:after="120"/>
    </w:pPr>
  </w:style>
  <w:style w:type="paragraph" w:styleId="26">
    <w:name w:val="Body Text Indent"/>
    <w:basedOn w:val="1"/>
    <w:link w:val="150"/>
    <w:uiPriority w:val="99"/>
    <w:pPr>
      <w:spacing w:line="240" w:lineRule="atLeast"/>
      <w:ind w:firstLine="480"/>
    </w:pPr>
    <w:rPr>
      <w:sz w:val="24"/>
      <w:szCs w:val="20"/>
    </w:rPr>
  </w:style>
  <w:style w:type="paragraph" w:styleId="27">
    <w:name w:val="HTML Address"/>
    <w:basedOn w:val="1"/>
    <w:link w:val="77"/>
    <w:qFormat/>
    <w:uiPriority w:val="99"/>
    <w:rPr>
      <w:i/>
      <w:iCs/>
    </w:rPr>
  </w:style>
  <w:style w:type="paragraph" w:styleId="28">
    <w:name w:val="index 4"/>
    <w:basedOn w:val="1"/>
    <w:next w:val="1"/>
    <w:uiPriority w:val="0"/>
    <w:pPr>
      <w:ind w:left="600" w:leftChars="600"/>
    </w:pPr>
  </w:style>
  <w:style w:type="paragraph" w:styleId="29">
    <w:name w:val="Plain Text"/>
    <w:basedOn w:val="1"/>
    <w:link w:val="164"/>
    <w:uiPriority w:val="99"/>
    <w:rPr>
      <w:rFonts w:ascii="宋体" w:hAnsi="Courier New" w:cs="Courier New"/>
      <w:szCs w:val="21"/>
    </w:rPr>
  </w:style>
  <w:style w:type="paragraph" w:styleId="30">
    <w:name w:val="toc 8"/>
    <w:basedOn w:val="11"/>
    <w:next w:val="1"/>
    <w:semiHidden/>
    <w:uiPriority w:val="0"/>
  </w:style>
  <w:style w:type="paragraph" w:styleId="31">
    <w:name w:val="index 3"/>
    <w:basedOn w:val="1"/>
    <w:next w:val="1"/>
    <w:uiPriority w:val="0"/>
    <w:pPr>
      <w:ind w:left="400" w:leftChars="400"/>
    </w:pPr>
  </w:style>
  <w:style w:type="paragraph" w:styleId="32">
    <w:name w:val="Date"/>
    <w:basedOn w:val="1"/>
    <w:next w:val="1"/>
    <w:link w:val="149"/>
    <w:uiPriority w:val="0"/>
    <w:pPr>
      <w:ind w:left="100" w:leftChars="2500"/>
    </w:pPr>
  </w:style>
  <w:style w:type="paragraph" w:styleId="33">
    <w:name w:val="Body Text Indent 2"/>
    <w:basedOn w:val="1"/>
    <w:link w:val="156"/>
    <w:uiPriority w:val="99"/>
    <w:pPr>
      <w:spacing w:after="120" w:line="480" w:lineRule="auto"/>
      <w:ind w:left="420" w:leftChars="200"/>
    </w:pPr>
    <w:rPr>
      <w:szCs w:val="20"/>
    </w:rPr>
  </w:style>
  <w:style w:type="paragraph" w:styleId="34">
    <w:name w:val="endnote text"/>
    <w:basedOn w:val="1"/>
    <w:link w:val="198"/>
    <w:semiHidden/>
    <w:uiPriority w:val="0"/>
    <w:pPr>
      <w:snapToGrid w:val="0"/>
      <w:jc w:val="left"/>
    </w:pPr>
  </w:style>
  <w:style w:type="paragraph" w:styleId="35">
    <w:name w:val="Balloon Text"/>
    <w:basedOn w:val="1"/>
    <w:link w:val="148"/>
    <w:qFormat/>
    <w:uiPriority w:val="0"/>
    <w:rPr>
      <w:sz w:val="18"/>
      <w:szCs w:val="18"/>
    </w:rPr>
  </w:style>
  <w:style w:type="paragraph" w:styleId="36">
    <w:name w:val="footer"/>
    <w:basedOn w:val="1"/>
    <w:link w:val="137"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37">
    <w:name w:val="header"/>
    <w:basedOn w:val="1"/>
    <w:link w:val="1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8">
    <w:name w:val="index heading"/>
    <w:basedOn w:val="1"/>
    <w:next w:val="39"/>
    <w:uiPriority w:val="0"/>
    <w:pPr>
      <w:jc w:val="center"/>
    </w:pPr>
    <w:rPr>
      <w:szCs w:val="21"/>
    </w:rPr>
  </w:style>
  <w:style w:type="paragraph" w:styleId="39">
    <w:name w:val="index 1"/>
    <w:basedOn w:val="1"/>
    <w:next w:val="1"/>
    <w:uiPriority w:val="0"/>
    <w:pPr>
      <w:tabs>
        <w:tab w:val="right" w:leader="dot" w:pos="9345"/>
      </w:tabs>
      <w:jc w:val="center"/>
    </w:pPr>
    <w:rPr>
      <w:szCs w:val="21"/>
    </w:rPr>
  </w:style>
  <w:style w:type="paragraph" w:styleId="40">
    <w:name w:val="footnote text"/>
    <w:basedOn w:val="1"/>
    <w:link w:val="117"/>
    <w:uiPriority w:val="0"/>
    <w:pPr>
      <w:snapToGrid w:val="0"/>
      <w:jc w:val="left"/>
    </w:pPr>
    <w:rPr>
      <w:sz w:val="18"/>
      <w:szCs w:val="18"/>
    </w:rPr>
  </w:style>
  <w:style w:type="paragraph" w:styleId="41">
    <w:name w:val="index 7"/>
    <w:basedOn w:val="1"/>
    <w:next w:val="1"/>
    <w:uiPriority w:val="0"/>
    <w:pPr>
      <w:ind w:left="1200" w:leftChars="1200"/>
    </w:pPr>
  </w:style>
  <w:style w:type="paragraph" w:styleId="42">
    <w:name w:val="index 9"/>
    <w:basedOn w:val="1"/>
    <w:next w:val="1"/>
    <w:uiPriority w:val="0"/>
    <w:pPr>
      <w:ind w:left="1600" w:leftChars="1600"/>
    </w:pPr>
  </w:style>
  <w:style w:type="paragraph" w:styleId="43">
    <w:name w:val="toc 9"/>
    <w:basedOn w:val="30"/>
    <w:next w:val="1"/>
    <w:semiHidden/>
    <w:uiPriority w:val="0"/>
  </w:style>
  <w:style w:type="paragraph" w:styleId="44">
    <w:name w:val="Body Text 2"/>
    <w:basedOn w:val="1"/>
    <w:link w:val="153"/>
    <w:uiPriority w:val="99"/>
    <w:pPr>
      <w:widowControl/>
      <w:spacing w:after="120" w:line="480" w:lineRule="auto"/>
      <w:jc w:val="left"/>
    </w:pPr>
    <w:rPr>
      <w:rFonts w:ascii="宋体" w:hAnsi="宋体"/>
      <w:kern w:val="0"/>
      <w:sz w:val="24"/>
    </w:rPr>
  </w:style>
  <w:style w:type="paragraph" w:styleId="45">
    <w:name w:val="HTML Preformatted"/>
    <w:basedOn w:val="1"/>
    <w:link w:val="78"/>
    <w:qFormat/>
    <w:uiPriority w:val="99"/>
    <w:rPr>
      <w:rFonts w:ascii="Courier New" w:hAnsi="Courier New" w:cs="Courier New"/>
      <w:sz w:val="20"/>
      <w:szCs w:val="20"/>
    </w:rPr>
  </w:style>
  <w:style w:type="paragraph" w:styleId="46">
    <w:name w:val="index 2"/>
    <w:basedOn w:val="1"/>
    <w:next w:val="1"/>
    <w:uiPriority w:val="0"/>
    <w:pPr>
      <w:ind w:left="200" w:leftChars="200"/>
    </w:pPr>
  </w:style>
  <w:style w:type="paragraph" w:styleId="47">
    <w:name w:val="Title"/>
    <w:basedOn w:val="1"/>
    <w:link w:val="79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8">
    <w:name w:val="annotation subject"/>
    <w:basedOn w:val="23"/>
    <w:next w:val="23"/>
    <w:link w:val="147"/>
    <w:semiHidden/>
    <w:uiPriority w:val="99"/>
    <w:rPr>
      <w:b/>
      <w:bCs/>
    </w:rPr>
  </w:style>
  <w:style w:type="paragraph" w:styleId="49">
    <w:name w:val="Body Text First Indent"/>
    <w:basedOn w:val="25"/>
    <w:link w:val="162"/>
    <w:uiPriority w:val="0"/>
    <w:pPr>
      <w:ind w:firstLine="420" w:firstLineChars="100"/>
    </w:pPr>
  </w:style>
  <w:style w:type="table" w:styleId="51">
    <w:name w:val="Table Grid"/>
    <w:basedOn w:val="5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3">
    <w:name w:val="Strong"/>
    <w:basedOn w:val="52"/>
    <w:qFormat/>
    <w:uiPriority w:val="99"/>
    <w:rPr>
      <w:rFonts w:cs="Times New Roman"/>
      <w:b/>
    </w:rPr>
  </w:style>
  <w:style w:type="character" w:styleId="54">
    <w:name w:val="endnote reference"/>
    <w:semiHidden/>
    <w:uiPriority w:val="0"/>
    <w:rPr>
      <w:vertAlign w:val="superscript"/>
    </w:rPr>
  </w:style>
  <w:style w:type="character" w:styleId="55">
    <w:name w:val="page number"/>
    <w:basedOn w:val="52"/>
    <w:uiPriority w:val="0"/>
    <w:rPr>
      <w:rFonts w:ascii="Times New Roman" w:hAnsi="Times New Roman" w:eastAsia="宋体" w:cs="Times New Roman"/>
      <w:sz w:val="18"/>
    </w:rPr>
  </w:style>
  <w:style w:type="character" w:styleId="56">
    <w:name w:val="FollowedHyperlink"/>
    <w:basedOn w:val="5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7">
    <w:name w:val="HTML Definition"/>
    <w:basedOn w:val="52"/>
    <w:qFormat/>
    <w:uiPriority w:val="99"/>
    <w:rPr>
      <w:rFonts w:cs="Times New Roman"/>
      <w:i/>
    </w:rPr>
  </w:style>
  <w:style w:type="character" w:styleId="58">
    <w:name w:val="HTML Typewriter"/>
    <w:basedOn w:val="52"/>
    <w:qFormat/>
    <w:uiPriority w:val="99"/>
    <w:rPr>
      <w:rFonts w:ascii="Courier New" w:hAnsi="Courier New" w:cs="Times New Roman"/>
      <w:sz w:val="20"/>
    </w:rPr>
  </w:style>
  <w:style w:type="character" w:styleId="59">
    <w:name w:val="HTML Acronym"/>
    <w:basedOn w:val="52"/>
    <w:qFormat/>
    <w:uiPriority w:val="99"/>
    <w:rPr>
      <w:rFonts w:cs="Times New Roman"/>
    </w:rPr>
  </w:style>
  <w:style w:type="character" w:styleId="60">
    <w:name w:val="HTML Variable"/>
    <w:basedOn w:val="52"/>
    <w:qFormat/>
    <w:uiPriority w:val="99"/>
    <w:rPr>
      <w:rFonts w:cs="Times New Roman"/>
      <w:i/>
    </w:rPr>
  </w:style>
  <w:style w:type="character" w:styleId="61">
    <w:name w:val="Hyperlink"/>
    <w:basedOn w:val="52"/>
    <w:uiPriority w:val="0"/>
    <w:rPr>
      <w:rFonts w:ascii="Times New Roman" w:hAnsi="Times New Roman" w:eastAsia="宋体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62">
    <w:name w:val="HTML Code"/>
    <w:basedOn w:val="52"/>
    <w:qFormat/>
    <w:uiPriority w:val="99"/>
    <w:rPr>
      <w:rFonts w:ascii="Courier New" w:hAnsi="Courier New" w:cs="Times New Roman"/>
      <w:sz w:val="20"/>
    </w:rPr>
  </w:style>
  <w:style w:type="character" w:styleId="63">
    <w:name w:val="annotation reference"/>
    <w:basedOn w:val="52"/>
    <w:semiHidden/>
    <w:uiPriority w:val="99"/>
    <w:rPr>
      <w:rFonts w:cs="Times New Roman"/>
      <w:sz w:val="21"/>
    </w:rPr>
  </w:style>
  <w:style w:type="character" w:styleId="64">
    <w:name w:val="HTML Cite"/>
    <w:basedOn w:val="52"/>
    <w:qFormat/>
    <w:uiPriority w:val="99"/>
    <w:rPr>
      <w:rFonts w:cs="Times New Roman"/>
      <w:i/>
    </w:rPr>
  </w:style>
  <w:style w:type="character" w:styleId="65">
    <w:name w:val="footnote reference"/>
    <w:basedOn w:val="52"/>
    <w:semiHidden/>
    <w:uiPriority w:val="0"/>
    <w:rPr>
      <w:rFonts w:cs="Times New Roman"/>
      <w:vertAlign w:val="superscript"/>
    </w:rPr>
  </w:style>
  <w:style w:type="character" w:styleId="66">
    <w:name w:val="HTML Keyboard"/>
    <w:basedOn w:val="52"/>
    <w:qFormat/>
    <w:uiPriority w:val="99"/>
    <w:rPr>
      <w:rFonts w:ascii="Courier New" w:hAnsi="Courier New" w:cs="Times New Roman"/>
      <w:sz w:val="20"/>
    </w:rPr>
  </w:style>
  <w:style w:type="character" w:styleId="67">
    <w:name w:val="HTML Sample"/>
    <w:basedOn w:val="52"/>
    <w:qFormat/>
    <w:uiPriority w:val="99"/>
    <w:rPr>
      <w:rFonts w:ascii="Courier New" w:hAnsi="Courier New" w:cs="Times New Roman"/>
    </w:rPr>
  </w:style>
  <w:style w:type="character" w:customStyle="1" w:styleId="68">
    <w:name w:val="标题 1 Char"/>
    <w:basedOn w:val="5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69">
    <w:name w:val="标题 2 Char"/>
    <w:basedOn w:val="52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70">
    <w:name w:val="标题 3 Char"/>
    <w:basedOn w:val="52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71">
    <w:name w:val="标题 4 Char"/>
    <w:basedOn w:val="52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72">
    <w:name w:val="标题 5 Char"/>
    <w:basedOn w:val="52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73">
    <w:name w:val="标题 6 Char"/>
    <w:basedOn w:val="52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74">
    <w:name w:val="标题 7 Char"/>
    <w:basedOn w:val="52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75">
    <w:name w:val="标题 8 Char"/>
    <w:basedOn w:val="52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76">
    <w:name w:val="标题 9 Char"/>
    <w:basedOn w:val="52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77">
    <w:name w:val="HTML 地址 Char"/>
    <w:basedOn w:val="52"/>
    <w:link w:val="27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78">
    <w:name w:val="HTML 预设格式 Char"/>
    <w:basedOn w:val="52"/>
    <w:link w:val="4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79">
    <w:name w:val="标题 Char"/>
    <w:basedOn w:val="52"/>
    <w:link w:val="47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8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81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82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3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4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5">
    <w:name w:val="标准书眉_偶数页"/>
    <w:basedOn w:val="84"/>
    <w:next w:val="1"/>
    <w:uiPriority w:val="0"/>
    <w:pPr>
      <w:jc w:val="left"/>
    </w:pPr>
  </w:style>
  <w:style w:type="paragraph" w:customStyle="1" w:styleId="86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8">
    <w:name w:val="参考文献、索引标题"/>
    <w:basedOn w:val="87"/>
    <w:next w:val="1"/>
    <w:uiPriority w:val="0"/>
    <w:pPr>
      <w:numPr>
        <w:numId w:val="0"/>
      </w:numPr>
      <w:spacing w:after="200"/>
    </w:pPr>
    <w:rPr>
      <w:sz w:val="21"/>
    </w:rPr>
  </w:style>
  <w:style w:type="paragraph" w:customStyle="1" w:styleId="89">
    <w:name w:val="段"/>
    <w:link w:val="15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2"/>
      <w:szCs w:val="22"/>
      <w:lang w:val="en-US" w:eastAsia="zh-CN" w:bidi="ar-SA"/>
    </w:rPr>
  </w:style>
  <w:style w:type="paragraph" w:customStyle="1" w:styleId="90">
    <w:name w:val="章标题"/>
    <w:next w:val="89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1">
    <w:name w:val="一级条标题"/>
    <w:basedOn w:val="90"/>
    <w:next w:val="89"/>
    <w:link w:val="160"/>
    <w:uiPriority w:val="0"/>
    <w:pPr>
      <w:numPr>
        <w:ilvl w:val="2"/>
      </w:numPr>
      <w:spacing w:beforeLines="0" w:afterLines="0"/>
      <w:outlineLvl w:val="2"/>
    </w:pPr>
  </w:style>
  <w:style w:type="paragraph" w:customStyle="1" w:styleId="92">
    <w:name w:val="二级条标题"/>
    <w:basedOn w:val="91"/>
    <w:next w:val="89"/>
    <w:link w:val="159"/>
    <w:uiPriority w:val="0"/>
    <w:pPr>
      <w:numPr>
        <w:ilvl w:val="3"/>
      </w:numPr>
      <w:outlineLvl w:val="3"/>
    </w:pPr>
  </w:style>
  <w:style w:type="paragraph" w:customStyle="1" w:styleId="93">
    <w:name w:val="二级无标题条"/>
    <w:basedOn w:val="1"/>
    <w:uiPriority w:val="99"/>
    <w:pPr>
      <w:numPr>
        <w:ilvl w:val="3"/>
        <w:numId w:val="2"/>
      </w:numPr>
    </w:pPr>
  </w:style>
  <w:style w:type="character" w:customStyle="1" w:styleId="94">
    <w:name w:val="发布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95">
    <w:name w:val="发布部门"/>
    <w:next w:val="89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96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7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8">
    <w:name w:val="封面标准号2"/>
    <w:basedOn w:val="97"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99">
    <w:name w:val="封面标准代替信息"/>
    <w:basedOn w:val="98"/>
    <w:uiPriority w:val="0"/>
    <w:pPr>
      <w:spacing w:before="57"/>
    </w:pPr>
    <w:rPr>
      <w:rFonts w:ascii="宋体"/>
      <w:sz w:val="21"/>
    </w:rPr>
  </w:style>
  <w:style w:type="paragraph" w:customStyle="1" w:styleId="100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1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03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4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05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6">
    <w:name w:val="附录标识"/>
    <w:basedOn w:val="87"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107">
    <w:name w:val="附录表标题"/>
    <w:next w:val="89"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8">
    <w:name w:val="附录章标题"/>
    <w:next w:val="89"/>
    <w:link w:val="163"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2"/>
      <w:szCs w:val="22"/>
      <w:lang w:val="en-US" w:eastAsia="zh-CN" w:bidi="ar-SA"/>
    </w:rPr>
  </w:style>
  <w:style w:type="paragraph" w:customStyle="1" w:styleId="109">
    <w:name w:val="附录一级条标题"/>
    <w:basedOn w:val="108"/>
    <w:next w:val="89"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110">
    <w:name w:val="附录二级条标题"/>
    <w:basedOn w:val="109"/>
    <w:next w:val="89"/>
    <w:uiPriority w:val="0"/>
    <w:pPr>
      <w:numPr>
        <w:ilvl w:val="3"/>
      </w:numPr>
      <w:outlineLvl w:val="3"/>
    </w:pPr>
  </w:style>
  <w:style w:type="paragraph" w:customStyle="1" w:styleId="111">
    <w:name w:val="附录三级条标题"/>
    <w:basedOn w:val="110"/>
    <w:next w:val="89"/>
    <w:uiPriority w:val="0"/>
    <w:pPr>
      <w:numPr>
        <w:ilvl w:val="4"/>
      </w:numPr>
      <w:ind w:left="0"/>
      <w:outlineLvl w:val="4"/>
    </w:pPr>
  </w:style>
  <w:style w:type="paragraph" w:customStyle="1" w:styleId="112">
    <w:name w:val="附录四级条标题"/>
    <w:basedOn w:val="111"/>
    <w:next w:val="89"/>
    <w:uiPriority w:val="0"/>
    <w:pPr>
      <w:numPr>
        <w:ilvl w:val="5"/>
      </w:numPr>
      <w:outlineLvl w:val="5"/>
    </w:pPr>
  </w:style>
  <w:style w:type="paragraph" w:customStyle="1" w:styleId="113">
    <w:name w:val="附录图标题"/>
    <w:next w:val="89"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附录五级条标题"/>
    <w:basedOn w:val="112"/>
    <w:next w:val="89"/>
    <w:uiPriority w:val="0"/>
    <w:pPr>
      <w:numPr>
        <w:ilvl w:val="6"/>
      </w:numPr>
      <w:outlineLvl w:val="6"/>
    </w:pPr>
  </w:style>
  <w:style w:type="character" w:customStyle="1" w:styleId="115">
    <w:name w:val="个人答复风格"/>
    <w:qFormat/>
    <w:uiPriority w:val="99"/>
    <w:rPr>
      <w:rFonts w:ascii="Arial" w:hAnsi="Arial" w:eastAsia="宋体"/>
      <w:color w:val="auto"/>
      <w:sz w:val="20"/>
    </w:rPr>
  </w:style>
  <w:style w:type="character" w:customStyle="1" w:styleId="116">
    <w:name w:val="个人撰写风格"/>
    <w:uiPriority w:val="99"/>
    <w:rPr>
      <w:rFonts w:ascii="Arial" w:hAnsi="Arial" w:eastAsia="宋体"/>
      <w:color w:val="auto"/>
      <w:sz w:val="20"/>
    </w:rPr>
  </w:style>
  <w:style w:type="character" w:customStyle="1" w:styleId="117">
    <w:name w:val="脚注文本 Char"/>
    <w:basedOn w:val="52"/>
    <w:link w:val="40"/>
    <w:semiHidden/>
    <w:locked/>
    <w:uiPriority w:val="99"/>
    <w:rPr>
      <w:rFonts w:cs="Times New Roman"/>
      <w:sz w:val="18"/>
      <w:szCs w:val="18"/>
    </w:rPr>
  </w:style>
  <w:style w:type="paragraph" w:customStyle="1" w:styleId="118">
    <w:name w:val="列项——"/>
    <w:uiPriority w:val="99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列项·"/>
    <w:uiPriority w:val="99"/>
    <w:pPr>
      <w:numPr>
        <w:ilvl w:val="0"/>
        <w:numId w:val="5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目次、标准名称标题"/>
    <w:basedOn w:val="87"/>
    <w:next w:val="89"/>
    <w:uiPriority w:val="0"/>
    <w:pPr>
      <w:numPr>
        <w:numId w:val="0"/>
      </w:numPr>
      <w:spacing w:line="460" w:lineRule="exact"/>
    </w:pPr>
  </w:style>
  <w:style w:type="paragraph" w:customStyle="1" w:styleId="121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其他标准称谓"/>
    <w:uiPriority w:val="0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23">
    <w:name w:val="其他发布部门"/>
    <w:basedOn w:val="95"/>
    <w:uiPriority w:val="0"/>
    <w:pPr>
      <w:framePr/>
      <w:spacing w:line="240" w:lineRule="atLeast"/>
    </w:pPr>
    <w:rPr>
      <w:rFonts w:ascii="黑体" w:eastAsia="黑体"/>
      <w:b w:val="0"/>
    </w:rPr>
  </w:style>
  <w:style w:type="paragraph" w:customStyle="1" w:styleId="124">
    <w:name w:val="三级条标题"/>
    <w:basedOn w:val="92"/>
    <w:next w:val="89"/>
    <w:uiPriority w:val="0"/>
    <w:pPr>
      <w:numPr>
        <w:ilvl w:val="4"/>
      </w:numPr>
      <w:ind w:left="0"/>
      <w:outlineLvl w:val="4"/>
    </w:pPr>
  </w:style>
  <w:style w:type="paragraph" w:customStyle="1" w:styleId="125">
    <w:name w:val="三级无标题条"/>
    <w:basedOn w:val="1"/>
    <w:uiPriority w:val="99"/>
    <w:pPr>
      <w:numPr>
        <w:ilvl w:val="4"/>
        <w:numId w:val="2"/>
      </w:numPr>
    </w:pPr>
  </w:style>
  <w:style w:type="paragraph" w:customStyle="1" w:styleId="126">
    <w:name w:val="实施日期"/>
    <w:basedOn w:val="96"/>
    <w:uiPriority w:val="0"/>
    <w:pPr>
      <w:framePr w:hSpace="0" w:xAlign="right"/>
      <w:jc w:val="right"/>
    </w:pPr>
  </w:style>
  <w:style w:type="paragraph" w:customStyle="1" w:styleId="127">
    <w:name w:val="示例"/>
    <w:next w:val="89"/>
    <w:uiPriority w:val="0"/>
    <w:pPr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8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四级条标题"/>
    <w:basedOn w:val="124"/>
    <w:next w:val="89"/>
    <w:uiPriority w:val="0"/>
    <w:pPr>
      <w:numPr>
        <w:ilvl w:val="5"/>
      </w:numPr>
      <w:outlineLvl w:val="5"/>
    </w:pPr>
  </w:style>
  <w:style w:type="paragraph" w:customStyle="1" w:styleId="130">
    <w:name w:val="四级无标题条"/>
    <w:basedOn w:val="1"/>
    <w:uiPriority w:val="99"/>
    <w:pPr>
      <w:numPr>
        <w:ilvl w:val="5"/>
        <w:numId w:val="2"/>
      </w:numPr>
    </w:pPr>
  </w:style>
  <w:style w:type="paragraph" w:customStyle="1" w:styleId="131">
    <w:name w:val="条文脚注"/>
    <w:basedOn w:val="40"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32">
    <w:name w:val="图表脚注"/>
    <w:next w:val="89"/>
    <w:uiPriority w:val="99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4">
    <w:name w:val="无标题条"/>
    <w:next w:val="89"/>
    <w:uiPriority w:val="99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5">
    <w:name w:val="五级条标题"/>
    <w:basedOn w:val="129"/>
    <w:next w:val="89"/>
    <w:uiPriority w:val="0"/>
    <w:pPr>
      <w:numPr>
        <w:ilvl w:val="6"/>
      </w:numPr>
      <w:outlineLvl w:val="6"/>
    </w:pPr>
  </w:style>
  <w:style w:type="paragraph" w:customStyle="1" w:styleId="136">
    <w:name w:val="五级无标题条"/>
    <w:basedOn w:val="1"/>
    <w:uiPriority w:val="99"/>
    <w:pPr>
      <w:numPr>
        <w:ilvl w:val="6"/>
        <w:numId w:val="2"/>
      </w:numPr>
    </w:pPr>
  </w:style>
  <w:style w:type="character" w:customStyle="1" w:styleId="137">
    <w:name w:val="页脚 Char"/>
    <w:basedOn w:val="52"/>
    <w:link w:val="36"/>
    <w:semiHidden/>
    <w:locked/>
    <w:uiPriority w:val="99"/>
    <w:rPr>
      <w:rFonts w:cs="Times New Roman"/>
      <w:sz w:val="18"/>
      <w:szCs w:val="18"/>
    </w:rPr>
  </w:style>
  <w:style w:type="character" w:customStyle="1" w:styleId="138">
    <w:name w:val="页眉 Char"/>
    <w:basedOn w:val="52"/>
    <w:link w:val="37"/>
    <w:semiHidden/>
    <w:locked/>
    <w:uiPriority w:val="99"/>
    <w:rPr>
      <w:rFonts w:cs="Times New Roman"/>
      <w:sz w:val="18"/>
      <w:szCs w:val="18"/>
    </w:rPr>
  </w:style>
  <w:style w:type="paragraph" w:customStyle="1" w:styleId="139">
    <w:name w:val="一级无标题条"/>
    <w:basedOn w:val="1"/>
    <w:uiPriority w:val="99"/>
    <w:pPr>
      <w:numPr>
        <w:ilvl w:val="2"/>
        <w:numId w:val="2"/>
      </w:numPr>
    </w:pPr>
  </w:style>
  <w:style w:type="paragraph" w:customStyle="1" w:styleId="140">
    <w:name w:val="正文表标题"/>
    <w:next w:val="89"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1">
    <w:name w:val="正文图标题"/>
    <w:next w:val="89"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2">
    <w:name w:val="注："/>
    <w:next w:val="89"/>
    <w:link w:val="214"/>
    <w:uiPriority w:val="0"/>
    <w:pPr>
      <w:widowControl w:val="0"/>
      <w:numPr>
        <w:ilvl w:val="0"/>
        <w:numId w:val="9"/>
      </w:numPr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3">
    <w:name w:val="注×："/>
    <w:uiPriority w:val="0"/>
    <w:pPr>
      <w:widowControl w:val="0"/>
      <w:numPr>
        <w:ilvl w:val="0"/>
        <w:numId w:val="10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4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5">
    <w:name w:val="章标题 Char"/>
    <w:uiPriority w:val="99"/>
    <w:rPr>
      <w:rFonts w:ascii="黑体" w:eastAsia="黑体"/>
      <w:sz w:val="21"/>
      <w:lang w:val="en-US" w:eastAsia="zh-CN"/>
    </w:rPr>
  </w:style>
  <w:style w:type="character" w:customStyle="1" w:styleId="146">
    <w:name w:val="批注文字 Char"/>
    <w:basedOn w:val="52"/>
    <w:link w:val="23"/>
    <w:semiHidden/>
    <w:locked/>
    <w:uiPriority w:val="99"/>
    <w:rPr>
      <w:rFonts w:cs="Times New Roman"/>
      <w:sz w:val="24"/>
      <w:szCs w:val="24"/>
    </w:rPr>
  </w:style>
  <w:style w:type="character" w:customStyle="1" w:styleId="147">
    <w:name w:val="批注主题 Char"/>
    <w:basedOn w:val="146"/>
    <w:link w:val="48"/>
    <w:semiHidden/>
    <w:locked/>
    <w:uiPriority w:val="99"/>
    <w:rPr>
      <w:rFonts w:cs="Times New Roman"/>
      <w:b/>
      <w:bCs/>
      <w:sz w:val="24"/>
      <w:szCs w:val="24"/>
    </w:rPr>
  </w:style>
  <w:style w:type="character" w:customStyle="1" w:styleId="148">
    <w:name w:val="批注框文本 Char"/>
    <w:basedOn w:val="52"/>
    <w:link w:val="35"/>
    <w:locked/>
    <w:uiPriority w:val="0"/>
    <w:rPr>
      <w:rFonts w:cs="Times New Roman"/>
      <w:sz w:val="2"/>
    </w:rPr>
  </w:style>
  <w:style w:type="character" w:customStyle="1" w:styleId="149">
    <w:name w:val="日期 Char"/>
    <w:basedOn w:val="52"/>
    <w:link w:val="32"/>
    <w:locked/>
    <w:uiPriority w:val="0"/>
    <w:rPr>
      <w:rFonts w:cs="Times New Roman"/>
      <w:kern w:val="2"/>
      <w:sz w:val="24"/>
    </w:rPr>
  </w:style>
  <w:style w:type="character" w:customStyle="1" w:styleId="150">
    <w:name w:val="正文文本缩进 Char"/>
    <w:basedOn w:val="52"/>
    <w:link w:val="26"/>
    <w:locked/>
    <w:uiPriority w:val="99"/>
    <w:rPr>
      <w:rFonts w:cs="Times New Roman"/>
      <w:kern w:val="2"/>
      <w:sz w:val="24"/>
    </w:rPr>
  </w:style>
  <w:style w:type="paragraph" w:customStyle="1" w:styleId="151">
    <w:name w:val="标准"/>
    <w:basedOn w:val="47"/>
    <w:uiPriority w:val="99"/>
    <w:pPr>
      <w:spacing w:before="0" w:after="0"/>
      <w:jc w:val="both"/>
      <w:outlineLvl w:val="9"/>
    </w:pPr>
    <w:rPr>
      <w:rFonts w:ascii="黑体" w:hAnsi="Times New Roman" w:eastAsia="黑体" w:cs="Times New Roman"/>
      <w:b w:val="0"/>
      <w:bCs w:val="0"/>
      <w:szCs w:val="20"/>
    </w:rPr>
  </w:style>
  <w:style w:type="paragraph" w:customStyle="1" w:styleId="152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3">
    <w:name w:val="正文文本 2 Char"/>
    <w:basedOn w:val="52"/>
    <w:link w:val="44"/>
    <w:locked/>
    <w:uiPriority w:val="99"/>
    <w:rPr>
      <w:rFonts w:ascii="宋体" w:eastAsia="宋体" w:cs="Times New Roman"/>
      <w:sz w:val="24"/>
    </w:rPr>
  </w:style>
  <w:style w:type="paragraph" w:customStyle="1" w:styleId="154">
    <w:name w:val="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5">
    <w:name w:val="段 Char"/>
    <w:link w:val="89"/>
    <w:qFormat/>
    <w:locked/>
    <w:uiPriority w:val="0"/>
    <w:rPr>
      <w:rFonts w:ascii="宋体"/>
      <w:sz w:val="22"/>
      <w:szCs w:val="22"/>
      <w:lang w:val="en-US" w:eastAsia="zh-CN" w:bidi="ar-SA"/>
    </w:rPr>
  </w:style>
  <w:style w:type="character" w:customStyle="1" w:styleId="156">
    <w:name w:val="正文文本缩进 2 Char"/>
    <w:basedOn w:val="52"/>
    <w:link w:val="33"/>
    <w:locked/>
    <w:uiPriority w:val="99"/>
    <w:rPr>
      <w:rFonts w:cs="Times New Roman"/>
      <w:kern w:val="2"/>
      <w:sz w:val="21"/>
    </w:rPr>
  </w:style>
  <w:style w:type="character" w:customStyle="1" w:styleId="157">
    <w:name w:val="edited2"/>
    <w:basedOn w:val="52"/>
    <w:uiPriority w:val="99"/>
    <w:rPr>
      <w:rFonts w:cs="Times New Roman"/>
    </w:rPr>
  </w:style>
  <w:style w:type="paragraph" w:customStyle="1" w:styleId="158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9">
    <w:name w:val="二级条标题 Char"/>
    <w:link w:val="92"/>
    <w:locked/>
    <w:uiPriority w:val="0"/>
    <w:rPr>
      <w:rFonts w:ascii="黑体" w:eastAsia="黑体"/>
      <w:sz w:val="21"/>
    </w:rPr>
  </w:style>
  <w:style w:type="character" w:customStyle="1" w:styleId="160">
    <w:name w:val="一级条标题 Char"/>
    <w:link w:val="91"/>
    <w:locked/>
    <w:uiPriority w:val="0"/>
    <w:rPr>
      <w:rFonts w:ascii="黑体" w:eastAsia="黑体"/>
      <w:sz w:val="21"/>
    </w:rPr>
  </w:style>
  <w:style w:type="character" w:customStyle="1" w:styleId="161">
    <w:name w:val="正文文本 Char"/>
    <w:basedOn w:val="52"/>
    <w:link w:val="25"/>
    <w:locked/>
    <w:uiPriority w:val="0"/>
    <w:rPr>
      <w:rFonts w:cs="Times New Roman"/>
      <w:kern w:val="2"/>
      <w:sz w:val="24"/>
    </w:rPr>
  </w:style>
  <w:style w:type="character" w:customStyle="1" w:styleId="162">
    <w:name w:val="正文首行缩进 Char"/>
    <w:basedOn w:val="161"/>
    <w:link w:val="49"/>
    <w:locked/>
    <w:uiPriority w:val="0"/>
    <w:rPr>
      <w:rFonts w:cs="Times New Roman"/>
      <w:kern w:val="2"/>
      <w:sz w:val="24"/>
      <w:szCs w:val="24"/>
    </w:rPr>
  </w:style>
  <w:style w:type="character" w:customStyle="1" w:styleId="163">
    <w:name w:val="附录章标题 Char"/>
    <w:link w:val="108"/>
    <w:locked/>
    <w:uiPriority w:val="0"/>
    <w:rPr>
      <w:rFonts w:ascii="黑体" w:eastAsia="黑体"/>
      <w:kern w:val="21"/>
      <w:sz w:val="22"/>
      <w:szCs w:val="22"/>
    </w:rPr>
  </w:style>
  <w:style w:type="character" w:customStyle="1" w:styleId="164">
    <w:name w:val="纯文本 Char"/>
    <w:basedOn w:val="52"/>
    <w:link w:val="29"/>
    <w:qFormat/>
    <w:locked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65">
    <w:name w:val="列项——（一级）"/>
    <w:uiPriority w:val="0"/>
    <w:pPr>
      <w:widowControl w:val="0"/>
      <w:numPr>
        <w:ilvl w:val="0"/>
        <w:numId w:val="1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6">
    <w:name w:val="列项●（二级）"/>
    <w:uiPriority w:val="0"/>
    <w:pPr>
      <w:numPr>
        <w:ilvl w:val="1"/>
        <w:numId w:val="1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7">
    <w:name w:val="列项◆（三级）"/>
    <w:basedOn w:val="1"/>
    <w:uiPriority w:val="0"/>
    <w:pPr>
      <w:numPr>
        <w:ilvl w:val="2"/>
        <w:numId w:val="11"/>
      </w:numPr>
    </w:pPr>
    <w:rPr>
      <w:rFonts w:ascii="宋体"/>
      <w:szCs w:val="21"/>
    </w:rPr>
  </w:style>
  <w:style w:type="paragraph" w:customStyle="1" w:styleId="168">
    <w:name w:val="编号列项（三级）"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9">
    <w:name w:val="示例×："/>
    <w:basedOn w:val="90"/>
    <w:qFormat/>
    <w:uiPriority w:val="0"/>
    <w:pPr>
      <w:numPr>
        <w:ilvl w:val="0"/>
        <w:numId w:val="0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70">
    <w:name w:val="二级无"/>
    <w:basedOn w:val="92"/>
    <w:uiPriority w:val="0"/>
    <w:pPr>
      <w:numPr>
        <w:ilvl w:val="2"/>
      </w:numPr>
      <w:ind w:left="0"/>
      <w:jc w:val="left"/>
    </w:pPr>
    <w:rPr>
      <w:rFonts w:ascii="宋体" w:eastAsia="宋体"/>
      <w:szCs w:val="21"/>
    </w:rPr>
  </w:style>
  <w:style w:type="paragraph" w:customStyle="1" w:styleId="171">
    <w:name w:val="注：（正文）"/>
    <w:basedOn w:val="142"/>
    <w:next w:val="89"/>
    <w:uiPriority w:val="0"/>
    <w:pPr>
      <w:numPr>
        <w:numId w:val="0"/>
      </w:numPr>
      <w:ind w:left="-2551" w:hanging="420"/>
    </w:pPr>
    <w:rPr>
      <w:szCs w:val="18"/>
    </w:rPr>
  </w:style>
  <w:style w:type="paragraph" w:customStyle="1" w:styleId="172">
    <w:name w:val="注×：（正文）"/>
    <w:uiPriority w:val="0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73">
    <w:name w:val="参考文献"/>
    <w:basedOn w:val="1"/>
    <w:next w:val="89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74">
    <w:name w:val="附录标题"/>
    <w:basedOn w:val="89"/>
    <w:next w:val="89"/>
    <w:uiPriority w:val="0"/>
    <w:pPr>
      <w:tabs>
        <w:tab w:val="center" w:pos="4201"/>
        <w:tab w:val="right" w:leader="dot" w:pos="9298"/>
      </w:tabs>
      <w:ind w:firstLine="0" w:firstLineChars="0"/>
      <w:jc w:val="center"/>
    </w:pPr>
    <w:rPr>
      <w:rFonts w:ascii="黑体" w:eastAsia="黑体"/>
      <w:sz w:val="21"/>
      <w:szCs w:val="20"/>
    </w:rPr>
  </w:style>
  <w:style w:type="paragraph" w:customStyle="1" w:styleId="175">
    <w:name w:val="附录表标号"/>
    <w:basedOn w:val="1"/>
    <w:next w:val="89"/>
    <w:uiPriority w:val="0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76">
    <w:name w:val="附录二级无"/>
    <w:basedOn w:val="110"/>
    <w:uiPriority w:val="0"/>
    <w:pPr>
      <w:numPr>
        <w:ilvl w:val="0"/>
        <w:numId w:val="0"/>
      </w:numPr>
      <w:tabs>
        <w:tab w:val="left" w:pos="1680"/>
      </w:tabs>
      <w:ind w:left="1680" w:hanging="420"/>
    </w:pPr>
    <w:rPr>
      <w:rFonts w:ascii="宋体" w:eastAsia="宋体"/>
      <w:sz w:val="21"/>
      <w:szCs w:val="21"/>
    </w:rPr>
  </w:style>
  <w:style w:type="paragraph" w:customStyle="1" w:styleId="177">
    <w:name w:val="附录公式"/>
    <w:basedOn w:val="89"/>
    <w:next w:val="89"/>
    <w:link w:val="178"/>
    <w:qFormat/>
    <w:uiPriority w:val="0"/>
    <w:pPr>
      <w:tabs>
        <w:tab w:val="center" w:pos="4201"/>
        <w:tab w:val="right" w:leader="dot" w:pos="9298"/>
      </w:tabs>
      <w:ind w:firstLine="420"/>
    </w:pPr>
    <w:rPr>
      <w:sz w:val="21"/>
    </w:rPr>
  </w:style>
  <w:style w:type="character" w:customStyle="1" w:styleId="178">
    <w:name w:val="附录公式 Char"/>
    <w:basedOn w:val="155"/>
    <w:link w:val="177"/>
    <w:uiPriority w:val="0"/>
    <w:rPr>
      <w:rFonts w:ascii="宋体"/>
      <w:sz w:val="21"/>
      <w:szCs w:val="22"/>
      <w:lang w:val="en-US" w:eastAsia="zh-CN" w:bidi="ar-SA"/>
    </w:rPr>
  </w:style>
  <w:style w:type="paragraph" w:customStyle="1" w:styleId="179">
    <w:name w:val="附录公式编号制表符"/>
    <w:basedOn w:val="1"/>
    <w:next w:val="89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80">
    <w:name w:val="附录三级无"/>
    <w:basedOn w:val="111"/>
    <w:uiPriority w:val="0"/>
    <w:pPr>
      <w:numPr>
        <w:ilvl w:val="0"/>
        <w:numId w:val="0"/>
      </w:numPr>
      <w:tabs>
        <w:tab w:val="left" w:pos="2100"/>
      </w:tabs>
      <w:ind w:left="2100" w:hanging="420"/>
    </w:pPr>
    <w:rPr>
      <w:rFonts w:ascii="宋体" w:eastAsia="宋体"/>
      <w:sz w:val="21"/>
      <w:szCs w:val="21"/>
    </w:rPr>
  </w:style>
  <w:style w:type="paragraph" w:customStyle="1" w:styleId="18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2">
    <w:name w:val="附录四级无"/>
    <w:basedOn w:val="112"/>
    <w:uiPriority w:val="0"/>
    <w:pPr>
      <w:numPr>
        <w:ilvl w:val="0"/>
        <w:numId w:val="0"/>
      </w:numPr>
      <w:tabs>
        <w:tab w:val="left" w:pos="2520"/>
      </w:tabs>
      <w:ind w:left="2520" w:hanging="420"/>
    </w:pPr>
    <w:rPr>
      <w:rFonts w:ascii="宋体" w:eastAsia="宋体"/>
      <w:sz w:val="21"/>
      <w:szCs w:val="21"/>
    </w:rPr>
  </w:style>
  <w:style w:type="paragraph" w:customStyle="1" w:styleId="183">
    <w:name w:val="附录图标号"/>
    <w:basedOn w:val="1"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84">
    <w:name w:val="附录五级无"/>
    <w:basedOn w:val="114"/>
    <w:uiPriority w:val="0"/>
    <w:pPr>
      <w:numPr>
        <w:ilvl w:val="0"/>
        <w:numId w:val="0"/>
      </w:numPr>
      <w:tabs>
        <w:tab w:val="left" w:pos="2940"/>
      </w:tabs>
      <w:ind w:left="2940" w:hanging="420"/>
    </w:pPr>
    <w:rPr>
      <w:rFonts w:ascii="宋体" w:eastAsia="宋体"/>
      <w:sz w:val="21"/>
      <w:szCs w:val="21"/>
    </w:rPr>
  </w:style>
  <w:style w:type="paragraph" w:customStyle="1" w:styleId="185">
    <w:name w:val="附录一级无"/>
    <w:basedOn w:val="109"/>
    <w:uiPriority w:val="0"/>
    <w:pPr>
      <w:numPr>
        <w:ilvl w:val="0"/>
        <w:numId w:val="0"/>
      </w:numPr>
      <w:tabs>
        <w:tab w:val="left" w:pos="1260"/>
      </w:tabs>
      <w:ind w:left="1260" w:hanging="420"/>
    </w:pPr>
    <w:rPr>
      <w:rFonts w:ascii="宋体" w:eastAsia="宋体"/>
      <w:sz w:val="21"/>
      <w:szCs w:val="21"/>
    </w:rPr>
  </w:style>
  <w:style w:type="paragraph" w:customStyle="1" w:styleId="186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7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88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9">
    <w:name w:val="其他标准标志"/>
    <w:basedOn w:val="80"/>
    <w:uiPriority w:val="0"/>
    <w:pPr>
      <w:framePr w:w="6101" w:h="1389" w:hRule="exact" w:hSpace="181" w:vSpace="181" w:vAnchor="page" w:hAnchor="page" w:x="4673" w:y="942"/>
      <w:spacing w:line="0" w:lineRule="atLeast"/>
    </w:pPr>
    <w:rPr>
      <w:szCs w:val="96"/>
    </w:rPr>
  </w:style>
  <w:style w:type="paragraph" w:customStyle="1" w:styleId="190">
    <w:name w:val="三级无"/>
    <w:basedOn w:val="124"/>
    <w:uiPriority w:val="0"/>
    <w:pPr>
      <w:numPr>
        <w:ilvl w:val="3"/>
      </w:numPr>
      <w:ind w:left="0"/>
      <w:jc w:val="left"/>
    </w:pPr>
    <w:rPr>
      <w:rFonts w:ascii="宋体" w:eastAsia="宋体"/>
      <w:szCs w:val="21"/>
    </w:rPr>
  </w:style>
  <w:style w:type="paragraph" w:customStyle="1" w:styleId="191">
    <w:name w:val="示例后文字"/>
    <w:basedOn w:val="89"/>
    <w:next w:val="89"/>
    <w:qFormat/>
    <w:uiPriority w:val="0"/>
    <w:pPr>
      <w:tabs>
        <w:tab w:val="center" w:pos="4201"/>
        <w:tab w:val="right" w:leader="dot" w:pos="9298"/>
      </w:tabs>
      <w:ind w:firstLine="360"/>
    </w:pPr>
    <w:rPr>
      <w:sz w:val="18"/>
      <w:szCs w:val="20"/>
    </w:rPr>
  </w:style>
  <w:style w:type="paragraph" w:customStyle="1" w:styleId="192">
    <w:name w:val="首示例"/>
    <w:next w:val="89"/>
    <w:link w:val="193"/>
    <w:qFormat/>
    <w:uiPriority w:val="0"/>
    <w:pPr>
      <w:tabs>
        <w:tab w:val="left" w:pos="360"/>
        <w:tab w:val="left" w:pos="900"/>
      </w:tabs>
      <w:ind w:left="90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93">
    <w:name w:val="首示例 Char"/>
    <w:link w:val="192"/>
    <w:uiPriority w:val="0"/>
    <w:rPr>
      <w:rFonts w:ascii="宋体" w:hAnsi="宋体"/>
      <w:kern w:val="2"/>
      <w:sz w:val="18"/>
      <w:szCs w:val="18"/>
    </w:rPr>
  </w:style>
  <w:style w:type="paragraph" w:customStyle="1" w:styleId="194">
    <w:name w:val="四级无"/>
    <w:basedOn w:val="129"/>
    <w:uiPriority w:val="0"/>
    <w:pPr>
      <w:numPr>
        <w:ilvl w:val="0"/>
        <w:numId w:val="14"/>
      </w:numPr>
      <w:ind w:firstLine="0"/>
      <w:jc w:val="left"/>
    </w:pPr>
    <w:rPr>
      <w:rFonts w:ascii="宋体" w:eastAsia="宋体"/>
      <w:szCs w:val="21"/>
    </w:rPr>
  </w:style>
  <w:style w:type="paragraph" w:customStyle="1" w:styleId="195">
    <w:name w:val="图标脚注说明"/>
    <w:basedOn w:val="89"/>
    <w:uiPriority w:val="0"/>
    <w:pPr>
      <w:tabs>
        <w:tab w:val="center" w:pos="4201"/>
        <w:tab w:val="right" w:leader="dot" w:pos="9298"/>
      </w:tabs>
      <w:ind w:left="840" w:hanging="420" w:firstLineChars="0"/>
    </w:pPr>
    <w:rPr>
      <w:sz w:val="18"/>
      <w:szCs w:val="18"/>
    </w:rPr>
  </w:style>
  <w:style w:type="paragraph" w:customStyle="1" w:styleId="196">
    <w:name w:val="图表脚注说明"/>
    <w:basedOn w:val="1"/>
    <w:uiPriority w:val="0"/>
    <w:rPr>
      <w:rFonts w:ascii="宋体"/>
      <w:sz w:val="18"/>
      <w:szCs w:val="18"/>
    </w:rPr>
  </w:style>
  <w:style w:type="paragraph" w:customStyle="1" w:styleId="197">
    <w:name w:val="图的脚注"/>
    <w:next w:val="89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98">
    <w:name w:val="尾注文本 Char"/>
    <w:basedOn w:val="52"/>
    <w:link w:val="34"/>
    <w:semiHidden/>
    <w:uiPriority w:val="0"/>
    <w:rPr>
      <w:kern w:val="2"/>
      <w:sz w:val="21"/>
      <w:szCs w:val="24"/>
    </w:rPr>
  </w:style>
  <w:style w:type="character" w:customStyle="1" w:styleId="199">
    <w:name w:val="文档结构图 Char"/>
    <w:basedOn w:val="52"/>
    <w:link w:val="22"/>
    <w:semiHidden/>
    <w:uiPriority w:val="0"/>
    <w:rPr>
      <w:kern w:val="2"/>
      <w:sz w:val="21"/>
      <w:szCs w:val="24"/>
      <w:shd w:val="clear" w:color="auto" w:fill="000080"/>
    </w:rPr>
  </w:style>
  <w:style w:type="paragraph" w:customStyle="1" w:styleId="200">
    <w:name w:val="五级无"/>
    <w:basedOn w:val="135"/>
    <w:uiPriority w:val="0"/>
    <w:pPr>
      <w:numPr>
        <w:ilvl w:val="5"/>
      </w:numPr>
      <w:jc w:val="left"/>
    </w:pPr>
    <w:rPr>
      <w:rFonts w:ascii="宋体" w:eastAsia="宋体"/>
      <w:szCs w:val="21"/>
    </w:rPr>
  </w:style>
  <w:style w:type="paragraph" w:customStyle="1" w:styleId="201">
    <w:name w:val="一级无"/>
    <w:basedOn w:val="91"/>
    <w:uiPriority w:val="0"/>
    <w:pPr>
      <w:numPr>
        <w:ilvl w:val="1"/>
      </w:numPr>
      <w:ind w:left="1985"/>
      <w:jc w:val="left"/>
    </w:pPr>
    <w:rPr>
      <w:rFonts w:ascii="宋体" w:eastAsia="宋体"/>
      <w:szCs w:val="21"/>
    </w:rPr>
  </w:style>
  <w:style w:type="paragraph" w:customStyle="1" w:styleId="202">
    <w:name w:val="_Style 20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3">
    <w:name w:val="正文公式编号制表符"/>
    <w:basedOn w:val="89"/>
    <w:next w:val="89"/>
    <w:qFormat/>
    <w:uiPriority w:val="0"/>
    <w:pPr>
      <w:tabs>
        <w:tab w:val="center" w:pos="4201"/>
        <w:tab w:val="right" w:leader="dot" w:pos="9298"/>
      </w:tabs>
      <w:ind w:firstLine="0" w:firstLineChars="0"/>
    </w:pPr>
    <w:rPr>
      <w:sz w:val="21"/>
      <w:szCs w:val="20"/>
    </w:rPr>
  </w:style>
  <w:style w:type="paragraph" w:customStyle="1" w:styleId="204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205">
    <w:name w:val="其他发布日期"/>
    <w:basedOn w:val="96"/>
    <w:uiPriority w:val="0"/>
    <w:pPr>
      <w:framePr w:w="3997" w:h="471" w:hRule="exact" w:hSpace="0" w:vSpace="181" w:vAnchor="page" w:hAnchor="page" w:x="1419" w:y="14097"/>
    </w:pPr>
  </w:style>
  <w:style w:type="paragraph" w:customStyle="1" w:styleId="206">
    <w:name w:val="其他实施日期"/>
    <w:basedOn w:val="126"/>
    <w:uiPriority w:val="0"/>
    <w:pPr>
      <w:framePr w:w="3997" w:h="471" w:hRule="exact" w:vSpace="181" w:vAnchor="page" w:hAnchor="page" w:x="7089" w:y="14097"/>
    </w:pPr>
  </w:style>
  <w:style w:type="paragraph" w:customStyle="1" w:styleId="207">
    <w:name w:val="封面标准名称2"/>
    <w:basedOn w:val="100"/>
    <w:uiPriority w:val="0"/>
    <w:pPr>
      <w:framePr w:w="9639" w:vAnchor="page" w:hAnchor="page" w:y="4469"/>
      <w:spacing w:beforeLines="630"/>
    </w:pPr>
  </w:style>
  <w:style w:type="paragraph" w:customStyle="1" w:styleId="208">
    <w:name w:val="封面标准英文名称2"/>
    <w:basedOn w:val="103"/>
    <w:uiPriority w:val="0"/>
    <w:pPr>
      <w:framePr w:w="9639" w:h="6917" w:hRule="exact" w:wrap="around" w:vAnchor="page" w:hAnchor="page" w:xAlign="center" w:y="4469" w:anchorLock="1"/>
      <w:textAlignment w:val="center"/>
    </w:pPr>
    <w:rPr>
      <w:rFonts w:eastAsia="黑体"/>
      <w:szCs w:val="28"/>
    </w:rPr>
  </w:style>
  <w:style w:type="paragraph" w:customStyle="1" w:styleId="209">
    <w:name w:val="封面一致性程度标识2"/>
    <w:basedOn w:val="104"/>
    <w:uiPriority w:val="0"/>
    <w:pPr>
      <w:framePr w:w="9639" w:h="6917" w:hRule="exact" w:wrap="around" w:vAnchor="page" w:hAnchor="page" w:xAlign="center" w:y="4469" w:anchorLock="1"/>
      <w:widowControl w:val="0"/>
      <w:textAlignment w:val="center"/>
    </w:pPr>
    <w:rPr>
      <w:szCs w:val="28"/>
    </w:rPr>
  </w:style>
  <w:style w:type="paragraph" w:customStyle="1" w:styleId="210">
    <w:name w:val="封面标准文稿类别2"/>
    <w:basedOn w:val="102"/>
    <w:uiPriority w:val="0"/>
    <w:pPr>
      <w:framePr w:w="9639" w:h="6917" w:hRule="exact" w:wrap="around" w:vAnchor="page" w:hAnchor="page" w:xAlign="center" w:y="4469" w:anchorLock="1"/>
      <w:widowControl w:val="0"/>
      <w:spacing w:after="160" w:line="240" w:lineRule="auto"/>
      <w:textAlignment w:val="center"/>
    </w:pPr>
    <w:rPr>
      <w:szCs w:val="28"/>
    </w:rPr>
  </w:style>
  <w:style w:type="paragraph" w:customStyle="1" w:styleId="211">
    <w:name w:val="封面标准文稿编辑信息2"/>
    <w:basedOn w:val="101"/>
    <w:uiPriority w:val="0"/>
    <w:pPr>
      <w:framePr w:w="9639" w:h="6917" w:hRule="exact" w:wrap="around" w:vAnchor="page" w:hAnchor="page" w:xAlign="center" w:y="4469" w:anchorLock="1"/>
      <w:widowControl w:val="0"/>
      <w:spacing w:after="160"/>
      <w:textAlignment w:val="center"/>
    </w:pPr>
    <w:rPr>
      <w:szCs w:val="28"/>
    </w:rPr>
  </w:style>
  <w:style w:type="paragraph" w:customStyle="1" w:styleId="212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213">
    <w:name w:val="表中文字"/>
    <w:uiPriority w:val="0"/>
    <w:rPr>
      <w:rFonts w:hint="eastAsia" w:ascii="宋体" w:hAnsi="宋体" w:eastAsia="宋体"/>
      <w:sz w:val="18"/>
    </w:rPr>
  </w:style>
  <w:style w:type="character" w:customStyle="1" w:styleId="214">
    <w:name w:val="注： Char"/>
    <w:link w:val="142"/>
    <w:uiPriority w:val="0"/>
    <w:rPr>
      <w:rFonts w:ascii="宋体"/>
      <w:sz w:val="18"/>
    </w:rPr>
  </w:style>
  <w:style w:type="paragraph" w:styleId="215">
    <w:name w:val="List Paragraph"/>
    <w:basedOn w:val="1"/>
    <w:qFormat/>
    <w:uiPriority w:val="34"/>
    <w:pPr>
      <w:ind w:firstLine="420" w:firstLineChars="200"/>
    </w:pPr>
  </w:style>
  <w:style w:type="character" w:styleId="216">
    <w:name w:val="Placeholder Text"/>
    <w:basedOn w:val="5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3.wmf"/><Relationship Id="rId21" Type="http://schemas.openxmlformats.org/officeDocument/2006/relationships/oleObject" Target="embeddings/oleObject2.bin"/><Relationship Id="rId20" Type="http://schemas.openxmlformats.org/officeDocument/2006/relationships/image" Target="media/image2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F4F8B-2E26-4FED-AA57-9FB07E67A7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18</Pages>
  <Words>2156</Words>
  <Characters>12291</Characters>
  <Lines>102</Lines>
  <Paragraphs>28</Paragraphs>
  <TotalTime>1245</TotalTime>
  <ScaleCrop>false</ScaleCrop>
  <LinksUpToDate>false</LinksUpToDate>
  <CharactersWithSpaces>14419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2019-10-10T07:39:00Z</dcterms:created>
  <dc:creator>Alex Huang</dc:creator>
  <cp:lastModifiedBy>CathayMok</cp:lastModifiedBy>
  <cp:lastPrinted>2019-10-24T05:55:00Z</cp:lastPrinted>
  <dcterms:modified xsi:type="dcterms:W3CDTF">2020-07-31T01:52:49Z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