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adjustRightInd w:val="0"/>
        <w:snapToGrid w:val="0"/>
        <w:spacing w:beforeLines="50"/>
        <w:jc w:val="center"/>
      </w:pPr>
      <w:r>
        <w:rPr>
          <w:rFonts w:hint="eastAsia" w:ascii="黑体" w:eastAsia="黑体"/>
          <w:sz w:val="32"/>
          <w:szCs w:val="32"/>
        </w:rPr>
        <w:t>稀土国家标准《镧铈金属及其化合物化学分析方法 第1部分：铈量的测定 硫酸亚铁铵滴定法》（送审稿）编制说明</w:t>
      </w:r>
    </w:p>
    <w:p>
      <w:pPr>
        <w:adjustRightInd w:val="0"/>
        <w:snapToGrid w:val="0"/>
        <w:spacing w:beforeLines="100" w:line="360" w:lineRule="auto"/>
        <w:rPr>
          <w:rFonts w:ascii="Arial" w:hAnsi="Arial" w:cs="Arial" w:eastAsiaTheme="minorEastAsia"/>
          <w:b/>
          <w:szCs w:val="21"/>
        </w:rPr>
      </w:pPr>
      <w:r>
        <w:rPr>
          <w:rFonts w:ascii="Arial" w:hAnsi="Arial" w:cs="Arial" w:eastAsiaTheme="minorEastAsia"/>
          <w:b/>
          <w:szCs w:val="21"/>
        </w:rPr>
        <w:t>一、工作简况</w:t>
      </w:r>
    </w:p>
    <w:p>
      <w:pPr>
        <w:adjustRightInd w:val="0"/>
        <w:snapToGrid w:val="0"/>
        <w:spacing w:line="360" w:lineRule="auto"/>
        <w:rPr>
          <w:rFonts w:ascii="Arial" w:hAnsi="Arial" w:cs="Arial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1.1</w:t>
      </w:r>
      <w:r>
        <w:rPr>
          <w:rFonts w:ascii="Arial" w:hAnsi="Arial" w:cs="Arial" w:eastAsiaTheme="minorEastAsia"/>
          <w:szCs w:val="21"/>
        </w:rPr>
        <w:t>立项目的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随着新能源汽车和混合动力汽车行业的发展，金属镧和金属铈的需求量也大幅增加。而金属铈作为危险品由于易氧化，从生产、包装到运输、使用，各个环节都对产品提出了更高的要求，所以有用金属镧铈代替金属铈的趋势。镧铈化合物产品占全年稀土产量75%左右，主要用于新型抛光粉原料、制备石油裂化催化剂等。另外它们均可用作单一稀土氧化物、混合稀土金属及各种稀土盐的原料，还广泛用于化工，冶金轻纺，农业等领域，在市场上占有较大的份额。镧铈金属及其化合物在生产过程中铈含量的波动范围较大，对铈含量的测定就显得尤为重要，目前的测试方法是采用电感耦合等离子体发射光谱法，这种方法对于测试微量元素，精度很高，测主元素误差较大，不同实验室之间分析结果的差值达到了0.8%，而且分析周期较长，不适合生产的在线质量监控。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本方法采用硫酸亚铁铵滴定法测定样品中铈含量，测试周期大大缩短，测试精度也大幅提高，但目前国内还没有统一标准来规范，不同实验室之间的分析结果缺乏可比性。因此急需制定此项分析方法标准，以指导和规范镧铈产品的生产、贸易活动，促进产业的发展。</w:t>
      </w:r>
    </w:p>
    <w:p>
      <w:pPr>
        <w:adjustRightInd w:val="0"/>
        <w:snapToGrid w:val="0"/>
        <w:spacing w:line="300" w:lineRule="auto"/>
        <w:rPr>
          <w:rFonts w:ascii="Arial" w:hAnsi="Arial" w:cs="Arial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1.2</w:t>
      </w:r>
      <w:r>
        <w:rPr>
          <w:rFonts w:ascii="Arial" w:hAnsi="Arial" w:cs="Arial" w:eastAsiaTheme="minorEastAsia"/>
          <w:szCs w:val="21"/>
        </w:rPr>
        <w:t>任务来源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国标（北京）检验认证有限公司</w:t>
      </w:r>
      <w:r>
        <w:rPr>
          <w:rFonts w:ascii="Arial" w:hAnsi="Arial" w:cs="Arial" w:eastAsiaTheme="minorEastAsia"/>
          <w:szCs w:val="21"/>
        </w:rPr>
        <w:t>于</w:t>
      </w:r>
      <w:r>
        <w:rPr>
          <w:rFonts w:ascii="Times New Roman" w:hAnsi="Times New Roman" w:cs="Times New Roman" w:eastAsiaTheme="minorEastAsia"/>
          <w:szCs w:val="21"/>
        </w:rPr>
        <w:t>2017</w:t>
      </w:r>
      <w:r>
        <w:rPr>
          <w:rFonts w:ascii="Arial" w:hAnsi="Arial" w:cs="Arial" w:eastAsiaTheme="minorEastAsia"/>
          <w:szCs w:val="21"/>
        </w:rPr>
        <w:t>年底，向</w:t>
      </w:r>
      <w:r>
        <w:rPr>
          <w:rFonts w:hint="eastAsia" w:ascii="Arial" w:hAnsi="Arial" w:cs="Arial" w:eastAsiaTheme="minorEastAsia"/>
          <w:szCs w:val="21"/>
        </w:rPr>
        <w:t>全国</w:t>
      </w:r>
      <w:r>
        <w:rPr>
          <w:rFonts w:ascii="Arial" w:hAnsi="Arial" w:cs="Arial" w:eastAsiaTheme="minorEastAsia"/>
          <w:szCs w:val="21"/>
        </w:rPr>
        <w:t>稀</w:t>
      </w:r>
      <w:r>
        <w:rPr>
          <w:rFonts w:hint="eastAsia" w:ascii="Arial" w:hAnsi="Arial" w:cs="Arial" w:eastAsiaTheme="minorEastAsia"/>
          <w:szCs w:val="21"/>
        </w:rPr>
        <w:t>土标准化技术委员会</w:t>
      </w:r>
      <w:r>
        <w:rPr>
          <w:rFonts w:ascii="Arial" w:hAnsi="Arial" w:cs="Arial" w:eastAsiaTheme="minorEastAsia"/>
          <w:szCs w:val="21"/>
        </w:rPr>
        <w:t>提出了《</w:t>
      </w:r>
      <w:r>
        <w:rPr>
          <w:rFonts w:hint="eastAsia" w:ascii="Arial" w:hAnsi="Arial" w:cs="Arial" w:eastAsiaTheme="minorEastAsia"/>
          <w:szCs w:val="21"/>
        </w:rPr>
        <w:t>镧铈金属及其化合物化学分析方法第1部分：铈量的测定硫酸亚铁铵滴定法</w:t>
      </w:r>
      <w:r>
        <w:rPr>
          <w:rFonts w:ascii="Arial" w:hAnsi="Arial" w:cs="Arial" w:eastAsiaTheme="minorEastAsia"/>
          <w:szCs w:val="21"/>
        </w:rPr>
        <w:t>》</w:t>
      </w:r>
      <w:r>
        <w:rPr>
          <w:rFonts w:hint="eastAsia" w:ascii="Arial" w:hAnsi="Arial" w:cs="Arial" w:eastAsiaTheme="minorEastAsia"/>
          <w:szCs w:val="21"/>
        </w:rPr>
        <w:t>立项建议</w:t>
      </w:r>
      <w:r>
        <w:rPr>
          <w:rFonts w:ascii="Arial" w:hAnsi="Arial" w:cs="Arial" w:eastAsiaTheme="minorEastAsia"/>
          <w:szCs w:val="21"/>
        </w:rPr>
        <w:t>。全国稀土标准化技术委员会于</w:t>
      </w:r>
      <w:r>
        <w:rPr>
          <w:rFonts w:ascii="Times New Roman" w:hAnsi="Times New Roman" w:cs="Times New Roman" w:eastAsiaTheme="minorEastAsia"/>
          <w:szCs w:val="21"/>
        </w:rPr>
        <w:t>2018</w:t>
      </w:r>
      <w:r>
        <w:rPr>
          <w:rFonts w:ascii="Arial" w:hAnsi="Arial" w:cs="Arial" w:eastAsiaTheme="minorEastAsia"/>
          <w:szCs w:val="21"/>
        </w:rPr>
        <w:t>年</w:t>
      </w:r>
      <w:r>
        <w:rPr>
          <w:rFonts w:ascii="Times New Roman" w:hAnsi="Times New Roman" w:cs="Times New Roman" w:eastAsiaTheme="minorEastAsia"/>
          <w:szCs w:val="21"/>
        </w:rPr>
        <w:t>12</w:t>
      </w:r>
      <w:r>
        <w:rPr>
          <w:rFonts w:ascii="Arial" w:hAnsi="Arial" w:cs="Arial" w:eastAsiaTheme="minorEastAsia"/>
          <w:szCs w:val="21"/>
        </w:rPr>
        <w:t>月</w:t>
      </w:r>
      <w:r>
        <w:rPr>
          <w:rFonts w:ascii="Times New Roman" w:hAnsi="Times New Roman" w:cs="Times New Roman" w:eastAsiaTheme="minorEastAsia"/>
          <w:szCs w:val="21"/>
        </w:rPr>
        <w:t>4</w:t>
      </w:r>
      <w:r>
        <w:rPr>
          <w:rFonts w:ascii="Arial" w:hAnsi="Arial" w:cs="Arial" w:eastAsiaTheme="minorEastAsia"/>
          <w:szCs w:val="21"/>
        </w:rPr>
        <w:t>日在</w:t>
      </w:r>
      <w:r>
        <w:rPr>
          <w:rFonts w:hint="eastAsia" w:ascii="Arial" w:hAnsi="Arial" w:cs="Arial" w:eastAsiaTheme="minorEastAsia"/>
          <w:szCs w:val="21"/>
        </w:rPr>
        <w:t>福建福州</w:t>
      </w:r>
      <w:r>
        <w:rPr>
          <w:rFonts w:ascii="Arial" w:hAnsi="Arial" w:cs="Arial" w:eastAsiaTheme="minorEastAsia"/>
          <w:szCs w:val="21"/>
        </w:rPr>
        <w:t>召开了</w:t>
      </w:r>
      <w:r>
        <w:rPr>
          <w:rFonts w:ascii="Times New Roman" w:hAnsi="Times New Roman" w:cs="Times New Roman" w:eastAsiaTheme="minorEastAsia"/>
          <w:szCs w:val="21"/>
        </w:rPr>
        <w:t>2018</w:t>
      </w:r>
      <w:r>
        <w:rPr>
          <w:rFonts w:hint="eastAsia" w:ascii="Arial" w:hAnsi="Arial" w:cs="Arial" w:eastAsiaTheme="minorEastAsia"/>
          <w:szCs w:val="21"/>
        </w:rPr>
        <w:t>年第六次稀土标准工作会</w:t>
      </w:r>
      <w:r>
        <w:rPr>
          <w:rFonts w:ascii="Arial" w:hAnsi="Arial" w:cs="Arial" w:eastAsiaTheme="minorEastAsia"/>
          <w:szCs w:val="21"/>
        </w:rPr>
        <w:t>，</w:t>
      </w:r>
      <w:r>
        <w:rPr>
          <w:rFonts w:hint="eastAsia" w:ascii="Arial" w:hAnsi="Arial" w:cs="Arial" w:eastAsiaTheme="minorEastAsia"/>
          <w:szCs w:val="21"/>
        </w:rPr>
        <w:t>对</w:t>
      </w:r>
      <w:r>
        <w:rPr>
          <w:rFonts w:ascii="Arial" w:hAnsi="Arial" w:cs="Arial" w:eastAsiaTheme="minorEastAsia"/>
          <w:szCs w:val="21"/>
        </w:rPr>
        <w:t>《</w:t>
      </w:r>
      <w:r>
        <w:rPr>
          <w:rFonts w:hint="eastAsia" w:ascii="Arial" w:hAnsi="Arial" w:cs="Arial" w:eastAsiaTheme="minorEastAsia"/>
          <w:szCs w:val="21"/>
        </w:rPr>
        <w:t>镧铈金属及其化合物化学分析方法第</w:t>
      </w:r>
      <w:r>
        <w:rPr>
          <w:rFonts w:ascii="Times New Roman" w:hAnsi="Times New Roman" w:cs="Times New Roman" w:eastAsiaTheme="minorEastAsia"/>
          <w:szCs w:val="21"/>
        </w:rPr>
        <w:t>1</w:t>
      </w:r>
      <w:r>
        <w:rPr>
          <w:rFonts w:hint="eastAsia" w:ascii="Arial" w:hAnsi="Arial" w:cs="Arial" w:eastAsiaTheme="minorEastAsia"/>
          <w:szCs w:val="21"/>
        </w:rPr>
        <w:t>部分：铈量的测定硫酸亚铁铵滴定法</w:t>
      </w:r>
      <w:r>
        <w:rPr>
          <w:rFonts w:ascii="Arial" w:hAnsi="Arial" w:cs="Arial" w:eastAsiaTheme="minorEastAsia"/>
          <w:szCs w:val="21"/>
        </w:rPr>
        <w:t>》</w:t>
      </w:r>
      <w:r>
        <w:rPr>
          <w:rFonts w:hint="eastAsia" w:ascii="Arial" w:hAnsi="Arial" w:cs="Arial" w:eastAsiaTheme="minorEastAsia"/>
          <w:szCs w:val="21"/>
        </w:rPr>
        <w:t>进行了任务落实，项目编号为：</w:t>
      </w:r>
      <w:r>
        <w:rPr>
          <w:rFonts w:ascii="Times New Roman" w:hAnsi="Times New Roman" w:cs="Times New Roman" w:eastAsiaTheme="minorEastAsia"/>
          <w:szCs w:val="21"/>
        </w:rPr>
        <w:t>20182088-T-469</w:t>
      </w:r>
      <w:r>
        <w:rPr>
          <w:rFonts w:hint="eastAsia" w:ascii="Arial" w:hAnsi="Arial" w:cs="Arial" w:eastAsiaTheme="minorEastAsia"/>
          <w:szCs w:val="21"/>
        </w:rPr>
        <w:t>，计划完成周期为</w:t>
      </w:r>
      <w:r>
        <w:rPr>
          <w:rFonts w:ascii="Times New Roman" w:hAnsi="Times New Roman" w:cs="Times New Roman" w:eastAsiaTheme="minorEastAsia"/>
          <w:szCs w:val="21"/>
        </w:rPr>
        <w:t>12</w:t>
      </w:r>
      <w:r>
        <w:rPr>
          <w:rFonts w:hint="eastAsia" w:ascii="Arial" w:hAnsi="Arial" w:cs="Arial" w:eastAsiaTheme="minorEastAsia"/>
          <w:szCs w:val="21"/>
        </w:rPr>
        <w:t>个月，并确定由国标（北京）检验认证有限公司负责该项国家标准起草工作。根据全国稀土标准化技术委员会稀土标委</w:t>
      </w:r>
      <w:r>
        <w:rPr>
          <w:rFonts w:ascii="Times New Roman" w:hAnsi="Times New Roman" w:cs="Times New Roman" w:eastAsiaTheme="minorEastAsia"/>
          <w:szCs w:val="21"/>
        </w:rPr>
        <w:t>[2018]44</w:t>
      </w:r>
      <w:r>
        <w:rPr>
          <w:rFonts w:hint="eastAsia" w:ascii="Arial" w:hAnsi="Arial" w:cs="Arial" w:eastAsiaTheme="minorEastAsia"/>
          <w:szCs w:val="21"/>
        </w:rPr>
        <w:t>号文件的要求，该标准项目试验及验证单位情况见表1。</w:t>
      </w:r>
    </w:p>
    <w:p>
      <w:pPr>
        <w:adjustRightInd w:val="0"/>
        <w:snapToGrid w:val="0"/>
        <w:spacing w:line="360" w:lineRule="auto"/>
        <w:ind w:firstLine="360" w:firstLineChars="200"/>
        <w:jc w:val="center"/>
        <w:rPr>
          <w:sz w:val="18"/>
          <w:szCs w:val="18"/>
        </w:rPr>
      </w:pPr>
      <w:bookmarkStart w:id="0" w:name="_Ref496714443"/>
      <w:r>
        <w:rPr>
          <w:rFonts w:ascii="Arial" w:hAnsi="Arial" w:cs="Arial" w:eastAsiaTheme="minorEastAsia"/>
          <w:sz w:val="18"/>
          <w:szCs w:val="18"/>
        </w:rPr>
        <w:t>表</w:t>
      </w:r>
      <w:r>
        <w:rPr>
          <w:rFonts w:ascii="Arial" w:hAnsi="Arial" w:cs="Arial" w:eastAsiaTheme="minorEastAsia"/>
          <w:sz w:val="18"/>
          <w:szCs w:val="18"/>
        </w:rPr>
        <w:fldChar w:fldCharType="begin"/>
      </w:r>
      <w:r>
        <w:rPr>
          <w:rFonts w:ascii="Arial" w:hAnsi="Arial" w:cs="Arial" w:eastAsiaTheme="minorEastAsia"/>
          <w:sz w:val="18"/>
          <w:szCs w:val="18"/>
        </w:rPr>
        <w:instrText xml:space="preserve">SEQ 表 \* ARABIC</w:instrText>
      </w:r>
      <w:r>
        <w:rPr>
          <w:rFonts w:ascii="Arial" w:hAnsi="Arial" w:cs="Arial" w:eastAsiaTheme="minorEastAsia"/>
          <w:sz w:val="18"/>
          <w:szCs w:val="18"/>
        </w:rPr>
        <w:fldChar w:fldCharType="separate"/>
      </w:r>
      <w:r>
        <w:rPr>
          <w:rFonts w:ascii="Arial" w:hAnsi="Arial" w:cs="Arial" w:eastAsiaTheme="minorEastAsia"/>
          <w:sz w:val="18"/>
          <w:szCs w:val="18"/>
        </w:rPr>
        <w:t>1</w:t>
      </w:r>
      <w:r>
        <w:rPr>
          <w:rFonts w:ascii="Arial" w:hAnsi="Arial" w:cs="Arial" w:eastAsiaTheme="minorEastAsia"/>
          <w:sz w:val="18"/>
          <w:szCs w:val="18"/>
        </w:rPr>
        <w:fldChar w:fldCharType="end"/>
      </w:r>
      <w:bookmarkEnd w:id="0"/>
      <w:r>
        <w:rPr>
          <w:sz w:val="18"/>
          <w:szCs w:val="18"/>
        </w:rPr>
        <w:t>国家标准《</w:t>
      </w:r>
      <w:r>
        <w:rPr>
          <w:rFonts w:hint="eastAsia"/>
          <w:sz w:val="18"/>
          <w:szCs w:val="18"/>
        </w:rPr>
        <w:t>镧铈金属及其化合物化学分析方法第1部分：铈量的测定硫酸亚铁铵滴定法</w:t>
      </w:r>
      <w:r>
        <w:rPr>
          <w:sz w:val="18"/>
          <w:szCs w:val="18"/>
        </w:rPr>
        <w:t>》</w:t>
      </w:r>
    </w:p>
    <w:p>
      <w:pPr>
        <w:adjustRightInd w:val="0"/>
        <w:snapToGrid w:val="0"/>
        <w:spacing w:line="360" w:lineRule="auto"/>
        <w:ind w:firstLine="360" w:firstLineChars="200"/>
        <w:jc w:val="center"/>
        <w:rPr>
          <w:sz w:val="18"/>
          <w:szCs w:val="18"/>
        </w:rPr>
      </w:pPr>
      <w:r>
        <w:rPr>
          <w:sz w:val="18"/>
          <w:szCs w:val="18"/>
        </w:rPr>
        <w:t>任务落实情况</w:t>
      </w:r>
    </w:p>
    <w:tbl>
      <w:tblPr>
        <w:tblStyle w:val="20"/>
        <w:tblW w:w="8522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404"/>
        <w:gridCol w:w="1178"/>
        <w:gridCol w:w="1723"/>
        <w:gridCol w:w="26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9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计划号</w:t>
            </w:r>
          </w:p>
        </w:tc>
        <w:tc>
          <w:tcPr>
            <w:tcW w:w="140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项目名称</w:t>
            </w:r>
          </w:p>
        </w:tc>
        <w:tc>
          <w:tcPr>
            <w:tcW w:w="117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起草单位</w:t>
            </w:r>
          </w:p>
        </w:tc>
        <w:tc>
          <w:tcPr>
            <w:tcW w:w="172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第一验证单位</w:t>
            </w:r>
          </w:p>
        </w:tc>
        <w:tc>
          <w:tcPr>
            <w:tcW w:w="267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第二验证单位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20182088-T-469</w:t>
            </w:r>
          </w:p>
        </w:tc>
        <w:tc>
          <w:tcPr>
            <w:tcW w:w="14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镧铈金属及其化合物化学分析方法第1部分：铈量的测定硫酸亚铁铵滴定法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国标（北京）检验认证有限公司</w:t>
            </w:r>
          </w:p>
        </w:tc>
        <w:tc>
          <w:tcPr>
            <w:tcW w:w="1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ascii="Arial" w:hAnsi="Arial" w:cs="Arial" w:eastAsiaTheme="minorEastAsia"/>
                <w:sz w:val="18"/>
                <w:szCs w:val="18"/>
              </w:rPr>
              <w:t>虔东稀土集团股份有限公司、</w:t>
            </w: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湖南稀土金属材料研究院</w:t>
            </w:r>
          </w:p>
        </w:tc>
        <w:tc>
          <w:tcPr>
            <w:tcW w:w="2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hint="eastAsia" w:ascii="Arial" w:hAnsi="Arial" w:cs="Arial" w:eastAsiaTheme="minorEastAsia"/>
                <w:sz w:val="18"/>
                <w:szCs w:val="18"/>
              </w:rPr>
              <w:t>赣州有色冶金研究所、中国北方稀土（集团）高科技股份有限公司、乐山有研稀土新材料有限公司、四川省乐山锐丰冶金有限公司、国家钨与稀土产品质量监督检验中心</w:t>
            </w:r>
          </w:p>
        </w:tc>
      </w:tr>
    </w:tbl>
    <w:p>
      <w:pPr>
        <w:adjustRightInd w:val="0"/>
        <w:snapToGrid w:val="0"/>
        <w:spacing w:line="360" w:lineRule="auto"/>
        <w:rPr>
          <w:rFonts w:ascii="Arial" w:hAnsi="Arial" w:cs="Arial" w:eastAsiaTheme="minorEastAsia"/>
          <w:szCs w:val="21"/>
        </w:rPr>
      </w:pPr>
    </w:p>
    <w:p>
      <w:pPr>
        <w:adjustRightInd w:val="0"/>
        <w:snapToGrid w:val="0"/>
        <w:spacing w:line="300" w:lineRule="auto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 xml:space="preserve">1.3 </w:t>
      </w:r>
      <w:r>
        <w:rPr>
          <w:rFonts w:ascii="Times New Roman" w:hAnsi="Arial" w:cs="Times New Roman" w:eastAsiaTheme="minorEastAsia"/>
          <w:szCs w:val="21"/>
        </w:rPr>
        <w:t>标准项目编制工作组单位简况</w:t>
      </w:r>
    </w:p>
    <w:p>
      <w:pPr>
        <w:pStyle w:val="22"/>
        <w:adjustRightInd w:val="0"/>
        <w:snapToGrid w:val="0"/>
        <w:spacing w:line="300" w:lineRule="auto"/>
        <w:ind w:firstLine="420"/>
        <w:jc w:val="left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/>
        </w:rPr>
        <w:t>国标（北京）检验认证有限公司是国家有色金属及电子材料分析测试中心、国家有色金属质量监督检验中心的挂靠单位。公司除了装备有大量国际先进水平、国内领先水平的分析检测设备，还拥有大量自主知识产权的技术，主要有：材料中微量、痕量杂质元素的原子发射光谱、ICP质谱及辉光放电质谱分析技术；金属及无机材料溶解、分离、富集样品处理技术；标准物质、标准溶液研制生产校准仪器技术。应用国际先进分析检测仪器设备研究开发新技术新方法，并获得专利30余项。起草了200余个国家标准、行业标准，研制标准样品/物质100余种。国标（北京）检验认证有限公司是北京有色金属研究总院（我国有色金属行业规模最大的综合性研究开发机构）下属的二级单位。自总院进行稀土分离提纯起，即开始从事稀土矿物和各种稀土产品的检测工作。作为主要的稀土分析研究的单位，国标公司成为了中国稀土学会理化检验专业委员会的挂靠单位，在推动我国稀土分析科研方面做出了贡献。</w:t>
      </w:r>
    </w:p>
    <w:p>
      <w:pPr>
        <w:adjustRightInd w:val="0"/>
        <w:snapToGrid w:val="0"/>
        <w:spacing w:line="300" w:lineRule="auto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1.4</w:t>
      </w:r>
      <w:r>
        <w:rPr>
          <w:rFonts w:ascii="Times New Roman" w:hAnsi="Arial" w:cs="Times New Roman" w:eastAsiaTheme="minorEastAsia"/>
          <w:szCs w:val="21"/>
        </w:rPr>
        <w:t>主要工作过程</w:t>
      </w:r>
    </w:p>
    <w:p>
      <w:pPr>
        <w:adjustRightInd w:val="0"/>
        <w:snapToGrid w:val="0"/>
        <w:spacing w:line="300" w:lineRule="auto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1.4.1</w:t>
      </w:r>
      <w:r>
        <w:rPr>
          <w:rFonts w:ascii="Times New Roman" w:hAnsi="Arial" w:cs="Times New Roman" w:eastAsiaTheme="minorEastAsia"/>
          <w:szCs w:val="21"/>
        </w:rPr>
        <w:t>国内外标准的收集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Arial" w:cs="Times New Roman" w:eastAsiaTheme="minorEastAsia"/>
          <w:szCs w:val="21"/>
        </w:rPr>
        <w:t>本标准为首次起草，未查到其它与本标准完全一致的国内或国外标准。</w:t>
      </w:r>
    </w:p>
    <w:p>
      <w:pPr>
        <w:adjustRightInd w:val="0"/>
        <w:snapToGrid w:val="0"/>
        <w:spacing w:line="300" w:lineRule="auto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1.4.2</w:t>
      </w:r>
      <w:r>
        <w:rPr>
          <w:rFonts w:ascii="Times New Roman" w:hAnsi="Arial" w:cs="Times New Roman" w:eastAsiaTheme="minorEastAsia"/>
          <w:szCs w:val="21"/>
        </w:rPr>
        <w:t>主要工作过程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——2018年12月，全国稀土标准化技术委员会召开任务落实会，确定由国标（北京）检验认证有限公司起草本标准，虔东稀土集团股份有限公司、赣州有色冶金研究所、中国北方稀土（集团）高科技股份有限公司等共9家单位参与起草验证。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——2019年4月至2019年8月研制统一样品，准备相关材料，负责起草单位分组分人员根据试验方案进行不同的方法试验，完成试验报告和标准征求意见稿的编写工作。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——2019年9月初，将试验样品和试验报告寄发给有关验证单位，进行方法的验证和征求意见稿的意见征求工作。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——2019年10月下旬各相关验证单位完成一验和二验，返回验证报告和意见。完成精密度试验和数据统计工作。根据征求意见，修改征求意见稿并形成预审稿。</w:t>
      </w:r>
    </w:p>
    <w:p>
      <w:pPr>
        <w:spacing w:line="30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——2019年11月参加</w:t>
      </w:r>
      <w:r>
        <w:rPr>
          <w:rFonts w:ascii="Times New Roman" w:hAnsi="Times New Roman" w:cs="Times New Roman"/>
          <w:szCs w:val="21"/>
        </w:rPr>
        <w:t>稀土标委会负责将预审稿及编制说明挂网证求更广泛的意见，召开标准预审会。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——2020年2月至4月根据预审会意见，进行补充</w:t>
      </w:r>
      <w:r>
        <w:rPr>
          <w:rFonts w:hint="eastAsia" w:ascii="Times New Roman" w:hAnsi="Times New Roman" w:cs="Times New Roman" w:eastAsiaTheme="minorEastAsia"/>
          <w:szCs w:val="21"/>
        </w:rPr>
        <w:t>试</w:t>
      </w:r>
      <w:r>
        <w:rPr>
          <w:rFonts w:ascii="Times New Roman" w:hAnsi="Times New Roman" w:cs="Times New Roman" w:eastAsiaTheme="minorEastAsia"/>
          <w:szCs w:val="21"/>
        </w:rPr>
        <w:t>验。</w:t>
      </w:r>
    </w:p>
    <w:p>
      <w:pPr>
        <w:spacing w:line="30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——2020年</w:t>
      </w:r>
      <w:r>
        <w:rPr>
          <w:rFonts w:hint="eastAsia" w:ascii="Times New Roman" w:hAnsi="Times New Roman" w:cs="Times New Roman" w:eastAsiaTheme="minorEastAsia"/>
          <w:szCs w:val="21"/>
          <w:lang w:val="en-US" w:eastAsia="zh-CN"/>
        </w:rPr>
        <w:t>7</w:t>
      </w:r>
      <w:r>
        <w:rPr>
          <w:rFonts w:ascii="Times New Roman" w:hAnsi="Times New Roman" w:cs="Times New Roman" w:eastAsiaTheme="minorEastAsia"/>
          <w:szCs w:val="21"/>
        </w:rPr>
        <w:t>月</w:t>
      </w:r>
      <w:r>
        <w:rPr>
          <w:rFonts w:hint="eastAsia" w:ascii="Times New Roman" w:hAnsi="Times New Roman" w:cs="Times New Roman" w:eastAsiaTheme="minorEastAsia"/>
          <w:szCs w:val="21"/>
          <w:lang w:val="en-US" w:eastAsia="zh-CN"/>
        </w:rPr>
        <w:t>7</w:t>
      </w:r>
      <w:r>
        <w:rPr>
          <w:rFonts w:ascii="Times New Roman" w:hAnsi="Times New Roman" w:cs="Times New Roman" w:eastAsiaTheme="minorEastAsia"/>
          <w:szCs w:val="21"/>
        </w:rPr>
        <w:t>日前，</w:t>
      </w:r>
      <w:r>
        <w:rPr>
          <w:rFonts w:ascii="Times New Roman" w:hAnsi="Times New Roman" w:cs="Times New Roman"/>
          <w:szCs w:val="21"/>
        </w:rPr>
        <w:t>主起草单位修改预审稿形成标准送审稿，更新编制说明、意见汇总处理表等，并将相关资料（电子版）发送至稀土标委会秘书处，挂网</w:t>
      </w:r>
      <w:r>
        <w:rPr>
          <w:rFonts w:hint="eastAsia" w:ascii="Times New Roman" w:hAnsi="Times New Roman" w:cs="Times New Roman"/>
          <w:szCs w:val="21"/>
        </w:rPr>
        <w:t>征</w:t>
      </w:r>
      <w:r>
        <w:rPr>
          <w:rFonts w:ascii="Times New Roman" w:hAnsi="Times New Roman" w:cs="Times New Roman"/>
          <w:szCs w:val="21"/>
        </w:rPr>
        <w:t>求更广泛的意见，召开标准审定会。</w:t>
      </w:r>
    </w:p>
    <w:p>
      <w:pPr>
        <w:spacing w:line="300" w:lineRule="auto"/>
        <w:ind w:firstLine="420" w:firstLineChars="200"/>
        <w:rPr>
          <w:rFonts w:hint="eastAsia" w:ascii="Times New Roman" w:hAnsi="Times New Roman" w:cs="Times New Roman" w:eastAsiaTheme="minorEastAsia"/>
          <w:szCs w:val="21"/>
          <w:lang w:val="en-US" w:eastAsia="zh-CN"/>
        </w:rPr>
      </w:pPr>
      <w:r>
        <w:rPr>
          <w:rFonts w:ascii="Times New Roman" w:hAnsi="Times New Roman" w:cs="Times New Roman" w:eastAsiaTheme="minorEastAsia"/>
          <w:szCs w:val="21"/>
        </w:rPr>
        <w:t>——2020年</w:t>
      </w:r>
      <w:r>
        <w:rPr>
          <w:rFonts w:hint="eastAsia" w:ascii="Times New Roman" w:hAnsi="Times New Roman" w:cs="Times New Roman" w:eastAsiaTheme="minorEastAsia"/>
          <w:szCs w:val="21"/>
          <w:lang w:val="en-US" w:eastAsia="zh-CN"/>
        </w:rPr>
        <w:t>7</w:t>
      </w:r>
      <w:r>
        <w:rPr>
          <w:rFonts w:ascii="Times New Roman" w:hAnsi="Times New Roman" w:cs="Times New Roman" w:eastAsiaTheme="minorEastAsia"/>
          <w:szCs w:val="21"/>
        </w:rPr>
        <w:t>月</w:t>
      </w:r>
      <w:r>
        <w:rPr>
          <w:rFonts w:hint="eastAsia" w:ascii="Times New Roman" w:hAnsi="Times New Roman" w:cs="Times New Roman" w:eastAsiaTheme="minorEastAsia"/>
          <w:szCs w:val="21"/>
          <w:lang w:val="en-US" w:eastAsia="zh-CN"/>
        </w:rPr>
        <w:t>14</w:t>
      </w:r>
      <w:r>
        <w:rPr>
          <w:rFonts w:ascii="Times New Roman" w:hAnsi="Times New Roman" w:cs="Times New Roman" w:eastAsiaTheme="minorEastAsia"/>
          <w:szCs w:val="21"/>
        </w:rPr>
        <w:t>日</w:t>
      </w:r>
      <w:r>
        <w:rPr>
          <w:rFonts w:hint="eastAsia" w:ascii="Times New Roman" w:hAnsi="Times New Roman" w:cs="Times New Roman" w:eastAsiaTheme="minorEastAsia"/>
          <w:szCs w:val="21"/>
          <w:lang w:eastAsia="zh-CN"/>
        </w:rPr>
        <w:t>，</w:t>
      </w:r>
      <w:r>
        <w:rPr>
          <w:rFonts w:hint="eastAsia" w:ascii="Times New Roman" w:hAnsi="Times New Roman" w:cs="Times New Roman" w:eastAsiaTheme="minorEastAsia"/>
          <w:szCs w:val="21"/>
          <w:lang w:val="en-US" w:eastAsia="zh-CN"/>
        </w:rPr>
        <w:t>以网络会议形式召开2020年第三次稀土标准工作会议。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Times New Roman" w:hAnsi="Times New Roman" w:cs="Times New Roman" w:eastAsiaTheme="minorEastAsia"/>
          <w:szCs w:val="21"/>
        </w:rPr>
      </w:pPr>
    </w:p>
    <w:p>
      <w:pPr>
        <w:adjustRightInd w:val="0"/>
        <w:snapToGrid w:val="0"/>
        <w:spacing w:line="300" w:lineRule="auto"/>
        <w:rPr>
          <w:rFonts w:ascii="Times New Roman" w:hAnsi="Times New Roman" w:cs="Times New Roman" w:eastAsiaTheme="minorEastAsia"/>
          <w:b/>
          <w:szCs w:val="21"/>
        </w:rPr>
      </w:pPr>
      <w:r>
        <w:rPr>
          <w:rFonts w:ascii="Times New Roman" w:hAnsi="Arial" w:cs="Times New Roman" w:eastAsiaTheme="minorEastAsia"/>
          <w:b/>
          <w:szCs w:val="21"/>
        </w:rPr>
        <w:t>二、标准编制原则和主要内容</w:t>
      </w:r>
    </w:p>
    <w:p>
      <w:pPr>
        <w:adjustRightInd w:val="0"/>
        <w:snapToGrid w:val="0"/>
        <w:spacing w:line="300" w:lineRule="auto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 xml:space="preserve">2.1 </w:t>
      </w:r>
      <w:r>
        <w:rPr>
          <w:rFonts w:ascii="Times New Roman" w:hAnsi="Arial" w:cs="Times New Roman" w:eastAsiaTheme="minorEastAsia"/>
          <w:szCs w:val="21"/>
        </w:rPr>
        <w:t>编制原则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Arial" w:cs="Times New Roman" w:eastAsiaTheme="minorEastAsia"/>
          <w:szCs w:val="21"/>
        </w:rPr>
        <w:t>标准的格式严格按照</w:t>
      </w:r>
      <w:r>
        <w:rPr>
          <w:rFonts w:ascii="Times New Roman" w:hAnsi="Times New Roman" w:cs="Times New Roman" w:eastAsiaTheme="minorEastAsia"/>
          <w:szCs w:val="21"/>
        </w:rPr>
        <w:t>GB/T 1.1-20</w:t>
      </w:r>
      <w:r>
        <w:rPr>
          <w:rFonts w:hint="eastAsia" w:ascii="Times New Roman" w:hAnsi="Times New Roman" w:cs="Times New Roman" w:eastAsiaTheme="minorEastAsia"/>
          <w:szCs w:val="21"/>
          <w:lang w:val="en-US" w:eastAsia="zh-CN"/>
        </w:rPr>
        <w:t>20</w:t>
      </w:r>
      <w:r>
        <w:rPr>
          <w:rFonts w:ascii="Times New Roman" w:hAnsi="Arial" w:cs="Times New Roman" w:eastAsiaTheme="minorEastAsia"/>
          <w:szCs w:val="21"/>
        </w:rPr>
        <w:t>《标准化工作导则第</w:t>
      </w:r>
      <w:r>
        <w:rPr>
          <w:rFonts w:ascii="Times New Roman" w:hAnsi="Times New Roman" w:cs="Times New Roman" w:eastAsiaTheme="minorEastAsia"/>
          <w:szCs w:val="21"/>
        </w:rPr>
        <w:t>1</w:t>
      </w:r>
      <w:r>
        <w:rPr>
          <w:rFonts w:ascii="Times New Roman" w:hAnsi="Arial" w:cs="Times New Roman" w:eastAsiaTheme="minorEastAsia"/>
          <w:szCs w:val="21"/>
        </w:rPr>
        <w:t>部分：标准的结构和编写》的规定进行。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Arial" w:cs="Times New Roman" w:eastAsiaTheme="minorEastAsia"/>
          <w:szCs w:val="21"/>
        </w:rPr>
        <w:t>根据测定元素的不同，最终确定测定方法的允许差。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Arial" w:cs="Times New Roman" w:eastAsiaTheme="minorEastAsia"/>
          <w:szCs w:val="21"/>
        </w:rPr>
        <w:t>根据目前稀土金属及其氧化物的生产、应用和贸易要求确定分析方法及测定范围。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Arial" w:cs="Times New Roman" w:eastAsiaTheme="minorEastAsia"/>
          <w:szCs w:val="21"/>
        </w:rPr>
        <w:t>本系列标准选择方法的原则主要考虑方法的适用性、准确性和一定的先进性。</w:t>
      </w:r>
    </w:p>
    <w:p>
      <w:pPr>
        <w:adjustRightInd w:val="0"/>
        <w:snapToGrid w:val="0"/>
        <w:spacing w:line="300" w:lineRule="auto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2.2</w:t>
      </w:r>
      <w:r>
        <w:rPr>
          <w:rFonts w:ascii="Times New Roman" w:hAnsi="Arial" w:cs="Times New Roman" w:eastAsiaTheme="minorEastAsia"/>
          <w:szCs w:val="21"/>
        </w:rPr>
        <w:t>标准技术内容说明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Times New Roman" w:hAnsi="Arial" w:cs="Times New Roman" w:eastAsiaTheme="minorEastAsia"/>
          <w:szCs w:val="21"/>
        </w:rPr>
      </w:pPr>
      <w:r>
        <w:rPr>
          <w:rFonts w:ascii="Times New Roman" w:hAnsi="Arial" w:cs="Times New Roman" w:eastAsiaTheme="minorEastAsia"/>
          <w:szCs w:val="21"/>
        </w:rPr>
        <w:t>试样用盐酸或硝酸溶解后，在磷酸介质中，高氯酸将三价铈氧化为四价，于稀硫酸介质中，在尿素存在下，用亚硝酸钠溶液还原高价锰，以苯代邻氨基苯甲酸为指示剂，用硫酸亚铁铵标准</w:t>
      </w:r>
      <w:r>
        <w:rPr>
          <w:rFonts w:hint="eastAsia" w:ascii="Times New Roman" w:hAnsi="Arial" w:cs="Times New Roman" w:eastAsiaTheme="minorEastAsia"/>
          <w:szCs w:val="21"/>
        </w:rPr>
        <w:t>滴定</w:t>
      </w:r>
      <w:r>
        <w:rPr>
          <w:rFonts w:ascii="Times New Roman" w:hAnsi="Arial" w:cs="Times New Roman" w:eastAsiaTheme="minorEastAsia"/>
          <w:szCs w:val="21"/>
        </w:rPr>
        <w:t>溶液</w:t>
      </w:r>
      <w:r>
        <w:rPr>
          <w:rFonts w:hint="eastAsia" w:ascii="Times New Roman" w:hAnsi="Arial" w:cs="Times New Roman" w:eastAsiaTheme="minorEastAsia"/>
          <w:szCs w:val="21"/>
        </w:rPr>
        <w:t>进行</w:t>
      </w:r>
      <w:r>
        <w:rPr>
          <w:rFonts w:ascii="Times New Roman" w:hAnsi="Arial" w:cs="Times New Roman" w:eastAsiaTheme="minorEastAsia"/>
          <w:szCs w:val="21"/>
        </w:rPr>
        <w:t>滴定。</w:t>
      </w:r>
      <w:r>
        <w:rPr>
          <w:rFonts w:hint="eastAsia" w:ascii="Times New Roman" w:hAnsi="Arial" w:cs="Times New Roman" w:eastAsiaTheme="minorEastAsia"/>
          <w:szCs w:val="21"/>
        </w:rPr>
        <w:t>本标准适用于镧铈金属中铈量，测定范围是55.00%~85.00%；氧化镧铈中氧化铈量，测定范围是55.00%~85.00%；碳酸镧铈中氧化铈量的测定，测定范围是25.00%~50.00%；氯化镧铈中氧化铈的测定，测定范围是20.00%~45.00%。</w:t>
      </w:r>
    </w:p>
    <w:p>
      <w:pPr>
        <w:adjustRightInd w:val="0"/>
        <w:snapToGrid w:val="0"/>
        <w:spacing w:line="300" w:lineRule="auto"/>
        <w:rPr>
          <w:rFonts w:ascii="Times New Roman" w:hAnsi="Arial" w:cs="Times New Roman" w:eastAsiaTheme="minorEastAsia"/>
          <w:szCs w:val="21"/>
        </w:rPr>
      </w:pPr>
      <w:r>
        <w:rPr>
          <w:rFonts w:hint="eastAsia" w:ascii="Times New Roman" w:hAnsi="Arial" w:cs="Times New Roman" w:eastAsiaTheme="minorEastAsia"/>
          <w:szCs w:val="21"/>
        </w:rPr>
        <w:t>2.3 意见汇总处理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发送</w:t>
      </w:r>
      <w:r>
        <w:rPr>
          <w:szCs w:val="21"/>
        </w:rPr>
        <w:t>《征求意见稿》的单位数</w:t>
      </w:r>
      <w:r>
        <w:rPr>
          <w:rFonts w:hint="eastAsia"/>
          <w:szCs w:val="21"/>
        </w:rPr>
        <w:t>共有</w:t>
      </w:r>
      <w:r>
        <w:rPr>
          <w:rFonts w:hint="eastAsia"/>
          <w:szCs w:val="21"/>
          <w:highlight w:val="none"/>
        </w:rPr>
        <w:t>40</w:t>
      </w:r>
      <w:r>
        <w:rPr>
          <w:szCs w:val="21"/>
        </w:rPr>
        <w:t>个</w:t>
      </w:r>
      <w:r>
        <w:rPr>
          <w:rFonts w:hint="eastAsia"/>
          <w:szCs w:val="21"/>
        </w:rPr>
        <w:t>，其中</w:t>
      </w:r>
      <w:r>
        <w:rPr>
          <w:szCs w:val="21"/>
        </w:rPr>
        <w:t>收到《征求意见稿》后，回函的单位数</w:t>
      </w:r>
      <w:r>
        <w:rPr>
          <w:rFonts w:hint="eastAsia"/>
          <w:szCs w:val="21"/>
        </w:rPr>
        <w:t>有</w:t>
      </w:r>
      <w:r>
        <w:rPr>
          <w:rFonts w:hint="eastAsia"/>
          <w:szCs w:val="21"/>
          <w:highlight w:val="none"/>
        </w:rPr>
        <w:t>12</w:t>
      </w:r>
      <w:r>
        <w:rPr>
          <w:szCs w:val="21"/>
        </w:rPr>
        <w:t>个</w:t>
      </w:r>
      <w:r>
        <w:rPr>
          <w:rFonts w:hint="eastAsia"/>
          <w:szCs w:val="21"/>
        </w:rPr>
        <w:t>，</w:t>
      </w:r>
      <w:r>
        <w:rPr>
          <w:szCs w:val="21"/>
        </w:rPr>
        <w:t>回函并有建议或意见的单位数</w:t>
      </w:r>
      <w:r>
        <w:rPr>
          <w:rFonts w:hint="eastAsia"/>
          <w:szCs w:val="21"/>
        </w:rPr>
        <w:t>有</w:t>
      </w:r>
      <w:r>
        <w:rPr>
          <w:rFonts w:hint="eastAsia"/>
          <w:szCs w:val="21"/>
          <w:lang w:val="en-US" w:eastAsia="zh-CN"/>
        </w:rPr>
        <w:t>6</w:t>
      </w:r>
      <w:r>
        <w:rPr>
          <w:szCs w:val="21"/>
        </w:rPr>
        <w:t>个</w:t>
      </w:r>
      <w:r>
        <w:rPr>
          <w:rFonts w:hint="eastAsia"/>
          <w:szCs w:val="21"/>
        </w:rPr>
        <w:t>。具体意见如表2：</w:t>
      </w:r>
    </w:p>
    <w:p>
      <w:pPr>
        <w:adjustRightInd w:val="0"/>
        <w:snapToGrid w:val="0"/>
        <w:spacing w:line="300" w:lineRule="auto"/>
        <w:ind w:firstLine="420" w:firstLineChars="200"/>
        <w:rPr>
          <w:rFonts w:hint="eastAsia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ascii="Times New Roman" w:hAnsi="Arial" w:cs="Times New Roman" w:eastAsiaTheme="minorEastAsia"/>
          <w:sz w:val="18"/>
          <w:szCs w:val="18"/>
        </w:rPr>
      </w:pPr>
      <w:r>
        <w:rPr>
          <w:rFonts w:hint="eastAsia" w:ascii="Times New Roman" w:hAnsi="Arial" w:cs="Times New Roman" w:eastAsiaTheme="minorEastAsia"/>
          <w:sz w:val="18"/>
          <w:szCs w:val="18"/>
        </w:rPr>
        <w:t>表2 意见汇总处理表</w:t>
      </w:r>
    </w:p>
    <w:tbl>
      <w:tblPr>
        <w:tblStyle w:val="20"/>
        <w:tblW w:w="9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031"/>
        <w:gridCol w:w="3643"/>
        <w:gridCol w:w="1553"/>
        <w:gridCol w:w="1058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1031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标准章条编号</w:t>
            </w:r>
          </w:p>
        </w:tc>
        <w:tc>
          <w:tcPr>
            <w:tcW w:w="3643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意见内容</w:t>
            </w:r>
          </w:p>
        </w:tc>
        <w:tc>
          <w:tcPr>
            <w:tcW w:w="1553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提出</w:t>
            </w:r>
          </w:p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</w:t>
            </w:r>
          </w:p>
        </w:tc>
        <w:tc>
          <w:tcPr>
            <w:tcW w:w="1058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处理</w:t>
            </w:r>
          </w:p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意见</w:t>
            </w:r>
          </w:p>
        </w:tc>
        <w:tc>
          <w:tcPr>
            <w:tcW w:w="1933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364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由于很多产品含量达不到30%，建议下限改为25%。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虔东稀土集团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股份有限公司</w:t>
            </w:r>
          </w:p>
        </w:tc>
        <w:tc>
          <w:tcPr>
            <w:tcW w:w="1058" w:type="dxa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采纳</w:t>
            </w:r>
          </w:p>
        </w:tc>
        <w:tc>
          <w:tcPr>
            <w:tcW w:w="1933" w:type="dxa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已修改。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64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方法原理中“用亚硝酸钠溶液将紫红色的高价锰还原为无色的二价锰”后建议增加：消除锰的干扰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湖南稀土金属材料研究院</w:t>
            </w:r>
          </w:p>
        </w:tc>
        <w:tc>
          <w:tcPr>
            <w:tcW w:w="1058" w:type="dxa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采纳</w:t>
            </w:r>
          </w:p>
        </w:tc>
        <w:tc>
          <w:tcPr>
            <w:tcW w:w="1933" w:type="dxa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已修改。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3.8</w:t>
            </w:r>
          </w:p>
        </w:tc>
        <w:tc>
          <w:tcPr>
            <w:tcW w:w="364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因亚砷酸钠试剂有剧毒且很难买到，且亚硝酸钠能满足消除锰离子的干扰，建议直接使用亚硝酸钠试剂即可。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虔东稀土公司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股份有限公司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采纳</w:t>
            </w:r>
          </w:p>
        </w:tc>
        <w:tc>
          <w:tcPr>
            <w:tcW w:w="193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经试验，亚硝酸钠能满足消除锰离子干扰，征求意见稿中更改。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3.11.1</w:t>
            </w:r>
          </w:p>
        </w:tc>
        <w:tc>
          <w:tcPr>
            <w:tcW w:w="364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配置0.015mol/L硫酸亚铁铵称取质量应为5.88g。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四川江铜稀土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有限责任公司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采纳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已修改。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5.3</w:t>
            </w:r>
          </w:p>
        </w:tc>
        <w:tc>
          <w:tcPr>
            <w:tcW w:w="364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空白实验中，“两次滴定体积之差为空白值”表述不明确。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四川省乐山锐丰冶金有限公司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C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采纳</w:t>
            </w:r>
          </w:p>
        </w:tc>
        <w:tc>
          <w:tcPr>
            <w:tcW w:w="193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C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改为“第一次消耗的硫酸盐铁铵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标准滴定溶液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体积减第二次消耗的硫酸亚铁铵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标准滴定</w:t>
            </w:r>
            <w:bookmarkStart w:id="1" w:name="_GoBack"/>
            <w:bookmarkEnd w:id="1"/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溶液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的体积，该体积差即为空白值”。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5.3</w:t>
            </w:r>
          </w:p>
        </w:tc>
        <w:tc>
          <w:tcPr>
            <w:tcW w:w="364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方法中做了移取10.00ml硫酸高铈的空白试验，建议增加移取2.00ml和5.00ml硫酸高铈的空白试验。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赣州有色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冶金研究所</w:t>
            </w:r>
          </w:p>
        </w:tc>
        <w:tc>
          <w:tcPr>
            <w:tcW w:w="1058" w:type="dxa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采纳</w:t>
            </w:r>
          </w:p>
        </w:tc>
        <w:tc>
          <w:tcPr>
            <w:tcW w:w="1933" w:type="dxa"/>
            <w:vAlign w:val="center"/>
          </w:tcPr>
          <w:p>
            <w:pPr>
              <w:contextualSpacing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经试验，加入5.00mL硫酸高铈的空白样品，稳定性良好。已改为5.00mL。</w:t>
            </w:r>
          </w:p>
        </w:tc>
      </w:tr>
    </w:tbl>
    <w:p>
      <w:pPr>
        <w:adjustRightInd w:val="0"/>
        <w:snapToGrid w:val="0"/>
        <w:spacing w:line="300" w:lineRule="auto"/>
        <w:rPr>
          <w:rFonts w:ascii="Times New Roman" w:hAnsi="Arial" w:cs="Times New Roman" w:eastAsiaTheme="minorEastAsia"/>
          <w:b/>
          <w:sz w:val="18"/>
          <w:szCs w:val="18"/>
        </w:rPr>
      </w:pPr>
    </w:p>
    <w:p>
      <w:pPr>
        <w:adjustRightInd w:val="0"/>
        <w:snapToGrid w:val="0"/>
        <w:spacing w:line="300" w:lineRule="auto"/>
        <w:rPr>
          <w:rFonts w:ascii="Times New Roman" w:hAnsi="Times New Roman" w:cs="Times New Roman" w:eastAsiaTheme="minorEastAsia"/>
          <w:b/>
          <w:szCs w:val="21"/>
        </w:rPr>
      </w:pPr>
      <w:r>
        <w:rPr>
          <w:rFonts w:ascii="Times New Roman" w:hAnsi="Arial" w:cs="Times New Roman" w:eastAsiaTheme="minorEastAsia"/>
          <w:b/>
          <w:szCs w:val="21"/>
        </w:rPr>
        <w:t>三、主要试验的分析、综述报告</w:t>
      </w:r>
    </w:p>
    <w:p>
      <w:pPr>
        <w:adjustRightInd w:val="0"/>
        <w:snapToGrid w:val="0"/>
        <w:spacing w:line="300" w:lineRule="auto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3.1</w:t>
      </w:r>
      <w:r>
        <w:rPr>
          <w:rFonts w:ascii="Times New Roman" w:hAnsi="Arial" w:cs="Times New Roman" w:eastAsiaTheme="minorEastAsia"/>
          <w:szCs w:val="21"/>
        </w:rPr>
        <w:t>条件实验部分</w:t>
      </w:r>
    </w:p>
    <w:p>
      <w:pPr>
        <w:adjustRightInd w:val="0"/>
        <w:snapToGrid w:val="0"/>
        <w:spacing w:line="300" w:lineRule="auto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3.1.1</w:t>
      </w:r>
      <w:r>
        <w:rPr>
          <w:rFonts w:ascii="Times New Roman" w:hAnsi="Arial" w:cs="Times New Roman" w:eastAsiaTheme="minorEastAsia"/>
          <w:szCs w:val="21"/>
        </w:rPr>
        <w:t>溶解方式试验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Arial" w:cs="Times New Roman" w:eastAsiaTheme="minorEastAsia"/>
          <w:szCs w:val="21"/>
        </w:rPr>
        <w:t>氧化镧铈</w:t>
      </w:r>
      <w:r>
        <w:rPr>
          <w:rFonts w:hint="eastAsia" w:ascii="Times New Roman" w:hAnsi="Arial" w:cs="Times New Roman" w:eastAsiaTheme="minorEastAsia"/>
          <w:szCs w:val="21"/>
        </w:rPr>
        <w:t>试料中</w:t>
      </w:r>
      <w:r>
        <w:rPr>
          <w:rFonts w:ascii="Times New Roman" w:hAnsi="Arial" w:cs="Times New Roman" w:eastAsiaTheme="minorEastAsia"/>
          <w:szCs w:val="21"/>
        </w:rPr>
        <w:t>由于铈含量高，溶解反应较缓，故需确定一种较好溶解方式，确保样品溶解完全且相对反应较快。设计三种溶解方式，即</w:t>
      </w:r>
      <w:r>
        <w:rPr>
          <w:rFonts w:ascii="Times New Roman" w:hAnsi="Times New Roman" w:cs="Times New Roman" w:eastAsiaTheme="minorEastAsia"/>
          <w:szCs w:val="21"/>
        </w:rPr>
        <w:t>HCl+3mL H</w:t>
      </w:r>
      <w:r>
        <w:rPr>
          <w:rFonts w:ascii="Times New Roman" w:hAnsi="Times New Roman" w:cs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szCs w:val="21"/>
        </w:rPr>
        <w:t>O</w:t>
      </w:r>
      <w:r>
        <w:rPr>
          <w:rFonts w:ascii="Times New Roman" w:hAnsi="Times New Roman" w:cs="Times New Roman" w:eastAsiaTheme="minorEastAsia"/>
          <w:szCs w:val="21"/>
          <w:vertAlign w:val="subscript"/>
        </w:rPr>
        <w:t>2</w:t>
      </w:r>
      <w:r>
        <w:rPr>
          <w:rFonts w:hint="eastAsia" w:ascii="Times New Roman" w:hAnsi="Times New Roman" w:cs="Times New Roman" w:eastAsiaTheme="minorEastAsia"/>
          <w:szCs w:val="21"/>
        </w:rPr>
        <w:t>；</w:t>
      </w:r>
      <w:r>
        <w:rPr>
          <w:rFonts w:ascii="Times New Roman" w:hAnsi="Times New Roman" w:cs="Times New Roman" w:eastAsiaTheme="minorEastAsia"/>
          <w:szCs w:val="21"/>
        </w:rPr>
        <w:t>HNO</w:t>
      </w:r>
      <w:r>
        <w:rPr>
          <w:rFonts w:ascii="Times New Roman" w:hAnsi="Times New Roman" w:cs="Times New Roman" w:eastAsiaTheme="minorEastAsia"/>
          <w:szCs w:val="21"/>
          <w:vertAlign w:val="subscript"/>
        </w:rPr>
        <w:t>3</w:t>
      </w:r>
      <w:r>
        <w:rPr>
          <w:rFonts w:ascii="Times New Roman" w:hAnsi="Times New Roman" w:cs="Times New Roman" w:eastAsiaTheme="minorEastAsia"/>
          <w:szCs w:val="21"/>
        </w:rPr>
        <w:t>+5d H</w:t>
      </w:r>
      <w:r>
        <w:rPr>
          <w:rFonts w:ascii="Times New Roman" w:hAnsi="Times New Roman" w:cs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szCs w:val="21"/>
        </w:rPr>
        <w:t>O</w:t>
      </w:r>
      <w:r>
        <w:rPr>
          <w:rFonts w:ascii="Times New Roman" w:hAnsi="Times New Roman" w:cs="Times New Roman" w:eastAsiaTheme="minorEastAsia"/>
          <w:szCs w:val="21"/>
          <w:vertAlign w:val="subscript"/>
        </w:rPr>
        <w:t>2</w:t>
      </w:r>
      <w:r>
        <w:rPr>
          <w:rFonts w:hint="eastAsia" w:ascii="Times New Roman" w:hAnsi="Times New Roman" w:cs="Times New Roman" w:eastAsiaTheme="minorEastAsia"/>
          <w:szCs w:val="21"/>
        </w:rPr>
        <w:t>；</w:t>
      </w:r>
      <w:r>
        <w:rPr>
          <w:rFonts w:ascii="Times New Roman" w:hAnsi="Times New Roman" w:cs="Times New Roman" w:eastAsiaTheme="minorEastAsia"/>
          <w:szCs w:val="21"/>
        </w:rPr>
        <w:t>HCl+5d H</w:t>
      </w:r>
      <w:r>
        <w:rPr>
          <w:rFonts w:ascii="Times New Roman" w:hAnsi="Times New Roman" w:cs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szCs w:val="21"/>
        </w:rPr>
        <w:t>O</w:t>
      </w:r>
      <w:r>
        <w:rPr>
          <w:rFonts w:ascii="Times New Roman" w:hAnsi="Times New Roman" w:cs="Times New Roman" w:eastAsiaTheme="minorEastAsia"/>
          <w:szCs w:val="21"/>
          <w:vertAlign w:val="subscript"/>
        </w:rPr>
        <w:t>2</w:t>
      </w:r>
      <w:r>
        <w:rPr>
          <w:rFonts w:ascii="Times New Roman" w:hAnsi="Arial" w:cs="Times New Roman" w:eastAsiaTheme="minorEastAsia"/>
          <w:szCs w:val="21"/>
        </w:rPr>
        <w:t>。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Arial" w:cs="Times New Roman" w:eastAsiaTheme="minorEastAsia"/>
          <w:szCs w:val="21"/>
        </w:rPr>
        <w:t>结果表明，采用</w:t>
      </w:r>
      <w:r>
        <w:rPr>
          <w:rFonts w:ascii="Times New Roman" w:hAnsi="Times New Roman" w:cs="Times New Roman" w:eastAsiaTheme="minorEastAsia"/>
          <w:szCs w:val="21"/>
        </w:rPr>
        <w:t>HNO</w:t>
      </w:r>
      <w:r>
        <w:rPr>
          <w:rFonts w:ascii="Times New Roman" w:hAnsi="Times New Roman" w:cs="Times New Roman" w:eastAsiaTheme="minorEastAsia"/>
          <w:szCs w:val="21"/>
          <w:vertAlign w:val="subscript"/>
        </w:rPr>
        <w:t>3</w:t>
      </w:r>
      <w:r>
        <w:rPr>
          <w:rFonts w:ascii="Times New Roman" w:hAnsi="Times New Roman" w:cs="Times New Roman" w:eastAsiaTheme="minorEastAsia"/>
          <w:szCs w:val="21"/>
        </w:rPr>
        <w:t>+5d H</w:t>
      </w:r>
      <w:r>
        <w:rPr>
          <w:rFonts w:ascii="Times New Roman" w:hAnsi="Times New Roman" w:cs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szCs w:val="21"/>
        </w:rPr>
        <w:t>O</w:t>
      </w:r>
      <w:r>
        <w:rPr>
          <w:rFonts w:ascii="Times New Roman" w:hAnsi="Times New Roman" w:cs="Times New Roman" w:eastAsiaTheme="minorEastAsia"/>
          <w:szCs w:val="21"/>
          <w:vertAlign w:val="subscript"/>
        </w:rPr>
        <w:t>2</w:t>
      </w:r>
      <w:r>
        <w:rPr>
          <w:rFonts w:ascii="Times New Roman" w:hAnsi="Arial" w:cs="Times New Roman" w:eastAsiaTheme="minorEastAsia"/>
          <w:szCs w:val="21"/>
        </w:rPr>
        <w:t>方式溶解可达到预期效果，结论和原试验报告一致。数据略。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Arial" w:cs="Times New Roman" w:eastAsiaTheme="minorEastAsia"/>
          <w:szCs w:val="21"/>
        </w:rPr>
        <w:t>由于镧铈金属及碳酸镧铈试料遇酸反应剧烈，极易溶解，故不作讨论。</w:t>
      </w:r>
    </w:p>
    <w:p>
      <w:pPr>
        <w:adjustRightInd w:val="0"/>
        <w:snapToGrid w:val="0"/>
        <w:spacing w:line="300" w:lineRule="auto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3.1.2</w:t>
      </w:r>
      <w:r>
        <w:rPr>
          <w:rFonts w:ascii="Times New Roman" w:hAnsi="Arial" w:cs="Times New Roman" w:eastAsiaTheme="minorEastAsia"/>
          <w:szCs w:val="21"/>
        </w:rPr>
        <w:t>均一性试验</w:t>
      </w:r>
    </w:p>
    <w:p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Arial" w:cs="Times New Roman" w:eastAsiaTheme="minorEastAsia"/>
          <w:szCs w:val="21"/>
        </w:rPr>
        <w:t>为判定样品均一性，提高检测准确性，减小误差，分别对镧铈金属、</w:t>
      </w:r>
      <w:r>
        <w:rPr>
          <w:rFonts w:hint="eastAsia" w:ascii="Times New Roman" w:hAnsi="Arial" w:cs="Times New Roman" w:eastAsiaTheme="minorEastAsia"/>
          <w:szCs w:val="21"/>
        </w:rPr>
        <w:t>氧化镧铈、</w:t>
      </w:r>
      <w:r>
        <w:rPr>
          <w:rFonts w:ascii="Times New Roman" w:hAnsi="Arial" w:cs="Times New Roman" w:eastAsiaTheme="minorEastAsia"/>
          <w:szCs w:val="21"/>
        </w:rPr>
        <w:t>碳酸镧铈进行均一性试验。分别采取直接称取样品溶解后滴定及称取大样溶解后定容、分取两种方式进行试验，以滴定结果的相对标准偏差来判定采用何种称取方式。</w:t>
      </w:r>
    </w:p>
    <w:p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Arial" w:cs="Times New Roman" w:eastAsiaTheme="minorEastAsia"/>
          <w:szCs w:val="21"/>
        </w:rPr>
        <w:t>结果表明，氧化镧铈可直接称取、溶解、滴定，而镧铈金属和碳酸镧铈需称取大样分取、溶解、滴定，结论和原试验报告一致，数据略。</w:t>
      </w:r>
    </w:p>
    <w:p>
      <w:pPr>
        <w:adjustRightInd w:val="0"/>
        <w:snapToGrid w:val="0"/>
        <w:spacing w:line="300" w:lineRule="auto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3.1.3</w:t>
      </w:r>
      <w:r>
        <w:rPr>
          <w:rFonts w:ascii="Times New Roman" w:hAnsi="Arial" w:cs="Times New Roman" w:eastAsiaTheme="minorEastAsia"/>
          <w:szCs w:val="21"/>
        </w:rPr>
        <w:t>磷酸和高氯酸加入量及硫酸浓度试验</w:t>
      </w:r>
    </w:p>
    <w:p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Arial" w:cs="Times New Roman" w:eastAsiaTheme="minorEastAsia"/>
          <w:szCs w:val="21"/>
        </w:rPr>
        <w:t>为确定磷酸和高氯酸加入量及硫酸浓度，设计条件实验，保证其它条件不变，分别改变磷酸加入量、高氯酸加入量、硫酸浓度，以得到最佳的酸加入量。</w:t>
      </w:r>
    </w:p>
    <w:p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Arial" w:cs="Times New Roman" w:eastAsiaTheme="minorEastAsia"/>
          <w:szCs w:val="21"/>
        </w:rPr>
        <w:t>通过观察实验现象可知，磷酸加入量低于</w:t>
      </w:r>
      <w:r>
        <w:rPr>
          <w:rFonts w:ascii="Times New Roman" w:hAnsi="Times New Roman" w:cs="Times New Roman" w:eastAsiaTheme="minorEastAsia"/>
          <w:szCs w:val="21"/>
        </w:rPr>
        <w:t xml:space="preserve">10mL </w:t>
      </w:r>
      <w:r>
        <w:rPr>
          <w:rFonts w:ascii="Times New Roman" w:hAnsi="Arial" w:cs="Times New Roman" w:eastAsiaTheme="minorEastAsia"/>
          <w:szCs w:val="21"/>
        </w:rPr>
        <w:t>时，在氧化过程极易因为氧化时间长造成磷酸附着于瓶底，后续硫酸无法提取高价铈；高氯酸加入量大于</w:t>
      </w:r>
      <w:r>
        <w:rPr>
          <w:rFonts w:ascii="Times New Roman" w:hAnsi="Times New Roman" w:cs="Times New Roman" w:eastAsiaTheme="minorEastAsia"/>
          <w:szCs w:val="21"/>
        </w:rPr>
        <w:t>3mL</w:t>
      </w:r>
      <w:r>
        <w:rPr>
          <w:rFonts w:ascii="Times New Roman" w:hAnsi="Arial" w:cs="Times New Roman" w:eastAsiaTheme="minorEastAsia"/>
          <w:szCs w:val="21"/>
        </w:rPr>
        <w:t>时，氧化过程中烟雾浓密，使得观察液面反应情况困难；硫酸浓度变化无明显影响。结论和原试验报告一致，数据略。</w:t>
      </w:r>
    </w:p>
    <w:p>
      <w:pPr>
        <w:adjustRightInd w:val="0"/>
        <w:snapToGrid w:val="0"/>
        <w:spacing w:line="300" w:lineRule="auto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3.1.4</w:t>
      </w:r>
      <w:r>
        <w:rPr>
          <w:rFonts w:ascii="Times New Roman" w:hAnsi="Arial" w:cs="Times New Roman" w:eastAsiaTheme="minorEastAsia"/>
          <w:szCs w:val="21"/>
        </w:rPr>
        <w:t>锰离子含量对测定的影响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Arial" w:cs="Times New Roman" w:eastAsiaTheme="minorEastAsia"/>
          <w:szCs w:val="21"/>
        </w:rPr>
        <w:t>由于在将二价铈氧化为四价铈的同时，锰离子也会被氧化</w:t>
      </w:r>
      <w:r>
        <w:rPr>
          <w:rFonts w:hint="eastAsia" w:ascii="Times New Roman" w:hAnsi="Arial" w:cs="Times New Roman" w:eastAsiaTheme="minorEastAsia"/>
          <w:szCs w:val="21"/>
        </w:rPr>
        <w:t>为</w:t>
      </w:r>
      <w:r>
        <w:rPr>
          <w:rFonts w:ascii="Times New Roman" w:hAnsi="Arial" w:cs="Times New Roman" w:eastAsiaTheme="minorEastAsia"/>
          <w:szCs w:val="21"/>
        </w:rPr>
        <w:t>高价，在滴定铈的过程中，高价锰离子也消耗滴定液。故若试样中含有锰离子，势必会对滴定结果造成误差。为了考察锰离子含量对滴定结果的影响，设计条件实验。即在氧化前，在定量的高纯氧化铈溶液中加入不同含量的锰标准溶液，发现氧化后，加入</w:t>
      </w:r>
      <w:r>
        <w:rPr>
          <w:rFonts w:ascii="Times New Roman" w:hAnsi="Times New Roman" w:cs="Times New Roman" w:eastAsiaTheme="minorEastAsia"/>
          <w:szCs w:val="21"/>
        </w:rPr>
        <w:t>0.2%</w:t>
      </w:r>
      <w:r>
        <w:rPr>
          <w:rFonts w:ascii="Times New Roman" w:hAnsi="Arial" w:cs="Times New Roman" w:eastAsiaTheme="minorEastAsia"/>
          <w:szCs w:val="21"/>
        </w:rPr>
        <w:t>锰离子的试液呈现微紫色，而未加入锰离子和加入</w:t>
      </w:r>
      <w:r>
        <w:rPr>
          <w:rFonts w:ascii="Times New Roman" w:hAnsi="Times New Roman" w:cs="Times New Roman" w:eastAsiaTheme="minorEastAsia"/>
          <w:szCs w:val="21"/>
        </w:rPr>
        <w:t>0.1%</w:t>
      </w:r>
      <w:r>
        <w:rPr>
          <w:rFonts w:ascii="Times New Roman" w:hAnsi="Arial" w:cs="Times New Roman" w:eastAsiaTheme="minorEastAsia"/>
          <w:szCs w:val="21"/>
        </w:rPr>
        <w:t>锰离子的相同浓度的高纯氧化铈溶液中，并未呈现微紫色，并且滴定结果也证明，当锰量高于</w:t>
      </w:r>
      <w:r>
        <w:rPr>
          <w:rFonts w:ascii="Times New Roman" w:hAnsi="Times New Roman" w:cs="Times New Roman" w:eastAsiaTheme="minorEastAsia"/>
          <w:szCs w:val="21"/>
        </w:rPr>
        <w:t>0.1%</w:t>
      </w:r>
      <w:r>
        <w:rPr>
          <w:rFonts w:ascii="Times New Roman" w:hAnsi="Arial" w:cs="Times New Roman" w:eastAsiaTheme="minorEastAsia"/>
          <w:szCs w:val="21"/>
        </w:rPr>
        <w:t>时，则其会造成测定结果偏高。结论和原试验报告一致，数据略。</w:t>
      </w:r>
    </w:p>
    <w:p>
      <w:pPr>
        <w:adjustRightInd w:val="0"/>
        <w:snapToGrid w:val="0"/>
        <w:spacing w:line="300" w:lineRule="auto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3.1.5</w:t>
      </w:r>
      <w:r>
        <w:rPr>
          <w:rFonts w:ascii="Times New Roman" w:hAnsi="Arial" w:cs="Times New Roman" w:eastAsiaTheme="minorEastAsia"/>
          <w:szCs w:val="21"/>
        </w:rPr>
        <w:t>消除锰离子干扰试验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Arial" w:cs="Times New Roman" w:eastAsiaTheme="minorEastAsia"/>
          <w:szCs w:val="21"/>
        </w:rPr>
        <w:t>若试料中含有</w:t>
      </w:r>
      <w:r>
        <w:rPr>
          <w:rFonts w:ascii="Times New Roman" w:hAnsi="Times New Roman" w:cs="Times New Roman" w:eastAsiaTheme="minorEastAsia"/>
          <w:szCs w:val="21"/>
        </w:rPr>
        <w:t>0.1%</w:t>
      </w:r>
      <w:r>
        <w:rPr>
          <w:rFonts w:ascii="Times New Roman" w:hAnsi="Arial" w:cs="Times New Roman" w:eastAsiaTheme="minorEastAsia"/>
          <w:szCs w:val="21"/>
        </w:rPr>
        <w:t>以上锰离子或氧化后试液呈现紫色，则需将高价锰离子还原。在两个已知铈含量且铈量相同的试液中，均加入定量锰离子，氧化后，一个试液在滴定前加入亚硝酸钠及尿素，另一个直接滴定，计算两种条件下的结果误差。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Arial" w:cs="Times New Roman" w:eastAsiaTheme="minorEastAsia"/>
          <w:szCs w:val="21"/>
        </w:rPr>
        <w:t>结果表明亚硝酸钠在尿素存在下可还原高价锰以消除锰离子干扰，结论和原试验报告一致，数据略。</w:t>
      </w:r>
    </w:p>
    <w:p>
      <w:pPr>
        <w:adjustRightInd w:val="0"/>
        <w:snapToGrid w:val="0"/>
        <w:spacing w:line="300" w:lineRule="auto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 xml:space="preserve">3.1.6 </w:t>
      </w:r>
      <w:r>
        <w:rPr>
          <w:rFonts w:ascii="Times New Roman" w:hAnsi="Arial" w:cs="Times New Roman" w:eastAsiaTheme="minorEastAsia"/>
          <w:szCs w:val="21"/>
        </w:rPr>
        <w:t>加入不同体积硫酸高铈溶液对空白值的影响</w:t>
      </w:r>
    </w:p>
    <w:p>
      <w:pPr>
        <w:tabs>
          <w:tab w:val="left" w:pos="420"/>
        </w:tabs>
        <w:adjustRightInd w:val="0"/>
        <w:spacing w:line="300" w:lineRule="auto"/>
        <w:ind w:firstLine="420" w:firstLineChars="200"/>
        <w:textAlignment w:val="baseline"/>
        <w:rPr>
          <w:rFonts w:ascii="Times New Roman" w:cs="Times New Roman"/>
          <w:color w:val="000000"/>
          <w:szCs w:val="21"/>
        </w:rPr>
      </w:pPr>
      <w:r>
        <w:rPr>
          <w:rFonts w:ascii="Times New Roman" w:cs="Times New Roman"/>
          <w:color w:val="000000"/>
          <w:szCs w:val="21"/>
        </w:rPr>
        <w:t>分别移取</w:t>
      </w:r>
      <w:r>
        <w:rPr>
          <w:rFonts w:ascii="Times New Roman" w:hAnsi="Times New Roman" w:cs="Times New Roman"/>
          <w:color w:val="000000"/>
          <w:szCs w:val="21"/>
        </w:rPr>
        <w:t>2.00mL、5.00mL、10.00mL</w:t>
      </w:r>
      <w:r>
        <w:rPr>
          <w:rFonts w:ascii="Times New Roman" w:cs="Times New Roman"/>
          <w:color w:val="000000"/>
          <w:szCs w:val="21"/>
        </w:rPr>
        <w:t>硫酸高铈溶液于</w:t>
      </w:r>
      <w:r>
        <w:rPr>
          <w:rFonts w:ascii="Times New Roman" w:hAnsi="Times New Roman" w:cs="Times New Roman"/>
          <w:color w:val="000000"/>
          <w:szCs w:val="21"/>
        </w:rPr>
        <w:t>300mL</w:t>
      </w:r>
      <w:r>
        <w:rPr>
          <w:rFonts w:ascii="Times New Roman" w:cs="Times New Roman"/>
          <w:color w:val="000000"/>
          <w:szCs w:val="21"/>
        </w:rPr>
        <w:t>三角瓶中，加入</w:t>
      </w:r>
      <w:r>
        <w:rPr>
          <w:rFonts w:ascii="Times New Roman" w:hAnsi="Times New Roman" w:cs="Times New Roman"/>
          <w:color w:val="000000"/>
          <w:szCs w:val="21"/>
        </w:rPr>
        <w:t>50mL</w:t>
      </w:r>
      <w:r>
        <w:rPr>
          <w:rFonts w:ascii="Times New Roman" w:cs="Times New Roman"/>
          <w:color w:val="000000"/>
          <w:szCs w:val="21"/>
        </w:rPr>
        <w:t>硫酸</w:t>
      </w:r>
      <w:r>
        <w:rPr>
          <w:rFonts w:hint="eastAsia" w:ascii="Times New Roman" w:cs="Times New Roman"/>
          <w:color w:val="000000"/>
          <w:szCs w:val="21"/>
        </w:rPr>
        <w:t>溶液</w:t>
      </w:r>
      <w:r>
        <w:rPr>
          <w:rFonts w:ascii="Times New Roman" w:cs="Times New Roman"/>
          <w:color w:val="000000"/>
          <w:szCs w:val="21"/>
        </w:rPr>
        <w:t>，加</w:t>
      </w:r>
      <w:r>
        <w:rPr>
          <w:rFonts w:ascii="Times New Roman" w:hAnsi="Times New Roman" w:cs="Times New Roman"/>
          <w:color w:val="000000"/>
          <w:szCs w:val="21"/>
        </w:rPr>
        <w:t>10mL</w:t>
      </w:r>
      <w:r>
        <w:rPr>
          <w:rFonts w:ascii="Times New Roman" w:cs="Times New Roman"/>
          <w:color w:val="000000"/>
          <w:szCs w:val="21"/>
        </w:rPr>
        <w:t>磷酸</w:t>
      </w:r>
      <w:r>
        <w:rPr>
          <w:rFonts w:hint="eastAsia" w:ascii="Times New Roman" w:cs="Times New Roman"/>
          <w:color w:val="000000"/>
          <w:szCs w:val="21"/>
        </w:rPr>
        <w:t>溶液</w:t>
      </w:r>
      <w:r>
        <w:rPr>
          <w:rFonts w:ascii="Times New Roman" w:cs="Times New Roman"/>
          <w:color w:val="000000"/>
          <w:szCs w:val="21"/>
        </w:rPr>
        <w:t>，</w:t>
      </w:r>
      <w:r>
        <w:rPr>
          <w:rFonts w:hint="eastAsia" w:ascii="Times New Roman" w:cs="Times New Roman"/>
          <w:color w:val="000000"/>
          <w:szCs w:val="21"/>
        </w:rPr>
        <w:t>加入指示剂。</w:t>
      </w:r>
      <w:r>
        <w:rPr>
          <w:rFonts w:ascii="Times New Roman" w:cs="Times New Roman"/>
          <w:color w:val="000000"/>
          <w:szCs w:val="21"/>
        </w:rPr>
        <w:t>用硫酸亚铁铵标准滴定溶液滴定至终点后，再移取</w:t>
      </w:r>
      <w:r>
        <w:rPr>
          <w:rFonts w:ascii="Times New Roman" w:hAnsi="Times New Roman" w:cs="Times New Roman"/>
          <w:color w:val="000000"/>
          <w:szCs w:val="21"/>
        </w:rPr>
        <w:t>10.00mL</w:t>
      </w:r>
      <w:r>
        <w:rPr>
          <w:rFonts w:ascii="Times New Roman" w:cs="Times New Roman"/>
          <w:color w:val="000000"/>
          <w:szCs w:val="21"/>
        </w:rPr>
        <w:t>硫酸高铈溶液于该三角瓶中，</w:t>
      </w:r>
      <w:r>
        <w:rPr>
          <w:rFonts w:hint="eastAsia" w:ascii="Times New Roman" w:cs="Times New Roman"/>
          <w:color w:val="000000"/>
          <w:szCs w:val="21"/>
        </w:rPr>
        <w:t>再</w:t>
      </w:r>
      <w:r>
        <w:rPr>
          <w:rFonts w:ascii="Times New Roman" w:cs="Times New Roman"/>
          <w:color w:val="000000"/>
          <w:szCs w:val="21"/>
        </w:rPr>
        <w:t>滴定至终点。第一次消耗的硫酸盐铁铵体积减第二次消耗的硫酸亚铁铵体积，该体积差即为空白值。</w:t>
      </w:r>
    </w:p>
    <w:p>
      <w:pPr>
        <w:tabs>
          <w:tab w:val="left" w:pos="420"/>
        </w:tabs>
        <w:adjustRightInd w:val="0"/>
        <w:spacing w:line="300" w:lineRule="auto"/>
        <w:ind w:firstLine="437"/>
        <w:textAlignment w:val="baseline"/>
        <w:rPr>
          <w:color w:val="000000"/>
          <w:szCs w:val="21"/>
        </w:rPr>
      </w:pPr>
      <w:r>
        <w:rPr>
          <w:rFonts w:hint="eastAsia" w:ascii="Times New Roman" w:hAnsi="Times New Roman" w:cs="Times New Roman"/>
          <w:color w:val="000000"/>
          <w:szCs w:val="21"/>
        </w:rPr>
        <w:t>结果表明，</w:t>
      </w:r>
      <w:r>
        <w:rPr>
          <w:rFonts w:hint="eastAsia" w:eastAsiaTheme="minorEastAsia"/>
          <w:szCs w:val="21"/>
        </w:rPr>
        <w:t>不同体积的硫酸高铈对空白值及测定结果无明显影响，但是加入5.00</w:t>
      </w:r>
      <w:r>
        <w:rPr>
          <w:rFonts w:ascii="Times New Roman" w:hAnsi="Times New Roman" w:cs="Times New Roman"/>
          <w:color w:val="000000"/>
          <w:szCs w:val="21"/>
        </w:rPr>
        <w:t>mL</w:t>
      </w:r>
      <w:r>
        <w:rPr>
          <w:rFonts w:hint="eastAsia" w:ascii="Times New Roman" w:hAnsi="Times New Roman" w:cs="Times New Roman"/>
          <w:color w:val="000000"/>
          <w:szCs w:val="21"/>
        </w:rPr>
        <w:t>和10.00</w:t>
      </w:r>
      <w:r>
        <w:rPr>
          <w:rFonts w:ascii="Times New Roman" w:hAnsi="Times New Roman" w:cs="Times New Roman"/>
          <w:color w:val="000000"/>
          <w:szCs w:val="21"/>
        </w:rPr>
        <w:t>mL</w:t>
      </w:r>
      <w:r>
        <w:rPr>
          <w:rFonts w:hint="eastAsia" w:ascii="Times New Roman" w:hAnsi="Times New Roman" w:cs="Times New Roman"/>
          <w:color w:val="000000"/>
          <w:szCs w:val="21"/>
        </w:rPr>
        <w:t>空白值的数据更加稳定，故选择加入滴定体积更小的</w:t>
      </w:r>
      <w:r>
        <w:rPr>
          <w:rFonts w:hint="eastAsia" w:eastAsiaTheme="minorEastAsia"/>
          <w:szCs w:val="21"/>
        </w:rPr>
        <w:t>5.00</w:t>
      </w:r>
      <w:r>
        <w:rPr>
          <w:rFonts w:ascii="Times New Roman" w:hAnsi="Times New Roman" w:cs="Times New Roman"/>
          <w:color w:val="000000"/>
          <w:szCs w:val="21"/>
        </w:rPr>
        <w:t>mL</w:t>
      </w:r>
      <w:r>
        <w:rPr>
          <w:rFonts w:hint="eastAsia" w:ascii="Times New Roman" w:hAnsi="Times New Roman" w:cs="Times New Roman"/>
          <w:color w:val="000000"/>
          <w:szCs w:val="21"/>
        </w:rPr>
        <w:t>硫酸高铈作为空白。</w:t>
      </w:r>
    </w:p>
    <w:p>
      <w:pPr>
        <w:adjustRightInd w:val="0"/>
        <w:snapToGrid w:val="0"/>
        <w:spacing w:line="300" w:lineRule="auto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3.</w:t>
      </w:r>
      <w:r>
        <w:rPr>
          <w:rFonts w:hint="eastAsia" w:ascii="Times New Roman" w:hAnsi="Times New Roman" w:cs="Times New Roman" w:eastAsiaTheme="minorEastAsia"/>
          <w:szCs w:val="21"/>
        </w:rPr>
        <w:t>1.7</w:t>
      </w:r>
      <w:r>
        <w:rPr>
          <w:rFonts w:ascii="Times New Roman" w:hAnsi="Arial" w:cs="Times New Roman" w:eastAsiaTheme="minorEastAsia"/>
          <w:szCs w:val="21"/>
        </w:rPr>
        <w:t>准确</w:t>
      </w:r>
      <w:r>
        <w:rPr>
          <w:rFonts w:hint="eastAsia" w:ascii="Times New Roman" w:hAnsi="Arial" w:cs="Times New Roman" w:eastAsiaTheme="minorEastAsia"/>
          <w:szCs w:val="21"/>
        </w:rPr>
        <w:t>度</w:t>
      </w:r>
      <w:r>
        <w:rPr>
          <w:rFonts w:ascii="Times New Roman" w:hAnsi="Arial" w:cs="Times New Roman" w:eastAsiaTheme="minorEastAsia"/>
          <w:szCs w:val="21"/>
        </w:rPr>
        <w:t>试验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Arial" w:cs="Times New Roman" w:eastAsiaTheme="minorEastAsia"/>
          <w:szCs w:val="21"/>
        </w:rPr>
        <w:t>由于镧铈金属</w:t>
      </w:r>
      <w:r>
        <w:rPr>
          <w:rFonts w:hint="eastAsia" w:ascii="Times New Roman" w:hAnsi="Arial" w:cs="Times New Roman" w:eastAsiaTheme="minorEastAsia"/>
          <w:szCs w:val="21"/>
        </w:rPr>
        <w:t>试样和</w:t>
      </w:r>
      <w:r>
        <w:rPr>
          <w:rFonts w:ascii="Times New Roman" w:hAnsi="Arial" w:cs="Times New Roman" w:eastAsiaTheme="minorEastAsia"/>
          <w:szCs w:val="21"/>
        </w:rPr>
        <w:t>氧化镧铈</w:t>
      </w:r>
      <w:r>
        <w:rPr>
          <w:rFonts w:hint="eastAsia" w:ascii="Times New Roman" w:hAnsi="Arial" w:cs="Times New Roman" w:eastAsiaTheme="minorEastAsia"/>
          <w:szCs w:val="21"/>
        </w:rPr>
        <w:t>试样中</w:t>
      </w:r>
      <w:r>
        <w:rPr>
          <w:rFonts w:ascii="Times New Roman" w:hAnsi="Arial" w:cs="Times New Roman" w:eastAsiaTheme="minorEastAsia"/>
          <w:szCs w:val="21"/>
        </w:rPr>
        <w:t>铈量超过</w:t>
      </w:r>
      <w:r>
        <w:rPr>
          <w:rFonts w:ascii="Times New Roman" w:hAnsi="Times New Roman" w:cs="Times New Roman" w:eastAsiaTheme="minorEastAsia"/>
          <w:szCs w:val="21"/>
        </w:rPr>
        <w:t>50%</w:t>
      </w:r>
      <w:r>
        <w:rPr>
          <w:rFonts w:ascii="Times New Roman" w:hAnsi="Arial" w:cs="Times New Roman" w:eastAsiaTheme="minorEastAsia"/>
          <w:szCs w:val="21"/>
        </w:rPr>
        <w:t>，无法使用加标回收进行方法准确性的验证，只能通过</w:t>
      </w:r>
      <w:r>
        <w:rPr>
          <w:rFonts w:ascii="Times New Roman" w:hAnsi="Times New Roman" w:cs="Times New Roman" w:eastAsiaTheme="minorEastAsia"/>
          <w:szCs w:val="21"/>
        </w:rPr>
        <w:t>ICP-AES</w:t>
      </w:r>
      <w:r>
        <w:rPr>
          <w:rFonts w:ascii="Times New Roman" w:hAnsi="Arial" w:cs="Times New Roman" w:eastAsiaTheme="minorEastAsia"/>
          <w:szCs w:val="21"/>
        </w:rPr>
        <w:t>进行</w:t>
      </w:r>
      <w:r>
        <w:rPr>
          <w:rFonts w:ascii="Times New Roman" w:hAnsi="Times New Roman" w:cs="Times New Roman" w:eastAsiaTheme="minorEastAsia"/>
          <w:szCs w:val="21"/>
        </w:rPr>
        <w:t>La-Ce</w:t>
      </w:r>
      <w:r>
        <w:rPr>
          <w:rFonts w:ascii="Times New Roman" w:hAnsi="Arial" w:cs="Times New Roman" w:eastAsiaTheme="minorEastAsia"/>
          <w:szCs w:val="21"/>
        </w:rPr>
        <w:t>配分试验，并参照</w:t>
      </w:r>
      <w:r>
        <w:rPr>
          <w:rFonts w:ascii="Times New Roman" w:hAnsi="Times New Roman" w:cs="Times New Roman" w:eastAsiaTheme="minorEastAsia"/>
          <w:szCs w:val="21"/>
        </w:rPr>
        <w:t>GB/T 14635-2008</w:t>
      </w:r>
      <w:r>
        <w:rPr>
          <w:rFonts w:ascii="Times New Roman" w:hAnsi="Arial" w:cs="Times New Roman" w:eastAsiaTheme="minorEastAsia"/>
          <w:szCs w:val="21"/>
        </w:rPr>
        <w:t>《稀土金属及其化合物化学分析方法稀土总量的测定》对氧化镧铈进行进行了稀土总量的测定，对其配分结果进行校正。碳酸镧铈样品对其加标</w:t>
      </w:r>
      <w:r>
        <w:rPr>
          <w:rFonts w:ascii="Times New Roman" w:hAnsi="Times New Roman" w:cs="Times New Roman" w:eastAsiaTheme="minorEastAsia"/>
          <w:szCs w:val="21"/>
        </w:rPr>
        <w:t>1</w:t>
      </w:r>
      <w:r>
        <w:rPr>
          <w:rFonts w:ascii="Times New Roman" w:hAnsi="Arial" w:cs="Times New Roman" w:eastAsiaTheme="minorEastAsia"/>
          <w:szCs w:val="21"/>
        </w:rPr>
        <w:t>倍，进行回收率试验。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Times New Roman" w:hAnsi="Arial" w:cs="Times New Roman" w:eastAsiaTheme="minorEastAsia"/>
          <w:szCs w:val="21"/>
        </w:rPr>
      </w:pPr>
      <w:r>
        <w:rPr>
          <w:rFonts w:ascii="Times New Roman" w:hAnsi="Arial" w:cs="Times New Roman" w:eastAsiaTheme="minorEastAsia"/>
          <w:szCs w:val="21"/>
        </w:rPr>
        <w:t>结果表明，配分结果与滴定结果基本一致，且回收率良好。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Times New Roman" w:hAnsi="Arial" w:cs="Times New Roman" w:eastAsiaTheme="minorEastAsia"/>
          <w:szCs w:val="21"/>
        </w:rPr>
      </w:pPr>
      <w:r>
        <w:rPr>
          <w:rFonts w:hint="eastAsia" w:ascii="Times New Roman" w:hAnsi="Arial" w:cs="Times New Roman" w:eastAsiaTheme="minorEastAsia"/>
          <w:szCs w:val="21"/>
        </w:rPr>
        <w:t>对碳酸镧铈试样进行加标实验，即称量5g样品溶解后定容于250mL容量瓶中，分取10mL至250mL锥形瓶中，并加入30mg氧化铈标准溶液，计算加标回收率。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Times New Roman" w:hAnsi="Arial" w:cs="Times New Roman" w:eastAsiaTheme="minorEastAsia"/>
          <w:szCs w:val="21"/>
        </w:rPr>
      </w:pPr>
      <w:r>
        <w:rPr>
          <w:rFonts w:hint="eastAsia" w:ascii="Times New Roman" w:hAnsi="Arial" w:cs="Times New Roman" w:eastAsiaTheme="minorEastAsia"/>
          <w:szCs w:val="21"/>
        </w:rPr>
        <w:t>结果表明，加标回收率结果在98.76%-101.50%，回收率良好。</w:t>
      </w:r>
    </w:p>
    <w:p>
      <w:pPr>
        <w:adjustRightInd w:val="0"/>
        <w:snapToGrid w:val="0"/>
        <w:spacing w:line="300" w:lineRule="auto"/>
        <w:rPr>
          <w:rFonts w:ascii="Times New Roman" w:hAnsi="Arial" w:cs="Times New Roman" w:eastAsiaTheme="minorEastAsia"/>
          <w:szCs w:val="21"/>
        </w:rPr>
      </w:pPr>
      <w:r>
        <w:rPr>
          <w:rFonts w:hint="eastAsia" w:ascii="Times New Roman" w:hAnsi="Arial" w:cs="Times New Roman" w:eastAsiaTheme="minorEastAsia"/>
          <w:szCs w:val="21"/>
        </w:rPr>
        <w:t>3.1.8 精密度试验</w:t>
      </w:r>
    </w:p>
    <w:p>
      <w:pPr>
        <w:pStyle w:val="49"/>
        <w:spacing w:line="300" w:lineRule="auto"/>
        <w:ind w:firstLine="420"/>
        <w:rPr>
          <w:rFonts w:hAnsi="宋体"/>
          <w:color w:val="auto"/>
          <w:sz w:val="21"/>
          <w:szCs w:val="21"/>
        </w:rPr>
      </w:pPr>
      <w:r>
        <w:rPr>
          <w:rFonts w:hint="eastAsia" w:hAnsi="宋体"/>
          <w:color w:val="auto"/>
          <w:sz w:val="21"/>
          <w:szCs w:val="21"/>
        </w:rPr>
        <w:t>按分析步骤对镧铈金属试样、氧化镧铈试样、碳酸镧铈试样进行多次分析，得到相对标准偏差数据。</w:t>
      </w:r>
    </w:p>
    <w:p>
      <w:pPr>
        <w:pStyle w:val="49"/>
        <w:spacing w:line="300" w:lineRule="auto"/>
        <w:ind w:firstLine="420"/>
        <w:rPr>
          <w:rFonts w:hAnsi="宋体"/>
          <w:color w:val="auto"/>
          <w:sz w:val="21"/>
          <w:szCs w:val="21"/>
        </w:rPr>
      </w:pPr>
      <w:r>
        <w:rPr>
          <w:rFonts w:hint="eastAsia" w:hAnsi="宋体"/>
          <w:color w:val="auto"/>
          <w:sz w:val="21"/>
          <w:szCs w:val="21"/>
        </w:rPr>
        <w:t>结果表明，镧铈金属试样的相对标准偏差在</w:t>
      </w:r>
      <w:r>
        <w:rPr>
          <w:color w:val="auto"/>
          <w:sz w:val="21"/>
          <w:szCs w:val="21"/>
        </w:rPr>
        <w:t>0.0</w:t>
      </w:r>
      <w:r>
        <w:rPr>
          <w:rFonts w:hint="eastAsia"/>
          <w:color w:val="auto"/>
          <w:sz w:val="21"/>
          <w:szCs w:val="21"/>
        </w:rPr>
        <w:t>8</w:t>
      </w:r>
      <w:r>
        <w:rPr>
          <w:rFonts w:eastAsiaTheme="minorEastAsia"/>
          <w:sz w:val="21"/>
          <w:szCs w:val="21"/>
        </w:rPr>
        <w:t>%-0.3</w:t>
      </w:r>
      <w:r>
        <w:rPr>
          <w:rFonts w:hint="eastAsia" w:eastAsiaTheme="minorEastAsia"/>
          <w:sz w:val="21"/>
          <w:szCs w:val="21"/>
        </w:rPr>
        <w:t>3</w:t>
      </w:r>
      <w:r>
        <w:rPr>
          <w:rFonts w:eastAsiaTheme="minorEastAsia"/>
          <w:sz w:val="21"/>
          <w:szCs w:val="21"/>
        </w:rPr>
        <w:t>%</w:t>
      </w:r>
      <w:r>
        <w:rPr>
          <w:rFonts w:hint="eastAsia" w:eastAsiaTheme="minorEastAsia"/>
          <w:sz w:val="21"/>
          <w:szCs w:val="21"/>
        </w:rPr>
        <w:t>；氧化镧铈试样的相对标准偏差在0</w:t>
      </w:r>
      <w:r>
        <w:rPr>
          <w:color w:val="auto"/>
          <w:sz w:val="21"/>
          <w:szCs w:val="21"/>
        </w:rPr>
        <w:t>.10</w:t>
      </w:r>
      <w:r>
        <w:rPr>
          <w:rFonts w:eastAsiaTheme="minorEastAsia"/>
          <w:sz w:val="21"/>
          <w:szCs w:val="21"/>
        </w:rPr>
        <w:t>%-0.35%</w:t>
      </w:r>
      <w:r>
        <w:rPr>
          <w:rFonts w:hint="eastAsia" w:eastAsiaTheme="minorEastAsia"/>
          <w:sz w:val="21"/>
          <w:szCs w:val="21"/>
        </w:rPr>
        <w:t>；碳酸镧铈试样的相对标准偏差在</w:t>
      </w:r>
      <w:r>
        <w:rPr>
          <w:rFonts w:hint="eastAsia"/>
          <w:color w:val="auto"/>
          <w:sz w:val="21"/>
          <w:szCs w:val="21"/>
        </w:rPr>
        <w:t>0.13</w:t>
      </w:r>
      <w:r>
        <w:rPr>
          <w:rFonts w:eastAsiaTheme="minorEastAsia"/>
          <w:sz w:val="21"/>
          <w:szCs w:val="21"/>
        </w:rPr>
        <w:t xml:space="preserve"> %-0.3</w:t>
      </w:r>
      <w:r>
        <w:rPr>
          <w:rFonts w:hint="eastAsia" w:eastAsiaTheme="minorEastAsia"/>
          <w:sz w:val="21"/>
          <w:szCs w:val="21"/>
        </w:rPr>
        <w:t>2</w:t>
      </w:r>
      <w:r>
        <w:rPr>
          <w:rFonts w:eastAsiaTheme="minorEastAsia"/>
          <w:sz w:val="21"/>
          <w:szCs w:val="21"/>
        </w:rPr>
        <w:t>%</w:t>
      </w:r>
      <w:r>
        <w:rPr>
          <w:rFonts w:hint="eastAsia" w:eastAsiaTheme="minorEastAsia"/>
          <w:sz w:val="21"/>
          <w:szCs w:val="21"/>
        </w:rPr>
        <w:t>，</w:t>
      </w:r>
      <w:r>
        <w:rPr>
          <w:rFonts w:hint="eastAsia" w:hAnsi="宋体"/>
          <w:color w:val="auto"/>
          <w:sz w:val="21"/>
          <w:szCs w:val="21"/>
        </w:rPr>
        <w:t>精密度良好。</w:t>
      </w:r>
    </w:p>
    <w:p>
      <w:pPr>
        <w:pStyle w:val="49"/>
        <w:spacing w:line="300" w:lineRule="auto"/>
        <w:ind w:firstLine="0" w:firstLineChars="0"/>
        <w:rPr>
          <w:rFonts w:hAnsi="宋体"/>
          <w:color w:val="auto"/>
          <w:sz w:val="21"/>
          <w:szCs w:val="21"/>
        </w:rPr>
      </w:pPr>
    </w:p>
    <w:p>
      <w:pPr>
        <w:adjustRightInd w:val="0"/>
        <w:snapToGrid w:val="0"/>
        <w:spacing w:line="300" w:lineRule="auto"/>
        <w:rPr>
          <w:rFonts w:ascii="Times New Roman" w:hAnsi="Times New Roman" w:cs="Times New Roman" w:eastAsiaTheme="minorEastAsia"/>
          <w:b/>
          <w:szCs w:val="21"/>
        </w:rPr>
      </w:pPr>
      <w:r>
        <w:rPr>
          <w:rFonts w:ascii="Times New Roman" w:hAnsi="Arial" w:cs="Times New Roman" w:eastAsiaTheme="minorEastAsia"/>
          <w:b/>
          <w:szCs w:val="21"/>
        </w:rPr>
        <w:t>四、标准水平分析</w:t>
      </w:r>
    </w:p>
    <w:p>
      <w:pPr>
        <w:adjustRightInd w:val="0"/>
        <w:snapToGrid w:val="0"/>
        <w:spacing w:line="300" w:lineRule="auto"/>
        <w:rPr>
          <w:rFonts w:ascii="Times New Roman" w:hAnsi="Times New Roman" w:cs="Times New Roman" w:eastAsiaTheme="minorEastAsia"/>
          <w:b/>
          <w:szCs w:val="21"/>
        </w:rPr>
      </w:pPr>
      <w:r>
        <w:rPr>
          <w:rFonts w:ascii="Times New Roman" w:hAnsi="Arial" w:cs="Times New Roman" w:eastAsiaTheme="minorEastAsia"/>
          <w:b/>
          <w:szCs w:val="21"/>
        </w:rPr>
        <w:t>五、与现行相关法律、法规、规章及相关标准，特别是强制性标准的协调性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Arial" w:cs="Times New Roman" w:eastAsiaTheme="minorEastAsia"/>
          <w:szCs w:val="21"/>
        </w:rPr>
        <w:t>本部分标准完全满足现行国家法规的要求，</w:t>
      </w:r>
      <w:r>
        <w:rPr>
          <w:rFonts w:hint="eastAsia" w:ascii="Times New Roman" w:hAnsi="Arial" w:cs="Times New Roman" w:eastAsiaTheme="minorEastAsia"/>
          <w:szCs w:val="21"/>
        </w:rPr>
        <w:t>与其他现行标准不冲突。</w:t>
      </w:r>
    </w:p>
    <w:p>
      <w:pPr>
        <w:adjustRightInd w:val="0"/>
        <w:snapToGrid w:val="0"/>
        <w:spacing w:line="300" w:lineRule="auto"/>
        <w:rPr>
          <w:rFonts w:ascii="Times New Roman" w:hAnsi="Times New Roman" w:cs="Times New Roman" w:eastAsiaTheme="minorEastAsia"/>
          <w:b/>
          <w:szCs w:val="21"/>
        </w:rPr>
      </w:pPr>
      <w:r>
        <w:rPr>
          <w:rFonts w:ascii="Times New Roman" w:hAnsi="Arial" w:cs="Times New Roman" w:eastAsiaTheme="minorEastAsia"/>
          <w:b/>
          <w:szCs w:val="21"/>
        </w:rPr>
        <w:t>六、标准中如涉及专利，应有明确的知识产权说明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Arial" w:cs="Times New Roman" w:eastAsiaTheme="minorEastAsia"/>
          <w:szCs w:val="21"/>
        </w:rPr>
        <w:t>本标准不涉及专利。</w:t>
      </w:r>
    </w:p>
    <w:p>
      <w:pPr>
        <w:adjustRightInd w:val="0"/>
        <w:snapToGrid w:val="0"/>
        <w:spacing w:line="300" w:lineRule="auto"/>
        <w:rPr>
          <w:rFonts w:ascii="Times New Roman" w:hAnsi="Times New Roman" w:cs="Times New Roman" w:eastAsiaTheme="minorEastAsia"/>
          <w:b/>
          <w:szCs w:val="21"/>
        </w:rPr>
      </w:pPr>
      <w:r>
        <w:rPr>
          <w:rFonts w:hint="eastAsia" w:ascii="Times New Roman" w:hAnsi="Arial" w:cs="Times New Roman" w:eastAsiaTheme="minorEastAsia"/>
          <w:b/>
          <w:szCs w:val="21"/>
        </w:rPr>
        <w:t>七</w:t>
      </w:r>
      <w:r>
        <w:rPr>
          <w:rFonts w:ascii="Times New Roman" w:hAnsi="Arial" w:cs="Times New Roman" w:eastAsiaTheme="minorEastAsia"/>
          <w:b/>
          <w:szCs w:val="21"/>
        </w:rPr>
        <w:t>、标准作为强制性或推荐性国家（或行业）标准的建议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Arial" w:cs="Times New Roman" w:eastAsiaTheme="minorEastAsia"/>
          <w:szCs w:val="21"/>
        </w:rPr>
        <w:t>本标准建议作为推荐性国家标准来制定。</w:t>
      </w:r>
    </w:p>
    <w:p>
      <w:pPr>
        <w:adjustRightInd w:val="0"/>
        <w:snapToGrid w:val="0"/>
        <w:spacing w:line="300" w:lineRule="auto"/>
        <w:rPr>
          <w:rFonts w:ascii="Times New Roman" w:hAnsi="Times New Roman" w:cs="Times New Roman" w:eastAsiaTheme="minorEastAsia"/>
          <w:b/>
          <w:szCs w:val="21"/>
        </w:rPr>
      </w:pPr>
      <w:r>
        <w:rPr>
          <w:rFonts w:hint="eastAsia" w:ascii="Times New Roman" w:hAnsi="Arial" w:cs="Times New Roman" w:eastAsiaTheme="minorEastAsia"/>
          <w:b/>
          <w:szCs w:val="21"/>
        </w:rPr>
        <w:t>八</w:t>
      </w:r>
      <w:r>
        <w:rPr>
          <w:rFonts w:ascii="Times New Roman" w:hAnsi="Arial" w:cs="Times New Roman" w:eastAsiaTheme="minorEastAsia"/>
          <w:b/>
          <w:szCs w:val="21"/>
        </w:rPr>
        <w:t>、贯彻标准的要求和措施建议，包括：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Arial" w:cs="Times New Roman" w:eastAsiaTheme="minorEastAsia"/>
          <w:szCs w:val="21"/>
        </w:rPr>
        <w:t>标准颁布实施后，需要国家有关部门组织大力宣传和贯彻，主办各种形式的培训班，使相关企业及相关贸易单位能够积极主动地解读标准内容，充分认识和理解制订的标准条款，进而</w:t>
      </w:r>
      <w:r>
        <w:rPr>
          <w:rFonts w:ascii="Times New Roman" w:hAnsi="Times New Roman" w:cs="Times New Roman" w:eastAsiaTheme="minorEastAsia"/>
          <w:szCs w:val="21"/>
        </w:rPr>
        <w:t>加以应用。</w:t>
      </w:r>
    </w:p>
    <w:p>
      <w:pPr>
        <w:adjustRightInd w:val="0"/>
        <w:snapToGrid w:val="0"/>
        <w:spacing w:line="300" w:lineRule="auto"/>
        <w:rPr>
          <w:rFonts w:ascii="Times New Roman" w:hAnsi="Times New Roman" w:cs="Times New Roman" w:eastAsiaTheme="minorEastAsia"/>
          <w:szCs w:val="21"/>
        </w:rPr>
      </w:pPr>
    </w:p>
    <w:p>
      <w:pPr>
        <w:adjustRightInd w:val="0"/>
        <w:snapToGrid w:val="0"/>
        <w:spacing w:line="300" w:lineRule="auto"/>
        <w:rPr>
          <w:rFonts w:ascii="Times New Roman" w:hAnsi="Times New Roman" w:cs="Times New Roman" w:eastAsiaTheme="minorEastAsia"/>
          <w:szCs w:val="21"/>
        </w:rPr>
      </w:pPr>
    </w:p>
    <w:p>
      <w:pPr>
        <w:adjustRightInd w:val="0"/>
        <w:snapToGrid w:val="0"/>
        <w:spacing w:line="300" w:lineRule="auto"/>
        <w:jc w:val="right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Arial" w:cs="Times New Roman" w:eastAsiaTheme="minorEastAsia"/>
          <w:szCs w:val="21"/>
        </w:rPr>
        <w:t>国标（北京）检验认证有限公司</w:t>
      </w:r>
    </w:p>
    <w:p>
      <w:pPr>
        <w:adjustRightInd w:val="0"/>
        <w:snapToGrid w:val="0"/>
        <w:spacing w:line="300" w:lineRule="auto"/>
        <w:ind w:left="2310" w:leftChars="1100"/>
        <w:jc w:val="right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Arial" w:cs="Times New Roman" w:eastAsiaTheme="minorEastAsia"/>
          <w:szCs w:val="21"/>
        </w:rPr>
        <w:t>二〇</w:t>
      </w:r>
      <w:r>
        <w:rPr>
          <w:rFonts w:hint="eastAsia" w:ascii="Times New Roman" w:hAnsi="Arial" w:cs="Times New Roman" w:eastAsiaTheme="minorEastAsia"/>
          <w:szCs w:val="21"/>
        </w:rPr>
        <w:t>二</w:t>
      </w:r>
      <w:r>
        <w:rPr>
          <w:rFonts w:ascii="Times New Roman" w:hAnsi="Arial" w:cs="Times New Roman" w:eastAsiaTheme="minorEastAsia"/>
          <w:szCs w:val="21"/>
        </w:rPr>
        <w:t>〇年</w:t>
      </w:r>
      <w:r>
        <w:rPr>
          <w:rFonts w:hint="eastAsia" w:ascii="Times New Roman" w:hAnsi="Arial" w:cs="Times New Roman" w:eastAsiaTheme="minorEastAsia"/>
          <w:szCs w:val="21"/>
          <w:lang w:val="en-US" w:eastAsia="zh-CN"/>
        </w:rPr>
        <w:t>七</w:t>
      </w:r>
      <w:r>
        <w:rPr>
          <w:rFonts w:ascii="Times New Roman" w:hAnsi="Arial" w:cs="Times New Roman" w:eastAsiaTheme="minorEastAsia"/>
          <w:szCs w:val="21"/>
        </w:rPr>
        <w:t>月</w:t>
      </w:r>
      <w:r>
        <w:rPr>
          <w:rFonts w:hint="eastAsia" w:ascii="Times New Roman" w:hAnsi="Arial" w:cs="Times New Roman" w:eastAsiaTheme="minorEastAsia"/>
          <w:szCs w:val="21"/>
          <w:lang w:val="en-US" w:eastAsia="zh-CN"/>
        </w:rPr>
        <w:t>五</w:t>
      </w:r>
      <w:r>
        <w:rPr>
          <w:rFonts w:ascii="Times New Roman" w:hAnsi="Arial" w:cs="Times New Roman" w:eastAsiaTheme="minorEastAsia"/>
          <w:szCs w:val="21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pict>
        <v:shape id="_x0000_s8193" o:spid="_x0000_s8193" o:spt="202" type="#_x0000_t202" style="position:absolute;left:0pt;margin-top:0pt;height:11pt;width:4.6pt;mso-position-horizontal:center;mso-position-horizontal-relative:margin;mso-wrap-style:none;z-index:25165824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Kd8gEAALMDAAAOAAAAZHJzL2Uyb0RvYy54bWysU8uO0zAU3SPxD5b3NG15DVHT0TCjIqSB&#10;QRr4AMdxEovY17p2m5QPgD+YFRv2fFe/Y66dpgywQ2ysG/v6+JxzT1bng+nYTqHXYAu+mM05U1ZC&#10;pW1T8E8fN0/OOPNB2Ep0YFXB98rz8/XjR6ve5WoJLXSVQkYg1ue9K3gbgsuzzMtWGeFn4JSlwxrQ&#10;iECf2GQVip7QTZct5/MXWQ9YOQSpvKfdq/GQrxN+XSsZburaq8C6ghO3kFZMaxnXbL0SeYPCtVoe&#10;aYh/YGGEtvToCepKBMG2qP+CMloieKjDTILJoK61VEkDqVnM/1Bz2wqnkhYyx7uTTf7/wcr3uw/I&#10;dEWz48wKQyM63H07fP95+PGVLaI9vfM5dd066gvDaxhia5Tq3TXIz55ZuGyFbdQFIvStEhXRSzez&#10;B1dHHB9Byv4dVPSO2AZIQEONJgKSG4zQaUz702jUEJikzednz5Z0IOlk8fTVy3maXCby6a5DH94o&#10;MCwWBUcafMIWu2sfSAW1Ti3xKQsb3XVp+J39bYMa407iHumOxMNQDkcvSqj2pAJhzBJln4oW8Atn&#10;PeWo4JaCzln31pIPMXJTgVNRToWwki4WPHA2lpdhjObWoW5awp2cviCvNjoJiaaOHI4sKRlJ3zHF&#10;MXoPv1PXr39tfQ8AAP//AwBQSwMEFAAGAAgAAAAhAPYBmWDXAAAAAgEAAA8AAABkcnMvZG93bnJl&#10;di54bWxMj8FOwzAQRO9I/IO1SNyo0xyghDhVVamX3ihVJW7beBtH2OvIdtPk7zFc4LLSaEYzb+v1&#10;5KwYKcTes4LlogBB3Hrdc6fg+LF7WoGICVmj9UwKZoqwbu7vaqy0v/E7jYfUiVzCsUIFJqWhkjK2&#10;hhzGhR+Is3fxwWHKMnRSB7zlcmdlWRTP0mHPecHgQFtD7dfh6hS8TCdPQ6QtfV7GNph+Xtn9rNTj&#10;w7R5A5FoSn9h+MHP6NBkprO/so7CKsiPpN+bvdcSxFlBWRYgm1r+R2++AQAA//8DAFBLAQItABQA&#10;BgAIAAAAIQC2gziS/gAAAOEBAAATAAAAAAAAAAAAAAAAAAAAAABbQ29udGVudF9UeXBlc10ueG1s&#10;UEsBAi0AFAAGAAgAAAAhADj9If/WAAAAlAEAAAsAAAAAAAAAAAAAAAAALwEAAF9yZWxzLy5yZWxz&#10;UEsBAi0AFAAGAAgAAAAhAKQCkp3yAQAAswMAAA4AAAAAAAAAAAAAAAAALgIAAGRycy9lMm9Eb2Mu&#10;eG1sUEsBAi0AFAAGAAgAAAAhAPYBmWDXAAAAAgEAAA8AAAAAAAAAAAAAAAAATAQAAGRycy9kb3du&#10;cmV2LnhtbFBLBQYAAAAABAAEAPMAAABQ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center"/>
      <w:rPr>
        <w:rFonts w:ascii="宋体" w:hAnsi="宋体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5A51"/>
    <w:multiLevelType w:val="multilevel"/>
    <w:tmpl w:val="13EF5A51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default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3F834055"/>
    <w:multiLevelType w:val="multilevel"/>
    <w:tmpl w:val="3F834055"/>
    <w:lvl w:ilvl="0" w:tentative="0">
      <w:start w:val="1"/>
      <w:numFmt w:val="decimal"/>
      <w:pStyle w:val="17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8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51FB"/>
    <w:rsid w:val="00027A7A"/>
    <w:rsid w:val="00031540"/>
    <w:rsid w:val="0003620D"/>
    <w:rsid w:val="0003752B"/>
    <w:rsid w:val="00040C85"/>
    <w:rsid w:val="00055E11"/>
    <w:rsid w:val="00084F6C"/>
    <w:rsid w:val="00090371"/>
    <w:rsid w:val="00093B2B"/>
    <w:rsid w:val="000C5D93"/>
    <w:rsid w:val="000D34C6"/>
    <w:rsid w:val="000E3E67"/>
    <w:rsid w:val="000E652D"/>
    <w:rsid w:val="000E7FDC"/>
    <w:rsid w:val="00105A46"/>
    <w:rsid w:val="001126DC"/>
    <w:rsid w:val="00115644"/>
    <w:rsid w:val="00123CC8"/>
    <w:rsid w:val="0014145D"/>
    <w:rsid w:val="0014333F"/>
    <w:rsid w:val="001613DF"/>
    <w:rsid w:val="001662F5"/>
    <w:rsid w:val="00172A27"/>
    <w:rsid w:val="001840AE"/>
    <w:rsid w:val="00187251"/>
    <w:rsid w:val="00194092"/>
    <w:rsid w:val="00194C0B"/>
    <w:rsid w:val="001B34A2"/>
    <w:rsid w:val="001B3B53"/>
    <w:rsid w:val="001C139A"/>
    <w:rsid w:val="001D3658"/>
    <w:rsid w:val="001D7B82"/>
    <w:rsid w:val="001F0052"/>
    <w:rsid w:val="001F4B87"/>
    <w:rsid w:val="002363FB"/>
    <w:rsid w:val="0024004C"/>
    <w:rsid w:val="00241605"/>
    <w:rsid w:val="00246000"/>
    <w:rsid w:val="002475F3"/>
    <w:rsid w:val="002567BF"/>
    <w:rsid w:val="00257C88"/>
    <w:rsid w:val="002653F7"/>
    <w:rsid w:val="00270CA7"/>
    <w:rsid w:val="002719A3"/>
    <w:rsid w:val="002750FE"/>
    <w:rsid w:val="00290C36"/>
    <w:rsid w:val="00294C5A"/>
    <w:rsid w:val="002A076D"/>
    <w:rsid w:val="002A658F"/>
    <w:rsid w:val="002A7676"/>
    <w:rsid w:val="002B219D"/>
    <w:rsid w:val="002E33CC"/>
    <w:rsid w:val="00307343"/>
    <w:rsid w:val="0031156B"/>
    <w:rsid w:val="00313DC5"/>
    <w:rsid w:val="00316940"/>
    <w:rsid w:val="003327CC"/>
    <w:rsid w:val="00333239"/>
    <w:rsid w:val="00337709"/>
    <w:rsid w:val="00341844"/>
    <w:rsid w:val="003440F6"/>
    <w:rsid w:val="003564C5"/>
    <w:rsid w:val="003564EA"/>
    <w:rsid w:val="00365717"/>
    <w:rsid w:val="00366D8B"/>
    <w:rsid w:val="00380586"/>
    <w:rsid w:val="0038102B"/>
    <w:rsid w:val="003A1F02"/>
    <w:rsid w:val="003B4086"/>
    <w:rsid w:val="003B7591"/>
    <w:rsid w:val="003C02F9"/>
    <w:rsid w:val="003C39AD"/>
    <w:rsid w:val="003D18B3"/>
    <w:rsid w:val="003D276D"/>
    <w:rsid w:val="003E5FFA"/>
    <w:rsid w:val="003E777C"/>
    <w:rsid w:val="003F3093"/>
    <w:rsid w:val="003F7982"/>
    <w:rsid w:val="00406CCD"/>
    <w:rsid w:val="00407F2C"/>
    <w:rsid w:val="00423F52"/>
    <w:rsid w:val="00426158"/>
    <w:rsid w:val="00431C8B"/>
    <w:rsid w:val="00431F35"/>
    <w:rsid w:val="004441B4"/>
    <w:rsid w:val="00487814"/>
    <w:rsid w:val="0049266B"/>
    <w:rsid w:val="004B6BF3"/>
    <w:rsid w:val="004C108A"/>
    <w:rsid w:val="004C2BDF"/>
    <w:rsid w:val="004D6F24"/>
    <w:rsid w:val="004E2845"/>
    <w:rsid w:val="004E4B84"/>
    <w:rsid w:val="004E665F"/>
    <w:rsid w:val="004F3A42"/>
    <w:rsid w:val="004F6DE0"/>
    <w:rsid w:val="004F78CF"/>
    <w:rsid w:val="004F7F2A"/>
    <w:rsid w:val="00504940"/>
    <w:rsid w:val="00515C52"/>
    <w:rsid w:val="00523422"/>
    <w:rsid w:val="005262A2"/>
    <w:rsid w:val="005301FA"/>
    <w:rsid w:val="00532ADC"/>
    <w:rsid w:val="00535035"/>
    <w:rsid w:val="005373FC"/>
    <w:rsid w:val="005424C8"/>
    <w:rsid w:val="005452F1"/>
    <w:rsid w:val="00545B49"/>
    <w:rsid w:val="00545D27"/>
    <w:rsid w:val="00553B5F"/>
    <w:rsid w:val="00557E92"/>
    <w:rsid w:val="00560356"/>
    <w:rsid w:val="00577FE0"/>
    <w:rsid w:val="00581286"/>
    <w:rsid w:val="00584DFB"/>
    <w:rsid w:val="005953A8"/>
    <w:rsid w:val="005A10A4"/>
    <w:rsid w:val="005D3950"/>
    <w:rsid w:val="005D43BB"/>
    <w:rsid w:val="005E0567"/>
    <w:rsid w:val="005E27CA"/>
    <w:rsid w:val="005F565A"/>
    <w:rsid w:val="00603BAD"/>
    <w:rsid w:val="006045D2"/>
    <w:rsid w:val="00620304"/>
    <w:rsid w:val="00620EBE"/>
    <w:rsid w:val="00632275"/>
    <w:rsid w:val="006574B4"/>
    <w:rsid w:val="00663834"/>
    <w:rsid w:val="00665B8E"/>
    <w:rsid w:val="006722B1"/>
    <w:rsid w:val="00684F16"/>
    <w:rsid w:val="00686528"/>
    <w:rsid w:val="006929FE"/>
    <w:rsid w:val="00696347"/>
    <w:rsid w:val="006A0152"/>
    <w:rsid w:val="006A1BF5"/>
    <w:rsid w:val="006A6029"/>
    <w:rsid w:val="006B230B"/>
    <w:rsid w:val="006B2D6C"/>
    <w:rsid w:val="006D075D"/>
    <w:rsid w:val="006D12C8"/>
    <w:rsid w:val="006E00E9"/>
    <w:rsid w:val="006E620B"/>
    <w:rsid w:val="006F1240"/>
    <w:rsid w:val="006F27E1"/>
    <w:rsid w:val="0071211A"/>
    <w:rsid w:val="00713C7D"/>
    <w:rsid w:val="00725379"/>
    <w:rsid w:val="00727299"/>
    <w:rsid w:val="00730B5F"/>
    <w:rsid w:val="00731635"/>
    <w:rsid w:val="00732F2F"/>
    <w:rsid w:val="00732F34"/>
    <w:rsid w:val="00734853"/>
    <w:rsid w:val="00742BF6"/>
    <w:rsid w:val="007716B1"/>
    <w:rsid w:val="007730CB"/>
    <w:rsid w:val="00780029"/>
    <w:rsid w:val="007803ED"/>
    <w:rsid w:val="00780A76"/>
    <w:rsid w:val="00782AE5"/>
    <w:rsid w:val="00786ED1"/>
    <w:rsid w:val="0079311A"/>
    <w:rsid w:val="00794176"/>
    <w:rsid w:val="00794342"/>
    <w:rsid w:val="007975D9"/>
    <w:rsid w:val="007A3483"/>
    <w:rsid w:val="007B07C8"/>
    <w:rsid w:val="007C0F87"/>
    <w:rsid w:val="007D14BE"/>
    <w:rsid w:val="007D4FF1"/>
    <w:rsid w:val="007E201C"/>
    <w:rsid w:val="007E2B27"/>
    <w:rsid w:val="007E5907"/>
    <w:rsid w:val="007F1BBC"/>
    <w:rsid w:val="00801CB0"/>
    <w:rsid w:val="008027E6"/>
    <w:rsid w:val="008130A8"/>
    <w:rsid w:val="00825DA9"/>
    <w:rsid w:val="008339BC"/>
    <w:rsid w:val="00834746"/>
    <w:rsid w:val="0084092D"/>
    <w:rsid w:val="00851082"/>
    <w:rsid w:val="00880C56"/>
    <w:rsid w:val="00894C5A"/>
    <w:rsid w:val="008A089D"/>
    <w:rsid w:val="008A5E14"/>
    <w:rsid w:val="008B0905"/>
    <w:rsid w:val="008B193B"/>
    <w:rsid w:val="008B4E8D"/>
    <w:rsid w:val="008C2D86"/>
    <w:rsid w:val="008C6A20"/>
    <w:rsid w:val="00902B5E"/>
    <w:rsid w:val="0091382C"/>
    <w:rsid w:val="00913845"/>
    <w:rsid w:val="00913ACD"/>
    <w:rsid w:val="0091492A"/>
    <w:rsid w:val="00916360"/>
    <w:rsid w:val="0092417E"/>
    <w:rsid w:val="00937FFE"/>
    <w:rsid w:val="009460E5"/>
    <w:rsid w:val="009557C0"/>
    <w:rsid w:val="00955899"/>
    <w:rsid w:val="00967AEA"/>
    <w:rsid w:val="0099649E"/>
    <w:rsid w:val="009A6391"/>
    <w:rsid w:val="009B10F0"/>
    <w:rsid w:val="009C2CA1"/>
    <w:rsid w:val="009D0198"/>
    <w:rsid w:val="009E159E"/>
    <w:rsid w:val="009E2C01"/>
    <w:rsid w:val="009E348B"/>
    <w:rsid w:val="009E6132"/>
    <w:rsid w:val="009F1D11"/>
    <w:rsid w:val="009F5E0E"/>
    <w:rsid w:val="00A06995"/>
    <w:rsid w:val="00A0703E"/>
    <w:rsid w:val="00A32562"/>
    <w:rsid w:val="00A748F6"/>
    <w:rsid w:val="00A9151E"/>
    <w:rsid w:val="00A97CF7"/>
    <w:rsid w:val="00AB58C3"/>
    <w:rsid w:val="00AB5F2F"/>
    <w:rsid w:val="00AC2A44"/>
    <w:rsid w:val="00AD636E"/>
    <w:rsid w:val="00AE4AF9"/>
    <w:rsid w:val="00AF6071"/>
    <w:rsid w:val="00B02B3A"/>
    <w:rsid w:val="00B05BF4"/>
    <w:rsid w:val="00B07BB1"/>
    <w:rsid w:val="00B158FF"/>
    <w:rsid w:val="00B17F9F"/>
    <w:rsid w:val="00B21A9C"/>
    <w:rsid w:val="00B21AB0"/>
    <w:rsid w:val="00B26F3B"/>
    <w:rsid w:val="00B30A9C"/>
    <w:rsid w:val="00B317E3"/>
    <w:rsid w:val="00B35ACF"/>
    <w:rsid w:val="00B47471"/>
    <w:rsid w:val="00B575D6"/>
    <w:rsid w:val="00B62372"/>
    <w:rsid w:val="00B63AFF"/>
    <w:rsid w:val="00B66D45"/>
    <w:rsid w:val="00B74A46"/>
    <w:rsid w:val="00B76180"/>
    <w:rsid w:val="00B83585"/>
    <w:rsid w:val="00B872C3"/>
    <w:rsid w:val="00B971F8"/>
    <w:rsid w:val="00BA4488"/>
    <w:rsid w:val="00BB6D5A"/>
    <w:rsid w:val="00BB71D8"/>
    <w:rsid w:val="00BD52B2"/>
    <w:rsid w:val="00BD5A15"/>
    <w:rsid w:val="00BF04E1"/>
    <w:rsid w:val="00BF2862"/>
    <w:rsid w:val="00BF2968"/>
    <w:rsid w:val="00BF687D"/>
    <w:rsid w:val="00C001E2"/>
    <w:rsid w:val="00C03180"/>
    <w:rsid w:val="00C50DC8"/>
    <w:rsid w:val="00C5557B"/>
    <w:rsid w:val="00C62B4A"/>
    <w:rsid w:val="00C67C5A"/>
    <w:rsid w:val="00C7291D"/>
    <w:rsid w:val="00C72CCA"/>
    <w:rsid w:val="00C76331"/>
    <w:rsid w:val="00C770A5"/>
    <w:rsid w:val="00C80E76"/>
    <w:rsid w:val="00C87D9D"/>
    <w:rsid w:val="00CB6C93"/>
    <w:rsid w:val="00CC0BDD"/>
    <w:rsid w:val="00CF7316"/>
    <w:rsid w:val="00D04AA9"/>
    <w:rsid w:val="00D24E83"/>
    <w:rsid w:val="00D3145E"/>
    <w:rsid w:val="00D35793"/>
    <w:rsid w:val="00D574A7"/>
    <w:rsid w:val="00D70D72"/>
    <w:rsid w:val="00D71FD5"/>
    <w:rsid w:val="00D92927"/>
    <w:rsid w:val="00D955C2"/>
    <w:rsid w:val="00DA1FEA"/>
    <w:rsid w:val="00DA451D"/>
    <w:rsid w:val="00DB2885"/>
    <w:rsid w:val="00DD7E30"/>
    <w:rsid w:val="00DF0E0D"/>
    <w:rsid w:val="00DF5878"/>
    <w:rsid w:val="00DF74D3"/>
    <w:rsid w:val="00DF7D99"/>
    <w:rsid w:val="00E21EC4"/>
    <w:rsid w:val="00E225D5"/>
    <w:rsid w:val="00E315CB"/>
    <w:rsid w:val="00E41F9B"/>
    <w:rsid w:val="00E449AE"/>
    <w:rsid w:val="00E46972"/>
    <w:rsid w:val="00E56EF9"/>
    <w:rsid w:val="00E70191"/>
    <w:rsid w:val="00E74D19"/>
    <w:rsid w:val="00E81238"/>
    <w:rsid w:val="00E90480"/>
    <w:rsid w:val="00EB3281"/>
    <w:rsid w:val="00EC4DC5"/>
    <w:rsid w:val="00ED1E6D"/>
    <w:rsid w:val="00ED504F"/>
    <w:rsid w:val="00EE7204"/>
    <w:rsid w:val="00F035D7"/>
    <w:rsid w:val="00F12DF2"/>
    <w:rsid w:val="00F15B3E"/>
    <w:rsid w:val="00F212D7"/>
    <w:rsid w:val="00F22989"/>
    <w:rsid w:val="00F248C2"/>
    <w:rsid w:val="00F33D3C"/>
    <w:rsid w:val="00F37C4E"/>
    <w:rsid w:val="00F40E11"/>
    <w:rsid w:val="00F41098"/>
    <w:rsid w:val="00F43409"/>
    <w:rsid w:val="00F464AA"/>
    <w:rsid w:val="00F519CA"/>
    <w:rsid w:val="00F52343"/>
    <w:rsid w:val="00F533E2"/>
    <w:rsid w:val="00F53AD3"/>
    <w:rsid w:val="00F7117D"/>
    <w:rsid w:val="00F773A4"/>
    <w:rsid w:val="00F85194"/>
    <w:rsid w:val="00FA2CC6"/>
    <w:rsid w:val="00FA56C7"/>
    <w:rsid w:val="00FB19F7"/>
    <w:rsid w:val="00FB46FE"/>
    <w:rsid w:val="00FC53F8"/>
    <w:rsid w:val="00FC5F78"/>
    <w:rsid w:val="00FC6F28"/>
    <w:rsid w:val="00FE6662"/>
    <w:rsid w:val="0F504095"/>
    <w:rsid w:val="10C443E9"/>
    <w:rsid w:val="11F77C06"/>
    <w:rsid w:val="22C719ED"/>
    <w:rsid w:val="24905A05"/>
    <w:rsid w:val="29FD79D6"/>
    <w:rsid w:val="2B15375E"/>
    <w:rsid w:val="2DE52949"/>
    <w:rsid w:val="390E5F29"/>
    <w:rsid w:val="394E07F0"/>
    <w:rsid w:val="419C74B1"/>
    <w:rsid w:val="421047CD"/>
    <w:rsid w:val="44CC63EF"/>
    <w:rsid w:val="45116DF1"/>
    <w:rsid w:val="4D4437BF"/>
    <w:rsid w:val="4E8D0FEE"/>
    <w:rsid w:val="6F1F72A8"/>
    <w:rsid w:val="76F77DB4"/>
    <w:rsid w:val="776158EB"/>
    <w:rsid w:val="79DE5A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unhideWhenUsed="0" w:uiPriority="0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iPriority="5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7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Cs/>
      <w:kern w:val="44"/>
      <w:sz w:val="24"/>
      <w:szCs w:val="44"/>
    </w:rPr>
  </w:style>
  <w:style w:type="paragraph" w:styleId="3">
    <w:name w:val="heading 2"/>
    <w:basedOn w:val="1"/>
    <w:next w:val="1"/>
    <w:link w:val="38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eastAsia="黑体" w:asciiTheme="majorHAnsi" w:hAnsiTheme="majorHAnsi" w:cstheme="majorBidi"/>
      <w:bCs/>
      <w:sz w:val="24"/>
      <w:szCs w:val="32"/>
    </w:rPr>
  </w:style>
  <w:style w:type="paragraph" w:styleId="4">
    <w:name w:val="heading 3"/>
    <w:basedOn w:val="1"/>
    <w:next w:val="1"/>
    <w:link w:val="39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eastAsia="黑体"/>
      <w:bCs/>
      <w:sz w:val="24"/>
      <w:szCs w:val="32"/>
    </w:rPr>
  </w:style>
  <w:style w:type="paragraph" w:styleId="5">
    <w:name w:val="heading 4"/>
    <w:basedOn w:val="1"/>
    <w:next w:val="1"/>
    <w:link w:val="40"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eastAsia="黑体" w:asciiTheme="majorHAnsi" w:hAnsiTheme="majorHAnsi" w:cstheme="majorBidi"/>
      <w:bCs/>
      <w:szCs w:val="28"/>
    </w:rPr>
  </w:style>
  <w:style w:type="paragraph" w:styleId="6">
    <w:name w:val="heading 5"/>
    <w:basedOn w:val="1"/>
    <w:next w:val="1"/>
    <w:link w:val="41"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2"/>
    <w:semiHidden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43"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44"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45"/>
    <w:semiHidden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8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2">
    <w:name w:val="Body Text Indent"/>
    <w:basedOn w:val="1"/>
    <w:link w:val="46"/>
    <w:unhideWhenUsed/>
    <w:qFormat/>
    <w:uiPriority w:val="99"/>
    <w:pPr>
      <w:ind w:firstLine="420"/>
    </w:pPr>
    <w:rPr>
      <w:rFonts w:ascii="Times New Roman" w:hAnsi="Times New Roman" w:cs="Times New Roman"/>
      <w:szCs w:val="21"/>
    </w:rPr>
  </w:style>
  <w:style w:type="paragraph" w:styleId="13">
    <w:name w:val="Plain Text"/>
    <w:basedOn w:val="1"/>
    <w:unhideWhenUsed/>
    <w:uiPriority w:val="0"/>
    <w:rPr>
      <w:rFonts w:ascii="宋体" w:hAnsi="Courier New"/>
      <w:szCs w:val="20"/>
    </w:rPr>
  </w:style>
  <w:style w:type="paragraph" w:styleId="14">
    <w:name w:val="Balloon Text"/>
    <w:basedOn w:val="1"/>
    <w:link w:val="36"/>
    <w:unhideWhenUsed/>
    <w:uiPriority w:val="0"/>
    <w:rPr>
      <w:sz w:val="18"/>
      <w:szCs w:val="18"/>
    </w:rPr>
  </w:style>
  <w:style w:type="paragraph" w:styleId="15">
    <w:name w:val="footer"/>
    <w:basedOn w:val="1"/>
    <w:link w:val="3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itle"/>
    <w:basedOn w:val="1"/>
    <w:next w:val="1"/>
    <w:qFormat/>
    <w:uiPriority w:val="10"/>
    <w:pPr>
      <w:numPr>
        <w:ilvl w:val="0"/>
        <w:numId w:val="2"/>
      </w:numPr>
      <w:spacing w:before="240" w:after="60" w:line="360" w:lineRule="auto"/>
      <w:jc w:val="left"/>
      <w:outlineLvl w:val="0"/>
    </w:pPr>
    <w:rPr>
      <w:rFonts w:ascii="Cambria" w:hAnsi="Cambria"/>
      <w:b/>
      <w:bCs/>
      <w:sz w:val="24"/>
      <w:szCs w:val="32"/>
    </w:rPr>
  </w:style>
  <w:style w:type="character" w:styleId="19">
    <w:name w:val="page number"/>
    <w:basedOn w:val="18"/>
    <w:unhideWhenUsed/>
    <w:uiPriority w:val="0"/>
  </w:style>
  <w:style w:type="paragraph" w:customStyle="1" w:styleId="21">
    <w:name w:val="日期1"/>
    <w:basedOn w:val="1"/>
    <w:next w:val="1"/>
    <w:link w:val="32"/>
    <w:uiPriority w:val="0"/>
    <w:pPr>
      <w:ind w:left="100" w:leftChars="2500"/>
    </w:pPr>
  </w:style>
  <w:style w:type="paragraph" w:customStyle="1" w:styleId="22">
    <w:name w:val="p0"/>
    <w:basedOn w:val="1"/>
    <w:uiPriority w:val="0"/>
    <w:pPr>
      <w:widowControl/>
    </w:pPr>
    <w:rPr>
      <w:rFonts w:cs="宋体"/>
      <w:kern w:val="0"/>
      <w:szCs w:val="21"/>
    </w:rPr>
  </w:style>
  <w:style w:type="paragraph" w:customStyle="1" w:styleId="23">
    <w:name w:val="p15"/>
    <w:basedOn w:val="1"/>
    <w:uiPriority w:val="0"/>
    <w:pPr>
      <w:widowControl/>
      <w:ind w:firstLine="420"/>
    </w:pPr>
    <w:rPr>
      <w:rFonts w:cs="宋体"/>
      <w:kern w:val="0"/>
      <w:szCs w:val="21"/>
    </w:rPr>
  </w:style>
  <w:style w:type="paragraph" w:customStyle="1" w:styleId="24">
    <w:name w:val="p16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25">
    <w:name w:val="p17"/>
    <w:basedOn w:val="1"/>
    <w:qFormat/>
    <w:uiPriority w:val="0"/>
    <w:pPr>
      <w:widowControl/>
      <w:ind w:firstLine="420"/>
    </w:pPr>
    <w:rPr>
      <w:rFonts w:cs="宋体"/>
      <w:kern w:val="0"/>
      <w:szCs w:val="21"/>
    </w:rPr>
  </w:style>
  <w:style w:type="paragraph" w:customStyle="1" w:styleId="26">
    <w:name w:val="列出段落1"/>
    <w:basedOn w:val="1"/>
    <w:qFormat/>
    <w:uiPriority w:val="0"/>
    <w:pPr>
      <w:ind w:firstLine="420" w:firstLineChars="200"/>
    </w:pPr>
  </w:style>
  <w:style w:type="paragraph" w:customStyle="1" w:styleId="27">
    <w:name w:val="列出段落2"/>
    <w:basedOn w:val="1"/>
    <w:qFormat/>
    <w:uiPriority w:val="0"/>
    <w:pPr>
      <w:ind w:firstLine="420" w:firstLineChars="200"/>
    </w:pPr>
    <w:rPr>
      <w:rFonts w:cs="Times New Roman"/>
    </w:rPr>
  </w:style>
  <w:style w:type="paragraph" w:customStyle="1" w:styleId="28">
    <w:name w:val="段"/>
    <w:link w:val="35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9">
    <w:name w:val="标准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Cs w:val="20"/>
    </w:rPr>
  </w:style>
  <w:style w:type="paragraph" w:customStyle="1" w:styleId="30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31">
    <w:name w:val="Default"/>
    <w:unhideWhenUsed/>
    <w:qFormat/>
    <w:uiPriority w:val="99"/>
    <w:pPr>
      <w:widowControl w:val="0"/>
      <w:autoSpaceDE w:val="0"/>
      <w:autoSpaceDN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  <w:style w:type="character" w:customStyle="1" w:styleId="32">
    <w:name w:val="日期 Char"/>
    <w:basedOn w:val="18"/>
    <w:link w:val="21"/>
    <w:semiHidden/>
    <w:qFormat/>
    <w:uiPriority w:val="0"/>
  </w:style>
  <w:style w:type="character" w:customStyle="1" w:styleId="33">
    <w:name w:val="页脚 Char"/>
    <w:basedOn w:val="18"/>
    <w:link w:val="15"/>
    <w:semiHidden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34">
    <w:name w:val="页眉 Char"/>
    <w:basedOn w:val="18"/>
    <w:link w:val="16"/>
    <w:semiHidden/>
    <w:uiPriority w:val="0"/>
    <w:rPr>
      <w:rFonts w:ascii="Calibri" w:hAnsi="Calibri" w:cs="黑体"/>
      <w:kern w:val="2"/>
      <w:sz w:val="18"/>
      <w:szCs w:val="18"/>
    </w:rPr>
  </w:style>
  <w:style w:type="character" w:customStyle="1" w:styleId="35">
    <w:name w:val="段 Char"/>
    <w:basedOn w:val="18"/>
    <w:link w:val="28"/>
    <w:qFormat/>
    <w:uiPriority w:val="0"/>
    <w:rPr>
      <w:rFonts w:ascii="宋体"/>
      <w:sz w:val="21"/>
      <w:lang w:val="en-US" w:eastAsia="zh-CN" w:bidi="ar-SA"/>
    </w:rPr>
  </w:style>
  <w:style w:type="character" w:customStyle="1" w:styleId="36">
    <w:name w:val="批注框文本 Char"/>
    <w:basedOn w:val="18"/>
    <w:link w:val="14"/>
    <w:semiHidden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37">
    <w:name w:val="标题 1 Char"/>
    <w:basedOn w:val="18"/>
    <w:link w:val="2"/>
    <w:qFormat/>
    <w:uiPriority w:val="9"/>
    <w:rPr>
      <w:rFonts w:ascii="Calibri" w:hAnsi="Calibri" w:eastAsia="黑体" w:cs="黑体"/>
      <w:bCs/>
      <w:kern w:val="44"/>
      <w:sz w:val="24"/>
      <w:szCs w:val="44"/>
    </w:rPr>
  </w:style>
  <w:style w:type="character" w:customStyle="1" w:styleId="38">
    <w:name w:val="标题 2 Char"/>
    <w:basedOn w:val="18"/>
    <w:link w:val="3"/>
    <w:qFormat/>
    <w:uiPriority w:val="9"/>
    <w:rPr>
      <w:rFonts w:eastAsia="黑体" w:asciiTheme="majorHAnsi" w:hAnsiTheme="majorHAnsi" w:cstheme="majorBidi"/>
      <w:bCs/>
      <w:kern w:val="2"/>
      <w:sz w:val="24"/>
      <w:szCs w:val="32"/>
    </w:rPr>
  </w:style>
  <w:style w:type="character" w:customStyle="1" w:styleId="39">
    <w:name w:val="标题 3 Char"/>
    <w:basedOn w:val="18"/>
    <w:link w:val="4"/>
    <w:qFormat/>
    <w:uiPriority w:val="9"/>
    <w:rPr>
      <w:rFonts w:ascii="Calibri" w:hAnsi="Calibri" w:eastAsia="黑体" w:cs="黑体"/>
      <w:bCs/>
      <w:kern w:val="2"/>
      <w:sz w:val="24"/>
      <w:szCs w:val="32"/>
    </w:rPr>
  </w:style>
  <w:style w:type="character" w:customStyle="1" w:styleId="40">
    <w:name w:val="标题 4 Char"/>
    <w:basedOn w:val="18"/>
    <w:link w:val="5"/>
    <w:qFormat/>
    <w:uiPriority w:val="9"/>
    <w:rPr>
      <w:rFonts w:eastAsia="黑体" w:asciiTheme="majorHAnsi" w:hAnsiTheme="majorHAnsi" w:cstheme="majorBidi"/>
      <w:bCs/>
      <w:kern w:val="2"/>
      <w:sz w:val="21"/>
      <w:szCs w:val="28"/>
    </w:rPr>
  </w:style>
  <w:style w:type="character" w:customStyle="1" w:styleId="41">
    <w:name w:val="标题 5 Char"/>
    <w:basedOn w:val="18"/>
    <w:link w:val="6"/>
    <w:qFormat/>
    <w:uiPriority w:val="9"/>
    <w:rPr>
      <w:rFonts w:ascii="Calibri" w:hAnsi="Calibri" w:cs="黑体"/>
      <w:b/>
      <w:bCs/>
      <w:kern w:val="2"/>
      <w:sz w:val="28"/>
      <w:szCs w:val="28"/>
    </w:rPr>
  </w:style>
  <w:style w:type="character" w:customStyle="1" w:styleId="42">
    <w:name w:val="标题 6 Char"/>
    <w:basedOn w:val="18"/>
    <w:link w:val="7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43">
    <w:name w:val="标题 7 Char"/>
    <w:basedOn w:val="18"/>
    <w:link w:val="8"/>
    <w:semiHidden/>
    <w:qFormat/>
    <w:uiPriority w:val="9"/>
    <w:rPr>
      <w:rFonts w:ascii="Calibri" w:hAnsi="Calibri" w:cs="黑体"/>
      <w:b/>
      <w:bCs/>
      <w:kern w:val="2"/>
      <w:sz w:val="24"/>
      <w:szCs w:val="24"/>
    </w:rPr>
  </w:style>
  <w:style w:type="character" w:customStyle="1" w:styleId="44">
    <w:name w:val="标题 8 Char"/>
    <w:basedOn w:val="18"/>
    <w:link w:val="9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45">
    <w:name w:val="标题 9 Char"/>
    <w:basedOn w:val="18"/>
    <w:link w:val="10"/>
    <w:semiHidden/>
    <w:qFormat/>
    <w:uiPriority w:val="9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46">
    <w:name w:val="正文文本缩进 Char"/>
    <w:basedOn w:val="18"/>
    <w:link w:val="12"/>
    <w:uiPriority w:val="99"/>
    <w:rPr>
      <w:kern w:val="2"/>
      <w:sz w:val="21"/>
      <w:szCs w:val="21"/>
    </w:rPr>
  </w:style>
  <w:style w:type="paragraph" w:customStyle="1" w:styleId="47">
    <w:name w:val="章标题"/>
    <w:next w:val="1"/>
    <w:qFormat/>
    <w:uiPriority w:val="0"/>
    <w:pPr>
      <w:spacing w:beforeLines="50" w:afterLines="50"/>
      <w:jc w:val="both"/>
      <w:outlineLvl w:val="1"/>
    </w:pPr>
    <w:rPr>
      <w:rFonts w:ascii="黑体" w:eastAsia="黑体" w:hAnsiTheme="minorHAnsi" w:cstheme="minorBidi"/>
      <w:sz w:val="21"/>
      <w:szCs w:val="22"/>
      <w:lang w:val="en-US" w:eastAsia="zh-CN" w:bidi="ar-SA"/>
    </w:rPr>
  </w:style>
  <w:style w:type="paragraph" w:styleId="48">
    <w:name w:val="List Paragraph"/>
    <w:basedOn w:val="1"/>
    <w:uiPriority w:val="99"/>
    <w:pPr>
      <w:ind w:firstLine="420" w:firstLineChars="200"/>
    </w:pPr>
  </w:style>
  <w:style w:type="paragraph" w:customStyle="1" w:styleId="49">
    <w:name w:val="555-正文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819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BF82F4-1BAF-4A9D-96CB-CEE4789B95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754</Words>
  <Characters>4303</Characters>
  <Lines>35</Lines>
  <Paragraphs>10</Paragraphs>
  <TotalTime>5</TotalTime>
  <ScaleCrop>false</ScaleCrop>
  <LinksUpToDate>false</LinksUpToDate>
  <CharactersWithSpaces>5047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2017-12-21T09:10:00Z</dcterms:created>
  <dc:creator>微软用户</dc:creator>
  <cp:lastModifiedBy>Administrator</cp:lastModifiedBy>
  <cp:lastPrinted>2019-11-08T04:03:00Z</cp:lastPrinted>
  <dcterms:modified xsi:type="dcterms:W3CDTF">2020-07-07T12:34:45Z</dcterms:modified>
  <dc:title>稀土国家标准《稀土金属及其氧化物中非稀土杂质化学分析方法  第五部分》（预审稿）编制说明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