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beforeLines="50"/>
        <w:jc w:val="center"/>
      </w:pPr>
      <w:r>
        <w:rPr>
          <w:rFonts w:hint="eastAsia" w:ascii="黑体" w:eastAsia="黑体"/>
          <w:sz w:val="32"/>
          <w:szCs w:val="32"/>
        </w:rPr>
        <w:t>稀土国家标准《稀土金属及其氧化物中稀土杂质化学分析方法    第</w:t>
      </w:r>
      <w:r>
        <w:rPr>
          <w:rFonts w:hint="eastAsia" w:ascii="黑体" w:eastAsia="黑体"/>
          <w:color w:val="000000"/>
          <w:sz w:val="32"/>
          <w:szCs w:val="32"/>
        </w:rPr>
        <w:t>4</w:t>
      </w:r>
      <w:r>
        <w:rPr>
          <w:rFonts w:hint="eastAsia" w:ascii="黑体" w:eastAsia="黑体"/>
          <w:sz w:val="32"/>
          <w:szCs w:val="32"/>
        </w:rPr>
        <w:t>部分</w:t>
      </w:r>
      <w:r>
        <w:rPr>
          <w:rFonts w:hint="eastAsia" w:ascii="黑体" w:eastAsia="黑体"/>
          <w:sz w:val="32"/>
          <w:szCs w:val="32"/>
          <w:lang w:eastAsia="zh-CN"/>
        </w:rPr>
        <w:t>：</w:t>
      </w:r>
      <w:r>
        <w:rPr>
          <w:rFonts w:hint="eastAsia" w:ascii="黑体" w:eastAsia="黑体"/>
          <w:sz w:val="32"/>
          <w:szCs w:val="32"/>
          <w:lang w:val="en-US" w:eastAsia="zh-CN"/>
        </w:rPr>
        <w:t>钕中镧、铈、镨、钐、铕、钆、铽、镝、钬、铒、铥、镱、镥和钇量的测定</w:t>
      </w:r>
      <w:r>
        <w:rPr>
          <w:rFonts w:hint="eastAsia" w:ascii="黑体" w:eastAsia="黑体"/>
          <w:sz w:val="32"/>
          <w:szCs w:val="32"/>
        </w:rPr>
        <w:t>》</w:t>
      </w:r>
      <w:r>
        <w:rPr>
          <w:rFonts w:hint="eastAsia" w:ascii="黑体" w:eastAsia="黑体"/>
          <w:sz w:val="32"/>
          <w:szCs w:val="32"/>
          <w:lang w:eastAsia="zh-CN"/>
        </w:rPr>
        <w:t>（预审稿）</w:t>
      </w:r>
      <w:r>
        <w:rPr>
          <w:rFonts w:hint="eastAsia" w:ascii="黑体" w:eastAsia="黑体"/>
          <w:sz w:val="32"/>
          <w:szCs w:val="32"/>
        </w:rPr>
        <w:t>编制说明</w:t>
      </w:r>
    </w:p>
    <w:p>
      <w:pPr>
        <w:adjustRightInd w:val="0"/>
        <w:snapToGrid w:val="0"/>
        <w:spacing w:beforeLines="100" w:line="360" w:lineRule="auto"/>
        <w:rPr>
          <w:rFonts w:ascii="Arial" w:hAnsi="Arial" w:cs="Arial"/>
          <w:szCs w:val="21"/>
        </w:rPr>
      </w:pPr>
      <w:r>
        <w:rPr>
          <w:rFonts w:ascii="Arial" w:hAnsi="Arial" w:cs="Arial"/>
          <w:szCs w:val="21"/>
        </w:rPr>
        <w:t>一、工作简况</w:t>
      </w:r>
    </w:p>
    <w:p>
      <w:pPr>
        <w:adjustRightInd w:val="0"/>
        <w:snapToGrid w:val="0"/>
        <w:spacing w:line="360" w:lineRule="auto"/>
        <w:rPr>
          <w:rFonts w:ascii="Arial" w:hAnsi="Arial" w:cs="Arial"/>
          <w:szCs w:val="21"/>
        </w:rPr>
      </w:pPr>
      <w:r>
        <w:rPr>
          <w:rFonts w:hint="eastAsia" w:ascii="Arial" w:hAnsi="Arial" w:cs="Arial"/>
          <w:szCs w:val="21"/>
        </w:rPr>
        <w:t>1.1</w:t>
      </w:r>
      <w:r>
        <w:rPr>
          <w:rFonts w:ascii="Arial" w:hAnsi="Arial" w:cs="Arial"/>
          <w:szCs w:val="21"/>
        </w:rPr>
        <w:t>立项目的</w:t>
      </w:r>
    </w:p>
    <w:p>
      <w:pPr>
        <w:adjustRightInd w:val="0"/>
        <w:snapToGrid w:val="0"/>
        <w:spacing w:line="360" w:lineRule="auto"/>
        <w:ind w:firstLine="420" w:firstLineChars="200"/>
        <w:rPr>
          <w:rFonts w:ascii="Arial" w:hAnsi="Arial" w:cs="Arial"/>
          <w:szCs w:val="21"/>
        </w:rPr>
      </w:pPr>
      <w:r>
        <w:rPr>
          <w:rFonts w:ascii="Arial" w:hAnsi="Arial" w:cs="Arial"/>
          <w:szCs w:val="21"/>
        </w:rPr>
        <w:t>《稀土金属及其氧化物中稀土杂质化学分析方法</w:t>
      </w:r>
      <w:r>
        <w:rPr>
          <w:rFonts w:hint="eastAsia" w:ascii="Arial" w:hAnsi="Arial" w:cs="Arial"/>
          <w:szCs w:val="21"/>
        </w:rPr>
        <w:t xml:space="preserve"> 钕中镧、铈、镨、钐、铕、钆、铽、镝、钬、铒、铥、镱、镥和钇</w:t>
      </w:r>
      <w:r>
        <w:rPr>
          <w:rFonts w:ascii="Arial" w:hAnsi="Arial" w:cs="Arial"/>
          <w:szCs w:val="21"/>
        </w:rPr>
        <w:t>量的测定》于2000年首次制定，近年来电感耦合等离子体发射光谱分析技术</w:t>
      </w:r>
      <w:r>
        <w:rPr>
          <w:rFonts w:hint="eastAsia" w:ascii="Arial" w:hAnsi="Arial" w:cs="Arial"/>
          <w:szCs w:val="21"/>
        </w:rPr>
        <w:t>水平</w:t>
      </w:r>
      <w:r>
        <w:rPr>
          <w:rFonts w:ascii="Arial" w:hAnsi="Arial" w:cs="Arial"/>
          <w:szCs w:val="21"/>
        </w:rPr>
        <w:t>有了大幅的提高，检测速度，检测范围都有了显著改变，考虑与产品标准接轨，使之能真正达到国际标准的水准，所以修订该标准势在必行。最近10年ICP-MS在国内的使用率大幅上升，刺激了使用电感耦合等离子体质谱仪测定稀土中杂质含量的需求。</w:t>
      </w:r>
      <w:bookmarkStart w:id="4" w:name="_GoBack"/>
      <w:bookmarkEnd w:id="4"/>
    </w:p>
    <w:p>
      <w:pPr>
        <w:adjustRightInd w:val="0"/>
        <w:snapToGrid w:val="0"/>
        <w:spacing w:line="360" w:lineRule="auto"/>
        <w:rPr>
          <w:rFonts w:ascii="Arial" w:hAnsi="Arial" w:cs="Arial"/>
          <w:szCs w:val="21"/>
        </w:rPr>
      </w:pPr>
      <w:r>
        <w:rPr>
          <w:rFonts w:hint="eastAsia" w:ascii="Arial" w:hAnsi="Arial" w:cs="Arial"/>
          <w:szCs w:val="21"/>
        </w:rPr>
        <w:t>1.2</w:t>
      </w:r>
      <w:r>
        <w:rPr>
          <w:rFonts w:ascii="Arial" w:hAnsi="Arial" w:cs="Arial"/>
          <w:szCs w:val="21"/>
        </w:rPr>
        <w:t>任务来源</w:t>
      </w:r>
    </w:p>
    <w:p>
      <w:pPr>
        <w:adjustRightInd w:val="0"/>
        <w:snapToGrid w:val="0"/>
        <w:spacing w:line="360" w:lineRule="auto"/>
        <w:ind w:firstLine="420" w:firstLineChars="200"/>
        <w:rPr>
          <w:rFonts w:ascii="Arial" w:hAnsi="Arial" w:cs="Arial"/>
          <w:szCs w:val="21"/>
        </w:rPr>
      </w:pPr>
      <w:r>
        <w:rPr>
          <w:rFonts w:ascii="Arial" w:hAnsi="Arial" w:cs="Arial"/>
          <w:szCs w:val="21"/>
        </w:rPr>
        <w:t>根据“国家标准</w:t>
      </w:r>
      <w:r>
        <w:rPr>
          <w:rFonts w:hint="eastAsia" w:ascii="Arial" w:hAnsi="Arial" w:cs="Arial"/>
          <w:szCs w:val="21"/>
        </w:rPr>
        <w:t>化管理委员会</w:t>
      </w:r>
      <w:r>
        <w:rPr>
          <w:rFonts w:ascii="Arial" w:hAnsi="Arial" w:cs="Arial"/>
          <w:szCs w:val="21"/>
        </w:rPr>
        <w:t>委关于下达第四批</w:t>
      </w:r>
      <w:r>
        <w:rPr>
          <w:rFonts w:hint="eastAsia" w:ascii="Arial" w:hAnsi="Arial" w:cs="Arial"/>
          <w:szCs w:val="21"/>
        </w:rPr>
        <w:t>推荐性</w:t>
      </w:r>
      <w:r>
        <w:rPr>
          <w:rFonts w:ascii="Arial" w:hAnsi="Arial" w:cs="Arial"/>
          <w:szCs w:val="21"/>
        </w:rPr>
        <w:t>国家标准计划的通知</w:t>
      </w:r>
      <w:r>
        <w:rPr>
          <w:rFonts w:hint="eastAsia" w:ascii="Arial" w:hAnsi="Arial" w:cs="Arial"/>
          <w:szCs w:val="21"/>
        </w:rPr>
        <w:t>（</w:t>
      </w:r>
      <w:r>
        <w:rPr>
          <w:rFonts w:ascii="Arial" w:hAnsi="Arial" w:cs="Arial"/>
          <w:szCs w:val="21"/>
        </w:rPr>
        <w:t>国标委</w:t>
      </w:r>
      <w:r>
        <w:rPr>
          <w:rFonts w:hint="eastAsia" w:ascii="Arial" w:hAnsi="Arial" w:cs="Arial"/>
          <w:szCs w:val="21"/>
        </w:rPr>
        <w:t>发函</w:t>
      </w:r>
      <w:r>
        <w:rPr>
          <w:rFonts w:ascii="Arial" w:hAnsi="Arial" w:cs="Arial"/>
          <w:szCs w:val="21"/>
        </w:rPr>
        <w:t>［</w:t>
      </w:r>
      <w:r>
        <w:rPr>
          <w:rFonts w:hint="eastAsia" w:ascii="Arial" w:hAnsi="Arial" w:cs="Arial"/>
          <w:szCs w:val="21"/>
        </w:rPr>
        <w:t>2018</w:t>
      </w:r>
      <w:r>
        <w:rPr>
          <w:rFonts w:ascii="Arial" w:hAnsi="Arial" w:cs="Arial"/>
          <w:szCs w:val="21"/>
        </w:rPr>
        <w:t>］</w:t>
      </w:r>
      <w:r>
        <w:rPr>
          <w:rFonts w:hint="eastAsia" w:ascii="Arial" w:hAnsi="Arial" w:cs="Arial"/>
          <w:szCs w:val="21"/>
        </w:rPr>
        <w:t>83号）</w:t>
      </w:r>
      <w:r>
        <w:rPr>
          <w:rFonts w:ascii="Arial" w:hAnsi="Arial" w:cs="Arial"/>
          <w:szCs w:val="21"/>
        </w:rPr>
        <w:t>”，</w:t>
      </w:r>
      <w:r>
        <w:rPr>
          <w:rFonts w:hint="eastAsia" w:ascii="Arial" w:hAnsi="Arial" w:cs="Arial"/>
          <w:szCs w:val="21"/>
        </w:rPr>
        <w:t>“工业信息化部办公厅关于印发2018年第四批行业标准制修订计划的通知（工信厅科</w:t>
      </w:r>
      <w:r>
        <w:rPr>
          <w:rFonts w:ascii="Arial" w:hAnsi="Arial" w:cs="Arial"/>
          <w:szCs w:val="21"/>
        </w:rPr>
        <w:t>［</w:t>
      </w:r>
      <w:r>
        <w:rPr>
          <w:rFonts w:hint="eastAsia" w:ascii="Arial" w:hAnsi="Arial" w:cs="Arial"/>
          <w:szCs w:val="21"/>
        </w:rPr>
        <w:t>2018</w:t>
      </w:r>
      <w:r>
        <w:rPr>
          <w:rFonts w:ascii="Arial" w:hAnsi="Arial" w:cs="Arial"/>
          <w:szCs w:val="21"/>
        </w:rPr>
        <w:t>］</w:t>
      </w:r>
      <w:r>
        <w:rPr>
          <w:rFonts w:hint="eastAsia" w:ascii="Arial" w:hAnsi="Arial" w:cs="Arial"/>
          <w:szCs w:val="21"/>
        </w:rPr>
        <w:t>73号）”文件精神，全国稀土标准化技术委员会于2019年1月23-24日在浙江省宁波市召开了“钪稳定铈锆复合粉”等11项稀土国家标准、8项稀土行业标准的任务落实工作。</w:t>
      </w:r>
      <w:r>
        <w:rPr>
          <w:rFonts w:ascii="Arial" w:hAnsi="Arial" w:cs="Arial"/>
          <w:szCs w:val="21"/>
        </w:rPr>
        <w:t>《稀土金属及其氧化物中稀土杂质化学分析方法</w:t>
      </w:r>
      <w:r>
        <w:rPr>
          <w:rFonts w:hint="eastAsia" w:ascii="Arial" w:hAnsi="Arial" w:cs="Arial"/>
          <w:szCs w:val="21"/>
        </w:rPr>
        <w:t xml:space="preserve"> </w:t>
      </w:r>
      <w:r>
        <w:rPr>
          <w:rFonts w:ascii="Arial" w:hAnsi="Arial" w:cs="Arial"/>
          <w:szCs w:val="21"/>
        </w:rPr>
        <w:t>第</w:t>
      </w:r>
      <w:r>
        <w:rPr>
          <w:rFonts w:hint="eastAsia" w:ascii="Arial" w:hAnsi="Arial" w:cs="Arial"/>
          <w:szCs w:val="21"/>
        </w:rPr>
        <w:t>4</w:t>
      </w:r>
      <w:r>
        <w:rPr>
          <w:rFonts w:ascii="Arial" w:hAnsi="Arial" w:cs="Arial"/>
          <w:szCs w:val="21"/>
        </w:rPr>
        <w:t>部分</w:t>
      </w:r>
      <w:r>
        <w:rPr>
          <w:rFonts w:hint="eastAsia" w:ascii="Arial" w:hAnsi="Arial" w:cs="Arial"/>
          <w:szCs w:val="21"/>
        </w:rPr>
        <w:t xml:space="preserve"> 钕中镧、铈、镨、钐、铕、钆、铽、镝、钬、铒、铥、镱、镥和钇</w:t>
      </w:r>
      <w:r>
        <w:rPr>
          <w:rFonts w:ascii="Arial" w:hAnsi="Arial" w:cs="Arial"/>
          <w:szCs w:val="21"/>
        </w:rPr>
        <w:t>的测定》项目任务正式下达，项目编号为：201</w:t>
      </w:r>
      <w:r>
        <w:rPr>
          <w:rFonts w:hint="eastAsia" w:ascii="Arial" w:hAnsi="Arial" w:cs="Arial"/>
          <w:szCs w:val="21"/>
        </w:rPr>
        <w:t>84315-T-469</w:t>
      </w:r>
      <w:r>
        <w:rPr>
          <w:rFonts w:ascii="Arial" w:hAnsi="Arial" w:cs="Arial"/>
          <w:szCs w:val="21"/>
        </w:rPr>
        <w:t>，计划完成时间为20</w:t>
      </w:r>
      <w:r>
        <w:rPr>
          <w:rFonts w:hint="eastAsia" w:ascii="Arial" w:hAnsi="Arial" w:cs="Arial"/>
          <w:szCs w:val="21"/>
        </w:rPr>
        <w:t>20</w:t>
      </w:r>
      <w:r>
        <w:rPr>
          <w:rFonts w:ascii="Arial" w:hAnsi="Arial" w:cs="Arial"/>
          <w:szCs w:val="21"/>
        </w:rPr>
        <w:t>年</w:t>
      </w:r>
      <w:r>
        <w:rPr>
          <w:rFonts w:hint="eastAsia" w:ascii="Arial" w:hAnsi="Arial" w:cs="Arial"/>
          <w:szCs w:val="21"/>
        </w:rPr>
        <w:t>中旬</w:t>
      </w:r>
      <w:r>
        <w:rPr>
          <w:rFonts w:ascii="Arial" w:hAnsi="Arial" w:cs="Arial"/>
          <w:szCs w:val="21"/>
        </w:rPr>
        <w:t>。根据全国稀土标准化技术委员会稀土标委［</w:t>
      </w:r>
      <w:r>
        <w:rPr>
          <w:rFonts w:hint="eastAsia" w:ascii="Arial" w:hAnsi="Arial" w:cs="Arial"/>
          <w:szCs w:val="21"/>
        </w:rPr>
        <w:t>2019</w:t>
      </w:r>
      <w:r>
        <w:rPr>
          <w:rFonts w:ascii="Arial" w:hAnsi="Arial" w:cs="Arial"/>
          <w:szCs w:val="21"/>
        </w:rPr>
        <w:t>］06号文件的要求，该标准项目包括</w:t>
      </w:r>
      <w:bookmarkStart w:id="0" w:name="OLE_LINK3"/>
      <w:bookmarkStart w:id="1" w:name="OLE_LINK4"/>
      <w:r>
        <w:rPr>
          <w:rFonts w:ascii="Arial" w:hAnsi="Arial" w:cs="Arial"/>
          <w:szCs w:val="21"/>
        </w:rPr>
        <w:t>电感耦合等离子发射</w:t>
      </w:r>
      <w:r>
        <w:rPr>
          <w:rFonts w:hint="eastAsia" w:ascii="Arial" w:hAnsi="Arial" w:cs="Arial"/>
          <w:szCs w:val="21"/>
        </w:rPr>
        <w:t>质</w:t>
      </w:r>
      <w:r>
        <w:rPr>
          <w:rFonts w:ascii="Arial" w:hAnsi="Arial" w:cs="Arial"/>
          <w:szCs w:val="21"/>
        </w:rPr>
        <w:t>谱法（方法</w:t>
      </w:r>
      <w:r>
        <w:rPr>
          <w:rFonts w:hint="eastAsia" w:ascii="Arial" w:hAnsi="Arial" w:cs="Arial"/>
          <w:szCs w:val="21"/>
        </w:rPr>
        <w:t>2</w:t>
      </w:r>
      <w:r>
        <w:rPr>
          <w:rFonts w:ascii="Arial" w:hAnsi="Arial" w:cs="Arial"/>
          <w:szCs w:val="21"/>
        </w:rPr>
        <w:t>）</w:t>
      </w:r>
      <w:bookmarkEnd w:id="0"/>
      <w:bookmarkEnd w:id="1"/>
      <w:r>
        <w:rPr>
          <w:rFonts w:ascii="Arial" w:hAnsi="Arial" w:cs="Arial"/>
          <w:szCs w:val="21"/>
        </w:rPr>
        <w:t>的试验及验证单位情况见</w:t>
      </w:r>
      <w:r>
        <w:rPr>
          <w:rFonts w:ascii="Arial" w:hAnsi="Arial" w:cs="Arial"/>
          <w:szCs w:val="21"/>
        </w:rPr>
        <w:fldChar w:fldCharType="begin"/>
      </w:r>
      <w:r>
        <w:rPr>
          <w:rFonts w:ascii="Arial" w:hAnsi="Arial" w:cs="Arial"/>
          <w:szCs w:val="21"/>
        </w:rPr>
        <w:instrText xml:space="preserve"> REF _Ref496714443 \h  \* MERGEFORMAT </w:instrText>
      </w:r>
      <w:r>
        <w:rPr>
          <w:rFonts w:ascii="Arial" w:hAnsi="Arial" w:cs="Arial"/>
          <w:szCs w:val="21"/>
        </w:rPr>
        <w:fldChar w:fldCharType="separate"/>
      </w:r>
      <w:r>
        <w:rPr>
          <w:rFonts w:ascii="Arial" w:hAnsi="Arial" w:cs="Arial"/>
          <w:szCs w:val="21"/>
        </w:rPr>
        <w:t>表1</w:t>
      </w:r>
      <w:r>
        <w:rPr>
          <w:rFonts w:ascii="Arial" w:hAnsi="Arial" w:cs="Arial"/>
          <w:szCs w:val="21"/>
        </w:rPr>
        <w:fldChar w:fldCharType="end"/>
      </w:r>
      <w:r>
        <w:rPr>
          <w:rFonts w:ascii="Arial" w:hAnsi="Arial" w:cs="Arial"/>
          <w:szCs w:val="21"/>
        </w:rPr>
        <w:t>。</w:t>
      </w:r>
    </w:p>
    <w:p>
      <w:pPr>
        <w:adjustRightInd w:val="0"/>
        <w:snapToGrid w:val="0"/>
        <w:jc w:val="center"/>
        <w:rPr>
          <w:rFonts w:ascii="Arial" w:hAnsi="Arial" w:cs="Arial"/>
          <w:szCs w:val="21"/>
        </w:rPr>
      </w:pPr>
      <w:bookmarkStart w:id="2" w:name="_Ref496714443"/>
      <w:r>
        <w:rPr>
          <w:rFonts w:ascii="Arial" w:hAnsi="Arial" w:cs="Arial"/>
          <w:szCs w:val="21"/>
        </w:rPr>
        <w:t>表</w:t>
      </w:r>
      <w:r>
        <w:rPr>
          <w:rFonts w:ascii="Arial" w:hAnsi="Arial" w:cs="Arial"/>
          <w:szCs w:val="21"/>
        </w:rPr>
        <w:fldChar w:fldCharType="begin"/>
      </w:r>
      <w:r>
        <w:rPr>
          <w:rFonts w:ascii="Arial" w:hAnsi="Arial" w:cs="Arial"/>
          <w:szCs w:val="21"/>
        </w:rPr>
        <w:instrText xml:space="preserve">SEQ 表 \* ARABIC</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bookmarkEnd w:id="2"/>
    </w:p>
    <w:tbl>
      <w:tblPr>
        <w:tblStyle w:val="18"/>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39"/>
        <w:gridCol w:w="1404"/>
        <w:gridCol w:w="1178"/>
        <w:gridCol w:w="1723"/>
        <w:gridCol w:w="26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39" w:type="dxa"/>
            <w:vAlign w:val="center"/>
          </w:tcPr>
          <w:p>
            <w:pPr>
              <w:adjustRightInd w:val="0"/>
              <w:snapToGrid w:val="0"/>
              <w:spacing w:line="360" w:lineRule="auto"/>
              <w:jc w:val="center"/>
              <w:rPr>
                <w:rFonts w:ascii="Arial" w:hAnsi="Arial" w:cs="Arial"/>
                <w:sz w:val="18"/>
                <w:szCs w:val="18"/>
              </w:rPr>
            </w:pPr>
            <w:r>
              <w:rPr>
                <w:rFonts w:ascii="Arial" w:hAnsi="Arial" w:cs="Arial"/>
                <w:sz w:val="18"/>
                <w:szCs w:val="18"/>
              </w:rPr>
              <w:t>计划号</w:t>
            </w:r>
          </w:p>
        </w:tc>
        <w:tc>
          <w:tcPr>
            <w:tcW w:w="1404" w:type="dxa"/>
            <w:vAlign w:val="center"/>
          </w:tcPr>
          <w:p>
            <w:pPr>
              <w:adjustRightInd w:val="0"/>
              <w:snapToGrid w:val="0"/>
              <w:spacing w:line="360" w:lineRule="auto"/>
              <w:jc w:val="center"/>
              <w:rPr>
                <w:rFonts w:ascii="Arial" w:hAnsi="Arial" w:cs="Arial"/>
                <w:sz w:val="18"/>
                <w:szCs w:val="18"/>
              </w:rPr>
            </w:pPr>
            <w:r>
              <w:rPr>
                <w:rFonts w:ascii="Arial" w:hAnsi="Arial" w:cs="Arial"/>
                <w:sz w:val="18"/>
                <w:szCs w:val="18"/>
              </w:rPr>
              <w:t>项目名称</w:t>
            </w:r>
          </w:p>
        </w:tc>
        <w:tc>
          <w:tcPr>
            <w:tcW w:w="1178" w:type="dxa"/>
            <w:vAlign w:val="center"/>
          </w:tcPr>
          <w:p>
            <w:pPr>
              <w:adjustRightInd w:val="0"/>
              <w:snapToGrid w:val="0"/>
              <w:spacing w:line="360" w:lineRule="auto"/>
              <w:jc w:val="center"/>
              <w:rPr>
                <w:rFonts w:ascii="Arial" w:hAnsi="Arial" w:cs="Arial"/>
                <w:sz w:val="18"/>
                <w:szCs w:val="18"/>
              </w:rPr>
            </w:pPr>
            <w:r>
              <w:rPr>
                <w:rFonts w:ascii="Arial" w:hAnsi="Arial" w:cs="Arial"/>
                <w:sz w:val="18"/>
                <w:szCs w:val="18"/>
              </w:rPr>
              <w:t>起草单位</w:t>
            </w:r>
          </w:p>
        </w:tc>
        <w:tc>
          <w:tcPr>
            <w:tcW w:w="1723" w:type="dxa"/>
            <w:vAlign w:val="center"/>
          </w:tcPr>
          <w:p>
            <w:pPr>
              <w:adjustRightInd w:val="0"/>
              <w:snapToGrid w:val="0"/>
              <w:spacing w:line="360" w:lineRule="auto"/>
              <w:jc w:val="center"/>
              <w:rPr>
                <w:rFonts w:ascii="Arial" w:hAnsi="Arial" w:cs="Arial"/>
                <w:sz w:val="18"/>
                <w:szCs w:val="18"/>
              </w:rPr>
            </w:pPr>
            <w:r>
              <w:rPr>
                <w:rFonts w:ascii="Arial" w:hAnsi="Arial" w:cs="Arial"/>
                <w:sz w:val="18"/>
                <w:szCs w:val="18"/>
              </w:rPr>
              <w:t>第一验证单位</w:t>
            </w:r>
          </w:p>
        </w:tc>
        <w:tc>
          <w:tcPr>
            <w:tcW w:w="2678" w:type="dxa"/>
            <w:vAlign w:val="center"/>
          </w:tcPr>
          <w:p>
            <w:pPr>
              <w:adjustRightInd w:val="0"/>
              <w:snapToGrid w:val="0"/>
              <w:spacing w:line="360" w:lineRule="auto"/>
              <w:jc w:val="center"/>
              <w:rPr>
                <w:rFonts w:ascii="Arial" w:hAnsi="Arial" w:cs="Arial"/>
                <w:sz w:val="18"/>
                <w:szCs w:val="18"/>
              </w:rPr>
            </w:pPr>
            <w:r>
              <w:rPr>
                <w:rFonts w:ascii="Arial" w:hAnsi="Arial" w:cs="Arial"/>
                <w:sz w:val="18"/>
                <w:szCs w:val="18"/>
              </w:rPr>
              <w:t>第二验证单位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39" w:type="dxa"/>
            <w:vAlign w:val="center"/>
          </w:tcPr>
          <w:p>
            <w:pPr>
              <w:adjustRightInd w:val="0"/>
              <w:snapToGrid w:val="0"/>
              <w:spacing w:line="360" w:lineRule="auto"/>
              <w:rPr>
                <w:rFonts w:ascii="Arial" w:hAnsi="Arial" w:cs="Arial"/>
                <w:sz w:val="18"/>
                <w:szCs w:val="18"/>
              </w:rPr>
            </w:pPr>
            <w:r>
              <w:rPr>
                <w:rFonts w:ascii="Arial" w:hAnsi="Arial" w:cs="Arial"/>
                <w:sz w:val="18"/>
                <w:szCs w:val="18"/>
              </w:rPr>
              <w:t>201</w:t>
            </w:r>
            <w:r>
              <w:rPr>
                <w:rFonts w:hint="eastAsia" w:ascii="Arial" w:hAnsi="Arial" w:cs="Arial"/>
                <w:sz w:val="18"/>
                <w:szCs w:val="18"/>
              </w:rPr>
              <w:t>84315</w:t>
            </w:r>
            <w:r>
              <w:rPr>
                <w:rFonts w:ascii="Arial" w:hAnsi="Arial" w:cs="Arial"/>
                <w:sz w:val="18"/>
                <w:szCs w:val="18"/>
              </w:rPr>
              <w:t>-T-469</w:t>
            </w:r>
          </w:p>
        </w:tc>
        <w:tc>
          <w:tcPr>
            <w:tcW w:w="1404" w:type="dxa"/>
            <w:vAlign w:val="center"/>
          </w:tcPr>
          <w:p>
            <w:pPr>
              <w:adjustRightInd w:val="0"/>
              <w:snapToGrid w:val="0"/>
              <w:spacing w:line="360" w:lineRule="auto"/>
              <w:rPr>
                <w:rFonts w:ascii="Arial" w:hAnsi="Arial" w:cs="Arial"/>
                <w:sz w:val="18"/>
                <w:szCs w:val="18"/>
              </w:rPr>
            </w:pPr>
            <w:r>
              <w:rPr>
                <w:rFonts w:ascii="Arial" w:hAnsi="Arial" w:cs="Arial"/>
                <w:sz w:val="18"/>
                <w:szCs w:val="18"/>
              </w:rPr>
              <w:t>稀土金属及其氧化物中稀土杂质化学分析方法第</w:t>
            </w:r>
            <w:r>
              <w:rPr>
                <w:rFonts w:hint="eastAsia" w:ascii="Arial" w:hAnsi="Arial" w:cs="Arial"/>
                <w:sz w:val="18"/>
                <w:szCs w:val="18"/>
              </w:rPr>
              <w:t>4</w:t>
            </w:r>
            <w:r>
              <w:rPr>
                <w:rFonts w:ascii="Arial" w:hAnsi="Arial" w:cs="Arial"/>
                <w:sz w:val="18"/>
                <w:szCs w:val="18"/>
              </w:rPr>
              <w:t>部分：</w:t>
            </w:r>
            <w:r>
              <w:rPr>
                <w:rFonts w:hint="eastAsia" w:ascii="Arial" w:hAnsi="Arial" w:cs="Arial"/>
                <w:szCs w:val="21"/>
              </w:rPr>
              <w:t>钕中镧、铈、镨、钐、铕、钆、铽、镝、钬、铒、铥、镱、镥和钇</w:t>
            </w:r>
            <w:r>
              <w:rPr>
                <w:rFonts w:ascii="Arial" w:hAnsi="Arial" w:cs="Arial"/>
                <w:szCs w:val="21"/>
              </w:rPr>
              <w:t>的测定</w:t>
            </w:r>
          </w:p>
        </w:tc>
        <w:tc>
          <w:tcPr>
            <w:tcW w:w="1178" w:type="dxa"/>
            <w:vAlign w:val="center"/>
          </w:tcPr>
          <w:p>
            <w:pPr>
              <w:adjustRightInd w:val="0"/>
              <w:snapToGrid w:val="0"/>
              <w:spacing w:line="360" w:lineRule="auto"/>
              <w:rPr>
                <w:rFonts w:ascii="Arial" w:hAnsi="Arial" w:cs="Arial"/>
                <w:sz w:val="18"/>
                <w:szCs w:val="18"/>
              </w:rPr>
            </w:pPr>
            <w:r>
              <w:rPr>
                <w:rFonts w:hint="eastAsia" w:ascii="Arial" w:hAnsi="Arial" w:cs="Arial"/>
                <w:sz w:val="18"/>
                <w:szCs w:val="18"/>
              </w:rPr>
              <w:t>江西理工大学、广东珠江稀土有限公司、包头稀土研究院</w:t>
            </w:r>
          </w:p>
        </w:tc>
        <w:tc>
          <w:tcPr>
            <w:tcW w:w="1723" w:type="dxa"/>
            <w:vAlign w:val="center"/>
          </w:tcPr>
          <w:p>
            <w:pPr>
              <w:adjustRightInd w:val="0"/>
              <w:snapToGrid w:val="0"/>
              <w:spacing w:line="360" w:lineRule="auto"/>
              <w:rPr>
                <w:rFonts w:ascii="Arial" w:hAnsi="Arial" w:cs="Arial"/>
                <w:sz w:val="18"/>
                <w:szCs w:val="18"/>
              </w:rPr>
            </w:pPr>
            <w:r>
              <w:rPr>
                <w:rFonts w:hint="eastAsia" w:ascii="Arial" w:hAnsi="Arial" w:cs="Arial"/>
                <w:sz w:val="18"/>
                <w:szCs w:val="18"/>
              </w:rPr>
              <w:t>方法1：</w:t>
            </w:r>
            <w:r>
              <w:rPr>
                <w:rFonts w:ascii="Arial" w:hAnsi="Arial" w:cs="Arial"/>
                <w:sz w:val="18"/>
                <w:szCs w:val="18"/>
              </w:rPr>
              <w:t>虔东稀土集团股份有限公司、</w:t>
            </w:r>
          </w:p>
          <w:p>
            <w:pPr>
              <w:adjustRightInd w:val="0"/>
              <w:snapToGrid w:val="0"/>
              <w:spacing w:line="360" w:lineRule="auto"/>
              <w:rPr>
                <w:rFonts w:ascii="Arial" w:hAnsi="Arial" w:cs="Arial"/>
                <w:sz w:val="18"/>
                <w:szCs w:val="18"/>
              </w:rPr>
            </w:pPr>
            <w:r>
              <w:rPr>
                <w:rFonts w:hint="eastAsia" w:ascii="Arial" w:hAnsi="Arial" w:cs="Arial"/>
                <w:sz w:val="18"/>
                <w:szCs w:val="18"/>
              </w:rPr>
              <w:t>江苏金石</w:t>
            </w:r>
            <w:r>
              <w:rPr>
                <w:rFonts w:ascii="Arial" w:hAnsi="Arial" w:cs="Arial"/>
                <w:sz w:val="18"/>
                <w:szCs w:val="18"/>
              </w:rPr>
              <w:t>稀土有限责任公司</w:t>
            </w:r>
            <w:r>
              <w:rPr>
                <w:rFonts w:hint="eastAsia" w:ascii="Arial" w:hAnsi="Arial" w:cs="Arial"/>
                <w:sz w:val="18"/>
                <w:szCs w:val="18"/>
              </w:rPr>
              <w:t>；</w:t>
            </w:r>
          </w:p>
          <w:p>
            <w:pPr>
              <w:adjustRightInd w:val="0"/>
              <w:snapToGrid w:val="0"/>
              <w:spacing w:line="360" w:lineRule="auto"/>
              <w:rPr>
                <w:rFonts w:ascii="Arial" w:hAnsi="Arial" w:cs="Arial"/>
                <w:sz w:val="18"/>
                <w:szCs w:val="18"/>
              </w:rPr>
            </w:pPr>
            <w:r>
              <w:rPr>
                <w:rFonts w:hint="eastAsia" w:ascii="Arial" w:hAnsi="Arial" w:cs="Arial"/>
                <w:sz w:val="18"/>
                <w:szCs w:val="18"/>
              </w:rPr>
              <w:t>方法2：包头华美稀土高科有限公司、国合通用测试评价认证股份公司；</w:t>
            </w:r>
          </w:p>
          <w:p>
            <w:pPr>
              <w:adjustRightInd w:val="0"/>
              <w:snapToGrid w:val="0"/>
              <w:spacing w:line="360" w:lineRule="auto"/>
              <w:rPr>
                <w:rFonts w:ascii="Arial" w:hAnsi="Arial" w:cs="Arial"/>
                <w:sz w:val="18"/>
                <w:szCs w:val="18"/>
              </w:rPr>
            </w:pPr>
            <w:r>
              <w:rPr>
                <w:rFonts w:hint="eastAsia" w:ascii="Arial" w:hAnsi="Arial" w:cs="Arial"/>
                <w:sz w:val="18"/>
                <w:szCs w:val="18"/>
              </w:rPr>
              <w:t>方法3：赣州国检中心、厦门稀土材料研究所</w:t>
            </w:r>
          </w:p>
        </w:tc>
        <w:tc>
          <w:tcPr>
            <w:tcW w:w="2678" w:type="dxa"/>
            <w:vAlign w:val="center"/>
          </w:tcPr>
          <w:p>
            <w:pPr>
              <w:adjustRightInd w:val="0"/>
              <w:snapToGrid w:val="0"/>
              <w:spacing w:line="360" w:lineRule="auto"/>
              <w:rPr>
                <w:rFonts w:ascii="Arial" w:hAnsi="Arial" w:cs="Arial"/>
                <w:sz w:val="18"/>
                <w:szCs w:val="18"/>
              </w:rPr>
            </w:pPr>
            <w:r>
              <w:rPr>
                <w:rFonts w:hint="eastAsia" w:ascii="Arial" w:hAnsi="Arial" w:cs="Arial"/>
                <w:sz w:val="18"/>
                <w:szCs w:val="18"/>
              </w:rPr>
              <w:t>方法1：</w:t>
            </w:r>
            <w:r>
              <w:rPr>
                <w:rFonts w:ascii="Arial" w:hAnsi="Arial" w:cs="Arial"/>
                <w:sz w:val="18"/>
                <w:szCs w:val="18"/>
              </w:rPr>
              <w:t>湖南稀土金属材料研究院、</w:t>
            </w:r>
            <w:r>
              <w:rPr>
                <w:rFonts w:hint="eastAsia" w:ascii="Arial" w:hAnsi="Arial" w:cs="Arial"/>
                <w:sz w:val="18"/>
                <w:szCs w:val="18"/>
              </w:rPr>
              <w:t>赣州有色冶金研究所、乐山有研稀土新材料有限公司、江阴加华新材料资源有限公司；</w:t>
            </w:r>
          </w:p>
          <w:p>
            <w:pPr>
              <w:adjustRightInd w:val="0"/>
              <w:snapToGrid w:val="0"/>
              <w:spacing w:line="360" w:lineRule="auto"/>
              <w:rPr>
                <w:rFonts w:ascii="Arial" w:hAnsi="Arial" w:cs="Arial"/>
                <w:sz w:val="18"/>
                <w:szCs w:val="18"/>
              </w:rPr>
            </w:pPr>
            <w:r>
              <w:rPr>
                <w:rFonts w:hint="eastAsia" w:ascii="Arial" w:hAnsi="Arial" w:cs="Arial"/>
                <w:sz w:val="18"/>
                <w:szCs w:val="18"/>
              </w:rPr>
              <w:t>方法2：福建省长汀金龙稀土有限公司、</w:t>
            </w:r>
            <w:r>
              <w:rPr>
                <w:rFonts w:ascii="Arial" w:hAnsi="Arial" w:cs="Arial"/>
                <w:sz w:val="18"/>
                <w:szCs w:val="18"/>
              </w:rPr>
              <w:t>中国有色桂林矿产地质研究院有限公司</w:t>
            </w:r>
            <w:r>
              <w:rPr>
                <w:rFonts w:hint="eastAsia" w:ascii="Arial" w:hAnsi="Arial" w:cs="Arial"/>
                <w:sz w:val="18"/>
                <w:szCs w:val="18"/>
              </w:rPr>
              <w:t>、</w:t>
            </w:r>
            <w:r>
              <w:rPr>
                <w:rFonts w:ascii="Arial" w:hAnsi="Arial" w:cs="Arial"/>
                <w:sz w:val="18"/>
                <w:szCs w:val="18"/>
              </w:rPr>
              <w:t>湖南稀土金属材料研究院</w:t>
            </w:r>
            <w:r>
              <w:rPr>
                <w:rFonts w:hint="eastAsia" w:ascii="Arial" w:hAnsi="Arial" w:cs="Arial"/>
                <w:sz w:val="18"/>
                <w:szCs w:val="18"/>
              </w:rPr>
              <w:t>；</w:t>
            </w:r>
          </w:p>
          <w:p>
            <w:pPr>
              <w:adjustRightInd w:val="0"/>
              <w:snapToGrid w:val="0"/>
              <w:spacing w:line="360" w:lineRule="auto"/>
              <w:rPr>
                <w:rFonts w:ascii="Arial" w:hAnsi="Arial" w:cs="Arial"/>
                <w:sz w:val="18"/>
                <w:szCs w:val="18"/>
              </w:rPr>
            </w:pPr>
            <w:r>
              <w:rPr>
                <w:rFonts w:hint="eastAsia" w:ascii="Arial" w:hAnsi="Arial" w:cs="Arial"/>
                <w:sz w:val="18"/>
                <w:szCs w:val="18"/>
              </w:rPr>
              <w:t>方法3：中国工程物理研究院化工材料研究所、内蒙古自治区稀土产品质量监督检验研究院（国家稀土产品质量监督检验中心）、</w:t>
            </w:r>
            <w:r>
              <w:rPr>
                <w:rFonts w:ascii="Arial" w:hAnsi="Arial" w:cs="Arial"/>
                <w:sz w:val="18"/>
                <w:szCs w:val="18"/>
              </w:rPr>
              <w:t>江西</w:t>
            </w:r>
            <w:r>
              <w:rPr>
                <w:rFonts w:hint="eastAsia" w:ascii="Arial" w:hAnsi="Arial" w:cs="Arial"/>
                <w:sz w:val="18"/>
                <w:szCs w:val="18"/>
              </w:rPr>
              <w:t>省分析测试中心</w:t>
            </w:r>
          </w:p>
        </w:tc>
      </w:tr>
    </w:tbl>
    <w:p>
      <w:pPr>
        <w:adjustRightInd w:val="0"/>
        <w:snapToGrid w:val="0"/>
        <w:spacing w:line="360" w:lineRule="auto"/>
        <w:rPr>
          <w:rFonts w:ascii="Arial" w:hAnsi="Arial" w:cs="Arial"/>
          <w:szCs w:val="21"/>
        </w:rPr>
      </w:pPr>
      <w:r>
        <w:rPr>
          <w:rFonts w:hint="eastAsia" w:ascii="Arial" w:hAnsi="Arial" w:cs="Arial"/>
          <w:szCs w:val="21"/>
        </w:rPr>
        <w:t>1.3</w:t>
      </w:r>
      <w:r>
        <w:rPr>
          <w:rFonts w:ascii="Arial" w:hAnsi="Arial" w:cs="Arial"/>
          <w:szCs w:val="21"/>
        </w:rPr>
        <w:t>标准项目编制工作组单位简况</w:t>
      </w:r>
    </w:p>
    <w:p>
      <w:pPr>
        <w:adjustRightInd w:val="0"/>
        <w:snapToGrid w:val="0"/>
        <w:spacing w:line="500" w:lineRule="exact"/>
        <w:ind w:firstLine="420" w:firstLineChars="200"/>
        <w:rPr>
          <w:szCs w:val="21"/>
        </w:rPr>
      </w:pPr>
      <w:r>
        <w:rPr>
          <w:rFonts w:hint="eastAsia"/>
          <w:szCs w:val="21"/>
        </w:rPr>
        <w:t>包头稀土研究院成立于1963年，直属原冶金工业部。1992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13家。本院建有国家级“稀土冶金及功能材料国家工程研究中心”、“北方稀土行业生产力促进中心”、“白云鄂博稀土资源研究与综合利用国家重点实验室”；内蒙古自治区级“内蒙古希苑稀土功能材料工程技术研究中心”、“内蒙古自治区稀土生产力促进中心”、“内蒙古自治区稀土高温冶金工程技术研究中心”以及“内蒙古自治区铌冶金工程实验室”。包头稀土研究院理化检测中心是本院的重要组成部分，拥有中国合格评定国家认可实验室（CNAS）、内蒙古技术监督局的计量认证（CMA）及全国分析检测人员能力培训和考核中心（NTC）等资质。主要从事稀土矿石、合金、金属、化合物及稀土新材料的检测工作，同时承接黑色金属、有色金属、选冶、新材料、土壤、铝材和生物样品的分析检测工作，为包头市、内蒙古地区稀土产品进出口以及国内外各企业、贸易公司服务，出色地完成了大量国内外委托的检测业务。建院以来承担50%以上的国家稀土标准分析方法的研究和标准样品的研制工作，在国内稀土产品检测领域地位突出。截止目前，理化检测中心完成国家稀土标准分析方法的相关起草工作100多项，曾获七五、八五攻关科研奖，多次获得中国有色金属工业科学技术二、三等奖等荣誉。基于包头稀土研究院长期在稀土湿法冶炼、环境保护、标准起草等方面积累的丰富经验，在本项目实施期间，包头稀土研究院可借鉴已有科研成果、发挥自身优势保证项目顺利推进。</w:t>
      </w:r>
    </w:p>
    <w:p>
      <w:pPr>
        <w:adjustRightInd w:val="0"/>
        <w:snapToGrid w:val="0"/>
        <w:spacing w:line="360" w:lineRule="auto"/>
        <w:rPr>
          <w:rFonts w:ascii="Arial" w:hAnsi="Arial" w:cs="Arial"/>
          <w:szCs w:val="21"/>
        </w:rPr>
      </w:pPr>
      <w:r>
        <w:rPr>
          <w:rFonts w:hint="eastAsia" w:ascii="Arial" w:hAnsi="Arial" w:cs="Arial"/>
          <w:szCs w:val="21"/>
        </w:rPr>
        <w:t>1.4</w:t>
      </w:r>
      <w:r>
        <w:rPr>
          <w:rFonts w:ascii="Arial" w:hAnsi="Arial" w:cs="Arial"/>
          <w:szCs w:val="21"/>
        </w:rPr>
        <w:t>主要工作过程</w:t>
      </w:r>
    </w:p>
    <w:p>
      <w:pPr>
        <w:adjustRightInd w:val="0"/>
        <w:snapToGrid w:val="0"/>
        <w:spacing w:line="360" w:lineRule="auto"/>
        <w:rPr>
          <w:rFonts w:ascii="Arial" w:hAnsi="Arial" w:cs="Arial"/>
          <w:szCs w:val="21"/>
        </w:rPr>
      </w:pPr>
      <w:r>
        <w:rPr>
          <w:rFonts w:hint="eastAsia" w:ascii="Arial" w:hAnsi="Arial" w:cs="Arial"/>
          <w:szCs w:val="21"/>
        </w:rPr>
        <w:t>1.</w:t>
      </w:r>
      <w:r>
        <w:rPr>
          <w:rFonts w:ascii="Arial" w:hAnsi="Arial" w:cs="Arial"/>
          <w:szCs w:val="21"/>
        </w:rPr>
        <w:t>4.1国内外标准的收集</w:t>
      </w:r>
    </w:p>
    <w:p>
      <w:pPr>
        <w:adjustRightInd w:val="0"/>
        <w:snapToGrid w:val="0"/>
        <w:spacing w:line="360" w:lineRule="auto"/>
        <w:ind w:firstLine="420" w:firstLineChars="200"/>
        <w:rPr>
          <w:rFonts w:ascii="Arial" w:hAnsi="Arial" w:cs="Arial"/>
          <w:szCs w:val="21"/>
        </w:rPr>
      </w:pPr>
      <w:r>
        <w:rPr>
          <w:rFonts w:ascii="Arial" w:hAnsi="Arial" w:cs="Arial"/>
          <w:szCs w:val="21"/>
        </w:rPr>
        <w:t>本标准是基于GB/T 1</w:t>
      </w:r>
      <w:r>
        <w:rPr>
          <w:rFonts w:hint="eastAsia" w:ascii="Arial" w:hAnsi="Arial" w:cs="Arial"/>
          <w:szCs w:val="21"/>
        </w:rPr>
        <w:t>8115</w:t>
      </w:r>
      <w:r>
        <w:rPr>
          <w:rFonts w:ascii="Arial" w:hAnsi="Arial" w:cs="Arial"/>
          <w:szCs w:val="21"/>
        </w:rPr>
        <w:t>.</w:t>
      </w:r>
      <w:r>
        <w:rPr>
          <w:rFonts w:hint="eastAsia" w:ascii="Arial" w:hAnsi="Arial" w:cs="Arial"/>
          <w:szCs w:val="21"/>
        </w:rPr>
        <w:t>4</w:t>
      </w:r>
      <w:r>
        <w:rPr>
          <w:rFonts w:ascii="Arial" w:hAnsi="Arial" w:cs="Arial"/>
          <w:szCs w:val="21"/>
        </w:rPr>
        <w:t>-2006进行修订的，未查到其它与本标准完全一致的国内或国外标准。</w:t>
      </w:r>
    </w:p>
    <w:p>
      <w:pPr>
        <w:adjustRightInd w:val="0"/>
        <w:snapToGrid w:val="0"/>
        <w:spacing w:line="360" w:lineRule="auto"/>
        <w:rPr>
          <w:rFonts w:ascii="Arial" w:hAnsi="Arial" w:cs="Arial"/>
          <w:szCs w:val="21"/>
        </w:rPr>
      </w:pPr>
      <w:r>
        <w:rPr>
          <w:rFonts w:hint="eastAsia" w:ascii="Arial" w:hAnsi="Arial" w:cs="Arial"/>
          <w:szCs w:val="21"/>
        </w:rPr>
        <w:t>1.</w:t>
      </w:r>
      <w:r>
        <w:rPr>
          <w:rFonts w:ascii="Arial" w:hAnsi="Arial" w:cs="Arial"/>
          <w:szCs w:val="21"/>
        </w:rPr>
        <w:t>4.2方法</w:t>
      </w:r>
      <w:r>
        <w:rPr>
          <w:rFonts w:hint="eastAsia" w:ascii="Arial" w:hAnsi="Arial" w:cs="Arial"/>
          <w:szCs w:val="21"/>
        </w:rPr>
        <w:t>2</w:t>
      </w:r>
      <w:r>
        <w:rPr>
          <w:rFonts w:ascii="Arial" w:hAnsi="Arial" w:cs="Arial"/>
          <w:szCs w:val="21"/>
        </w:rPr>
        <w:t>主要工作过程</w:t>
      </w:r>
    </w:p>
    <w:p>
      <w:pPr>
        <w:adjustRightInd w:val="0"/>
        <w:snapToGrid w:val="0"/>
        <w:spacing w:line="360" w:lineRule="auto"/>
        <w:rPr>
          <w:rFonts w:ascii="Arial" w:hAnsi="Arial" w:cs="Arial"/>
          <w:szCs w:val="21"/>
        </w:rPr>
      </w:pPr>
      <w:r>
        <w:rPr>
          <w:rFonts w:ascii="Arial" w:hAnsi="Arial" w:cs="Arial"/>
          <w:szCs w:val="21"/>
        </w:rPr>
        <w:t>——201</w:t>
      </w:r>
      <w:r>
        <w:rPr>
          <w:rFonts w:hint="eastAsia" w:ascii="Arial" w:hAnsi="Arial" w:cs="Arial"/>
          <w:szCs w:val="21"/>
        </w:rPr>
        <w:t>9</w:t>
      </w:r>
      <w:r>
        <w:rPr>
          <w:rFonts w:ascii="Arial" w:hAnsi="Arial" w:cs="Arial"/>
          <w:szCs w:val="21"/>
        </w:rPr>
        <w:t>年</w:t>
      </w:r>
      <w:r>
        <w:rPr>
          <w:rFonts w:hint="eastAsia" w:ascii="Arial" w:hAnsi="Arial" w:cs="Arial"/>
          <w:szCs w:val="21"/>
        </w:rPr>
        <w:t>1</w:t>
      </w:r>
      <w:r>
        <w:rPr>
          <w:rFonts w:ascii="Arial" w:hAnsi="Arial" w:cs="Arial"/>
          <w:szCs w:val="21"/>
        </w:rPr>
        <w:t>月，全国稀土标准化化技术委员会召开任务落实会，确定由</w:t>
      </w:r>
      <w:r>
        <w:rPr>
          <w:rFonts w:hint="eastAsia" w:ascii="Arial" w:hAnsi="Arial" w:cs="Arial"/>
          <w:szCs w:val="21"/>
        </w:rPr>
        <w:t>江西理工大学、广东珠江稀土有限公司、包头稀土研究院修订</w:t>
      </w:r>
      <w:r>
        <w:rPr>
          <w:rFonts w:ascii="Arial" w:hAnsi="Arial" w:cs="Arial"/>
          <w:szCs w:val="21"/>
        </w:rPr>
        <w:t>本标准，</w:t>
      </w:r>
      <w:r>
        <w:rPr>
          <w:rFonts w:hint="eastAsia" w:ascii="Arial" w:hAnsi="Arial" w:cs="Arial"/>
          <w:szCs w:val="21"/>
        </w:rPr>
        <w:t>包头华美稀土高科有限公司、国合通用测试评价认证股份公司</w:t>
      </w:r>
      <w:r>
        <w:rPr>
          <w:rFonts w:ascii="Arial" w:hAnsi="Arial" w:cs="Arial"/>
          <w:szCs w:val="21"/>
        </w:rPr>
        <w:t>等单位参与起草验证。</w:t>
      </w:r>
    </w:p>
    <w:p>
      <w:pPr>
        <w:adjustRightInd w:val="0"/>
        <w:snapToGrid w:val="0"/>
        <w:spacing w:line="360" w:lineRule="auto"/>
        <w:rPr>
          <w:rFonts w:ascii="Arial" w:hAnsi="Arial" w:cs="Arial"/>
          <w:szCs w:val="21"/>
        </w:rPr>
      </w:pPr>
      <w:r>
        <w:rPr>
          <w:rFonts w:ascii="Arial" w:hAnsi="Arial" w:cs="Arial"/>
          <w:szCs w:val="21"/>
        </w:rPr>
        <w:t>——201</w:t>
      </w:r>
      <w:r>
        <w:rPr>
          <w:rFonts w:hint="eastAsia" w:ascii="Arial" w:hAnsi="Arial" w:cs="Arial"/>
          <w:szCs w:val="21"/>
        </w:rPr>
        <w:t>9</w:t>
      </w:r>
      <w:r>
        <w:rPr>
          <w:rFonts w:ascii="Arial" w:hAnsi="Arial" w:cs="Arial"/>
          <w:szCs w:val="21"/>
        </w:rPr>
        <w:t>年</w:t>
      </w:r>
      <w:r>
        <w:rPr>
          <w:rFonts w:hint="eastAsia" w:ascii="Arial" w:hAnsi="Arial" w:cs="Arial"/>
          <w:szCs w:val="21"/>
        </w:rPr>
        <w:t>2</w:t>
      </w:r>
      <w:r>
        <w:rPr>
          <w:rFonts w:ascii="Arial" w:hAnsi="Arial" w:cs="Arial"/>
          <w:szCs w:val="21"/>
        </w:rPr>
        <w:t>月至201</w:t>
      </w:r>
      <w:r>
        <w:rPr>
          <w:rFonts w:hint="eastAsia" w:ascii="Arial" w:hAnsi="Arial" w:cs="Arial"/>
          <w:szCs w:val="21"/>
        </w:rPr>
        <w:t>9</w:t>
      </w:r>
      <w:r>
        <w:rPr>
          <w:rFonts w:ascii="Arial" w:hAnsi="Arial" w:cs="Arial"/>
          <w:szCs w:val="21"/>
        </w:rPr>
        <w:t>年</w:t>
      </w:r>
      <w:r>
        <w:rPr>
          <w:rFonts w:hint="eastAsia" w:ascii="Arial" w:hAnsi="Arial" w:cs="Arial"/>
          <w:szCs w:val="21"/>
        </w:rPr>
        <w:t>10</w:t>
      </w:r>
      <w:r>
        <w:rPr>
          <w:rFonts w:ascii="Arial" w:hAnsi="Arial" w:cs="Arial"/>
          <w:szCs w:val="21"/>
        </w:rPr>
        <w:t>月研制统一样品，准备相关材料，负责起草单位分组分人员根据试验方案进行不同的方法试验，完成试验报告和标准征求意见稿的编写工作。</w:t>
      </w:r>
    </w:p>
    <w:p>
      <w:pPr>
        <w:adjustRightInd w:val="0"/>
        <w:snapToGrid w:val="0"/>
        <w:spacing w:line="360" w:lineRule="auto"/>
        <w:ind w:firstLine="420" w:firstLineChars="200"/>
        <w:rPr>
          <w:rFonts w:ascii="Arial" w:hAnsi="Arial" w:cs="Arial"/>
          <w:szCs w:val="21"/>
        </w:rPr>
      </w:pPr>
      <w:r>
        <w:rPr>
          <w:rFonts w:ascii="Arial" w:hAnsi="Arial" w:cs="Arial"/>
          <w:szCs w:val="21"/>
        </w:rPr>
        <w:t>——201</w:t>
      </w:r>
      <w:r>
        <w:rPr>
          <w:rFonts w:hint="eastAsia" w:ascii="Arial" w:hAnsi="Arial" w:cs="Arial"/>
          <w:szCs w:val="21"/>
        </w:rPr>
        <w:t>9</w:t>
      </w:r>
      <w:r>
        <w:rPr>
          <w:rFonts w:ascii="Arial" w:hAnsi="Arial" w:cs="Arial"/>
          <w:szCs w:val="21"/>
        </w:rPr>
        <w:t>年</w:t>
      </w:r>
      <w:r>
        <w:rPr>
          <w:rFonts w:hint="eastAsia" w:ascii="Arial" w:hAnsi="Arial" w:cs="Arial"/>
          <w:szCs w:val="21"/>
        </w:rPr>
        <w:t>10</w:t>
      </w:r>
      <w:r>
        <w:rPr>
          <w:rFonts w:ascii="Arial" w:hAnsi="Arial" w:cs="Arial"/>
          <w:szCs w:val="21"/>
        </w:rPr>
        <w:t>月</w:t>
      </w:r>
      <w:r>
        <w:rPr>
          <w:rFonts w:hint="eastAsia" w:ascii="Arial" w:hAnsi="Arial" w:cs="Arial"/>
          <w:szCs w:val="21"/>
        </w:rPr>
        <w:t>末</w:t>
      </w:r>
      <w:r>
        <w:rPr>
          <w:rFonts w:ascii="Arial" w:hAnsi="Arial" w:cs="Arial"/>
          <w:szCs w:val="21"/>
        </w:rPr>
        <w:t>，将试验样品和试验报告寄发给有关验证单位，进行方法的验证和征求意见稿的意见征求工作。</w:t>
      </w:r>
    </w:p>
    <w:p>
      <w:pPr>
        <w:adjustRightInd w:val="0"/>
        <w:snapToGrid w:val="0"/>
        <w:spacing w:line="360" w:lineRule="auto"/>
        <w:ind w:firstLine="420" w:firstLineChars="200"/>
        <w:rPr>
          <w:rFonts w:ascii="Arial" w:hAnsi="Arial" w:cs="Arial"/>
          <w:szCs w:val="21"/>
        </w:rPr>
      </w:pPr>
      <w:r>
        <w:rPr>
          <w:rFonts w:ascii="Arial" w:hAnsi="Arial" w:cs="Arial"/>
          <w:szCs w:val="21"/>
        </w:rPr>
        <w:t>——20</w:t>
      </w:r>
      <w:r>
        <w:rPr>
          <w:rFonts w:hint="eastAsia" w:ascii="Arial" w:hAnsi="Arial" w:cs="Arial"/>
          <w:szCs w:val="21"/>
        </w:rPr>
        <w:t>20</w:t>
      </w:r>
      <w:r>
        <w:rPr>
          <w:rFonts w:ascii="Arial" w:hAnsi="Arial" w:cs="Arial"/>
          <w:szCs w:val="21"/>
        </w:rPr>
        <w:t>年</w:t>
      </w:r>
      <w:r>
        <w:rPr>
          <w:rFonts w:hint="eastAsia" w:ascii="Arial" w:hAnsi="Arial" w:cs="Arial"/>
          <w:szCs w:val="21"/>
        </w:rPr>
        <w:t>5</w:t>
      </w:r>
      <w:r>
        <w:rPr>
          <w:rFonts w:ascii="Arial" w:hAnsi="Arial" w:cs="Arial"/>
          <w:szCs w:val="21"/>
        </w:rPr>
        <w:t>月</w:t>
      </w:r>
      <w:r>
        <w:rPr>
          <w:rFonts w:hint="eastAsia" w:ascii="Arial" w:hAnsi="Arial" w:cs="Arial"/>
          <w:szCs w:val="21"/>
        </w:rPr>
        <w:t>末</w:t>
      </w:r>
      <w:r>
        <w:rPr>
          <w:rFonts w:ascii="Arial" w:hAnsi="Arial" w:cs="Arial"/>
          <w:szCs w:val="21"/>
        </w:rPr>
        <w:t>各相关验证单位完成一验和二验，返回验证报告和意见。完成精密度试验和数据统计工作。根据征求意见，修改征求意见稿并形成预审稿。</w:t>
      </w:r>
    </w:p>
    <w:p>
      <w:pPr>
        <w:adjustRightInd w:val="0"/>
        <w:snapToGrid w:val="0"/>
        <w:spacing w:line="360" w:lineRule="auto"/>
        <w:ind w:firstLine="420" w:firstLineChars="200"/>
        <w:rPr>
          <w:rFonts w:ascii="Arial" w:hAnsi="Arial" w:cs="Arial"/>
          <w:szCs w:val="21"/>
        </w:rPr>
      </w:pPr>
      <w:r>
        <w:rPr>
          <w:rFonts w:ascii="Arial" w:hAnsi="Arial" w:cs="Arial"/>
          <w:szCs w:val="21"/>
        </w:rPr>
        <w:t>——20</w:t>
      </w:r>
      <w:r>
        <w:rPr>
          <w:rFonts w:hint="eastAsia" w:ascii="Arial" w:hAnsi="Arial" w:cs="Arial"/>
          <w:szCs w:val="21"/>
        </w:rPr>
        <w:t>20</w:t>
      </w:r>
      <w:r>
        <w:rPr>
          <w:rFonts w:ascii="Arial" w:hAnsi="Arial" w:cs="Arial"/>
          <w:szCs w:val="21"/>
        </w:rPr>
        <w:t>年</w:t>
      </w:r>
      <w:r>
        <w:rPr>
          <w:rFonts w:hint="eastAsia" w:ascii="Arial" w:hAnsi="Arial" w:cs="Arial"/>
          <w:szCs w:val="21"/>
        </w:rPr>
        <w:t>6</w:t>
      </w:r>
      <w:r>
        <w:rPr>
          <w:rFonts w:ascii="Arial" w:hAnsi="Arial" w:cs="Arial"/>
          <w:szCs w:val="21"/>
        </w:rPr>
        <w:t>月</w:t>
      </w:r>
      <w:r>
        <w:rPr>
          <w:rFonts w:hint="eastAsia" w:ascii="Arial" w:hAnsi="Arial" w:cs="Arial"/>
          <w:szCs w:val="21"/>
        </w:rPr>
        <w:t>初</w:t>
      </w:r>
      <w:r>
        <w:rPr>
          <w:rFonts w:ascii="Arial" w:hAnsi="Arial" w:cs="Arial"/>
          <w:szCs w:val="21"/>
        </w:rPr>
        <w:t>，根据预审会议意见进行补充实验，修改预审稿并形成标准送审稿。</w:t>
      </w:r>
    </w:p>
    <w:p>
      <w:pPr>
        <w:adjustRightInd w:val="0"/>
        <w:snapToGrid w:val="0"/>
        <w:spacing w:line="360" w:lineRule="auto"/>
        <w:ind w:firstLine="420" w:firstLineChars="200"/>
        <w:rPr>
          <w:rFonts w:ascii="Arial" w:hAnsi="Arial" w:cs="Arial"/>
          <w:szCs w:val="21"/>
        </w:rPr>
      </w:pPr>
      <w:r>
        <w:rPr>
          <w:rFonts w:ascii="Arial" w:hAnsi="Arial" w:cs="Arial"/>
          <w:szCs w:val="21"/>
        </w:rPr>
        <w:t>——20</w:t>
      </w:r>
      <w:r>
        <w:rPr>
          <w:rFonts w:hint="eastAsia" w:ascii="Arial" w:hAnsi="Arial" w:cs="Arial"/>
          <w:szCs w:val="21"/>
        </w:rPr>
        <w:t>20</w:t>
      </w:r>
      <w:r>
        <w:rPr>
          <w:rFonts w:ascii="Arial" w:hAnsi="Arial" w:cs="Arial"/>
          <w:szCs w:val="21"/>
        </w:rPr>
        <w:t>年</w:t>
      </w:r>
      <w:r>
        <w:rPr>
          <w:rFonts w:hint="eastAsia" w:ascii="Arial" w:hAnsi="Arial" w:cs="Arial"/>
          <w:szCs w:val="21"/>
        </w:rPr>
        <w:t>7月</w:t>
      </w:r>
      <w:r>
        <w:rPr>
          <w:rFonts w:ascii="Arial" w:hAnsi="Arial" w:cs="Arial"/>
          <w:szCs w:val="21"/>
        </w:rPr>
        <w:t>，根据审定会意见进行文本修改，并形成标准报批稿。</w:t>
      </w:r>
    </w:p>
    <w:p>
      <w:pPr>
        <w:adjustRightInd w:val="0"/>
        <w:snapToGrid w:val="0"/>
        <w:spacing w:line="360" w:lineRule="auto"/>
        <w:rPr>
          <w:rFonts w:ascii="Arial" w:hAnsi="Arial" w:cs="Arial"/>
          <w:szCs w:val="21"/>
        </w:rPr>
      </w:pPr>
      <w:r>
        <w:rPr>
          <w:rFonts w:hint="eastAsia" w:ascii="Arial" w:hAnsi="Arial" w:cs="Arial"/>
          <w:szCs w:val="21"/>
        </w:rPr>
        <w:t>1.</w:t>
      </w:r>
      <w:r>
        <w:rPr>
          <w:rFonts w:ascii="Arial" w:hAnsi="Arial" w:cs="Arial"/>
          <w:szCs w:val="21"/>
        </w:rPr>
        <w:t xml:space="preserve">4.3 根据GB/T 1.1，进行格式性修订。 </w:t>
      </w:r>
    </w:p>
    <w:p>
      <w:pPr>
        <w:adjustRightInd w:val="0"/>
        <w:snapToGrid w:val="0"/>
        <w:spacing w:line="360" w:lineRule="auto"/>
        <w:rPr>
          <w:rFonts w:ascii="Arial" w:hAnsi="Arial" w:cs="Arial"/>
          <w:szCs w:val="21"/>
        </w:rPr>
      </w:pPr>
      <w:r>
        <w:rPr>
          <w:rFonts w:ascii="Arial" w:hAnsi="Arial" w:cs="Arial"/>
          <w:szCs w:val="21"/>
        </w:rPr>
        <w:t>二、标准编制原则和主要内容</w:t>
      </w:r>
    </w:p>
    <w:p>
      <w:pPr>
        <w:adjustRightInd w:val="0"/>
        <w:snapToGrid w:val="0"/>
        <w:spacing w:line="360" w:lineRule="auto"/>
        <w:rPr>
          <w:rFonts w:ascii="Arial" w:hAnsi="Arial" w:cs="Arial"/>
          <w:szCs w:val="21"/>
        </w:rPr>
      </w:pPr>
      <w:r>
        <w:rPr>
          <w:rFonts w:ascii="Arial" w:hAnsi="Arial" w:cs="Arial"/>
          <w:szCs w:val="21"/>
        </w:rPr>
        <w:t>2.1 编制原则</w:t>
      </w:r>
    </w:p>
    <w:p>
      <w:pPr>
        <w:adjustRightInd w:val="0"/>
        <w:snapToGrid w:val="0"/>
        <w:spacing w:line="360" w:lineRule="auto"/>
        <w:ind w:firstLine="420" w:firstLineChars="200"/>
        <w:rPr>
          <w:rFonts w:ascii="Arial" w:hAnsi="Arial" w:cs="Arial"/>
          <w:szCs w:val="21"/>
        </w:rPr>
      </w:pPr>
      <w:r>
        <w:rPr>
          <w:rFonts w:ascii="Arial" w:hAnsi="Arial" w:cs="Arial"/>
          <w:szCs w:val="21"/>
        </w:rPr>
        <w:t>标准的格式严格按照GB/T 1.1-2009《标准化工作导则第1部分：标准的结构和编写》的规定进行。</w:t>
      </w:r>
    </w:p>
    <w:p>
      <w:pPr>
        <w:adjustRightInd w:val="0"/>
        <w:snapToGrid w:val="0"/>
        <w:spacing w:line="360" w:lineRule="auto"/>
        <w:ind w:firstLine="420" w:firstLineChars="200"/>
        <w:rPr>
          <w:rFonts w:ascii="Arial" w:hAnsi="Arial" w:cs="Arial"/>
          <w:szCs w:val="21"/>
        </w:rPr>
      </w:pPr>
      <w:r>
        <w:rPr>
          <w:rFonts w:ascii="Arial" w:hAnsi="Arial" w:cs="Arial"/>
          <w:szCs w:val="21"/>
        </w:rPr>
        <w:t>根据测定元素的不同，最终确定各元素测定方法的允许差。</w:t>
      </w:r>
    </w:p>
    <w:p>
      <w:pPr>
        <w:adjustRightInd w:val="0"/>
        <w:snapToGrid w:val="0"/>
        <w:spacing w:line="360" w:lineRule="auto"/>
        <w:ind w:firstLine="420" w:firstLineChars="200"/>
        <w:rPr>
          <w:rFonts w:ascii="Arial" w:hAnsi="Arial" w:cs="Arial"/>
          <w:szCs w:val="21"/>
        </w:rPr>
      </w:pPr>
      <w:r>
        <w:rPr>
          <w:rFonts w:ascii="Arial" w:hAnsi="Arial" w:cs="Arial"/>
          <w:szCs w:val="21"/>
        </w:rPr>
        <w:t>根据目前稀土金属及其氧化物的生产、应用和贸易要求确定分析方法及测定范围。</w:t>
      </w:r>
    </w:p>
    <w:p>
      <w:pPr>
        <w:adjustRightInd w:val="0"/>
        <w:snapToGrid w:val="0"/>
        <w:spacing w:line="360" w:lineRule="auto"/>
        <w:ind w:firstLine="420" w:firstLineChars="200"/>
        <w:rPr>
          <w:rFonts w:ascii="Arial" w:hAnsi="Arial" w:cs="Arial"/>
          <w:szCs w:val="21"/>
        </w:rPr>
      </w:pPr>
      <w:r>
        <w:rPr>
          <w:rFonts w:ascii="Arial" w:hAnsi="Arial" w:cs="Arial"/>
          <w:szCs w:val="21"/>
        </w:rPr>
        <w:t>本系列标准选择方法的原则主要考虑方法的适用性、准确性和一定的先进性。</w:t>
      </w:r>
    </w:p>
    <w:p>
      <w:pPr>
        <w:adjustRightInd w:val="0"/>
        <w:snapToGrid w:val="0"/>
        <w:spacing w:line="360" w:lineRule="auto"/>
        <w:rPr>
          <w:rFonts w:ascii="Arial" w:hAnsi="Arial" w:cs="Arial"/>
          <w:szCs w:val="21"/>
        </w:rPr>
      </w:pPr>
      <w:r>
        <w:rPr>
          <w:rFonts w:ascii="Arial" w:hAnsi="Arial" w:cs="Arial"/>
          <w:szCs w:val="21"/>
        </w:rPr>
        <w:t>2.2标准技术内容说明</w:t>
      </w:r>
    </w:p>
    <w:p>
      <w:pPr>
        <w:adjustRightInd w:val="0"/>
        <w:snapToGrid w:val="0"/>
        <w:spacing w:line="360" w:lineRule="auto"/>
        <w:rPr>
          <w:rFonts w:ascii="Arial" w:hAnsi="Arial" w:cs="Arial"/>
          <w:szCs w:val="21"/>
        </w:rPr>
      </w:pPr>
      <w:r>
        <w:rPr>
          <w:rFonts w:ascii="Arial" w:hAnsi="Arial" w:cs="Arial"/>
          <w:szCs w:val="21"/>
        </w:rPr>
        <w:t>2.2.1方法</w:t>
      </w:r>
      <w:r>
        <w:rPr>
          <w:rFonts w:hint="eastAsia" w:ascii="Arial" w:hAnsi="Arial" w:cs="Arial"/>
          <w:szCs w:val="21"/>
        </w:rPr>
        <w:t>2</w:t>
      </w:r>
      <w:r>
        <w:rPr>
          <w:rFonts w:ascii="Arial" w:hAnsi="Arial" w:cs="Arial"/>
          <w:szCs w:val="21"/>
        </w:rPr>
        <w:t>：电感耦合等离子体</w:t>
      </w:r>
      <w:r>
        <w:rPr>
          <w:rFonts w:hint="eastAsia" w:ascii="Arial" w:hAnsi="Arial" w:cs="Arial"/>
          <w:szCs w:val="21"/>
        </w:rPr>
        <w:t>质</w:t>
      </w:r>
      <w:r>
        <w:rPr>
          <w:rFonts w:ascii="Arial" w:hAnsi="Arial" w:cs="Arial"/>
          <w:szCs w:val="21"/>
        </w:rPr>
        <w:t>谱法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试样以硝酸或盐酸溶解，在稀酸介质中，以氩等离子体为离子化源，用质谱法直接测定除铽、镝、钬以外的稀土杂质元素，选铯为内标元素；铽、镝、钬经C272微型柱分离钕基体后，进行质谱测定，选铊为内标元素。测定时以内标法进行校正。</w:t>
      </w:r>
    </w:p>
    <w:p>
      <w:pPr>
        <w:adjustRightInd w:val="0"/>
        <w:snapToGrid w:val="0"/>
        <w:spacing w:line="360" w:lineRule="auto"/>
        <w:ind w:firstLine="420" w:firstLineChars="200"/>
        <w:rPr>
          <w:rFonts w:ascii="Arial" w:hAnsi="Arial" w:cs="Arial"/>
          <w:szCs w:val="21"/>
        </w:rPr>
      </w:pPr>
      <w:r>
        <w:rPr>
          <w:rFonts w:hint="eastAsia" w:ascii="Times New Roman" w:hAnsi="Times New Roman" w:cs="Times New Roman"/>
          <w:szCs w:val="21"/>
        </w:rPr>
        <w:t>修改了测量范围（原方法测定范围0.0001%</w:t>
      </w:r>
      <w:r>
        <w:rPr>
          <w:rFonts w:ascii="Times New Roman" w:hAnsi="Times New Roman" w:cs="Times New Roman"/>
          <w:szCs w:val="21"/>
        </w:rPr>
        <w:t>~</w:t>
      </w:r>
      <w:r>
        <w:rPr>
          <w:rFonts w:hint="eastAsia" w:ascii="Times New Roman" w:hAnsi="Times New Roman" w:cs="Times New Roman"/>
          <w:szCs w:val="21"/>
        </w:rPr>
        <w:t>0.050%），将氧化镧、氧化铈、氧化钆测定范围调整为0.00002%</w:t>
      </w:r>
      <w:r>
        <w:rPr>
          <w:rFonts w:ascii="Times New Roman" w:hAnsi="Times New Roman" w:cs="Times New Roman"/>
          <w:szCs w:val="21"/>
        </w:rPr>
        <w:t>~</w:t>
      </w:r>
      <w:r>
        <w:rPr>
          <w:rFonts w:hint="eastAsia" w:ascii="Times New Roman" w:hAnsi="Times New Roman" w:cs="Times New Roman"/>
          <w:szCs w:val="21"/>
        </w:rPr>
        <w:t>0.020%；将氧化镨、氧化钐、氧化铕、氧化铒、氧化铥、氧化镱、氧化镥、氧化钇测定范围调整为0.00001%</w:t>
      </w:r>
      <w:r>
        <w:rPr>
          <w:rFonts w:ascii="Times New Roman" w:hAnsi="Times New Roman" w:cs="Times New Roman"/>
          <w:szCs w:val="21"/>
        </w:rPr>
        <w:t>~</w:t>
      </w:r>
      <w:r>
        <w:rPr>
          <w:rFonts w:hint="eastAsia" w:ascii="Times New Roman" w:hAnsi="Times New Roman" w:cs="Times New Roman"/>
          <w:szCs w:val="21"/>
        </w:rPr>
        <w:t>0.020%；将氧化铽、氧化镝、氧化钬测定范围调整为0.00005%</w:t>
      </w:r>
      <w:r>
        <w:rPr>
          <w:rFonts w:ascii="Times New Roman" w:hAnsi="Times New Roman" w:cs="Times New Roman"/>
          <w:szCs w:val="21"/>
        </w:rPr>
        <w:t>~</w:t>
      </w:r>
      <w:r>
        <w:rPr>
          <w:rFonts w:hint="eastAsia" w:ascii="Times New Roman" w:hAnsi="Times New Roman" w:cs="Times New Roman"/>
          <w:szCs w:val="21"/>
        </w:rPr>
        <w:t>0.010%，</w:t>
      </w:r>
      <w:r>
        <w:rPr>
          <w:rFonts w:ascii="Arial" w:hAnsi="Arial" w:cs="Arial"/>
          <w:szCs w:val="21"/>
        </w:rPr>
        <w:t>详情见下</w:t>
      </w:r>
      <w:r>
        <w:fldChar w:fldCharType="begin"/>
      </w:r>
      <w:r>
        <w:instrText xml:space="preserve">REF _Ref497251557 \h \* MERGEFORMAT </w:instrText>
      </w:r>
      <w:r>
        <w:fldChar w:fldCharType="separate"/>
      </w:r>
      <w:r>
        <w:rPr>
          <w:rFonts w:ascii="Arial" w:hAnsi="Arial" w:cs="Arial"/>
          <w:szCs w:val="21"/>
        </w:rPr>
        <w:t>表</w:t>
      </w:r>
      <w:r>
        <w:rPr>
          <w:rFonts w:hint="eastAsia" w:ascii="Arial" w:hAnsi="Arial" w:cs="Arial"/>
          <w:szCs w:val="21"/>
        </w:rPr>
        <w:t>2</w:t>
      </w:r>
      <w:r>
        <w:rPr>
          <w:rFonts w:hint="eastAsia" w:ascii="Arial" w:hAnsi="Arial" w:cs="Arial"/>
          <w:szCs w:val="21"/>
        </w:rPr>
        <w:fldChar w:fldCharType="end"/>
      </w:r>
      <w:r>
        <w:rPr>
          <w:rFonts w:ascii="Arial" w:hAnsi="Arial" w:cs="Arial"/>
          <w:szCs w:val="21"/>
        </w:rPr>
        <w:t>。</w:t>
      </w:r>
    </w:p>
    <w:p>
      <w:pPr>
        <w:adjustRightInd w:val="0"/>
        <w:snapToGrid w:val="0"/>
        <w:spacing w:line="360" w:lineRule="auto"/>
        <w:jc w:val="center"/>
        <w:rPr>
          <w:rFonts w:ascii="Arial" w:hAnsi="Arial" w:cs="Arial"/>
          <w:szCs w:val="21"/>
        </w:rPr>
      </w:pPr>
      <w:bookmarkStart w:id="3" w:name="_Ref497251557"/>
      <w:r>
        <w:rPr>
          <w:rFonts w:ascii="Arial" w:hAnsi="Arial" w:cs="Arial"/>
          <w:szCs w:val="21"/>
        </w:rPr>
        <w:t>表</w:t>
      </w:r>
      <w:bookmarkEnd w:id="3"/>
      <w:r>
        <w:rPr>
          <w:rFonts w:hint="eastAsia" w:ascii="Arial" w:hAnsi="Arial" w:cs="Arial"/>
          <w:szCs w:val="21"/>
        </w:rPr>
        <w:t>2</w:t>
      </w:r>
    </w:p>
    <w:tbl>
      <w:tblPr>
        <w:tblStyle w:val="1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621" w:type="dxa"/>
            <w:tcBorders>
              <w:righ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氧化物</w:t>
            </w:r>
          </w:p>
        </w:tc>
        <w:tc>
          <w:tcPr>
            <w:tcW w:w="4621" w:type="dxa"/>
            <w:tcBorders>
              <w:lef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righ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氧化镧、氧化铈、氧化钆</w:t>
            </w:r>
          </w:p>
        </w:tc>
        <w:tc>
          <w:tcPr>
            <w:tcW w:w="4621" w:type="dxa"/>
            <w:tcBorders>
              <w:lef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0.00002</w:t>
            </w:r>
            <w:r>
              <w:rPr>
                <w:rFonts w:ascii="Times New Roman" w:hAnsi="Times New Roman"/>
                <w:kern w:val="0"/>
                <w:sz w:val="18"/>
                <w:szCs w:val="18"/>
              </w:rPr>
              <w:t>~</w:t>
            </w:r>
            <w:r>
              <w:rPr>
                <w:rFonts w:hint="eastAsia" w:ascii="Times New Roman" w:hAnsi="Times New Roman"/>
                <w:kern w:val="0"/>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righ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氧化镨、氧化钐、氧化铕、氧化铒</w:t>
            </w:r>
          </w:p>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氧化铥、氧化镱、氧化镥、氧化钇</w:t>
            </w:r>
          </w:p>
        </w:tc>
        <w:tc>
          <w:tcPr>
            <w:tcW w:w="4621" w:type="dxa"/>
            <w:tcBorders>
              <w:left w:val="double" w:color="auto" w:sz="4" w:space="0"/>
            </w:tcBorders>
            <w:vAlign w:val="center"/>
          </w:tcPr>
          <w:p>
            <w:pPr>
              <w:autoSpaceDE w:val="0"/>
              <w:autoSpaceDN w:val="0"/>
              <w:adjustRightInd w:val="0"/>
              <w:jc w:val="center"/>
              <w:rPr>
                <w:rFonts w:ascii="Times New Roman" w:hAnsi="Times New Roman"/>
                <w:kern w:val="0"/>
                <w:sz w:val="18"/>
                <w:szCs w:val="18"/>
              </w:rPr>
            </w:pPr>
            <w:r>
              <w:rPr>
                <w:rFonts w:hint="eastAsia" w:ascii="Times New Roman" w:hAnsi="Times New Roman"/>
                <w:kern w:val="0"/>
                <w:sz w:val="18"/>
                <w:szCs w:val="18"/>
              </w:rPr>
              <w:t>0.00001</w:t>
            </w:r>
            <w:r>
              <w:rPr>
                <w:rFonts w:ascii="Times New Roman" w:hAnsi="Times New Roman"/>
                <w:kern w:val="0"/>
                <w:sz w:val="18"/>
                <w:szCs w:val="18"/>
              </w:rPr>
              <w:t>~</w:t>
            </w:r>
            <w:r>
              <w:rPr>
                <w:rFonts w:hint="eastAsia" w:ascii="Times New Roman" w:hAnsi="Times New Roman"/>
                <w:kern w:val="0"/>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right w:val="double" w:color="auto" w:sz="4" w:space="0"/>
            </w:tcBorders>
            <w:vAlign w:val="center"/>
          </w:tcPr>
          <w:p>
            <w:pPr>
              <w:autoSpaceDE w:val="0"/>
              <w:autoSpaceDN w:val="0"/>
              <w:adjustRightInd w:val="0"/>
              <w:jc w:val="center"/>
              <w:rPr>
                <w:rFonts w:ascii="Times New Roman" w:hAnsi="Times New Roman"/>
                <w:kern w:val="0"/>
                <w:sz w:val="18"/>
                <w:szCs w:val="18"/>
              </w:rPr>
            </w:pPr>
            <w:r>
              <w:rPr>
                <w:rFonts w:ascii="Times New Roman" w:hAnsi="Times New Roman" w:cs="Times New Roman"/>
                <w:kern w:val="0"/>
                <w:sz w:val="18"/>
                <w:szCs w:val="18"/>
              </w:rPr>
              <w:t>氧化铽、氧化镝、氧化钬</w:t>
            </w:r>
          </w:p>
        </w:tc>
        <w:tc>
          <w:tcPr>
            <w:tcW w:w="4621" w:type="dxa"/>
            <w:tcBorders>
              <w:left w:val="double" w:color="auto" w:sz="4" w:space="0"/>
            </w:tcBorders>
            <w:vAlign w:val="center"/>
          </w:tcPr>
          <w:p>
            <w:pPr>
              <w:autoSpaceDE w:val="0"/>
              <w:autoSpaceDN w:val="0"/>
              <w:adjustRightInd w:val="0"/>
              <w:jc w:val="center"/>
              <w:rPr>
                <w:rFonts w:ascii="Times New Roman" w:hAnsi="Times New Roman"/>
                <w:kern w:val="0"/>
                <w:sz w:val="18"/>
                <w:szCs w:val="18"/>
              </w:rPr>
            </w:pPr>
            <w:r>
              <w:rPr>
                <w:rFonts w:ascii="Times New Roman" w:hAnsi="Times New Roman" w:cs="Times New Roman"/>
                <w:kern w:val="0"/>
                <w:sz w:val="18"/>
                <w:szCs w:val="18"/>
              </w:rPr>
              <w:t>0.00005~0.010</w:t>
            </w:r>
          </w:p>
        </w:tc>
      </w:tr>
    </w:tbl>
    <w:p>
      <w:pPr>
        <w:adjustRightInd w:val="0"/>
        <w:snapToGrid w:val="0"/>
        <w:spacing w:line="360" w:lineRule="auto"/>
        <w:ind w:firstLine="420" w:firstLineChars="200"/>
        <w:rPr>
          <w:rFonts w:ascii="Arial" w:hAnsi="Arial" w:cs="Arial"/>
          <w:color w:val="FF0000"/>
          <w:szCs w:val="21"/>
        </w:rPr>
      </w:pPr>
    </w:p>
    <w:p>
      <w:pPr>
        <w:adjustRightInd w:val="0"/>
        <w:snapToGrid w:val="0"/>
        <w:spacing w:line="360" w:lineRule="auto"/>
        <w:rPr>
          <w:rFonts w:ascii="Arial" w:hAnsi="Arial" w:cs="Arial"/>
          <w:szCs w:val="21"/>
        </w:rPr>
      </w:pPr>
      <w:r>
        <w:rPr>
          <w:rFonts w:ascii="Arial" w:hAnsi="Arial" w:cs="Arial"/>
          <w:szCs w:val="21"/>
        </w:rPr>
        <w:t>三、主要试验的分析、综述报告</w:t>
      </w:r>
    </w:p>
    <w:p>
      <w:pPr>
        <w:adjustRightInd w:val="0"/>
        <w:snapToGrid w:val="0"/>
        <w:spacing w:line="360" w:lineRule="auto"/>
        <w:rPr>
          <w:rFonts w:ascii="Arial" w:hAnsi="Arial" w:cs="Arial"/>
          <w:szCs w:val="21"/>
        </w:rPr>
      </w:pPr>
      <w:r>
        <w:rPr>
          <w:rFonts w:ascii="Arial" w:hAnsi="Arial" w:cs="Arial"/>
          <w:szCs w:val="21"/>
        </w:rPr>
        <w:t>3.1方法</w:t>
      </w:r>
      <w:r>
        <w:rPr>
          <w:rFonts w:hint="eastAsia" w:ascii="Arial" w:hAnsi="Arial" w:cs="Arial"/>
          <w:szCs w:val="21"/>
        </w:rPr>
        <w:t>2</w:t>
      </w:r>
      <w:r>
        <w:rPr>
          <w:rFonts w:ascii="Arial" w:hAnsi="Arial" w:cs="Arial"/>
          <w:szCs w:val="21"/>
        </w:rPr>
        <w:t>：电感耦合等离子体</w:t>
      </w:r>
      <w:r>
        <w:rPr>
          <w:rFonts w:hint="eastAsia" w:ascii="Arial" w:hAnsi="Arial" w:cs="Arial"/>
          <w:szCs w:val="21"/>
        </w:rPr>
        <w:t>质</w:t>
      </w:r>
      <w:r>
        <w:rPr>
          <w:rFonts w:ascii="Arial" w:hAnsi="Arial" w:cs="Arial"/>
          <w:szCs w:val="21"/>
        </w:rPr>
        <w:t>谱法</w:t>
      </w:r>
    </w:p>
    <w:p>
      <w:pPr>
        <w:pStyle w:val="29"/>
        <w:adjustRightInd w:val="0"/>
        <w:snapToGrid w:val="0"/>
        <w:spacing w:line="360" w:lineRule="auto"/>
        <w:rPr>
          <w:rFonts w:ascii="Times New Roman"/>
          <w:szCs w:val="21"/>
        </w:rPr>
      </w:pPr>
      <w:r>
        <w:rPr>
          <w:rFonts w:hint="eastAsia" w:ascii="Times New Roman"/>
          <w:szCs w:val="21"/>
        </w:rPr>
        <w:t>除编辑性修改外主要技术变化如下：</w:t>
      </w:r>
    </w:p>
    <w:p>
      <w:pPr>
        <w:pStyle w:val="29"/>
        <w:adjustRightInd w:val="0"/>
        <w:snapToGrid w:val="0"/>
        <w:spacing w:line="360" w:lineRule="auto"/>
        <w:rPr>
          <w:rFonts w:ascii="Times New Roman"/>
          <w:szCs w:val="21"/>
        </w:rPr>
      </w:pPr>
      <w:r>
        <w:rPr>
          <w:rFonts w:hint="eastAsia" w:ascii="Times New Roman"/>
          <w:szCs w:val="21"/>
        </w:rPr>
        <w:t>修改了测量范围（原方法测定范围0.0001%</w:t>
      </w:r>
      <w:r>
        <w:rPr>
          <w:rFonts w:ascii="Times New Roman"/>
          <w:szCs w:val="21"/>
        </w:rPr>
        <w:t>~</w:t>
      </w:r>
      <w:r>
        <w:rPr>
          <w:rFonts w:hint="eastAsia" w:ascii="Times New Roman"/>
          <w:szCs w:val="21"/>
        </w:rPr>
        <w:t>0.050%），将氧化镧、氧化铈、氧化钆测定范围调整为0.00002%</w:t>
      </w:r>
      <w:r>
        <w:rPr>
          <w:rFonts w:ascii="Times New Roman"/>
          <w:szCs w:val="21"/>
        </w:rPr>
        <w:t>~</w:t>
      </w:r>
      <w:r>
        <w:rPr>
          <w:rFonts w:hint="eastAsia" w:ascii="Times New Roman"/>
          <w:szCs w:val="21"/>
        </w:rPr>
        <w:t>0.020%；将氧化镨、氧化钐、氧化铕、氧化铒、氧化铥、氧化镱、氧化镥、氧化钇测定范围调整为0.00001%</w:t>
      </w:r>
      <w:r>
        <w:rPr>
          <w:rFonts w:ascii="Times New Roman"/>
          <w:szCs w:val="21"/>
        </w:rPr>
        <w:t>~</w:t>
      </w:r>
      <w:r>
        <w:rPr>
          <w:rFonts w:hint="eastAsia" w:ascii="Times New Roman"/>
          <w:szCs w:val="21"/>
        </w:rPr>
        <w:t>0.020%；将氧化铽、氧化镝、氧化钬测定范围调整为0.00005%</w:t>
      </w:r>
      <w:r>
        <w:rPr>
          <w:rFonts w:ascii="Times New Roman"/>
          <w:szCs w:val="21"/>
        </w:rPr>
        <w:t>~</w:t>
      </w:r>
      <w:r>
        <w:rPr>
          <w:rFonts w:hint="eastAsia" w:ascii="Times New Roman"/>
          <w:szCs w:val="21"/>
        </w:rPr>
        <w:t>0.010%；</w:t>
      </w:r>
    </w:p>
    <w:p>
      <w:pPr>
        <w:pStyle w:val="29"/>
        <w:adjustRightInd w:val="0"/>
        <w:snapToGrid w:val="0"/>
        <w:spacing w:line="360" w:lineRule="auto"/>
        <w:rPr>
          <w:rFonts w:ascii="Times New Roman"/>
          <w:szCs w:val="21"/>
        </w:rPr>
      </w:pPr>
      <w:r>
        <w:rPr>
          <w:rFonts w:hint="eastAsia"/>
          <w:color w:val="000000"/>
          <w:szCs w:val="21"/>
        </w:rPr>
        <w:t>修改了采用C272微型分离柱分离钕基体后，</w:t>
      </w:r>
      <w:r>
        <w:rPr>
          <w:rFonts w:hint="eastAsia" w:hAnsi="宋体" w:cs="宋体"/>
          <w:szCs w:val="21"/>
        </w:rPr>
        <w:t>进行质谱测定时</w:t>
      </w:r>
      <w:r>
        <w:rPr>
          <w:rFonts w:hint="eastAsia"/>
          <w:color w:val="000000"/>
          <w:szCs w:val="21"/>
        </w:rPr>
        <w:t>选用铊为内标元素。</w:t>
      </w:r>
      <w:r>
        <w:rPr>
          <w:rFonts w:hint="eastAsia"/>
        </w:rPr>
        <w:t>；</w:t>
      </w:r>
    </w:p>
    <w:p>
      <w:pPr>
        <w:pStyle w:val="29"/>
        <w:adjustRightInd w:val="0"/>
        <w:snapToGrid w:val="0"/>
        <w:spacing w:line="360" w:lineRule="auto"/>
        <w:rPr>
          <w:szCs w:val="21"/>
        </w:rPr>
      </w:pPr>
      <w:r>
        <w:rPr>
          <w:rFonts w:hint="eastAsia"/>
          <w:szCs w:val="21"/>
        </w:rPr>
        <w:t>修改了盐酸淋洗液浓度（</w:t>
      </w:r>
      <w:r>
        <w:rPr>
          <w:rFonts w:ascii="Times New Roman" w:hAnsi="宋体"/>
          <w:szCs w:val="24"/>
        </w:rPr>
        <w:t>0.0</w:t>
      </w:r>
      <w:r>
        <w:rPr>
          <w:rFonts w:hint="eastAsia" w:ascii="Times New Roman" w:hAnsi="宋体"/>
          <w:szCs w:val="24"/>
        </w:rPr>
        <w:t>20</w:t>
      </w:r>
      <w:r>
        <w:rPr>
          <w:rFonts w:ascii="Times New Roman" w:hAnsi="宋体"/>
          <w:szCs w:val="24"/>
        </w:rPr>
        <w:t>mol/L</w:t>
      </w:r>
      <w:r>
        <w:rPr>
          <w:rFonts w:hint="eastAsia"/>
          <w:szCs w:val="21"/>
        </w:rPr>
        <w:t>）为盐酸淋洗液（</w:t>
      </w:r>
      <w:r>
        <w:rPr>
          <w:rFonts w:ascii="Times New Roman" w:hAnsi="宋体"/>
          <w:szCs w:val="24"/>
        </w:rPr>
        <w:t>0.00</w:t>
      </w:r>
      <w:r>
        <w:rPr>
          <w:rFonts w:hint="eastAsia" w:ascii="Times New Roman" w:hAnsi="宋体"/>
          <w:szCs w:val="24"/>
        </w:rPr>
        <w:t>50</w:t>
      </w:r>
      <w:r>
        <w:rPr>
          <w:rFonts w:ascii="Times New Roman" w:hAnsi="宋体"/>
          <w:szCs w:val="24"/>
        </w:rPr>
        <w:t>mol/L</w:t>
      </w:r>
      <w:r>
        <w:rPr>
          <w:rFonts w:hint="eastAsia"/>
          <w:szCs w:val="21"/>
        </w:rPr>
        <w:t>）；</w:t>
      </w:r>
    </w:p>
    <w:p>
      <w:pPr>
        <w:pStyle w:val="29"/>
        <w:adjustRightInd w:val="0"/>
        <w:snapToGrid w:val="0"/>
        <w:spacing w:line="360" w:lineRule="auto"/>
        <w:rPr>
          <w:rFonts w:ascii="Times New Roman"/>
          <w:szCs w:val="21"/>
        </w:rPr>
      </w:pPr>
      <w:r>
        <w:rPr>
          <w:rFonts w:ascii="Times New Roman"/>
          <w:szCs w:val="21"/>
        </w:rPr>
        <w:t>修改了试料</w:t>
      </w:r>
      <w:r>
        <w:rPr>
          <w:rFonts w:hint="eastAsia" w:ascii="Times New Roman"/>
          <w:szCs w:val="21"/>
        </w:rPr>
        <w:t>中试样量</w:t>
      </w:r>
      <w:r>
        <w:rPr>
          <w:rFonts w:ascii="Times New Roman"/>
          <w:szCs w:val="21"/>
        </w:rPr>
        <w:t>：“稀土杂质（质量分数）</w:t>
      </w:r>
      <w:r>
        <w:rPr>
          <w:rFonts w:ascii="Times New Roman"/>
          <w:szCs w:val="24"/>
        </w:rPr>
        <w:t>0.0001%~0.0050%</w:t>
      </w:r>
      <w:r>
        <w:rPr>
          <w:rFonts w:ascii="Times New Roman"/>
          <w:szCs w:val="21"/>
        </w:rPr>
        <w:t>,试样量0.25g”修改为“</w:t>
      </w:r>
      <w:r>
        <w:rPr>
          <w:rFonts w:ascii="Times New Roman"/>
        </w:rPr>
        <w:t>稀土杂质（质量分数）</w:t>
      </w:r>
      <w:r>
        <w:rPr>
          <w:rFonts w:ascii="Times New Roman"/>
          <w:szCs w:val="21"/>
        </w:rPr>
        <w:t>0.00001%~0.010%,试样量0.25g”，“稀土杂质（质量分数）&gt;</w:t>
      </w:r>
      <w:r>
        <w:rPr>
          <w:rFonts w:ascii="Times New Roman"/>
          <w:szCs w:val="24"/>
        </w:rPr>
        <w:t>0.0050%~0.05</w:t>
      </w:r>
      <w:r>
        <w:rPr>
          <w:rFonts w:hint="eastAsia" w:ascii="Times New Roman"/>
          <w:szCs w:val="24"/>
        </w:rPr>
        <w:t>0</w:t>
      </w:r>
      <w:r>
        <w:rPr>
          <w:rFonts w:ascii="Times New Roman"/>
          <w:szCs w:val="24"/>
        </w:rPr>
        <w:t>%，</w:t>
      </w:r>
      <w:r>
        <w:rPr>
          <w:rFonts w:ascii="Times New Roman"/>
          <w:szCs w:val="21"/>
        </w:rPr>
        <w:t>试样量0.1g”修改为“</w:t>
      </w:r>
      <w:r>
        <w:rPr>
          <w:rFonts w:ascii="Times New Roman"/>
        </w:rPr>
        <w:t>稀土杂质（质量分数）&gt;</w:t>
      </w:r>
      <w:r>
        <w:rPr>
          <w:rFonts w:ascii="Times New Roman"/>
          <w:szCs w:val="21"/>
        </w:rPr>
        <w:t>0.010%~0.020%,试样量0.1g”；</w:t>
      </w:r>
    </w:p>
    <w:p>
      <w:pPr>
        <w:pStyle w:val="29"/>
        <w:adjustRightInd w:val="0"/>
        <w:snapToGrid w:val="0"/>
        <w:spacing w:line="360" w:lineRule="auto"/>
        <w:rPr>
          <w:rFonts w:ascii="Times New Roman"/>
          <w:szCs w:val="21"/>
        </w:rPr>
      </w:pPr>
      <w:r>
        <w:rPr>
          <w:rFonts w:ascii="Times New Roman"/>
          <w:color w:val="000000"/>
          <w:szCs w:val="21"/>
        </w:rPr>
        <w:t>修改了洗脱液管路流速</w:t>
      </w:r>
      <w:r>
        <w:rPr>
          <w:rFonts w:hint="eastAsia" w:ascii="Times New Roman"/>
          <w:color w:val="000000"/>
          <w:szCs w:val="21"/>
        </w:rPr>
        <w:t>：将</w:t>
      </w:r>
      <w:r>
        <w:rPr>
          <w:rFonts w:ascii="Times New Roman"/>
          <w:color w:val="000000"/>
          <w:szCs w:val="21"/>
        </w:rPr>
        <w:t>洗脱液管路流速1.5±0.1</w:t>
      </w:r>
      <w:r>
        <w:rPr>
          <w:rFonts w:hint="eastAsia" w:ascii="Times New Roman"/>
          <w:color w:val="000000"/>
          <w:szCs w:val="21"/>
        </w:rPr>
        <w:t>mL/min改为</w:t>
      </w:r>
      <w:r>
        <w:rPr>
          <w:rFonts w:ascii="Times New Roman"/>
          <w:color w:val="000000"/>
          <w:szCs w:val="21"/>
        </w:rPr>
        <w:t>（1.</w:t>
      </w:r>
      <w:r>
        <w:rPr>
          <w:rFonts w:hint="eastAsia" w:ascii="Times New Roman"/>
          <w:color w:val="000000"/>
          <w:szCs w:val="21"/>
        </w:rPr>
        <w:t>0</w:t>
      </w:r>
      <w:r>
        <w:rPr>
          <w:rFonts w:ascii="Times New Roman"/>
          <w:color w:val="000000"/>
          <w:szCs w:val="21"/>
        </w:rPr>
        <w:t>±0.1</w:t>
      </w:r>
      <w:r>
        <w:rPr>
          <w:rFonts w:hint="eastAsia" w:ascii="Times New Roman"/>
          <w:color w:val="000000"/>
          <w:szCs w:val="21"/>
        </w:rPr>
        <w:t>mL/min</w:t>
      </w:r>
      <w:r>
        <w:rPr>
          <w:rFonts w:ascii="Times New Roman"/>
          <w:color w:val="000000"/>
          <w:szCs w:val="21"/>
        </w:rPr>
        <w:t>）</w:t>
      </w:r>
      <w:r>
        <w:rPr>
          <w:rFonts w:ascii="Times New Roman"/>
          <w:szCs w:val="21"/>
        </w:rPr>
        <w:t>；</w:t>
      </w:r>
    </w:p>
    <w:p>
      <w:pPr>
        <w:pStyle w:val="29"/>
        <w:adjustRightInd w:val="0"/>
        <w:snapToGrid w:val="0"/>
        <w:spacing w:line="360" w:lineRule="auto"/>
        <w:rPr>
          <w:color w:val="000000"/>
          <w:szCs w:val="21"/>
        </w:rPr>
      </w:pPr>
      <w:r>
        <w:rPr>
          <w:rFonts w:ascii="Times New Roman"/>
          <w:color w:val="000000"/>
          <w:szCs w:val="21"/>
        </w:rPr>
        <w:t>修改了</w:t>
      </w:r>
      <w:r>
        <w:rPr>
          <w:rFonts w:hint="eastAsia"/>
          <w:color w:val="000000"/>
          <w:szCs w:val="21"/>
        </w:rPr>
        <w:t>淋洗液（</w:t>
      </w:r>
      <w:r>
        <w:rPr>
          <w:rFonts w:ascii="Times New Roman" w:hAnsi="宋体"/>
          <w:szCs w:val="24"/>
        </w:rPr>
        <w:t>0.00</w:t>
      </w:r>
      <w:r>
        <w:rPr>
          <w:rFonts w:hint="eastAsia" w:ascii="Times New Roman" w:hAnsi="宋体"/>
          <w:szCs w:val="24"/>
        </w:rPr>
        <w:t>50</w:t>
      </w:r>
      <w:r>
        <w:rPr>
          <w:rFonts w:ascii="Times New Roman" w:hAnsi="宋体"/>
          <w:szCs w:val="24"/>
        </w:rPr>
        <w:t>mol/L</w:t>
      </w:r>
      <w:r>
        <w:rPr>
          <w:rFonts w:hint="eastAsia"/>
          <w:color w:val="000000"/>
          <w:szCs w:val="21"/>
        </w:rPr>
        <w:t>）淋洗时间：将淋洗时间由</w:t>
      </w:r>
      <w:r>
        <w:rPr>
          <w:rFonts w:ascii="Times New Roman"/>
          <w:color w:val="000000"/>
          <w:szCs w:val="21"/>
        </w:rPr>
        <w:t>20min改为30min；</w:t>
      </w:r>
    </w:p>
    <w:p>
      <w:pPr>
        <w:adjustRightInd w:val="0"/>
        <w:snapToGrid w:val="0"/>
        <w:spacing w:line="360" w:lineRule="auto"/>
        <w:ind w:firstLine="420" w:firstLineChars="200"/>
        <w:rPr>
          <w:rFonts w:hint="eastAsia"/>
        </w:rPr>
      </w:pPr>
      <w:r>
        <w:rPr>
          <w:rFonts w:hint="eastAsia"/>
          <w:color w:val="000000"/>
          <w:szCs w:val="21"/>
        </w:rPr>
        <w:t>修改了</w:t>
      </w:r>
      <w:r>
        <w:rPr>
          <w:rFonts w:hint="eastAsia"/>
        </w:rPr>
        <w:t>收集分离液的10mL比色管改为10mL或50mL比色管；</w:t>
      </w:r>
    </w:p>
    <w:p>
      <w:pPr>
        <w:adjustRightInd w:val="0"/>
        <w:snapToGrid w:val="0"/>
        <w:spacing w:line="360" w:lineRule="auto"/>
        <w:ind w:firstLine="420" w:firstLineChars="200"/>
        <w:rPr>
          <w:rFonts w:ascii="Arial" w:hAnsi="Arial" w:cs="Arial"/>
          <w:szCs w:val="21"/>
        </w:rPr>
      </w:pPr>
      <w:r>
        <w:rPr>
          <w:rFonts w:hint="eastAsia"/>
        </w:rPr>
        <w:t>增加了TODGA负载硅藻土分离基体，测定铽、镝、钬的分离方法。</w:t>
      </w:r>
    </w:p>
    <w:p>
      <w:pPr>
        <w:adjustRightInd w:val="0"/>
        <w:snapToGrid w:val="0"/>
        <w:spacing w:line="360" w:lineRule="auto"/>
        <w:ind w:firstLine="420" w:firstLineChars="200"/>
        <w:rPr>
          <w:rFonts w:ascii="Arial" w:hAnsi="Arial" w:cs="Arial"/>
          <w:szCs w:val="21"/>
        </w:rPr>
      </w:pPr>
      <w:r>
        <w:rPr>
          <w:rFonts w:ascii="Arial" w:hAnsi="Arial" w:cs="Arial"/>
          <w:szCs w:val="21"/>
        </w:rPr>
        <w:t>条件实验部分</w:t>
      </w:r>
    </w:p>
    <w:p>
      <w:pPr>
        <w:adjustRightInd w:val="0"/>
        <w:snapToGrid w:val="0"/>
        <w:spacing w:line="360" w:lineRule="auto"/>
        <w:ind w:firstLine="420" w:firstLineChars="200"/>
        <w:rPr>
          <w:rFonts w:ascii="Arial" w:hAnsi="Arial" w:cs="Arial"/>
          <w:szCs w:val="21"/>
        </w:rPr>
      </w:pPr>
      <w:r>
        <w:rPr>
          <w:rFonts w:hint="eastAsia" w:ascii="Arial" w:hAnsi="Arial" w:cs="Arial"/>
          <w:szCs w:val="21"/>
        </w:rPr>
        <w:t>酸介质和</w:t>
      </w:r>
      <w:r>
        <w:rPr>
          <w:rFonts w:ascii="Arial" w:hAnsi="Arial" w:cs="Arial"/>
          <w:szCs w:val="21"/>
        </w:rPr>
        <w:t>酸度对测定的影响</w:t>
      </w:r>
    </w:p>
    <w:p>
      <w:pPr>
        <w:adjustRightInd w:val="0"/>
        <w:snapToGrid w:val="0"/>
        <w:spacing w:line="360" w:lineRule="auto"/>
        <w:ind w:firstLine="420" w:firstLineChars="200"/>
        <w:rPr>
          <w:rFonts w:ascii="Times New Roman" w:hAnsi="Times New Roman"/>
        </w:rPr>
      </w:pPr>
      <w:r>
        <w:rPr>
          <w:rFonts w:hint="eastAsia" w:ascii="Times New Roman" w:hAnsi="Times New Roman"/>
          <w:szCs w:val="21"/>
        </w:rPr>
        <w:t>测定稀土元素时（2+98）盐酸和（2+98）硝酸介质均可</w:t>
      </w:r>
      <w:r>
        <w:rPr>
          <w:rFonts w:ascii="Times New Roman" w:hAnsi="Times New Roman"/>
          <w:szCs w:val="21"/>
        </w:rPr>
        <w:t>，本实验</w:t>
      </w:r>
      <w:r>
        <w:rPr>
          <w:rFonts w:hint="eastAsia" w:ascii="Times New Roman" w:hAnsi="Times New Roman"/>
          <w:szCs w:val="21"/>
        </w:rPr>
        <w:t>不经分离钕基体检测其它稀土元素</w:t>
      </w:r>
      <w:r>
        <w:rPr>
          <w:rFonts w:ascii="Times New Roman" w:hAnsi="Times New Roman"/>
          <w:szCs w:val="21"/>
        </w:rPr>
        <w:t>选择硝酸作为检测时的酸介质</w:t>
      </w:r>
      <w:r>
        <w:rPr>
          <w:rFonts w:hint="eastAsia" w:ascii="Times New Roman" w:hAnsi="Times New Roman"/>
          <w:szCs w:val="21"/>
        </w:rPr>
        <w:t>，需要分离钕基体检测其它稀土元素时</w:t>
      </w:r>
      <w:r>
        <w:rPr>
          <w:rFonts w:ascii="Times New Roman" w:hAnsi="Times New Roman"/>
          <w:szCs w:val="21"/>
        </w:rPr>
        <w:t>选择</w:t>
      </w:r>
      <w:r>
        <w:rPr>
          <w:rFonts w:hint="eastAsia" w:ascii="Times New Roman" w:hAnsi="Times New Roman"/>
          <w:szCs w:val="21"/>
        </w:rPr>
        <w:t>盐</w:t>
      </w:r>
      <w:r>
        <w:rPr>
          <w:rFonts w:ascii="Times New Roman" w:hAnsi="Times New Roman"/>
          <w:szCs w:val="21"/>
        </w:rPr>
        <w:t>酸作为检测时的酸介质</w:t>
      </w:r>
      <w:r>
        <w:rPr>
          <w:rFonts w:hint="eastAsia" w:ascii="Times New Roman" w:hAnsi="Times New Roman"/>
          <w:szCs w:val="21"/>
        </w:rPr>
        <w:t>；</w:t>
      </w:r>
      <w:r>
        <w:rPr>
          <w:rFonts w:ascii="Times New Roman" w:hAnsi="Times New Roman"/>
        </w:rPr>
        <w:t>酸度对测定的影响很小，</w:t>
      </w:r>
      <w:r>
        <w:rPr>
          <w:rFonts w:hint="eastAsia" w:ascii="Times New Roman" w:hAnsi="Times New Roman"/>
        </w:rPr>
        <w:t>本方法选用</w:t>
      </w:r>
      <w:r>
        <w:rPr>
          <w:rFonts w:ascii="Times New Roman" w:hAnsi="Times New Roman"/>
        </w:rPr>
        <w:t>（</w:t>
      </w:r>
      <w:r>
        <w:rPr>
          <w:rFonts w:hint="eastAsia" w:ascii="Times New Roman" w:hAnsi="Times New Roman"/>
        </w:rPr>
        <w:t>2+98</w:t>
      </w:r>
      <w:r>
        <w:rPr>
          <w:rFonts w:ascii="Times New Roman" w:hAnsi="Times New Roman"/>
        </w:rPr>
        <w:t>）硝酸酸度</w:t>
      </w:r>
      <w:r>
        <w:rPr>
          <w:rFonts w:hint="eastAsia" w:ascii="Times New Roman" w:hAnsi="Times New Roman"/>
        </w:rPr>
        <w:t>或</w:t>
      </w:r>
      <w:r>
        <w:rPr>
          <w:rFonts w:ascii="Times New Roman" w:hAnsi="Times New Roman"/>
        </w:rPr>
        <w:t>（</w:t>
      </w:r>
      <w:r>
        <w:rPr>
          <w:rFonts w:hint="eastAsia" w:ascii="Times New Roman" w:hAnsi="Times New Roman"/>
        </w:rPr>
        <w:t>2+98</w:t>
      </w:r>
      <w:r>
        <w:rPr>
          <w:rFonts w:ascii="Times New Roman" w:hAnsi="Times New Roman"/>
        </w:rPr>
        <w:t>）</w:t>
      </w:r>
      <w:r>
        <w:rPr>
          <w:rFonts w:hint="eastAsia" w:ascii="Times New Roman" w:hAnsi="Times New Roman"/>
        </w:rPr>
        <w:t>盐</w:t>
      </w:r>
      <w:r>
        <w:rPr>
          <w:rFonts w:ascii="Times New Roman" w:hAnsi="Times New Roman"/>
        </w:rPr>
        <w:t>酸酸度。</w:t>
      </w:r>
    </w:p>
    <w:p>
      <w:pPr>
        <w:adjustRightInd w:val="0"/>
        <w:snapToGrid w:val="0"/>
        <w:spacing w:line="360" w:lineRule="auto"/>
        <w:ind w:firstLine="420" w:firstLineChars="200"/>
        <w:rPr>
          <w:rFonts w:ascii="Times New Roman" w:hAnsi="Times New Roman"/>
        </w:rPr>
      </w:pPr>
      <w:r>
        <w:rPr>
          <w:rFonts w:hint="eastAsia" w:ascii="Times New Roman" w:hAnsi="Times New Roman"/>
        </w:rPr>
        <w:t>溶样酸量的选择</w:t>
      </w:r>
    </w:p>
    <w:p>
      <w:pPr>
        <w:autoSpaceDE w:val="0"/>
        <w:autoSpaceDN w:val="0"/>
        <w:adjustRightInd w:val="0"/>
        <w:spacing w:line="360" w:lineRule="auto"/>
        <w:jc w:val="left"/>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考虑到基体元素和检测元素的性质，加入不同量的硝酸，低温加热至恰溶解完全，本实验选择溶样酸量与样重比例需满足4: 1</w:t>
      </w:r>
      <w:r>
        <w:rPr>
          <w:rFonts w:hint="eastAsia" w:ascii="Times New Roman" w:hAnsi="Times New Roman" w:cs="Times New Roman"/>
          <w:szCs w:val="21"/>
        </w:rPr>
        <w:t>。</w:t>
      </w:r>
    </w:p>
    <w:p>
      <w:pPr>
        <w:adjustRightInd w:val="0"/>
        <w:snapToGrid w:val="0"/>
        <w:spacing w:line="360" w:lineRule="auto"/>
        <w:ind w:firstLine="420" w:firstLineChars="200"/>
        <w:rPr>
          <w:rFonts w:ascii="Times New Roman" w:hAnsi="Times New Roman"/>
        </w:rPr>
      </w:pPr>
      <w:r>
        <w:rPr>
          <w:rFonts w:hint="eastAsia" w:ascii="Times New Roman" w:hAnsi="Times New Roman"/>
        </w:rPr>
        <w:t>基体浓度和内标元素的选择</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考虑获得低检测下限、高回收率及干扰底值低、基体浓度的实验条件，本方法选择</w:t>
      </w:r>
      <w:r>
        <w:rPr>
          <w:rFonts w:hint="eastAsia" w:ascii="Times New Roman" w:hAnsi="Times New Roman" w:cs="Times New Roman"/>
          <w:szCs w:val="21"/>
        </w:rPr>
        <w:t>基体</w:t>
      </w:r>
      <w:r>
        <w:rPr>
          <w:rFonts w:ascii="Times New Roman" w:hAnsi="Times New Roman" w:cs="Times New Roman"/>
          <w:szCs w:val="21"/>
        </w:rPr>
        <w:t>浓度为0.5mg/mL；</w:t>
      </w:r>
      <w:r>
        <w:rPr>
          <w:rFonts w:hint="eastAsia" w:ascii="Times New Roman" w:hAnsi="Times New Roman" w:cs="Times New Roman"/>
          <w:szCs w:val="21"/>
        </w:rPr>
        <w:t>选择元素</w:t>
      </w:r>
      <w:r>
        <w:rPr>
          <w:rFonts w:ascii="Times New Roman" w:hAnsi="Times New Roman" w:cs="Times New Roman"/>
          <w:szCs w:val="21"/>
        </w:rPr>
        <w:t>Cs为内标</w:t>
      </w:r>
      <w:r>
        <w:rPr>
          <w:rFonts w:hint="eastAsia" w:ascii="Times New Roman" w:hAnsi="Times New Roman" w:cs="Times New Roman"/>
          <w:szCs w:val="21"/>
        </w:rPr>
        <w:t>元素</w:t>
      </w:r>
      <w:r>
        <w:rPr>
          <w:rFonts w:ascii="Times New Roman" w:hAnsi="Times New Roman" w:cs="Times New Roman"/>
          <w:szCs w:val="21"/>
        </w:rPr>
        <w:t>。</w:t>
      </w:r>
      <w:r>
        <w:rPr>
          <w:rFonts w:hint="eastAsia" w:ascii="Times New Roman" w:hAnsi="Times New Roman" w:cs="Times New Roman"/>
          <w:szCs w:val="21"/>
        </w:rPr>
        <w:t>分离钕基体后选择元素Tl</w:t>
      </w:r>
      <w:r>
        <w:rPr>
          <w:rFonts w:ascii="Times New Roman" w:hAnsi="Times New Roman" w:cs="Times New Roman"/>
          <w:szCs w:val="21"/>
        </w:rPr>
        <w:t>为内标</w:t>
      </w:r>
      <w:r>
        <w:rPr>
          <w:rFonts w:hint="eastAsia" w:ascii="Times New Roman" w:hAnsi="Times New Roman" w:cs="Times New Roman"/>
          <w:szCs w:val="21"/>
        </w:rPr>
        <w:t>元素</w:t>
      </w:r>
    </w:p>
    <w:p>
      <w:pPr>
        <w:adjustRightInd w:val="0"/>
        <w:snapToGrid w:val="0"/>
        <w:spacing w:line="360" w:lineRule="auto"/>
        <w:ind w:firstLine="420" w:firstLineChars="200"/>
        <w:rPr>
          <w:rFonts w:ascii="Arial" w:hAnsi="Arial" w:cs="Arial"/>
          <w:szCs w:val="21"/>
        </w:rPr>
      </w:pPr>
      <w:r>
        <w:rPr>
          <w:rFonts w:hint="eastAsia" w:ascii="Arial" w:hAnsi="Arial" w:cs="Arial"/>
          <w:szCs w:val="21"/>
        </w:rPr>
        <w:t>质量数的选择</w:t>
      </w:r>
    </w:p>
    <w:p>
      <w:pPr>
        <w:spacing w:line="360" w:lineRule="auto"/>
        <w:rPr>
          <w:rFonts w:ascii="Arial" w:hAnsi="Arial" w:cs="Arial"/>
          <w:szCs w:val="21"/>
        </w:rPr>
      </w:pPr>
      <w:r>
        <w:rPr>
          <w:rFonts w:ascii="Times New Roman" w:hAnsi="Times New Roman" w:cs="Times New Roman"/>
          <w:szCs w:val="21"/>
        </w:rPr>
        <w:t>稀土元素的质量数的选用原则是尽量选取丰度大，且无同量异位素干扰的同位素峰。本方法稀土元素的质量数见</w:t>
      </w:r>
      <w:r>
        <w:rPr>
          <w:rFonts w:hint="eastAsia" w:ascii="Times New Roman" w:hAnsi="Times New Roman" w:cs="Times New Roman"/>
          <w:szCs w:val="21"/>
        </w:rPr>
        <w:t>研究报告中表5和补充研究报告中</w:t>
      </w:r>
      <w:r>
        <w:rPr>
          <w:rFonts w:ascii="Times New Roman" w:hAnsi="Times New Roman" w:cs="Times New Roman"/>
          <w:szCs w:val="21"/>
        </w:rPr>
        <w:t>表</w:t>
      </w:r>
      <w:r>
        <w:rPr>
          <w:rFonts w:hint="eastAsia" w:ascii="Times New Roman" w:hAnsi="Times New Roman" w:cs="Times New Roman"/>
          <w:szCs w:val="21"/>
        </w:rPr>
        <w:t>3；</w:t>
      </w:r>
    </w:p>
    <w:p>
      <w:pPr>
        <w:adjustRightInd w:val="0"/>
        <w:snapToGrid w:val="0"/>
        <w:spacing w:line="360" w:lineRule="auto"/>
        <w:ind w:firstLine="420" w:firstLineChars="200"/>
        <w:rPr>
          <w:rFonts w:ascii="Arial" w:hAnsi="Arial" w:cs="Arial"/>
          <w:szCs w:val="21"/>
        </w:rPr>
      </w:pPr>
      <w:r>
        <w:rPr>
          <w:rFonts w:hint="eastAsia" w:ascii="Arial" w:hAnsi="Arial" w:cs="Arial"/>
          <w:szCs w:val="21"/>
        </w:rPr>
        <w:t>检出限和检测下限</w:t>
      </w:r>
    </w:p>
    <w:p>
      <w:pPr>
        <w:adjustRightInd w:val="0"/>
        <w:snapToGrid w:val="0"/>
        <w:spacing w:line="360" w:lineRule="auto"/>
        <w:ind w:firstLine="420" w:firstLineChars="200"/>
        <w:rPr>
          <w:rFonts w:ascii="Times New Roman" w:hAnsi="Times New Roman"/>
        </w:rPr>
      </w:pPr>
      <w:r>
        <w:rPr>
          <w:rFonts w:hint="eastAsia" w:ascii="Times New Roman" w:hAnsi="Times New Roman"/>
          <w:kern w:val="0"/>
          <w:szCs w:val="21"/>
        </w:rPr>
        <w:t>稀土元素</w:t>
      </w:r>
      <w:r>
        <w:rPr>
          <w:rFonts w:ascii="Times New Roman" w:hAnsi="Times New Roman"/>
        </w:rPr>
        <w:t>La、</w:t>
      </w:r>
      <w:r>
        <w:rPr>
          <w:rFonts w:hint="eastAsia" w:ascii="Times New Roman" w:hAnsi="Times New Roman"/>
        </w:rPr>
        <w:t>Ce</w:t>
      </w:r>
      <w:r>
        <w:rPr>
          <w:rFonts w:ascii="Times New Roman" w:hAnsi="Times New Roman"/>
        </w:rPr>
        <w:t>、</w:t>
      </w:r>
      <w:r>
        <w:rPr>
          <w:rFonts w:hint="eastAsia" w:ascii="Times New Roman" w:hAnsi="Times New Roman"/>
        </w:rPr>
        <w:t>G</w:t>
      </w:r>
      <w:r>
        <w:rPr>
          <w:rFonts w:ascii="Times New Roman" w:hAnsi="Times New Roman"/>
        </w:rPr>
        <w:t>d的测量下限为</w:t>
      </w:r>
      <w:r>
        <w:rPr>
          <w:rFonts w:hint="eastAsia" w:ascii="宋体" w:hAnsi="宋体" w:cs="宋体"/>
        </w:rPr>
        <w:t>≤</w:t>
      </w:r>
      <w:r>
        <w:rPr>
          <w:rFonts w:ascii="Times New Roman" w:hAnsi="Times New Roman"/>
        </w:rPr>
        <w:t>0.</w:t>
      </w:r>
      <w:r>
        <w:rPr>
          <w:rFonts w:hint="eastAsia" w:ascii="Times New Roman" w:hAnsi="Times New Roman"/>
        </w:rPr>
        <w:t>2</w:t>
      </w:r>
      <w:r>
        <w:rPr>
          <w:rFonts w:ascii="Times New Roman" w:hAnsi="Times New Roman"/>
        </w:rPr>
        <w:t>ug/g；</w:t>
      </w:r>
      <w:r>
        <w:rPr>
          <w:rFonts w:hint="eastAsia" w:ascii="Times New Roman" w:hAnsi="Times New Roman"/>
        </w:rPr>
        <w:t>Y、Pr、Sm、Eu、Er、Tm、Yb、Lu</w:t>
      </w:r>
      <w:r>
        <w:rPr>
          <w:rFonts w:ascii="Times New Roman" w:hAnsi="Times New Roman"/>
        </w:rPr>
        <w:t>的测量下限为</w:t>
      </w:r>
      <w:r>
        <w:rPr>
          <w:rFonts w:hint="eastAsia" w:ascii="宋体" w:hAnsi="宋体" w:cs="宋体"/>
        </w:rPr>
        <w:t>≤</w:t>
      </w:r>
      <w:r>
        <w:rPr>
          <w:rFonts w:ascii="Times New Roman" w:hAnsi="Times New Roman"/>
        </w:rPr>
        <w:t>0.</w:t>
      </w:r>
      <w:r>
        <w:rPr>
          <w:rFonts w:hint="eastAsia" w:ascii="Times New Roman" w:hAnsi="Times New Roman"/>
        </w:rPr>
        <w:t>1</w:t>
      </w:r>
      <w:r>
        <w:rPr>
          <w:rFonts w:ascii="Times New Roman" w:hAnsi="Times New Roman"/>
        </w:rPr>
        <w:t>ug/g</w:t>
      </w:r>
      <w:r>
        <w:rPr>
          <w:rFonts w:hint="eastAsia" w:ascii="Times New Roman" w:hAnsi="Times New Roman"/>
        </w:rPr>
        <w:t>，Tb159、Dy163、Ho165</w:t>
      </w:r>
      <w:r>
        <w:rPr>
          <w:rFonts w:ascii="Times New Roman" w:hAnsi="Times New Roman"/>
        </w:rPr>
        <w:t>测量下限为</w:t>
      </w:r>
      <w:r>
        <w:rPr>
          <w:rFonts w:hint="eastAsia" w:ascii="宋体" w:hAnsi="宋体" w:cs="宋体"/>
        </w:rPr>
        <w:t>≤</w:t>
      </w:r>
      <w:r>
        <w:rPr>
          <w:rFonts w:ascii="Times New Roman" w:hAnsi="Times New Roman" w:cs="Times New Roman"/>
        </w:rPr>
        <w:t>0.5</w:t>
      </w:r>
      <w:r>
        <w:rPr>
          <w:rFonts w:ascii="Times New Roman" w:hAnsi="Times New Roman"/>
        </w:rPr>
        <w:t>ug/g</w:t>
      </w:r>
      <w:r>
        <w:rPr>
          <w:rFonts w:hint="eastAsia" w:ascii="Times New Roman" w:hAnsi="Times New Roman"/>
        </w:rPr>
        <w:t>。</w:t>
      </w:r>
    </w:p>
    <w:p>
      <w:pPr>
        <w:adjustRightInd w:val="0"/>
        <w:snapToGrid w:val="0"/>
        <w:spacing w:line="360" w:lineRule="auto"/>
        <w:ind w:firstLine="420" w:firstLineChars="200"/>
        <w:rPr>
          <w:rFonts w:ascii="Arial" w:hAnsi="Arial" w:cs="Arial"/>
          <w:szCs w:val="21"/>
        </w:rPr>
      </w:pPr>
      <w:r>
        <w:rPr>
          <w:rFonts w:ascii="Arial" w:hAnsi="Arial" w:cs="Arial"/>
          <w:szCs w:val="21"/>
        </w:rPr>
        <w:t>方法回收率</w:t>
      </w:r>
    </w:p>
    <w:p>
      <w:pPr>
        <w:spacing w:line="360" w:lineRule="auto"/>
        <w:ind w:firstLine="420" w:firstLineChars="200"/>
        <w:jc w:val="left"/>
        <w:rPr>
          <w:rFonts w:ascii="Arial" w:hAnsi="Arial" w:cs="Arial"/>
          <w:szCs w:val="21"/>
        </w:rPr>
      </w:pPr>
      <w:r>
        <w:rPr>
          <w:rFonts w:ascii="Times New Roman" w:hAnsi="Times New Roman"/>
        </w:rPr>
        <w:t>La、</w:t>
      </w:r>
      <w:r>
        <w:rPr>
          <w:rFonts w:hint="eastAsia" w:ascii="Times New Roman" w:hAnsi="Times New Roman"/>
        </w:rPr>
        <w:t>Ce</w:t>
      </w:r>
      <w:r>
        <w:rPr>
          <w:rFonts w:ascii="Times New Roman" w:hAnsi="Times New Roman"/>
        </w:rPr>
        <w:t>、</w:t>
      </w:r>
      <w:r>
        <w:rPr>
          <w:rFonts w:hint="eastAsia" w:ascii="Times New Roman" w:hAnsi="Times New Roman"/>
        </w:rPr>
        <w:t>G</w:t>
      </w:r>
      <w:r>
        <w:rPr>
          <w:rFonts w:ascii="Times New Roman" w:hAnsi="Times New Roman"/>
        </w:rPr>
        <w:t>d</w:t>
      </w:r>
      <w:r>
        <w:rPr>
          <w:rFonts w:hint="eastAsia" w:ascii="Times New Roman" w:hAnsi="Times New Roman"/>
        </w:rPr>
        <w:t>、Y、Pr、Sm、Eu、Er、Tm、Yb、Lu</w:t>
      </w:r>
      <w:r>
        <w:rPr>
          <w:rFonts w:ascii="Times New Roman" w:hAnsi="Times New Roman"/>
        </w:rPr>
        <w:t>的回收率在</w:t>
      </w:r>
      <w:r>
        <w:rPr>
          <w:rFonts w:hint="eastAsia" w:ascii="Times New Roman" w:hAnsi="Times New Roman"/>
        </w:rPr>
        <w:t>86.97</w:t>
      </w:r>
      <w:r>
        <w:rPr>
          <w:rFonts w:ascii="Times New Roman" w:hAnsi="Times New Roman"/>
        </w:rPr>
        <w:t>%~1</w:t>
      </w:r>
      <w:r>
        <w:rPr>
          <w:rFonts w:hint="eastAsia" w:ascii="Times New Roman" w:hAnsi="Times New Roman"/>
        </w:rPr>
        <w:t>27.20</w:t>
      </w:r>
      <w:r>
        <w:rPr>
          <w:rFonts w:ascii="Times New Roman" w:hAnsi="Times New Roman"/>
        </w:rPr>
        <w:t>%之间</w:t>
      </w:r>
      <w:r>
        <w:rPr>
          <w:rFonts w:hint="eastAsia" w:ascii="Times New Roman" w:hAnsi="Times New Roman"/>
        </w:rPr>
        <w:t>，Tb、Dy、Ho</w:t>
      </w:r>
      <w:r>
        <w:rPr>
          <w:rFonts w:ascii="Times New Roman" w:hAnsi="Times New Roman"/>
        </w:rPr>
        <w:t>回收率在</w:t>
      </w:r>
      <w:r>
        <w:rPr>
          <w:rFonts w:hint="eastAsia" w:ascii="Times New Roman" w:hAnsi="Times New Roman"/>
        </w:rPr>
        <w:t>85.00</w:t>
      </w:r>
      <w:r>
        <w:rPr>
          <w:rFonts w:ascii="Times New Roman" w:hAnsi="Times New Roman"/>
        </w:rPr>
        <w:t>%~</w:t>
      </w:r>
      <w:r>
        <w:rPr>
          <w:rFonts w:hint="eastAsia" w:ascii="Times New Roman" w:hAnsi="Times New Roman"/>
        </w:rPr>
        <w:t>85.38</w:t>
      </w:r>
      <w:r>
        <w:rPr>
          <w:rFonts w:ascii="Times New Roman" w:hAnsi="Times New Roman"/>
        </w:rPr>
        <w:t>%之间</w:t>
      </w:r>
      <w:r>
        <w:rPr>
          <w:rFonts w:hint="eastAsia" w:ascii="Times New Roman" w:hAnsi="Times New Roman"/>
        </w:rPr>
        <w:t>，证明方法可行。</w:t>
      </w:r>
    </w:p>
    <w:p>
      <w:pPr>
        <w:adjustRightInd w:val="0"/>
        <w:snapToGrid w:val="0"/>
        <w:spacing w:line="360" w:lineRule="auto"/>
        <w:rPr>
          <w:rFonts w:ascii="Arial" w:hAnsi="Arial" w:cs="Arial"/>
          <w:szCs w:val="21"/>
        </w:rPr>
      </w:pPr>
      <w:r>
        <w:rPr>
          <w:rFonts w:ascii="Arial" w:hAnsi="Arial" w:cs="Arial"/>
          <w:szCs w:val="21"/>
        </w:rPr>
        <w:t>四、标准水平分析</w:t>
      </w:r>
    </w:p>
    <w:p>
      <w:pPr>
        <w:adjustRightInd w:val="0"/>
        <w:snapToGrid w:val="0"/>
        <w:spacing w:line="360" w:lineRule="auto"/>
        <w:ind w:firstLine="420" w:firstLineChars="200"/>
        <w:rPr>
          <w:rFonts w:ascii="Arial" w:hAnsi="Arial" w:cs="Arial"/>
          <w:szCs w:val="21"/>
        </w:rPr>
      </w:pPr>
      <w:r>
        <w:rPr>
          <w:rFonts w:ascii="Arial" w:hAnsi="Arial" w:cs="Arial"/>
          <w:szCs w:val="21"/>
        </w:rPr>
        <w:t>本标准修订过程中，由起草单位对国际、国内标准进行了查阅和调研，修订后的方法更能紧密联系实际，充分考虑了检测仪器设备的性能更新，进一步扩展了方法的检测范围，更深一步的研究了基体干扰，提升了检测结果的可靠性。在国家标准中利用电感耦合等离子体质谱仪的碰撞反应池测定钙元素的含量，目前在国内的有色金属行业中乃至国际上还没有先例，探索新的方法，也是本次修订的创新点所在。故本标准达到国内领先，国际先进水平。</w:t>
      </w:r>
    </w:p>
    <w:p>
      <w:pPr>
        <w:adjustRightInd w:val="0"/>
        <w:snapToGrid w:val="0"/>
        <w:spacing w:line="360" w:lineRule="auto"/>
        <w:rPr>
          <w:rFonts w:ascii="Arial" w:hAnsi="Arial" w:cs="Arial"/>
          <w:szCs w:val="21"/>
        </w:rPr>
      </w:pPr>
      <w:r>
        <w:rPr>
          <w:rFonts w:ascii="Arial" w:hAnsi="Arial" w:cs="Arial"/>
          <w:szCs w:val="21"/>
        </w:rPr>
        <w:t>五、与现行相关法律、法规、规章及相关标准，特别是强制性标准的协调性</w:t>
      </w:r>
    </w:p>
    <w:p>
      <w:pPr>
        <w:adjustRightInd w:val="0"/>
        <w:snapToGrid w:val="0"/>
        <w:spacing w:line="360" w:lineRule="auto"/>
        <w:ind w:firstLine="420" w:firstLineChars="200"/>
        <w:rPr>
          <w:rFonts w:ascii="Arial" w:hAnsi="Arial" w:cs="Arial"/>
          <w:szCs w:val="21"/>
        </w:rPr>
      </w:pPr>
      <w:r>
        <w:rPr>
          <w:rFonts w:ascii="Arial" w:hAnsi="Arial" w:cs="Arial"/>
          <w:szCs w:val="21"/>
        </w:rPr>
        <w:t>本部分标准完全满足现行国家法规的要求，适用于单一稀土金属及氧化物产品中部分非稀土杂质元素的测定；测定范围合理，准确度和精密度完全满足各类单一稀土金属及氧化物产品标准技术要求，具有快速、准确的特点。标准文本内容表述合理，格式规范。</w:t>
      </w:r>
    </w:p>
    <w:p>
      <w:pPr>
        <w:adjustRightInd w:val="0"/>
        <w:snapToGrid w:val="0"/>
        <w:spacing w:line="360" w:lineRule="auto"/>
        <w:rPr>
          <w:rFonts w:ascii="Arial" w:hAnsi="Arial" w:cs="Arial"/>
          <w:szCs w:val="21"/>
        </w:rPr>
      </w:pPr>
      <w:r>
        <w:rPr>
          <w:rFonts w:ascii="Arial" w:hAnsi="Arial" w:cs="Arial"/>
          <w:szCs w:val="21"/>
        </w:rPr>
        <w:t>六、标准中如涉及专利，应有明确的知识产权说明</w:t>
      </w:r>
    </w:p>
    <w:p>
      <w:pPr>
        <w:adjustRightInd w:val="0"/>
        <w:snapToGrid w:val="0"/>
        <w:spacing w:line="360" w:lineRule="auto"/>
        <w:ind w:firstLine="420" w:firstLineChars="200"/>
        <w:rPr>
          <w:rFonts w:ascii="Arial" w:hAnsi="Arial" w:cs="Arial"/>
          <w:szCs w:val="21"/>
        </w:rPr>
      </w:pPr>
      <w:r>
        <w:rPr>
          <w:rFonts w:hint="eastAsia" w:ascii="Arial" w:hAnsi="Arial" w:cs="Arial"/>
          <w:szCs w:val="21"/>
        </w:rPr>
        <w:t>本标准不涉及专利。</w:t>
      </w:r>
    </w:p>
    <w:p>
      <w:pPr>
        <w:adjustRightInd w:val="0"/>
        <w:snapToGrid w:val="0"/>
        <w:spacing w:line="360" w:lineRule="auto"/>
        <w:rPr>
          <w:rFonts w:ascii="Arial" w:hAnsi="Arial" w:cs="Arial"/>
          <w:szCs w:val="21"/>
        </w:rPr>
      </w:pPr>
      <w:r>
        <w:rPr>
          <w:rFonts w:ascii="Arial" w:hAnsi="Arial" w:cs="Arial"/>
          <w:szCs w:val="21"/>
        </w:rPr>
        <w:t>七、重大分歧意见的处理经过和依据</w:t>
      </w:r>
    </w:p>
    <w:p>
      <w:pPr>
        <w:adjustRightInd w:val="0"/>
        <w:snapToGrid w:val="0"/>
        <w:spacing w:line="360" w:lineRule="auto"/>
        <w:rPr>
          <w:rFonts w:ascii="Arial" w:hAnsi="Arial" w:cs="Arial"/>
          <w:szCs w:val="21"/>
        </w:rPr>
      </w:pPr>
      <w:r>
        <w:rPr>
          <w:rFonts w:ascii="Arial" w:hAnsi="Arial" w:cs="Arial"/>
          <w:szCs w:val="21"/>
        </w:rPr>
        <w:t>八、标准作为强制性或推荐性国家（或行业）标准的建议</w:t>
      </w:r>
    </w:p>
    <w:p>
      <w:pPr>
        <w:adjustRightInd w:val="0"/>
        <w:snapToGrid w:val="0"/>
        <w:spacing w:line="360" w:lineRule="auto"/>
        <w:ind w:firstLine="420" w:firstLineChars="200"/>
        <w:rPr>
          <w:rFonts w:ascii="Arial" w:hAnsi="Arial" w:cs="Arial"/>
          <w:szCs w:val="21"/>
        </w:rPr>
      </w:pPr>
      <w:r>
        <w:rPr>
          <w:rFonts w:ascii="Arial" w:hAnsi="Arial" w:cs="Arial"/>
          <w:szCs w:val="21"/>
        </w:rPr>
        <w:t>本标准建议作为推荐性国家标准来制定。</w:t>
      </w:r>
    </w:p>
    <w:p>
      <w:pPr>
        <w:adjustRightInd w:val="0"/>
        <w:snapToGrid w:val="0"/>
        <w:spacing w:line="360" w:lineRule="auto"/>
        <w:rPr>
          <w:rFonts w:ascii="Arial" w:hAnsi="Arial" w:cs="Arial"/>
          <w:szCs w:val="21"/>
        </w:rPr>
      </w:pPr>
      <w:r>
        <w:rPr>
          <w:rFonts w:ascii="Arial" w:hAnsi="Arial" w:cs="Arial"/>
          <w:szCs w:val="21"/>
        </w:rPr>
        <w:t>九、贯彻标准的要求和措施建议，包括：</w:t>
      </w:r>
    </w:p>
    <w:p>
      <w:pPr>
        <w:adjustRightInd w:val="0"/>
        <w:snapToGrid w:val="0"/>
        <w:spacing w:line="360" w:lineRule="auto"/>
        <w:ind w:firstLine="420" w:firstLineChars="200"/>
        <w:rPr>
          <w:rFonts w:ascii="Arial" w:hAnsi="Arial" w:cs="Arial"/>
          <w:szCs w:val="21"/>
        </w:rPr>
      </w:pPr>
      <w:r>
        <w:rPr>
          <w:rFonts w:ascii="Arial" w:hAnsi="Arial" w:cs="Arial"/>
          <w:szCs w:val="21"/>
        </w:rPr>
        <w:t>——组织措施</w:t>
      </w:r>
    </w:p>
    <w:p>
      <w:pPr>
        <w:adjustRightInd w:val="0"/>
        <w:snapToGrid w:val="0"/>
        <w:spacing w:line="360" w:lineRule="auto"/>
        <w:ind w:firstLine="420" w:firstLineChars="200"/>
        <w:rPr>
          <w:rFonts w:ascii="Times New Roman" w:hAnsi="Times New Roman" w:cs="Times New Roman"/>
          <w:szCs w:val="21"/>
        </w:rPr>
      </w:pPr>
      <w:r>
        <w:rPr>
          <w:rFonts w:ascii="Arial" w:hAnsi="Arial" w:cs="Arial"/>
          <w:szCs w:val="21"/>
        </w:rPr>
        <w:t>标准颁布实施后，需要国家有关部门组织大力宣传和贯彻，主办各种形式的培训班，使相关企业及相关贸易单位能够积极主动地解读标准内容，充分认识和理解制订的标准条款，进而</w:t>
      </w:r>
      <w:r>
        <w:rPr>
          <w:rFonts w:ascii="Times New Roman" w:hAnsi="Times New Roman" w:cs="Times New Roman"/>
          <w:szCs w:val="21"/>
        </w:rPr>
        <w:t>加以应用。</w:t>
      </w:r>
    </w:p>
    <w:p>
      <w:pPr>
        <w:adjustRightInd w:val="0"/>
        <w:snapToGrid w:val="0"/>
        <w:spacing w:line="360" w:lineRule="auto"/>
        <w:ind w:firstLine="420" w:firstLineChars="200"/>
        <w:rPr>
          <w:rFonts w:ascii="Arial" w:hAnsi="Arial" w:cs="Arial"/>
          <w:szCs w:val="21"/>
        </w:rPr>
      </w:pPr>
      <w:r>
        <w:rPr>
          <w:rFonts w:ascii="Arial" w:hAnsi="Arial" w:cs="Arial"/>
          <w:szCs w:val="21"/>
        </w:rPr>
        <w:t>——技术措施</w:t>
      </w:r>
    </w:p>
    <w:p>
      <w:pPr>
        <w:adjustRightInd w:val="0"/>
        <w:snapToGrid w:val="0"/>
        <w:spacing w:line="360" w:lineRule="auto"/>
        <w:ind w:firstLine="420" w:firstLineChars="200"/>
        <w:rPr>
          <w:rFonts w:ascii="Arial" w:hAnsi="Arial" w:cs="Arial"/>
          <w:szCs w:val="21"/>
        </w:rPr>
      </w:pPr>
      <w:r>
        <w:rPr>
          <w:rFonts w:ascii="Arial" w:hAnsi="Arial" w:cs="Arial"/>
          <w:szCs w:val="21"/>
        </w:rPr>
        <w:t>标准颁布实施后</w:t>
      </w:r>
      <w:r>
        <w:rPr>
          <w:rFonts w:hint="eastAsia" w:ascii="Arial" w:hAnsi="Arial" w:cs="Arial"/>
          <w:szCs w:val="21"/>
        </w:rPr>
        <w:t>，首先保证电感耦合等离子体光谱仪和质谱仪等相关设备的各项参数能保证检测要求，加强操作人员对仪器使用及维护保养的培训，学习掌握样品前处理技术，加强对仪器设备的使用管理，定期对仪器进行维护保养并记录。</w:t>
      </w:r>
    </w:p>
    <w:p>
      <w:pPr>
        <w:adjustRightInd w:val="0"/>
        <w:snapToGrid w:val="0"/>
        <w:spacing w:line="360" w:lineRule="auto"/>
        <w:ind w:firstLine="420" w:firstLineChars="200"/>
        <w:rPr>
          <w:rFonts w:ascii="Arial" w:hAnsi="Arial" w:cs="Arial"/>
          <w:szCs w:val="21"/>
        </w:rPr>
      </w:pPr>
      <w:r>
        <w:rPr>
          <w:rFonts w:ascii="Arial" w:hAnsi="Arial" w:cs="Arial"/>
          <w:szCs w:val="21"/>
        </w:rPr>
        <w:t>——过渡办法</w:t>
      </w:r>
    </w:p>
    <w:p>
      <w:pPr>
        <w:adjustRightInd w:val="0"/>
        <w:snapToGrid w:val="0"/>
        <w:spacing w:line="360" w:lineRule="auto"/>
        <w:ind w:firstLine="420" w:firstLineChars="200"/>
        <w:rPr>
          <w:rFonts w:ascii="Arial" w:hAnsi="Arial" w:cs="Arial"/>
          <w:szCs w:val="21"/>
        </w:rPr>
      </w:pPr>
      <w:r>
        <w:rPr>
          <w:rFonts w:hint="eastAsia" w:ascii="Arial" w:hAnsi="Arial" w:cs="Arial"/>
          <w:szCs w:val="21"/>
        </w:rPr>
        <w:t>自本标准发布日起至实施日止，为标准的过渡期，在此期间，新旧版标准都被视为有效。</w:t>
      </w:r>
    </w:p>
    <w:p>
      <w:pPr>
        <w:adjustRightInd w:val="0"/>
        <w:snapToGrid w:val="0"/>
        <w:spacing w:line="360" w:lineRule="auto"/>
        <w:rPr>
          <w:rFonts w:ascii="Arial" w:hAnsi="Arial" w:cs="Arial"/>
          <w:szCs w:val="21"/>
        </w:rPr>
      </w:pPr>
      <w:r>
        <w:rPr>
          <w:rFonts w:ascii="Arial" w:hAnsi="Arial" w:cs="Arial"/>
          <w:szCs w:val="21"/>
        </w:rPr>
        <w:t>十、废止现行有关标准的建议</w:t>
      </w:r>
    </w:p>
    <w:p>
      <w:pPr>
        <w:adjustRightInd w:val="0"/>
        <w:snapToGrid w:val="0"/>
        <w:spacing w:line="360" w:lineRule="auto"/>
        <w:ind w:firstLine="420" w:firstLineChars="200"/>
        <w:rPr>
          <w:rFonts w:ascii="Arial" w:hAnsi="Arial" w:cs="Arial"/>
          <w:szCs w:val="21"/>
        </w:rPr>
      </w:pPr>
      <w:r>
        <w:rPr>
          <w:rFonts w:hint="eastAsia" w:ascii="Arial" w:hAnsi="Arial" w:cs="Arial"/>
          <w:szCs w:val="21"/>
        </w:rPr>
        <w:t>本标准发布实施之日起，旧版本自然废止。</w:t>
      </w:r>
    </w:p>
    <w:p>
      <w:pPr>
        <w:adjustRightInd w:val="0"/>
        <w:snapToGrid w:val="0"/>
        <w:spacing w:line="360" w:lineRule="auto"/>
        <w:rPr>
          <w:rFonts w:ascii="Arial" w:hAnsi="Arial" w:cs="Arial"/>
          <w:szCs w:val="21"/>
        </w:rPr>
      </w:pPr>
      <w:r>
        <w:rPr>
          <w:rFonts w:ascii="Arial" w:hAnsi="Arial" w:cs="Arial"/>
          <w:szCs w:val="21"/>
        </w:rPr>
        <w:t>十一、其他应予说明的事项</w:t>
      </w:r>
    </w:p>
    <w:p>
      <w:pPr>
        <w:adjustRightInd w:val="0"/>
        <w:snapToGrid w:val="0"/>
        <w:spacing w:line="360" w:lineRule="auto"/>
        <w:ind w:firstLine="420" w:firstLineChars="200"/>
        <w:rPr>
          <w:rFonts w:ascii="Arial" w:hAnsi="Arial" w:cs="Arial"/>
          <w:szCs w:val="21"/>
        </w:rPr>
      </w:pPr>
      <w:r>
        <w:rPr>
          <w:rFonts w:ascii="Arial" w:hAnsi="Arial" w:cs="Arial"/>
          <w:szCs w:val="21"/>
        </w:rPr>
        <w:t xml:space="preserve">   </w:t>
      </w:r>
    </w:p>
    <w:p>
      <w:pPr>
        <w:adjustRightInd w:val="0"/>
        <w:snapToGrid w:val="0"/>
        <w:spacing w:line="360" w:lineRule="auto"/>
        <w:rPr>
          <w:rFonts w:ascii="Arial" w:hAnsi="Arial" w:cs="Arial"/>
          <w:szCs w:val="21"/>
        </w:rPr>
      </w:pPr>
    </w:p>
    <w:p>
      <w:pPr>
        <w:adjustRightInd w:val="0"/>
        <w:snapToGrid w:val="0"/>
        <w:spacing w:line="360" w:lineRule="auto"/>
        <w:jc w:val="center"/>
        <w:rPr>
          <w:rFonts w:ascii="Arial" w:hAnsi="Arial" w:cs="Arial"/>
          <w:szCs w:val="21"/>
        </w:rPr>
      </w:pPr>
      <w:r>
        <w:rPr>
          <w:rFonts w:hint="eastAsia" w:ascii="Arial" w:hAnsi="Arial" w:cs="Arial"/>
          <w:szCs w:val="21"/>
        </w:rPr>
        <w:t xml:space="preserve">                        包头稀土研究院</w:t>
      </w:r>
    </w:p>
    <w:p>
      <w:pPr>
        <w:adjustRightInd w:val="0"/>
        <w:snapToGrid w:val="0"/>
        <w:spacing w:line="360" w:lineRule="auto"/>
        <w:ind w:left="2310" w:leftChars="1100"/>
        <w:jc w:val="center"/>
        <w:rPr>
          <w:rFonts w:ascii="Arial" w:hAnsi="Arial" w:cs="Arial"/>
          <w:szCs w:val="21"/>
        </w:rPr>
      </w:pPr>
      <w:r>
        <w:rPr>
          <w:rFonts w:hint="eastAsia" w:ascii="Arial" w:hAnsi="Arial" w:cs="Arial"/>
          <w:szCs w:val="21"/>
        </w:rPr>
        <w:t xml:space="preserve">    </w:t>
      </w:r>
      <w:r>
        <w:rPr>
          <w:rFonts w:ascii="Arial" w:hAnsi="Arial" w:cs="Arial"/>
          <w:szCs w:val="21"/>
        </w:rPr>
        <w:t>二〇</w:t>
      </w:r>
      <w:r>
        <w:rPr>
          <w:rFonts w:hint="eastAsia" w:ascii="Arial" w:hAnsi="Arial" w:cs="Arial"/>
          <w:szCs w:val="21"/>
        </w:rPr>
        <w:t>二〇</w:t>
      </w:r>
      <w:r>
        <w:rPr>
          <w:rFonts w:ascii="Arial" w:hAnsi="Arial" w:cs="Arial"/>
          <w:szCs w:val="21"/>
        </w:rPr>
        <w:t>年</w:t>
      </w:r>
      <w:r>
        <w:rPr>
          <w:rFonts w:hint="eastAsia" w:ascii="Arial" w:hAnsi="Arial" w:cs="Arial"/>
          <w:szCs w:val="21"/>
        </w:rPr>
        <w:t>五</w:t>
      </w:r>
      <w:r>
        <w:rPr>
          <w:rFonts w:ascii="Arial" w:hAnsi="Arial" w:cs="Arial"/>
          <w:szCs w:val="21"/>
        </w:rPr>
        <w:t>月</w:t>
      </w:r>
      <w:r>
        <w:rPr>
          <w:rFonts w:hint="eastAsia" w:ascii="Arial" w:hAnsi="Arial" w:cs="Arial"/>
          <w:szCs w:val="21"/>
        </w:rPr>
        <w:t>三十一</w:t>
      </w:r>
      <w:r>
        <w:rPr>
          <w:rFonts w:ascii="Arial" w:hAnsi="Arial" w:cs="Arial"/>
          <w:szCs w:val="21"/>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rect id="文本框 1" o:spid="_x0000_s2049" o:spt="1" style="position:absolute;left:0pt;margin-top:0pt;height:11pt;width:4.6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5A51"/>
    <w:multiLevelType w:val="multilevel"/>
    <w:tmpl w:val="13EF5A5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b w:val="0"/>
        <w:bCs w:val="0"/>
        <w:i w:val="0"/>
        <w:iCs w:val="0"/>
        <w:caps w:val="0"/>
        <w:smallCaps w:val="0"/>
        <w:strike w:val="0"/>
        <w:dstrike w:val="0"/>
        <w:color w:val="000000"/>
        <w:spacing w:val="0"/>
        <w:position w:val="0"/>
        <w:u w:val="none"/>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3F834055"/>
    <w:multiLevelType w:val="multilevel"/>
    <w:tmpl w:val="3F834055"/>
    <w:lvl w:ilvl="0" w:tentative="0">
      <w:start w:val="1"/>
      <w:numFmt w:val="decimal"/>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12E"/>
    <w:rsid w:val="00556BB1"/>
    <w:rsid w:val="00851564"/>
    <w:rsid w:val="00905398"/>
    <w:rsid w:val="009B20EE"/>
    <w:rsid w:val="00C4012E"/>
    <w:rsid w:val="28DC3F1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0"/>
    <w:qFormat/>
    <w:uiPriority w:val="9"/>
    <w:pPr>
      <w:keepNext/>
      <w:keepLines/>
      <w:numPr>
        <w:ilvl w:val="0"/>
        <w:numId w:val="1"/>
      </w:numPr>
      <w:spacing w:before="340" w:after="330" w:line="578" w:lineRule="auto"/>
      <w:outlineLvl w:val="0"/>
    </w:pPr>
    <w:rPr>
      <w:rFonts w:eastAsia="黑体"/>
      <w:bCs/>
      <w:kern w:val="44"/>
      <w:sz w:val="24"/>
      <w:szCs w:val="44"/>
    </w:rPr>
  </w:style>
  <w:style w:type="paragraph" w:styleId="3">
    <w:name w:val="heading 2"/>
    <w:basedOn w:val="1"/>
    <w:next w:val="1"/>
    <w:link w:val="41"/>
    <w:unhideWhenUsed/>
    <w:qFormat/>
    <w:uiPriority w:val="9"/>
    <w:pPr>
      <w:keepNext/>
      <w:keepLines/>
      <w:numPr>
        <w:ilvl w:val="1"/>
        <w:numId w:val="1"/>
      </w:numPr>
      <w:spacing w:before="260" w:after="260" w:line="416" w:lineRule="auto"/>
      <w:outlineLvl w:val="1"/>
    </w:pPr>
    <w:rPr>
      <w:rFonts w:ascii="Cambria" w:hAnsi="Cambria" w:eastAsia="黑体"/>
      <w:bCs/>
      <w:sz w:val="24"/>
      <w:szCs w:val="32"/>
    </w:rPr>
  </w:style>
  <w:style w:type="paragraph" w:styleId="4">
    <w:name w:val="heading 3"/>
    <w:basedOn w:val="1"/>
    <w:next w:val="1"/>
    <w:link w:val="42"/>
    <w:unhideWhenUsed/>
    <w:qFormat/>
    <w:uiPriority w:val="9"/>
    <w:pPr>
      <w:keepNext/>
      <w:keepLines/>
      <w:numPr>
        <w:ilvl w:val="2"/>
        <w:numId w:val="1"/>
      </w:numPr>
      <w:spacing w:before="260" w:after="260" w:line="416" w:lineRule="auto"/>
      <w:outlineLvl w:val="2"/>
    </w:pPr>
    <w:rPr>
      <w:rFonts w:eastAsia="黑体"/>
      <w:bCs/>
      <w:sz w:val="24"/>
      <w:szCs w:val="32"/>
    </w:rPr>
  </w:style>
  <w:style w:type="paragraph" w:styleId="5">
    <w:name w:val="heading 4"/>
    <w:basedOn w:val="1"/>
    <w:next w:val="1"/>
    <w:link w:val="43"/>
    <w:unhideWhenUsed/>
    <w:qFormat/>
    <w:uiPriority w:val="9"/>
    <w:pPr>
      <w:keepNext/>
      <w:keepLines/>
      <w:numPr>
        <w:ilvl w:val="3"/>
        <w:numId w:val="1"/>
      </w:numPr>
      <w:spacing w:before="280" w:after="290" w:line="376" w:lineRule="auto"/>
      <w:outlineLvl w:val="3"/>
    </w:pPr>
    <w:rPr>
      <w:rFonts w:ascii="Cambria" w:hAnsi="Cambria" w:eastAsia="黑体"/>
      <w:bCs/>
      <w:szCs w:val="28"/>
    </w:rPr>
  </w:style>
  <w:style w:type="paragraph" w:styleId="6">
    <w:name w:val="heading 5"/>
    <w:basedOn w:val="1"/>
    <w:next w:val="1"/>
    <w:link w:val="44"/>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5"/>
    <w:semiHidden/>
    <w:unhideWhenUsed/>
    <w:qFormat/>
    <w:uiPriority w:val="9"/>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4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7"/>
    <w:semiHidden/>
    <w:unhideWhenUsed/>
    <w:qFormat/>
    <w:uiPriority w:val="9"/>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48"/>
    <w:semiHidden/>
    <w:unhideWhenUsed/>
    <w:qFormat/>
    <w:uiPriority w:val="9"/>
    <w:pPr>
      <w:keepNext/>
      <w:keepLines/>
      <w:numPr>
        <w:ilvl w:val="8"/>
        <w:numId w:val="1"/>
      </w:numPr>
      <w:spacing w:before="240" w:after="64" w:line="320" w:lineRule="auto"/>
      <w:outlineLvl w:val="8"/>
    </w:pPr>
    <w:rPr>
      <w:rFonts w:ascii="Cambria" w:hAnsi="Cambria"/>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Cambria" w:hAnsi="Cambria" w:eastAsia="黑体"/>
      <w:sz w:val="20"/>
      <w:szCs w:val="20"/>
    </w:rPr>
  </w:style>
  <w:style w:type="paragraph" w:styleId="12">
    <w:name w:val="Body Text Indent"/>
    <w:basedOn w:val="1"/>
    <w:link w:val="49"/>
    <w:unhideWhenUsed/>
    <w:qFormat/>
    <w:uiPriority w:val="99"/>
    <w:pPr>
      <w:ind w:firstLine="420"/>
    </w:pPr>
    <w:rPr>
      <w:rFonts w:ascii="Times New Roman" w:hAnsi="Times New Roman" w:cs="Times New Roman"/>
      <w:szCs w:val="21"/>
    </w:rPr>
  </w:style>
  <w:style w:type="paragraph" w:styleId="13">
    <w:name w:val="Plain Text"/>
    <w:basedOn w:val="1"/>
    <w:unhideWhenUsed/>
    <w:uiPriority w:val="0"/>
    <w:rPr>
      <w:rFonts w:ascii="宋体" w:hAnsi="Courier New"/>
      <w:szCs w:val="20"/>
    </w:rPr>
  </w:style>
  <w:style w:type="paragraph" w:styleId="14">
    <w:name w:val="Balloon Text"/>
    <w:basedOn w:val="1"/>
    <w:link w:val="39"/>
    <w:unhideWhenUsed/>
    <w:uiPriority w:val="0"/>
    <w:rPr>
      <w:sz w:val="18"/>
      <w:szCs w:val="18"/>
    </w:rPr>
  </w:style>
  <w:style w:type="paragraph" w:styleId="15">
    <w:name w:val="footer"/>
    <w:basedOn w:val="1"/>
    <w:link w:val="36"/>
    <w:uiPriority w:val="0"/>
    <w:pPr>
      <w:tabs>
        <w:tab w:val="center" w:pos="4153"/>
        <w:tab w:val="right" w:pos="8306"/>
      </w:tabs>
      <w:snapToGrid w:val="0"/>
      <w:jc w:val="left"/>
    </w:pPr>
    <w:rPr>
      <w:sz w:val="18"/>
      <w:szCs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10"/>
    <w:pPr>
      <w:numPr>
        <w:ilvl w:val="0"/>
        <w:numId w:val="2"/>
      </w:numPr>
      <w:spacing w:before="240" w:after="60" w:line="360" w:lineRule="auto"/>
      <w:jc w:val="left"/>
      <w:outlineLvl w:val="0"/>
    </w:pPr>
    <w:rPr>
      <w:rFonts w:ascii="Cambria" w:hAnsi="Cambria"/>
      <w:b/>
      <w:bCs/>
      <w:sz w:val="24"/>
      <w:szCs w:val="32"/>
    </w:rPr>
  </w:style>
  <w:style w:type="character" w:styleId="20">
    <w:name w:val="page number"/>
    <w:basedOn w:val="19"/>
    <w:unhideWhenUsed/>
    <w:uiPriority w:val="0"/>
  </w:style>
  <w:style w:type="character" w:customStyle="1" w:styleId="21">
    <w:name w:val="日期 Char"/>
    <w:basedOn w:val="19"/>
    <w:link w:val="22"/>
    <w:semiHidden/>
    <w:uiPriority w:val="0"/>
  </w:style>
  <w:style w:type="paragraph" w:customStyle="1" w:styleId="22">
    <w:name w:val="日期1"/>
    <w:basedOn w:val="1"/>
    <w:next w:val="1"/>
    <w:link w:val="21"/>
    <w:uiPriority w:val="0"/>
    <w:pPr>
      <w:ind w:left="100" w:leftChars="2500"/>
    </w:pPr>
  </w:style>
  <w:style w:type="paragraph" w:customStyle="1" w:styleId="23">
    <w:name w:val="p0"/>
    <w:basedOn w:val="1"/>
    <w:uiPriority w:val="0"/>
    <w:pPr>
      <w:widowControl/>
    </w:pPr>
    <w:rPr>
      <w:rFonts w:cs="宋体"/>
      <w:kern w:val="0"/>
      <w:szCs w:val="21"/>
    </w:rPr>
  </w:style>
  <w:style w:type="paragraph" w:customStyle="1" w:styleId="24">
    <w:name w:val="p15"/>
    <w:basedOn w:val="1"/>
    <w:uiPriority w:val="0"/>
    <w:pPr>
      <w:widowControl/>
      <w:ind w:firstLine="420"/>
    </w:pPr>
    <w:rPr>
      <w:rFonts w:cs="宋体"/>
      <w:kern w:val="0"/>
      <w:szCs w:val="21"/>
    </w:rPr>
  </w:style>
  <w:style w:type="paragraph" w:customStyle="1" w:styleId="25">
    <w:name w:val="p16"/>
    <w:basedOn w:val="1"/>
    <w:uiPriority w:val="0"/>
    <w:pPr>
      <w:widowControl/>
    </w:pPr>
    <w:rPr>
      <w:rFonts w:cs="宋体"/>
      <w:kern w:val="0"/>
      <w:szCs w:val="21"/>
    </w:rPr>
  </w:style>
  <w:style w:type="paragraph" w:customStyle="1" w:styleId="26">
    <w:name w:val="p17"/>
    <w:basedOn w:val="1"/>
    <w:uiPriority w:val="0"/>
    <w:pPr>
      <w:widowControl/>
      <w:ind w:firstLine="420"/>
    </w:pPr>
    <w:rPr>
      <w:rFonts w:cs="宋体"/>
      <w:kern w:val="0"/>
      <w:szCs w:val="21"/>
    </w:rPr>
  </w:style>
  <w:style w:type="paragraph" w:customStyle="1" w:styleId="27">
    <w:name w:val="列出段落1"/>
    <w:basedOn w:val="1"/>
    <w:uiPriority w:val="0"/>
    <w:pPr>
      <w:ind w:firstLine="420" w:firstLineChars="200"/>
    </w:pPr>
  </w:style>
  <w:style w:type="paragraph" w:customStyle="1" w:styleId="28">
    <w:name w:val="列出段落2"/>
    <w:basedOn w:val="1"/>
    <w:uiPriority w:val="0"/>
    <w:pPr>
      <w:ind w:firstLine="420" w:firstLineChars="200"/>
    </w:pPr>
    <w:rPr>
      <w:rFonts w:cs="Times New Roman"/>
    </w:rPr>
  </w:style>
  <w:style w:type="paragraph" w:customStyle="1" w:styleId="29">
    <w:name w:val="段"/>
    <w:link w:val="38"/>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标准"/>
    <w:basedOn w:val="1"/>
    <w:qFormat/>
    <w:uiPriority w:val="0"/>
    <w:pPr>
      <w:adjustRightInd w:val="0"/>
      <w:spacing w:line="312" w:lineRule="atLeast"/>
      <w:jc w:val="center"/>
      <w:textAlignment w:val="baseline"/>
    </w:pPr>
    <w:rPr>
      <w:kern w:val="0"/>
      <w:szCs w:val="20"/>
    </w:rPr>
  </w:style>
  <w:style w:type="paragraph" w:customStyle="1" w:styleId="31">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Default"/>
    <w:unhideWhenUsed/>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3">
    <w:name w:val="章标题"/>
    <w:next w:val="1"/>
    <w:qFormat/>
    <w:uiPriority w:val="0"/>
    <w:pPr>
      <w:spacing w:beforeLines="50" w:afterLines="50"/>
      <w:jc w:val="both"/>
      <w:outlineLvl w:val="1"/>
    </w:pPr>
    <w:rPr>
      <w:rFonts w:ascii="黑体" w:hAnsi="Calibri" w:eastAsia="黑体" w:cs="黑体"/>
      <w:sz w:val="21"/>
      <w:szCs w:val="22"/>
      <w:lang w:val="en-US" w:eastAsia="zh-CN" w:bidi="ar-SA"/>
    </w:rPr>
  </w:style>
  <w:style w:type="paragraph" w:customStyle="1" w:styleId="34">
    <w:name w:val="列出段落3"/>
    <w:basedOn w:val="1"/>
    <w:uiPriority w:val="99"/>
    <w:pPr>
      <w:ind w:firstLine="420" w:firstLineChars="200"/>
    </w:pPr>
  </w:style>
  <w:style w:type="paragraph" w:customStyle="1" w:styleId="35">
    <w:name w:val="标准书眉_奇数页"/>
    <w:next w:val="1"/>
    <w:qFormat/>
    <w:uiPriority w:val="0"/>
    <w:pPr>
      <w:tabs>
        <w:tab w:val="center" w:pos="4154"/>
        <w:tab w:val="right" w:pos="8306"/>
      </w:tabs>
      <w:spacing w:after="220"/>
      <w:ind w:left="400" w:leftChars="200" w:right="210" w:hanging="200" w:hangingChars="200"/>
      <w:jc w:val="right"/>
    </w:pPr>
    <w:rPr>
      <w:rFonts w:ascii="黑体" w:hAnsi="Times New Roman" w:eastAsia="黑体" w:cs="Times New Roman"/>
      <w:sz w:val="21"/>
      <w:szCs w:val="21"/>
      <w:lang w:val="en-US" w:eastAsia="zh-CN" w:bidi="ar-SA"/>
    </w:rPr>
  </w:style>
  <w:style w:type="character" w:customStyle="1" w:styleId="36">
    <w:name w:val="页脚 Char"/>
    <w:basedOn w:val="19"/>
    <w:link w:val="15"/>
    <w:uiPriority w:val="0"/>
    <w:rPr>
      <w:rFonts w:ascii="Calibri" w:hAnsi="Calibri" w:cs="黑体"/>
      <w:kern w:val="2"/>
      <w:sz w:val="18"/>
      <w:szCs w:val="18"/>
    </w:rPr>
  </w:style>
  <w:style w:type="character" w:customStyle="1" w:styleId="37">
    <w:name w:val="页眉 Char"/>
    <w:basedOn w:val="19"/>
    <w:link w:val="16"/>
    <w:uiPriority w:val="0"/>
    <w:rPr>
      <w:rFonts w:ascii="Calibri" w:hAnsi="Calibri" w:cs="黑体"/>
      <w:kern w:val="2"/>
      <w:sz w:val="18"/>
      <w:szCs w:val="18"/>
    </w:rPr>
  </w:style>
  <w:style w:type="character" w:customStyle="1" w:styleId="38">
    <w:name w:val="段 Char Char"/>
    <w:basedOn w:val="19"/>
    <w:link w:val="29"/>
    <w:uiPriority w:val="0"/>
    <w:rPr>
      <w:rFonts w:ascii="宋体"/>
      <w:sz w:val="21"/>
      <w:lang w:val="en-US" w:eastAsia="zh-CN" w:bidi="ar-SA"/>
    </w:rPr>
  </w:style>
  <w:style w:type="character" w:customStyle="1" w:styleId="39">
    <w:name w:val="批注框文本 Char"/>
    <w:basedOn w:val="19"/>
    <w:link w:val="14"/>
    <w:uiPriority w:val="0"/>
    <w:rPr>
      <w:rFonts w:ascii="Calibri" w:hAnsi="Calibri" w:cs="黑体"/>
      <w:kern w:val="2"/>
      <w:sz w:val="18"/>
      <w:szCs w:val="18"/>
    </w:rPr>
  </w:style>
  <w:style w:type="character" w:customStyle="1" w:styleId="40">
    <w:name w:val="标题 1 Char"/>
    <w:basedOn w:val="19"/>
    <w:link w:val="2"/>
    <w:uiPriority w:val="9"/>
    <w:rPr>
      <w:rFonts w:ascii="Calibri" w:hAnsi="Calibri" w:eastAsia="黑体" w:cs="黑体"/>
      <w:bCs/>
      <w:kern w:val="44"/>
      <w:sz w:val="24"/>
      <w:szCs w:val="44"/>
    </w:rPr>
  </w:style>
  <w:style w:type="character" w:customStyle="1" w:styleId="41">
    <w:name w:val="标题 2 Char"/>
    <w:basedOn w:val="19"/>
    <w:link w:val="3"/>
    <w:uiPriority w:val="9"/>
    <w:rPr>
      <w:rFonts w:ascii="Cambria" w:hAnsi="Cambria" w:eastAsia="黑体" w:cs="黑体"/>
      <w:bCs/>
      <w:kern w:val="2"/>
      <w:sz w:val="24"/>
      <w:szCs w:val="32"/>
    </w:rPr>
  </w:style>
  <w:style w:type="character" w:customStyle="1" w:styleId="42">
    <w:name w:val="标题 3 Char"/>
    <w:basedOn w:val="19"/>
    <w:link w:val="4"/>
    <w:uiPriority w:val="9"/>
    <w:rPr>
      <w:rFonts w:ascii="Calibri" w:hAnsi="Calibri" w:eastAsia="黑体" w:cs="黑体"/>
      <w:bCs/>
      <w:kern w:val="2"/>
      <w:sz w:val="24"/>
      <w:szCs w:val="32"/>
    </w:rPr>
  </w:style>
  <w:style w:type="character" w:customStyle="1" w:styleId="43">
    <w:name w:val="标题 4 Char"/>
    <w:basedOn w:val="19"/>
    <w:link w:val="5"/>
    <w:uiPriority w:val="9"/>
    <w:rPr>
      <w:rFonts w:ascii="Cambria" w:hAnsi="Cambria" w:eastAsia="黑体" w:cs="黑体"/>
      <w:bCs/>
      <w:kern w:val="2"/>
      <w:sz w:val="21"/>
      <w:szCs w:val="28"/>
    </w:rPr>
  </w:style>
  <w:style w:type="character" w:customStyle="1" w:styleId="44">
    <w:name w:val="标题 5 Char"/>
    <w:basedOn w:val="19"/>
    <w:link w:val="6"/>
    <w:uiPriority w:val="9"/>
    <w:rPr>
      <w:rFonts w:ascii="Calibri" w:hAnsi="Calibri" w:cs="黑体"/>
      <w:b/>
      <w:bCs/>
      <w:kern w:val="2"/>
      <w:sz w:val="28"/>
      <w:szCs w:val="28"/>
    </w:rPr>
  </w:style>
  <w:style w:type="character" w:customStyle="1" w:styleId="45">
    <w:name w:val="标题 6 Char"/>
    <w:basedOn w:val="19"/>
    <w:link w:val="7"/>
    <w:uiPriority w:val="9"/>
    <w:rPr>
      <w:rFonts w:ascii="Cambria" w:hAnsi="Cambria" w:eastAsia="宋体" w:cs="黑体"/>
      <w:b/>
      <w:bCs/>
      <w:kern w:val="2"/>
      <w:sz w:val="24"/>
      <w:szCs w:val="24"/>
    </w:rPr>
  </w:style>
  <w:style w:type="character" w:customStyle="1" w:styleId="46">
    <w:name w:val="标题 7 Char"/>
    <w:basedOn w:val="19"/>
    <w:link w:val="8"/>
    <w:uiPriority w:val="9"/>
    <w:rPr>
      <w:rFonts w:ascii="Calibri" w:hAnsi="Calibri" w:cs="黑体"/>
      <w:b/>
      <w:bCs/>
      <w:kern w:val="2"/>
      <w:sz w:val="24"/>
      <w:szCs w:val="24"/>
    </w:rPr>
  </w:style>
  <w:style w:type="character" w:customStyle="1" w:styleId="47">
    <w:name w:val="标题 8 Char"/>
    <w:basedOn w:val="19"/>
    <w:link w:val="9"/>
    <w:uiPriority w:val="9"/>
    <w:rPr>
      <w:rFonts w:ascii="Cambria" w:hAnsi="Cambria" w:eastAsia="宋体" w:cs="黑体"/>
      <w:kern w:val="2"/>
      <w:sz w:val="24"/>
      <w:szCs w:val="24"/>
    </w:rPr>
  </w:style>
  <w:style w:type="character" w:customStyle="1" w:styleId="48">
    <w:name w:val="标题 9 Char"/>
    <w:basedOn w:val="19"/>
    <w:link w:val="10"/>
    <w:uiPriority w:val="9"/>
    <w:rPr>
      <w:rFonts w:ascii="Cambria" w:hAnsi="Cambria" w:eastAsia="宋体" w:cs="黑体"/>
      <w:kern w:val="2"/>
      <w:sz w:val="21"/>
      <w:szCs w:val="21"/>
    </w:rPr>
  </w:style>
  <w:style w:type="character" w:customStyle="1" w:styleId="49">
    <w:name w:val="正文文本缩进 Char"/>
    <w:basedOn w:val="19"/>
    <w:link w:val="12"/>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751</Words>
  <Characters>4285</Characters>
  <Lines>35</Lines>
  <Paragraphs>10</Paragraphs>
  <TotalTime>9</TotalTime>
  <ScaleCrop>false</ScaleCrop>
  <LinksUpToDate>false</LinksUpToDate>
  <CharactersWithSpaces>5026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2017-12-21T09:10:00Z</dcterms:created>
  <dc:creator>微软用户</dc:creator>
  <cp:lastModifiedBy>高兰</cp:lastModifiedBy>
  <cp:lastPrinted>2018-02-09T03:38:00Z</cp:lastPrinted>
  <dcterms:modified xsi:type="dcterms:W3CDTF">2020-06-11T06:24:27Z</dcterms:modified>
  <dc:title>稀土国家标准《稀土金属及其氧化物中非稀土杂质化学分析方法  第五部分》（预审稿）编制说明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