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8" w:leftChars="95" w:hanging="199" w:hangingChars="95"/>
      </w:pPr>
      <w:r>
        <w:pict>
          <v:shape id="HBPicture" o:spid="_x0000_s1031" o:spt="75" type="#_x0000_t75" style="position:absolute;left:0pt;margin-left:355.45pt;margin-top:2.4pt;height:56.8pt;width:110.5pt;mso-position-horizontal-relative:margin;mso-position-vertical-relative:margin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anchorlock/>
          </v:shape>
        </w:pict>
      </w:r>
    </w:p>
    <w:p>
      <w:pPr>
        <w:ind w:left="840" w:hanging="420"/>
      </w:pPr>
    </w:p>
    <w:p>
      <w:pPr>
        <w:ind w:left="840" w:hanging="420"/>
      </w:pPr>
    </w:p>
    <w:p>
      <w:pPr>
        <w:ind w:left="840" w:hanging="420"/>
      </w:pPr>
    </w:p>
    <w:p>
      <w:pPr>
        <w:ind w:left="840" w:hanging="420"/>
      </w:pPr>
    </w:p>
    <w:p>
      <w:pPr>
        <w:ind w:left="840" w:hanging="420"/>
      </w:pPr>
    </w:p>
    <w:p>
      <w:pPr>
        <w:ind w:left="840" w:hanging="420"/>
      </w:pPr>
    </w:p>
    <w:p>
      <w:pPr>
        <w:ind w:left="840" w:hanging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1418" w:footer="1134" w:gutter="0"/>
          <w:pgNumType w:start="1"/>
          <w:cols w:space="720" w:num="1"/>
          <w:formProt w:val="0"/>
          <w:docGrid w:type="lines" w:linePitch="312" w:charSpace="0"/>
        </w:sectPr>
      </w:pPr>
      <w:r>
        <w:pict>
          <v:line id="直线 23" o:spid="_x0000_s1032" o:spt="20" style="position:absolute;left:0pt;flip:y;margin-left:-3.9pt;margin-top:563.05pt;height:2.6pt;width:469.85pt;z-index:102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pict>
          <v:line id="Line 5" o:spid="_x0000_s1033" o:spt="20" style="position:absolute;left:0pt;margin-left:4.5pt;margin-top:50.4pt;height:0.05pt;width:461.45pt;z-index:1024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</v:line>
        </w:pict>
      </w:r>
      <w:r>
        <w:pict>
          <v:shape id="文本框 34" o:spid="_x0000_s1034" o:spt="202" type="#_x0000_t202" style="position:absolute;left:0pt;margin-left:375.1pt;margin-top:573.55pt;height:35.25pt;width:103.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7.21pt,1.27mm,7.21pt,1.27mm">
              <w:txbxContent>
                <w:p>
                  <w:pPr>
                    <w:ind w:left="982" w:hanging="56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  <w:r>
        <w:pict>
          <v:shape id="文本框 32" o:spid="_x0000_s1035" o:spt="202" type="#_x0000_t202" style="position:absolute;left:0pt;margin-left:0pt;margin-top:567.55pt;height:46.4pt;width:342.5pt;mso-position-horizontal-relative:margin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 inset="7.21pt,1.27mm,7.21pt,1.27mm">
              <w:txbxContent>
                <w:p>
                  <w:pPr>
                    <w:spacing w:line="340" w:lineRule="exact"/>
                    <w:ind w:left="1041" w:hanging="621"/>
                    <w:jc w:val="distribute"/>
                    <w:rPr>
                      <w:rFonts w:ascii="华文中宋" w:hAnsi="华文中宋" w:eastAsia="华文中宋" w:cs="华文中宋"/>
                      <w:b/>
                      <w:spacing w:val="-5"/>
                      <w:sz w:val="32"/>
                      <w:szCs w:val="3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spacing w:val="-5"/>
                      <w:sz w:val="32"/>
                      <w:szCs w:val="32"/>
                    </w:rPr>
                    <w:t>中华人民共和国国家质量监督检验检疫总局</w:t>
                  </w:r>
                </w:p>
                <w:p>
                  <w:pPr>
                    <w:spacing w:line="340" w:lineRule="exact"/>
                    <w:ind w:left="1061" w:hanging="641"/>
                    <w:jc w:val="distribute"/>
                  </w:pPr>
                  <w:r>
                    <w:rPr>
                      <w:rFonts w:hint="eastAsia" w:ascii="华文中宋" w:hAnsi="华文中宋" w:eastAsia="华文中宋" w:cs="华文中宋"/>
                      <w:b/>
                      <w:sz w:val="32"/>
                      <w:szCs w:val="32"/>
                    </w:rPr>
                    <w:t>中国国家标准化管理委员会</w:t>
                  </w:r>
                </w:p>
              </w:txbxContent>
            </v:textbox>
          </v:shape>
        </w:pict>
      </w:r>
      <w:r>
        <w:pict>
          <v:shape id="fmFrame6" o:spid="_x0000_s1036" o:spt="202" type="#_x0000_t202" style="position:absolute;left:0pt;margin-left:360.55pt;margin-top:648.25pt;height:24pt;width:121.35pt;mso-position-horizontal-relative:margin;mso-position-vertical-relative:margin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9"/>
                    <w:ind w:left="982" w:hanging="562"/>
                    <w:jc w:val="center"/>
                    <w:rPr>
                      <w:rFonts w:ascii="黑体" w:hAnsi="宋体"/>
                      <w:b/>
                      <w:bCs/>
                      <w:szCs w:val="28"/>
                    </w:rPr>
                  </w:pPr>
                  <w:r>
                    <w:rPr>
                      <w:rFonts w:hint="eastAsia" w:ascii="黑体" w:hAnsi="宋体" w:cs="华文中宋"/>
                      <w:b/>
                      <w:bCs/>
                      <w:szCs w:val="28"/>
                    </w:rPr>
                    <w:t>202X-XX-XX 实施</w:t>
                  </w:r>
                </w:p>
              </w:txbxContent>
            </v:textbox>
            <w10:anchorlock/>
          </v:shape>
        </w:pict>
      </w:r>
      <w:r>
        <w:pict>
          <v:shape id="fmFrame5" o:spid="_x0000_s1037" o:spt="202" type="#_x0000_t202" style="position:absolute;left:0pt;margin-left:-4.05pt;margin-top:646.9pt;height:25.35pt;width:112.55pt;mso-position-horizontal-relative:margin;mso-position-vertical-relative:margin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5"/>
                    <w:ind w:left="982" w:hanging="562"/>
                    <w:rPr>
                      <w:rFonts w:ascii="黑体" w:hAnsi="宋体" w:cs="华文中宋"/>
                      <w:b/>
                      <w:bCs/>
                      <w:szCs w:val="28"/>
                    </w:rPr>
                  </w:pPr>
                  <w:r>
                    <w:rPr>
                      <w:rFonts w:hint="eastAsia" w:ascii="黑体" w:hAnsi="宋体" w:cs="华文中宋"/>
                      <w:b/>
                      <w:bCs/>
                      <w:szCs w:val="28"/>
                    </w:rPr>
                    <w:t>202X-XX-XX发布</w:t>
                  </w:r>
                </w:p>
              </w:txbxContent>
            </v:textbox>
            <w10:anchorlock/>
          </v:shape>
        </w:pict>
      </w:r>
      <w:r>
        <w:pict>
          <v:shape id="fmFrame4" o:spid="_x0000_s1038" o:spt="202" type="#_x0000_t202" style="position:absolute;left:0pt;margin-left:4.5pt;margin-top:206.85pt;height:394.5pt;width:470pt;mso-position-horizontal-relative:margin;mso-position-vertical-relative:margin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91"/>
                    <w:ind w:left="1380" w:hanging="960"/>
                    <w:jc w:val="both"/>
                    <w:rPr>
                      <w:rFonts w:hAnsi="黑体" w:cs="黑体"/>
                      <w:bCs/>
                      <w:sz w:val="48"/>
                      <w:szCs w:val="48"/>
                    </w:rPr>
                  </w:pPr>
                </w:p>
                <w:p>
                  <w:pPr>
                    <w:pStyle w:val="91"/>
                    <w:ind w:left="1380" w:hanging="960"/>
                    <w:rPr>
                      <w:rFonts w:hAnsi="黑体" w:cs="黑体"/>
                      <w:sz w:val="48"/>
                      <w:szCs w:val="48"/>
                    </w:rPr>
                  </w:pPr>
                  <w:r>
                    <w:rPr>
                      <w:rFonts w:hint="eastAsia" w:hAnsi="黑体" w:cs="黑体"/>
                      <w:sz w:val="48"/>
                      <w:szCs w:val="48"/>
                    </w:rPr>
                    <w:t>稀土金属及其氧化物中稀土杂质</w:t>
                  </w:r>
                </w:p>
                <w:p>
                  <w:pPr>
                    <w:pStyle w:val="91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 xml:space="preserve">化学分析方法   </w:t>
                  </w:r>
                  <w:r>
                    <w:rPr>
                      <w:rFonts w:hint="eastAsia"/>
                      <w:sz w:val="48"/>
                      <w:szCs w:val="48"/>
                      <w:lang w:eastAsia="zh-CN"/>
                    </w:rPr>
                    <w:t>第</w:t>
                  </w:r>
                  <w:r>
                    <w:rPr>
                      <w:rFonts w:hint="eastAsia"/>
                      <w:sz w:val="48"/>
                      <w:szCs w:val="48"/>
                      <w:lang w:val="en-US" w:eastAsia="zh-CN"/>
                    </w:rPr>
                    <w:t>4部分：</w:t>
                  </w:r>
                  <w:r>
                    <w:rPr>
                      <w:rFonts w:hint="eastAsia"/>
                      <w:sz w:val="48"/>
                      <w:szCs w:val="48"/>
                    </w:rPr>
                    <w:t xml:space="preserve">             </w:t>
                  </w:r>
                </w:p>
                <w:p>
                  <w:pPr>
                    <w:pStyle w:val="91"/>
                    <w:ind w:left="1380" w:hanging="96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钕中镧、铈、镨、钐、铕、钆、铽、镝、钬、铒、铥、镱、镥和钇量的测定</w:t>
                  </w:r>
                </w:p>
                <w:p>
                  <w:pPr>
                    <w:pStyle w:val="90"/>
                    <w:ind w:left="980" w:hanging="560"/>
                  </w:pPr>
                  <w:r>
                    <w:t xml:space="preserve">Chemical analysis methods of rare earth impurities </w:t>
                  </w:r>
                </w:p>
                <w:p>
                  <w:pPr>
                    <w:pStyle w:val="90"/>
                    <w:spacing w:before="0"/>
                    <w:ind w:left="980" w:hanging="560"/>
                  </w:pPr>
                  <w:r>
                    <w:rPr>
                      <w:rFonts w:hint="eastAsia"/>
                    </w:rPr>
                    <w:t>of</w:t>
                  </w:r>
                  <w:r>
                    <w:t xml:space="preserve"> rare earth metals and their oxides </w:t>
                  </w:r>
                </w:p>
                <w:p>
                  <w:pPr>
                    <w:pStyle w:val="90"/>
                    <w:spacing w:before="0"/>
                    <w:ind w:left="980" w:hanging="560"/>
                  </w:pPr>
                  <w:r>
                    <w:rPr>
                      <w:rFonts w:hint="eastAsia"/>
                    </w:rPr>
                    <w:t>N</w:t>
                  </w:r>
                  <w:r>
                    <w:t>eodymium— Determination of lanthanum,</w:t>
                  </w:r>
                  <w:r>
                    <w:rPr>
                      <w:rFonts w:hint="eastAsia"/>
                    </w:rPr>
                    <w:t>c</w:t>
                  </w:r>
                  <w:r>
                    <w:t>erium</w:t>
                  </w:r>
                  <w:r>
                    <w:rPr>
                      <w:rFonts w:hint="eastAsia"/>
                    </w:rPr>
                    <w:t>,</w:t>
                  </w:r>
                  <w:r>
                    <w:t xml:space="preserve">praseodymium,samarium, europium, gadolinium, terbium,dysprosium, holmium, erbium, thulium, ytterbium,lutetium and yttrium contents             </w:t>
                  </w:r>
                </w:p>
                <w:p>
                  <w:pPr>
                    <w:pStyle w:val="88"/>
                    <w:ind w:left="980" w:hanging="560"/>
                  </w:pPr>
                  <w:r>
                    <w:rPr>
                      <w:rFonts w:hint="eastAsia"/>
                      <w:sz w:val="28"/>
                    </w:rPr>
                    <w:t>（预审稿）</w:t>
                  </w:r>
                </w:p>
              </w:txbxContent>
            </v:textbox>
            <w10:anchorlock/>
          </v:shape>
        </w:pict>
      </w:r>
      <w:r>
        <w:pict>
          <v:shape id="fmFrame3" o:spid="_x0000_s1039" o:spt="202" type="#_x0000_t202" style="position:absolute;left:0pt;margin-left:-18.75pt;margin-top:110.1pt;height:45.75pt;width:510.4pt;mso-position-horizontal-relative:margin;mso-position-vertical-relative:margin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67"/>
                    <w:ind w:left="900" w:right="560" w:hanging="4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GB/T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18115.4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—</w:t>
                  </w:r>
                  <w:r>
                    <w:rPr>
                      <w:rFonts w:hint="eastAsia" w:ascii="Times New Roman" w:eastAsia="华文中宋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华文中宋"/>
                      <w:b/>
                      <w:sz w:val="24"/>
                      <w:szCs w:val="24"/>
                    </w:rPr>
                    <w:t>X</w:t>
                  </w:r>
                </w:p>
                <w:p>
                  <w:pPr>
                    <w:pStyle w:val="167"/>
                    <w:spacing w:before="0"/>
                    <w:ind w:left="840" w:right="560" w:hanging="420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代替</w:t>
                  </w:r>
                  <w:r>
                    <w:rPr>
                      <w:rFonts w:hint="eastAsia" w:ascii="Times New Roman" w:eastAsia="宋体"/>
                      <w:bCs/>
                      <w:sz w:val="21"/>
                      <w:szCs w:val="21"/>
                    </w:rPr>
                    <w:t>G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 xml:space="preserve">B/T </w:t>
                  </w:r>
                  <w:r>
                    <w:rPr>
                      <w:rFonts w:hint="eastAsia" w:ascii="Times New Roman" w:eastAsia="宋体"/>
                      <w:bCs/>
                      <w:sz w:val="21"/>
                      <w:szCs w:val="21"/>
                    </w:rPr>
                    <w:t>1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>8115.</w:t>
                  </w:r>
                  <w:r>
                    <w:rPr>
                      <w:rFonts w:hint="eastAsia" w:ascii="Times New Roman" w:eastAsia="宋体"/>
                      <w:bCs/>
                      <w:sz w:val="21"/>
                      <w:szCs w:val="21"/>
                    </w:rPr>
                    <w:t>4-200</w:t>
                  </w:r>
                  <w:r>
                    <w:rPr>
                      <w:rFonts w:ascii="Times New Roman" w:eastAsia="宋体"/>
                      <w:bCs/>
                      <w:sz w:val="21"/>
                      <w:szCs w:val="21"/>
                    </w:rPr>
                    <w:t>6</w:t>
                  </w:r>
                </w:p>
              </w:txbxContent>
            </v:textbox>
            <w10:anchorlock/>
          </v:shape>
        </w:pict>
      </w:r>
      <w:r>
        <w:pict>
          <v:shape id="fmFrame2" o:spid="_x0000_s1040" o:spt="202" type="#_x0000_t202" style="position:absolute;left:0pt;margin-left:-0.1pt;margin-top:65.85pt;height:71.85pt;width:481.9pt;mso-position-horizontal-relative:margin;mso-position-vertical-relative:margin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15"/>
                    <w:spacing w:line="240" w:lineRule="auto"/>
                    <w:ind w:left="1774" w:hanging="1354"/>
                    <w:rPr>
                      <w:rFonts w:ascii="宋体" w:eastAsia="宋体" w:cs="宋体"/>
                      <w:b/>
                      <w:w w:val="130"/>
                      <w:sz w:val="52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/>
                      <w:spacing w:val="0"/>
                      <w:w w:val="130"/>
                      <w:sz w:val="52"/>
                    </w:rPr>
                    <w:t>中华人民共和国国家标准</w:t>
                  </w:r>
                </w:p>
              </w:txbxContent>
            </v:textbox>
            <w10:anchorlock/>
          </v:shape>
        </w:pict>
      </w:r>
      <w:r>
        <w:pict>
          <v:shape id="fmFrame1" o:spid="_x0000_s1041" o:spt="202" type="#_x0000_t202" style="position:absolute;left:0pt;margin-left:-0.1pt;margin-top:-2.1pt;height:39.95pt;width:200pt;mso-position-horizontal-relative:margin;mso-position-vertical-relative:margin;z-index:1024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49"/>
                    <w:ind w:left="399" w:leftChars="190" w:firstLine="0" w:firstLineChars="0"/>
                    <w:rPr>
                      <w:color w:val="FF0000"/>
                    </w:rPr>
                  </w:pPr>
                  <w:r>
                    <w:t>ICS 77.120.99</w:t>
                  </w:r>
                </w:p>
                <w:p>
                  <w:pPr>
                    <w:pStyle w:val="149"/>
                    <w:ind w:left="840" w:hanging="420"/>
                  </w:pPr>
                  <w:r>
                    <w:t>H 14</w:t>
                  </w:r>
                </w:p>
                <w:p>
                  <w:pPr>
                    <w:pStyle w:val="149"/>
                    <w:ind w:left="840" w:hanging="420"/>
                    <w:rPr>
                      <w:rFonts w:eastAsia="宋体"/>
                    </w:rPr>
                  </w:pPr>
                </w:p>
              </w:txbxContent>
            </v:textbox>
            <w10:anchorlock/>
          </v:shape>
        </w:pict>
      </w:r>
    </w:p>
    <w:p>
      <w:pPr>
        <w:pStyle w:val="95"/>
        <w:ind w:left="1060" w:hanging="640"/>
      </w:pPr>
      <w:r>
        <w:rPr>
          <w:rFonts w:hint="eastAsia"/>
        </w:rPr>
        <w:t>前  言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2"/>
        </w:rPr>
      </w:pPr>
      <w:r>
        <w:rPr>
          <w:rFonts w:hint="eastAsia"/>
          <w:szCs w:val="22"/>
        </w:rPr>
        <w:t>GB/T18115《稀土金属及其氧化物中稀土杂质化学分析方法》共分为15部分：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第1部分：镧中铈、镨、钕、钐、铕、钆、铽、镝、钬、铒、铥、镱、镥和钇量的测定；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第2部分：铈中镧、镨、钕、钐、铕、钆、铽、镝、钬、铒、铥、镱、镥和钇量的测定；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第3部分：镨中镧、铈、钕、钐、铕、钆、铽、镝、钬、铒、铥、镱、镥和钇量的测定；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第4部分：钕中镧、铈、镨、钐、铕、钆、铽、镝、钬、铒、铥、镱、镥和钇量的测定；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第5部分：钐中镧、铈、镨、钕、铕、钆、铽、镝、钬、铒、铥、镱、镥和钇量的测定；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第6部分：铕中镧、铈、镨、钕、钐、钆、铽、镝、钬、铒、铥、镱、镥和钇量的测定；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第7部分：钆中镧、铈、镨、钕、钐、铕、铽、镝、钬、铒、铥、镱、镥和钇量的测定；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第8部分：铽中镧、铈、镨、钕、钐、铕、钆、镝、钬、铒、铥、镱、镥和钇量的测定；</w:t>
      </w:r>
    </w:p>
    <w:p>
      <w:pPr>
        <w:pStyle w:val="123"/>
        <w:adjustRightInd w:val="0"/>
        <w:snapToGrid w:val="0"/>
        <w:spacing w:line="320" w:lineRule="exact"/>
        <w:ind w:left="420" w:firstLine="420" w:firstLineChars="20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第9部分：镝中镧、铈、镨、钕、钐、铕、钆、铽、钬、铒、铥、镱、镥和钇量的测定；</w:t>
      </w:r>
    </w:p>
    <w:p>
      <w:pPr>
        <w:pStyle w:val="123"/>
        <w:autoSpaceDE w:val="0"/>
        <w:autoSpaceDN w:val="0"/>
        <w:adjustRightInd w:val="0"/>
        <w:snapToGrid w:val="0"/>
        <w:spacing w:line="320" w:lineRule="exact"/>
        <w:ind w:left="1260" w:leftChars="400" w:hanging="420"/>
        <w:jc w:val="both"/>
        <w:rPr>
          <w:szCs w:val="21"/>
        </w:rPr>
      </w:pPr>
      <w:r>
        <w:t>——</w:t>
      </w:r>
      <w:r>
        <w:rPr>
          <w:rFonts w:hint="eastAsia"/>
          <w:szCs w:val="21"/>
        </w:rPr>
        <w:t>第10部分：钬中镧、铈、镨、钕、钐、铕、钆、铽、镝、铒、铥、镱、镥和钇量的测定；</w:t>
      </w:r>
    </w:p>
    <w:p>
      <w:pPr>
        <w:pStyle w:val="123"/>
        <w:autoSpaceDE w:val="0"/>
        <w:autoSpaceDN w:val="0"/>
        <w:adjustRightInd w:val="0"/>
        <w:snapToGrid w:val="0"/>
        <w:spacing w:line="320" w:lineRule="exact"/>
        <w:ind w:left="1260" w:leftChars="400" w:hanging="420"/>
        <w:jc w:val="both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第11部分：铒中镧、铈、镨、钕、钐、铕、钆、铽、镝、钬、铥、镱、镥和钇量的测定；</w:t>
      </w:r>
    </w:p>
    <w:p>
      <w:pPr>
        <w:pStyle w:val="123"/>
        <w:autoSpaceDE w:val="0"/>
        <w:autoSpaceDN w:val="0"/>
        <w:adjustRightInd w:val="0"/>
        <w:snapToGrid w:val="0"/>
        <w:spacing w:line="320" w:lineRule="exact"/>
        <w:ind w:left="1260" w:leftChars="400" w:hanging="420"/>
        <w:jc w:val="both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第12部分：钇中镧、铈、镨、钕、钐、铕、钆、铽、镝、钬、铒、铥、镱和镥量的测定；</w:t>
      </w:r>
    </w:p>
    <w:p>
      <w:pPr>
        <w:pStyle w:val="123"/>
        <w:autoSpaceDE w:val="0"/>
        <w:autoSpaceDN w:val="0"/>
        <w:adjustRightInd w:val="0"/>
        <w:snapToGrid w:val="0"/>
        <w:spacing w:line="320" w:lineRule="exact"/>
        <w:ind w:left="1260" w:leftChars="400" w:hanging="420"/>
        <w:jc w:val="both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第13部分：铥中镧、铈、镨、钕、钐、铕、钆、铽、镝、钬、铒、镱、镥和钇量的测定；</w:t>
      </w:r>
    </w:p>
    <w:p>
      <w:pPr>
        <w:pStyle w:val="123"/>
        <w:autoSpaceDE w:val="0"/>
        <w:autoSpaceDN w:val="0"/>
        <w:adjustRightInd w:val="0"/>
        <w:snapToGrid w:val="0"/>
        <w:spacing w:line="320" w:lineRule="exact"/>
        <w:ind w:left="1260" w:leftChars="400" w:hanging="420"/>
        <w:jc w:val="both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第14部分：镱中镧、铈、镨、钕、钐、铕、钆、铽、镝、钬、铒、铥、镥和钇量的测定；</w:t>
      </w:r>
    </w:p>
    <w:p>
      <w:pPr>
        <w:pStyle w:val="123"/>
        <w:autoSpaceDE w:val="0"/>
        <w:autoSpaceDN w:val="0"/>
        <w:adjustRightInd w:val="0"/>
        <w:snapToGrid w:val="0"/>
        <w:spacing w:line="320" w:lineRule="exact"/>
        <w:ind w:left="1260" w:leftChars="400" w:hanging="420"/>
        <w:jc w:val="both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第15部分：镥中镧、铈、镨、钕、钐、铕、钆、铽、镝、钬、铥、铒、镱和钇量的测定；</w:t>
      </w:r>
    </w:p>
    <w:p>
      <w:pPr>
        <w:pStyle w:val="38"/>
        <w:adjustRightInd w:val="0"/>
        <w:snapToGrid w:val="0"/>
        <w:spacing w:line="320" w:lineRule="exact"/>
        <w:ind w:left="0" w:leftChars="0" w:firstLine="840" w:firstLineChars="4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本部分为GB/T18115的第4部分。</w:t>
      </w:r>
    </w:p>
    <w:p>
      <w:pPr>
        <w:pStyle w:val="38"/>
        <w:adjustRightInd w:val="0"/>
        <w:snapToGrid w:val="0"/>
        <w:spacing w:line="320" w:lineRule="exact"/>
        <w:ind w:left="0" w:leftChars="0" w:firstLine="840" w:firstLineChars="4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本部分按照GB/T 1.1-2009规则起草。</w:t>
      </w:r>
    </w:p>
    <w:p>
      <w:pPr>
        <w:pStyle w:val="38"/>
        <w:adjustRightInd w:val="0"/>
        <w:snapToGrid w:val="0"/>
        <w:spacing w:line="320" w:lineRule="exact"/>
        <w:ind w:left="42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本部分代替GB/T18115.4-2006《稀土金属及其氧化物中稀土杂质化学分析方法   钕中镧、铈、镨、钐、铕、钆、铽、镝、钬、铒、铥、镱、镥和钇量的测定》。</w:t>
      </w:r>
    </w:p>
    <w:p>
      <w:pPr>
        <w:pStyle w:val="38"/>
        <w:adjustRightInd w:val="0"/>
        <w:snapToGrid w:val="0"/>
        <w:spacing w:line="320" w:lineRule="exact"/>
        <w:ind w:left="399" w:leftChars="190" w:firstLineChars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本部包含2个方法：方法1电感耦合等离子体发射光谱法，方法2电感耦合等离子体质谱法。当2个方法的分析范围出现重叠时，以方法2作为仲裁方法。</w:t>
      </w:r>
    </w:p>
    <w:p>
      <w:pPr>
        <w:pStyle w:val="38"/>
        <w:adjustRightInd w:val="0"/>
        <w:snapToGrid w:val="0"/>
        <w:spacing w:line="320" w:lineRule="exact"/>
        <w:ind w:left="399" w:leftChars="190" w:firstLineChars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本部分与GB/T 18115.4-2006方法2 相比，除编辑性修改外主要技术变化如下：</w:t>
      </w:r>
    </w:p>
    <w:p>
      <w:pPr>
        <w:pStyle w:val="38"/>
        <w:adjustRightInd w:val="0"/>
        <w:snapToGrid w:val="0"/>
        <w:spacing w:line="320" w:lineRule="exact"/>
        <w:ind w:left="1239" w:leftChars="39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szCs w:val="21"/>
        </w:rPr>
        <w:t>修改了测量范围（原方法测定范围0.0001%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Times New Roman" w:hAnsi="Times New Roman" w:cs="Times New Roman"/>
          <w:szCs w:val="21"/>
        </w:rPr>
        <w:t>0.050%），将氧化镧、氧化铈、氧化钆测定范围调整为0.00002%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Times New Roman" w:hAnsi="Times New Roman" w:cs="Times New Roman"/>
          <w:szCs w:val="21"/>
        </w:rPr>
        <w:t>0.020%；将氧化镨、氧化钐、氧化铕、氧化铒、氧化铥、氧化镱、氧化镥、氧化钇测定范围调整为0.00001%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Times New Roman" w:hAnsi="Times New Roman" w:cs="Times New Roman"/>
          <w:szCs w:val="21"/>
        </w:rPr>
        <w:t>0.020%；将氧化铽、氧化镝、氧化钬测定范围调整为0.00005%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Times New Roman" w:hAnsi="Times New Roman" w:cs="Times New Roman"/>
          <w:szCs w:val="21"/>
        </w:rPr>
        <w:t>0.010%；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hint="eastAsia"/>
          <w:color w:val="000000"/>
          <w:szCs w:val="21"/>
        </w:rPr>
        <w:t>修改了采用C272微型分离柱分离钕基体后，</w:t>
      </w:r>
      <w:r>
        <w:rPr>
          <w:rFonts w:hint="eastAsia" w:hAnsi="宋体" w:cs="宋体"/>
          <w:kern w:val="0"/>
          <w:szCs w:val="21"/>
        </w:rPr>
        <w:t>进行质谱测定时</w:t>
      </w:r>
      <w:r>
        <w:rPr>
          <w:rFonts w:hint="eastAsia"/>
          <w:color w:val="000000"/>
          <w:szCs w:val="21"/>
        </w:rPr>
        <w:t>选用铊为内标元素。</w:t>
      </w:r>
      <w:r>
        <w:rPr>
          <w:rFonts w:hint="eastAsia"/>
        </w:rPr>
        <w:t>；</w:t>
      </w:r>
    </w:p>
    <w:p>
      <w:pPr>
        <w:pStyle w:val="38"/>
        <w:adjustRightInd w:val="0"/>
        <w:snapToGrid w:val="0"/>
        <w:spacing w:line="320" w:lineRule="exact"/>
        <w:ind w:left="420"/>
        <w:rPr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hint="eastAsia"/>
          <w:szCs w:val="21"/>
        </w:rPr>
        <w:t>修改了盐酸淋洗液浓度（</w:t>
      </w:r>
      <w:r>
        <w:rPr>
          <w:rFonts w:ascii="Times New Roman" w:hAnsi="宋体" w:cs="Times New Roman"/>
          <w:szCs w:val="24"/>
        </w:rPr>
        <w:t>0.0</w:t>
      </w:r>
      <w:r>
        <w:rPr>
          <w:rFonts w:hint="eastAsia" w:ascii="Times New Roman" w:hAnsi="宋体" w:cs="Times New Roman"/>
          <w:szCs w:val="24"/>
        </w:rPr>
        <w:t>20</w:t>
      </w:r>
      <w:r>
        <w:rPr>
          <w:rFonts w:ascii="Times New Roman" w:hAnsi="宋体" w:cs="Times New Roman"/>
          <w:szCs w:val="24"/>
        </w:rPr>
        <w:t>mol/L</w:t>
      </w:r>
      <w:r>
        <w:rPr>
          <w:rFonts w:hint="eastAsia"/>
          <w:szCs w:val="21"/>
        </w:rPr>
        <w:t>）为盐酸淋洗液（</w:t>
      </w:r>
      <w:r>
        <w:rPr>
          <w:rFonts w:ascii="Times New Roman" w:hAnsi="宋体" w:cs="Times New Roman"/>
          <w:szCs w:val="24"/>
        </w:rPr>
        <w:t>0.00</w:t>
      </w:r>
      <w:r>
        <w:rPr>
          <w:rFonts w:hint="eastAsia" w:ascii="Times New Roman" w:hAnsi="宋体" w:cs="Times New Roman"/>
          <w:szCs w:val="24"/>
        </w:rPr>
        <w:t>50</w:t>
      </w:r>
      <w:r>
        <w:rPr>
          <w:rFonts w:ascii="Times New Roman" w:hAnsi="宋体" w:cs="Times New Roman"/>
          <w:szCs w:val="24"/>
        </w:rPr>
        <w:t>mol/L</w:t>
      </w:r>
      <w:r>
        <w:rPr>
          <w:rFonts w:hint="eastAsia"/>
          <w:szCs w:val="21"/>
        </w:rPr>
        <w:t>）；</w:t>
      </w:r>
    </w:p>
    <w:p>
      <w:pPr>
        <w:pStyle w:val="38"/>
        <w:adjustRightInd w:val="0"/>
        <w:snapToGrid w:val="0"/>
        <w:spacing w:line="320" w:lineRule="exact"/>
        <w:ind w:left="1260" w:leftChars="40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  <w:szCs w:val="21"/>
        </w:rPr>
        <w:t>修改了试料</w:t>
      </w:r>
      <w:r>
        <w:rPr>
          <w:rFonts w:hint="eastAsia" w:ascii="Times New Roman" w:hAnsi="Times New Roman" w:cs="Times New Roman"/>
          <w:szCs w:val="21"/>
        </w:rPr>
        <w:t>中试样量</w:t>
      </w:r>
      <w:r>
        <w:rPr>
          <w:rFonts w:ascii="Times New Roman" w:hAnsi="Times New Roman" w:cs="Times New Roman"/>
          <w:szCs w:val="21"/>
        </w:rPr>
        <w:t>：“稀土杂质（质量分数）</w:t>
      </w:r>
      <w:r>
        <w:rPr>
          <w:rFonts w:ascii="Times New Roman" w:hAnsi="Times New Roman" w:cs="Times New Roman"/>
          <w:szCs w:val="24"/>
        </w:rPr>
        <w:t>0.0001%~0.0050%</w:t>
      </w:r>
      <w:r>
        <w:rPr>
          <w:rFonts w:ascii="Times New Roman" w:hAnsi="Times New Roman" w:cs="Times New Roman"/>
          <w:szCs w:val="21"/>
        </w:rPr>
        <w:t>,试样量0.25g”修改为“</w:t>
      </w:r>
      <w:r>
        <w:rPr>
          <w:rFonts w:ascii="Times New Roman" w:hAnsi="Times New Roman" w:cs="Times New Roman"/>
        </w:rPr>
        <w:t>稀土杂质（质量分数）</w:t>
      </w:r>
      <w:r>
        <w:rPr>
          <w:rFonts w:ascii="Times New Roman" w:hAnsi="Times New Roman" w:cs="Times New Roman"/>
          <w:szCs w:val="21"/>
        </w:rPr>
        <w:t>0.00001%~0.010%,试样量0.25g”，“稀土杂质（质量分数）&gt;</w:t>
      </w:r>
      <w:r>
        <w:rPr>
          <w:rFonts w:ascii="Times New Roman" w:hAnsi="Times New Roman" w:cs="Times New Roman"/>
          <w:szCs w:val="24"/>
        </w:rPr>
        <w:t>0.0050%~0.05</w:t>
      </w:r>
      <w:r>
        <w:rPr>
          <w:rFonts w:hint="eastAsia"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%，</w:t>
      </w:r>
      <w:r>
        <w:rPr>
          <w:rFonts w:ascii="Times New Roman" w:hAnsi="Times New Roman" w:cs="Times New Roman"/>
          <w:szCs w:val="21"/>
        </w:rPr>
        <w:t>试样量0.1g”修改为“</w:t>
      </w:r>
      <w:r>
        <w:rPr>
          <w:rFonts w:ascii="Times New Roman" w:hAnsi="Times New Roman" w:cs="Times New Roman"/>
        </w:rPr>
        <w:t>稀土杂质（质量分数）&gt;</w:t>
      </w:r>
      <w:r>
        <w:rPr>
          <w:rFonts w:ascii="Times New Roman" w:hAnsi="Times New Roman" w:cs="Times New Roman"/>
          <w:szCs w:val="21"/>
        </w:rPr>
        <w:t>0.010%~0.020%,试样量0.1g”；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  <w:color w:val="000000"/>
          <w:szCs w:val="21"/>
        </w:rPr>
        <w:t>修改了洗脱液管路流速</w:t>
      </w:r>
      <w:r>
        <w:rPr>
          <w:rFonts w:hint="eastAsia" w:ascii="Times New Roman" w:hAnsi="Times New Roman" w:cs="Times New Roman"/>
          <w:color w:val="000000"/>
          <w:szCs w:val="21"/>
        </w:rPr>
        <w:t>：将</w:t>
      </w:r>
      <w:r>
        <w:rPr>
          <w:rFonts w:ascii="Times New Roman" w:hAnsi="Times New Roman" w:cs="Times New Roman"/>
          <w:color w:val="000000"/>
          <w:szCs w:val="21"/>
        </w:rPr>
        <w:t>洗脱液管路流速1.5±0.1</w:t>
      </w:r>
      <w:r>
        <w:rPr>
          <w:rFonts w:hint="eastAsia" w:ascii="Times New Roman" w:hAnsi="Times New Roman" w:cs="Times New Roman"/>
          <w:color w:val="000000"/>
          <w:szCs w:val="21"/>
        </w:rPr>
        <w:t>mL/min改为</w:t>
      </w:r>
      <w:r>
        <w:rPr>
          <w:rFonts w:ascii="Times New Roman" w:hAnsi="Times New Roman" w:cs="Times New Roman"/>
          <w:color w:val="000000"/>
          <w:szCs w:val="21"/>
        </w:rPr>
        <w:t>（1.</w:t>
      </w:r>
      <w:r>
        <w:rPr>
          <w:rFonts w:hint="eastAsia" w:ascii="Times New Roman" w:hAnsi="Times New Roman" w:cs="Times New Roman"/>
          <w:color w:val="000000"/>
          <w:szCs w:val="21"/>
        </w:rPr>
        <w:t>0</w:t>
      </w:r>
      <w:r>
        <w:rPr>
          <w:rFonts w:ascii="Times New Roman" w:hAnsi="Times New Roman" w:cs="Times New Roman"/>
          <w:color w:val="000000"/>
          <w:szCs w:val="21"/>
        </w:rPr>
        <w:t>±0.1</w:t>
      </w:r>
      <w:r>
        <w:rPr>
          <w:rFonts w:hint="eastAsia" w:ascii="Times New Roman" w:hAnsi="Times New Roman" w:cs="Times New Roman"/>
          <w:color w:val="000000"/>
          <w:szCs w:val="21"/>
        </w:rPr>
        <w:t>mL/min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szCs w:val="21"/>
        </w:rPr>
        <w:t>；</w:t>
      </w:r>
    </w:p>
    <w:p>
      <w:pPr>
        <w:pStyle w:val="38"/>
        <w:adjustRightInd w:val="0"/>
        <w:snapToGrid w:val="0"/>
        <w:spacing w:line="320" w:lineRule="exact"/>
        <w:ind w:left="420"/>
        <w:rPr>
          <w:color w:val="000000"/>
          <w:szCs w:val="21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  <w:color w:val="000000"/>
          <w:szCs w:val="21"/>
        </w:rPr>
        <w:t>修改了</w:t>
      </w:r>
      <w:r>
        <w:rPr>
          <w:rFonts w:hint="eastAsia"/>
          <w:color w:val="000000"/>
          <w:szCs w:val="21"/>
        </w:rPr>
        <w:t>淋洗液（</w:t>
      </w:r>
      <w:r>
        <w:rPr>
          <w:rFonts w:ascii="Times New Roman" w:hAnsi="宋体" w:cs="Times New Roman"/>
          <w:szCs w:val="24"/>
        </w:rPr>
        <w:t>0.00</w:t>
      </w:r>
      <w:r>
        <w:rPr>
          <w:rFonts w:hint="eastAsia" w:ascii="Times New Roman" w:hAnsi="宋体" w:cs="Times New Roman"/>
          <w:szCs w:val="24"/>
        </w:rPr>
        <w:t>50</w:t>
      </w:r>
      <w:r>
        <w:rPr>
          <w:rFonts w:ascii="Times New Roman" w:hAnsi="宋体" w:cs="Times New Roman"/>
          <w:szCs w:val="24"/>
        </w:rPr>
        <w:t>mol/L</w:t>
      </w:r>
      <w:r>
        <w:rPr>
          <w:rFonts w:hint="eastAsia"/>
          <w:color w:val="000000"/>
          <w:szCs w:val="21"/>
        </w:rPr>
        <w:t>）淋洗时间：将淋洗时间由</w:t>
      </w:r>
      <w:r>
        <w:rPr>
          <w:rFonts w:ascii="Times New Roman" w:hAnsi="Times New Roman" w:cs="Times New Roman"/>
          <w:color w:val="000000"/>
          <w:szCs w:val="21"/>
        </w:rPr>
        <w:t>20min改为30min；</w:t>
      </w:r>
    </w:p>
    <w:p>
      <w:pPr>
        <w:pStyle w:val="38"/>
        <w:adjustRightInd w:val="0"/>
        <w:snapToGrid w:val="0"/>
        <w:spacing w:line="320" w:lineRule="exact"/>
        <w:ind w:left="420"/>
      </w:pPr>
      <w:r>
        <w:rPr>
          <w:rFonts w:ascii="Times New Roman" w:hAnsi="Times New Roman" w:cs="Times New Roman"/>
        </w:rPr>
        <w:t>——</w:t>
      </w:r>
      <w:r>
        <w:rPr>
          <w:rFonts w:hint="eastAsia"/>
          <w:color w:val="000000"/>
          <w:szCs w:val="21"/>
        </w:rPr>
        <w:t>修改了</w:t>
      </w:r>
      <w:r>
        <w:rPr>
          <w:rFonts w:hint="eastAsia"/>
        </w:rPr>
        <w:t>收集分离液的10mL比色管改为10mL或50mL比色管；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hint="eastAsia"/>
          <w:color w:val="000000"/>
          <w:szCs w:val="21"/>
        </w:rPr>
        <w:t>增加方法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hint="eastAsia"/>
          <w:color w:val="000000"/>
          <w:szCs w:val="21"/>
        </w:rPr>
        <w:t>中TODGA负载基体分离后（</w:t>
      </w:r>
      <w:r>
        <w:rPr>
          <w:rFonts w:hint="eastAsia"/>
          <w:szCs w:val="21"/>
        </w:rPr>
        <w:t>铽、镝和钬）测定用分析试液的制备。（见</w:t>
      </w:r>
      <w:r>
        <w:rPr>
          <w:rFonts w:hint="eastAsia" w:ascii="Times New Roman" w:hAnsi="Times New Roman" w:cs="Times New Roman"/>
          <w:szCs w:val="21"/>
        </w:rPr>
        <w:t>2.5.5.4</w:t>
      </w:r>
      <w:r>
        <w:rPr>
          <w:rFonts w:hint="eastAsia"/>
          <w:szCs w:val="21"/>
        </w:rPr>
        <w:t>）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本部分由全国稀土标准化技术委员会（SAC/TC 229）提出并归口。</w:t>
      </w:r>
    </w:p>
    <w:p>
      <w:pPr>
        <w:pStyle w:val="38"/>
        <w:spacing w:line="320" w:lineRule="exact"/>
        <w:ind w:left="420"/>
        <w:rPr>
          <w:rFonts w:ascii="Times New Roman"/>
          <w:szCs w:val="21"/>
        </w:rPr>
      </w:pPr>
      <w:r>
        <w:rPr>
          <w:rFonts w:ascii="Times New Roman" w:hAnsi="Times New Roman" w:cs="Times New Roman"/>
          <w:color w:val="000000"/>
        </w:rPr>
        <w:t>本部分起草单位</w:t>
      </w:r>
      <w:r>
        <w:rPr>
          <w:rFonts w:ascii="Times New Roman" w:hAnsi="Times New Roman" w:cs="Times New Roman"/>
        </w:rPr>
        <w:t>：</w:t>
      </w:r>
      <w:r>
        <w:rPr>
          <w:rFonts w:hint="eastAsia"/>
        </w:rPr>
        <w:t>包头稀土研究院、</w:t>
      </w:r>
      <w:r>
        <w:rPr>
          <w:rFonts w:hint="eastAsia" w:hAnsi="宋体" w:cs="宋体"/>
          <w:szCs w:val="21"/>
        </w:rPr>
        <w:t>包头华美稀土高科有限公司</w:t>
      </w:r>
      <w:r>
        <w:rPr>
          <w:rFonts w:ascii="Times New Roman" w:hAnsi="宋体"/>
        </w:rPr>
        <w:t>、国</w:t>
      </w:r>
      <w:r>
        <w:rPr>
          <w:rFonts w:hint="eastAsia" w:ascii="Times New Roman" w:hAnsi="宋体"/>
        </w:rPr>
        <w:t>合通用测试评价认证股份</w:t>
      </w:r>
      <w:r>
        <w:rPr>
          <w:rFonts w:ascii="Times New Roman" w:hAnsi="宋体"/>
        </w:rPr>
        <w:t>公司、</w:t>
      </w:r>
      <w:r>
        <w:rPr>
          <w:rFonts w:hint="eastAsia" w:ascii="Times New Roman" w:hAnsi="宋体"/>
        </w:rPr>
        <w:t>福建省长汀金龙稀土有限公司、</w:t>
      </w:r>
      <w:r>
        <w:rPr>
          <w:rFonts w:ascii="Times New Roman" w:hAnsi="宋体"/>
        </w:rPr>
        <w:t>中国有色桂林矿产地质研究院有限公司</w:t>
      </w:r>
      <w:r>
        <w:rPr>
          <w:rFonts w:hint="eastAsia" w:hAnsi="Courier New"/>
          <w:kern w:val="0"/>
          <w:szCs w:val="21"/>
        </w:rPr>
        <w:t>、湖南稀土金属材料研究院</w:t>
      </w:r>
      <w:r>
        <w:rPr>
          <w:rFonts w:ascii="Times New Roman" w:hAnsi="宋体"/>
          <w:szCs w:val="21"/>
        </w:rPr>
        <w:t>。</w:t>
      </w:r>
    </w:p>
    <w:p>
      <w:pPr>
        <w:pStyle w:val="38"/>
        <w:spacing w:line="320" w:lineRule="exact"/>
        <w:ind w:left="420"/>
        <w:rPr>
          <w:rFonts w:ascii="Times New Roman" w:hAnsi="宋体"/>
          <w:color w:val="0000CC"/>
        </w:rPr>
      </w:pPr>
      <w:r>
        <w:rPr>
          <w:rFonts w:ascii="Times New Roman" w:hAnsi="宋体"/>
        </w:rPr>
        <w:t>本部分主要起草人：</w:t>
      </w:r>
      <w:r>
        <w:rPr>
          <w:rFonts w:hint="eastAsia" w:ascii="Times New Roman" w:hAnsi="宋体"/>
          <w:szCs w:val="21"/>
        </w:rPr>
        <w:t>高励珍</w:t>
      </w:r>
      <w:r>
        <w:rPr>
          <w:rFonts w:hint="eastAsia" w:ascii="Times New Roman" w:hAnsi="宋体"/>
        </w:rPr>
        <w:t>、张秀艳</w:t>
      </w:r>
      <w:r>
        <w:rPr>
          <w:rFonts w:ascii="Times New Roman" w:hAnsi="宋体"/>
          <w:szCs w:val="21"/>
        </w:rPr>
        <w:t>、</w:t>
      </w:r>
      <w:r>
        <w:rPr>
          <w:rFonts w:hint="eastAsia" w:ascii="Times New Roman" w:hAnsi="宋体"/>
        </w:rPr>
        <w:t>于亚辉</w:t>
      </w:r>
      <w:r>
        <w:rPr>
          <w:rFonts w:ascii="Times New Roman" w:hAnsi="宋体"/>
        </w:rPr>
        <w:t>、</w:t>
      </w:r>
      <w:r>
        <w:rPr>
          <w:rFonts w:hint="eastAsia" w:ascii="Times New Roman" w:hAnsi="宋体"/>
        </w:rPr>
        <w:t>李建亭、赵静</w:t>
      </w:r>
      <w:r>
        <w:rPr>
          <w:rFonts w:ascii="Times New Roman" w:hAnsi="宋体"/>
        </w:rPr>
        <w:t>、</w:t>
      </w:r>
      <w:r>
        <w:rPr>
          <w:rFonts w:hint="eastAsia" w:ascii="Times New Roman" w:hAnsi="宋体"/>
        </w:rPr>
        <w:t>王振江、曹俊杰、李淑萍、张玉龙、王宝华、王金凤、张征莲、刘荣丽、王贵超</w:t>
      </w:r>
      <w:r>
        <w:rPr>
          <w:rFonts w:ascii="Times New Roman" w:hAnsi="宋体"/>
          <w:color w:val="0000CC"/>
        </w:rPr>
        <w:t>。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本标准所代替标准的历次版本发布情况为：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  <w:bCs/>
        </w:rPr>
        <w:t>GB/T 18115.</w:t>
      </w:r>
      <w:r>
        <w:rPr>
          <w:rFonts w:hint="eastAsia"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-2006</w:t>
      </w:r>
      <w:r>
        <w:rPr>
          <w:rFonts w:ascii="Times New Roman" w:hAnsi="Times New Roman" w:cs="Times New Roman"/>
        </w:rPr>
        <w:t>。</w:t>
      </w: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</w:pPr>
    </w:p>
    <w:p>
      <w:pPr>
        <w:pStyle w:val="38"/>
        <w:adjustRightInd w:val="0"/>
        <w:snapToGrid w:val="0"/>
        <w:spacing w:line="320" w:lineRule="exact"/>
        <w:ind w:left="420"/>
        <w:rPr>
          <w:rFonts w:ascii="Times New Roman" w:hAnsi="Times New Roman" w:cs="Times New Roman"/>
        </w:rPr>
        <w:sectPr>
          <w:headerReference r:id="rId9" w:type="default"/>
          <w:footerReference r:id="rId10" w:type="default"/>
          <w:footerReference r:id="rId11" w:type="even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ind w:left="1060" w:hanging="64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稀土金属及其氧化物中稀土杂质化学分析方法</w:t>
      </w:r>
    </w:p>
    <w:p>
      <w:pPr>
        <w:pStyle w:val="19"/>
        <w:spacing w:after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第4部分：钕中镧、铈、镨、钐、铕、钆、铽、镝、钬、铒、铥、镱、镥和钇量的测定</w:t>
      </w:r>
    </w:p>
    <w:p>
      <w:pPr>
        <w:adjustRightInd w:val="0"/>
        <w:snapToGrid w:val="0"/>
        <w:spacing w:beforeLines="100" w:afterLines="100"/>
        <w:ind w:left="0" w:leftChars="0"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1</w:t>
      </w:r>
      <w:bookmarkStart w:id="0" w:name="_Ref496623692"/>
      <w:r>
        <w:rPr>
          <w:rFonts w:hint="eastAsia" w:ascii="黑体" w:hAnsi="黑体" w:eastAsia="黑体"/>
        </w:rPr>
        <w:t>范围</w:t>
      </w:r>
    </w:p>
    <w:p>
      <w:pPr>
        <w:ind w:left="0" w:leftChars="0" w:firstLine="420" w:firstLineChars="200"/>
      </w:pPr>
      <w:r>
        <w:rPr>
          <w:rFonts w:hint="eastAsia"/>
        </w:rPr>
        <w:t>本部分规定了氧化钕中氧化镧、氧化铈、氧化镨、氧化钐、氧化铕、氧化钆、氧化铽、氧化镝、氧化钬、氧化铒、氧化铥、氧化镱、氧化镥和氧化钇含量的测定方法。</w:t>
      </w:r>
    </w:p>
    <w:p>
      <w:pPr>
        <w:ind w:left="0" w:leftChars="0" w:firstLine="420" w:firstLineChars="200"/>
      </w:pPr>
      <w:r>
        <w:rPr>
          <w:rFonts w:hint="eastAsia"/>
        </w:rPr>
        <w:t>本部分适用于氧化钕中氧化镧、氧化铈、氧化镨、氧化钐、氧化铕、氧化钆、氧化铽、氧化镝、氧化钬、氧化铒、氧化铥、氧化镱、氧化镥和氧化钇含量的测定。</w:t>
      </w:r>
    </w:p>
    <w:p>
      <w:pPr>
        <w:ind w:left="0" w:leftChars="0" w:firstLine="420" w:firstLineChars="200"/>
      </w:pPr>
      <w:r>
        <w:rPr>
          <w:rFonts w:hint="eastAsia"/>
        </w:rPr>
        <w:t>本部分</w:t>
      </w:r>
      <w:r>
        <w:t>也适用于金属</w:t>
      </w:r>
      <w:r>
        <w:rPr>
          <w:rFonts w:hint="eastAsia"/>
        </w:rPr>
        <w:t>钕</w:t>
      </w:r>
      <w:r>
        <w:t>中镧、铈</w:t>
      </w:r>
      <w:r>
        <w:rPr>
          <w:rFonts w:hint="eastAsia"/>
        </w:rPr>
        <w:t>、镨、钐、铕、钆、铽、镝、钬、铒、铥、镱、镥和钇含量的测定。</w:t>
      </w:r>
    </w:p>
    <w:p>
      <w:pPr>
        <w:ind w:left="0" w:leftChars="0" w:firstLine="420" w:firstLineChars="200"/>
      </w:pPr>
      <w:r>
        <w:rPr>
          <w:rFonts w:hint="eastAsia"/>
        </w:rPr>
        <w:t>本部分共包含两个方法：方法1电感耦合等离子体发射光谱法，方法2电感耦合等离子体质谱法。方法2测定范围见表1。当两个方法的分析范围出现重叠时，以方法2作为仲裁方法。</w:t>
      </w:r>
    </w:p>
    <w:p>
      <w:pPr>
        <w:ind w:left="0" w:leftChars="0" w:firstLine="420" w:firstLineChars="200"/>
        <w:jc w:val="center"/>
        <w:rPr>
          <w:rFonts w:ascii="黑体" w:hAnsi="黑体" w:eastAsia="黑体"/>
          <w:szCs w:val="22"/>
        </w:rPr>
      </w:pPr>
      <w:r>
        <w:rPr>
          <w:rFonts w:ascii="黑体" w:hAnsi="黑体" w:eastAsia="黑体"/>
          <w:szCs w:val="22"/>
        </w:rPr>
        <w:t>表</w:t>
      </w:r>
      <w:r>
        <w:rPr>
          <w:rFonts w:ascii="黑体" w:hAnsi="黑体" w:eastAsia="黑体"/>
          <w:szCs w:val="22"/>
        </w:rPr>
        <w:fldChar w:fldCharType="begin"/>
      </w:r>
      <w:r>
        <w:rPr>
          <w:rFonts w:ascii="黑体" w:hAnsi="黑体" w:eastAsia="黑体"/>
          <w:szCs w:val="22"/>
        </w:rPr>
        <w:instrText xml:space="preserve">SEQ 表 \* ARABIC</w:instrText>
      </w:r>
      <w:r>
        <w:rPr>
          <w:rFonts w:ascii="黑体" w:hAnsi="黑体" w:eastAsia="黑体"/>
          <w:szCs w:val="22"/>
        </w:rPr>
        <w:fldChar w:fldCharType="separate"/>
      </w:r>
      <w:r>
        <w:rPr>
          <w:rFonts w:ascii="黑体" w:hAnsi="黑体" w:eastAsia="黑体"/>
          <w:szCs w:val="22"/>
        </w:rPr>
        <w:t>1</w:t>
      </w:r>
      <w:r>
        <w:rPr>
          <w:rFonts w:ascii="黑体" w:hAnsi="黑体" w:eastAsia="黑体"/>
          <w:szCs w:val="22"/>
        </w:rPr>
        <w:fldChar w:fldCharType="end"/>
      </w:r>
      <w:bookmarkEnd w:id="0"/>
      <w:r>
        <w:rPr>
          <w:rFonts w:ascii="黑体" w:hAnsi="黑体" w:eastAsia="黑体"/>
          <w:szCs w:val="22"/>
        </w:rPr>
        <w:t xml:space="preserve">  </w:t>
      </w:r>
      <w:r>
        <w:rPr>
          <w:rFonts w:hint="eastAsia" w:ascii="黑体" w:hAnsi="黑体" w:eastAsia="黑体"/>
          <w:szCs w:val="22"/>
        </w:rPr>
        <w:t>方法2测量</w:t>
      </w:r>
      <w:r>
        <w:rPr>
          <w:rFonts w:ascii="黑体" w:hAnsi="黑体" w:eastAsia="黑体"/>
          <w:szCs w:val="22"/>
        </w:rPr>
        <w:t>范围</w:t>
      </w:r>
    </w:p>
    <w:tbl>
      <w:tblPr>
        <w:tblStyle w:val="5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</w:trPr>
        <w:tc>
          <w:tcPr>
            <w:tcW w:w="4621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氧化物</w:t>
            </w:r>
          </w:p>
        </w:tc>
        <w:tc>
          <w:tcPr>
            <w:tcW w:w="4621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质量分数/%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氧化镧、氧化铈、氧化钆</w:t>
            </w:r>
          </w:p>
        </w:tc>
        <w:tc>
          <w:tcPr>
            <w:tcW w:w="4621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0.00002</w:t>
            </w:r>
            <w:r>
              <w:rPr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kern w:val="0"/>
                <w:sz w:val="18"/>
                <w:szCs w:val="18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氧化镨、氧化钐、氧化铕、氧化铒</w:t>
            </w:r>
          </w:p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氧化铥、氧化镱、氧化镥、氧化钇</w:t>
            </w:r>
          </w:p>
        </w:tc>
        <w:tc>
          <w:tcPr>
            <w:tcW w:w="4621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0.00001</w:t>
            </w:r>
            <w:r>
              <w:rPr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kern w:val="0"/>
                <w:sz w:val="18"/>
                <w:szCs w:val="18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tcBorders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氧化铽、氧化镝、氧化钬</w:t>
            </w:r>
          </w:p>
        </w:tc>
        <w:tc>
          <w:tcPr>
            <w:tcW w:w="4621" w:type="dxa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780" w:hanging="36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0.00005~0.010</w:t>
            </w:r>
          </w:p>
        </w:tc>
      </w:tr>
    </w:tbl>
    <w:p>
      <w:pPr>
        <w:adjustRightInd w:val="0"/>
        <w:snapToGrid w:val="0"/>
        <w:spacing w:beforeLines="100" w:afterLines="100"/>
        <w:ind w:left="0" w:leftChars="0" w:firstLine="0" w:firstLineChars="0"/>
        <w:rPr>
          <w:rFonts w:ascii="黑体" w:hAnsi="黑体" w:eastAsia="黑体"/>
        </w:rPr>
      </w:pPr>
      <w:bookmarkStart w:id="1" w:name="_Ref499156187"/>
      <w:r>
        <w:rPr>
          <w:rFonts w:ascii="黑体" w:hAnsi="黑体" w:eastAsia="黑体"/>
        </w:rPr>
        <w:t>2方法</w:t>
      </w:r>
      <w:r>
        <w:rPr>
          <w:rFonts w:hint="eastAsia" w:ascii="黑体" w:hAnsi="黑体" w:eastAsia="黑体"/>
        </w:rPr>
        <w:t>2</w:t>
      </w:r>
      <w:r>
        <w:rPr>
          <w:rFonts w:ascii="黑体" w:hAnsi="黑体" w:eastAsia="黑体"/>
        </w:rPr>
        <w:t>：电感耦合等离子体原子发射</w:t>
      </w:r>
      <w:r>
        <w:rPr>
          <w:rFonts w:hint="eastAsia" w:ascii="黑体" w:hAnsi="黑体" w:eastAsia="黑体"/>
        </w:rPr>
        <w:t>质谱</w:t>
      </w:r>
      <w:r>
        <w:rPr>
          <w:rFonts w:ascii="黑体" w:hAnsi="黑体" w:eastAsia="黑体"/>
        </w:rPr>
        <w:t>法</w:t>
      </w:r>
    </w:p>
    <w:p>
      <w:pPr>
        <w:adjustRightInd w:val="0"/>
        <w:snapToGrid w:val="0"/>
        <w:spacing w:beforeLines="50" w:afterLines="50"/>
        <w:ind w:left="0" w:leftChars="0" w:right="0"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2.1方法原理</w:t>
      </w:r>
      <w:bookmarkEnd w:id="1"/>
    </w:p>
    <w:p>
      <w:pPr>
        <w:autoSpaceDE w:val="0"/>
        <w:autoSpaceDN w:val="0"/>
        <w:adjustRightInd w:val="0"/>
        <w:ind w:left="0" w:leftChars="0" w:firstLine="0" w:firstLineChars="0"/>
        <w:jc w:val="both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试样以硝酸或盐酸溶解，在稀酸介质中，以氩等离子体为离子化源，用质谱法直接测定除铽、镝、钬以外的稀土杂质元素，选铯为内标元素；铽、镝、钬经C272微型柱</w:t>
      </w:r>
      <w:r>
        <w:rPr>
          <w:rFonts w:hint="eastAsia"/>
        </w:rPr>
        <w:t>或TODGA分离</w:t>
      </w:r>
      <w:r>
        <w:rPr>
          <w:rFonts w:hint="eastAsia" w:ascii="宋体" w:hAnsi="宋体" w:cs="宋体"/>
          <w:kern w:val="0"/>
          <w:szCs w:val="21"/>
        </w:rPr>
        <w:t>钕基体后，进行质谱测定，选铊为内标元素。</w:t>
      </w:r>
    </w:p>
    <w:p>
      <w:pPr>
        <w:adjustRightInd w:val="0"/>
        <w:snapToGrid w:val="0"/>
        <w:spacing w:beforeLines="50" w:afterLines="50"/>
        <w:ind w:left="0" w:leftChars="0" w:right="0"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2.</w:t>
      </w:r>
      <w:r>
        <w:rPr>
          <w:rFonts w:hint="eastAsia" w:ascii="黑体" w:hAnsi="黑体" w:eastAsia="黑体"/>
        </w:rPr>
        <w:t>2</w:t>
      </w:r>
      <w:r>
        <w:rPr>
          <w:rFonts w:ascii="黑体" w:hAnsi="黑体" w:eastAsia="黑体"/>
        </w:rPr>
        <w:t>试剂</w:t>
      </w:r>
    </w:p>
    <w:p>
      <w:pPr>
        <w:ind w:left="0" w:leftChars="0" w:firstLine="0" w:firstLineChars="0"/>
      </w:pPr>
      <w:r>
        <w:t>2.2.1</w:t>
      </w:r>
      <w:r>
        <w:rPr>
          <w:rFonts w:hint="eastAsia" w:ascii="黑体" w:hAnsi="黑体" w:eastAsia="黑体"/>
        </w:rPr>
        <w:t xml:space="preserve">  </w:t>
      </w:r>
      <w:r>
        <w:t>无水碳酸钠，基准物质。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.2  氯化铯，优级纯。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.3  氯化铊，优级纯。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.4  过氧化氢（30%），优级纯。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.5  盐酸（ρ1.19g/mL），优级纯。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 xml:space="preserve">2.2.6  </w:t>
      </w:r>
      <w:r>
        <w:t>盐酸（2.4%）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 xml:space="preserve">2.5.7  </w:t>
      </w:r>
      <w:r>
        <w:t>盐酸（</w:t>
      </w:r>
      <w:r>
        <w:rPr>
          <w:rFonts w:hint="eastAsia"/>
        </w:rPr>
        <w:t>pH=0.48</w:t>
      </w:r>
      <w:r>
        <w:t>）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</w:t>
      </w:r>
      <w:r>
        <w:rPr>
          <w:rFonts w:hint="eastAsia"/>
        </w:rPr>
        <w:t>8</w:t>
      </w:r>
      <w:r>
        <w:t xml:space="preserve">  硝酸（ρ1.42g.mL），优级纯。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</w:t>
      </w:r>
      <w:r>
        <w:rPr>
          <w:rFonts w:hint="eastAsia"/>
        </w:rPr>
        <w:t>9</w:t>
      </w:r>
      <w:r>
        <w:t xml:space="preserve">  硝酸（1+1）。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 xml:space="preserve">2.2.10  </w:t>
      </w:r>
      <w:r>
        <w:t>硝酸（2+98）。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</w:t>
      </w:r>
      <w:r>
        <w:rPr>
          <w:rFonts w:hint="eastAsia"/>
        </w:rPr>
        <w:t>11</w:t>
      </w:r>
      <w:r>
        <w:t xml:space="preserve">  盐酸标准溶液[c（HCl）≈ 2mol/L]。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</w:t>
      </w:r>
      <w:r>
        <w:rPr>
          <w:rFonts w:hint="eastAsia"/>
        </w:rPr>
        <w:t>11</w:t>
      </w:r>
      <w:r>
        <w:t>.1 配制：移取350mL盐酸（</w:t>
      </w:r>
      <w:r>
        <w:rPr>
          <w:rFonts w:hint="eastAsia"/>
        </w:rPr>
        <w:t>2.2</w:t>
      </w:r>
      <w:r>
        <w:t>.</w:t>
      </w:r>
      <w:r>
        <w:rPr>
          <w:rFonts w:hint="eastAsia"/>
        </w:rPr>
        <w:t>5</w:t>
      </w:r>
      <w:r>
        <w:t>）置于2000mL容量瓶中，用水稀释至刻度，混匀。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>2.2</w:t>
      </w:r>
      <w:r>
        <w:t>.</w:t>
      </w:r>
      <w:r>
        <w:rPr>
          <w:rFonts w:hint="eastAsia"/>
        </w:rPr>
        <w:t>11</w:t>
      </w:r>
      <w:r>
        <w:t>.2 标定：称取3份2.3000g预先在300℃灼烧2h并于干燥器中冷却至室温的无水碳酸钠（</w:t>
      </w:r>
      <w:r>
        <w:rPr>
          <w:rFonts w:hint="eastAsia"/>
        </w:rPr>
        <w:t>2.2</w:t>
      </w:r>
      <w:r>
        <w:t>.1），分别置于3个250mL锥形瓶中，各加入50mL～60mL水、0.1mL～0.2mL甲基红-溴甲酚绿指示剂（</w:t>
      </w:r>
      <w:r>
        <w:rPr>
          <w:rFonts w:hint="eastAsia"/>
        </w:rPr>
        <w:t>2.2</w:t>
      </w:r>
      <w:r>
        <w:t>.</w:t>
      </w:r>
      <w:r>
        <w:rPr>
          <w:rFonts w:hint="eastAsia"/>
        </w:rPr>
        <w:t>12</w:t>
      </w:r>
      <w:r>
        <w:t>），用盐酸标准溶液（</w:t>
      </w:r>
      <w:r>
        <w:rPr>
          <w:rFonts w:hint="eastAsia"/>
        </w:rPr>
        <w:t>2.2</w:t>
      </w:r>
      <w:r>
        <w:t>.</w:t>
      </w:r>
      <w:r>
        <w:rPr>
          <w:rFonts w:hint="eastAsia"/>
        </w:rPr>
        <w:t>11</w:t>
      </w:r>
      <w:r>
        <w:t>）滴定至溶液由绿色变为酒红色，加热煮沸驱除二氧化碳，冷却，继续滴定至酒红色即为终点，取其平均值。平行标定所消耗盐酸标准溶液（</w:t>
      </w:r>
      <w:r>
        <w:rPr>
          <w:rFonts w:hint="eastAsia"/>
        </w:rPr>
        <w:t>2.2</w:t>
      </w:r>
      <w:r>
        <w:t>.</w:t>
      </w:r>
      <w:r>
        <w:rPr>
          <w:rFonts w:hint="eastAsia"/>
        </w:rPr>
        <w:t>11</w:t>
      </w:r>
      <w:r>
        <w:t>）体积的极差不应超过0.1mL。</w:t>
      </w:r>
    </w:p>
    <w:p>
      <w:pPr>
        <w:adjustRightInd w:val="0"/>
        <w:snapToGrid w:val="0"/>
        <w:ind w:left="840" w:hanging="420"/>
      </w:pPr>
      <w:r>
        <w:rPr>
          <w:rFonts w:hint="eastAsia"/>
        </w:rPr>
        <w:t>标定时</w:t>
      </w:r>
      <w:r>
        <w:t>随同做空白试验。</w:t>
      </w:r>
    </w:p>
    <w:p>
      <w:pPr>
        <w:adjustRightInd w:val="0"/>
        <w:snapToGrid w:val="0"/>
        <w:ind w:left="840" w:hanging="420"/>
      </w:pPr>
      <w:r>
        <w:t>按式（</w:t>
      </w:r>
      <w:r>
        <w:rPr>
          <w:rFonts w:hint="eastAsia"/>
        </w:rPr>
        <w:t>1</w:t>
      </w:r>
      <w:r>
        <w:t>）计算盐酸标准溶液（</w:t>
      </w:r>
      <w:r>
        <w:rPr>
          <w:rFonts w:hint="eastAsia"/>
        </w:rPr>
        <w:t>2.2</w:t>
      </w:r>
      <w:r>
        <w:t>.</w:t>
      </w:r>
      <w:r>
        <w:rPr>
          <w:rFonts w:hint="eastAsia"/>
        </w:rPr>
        <w:t>11</w:t>
      </w:r>
      <w:r>
        <w:t>）的浓度（mol/L）：</w:t>
      </w:r>
    </w:p>
    <w:p>
      <w:pPr>
        <w:pStyle w:val="13"/>
        <w:spacing w:before="240" w:line="240" w:lineRule="auto"/>
        <w:ind w:left="900" w:hanging="480"/>
      </w:pPr>
      <w:r>
        <w:t xml:space="preserve">              </w:t>
      </w:r>
      <w:r>
        <w:rPr>
          <w:position w:val="-30"/>
        </w:rPr>
        <w:object>
          <v:shape id="_x0000_i1025" o:spt="75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8">
            <o:LockedField>false</o:LockedField>
          </o:OLEObject>
        </w:object>
      </w:r>
      <w:r>
        <w:rPr>
          <w:szCs w:val="21"/>
        </w:rPr>
        <w:fldChar w:fldCharType="begin"/>
      </w:r>
      <w:r>
        <w:rPr>
          <w:szCs w:val="21"/>
        </w:rPr>
        <w:instrText xml:space="preserve"> QUOTE  </w:instrText>
      </w:r>
      <w:r>
        <w:rPr>
          <w:szCs w:val="21"/>
        </w:rPr>
        <w:fldChar w:fldCharType="end"/>
      </w:r>
      <w:r>
        <w:rPr>
          <w:szCs w:val="21"/>
        </w:rPr>
        <w:t>…………………………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（1）</w:t>
      </w:r>
    </w:p>
    <w:p>
      <w:pPr>
        <w:ind w:left="840" w:hanging="420"/>
        <w:rPr>
          <w:szCs w:val="21"/>
        </w:rPr>
      </w:pPr>
      <w:r>
        <w:t>式中：</w:t>
      </w:r>
    </w:p>
    <w:p>
      <w:pPr>
        <w:adjustRightInd w:val="0"/>
        <w:snapToGrid w:val="0"/>
        <w:ind w:left="840" w:right="0" w:hanging="420"/>
        <w:rPr>
          <w:kern w:val="0"/>
          <w:szCs w:val="21"/>
        </w:rPr>
      </w:pPr>
      <w:r>
        <w:rPr>
          <w:rFonts w:hint="eastAsia"/>
        </w:rPr>
        <w:t xml:space="preserve">     </w:t>
      </w:r>
      <w:r>
        <w:t>m</w:t>
      </w:r>
      <w:r>
        <w:rPr>
          <w:kern w:val="0"/>
          <w:szCs w:val="21"/>
        </w:rPr>
        <w:t>——碳酸钠的质量，单位为克（g）；</w:t>
      </w:r>
    </w:p>
    <w:p>
      <w:pPr>
        <w:adjustRightInd w:val="0"/>
        <w:snapToGrid w:val="0"/>
        <w:ind w:left="842" w:leftChars="201" w:right="0" w:hanging="420"/>
      </w:pPr>
      <w:r>
        <w:rPr>
          <w:kern w:val="0"/>
          <w:szCs w:val="20"/>
        </w:rPr>
        <w:t>0.05299</w:t>
      </w:r>
      <w:r>
        <w:rPr>
          <w:kern w:val="0"/>
          <w:szCs w:val="21"/>
        </w:rPr>
        <w:t>——</w:t>
      </w:r>
      <w:r>
        <w:rPr>
          <w:kern w:val="0"/>
          <w:szCs w:val="20"/>
        </w:rPr>
        <w:t>与1.00mmol盐酸相当的碳酸钠的质量，单位为克每毫摩尔升（g/mmol）；</w:t>
      </w:r>
    </w:p>
    <w:p>
      <w:pPr>
        <w:pStyle w:val="48"/>
        <w:ind w:left="842" w:leftChars="201" w:right="0" w:hanging="420"/>
        <w:rPr>
          <w:sz w:val="18"/>
          <w:szCs w:val="18"/>
        </w:rPr>
      </w:pPr>
      <w:r>
        <w:rPr>
          <w:rFonts w:hint="eastAsia"/>
          <w:sz w:val="21"/>
          <w:szCs w:val="20"/>
        </w:rPr>
        <w:t xml:space="preserve">     </w:t>
      </w:r>
      <w:r>
        <w:rPr>
          <w:sz w:val="21"/>
          <w:szCs w:val="20"/>
        </w:rPr>
        <w:t>V</w:t>
      </w:r>
      <w:r>
        <w:rPr>
          <w:sz w:val="21"/>
          <w:szCs w:val="21"/>
        </w:rPr>
        <w:t>——滴定碳酸钠消耗盐酸标准溶液（</w:t>
      </w:r>
      <w:r>
        <w:rPr>
          <w:rFonts w:hint="eastAsia"/>
        </w:rPr>
        <w:t>2.2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）的体积，</w:t>
      </w:r>
      <w:r>
        <w:rPr>
          <w:sz w:val="21"/>
          <w:szCs w:val="20"/>
        </w:rPr>
        <w:t>单位为毫升（</w:t>
      </w:r>
      <w:r>
        <w:rPr>
          <w:kern w:val="0"/>
          <w:sz w:val="21"/>
          <w:szCs w:val="20"/>
        </w:rPr>
        <w:t>mL</w:t>
      </w:r>
      <w:r>
        <w:rPr>
          <w:sz w:val="21"/>
          <w:szCs w:val="20"/>
        </w:rPr>
        <w:t>）；</w:t>
      </w:r>
    </w:p>
    <w:p>
      <w:pPr>
        <w:adjustRightInd w:val="0"/>
        <w:snapToGrid w:val="0"/>
        <w:ind w:left="844" w:leftChars="202" w:right="0" w:hanging="42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   </w:t>
      </w:r>
      <w:r>
        <w:rPr>
          <w:kern w:val="0"/>
          <w:szCs w:val="20"/>
        </w:rPr>
        <w:t>V</w:t>
      </w:r>
      <w:r>
        <w:rPr>
          <w:kern w:val="0"/>
          <w:szCs w:val="20"/>
          <w:vertAlign w:val="subscript"/>
        </w:rPr>
        <w:t>0</w:t>
      </w:r>
      <w:r>
        <w:rPr>
          <w:kern w:val="0"/>
          <w:szCs w:val="21"/>
        </w:rPr>
        <w:t>——滴定空白溶液消耗盐酸标准溶液（</w:t>
      </w:r>
      <w:r>
        <w:rPr>
          <w:rFonts w:hint="eastAsia"/>
        </w:rPr>
        <w:t>2.2</w:t>
      </w:r>
      <w:r>
        <w:rPr>
          <w:kern w:val="0"/>
          <w:szCs w:val="21"/>
        </w:rPr>
        <w:t>.</w:t>
      </w:r>
      <w:r>
        <w:rPr>
          <w:rFonts w:hint="eastAsia"/>
          <w:kern w:val="0"/>
          <w:szCs w:val="21"/>
        </w:rPr>
        <w:t>11</w:t>
      </w:r>
      <w:r>
        <w:rPr>
          <w:kern w:val="0"/>
          <w:szCs w:val="21"/>
        </w:rPr>
        <w:t>）的体积</w:t>
      </w:r>
      <w:r>
        <w:rPr>
          <w:kern w:val="0"/>
          <w:szCs w:val="20"/>
        </w:rPr>
        <w:t>，单位为毫升（mL）；</w:t>
      </w:r>
    </w:p>
    <w:p>
      <w:pPr>
        <w:adjustRightInd w:val="0"/>
        <w:snapToGrid w:val="0"/>
        <w:ind w:left="0" w:leftChars="0" w:firstLine="0" w:firstLineChars="0"/>
        <w:rPr>
          <w:kern w:val="0"/>
          <w:szCs w:val="20"/>
        </w:rPr>
      </w:pPr>
      <w:r>
        <w:rPr>
          <w:rFonts w:hint="eastAsia"/>
        </w:rPr>
        <w:t>2.2</w:t>
      </w:r>
      <w:r>
        <w:rPr>
          <w:rFonts w:hint="eastAsia"/>
          <w:kern w:val="0"/>
          <w:szCs w:val="20"/>
        </w:rPr>
        <w:t xml:space="preserve">.12  </w:t>
      </w:r>
      <w:r>
        <w:rPr>
          <w:kern w:val="0"/>
          <w:szCs w:val="20"/>
        </w:rPr>
        <w:t>甲基红-溴甲酚绿指示液：甲基红乙醇溶液（2g/L）</w:t>
      </w:r>
      <w:r>
        <w:rPr>
          <w:rFonts w:hint="eastAsia"/>
          <w:kern w:val="0"/>
          <w:szCs w:val="20"/>
        </w:rPr>
        <w:t>和</w:t>
      </w:r>
      <w:r>
        <w:rPr>
          <w:kern w:val="0"/>
          <w:szCs w:val="20"/>
        </w:rPr>
        <w:t>三份溴甲酚绿乙醇溶液（1g/L）</w:t>
      </w:r>
      <w:r>
        <w:rPr>
          <w:rFonts w:hint="eastAsia"/>
          <w:kern w:val="0"/>
          <w:szCs w:val="20"/>
        </w:rPr>
        <w:t>（1+3）</w:t>
      </w:r>
      <w:r>
        <w:rPr>
          <w:kern w:val="0"/>
          <w:szCs w:val="20"/>
        </w:rPr>
        <w:t>。</w:t>
      </w:r>
    </w:p>
    <w:p>
      <w:pPr>
        <w:adjustRightInd w:val="0"/>
        <w:snapToGrid w:val="0"/>
        <w:ind w:left="0" w:leftChars="0" w:firstLine="0" w:firstLineChars="0"/>
        <w:rPr>
          <w:kern w:val="0"/>
          <w:szCs w:val="20"/>
        </w:rPr>
      </w:pPr>
      <w:r>
        <w:rPr>
          <w:rFonts w:hint="eastAsia"/>
          <w:kern w:val="0"/>
          <w:szCs w:val="20"/>
        </w:rPr>
        <w:t>2.2.13  盐酸淋洗液（0.0050</w:t>
      </w:r>
      <w:r>
        <w:t>mol/L</w:t>
      </w:r>
      <w:r>
        <w:rPr>
          <w:rFonts w:hint="eastAsia"/>
          <w:kern w:val="0"/>
          <w:szCs w:val="20"/>
        </w:rPr>
        <w:t>）：以盐酸标准溶液（2.2.11）稀释配制。</w:t>
      </w:r>
    </w:p>
    <w:p>
      <w:pPr>
        <w:adjustRightInd w:val="0"/>
        <w:snapToGrid w:val="0"/>
        <w:ind w:left="0" w:leftChars="0" w:firstLine="0" w:firstLineChars="0"/>
        <w:rPr>
          <w:kern w:val="0"/>
          <w:szCs w:val="20"/>
        </w:rPr>
      </w:pPr>
      <w:r>
        <w:rPr>
          <w:rFonts w:hint="eastAsia"/>
          <w:kern w:val="0"/>
          <w:szCs w:val="20"/>
        </w:rPr>
        <w:t>2.2.14  盐酸洗脱液（0.50</w:t>
      </w:r>
      <w:r>
        <w:t>mol/L</w:t>
      </w:r>
      <w:r>
        <w:rPr>
          <w:rFonts w:hint="eastAsia"/>
          <w:kern w:val="0"/>
          <w:szCs w:val="20"/>
        </w:rPr>
        <w:t>）：以盐酸标准溶液（2.2.11）稀释配制。</w:t>
      </w:r>
    </w:p>
    <w:p>
      <w:pPr>
        <w:adjustRightInd w:val="0"/>
        <w:snapToGrid w:val="0"/>
        <w:ind w:left="0" w:leftChars="0" w:firstLine="0" w:firstLineChars="0"/>
        <w:rPr>
          <w:kern w:val="0"/>
          <w:szCs w:val="20"/>
        </w:rPr>
      </w:pPr>
      <w:r>
        <w:rPr>
          <w:rFonts w:hint="eastAsia"/>
        </w:rPr>
        <w:t>2.2</w:t>
      </w:r>
      <w:r>
        <w:rPr>
          <w:rFonts w:hint="eastAsia"/>
          <w:kern w:val="0"/>
          <w:szCs w:val="20"/>
        </w:rPr>
        <w:t xml:space="preserve">.15  </w:t>
      </w:r>
      <w:r>
        <w:rPr>
          <w:kern w:val="0"/>
          <w:szCs w:val="20"/>
        </w:rPr>
        <w:t>铯内标溶液：称取0.1270g氯化铯（</w:t>
      </w:r>
      <w:r>
        <w:rPr>
          <w:rFonts w:hint="eastAsia"/>
        </w:rPr>
        <w:t>2.2</w:t>
      </w:r>
      <w:r>
        <w:rPr>
          <w:kern w:val="0"/>
          <w:szCs w:val="20"/>
        </w:rPr>
        <w:t>.2）</w:t>
      </w:r>
      <w:r>
        <w:rPr>
          <w:rFonts w:hint="eastAsia"/>
          <w:kern w:val="0"/>
          <w:szCs w:val="20"/>
        </w:rPr>
        <w:t>，</w:t>
      </w:r>
      <w:r>
        <w:rPr>
          <w:kern w:val="0"/>
          <w:szCs w:val="20"/>
        </w:rPr>
        <w:t>加</w:t>
      </w:r>
      <w:r>
        <w:rPr>
          <w:rFonts w:hint="eastAsia"/>
          <w:kern w:val="0"/>
          <w:szCs w:val="20"/>
        </w:rPr>
        <w:t>入</w:t>
      </w:r>
      <w:r>
        <w:rPr>
          <w:kern w:val="0"/>
          <w:szCs w:val="20"/>
        </w:rPr>
        <w:t>10mL水，溶解完全，加10ml硝酸（</w:t>
      </w:r>
      <w:r>
        <w:rPr>
          <w:rFonts w:hint="eastAsia"/>
        </w:rPr>
        <w:t>2.2</w:t>
      </w:r>
      <w:r>
        <w:rPr>
          <w:kern w:val="0"/>
          <w:szCs w:val="20"/>
        </w:rPr>
        <w:t>.</w:t>
      </w:r>
      <w:r>
        <w:rPr>
          <w:rFonts w:hint="eastAsia"/>
          <w:kern w:val="0"/>
          <w:szCs w:val="20"/>
        </w:rPr>
        <w:t>9</w:t>
      </w:r>
      <w:r>
        <w:rPr>
          <w:kern w:val="0"/>
          <w:szCs w:val="20"/>
        </w:rPr>
        <w:t>），移入100mL容量瓶中，</w:t>
      </w:r>
      <w:r>
        <w:rPr>
          <w:rFonts w:hint="eastAsia"/>
          <w:kern w:val="0"/>
          <w:szCs w:val="20"/>
        </w:rPr>
        <w:t>以</w:t>
      </w:r>
      <w:r>
        <w:rPr>
          <w:kern w:val="0"/>
          <w:szCs w:val="20"/>
        </w:rPr>
        <w:t>水稀释至刻度，混匀。此溶液1mL含1mg铯。再将此溶液用硝酸（</w:t>
      </w:r>
      <w:r>
        <w:rPr>
          <w:rFonts w:hint="eastAsia"/>
          <w:kern w:val="0"/>
          <w:szCs w:val="20"/>
        </w:rPr>
        <w:t>2.2</w:t>
      </w:r>
      <w:r>
        <w:rPr>
          <w:kern w:val="0"/>
          <w:szCs w:val="20"/>
        </w:rPr>
        <w:t>.</w:t>
      </w:r>
      <w:r>
        <w:rPr>
          <w:rFonts w:hint="eastAsia"/>
          <w:kern w:val="0"/>
          <w:szCs w:val="20"/>
        </w:rPr>
        <w:t>10</w:t>
      </w:r>
      <w:r>
        <w:rPr>
          <w:kern w:val="0"/>
          <w:szCs w:val="20"/>
        </w:rPr>
        <w:t>）逐步稀释成1mL含1μg</w:t>
      </w:r>
      <w:r>
        <w:rPr>
          <w:rFonts w:hint="eastAsia"/>
          <w:kern w:val="0"/>
          <w:szCs w:val="20"/>
        </w:rPr>
        <w:t>，进一步稀释至</w:t>
      </w:r>
      <w:r>
        <w:rPr>
          <w:kern w:val="0"/>
          <w:szCs w:val="20"/>
        </w:rPr>
        <w:t>1mL含</w:t>
      </w:r>
      <w:r>
        <w:rPr>
          <w:rFonts w:hint="eastAsia"/>
          <w:kern w:val="0"/>
          <w:szCs w:val="20"/>
        </w:rPr>
        <w:t>10ng</w:t>
      </w:r>
      <w:r>
        <w:rPr>
          <w:kern w:val="0"/>
          <w:szCs w:val="20"/>
        </w:rPr>
        <w:t>铯的内标溶液。</w:t>
      </w:r>
    </w:p>
    <w:p>
      <w:pPr>
        <w:adjustRightInd w:val="0"/>
        <w:snapToGrid w:val="0"/>
        <w:ind w:left="0" w:leftChars="0" w:firstLine="0" w:firstLineChars="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2.2.16  </w:t>
      </w:r>
      <w:r>
        <w:rPr>
          <w:kern w:val="0"/>
          <w:szCs w:val="20"/>
        </w:rPr>
        <w:t>铊内标溶液：称取1.1731g氯化铊（</w:t>
      </w:r>
      <w:r>
        <w:t>2.2</w:t>
      </w:r>
      <w:r>
        <w:rPr>
          <w:kern w:val="0"/>
          <w:szCs w:val="20"/>
        </w:rPr>
        <w:t>.</w:t>
      </w:r>
      <w:r>
        <w:rPr>
          <w:rFonts w:hint="eastAsia"/>
          <w:kern w:val="0"/>
          <w:szCs w:val="20"/>
        </w:rPr>
        <w:t>3）</w:t>
      </w:r>
      <w:r>
        <w:rPr>
          <w:szCs w:val="21"/>
        </w:rPr>
        <w:t>溶于30mL硫酸中，移入1000mL容量瓶中，</w:t>
      </w:r>
      <w:r>
        <w:rPr>
          <w:color w:val="000000"/>
        </w:rPr>
        <w:t>以水</w:t>
      </w:r>
      <w:r>
        <w:rPr>
          <w:szCs w:val="21"/>
        </w:rPr>
        <w:t>稀释至刻度，</w:t>
      </w:r>
      <w:r>
        <w:rPr>
          <w:kern w:val="0"/>
          <w:szCs w:val="20"/>
        </w:rPr>
        <w:t>混匀。此溶液1mL含1mg铊。再将此溶液用硝酸（2.2.8）逐步稀释成1mL含1μg</w:t>
      </w:r>
      <w:r>
        <w:rPr>
          <w:rFonts w:hint="eastAsia"/>
          <w:kern w:val="0"/>
          <w:szCs w:val="20"/>
        </w:rPr>
        <w:t>铊</w:t>
      </w:r>
      <w:r>
        <w:rPr>
          <w:kern w:val="0"/>
          <w:szCs w:val="20"/>
        </w:rPr>
        <w:t>，进一步稀释至1mL含10ng铊的内标溶液。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  <w:kern w:val="0"/>
          <w:szCs w:val="20"/>
        </w:rPr>
        <w:t>2.2</w:t>
      </w:r>
      <w:r>
        <w:rPr>
          <w:rFonts w:hint="eastAsia"/>
        </w:rPr>
        <w:t xml:space="preserve">.17  </w:t>
      </w:r>
      <w:r>
        <w:t>氧化镧标准贮存溶液：</w:t>
      </w:r>
      <w:r>
        <w:rPr>
          <w:rFonts w:hint="eastAsia"/>
        </w:rPr>
        <w:t>准确</w:t>
      </w:r>
      <w:r>
        <w:t>称取0.1000g氧化镧（REO&gt;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La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此溶液1mL含1mg氧化镧</w:t>
      </w:r>
      <w:r>
        <w:t>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2.2.18  </w:t>
      </w:r>
      <w:r>
        <w:t>氧化铈标准贮存溶液：</w:t>
      </w:r>
      <w:r>
        <w:rPr>
          <w:rFonts w:hint="eastAsia"/>
        </w:rPr>
        <w:t>准确</w:t>
      </w:r>
      <w:r>
        <w:t>称取0.1000g氧化铈（REO&gt;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CeO</w:t>
      </w:r>
      <w:r>
        <w:rPr>
          <w:rFonts w:hint="eastAsia"/>
          <w:vertAlign w:val="subscript"/>
        </w:rPr>
        <w:t>2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</w:t>
      </w:r>
      <w:r>
        <w:rPr>
          <w:color w:val="000000"/>
        </w:rPr>
        <w:t>，置于100mL烧杯中，加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），加2mL过氧化氢（</w:t>
      </w:r>
      <w:r>
        <w:rPr>
          <w:rFonts w:hint="eastAsia"/>
        </w:rPr>
        <w:t>2.2</w:t>
      </w:r>
      <w:r>
        <w:rPr>
          <w:color w:val="000000"/>
        </w:rPr>
        <w:t>.3），低温加热至溶解完全，取下冷却</w:t>
      </w:r>
      <w:r>
        <w:t>至室温</w:t>
      </w:r>
      <w:r>
        <w:rPr>
          <w:color w:val="000000"/>
        </w:rPr>
        <w:t>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水稀释至刻度，混匀。此溶液1mL含1mg氧化铈。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2.2.19  </w:t>
      </w:r>
      <w:r>
        <w:t>氧化镨标准贮存溶液：</w:t>
      </w:r>
      <w:r>
        <w:rPr>
          <w:rFonts w:hint="eastAsia"/>
        </w:rPr>
        <w:t>准确</w:t>
      </w:r>
      <w:r>
        <w:t>称取0.1000g氧化镨（REO&gt;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Pr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11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此溶液1mL含1mg氧化镨。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2.2.20  </w:t>
      </w:r>
      <w:r>
        <w:t>氧化钕标准贮存溶液：</w:t>
      </w:r>
      <w:r>
        <w:rPr>
          <w:rFonts w:hint="eastAsia"/>
        </w:rPr>
        <w:t>准确</w:t>
      </w:r>
      <w:r>
        <w:t>称取0.1000g氧化钕（REO&gt;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Nd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此溶液1mL含1mg氧化钕</w:t>
      </w:r>
      <w:r>
        <w:t>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2.2.21  </w:t>
      </w:r>
      <w:r>
        <w:t>氧化钐标准贮存溶液：</w:t>
      </w:r>
      <w:r>
        <w:rPr>
          <w:rFonts w:hint="eastAsia"/>
        </w:rPr>
        <w:t>准确</w:t>
      </w:r>
      <w:r>
        <w:t>称取0.1000g氧化钐（REO&gt;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Sm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此溶液1mL含1mg氧化钐</w:t>
      </w:r>
      <w:r>
        <w:t>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2.2.22  </w:t>
      </w:r>
      <w:r>
        <w:t>氧化铕标准贮存溶液：</w:t>
      </w:r>
      <w:r>
        <w:rPr>
          <w:rFonts w:hint="eastAsia"/>
        </w:rPr>
        <w:t>准确</w:t>
      </w:r>
      <w:r>
        <w:t>称取0.1000g氧化铕（REO&gt;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Eu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此溶液1mL含1mg氧化铕</w:t>
      </w:r>
      <w:r>
        <w:t>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2.2.23  </w:t>
      </w:r>
      <w:r>
        <w:t>氧化钆标准贮存溶液：</w:t>
      </w:r>
      <w:r>
        <w:rPr>
          <w:rFonts w:hint="eastAsia"/>
        </w:rPr>
        <w:t>准确</w:t>
      </w:r>
      <w:r>
        <w:t>称取0.1000g氧化钆（REO&gt;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Gd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此溶液1mL含1mg氧化钆</w:t>
      </w:r>
      <w:r>
        <w:t>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2.2.24  </w:t>
      </w:r>
      <w:r>
        <w:t>氧化铽标准贮存溶液：准确称取0.1000g氧化铽（REO&gt;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Tb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7</w:t>
      </w:r>
      <w:r>
        <w:t>/∑REO）</w:t>
      </w:r>
      <w:r>
        <w:rPr>
          <w:rFonts w:hint="eastAsia" w:ascii="宋体" w:hAnsi="宋体" w:cs="宋体"/>
        </w:rPr>
        <w:t>≥</w:t>
      </w:r>
      <w:r>
        <w:t>99.9995%，事先经950℃灼烧至恒重），</w:t>
      </w:r>
      <w:r>
        <w:rPr>
          <w:color w:val="000000"/>
        </w:rPr>
        <w:t>置于100mL烧杯中，加入10mL硝酸（</w:t>
      </w:r>
      <w: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），1mL过氧化氢（2.2.4），低温加热至溶解完全，取下冷却至室温，移入100mL容量瓶中，以水稀释至刻度，混匀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此溶液1mL含1mg氧化铽</w:t>
      </w:r>
      <w:r>
        <w:t>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2.2.25  </w:t>
      </w:r>
      <w:r>
        <w:t>氧化镝标准贮存溶液：准确称取0.1000g氧化镝（REO&gt;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Dy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99.9995%，事先经950℃灼烧至恒重）</w:t>
      </w:r>
      <w:r>
        <w:rPr>
          <w:color w:val="000000"/>
        </w:rPr>
        <w:t>，置于100mL烧杯中，加入10mL硝酸（</w:t>
      </w:r>
      <w: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），1mL过氧化氢（</w:t>
      </w:r>
      <w:r>
        <w:t>2.2</w:t>
      </w:r>
      <w:r>
        <w:rPr>
          <w:color w:val="000000"/>
        </w:rPr>
        <w:t>.4），低温加热至溶解完全，取下冷却</w:t>
      </w:r>
      <w:r>
        <w:t>至室温</w:t>
      </w:r>
      <w:r>
        <w:rPr>
          <w:color w:val="000000"/>
        </w:rPr>
        <w:t>，移入100mL容量瓶中，以水稀释至刻度，混匀。此溶液1mL含1mg氧化镝。</w:t>
      </w:r>
    </w:p>
    <w:p>
      <w:pPr>
        <w:adjustRightInd w:val="0"/>
        <w:snapToGrid w:val="0"/>
        <w:ind w:left="0" w:leftChars="0" w:firstLine="0" w:firstLineChars="0"/>
      </w:pPr>
      <w:r>
        <w:t>2.2.</w:t>
      </w:r>
      <w:r>
        <w:rPr>
          <w:rFonts w:hint="eastAsia"/>
        </w:rPr>
        <w:t xml:space="preserve">26 </w:t>
      </w:r>
      <w:r>
        <w:t>氧化钬标准贮存溶液：准确称取0.1000g氧化钬（REO&gt;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Ho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99.9995%，事先经950℃灼烧至恒重），</w:t>
      </w:r>
      <w:r>
        <w:rPr>
          <w:color w:val="000000"/>
        </w:rPr>
        <w:t>置于100mL烧杯中，加入10mL硝酸（2.2.</w:t>
      </w:r>
      <w:r>
        <w:rPr>
          <w:rFonts w:hint="eastAsia"/>
          <w:color w:val="000000"/>
        </w:rPr>
        <w:t>9</w:t>
      </w:r>
      <w:r>
        <w:rPr>
          <w:color w:val="000000"/>
        </w:rPr>
        <w:t>），1mL过氧化氢（2.2.4），低温加热至溶解完全，取下冷却至室温，移入100mL容量瓶中，以水稀释至刻度，混匀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此溶液1mL含1mg氧化钬。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2.2.27  </w:t>
      </w:r>
      <w:r>
        <w:t>氧化铒标准贮存溶液：</w:t>
      </w:r>
      <w:r>
        <w:rPr>
          <w:rFonts w:hint="eastAsia"/>
        </w:rPr>
        <w:t>准确</w:t>
      </w:r>
      <w:r>
        <w:t>称取0.1000g氧化铒（REO&gt;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Er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</w:t>
      </w:r>
      <w:r>
        <w:t>化铒。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2.2.28  </w:t>
      </w:r>
      <w:r>
        <w:t>氧化铥标准贮存溶液：</w:t>
      </w:r>
      <w:r>
        <w:rPr>
          <w:rFonts w:hint="eastAsia"/>
        </w:rPr>
        <w:t>准确</w:t>
      </w:r>
      <w:r>
        <w:t>称取0.1000g氧化铥（REO&gt;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Tm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</w:t>
      </w:r>
      <w:r>
        <w:t>化铥。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2.2.29  </w:t>
      </w:r>
      <w:r>
        <w:t>氧化镱标准贮存溶液：</w:t>
      </w:r>
      <w:r>
        <w:rPr>
          <w:rFonts w:hint="eastAsia"/>
        </w:rPr>
        <w:t>准确</w:t>
      </w:r>
      <w:r>
        <w:t>称取0.1000g氧化镱（REO&gt;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Yb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</w:t>
      </w:r>
      <w:r>
        <w:t>化镱。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2.2.30  </w:t>
      </w:r>
      <w:r>
        <w:t>氧化镥标准贮存溶液：</w:t>
      </w:r>
      <w:r>
        <w:rPr>
          <w:rFonts w:hint="eastAsia"/>
        </w:rPr>
        <w:t>准确</w:t>
      </w:r>
      <w:r>
        <w:t>称取0.1000g氧化镥（REO&gt;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Lu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</w:t>
      </w:r>
      <w:r>
        <w:t>化镥。</w:t>
      </w:r>
    </w:p>
    <w:p>
      <w:pPr>
        <w:adjustRightInd w:val="0"/>
        <w:snapToGrid w:val="0"/>
        <w:ind w:left="0" w:leftChars="0" w:firstLine="0" w:firstLineChars="0"/>
        <w:rPr>
          <w:color w:val="FF0000"/>
        </w:rPr>
      </w:pPr>
      <w:r>
        <w:rPr>
          <w:rFonts w:hint="eastAsia"/>
        </w:rPr>
        <w:t xml:space="preserve">2.2.31  </w:t>
      </w:r>
      <w:r>
        <w:t>氧化钇标准贮存溶液：</w:t>
      </w:r>
      <w:r>
        <w:rPr>
          <w:rFonts w:hint="eastAsia"/>
        </w:rPr>
        <w:t>准确</w:t>
      </w:r>
      <w:r>
        <w:t>称取0.1000g氧化钇（REO&gt;</w:t>
      </w:r>
      <w:r>
        <w:rPr>
          <w:rFonts w:hint="eastAsia"/>
        </w:rPr>
        <w:t>99.5，</w:t>
      </w:r>
      <w:r>
        <w:t>w（</w:t>
      </w:r>
      <w:r>
        <w:rPr>
          <w:rFonts w:hint="eastAsia"/>
        </w:rPr>
        <w:t>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>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），低温加热至溶解完全，取下冷却至室温，移入100mL容量瓶中，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</w:t>
      </w:r>
      <w:r>
        <w:rPr>
          <w:kern w:val="0"/>
          <w:szCs w:val="20"/>
        </w:rPr>
        <w:t>。</w:t>
      </w:r>
      <w:r>
        <w:rPr>
          <w:color w:val="000000"/>
        </w:rPr>
        <w:t>此溶液1mL含1mg氧</w:t>
      </w:r>
      <w:r>
        <w:t>化钇。</w:t>
      </w:r>
    </w:p>
    <w:p>
      <w:pPr>
        <w:adjustRightInd w:val="0"/>
        <w:snapToGrid w:val="0"/>
        <w:ind w:left="0" w:leftChars="0" w:firstLine="0" w:firstLineChars="0"/>
        <w:rPr>
          <w:color w:val="000000"/>
        </w:rPr>
      </w:pPr>
      <w:r>
        <w:rPr>
          <w:rFonts w:hint="eastAsia"/>
          <w:color w:val="000000"/>
        </w:rPr>
        <w:t xml:space="preserve">2.2.32  </w:t>
      </w:r>
      <w:r>
        <w:rPr>
          <w:color w:val="000000"/>
        </w:rPr>
        <w:t>混合稀土标准溶液：分别</w:t>
      </w:r>
      <w:r>
        <w:rPr>
          <w:rFonts w:hint="eastAsia"/>
          <w:color w:val="000000"/>
        </w:rPr>
        <w:t>准确</w:t>
      </w:r>
      <w:r>
        <w:rPr>
          <w:color w:val="000000"/>
        </w:rPr>
        <w:t>移取2.00mL各稀土氧化物标准贮存溶液（</w:t>
      </w:r>
      <w:r>
        <w:rPr>
          <w:rFonts w:hint="eastAsia"/>
          <w:color w:val="000000"/>
        </w:rPr>
        <w:t>2.2</w:t>
      </w:r>
      <w:r>
        <w:rPr>
          <w:color w:val="000000"/>
        </w:rPr>
        <w:t>.1</w:t>
      </w:r>
      <w:r>
        <w:rPr>
          <w:rFonts w:hint="eastAsia"/>
          <w:color w:val="000000"/>
        </w:rPr>
        <w:t>7</w:t>
      </w:r>
      <w:r>
        <w:rPr>
          <w:color w:val="000000"/>
        </w:rPr>
        <w:t>～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31</w:t>
      </w:r>
      <w:r>
        <w:rPr>
          <w:color w:val="000000"/>
        </w:rPr>
        <w:t>）于100mL容量瓶中，加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水稀释至刻度，混匀。此溶液1mL含各单一稀土氧化物分别为20.0μg。再将此溶液用硝酸（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10</w:t>
      </w:r>
      <w:r>
        <w:rPr>
          <w:color w:val="000000"/>
        </w:rPr>
        <w:t>）稀释成1mL含各单一稀土氧化物分别为1.00μg的标准溶液。</w:t>
      </w:r>
    </w:p>
    <w:p>
      <w:pPr>
        <w:adjustRightInd w:val="0"/>
        <w:snapToGrid w:val="0"/>
        <w:ind w:left="0" w:leftChars="0" w:firstLine="0" w:firstLineChars="0"/>
        <w:rPr>
          <w:color w:val="000000"/>
        </w:rPr>
      </w:pPr>
      <w:r>
        <w:rPr>
          <w:rFonts w:hint="eastAsia"/>
          <w:color w:val="000000"/>
        </w:rPr>
        <w:t xml:space="preserve">2.2.33  </w:t>
      </w:r>
      <w:r>
        <w:rPr>
          <w:color w:val="000000"/>
        </w:rPr>
        <w:t>混合稀土标准溶液：</w:t>
      </w:r>
      <w:r>
        <w:rPr>
          <w:rFonts w:hint="eastAsia"/>
          <w:color w:val="000000"/>
        </w:rPr>
        <w:t>准确移取10mL上述</w:t>
      </w:r>
      <w:r>
        <w:rPr>
          <w:color w:val="000000"/>
        </w:rPr>
        <w:t>混合稀土标准溶液</w:t>
      </w:r>
      <w:r>
        <w:rPr>
          <w:rFonts w:hint="eastAsia"/>
          <w:color w:val="000000"/>
        </w:rPr>
        <w:t>（2.2.32）</w:t>
      </w:r>
      <w:r>
        <w:rPr>
          <w:color w:val="000000"/>
        </w:rPr>
        <w:t>于100mL容量瓶中，加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水稀释至刻度，混匀。此溶液1mL含各单一稀土氧化物分别为</w:t>
      </w:r>
      <w:r>
        <w:rPr>
          <w:rFonts w:hint="eastAsia"/>
          <w:color w:val="000000"/>
        </w:rPr>
        <w:t>100ng。</w:t>
      </w:r>
    </w:p>
    <w:p>
      <w:pPr>
        <w:adjustRightInd w:val="0"/>
        <w:snapToGrid w:val="0"/>
        <w:ind w:left="0" w:leftChars="0" w:firstLine="0" w:firstLineChars="0"/>
        <w:rPr>
          <w:color w:val="000000"/>
        </w:rPr>
      </w:pPr>
      <w:r>
        <w:rPr>
          <w:rFonts w:hint="eastAsia"/>
          <w:color w:val="000000"/>
        </w:rPr>
        <w:t xml:space="preserve">2.2.34 </w:t>
      </w:r>
      <w:r>
        <w:rPr>
          <w:color w:val="000000"/>
        </w:rPr>
        <w:t>混合稀土标准溶液：</w:t>
      </w:r>
      <w:r>
        <w:rPr>
          <w:rFonts w:hint="eastAsia"/>
          <w:color w:val="000000"/>
        </w:rPr>
        <w:t>准确移取10mL上述</w:t>
      </w:r>
      <w:r>
        <w:rPr>
          <w:color w:val="000000"/>
        </w:rPr>
        <w:t>混合稀土标准溶液</w:t>
      </w:r>
      <w:r>
        <w:rPr>
          <w:rFonts w:hint="eastAsia"/>
          <w:color w:val="000000"/>
        </w:rPr>
        <w:t>（2.2.33）</w:t>
      </w:r>
      <w:r>
        <w:rPr>
          <w:color w:val="000000"/>
        </w:rPr>
        <w:t>于100mL容量瓶中，加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9</w:t>
      </w:r>
      <w:r>
        <w:rPr>
          <w:color w:val="000000"/>
        </w:rPr>
        <w:t>），</w:t>
      </w:r>
      <w:r>
        <w:rPr>
          <w:rFonts w:hint="eastAsia"/>
          <w:color w:val="000000"/>
        </w:rPr>
        <w:t>以</w:t>
      </w:r>
      <w:r>
        <w:rPr>
          <w:color w:val="000000"/>
        </w:rPr>
        <w:t>水稀释至刻度，混匀。此溶液1mL含各单一稀土氧化物分别为</w:t>
      </w:r>
      <w:r>
        <w:rPr>
          <w:rFonts w:hint="eastAsia"/>
          <w:color w:val="000000"/>
        </w:rPr>
        <w:t>10ng。</w:t>
      </w:r>
    </w:p>
    <w:p>
      <w:pPr>
        <w:adjustRightInd w:val="0"/>
        <w:snapToGrid w:val="0"/>
        <w:ind w:left="0" w:leftChars="0" w:firstLine="0" w:firstLineChars="0"/>
      </w:pPr>
      <w:r>
        <w:rPr>
          <w:rFonts w:hint="eastAsia"/>
        </w:rPr>
        <w:t xml:space="preserve">2.2.35  </w:t>
      </w:r>
      <w:r>
        <w:t>氩气[</w:t>
      </w:r>
      <w:r>
        <w:rPr>
          <w:i/>
        </w:rPr>
        <w:t>w</w:t>
      </w:r>
      <w:r>
        <w:t>（Ar）</w:t>
      </w:r>
      <w:r>
        <w:rPr>
          <w:rFonts w:hint="eastAsia" w:ascii="宋体" w:hAnsi="宋体" w:cs="宋体"/>
        </w:rPr>
        <w:t>≥</w:t>
      </w:r>
      <w:r>
        <w:t>99.99％]。</w:t>
      </w:r>
    </w:p>
    <w:p>
      <w:pPr>
        <w:adjustRightInd w:val="0"/>
        <w:snapToGrid w:val="0"/>
        <w:ind w:left="0" w:leftChars="0" w:firstLine="0" w:firstLineChars="0"/>
        <w:rPr>
          <w:color w:val="000000"/>
        </w:rPr>
      </w:pPr>
      <w:r>
        <w:rPr>
          <w:rFonts w:hint="eastAsia"/>
        </w:rPr>
        <w:t xml:space="preserve">2.2.36  </w:t>
      </w:r>
      <w:r>
        <w:rPr>
          <w:color w:val="000000"/>
        </w:rPr>
        <w:t>C272微型分离柱：柱床（23mm×9mm，ID）；填料为含20%Cyanex272的负载硅球（50μm～70μm）</w:t>
      </w:r>
      <w:r>
        <w:rPr>
          <w:rFonts w:hint="eastAsia"/>
          <w:color w:val="000000"/>
        </w:rPr>
        <w:t>。</w:t>
      </w:r>
    </w:p>
    <w:p>
      <w:pPr>
        <w:ind w:left="0" w:leftChars="0" w:firstLine="0" w:firstLineChars="0"/>
        <w:rPr>
          <w:color w:val="000000"/>
          <w:szCs w:val="21"/>
        </w:rPr>
      </w:pPr>
      <w:r>
        <w:rPr>
          <w:rFonts w:hint="eastAsia"/>
          <w:color w:val="000000"/>
        </w:rPr>
        <w:t xml:space="preserve">2.2.37  </w:t>
      </w:r>
      <w:r>
        <w:rPr>
          <w:rFonts w:hint="eastAsia"/>
          <w:color w:val="000000"/>
          <w:szCs w:val="21"/>
        </w:rPr>
        <w:t>负载</w:t>
      </w:r>
      <w:r>
        <w:rPr>
          <w:color w:val="000000"/>
          <w:szCs w:val="21"/>
        </w:rPr>
        <w:t>TODGA</w:t>
      </w:r>
      <w:r>
        <w:rPr>
          <w:rFonts w:hint="eastAsia"/>
          <w:color w:val="000000"/>
          <w:szCs w:val="21"/>
        </w:rPr>
        <w:t>硅藻土：硅藻土经去离子水洗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次，无水乙醇洗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次，置于烘箱中</w:t>
      </w:r>
      <w:r>
        <w:rPr>
          <w:color w:val="000000"/>
          <w:szCs w:val="21"/>
        </w:rPr>
        <w:t>60</w:t>
      </w:r>
      <w:r>
        <w:rPr>
          <w:rFonts w:hint="eastAsia"/>
          <w:color w:val="000000"/>
          <w:szCs w:val="21"/>
        </w:rPr>
        <w:t>℃烘干</w:t>
      </w:r>
      <w:r>
        <w:rPr>
          <w:color w:val="000000"/>
          <w:szCs w:val="21"/>
        </w:rPr>
        <w:t>6 h</w:t>
      </w:r>
      <w:r>
        <w:rPr>
          <w:rFonts w:hint="eastAsia"/>
          <w:color w:val="000000"/>
          <w:szCs w:val="21"/>
        </w:rPr>
        <w:t>，冷却备用。于三角瓶中加入</w:t>
      </w:r>
      <w:r>
        <w:rPr>
          <w:color w:val="000000"/>
          <w:szCs w:val="21"/>
        </w:rPr>
        <w:t>100g</w:t>
      </w:r>
      <w:r>
        <w:rPr>
          <w:rFonts w:hint="eastAsia"/>
          <w:color w:val="000000"/>
          <w:szCs w:val="21"/>
        </w:rPr>
        <w:t>制备好的硅藻土，再加入</w:t>
      </w:r>
      <w:r>
        <w:rPr>
          <w:color w:val="000000"/>
          <w:szCs w:val="21"/>
        </w:rPr>
        <w:t>50 mLTODGA</w:t>
      </w:r>
      <w:r>
        <w:rPr>
          <w:rFonts w:hint="eastAsia"/>
          <w:color w:val="000000"/>
          <w:szCs w:val="21"/>
        </w:rPr>
        <w:t>与丙酮（</w:t>
      </w:r>
      <w:r>
        <w:rPr>
          <w:color w:val="000000"/>
          <w:szCs w:val="21"/>
        </w:rPr>
        <w:t>1:10</w:t>
      </w:r>
      <w:r>
        <w:rPr>
          <w:rFonts w:hint="eastAsia"/>
          <w:color w:val="000000"/>
          <w:szCs w:val="21"/>
        </w:rPr>
        <w:t>）的混合物，加塞震荡</w:t>
      </w:r>
      <w:r>
        <w:rPr>
          <w:color w:val="000000"/>
          <w:szCs w:val="21"/>
        </w:rPr>
        <w:t>3 h</w:t>
      </w:r>
      <w:r>
        <w:rPr>
          <w:rFonts w:hint="eastAsia"/>
          <w:color w:val="000000"/>
          <w:szCs w:val="21"/>
        </w:rPr>
        <w:t>，转移至</w:t>
      </w:r>
      <w:r>
        <w:rPr>
          <w:color w:val="000000"/>
          <w:szCs w:val="21"/>
        </w:rPr>
        <w:t>250mL</w:t>
      </w:r>
      <w:r>
        <w:rPr>
          <w:rFonts w:hint="eastAsia"/>
          <w:color w:val="000000"/>
          <w:szCs w:val="21"/>
        </w:rPr>
        <w:t>烧杯，每</w:t>
      </w:r>
      <w:r>
        <w:rPr>
          <w:color w:val="000000"/>
          <w:szCs w:val="21"/>
        </w:rPr>
        <w:t>30min</w:t>
      </w:r>
      <w:r>
        <w:rPr>
          <w:rFonts w:hint="eastAsia"/>
          <w:color w:val="000000"/>
          <w:szCs w:val="21"/>
        </w:rPr>
        <w:t>搅拌一次，搅拌</w:t>
      </w:r>
      <w:r>
        <w:rPr>
          <w:color w:val="000000"/>
          <w:szCs w:val="21"/>
        </w:rPr>
        <w:t>10-12</w:t>
      </w:r>
      <w:r>
        <w:rPr>
          <w:rFonts w:hint="eastAsia"/>
          <w:color w:val="000000"/>
          <w:szCs w:val="21"/>
        </w:rPr>
        <w:t>次，待丙酮挥发近干后，置于烘</w:t>
      </w:r>
      <w:r>
        <w:rPr>
          <w:rFonts w:hint="eastAsia"/>
          <w:szCs w:val="21"/>
        </w:rPr>
        <w:t>箱中，于</w:t>
      </w:r>
      <w:r>
        <w:rPr>
          <w:szCs w:val="21"/>
        </w:rPr>
        <w:t>40</w:t>
      </w:r>
      <w:r>
        <w:rPr>
          <w:rFonts w:hint="eastAsia"/>
          <w:szCs w:val="21"/>
        </w:rPr>
        <w:t>℃~</w:t>
      </w:r>
      <w:r>
        <w:rPr>
          <w:szCs w:val="21"/>
        </w:rPr>
        <w:t>50</w:t>
      </w:r>
      <w:r>
        <w:rPr>
          <w:rFonts w:hint="eastAsia"/>
          <w:szCs w:val="21"/>
        </w:rPr>
        <w:t>℃</w:t>
      </w:r>
      <w:r>
        <w:rPr>
          <w:rFonts w:hint="eastAsia"/>
          <w:color w:val="000000"/>
          <w:szCs w:val="21"/>
        </w:rPr>
        <w:t>烘干，备用。</w:t>
      </w:r>
    </w:p>
    <w:p>
      <w:pPr>
        <w:adjustRightInd w:val="0"/>
        <w:snapToGrid w:val="0"/>
        <w:ind w:left="0" w:leftChars="0" w:firstLine="0" w:firstLineChars="0"/>
        <w:rPr>
          <w:color w:val="000000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38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氩气</w:t>
      </w:r>
      <w:r>
        <w:rPr>
          <w:color w:val="000000"/>
          <w:szCs w:val="21"/>
        </w:rPr>
        <w:t>[</w:t>
      </w:r>
      <w:r>
        <w:rPr>
          <w:i/>
        </w:rPr>
        <w:t>w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≥99.99</w:t>
      </w:r>
      <w:r>
        <w:rPr>
          <w:rFonts w:hint="eastAsia"/>
          <w:color w:val="000000"/>
          <w:szCs w:val="21"/>
        </w:rPr>
        <w:t>％</w:t>
      </w:r>
      <w:r>
        <w:rPr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</w:rPr>
        <w:t xml:space="preserve">  </w:t>
      </w:r>
    </w:p>
    <w:p>
      <w:pPr>
        <w:spacing w:beforeLines="100" w:afterLines="100"/>
        <w:ind w:left="199" w:leftChars="0" w:hanging="199" w:hangingChars="9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仪器</w:t>
      </w:r>
    </w:p>
    <w:p>
      <w:pPr>
        <w:ind w:left="0" w:leftChars="0" w:firstLine="0" w:firstLineChars="0"/>
        <w:rPr>
          <w:rFonts w:ascii="宋体" w:hAnsi="宋体" w:cs="宋体"/>
          <w:color w:val="000000"/>
          <w:szCs w:val="21"/>
        </w:rPr>
      </w:pPr>
      <w:bookmarkStart w:id="2" w:name="_Ref496627829"/>
      <w:r>
        <w:rPr>
          <w:rFonts w:hint="eastAsia" w:ascii="宋体" w:hAnsi="宋体" w:cs="宋体"/>
          <w:szCs w:val="21"/>
        </w:rPr>
        <w:t>2.3.1 电感耦合等离子体质谱仪：质量分辨率优于</w:t>
      </w:r>
      <w:r>
        <w:rPr>
          <w:rFonts w:hint="eastAsia" w:ascii="宋体" w:hAnsi="宋体" w:cs="宋体"/>
          <w:color w:val="000000"/>
          <w:szCs w:val="21"/>
        </w:rPr>
        <w:t>（0.8±0.1）amu。</w:t>
      </w:r>
    </w:p>
    <w:p>
      <w:pPr>
        <w:ind w:left="0" w:leftChars="0" w:firstLine="0" w:firstLineChars="0"/>
        <w:rPr>
          <w:szCs w:val="21"/>
        </w:rPr>
      </w:pPr>
      <w:r>
        <w:rPr>
          <w:rFonts w:hint="eastAsia" w:ascii="宋体" w:hAnsi="宋体" w:cs="宋体"/>
          <w:szCs w:val="21"/>
        </w:rPr>
        <w:t xml:space="preserve">2.3.2 </w:t>
      </w:r>
      <w:r>
        <w:rPr>
          <w:rFonts w:hint="eastAsia"/>
          <w:szCs w:val="21"/>
        </w:rPr>
        <w:t>微柱分离装置：流路见图1。将</w:t>
      </w:r>
      <w:r>
        <w:rPr>
          <w:szCs w:val="21"/>
        </w:rPr>
        <w:t>C272</w:t>
      </w:r>
      <w:r>
        <w:rPr>
          <w:rFonts w:hint="eastAsia"/>
          <w:szCs w:val="21"/>
        </w:rPr>
        <w:t>微型分离柱（2.</w:t>
      </w:r>
      <w:r>
        <w:rPr>
          <w:szCs w:val="21"/>
        </w:rPr>
        <w:t>2</w:t>
      </w:r>
      <w:r>
        <w:rPr>
          <w:rFonts w:hint="eastAsia"/>
          <w:szCs w:val="21"/>
        </w:rPr>
        <w:t>.30）用内径</w:t>
      </w:r>
      <w:r>
        <w:rPr>
          <w:szCs w:val="21"/>
        </w:rPr>
        <w:t>0.8mm</w:t>
      </w:r>
      <w:r>
        <w:rPr>
          <w:rFonts w:hint="eastAsia"/>
          <w:szCs w:val="21"/>
        </w:rPr>
        <w:t>聚四氟乙烯管连接在流路中，用</w:t>
      </w:r>
      <w:r>
        <w:rPr>
          <w:szCs w:val="21"/>
        </w:rPr>
        <w:t>3</w:t>
      </w:r>
      <w:r>
        <w:rPr>
          <w:rFonts w:hint="eastAsia"/>
          <w:szCs w:val="21"/>
        </w:rPr>
        <w:t>只旋转阀切换阀位，顺序完成平衡</w:t>
      </w:r>
      <w:r>
        <w:rPr>
          <w:szCs w:val="21"/>
        </w:rPr>
        <w:t>——</w:t>
      </w:r>
      <w:r>
        <w:rPr>
          <w:rFonts w:hint="eastAsia"/>
          <w:szCs w:val="21"/>
        </w:rPr>
        <w:t>进样</w:t>
      </w:r>
      <w:r>
        <w:rPr>
          <w:szCs w:val="21"/>
        </w:rPr>
        <w:t>——</w:t>
      </w:r>
      <w:r>
        <w:rPr>
          <w:rFonts w:hint="eastAsia"/>
          <w:szCs w:val="21"/>
        </w:rPr>
        <w:t>淋洗（分离基体）</w:t>
      </w:r>
      <w:r>
        <w:rPr>
          <w:szCs w:val="21"/>
        </w:rPr>
        <w:t>——</w:t>
      </w:r>
      <w:r>
        <w:rPr>
          <w:rFonts w:hint="eastAsia"/>
          <w:szCs w:val="21"/>
        </w:rPr>
        <w:t>洗脱</w:t>
      </w:r>
      <w:r>
        <w:rPr>
          <w:szCs w:val="21"/>
        </w:rPr>
        <w:t>——</w:t>
      </w:r>
      <w:r>
        <w:rPr>
          <w:rFonts w:hint="eastAsia"/>
          <w:szCs w:val="21"/>
        </w:rPr>
        <w:t>收集待测杂质元素</w:t>
      </w:r>
      <w:r>
        <w:rPr>
          <w:szCs w:val="21"/>
        </w:rPr>
        <w:t>——</w:t>
      </w:r>
      <w:r>
        <w:rPr>
          <w:rFonts w:hint="eastAsia"/>
          <w:szCs w:val="21"/>
        </w:rPr>
        <w:t>再生过程。</w:t>
      </w:r>
    </w:p>
    <w:p>
      <w:pPr>
        <w:pStyle w:val="168"/>
        <w:ind w:firstLine="0" w:firstLineChars="0"/>
        <w:jc w:val="center"/>
        <w:rPr>
          <w:szCs w:val="20"/>
        </w:rPr>
      </w:pPr>
      <w:r>
        <w:rPr>
          <w:szCs w:val="20"/>
        </w:rPr>
        <w:pict>
          <v:shape id="_x0000_i1026" o:spt="75" type="#_x0000_t75" style="height:136.5pt;width:328.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pStyle w:val="168"/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b/>
          <w:bCs/>
        </w:rPr>
        <w:t xml:space="preserve">1 </w:t>
      </w:r>
      <w:r>
        <w:rPr>
          <w:rFonts w:hint="eastAsia"/>
          <w:b/>
          <w:bCs/>
        </w:rPr>
        <w:t>微型柱分离富集装置流路图</w:t>
      </w:r>
    </w:p>
    <w:p>
      <w:pPr>
        <w:pStyle w:val="168"/>
        <w:ind w:firstLine="840" w:firstLineChars="400"/>
        <w:rPr>
          <w:szCs w:val="20"/>
        </w:rPr>
      </w:pPr>
      <w:r>
        <w:rPr>
          <w:szCs w:val="20"/>
        </w:rPr>
        <w:t>P</w:t>
      </w:r>
      <w:r>
        <w:rPr>
          <w:szCs w:val="20"/>
          <w:vertAlign w:val="subscript"/>
        </w:rPr>
        <w:t>1</w:t>
      </w:r>
      <w:r>
        <w:rPr>
          <w:rFonts w:hint="eastAsia"/>
          <w:szCs w:val="20"/>
        </w:rPr>
        <w:t>，</w:t>
      </w:r>
      <w:r>
        <w:rPr>
          <w:szCs w:val="20"/>
        </w:rPr>
        <w:t>P</w:t>
      </w:r>
      <w:r>
        <w:rPr>
          <w:szCs w:val="20"/>
          <w:vertAlign w:val="subscript"/>
        </w:rPr>
        <w:t>2</w:t>
      </w:r>
      <w:r>
        <w:rPr>
          <w:szCs w:val="20"/>
        </w:rPr>
        <w:t>——</w:t>
      </w:r>
      <w:r>
        <w:rPr>
          <w:rFonts w:hint="eastAsia"/>
          <w:szCs w:val="20"/>
        </w:rPr>
        <w:t>蠕动泵（两通道，可调速）；</w:t>
      </w:r>
    </w:p>
    <w:p>
      <w:pPr>
        <w:pStyle w:val="168"/>
        <w:ind w:firstLine="840" w:firstLineChars="400"/>
        <w:rPr>
          <w:szCs w:val="20"/>
        </w:rPr>
      </w:pPr>
      <w:r>
        <w:rPr>
          <w:szCs w:val="20"/>
        </w:rPr>
        <w:t>V</w:t>
      </w:r>
      <w:r>
        <w:rPr>
          <w:szCs w:val="20"/>
          <w:vertAlign w:val="subscript"/>
        </w:rPr>
        <w:t>1</w:t>
      </w:r>
      <w:r>
        <w:rPr>
          <w:rFonts w:hint="eastAsia"/>
          <w:szCs w:val="20"/>
        </w:rPr>
        <w:t>，</w:t>
      </w:r>
      <w:r>
        <w:rPr>
          <w:szCs w:val="20"/>
        </w:rPr>
        <w:t>V</w:t>
      </w:r>
      <w:r>
        <w:rPr>
          <w:szCs w:val="20"/>
          <w:vertAlign w:val="subscript"/>
        </w:rPr>
        <w:t>2</w:t>
      </w:r>
      <w:r>
        <w:rPr>
          <w:rFonts w:hint="eastAsia"/>
          <w:szCs w:val="20"/>
        </w:rPr>
        <w:t>，</w:t>
      </w:r>
      <w:r>
        <w:rPr>
          <w:szCs w:val="20"/>
        </w:rPr>
        <w:t>V</w:t>
      </w:r>
      <w:r>
        <w:rPr>
          <w:szCs w:val="20"/>
          <w:vertAlign w:val="subscript"/>
        </w:rPr>
        <w:t>3</w:t>
      </w:r>
      <w:r>
        <w:rPr>
          <w:szCs w:val="20"/>
        </w:rPr>
        <w:t>——</w:t>
      </w:r>
      <w:r>
        <w:rPr>
          <w:rFonts w:hint="eastAsia"/>
          <w:szCs w:val="20"/>
        </w:rPr>
        <w:t>旋转阀；</w:t>
      </w:r>
    </w:p>
    <w:p>
      <w:pPr>
        <w:pStyle w:val="168"/>
        <w:ind w:firstLine="840" w:firstLineChars="400"/>
        <w:rPr>
          <w:szCs w:val="20"/>
        </w:rPr>
      </w:pPr>
      <w:r>
        <w:rPr>
          <w:szCs w:val="20"/>
        </w:rPr>
        <w:t>CL——C272</w:t>
      </w:r>
      <w:r>
        <w:rPr>
          <w:rFonts w:hint="eastAsia"/>
          <w:szCs w:val="20"/>
        </w:rPr>
        <w:t>微型分离柱；</w:t>
      </w:r>
    </w:p>
    <w:p>
      <w:pPr>
        <w:pStyle w:val="168"/>
        <w:ind w:firstLine="840" w:firstLineChars="400"/>
        <w:rPr>
          <w:szCs w:val="20"/>
        </w:rPr>
      </w:pPr>
      <w:r>
        <w:rPr>
          <w:szCs w:val="20"/>
        </w:rPr>
        <w:t>R——</w:t>
      </w:r>
      <w:r>
        <w:rPr>
          <w:rFonts w:hint="eastAsia"/>
          <w:szCs w:val="20"/>
        </w:rPr>
        <w:t>返回；</w:t>
      </w:r>
    </w:p>
    <w:p>
      <w:pPr>
        <w:pStyle w:val="168"/>
        <w:ind w:firstLine="840" w:firstLineChars="400"/>
        <w:rPr>
          <w:szCs w:val="20"/>
        </w:rPr>
      </w:pPr>
      <w:r>
        <w:rPr>
          <w:szCs w:val="20"/>
        </w:rPr>
        <w:t>H——</w:t>
      </w:r>
      <w:r>
        <w:rPr>
          <w:rFonts w:hint="eastAsia"/>
          <w:szCs w:val="20"/>
        </w:rPr>
        <w:t>淋洗液管路；</w:t>
      </w:r>
    </w:p>
    <w:p>
      <w:pPr>
        <w:pStyle w:val="168"/>
        <w:ind w:firstLine="840" w:firstLineChars="400"/>
      </w:pPr>
      <w:r>
        <w:t>S——</w:t>
      </w:r>
      <w:r>
        <w:rPr>
          <w:rFonts w:hint="eastAsia"/>
        </w:rPr>
        <w:t>取样管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t>E——</w:t>
      </w:r>
      <w:r>
        <w:rPr>
          <w:rFonts w:hint="eastAsia"/>
        </w:rPr>
        <w:t>洗脱液管路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t>C——</w:t>
      </w:r>
      <w:r>
        <w:rPr>
          <w:rFonts w:hint="eastAsia"/>
        </w:rPr>
        <w:t>收集液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t>W——</w:t>
      </w:r>
      <w:r>
        <w:rPr>
          <w:rFonts w:hint="eastAsia"/>
        </w:rPr>
        <w:t>废液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t>A</w:t>
      </w:r>
      <w:r>
        <w:rPr>
          <w:rFonts w:hint="eastAsia"/>
        </w:rPr>
        <w:t>，</w:t>
      </w:r>
      <w:r>
        <w:t>B——</w:t>
      </w:r>
      <w:r>
        <w:rPr>
          <w:rFonts w:hint="eastAsia"/>
        </w:rPr>
        <w:t>阀位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rPr>
          <w:rFonts w:hint="eastAsia"/>
        </w:rPr>
        <w:t>平衡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A~V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rPr>
          <w:rFonts w:hint="eastAsia"/>
        </w:rPr>
        <w:t>进样</w:t>
      </w:r>
      <w:r>
        <w:t>——V</w:t>
      </w:r>
      <w:r>
        <w:rPr>
          <w:szCs w:val="20"/>
          <w:vertAlign w:val="subscript"/>
        </w:rPr>
        <w:t>1</w:t>
      </w:r>
      <w:r>
        <w:t>B~V</w:t>
      </w:r>
      <w:r>
        <w:rPr>
          <w:szCs w:val="20"/>
          <w:vertAlign w:val="subscript"/>
        </w:rPr>
        <w:t>2</w:t>
      </w:r>
      <w:r>
        <w:t>A~V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rPr>
          <w:rFonts w:hint="eastAsia"/>
        </w:rPr>
        <w:t>淋洗（分离基体）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A~V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rPr>
          <w:rFonts w:hint="eastAsia"/>
        </w:rPr>
        <w:t>洗脱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B~V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rPr>
          <w:rFonts w:hint="eastAsia"/>
        </w:rPr>
        <w:t>收集待测组分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B~V</w:t>
      </w:r>
      <w:r>
        <w:rPr>
          <w:szCs w:val="20"/>
          <w:vertAlign w:val="subscript"/>
        </w:rPr>
        <w:t>3</w:t>
      </w:r>
      <w:r>
        <w:t>B</w:t>
      </w:r>
      <w:r>
        <w:rPr>
          <w:rFonts w:hint="eastAsia"/>
          <w:szCs w:val="20"/>
        </w:rPr>
        <w:t>；</w:t>
      </w:r>
    </w:p>
    <w:p>
      <w:pPr>
        <w:pStyle w:val="168"/>
        <w:ind w:firstLine="840" w:firstLineChars="400"/>
      </w:pPr>
      <w:r>
        <w:rPr>
          <w:rFonts w:hint="eastAsia"/>
        </w:rPr>
        <w:t>平衡（再生）</w:t>
      </w:r>
      <w:r>
        <w:t>——V</w:t>
      </w:r>
      <w:r>
        <w:rPr>
          <w:szCs w:val="20"/>
          <w:vertAlign w:val="subscript"/>
        </w:rPr>
        <w:t>1</w:t>
      </w:r>
      <w:r>
        <w:t>A~V</w:t>
      </w:r>
      <w:r>
        <w:rPr>
          <w:szCs w:val="20"/>
          <w:vertAlign w:val="subscript"/>
        </w:rPr>
        <w:t>2</w:t>
      </w:r>
      <w:r>
        <w:t>B~V</w:t>
      </w:r>
      <w:r>
        <w:rPr>
          <w:szCs w:val="20"/>
          <w:vertAlign w:val="subscript"/>
        </w:rPr>
        <w:t>3</w:t>
      </w:r>
      <w:r>
        <w:t>A</w:t>
      </w:r>
      <w:r>
        <w:rPr>
          <w:rFonts w:hint="eastAsia"/>
        </w:rPr>
        <w:t>。</w:t>
      </w:r>
    </w:p>
    <w:p>
      <w:pPr>
        <w:ind w:left="0" w:leftChars="0" w:firstLine="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2.3.3 </w:t>
      </w:r>
      <w:r>
        <w:rPr>
          <w:color w:val="000000"/>
          <w:szCs w:val="21"/>
        </w:rPr>
        <w:t>TODGA基</w:t>
      </w:r>
      <w:r>
        <w:rPr>
          <w:rFonts w:hint="eastAsia"/>
          <w:color w:val="000000"/>
          <w:szCs w:val="21"/>
        </w:rPr>
        <w:t>体分离装置：取处理好的硅藻土填料（2.2.37），用硝酸（2.2.10）湿法装柱，色谱柱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内径</w:t>
      </w:r>
      <w:r>
        <w:rPr>
          <w:color w:val="000000"/>
          <w:szCs w:val="21"/>
        </w:rPr>
        <w:t>1 cm)</w:t>
      </w:r>
      <w:r>
        <w:rPr>
          <w:rFonts w:hint="eastAsia"/>
          <w:color w:val="000000"/>
          <w:szCs w:val="21"/>
        </w:rPr>
        <w:t>的有效高度为</w:t>
      </w:r>
      <w:r>
        <w:rPr>
          <w:color w:val="000000"/>
          <w:szCs w:val="21"/>
        </w:rPr>
        <w:t>20 cm</w:t>
      </w:r>
      <w:r>
        <w:rPr>
          <w:rFonts w:hint="eastAsia"/>
          <w:color w:val="000000"/>
          <w:szCs w:val="21"/>
        </w:rPr>
        <w:t>，装好后上加脱脂棉固定，装置见图2。用硝酸（2.2.10）淋洗分离柱至无氯离子（用硝酸银检验）。</w:t>
      </w:r>
    </w:p>
    <w:p>
      <w:pPr>
        <w:ind w:left="0" w:leftChars="0" w:firstLine="0" w:firstLineChars="0"/>
        <w:jc w:val="center"/>
      </w:pPr>
      <w:r>
        <w:pict>
          <v:shape id="_x0000_i1027" o:spt="75" type="#_x0000_t75" style="height:72.75pt;width:328.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ind w:left="0" w:leftChars="0" w:firstLine="0" w:firstLineChars="0"/>
        <w:jc w:val="center"/>
      </w:pPr>
    </w:p>
    <w:p>
      <w:pPr>
        <w:ind w:left="842" w:hanging="422"/>
        <w:jc w:val="center"/>
        <w:rPr>
          <w:b/>
          <w:bCs/>
        </w:rPr>
      </w:pPr>
      <w:r>
        <w:rPr>
          <w:rFonts w:hint="eastAsia"/>
          <w:b/>
          <w:bCs/>
        </w:rPr>
        <w:t>图2 TODGA负载分离装置示意图</w:t>
      </w:r>
    </w:p>
    <w:p>
      <w:pPr>
        <w:ind w:left="0" w:leftChars="0" w:firstLine="0" w:firstLineChars="0"/>
        <w:rPr>
          <w:b/>
          <w:bCs/>
        </w:rPr>
      </w:pPr>
    </w:p>
    <w:p>
      <w:pPr>
        <w:spacing w:beforeLines="100" w:afterLines="100"/>
        <w:ind w:left="199" w:leftChars="0" w:hanging="199" w:hangingChars="95"/>
        <w:rPr>
          <w:rFonts w:ascii="黑体" w:hAnsi="黑体" w:eastAsia="黑体"/>
        </w:rPr>
      </w:pPr>
      <w:bookmarkStart w:id="3" w:name="_Ref409982580"/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 xml:space="preserve">4  </w:t>
      </w:r>
      <w:r>
        <w:rPr>
          <w:rFonts w:hint="eastAsia" w:ascii="黑体" w:hAnsi="黑体" w:eastAsia="黑体"/>
        </w:rPr>
        <w:t>试样</w:t>
      </w:r>
      <w:bookmarkEnd w:id="3"/>
    </w:p>
    <w:p>
      <w:pPr>
        <w:ind w:left="0" w:leftChars="0" w:firstLine="0"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</w:rPr>
        <w:t>2.4.1</w:t>
      </w:r>
      <w:r>
        <w:rPr>
          <w:rFonts w:hint="eastAsia" w:ascii="宋体" w:hAnsi="宋体" w:cs="宋体"/>
          <w:color w:val="000000"/>
        </w:rPr>
        <w:t xml:space="preserve"> 氧化物试样于950℃灼烧至恒重，取出稍冷置于干燥器中，冷却至室温，立即称量。</w:t>
      </w:r>
    </w:p>
    <w:p>
      <w:pPr>
        <w:pStyle w:val="168"/>
        <w:ind w:firstLine="0" w:firstLineChars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</w:rPr>
        <w:t>2.4.2</w:t>
      </w:r>
      <w:r>
        <w:rPr>
          <w:rFonts w:hint="eastAsia" w:ascii="宋体" w:hAnsi="宋体" w:cs="宋体"/>
          <w:color w:val="000000"/>
        </w:rPr>
        <w:t xml:space="preserve"> 金属试样应去掉表面氧化层，取样后，立即称量。</w:t>
      </w:r>
    </w:p>
    <w:p>
      <w:pPr>
        <w:pStyle w:val="168"/>
        <w:ind w:firstLine="0" w:firstLineChars="0"/>
        <w:rPr>
          <w:color w:val="000000"/>
        </w:rPr>
      </w:pPr>
      <w:r>
        <w:rPr>
          <w:rFonts w:hint="eastAsia"/>
          <w:color w:val="000000"/>
        </w:rPr>
        <w:t>注：加工、处理试样时，确保试样清洁，防止污染。</w:t>
      </w:r>
    </w:p>
    <w:p>
      <w:pPr>
        <w:spacing w:beforeLines="100" w:afterLines="100"/>
        <w:ind w:left="199" w:leftChars="0" w:hanging="199" w:hangingChars="9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分析步骤</w:t>
      </w:r>
    </w:p>
    <w:p>
      <w:pPr>
        <w:pStyle w:val="168"/>
        <w:ind w:firstLine="0" w:firstLineChars="0"/>
        <w:rPr>
          <w:color w:val="000000"/>
        </w:rPr>
      </w:pPr>
      <w:bookmarkStart w:id="4" w:name="_Ref409982461"/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5.1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试料</w:t>
      </w:r>
      <w:bookmarkEnd w:id="4"/>
    </w:p>
    <w:p>
      <w:pPr>
        <w:pStyle w:val="168"/>
      </w:pPr>
      <w:r>
        <w:rPr>
          <w:rFonts w:hint="eastAsia"/>
        </w:rPr>
        <w:t>按表2称取试样（2.4），精确至</w:t>
      </w:r>
      <w:r>
        <w:t>0.0001g</w:t>
      </w:r>
      <w:r>
        <w:rPr>
          <w:rFonts w:hint="eastAsia"/>
        </w:rPr>
        <w:t>。</w:t>
      </w:r>
    </w:p>
    <w:p>
      <w:pPr>
        <w:ind w:left="398" w:leftChars="95" w:hanging="199" w:hangingChars="95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表2称样量</w:t>
      </w:r>
    </w:p>
    <w:tbl>
      <w:tblPr>
        <w:tblStyle w:val="51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auto" w:sz="12" w:space="0"/>
              <w:bottom w:val="single" w:color="auto" w:sz="12" w:space="0"/>
              <w:right w:val="double" w:color="auto" w:sz="4" w:space="0"/>
            </w:tcBorders>
          </w:tcPr>
          <w:p>
            <w:pPr>
              <w:pStyle w:val="168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被测元素质量分数/%</w:t>
            </w:r>
          </w:p>
        </w:tc>
        <w:tc>
          <w:tcPr>
            <w:tcW w:w="462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</w:tcBorders>
          </w:tcPr>
          <w:p>
            <w:pPr>
              <w:pStyle w:val="168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试样量/g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0" w:type="dxa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pStyle w:val="168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0.00001～0.010</w:t>
            </w:r>
          </w:p>
        </w:tc>
        <w:tc>
          <w:tcPr>
            <w:tcW w:w="4620" w:type="dxa"/>
            <w:tcBorders>
              <w:top w:val="single" w:color="auto" w:sz="12" w:space="0"/>
              <w:left w:val="double" w:color="auto" w:sz="4" w:space="0"/>
            </w:tcBorders>
          </w:tcPr>
          <w:p>
            <w:pPr>
              <w:pStyle w:val="168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0" w:type="dxa"/>
            <w:tcBorders>
              <w:right w:val="double" w:color="auto" w:sz="4" w:space="0"/>
            </w:tcBorders>
          </w:tcPr>
          <w:p>
            <w:pPr>
              <w:pStyle w:val="168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&gt;0.010～0.0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620" w:type="dxa"/>
            <w:tcBorders>
              <w:left w:val="double" w:color="auto" w:sz="4" w:space="0"/>
            </w:tcBorders>
          </w:tcPr>
          <w:p>
            <w:pPr>
              <w:pStyle w:val="168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0.10</w:t>
            </w:r>
          </w:p>
        </w:tc>
      </w:tr>
    </w:tbl>
    <w:p>
      <w:pPr>
        <w:pStyle w:val="168"/>
        <w:ind w:firstLine="0" w:firstLineChars="0"/>
        <w:rPr>
          <w:color w:val="000000"/>
        </w:rPr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5.2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测定次数</w:t>
      </w:r>
    </w:p>
    <w:p>
      <w:pPr>
        <w:pStyle w:val="168"/>
      </w:pPr>
      <w:r>
        <w:rPr>
          <w:rFonts w:hint="eastAsia"/>
        </w:rPr>
        <w:t>独立进行两次测定，取其平均值。</w:t>
      </w:r>
    </w:p>
    <w:p>
      <w:pPr>
        <w:pStyle w:val="168"/>
        <w:ind w:firstLine="0" w:firstLineChars="0"/>
        <w:rPr>
          <w:color w:val="000000"/>
        </w:rPr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5.3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空白试验</w:t>
      </w:r>
    </w:p>
    <w:p>
      <w:pPr>
        <w:pStyle w:val="168"/>
      </w:pPr>
      <w:r>
        <w:rPr>
          <w:rFonts w:hint="eastAsia"/>
        </w:rPr>
        <w:t>随同试料做空白试验。</w:t>
      </w:r>
    </w:p>
    <w:p>
      <w:pPr>
        <w:pStyle w:val="25"/>
        <w:widowControl w:val="0"/>
        <w:adjustRightInd w:val="0"/>
        <w:snapToGrid w:val="0"/>
        <w:ind w:left="0" w:leftChars="0" w:right="0" w:firstLine="0" w:firstLineChars="0"/>
        <w:jc w:val="both"/>
        <w:rPr>
          <w:rFonts w:ascii="Times New Roman" w:hAnsi="Times New Roman"/>
          <w:szCs w:val="21"/>
        </w:rPr>
      </w:pPr>
      <w:bookmarkStart w:id="5" w:name="_Ref409983899"/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5.4</w:t>
      </w:r>
      <w:r>
        <w:rPr>
          <w:color w:val="000000"/>
        </w:rPr>
        <w:t xml:space="preserve">  </w:t>
      </w:r>
      <w:r>
        <w:rPr>
          <w:rFonts w:hint="eastAsia" w:ascii="Times New Roman" w:hAnsi="Times New Roman"/>
          <w:szCs w:val="21"/>
        </w:rPr>
        <w:t>工作曲线的配制</w:t>
      </w:r>
    </w:p>
    <w:p>
      <w:pPr>
        <w:pStyle w:val="25"/>
        <w:widowControl w:val="0"/>
        <w:adjustRightInd w:val="0"/>
        <w:snapToGrid w:val="0"/>
        <w:ind w:left="0" w:leftChars="0" w:right="0" w:firstLine="400" w:firstLineChars="200"/>
        <w:jc w:val="both"/>
        <w:rPr>
          <w:color w:val="000000"/>
        </w:rPr>
      </w:pPr>
      <w:r>
        <w:rPr>
          <w:rFonts w:ascii="Times New Roman" w:hAnsi="Times New Roman"/>
        </w:rPr>
        <w:t>准确移取0mL、</w:t>
      </w:r>
      <w:r>
        <w:rPr>
          <w:rFonts w:hint="eastAsia" w:ascii="Times New Roman" w:hAnsi="Times New Roman"/>
        </w:rPr>
        <w:t>0.50</w:t>
      </w:r>
      <w:r>
        <w:rPr>
          <w:rFonts w:ascii="Times New Roman" w:hAnsi="Times New Roman"/>
        </w:rPr>
        <w:t>mL</w:t>
      </w:r>
      <w:r>
        <w:rPr>
          <w:rFonts w:hint="eastAsia" w:ascii="Times New Roman" w:hAnsi="Times New Roman"/>
        </w:rPr>
        <w:t>、1.00</w:t>
      </w:r>
      <w:r>
        <w:rPr>
          <w:rFonts w:ascii="Times New Roman" w:hAnsi="Times New Roman"/>
        </w:rPr>
        <w:t>mL混合稀土标准溶液（</w:t>
      </w:r>
      <w:r>
        <w:rPr>
          <w:rFonts w:hint="eastAsia" w:ascii="Times New Roman" w:hAnsi="Times New Roman"/>
        </w:rPr>
        <w:t>2.2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31</w:t>
      </w:r>
      <w:r>
        <w:rPr>
          <w:rFonts w:ascii="Times New Roman" w:hAnsi="Times New Roman"/>
        </w:rPr>
        <w:t>）、</w:t>
      </w:r>
      <w:r>
        <w:rPr>
          <w:rFonts w:hint="eastAsia" w:ascii="Times New Roman" w:hAnsi="Times New Roman"/>
        </w:rPr>
        <w:t>0.5</w:t>
      </w:r>
      <w:r>
        <w:rPr>
          <w:rFonts w:ascii="Times New Roman" w:hAnsi="Times New Roman"/>
        </w:rPr>
        <w:t>0mL、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.00mL、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.00mL、</w:t>
      </w:r>
      <w:r>
        <w:rPr>
          <w:rFonts w:hint="eastAsia" w:ascii="Times New Roman" w:hAnsi="Times New Roman"/>
        </w:rPr>
        <w:t>6.0</w:t>
      </w:r>
      <w:r>
        <w:rPr>
          <w:rFonts w:ascii="Times New Roman" w:hAnsi="Times New Roman"/>
        </w:rPr>
        <w:t>0mL混合稀土标准溶液（</w:t>
      </w:r>
      <w:r>
        <w:rPr>
          <w:rFonts w:hint="eastAsia" w:ascii="Times New Roman" w:hAnsi="Times New Roman"/>
        </w:rPr>
        <w:t>2.2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32</w:t>
      </w:r>
      <w:r>
        <w:rPr>
          <w:rFonts w:ascii="Times New Roman" w:hAnsi="Times New Roman"/>
        </w:rPr>
        <w:t>）于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个100mL容量瓶中，</w:t>
      </w:r>
      <w:r>
        <w:rPr>
          <w:rFonts w:ascii="Times New Roman" w:hAnsi="Times New Roman"/>
          <w:color w:val="000000"/>
        </w:rPr>
        <w:t>加</w:t>
      </w:r>
      <w:r>
        <w:rPr>
          <w:rFonts w:hint="eastAsia" w:ascii="Times New Roman" w:hAnsi="Times New Roman"/>
          <w:color w:val="000000"/>
        </w:rPr>
        <w:t>入2</w:t>
      </w:r>
      <w:r>
        <w:rPr>
          <w:rFonts w:ascii="Times New Roman" w:hAnsi="Times New Roman"/>
          <w:color w:val="000000"/>
        </w:rPr>
        <w:t>mL硝酸（</w:t>
      </w:r>
      <w:r>
        <w:rPr>
          <w:rFonts w:hint="eastAsia" w:ascii="Times New Roman" w:hAnsi="Times New Roman"/>
        </w:rPr>
        <w:t>2.2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），</w:t>
      </w:r>
      <w:r>
        <w:rPr>
          <w:rFonts w:ascii="Times New Roman" w:hAnsi="Times New Roman"/>
        </w:rPr>
        <w:t>以水稀释至刻度，混匀，待测。此标准系列溶液1mL含单一稀土氧化物分别为0ng、</w:t>
      </w:r>
      <w:r>
        <w:rPr>
          <w:rFonts w:hint="eastAsia" w:ascii="Times New Roman" w:hAnsi="Times New Roman"/>
        </w:rPr>
        <w:t>0.50ng、1ng、5</w:t>
      </w:r>
      <w:r>
        <w:rPr>
          <w:rFonts w:ascii="Times New Roman" w:hAnsi="Times New Roman"/>
        </w:rPr>
        <w:t>.0ng、10.0ng、</w:t>
      </w:r>
      <w:r>
        <w:rPr>
          <w:rFonts w:hint="eastAsia" w:ascii="Times New Roman" w:hAnsi="Times New Roman"/>
        </w:rPr>
        <w:t>30.0ng、6</w:t>
      </w:r>
      <w:r>
        <w:rPr>
          <w:rFonts w:ascii="Times New Roman" w:hAnsi="Times New Roman"/>
        </w:rPr>
        <w:t>0.0ng。</w:t>
      </w:r>
    </w:p>
    <w:p>
      <w:pPr>
        <w:pStyle w:val="168"/>
        <w:ind w:firstLine="0" w:firstLineChars="0"/>
        <w:rPr>
          <w:color w:val="000000"/>
        </w:rPr>
      </w:pPr>
      <w:r>
        <w:rPr>
          <w:rFonts w:hint="eastAsia" w:ascii="黑体" w:hAnsi="黑体" w:eastAsia="黑体" w:cs="黑体"/>
          <w:color w:val="000000"/>
        </w:rPr>
        <w:t>2.5.5</w:t>
      </w:r>
      <w:r>
        <w:rPr>
          <w:rFonts w:hint="eastAsia"/>
          <w:color w:val="000000"/>
        </w:rPr>
        <w:t>分析试液的制备</w:t>
      </w:r>
      <w:bookmarkEnd w:id="5"/>
    </w:p>
    <w:p>
      <w:pPr>
        <w:pStyle w:val="168"/>
        <w:ind w:firstLine="0" w:firstLineChars="0"/>
        <w:rPr>
          <w:color w:val="000000"/>
        </w:rPr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5.</w:t>
      </w:r>
      <w:r>
        <w:rPr>
          <w:rFonts w:hint="eastAsia" w:ascii="黑体" w:hAnsi="黑体" w:eastAsia="黑体"/>
        </w:rPr>
        <w:t>5</w:t>
      </w:r>
      <w:r>
        <w:rPr>
          <w:rFonts w:ascii="黑体" w:hAnsi="黑体" w:eastAsia="黑体"/>
        </w:rPr>
        <w:t>.1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试料溶液的制备</w:t>
      </w:r>
    </w:p>
    <w:p>
      <w:pPr>
        <w:pStyle w:val="25"/>
        <w:widowControl w:val="0"/>
        <w:adjustRightInd w:val="0"/>
        <w:snapToGrid w:val="0"/>
        <w:ind w:left="0" w:leftChars="0" w:right="0" w:firstLine="0" w:firstLineChars="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  <w:color w:val="FF0000"/>
          <w:szCs w:val="21"/>
        </w:rPr>
        <w:t xml:space="preserve">    </w:t>
      </w:r>
      <w:r>
        <w:rPr>
          <w:rFonts w:ascii="Times New Roman" w:hAnsi="Times New Roman"/>
        </w:rPr>
        <w:t>将试料</w:t>
      </w:r>
      <w:r>
        <w:rPr>
          <w:rFonts w:hint="eastAsia" w:hAnsi="宋体"/>
        </w:rPr>
        <w:t>（</w:t>
      </w:r>
      <w:r>
        <w:rPr>
          <w:rFonts w:ascii="Times New Roman" w:hAnsi="Times New Roman"/>
        </w:rPr>
        <w:t>2.5.1</w:t>
      </w:r>
      <w:r>
        <w:rPr>
          <w:rFonts w:hint="eastAsia" w:hAnsi="宋体"/>
        </w:rPr>
        <w:t>）</w:t>
      </w:r>
      <w:r>
        <w:rPr>
          <w:rFonts w:ascii="Times New Roman" w:hAnsi="Times New Roman"/>
        </w:rPr>
        <w:t>置于50mL烧杯中，加入5mL硝酸（</w:t>
      </w:r>
      <w:r>
        <w:rPr>
          <w:rFonts w:hint="eastAsia" w:ascii="Times New Roman" w:hAnsi="Times New Roman"/>
        </w:rPr>
        <w:t>2.2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或盐酸（2.2.5）</w:t>
      </w:r>
      <w:r>
        <w:rPr>
          <w:rFonts w:ascii="Times New Roman" w:hAnsi="Times New Roman"/>
        </w:rPr>
        <w:t>，低温加热至溶解完全，</w:t>
      </w:r>
      <w:r>
        <w:rPr>
          <w:rFonts w:hint="eastAsia" w:ascii="Times New Roman" w:hAnsi="Times New Roman"/>
        </w:rPr>
        <w:t>蒸干后，立即取下，稍冷，以少量盐酸淋洗液（</w:t>
      </w:r>
      <w:r>
        <w:rPr>
          <w:rFonts w:ascii="Times New Roman" w:hAnsi="Times New Roman"/>
          <w:color w:val="000000"/>
        </w:rPr>
        <w:t>2.2.</w:t>
      </w:r>
      <w:r>
        <w:rPr>
          <w:rFonts w:hint="eastAsia" w:ascii="Times New Roman" w:hAnsi="Times New Roman"/>
          <w:color w:val="000000"/>
        </w:rPr>
        <w:t>13</w:t>
      </w:r>
      <w:r>
        <w:rPr>
          <w:rFonts w:hint="eastAsia" w:ascii="Times New Roman" w:hAnsi="Times New Roman"/>
        </w:rPr>
        <w:t>）溶解盐类，取下</w:t>
      </w:r>
      <w:r>
        <w:rPr>
          <w:rFonts w:ascii="Times New Roman" w:hAnsi="Times New Roman"/>
        </w:rPr>
        <w:t>冷却</w:t>
      </w:r>
      <w:r>
        <w:rPr>
          <w:rFonts w:hint="eastAsia" w:ascii="Times New Roman" w:hAnsi="Times New Roman"/>
        </w:rPr>
        <w:t>至室温</w:t>
      </w:r>
      <w:r>
        <w:rPr>
          <w:rFonts w:ascii="Times New Roman" w:hAnsi="Times New Roman"/>
        </w:rPr>
        <w:t>，移入50mL容量瓶中，</w:t>
      </w:r>
      <w:r>
        <w:rPr>
          <w:rFonts w:hint="eastAsia" w:ascii="Times New Roman" w:hAnsi="Times New Roman"/>
        </w:rPr>
        <w:t>以盐酸淋洗液（</w:t>
      </w:r>
      <w:r>
        <w:rPr>
          <w:rFonts w:ascii="Times New Roman" w:hAnsi="Times New Roman"/>
          <w:color w:val="000000"/>
        </w:rPr>
        <w:t>2.2.</w:t>
      </w:r>
      <w:r>
        <w:rPr>
          <w:rFonts w:hint="eastAsia" w:ascii="Times New Roman" w:hAnsi="Times New Roman"/>
          <w:color w:val="000000"/>
        </w:rPr>
        <w:t>13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稀释至刻度，混匀。</w:t>
      </w:r>
    </w:p>
    <w:p>
      <w:pPr>
        <w:pStyle w:val="25"/>
        <w:widowControl w:val="0"/>
        <w:adjustRightInd w:val="0"/>
        <w:snapToGrid w:val="0"/>
        <w:ind w:left="0" w:leftChars="0" w:right="0" w:firstLine="0" w:firstLineChars="0"/>
        <w:jc w:val="both"/>
        <w:rPr>
          <w:rFonts w:ascii="Times New Roman" w:hAnsi="Times New Roman"/>
          <w:szCs w:val="21"/>
        </w:rPr>
      </w:pPr>
      <w:r>
        <w:rPr>
          <w:rFonts w:hint="eastAsia" w:ascii="黑体" w:hAnsi="黑体" w:eastAsia="黑体" w:cs="黑体"/>
          <w:szCs w:val="21"/>
        </w:rPr>
        <w:t>2.5.5.2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直接测定用分析试液的制备</w:t>
      </w:r>
    </w:p>
    <w:p>
      <w:pPr>
        <w:pStyle w:val="25"/>
        <w:widowControl w:val="0"/>
        <w:adjustRightInd w:val="0"/>
        <w:snapToGrid w:val="0"/>
        <w:ind w:left="0" w:leftChars="0" w:right="0" w:firstLine="400" w:firstLineChars="200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准确移</w:t>
      </w:r>
      <w:r>
        <w:rPr>
          <w:rFonts w:ascii="Times New Roman" w:hAnsi="Times New Roman"/>
        </w:rPr>
        <w:t>取1.00mL</w:t>
      </w:r>
      <w:r>
        <w:rPr>
          <w:rFonts w:hint="eastAsia" w:ascii="Times New Roman" w:hAnsi="Times New Roman"/>
        </w:rPr>
        <w:t>上述</w:t>
      </w:r>
      <w:r>
        <w:rPr>
          <w:rFonts w:ascii="Times New Roman" w:hAnsi="Times New Roman"/>
        </w:rPr>
        <w:t>试液（</w:t>
      </w:r>
      <w:r>
        <w:rPr>
          <w:rFonts w:hint="eastAsia" w:ascii="Times New Roman" w:hAnsi="Times New Roman"/>
        </w:rPr>
        <w:t>2.5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.1）于10mL比色管中，加入0.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0m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硝酸（</w:t>
      </w:r>
      <w:r>
        <w:rPr>
          <w:rFonts w:hint="eastAsia" w:ascii="Times New Roman" w:hAnsi="Times New Roman"/>
        </w:rPr>
        <w:t>2.2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），</w:t>
      </w:r>
      <w:r>
        <w:rPr>
          <w:rFonts w:hint="eastAsia" w:ascii="Times New Roman" w:hAnsi="Times New Roman"/>
        </w:rPr>
        <w:t>以水</w:t>
      </w:r>
      <w:r>
        <w:rPr>
          <w:rFonts w:ascii="Times New Roman" w:hAnsi="Times New Roman"/>
        </w:rPr>
        <w:t>稀释至刻度，混匀</w:t>
      </w:r>
      <w:r>
        <w:rPr>
          <w:rFonts w:hint="eastAsia" w:ascii="Times New Roman" w:hAnsi="Times New Roman"/>
        </w:rPr>
        <w:t>，待测。</w:t>
      </w:r>
    </w:p>
    <w:p>
      <w:pPr>
        <w:pStyle w:val="25"/>
        <w:widowControl w:val="0"/>
        <w:adjustRightInd w:val="0"/>
        <w:snapToGrid w:val="0"/>
        <w:ind w:left="0" w:leftChars="0" w:right="0" w:firstLine="0" w:firstLineChars="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2.5.5.3微柱分离后分离后（铽、镝和钬）测定用分析试液的制备</w:t>
      </w:r>
    </w:p>
    <w:p>
      <w:pPr>
        <w:widowControl w:val="0"/>
        <w:ind w:left="0" w:leftChars="0" w:right="0" w:firstLine="0" w:firstLineChars="0"/>
        <w:jc w:val="both"/>
        <w:rPr>
          <w:color w:val="000000"/>
        </w:rPr>
      </w:pPr>
      <w:r>
        <w:rPr>
          <w:rFonts w:hint="eastAsia" w:ascii="黑体" w:hAnsi="黑体" w:eastAsia="黑体" w:cs="黑体"/>
        </w:rPr>
        <w:t>2.5.5.3.1</w:t>
      </w:r>
      <w:r>
        <w:rPr>
          <w:rFonts w:hint="eastAsia" w:ascii="黑体" w:hAnsi="黑体" w:eastAsia="黑体" w:cs="黑体"/>
          <w:color w:val="000000"/>
        </w:rPr>
        <w:t xml:space="preserve"> </w:t>
      </w:r>
      <w:r>
        <w:rPr>
          <w:color w:val="000000"/>
        </w:rPr>
        <w:t>分离柱的准备</w:t>
      </w:r>
    </w:p>
    <w:p>
      <w:pPr>
        <w:widowControl w:val="0"/>
        <w:ind w:left="0" w:leftChars="0" w:right="0" w:firstLine="420" w:firstLineChars="200"/>
        <w:jc w:val="both"/>
        <w:rPr>
          <w:color w:val="000000"/>
        </w:rPr>
      </w:pPr>
      <w:r>
        <w:rPr>
          <w:color w:val="000000"/>
        </w:rPr>
        <w:t>将微型分离柱（</w:t>
      </w:r>
      <w:r>
        <w:rPr>
          <w:rFonts w:hint="eastAsia"/>
          <w:color w:val="000000"/>
        </w:rPr>
        <w:t>2.2.36</w:t>
      </w:r>
      <w:r>
        <w:rPr>
          <w:color w:val="000000"/>
        </w:rPr>
        <w:t>）充水去气，预先以盐酸洗脱液（</w:t>
      </w:r>
      <w:r>
        <w:rPr>
          <w:rFonts w:hint="eastAsia"/>
          <w:color w:val="000000"/>
        </w:rPr>
        <w:t>2</w:t>
      </w:r>
      <w:r>
        <w:rPr>
          <w:color w:val="000000"/>
        </w:rPr>
        <w:t>.2.1</w:t>
      </w:r>
      <w:r>
        <w:rPr>
          <w:rFonts w:hint="eastAsia"/>
          <w:color w:val="000000"/>
        </w:rPr>
        <w:t>4</w:t>
      </w:r>
      <w:r>
        <w:rPr>
          <w:color w:val="000000"/>
        </w:rPr>
        <w:t>）洗涤30min，再以盐酸淋洗液（2.2.1</w:t>
      </w:r>
      <w:r>
        <w:rPr>
          <w:rFonts w:hint="eastAsia"/>
          <w:color w:val="000000"/>
        </w:rPr>
        <w:t>3</w:t>
      </w:r>
      <w:r>
        <w:rPr>
          <w:color w:val="000000"/>
        </w:rPr>
        <w:t>）平衡后，备用。将微型分离柱用内径为0.8mm的聚四氟乙烯管按图1连接在分离装置流路上，选择合适的泵管，调节试液管路流速为1.00mL/min，洗脱液管路流速均为（1.0±0.1）mL/min。</w:t>
      </w:r>
    </w:p>
    <w:p>
      <w:pPr>
        <w:widowControl w:val="0"/>
        <w:ind w:left="0" w:leftChars="0" w:right="0" w:firstLine="420" w:firstLineChars="200"/>
        <w:jc w:val="both"/>
        <w:rPr>
          <w:color w:val="000000"/>
        </w:rPr>
      </w:pPr>
      <w:r>
        <w:rPr>
          <w:color w:val="000000"/>
        </w:rPr>
        <w:t>注：分离柱使用若干次后，柱内有明显的气泡，应去气后再使用。</w:t>
      </w:r>
    </w:p>
    <w:p>
      <w:pPr>
        <w:widowControl w:val="0"/>
        <w:ind w:left="0" w:leftChars="0" w:right="0" w:firstLine="0" w:firstLineChars="0"/>
        <w:jc w:val="both"/>
        <w:rPr>
          <w:color w:val="000000"/>
        </w:rPr>
      </w:pPr>
      <w:r>
        <w:rPr>
          <w:rFonts w:hint="eastAsia" w:ascii="黑体" w:hAnsi="黑体" w:eastAsia="黑体" w:cs="黑体"/>
        </w:rPr>
        <w:t>2.5.5.3.2</w:t>
      </w:r>
      <w:r>
        <w:rPr>
          <w:color w:val="000000"/>
        </w:rPr>
        <w:t xml:space="preserve"> 基体的分离</w:t>
      </w:r>
    </w:p>
    <w:p>
      <w:pPr>
        <w:widowControl w:val="0"/>
        <w:ind w:left="0" w:leftChars="0" w:right="0" w:firstLine="420" w:firstLineChars="200"/>
        <w:jc w:val="both"/>
      </w:pPr>
      <w:r>
        <w:rPr>
          <w:color w:val="000000"/>
        </w:rPr>
        <w:t>将淋洗液管路和洗脱液管路分别插入淋洗液（</w:t>
      </w:r>
      <w:r>
        <w:rPr>
          <w:rFonts w:hint="eastAsia"/>
          <w:color w:val="000000"/>
        </w:rPr>
        <w:t>2</w:t>
      </w:r>
      <w:r>
        <w:rPr>
          <w:color w:val="000000"/>
        </w:rPr>
        <w:t>.2.1</w:t>
      </w:r>
      <w:r>
        <w:rPr>
          <w:rFonts w:hint="eastAsia"/>
          <w:color w:val="000000"/>
        </w:rPr>
        <w:t>3</w:t>
      </w:r>
      <w:r>
        <w:rPr>
          <w:color w:val="000000"/>
        </w:rPr>
        <w:t>）和洗脱液（</w:t>
      </w:r>
      <w:r>
        <w:rPr>
          <w:rFonts w:hint="eastAsia"/>
          <w:color w:val="000000"/>
        </w:rPr>
        <w:t>2</w:t>
      </w:r>
      <w:r>
        <w:rPr>
          <w:color w:val="000000"/>
        </w:rPr>
        <w:t>.2.</w:t>
      </w:r>
      <w:r>
        <w:rPr>
          <w:rFonts w:hint="eastAsia"/>
          <w:color w:val="000000"/>
        </w:rPr>
        <w:t>14</w:t>
      </w:r>
      <w:r>
        <w:rPr>
          <w:color w:val="000000"/>
        </w:rPr>
        <w:t>）中，用淋洗液（</w:t>
      </w:r>
      <w:r>
        <w:rPr>
          <w:rFonts w:hint="eastAsia"/>
          <w:color w:val="000000"/>
        </w:rPr>
        <w:t>2</w:t>
      </w:r>
      <w:r>
        <w:rPr>
          <w:color w:val="000000"/>
        </w:rPr>
        <w:t>.2.</w:t>
      </w:r>
      <w:r>
        <w:rPr>
          <w:rFonts w:hint="eastAsia"/>
          <w:color w:val="000000"/>
        </w:rPr>
        <w:t>14</w:t>
      </w:r>
      <w:r>
        <w:rPr>
          <w:color w:val="000000"/>
        </w:rPr>
        <w:t>）平衡分离柱6min，将试液管路插入试液（</w:t>
      </w:r>
      <w:r>
        <w:rPr>
          <w:rFonts w:hint="eastAsia"/>
          <w:color w:val="000000"/>
        </w:rPr>
        <w:t>2</w:t>
      </w:r>
      <w:r>
        <w:rPr>
          <w:color w:val="000000"/>
        </w:rPr>
        <w:t>.5.</w:t>
      </w:r>
      <w:r>
        <w:rPr>
          <w:rFonts w:hint="eastAsia"/>
          <w:color w:val="000000"/>
        </w:rPr>
        <w:t>5</w:t>
      </w:r>
      <w:r>
        <w:rPr>
          <w:color w:val="000000"/>
        </w:rPr>
        <w:t>.1）中，待试液（</w:t>
      </w:r>
      <w:r>
        <w:rPr>
          <w:rFonts w:hint="eastAsia"/>
          <w:color w:val="000000"/>
        </w:rPr>
        <w:t>2</w:t>
      </w:r>
      <w:r>
        <w:rPr>
          <w:color w:val="000000"/>
        </w:rPr>
        <w:t>.5.</w:t>
      </w:r>
      <w:r>
        <w:rPr>
          <w:rFonts w:hint="eastAsia"/>
          <w:color w:val="000000"/>
        </w:rPr>
        <w:t>5</w:t>
      </w:r>
      <w:r>
        <w:rPr>
          <w:color w:val="000000"/>
        </w:rPr>
        <w:t>.1）充满管路后，切换旋转阀1，准确采集1.00mL试液（</w:t>
      </w:r>
      <w:r>
        <w:rPr>
          <w:rFonts w:hint="eastAsia"/>
          <w:color w:val="000000"/>
        </w:rPr>
        <w:t>2</w:t>
      </w:r>
      <w:r>
        <w:rPr>
          <w:color w:val="000000"/>
        </w:rPr>
        <w:t>.5.</w:t>
      </w:r>
      <w:r>
        <w:rPr>
          <w:rFonts w:hint="eastAsia"/>
          <w:color w:val="000000"/>
        </w:rPr>
        <w:t>5</w:t>
      </w:r>
      <w:r>
        <w:rPr>
          <w:color w:val="000000"/>
        </w:rPr>
        <w:t>.1）。将阀1切换至原位，用淋洗液</w:t>
      </w:r>
      <w:r>
        <w:t>（</w:t>
      </w:r>
      <w:r>
        <w:rPr>
          <w:rFonts w:hint="eastAsia"/>
        </w:rPr>
        <w:t>2.2.13</w:t>
      </w:r>
      <w:r>
        <w:t>）</w:t>
      </w:r>
      <w:r>
        <w:rPr>
          <w:color w:val="000000"/>
        </w:rPr>
        <w:t>淋洗分离柱</w:t>
      </w:r>
      <w:r>
        <w:rPr>
          <w:rFonts w:hint="eastAsia"/>
          <w:color w:val="000000"/>
        </w:rPr>
        <w:t>3</w:t>
      </w:r>
      <w:r>
        <w:rPr>
          <w:color w:val="000000"/>
        </w:rPr>
        <w:t>0min,将基体</w:t>
      </w:r>
      <w:r>
        <w:rPr>
          <w:rFonts w:hint="eastAsia"/>
          <w:color w:val="000000"/>
        </w:rPr>
        <w:t>钕</w:t>
      </w:r>
      <w:r>
        <w:rPr>
          <w:color w:val="000000"/>
        </w:rPr>
        <w:t>洗出，排至废液中。切换旋转阀2，用洗脱液</w:t>
      </w:r>
      <w:r>
        <w:t>（</w:t>
      </w:r>
      <w:r>
        <w:rPr>
          <w:rFonts w:hint="eastAsia"/>
        </w:rPr>
        <w:t>2.2.14</w:t>
      </w:r>
      <w:r>
        <w:t>）</w:t>
      </w:r>
      <w:r>
        <w:rPr>
          <w:color w:val="000000"/>
        </w:rPr>
        <w:t>洗脱1min后，切换旋转阀3，继续用洗脱液（</w:t>
      </w:r>
      <w:r>
        <w:rPr>
          <w:rFonts w:hint="eastAsia"/>
          <w:color w:val="000000"/>
        </w:rPr>
        <w:t>2.2.14</w:t>
      </w:r>
      <w:r>
        <w:rPr>
          <w:color w:val="000000"/>
        </w:rPr>
        <w:t>）洗脱</w:t>
      </w:r>
      <w:r>
        <w:t>一定时间，将富集在分离柱上的铽</w:t>
      </w:r>
      <w:r>
        <w:rPr>
          <w:rFonts w:hint="eastAsia"/>
        </w:rPr>
        <w:t>、镝</w:t>
      </w:r>
      <w:r>
        <w:t>和</w:t>
      </w:r>
      <w:r>
        <w:rPr>
          <w:rFonts w:hint="eastAsia"/>
        </w:rPr>
        <w:t>钬</w:t>
      </w:r>
      <w:r>
        <w:t>洗脱出来，分离液收集于10mL或</w:t>
      </w:r>
      <w:r>
        <w:rPr>
          <w:rFonts w:hint="eastAsia"/>
        </w:rPr>
        <w:t>50</w:t>
      </w:r>
      <w:r>
        <w:t>mL比色管中，阀3切换至原位。</w:t>
      </w:r>
      <w:r>
        <w:rPr>
          <w:rFonts w:hint="eastAsia"/>
        </w:rPr>
        <w:t>3</w:t>
      </w:r>
      <w:r>
        <w:t>0min后，将阀2切换至原位。</w:t>
      </w:r>
    </w:p>
    <w:p>
      <w:pPr>
        <w:widowControl w:val="0"/>
        <w:ind w:left="199" w:leftChars="0" w:right="0" w:hanging="199" w:hangingChars="95"/>
        <w:jc w:val="both"/>
        <w:rPr>
          <w:color w:val="000000"/>
        </w:rPr>
      </w:pPr>
      <w:r>
        <w:rPr>
          <w:rFonts w:hint="eastAsia"/>
          <w:color w:val="000000"/>
        </w:rPr>
        <w:t>2.5.5.4</w:t>
      </w:r>
      <w:r>
        <w:rPr>
          <w:rFonts w:hint="eastAsia"/>
        </w:rPr>
        <w:t xml:space="preserve"> TODGA分离基体后</w:t>
      </w:r>
      <w:r>
        <w:rPr>
          <w:color w:val="000000"/>
        </w:rPr>
        <w:t>（铽、镝、钬）测定用分析试液的制备</w:t>
      </w:r>
    </w:p>
    <w:p>
      <w:pPr>
        <w:widowControl w:val="0"/>
        <w:ind w:left="199" w:leftChars="0" w:right="0" w:hanging="199" w:hangingChars="95"/>
        <w:jc w:val="both"/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5.5.4</w:t>
      </w:r>
      <w:r>
        <w:rPr>
          <w:color w:val="000000"/>
        </w:rPr>
        <w:t>.1分离柱的准备：将微型分离柱以0.2%硝酸淋洗液（</w:t>
      </w:r>
      <w:r>
        <w:rPr>
          <w:rFonts w:hint="eastAsia"/>
          <w:color w:val="000000"/>
        </w:rPr>
        <w:t>2.2.12</w:t>
      </w:r>
      <w:r>
        <w:rPr>
          <w:color w:val="000000"/>
        </w:rPr>
        <w:t>）平衡后，备用。</w:t>
      </w:r>
    </w:p>
    <w:p>
      <w:pPr>
        <w:spacing w:line="440" w:lineRule="exact"/>
        <w:ind w:left="2" w:leftChars="0" w:firstLine="0" w:firstLineChars="0"/>
        <w:rPr>
          <w:sz w:val="24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5.5.4.2</w:t>
      </w:r>
      <w:r>
        <w:rPr>
          <w:color w:val="000000"/>
        </w:rPr>
        <w:t>基体的分离：用淋洗液（</w:t>
      </w:r>
      <w:r>
        <w:rPr>
          <w:rFonts w:hint="eastAsia"/>
          <w:color w:val="000000"/>
        </w:rPr>
        <w:t>2.2.10</w:t>
      </w:r>
      <w:r>
        <w:rPr>
          <w:color w:val="000000"/>
        </w:rPr>
        <w:t>）平衡分离柱20mL，准确加入5mL分析试液</w:t>
      </w:r>
      <w:r>
        <w:rPr>
          <w:sz w:val="24"/>
        </w:rPr>
        <w:t>（</w:t>
      </w:r>
      <w:r>
        <w:rPr>
          <w:rFonts w:hint="eastAsia"/>
          <w:sz w:val="24"/>
        </w:rPr>
        <w:t>2.5.5.1</w:t>
      </w:r>
      <w:r>
        <w:rPr>
          <w:sz w:val="24"/>
        </w:rPr>
        <w:t>）</w:t>
      </w:r>
    </w:p>
    <w:p>
      <w:pPr>
        <w:widowControl w:val="0"/>
        <w:ind w:left="0" w:leftChars="0" w:right="0" w:firstLine="0" w:firstLineChars="0"/>
        <w:jc w:val="both"/>
        <w:rPr>
          <w:color w:val="000000"/>
        </w:rPr>
      </w:pPr>
      <w:r>
        <w:rPr>
          <w:sz w:val="24"/>
        </w:rPr>
        <w:t>。</w:t>
      </w:r>
      <w:r>
        <w:rPr>
          <w:color w:val="000000"/>
        </w:rPr>
        <w:t>打开阀口用30-50mL淋洗液（2.</w:t>
      </w:r>
      <w:r>
        <w:rPr>
          <w:rFonts w:hint="eastAsia"/>
          <w:color w:val="000000"/>
        </w:rPr>
        <w:t>2.6</w:t>
      </w:r>
      <w:r>
        <w:rPr>
          <w:color w:val="000000"/>
        </w:rPr>
        <w:t>）淋洗分离柱，将基体钕 洗出，排至废液中。直至淋洗出的废液中钕的含量小于0.5µg/mL。然后用20 mL洗脱液（2.</w:t>
      </w:r>
      <w:r>
        <w:rPr>
          <w:rFonts w:hint="eastAsia"/>
          <w:color w:val="000000"/>
        </w:rPr>
        <w:t>2.7</w:t>
      </w:r>
      <w:r>
        <w:rPr>
          <w:color w:val="000000"/>
        </w:rPr>
        <w:t>）洗脱后，继续用25mL洗脱液（2.</w:t>
      </w:r>
      <w:r>
        <w:rPr>
          <w:rFonts w:hint="eastAsia"/>
          <w:color w:val="000000"/>
        </w:rPr>
        <w:t>2.7</w:t>
      </w:r>
      <w:r>
        <w:rPr>
          <w:color w:val="000000"/>
        </w:rPr>
        <w:t>）洗脱，将富集在分离柱上的铽、镝、钬洗脱出来，分离液收集于比色管中，待测。</w:t>
      </w:r>
    </w:p>
    <w:p>
      <w:pPr>
        <w:widowControl w:val="0"/>
        <w:ind w:left="0" w:leftChars="0" w:right="0" w:firstLine="0" w:firstLineChars="0"/>
        <w:jc w:val="both"/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 xml:space="preserve">5.6 </w:t>
      </w:r>
      <w:r>
        <w:t xml:space="preserve"> </w:t>
      </w:r>
      <w:r>
        <w:rPr>
          <w:rFonts w:hint="eastAsia"/>
        </w:rPr>
        <w:t>测定</w:t>
      </w:r>
    </w:p>
    <w:p>
      <w:pPr>
        <w:ind w:left="0" w:leftChars="0" w:firstLine="0" w:firstLineChars="0"/>
        <w:jc w:val="both"/>
      </w:pPr>
      <w:r>
        <w:rPr>
          <w:rFonts w:hint="eastAsia" w:ascii="黑体" w:hAnsi="黑体" w:eastAsia="黑体"/>
        </w:rPr>
        <w:t>2.</w:t>
      </w:r>
      <w:r>
        <w:rPr>
          <w:rFonts w:ascii="黑体" w:hAnsi="黑体" w:eastAsia="黑体"/>
        </w:rPr>
        <w:t>5.6.1</w:t>
      </w:r>
      <w:r>
        <w:t>.</w:t>
      </w:r>
      <w:r>
        <w:rPr>
          <w:rFonts w:hint="eastAsia"/>
        </w:rPr>
        <w:t>测量元素同位素质量数见表3。</w:t>
      </w:r>
    </w:p>
    <w:p>
      <w:pPr>
        <w:ind w:left="0" w:leftChars="0" w:firstLine="0" w:firstLineChars="0"/>
        <w:jc w:val="center"/>
      </w:pPr>
      <w:r>
        <w:rPr>
          <w:rFonts w:ascii="黑体" w:hAnsi="宋体" w:eastAsia="黑体"/>
          <w:szCs w:val="21"/>
        </w:rPr>
        <w:t>表</w:t>
      </w:r>
      <w:r>
        <w:rPr>
          <w:rFonts w:hint="eastAsia" w:ascii="黑体" w:hAnsi="宋体" w:eastAsia="黑体"/>
          <w:szCs w:val="21"/>
        </w:rPr>
        <w:t>3测量元素同位素质量数</w:t>
      </w:r>
    </w:p>
    <w:tbl>
      <w:tblPr>
        <w:tblStyle w:val="51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848"/>
        <w:gridCol w:w="2245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元素</w:t>
            </w:r>
          </w:p>
        </w:tc>
        <w:tc>
          <w:tcPr>
            <w:tcW w:w="2848" w:type="dxa"/>
            <w:tcBorders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质量数</w:t>
            </w:r>
          </w:p>
        </w:tc>
        <w:tc>
          <w:tcPr>
            <w:tcW w:w="2245" w:type="dxa"/>
            <w:tcBorders>
              <w:left w:val="doub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元素</w:t>
            </w:r>
          </w:p>
        </w:tc>
        <w:tc>
          <w:tcPr>
            <w:tcW w:w="250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质量数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Y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2245" w:type="dxa"/>
            <w:tcBorders>
              <w:top w:val="single" w:color="auto" w:sz="4" w:space="0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Ho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La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139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Ce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140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Tm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Pr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141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Yb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Sm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152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Lu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Eu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153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Nd*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Gd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155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Tb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159</w:t>
            </w:r>
          </w:p>
        </w:tc>
        <w:tc>
          <w:tcPr>
            <w:tcW w:w="2245" w:type="dxa"/>
            <w:tcBorders>
              <w:top w:val="nil"/>
              <w:left w:val="doub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nil"/>
              <w:right w:val="nil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Dy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2848" w:type="dxa"/>
            <w:tcBorders>
              <w:top w:val="nil"/>
              <w:left w:val="nil"/>
              <w:righ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163</w:t>
            </w:r>
          </w:p>
        </w:tc>
        <w:tc>
          <w:tcPr>
            <w:tcW w:w="4745" w:type="dxa"/>
            <w:gridSpan w:val="2"/>
            <w:tcBorders>
              <w:top w:val="nil"/>
              <w:left w:val="double" w:color="auto" w:sz="4" w:space="0"/>
            </w:tcBorders>
            <w:vAlign w:val="center"/>
          </w:tcPr>
          <w:p>
            <w:pPr>
              <w:spacing w:line="276" w:lineRule="auto"/>
              <w:ind w:left="84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注：带*的元素为分离钕基体后测定的元素。</w:t>
            </w:r>
          </w:p>
        </w:tc>
      </w:tr>
    </w:tbl>
    <w:p>
      <w:pPr>
        <w:pStyle w:val="168"/>
        <w:ind w:firstLine="0" w:firstLineChars="0"/>
      </w:pPr>
      <w:r>
        <w:rPr>
          <w:rFonts w:hint="eastAsia" w:ascii="黑体" w:hAnsi="黑体" w:eastAsia="黑体" w:cs="黑体"/>
        </w:rPr>
        <w:t>2.5.6.2</w:t>
      </w:r>
      <w:r>
        <w:rPr>
          <w:rFonts w:hint="eastAsia"/>
        </w:rPr>
        <w:t xml:space="preserve"> </w:t>
      </w:r>
      <w:r>
        <w:t>将空白试验（</w:t>
      </w:r>
      <w:r>
        <w:rPr>
          <w:rFonts w:hint="eastAsia"/>
        </w:rPr>
        <w:t>2.5</w:t>
      </w:r>
      <w:r>
        <w:t>.3）溶液，分析试液（</w:t>
      </w:r>
      <w:r>
        <w:rPr>
          <w:rFonts w:hint="eastAsia"/>
        </w:rPr>
        <w:t>2.5</w:t>
      </w:r>
      <w:r>
        <w:t>.</w:t>
      </w:r>
      <w:r>
        <w:rPr>
          <w:rFonts w:hint="eastAsia"/>
        </w:rPr>
        <w:t>5</w:t>
      </w:r>
      <w:r>
        <w:t>.2</w:t>
      </w:r>
      <w:r>
        <w:rPr>
          <w:rFonts w:hint="eastAsia"/>
        </w:rPr>
        <w:t>、2.5.5.3.2或2.5.5.4.2</w:t>
      </w:r>
      <w:r>
        <w:t>）</w:t>
      </w:r>
      <w:r>
        <w:rPr>
          <w:rFonts w:hint="eastAsia"/>
        </w:rPr>
        <w:t>、</w:t>
      </w:r>
      <w:r>
        <w:t>标准系列溶液（</w:t>
      </w:r>
      <w:r>
        <w:rPr>
          <w:rFonts w:hint="eastAsia"/>
        </w:rPr>
        <w:t>2.5.4</w:t>
      </w:r>
      <w:r>
        <w:t>）</w:t>
      </w:r>
      <w:r>
        <w:rPr>
          <w:rFonts w:hint="eastAsia"/>
        </w:rPr>
        <w:t>和铯内标溶液（2.2.13）（在线加入）、铊内标溶液（2.2.14）（分离钕基体后使用，在线加入）</w:t>
      </w:r>
      <w:r>
        <w:t>同</w:t>
      </w:r>
      <w:bookmarkEnd w:id="2"/>
      <w:r>
        <w:t>时进行氩等离子体质谱测定。</w:t>
      </w:r>
    </w:p>
    <w:p>
      <w:pPr>
        <w:pStyle w:val="25"/>
        <w:widowControl w:val="0"/>
        <w:adjustRightInd w:val="0"/>
        <w:snapToGrid w:val="0"/>
        <w:ind w:left="0" w:leftChars="0" w:right="0" w:firstLine="0" w:firstLineChars="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2.5.5.3 分离后（铽、镝和钬）测定用分析试液的制备</w:t>
      </w:r>
    </w:p>
    <w:p>
      <w:pPr>
        <w:pStyle w:val="168"/>
        <w:ind w:firstLine="0" w:firstLineChars="0"/>
        <w:rPr>
          <w:color w:val="000000"/>
        </w:rPr>
      </w:pPr>
    </w:p>
    <w:p>
      <w:pPr>
        <w:spacing w:beforeLines="100" w:afterLines="100"/>
        <w:ind w:left="199" w:leftChars="0" w:hanging="199" w:hangingChars="95"/>
        <w:rPr>
          <w:rFonts w:ascii="黑体" w:hAnsi="黑体" w:eastAsia="黑体"/>
        </w:rPr>
      </w:pP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 xml:space="preserve">6  </w:t>
      </w:r>
      <w:r>
        <w:rPr>
          <w:rFonts w:hint="eastAsia" w:ascii="黑体" w:hAnsi="黑体" w:eastAsia="黑体"/>
        </w:rPr>
        <w:t>分析结果的计算</w:t>
      </w:r>
    </w:p>
    <w:p>
      <w:pPr>
        <w:pStyle w:val="168"/>
        <w:ind w:firstLine="0" w:firstLineChars="0"/>
        <w:rPr>
          <w:color w:val="000000"/>
        </w:rPr>
      </w:pPr>
      <w:r>
        <w:rPr>
          <w:rFonts w:hint="eastAsia"/>
        </w:rPr>
        <w:t xml:space="preserve">    待</w:t>
      </w:r>
      <w:r>
        <w:rPr>
          <w:rFonts w:hint="eastAsia"/>
          <w:color w:val="000000"/>
        </w:rPr>
        <w:t>测稀土元素</w:t>
      </w:r>
      <w:r>
        <w:rPr>
          <w:rFonts w:hint="eastAsia"/>
        </w:rPr>
        <w:t>以</w:t>
      </w:r>
      <w:r>
        <w:rPr>
          <w:rFonts w:hint="eastAsia"/>
          <w:color w:val="000000"/>
        </w:rPr>
        <w:t>质量分数</w:t>
      </w:r>
      <w:r>
        <w:rPr>
          <w:rFonts w:hint="eastAsia"/>
          <w:i/>
        </w:rPr>
        <w:t>w</w:t>
      </w:r>
      <w:r>
        <w:rPr>
          <w:rFonts w:hint="eastAsia"/>
        </w:rPr>
        <w:t>计，</w:t>
      </w:r>
      <w:r>
        <w:rPr>
          <w:rFonts w:hint="eastAsia"/>
          <w:color w:val="000000"/>
        </w:rPr>
        <w:t>按公式（2）计算：</w:t>
      </w:r>
    </w:p>
    <w:p>
      <w:pPr>
        <w:pStyle w:val="13"/>
        <w:spacing w:before="240"/>
        <w:ind w:left="840" w:hanging="420"/>
        <w:jc w:val="center"/>
      </w:pPr>
      <w:r>
        <w:rPr>
          <w:kern w:val="2"/>
          <w:position w:val="-30"/>
          <w:sz w:val="21"/>
          <w:szCs w:val="24"/>
        </w:rPr>
        <w:object>
          <v:shape id="_x0000_i1028" o:spt="75" type="#_x0000_t75" style="height:36pt;width:180.75pt;" o:ole="t" filled="t" o:preferrelative="t" stroked="f" coordsize="21600,21600">
            <v:path/>
            <v:fill on="t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8" DrawAspect="Content" ObjectID="_1468075726" r:id="rId22">
            <o:LockedField>false</o:LockedField>
          </o:OLEObject>
        </w:object>
      </w:r>
      <w:r>
        <w:fldChar w:fldCharType="begin"/>
      </w:r>
      <w:r>
        <w:rPr>
          <w:szCs w:val="21"/>
        </w:rPr>
        <w:instrText xml:space="preserve"> QUOTE </w:instrText>
      </w:r>
      <w:r>
        <w:fldChar w:fldCharType="end"/>
      </w:r>
      <w:r>
        <w:rPr>
          <w:rFonts w:hint="eastAsia"/>
          <w:szCs w:val="21"/>
        </w:rPr>
        <w:t>%</w:t>
      </w:r>
      <w:r>
        <w:rPr>
          <w:szCs w:val="21"/>
        </w:rPr>
        <w:t xml:space="preserve">……………………… </w:t>
      </w:r>
      <w:r>
        <w:rPr>
          <w:rFonts w:hint="eastAsia"/>
          <w:szCs w:val="21"/>
        </w:rPr>
        <w:t>（2）</w:t>
      </w:r>
    </w:p>
    <w:p>
      <w:pPr>
        <w:pStyle w:val="168"/>
        <w:rPr>
          <w:color w:val="000000"/>
        </w:rPr>
      </w:pPr>
      <w:r>
        <w:rPr>
          <w:rFonts w:hint="eastAsia"/>
          <w:color w:val="000000"/>
        </w:rPr>
        <w:t>式中：</w:t>
      </w:r>
    </w:p>
    <w:p>
      <w:pPr>
        <w:widowControl w:val="0"/>
        <w:ind w:left="0" w:leftChars="0" w:right="0" w:firstLine="420" w:firstLineChars="200"/>
        <w:jc w:val="both"/>
        <w:rPr>
          <w:color w:val="000000"/>
        </w:rPr>
      </w:pPr>
      <w:r>
        <w:rPr>
          <w:i/>
          <w:color w:val="000000"/>
        </w:rPr>
        <w:t>k</w:t>
      </w:r>
      <w:r>
        <w:rPr>
          <w:color w:val="000000"/>
        </w:rPr>
        <w:t>——</w:t>
      </w:r>
      <w:r>
        <w:rPr>
          <w:rFonts w:hint="eastAsia"/>
          <w:color w:val="000000"/>
        </w:rPr>
        <w:t>各元素单质与其氧化物的换算系数，见表4。计算氧化物含量时，</w:t>
      </w:r>
      <w:r>
        <w:rPr>
          <w:i/>
          <w:color w:val="000000"/>
        </w:rPr>
        <w:t>k</w:t>
      </w:r>
      <w:r>
        <w:rPr>
          <w:color w:val="000000"/>
        </w:rPr>
        <w:t xml:space="preserve">=1 </w:t>
      </w:r>
      <w:r>
        <w:rPr>
          <w:rFonts w:hint="eastAsia"/>
          <w:color w:val="000000"/>
        </w:rPr>
        <w:t>；</w:t>
      </w:r>
    </w:p>
    <w:p>
      <w:pPr>
        <w:widowControl w:val="0"/>
        <w:ind w:left="0" w:leftChars="0" w:right="0" w:firstLine="420" w:firstLineChars="200"/>
        <w:jc w:val="both"/>
      </w:pPr>
      <w:r>
        <w:rPr>
          <w:i/>
          <w:szCs w:val="21"/>
        </w:rPr>
        <w:t>ρ</w:t>
      </w:r>
      <w:r>
        <w:t>——分析试液（</w:t>
      </w:r>
      <w:r>
        <w:rPr>
          <w:rFonts w:hint="eastAsia"/>
        </w:rPr>
        <w:t>2</w:t>
      </w:r>
      <w:r>
        <w:t>.5.</w:t>
      </w:r>
      <w:r>
        <w:rPr>
          <w:rFonts w:hint="eastAsia"/>
        </w:rPr>
        <w:t>5</w:t>
      </w:r>
      <w:r>
        <w:t>.2）、（</w:t>
      </w:r>
      <w:r>
        <w:rPr>
          <w:rFonts w:hint="eastAsia"/>
        </w:rPr>
        <w:t>2</w:t>
      </w:r>
      <w:r>
        <w:t>.5.</w:t>
      </w:r>
      <w:r>
        <w:rPr>
          <w:rFonts w:hint="eastAsia"/>
        </w:rPr>
        <w:t>5</w:t>
      </w:r>
      <w:r>
        <w:t>.3.</w:t>
      </w:r>
      <w:r>
        <w:rPr>
          <w:rFonts w:hint="eastAsia"/>
        </w:rPr>
        <w:t>2</w:t>
      </w:r>
      <w:r>
        <w:t>）中待测元素的质量浓度，单位为纳克每毫升（ng/mL）；</w:t>
      </w:r>
    </w:p>
    <w:p>
      <w:pPr>
        <w:widowControl w:val="0"/>
        <w:ind w:left="0" w:leftChars="0" w:right="0" w:firstLine="420" w:firstLineChars="200"/>
        <w:jc w:val="both"/>
      </w:pPr>
      <w:r>
        <w:rPr>
          <w:i/>
          <w:szCs w:val="21"/>
        </w:rPr>
        <w:t>ρ</w:t>
      </w:r>
      <w:r>
        <w:rPr>
          <w:i/>
          <w:szCs w:val="21"/>
          <w:vertAlign w:val="subscript"/>
        </w:rPr>
        <w:t>0</w:t>
      </w:r>
      <w:r>
        <w:t>——</w:t>
      </w:r>
      <w:r>
        <w:rPr>
          <w:rFonts w:hint="eastAsia"/>
        </w:rPr>
        <w:t>空白试验（2.</w:t>
      </w:r>
      <w:r>
        <w:t>5.3</w:t>
      </w:r>
      <w:r>
        <w:rPr>
          <w:rFonts w:hint="eastAsia"/>
        </w:rPr>
        <w:t>）溶液中待测元素的质量浓度，单位为纳克每毫升（</w:t>
      </w:r>
      <w:r>
        <w:t>ng/mL</w:t>
      </w:r>
      <w:r>
        <w:rPr>
          <w:rFonts w:hint="eastAsia"/>
        </w:rPr>
        <w:t>）；</w:t>
      </w:r>
    </w:p>
    <w:p>
      <w:pPr>
        <w:widowControl w:val="0"/>
        <w:ind w:left="0" w:leftChars="0" w:right="0" w:firstLine="420" w:firstLineChars="200"/>
        <w:jc w:val="both"/>
      </w:pPr>
      <w:r>
        <w:rPr>
          <w:i/>
        </w:rPr>
        <w:t>V</w:t>
      </w:r>
      <w:r>
        <w:rPr>
          <w:vertAlign w:val="subscript"/>
        </w:rPr>
        <w:t>2</w:t>
      </w:r>
      <w:r>
        <w:t>——</w:t>
      </w:r>
      <w:r>
        <w:rPr>
          <w:rFonts w:hint="eastAsia"/>
        </w:rPr>
        <w:t>分析试液（2.</w:t>
      </w:r>
      <w:r>
        <w:t>5.</w:t>
      </w:r>
      <w:r>
        <w:rPr>
          <w:rFonts w:hint="eastAsia"/>
        </w:rPr>
        <w:t>5</w:t>
      </w:r>
      <w:r>
        <w:t>.2</w:t>
      </w:r>
      <w:r>
        <w:rPr>
          <w:rFonts w:hint="eastAsia"/>
        </w:rPr>
        <w:t>）、（2.</w:t>
      </w:r>
      <w:r>
        <w:t>5.</w:t>
      </w:r>
      <w:r>
        <w:rPr>
          <w:rFonts w:hint="eastAsia"/>
        </w:rPr>
        <w:t>5</w:t>
      </w:r>
      <w:r>
        <w:t>.3.</w:t>
      </w:r>
      <w:r>
        <w:rPr>
          <w:rFonts w:hint="eastAsia"/>
        </w:rPr>
        <w:t>2）或（2.5.5.4.2）中的体积，单位为毫升（</w:t>
      </w:r>
      <w:r>
        <w:t>mL</w:t>
      </w:r>
      <w:r>
        <w:rPr>
          <w:rFonts w:hint="eastAsia"/>
        </w:rPr>
        <w:t>）；</w:t>
      </w:r>
    </w:p>
    <w:p>
      <w:pPr>
        <w:widowControl w:val="0"/>
        <w:ind w:left="0" w:leftChars="0" w:right="0" w:firstLine="420" w:firstLineChars="200"/>
        <w:jc w:val="both"/>
      </w:pPr>
      <w:r>
        <w:rPr>
          <w:i/>
        </w:rPr>
        <w:t>V</w:t>
      </w:r>
      <w:r>
        <w:rPr>
          <w:vertAlign w:val="subscript"/>
        </w:rPr>
        <w:t>0</w:t>
      </w:r>
      <w:r>
        <w:t>——</w:t>
      </w:r>
      <w:r>
        <w:rPr>
          <w:rFonts w:hint="eastAsia"/>
        </w:rPr>
        <w:t>试液总体积，单位为毫升（</w:t>
      </w:r>
      <w:r>
        <w:t>mL</w:t>
      </w:r>
      <w:r>
        <w:rPr>
          <w:rFonts w:hint="eastAsia"/>
        </w:rPr>
        <w:t>）；</w:t>
      </w:r>
    </w:p>
    <w:p>
      <w:pPr>
        <w:widowControl w:val="0"/>
        <w:ind w:left="0" w:leftChars="0" w:right="0" w:firstLine="420" w:firstLineChars="200"/>
        <w:jc w:val="both"/>
      </w:pPr>
      <w:r>
        <w:rPr>
          <w:i/>
        </w:rPr>
        <w:t>m</w:t>
      </w:r>
      <w:r>
        <w:t>——</w:t>
      </w:r>
      <w:r>
        <w:rPr>
          <w:rFonts w:hint="eastAsia"/>
        </w:rPr>
        <w:t>试料的质量，单位为克（</w:t>
      </w:r>
      <w:r>
        <w:t>g</w:t>
      </w:r>
      <w:r>
        <w:rPr>
          <w:rFonts w:hint="eastAsia"/>
        </w:rPr>
        <w:t>）；</w:t>
      </w:r>
    </w:p>
    <w:p>
      <w:pPr>
        <w:widowControl w:val="0"/>
        <w:ind w:left="0" w:leftChars="0" w:right="0" w:firstLine="420" w:firstLineChars="200"/>
        <w:jc w:val="both"/>
      </w:pPr>
      <w:r>
        <w:rPr>
          <w:i/>
        </w:rPr>
        <w:t>V</w:t>
      </w:r>
      <w:r>
        <w:rPr>
          <w:vertAlign w:val="subscript"/>
        </w:rPr>
        <w:t>1</w:t>
      </w:r>
      <w:r>
        <w:t>——</w:t>
      </w:r>
      <w:r>
        <w:rPr>
          <w:rFonts w:hint="eastAsia"/>
        </w:rPr>
        <w:t>分取试液体积，单位为毫升（</w:t>
      </w:r>
      <w:r>
        <w:t>mL</w:t>
      </w:r>
      <w:r>
        <w:rPr>
          <w:rFonts w:hint="eastAsia"/>
        </w:rPr>
        <w:t>）。</w:t>
      </w:r>
    </w:p>
    <w:p>
      <w:pPr>
        <w:ind w:left="398" w:leftChars="95" w:hanging="199" w:hangingChars="95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表4换算系数</w:t>
      </w:r>
    </w:p>
    <w:tbl>
      <w:tblPr>
        <w:tblStyle w:val="51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320"/>
        <w:gridCol w:w="1390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元素</w:t>
            </w:r>
          </w:p>
        </w:tc>
        <w:tc>
          <w:tcPr>
            <w:tcW w:w="33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ind w:left="780" w:hanging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</w:p>
        </w:tc>
        <w:tc>
          <w:tcPr>
            <w:tcW w:w="139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元素</w:t>
            </w:r>
          </w:p>
        </w:tc>
        <w:tc>
          <w:tcPr>
            <w:tcW w:w="3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ind w:left="780" w:hanging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2"/>
                <w:sz w:val="21"/>
                <w:szCs w:val="21"/>
                <w:lang w:val="en-US" w:eastAsia="zh-CN"/>
              </w:rPr>
              <w:t>Y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La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Pr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Nd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Sm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Eu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Gd</w:t>
            </w:r>
          </w:p>
        </w:tc>
        <w:tc>
          <w:tcPr>
            <w:tcW w:w="33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0.7874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0.8526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0.8277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0.857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0.862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0.8636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0.8676</w:t>
            </w:r>
          </w:p>
        </w:tc>
        <w:tc>
          <w:tcPr>
            <w:tcW w:w="139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Tb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Dy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Ho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Er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Tm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Yb</w:t>
            </w:r>
          </w:p>
          <w:p>
            <w:pPr>
              <w:widowControl w:val="0"/>
              <w:ind w:left="840" w:hanging="42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Lu</w:t>
            </w:r>
          </w:p>
        </w:tc>
        <w:tc>
          <w:tcPr>
            <w:tcW w:w="33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kern w:val="2"/>
                <w:sz w:val="21"/>
                <w:szCs w:val="21"/>
                <w:lang w:val="en-US" w:eastAsia="zh-CN"/>
              </w:rPr>
              <w:t>0.8502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0.8713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0.8730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0.8745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0.8756</w:t>
            </w:r>
          </w:p>
          <w:p>
            <w:pPr>
              <w:pStyle w:val="25"/>
              <w:adjustRightInd w:val="0"/>
              <w:snapToGrid w:val="0"/>
              <w:ind w:left="840" w:hanging="420"/>
              <w:jc w:val="center"/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宋体"/>
                <w:color w:val="000000"/>
                <w:kern w:val="2"/>
                <w:sz w:val="21"/>
                <w:szCs w:val="21"/>
                <w:lang w:val="en-US" w:eastAsia="zh-CN"/>
              </w:rPr>
              <w:t>0.8782</w:t>
            </w:r>
          </w:p>
          <w:p>
            <w:pPr>
              <w:widowControl w:val="0"/>
              <w:ind w:left="840" w:hanging="42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0.8794</w:t>
            </w:r>
          </w:p>
        </w:tc>
      </w:tr>
    </w:tbl>
    <w:p>
      <w:pPr>
        <w:spacing w:beforeLines="100" w:afterLines="100"/>
        <w:ind w:left="199" w:leftChars="0" w:hanging="199" w:hangingChars="95"/>
        <w:rPr>
          <w:rFonts w:ascii="黑体" w:hAnsi="黑体" w:eastAsia="黑体"/>
        </w:rPr>
      </w:pP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 xml:space="preserve">7  </w:t>
      </w:r>
      <w:r>
        <w:rPr>
          <w:rFonts w:hint="eastAsia" w:ascii="黑体" w:hAnsi="黑体" w:eastAsia="黑体"/>
        </w:rPr>
        <w:t>精密度</w:t>
      </w:r>
    </w:p>
    <w:p>
      <w:pPr>
        <w:pStyle w:val="168"/>
        <w:ind w:firstLine="0" w:firstLineChars="0"/>
        <w:rPr>
          <w:color w:val="000000"/>
        </w:rPr>
      </w:pP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>7.1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重复性</w:t>
      </w:r>
    </w:p>
    <w:p>
      <w:pPr>
        <w:ind w:left="0" w:leftChars="0" w:firstLine="420" w:firstLineChars="200"/>
      </w:pPr>
      <w:r>
        <w:rPr>
          <w:rFonts w:hint="eastAsia"/>
          <w:color w:val="000000"/>
          <w:szCs w:val="21"/>
        </w:rPr>
        <w:t>在重复性条件下获得的两次独立测试结果的测定值，在以下给出的平均值范围内，这两个测试结果的绝对差值不超过重复性限</w:t>
      </w:r>
      <w:r>
        <w:rPr>
          <w:color w:val="000000"/>
          <w:szCs w:val="21"/>
        </w:rPr>
        <w:t>(r)</w:t>
      </w:r>
      <w:r>
        <w:rPr>
          <w:rFonts w:hint="eastAsia"/>
          <w:color w:val="000000"/>
          <w:szCs w:val="21"/>
        </w:rPr>
        <w:t>，超过重复性限</w:t>
      </w:r>
      <w:r>
        <w:rPr>
          <w:color w:val="000000"/>
          <w:szCs w:val="21"/>
        </w:rPr>
        <w:t>(r)</w:t>
      </w:r>
      <w:r>
        <w:rPr>
          <w:rFonts w:hint="eastAsia"/>
          <w:color w:val="000000"/>
          <w:szCs w:val="21"/>
        </w:rPr>
        <w:t>的情况不超过</w:t>
      </w:r>
      <w:r>
        <w:rPr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。重复性限</w:t>
      </w:r>
      <w:r>
        <w:rPr>
          <w:color w:val="000000"/>
          <w:szCs w:val="21"/>
        </w:rPr>
        <w:t>(r)</w:t>
      </w:r>
      <w:r>
        <w:rPr>
          <w:rFonts w:hint="eastAsia"/>
          <w:color w:val="000000"/>
          <w:szCs w:val="21"/>
        </w:rPr>
        <w:t>按表13数据采用线性内插法求得：</w:t>
      </w:r>
    </w:p>
    <w:p>
      <w:pPr>
        <w:ind w:left="398" w:leftChars="95" w:hanging="199" w:hangingChars="95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5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重复性限</w:t>
      </w:r>
    </w:p>
    <w:tbl>
      <w:tblPr>
        <w:tblStyle w:val="51"/>
        <w:tblW w:w="929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598"/>
        <w:gridCol w:w="1896"/>
        <w:gridCol w:w="1220"/>
        <w:gridCol w:w="1560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被测元素</w:t>
            </w:r>
          </w:p>
        </w:tc>
        <w:tc>
          <w:tcPr>
            <w:tcW w:w="159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质量分数</w:t>
            </w:r>
            <w:r>
              <w:rPr>
                <w:sz w:val="18"/>
                <w:szCs w:val="18"/>
              </w:rPr>
              <w:t>/%</w:t>
            </w:r>
          </w:p>
        </w:tc>
        <w:tc>
          <w:tcPr>
            <w:tcW w:w="1896" w:type="dxa"/>
            <w:tcBorders>
              <w:top w:val="single" w:color="000000" w:sz="12" w:space="0"/>
              <w:left w:val="nil"/>
              <w:bottom w:val="nil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重复性限</w:t>
            </w:r>
            <w:r>
              <w:rPr>
                <w:sz w:val="18"/>
                <w:szCs w:val="18"/>
              </w:rPr>
              <w:t>(r)/%</w:t>
            </w:r>
          </w:p>
        </w:tc>
        <w:tc>
          <w:tcPr>
            <w:tcW w:w="1220" w:type="dxa"/>
            <w:tcBorders>
              <w:top w:val="single" w:color="000000" w:sz="12" w:space="0"/>
              <w:left w:val="double" w:color="auto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被测元素</w:t>
            </w: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质量分数</w:t>
            </w:r>
            <w:r>
              <w:rPr>
                <w:color w:val="000000"/>
                <w:sz w:val="18"/>
                <w:szCs w:val="18"/>
              </w:rPr>
              <w:t>/%</w:t>
            </w:r>
          </w:p>
        </w:tc>
        <w:tc>
          <w:tcPr>
            <w:tcW w:w="1474" w:type="dxa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重复性限</w:t>
            </w:r>
            <w:r>
              <w:rPr>
                <w:color w:val="000000"/>
                <w:sz w:val="18"/>
                <w:szCs w:val="18"/>
              </w:rPr>
              <w:t>(r)/%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0.00007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0.000001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0.00005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0.00002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0909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027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0455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0165</w:t>
            </w:r>
          </w:p>
        </w:tc>
        <w:tc>
          <w:tcPr>
            <w:tcW w:w="12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0873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0167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氧化镧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0.000016</w:t>
            </w:r>
          </w:p>
        </w:tc>
        <w:tc>
          <w:tcPr>
            <w:tcW w:w="12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0956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0031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0501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0067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0080</w:t>
            </w:r>
          </w:p>
        </w:tc>
        <w:tc>
          <w:tcPr>
            <w:tcW w:w="12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0.0180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0.000476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氧化铈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0961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023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0965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0196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080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0.000697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氧化镨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0.00001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035</w:t>
            </w:r>
          </w:p>
        </w:tc>
        <w:tc>
          <w:tcPr>
            <w:tcW w:w="12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009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0064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0107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0.000784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0558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0.0111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220" w:type="dxa"/>
            <w:vMerge w:val="restart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038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060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027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0.00061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氧化铕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restart"/>
            <w:tcBorders>
              <w:top w:val="nil"/>
              <w:left w:val="doub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氧化钆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015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073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0.00001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0037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</w:t>
            </w:r>
            <w:r>
              <w:rPr>
                <w:rFonts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</w:t>
            </w:r>
            <w:r>
              <w:rPr>
                <w:rFonts w:hint="eastAsia"/>
                <w:kern w:val="0"/>
                <w:sz w:val="18"/>
                <w:szCs w:val="18"/>
              </w:rPr>
              <w:t>0537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0091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0.000</w:t>
            </w:r>
            <w:r>
              <w:rPr>
                <w:rFonts w:hint="eastAsia"/>
                <w:kern w:val="0"/>
                <w:sz w:val="18"/>
                <w:szCs w:val="18"/>
              </w:rPr>
              <w:t>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0.0107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0.000129</w:t>
            </w:r>
          </w:p>
        </w:tc>
        <w:tc>
          <w:tcPr>
            <w:tcW w:w="1220" w:type="dxa"/>
            <w:vMerge w:val="continue"/>
            <w:tcBorders>
              <w:left w:val="doub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80" w:hanging="36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20" w:firstLine="540" w:firstLineChars="30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注：重复性限（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）为</w:t>
            </w:r>
            <w:r>
              <w:rPr>
                <w:color w:val="000000"/>
                <w:sz w:val="18"/>
                <w:szCs w:val="18"/>
              </w:rPr>
              <w:t>2.8×S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S</w:t>
            </w:r>
            <w:r>
              <w:rPr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为重复性标准差。</w:t>
            </w:r>
          </w:p>
        </w:tc>
      </w:tr>
    </w:tbl>
    <w:p>
      <w:pPr>
        <w:ind w:left="0" w:leftChars="0" w:firstLine="0" w:firstLineChars="0"/>
        <w:jc w:val="both"/>
        <w:rPr>
          <w:rFonts w:ascii="黑体" w:hAnsi="宋体" w:eastAsia="黑体"/>
          <w:szCs w:val="21"/>
        </w:rPr>
      </w:pPr>
    </w:p>
    <w:p>
      <w:pPr>
        <w:ind w:left="0" w:leftChars="0"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 xml:space="preserve">7.2 </w:t>
      </w:r>
      <w:r>
        <w:rPr>
          <w:rFonts w:hint="eastAsia" w:ascii="黑体" w:hAnsi="黑体" w:eastAsia="黑体"/>
        </w:rPr>
        <w:t>允许差</w:t>
      </w:r>
    </w:p>
    <w:p>
      <w:pPr>
        <w:ind w:left="598" w:leftChars="190" w:hanging="199" w:hangingChars="95"/>
      </w:pPr>
      <w:r>
        <w:rPr>
          <w:rFonts w:hint="eastAsia"/>
        </w:rPr>
        <w:t>实验室之间分析结果的差值不应大于表1</w:t>
      </w:r>
      <w:r>
        <w:t>4</w:t>
      </w:r>
      <w:r>
        <w:rPr>
          <w:rFonts w:hint="eastAsia"/>
        </w:rPr>
        <w:t>所列允许差。</w:t>
      </w:r>
    </w:p>
    <w:p>
      <w:pPr>
        <w:ind w:left="398" w:leftChars="95" w:hanging="199" w:hangingChars="95"/>
        <w:jc w:val="center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表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14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允许差</w:t>
      </w:r>
    </w:p>
    <w:tbl>
      <w:tblPr>
        <w:tblStyle w:val="51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784"/>
        <w:gridCol w:w="1480"/>
        <w:gridCol w:w="1632"/>
        <w:gridCol w:w="163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65" w:leftChars="126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00" w:lineRule="exact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4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00" w:lineRule="exact"/>
              <w:ind w:left="265" w:leftChars="126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允许差（</w:t>
            </w:r>
            <w:r>
              <w:rPr>
                <w:i/>
              </w:rPr>
              <w:t>r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632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225" w:leftChars="107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被测元素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pacing w:line="300" w:lineRule="exact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质量分数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  <w:tc>
          <w:tcPr>
            <w:tcW w:w="14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adjustRightInd w:val="0"/>
              <w:spacing w:line="300" w:lineRule="exact"/>
              <w:ind w:left="265" w:leftChars="126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允许差（</w:t>
            </w:r>
            <w:r>
              <w:rPr>
                <w:i/>
              </w:rPr>
              <w:t>r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  <w:r>
              <w:rPr>
                <w:kern w:val="0"/>
                <w:sz w:val="18"/>
                <w:szCs w:val="20"/>
              </w:rPr>
              <w:t>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6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65" w:leftChars="126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氧化镧</w:t>
            </w:r>
          </w:p>
          <w:p>
            <w:pPr>
              <w:widowControl w:val="0"/>
              <w:ind w:left="225" w:leftChars="107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氧化钕</w:t>
            </w:r>
          </w:p>
        </w:tc>
        <w:tc>
          <w:tcPr>
            <w:tcW w:w="17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0.00005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~0.0003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~0.00</w:t>
            </w:r>
            <w:r>
              <w:rPr>
                <w:rFonts w:hint="eastAsia"/>
                <w:sz w:val="18"/>
                <w:szCs w:val="18"/>
              </w:rPr>
              <w:t>03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&gt;0.0003~0.0010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&gt;0.0010~0.0030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&gt;0.0030~0.0080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&gt;0.0080~0.010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&gt;0.010~0.0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氧化钐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氧化铕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氧化镝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氧化钬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氧化铒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氧化铥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氧化镱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氧化镥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氧化钇</w:t>
            </w:r>
          </w:p>
        </w:tc>
        <w:tc>
          <w:tcPr>
            <w:tcW w:w="163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~0.000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~0.00</w:t>
            </w:r>
            <w:r>
              <w:rPr>
                <w:rFonts w:hint="eastAsia"/>
                <w:sz w:val="18"/>
                <w:szCs w:val="18"/>
              </w:rPr>
              <w:t>03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&gt;0.0003~0.0010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&gt;0.0010~0.0030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&gt;0.0030~0.0080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&gt;0.0080~0.0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0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225" w:leftChars="107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氧化镨</w:t>
            </w:r>
          </w:p>
          <w:p>
            <w:pPr>
              <w:ind w:left="225" w:leftChars="107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氧化钆</w:t>
            </w:r>
          </w:p>
          <w:p>
            <w:pPr>
              <w:ind w:left="225" w:leftChars="107"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氧化铽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0.00005~0.0002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&gt;0.0002~0.0005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&gt;0.0005~0.0020</w:t>
            </w:r>
          </w:p>
          <w:p>
            <w:pPr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&gt;0.0020~0.0050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&gt;0.0050~0.0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780" w:hanging="360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780" w:hanging="360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beforeLines="100" w:afterLines="100"/>
        <w:ind w:left="0" w:leftChars="0" w:firstLine="0" w:firstLineChars="0"/>
        <w:rPr>
          <w:rFonts w:ascii="黑体" w:hAnsi="黑体" w:eastAsia="黑体"/>
        </w:rPr>
      </w:pP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 xml:space="preserve">  质量保证和控制</w:t>
      </w:r>
    </w:p>
    <w:p>
      <w:p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定期用自制的控制标准（如有国家级或行业级标样时，应首先使用）校核一次本标准分析方法的所有效性。当过程失控制时，应找出原因，纠正错误，重新进行校核。</w:t>
      </w:r>
    </w:p>
    <w:p>
      <w:pPr>
        <w:ind w:left="0" w:leftChars="0" w:firstLine="420" w:firstLineChars="200"/>
        <w:rPr>
          <w:szCs w:val="21"/>
        </w:rPr>
      </w:pPr>
    </w:p>
    <w:p>
      <w:pPr>
        <w:ind w:left="0" w:leftChars="0" w:firstLine="420" w:firstLineChars="200"/>
        <w:rPr>
          <w:rFonts w:hint="eastAsia"/>
          <w:szCs w:val="21"/>
        </w:rPr>
      </w:pPr>
    </w:p>
    <w:p>
      <w:pPr>
        <w:ind w:left="0" w:leftChars="0" w:firstLine="420" w:firstLineChars="200"/>
        <w:rPr>
          <w:rFonts w:hint="eastAsia"/>
          <w:szCs w:val="21"/>
        </w:rPr>
      </w:pPr>
    </w:p>
    <w:p>
      <w:pPr>
        <w:ind w:left="0" w:leftChars="0" w:firstLine="420" w:firstLineChars="200"/>
        <w:rPr>
          <w:rFonts w:hint="eastAsia"/>
          <w:szCs w:val="21"/>
        </w:rPr>
      </w:pPr>
    </w:p>
    <w:p>
      <w:pPr>
        <w:ind w:left="0" w:leftChars="0" w:firstLine="420" w:firstLineChars="200"/>
        <w:rPr>
          <w:rFonts w:hint="eastAsia"/>
          <w:szCs w:val="21"/>
        </w:rPr>
      </w:pPr>
    </w:p>
    <w:p>
      <w:pPr>
        <w:ind w:left="0" w:leftChars="0" w:firstLine="420" w:firstLineChars="200"/>
        <w:rPr>
          <w:rFonts w:hint="eastAsia"/>
          <w:szCs w:val="21"/>
        </w:rPr>
      </w:pPr>
    </w:p>
    <w:p>
      <w:pPr>
        <w:ind w:left="0" w:leftChars="0" w:firstLine="420" w:firstLineChars="200"/>
        <w:rPr>
          <w:rFonts w:hint="eastAsia"/>
          <w:szCs w:val="21"/>
        </w:rPr>
      </w:pPr>
    </w:p>
    <w:p>
      <w:pPr>
        <w:ind w:left="0" w:leftChars="0" w:firstLine="420" w:firstLineChars="200"/>
        <w:rPr>
          <w:szCs w:val="21"/>
        </w:rPr>
      </w:pPr>
    </w:p>
    <w:p>
      <w:pPr>
        <w:ind w:left="422" w:leftChars="0" w:hanging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 录 A</w:t>
      </w:r>
    </w:p>
    <w:p>
      <w:pPr>
        <w:ind w:left="422" w:leftChars="0" w:hanging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（规范性附录）</w:t>
      </w:r>
    </w:p>
    <w:p>
      <w:pPr>
        <w:spacing w:afterLines="100"/>
        <w:ind w:left="842" w:hanging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微柱分离洗脱条件试验</w:t>
      </w:r>
    </w:p>
    <w:p>
      <w:pPr>
        <w:widowControl w:val="0"/>
        <w:numPr>
          <w:ilvl w:val="0"/>
          <w:numId w:val="5"/>
        </w:numPr>
        <w:spacing w:beforeLines="100" w:afterLines="100"/>
        <w:ind w:left="0" w:leftChars="0" w:right="0" w:firstLine="0" w:firstLineChars="0"/>
        <w:jc w:val="both"/>
        <w:rPr>
          <w:b/>
          <w:bCs/>
        </w:rPr>
      </w:pPr>
      <w:r>
        <w:rPr>
          <w:rFonts w:hint="eastAsia"/>
          <w:b/>
          <w:bCs/>
        </w:rPr>
        <w:t>1试验仪器及试剂</w:t>
      </w:r>
    </w:p>
    <w:p>
      <w:pPr>
        <w:spacing w:line="400" w:lineRule="exact"/>
        <w:ind w:left="0" w:leftChars="0" w:firstLine="0" w:firstLineChars="0"/>
      </w:pPr>
      <w:r>
        <w:rPr>
          <w:rFonts w:hint="eastAsia"/>
          <w:b/>
          <w:bCs/>
        </w:rPr>
        <w:t xml:space="preserve">A.1 </w:t>
      </w:r>
      <w:r>
        <w:rPr>
          <w:b/>
          <w:bCs/>
        </w:rPr>
        <w:t>.1</w:t>
      </w:r>
      <w:r>
        <w:rPr>
          <w:rFonts w:hint="eastAsia"/>
        </w:rPr>
        <w:t>氧化铽标准溶液：移取2mL</w:t>
      </w:r>
      <w:r>
        <w:t>氧化</w:t>
      </w:r>
      <w:r>
        <w:rPr>
          <w:rFonts w:hint="eastAsia"/>
        </w:rPr>
        <w:t>铽</w:t>
      </w:r>
      <w:r>
        <w:t>标准贮存溶液</w:t>
      </w:r>
      <w:r>
        <w:rPr>
          <w:rFonts w:hint="eastAsia"/>
        </w:rPr>
        <w:t>（2.</w:t>
      </w:r>
      <w:r>
        <w:t>2</w:t>
      </w:r>
      <w:r>
        <w:rPr>
          <w:rFonts w:hint="eastAsia"/>
        </w:rPr>
        <w:t>.22）于100mL容量瓶中，</w:t>
      </w:r>
      <w:r>
        <w:t>加</w:t>
      </w:r>
      <w:r>
        <w:rPr>
          <w:rFonts w:hint="eastAsia"/>
        </w:rPr>
        <w:t>入</w:t>
      </w:r>
      <w:r>
        <w:t>10mL硝酸（</w:t>
      </w:r>
      <w:r>
        <w:rPr>
          <w:rFonts w:hint="eastAsia"/>
        </w:rPr>
        <w:t>2.</w:t>
      </w:r>
      <w:r>
        <w:t>2.</w:t>
      </w:r>
      <w:r>
        <w:rPr>
          <w:rFonts w:hint="eastAsia"/>
        </w:rPr>
        <w:t>7</w:t>
      </w:r>
      <w:r>
        <w:t>），</w:t>
      </w:r>
      <w:r>
        <w:rPr>
          <w:rFonts w:hint="eastAsia"/>
        </w:rPr>
        <w:t>以</w:t>
      </w:r>
      <w:r>
        <w:t>水稀释至刻度，混匀。此溶液1mL含氧化</w:t>
      </w:r>
      <w:r>
        <w:rPr>
          <w:rFonts w:hint="eastAsia"/>
        </w:rPr>
        <w:t>铽</w:t>
      </w:r>
      <w:r>
        <w:t>为20.0μg。</w:t>
      </w:r>
    </w:p>
    <w:p>
      <w:pPr>
        <w:ind w:left="0" w:leftChars="0" w:firstLine="0" w:firstLineChars="0"/>
      </w:pPr>
      <w:r>
        <w:rPr>
          <w:rFonts w:hint="eastAsia"/>
          <w:b/>
          <w:bCs/>
        </w:rPr>
        <w:t>A.</w:t>
      </w:r>
      <w:r>
        <w:rPr>
          <w:b/>
          <w:bCs/>
        </w:rPr>
        <w:t>1.</w:t>
      </w:r>
      <w:r>
        <w:rPr>
          <w:rFonts w:hint="eastAsia"/>
          <w:b/>
          <w:bCs/>
        </w:rPr>
        <w:t>2</w:t>
      </w:r>
      <w:r>
        <w:rPr>
          <w:rFonts w:hint="eastAsia"/>
        </w:rPr>
        <w:t>氧化镝标准溶液：移取2mL</w:t>
      </w:r>
      <w:r>
        <w:t>氧化铽标准贮存溶液</w:t>
      </w:r>
      <w:r>
        <w:rPr>
          <w:rFonts w:hint="eastAsia"/>
        </w:rPr>
        <w:t>（2.</w:t>
      </w:r>
      <w:r>
        <w:t>2</w:t>
      </w:r>
      <w:r>
        <w:rPr>
          <w:rFonts w:hint="eastAsia"/>
        </w:rPr>
        <w:t>.23）于100mL容量瓶中，</w:t>
      </w:r>
      <w:r>
        <w:t>加</w:t>
      </w:r>
      <w:r>
        <w:rPr>
          <w:rFonts w:hint="eastAsia"/>
        </w:rPr>
        <w:t>入</w:t>
      </w:r>
      <w:r>
        <w:t>10mL硝酸（</w:t>
      </w:r>
      <w:r>
        <w:rPr>
          <w:rFonts w:hint="eastAsia"/>
        </w:rPr>
        <w:t>2.</w:t>
      </w:r>
      <w:r>
        <w:t>2.</w:t>
      </w:r>
      <w:r>
        <w:rPr>
          <w:rFonts w:hint="eastAsia"/>
        </w:rPr>
        <w:t>7</w:t>
      </w:r>
      <w:r>
        <w:t>），</w:t>
      </w:r>
      <w:r>
        <w:rPr>
          <w:rFonts w:hint="eastAsia"/>
        </w:rPr>
        <w:t>以</w:t>
      </w:r>
      <w:r>
        <w:t>水稀释至刻度，混匀。此溶液1mL含氧化</w:t>
      </w:r>
      <w:r>
        <w:rPr>
          <w:rFonts w:hint="eastAsia"/>
        </w:rPr>
        <w:t>镝</w:t>
      </w:r>
      <w:r>
        <w:t>为20.0μg。</w:t>
      </w:r>
    </w:p>
    <w:p>
      <w:pPr>
        <w:spacing w:line="400" w:lineRule="exact"/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A.</w:t>
      </w:r>
      <w:r>
        <w:rPr>
          <w:b/>
          <w:bCs/>
        </w:rPr>
        <w:t>1.</w:t>
      </w:r>
      <w:r>
        <w:rPr>
          <w:rFonts w:hint="eastAsia"/>
          <w:b/>
          <w:bCs/>
        </w:rPr>
        <w:t>3</w:t>
      </w:r>
      <w:r>
        <w:rPr>
          <w:rFonts w:hint="eastAsia"/>
        </w:rPr>
        <w:t>氧化钬标准溶液：移取2mL</w:t>
      </w:r>
      <w:r>
        <w:t>氧化</w:t>
      </w:r>
      <w:r>
        <w:rPr>
          <w:rFonts w:hint="eastAsia"/>
        </w:rPr>
        <w:t>钬</w:t>
      </w:r>
      <w:r>
        <w:t>标准贮存溶液</w:t>
      </w:r>
      <w:r>
        <w:rPr>
          <w:rFonts w:hint="eastAsia"/>
        </w:rPr>
        <w:t>（2.</w:t>
      </w:r>
      <w:r>
        <w:t>2</w:t>
      </w:r>
      <w:r>
        <w:rPr>
          <w:rFonts w:hint="eastAsia"/>
        </w:rPr>
        <w:t>.24）于100mL容量瓶中，</w:t>
      </w:r>
      <w:r>
        <w:t>加</w:t>
      </w:r>
      <w:r>
        <w:rPr>
          <w:rFonts w:hint="eastAsia"/>
        </w:rPr>
        <w:t>入</w:t>
      </w:r>
      <w:r>
        <w:t>10mL硝酸（</w:t>
      </w:r>
      <w:r>
        <w:rPr>
          <w:rFonts w:hint="eastAsia"/>
        </w:rPr>
        <w:t>2.</w:t>
      </w:r>
      <w:r>
        <w:t>2.</w:t>
      </w:r>
      <w:r>
        <w:rPr>
          <w:rFonts w:hint="eastAsia"/>
        </w:rPr>
        <w:t>7</w:t>
      </w:r>
      <w:r>
        <w:t>），用水稀释至刻度，混匀。此溶液1mL含氧化</w:t>
      </w:r>
      <w:r>
        <w:rPr>
          <w:rFonts w:hint="eastAsia"/>
        </w:rPr>
        <w:t>钬</w:t>
      </w:r>
      <w:r>
        <w:t>为20.0μg。</w:t>
      </w:r>
    </w:p>
    <w:p>
      <w:pPr>
        <w:ind w:left="0" w:leftChars="0" w:firstLine="0" w:firstLineChars="0"/>
        <w:rPr>
          <w:szCs w:val="21"/>
        </w:rPr>
      </w:pPr>
      <w:r>
        <w:rPr>
          <w:rFonts w:hint="eastAsia"/>
          <w:b/>
          <w:bCs/>
        </w:rPr>
        <w:t>A.</w:t>
      </w:r>
      <w:r>
        <w:rPr>
          <w:b/>
          <w:bCs/>
        </w:rPr>
        <w:t>1.</w:t>
      </w:r>
      <w:r>
        <w:rPr>
          <w:rFonts w:hint="eastAsia"/>
          <w:b/>
          <w:bCs/>
        </w:rPr>
        <w:t xml:space="preserve">4 </w:t>
      </w:r>
      <w:r>
        <w:rPr>
          <w:rFonts w:hint="eastAsia"/>
        </w:rPr>
        <w:t>0.5mg/mL氧化钕、氧化铽、氧化镝、氧化钬混合标准溶液：准确</w:t>
      </w:r>
      <w:r>
        <w:t>称取1</w:t>
      </w:r>
      <w:r>
        <w:rPr>
          <w:rFonts w:hint="eastAsia"/>
        </w:rPr>
        <w:t>.0</w:t>
      </w:r>
      <w:r>
        <w:t>000g氧化钕（w（REO/∑REO）</w:t>
      </w:r>
      <w:r>
        <w:rPr>
          <w:rFonts w:hint="eastAsia" w:ascii="宋体" w:hAnsi="宋体" w:cs="宋体"/>
        </w:rPr>
        <w:t>≥</w:t>
      </w:r>
      <w:r>
        <w:t>99.999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，事先</w:t>
      </w:r>
      <w:r>
        <w:t>经9</w:t>
      </w:r>
      <w:r>
        <w:rPr>
          <w:rFonts w:hint="eastAsia"/>
        </w:rPr>
        <w:t>5</w:t>
      </w:r>
      <w:r>
        <w:t>0℃灼烧</w:t>
      </w:r>
      <w:r>
        <w:rPr>
          <w:rFonts w:hint="eastAsia"/>
        </w:rPr>
        <w:t>至恒重），</w:t>
      </w:r>
      <w:r>
        <w:rPr>
          <w:color w:val="000000"/>
        </w:rPr>
        <w:t>置于100mL烧杯中，加</w:t>
      </w:r>
      <w:r>
        <w:rPr>
          <w:rFonts w:hint="eastAsia"/>
          <w:color w:val="000000"/>
        </w:rPr>
        <w:t>入</w:t>
      </w:r>
      <w:r>
        <w:rPr>
          <w:color w:val="000000"/>
        </w:rPr>
        <w:t>10mL硝酸（</w:t>
      </w:r>
      <w:r>
        <w:rPr>
          <w:rFonts w:hint="eastAsia"/>
          <w:color w:val="000000"/>
        </w:rPr>
        <w:t>2.2</w:t>
      </w:r>
      <w:r>
        <w:rPr>
          <w:color w:val="000000"/>
        </w:rPr>
        <w:t>.</w:t>
      </w:r>
      <w:r>
        <w:rPr>
          <w:rFonts w:hint="eastAsia"/>
          <w:color w:val="000000"/>
        </w:rPr>
        <w:t>7</w:t>
      </w:r>
      <w:r>
        <w:rPr>
          <w:color w:val="000000"/>
        </w:rPr>
        <w:t>），低温加热至溶解完全，取下冷却至室温，移入</w:t>
      </w:r>
      <w:r>
        <w:rPr>
          <w:rFonts w:hint="eastAsia"/>
          <w:color w:val="000000"/>
        </w:rPr>
        <w:t>2</w:t>
      </w:r>
      <w:r>
        <w:rPr>
          <w:color w:val="000000"/>
        </w:rPr>
        <w:t>00mL容量瓶中，</w:t>
      </w:r>
      <w:r>
        <w:rPr>
          <w:rFonts w:hint="eastAsia"/>
          <w:color w:val="000000"/>
        </w:rPr>
        <w:t>再</w:t>
      </w:r>
      <w:r>
        <w:rPr>
          <w:rFonts w:hint="eastAsia"/>
        </w:rPr>
        <w:t>分别移取5mL</w:t>
      </w:r>
      <w:r>
        <w:rPr>
          <w:szCs w:val="21"/>
        </w:rPr>
        <w:t>氧化铽</w:t>
      </w:r>
      <w:r>
        <w:rPr>
          <w:rFonts w:hint="eastAsia"/>
        </w:rPr>
        <w:t>标准溶液（A.1.1）、</w:t>
      </w:r>
      <w:r>
        <w:rPr>
          <w:szCs w:val="21"/>
        </w:rPr>
        <w:t>氧化</w:t>
      </w:r>
      <w:r>
        <w:rPr>
          <w:rFonts w:hint="eastAsia"/>
          <w:szCs w:val="21"/>
        </w:rPr>
        <w:t>镝</w:t>
      </w:r>
      <w:r>
        <w:rPr>
          <w:rFonts w:hint="eastAsia"/>
        </w:rPr>
        <w:t>标准溶液（A.1.2）和</w:t>
      </w:r>
      <w:r>
        <w:rPr>
          <w:szCs w:val="21"/>
        </w:rPr>
        <w:t>氧化</w:t>
      </w:r>
      <w:r>
        <w:rPr>
          <w:rFonts w:hint="eastAsia"/>
          <w:szCs w:val="21"/>
        </w:rPr>
        <w:t>钬</w:t>
      </w:r>
      <w:r>
        <w:rPr>
          <w:szCs w:val="21"/>
        </w:rPr>
        <w:t>标准溶液</w:t>
      </w:r>
      <w:r>
        <w:rPr>
          <w:rFonts w:hint="eastAsia"/>
          <w:szCs w:val="21"/>
        </w:rPr>
        <w:t>（A.1.3）于200mL容量瓶中，</w:t>
      </w:r>
      <w:r>
        <w:rPr>
          <w:szCs w:val="21"/>
        </w:rPr>
        <w:t>用</w:t>
      </w:r>
      <w:r>
        <w:rPr>
          <w:rFonts w:hint="eastAsia"/>
          <w:szCs w:val="21"/>
        </w:rPr>
        <w:t>盐</w:t>
      </w:r>
      <w:r>
        <w:rPr>
          <w:szCs w:val="21"/>
        </w:rPr>
        <w:t>酸（</w:t>
      </w:r>
      <w:r>
        <w:rPr>
          <w:rFonts w:hint="eastAsia"/>
          <w:szCs w:val="21"/>
        </w:rPr>
        <w:t>2.</w:t>
      </w:r>
      <w:r>
        <w:rPr>
          <w:szCs w:val="21"/>
        </w:rPr>
        <w:t>2.</w:t>
      </w:r>
      <w:r>
        <w:rPr>
          <w:rFonts w:hint="eastAsia"/>
          <w:szCs w:val="21"/>
        </w:rPr>
        <w:t>11</w:t>
      </w:r>
      <w:r>
        <w:rPr>
          <w:szCs w:val="21"/>
        </w:rPr>
        <w:t>）稀释至刻度，混匀。此溶液1mL含</w:t>
      </w:r>
      <w:r>
        <w:rPr>
          <w:rFonts w:hint="eastAsia"/>
          <w:szCs w:val="21"/>
        </w:rPr>
        <w:t>氧化钕0.5mg/L，</w:t>
      </w:r>
      <w:r>
        <w:rPr>
          <w:szCs w:val="21"/>
        </w:rPr>
        <w:t>氧化铽</w:t>
      </w:r>
      <w:r>
        <w:rPr>
          <w:rFonts w:hint="eastAsia"/>
          <w:szCs w:val="21"/>
        </w:rPr>
        <w:t>、</w:t>
      </w:r>
      <w:r>
        <w:rPr>
          <w:szCs w:val="21"/>
        </w:rPr>
        <w:t>氧化</w:t>
      </w:r>
      <w:r>
        <w:rPr>
          <w:rFonts w:hint="eastAsia"/>
          <w:szCs w:val="21"/>
        </w:rPr>
        <w:t>镝和氧化钬均</w:t>
      </w:r>
      <w:r>
        <w:rPr>
          <w:szCs w:val="21"/>
        </w:rPr>
        <w:t>为</w:t>
      </w:r>
      <w:r>
        <w:rPr>
          <w:rFonts w:hint="eastAsia"/>
          <w:szCs w:val="21"/>
        </w:rPr>
        <w:t>500n</w:t>
      </w:r>
      <w:r>
        <w:rPr>
          <w:szCs w:val="21"/>
        </w:rPr>
        <w:t>g的标准溶液。</w:t>
      </w:r>
    </w:p>
    <w:p>
      <w:pPr>
        <w:ind w:left="0" w:leftChars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其他参照正文。</w:t>
      </w:r>
    </w:p>
    <w:p>
      <w:pPr>
        <w:spacing w:beforeLines="100" w:afterLines="100"/>
        <w:ind w:left="199" w:leftChars="0" w:right="0" w:hanging="199" w:hangingChars="9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A.2试验方法</w:t>
      </w:r>
    </w:p>
    <w:p>
      <w:pPr>
        <w:spacing w:beforeLines="100" w:afterLines="100"/>
        <w:ind w:left="199" w:leftChars="0" w:hanging="199" w:hangingChars="9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见正文2.5</w:t>
      </w:r>
    </w:p>
    <w:p>
      <w:pPr>
        <w:spacing w:beforeLines="100" w:afterLines="100"/>
        <w:ind w:left="0" w:leftChars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A.3 试验讨论</w:t>
      </w:r>
    </w:p>
    <w:p>
      <w:pPr>
        <w:spacing w:line="400" w:lineRule="exact"/>
        <w:ind w:left="0" w:leftChars="0" w:firstLine="0" w:firstLineChars="0"/>
        <w:rPr>
          <w:szCs w:val="22"/>
        </w:rPr>
      </w:pPr>
      <w:r>
        <w:rPr>
          <w:rFonts w:hint="eastAsia" w:ascii="黑体" w:hAnsi="黑体" w:eastAsia="黑体"/>
        </w:rPr>
        <w:t xml:space="preserve">A.3.1 </w:t>
      </w:r>
      <w:r>
        <w:rPr>
          <w:rFonts w:hint="eastAsia"/>
        </w:rPr>
        <w:t>试验数据统计：以混合标准溶液（A</w:t>
      </w:r>
      <w:r>
        <w:t>.1.</w:t>
      </w:r>
      <w:r>
        <w:rPr>
          <w:rFonts w:hint="eastAsia"/>
        </w:rPr>
        <w:t>4）进样，进样量为1mL，根据不同收集时间采集的试液中氧化铽、氧化镝、氧化钬的测定结果，计算回收率，见表A.1</w:t>
      </w:r>
      <w:r>
        <w:rPr>
          <w:rFonts w:hint="eastAsia"/>
          <w:szCs w:val="22"/>
        </w:rPr>
        <w:t>。</w:t>
      </w:r>
    </w:p>
    <w:p>
      <w:pPr>
        <w:ind w:left="840" w:hanging="420"/>
        <w:jc w:val="center"/>
        <w:rPr>
          <w:szCs w:val="22"/>
        </w:rPr>
      </w:pPr>
      <w:r>
        <w:rPr>
          <w:rFonts w:hint="eastAsia"/>
          <w:szCs w:val="22"/>
        </w:rPr>
        <w:t>表</w:t>
      </w:r>
      <w:r>
        <w:rPr>
          <w:szCs w:val="22"/>
        </w:rPr>
        <w:t>A</w:t>
      </w:r>
      <w:r>
        <w:rPr>
          <w:rFonts w:hint="eastAsia"/>
          <w:szCs w:val="22"/>
        </w:rPr>
        <w:t>.1 不同收集时间</w:t>
      </w:r>
      <w:r>
        <w:rPr>
          <w:rFonts w:hint="eastAsia"/>
        </w:rPr>
        <w:t>氧化铽、氧化镝、氧化钬</w:t>
      </w:r>
      <w:r>
        <w:rPr>
          <w:rFonts w:hint="eastAsia"/>
          <w:szCs w:val="22"/>
        </w:rPr>
        <w:t>的回收率</w:t>
      </w:r>
    </w:p>
    <w:tbl>
      <w:tblPr>
        <w:tblStyle w:val="51"/>
        <w:tblW w:w="9982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67"/>
        <w:gridCol w:w="1367"/>
        <w:gridCol w:w="1367"/>
        <w:gridCol w:w="1367"/>
        <w:gridCol w:w="136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收集时间/min</w:t>
            </w:r>
          </w:p>
        </w:tc>
        <w:tc>
          <w:tcPr>
            <w:tcW w:w="8203" w:type="dxa"/>
            <w:gridSpan w:val="6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分离柱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氧化铽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氧化镝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氧化钬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测定值/ng</w:t>
            </w:r>
          </w:p>
        </w:tc>
        <w:tc>
          <w:tcPr>
            <w:tcW w:w="1367" w:type="dxa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回收率/%</w:t>
            </w:r>
          </w:p>
        </w:tc>
        <w:tc>
          <w:tcPr>
            <w:tcW w:w="1367" w:type="dxa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测定值/ng</w:t>
            </w:r>
          </w:p>
        </w:tc>
        <w:tc>
          <w:tcPr>
            <w:tcW w:w="1367" w:type="dxa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回收率/%</w:t>
            </w:r>
          </w:p>
        </w:tc>
        <w:tc>
          <w:tcPr>
            <w:tcW w:w="1367" w:type="dxa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测定值/ng</w:t>
            </w:r>
          </w:p>
        </w:tc>
        <w:tc>
          <w:tcPr>
            <w:tcW w:w="1368" w:type="dxa"/>
            <w:vAlign w:val="center"/>
          </w:tcPr>
          <w:p>
            <w:pPr>
              <w:ind w:left="0" w:leftChars="0" w:firstLine="0" w:firstLineChars="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回收率/%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15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30</w:t>
            </w: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7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ind w:left="840" w:hanging="420"/>
              <w:jc w:val="center"/>
              <w:rPr>
                <w:szCs w:val="22"/>
              </w:rPr>
            </w:pPr>
          </w:p>
        </w:tc>
      </w:tr>
    </w:tbl>
    <w:p>
      <w:pPr>
        <w:ind w:left="0" w:leftChars="0" w:firstLine="0" w:firstLineChars="0"/>
      </w:pPr>
    </w:p>
    <w:p>
      <w:pPr>
        <w:ind w:left="0" w:leftChars="0" w:firstLine="0" w:firstLineChars="0"/>
        <w:rPr>
          <w:rFonts w:hint="eastAsia"/>
        </w:rPr>
      </w:pPr>
      <w:r>
        <w:t>A.3.2</w:t>
      </w:r>
      <w:r>
        <w:rPr>
          <w:rFonts w:hint="eastAsia"/>
        </w:rPr>
        <w:t xml:space="preserve"> 收集时间的确定：根据不同收集时间氧化铽、氧化镝、氧化钬的回收率情况，确定氧化铽、氧化镝、氧化钬分离的最佳采集时间，要求氧化铽、氧化镝、氧化钬的回收率在85%以上。</w:t>
      </w: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sz w:val="21"/>
        </w:rPr>
        <w:pict>
          <v:line id="_x0000_s1042" o:spid="_x0000_s1042" o:spt="20" style="position:absolute;left:0pt;margin-left:119.2pt;margin-top:12.1pt;height:1.5pt;width:179.2pt;z-index:2048;mso-width-relative:page;mso-height-relative:page;" fillcolor="#9CBEE0" filled="t" stroked="t" coordsize="21600,21600">
            <v:path arrowok="t"/>
            <v:fill type="gradient" on="t" color2="#BBD5F0" focus="0%" focussize="0f,0f" focusposition="0f,0f">
              <o:fill type="gradientUnscaled" v:ext="backwardCompatible"/>
            </v:fill>
            <v:stroke weight="1.5pt" color="#000000"/>
            <v:imagedata o:title=""/>
            <o:lock v:ext="edit" aspectratio="f"/>
          </v:line>
        </w:pict>
      </w:r>
    </w:p>
    <w:p>
      <w:pPr>
        <w:ind w:left="0" w:leftChars="0" w:firstLine="420" w:firstLineChars="200"/>
      </w:pPr>
    </w:p>
    <w:p>
      <w:pPr>
        <w:ind w:left="0" w:leftChars="0" w:firstLine="420" w:firstLineChars="200"/>
      </w:pPr>
      <w:bookmarkStart w:id="6" w:name="_GoBack"/>
      <w:bookmarkEnd w:id="6"/>
    </w:p>
    <w:sectPr>
      <w:headerReference r:id="rId12" w:type="first"/>
      <w:footerReference r:id="rId15" w:type="first"/>
      <w:footerReference r:id="rId13" w:type="default"/>
      <w:footerReference r:id="rId14" w:type="even"/>
      <w:pgSz w:w="11906" w:h="16838"/>
      <w:pgMar w:top="567" w:right="1134" w:bottom="1134" w:left="1418" w:header="1418" w:footer="1134" w:gutter="0"/>
      <w:pgNumType w:start="1"/>
      <w:cols w:space="720" w:num="1"/>
      <w:formProt w:val="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</w:pPr>
    <w:r>
      <w:pict>
        <v:shape id="Text Box 2" o:spid="_x0000_s2053" o:spt="202" type="#_x0000_t202" style="position:absolute;left:0pt;margin-top:0pt;height:10.35pt;width:36.05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2"/>
                  <w:ind w:left="780" w:right="210" w:hanging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  <w:jc w:val="center"/>
    </w:pPr>
    <w:r>
      <w:pict>
        <v:shape id="Text Box 3" o:spid="_x0000_s2052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2"/>
                  <w:ind w:left="780" w:right="210" w:hanging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  <w:jc w:val="both"/>
    </w:pPr>
    <w:r>
      <w:pict>
        <v:shape id="Text Box 10" o:spid="_x0000_s2051" o:spt="202" type="#_x0000_t202" style="position:absolute;left:0pt;flip:x;margin-top:-0.7pt;height:11.05pt;width:36.05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2"/>
                  <w:ind w:left="780" w:right="210" w:hanging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  <w:jc w:val="center"/>
    </w:pPr>
    <w:r>
      <w:pict>
        <v:shape id="Text Box 9" o:spid="_x0000_s2050" o:spt="202" type="#_x0000_t202" style="position:absolute;left:0pt;margin-top:0pt;height:10.35pt;width:36.05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2"/>
                  <w:ind w:left="780" w:right="210" w:hanging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  <w:jc w:val="center"/>
    </w:pPr>
    <w:r>
      <w:pict>
        <v:shape id="Text Box 5" o:spid="_x0000_s2049" o:spt="202" type="#_x0000_t202" style="position:absolute;left:0pt;margin-top:0pt;height:22.4pt;width:40.55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2"/>
                  <w:ind w:left="780" w:right="210" w:hanging="360"/>
                  <w:jc w:val="center"/>
                </w:pPr>
                <w:r>
                  <w:rPr>
                    <w:lang w:val="en-US"/>
                  </w:rPr>
                  <w:fldChar w:fldCharType="begin"/>
                </w:r>
                <w:r>
                  <w:instrText xml:space="preserve">PAGE   \* MERGEFORMAT</w:instrText>
                </w:r>
                <w:r>
                  <w:rPr>
                    <w:lang w:val="en-US"/>
                  </w:rPr>
                  <w:fldChar w:fldCharType="separate"/>
                </w:r>
                <w:r>
                  <w:t>9</w:t>
                </w:r>
                <w:r>
                  <w:rPr>
                    <w:lang w:val="zh-CN"/>
                  </w:rPr>
                  <w:fldChar w:fldCharType="end"/>
                </w:r>
              </w:p>
              <w:p>
                <w:pPr>
                  <w:ind w:left="840" w:rightChars="100" w:hanging="420"/>
                </w:pPr>
              </w:p>
            </w:txbxContent>
          </v:textbox>
        </v:shape>
      </w:pict>
    </w:r>
  </w:p>
  <w:p>
    <w:pPr>
      <w:pStyle w:val="146"/>
      <w:ind w:left="780" w:right="197" w:rightChars="94" w:hanging="36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  <w:jc w:val="center"/>
    </w:pPr>
    <w:r>
      <w:rPr>
        <w:lang w:val="en-US"/>
      </w:rPr>
      <w:fldChar w:fldCharType="begin"/>
    </w:r>
    <w:r>
      <w:instrText xml:space="preserve">PAGE   \* MERGEFORMAT</w:instrText>
    </w:r>
    <w:r>
      <w:rPr>
        <w:lang w:val="en-US"/>
      </w:rPr>
      <w:fldChar w:fldCharType="separate"/>
    </w:r>
    <w:r>
      <w:t>8</w:t>
    </w:r>
    <w:r>
      <w:rPr>
        <w:lang w:val="zh-CN"/>
      </w:rPr>
      <w:fldChar w:fldCharType="end"/>
    </w:r>
  </w:p>
  <w:p>
    <w:pPr>
      <w:pStyle w:val="32"/>
      <w:tabs>
        <w:tab w:val="center" w:pos="4677"/>
        <w:tab w:val="right" w:pos="9264"/>
      </w:tabs>
      <w:ind w:left="780" w:right="210" w:hanging="36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ind w:left="780" w:right="210" w:hanging="360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left="78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left="840" w:rightChars="100" w:hanging="420"/>
      <w:jc w:val="right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GB/T18115.4-202X</w:t>
    </w:r>
  </w:p>
  <w:p>
    <w:pPr>
      <w:pStyle w:val="33"/>
      <w:ind w:left="780" w:rightChars="10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left="780" w:hanging="360"/>
    </w:pPr>
    <w:r>
      <w:rPr>
        <w:rFonts w:hint="eastAsia"/>
      </w:rPr>
      <w:t xml:space="preserve">                                                                                       GB/T12690.</w:t>
    </w:r>
    <w:r>
      <w:t>1</w:t>
    </w:r>
    <w:r>
      <w:rPr>
        <w:rFonts w:hint="eastAsia"/>
      </w:rPr>
      <w:t>5-201X</w:t>
    </w:r>
  </w:p>
  <w:p>
    <w:pPr>
      <w:pStyle w:val="33"/>
      <w:ind w:left="780" w:hanging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8"/>
      <w:ind w:left="0" w:leftChars="0" w:firstLine="0" w:firstLineChars="0"/>
    </w:pPr>
    <w:r>
      <w:rPr>
        <w:rFonts w:hint="eastAsia"/>
      </w:rPr>
      <w:t>GB/T18115.4-202X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left="840" w:rightChars="100" w:hanging="420"/>
      <w:jc w:val="right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GB/T18115.4-202X</w:t>
    </w:r>
  </w:p>
  <w:p>
    <w:pPr>
      <w:pStyle w:val="33"/>
      <w:ind w:left="78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996C9"/>
    <w:multiLevelType w:val="singleLevel"/>
    <w:tmpl w:val="91C996C9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7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2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7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76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171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16E698A"/>
    <w:multiLevelType w:val="multilevel"/>
    <w:tmpl w:val="416E698A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 w:ascii="黑体" w:hAnsi="黑体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76933334"/>
    <w:multiLevelType w:val="multilevel"/>
    <w:tmpl w:val="76933334"/>
    <w:lvl w:ilvl="0" w:tentative="0">
      <w:start w:val="1"/>
      <w:numFmt w:val="none"/>
      <w:pStyle w:val="170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1E3"/>
    <w:rsid w:val="00165950"/>
    <w:rsid w:val="00624995"/>
    <w:rsid w:val="00E321E3"/>
    <w:rsid w:val="6CC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semiHidden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400" w:leftChars="200" w:right="210" w:hanging="200" w:hanging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9"/>
    <w:qFormat/>
    <w:uiPriority w:val="9"/>
    <w:pPr>
      <w:keepNext/>
      <w:keepLines/>
      <w:numPr>
        <w:ilvl w:val="0"/>
        <w:numId w:val="1"/>
      </w:numPr>
      <w:spacing w:before="340" w:line="578" w:lineRule="auto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180"/>
    <w:unhideWhenUsed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link w:val="181"/>
    <w:unhideWhenUsed/>
    <w:qFormat/>
    <w:uiPriority w:val="9"/>
    <w:pPr>
      <w:keepNext/>
      <w:keepLines/>
      <w:numPr>
        <w:ilvl w:val="2"/>
        <w:numId w:val="1"/>
      </w:numPr>
      <w:spacing w:line="415" w:lineRule="auto"/>
      <w:ind w:right="100" w:rightChars="100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182"/>
    <w:unhideWhenUsed/>
    <w:qFormat/>
    <w:uiPriority w:val="9"/>
    <w:pPr>
      <w:keepNext/>
      <w:keepLines/>
      <w:numPr>
        <w:ilvl w:val="3"/>
        <w:numId w:val="1"/>
      </w:numPr>
      <w:spacing w:line="360" w:lineRule="auto"/>
      <w:outlineLvl w:val="3"/>
    </w:pPr>
    <w:rPr>
      <w:rFonts w:ascii="黑体" w:hAnsi="黑体" w:eastAsia="黑体"/>
      <w:bCs/>
      <w:szCs w:val="21"/>
    </w:rPr>
  </w:style>
  <w:style w:type="paragraph" w:styleId="6">
    <w:name w:val="heading 5"/>
    <w:basedOn w:val="1"/>
    <w:next w:val="1"/>
    <w:link w:val="183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84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185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186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187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</w:pPr>
    <w:rPr>
      <w:rFonts w:ascii="宋体"/>
      <w:szCs w:val="21"/>
    </w:rPr>
  </w:style>
  <w:style w:type="paragraph" w:styleId="12">
    <w:name w:val="index 8"/>
    <w:basedOn w:val="1"/>
    <w:next w:val="1"/>
    <w:qFormat/>
    <w:uiPriority w:val="99"/>
    <w:pPr>
      <w:ind w:left="1680" w:hanging="210"/>
    </w:pPr>
    <w:rPr>
      <w:rFonts w:ascii="Calibri" w:hAnsi="Calibri"/>
      <w:sz w:val="20"/>
      <w:szCs w:val="20"/>
    </w:rPr>
  </w:style>
  <w:style w:type="paragraph" w:styleId="13">
    <w:name w:val="Normal Indent"/>
    <w:basedOn w:val="1"/>
    <w:unhideWhenUsed/>
    <w:qFormat/>
    <w:uiPriority w:val="0"/>
    <w:pPr>
      <w:adjustRightInd w:val="0"/>
      <w:spacing w:line="360" w:lineRule="atLeast"/>
      <w:ind w:firstLine="420"/>
      <w:textAlignment w:val="baseline"/>
    </w:pPr>
    <w:rPr>
      <w:kern w:val="0"/>
      <w:sz w:val="24"/>
      <w:szCs w:val="20"/>
    </w:rPr>
  </w:style>
  <w:style w:type="paragraph" w:styleId="1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99"/>
    <w:pPr>
      <w:ind w:left="1050" w:hanging="210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188"/>
    <w:semiHidden/>
    <w:qFormat/>
    <w:uiPriority w:val="0"/>
    <w:pPr>
      <w:shd w:val="clear" w:color="auto" w:fill="000080"/>
    </w:pPr>
    <w:rPr>
      <w:kern w:val="0"/>
      <w:sz w:val="20"/>
    </w:rPr>
  </w:style>
  <w:style w:type="paragraph" w:styleId="17">
    <w:name w:val="annotation text"/>
    <w:basedOn w:val="1"/>
    <w:semiHidden/>
    <w:unhideWhenUsed/>
    <w:uiPriority w:val="0"/>
  </w:style>
  <w:style w:type="paragraph" w:styleId="18">
    <w:name w:val="index 6"/>
    <w:basedOn w:val="1"/>
    <w:next w:val="1"/>
    <w:qFormat/>
    <w:uiPriority w:val="99"/>
    <w:pPr>
      <w:ind w:left="1260" w:hanging="210"/>
    </w:pPr>
    <w:rPr>
      <w:rFonts w:ascii="Calibri" w:hAnsi="Calibri"/>
      <w:sz w:val="20"/>
      <w:szCs w:val="20"/>
    </w:rPr>
  </w:style>
  <w:style w:type="paragraph" w:styleId="19">
    <w:name w:val="Body Text"/>
    <w:basedOn w:val="1"/>
    <w:link w:val="207"/>
    <w:unhideWhenUsed/>
    <w:uiPriority w:val="0"/>
    <w:pPr>
      <w:widowControl w:val="0"/>
      <w:spacing w:after="120"/>
      <w:ind w:left="0" w:leftChars="0" w:right="0" w:firstLine="0" w:firstLineChars="0"/>
      <w:jc w:val="both"/>
    </w:pPr>
  </w:style>
  <w:style w:type="paragraph" w:styleId="20">
    <w:name w:val="Body Text Indent"/>
    <w:basedOn w:val="1"/>
    <w:link w:val="189"/>
    <w:unhideWhenUsed/>
    <w:qFormat/>
    <w:uiPriority w:val="99"/>
    <w:pPr>
      <w:spacing w:line="300" w:lineRule="exact"/>
      <w:ind w:firstLine="420" w:firstLineChars="200"/>
    </w:pPr>
    <w:rPr>
      <w:kern w:val="0"/>
      <w:sz w:val="20"/>
    </w:rPr>
  </w:style>
  <w:style w:type="paragraph" w:styleId="21">
    <w:name w:val="HTML Address"/>
    <w:basedOn w:val="1"/>
    <w:link w:val="209"/>
    <w:uiPriority w:val="0"/>
    <w:pPr>
      <w:widowControl w:val="0"/>
      <w:ind w:left="0" w:leftChars="0" w:right="0" w:firstLine="0" w:firstLineChars="0"/>
      <w:jc w:val="both"/>
    </w:pPr>
    <w:rPr>
      <w:i/>
      <w:iCs/>
    </w:rPr>
  </w:style>
  <w:style w:type="paragraph" w:styleId="22">
    <w:name w:val="index 4"/>
    <w:basedOn w:val="1"/>
    <w:next w:val="1"/>
    <w:qFormat/>
    <w:uiPriority w:val="99"/>
    <w:pPr>
      <w:ind w:left="840" w:hanging="210"/>
    </w:pPr>
    <w:rPr>
      <w:rFonts w:ascii="Calibri" w:hAnsi="Calibri"/>
      <w:sz w:val="20"/>
      <w:szCs w:val="20"/>
    </w:rPr>
  </w:style>
  <w:style w:type="paragraph" w:styleId="2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</w:pPr>
    <w:rPr>
      <w:rFonts w:ascii="宋体"/>
      <w:szCs w:val="21"/>
    </w:rPr>
  </w:style>
  <w:style w:type="paragraph" w:styleId="24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</w:pPr>
    <w:rPr>
      <w:rFonts w:ascii="宋体"/>
      <w:szCs w:val="21"/>
    </w:rPr>
  </w:style>
  <w:style w:type="paragraph" w:styleId="25">
    <w:name w:val="Plain Text"/>
    <w:basedOn w:val="1"/>
    <w:link w:val="190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26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</w:pPr>
    <w:rPr>
      <w:rFonts w:ascii="宋体"/>
      <w:szCs w:val="21"/>
    </w:rPr>
  </w:style>
  <w:style w:type="paragraph" w:styleId="27">
    <w:name w:val="index 3"/>
    <w:basedOn w:val="1"/>
    <w:next w:val="1"/>
    <w:qFormat/>
    <w:uiPriority w:val="99"/>
    <w:pPr>
      <w:ind w:left="630" w:hanging="210"/>
    </w:pPr>
    <w:rPr>
      <w:rFonts w:ascii="Calibri" w:hAnsi="Calibri"/>
      <w:sz w:val="20"/>
      <w:szCs w:val="20"/>
    </w:rPr>
  </w:style>
  <w:style w:type="paragraph" w:styleId="28">
    <w:name w:val="Date"/>
    <w:basedOn w:val="1"/>
    <w:next w:val="1"/>
    <w:link w:val="208"/>
    <w:unhideWhenUsed/>
    <w:qFormat/>
    <w:uiPriority w:val="0"/>
    <w:pPr>
      <w:ind w:left="100" w:leftChars="2500"/>
    </w:pPr>
  </w:style>
  <w:style w:type="paragraph" w:styleId="29">
    <w:name w:val="Body Text Indent 2"/>
    <w:basedOn w:val="1"/>
    <w:link w:val="214"/>
    <w:qFormat/>
    <w:uiPriority w:val="0"/>
    <w:pPr>
      <w:widowControl w:val="0"/>
      <w:adjustRightInd w:val="0"/>
      <w:spacing w:line="312" w:lineRule="atLeast"/>
      <w:ind w:left="0" w:leftChars="0" w:right="0" w:firstLine="315" w:firstLineChars="150"/>
      <w:jc w:val="both"/>
      <w:textAlignment w:val="baseline"/>
    </w:pPr>
    <w:rPr>
      <w:kern w:val="0"/>
      <w:szCs w:val="20"/>
    </w:rPr>
  </w:style>
  <w:style w:type="paragraph" w:styleId="30">
    <w:name w:val="endnote text"/>
    <w:basedOn w:val="1"/>
    <w:link w:val="191"/>
    <w:semiHidden/>
    <w:qFormat/>
    <w:uiPriority w:val="0"/>
    <w:pPr>
      <w:snapToGrid w:val="0"/>
    </w:pPr>
    <w:rPr>
      <w:kern w:val="0"/>
      <w:sz w:val="20"/>
    </w:rPr>
  </w:style>
  <w:style w:type="paragraph" w:styleId="31">
    <w:name w:val="Balloon Text"/>
    <w:basedOn w:val="1"/>
    <w:link w:val="192"/>
    <w:unhideWhenUsed/>
    <w:qFormat/>
    <w:uiPriority w:val="0"/>
    <w:rPr>
      <w:sz w:val="18"/>
      <w:szCs w:val="18"/>
    </w:rPr>
  </w:style>
  <w:style w:type="paragraph" w:styleId="32">
    <w:name w:val="footer"/>
    <w:basedOn w:val="1"/>
    <w:link w:val="193"/>
    <w:qFormat/>
    <w:uiPriority w:val="99"/>
    <w:pPr>
      <w:snapToGrid w:val="0"/>
      <w:ind w:right="100" w:rightChars="100"/>
      <w:jc w:val="right"/>
    </w:pPr>
    <w:rPr>
      <w:kern w:val="0"/>
      <w:sz w:val="18"/>
      <w:szCs w:val="18"/>
    </w:rPr>
  </w:style>
  <w:style w:type="paragraph" w:styleId="33">
    <w:name w:val="header"/>
    <w:basedOn w:val="1"/>
    <w:link w:val="194"/>
    <w:qFormat/>
    <w:uiPriority w:val="0"/>
    <w:pPr>
      <w:snapToGrid w:val="0"/>
    </w:pPr>
    <w:rPr>
      <w:kern w:val="0"/>
      <w:sz w:val="18"/>
      <w:szCs w:val="18"/>
    </w:rPr>
  </w:style>
  <w:style w:type="paragraph" w:styleId="34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</w:pPr>
    <w:rPr>
      <w:rFonts w:ascii="宋体"/>
      <w:szCs w:val="21"/>
    </w:rPr>
  </w:style>
  <w:style w:type="paragraph" w:styleId="35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</w:pPr>
    <w:rPr>
      <w:rFonts w:ascii="宋体"/>
      <w:szCs w:val="21"/>
    </w:rPr>
  </w:style>
  <w:style w:type="paragraph" w:styleId="36">
    <w:name w:val="index heading"/>
    <w:basedOn w:val="1"/>
    <w:next w:val="37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7">
    <w:name w:val="index 1"/>
    <w:basedOn w:val="1"/>
    <w:next w:val="38"/>
    <w:qFormat/>
    <w:uiPriority w:val="99"/>
    <w:pPr>
      <w:tabs>
        <w:tab w:val="right" w:leader="dot" w:pos="9299"/>
      </w:tabs>
    </w:pPr>
    <w:rPr>
      <w:rFonts w:ascii="宋体"/>
      <w:szCs w:val="21"/>
    </w:rPr>
  </w:style>
  <w:style w:type="paragraph" w:customStyle="1" w:styleId="38">
    <w:name w:val="段"/>
    <w:link w:val="19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left="400" w:leftChars="200" w:right="210"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  <w:style w:type="paragraph" w:styleId="39">
    <w:name w:val="Subtitle"/>
    <w:basedOn w:val="1"/>
    <w:next w:val="1"/>
    <w:link w:val="196"/>
    <w:qFormat/>
    <w:uiPriority w:val="11"/>
    <w:pPr>
      <w:spacing w:before="240" w:after="60" w:line="312" w:lineRule="auto"/>
      <w:jc w:val="center"/>
      <w:outlineLvl w:val="1"/>
    </w:pPr>
    <w:rPr>
      <w:rFonts w:ascii="Calibri" w:hAnsi="Calibri" w:eastAsia="黑体"/>
      <w:bCs/>
      <w:kern w:val="28"/>
      <w:sz w:val="28"/>
      <w:szCs w:val="32"/>
    </w:rPr>
  </w:style>
  <w:style w:type="paragraph" w:styleId="40">
    <w:name w:val="footnote text"/>
    <w:basedOn w:val="1"/>
    <w:link w:val="197"/>
    <w:qFormat/>
    <w:uiPriority w:val="0"/>
    <w:pPr>
      <w:tabs>
        <w:tab w:val="left" w:pos="0"/>
      </w:tabs>
      <w:snapToGrid w:val="0"/>
      <w:ind w:left="720" w:hanging="357"/>
    </w:pPr>
    <w:rPr>
      <w:rFonts w:ascii="宋体"/>
      <w:kern w:val="0"/>
      <w:sz w:val="18"/>
      <w:szCs w:val="18"/>
    </w:rPr>
  </w:style>
  <w:style w:type="paragraph" w:styleId="41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</w:pPr>
    <w:rPr>
      <w:rFonts w:ascii="宋体"/>
      <w:szCs w:val="21"/>
    </w:rPr>
  </w:style>
  <w:style w:type="paragraph" w:styleId="42">
    <w:name w:val="Body Text Indent 3"/>
    <w:basedOn w:val="1"/>
    <w:link w:val="213"/>
    <w:qFormat/>
    <w:uiPriority w:val="0"/>
    <w:pPr>
      <w:widowControl w:val="0"/>
      <w:ind w:left="0" w:leftChars="0" w:right="0" w:firstLine="420" w:firstLineChars="200"/>
      <w:jc w:val="both"/>
    </w:pPr>
    <w:rPr>
      <w:color w:val="0000FF"/>
    </w:rPr>
  </w:style>
  <w:style w:type="paragraph" w:styleId="43">
    <w:name w:val="index 7"/>
    <w:basedOn w:val="1"/>
    <w:next w:val="1"/>
    <w:qFormat/>
    <w:uiPriority w:val="99"/>
    <w:pPr>
      <w:ind w:left="1470" w:hanging="210"/>
    </w:pPr>
    <w:rPr>
      <w:rFonts w:ascii="Calibri" w:hAnsi="Calibri"/>
      <w:sz w:val="20"/>
      <w:szCs w:val="20"/>
    </w:rPr>
  </w:style>
  <w:style w:type="paragraph" w:styleId="44">
    <w:name w:val="index 9"/>
    <w:basedOn w:val="1"/>
    <w:next w:val="1"/>
    <w:qFormat/>
    <w:uiPriority w:val="99"/>
    <w:pPr>
      <w:ind w:left="1890" w:hanging="210"/>
    </w:pPr>
    <w:rPr>
      <w:rFonts w:ascii="Calibri" w:hAnsi="Calibri"/>
      <w:sz w:val="20"/>
      <w:szCs w:val="20"/>
    </w:rPr>
  </w:style>
  <w:style w:type="paragraph" w:styleId="45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46">
    <w:name w:val="toc 9"/>
    <w:basedOn w:val="1"/>
    <w:next w:val="1"/>
    <w:semiHidden/>
    <w:qFormat/>
    <w:uiPriority w:val="0"/>
    <w:pPr>
      <w:ind w:left="1470"/>
    </w:pPr>
    <w:rPr>
      <w:sz w:val="20"/>
      <w:szCs w:val="20"/>
    </w:rPr>
  </w:style>
  <w:style w:type="paragraph" w:styleId="47">
    <w:name w:val="HTML Preformatted"/>
    <w:basedOn w:val="1"/>
    <w:link w:val="210"/>
    <w:uiPriority w:val="0"/>
    <w:pPr>
      <w:widowControl w:val="0"/>
      <w:ind w:left="0" w:leftChars="0" w:right="0" w:firstLine="0" w:firstLineChars="0"/>
      <w:jc w:val="both"/>
    </w:pPr>
    <w:rPr>
      <w:rFonts w:ascii="Courier New" w:hAnsi="Courier New"/>
      <w:sz w:val="20"/>
      <w:szCs w:val="20"/>
    </w:rPr>
  </w:style>
  <w:style w:type="paragraph" w:styleId="48">
    <w:name w:val="Normal (Web)"/>
    <w:basedOn w:val="1"/>
    <w:unhideWhenUsed/>
    <w:qFormat/>
    <w:uiPriority w:val="99"/>
    <w:rPr>
      <w:sz w:val="24"/>
    </w:rPr>
  </w:style>
  <w:style w:type="paragraph" w:styleId="49">
    <w:name w:val="index 2"/>
    <w:basedOn w:val="1"/>
    <w:next w:val="1"/>
    <w:qFormat/>
    <w:uiPriority w:val="99"/>
    <w:pPr>
      <w:ind w:left="420" w:hanging="210"/>
    </w:pPr>
    <w:rPr>
      <w:rFonts w:ascii="Calibri" w:hAnsi="Calibri"/>
      <w:sz w:val="20"/>
      <w:szCs w:val="20"/>
    </w:rPr>
  </w:style>
  <w:style w:type="paragraph" w:styleId="50">
    <w:name w:val="Title"/>
    <w:basedOn w:val="1"/>
    <w:link w:val="198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53">
    <w:name w:val="endnote reference"/>
    <w:semiHidden/>
    <w:qFormat/>
    <w:uiPriority w:val="0"/>
    <w:rPr>
      <w:vertAlign w:val="superscript"/>
    </w:rPr>
  </w:style>
  <w:style w:type="character" w:styleId="54">
    <w:name w:val="page number"/>
    <w:qFormat/>
    <w:uiPriority w:val="0"/>
    <w:rPr>
      <w:rFonts w:ascii="Times New Roman" w:hAnsi="Times New Roman" w:eastAsia="宋体"/>
      <w:sz w:val="18"/>
    </w:rPr>
  </w:style>
  <w:style w:type="character" w:styleId="55">
    <w:name w:val="Emphasis"/>
    <w:qFormat/>
    <w:uiPriority w:val="20"/>
    <w:rPr>
      <w:color w:val="CC0000"/>
    </w:rPr>
  </w:style>
  <w:style w:type="character" w:styleId="56">
    <w:name w:val="HTML Definition"/>
    <w:uiPriority w:val="0"/>
    <w:rPr>
      <w:i/>
      <w:iCs/>
    </w:rPr>
  </w:style>
  <w:style w:type="character" w:styleId="57">
    <w:name w:val="HTML Typewriter"/>
    <w:uiPriority w:val="0"/>
    <w:rPr>
      <w:rFonts w:ascii="Courier New" w:hAnsi="Courier New"/>
      <w:sz w:val="20"/>
      <w:szCs w:val="20"/>
    </w:rPr>
  </w:style>
  <w:style w:type="character" w:styleId="58">
    <w:name w:val="HTML Acronym"/>
    <w:basedOn w:val="52"/>
    <w:uiPriority w:val="0"/>
  </w:style>
  <w:style w:type="character" w:styleId="59">
    <w:name w:val="HTML Variable"/>
    <w:uiPriority w:val="0"/>
    <w:rPr>
      <w:i/>
      <w:iCs/>
    </w:rPr>
  </w:style>
  <w:style w:type="character" w:styleId="60">
    <w:name w:val="Hyperlink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styleId="61">
    <w:name w:val="HTML Code"/>
    <w:uiPriority w:val="0"/>
    <w:rPr>
      <w:rFonts w:ascii="Courier New" w:hAnsi="Courier New"/>
      <w:sz w:val="20"/>
      <w:szCs w:val="20"/>
    </w:rPr>
  </w:style>
  <w:style w:type="character" w:styleId="62">
    <w:name w:val="annotation reference"/>
    <w:basedOn w:val="52"/>
    <w:semiHidden/>
    <w:unhideWhenUsed/>
    <w:uiPriority w:val="0"/>
    <w:rPr>
      <w:sz w:val="21"/>
      <w:szCs w:val="21"/>
    </w:rPr>
  </w:style>
  <w:style w:type="character" w:styleId="63">
    <w:name w:val="HTML Cite"/>
    <w:uiPriority w:val="0"/>
    <w:rPr>
      <w:i/>
      <w:iCs/>
    </w:rPr>
  </w:style>
  <w:style w:type="character" w:styleId="64">
    <w:name w:val="footnote reference"/>
    <w:semiHidden/>
    <w:qFormat/>
    <w:uiPriority w:val="0"/>
    <w:rPr>
      <w:vertAlign w:val="superscript"/>
    </w:rPr>
  </w:style>
  <w:style w:type="character" w:styleId="65">
    <w:name w:val="HTML Keyboard"/>
    <w:uiPriority w:val="0"/>
    <w:rPr>
      <w:rFonts w:ascii="Courier New" w:hAnsi="Courier New"/>
      <w:sz w:val="20"/>
      <w:szCs w:val="20"/>
    </w:rPr>
  </w:style>
  <w:style w:type="character" w:styleId="66">
    <w:name w:val="HTML Sample"/>
    <w:uiPriority w:val="0"/>
    <w:rPr>
      <w:rFonts w:ascii="Courier New" w:hAnsi="Courier New"/>
    </w:rPr>
  </w:style>
  <w:style w:type="character" w:customStyle="1" w:styleId="67">
    <w:name w:val="标题 1 Char"/>
    <w:qFormat/>
    <w:uiPriority w:val="9"/>
    <w:rPr>
      <w:rFonts w:eastAsia="黑体"/>
      <w:bCs/>
      <w:kern w:val="44"/>
      <w:sz w:val="21"/>
      <w:szCs w:val="44"/>
    </w:rPr>
  </w:style>
  <w:style w:type="character" w:customStyle="1" w:styleId="68">
    <w:name w:val="正文文本 Char"/>
    <w:semiHidden/>
    <w:uiPriority w:val="0"/>
    <w:rPr>
      <w:kern w:val="2"/>
      <w:sz w:val="21"/>
      <w:szCs w:val="24"/>
    </w:rPr>
  </w:style>
  <w:style w:type="character" w:customStyle="1" w:styleId="69">
    <w:name w:val="纯文本 Char"/>
    <w:qFormat/>
    <w:uiPriority w:val="0"/>
    <w:rPr>
      <w:rFonts w:ascii="宋体" w:hAnsi="Courier New" w:cs="宋体"/>
      <w:kern w:val="2"/>
      <w:sz w:val="21"/>
      <w:szCs w:val="22"/>
    </w:rPr>
  </w:style>
  <w:style w:type="character" w:customStyle="1" w:styleId="70">
    <w:name w:val="批注框文本 Char"/>
    <w:qFormat/>
    <w:uiPriority w:val="0"/>
    <w:rPr>
      <w:kern w:val="2"/>
      <w:sz w:val="18"/>
      <w:szCs w:val="18"/>
    </w:rPr>
  </w:style>
  <w:style w:type="character" w:customStyle="1" w:styleId="71">
    <w:name w:val="页眉 Char"/>
    <w:qFormat/>
    <w:uiPriority w:val="99"/>
    <w:rPr>
      <w:kern w:val="2"/>
      <w:sz w:val="18"/>
      <w:szCs w:val="18"/>
    </w:rPr>
  </w:style>
  <w:style w:type="character" w:customStyle="1" w:styleId="72">
    <w:name w:val="副标题 Char"/>
    <w:qFormat/>
    <w:uiPriority w:val="11"/>
    <w:rPr>
      <w:rFonts w:ascii="Calibri" w:hAnsi="Calibri" w:eastAsia="黑体" w:cs="Times New Roman"/>
      <w:bCs/>
      <w:kern w:val="28"/>
      <w:sz w:val="28"/>
      <w:szCs w:val="32"/>
    </w:rPr>
  </w:style>
  <w:style w:type="character" w:customStyle="1" w:styleId="73">
    <w:name w:val="标题 Char"/>
    <w:qFormat/>
    <w:uiPriority w:val="99"/>
    <w:rPr>
      <w:rFonts w:ascii="Arial" w:hAnsi="Arial" w:cs="Arial"/>
      <w:b/>
      <w:bCs/>
      <w:kern w:val="2"/>
      <w:sz w:val="32"/>
      <w:szCs w:val="32"/>
    </w:rPr>
  </w:style>
  <w:style w:type="paragraph" w:customStyle="1" w:styleId="74">
    <w:name w:val="其他发布日期"/>
    <w:basedOn w:val="75"/>
    <w:qFormat/>
    <w:uiPriority w:val="99"/>
  </w:style>
  <w:style w:type="paragraph" w:customStyle="1" w:styleId="75">
    <w:name w:val="发布日期"/>
    <w:qFormat/>
    <w:uiPriority w:val="0"/>
    <w:pPr>
      <w:ind w:left="400" w:leftChars="200" w:right="210" w:hanging="200" w:hangingChars="200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ind w:left="400" w:leftChars="200" w:right="210" w:hanging="200" w:hangingChars="200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ind w:left="400" w:leftChars="200" w:right="210" w:hanging="200" w:hangingChars="200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8">
    <w:name w:val="三级条标题"/>
    <w:basedOn w:val="79"/>
    <w:next w:val="38"/>
    <w:qFormat/>
    <w:uiPriority w:val="0"/>
    <w:pPr>
      <w:outlineLvl w:val="4"/>
    </w:pPr>
  </w:style>
  <w:style w:type="paragraph" w:customStyle="1" w:styleId="79">
    <w:name w:val="二级条标题"/>
    <w:basedOn w:val="80"/>
    <w:next w:val="38"/>
    <w:qFormat/>
    <w:uiPriority w:val="0"/>
    <w:pPr>
      <w:spacing w:before="50" w:after="50"/>
      <w:outlineLvl w:val="3"/>
    </w:pPr>
  </w:style>
  <w:style w:type="paragraph" w:customStyle="1" w:styleId="80">
    <w:name w:val="一级条标题"/>
    <w:next w:val="38"/>
    <w:qFormat/>
    <w:uiPriority w:val="0"/>
    <w:pPr>
      <w:spacing w:beforeLines="50" w:afterLines="50"/>
      <w:ind w:left="400" w:leftChars="200" w:right="210" w:hanging="200" w:hangingChars="20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81">
    <w:name w:val="附录五级无"/>
    <w:basedOn w:val="82"/>
    <w:qFormat/>
    <w:uiPriority w:val="99"/>
    <w:pPr>
      <w:tabs>
        <w:tab w:val="left" w:pos="360"/>
      </w:tabs>
      <w:spacing w:beforeLines="0"/>
    </w:pPr>
    <w:rPr>
      <w:rFonts w:ascii="宋体" w:eastAsia="宋体"/>
      <w:szCs w:val="21"/>
    </w:rPr>
  </w:style>
  <w:style w:type="paragraph" w:customStyle="1" w:styleId="82">
    <w:name w:val="附录五级条标题"/>
    <w:basedOn w:val="83"/>
    <w:next w:val="38"/>
    <w:qFormat/>
    <w:uiPriority w:val="0"/>
    <w:pPr>
      <w:tabs>
        <w:tab w:val="left" w:pos="360"/>
      </w:tabs>
      <w:outlineLvl w:val="6"/>
    </w:pPr>
  </w:style>
  <w:style w:type="paragraph" w:customStyle="1" w:styleId="83">
    <w:name w:val="附录四级条标题"/>
    <w:basedOn w:val="84"/>
    <w:next w:val="38"/>
    <w:qFormat/>
    <w:uiPriority w:val="0"/>
    <w:pPr>
      <w:tabs>
        <w:tab w:val="left" w:pos="360"/>
      </w:tabs>
      <w:outlineLvl w:val="5"/>
    </w:pPr>
  </w:style>
  <w:style w:type="paragraph" w:customStyle="1" w:styleId="84">
    <w:name w:val="附录三级条标题"/>
    <w:basedOn w:val="85"/>
    <w:next w:val="38"/>
    <w:qFormat/>
    <w:uiPriority w:val="0"/>
    <w:pPr>
      <w:tabs>
        <w:tab w:val="left" w:pos="360"/>
      </w:tabs>
      <w:outlineLvl w:val="4"/>
    </w:pPr>
  </w:style>
  <w:style w:type="paragraph" w:customStyle="1" w:styleId="85">
    <w:name w:val="附录二级条标题"/>
    <w:basedOn w:val="1"/>
    <w:next w:val="38"/>
    <w:qFormat/>
    <w:uiPriority w:val="0"/>
    <w:p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封面标准文稿编辑信息2"/>
    <w:basedOn w:val="87"/>
    <w:qFormat/>
    <w:uiPriority w:val="99"/>
  </w:style>
  <w:style w:type="paragraph" w:customStyle="1" w:styleId="87">
    <w:name w:val="封面标准文稿编辑信息"/>
    <w:basedOn w:val="88"/>
    <w:qFormat/>
    <w:uiPriority w:val="0"/>
    <w:pPr>
      <w:spacing w:before="180" w:line="180" w:lineRule="exact"/>
    </w:pPr>
    <w:rPr>
      <w:sz w:val="21"/>
    </w:rPr>
  </w:style>
  <w:style w:type="paragraph" w:customStyle="1" w:styleId="88">
    <w:name w:val="封面标准文稿类别"/>
    <w:basedOn w:val="89"/>
    <w:qFormat/>
    <w:uiPriority w:val="0"/>
    <w:pPr>
      <w:spacing w:after="160" w:line="240" w:lineRule="auto"/>
    </w:pPr>
    <w:rPr>
      <w:sz w:val="24"/>
    </w:rPr>
  </w:style>
  <w:style w:type="paragraph" w:customStyle="1" w:styleId="89">
    <w:name w:val="封面一致性程度标识"/>
    <w:basedOn w:val="90"/>
    <w:qFormat/>
    <w:uiPriority w:val="0"/>
    <w:pPr>
      <w:spacing w:before="440"/>
    </w:pPr>
    <w:rPr>
      <w:rFonts w:ascii="宋体" w:eastAsia="宋体"/>
    </w:rPr>
  </w:style>
  <w:style w:type="paragraph" w:customStyle="1" w:styleId="90">
    <w:name w:val="封面标准英文名称"/>
    <w:basedOn w:val="91"/>
    <w:qFormat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91">
    <w:name w:val="封面标准名称"/>
    <w:qFormat/>
    <w:uiPriority w:val="0"/>
    <w:pPr>
      <w:widowControl w:val="0"/>
      <w:spacing w:line="680" w:lineRule="exact"/>
      <w:ind w:left="400" w:leftChars="200" w:right="210" w:hanging="200" w:hangingChars="200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2">
    <w:name w:val="列项◆（三级）"/>
    <w:basedOn w:val="1"/>
    <w:qFormat/>
    <w:uiPriority w:val="99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93">
    <w:name w:val="章标题"/>
    <w:next w:val="38"/>
    <w:qFormat/>
    <w:uiPriority w:val="0"/>
    <w:pPr>
      <w:spacing w:beforeLines="100" w:afterLines="100"/>
      <w:ind w:left="400" w:leftChars="200" w:right="210" w:hanging="200" w:hangingChars="2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4">
    <w:name w:val="封面一致性程度标识2"/>
    <w:basedOn w:val="89"/>
    <w:qFormat/>
    <w:uiPriority w:val="99"/>
  </w:style>
  <w:style w:type="paragraph" w:customStyle="1" w:styleId="95">
    <w:name w:val="目次、标准名称标题"/>
    <w:basedOn w:val="1"/>
    <w:next w:val="3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6">
    <w:name w:val="附录章标题"/>
    <w:next w:val="38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ind w:left="400" w:leftChars="200" w:right="210" w:hanging="200" w:hangingChars="2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五级条标题"/>
    <w:basedOn w:val="98"/>
    <w:next w:val="38"/>
    <w:qFormat/>
    <w:uiPriority w:val="0"/>
    <w:pPr>
      <w:outlineLvl w:val="6"/>
    </w:pPr>
  </w:style>
  <w:style w:type="paragraph" w:customStyle="1" w:styleId="98">
    <w:name w:val="四级条标题"/>
    <w:basedOn w:val="78"/>
    <w:next w:val="38"/>
    <w:qFormat/>
    <w:uiPriority w:val="0"/>
    <w:pPr>
      <w:outlineLvl w:val="5"/>
    </w:pPr>
  </w:style>
  <w:style w:type="paragraph" w:customStyle="1" w:styleId="99">
    <w:name w:val="实施日期"/>
    <w:basedOn w:val="75"/>
    <w:qFormat/>
    <w:uiPriority w:val="0"/>
    <w:pPr>
      <w:jc w:val="right"/>
    </w:pPr>
  </w:style>
  <w:style w:type="paragraph" w:customStyle="1" w:styleId="100">
    <w:name w:val="正文图标题"/>
    <w:next w:val="38"/>
    <w:qFormat/>
    <w:uiPriority w:val="0"/>
    <w:pPr>
      <w:tabs>
        <w:tab w:val="left" w:pos="360"/>
      </w:tabs>
      <w:spacing w:beforeLines="50" w:afterLines="50"/>
      <w:ind w:left="400" w:leftChars="200" w:right="210" w:hanging="200" w:hangingChars="20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1">
    <w:name w:val="五级无"/>
    <w:basedOn w:val="97"/>
    <w:qFormat/>
    <w:uiPriority w:val="99"/>
    <w:pPr>
      <w:spacing w:beforeLines="0"/>
    </w:pPr>
    <w:rPr>
      <w:rFonts w:ascii="宋体" w:eastAsia="宋体"/>
    </w:rPr>
  </w:style>
  <w:style w:type="paragraph" w:customStyle="1" w:styleId="102">
    <w:name w:val="列项——（一级）"/>
    <w:qFormat/>
    <w:uiPriority w:val="99"/>
    <w:pPr>
      <w:widowControl w:val="0"/>
      <w:ind w:left="833" w:leftChars="200" w:right="210" w:hanging="408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qFormat/>
    <w:uiPriority w:val="0"/>
    <w:pPr>
      <w:spacing w:line="320" w:lineRule="exact"/>
      <w:ind w:left="400" w:leftChars="200" w:right="21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实施日期"/>
    <w:basedOn w:val="99"/>
    <w:qFormat/>
    <w:uiPriority w:val="99"/>
  </w:style>
  <w:style w:type="paragraph" w:customStyle="1" w:styleId="105">
    <w:name w:val="发布部门"/>
    <w:next w:val="38"/>
    <w:qFormat/>
    <w:uiPriority w:val="0"/>
    <w:pPr>
      <w:ind w:left="400" w:leftChars="200" w:right="210" w:hanging="200" w:hangingChars="200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6">
    <w:name w:val="正文表标题"/>
    <w:next w:val="38"/>
    <w:qFormat/>
    <w:uiPriority w:val="0"/>
    <w:pPr>
      <w:tabs>
        <w:tab w:val="left" w:pos="360"/>
      </w:tabs>
      <w:spacing w:beforeLines="50" w:afterLines="50"/>
      <w:ind w:left="400" w:leftChars="200" w:right="210" w:hanging="200" w:hangingChars="20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示例内容"/>
    <w:qFormat/>
    <w:uiPriority w:val="99"/>
    <w:pPr>
      <w:ind w:left="400" w:leftChars="200" w:right="210"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8">
    <w:name w:val="注："/>
    <w:next w:val="38"/>
    <w:qFormat/>
    <w:uiPriority w:val="0"/>
    <w:pPr>
      <w:widowControl w:val="0"/>
      <w:autoSpaceDE w:val="0"/>
      <w:autoSpaceDN w:val="0"/>
      <w:ind w:left="726" w:leftChars="200" w:right="210" w:hanging="363" w:hangingChars="20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9">
    <w:name w:val="正文公式编号制表符"/>
    <w:basedOn w:val="38"/>
    <w:next w:val="38"/>
    <w:qFormat/>
    <w:uiPriority w:val="99"/>
    <w:pPr>
      <w:ind w:firstLine="0" w:firstLineChars="0"/>
    </w:pPr>
    <w:rPr>
      <w:rFonts w:ascii="Times New Roman" w:hAnsi="Times New Roman"/>
    </w:rPr>
  </w:style>
  <w:style w:type="paragraph" w:customStyle="1" w:styleId="110">
    <w:name w:val="p0"/>
    <w:basedOn w:val="1"/>
    <w:qFormat/>
    <w:uiPriority w:val="99"/>
    <w:rPr>
      <w:kern w:val="0"/>
      <w:szCs w:val="21"/>
    </w:rPr>
  </w:style>
  <w:style w:type="paragraph" w:customStyle="1" w:styleId="111">
    <w:name w:val="附录表标号"/>
    <w:basedOn w:val="1"/>
    <w:next w:val="38"/>
    <w:qFormat/>
    <w:uiPriority w:val="99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12">
    <w:name w:val="附录公式编号制表符"/>
    <w:basedOn w:val="1"/>
    <w:next w:val="38"/>
    <w:qFormat/>
    <w:uiPriority w:val="99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13">
    <w:name w:val="封面标准代替信息"/>
    <w:qFormat/>
    <w:uiPriority w:val="0"/>
    <w:pPr>
      <w:spacing w:before="57" w:line="280" w:lineRule="exact"/>
      <w:ind w:left="400" w:leftChars="200" w:right="210" w:hanging="200" w:hangingChars="200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14">
    <w:name w:val="封面标准文稿类别2"/>
    <w:basedOn w:val="88"/>
    <w:qFormat/>
    <w:uiPriority w:val="99"/>
  </w:style>
  <w:style w:type="paragraph" w:customStyle="1" w:styleId="115">
    <w:name w:val="其他标准称谓"/>
    <w:qFormat/>
    <w:uiPriority w:val="0"/>
    <w:pPr>
      <w:spacing w:line="0" w:lineRule="atLeast"/>
      <w:ind w:left="400" w:leftChars="200" w:right="210" w:hanging="200" w:hangingChars="200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6">
    <w:name w:val="附录图标号"/>
    <w:basedOn w:val="1"/>
    <w:qFormat/>
    <w:uiPriority w:val="99"/>
    <w:pPr>
      <w:keepNext/>
      <w:pageBreakBefore/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7">
    <w:name w:val="附录四级无"/>
    <w:basedOn w:val="83"/>
    <w:qFormat/>
    <w:uiPriority w:val="99"/>
    <w:pPr>
      <w:spacing w:beforeLines="0"/>
    </w:pPr>
    <w:rPr>
      <w:rFonts w:ascii="宋体" w:eastAsia="宋体"/>
      <w:szCs w:val="21"/>
    </w:rPr>
  </w:style>
  <w:style w:type="paragraph" w:customStyle="1" w:styleId="118">
    <w:name w:val="附录一级条标题"/>
    <w:basedOn w:val="96"/>
    <w:next w:val="38"/>
    <w:qFormat/>
    <w:uiPriority w:val="0"/>
    <w:pPr>
      <w:autoSpaceDN w:val="0"/>
      <w:spacing w:beforeLines="50" w:afterLines="50"/>
      <w:outlineLvl w:val="2"/>
    </w:pPr>
  </w:style>
  <w:style w:type="paragraph" w:customStyle="1" w:styleId="119">
    <w:name w:val="二级无"/>
    <w:basedOn w:val="79"/>
    <w:qFormat/>
    <w:uiPriority w:val="99"/>
    <w:pPr>
      <w:spacing w:beforeLines="0"/>
    </w:pPr>
    <w:rPr>
      <w:rFonts w:ascii="宋体" w:eastAsia="宋体"/>
    </w:rPr>
  </w:style>
  <w:style w:type="paragraph" w:customStyle="1" w:styleId="120">
    <w:name w:val="封面标准英文名称2"/>
    <w:basedOn w:val="90"/>
    <w:qFormat/>
    <w:uiPriority w:val="99"/>
  </w:style>
  <w:style w:type="paragraph" w:customStyle="1" w:styleId="121">
    <w:name w:val="示例×："/>
    <w:basedOn w:val="93"/>
    <w:qFormat/>
    <w:uiPriority w:val="99"/>
    <w:pPr>
      <w:spacing w:before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122">
    <w:name w:val="封面标准名称2"/>
    <w:basedOn w:val="91"/>
    <w:qFormat/>
    <w:uiPriority w:val="99"/>
    <w:pPr>
      <w:spacing w:beforeLines="630"/>
    </w:pPr>
  </w:style>
  <w:style w:type="paragraph" w:customStyle="1" w:styleId="123">
    <w:name w:val="标准"/>
    <w:basedOn w:val="1"/>
    <w:qFormat/>
    <w:uiPriority w:val="0"/>
    <w:pPr>
      <w:jc w:val="center"/>
    </w:pPr>
  </w:style>
  <w:style w:type="paragraph" w:customStyle="1" w:styleId="124">
    <w:name w:val="首示例"/>
    <w:next w:val="38"/>
    <w:link w:val="200"/>
    <w:qFormat/>
    <w:uiPriority w:val="0"/>
    <w:pPr>
      <w:tabs>
        <w:tab w:val="left" w:pos="360"/>
      </w:tabs>
      <w:ind w:left="400" w:leftChars="200" w:right="210" w:hanging="200" w:hangingChars="200"/>
    </w:pPr>
    <w:rPr>
      <w:rFonts w:ascii="宋体" w:hAnsi="宋体" w:eastAsia="宋体" w:cs="黑体"/>
      <w:kern w:val="2"/>
      <w:sz w:val="18"/>
      <w:szCs w:val="18"/>
      <w:lang w:val="en-US" w:eastAsia="zh-CN" w:bidi="ar-SA"/>
    </w:rPr>
  </w:style>
  <w:style w:type="paragraph" w:customStyle="1" w:styleId="125">
    <w:name w:val="列项●（二级）"/>
    <w:qFormat/>
    <w:uiPriority w:val="99"/>
    <w:pPr>
      <w:tabs>
        <w:tab w:val="left" w:pos="840"/>
      </w:tabs>
      <w:ind w:left="1264" w:leftChars="200" w:right="210" w:hanging="413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图表脚注说明"/>
    <w:basedOn w:val="1"/>
    <w:qFormat/>
    <w:uiPriority w:val="99"/>
    <w:pPr>
      <w:ind w:left="544" w:hanging="181"/>
    </w:pPr>
    <w:rPr>
      <w:rFonts w:ascii="宋体"/>
      <w:sz w:val="18"/>
      <w:szCs w:val="18"/>
    </w:rPr>
  </w:style>
  <w:style w:type="paragraph" w:customStyle="1" w:styleId="127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ind w:left="400" w:leftChars="200" w:right="210" w:hanging="200" w:hangingChars="2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8">
    <w:name w:val="封面正文"/>
    <w:qFormat/>
    <w:uiPriority w:val="0"/>
    <w:pPr>
      <w:ind w:left="400" w:leftChars="200" w:right="210" w:hanging="200" w:hanging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9">
    <w:name w:val="条文脚注"/>
    <w:basedOn w:val="40"/>
    <w:qFormat/>
    <w:uiPriority w:val="0"/>
    <w:pPr>
      <w:ind w:left="0" w:firstLine="0"/>
      <w:jc w:val="both"/>
    </w:pPr>
  </w:style>
  <w:style w:type="paragraph" w:customStyle="1" w:styleId="130">
    <w:name w:val="注：（正文）"/>
    <w:basedOn w:val="108"/>
    <w:next w:val="38"/>
    <w:qFormat/>
    <w:uiPriority w:val="99"/>
  </w:style>
  <w:style w:type="paragraph" w:customStyle="1" w:styleId="131">
    <w:name w:val="注×：（正文）"/>
    <w:qFormat/>
    <w:uiPriority w:val="99"/>
    <w:pPr>
      <w:ind w:left="811" w:leftChars="200" w:right="210" w:hanging="448" w:hangingChars="20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2">
    <w:name w:val="四级无"/>
    <w:basedOn w:val="98"/>
    <w:qFormat/>
    <w:uiPriority w:val="99"/>
    <w:pPr>
      <w:spacing w:beforeLines="0"/>
    </w:pPr>
    <w:rPr>
      <w:rFonts w:ascii="宋体" w:eastAsia="宋体"/>
    </w:rPr>
  </w:style>
  <w:style w:type="paragraph" w:customStyle="1" w:styleId="133">
    <w:name w:val="图标脚注说明"/>
    <w:basedOn w:val="38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34">
    <w:name w:val="示例"/>
    <w:next w:val="107"/>
    <w:qFormat/>
    <w:uiPriority w:val="0"/>
    <w:pPr>
      <w:widowControl w:val="0"/>
      <w:ind w:left="400" w:leftChars="200" w:right="210" w:hanging="200" w:hangingChars="20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一级无"/>
    <w:basedOn w:val="80"/>
    <w:qFormat/>
    <w:uiPriority w:val="99"/>
    <w:pPr>
      <w:spacing w:beforeLines="0"/>
    </w:pPr>
    <w:rPr>
      <w:rFonts w:ascii="宋体" w:eastAsia="宋体"/>
    </w:rPr>
  </w:style>
  <w:style w:type="paragraph" w:customStyle="1" w:styleId="136">
    <w:name w:val="附录公式"/>
    <w:basedOn w:val="38"/>
    <w:next w:val="38"/>
    <w:link w:val="201"/>
    <w:qFormat/>
    <w:uiPriority w:val="0"/>
  </w:style>
  <w:style w:type="paragraph" w:customStyle="1" w:styleId="137">
    <w:name w:val="标准书眉_偶数页"/>
    <w:basedOn w:val="13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3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ind w:left="400" w:leftChars="200" w:right="210" w:hanging="200" w:hangingChars="20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9">
    <w:name w:val="附录图标题"/>
    <w:basedOn w:val="1"/>
    <w:next w:val="38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40">
    <w:name w:val="附录二级无"/>
    <w:basedOn w:val="85"/>
    <w:qFormat/>
    <w:uiPriority w:val="99"/>
    <w:pPr>
      <w:tabs>
        <w:tab w:val="clear" w:pos="360"/>
      </w:tabs>
      <w:spacing w:beforeLines="0"/>
    </w:pPr>
    <w:rPr>
      <w:rFonts w:ascii="宋体" w:eastAsia="宋体"/>
      <w:szCs w:val="21"/>
    </w:rPr>
  </w:style>
  <w:style w:type="paragraph" w:customStyle="1" w:styleId="141">
    <w:name w:val="附录表标题"/>
    <w:basedOn w:val="1"/>
    <w:next w:val="38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42">
    <w:name w:val="附录标识"/>
    <w:basedOn w:val="1"/>
    <w:next w:val="38"/>
    <w:qFormat/>
    <w:uiPriority w:val="0"/>
    <w:pPr>
      <w:keepNext/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43">
    <w:name w:val="数字编号列项（二级）"/>
    <w:qFormat/>
    <w:uiPriority w:val="0"/>
    <w:pPr>
      <w:tabs>
        <w:tab w:val="left" w:pos="1260"/>
      </w:tabs>
      <w:ind w:left="1259" w:leftChars="200" w:right="210" w:hanging="419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4">
    <w:name w:val="字母编号列项（一级）"/>
    <w:qFormat/>
    <w:uiPriority w:val="0"/>
    <w:pPr>
      <w:tabs>
        <w:tab w:val="left" w:pos="840"/>
      </w:tabs>
      <w:ind w:left="839" w:leftChars="200" w:right="210" w:hanging="419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5">
    <w:name w:val="列项说明"/>
    <w:basedOn w:val="1"/>
    <w:qFormat/>
    <w:uiPriority w:val="99"/>
    <w:pPr>
      <w:adjustRightInd w:val="0"/>
      <w:spacing w:line="320" w:lineRule="exact"/>
      <w:textAlignment w:val="baseline"/>
    </w:pPr>
    <w:rPr>
      <w:rFonts w:ascii="宋体"/>
      <w:kern w:val="0"/>
      <w:szCs w:val="20"/>
    </w:rPr>
  </w:style>
  <w:style w:type="paragraph" w:customStyle="1" w:styleId="146">
    <w:name w:val="标准书脚_奇数页"/>
    <w:qFormat/>
    <w:uiPriority w:val="0"/>
    <w:pPr>
      <w:spacing w:before="120"/>
      <w:ind w:left="400" w:leftChars="200" w:right="198" w:hanging="200" w:hangingChars="200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7">
    <w:name w:val="三级无"/>
    <w:basedOn w:val="78"/>
    <w:qFormat/>
    <w:uiPriority w:val="99"/>
    <w:pPr>
      <w:spacing w:beforeLines="0"/>
    </w:pPr>
    <w:rPr>
      <w:rFonts w:ascii="宋体" w:eastAsia="宋体"/>
    </w:rPr>
  </w:style>
  <w:style w:type="paragraph" w:customStyle="1" w:styleId="148">
    <w:name w:val="注×："/>
    <w:qFormat/>
    <w:uiPriority w:val="0"/>
    <w:pPr>
      <w:widowControl w:val="0"/>
      <w:autoSpaceDE w:val="0"/>
      <w:autoSpaceDN w:val="0"/>
      <w:ind w:left="811" w:leftChars="200" w:right="210" w:hanging="448" w:hangingChars="20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9">
    <w:name w:val="文献分类号"/>
    <w:qFormat/>
    <w:uiPriority w:val="0"/>
    <w:pPr>
      <w:widowControl w:val="0"/>
      <w:ind w:left="400" w:leftChars="200" w:right="210" w:hanging="200" w:hangingChars="20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0">
    <w:name w:val="编号列项（三级）"/>
    <w:qFormat/>
    <w:uiPriority w:val="99"/>
    <w:pPr>
      <w:tabs>
        <w:tab w:val="left" w:pos="0"/>
      </w:tabs>
      <w:ind w:left="1679" w:leftChars="200" w:right="210" w:hanging="42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标准书脚_偶数页"/>
    <w:qFormat/>
    <w:uiPriority w:val="0"/>
    <w:pPr>
      <w:spacing w:before="120"/>
      <w:ind w:left="221" w:leftChars="200" w:right="210" w:hanging="200" w:hanging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参考文献"/>
    <w:basedOn w:val="1"/>
    <w:next w:val="38"/>
    <w:qFormat/>
    <w:uiPriority w:val="99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53">
    <w:name w:val="标准书眉一"/>
    <w:qFormat/>
    <w:uiPriority w:val="0"/>
    <w:pPr>
      <w:ind w:left="400" w:leftChars="200" w:right="210" w:hanging="200" w:hanging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4">
    <w:name w:val="参考文献、索引标题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55">
    <w:name w:val="示例后文字"/>
    <w:basedOn w:val="38"/>
    <w:next w:val="38"/>
    <w:qFormat/>
    <w:uiPriority w:val="99"/>
    <w:pPr>
      <w:ind w:firstLine="360"/>
    </w:pPr>
    <w:rPr>
      <w:sz w:val="18"/>
    </w:rPr>
  </w:style>
  <w:style w:type="paragraph" w:customStyle="1" w:styleId="156">
    <w:name w:val="列项说明数字编号"/>
    <w:qFormat/>
    <w:uiPriority w:val="99"/>
    <w:pPr>
      <w:ind w:left="600" w:leftChars="400" w:right="21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7">
    <w:name w:val="附录字母编号列项（一级）"/>
    <w:qFormat/>
    <w:uiPriority w:val="99"/>
    <w:pPr>
      <w:tabs>
        <w:tab w:val="left" w:pos="839"/>
      </w:tabs>
      <w:ind w:left="839" w:leftChars="200" w:right="210" w:hanging="419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8">
    <w:name w:val="图的脚注"/>
    <w:next w:val="38"/>
    <w:qFormat/>
    <w:uiPriority w:val="99"/>
    <w:pPr>
      <w:widowControl w:val="0"/>
      <w:ind w:left="840" w:leftChars="200" w:right="21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9">
    <w:name w:val="终结线"/>
    <w:basedOn w:val="1"/>
    <w:qFormat/>
    <w:uiPriority w:val="99"/>
  </w:style>
  <w:style w:type="paragraph" w:customStyle="1" w:styleId="160">
    <w:name w:val="附录标题"/>
    <w:basedOn w:val="38"/>
    <w:next w:val="38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161">
    <w:name w:val="附录一级无"/>
    <w:basedOn w:val="118"/>
    <w:qFormat/>
    <w:uiPriority w:val="99"/>
    <w:pPr>
      <w:tabs>
        <w:tab w:val="clear" w:pos="360"/>
      </w:tabs>
      <w:spacing w:beforeLines="0"/>
    </w:pPr>
    <w:rPr>
      <w:rFonts w:ascii="宋体" w:eastAsia="宋体"/>
      <w:szCs w:val="21"/>
    </w:rPr>
  </w:style>
  <w:style w:type="paragraph" w:customStyle="1" w:styleId="162">
    <w:name w:val="其他发布部门"/>
    <w:basedOn w:val="105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63">
    <w:name w:val="其他标准标志"/>
    <w:basedOn w:val="164"/>
    <w:qFormat/>
    <w:uiPriority w:val="99"/>
    <w:rPr>
      <w:w w:val="130"/>
    </w:rPr>
  </w:style>
  <w:style w:type="paragraph" w:customStyle="1" w:styleId="164">
    <w:name w:val="标准标志"/>
    <w:next w:val="1"/>
    <w:qFormat/>
    <w:uiPriority w:val="0"/>
    <w:pPr>
      <w:shd w:val="solid" w:color="FFFFFF" w:fill="FFFFFF"/>
      <w:spacing w:line="0" w:lineRule="atLeast"/>
      <w:ind w:left="400" w:leftChars="200" w:right="210" w:hanging="200" w:hangingChars="200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65">
    <w:name w:val="附录三级无"/>
    <w:basedOn w:val="84"/>
    <w:qFormat/>
    <w:uiPriority w:val="99"/>
    <w:pPr>
      <w:spacing w:beforeLines="0"/>
    </w:pPr>
    <w:rPr>
      <w:rFonts w:ascii="宋体" w:eastAsia="宋体"/>
      <w:szCs w:val="21"/>
    </w:rPr>
  </w:style>
  <w:style w:type="paragraph" w:customStyle="1" w:styleId="166">
    <w:name w:val="附录数字编号列项（二级）"/>
    <w:qFormat/>
    <w:uiPriority w:val="99"/>
    <w:pPr>
      <w:tabs>
        <w:tab w:val="left" w:pos="840"/>
      </w:tabs>
      <w:ind w:left="839" w:leftChars="200" w:right="210" w:hanging="419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封面标准号2"/>
    <w:qFormat/>
    <w:uiPriority w:val="0"/>
    <w:pPr>
      <w:spacing w:before="357" w:line="280" w:lineRule="exact"/>
      <w:ind w:left="400" w:leftChars="200" w:right="210" w:hanging="200" w:hangingChars="200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68">
    <w:name w:val="列出段落1"/>
    <w:basedOn w:val="1"/>
    <w:qFormat/>
    <w:uiPriority w:val="34"/>
    <w:pPr>
      <w:widowControl w:val="0"/>
      <w:ind w:left="0" w:leftChars="0" w:right="0" w:firstLine="420" w:firstLineChars="200"/>
      <w:jc w:val="both"/>
    </w:pPr>
  </w:style>
  <w:style w:type="paragraph" w:customStyle="1" w:styleId="169">
    <w:name w:val="二级无标题条"/>
    <w:basedOn w:val="1"/>
    <w:uiPriority w:val="0"/>
    <w:pPr>
      <w:widowControl w:val="0"/>
      <w:numPr>
        <w:ilvl w:val="3"/>
        <w:numId w:val="2"/>
      </w:numPr>
      <w:ind w:leftChars="0" w:right="0" w:firstLineChars="0"/>
      <w:jc w:val="both"/>
    </w:pPr>
  </w:style>
  <w:style w:type="paragraph" w:customStyle="1" w:styleId="170">
    <w:name w:val="列项——"/>
    <w:uiPriority w:val="0"/>
    <w:pPr>
      <w:widowControl w:val="0"/>
      <w:numPr>
        <w:ilvl w:val="0"/>
        <w:numId w:val="3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1">
    <w:name w:val="列项·"/>
    <w:uiPriority w:val="0"/>
    <w:pPr>
      <w:numPr>
        <w:ilvl w:val="0"/>
        <w:numId w:val="4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三级无标题条"/>
    <w:basedOn w:val="1"/>
    <w:uiPriority w:val="0"/>
    <w:pPr>
      <w:widowControl w:val="0"/>
      <w:numPr>
        <w:ilvl w:val="4"/>
        <w:numId w:val="2"/>
      </w:numPr>
      <w:ind w:leftChars="0" w:right="0" w:firstLineChars="0"/>
      <w:jc w:val="both"/>
    </w:pPr>
  </w:style>
  <w:style w:type="paragraph" w:customStyle="1" w:styleId="173">
    <w:name w:val="四级无标题条"/>
    <w:basedOn w:val="1"/>
    <w:uiPriority w:val="0"/>
    <w:pPr>
      <w:widowControl w:val="0"/>
      <w:numPr>
        <w:ilvl w:val="5"/>
        <w:numId w:val="2"/>
      </w:numPr>
      <w:ind w:leftChars="0" w:right="0" w:firstLineChars="0"/>
      <w:jc w:val="both"/>
    </w:pPr>
  </w:style>
  <w:style w:type="paragraph" w:customStyle="1" w:styleId="174">
    <w:name w:val="图表脚注"/>
    <w:next w:val="38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5">
    <w:name w:val="无标题条"/>
    <w:next w:val="38"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6">
    <w:name w:val="五级无标题条"/>
    <w:basedOn w:val="1"/>
    <w:uiPriority w:val="0"/>
    <w:pPr>
      <w:widowControl w:val="0"/>
      <w:numPr>
        <w:ilvl w:val="6"/>
        <w:numId w:val="2"/>
      </w:numPr>
      <w:ind w:leftChars="0" w:right="0" w:firstLineChars="0"/>
      <w:jc w:val="both"/>
    </w:pPr>
  </w:style>
  <w:style w:type="paragraph" w:customStyle="1" w:styleId="177">
    <w:name w:val="一级无标题条"/>
    <w:basedOn w:val="1"/>
    <w:uiPriority w:val="0"/>
    <w:pPr>
      <w:widowControl w:val="0"/>
      <w:numPr>
        <w:ilvl w:val="2"/>
        <w:numId w:val="2"/>
      </w:numPr>
      <w:ind w:leftChars="0" w:right="0" w:firstLineChars="0"/>
      <w:jc w:val="both"/>
    </w:pPr>
  </w:style>
  <w:style w:type="paragraph" w:customStyle="1" w:styleId="178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9">
    <w:name w:val="标题 1 Char1"/>
    <w:link w:val="2"/>
    <w:uiPriority w:val="9"/>
    <w:rPr>
      <w:rFonts w:ascii="黑体" w:hAnsi="黑体" w:eastAsia="黑体"/>
      <w:bCs/>
      <w:kern w:val="44"/>
      <w:sz w:val="21"/>
      <w:szCs w:val="44"/>
    </w:rPr>
  </w:style>
  <w:style w:type="character" w:customStyle="1" w:styleId="180">
    <w:name w:val="标题 2 Char"/>
    <w:link w:val="3"/>
    <w:uiPriority w:val="9"/>
    <w:rPr>
      <w:rFonts w:ascii="黑体" w:hAnsi="黑体" w:eastAsia="黑体" w:cs="Times New Roman"/>
      <w:bCs/>
      <w:kern w:val="2"/>
      <w:sz w:val="21"/>
      <w:szCs w:val="32"/>
    </w:rPr>
  </w:style>
  <w:style w:type="character" w:customStyle="1" w:styleId="181">
    <w:name w:val="标题 3 Char"/>
    <w:link w:val="4"/>
    <w:uiPriority w:val="9"/>
    <w:rPr>
      <w:rFonts w:ascii="黑体" w:hAnsi="黑体" w:eastAsia="黑体"/>
      <w:bCs/>
      <w:kern w:val="2"/>
      <w:sz w:val="21"/>
      <w:szCs w:val="32"/>
    </w:rPr>
  </w:style>
  <w:style w:type="character" w:customStyle="1" w:styleId="182">
    <w:name w:val="标题 4 Char"/>
    <w:link w:val="5"/>
    <w:uiPriority w:val="9"/>
    <w:rPr>
      <w:rFonts w:ascii="黑体" w:hAnsi="黑体" w:eastAsia="黑体" w:cs="Times New Roman"/>
      <w:bCs/>
      <w:kern w:val="2"/>
      <w:sz w:val="21"/>
      <w:szCs w:val="21"/>
    </w:rPr>
  </w:style>
  <w:style w:type="character" w:customStyle="1" w:styleId="183">
    <w:name w:val="标题 5 Char"/>
    <w:link w:val="6"/>
    <w:uiPriority w:val="9"/>
    <w:rPr>
      <w:b/>
      <w:bCs/>
      <w:kern w:val="2"/>
      <w:sz w:val="28"/>
      <w:szCs w:val="28"/>
    </w:rPr>
  </w:style>
  <w:style w:type="character" w:customStyle="1" w:styleId="184">
    <w:name w:val="标题 6 Char"/>
    <w:link w:val="7"/>
    <w:uiPriority w:val="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85">
    <w:name w:val="标题 7 Char"/>
    <w:link w:val="8"/>
    <w:uiPriority w:val="9"/>
    <w:rPr>
      <w:b/>
      <w:bCs/>
      <w:kern w:val="2"/>
      <w:sz w:val="24"/>
      <w:szCs w:val="24"/>
    </w:rPr>
  </w:style>
  <w:style w:type="character" w:customStyle="1" w:styleId="186">
    <w:name w:val="标题 8 Char"/>
    <w:link w:val="9"/>
    <w:uiPriority w:val="9"/>
    <w:rPr>
      <w:rFonts w:ascii="Cambria" w:hAnsi="Cambria" w:eastAsia="宋体" w:cs="Times New Roman"/>
      <w:kern w:val="2"/>
      <w:sz w:val="24"/>
      <w:szCs w:val="24"/>
    </w:rPr>
  </w:style>
  <w:style w:type="character" w:customStyle="1" w:styleId="187">
    <w:name w:val="标题 9 Char"/>
    <w:link w:val="10"/>
    <w:uiPriority w:val="9"/>
    <w:rPr>
      <w:rFonts w:ascii="Cambria" w:hAnsi="Cambria" w:eastAsia="宋体" w:cs="Times New Roman"/>
      <w:kern w:val="2"/>
      <w:sz w:val="21"/>
      <w:szCs w:val="21"/>
    </w:rPr>
  </w:style>
  <w:style w:type="character" w:customStyle="1" w:styleId="188">
    <w:name w:val="文档结构图 Char"/>
    <w:link w:val="16"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89">
    <w:name w:val="正文文本缩进 Char"/>
    <w:link w:val="20"/>
    <w:uiPriority w:val="99"/>
    <w:rPr>
      <w:rFonts w:ascii="Times New Roman" w:hAnsi="Times New Roman" w:eastAsia="宋体" w:cs="Times New Roman"/>
      <w:szCs w:val="24"/>
    </w:rPr>
  </w:style>
  <w:style w:type="character" w:customStyle="1" w:styleId="190">
    <w:name w:val="纯文本 Char2"/>
    <w:link w:val="25"/>
    <w:uiPriority w:val="0"/>
    <w:rPr>
      <w:rFonts w:ascii="宋体" w:hAnsi="Courier New" w:eastAsia="宋体" w:cs="宋体"/>
    </w:rPr>
  </w:style>
  <w:style w:type="character" w:customStyle="1" w:styleId="191">
    <w:name w:val="尾注文本 Char"/>
    <w:link w:val="30"/>
    <w:uiPriority w:val="0"/>
    <w:rPr>
      <w:rFonts w:ascii="Times New Roman" w:hAnsi="Times New Roman" w:eastAsia="宋体" w:cs="Times New Roman"/>
      <w:szCs w:val="24"/>
    </w:rPr>
  </w:style>
  <w:style w:type="character" w:customStyle="1" w:styleId="192">
    <w:name w:val="批注框文本 Char1"/>
    <w:link w:val="31"/>
    <w:uiPriority w:val="0"/>
    <w:rPr>
      <w:kern w:val="2"/>
      <w:sz w:val="18"/>
      <w:szCs w:val="18"/>
    </w:rPr>
  </w:style>
  <w:style w:type="character" w:customStyle="1" w:styleId="193">
    <w:name w:val="页脚 Char"/>
    <w:link w:val="3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4">
    <w:name w:val="页眉 Char2"/>
    <w:link w:val="33"/>
    <w:uiPriority w:val="0"/>
    <w:rPr>
      <w:sz w:val="18"/>
      <w:szCs w:val="18"/>
    </w:rPr>
  </w:style>
  <w:style w:type="character" w:customStyle="1" w:styleId="195">
    <w:name w:val="段 Char Char"/>
    <w:link w:val="38"/>
    <w:qFormat/>
    <w:uiPriority w:val="0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196">
    <w:name w:val="副标题 Char1"/>
    <w:link w:val="39"/>
    <w:uiPriority w:val="11"/>
    <w:rPr>
      <w:rFonts w:ascii="Calibri" w:hAnsi="Calibri" w:eastAsia="黑体" w:cs="Times New Roman"/>
      <w:bCs/>
      <w:kern w:val="28"/>
      <w:sz w:val="28"/>
      <w:szCs w:val="32"/>
    </w:rPr>
  </w:style>
  <w:style w:type="character" w:customStyle="1" w:styleId="197">
    <w:name w:val="脚注文本 Char"/>
    <w:link w:val="40"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98">
    <w:name w:val="标题 Char1"/>
    <w:link w:val="50"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99">
    <w:name w:val="访问过的超链接1"/>
    <w:qFormat/>
    <w:uiPriority w:val="0"/>
    <w:rPr>
      <w:color w:val="800080"/>
      <w:u w:val="single"/>
    </w:rPr>
  </w:style>
  <w:style w:type="character" w:customStyle="1" w:styleId="200">
    <w:name w:val="首示例 Char Char"/>
    <w:link w:val="124"/>
    <w:qFormat/>
    <w:uiPriority w:val="0"/>
    <w:rPr>
      <w:rFonts w:ascii="宋体" w:hAnsi="宋体" w:cs="黑体"/>
      <w:kern w:val="2"/>
      <w:sz w:val="18"/>
      <w:szCs w:val="18"/>
      <w:lang w:val="en-US" w:eastAsia="zh-CN" w:bidi="ar-SA"/>
    </w:rPr>
  </w:style>
  <w:style w:type="character" w:customStyle="1" w:styleId="201">
    <w:name w:val="附录公式 Char Char"/>
    <w:link w:val="136"/>
    <w:qFormat/>
    <w:uiPriority w:val="0"/>
    <w:rPr>
      <w:rFonts w:ascii="宋体" w:hAnsi="Calibri" w:cs="黑体"/>
      <w:kern w:val="2"/>
      <w:sz w:val="21"/>
      <w:szCs w:val="22"/>
      <w:lang w:val="en-US" w:eastAsia="zh-CN" w:bidi="ar-SA"/>
    </w:rPr>
  </w:style>
  <w:style w:type="character" w:customStyle="1" w:styleId="20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203">
    <w:name w:val="sh14"/>
    <w:basedOn w:val="52"/>
    <w:qFormat/>
    <w:uiPriority w:val="0"/>
  </w:style>
  <w:style w:type="character" w:customStyle="1" w:styleId="204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05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6">
    <w:name w:val="占位符文本1"/>
    <w:unhideWhenUsed/>
    <w:qFormat/>
    <w:uiPriority w:val="99"/>
    <w:rPr>
      <w:color w:val="808080"/>
    </w:rPr>
  </w:style>
  <w:style w:type="character" w:customStyle="1" w:styleId="207">
    <w:name w:val="正文文本 Char1"/>
    <w:link w:val="19"/>
    <w:uiPriority w:val="0"/>
    <w:rPr>
      <w:kern w:val="2"/>
      <w:sz w:val="21"/>
      <w:szCs w:val="24"/>
    </w:rPr>
  </w:style>
  <w:style w:type="character" w:customStyle="1" w:styleId="208">
    <w:name w:val="日期 Char"/>
    <w:link w:val="28"/>
    <w:uiPriority w:val="0"/>
    <w:rPr>
      <w:kern w:val="2"/>
      <w:sz w:val="21"/>
      <w:szCs w:val="24"/>
    </w:rPr>
  </w:style>
  <w:style w:type="character" w:customStyle="1" w:styleId="209">
    <w:name w:val="HTML 地址 Char"/>
    <w:link w:val="21"/>
    <w:uiPriority w:val="0"/>
    <w:rPr>
      <w:i/>
      <w:iCs/>
      <w:kern w:val="2"/>
      <w:sz w:val="21"/>
      <w:szCs w:val="24"/>
    </w:rPr>
  </w:style>
  <w:style w:type="character" w:customStyle="1" w:styleId="210">
    <w:name w:val="HTML 预设格式 Char"/>
    <w:link w:val="47"/>
    <w:uiPriority w:val="0"/>
    <w:rPr>
      <w:rFonts w:ascii="Courier New" w:hAnsi="Courier New" w:cs="Courier New"/>
      <w:kern w:val="2"/>
    </w:rPr>
  </w:style>
  <w:style w:type="character" w:customStyle="1" w:styleId="211">
    <w:name w:val="EmailStyle62"/>
    <w:uiPriority w:val="0"/>
    <w:rPr>
      <w:rFonts w:ascii="Arial" w:hAnsi="Arial" w:eastAsia="宋体" w:cs="Arial"/>
      <w:color w:val="auto"/>
      <w:sz w:val="20"/>
    </w:rPr>
  </w:style>
  <w:style w:type="character" w:customStyle="1" w:styleId="212">
    <w:name w:val="EmailStyle63"/>
    <w:uiPriority w:val="0"/>
    <w:rPr>
      <w:rFonts w:ascii="Arial" w:hAnsi="Arial" w:eastAsia="宋体" w:cs="Arial"/>
      <w:color w:val="auto"/>
      <w:sz w:val="20"/>
    </w:rPr>
  </w:style>
  <w:style w:type="character" w:customStyle="1" w:styleId="213">
    <w:name w:val="正文文本缩进 3 Char"/>
    <w:link w:val="42"/>
    <w:uiPriority w:val="0"/>
    <w:rPr>
      <w:color w:val="0000FF"/>
      <w:kern w:val="2"/>
      <w:sz w:val="21"/>
      <w:szCs w:val="24"/>
    </w:rPr>
  </w:style>
  <w:style w:type="character" w:customStyle="1" w:styleId="214">
    <w:name w:val="正文文本缩进 2 Char"/>
    <w:link w:val="29"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5.wmf"/><Relationship Id="rId22" Type="http://schemas.openxmlformats.org/officeDocument/2006/relationships/oleObject" Target="embeddings/oleObject2.bin"/><Relationship Id="rId21" Type="http://schemas.openxmlformats.org/officeDocument/2006/relationships/image" Target="media/image4.emf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wmf"/><Relationship Id="rId18" Type="http://schemas.openxmlformats.org/officeDocument/2006/relationships/oleObject" Target="embeddings/oleObject1.bin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1891</Words>
  <Characters>10782</Characters>
  <Lines>89</Lines>
  <Paragraphs>25</Paragraphs>
  <TotalTime>2</TotalTime>
  <ScaleCrop>false</ScaleCrop>
  <LinksUpToDate>false</LinksUpToDate>
  <CharactersWithSpaces>12648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2019-10-15T03:07:00Z</dcterms:created>
  <dc:creator>微软用户</dc:creator>
  <cp:lastModifiedBy>高兰</cp:lastModifiedBy>
  <cp:lastPrinted>2019-10-14T01:06:00Z</cp:lastPrinted>
  <dcterms:modified xsi:type="dcterms:W3CDTF">2020-06-11T06:23:55Z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