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adjustRightInd w:val="0"/>
        <w:snapToGrid w:val="0"/>
        <w:spacing w:before="156" w:beforeLines="50"/>
        <w:jc w:val="center"/>
      </w:pPr>
      <w:r>
        <w:rPr>
          <w:rFonts w:hint="eastAsia" w:ascii="黑体" w:eastAsia="黑体"/>
          <w:sz w:val="32"/>
          <w:szCs w:val="32"/>
        </w:rPr>
        <w:t>稀土国家标准《稀土金属及其氧化物中非稀土杂质化学分析方法  氧、氮量的测定》（</w:t>
      </w:r>
      <w:r>
        <w:rPr>
          <w:rFonts w:hint="eastAsia" w:ascii="黑体" w:eastAsia="黑体"/>
          <w:sz w:val="32"/>
          <w:szCs w:val="32"/>
          <w:lang w:eastAsia="zh-CN"/>
        </w:rPr>
        <w:t>预审稿</w:t>
      </w: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） 编制说明</w:t>
      </w:r>
    </w:p>
    <w:p>
      <w:pPr>
        <w:adjustRightInd w:val="0"/>
        <w:snapToGrid w:val="0"/>
        <w:spacing w:before="312" w:beforeLines="100"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一、工作简况</w:t>
      </w:r>
      <w:r>
        <w:rPr>
          <w:rFonts w:hint="eastAsia" w:ascii="Arial" w:hAnsi="Arial" w:cs="Arial" w:eastAsiaTheme="minorEastAsia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1.1</w:t>
      </w:r>
      <w:r>
        <w:rPr>
          <w:rFonts w:ascii="Arial" w:hAnsi="Arial" w:cs="Arial" w:eastAsiaTheme="minorEastAsia"/>
          <w:szCs w:val="21"/>
        </w:rPr>
        <w:t>立项目的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稀土氧化物和稀土金属是重要的稀土产品，是磁性材料(钕铁硼磁性材料、钐钴磁性材料)、稀土发光材料、稀土抛光材料、稀土磁制冷材料、稀土贮氢材料、稀土荧光材料、稀土发热材料、稀土催化材料、PVC稀土助剂等稀土新材料的关键原料，同时高纯稀土金属和高纯稀土氧化物本身就是重要的稀土新材料。国家标准《稀土金属及其氧化物中非稀土杂质化学分析方法》（GB/T12690系列）作为基础类的分析方法标准，对整个稀土行业中生产量和贸易起到举足轻重的作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近年来，我国的稀土行业分析标准体体系逐渐建立，随着稀土行业的发展、稀土新材料产业的兴起，对标准分析方法提出了更高的要求，同时分析仪器和检测技术的进步，也为标准分析方法的进一步修订提高提供了可能。自2013年起，稀标委已就国家标准《稀土金属及其氧化物中非稀土杂质化学分析方法》（GB/T12690系列）中需要修订的部分着手进行修订，以满足行业发展需要，更好的为稀土新材料产业发展提供支持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稀土金属及其氧化物中非稀土杂质化学分析方法第4部：氧、氮量的测定 脉冲-红外吸收法和脉冲-热导法（GB/T 12690.4-2003）2003年发布，该版标准发布已超过14年，随着新的分析技术的发展和新产品的出现，尤其是高纯稀土金属是中国制造2025的重点方向，2003版标准的仪器参数、测定范围等已不能满足目前行业发展和市场需求，亟需修订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1.2</w:t>
      </w:r>
      <w:r>
        <w:rPr>
          <w:rFonts w:ascii="Arial" w:hAnsi="Arial" w:cs="Arial" w:eastAsiaTheme="minorEastAsia"/>
          <w:szCs w:val="21"/>
        </w:rPr>
        <w:t>任务来源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包头稀土研究</w:t>
      </w:r>
      <w:r>
        <w:rPr>
          <w:rFonts w:ascii="Arial" w:hAnsi="Arial" w:cs="Arial" w:eastAsiaTheme="minorEastAsia"/>
          <w:szCs w:val="21"/>
        </w:rPr>
        <w:t>院于201</w:t>
      </w:r>
      <w:r>
        <w:rPr>
          <w:rFonts w:hint="eastAsia" w:ascii="Arial" w:hAnsi="Arial" w:cs="Arial" w:eastAsiaTheme="minorEastAsia"/>
          <w:szCs w:val="21"/>
        </w:rPr>
        <w:t>8</w:t>
      </w:r>
      <w:r>
        <w:rPr>
          <w:rFonts w:ascii="Arial" w:hAnsi="Arial" w:cs="Arial" w:eastAsiaTheme="minorEastAsia"/>
          <w:szCs w:val="21"/>
        </w:rPr>
        <w:t>年向稀标委提出了《稀土金属及其氧化物中非稀土杂质化学分析方法</w:t>
      </w:r>
      <w:r>
        <w:rPr>
          <w:rFonts w:hint="eastAsia" w:ascii="Arial" w:hAnsi="Arial" w:cs="Arial" w:eastAsiaTheme="minorEastAsia"/>
          <w:szCs w:val="21"/>
        </w:rPr>
        <w:t xml:space="preserve"> 氧、氮量的测定</w:t>
      </w:r>
      <w:r>
        <w:rPr>
          <w:rFonts w:ascii="Arial" w:hAnsi="Arial" w:cs="Arial" w:eastAsiaTheme="minorEastAsia"/>
          <w:szCs w:val="21"/>
        </w:rPr>
        <w:t>》的修订建议，于201</w:t>
      </w:r>
      <w:r>
        <w:rPr>
          <w:rFonts w:hint="eastAsia" w:ascii="Arial" w:hAnsi="Arial" w:cs="Arial" w:eastAsiaTheme="minorEastAsia"/>
          <w:szCs w:val="21"/>
        </w:rPr>
        <w:t>8</w:t>
      </w:r>
      <w:r>
        <w:rPr>
          <w:rFonts w:ascii="Arial" w:hAnsi="Arial" w:cs="Arial" w:eastAsiaTheme="minorEastAsia"/>
          <w:szCs w:val="21"/>
        </w:rPr>
        <w:t>底获得批复。全国稀土标准化技术委员会于201</w:t>
      </w:r>
      <w:r>
        <w:rPr>
          <w:rFonts w:hint="eastAsia" w:ascii="Arial" w:hAnsi="Arial" w:cs="Arial" w:eastAsiaTheme="minorEastAsia"/>
          <w:szCs w:val="21"/>
        </w:rPr>
        <w:t>9</w:t>
      </w:r>
      <w:r>
        <w:rPr>
          <w:rFonts w:ascii="Arial" w:hAnsi="Arial" w:cs="Arial" w:eastAsiaTheme="minorEastAsia"/>
          <w:szCs w:val="21"/>
        </w:rPr>
        <w:t>年</w:t>
      </w:r>
      <w:r>
        <w:rPr>
          <w:rFonts w:hint="eastAsia" w:ascii="Arial" w:hAnsi="Arial" w:cs="Arial" w:eastAsiaTheme="minorEastAsia"/>
          <w:szCs w:val="21"/>
        </w:rPr>
        <w:t>1</w:t>
      </w:r>
      <w:r>
        <w:rPr>
          <w:rFonts w:ascii="Arial" w:hAnsi="Arial" w:cs="Arial" w:eastAsiaTheme="minorEastAsia"/>
          <w:szCs w:val="21"/>
        </w:rPr>
        <w:t>月2</w:t>
      </w:r>
      <w:r>
        <w:rPr>
          <w:rFonts w:hint="eastAsia" w:ascii="Arial" w:hAnsi="Arial" w:cs="Arial" w:eastAsiaTheme="minorEastAsia"/>
          <w:szCs w:val="21"/>
        </w:rPr>
        <w:t>3</w:t>
      </w:r>
      <w:r>
        <w:rPr>
          <w:rFonts w:ascii="Arial" w:hAnsi="Arial" w:cs="Arial" w:eastAsiaTheme="minorEastAsia"/>
          <w:szCs w:val="21"/>
        </w:rPr>
        <w:t>日在</w:t>
      </w:r>
      <w:r>
        <w:rPr>
          <w:rFonts w:hint="eastAsia" w:ascii="Arial" w:hAnsi="Arial" w:cs="Arial" w:eastAsiaTheme="minorEastAsia"/>
          <w:szCs w:val="21"/>
        </w:rPr>
        <w:t>浙江省宁波市</w:t>
      </w:r>
      <w:r>
        <w:rPr>
          <w:rFonts w:ascii="Arial" w:hAnsi="Arial" w:cs="Arial" w:eastAsiaTheme="minorEastAsia"/>
          <w:szCs w:val="21"/>
        </w:rPr>
        <w:t>召开了</w:t>
      </w:r>
      <w:r>
        <w:rPr>
          <w:rFonts w:hint="eastAsia" w:ascii="Arial" w:hAnsi="Arial" w:cs="Arial" w:eastAsiaTheme="minorEastAsia"/>
          <w:szCs w:val="21"/>
        </w:rPr>
        <w:t>《钪稳定铈锆复合粉》等11项稀土国家、行业标准任务落实会</w:t>
      </w:r>
      <w:r>
        <w:rPr>
          <w:rFonts w:ascii="Arial" w:hAnsi="Arial" w:cs="Arial" w:eastAsiaTheme="minorEastAsia"/>
          <w:szCs w:val="21"/>
        </w:rPr>
        <w:t>，确定由</w:t>
      </w:r>
      <w:r>
        <w:rPr>
          <w:rFonts w:hint="eastAsia" w:ascii="Arial" w:hAnsi="Arial" w:cs="Arial" w:eastAsiaTheme="minorEastAsia"/>
          <w:szCs w:val="21"/>
        </w:rPr>
        <w:t>包头稀土研究院</w:t>
      </w:r>
      <w:r>
        <w:rPr>
          <w:rFonts w:ascii="Arial" w:hAnsi="Arial" w:cs="Arial" w:eastAsiaTheme="minorEastAsia"/>
          <w:szCs w:val="21"/>
        </w:rPr>
        <w:t xml:space="preserve">负责国家标准《稀土金属及其氧化物中非稀土杂质化学分析方法 </w:t>
      </w:r>
      <w:r>
        <w:rPr>
          <w:rFonts w:hint="eastAsia" w:ascii="Arial" w:hAnsi="Arial" w:cs="Arial" w:eastAsiaTheme="minorEastAsia"/>
          <w:szCs w:val="21"/>
        </w:rPr>
        <w:t>氧、氮</w:t>
      </w:r>
      <w:r>
        <w:rPr>
          <w:rFonts w:ascii="Arial" w:hAnsi="Arial" w:cs="Arial" w:eastAsiaTheme="minorEastAsia"/>
          <w:szCs w:val="21"/>
        </w:rPr>
        <w:t>量的测定》的</w:t>
      </w:r>
      <w:r>
        <w:rPr>
          <w:rFonts w:hint="eastAsia" w:ascii="Arial" w:hAnsi="Arial" w:cs="Arial" w:eastAsiaTheme="minorEastAsia"/>
          <w:szCs w:val="21"/>
        </w:rPr>
        <w:t>修订与制定</w:t>
      </w:r>
      <w:r>
        <w:rPr>
          <w:rFonts w:ascii="Arial" w:hAnsi="Arial" w:cs="Arial" w:eastAsiaTheme="minorEastAsia"/>
          <w:szCs w:val="21"/>
        </w:rPr>
        <w:t>。</w:t>
      </w:r>
      <w:r>
        <w:rPr>
          <w:rFonts w:hint="eastAsia" w:ascii="Arial" w:hAnsi="Arial" w:cs="Arial" w:eastAsiaTheme="minorEastAsia"/>
          <w:szCs w:val="21"/>
        </w:rPr>
        <w:t>项目编号为20184317-T-469，计划完成时间为2020年7月底。项目内容</w:t>
      </w:r>
      <w:r>
        <w:rPr>
          <w:rFonts w:ascii="Arial" w:hAnsi="Arial" w:cs="Arial" w:eastAsiaTheme="minorEastAsia"/>
          <w:szCs w:val="21"/>
        </w:rPr>
        <w:t>及验证单位情况见</w:t>
      </w:r>
      <w:r>
        <w:fldChar w:fldCharType="begin"/>
      </w:r>
      <w:r>
        <w:instrText xml:space="preserve"> REF _Ref496714443 \h  \* MERGEFORMAT </w:instrText>
      </w:r>
      <w:r>
        <w:fldChar w:fldCharType="separate"/>
      </w:r>
      <w:r>
        <w:rPr>
          <w:rFonts w:ascii="Arial" w:hAnsi="Arial" w:cs="Arial" w:eastAsiaTheme="minorEastAsia"/>
          <w:szCs w:val="21"/>
        </w:rPr>
        <w:t>表1</w:t>
      </w:r>
      <w:r>
        <w:fldChar w:fldCharType="end"/>
      </w:r>
      <w:r>
        <w:rPr>
          <w:rFonts w:ascii="Arial" w:hAnsi="Arial" w:cs="Arial" w:eastAsiaTheme="minorEastAsia"/>
          <w:szCs w:val="21"/>
        </w:rPr>
        <w:t>。</w:t>
      </w:r>
    </w:p>
    <w:p>
      <w:pPr>
        <w:adjustRightInd w:val="0"/>
        <w:snapToGrid w:val="0"/>
        <w:jc w:val="center"/>
        <w:rPr>
          <w:rFonts w:ascii="Arial" w:hAnsi="Arial" w:cs="Arial" w:eastAsiaTheme="minorEastAsia"/>
          <w:szCs w:val="21"/>
        </w:rPr>
      </w:pPr>
      <w:bookmarkStart w:id="0" w:name="_Ref496714443"/>
      <w:r>
        <w:rPr>
          <w:rFonts w:ascii="Arial" w:hAnsi="Arial" w:cs="Arial" w:eastAsiaTheme="minorEastAsia"/>
          <w:szCs w:val="21"/>
        </w:rPr>
        <w:t>表</w:t>
      </w:r>
      <w:r>
        <w:rPr>
          <w:rFonts w:ascii="Arial" w:hAnsi="Arial" w:cs="Arial" w:eastAsiaTheme="minorEastAsia"/>
          <w:szCs w:val="21"/>
        </w:rPr>
        <w:fldChar w:fldCharType="begin"/>
      </w:r>
      <w:r>
        <w:rPr>
          <w:rFonts w:ascii="Arial" w:hAnsi="Arial" w:cs="Arial" w:eastAsiaTheme="minorEastAsia"/>
          <w:szCs w:val="21"/>
        </w:rPr>
        <w:instrText xml:space="preserve">SEQ 表 \* ARABIC</w:instrText>
      </w:r>
      <w:r>
        <w:rPr>
          <w:rFonts w:ascii="Arial" w:hAnsi="Arial" w:cs="Arial" w:eastAsiaTheme="minorEastAsia"/>
          <w:szCs w:val="21"/>
        </w:rPr>
        <w:fldChar w:fldCharType="separate"/>
      </w:r>
      <w:r>
        <w:rPr>
          <w:rFonts w:ascii="Arial" w:hAnsi="Arial" w:cs="Arial" w:eastAsiaTheme="minorEastAsia"/>
          <w:szCs w:val="21"/>
        </w:rPr>
        <w:t>1</w:t>
      </w:r>
      <w:r>
        <w:rPr>
          <w:rFonts w:ascii="Arial" w:hAnsi="Arial" w:cs="Arial" w:eastAsiaTheme="minorEastAsia"/>
          <w:szCs w:val="21"/>
        </w:rPr>
        <w:fldChar w:fldCharType="end"/>
      </w:r>
      <w:bookmarkEnd w:id="0"/>
    </w:p>
    <w:tbl>
      <w:tblPr>
        <w:tblStyle w:val="18"/>
        <w:tblW w:w="852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05"/>
        <w:gridCol w:w="1178"/>
        <w:gridCol w:w="1724"/>
        <w:gridCol w:w="26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计划号</w:t>
            </w: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项目名称</w:t>
            </w:r>
          </w:p>
        </w:tc>
        <w:tc>
          <w:tcPr>
            <w:tcW w:w="11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起草单位</w:t>
            </w:r>
          </w:p>
        </w:tc>
        <w:tc>
          <w:tcPr>
            <w:tcW w:w="17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第一验证单位</w:t>
            </w:r>
          </w:p>
        </w:tc>
        <w:tc>
          <w:tcPr>
            <w:tcW w:w="26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第二验证单位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20184317-T-469</w:t>
            </w: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稀土金属及其氧化物中非稀土杂质化学分析方法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 xml:space="preserve"> 氧、氮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量的测定</w:t>
            </w:r>
          </w:p>
        </w:tc>
        <w:tc>
          <w:tcPr>
            <w:tcW w:w="117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包头稀土研究院</w:t>
            </w:r>
          </w:p>
        </w:tc>
        <w:tc>
          <w:tcPr>
            <w:tcW w:w="172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国合通用测试评价认证股份公司</w:t>
            </w:r>
          </w:p>
          <w:p>
            <w:pPr>
              <w:adjustRightInd w:val="0"/>
              <w:snapToGrid w:val="0"/>
              <w:spacing w:line="360" w:lineRule="auto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钢研纳克检测技术股份有限公司</w:t>
            </w:r>
          </w:p>
        </w:tc>
        <w:tc>
          <w:tcPr>
            <w:tcW w:w="267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包头稀土研究院天津分院、湖南稀土金属材料研究院、内蒙古自治区稀土产品质量监督检验研究院(国家稀土产品质量监督检验中心)、厦门长汀金龙稀土有限公司</w:t>
            </w:r>
          </w:p>
        </w:tc>
      </w:tr>
    </w:tbl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1.3</w:t>
      </w:r>
      <w:r>
        <w:rPr>
          <w:rFonts w:ascii="Arial" w:hAnsi="Arial" w:cs="Arial" w:eastAsiaTheme="minorEastAsia"/>
          <w:szCs w:val="21"/>
        </w:rPr>
        <w:t>标准项目编制工作组单位简况</w:t>
      </w:r>
    </w:p>
    <w:p>
      <w:pPr>
        <w:pStyle w:val="48"/>
        <w:spacing w:line="36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cs="Times New Roman" w:hAnsiTheme="minorEastAsia" w:eastAsiaTheme="minorEastAsia"/>
          <w:szCs w:val="21"/>
        </w:rPr>
        <w:t>包头稀土研究院成立于</w:t>
      </w:r>
      <w:r>
        <w:rPr>
          <w:rFonts w:ascii="Times New Roman" w:hAnsi="Times New Roman" w:cs="Times New Roman" w:eastAsiaTheme="minorEastAsia"/>
          <w:szCs w:val="21"/>
        </w:rPr>
        <w:t>1963</w:t>
      </w:r>
      <w:r>
        <w:rPr>
          <w:rFonts w:ascii="Times New Roman" w:cs="Times New Roman" w:hAnsiTheme="minorEastAsia" w:eastAsiaTheme="minorEastAsia"/>
          <w:szCs w:val="21"/>
        </w:rPr>
        <w:t>年，直属原冶金工业部。</w:t>
      </w:r>
      <w:r>
        <w:rPr>
          <w:rFonts w:ascii="Times New Roman" w:hAnsi="Times New Roman" w:cs="Times New Roman" w:eastAsiaTheme="minorEastAsia"/>
          <w:szCs w:val="21"/>
        </w:rPr>
        <w:t>1992</w:t>
      </w:r>
      <w:r>
        <w:rPr>
          <w:rFonts w:ascii="Times New Roman" w:cs="Times New Roman" w:hAnsiTheme="minorEastAsia" w:eastAsiaTheme="minorEastAsia"/>
          <w:szCs w:val="21"/>
        </w:rPr>
        <w:t>年进入包钢（集团）公司，是全国最大的综合性稀土科技研发机构。本院是以稀土资源的综合开发、利用为宗旨，以稀土冶金、环境保护、新型稀土功能材料及在高新技术领域的应用、稀土提升传统产业的技术水平、稀土分析检测、稀土情报信息为研究重点的多专业、多学科的综合性研发机构。目前，全院形成规范的母子公司体系，拥有以科技开发和行业服务及生产经营为主的全资、控股、参股公司</w:t>
      </w:r>
      <w:r>
        <w:rPr>
          <w:rFonts w:ascii="Times New Roman" w:hAnsi="Times New Roman" w:cs="Times New Roman" w:eastAsiaTheme="minorEastAsia"/>
          <w:szCs w:val="21"/>
        </w:rPr>
        <w:t>13</w:t>
      </w:r>
      <w:r>
        <w:rPr>
          <w:rFonts w:ascii="Times New Roman" w:cs="Times New Roman" w:hAnsiTheme="minorEastAsia" w:eastAsiaTheme="minorEastAsia"/>
          <w:szCs w:val="21"/>
        </w:rPr>
        <w:t>家。本院建有国家级</w:t>
      </w:r>
      <w:r>
        <w:rPr>
          <w:rFonts w:ascii="Times New Roman" w:hAnsi="Times New Roman" w:cs="Times New Roman" w:eastAsiaTheme="minorEastAsia"/>
          <w:szCs w:val="21"/>
        </w:rPr>
        <w:t>“</w:t>
      </w:r>
      <w:r>
        <w:rPr>
          <w:rFonts w:ascii="Times New Roman" w:cs="Times New Roman" w:hAnsiTheme="minorEastAsia" w:eastAsiaTheme="minorEastAsia"/>
          <w:szCs w:val="21"/>
        </w:rPr>
        <w:t>稀土冶金及功能材料国家工程研究中心</w:t>
      </w:r>
      <w:r>
        <w:rPr>
          <w:rFonts w:ascii="Times New Roman" w:hAnsi="Times New Roman" w:cs="Times New Roman" w:eastAsiaTheme="minorEastAsia"/>
          <w:szCs w:val="21"/>
        </w:rPr>
        <w:t>”</w:t>
      </w:r>
      <w:r>
        <w:rPr>
          <w:rFonts w:ascii="Times New Roman" w:cs="Times New Roman" w:hAnsiTheme="minorEastAsia" w:eastAsiaTheme="minorEastAsia"/>
          <w:szCs w:val="21"/>
        </w:rPr>
        <w:t>、</w:t>
      </w:r>
      <w:r>
        <w:rPr>
          <w:rFonts w:ascii="Times New Roman" w:hAnsi="Times New Roman" w:cs="Times New Roman" w:eastAsiaTheme="minorEastAsia"/>
          <w:szCs w:val="21"/>
        </w:rPr>
        <w:t>“</w:t>
      </w:r>
      <w:r>
        <w:rPr>
          <w:rFonts w:ascii="Times New Roman" w:cs="Times New Roman" w:hAnsiTheme="minorEastAsia" w:eastAsiaTheme="minorEastAsia"/>
          <w:szCs w:val="21"/>
        </w:rPr>
        <w:t>北方稀土行业生产力促进中心</w:t>
      </w:r>
      <w:r>
        <w:rPr>
          <w:rFonts w:ascii="Times New Roman" w:hAnsi="Times New Roman" w:cs="Times New Roman" w:eastAsiaTheme="minorEastAsia"/>
          <w:szCs w:val="21"/>
        </w:rPr>
        <w:t>”</w:t>
      </w:r>
      <w:r>
        <w:rPr>
          <w:rFonts w:ascii="Times New Roman" w:cs="Times New Roman" w:hAnsiTheme="minorEastAsia" w:eastAsiaTheme="minorEastAsia"/>
          <w:szCs w:val="21"/>
        </w:rPr>
        <w:t>和</w:t>
      </w:r>
      <w:r>
        <w:rPr>
          <w:rFonts w:ascii="Times New Roman" w:hAnsi="Times New Roman" w:cs="Times New Roman" w:eastAsiaTheme="minorEastAsia"/>
          <w:szCs w:val="21"/>
        </w:rPr>
        <w:t>“</w:t>
      </w:r>
      <w:r>
        <w:rPr>
          <w:rFonts w:ascii="Times New Roman" w:cs="Times New Roman" w:hAnsiTheme="minorEastAsia" w:eastAsiaTheme="minorEastAsia"/>
          <w:szCs w:val="21"/>
        </w:rPr>
        <w:t>白云鄂博稀土资源研究与综合利用国家重点实验室</w:t>
      </w:r>
      <w:r>
        <w:rPr>
          <w:rFonts w:ascii="Times New Roman" w:hAnsi="Times New Roman" w:cs="Times New Roman" w:eastAsiaTheme="minorEastAsia"/>
          <w:szCs w:val="21"/>
        </w:rPr>
        <w:t>”</w:t>
      </w:r>
      <w:r>
        <w:rPr>
          <w:rFonts w:ascii="Times New Roman" w:cs="Times New Roman" w:hAnsiTheme="minorEastAsia" w:eastAsiaTheme="minorEastAsia"/>
          <w:szCs w:val="21"/>
        </w:rPr>
        <w:t>；内蒙古自治区级</w:t>
      </w:r>
      <w:r>
        <w:rPr>
          <w:rFonts w:ascii="Times New Roman" w:hAnsi="Times New Roman" w:cs="Times New Roman" w:eastAsiaTheme="minorEastAsia"/>
          <w:szCs w:val="21"/>
        </w:rPr>
        <w:t>“</w:t>
      </w:r>
      <w:r>
        <w:rPr>
          <w:rFonts w:ascii="Times New Roman" w:cs="Times New Roman" w:hAnsiTheme="minorEastAsia" w:eastAsiaTheme="minorEastAsia"/>
          <w:szCs w:val="21"/>
        </w:rPr>
        <w:t>内蒙古希苑稀土功能材料工程技术研究中心</w:t>
      </w:r>
      <w:r>
        <w:rPr>
          <w:rFonts w:ascii="Times New Roman" w:hAnsi="Times New Roman" w:cs="Times New Roman" w:eastAsiaTheme="minorEastAsia"/>
          <w:szCs w:val="21"/>
        </w:rPr>
        <w:t>”</w:t>
      </w:r>
      <w:r>
        <w:rPr>
          <w:rFonts w:ascii="Times New Roman" w:cs="Times New Roman" w:hAnsiTheme="minorEastAsia" w:eastAsiaTheme="minorEastAsia"/>
          <w:szCs w:val="21"/>
        </w:rPr>
        <w:t>、</w:t>
      </w:r>
      <w:r>
        <w:rPr>
          <w:rFonts w:ascii="Times New Roman" w:hAnsi="Times New Roman" w:cs="Times New Roman" w:eastAsiaTheme="minorEastAsia"/>
          <w:szCs w:val="21"/>
        </w:rPr>
        <w:t>“</w:t>
      </w:r>
      <w:r>
        <w:rPr>
          <w:rFonts w:ascii="Times New Roman" w:cs="Times New Roman" w:hAnsiTheme="minorEastAsia" w:eastAsiaTheme="minorEastAsia"/>
          <w:szCs w:val="21"/>
        </w:rPr>
        <w:t>内蒙古自治区稀土生产力促进中心</w:t>
      </w:r>
      <w:r>
        <w:rPr>
          <w:rFonts w:ascii="Times New Roman" w:hAnsi="Times New Roman" w:cs="Times New Roman" w:eastAsiaTheme="minorEastAsia"/>
          <w:szCs w:val="21"/>
        </w:rPr>
        <w:t>”</w:t>
      </w:r>
      <w:r>
        <w:rPr>
          <w:rFonts w:ascii="Times New Roman" w:cs="Times New Roman" w:hAnsiTheme="minorEastAsia" w:eastAsiaTheme="minorEastAsia"/>
          <w:szCs w:val="21"/>
        </w:rPr>
        <w:t>、</w:t>
      </w:r>
      <w:r>
        <w:rPr>
          <w:rFonts w:ascii="Times New Roman" w:hAnsi="Times New Roman" w:cs="Times New Roman" w:eastAsiaTheme="minorEastAsia"/>
          <w:szCs w:val="21"/>
        </w:rPr>
        <w:t>“</w:t>
      </w:r>
      <w:r>
        <w:rPr>
          <w:rFonts w:ascii="Times New Roman" w:cs="Times New Roman" w:hAnsiTheme="minorEastAsia" w:eastAsiaTheme="minorEastAsia"/>
          <w:szCs w:val="21"/>
        </w:rPr>
        <w:t>内蒙古自治区稀土高温冶金工程技术研究中心</w:t>
      </w:r>
      <w:r>
        <w:rPr>
          <w:rFonts w:ascii="Times New Roman" w:hAnsi="Times New Roman" w:cs="Times New Roman" w:eastAsiaTheme="minorEastAsia"/>
          <w:szCs w:val="21"/>
        </w:rPr>
        <w:t>”</w:t>
      </w:r>
      <w:r>
        <w:rPr>
          <w:rFonts w:ascii="Times New Roman" w:cs="Times New Roman" w:hAnsiTheme="minorEastAsia" w:eastAsiaTheme="minorEastAsia"/>
          <w:szCs w:val="21"/>
        </w:rPr>
        <w:t>以及</w:t>
      </w:r>
      <w:r>
        <w:rPr>
          <w:rFonts w:ascii="Times New Roman" w:hAnsi="Times New Roman" w:cs="Times New Roman" w:eastAsiaTheme="minorEastAsia"/>
          <w:szCs w:val="21"/>
        </w:rPr>
        <w:t>“</w:t>
      </w:r>
      <w:r>
        <w:rPr>
          <w:rFonts w:ascii="Times New Roman" w:cs="Times New Roman" w:hAnsiTheme="minorEastAsia" w:eastAsiaTheme="minorEastAsia"/>
          <w:szCs w:val="21"/>
        </w:rPr>
        <w:t>内蒙古自治区铌冶金工程实验室</w:t>
      </w:r>
      <w:r>
        <w:rPr>
          <w:rFonts w:ascii="Times New Roman" w:hAnsi="Times New Roman" w:cs="Times New Roman" w:eastAsiaTheme="minorEastAsia"/>
          <w:szCs w:val="21"/>
        </w:rPr>
        <w:t>”</w:t>
      </w:r>
      <w:r>
        <w:rPr>
          <w:rFonts w:ascii="Times New Roman" w:cs="Times New Roman" w:hAnsiTheme="minorEastAsia" w:eastAsiaTheme="minorEastAsia"/>
          <w:szCs w:val="21"/>
        </w:rPr>
        <w:t>。</w:t>
      </w:r>
      <w:r>
        <w:rPr>
          <w:rFonts w:ascii="Times New Roman" w:hAnsi="Times New Roman" w:cs="Times New Roman" w:eastAsiaTheme="minorEastAsia"/>
          <w:szCs w:val="21"/>
        </w:rPr>
        <w:t xml:space="preserve"> </w:t>
      </w:r>
      <w:r>
        <w:rPr>
          <w:rFonts w:ascii="Times New Roman" w:cs="Times New Roman" w:hAnsiTheme="minorEastAsia" w:eastAsiaTheme="minorEastAsia"/>
          <w:szCs w:val="21"/>
        </w:rPr>
        <w:t>包头稀土研究院理化检测中心是本院的重要组成部分，拥有中国合格评定国家认可实验室认证（</w:t>
      </w:r>
      <w:r>
        <w:rPr>
          <w:rFonts w:ascii="Times New Roman" w:hAnsi="Times New Roman" w:cs="Times New Roman" w:eastAsiaTheme="minorEastAsia"/>
          <w:szCs w:val="21"/>
        </w:rPr>
        <w:t>CNAS</w:t>
      </w:r>
      <w:r>
        <w:rPr>
          <w:rFonts w:ascii="Times New Roman" w:cs="Times New Roman" w:hAnsiTheme="minorEastAsia" w:eastAsiaTheme="minorEastAsia"/>
          <w:szCs w:val="21"/>
        </w:rPr>
        <w:t>）、内蒙古技术监督局的计量认证（</w:t>
      </w:r>
      <w:r>
        <w:rPr>
          <w:rFonts w:ascii="Times New Roman" w:hAnsi="Times New Roman" w:cs="Times New Roman" w:eastAsiaTheme="minorEastAsia"/>
          <w:szCs w:val="21"/>
        </w:rPr>
        <w:t>CMA</w:t>
      </w:r>
      <w:r>
        <w:rPr>
          <w:rFonts w:ascii="Times New Roman" w:cs="Times New Roman" w:hAnsiTheme="minorEastAsia" w:eastAsiaTheme="minorEastAsia"/>
          <w:szCs w:val="21"/>
        </w:rPr>
        <w:t>）、全国分析检测人员能力培训和考核中心（</w:t>
      </w:r>
      <w:r>
        <w:rPr>
          <w:rFonts w:ascii="Times New Roman" w:hAnsi="Times New Roman" w:cs="Times New Roman" w:eastAsiaTheme="minorEastAsia"/>
          <w:szCs w:val="21"/>
        </w:rPr>
        <w:t>NTC</w:t>
      </w:r>
      <w:r>
        <w:rPr>
          <w:rFonts w:ascii="Times New Roman" w:cs="Times New Roman" w:hAnsiTheme="minorEastAsia" w:eastAsiaTheme="minorEastAsia"/>
          <w:szCs w:val="21"/>
        </w:rPr>
        <w:t>）等资质。主要从事稀土矿石、合金、金属、化合物及稀土新材料的检测工作，同时承接黑色金属、有色金属、选冶、新材料、土壤、铝材和生物样品的分析检测工作，出色地完成了大量国内外委托的检测业务。建院以来承担多项国家</w:t>
      </w:r>
      <w:r>
        <w:rPr>
          <w:rFonts w:ascii="Times New Roman" w:hAnsi="Times New Roman" w:cs="Times New Roman" w:eastAsiaTheme="minorEastAsia"/>
          <w:szCs w:val="21"/>
        </w:rPr>
        <w:t>/</w:t>
      </w:r>
      <w:r>
        <w:rPr>
          <w:rFonts w:ascii="Times New Roman" w:cs="Times New Roman" w:hAnsiTheme="minorEastAsia" w:eastAsiaTheme="minorEastAsia"/>
          <w:szCs w:val="21"/>
        </w:rPr>
        <w:t>行业标准分析方法的研究和标准样品的研制工作，在国内稀土产品检测领域地位突出。截止目前，理化检测中心完成国家</w:t>
      </w:r>
      <w:r>
        <w:rPr>
          <w:rFonts w:ascii="Times New Roman" w:hAnsi="Times New Roman" w:cs="Times New Roman" w:eastAsiaTheme="minorEastAsia"/>
          <w:szCs w:val="21"/>
        </w:rPr>
        <w:t>/</w:t>
      </w:r>
      <w:r>
        <w:rPr>
          <w:rFonts w:ascii="Times New Roman" w:cs="Times New Roman" w:hAnsiTheme="minorEastAsia" w:eastAsiaTheme="minorEastAsia"/>
          <w:szCs w:val="21"/>
        </w:rPr>
        <w:t>行业标准分析方法的相关起草工作</w:t>
      </w:r>
      <w:r>
        <w:rPr>
          <w:rFonts w:ascii="Times New Roman" w:hAnsi="Times New Roman" w:cs="Times New Roman" w:eastAsiaTheme="minorEastAsia"/>
          <w:szCs w:val="21"/>
        </w:rPr>
        <w:t>100</w:t>
      </w:r>
      <w:r>
        <w:rPr>
          <w:rFonts w:ascii="Times New Roman" w:cs="Times New Roman" w:hAnsiTheme="minorEastAsia" w:eastAsiaTheme="minorEastAsia"/>
          <w:szCs w:val="21"/>
        </w:rPr>
        <w:t>多项，曾获七五、八五攻关科研奖，多次获得中国有色金属工业科学技术二、三等奖等荣誉。基于包头稀土研究院长期在稀土湿法冶炼、环境保护、标准起草等方面积累的丰富经验，该项目实施期间，包头稀土研究院借鉴已有科研成果、发挥自身优势保证项目顺利推进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1.4</w:t>
      </w:r>
      <w:r>
        <w:rPr>
          <w:rFonts w:ascii="Arial" w:hAnsi="Arial" w:cs="Arial" w:eastAsiaTheme="minorEastAsia"/>
          <w:szCs w:val="21"/>
        </w:rPr>
        <w:t>主要工作过程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1.</w:t>
      </w:r>
      <w:r>
        <w:rPr>
          <w:rFonts w:ascii="Arial" w:hAnsi="Arial" w:cs="Arial" w:eastAsiaTheme="minorEastAsia"/>
          <w:szCs w:val="21"/>
        </w:rPr>
        <w:t>4.1国内外标准的收集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本标准是基于GB/T 12690.</w:t>
      </w:r>
      <w:r>
        <w:rPr>
          <w:rFonts w:hint="eastAsia" w:ascii="Arial" w:hAnsi="Arial" w:cs="Arial" w:eastAsiaTheme="minorEastAsia"/>
          <w:szCs w:val="21"/>
        </w:rPr>
        <w:t>4</w:t>
      </w:r>
      <w:r>
        <w:rPr>
          <w:rFonts w:ascii="Arial" w:hAnsi="Arial" w:cs="Arial" w:eastAsiaTheme="minorEastAsia"/>
          <w:szCs w:val="21"/>
        </w:rPr>
        <w:t>-200</w:t>
      </w:r>
      <w:r>
        <w:rPr>
          <w:rFonts w:hint="eastAsia" w:ascii="Arial" w:hAnsi="Arial" w:cs="Arial" w:eastAsiaTheme="minorEastAsia"/>
          <w:szCs w:val="21"/>
        </w:rPr>
        <w:t>3</w:t>
      </w:r>
      <w:r>
        <w:rPr>
          <w:rFonts w:ascii="Arial" w:hAnsi="Arial" w:cs="Arial" w:eastAsiaTheme="minorEastAsia"/>
          <w:szCs w:val="21"/>
        </w:rPr>
        <w:t>进行修订的，未查到其它与本标准完全一致的国内或国外标准。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1.</w:t>
      </w:r>
      <w:r>
        <w:rPr>
          <w:rFonts w:ascii="Arial" w:hAnsi="Arial" w:cs="Arial" w:eastAsiaTheme="minorEastAsia"/>
          <w:szCs w:val="21"/>
        </w:rPr>
        <w:t>4.2主要工作过程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——2019年1月，全国稀土标准化化技术委员会召开任务落实会，确定由包头稀土研究院起草本标准，国合通用测试评价认证股份公司、钢研纳克检测技术股份有限公司、包头稀土研究院天津分院、湖南稀土金属材料研究院、内蒙古自治区稀土产品质量监督检验研究院(国家稀土产品质量监督检验中心)、厦门长汀金龙稀土有限公司等6家单位参与起草验证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——2019年2月至2019年8月研制统一样品，准备相关材料，负责起草单位根据试验方案进行不同的方法试验，完成试验报告和标准征求意见稿的编写工作。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——2019年9月初，将试验样品和试验报告寄发给有关验证单位，进行方法的验证和征求意见稿的意见征求工作。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——2020年1月上旬各相关验证单位完成一验和二验相关工作，返回验证报告和意见。完成精密度试验和数据统计工作。根据征求意见，修改征求意见稿并形成预审稿。</w:t>
      </w:r>
    </w:p>
    <w:p>
      <w:pPr>
        <w:adjustRightInd w:val="0"/>
        <w:snapToGrid w:val="0"/>
        <w:spacing w:line="360" w:lineRule="auto"/>
        <w:rPr>
          <w:rFonts w:hint="eastAsia"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——2020年</w:t>
      </w:r>
      <w:r>
        <w:rPr>
          <w:rFonts w:ascii="Arial" w:hAnsi="Arial" w:cs="Arial" w:eastAsiaTheme="minorEastAsia"/>
          <w:szCs w:val="21"/>
        </w:rPr>
        <w:t>5</w:t>
      </w:r>
      <w:r>
        <w:rPr>
          <w:rFonts w:hint="eastAsia" w:ascii="Arial" w:hAnsi="Arial" w:cs="Arial" w:eastAsiaTheme="minorEastAsia"/>
          <w:szCs w:val="21"/>
        </w:rPr>
        <w:t>月底，在北方稀土技术中心的主持下，邀请北方稀土的标准专家就相关研究内容进行答辩，在专家意见的基础上，修改征求意见稿并形成预审稿。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1.</w:t>
      </w:r>
      <w:r>
        <w:rPr>
          <w:rFonts w:ascii="Arial" w:hAnsi="Arial" w:cs="Arial" w:eastAsiaTheme="minorEastAsia"/>
          <w:szCs w:val="21"/>
        </w:rPr>
        <w:t>4.</w:t>
      </w:r>
      <w:r>
        <w:rPr>
          <w:rFonts w:hint="eastAsia" w:ascii="Arial" w:hAnsi="Arial" w:cs="Arial" w:eastAsiaTheme="minorEastAsia"/>
          <w:szCs w:val="21"/>
        </w:rPr>
        <w:t>3</w:t>
      </w:r>
      <w:r>
        <w:rPr>
          <w:rFonts w:ascii="Arial" w:hAnsi="Arial" w:cs="Arial" w:eastAsiaTheme="minorEastAsia"/>
          <w:szCs w:val="21"/>
        </w:rPr>
        <w:t>参加稀土标委会工作会议情况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二、标准编制原则和主要内容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2.1 编制原则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2.1.1</w:t>
      </w:r>
      <w:r>
        <w:rPr>
          <w:rFonts w:ascii="Arial" w:hAnsi="Arial" w:cs="Arial" w:eastAsiaTheme="minorEastAsia"/>
          <w:szCs w:val="21"/>
        </w:rPr>
        <w:t>标准的格式严格按照GB/T 1.1-2009《标准化工作导则第1部分：标准的结构和编写》的规定进行。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2.1.2</w:t>
      </w:r>
      <w:r>
        <w:rPr>
          <w:rFonts w:ascii="Arial" w:hAnsi="Arial" w:cs="Arial" w:eastAsiaTheme="minorEastAsia"/>
          <w:szCs w:val="21"/>
        </w:rPr>
        <w:t>根据测定元素的不同，最终确定各元素测定方法的允许差。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2.1.3</w:t>
      </w:r>
      <w:r>
        <w:rPr>
          <w:rFonts w:ascii="Arial" w:hAnsi="Arial" w:cs="Arial" w:eastAsiaTheme="minorEastAsia"/>
          <w:szCs w:val="21"/>
        </w:rPr>
        <w:t>根据目前稀土金属及其氧化物的生产、应用和贸易要求确定分析方法及测定范围。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本系列标准选择方法的原则主要考虑方法的适用性、准确性和一定的先进性。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2.2标准技术内容说明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试料经过前处理后，在惰性气体气氛下，通过高温熔融石墨坩埚中的试料，把试料中各种形态氧经过氧化提取出来。经吸收、分离等不同流程去除其他杂质干扰后，氧提取物通过红外吸收方法获得检测。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通过本次修订，扩展了方法的检测范围：氧 0.0050%～0.30%，氮 0.0020%～0.20%。现行标准测氧时使用锡粒助熔，测氮时使用镍片助熔，不方便，本次修订统一修改为使用镍囊包裹和助熔样品。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三、主要试验的分析、综述报告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3.1</w:t>
      </w:r>
      <w:r>
        <w:rPr>
          <w:rFonts w:hint="eastAsia" w:ascii="Arial" w:hAnsi="Arial" w:cs="Arial" w:eastAsiaTheme="minorEastAsia"/>
          <w:szCs w:val="21"/>
        </w:rPr>
        <w:t>测定原理</w:t>
      </w:r>
    </w:p>
    <w:p>
      <w:pPr>
        <w:pStyle w:val="48"/>
        <w:adjustRightInd w:val="0"/>
        <w:snapToGrid w:val="0"/>
        <w:spacing w:line="360" w:lineRule="auto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在惰性气氛下，加热熔融石墨坩埚中的试料，试料中的氧呈一氧化碳析出，进入红外检测器中进行测定。氮呈氮气析出，进入热导检测器中进行测定。</w:t>
      </w:r>
    </w:p>
    <w:p>
      <w:pPr>
        <w:pStyle w:val="48"/>
        <w:adjustRightInd w:val="0"/>
        <w:snapToGrid w:val="0"/>
        <w:spacing w:line="360" w:lineRule="auto"/>
        <w:ind w:firstLine="0" w:firstLineChars="0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3.2条件实验</w:t>
      </w:r>
    </w:p>
    <w:p>
      <w:pPr>
        <w:pStyle w:val="48"/>
        <w:adjustRightInd w:val="0"/>
        <w:snapToGrid w:val="0"/>
        <w:spacing w:line="360" w:lineRule="auto"/>
        <w:ind w:firstLine="0" w:firstLineChars="0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3.2.1空白试验和助溶剂对比试验</w:t>
      </w:r>
    </w:p>
    <w:p>
      <w:pPr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 xml:space="preserve">    现行标准中采用锡粒作为助溶剂测定氧量、镍片作为助溶剂测定氮量，本方法采用带盖镍囊包裹样品同时测定氧、氮含量。因此需比较镍囊、锡粒、镍片三种助溶剂引入的空白值。使用0.3g助熔剂，测定镍囊、锡粒、镍片的空白数据。通过空白试验和助溶剂对比试验，镍囊比锡粒和镍片的空白值稳定且氧、氮含量较低；镍囊在熔融样品释放氧、氮方面比锡粒和镍片效果好，所以本方法选用镍囊做为助熔剂。</w:t>
      </w:r>
    </w:p>
    <w:p>
      <w:pPr>
        <w:pStyle w:val="48"/>
        <w:adjustRightInd w:val="0"/>
        <w:snapToGrid w:val="0"/>
        <w:spacing w:line="360" w:lineRule="auto"/>
        <w:ind w:firstLine="0" w:firstLineChars="0"/>
        <w:jc w:val="lef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3.2.2 称样量试验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称样量的不同对测定结果的影响较大。称样量过高，则样品在有限的助熔剂中熔融效果不好；称样量过低，则样品代表性不够，测定结果不稳定；所以采用0.10-0.16g作为本实验的最佳称样量。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  <w:lang w:bidi="hi-IN"/>
        </w:rPr>
      </w:pPr>
      <w:r>
        <w:rPr>
          <w:rFonts w:hint="eastAsia" w:ascii="Arial" w:hAnsi="Arial" w:cs="Arial" w:eastAsiaTheme="minorEastAsia"/>
          <w:szCs w:val="21"/>
        </w:rPr>
        <w:t>3.2.3 精密度试验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因为稀土金属及其氧化物涉及的试样种类较多，试验选取金属铈、金属钆、金属镝作为统一样，包含了轻、中、重稀土金属，具有一定的代表性。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由于统一样中没有高氮含量的样品，故选择金属镝统一样加标的方法进行精密度试验。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由精密度结果可看出，统一样样品的氧、氮含量范围从0.010 %左右到0.30 %左右，相对标准偏差均小于10%，满足分析检测的要求。</w:t>
      </w:r>
    </w:p>
    <w:p>
      <w:pPr>
        <w:spacing w:line="360" w:lineRule="auto"/>
        <w:rPr>
          <w:rFonts w:eastAsia="黑体"/>
          <w:szCs w:val="21"/>
        </w:rPr>
      </w:pPr>
      <w:r>
        <w:rPr>
          <w:rFonts w:hint="eastAsia" w:ascii="Arial" w:hAnsi="Arial" w:cs="Arial" w:eastAsiaTheme="minorEastAsia"/>
          <w:szCs w:val="21"/>
        </w:rPr>
        <w:t>3.2.4 回收率试验</w:t>
      </w:r>
    </w:p>
    <w:p>
      <w:pPr>
        <w:pStyle w:val="48"/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在选定的测定条件下，在金属钆样品中加入氧、氮标准样品，进行标准加入回收实验。回收率结果在95 %~105 %之间，满足分析检测的要求。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四、标准水平分析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本标准修订过程中，由起草单位对国际、国内标准进行了查阅和调研，修订后的方法更能紧密联系实际，充分考虑了检测仪器设备的性能更新，进一步扩展了方法的检测范围，</w:t>
      </w:r>
      <w:r>
        <w:rPr>
          <w:rFonts w:hint="eastAsia" w:ascii="Arial" w:hAnsi="Arial" w:cs="Arial" w:eastAsiaTheme="minorEastAsia"/>
          <w:szCs w:val="21"/>
        </w:rPr>
        <w:t>更新了助溶剂的种类</w:t>
      </w:r>
      <w:r>
        <w:rPr>
          <w:rFonts w:ascii="Arial" w:hAnsi="Arial" w:cs="Arial" w:eastAsiaTheme="minorEastAsia"/>
          <w:szCs w:val="21"/>
        </w:rPr>
        <w:t>，提升了检测结果的可靠性。本标准达到国内领先，国际先进水平。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五、与现行相关法律、法规、规章及相关标准，特别是强制性标准的协调性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本部分标准完全满足现行国家法规的要求，适用于稀土金属中</w:t>
      </w:r>
      <w:r>
        <w:rPr>
          <w:rFonts w:hint="eastAsia" w:ascii="Arial" w:hAnsi="Arial" w:cs="Arial" w:eastAsiaTheme="minorEastAsia"/>
          <w:szCs w:val="21"/>
        </w:rPr>
        <w:t>氧、氮</w:t>
      </w:r>
      <w:r>
        <w:rPr>
          <w:rFonts w:ascii="Arial" w:hAnsi="Arial" w:cs="Arial" w:eastAsiaTheme="minorEastAsia"/>
          <w:szCs w:val="21"/>
        </w:rPr>
        <w:t>元素的测定；测定范围合理，准确度和精密度完全满足各类稀土金属产品标准技术要求，具有快速、准确的特点。标准文本内容表述合理，格式规范。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六、标准中如涉及专利，应有明确的知识产权说明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本标准不涉及专利。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七、重大分歧意见的处理经过和依据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八、标准作为强制性或推荐性国家（或行业）标准的建议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本标准建议作为推荐性国家标准来制定。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九、贯彻标准的要求和措施建议，包括：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——组织措施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标准颁布实施后，需要国家有关部门组织大力宣传和贯彻，主办各种形式的培训班，使相关企业及相关贸易单位能够积极主动地解读标准内容，充分认识和理解制订的标准条款，进而</w:t>
      </w:r>
      <w:r>
        <w:rPr>
          <w:rFonts w:ascii="Times New Roman" w:hAnsi="Times New Roman" w:cs="Times New Roman" w:eastAsiaTheme="minorEastAsia"/>
          <w:szCs w:val="21"/>
        </w:rPr>
        <w:t>加以应用。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——技术措施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标准颁布实施后</w:t>
      </w:r>
      <w:r>
        <w:rPr>
          <w:rFonts w:hint="eastAsia" w:ascii="Arial" w:hAnsi="Arial" w:cs="Arial" w:eastAsiaTheme="minorEastAsia"/>
          <w:szCs w:val="21"/>
        </w:rPr>
        <w:t>，首先保证氧氮分析仪的各项参数能保证检测要求，加强操作人员对仪器使用及维护保养的培训，学习掌握样品前处理技术，加强对仪器设备的使用管理，定期对仪器进行维护保养并记录。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——过渡办法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自本标准发布日起至实施日止，为标准的过渡期，在此期间，新旧版标准都被视为有效。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十、废止现行有关标准的建议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本标准发布实施之日起，旧版本自然废止。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十一、其他应予说明的事项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新版标准更新了检测范围和助溶剂的种类，适用范围更广，方法更加快捷、高效，满足检测市场上更多客户的需求，便于数据检测向产业化发展，预计未来可产生可观的经济效益。</w:t>
      </w:r>
      <w:r>
        <w:rPr>
          <w:rFonts w:ascii="Arial" w:hAnsi="Arial" w:cs="Arial" w:eastAsiaTheme="minorEastAsia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 xml:space="preserve">                                                         包头稀土研究院</w:t>
      </w:r>
    </w:p>
    <w:p>
      <w:pPr>
        <w:adjustRightInd w:val="0"/>
        <w:snapToGrid w:val="0"/>
        <w:spacing w:line="360" w:lineRule="auto"/>
        <w:ind w:left="2310" w:leftChars="1100"/>
        <w:jc w:val="center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 xml:space="preserve">                                   </w:t>
      </w:r>
      <w:r>
        <w:rPr>
          <w:rFonts w:ascii="Arial" w:hAnsi="Arial" w:cs="Arial" w:eastAsiaTheme="minorEastAsia"/>
          <w:szCs w:val="21"/>
        </w:rPr>
        <w:t>二〇二〇年</w:t>
      </w:r>
      <w:r>
        <w:rPr>
          <w:rFonts w:hint="eastAsia" w:ascii="Arial" w:hAnsi="Arial" w:cs="Arial" w:eastAsiaTheme="minorEastAsia"/>
          <w:szCs w:val="21"/>
        </w:rPr>
        <w:t>四</w:t>
      </w:r>
      <w:r>
        <w:rPr>
          <w:rFonts w:ascii="Arial" w:hAnsi="Arial" w:cs="Arial" w:eastAsiaTheme="minorEastAsia"/>
          <w:szCs w:val="21"/>
        </w:rPr>
        <w:t>月</w:t>
      </w:r>
      <w:r>
        <w:rPr>
          <w:rFonts w:hint="eastAsia" w:ascii="Arial" w:hAnsi="Arial" w:cs="Arial" w:eastAsiaTheme="minorEastAsia"/>
          <w:szCs w:val="21"/>
        </w:rPr>
        <w:t>一</w:t>
      </w:r>
      <w:r>
        <w:rPr>
          <w:rFonts w:ascii="Arial" w:hAnsi="Arial" w:cs="Arial" w:eastAsiaTheme="minorEastAsia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_x0000_s2050" o:spid="_x0000_s2050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A51"/>
    <w:multiLevelType w:val="multilevel"/>
    <w:tmpl w:val="13EF5A5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834055"/>
    <w:multiLevelType w:val="multilevel"/>
    <w:tmpl w:val="3F834055"/>
    <w:lvl w:ilvl="0" w:tentative="0">
      <w:start w:val="1"/>
      <w:numFmt w:val="decimal"/>
      <w:pStyle w:val="1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1FB"/>
    <w:rsid w:val="00031540"/>
    <w:rsid w:val="0003620D"/>
    <w:rsid w:val="0003752B"/>
    <w:rsid w:val="00055E11"/>
    <w:rsid w:val="00084F6C"/>
    <w:rsid w:val="00090371"/>
    <w:rsid w:val="00093B2B"/>
    <w:rsid w:val="000C5D93"/>
    <w:rsid w:val="000D34C6"/>
    <w:rsid w:val="000E3E67"/>
    <w:rsid w:val="000E652D"/>
    <w:rsid w:val="00105A46"/>
    <w:rsid w:val="001126DC"/>
    <w:rsid w:val="00115644"/>
    <w:rsid w:val="00123CC8"/>
    <w:rsid w:val="0014145D"/>
    <w:rsid w:val="0014333F"/>
    <w:rsid w:val="001613DF"/>
    <w:rsid w:val="00172A27"/>
    <w:rsid w:val="001840AE"/>
    <w:rsid w:val="00187251"/>
    <w:rsid w:val="00194092"/>
    <w:rsid w:val="00194C0B"/>
    <w:rsid w:val="001B34A2"/>
    <w:rsid w:val="001C139A"/>
    <w:rsid w:val="001D3658"/>
    <w:rsid w:val="001D7B82"/>
    <w:rsid w:val="001F0052"/>
    <w:rsid w:val="001F4B87"/>
    <w:rsid w:val="002363FB"/>
    <w:rsid w:val="0024004C"/>
    <w:rsid w:val="00241605"/>
    <w:rsid w:val="00246000"/>
    <w:rsid w:val="002475F3"/>
    <w:rsid w:val="002567BF"/>
    <w:rsid w:val="00257C88"/>
    <w:rsid w:val="002653F7"/>
    <w:rsid w:val="00270CA7"/>
    <w:rsid w:val="002719A3"/>
    <w:rsid w:val="002750FE"/>
    <w:rsid w:val="00294C5A"/>
    <w:rsid w:val="002A076D"/>
    <w:rsid w:val="002A658F"/>
    <w:rsid w:val="002A7676"/>
    <w:rsid w:val="002B219D"/>
    <w:rsid w:val="002E33CC"/>
    <w:rsid w:val="00307343"/>
    <w:rsid w:val="0031156B"/>
    <w:rsid w:val="00313DC5"/>
    <w:rsid w:val="00316940"/>
    <w:rsid w:val="003327CC"/>
    <w:rsid w:val="00333239"/>
    <w:rsid w:val="00337709"/>
    <w:rsid w:val="003440F6"/>
    <w:rsid w:val="003564C5"/>
    <w:rsid w:val="00365717"/>
    <w:rsid w:val="00366D8B"/>
    <w:rsid w:val="00380586"/>
    <w:rsid w:val="0038102B"/>
    <w:rsid w:val="003B7591"/>
    <w:rsid w:val="003C39AD"/>
    <w:rsid w:val="003C53AD"/>
    <w:rsid w:val="003D276D"/>
    <w:rsid w:val="003D62B3"/>
    <w:rsid w:val="003E5FFA"/>
    <w:rsid w:val="003E777C"/>
    <w:rsid w:val="003F3093"/>
    <w:rsid w:val="003F7982"/>
    <w:rsid w:val="00406CCD"/>
    <w:rsid w:val="00407F2C"/>
    <w:rsid w:val="00410071"/>
    <w:rsid w:val="00423F52"/>
    <w:rsid w:val="00426158"/>
    <w:rsid w:val="004312A3"/>
    <w:rsid w:val="00431C8B"/>
    <w:rsid w:val="00431F35"/>
    <w:rsid w:val="004441B4"/>
    <w:rsid w:val="0049266B"/>
    <w:rsid w:val="004A3975"/>
    <w:rsid w:val="004B6BF3"/>
    <w:rsid w:val="004C108A"/>
    <w:rsid w:val="004C2BDF"/>
    <w:rsid w:val="004D6F24"/>
    <w:rsid w:val="004E2845"/>
    <w:rsid w:val="004E4B84"/>
    <w:rsid w:val="004E665F"/>
    <w:rsid w:val="004F3A42"/>
    <w:rsid w:val="004F60D5"/>
    <w:rsid w:val="004F6DE0"/>
    <w:rsid w:val="004F78CF"/>
    <w:rsid w:val="004F7F2A"/>
    <w:rsid w:val="00504940"/>
    <w:rsid w:val="00515C52"/>
    <w:rsid w:val="00520632"/>
    <w:rsid w:val="00523422"/>
    <w:rsid w:val="005262A2"/>
    <w:rsid w:val="00535035"/>
    <w:rsid w:val="005373FC"/>
    <w:rsid w:val="005424C8"/>
    <w:rsid w:val="005452F1"/>
    <w:rsid w:val="00545B49"/>
    <w:rsid w:val="00545D27"/>
    <w:rsid w:val="00553B5F"/>
    <w:rsid w:val="00557E92"/>
    <w:rsid w:val="00560356"/>
    <w:rsid w:val="00577FE0"/>
    <w:rsid w:val="00581286"/>
    <w:rsid w:val="00584DFB"/>
    <w:rsid w:val="005953A8"/>
    <w:rsid w:val="005D3950"/>
    <w:rsid w:val="005D43BB"/>
    <w:rsid w:val="005D4861"/>
    <w:rsid w:val="005E0567"/>
    <w:rsid w:val="005E27CA"/>
    <w:rsid w:val="005F565A"/>
    <w:rsid w:val="006002CA"/>
    <w:rsid w:val="006045D2"/>
    <w:rsid w:val="00620304"/>
    <w:rsid w:val="00632275"/>
    <w:rsid w:val="006521F7"/>
    <w:rsid w:val="006574B4"/>
    <w:rsid w:val="00663834"/>
    <w:rsid w:val="00665B8E"/>
    <w:rsid w:val="0066628B"/>
    <w:rsid w:val="006722B1"/>
    <w:rsid w:val="00684F16"/>
    <w:rsid w:val="00686528"/>
    <w:rsid w:val="006929FE"/>
    <w:rsid w:val="00696347"/>
    <w:rsid w:val="006A0152"/>
    <w:rsid w:val="006A1BF5"/>
    <w:rsid w:val="006B230B"/>
    <w:rsid w:val="006B2D6C"/>
    <w:rsid w:val="006C3393"/>
    <w:rsid w:val="006D075D"/>
    <w:rsid w:val="006D12C8"/>
    <w:rsid w:val="006E00E9"/>
    <w:rsid w:val="006E620B"/>
    <w:rsid w:val="006F1240"/>
    <w:rsid w:val="006F27E1"/>
    <w:rsid w:val="00713C7D"/>
    <w:rsid w:val="00725379"/>
    <w:rsid w:val="00730B5F"/>
    <w:rsid w:val="00732F2F"/>
    <w:rsid w:val="00734853"/>
    <w:rsid w:val="00742BF6"/>
    <w:rsid w:val="007730CB"/>
    <w:rsid w:val="00776BAC"/>
    <w:rsid w:val="007803ED"/>
    <w:rsid w:val="00780A76"/>
    <w:rsid w:val="00782AE5"/>
    <w:rsid w:val="00786ED1"/>
    <w:rsid w:val="00792513"/>
    <w:rsid w:val="00794176"/>
    <w:rsid w:val="00794342"/>
    <w:rsid w:val="00797231"/>
    <w:rsid w:val="007975D9"/>
    <w:rsid w:val="007A3483"/>
    <w:rsid w:val="007C0F87"/>
    <w:rsid w:val="007D14BE"/>
    <w:rsid w:val="007D4FF1"/>
    <w:rsid w:val="007E2B27"/>
    <w:rsid w:val="007E5907"/>
    <w:rsid w:val="007F1BBC"/>
    <w:rsid w:val="00801CB0"/>
    <w:rsid w:val="008027E6"/>
    <w:rsid w:val="008339BC"/>
    <w:rsid w:val="00834746"/>
    <w:rsid w:val="0084092D"/>
    <w:rsid w:val="00880C56"/>
    <w:rsid w:val="00894C5A"/>
    <w:rsid w:val="008A089D"/>
    <w:rsid w:val="008B0905"/>
    <w:rsid w:val="008B193B"/>
    <w:rsid w:val="008B4E8D"/>
    <w:rsid w:val="008C2D86"/>
    <w:rsid w:val="008F24D2"/>
    <w:rsid w:val="00902B5E"/>
    <w:rsid w:val="0091382C"/>
    <w:rsid w:val="00913845"/>
    <w:rsid w:val="00913ACD"/>
    <w:rsid w:val="0091492A"/>
    <w:rsid w:val="00916360"/>
    <w:rsid w:val="0092417E"/>
    <w:rsid w:val="00937FFE"/>
    <w:rsid w:val="009460E5"/>
    <w:rsid w:val="009557C0"/>
    <w:rsid w:val="00967AEA"/>
    <w:rsid w:val="0099649E"/>
    <w:rsid w:val="009A6391"/>
    <w:rsid w:val="009C2CA1"/>
    <w:rsid w:val="009D0198"/>
    <w:rsid w:val="009E159E"/>
    <w:rsid w:val="009E348B"/>
    <w:rsid w:val="009E6132"/>
    <w:rsid w:val="009F5E0E"/>
    <w:rsid w:val="00A06995"/>
    <w:rsid w:val="00A0703E"/>
    <w:rsid w:val="00A32562"/>
    <w:rsid w:val="00A6020C"/>
    <w:rsid w:val="00A9151E"/>
    <w:rsid w:val="00A97CF7"/>
    <w:rsid w:val="00AB58C3"/>
    <w:rsid w:val="00AB5F2F"/>
    <w:rsid w:val="00AC2A44"/>
    <w:rsid w:val="00AD636E"/>
    <w:rsid w:val="00AE4AF9"/>
    <w:rsid w:val="00AF6071"/>
    <w:rsid w:val="00B02B3A"/>
    <w:rsid w:val="00B05BF4"/>
    <w:rsid w:val="00B07BB1"/>
    <w:rsid w:val="00B158FF"/>
    <w:rsid w:val="00B17F9F"/>
    <w:rsid w:val="00B21A9C"/>
    <w:rsid w:val="00B21AB0"/>
    <w:rsid w:val="00B26F3B"/>
    <w:rsid w:val="00B30A9C"/>
    <w:rsid w:val="00B317E3"/>
    <w:rsid w:val="00B35ACF"/>
    <w:rsid w:val="00B3784B"/>
    <w:rsid w:val="00B47471"/>
    <w:rsid w:val="00B575D6"/>
    <w:rsid w:val="00B62372"/>
    <w:rsid w:val="00B63AFF"/>
    <w:rsid w:val="00B66D45"/>
    <w:rsid w:val="00B7175D"/>
    <w:rsid w:val="00B74A46"/>
    <w:rsid w:val="00B76180"/>
    <w:rsid w:val="00B83585"/>
    <w:rsid w:val="00B872C3"/>
    <w:rsid w:val="00BB6D5A"/>
    <w:rsid w:val="00BB71D8"/>
    <w:rsid w:val="00BD52B2"/>
    <w:rsid w:val="00BD5A15"/>
    <w:rsid w:val="00BF2862"/>
    <w:rsid w:val="00BF687D"/>
    <w:rsid w:val="00C03180"/>
    <w:rsid w:val="00C50DC8"/>
    <w:rsid w:val="00C5557B"/>
    <w:rsid w:val="00C62B4A"/>
    <w:rsid w:val="00C62EDD"/>
    <w:rsid w:val="00C67C5A"/>
    <w:rsid w:val="00C7291D"/>
    <w:rsid w:val="00C72CCA"/>
    <w:rsid w:val="00C770A5"/>
    <w:rsid w:val="00C80E76"/>
    <w:rsid w:val="00C87D9D"/>
    <w:rsid w:val="00CB6C93"/>
    <w:rsid w:val="00CC0BDD"/>
    <w:rsid w:val="00CF7316"/>
    <w:rsid w:val="00D04AA9"/>
    <w:rsid w:val="00D24E83"/>
    <w:rsid w:val="00D3145E"/>
    <w:rsid w:val="00D35793"/>
    <w:rsid w:val="00D574A7"/>
    <w:rsid w:val="00D70D72"/>
    <w:rsid w:val="00D92927"/>
    <w:rsid w:val="00D955C2"/>
    <w:rsid w:val="00DA1FEA"/>
    <w:rsid w:val="00DA451D"/>
    <w:rsid w:val="00DB2885"/>
    <w:rsid w:val="00DF0E0D"/>
    <w:rsid w:val="00DF5878"/>
    <w:rsid w:val="00DF74D3"/>
    <w:rsid w:val="00DF7D99"/>
    <w:rsid w:val="00E225D5"/>
    <w:rsid w:val="00E315CB"/>
    <w:rsid w:val="00E41F9B"/>
    <w:rsid w:val="00E449AE"/>
    <w:rsid w:val="00E56EF9"/>
    <w:rsid w:val="00E67182"/>
    <w:rsid w:val="00E70191"/>
    <w:rsid w:val="00E74D19"/>
    <w:rsid w:val="00E81238"/>
    <w:rsid w:val="00E90480"/>
    <w:rsid w:val="00EB3281"/>
    <w:rsid w:val="00EB778F"/>
    <w:rsid w:val="00ED1E6D"/>
    <w:rsid w:val="00ED504F"/>
    <w:rsid w:val="00EE7204"/>
    <w:rsid w:val="00F02435"/>
    <w:rsid w:val="00F035D7"/>
    <w:rsid w:val="00F12DF2"/>
    <w:rsid w:val="00F15B3E"/>
    <w:rsid w:val="00F212D7"/>
    <w:rsid w:val="00F22989"/>
    <w:rsid w:val="00F248C2"/>
    <w:rsid w:val="00F33D3C"/>
    <w:rsid w:val="00F37C4E"/>
    <w:rsid w:val="00F40E11"/>
    <w:rsid w:val="00F41098"/>
    <w:rsid w:val="00F43409"/>
    <w:rsid w:val="00F464AA"/>
    <w:rsid w:val="00F519CA"/>
    <w:rsid w:val="00F52343"/>
    <w:rsid w:val="00F533E2"/>
    <w:rsid w:val="00F569DD"/>
    <w:rsid w:val="00F7117D"/>
    <w:rsid w:val="00F773A4"/>
    <w:rsid w:val="00F85194"/>
    <w:rsid w:val="00FA2CC6"/>
    <w:rsid w:val="00FB19F7"/>
    <w:rsid w:val="00FB46FE"/>
    <w:rsid w:val="00FC53F8"/>
    <w:rsid w:val="00FC5F78"/>
    <w:rsid w:val="00FC6F28"/>
    <w:rsid w:val="00FE6662"/>
    <w:rsid w:val="00FF74FD"/>
    <w:rsid w:val="01C42F4C"/>
    <w:rsid w:val="075E2445"/>
    <w:rsid w:val="0F504095"/>
    <w:rsid w:val="10C443E9"/>
    <w:rsid w:val="110E3EF9"/>
    <w:rsid w:val="119A2456"/>
    <w:rsid w:val="11F77C06"/>
    <w:rsid w:val="13F97391"/>
    <w:rsid w:val="18263340"/>
    <w:rsid w:val="22C719ED"/>
    <w:rsid w:val="25765DEE"/>
    <w:rsid w:val="272C746C"/>
    <w:rsid w:val="29FD79D6"/>
    <w:rsid w:val="2DE52949"/>
    <w:rsid w:val="390E5F29"/>
    <w:rsid w:val="39336F1E"/>
    <w:rsid w:val="394E07F0"/>
    <w:rsid w:val="419C74B1"/>
    <w:rsid w:val="44CC63EF"/>
    <w:rsid w:val="45116DF1"/>
    <w:rsid w:val="498526D7"/>
    <w:rsid w:val="4D4437BF"/>
    <w:rsid w:val="4E8D0FEE"/>
    <w:rsid w:val="4EBB5F1D"/>
    <w:rsid w:val="530670C6"/>
    <w:rsid w:val="56C87531"/>
    <w:rsid w:val="5A4B1142"/>
    <w:rsid w:val="5F707B34"/>
    <w:rsid w:val="5F871D66"/>
    <w:rsid w:val="6F1F72A8"/>
    <w:rsid w:val="76F77DB4"/>
    <w:rsid w:val="776158EB"/>
    <w:rsid w:val="78EB7D30"/>
    <w:rsid w:val="79DD14A3"/>
    <w:rsid w:val="7C5F2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24"/>
      <w:szCs w:val="44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24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黑体" w:asciiTheme="majorHAnsi" w:hAnsiTheme="majorHAnsi" w:cstheme="majorBidi"/>
      <w:bCs/>
      <w:szCs w:val="28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 Indent"/>
    <w:basedOn w:val="1"/>
    <w:link w:val="46"/>
    <w:unhideWhenUsed/>
    <w:qFormat/>
    <w:uiPriority w:val="99"/>
    <w:pPr>
      <w:ind w:firstLine="420"/>
    </w:pPr>
    <w:rPr>
      <w:rFonts w:ascii="Times New Roman" w:hAnsi="Times New Roman" w:cs="Times New Roman"/>
      <w:szCs w:val="21"/>
    </w:rPr>
  </w:style>
  <w:style w:type="paragraph" w:styleId="13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14">
    <w:name w:val="Balloon Text"/>
    <w:basedOn w:val="1"/>
    <w:link w:val="36"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1"/>
    <w:qFormat/>
    <w:uiPriority w:val="10"/>
    <w:pPr>
      <w:numPr>
        <w:ilvl w:val="0"/>
        <w:numId w:val="2"/>
      </w:numPr>
      <w:spacing w:before="240" w:after="60" w:line="360" w:lineRule="auto"/>
      <w:jc w:val="left"/>
      <w:outlineLvl w:val="0"/>
    </w:pPr>
    <w:rPr>
      <w:rFonts w:ascii="Cambria" w:hAnsi="Cambria"/>
      <w:b/>
      <w:bCs/>
      <w:sz w:val="24"/>
      <w:szCs w:val="32"/>
    </w:rPr>
  </w:style>
  <w:style w:type="character" w:styleId="20">
    <w:name w:val="page number"/>
    <w:basedOn w:val="19"/>
    <w:unhideWhenUsed/>
    <w:qFormat/>
    <w:uiPriority w:val="0"/>
  </w:style>
  <w:style w:type="paragraph" w:customStyle="1" w:styleId="21">
    <w:name w:val="日期1"/>
    <w:basedOn w:val="1"/>
    <w:next w:val="1"/>
    <w:link w:val="32"/>
    <w:qFormat/>
    <w:uiPriority w:val="0"/>
    <w:pPr>
      <w:ind w:left="100" w:leftChars="2500"/>
    </w:pPr>
  </w:style>
  <w:style w:type="paragraph" w:customStyle="1" w:styleId="2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3">
    <w:name w:val="p15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24">
    <w:name w:val="p16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5">
    <w:name w:val="p17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列出段落2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8">
    <w:name w:val="段"/>
    <w:link w:val="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3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32">
    <w:name w:val="日期 Char"/>
    <w:basedOn w:val="19"/>
    <w:link w:val="21"/>
    <w:semiHidden/>
    <w:qFormat/>
    <w:uiPriority w:val="0"/>
  </w:style>
  <w:style w:type="character" w:customStyle="1" w:styleId="33">
    <w:name w:val="页脚 字符"/>
    <w:basedOn w:val="19"/>
    <w:link w:val="15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4">
    <w:name w:val="页眉 字符"/>
    <w:basedOn w:val="19"/>
    <w:link w:val="16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5">
    <w:name w:val="段 Char"/>
    <w:basedOn w:val="19"/>
    <w:link w:val="28"/>
    <w:qFormat/>
    <w:uiPriority w:val="0"/>
    <w:rPr>
      <w:rFonts w:ascii="宋体"/>
      <w:sz w:val="21"/>
      <w:lang w:val="en-US" w:eastAsia="zh-CN" w:bidi="ar-SA"/>
    </w:rPr>
  </w:style>
  <w:style w:type="character" w:customStyle="1" w:styleId="36">
    <w:name w:val="批注框文本 字符"/>
    <w:basedOn w:val="19"/>
    <w:link w:val="1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7">
    <w:name w:val="标题 1 字符"/>
    <w:basedOn w:val="19"/>
    <w:link w:val="2"/>
    <w:qFormat/>
    <w:uiPriority w:val="9"/>
    <w:rPr>
      <w:rFonts w:ascii="Calibri" w:hAnsi="Calibri" w:eastAsia="黑体" w:cs="黑体"/>
      <w:bCs/>
      <w:kern w:val="44"/>
      <w:sz w:val="24"/>
      <w:szCs w:val="44"/>
    </w:rPr>
  </w:style>
  <w:style w:type="character" w:customStyle="1" w:styleId="38">
    <w:name w:val="标题 2 字符"/>
    <w:basedOn w:val="19"/>
    <w:link w:val="3"/>
    <w:qFormat/>
    <w:uiPriority w:val="9"/>
    <w:rPr>
      <w:rFonts w:eastAsia="黑体" w:asciiTheme="majorHAnsi" w:hAnsiTheme="majorHAnsi" w:cstheme="majorBidi"/>
      <w:bCs/>
      <w:kern w:val="2"/>
      <w:sz w:val="24"/>
      <w:szCs w:val="32"/>
    </w:rPr>
  </w:style>
  <w:style w:type="character" w:customStyle="1" w:styleId="39">
    <w:name w:val="标题 3 字符"/>
    <w:basedOn w:val="19"/>
    <w:link w:val="4"/>
    <w:qFormat/>
    <w:uiPriority w:val="9"/>
    <w:rPr>
      <w:rFonts w:ascii="Calibri" w:hAnsi="Calibri" w:eastAsia="黑体" w:cs="黑体"/>
      <w:bCs/>
      <w:kern w:val="2"/>
      <w:sz w:val="24"/>
      <w:szCs w:val="32"/>
    </w:rPr>
  </w:style>
  <w:style w:type="character" w:customStyle="1" w:styleId="40">
    <w:name w:val="标题 4 字符"/>
    <w:basedOn w:val="19"/>
    <w:link w:val="5"/>
    <w:qFormat/>
    <w:uiPriority w:val="9"/>
    <w:rPr>
      <w:rFonts w:eastAsia="黑体" w:asciiTheme="majorHAnsi" w:hAnsiTheme="majorHAnsi" w:cstheme="majorBidi"/>
      <w:bCs/>
      <w:kern w:val="2"/>
      <w:sz w:val="21"/>
      <w:szCs w:val="28"/>
    </w:rPr>
  </w:style>
  <w:style w:type="character" w:customStyle="1" w:styleId="41">
    <w:name w:val="标题 5 字符"/>
    <w:basedOn w:val="19"/>
    <w:link w:val="6"/>
    <w:qFormat/>
    <w:uiPriority w:val="9"/>
    <w:rPr>
      <w:rFonts w:ascii="Calibri" w:hAnsi="Calibri" w:cs="黑体"/>
      <w:b/>
      <w:bCs/>
      <w:kern w:val="2"/>
      <w:sz w:val="28"/>
      <w:szCs w:val="28"/>
    </w:rPr>
  </w:style>
  <w:style w:type="character" w:customStyle="1" w:styleId="42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3">
    <w:name w:val="标题 7 字符"/>
    <w:basedOn w:val="19"/>
    <w:link w:val="8"/>
    <w:semiHidden/>
    <w:qFormat/>
    <w:uiPriority w:val="9"/>
    <w:rPr>
      <w:rFonts w:ascii="Calibri" w:hAnsi="Calibri" w:cs="黑体"/>
      <w:b/>
      <w:bCs/>
      <w:kern w:val="2"/>
      <w:sz w:val="24"/>
      <w:szCs w:val="24"/>
    </w:rPr>
  </w:style>
  <w:style w:type="character" w:customStyle="1" w:styleId="44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5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6">
    <w:name w:val="正文文本缩进 字符"/>
    <w:basedOn w:val="19"/>
    <w:link w:val="12"/>
    <w:qFormat/>
    <w:uiPriority w:val="99"/>
    <w:rPr>
      <w:kern w:val="2"/>
      <w:sz w:val="21"/>
      <w:szCs w:val="21"/>
    </w:rPr>
  </w:style>
  <w:style w:type="paragraph" w:customStyle="1" w:styleId="4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653</Words>
  <Characters>3727</Characters>
  <Lines>31</Lines>
  <Paragraphs>8</Paragraphs>
  <TotalTime>185</TotalTime>
  <ScaleCrop>false</ScaleCrop>
  <LinksUpToDate>false</LinksUpToDate>
  <CharactersWithSpaces>4372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2017-12-21T09:10:00Z</dcterms:created>
  <dc:creator>微软用户</dc:creator>
  <cp:lastModifiedBy>高兰</cp:lastModifiedBy>
  <cp:lastPrinted>2018-02-09T03:38:00Z</cp:lastPrinted>
  <dcterms:modified xsi:type="dcterms:W3CDTF">2020-06-11T06:22:08Z</dcterms:modified>
  <dc:title>稀土国家标准《稀土金属及其氧化物中非稀土杂质化学分析方法  第五部分》（预审稿）编制说明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