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437"/>
        <w:rPr>
          <w:color w:val="000000"/>
        </w:rPr>
      </w:pPr>
      <w:r>
        <w:rPr>
          <w:color w:val="000000"/>
        </w:rPr>
        <w:pict>
          <v:shape id="_x0000_s1063" o:spid="_x0000_s1063" o:spt="202" type="#_x0000_t202" style="position:absolute;left:0pt;margin-left:2.85pt;margin-top:2.8pt;height:43.2pt;width:67.7pt;mso-wrap-style:none;z-index:251656192;mso-width-relative:page;mso-height-relative:page;" stroked="f" coordsize="21600,21600">
            <v:path/>
            <v:fill focussize="0,0"/>
            <v:stroke on="f" joinstyle="miter"/>
            <v:imagedata o:title=""/>
            <o:lock v:ext="edit"/>
            <v:textbox style="mso-fit-shape-to-text:t;">
              <w:txbxContent>
                <w:p>
                  <w:r>
                    <w:rPr>
                      <w:rFonts w:hint="eastAsia"/>
                    </w:rPr>
                    <w:t>ICS</w:t>
                  </w:r>
                </w:p>
                <w:p>
                  <w:r>
                    <w:rPr>
                      <w:rFonts w:hint="eastAsia"/>
                    </w:rPr>
                    <w:t>分类号</w:t>
                  </w:r>
                </w:p>
              </w:txbxContent>
            </v:textbox>
          </v:shape>
        </w:pict>
      </w:r>
    </w:p>
    <w:p>
      <w:pPr>
        <w:snapToGrid w:val="0"/>
        <w:spacing w:line="240" w:lineRule="auto"/>
        <w:ind w:firstLine="437"/>
        <w:rPr>
          <w:color w:val="000000"/>
        </w:rPr>
      </w:pPr>
      <w:r>
        <w:rPr>
          <w:color w:val="000000"/>
        </w:rPr>
        <w:drawing>
          <wp:inline distT="0" distB="0" distL="0" distR="0">
            <wp:extent cx="5939155" cy="1304925"/>
            <wp:effectExtent l="19050" t="0" r="4445" b="0"/>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5" cstate="print"/>
                    <a:srcRect/>
                    <a:stretch>
                      <a:fillRect/>
                    </a:stretch>
                  </pic:blipFill>
                  <pic:spPr>
                    <a:xfrm>
                      <a:off x="0" y="0"/>
                      <a:ext cx="5939155" cy="1304925"/>
                    </a:xfrm>
                    <a:prstGeom prst="rect">
                      <a:avLst/>
                    </a:prstGeom>
                    <a:noFill/>
                    <a:ln w="9525">
                      <a:noFill/>
                      <a:miter lim="800000"/>
                      <a:headEnd/>
                      <a:tailEnd/>
                    </a:ln>
                  </pic:spPr>
                </pic:pic>
              </a:graphicData>
            </a:graphic>
          </wp:inline>
        </w:drawing>
      </w:r>
    </w:p>
    <w:p>
      <w:pPr>
        <w:snapToGrid w:val="0"/>
        <w:spacing w:line="240" w:lineRule="auto"/>
        <w:ind w:firstLine="437"/>
        <w:rPr>
          <w:color w:val="000000"/>
        </w:rPr>
      </w:pPr>
    </w:p>
    <w:p>
      <w:pPr>
        <w:snapToGrid w:val="0"/>
        <w:spacing w:line="240" w:lineRule="auto"/>
        <w:ind w:firstLine="437"/>
        <w:jc w:val="right"/>
        <w:rPr>
          <w:color w:val="000000"/>
          <w:lang w:val="de-DE"/>
        </w:rPr>
      </w:pPr>
      <w:r>
        <w:rPr>
          <w:color w:val="000000"/>
          <w:lang w:val="de-DE"/>
        </w:rPr>
        <w:t>YS/T X</w:t>
      </w:r>
      <w:r>
        <w:rPr>
          <w:rFonts w:hint="eastAsia"/>
          <w:color w:val="000000"/>
        </w:rPr>
        <w:t>X</w:t>
      </w:r>
      <w:r>
        <w:rPr>
          <w:rFonts w:hint="eastAsia"/>
          <w:color w:val="000000"/>
          <w:lang w:val="de-DE"/>
        </w:rPr>
        <w:t>XX</w:t>
      </w:r>
      <w:r>
        <w:rPr>
          <w:color w:val="000000"/>
          <w:lang w:val="de-DE"/>
        </w:rPr>
        <w:t>-XXXX</w:t>
      </w:r>
    </w:p>
    <w:p>
      <w:pPr>
        <w:snapToGrid w:val="0"/>
        <w:spacing w:line="240" w:lineRule="auto"/>
        <w:ind w:firstLine="437"/>
        <w:jc w:val="right"/>
        <w:rPr>
          <w:color w:val="000000"/>
          <w:sz w:val="28"/>
          <w:szCs w:val="28"/>
          <w:lang w:val="de-DE"/>
        </w:rPr>
      </w:pPr>
      <w:r>
        <w:rPr>
          <w:color w:val="000000"/>
        </w:rPr>
        <w:pict>
          <v:line id="_x0000_s1068" o:spid="_x0000_s1068" o:spt="20" style="position:absolute;left:0pt;margin-left:0pt;margin-top:24.25pt;height:0.25pt;width:477pt;mso-wrap-distance-left:9pt;mso-wrap-distance-right:9pt;z-index:251657216;mso-width-relative:page;mso-height-relative:page;" coordsize="21600,21600" wrapcoords="-39 0 -39 0 21639 0 21639 0 -39 0">
            <v:path arrowok="t"/>
            <v:fill focussize="0,0"/>
            <v:stroke/>
            <v:imagedata o:title=""/>
            <o:lock v:ext="edit"/>
            <w10:wrap type="through"/>
          </v:line>
        </w:pict>
      </w:r>
      <w:r>
        <w:rPr>
          <w:rFonts w:hint="eastAsia"/>
          <w:color w:val="000000"/>
          <w:lang w:val="de-DE"/>
        </w:rPr>
        <w:t xml:space="preserve">            </w:t>
      </w:r>
      <w:r>
        <w:rPr>
          <w:color w:val="000000"/>
          <w:lang w:val="de-DE"/>
        </w:rPr>
        <w:t xml:space="preserve"> </w:t>
      </w:r>
    </w:p>
    <w:p>
      <w:pPr>
        <w:snapToGrid w:val="0"/>
        <w:spacing w:line="240" w:lineRule="auto"/>
        <w:ind w:firstLine="437"/>
        <w:rPr>
          <w:color w:val="000000"/>
          <w:lang w:val="de-DE"/>
        </w:rPr>
      </w:pPr>
    </w:p>
    <w:p>
      <w:pPr>
        <w:snapToGrid w:val="0"/>
        <w:spacing w:line="240" w:lineRule="auto"/>
        <w:ind w:firstLine="437"/>
        <w:rPr>
          <w:color w:val="000000"/>
          <w:sz w:val="32"/>
          <w:szCs w:val="32"/>
          <w:lang w:val="de-DE"/>
        </w:rPr>
      </w:pPr>
    </w:p>
    <w:p>
      <w:pPr>
        <w:snapToGrid w:val="0"/>
        <w:spacing w:line="240" w:lineRule="auto"/>
        <w:ind w:firstLine="437"/>
        <w:rPr>
          <w:color w:val="000000"/>
          <w:sz w:val="32"/>
          <w:szCs w:val="32"/>
          <w:lang w:val="de-DE"/>
        </w:rPr>
      </w:pPr>
    </w:p>
    <w:p>
      <w:pPr>
        <w:snapToGrid w:val="0"/>
        <w:spacing w:line="240" w:lineRule="auto"/>
        <w:ind w:firstLine="437"/>
        <w:jc w:val="center"/>
        <w:rPr>
          <w:rFonts w:ascii="黑体" w:hAnsi="黑体" w:eastAsia="黑体"/>
          <w:b/>
          <w:sz w:val="44"/>
          <w:szCs w:val="44"/>
        </w:rPr>
      </w:pPr>
      <w:r>
        <w:rPr>
          <w:rFonts w:hint="eastAsia" w:ascii="黑体" w:hAnsi="黑体" w:eastAsia="黑体"/>
          <w:b/>
          <w:sz w:val="44"/>
          <w:szCs w:val="44"/>
        </w:rPr>
        <w:t>铜及铜合金管材</w:t>
      </w:r>
    </w:p>
    <w:p>
      <w:pPr>
        <w:snapToGrid w:val="0"/>
        <w:spacing w:line="240" w:lineRule="auto"/>
        <w:ind w:firstLine="437"/>
        <w:jc w:val="center"/>
        <w:rPr>
          <w:rFonts w:ascii="黑体" w:hAnsi="黑体" w:eastAsia="黑体"/>
          <w:b/>
          <w:color w:val="000000"/>
          <w:sz w:val="44"/>
          <w:szCs w:val="44"/>
          <w:lang w:val="de-DE"/>
        </w:rPr>
      </w:pPr>
      <w:r>
        <w:rPr>
          <w:rFonts w:hint="eastAsia" w:ascii="黑体" w:hAnsi="黑体" w:eastAsia="黑体"/>
          <w:b/>
          <w:sz w:val="44"/>
          <w:szCs w:val="44"/>
        </w:rPr>
        <w:t>生产绿色工厂评价要求</w:t>
      </w:r>
    </w:p>
    <w:p>
      <w:pPr>
        <w:snapToGrid w:val="0"/>
        <w:spacing w:line="240" w:lineRule="auto"/>
        <w:ind w:firstLine="437"/>
        <w:jc w:val="center"/>
        <w:rPr>
          <w:b/>
          <w:sz w:val="36"/>
          <w:szCs w:val="36"/>
        </w:rPr>
      </w:pPr>
      <w:r>
        <w:rPr>
          <w:rFonts w:eastAsia="微软雅黑"/>
          <w:b/>
          <w:color w:val="333333"/>
          <w:sz w:val="36"/>
          <w:szCs w:val="36"/>
        </w:rPr>
        <w:t>Evaluating guide</w:t>
      </w:r>
      <w:r>
        <w:rPr>
          <w:rFonts w:hint="eastAsia"/>
          <w:b/>
          <w:sz w:val="36"/>
          <w:szCs w:val="36"/>
        </w:rPr>
        <w:t xml:space="preserve"> for green </w:t>
      </w:r>
      <w:r>
        <w:rPr>
          <w:b/>
          <w:sz w:val="36"/>
          <w:szCs w:val="36"/>
        </w:rPr>
        <w:t>factory</w:t>
      </w:r>
    </w:p>
    <w:p>
      <w:pPr>
        <w:snapToGrid w:val="0"/>
        <w:spacing w:line="240" w:lineRule="auto"/>
        <w:ind w:firstLine="437"/>
        <w:jc w:val="center"/>
        <w:rPr>
          <w:b/>
          <w:color w:val="000000"/>
          <w:sz w:val="44"/>
          <w:szCs w:val="44"/>
          <w:lang w:val="de-DE"/>
        </w:rPr>
      </w:pPr>
      <w:r>
        <w:rPr>
          <w:rFonts w:hint="eastAsia"/>
          <w:b/>
          <w:sz w:val="36"/>
          <w:szCs w:val="36"/>
        </w:rPr>
        <w:t xml:space="preserve"> in copper and copper alloy tube production</w:t>
      </w:r>
    </w:p>
    <w:p>
      <w:pPr>
        <w:snapToGrid w:val="0"/>
        <w:spacing w:line="240" w:lineRule="auto"/>
        <w:ind w:firstLine="437"/>
        <w:jc w:val="center"/>
        <w:rPr>
          <w:color w:val="000000"/>
          <w:sz w:val="32"/>
          <w:szCs w:val="32"/>
          <w:lang w:val="de-DE"/>
        </w:rPr>
      </w:pPr>
    </w:p>
    <w:p>
      <w:pPr>
        <w:snapToGrid w:val="0"/>
        <w:spacing w:line="240" w:lineRule="auto"/>
        <w:ind w:firstLine="437"/>
        <w:jc w:val="center"/>
        <w:rPr>
          <w:color w:val="000000"/>
          <w:sz w:val="32"/>
          <w:szCs w:val="32"/>
          <w:lang w:val="de-DE"/>
        </w:rPr>
      </w:pPr>
      <w:r>
        <w:rPr>
          <w:rFonts w:hAnsi="宋体"/>
          <w:color w:val="000000"/>
          <w:sz w:val="32"/>
          <w:szCs w:val="32"/>
          <w:lang w:val="de-DE"/>
        </w:rPr>
        <w:t>（</w:t>
      </w:r>
      <w:r>
        <w:rPr>
          <w:rFonts w:hint="eastAsia" w:hAnsi="宋体"/>
          <w:color w:val="000000"/>
          <w:sz w:val="32"/>
          <w:szCs w:val="32"/>
          <w:lang w:val="de-DE"/>
        </w:rPr>
        <w:t>讨论稿</w:t>
      </w:r>
      <w:r>
        <w:rPr>
          <w:rFonts w:hAnsi="宋体"/>
          <w:color w:val="000000"/>
          <w:sz w:val="32"/>
          <w:szCs w:val="32"/>
          <w:lang w:val="de-DE"/>
        </w:rPr>
        <w:t>）</w:t>
      </w:r>
    </w:p>
    <w:p>
      <w:pPr>
        <w:snapToGrid w:val="0"/>
        <w:spacing w:line="240" w:lineRule="auto"/>
        <w:ind w:firstLine="437"/>
        <w:rPr>
          <w:color w:val="000000"/>
          <w:sz w:val="32"/>
          <w:szCs w:val="32"/>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lang w:val="de-DE"/>
        </w:rPr>
      </w:pPr>
    </w:p>
    <w:p>
      <w:pPr>
        <w:snapToGrid w:val="0"/>
        <w:spacing w:line="240" w:lineRule="auto"/>
        <w:ind w:firstLine="437"/>
        <w:rPr>
          <w:color w:val="000000"/>
          <w:sz w:val="24"/>
          <w:szCs w:val="24"/>
          <w:lang w:val="de-DE"/>
        </w:rPr>
      </w:pPr>
      <w:r>
        <w:rPr>
          <w:color w:val="000000"/>
          <w:sz w:val="24"/>
          <w:szCs w:val="24"/>
          <w:lang w:val="de-DE"/>
        </w:rPr>
        <w:t>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 xml:space="preserve">XX </w:t>
      </w:r>
      <w:r>
        <w:rPr>
          <w:rFonts w:hAnsi="宋体"/>
          <w:color w:val="000000"/>
          <w:sz w:val="24"/>
          <w:szCs w:val="24"/>
        </w:rPr>
        <w:t>发布</w:t>
      </w:r>
      <w:r>
        <w:rPr>
          <w:color w:val="000000"/>
          <w:sz w:val="24"/>
          <w:szCs w:val="24"/>
          <w:lang w:val="de-DE"/>
        </w:rPr>
        <w:t xml:space="preserve">                             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XX</w:t>
      </w:r>
      <w:r>
        <w:rPr>
          <w:rFonts w:hAnsi="宋体"/>
          <w:color w:val="000000"/>
          <w:sz w:val="24"/>
          <w:szCs w:val="24"/>
        </w:rPr>
        <w:t>实施</w:t>
      </w:r>
      <w:r>
        <w:rPr>
          <w:color w:val="000000"/>
          <w:sz w:val="24"/>
          <w:szCs w:val="24"/>
          <w:lang w:val="de-DE"/>
        </w:rPr>
        <w:t xml:space="preserve">                                                                   </w:t>
      </w:r>
      <w:r>
        <w:rPr>
          <w:color w:val="000000"/>
          <w:sz w:val="24"/>
          <w:szCs w:val="24"/>
        </w:rPr>
        <w:pict>
          <v:shape id="fmFrame7" o:spid="_x0000_s1069" o:spt="202" type="#_x0000_t202" style="position:absolute;left:0pt;margin-left:-4.9pt;margin-top:543.3pt;height:28.6pt;width:481.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25"/>
                  </w:pPr>
                  <w:r>
                    <w:rPr>
                      <w:rFonts w:hint="eastAsia"/>
                    </w:rPr>
                    <w:t xml:space="preserve">中华人民共和国工业和信息化部 </w:t>
                  </w:r>
                  <w:r>
                    <w:rPr>
                      <w:rStyle w:val="24"/>
                      <w:rFonts w:hint="eastAsia"/>
                    </w:rPr>
                    <w:t>发布</w:t>
                  </w:r>
                </w:p>
              </w:txbxContent>
            </v:textbox>
            <w10:anchorlock/>
          </v:shape>
        </w:pict>
      </w:r>
    </w:p>
    <w:p>
      <w:pPr>
        <w:snapToGrid w:val="0"/>
        <w:spacing w:line="240" w:lineRule="auto"/>
        <w:ind w:firstLine="437"/>
        <w:rPr>
          <w:color w:val="000000"/>
          <w:lang w:val="de-DE"/>
        </w:rPr>
      </w:pPr>
    </w:p>
    <w:p>
      <w:pPr>
        <w:snapToGrid w:val="0"/>
        <w:spacing w:line="240" w:lineRule="auto"/>
        <w:ind w:firstLine="437"/>
        <w:rPr>
          <w:color w:val="000000"/>
          <w:lang w:val="de-DE"/>
        </w:rPr>
      </w:pPr>
      <w:r>
        <w:rPr>
          <w:rFonts w:hAnsi="宋体"/>
          <w:color w:val="000000"/>
        </w:rPr>
        <w:t>　　　　</w:t>
      </w:r>
    </w:p>
    <w:p>
      <w:pPr>
        <w:snapToGrid w:val="0"/>
        <w:spacing w:line="240" w:lineRule="auto"/>
        <w:ind w:firstLine="437"/>
        <w:rPr>
          <w:color w:val="000000"/>
          <w:lang w:val="de-DE"/>
        </w:rPr>
      </w:pPr>
      <w:r>
        <w:rPr>
          <w:color w:val="000000"/>
        </w:rPr>
        <w:pict>
          <v:line id="_x0000_s1071" o:spid="_x0000_s1071" o:spt="20" style="position:absolute;left:0pt;margin-left:2.85pt;margin-top:-18.75pt;height:0pt;width:459pt;mso-wrap-distance-left:9pt;mso-wrap-distance-right:9pt;z-index:251659264;mso-width-relative:page;mso-height-relative:page;" coordsize="21600,21600" wrapcoords="-36 0 -36 0 21636 0 21636 0 -36 0">
            <v:path arrowok="t"/>
            <v:fill focussize="0,0"/>
            <v:stroke/>
            <v:imagedata o:title=""/>
            <o:lock v:ext="edit"/>
            <w10:wrap type="through"/>
          </v:line>
        </w:pict>
      </w:r>
      <w:r>
        <w:rPr>
          <w:color w:val="000000"/>
        </w:rPr>
        <w:pict>
          <v:line id="_x0000_s1070" o:spid="_x0000_s1070" o:spt="20" style="position:absolute;left:0pt;margin-left:-104.4pt;margin-top:-1419.25pt;height:0pt;width:459pt;mso-wrap-distance-left:9pt;mso-wrap-distance-right:9pt;z-index:251658240;mso-width-relative:page;mso-height-relative:page;" coordsize="21600,21600" wrapcoords="-36 0 -36 0 21636 0 21636 0 -36 0">
            <v:path arrowok="t"/>
            <v:fill focussize="0,0"/>
            <v:stroke/>
            <v:imagedata o:title=""/>
            <o:lock v:ext="edit"/>
            <w10:wrap type="through"/>
          </v:line>
        </w:pict>
      </w:r>
    </w:p>
    <w:p>
      <w:pPr>
        <w:snapToGrid w:val="0"/>
        <w:spacing w:line="240" w:lineRule="auto"/>
        <w:ind w:firstLine="437"/>
        <w:rPr>
          <w:color w:val="000000"/>
          <w:lang w:val="de-DE"/>
        </w:rPr>
        <w:sectPr>
          <w:footerReference r:id="rId3" w:type="even"/>
          <w:pgSz w:w="11907" w:h="16840"/>
          <w:pgMar w:top="1418" w:right="1247" w:bottom="1304" w:left="1361" w:header="720" w:footer="720" w:gutter="0"/>
          <w:cols w:space="720" w:num="1"/>
        </w:sectPr>
      </w:pPr>
    </w:p>
    <w:p>
      <w:pPr>
        <w:snapToGrid w:val="0"/>
        <w:spacing w:line="360" w:lineRule="exact"/>
        <w:jc w:val="right"/>
        <w:rPr>
          <w:color w:val="000000"/>
          <w:lang w:val="de-DE"/>
        </w:rPr>
      </w:pPr>
      <w:r>
        <w:rPr>
          <w:color w:val="000000"/>
          <w:lang w:val="de-DE"/>
        </w:rPr>
        <w:t>YS/T XXXX—XXXX</w:t>
      </w:r>
    </w:p>
    <w:p>
      <w:pPr>
        <w:snapToGrid w:val="0"/>
        <w:spacing w:line="360" w:lineRule="exact"/>
        <w:jc w:val="center"/>
        <w:rPr>
          <w:color w:val="000000"/>
          <w:lang w:val="de-DE"/>
        </w:rPr>
      </w:pPr>
    </w:p>
    <w:p>
      <w:pPr>
        <w:snapToGrid w:val="0"/>
        <w:spacing w:line="360" w:lineRule="exact"/>
        <w:jc w:val="center"/>
        <w:rPr>
          <w:b/>
          <w:color w:val="000000"/>
          <w:sz w:val="32"/>
          <w:szCs w:val="32"/>
          <w:lang w:val="de-DE"/>
        </w:rPr>
      </w:pPr>
      <w:r>
        <w:rPr>
          <w:rFonts w:hAnsi="宋体"/>
          <w:b/>
          <w:color w:val="000000"/>
          <w:sz w:val="32"/>
          <w:szCs w:val="32"/>
        </w:rPr>
        <w:t>前</w:t>
      </w:r>
      <w:r>
        <w:rPr>
          <w:b/>
          <w:color w:val="000000"/>
          <w:sz w:val="32"/>
          <w:szCs w:val="32"/>
          <w:lang w:val="de-DE"/>
        </w:rPr>
        <w:t xml:space="preserve">   </w:t>
      </w:r>
      <w:r>
        <w:rPr>
          <w:rFonts w:hAnsi="宋体"/>
          <w:b/>
          <w:color w:val="000000"/>
          <w:sz w:val="32"/>
          <w:szCs w:val="32"/>
        </w:rPr>
        <w:t>言</w:t>
      </w:r>
    </w:p>
    <w:p>
      <w:pPr>
        <w:snapToGrid w:val="0"/>
        <w:spacing w:line="360" w:lineRule="exact"/>
        <w:rPr>
          <w:color w:val="000000"/>
          <w:lang w:val="de-DE"/>
        </w:rPr>
      </w:pPr>
    </w:p>
    <w:p>
      <w:pPr>
        <w:snapToGrid w:val="0"/>
        <w:spacing w:line="360" w:lineRule="exact"/>
        <w:rPr>
          <w:color w:val="000000"/>
          <w:lang w:val="de-DE"/>
        </w:rPr>
      </w:pPr>
    </w:p>
    <w:p>
      <w:pPr>
        <w:snapToGrid w:val="0"/>
        <w:spacing w:line="360" w:lineRule="exact"/>
        <w:rPr>
          <w:color w:val="000000"/>
        </w:rPr>
      </w:pPr>
      <w:r>
        <w:rPr>
          <w:rFonts w:hAnsi="宋体"/>
          <w:color w:val="000000"/>
        </w:rPr>
        <w:t>本标准是按照</w:t>
      </w:r>
      <w:r>
        <w:rPr>
          <w:color w:val="000000"/>
        </w:rPr>
        <w:t>GB/T1.1-2009</w:t>
      </w:r>
      <w:r>
        <w:rPr>
          <w:rFonts w:hAnsi="宋体"/>
          <w:color w:val="000000"/>
        </w:rPr>
        <w:t>给出的规则起草的。</w:t>
      </w:r>
    </w:p>
    <w:p>
      <w:pPr>
        <w:snapToGrid w:val="0"/>
        <w:spacing w:line="360" w:lineRule="exact"/>
      </w:pPr>
      <w:r>
        <w:rPr>
          <w:rFonts w:hint="eastAsia"/>
        </w:rPr>
        <w:t>本标准是首次制订。</w:t>
      </w:r>
    </w:p>
    <w:p>
      <w:pPr>
        <w:snapToGrid w:val="0"/>
        <w:spacing w:line="360" w:lineRule="exact"/>
        <w:rPr>
          <w:color w:val="000000"/>
        </w:rPr>
      </w:pPr>
      <w:r>
        <w:rPr>
          <w:rFonts w:hAnsi="宋体"/>
          <w:color w:val="000000"/>
        </w:rPr>
        <w:t>本标准由全国有色金属标准化技术委员会</w:t>
      </w:r>
      <w:r>
        <w:rPr>
          <w:color w:val="000000"/>
        </w:rPr>
        <w:t>(SAC/TC243)</w:t>
      </w:r>
      <w:r>
        <w:rPr>
          <w:rFonts w:hAnsi="宋体"/>
          <w:color w:val="000000"/>
        </w:rPr>
        <w:t>归口。</w:t>
      </w:r>
    </w:p>
    <w:p>
      <w:pPr>
        <w:snapToGrid w:val="0"/>
        <w:spacing w:line="360" w:lineRule="exact"/>
        <w:rPr>
          <w:color w:val="000000"/>
        </w:rPr>
      </w:pPr>
      <w:r>
        <w:rPr>
          <w:rFonts w:hAnsi="宋体"/>
          <w:color w:val="000000"/>
        </w:rPr>
        <w:t>本标准负责起草单位：</w:t>
      </w:r>
    </w:p>
    <w:p>
      <w:pPr>
        <w:snapToGrid w:val="0"/>
        <w:spacing w:line="360" w:lineRule="exact"/>
        <w:rPr>
          <w:color w:val="000000"/>
        </w:rPr>
      </w:pPr>
      <w:r>
        <w:rPr>
          <w:rFonts w:hAnsi="宋体"/>
          <w:color w:val="000000"/>
        </w:rPr>
        <w:t>本标准参加起草单位：</w:t>
      </w:r>
    </w:p>
    <w:p>
      <w:pPr>
        <w:snapToGrid w:val="0"/>
        <w:spacing w:line="360" w:lineRule="exact"/>
        <w:rPr>
          <w:color w:val="000000"/>
        </w:rPr>
      </w:pPr>
      <w:r>
        <w:rPr>
          <w:rFonts w:hAnsi="宋体"/>
          <w:color w:val="000000"/>
        </w:rPr>
        <w:t>本标准主要起草人：</w:t>
      </w: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p>
    <w:p>
      <w:pPr>
        <w:snapToGrid w:val="0"/>
        <w:spacing w:line="360" w:lineRule="exact"/>
        <w:rPr>
          <w:color w:val="000000"/>
        </w:rPr>
      </w:pPr>
      <w:r>
        <w:rPr>
          <w:color w:val="000000"/>
        </w:rPr>
        <w:br w:type="page"/>
      </w:r>
    </w:p>
    <w:p>
      <w:pPr>
        <w:snapToGrid w:val="0"/>
        <w:spacing w:line="360" w:lineRule="exact"/>
        <w:jc w:val="right"/>
        <w:rPr>
          <w:color w:val="000000"/>
        </w:rPr>
      </w:pPr>
      <w:bookmarkStart w:id="0" w:name="首页"/>
      <w:r>
        <w:rPr>
          <w:color w:val="000000"/>
        </w:rPr>
        <w:t>YS/T</w:t>
      </w:r>
      <w:r>
        <w:rPr>
          <w:rFonts w:hint="eastAsia"/>
          <w:color w:val="000000"/>
        </w:rPr>
        <w:t xml:space="preserve"> </w:t>
      </w:r>
      <w:r>
        <w:rPr>
          <w:color w:val="000000"/>
        </w:rPr>
        <w:t xml:space="preserve"> X</w:t>
      </w:r>
      <w:r>
        <w:rPr>
          <w:rFonts w:hint="eastAsia"/>
          <w:color w:val="000000"/>
        </w:rPr>
        <w:t>X</w:t>
      </w:r>
      <w:r>
        <w:rPr>
          <w:color w:val="000000"/>
        </w:rPr>
        <w:t>XX-XXXX</w:t>
      </w:r>
    </w:p>
    <w:bookmarkEnd w:id="0"/>
    <w:p>
      <w:pPr>
        <w:snapToGrid w:val="0"/>
        <w:spacing w:line="360" w:lineRule="exact"/>
        <w:jc w:val="center"/>
        <w:rPr>
          <w:rFonts w:hAnsi="宋体"/>
          <w:b/>
          <w:color w:val="000000"/>
          <w:sz w:val="32"/>
          <w:szCs w:val="32"/>
        </w:rPr>
      </w:pPr>
      <w:bookmarkStart w:id="1" w:name="_Toc430680185"/>
      <w:bookmarkStart w:id="2" w:name="_Toc431105881"/>
    </w:p>
    <w:p>
      <w:pPr>
        <w:snapToGrid w:val="0"/>
        <w:spacing w:line="240" w:lineRule="auto"/>
        <w:ind w:firstLine="437"/>
        <w:jc w:val="center"/>
        <w:rPr>
          <w:rFonts w:ascii="黑体" w:hAnsi="黑体" w:eastAsia="黑体"/>
          <w:b/>
          <w:sz w:val="32"/>
          <w:szCs w:val="32"/>
        </w:rPr>
      </w:pPr>
      <w:r>
        <w:rPr>
          <w:rFonts w:hint="eastAsia" w:ascii="黑体" w:hAnsi="黑体" w:eastAsia="黑体"/>
          <w:b/>
          <w:sz w:val="32"/>
          <w:szCs w:val="32"/>
        </w:rPr>
        <w:t>铜及铜合金管材</w:t>
      </w:r>
    </w:p>
    <w:p>
      <w:pPr>
        <w:snapToGrid w:val="0"/>
        <w:spacing w:line="360" w:lineRule="exact"/>
        <w:jc w:val="center"/>
        <w:rPr>
          <w:rFonts w:ascii="黑体" w:hAnsi="黑体" w:eastAsia="黑体"/>
          <w:b/>
          <w:color w:val="000000"/>
          <w:sz w:val="32"/>
          <w:szCs w:val="32"/>
        </w:rPr>
      </w:pPr>
      <w:r>
        <w:rPr>
          <w:rFonts w:hint="eastAsia" w:ascii="黑体" w:hAnsi="黑体" w:eastAsia="黑体"/>
          <w:b/>
          <w:sz w:val="32"/>
          <w:szCs w:val="32"/>
        </w:rPr>
        <w:t>生产绿色工厂评价要求</w:t>
      </w:r>
    </w:p>
    <w:p>
      <w:pPr>
        <w:snapToGrid w:val="0"/>
        <w:spacing w:line="360" w:lineRule="exact"/>
        <w:jc w:val="center"/>
        <w:rPr>
          <w:b/>
          <w:color w:val="000000"/>
          <w:sz w:val="32"/>
          <w:szCs w:val="32"/>
        </w:rPr>
      </w:pPr>
    </w:p>
    <w:p>
      <w:pPr>
        <w:snapToGrid w:val="0"/>
        <w:spacing w:line="360" w:lineRule="exact"/>
        <w:ind w:firstLine="0"/>
        <w:rPr>
          <w:rFonts w:hAnsi="宋体"/>
          <w:b/>
          <w:color w:val="000000"/>
        </w:rPr>
      </w:pPr>
      <w:r>
        <w:rPr>
          <w:rFonts w:hint="eastAsia" w:hAnsi="宋体"/>
          <w:b/>
          <w:color w:val="000000"/>
        </w:rPr>
        <w:t xml:space="preserve">1  </w:t>
      </w:r>
      <w:r>
        <w:rPr>
          <w:rFonts w:hAnsi="宋体"/>
          <w:b/>
          <w:color w:val="000000"/>
        </w:rPr>
        <w:t>范围</w:t>
      </w:r>
      <w:bookmarkEnd w:id="1"/>
      <w:bookmarkEnd w:id="2"/>
    </w:p>
    <w:p>
      <w:pPr>
        <w:snapToGrid w:val="0"/>
        <w:spacing w:line="360" w:lineRule="exact"/>
        <w:rPr>
          <w:rFonts w:hAnsi="宋体"/>
          <w:color w:val="000000"/>
        </w:rPr>
      </w:pPr>
      <w:bookmarkStart w:id="3" w:name="_Toc431105882"/>
      <w:bookmarkStart w:id="4" w:name="_Toc430680186"/>
    </w:p>
    <w:p>
      <w:pPr>
        <w:snapToGrid w:val="0"/>
        <w:spacing w:line="360" w:lineRule="exact"/>
        <w:rPr>
          <w:color w:val="000000"/>
        </w:rPr>
      </w:pPr>
      <w:r>
        <w:rPr>
          <w:rFonts w:hAnsi="宋体"/>
          <w:color w:val="000000"/>
        </w:rPr>
        <w:t>本标准规定了</w:t>
      </w:r>
      <w:r>
        <w:rPr>
          <w:rFonts w:hint="eastAsia" w:hAnsi="宋体"/>
          <w:color w:val="000000"/>
        </w:rPr>
        <w:t>铜及铜合金管材生产绿色工厂评价的指标体系及要求</w:t>
      </w:r>
      <w:r>
        <w:rPr>
          <w:rFonts w:hAnsi="宋体"/>
          <w:color w:val="000000"/>
        </w:rPr>
        <w:t>。</w:t>
      </w:r>
    </w:p>
    <w:p>
      <w:pPr>
        <w:snapToGrid w:val="0"/>
        <w:spacing w:line="360" w:lineRule="exact"/>
        <w:rPr>
          <w:color w:val="000000"/>
        </w:rPr>
      </w:pPr>
      <w:r>
        <w:rPr>
          <w:rFonts w:hAnsi="宋体"/>
          <w:color w:val="000000"/>
        </w:rPr>
        <w:t>本标准适用</w:t>
      </w:r>
      <w:r>
        <w:rPr>
          <w:rFonts w:hint="eastAsia" w:hAnsi="宋体"/>
          <w:color w:val="000000"/>
        </w:rPr>
        <w:t>于具有实际生产过程的铜及铜合金管材生产工厂，并作为铜及铜合金管材生产绿色工厂评价标准或具体要求的总体要求</w:t>
      </w:r>
      <w:r>
        <w:rPr>
          <w:rFonts w:hAnsi="宋体"/>
          <w:color w:val="000000"/>
        </w:rPr>
        <w:t>。</w:t>
      </w:r>
    </w:p>
    <w:p>
      <w:pPr>
        <w:snapToGrid w:val="0"/>
        <w:spacing w:line="360" w:lineRule="exact"/>
        <w:rPr>
          <w:color w:val="000000"/>
        </w:rPr>
      </w:pPr>
    </w:p>
    <w:bookmarkEnd w:id="3"/>
    <w:bookmarkEnd w:id="4"/>
    <w:p>
      <w:pPr>
        <w:snapToGrid w:val="0"/>
        <w:spacing w:line="360" w:lineRule="exact"/>
        <w:ind w:firstLine="0"/>
        <w:rPr>
          <w:rFonts w:hAnsi="宋体"/>
          <w:b/>
          <w:color w:val="000000"/>
        </w:rPr>
      </w:pPr>
      <w:r>
        <w:rPr>
          <w:rFonts w:hint="eastAsia" w:hAnsi="宋体"/>
          <w:b/>
          <w:color w:val="000000"/>
        </w:rPr>
        <w:t xml:space="preserve">2  规范性引用文件 </w:t>
      </w:r>
    </w:p>
    <w:p>
      <w:pPr>
        <w:snapToGrid w:val="0"/>
        <w:spacing w:line="360" w:lineRule="exact"/>
        <w:ind w:firstLine="420" w:firstLineChars="200"/>
        <w:rPr>
          <w:color w:val="000000"/>
          <w:spacing w:val="-2"/>
          <w:szCs w:val="21"/>
        </w:rPr>
      </w:pPr>
      <w:r>
        <w:rPr>
          <w:rFonts w:hAnsi="宋体"/>
          <w:color w:val="000000"/>
        </w:rPr>
        <w:t>下列文件对于本文件的应用是必不可少的。凡是注日期的引用文件，仅注日期的版本适用于本文件。凡是不注日期的引用文件，其最新版本（包括所有的修改单）适用于本文件。</w:t>
      </w:r>
    </w:p>
    <w:p>
      <w:pPr>
        <w:snapToGrid w:val="0"/>
        <w:spacing w:line="360" w:lineRule="exact"/>
        <w:rPr>
          <w:color w:val="000000"/>
        </w:rPr>
      </w:pPr>
      <w:r>
        <w:rPr>
          <w:rFonts w:hint="eastAsia"/>
          <w:color w:val="000000"/>
        </w:rPr>
        <w:t>GB/T 7119 节水型企业评价导则</w:t>
      </w:r>
    </w:p>
    <w:p>
      <w:pPr>
        <w:snapToGrid w:val="0"/>
        <w:spacing w:line="360" w:lineRule="exact"/>
        <w:rPr>
          <w:color w:val="000000"/>
        </w:rPr>
      </w:pPr>
      <w:r>
        <w:rPr>
          <w:rFonts w:hint="eastAsia"/>
          <w:color w:val="000000"/>
        </w:rPr>
        <w:t>GB 12348 工业企业厂界环境噪声排放标准</w:t>
      </w:r>
    </w:p>
    <w:p>
      <w:pPr>
        <w:snapToGrid w:val="0"/>
        <w:spacing w:line="360" w:lineRule="exact"/>
        <w:rPr>
          <w:color w:val="000000"/>
        </w:rPr>
      </w:pPr>
      <w:r>
        <w:rPr>
          <w:rFonts w:hint="eastAsia"/>
          <w:color w:val="000000"/>
        </w:rPr>
        <w:t>GB 17167 用能单位能源计量器具配备和管理通则</w:t>
      </w:r>
    </w:p>
    <w:p>
      <w:pPr>
        <w:snapToGrid w:val="0"/>
        <w:spacing w:line="360" w:lineRule="exact"/>
        <w:ind w:firstLine="420" w:firstLineChars="200"/>
      </w:pPr>
      <w:r>
        <w:rPr>
          <w:rFonts w:hint="eastAsia"/>
        </w:rPr>
        <w:t>GB</w:t>
      </w:r>
      <w:r>
        <w:t xml:space="preserve"> </w:t>
      </w:r>
      <w:r>
        <w:rPr>
          <w:rFonts w:hint="eastAsia"/>
        </w:rPr>
        <w:t>18597 危险废物贮存污染控制标准</w:t>
      </w:r>
    </w:p>
    <w:p>
      <w:pPr>
        <w:snapToGrid w:val="0"/>
        <w:spacing w:line="360" w:lineRule="exact"/>
        <w:rPr>
          <w:color w:val="000000"/>
        </w:rPr>
      </w:pPr>
      <w:r>
        <w:rPr>
          <w:rFonts w:hint="eastAsia"/>
          <w:color w:val="000000"/>
        </w:rPr>
        <w:t>GB 18599 一般工业固体废物贮存、处置场污染控制标准</w:t>
      </w:r>
    </w:p>
    <w:p>
      <w:pPr>
        <w:tabs>
          <w:tab w:val="left" w:pos="2734"/>
        </w:tabs>
        <w:snapToGrid w:val="0"/>
        <w:spacing w:line="360" w:lineRule="exact"/>
        <w:rPr>
          <w:color w:val="000000"/>
        </w:rPr>
      </w:pPr>
      <w:r>
        <w:rPr>
          <w:rFonts w:hint="eastAsia"/>
          <w:color w:val="000000"/>
        </w:rPr>
        <w:t>GB/T 19001 质量管理体系 要求</w:t>
      </w:r>
    </w:p>
    <w:p>
      <w:pPr>
        <w:tabs>
          <w:tab w:val="left" w:pos="2734"/>
          <w:tab w:val="left" w:pos="8505"/>
        </w:tabs>
        <w:snapToGrid w:val="0"/>
        <w:spacing w:line="360" w:lineRule="exact"/>
        <w:rPr>
          <w:color w:val="000000"/>
        </w:rPr>
      </w:pPr>
      <w:r>
        <w:rPr>
          <w:rFonts w:hint="eastAsia"/>
          <w:color w:val="000000"/>
        </w:rPr>
        <w:t>GB/T 19022 测量管理体系 测量过程和测量设备的要求</w:t>
      </w:r>
    </w:p>
    <w:p>
      <w:pPr>
        <w:tabs>
          <w:tab w:val="left" w:pos="2734"/>
          <w:tab w:val="left" w:pos="8505"/>
        </w:tabs>
        <w:snapToGrid w:val="0"/>
        <w:spacing w:line="360" w:lineRule="exact"/>
        <w:rPr>
          <w:color w:val="000000"/>
        </w:rPr>
      </w:pPr>
      <w:r>
        <w:rPr>
          <w:rFonts w:hint="eastAsia"/>
          <w:color w:val="000000"/>
        </w:rPr>
        <w:t>GB/T 20862 产品可回收利用率计算方法导则</w:t>
      </w:r>
    </w:p>
    <w:p>
      <w:pPr>
        <w:tabs>
          <w:tab w:val="left" w:pos="2734"/>
          <w:tab w:val="left" w:pos="8505"/>
        </w:tabs>
        <w:snapToGrid w:val="0"/>
        <w:spacing w:line="360" w:lineRule="exact"/>
        <w:rPr>
          <w:color w:val="000000"/>
        </w:rPr>
      </w:pPr>
      <w:r>
        <w:rPr>
          <w:rFonts w:hint="eastAsia"/>
          <w:color w:val="000000"/>
        </w:rPr>
        <w:t>GB 21350 铜及铜合金</w:t>
      </w:r>
      <w:r>
        <w:rPr>
          <w:color w:val="000000"/>
        </w:rPr>
        <w:t>管材单位</w:t>
      </w:r>
      <w:r>
        <w:rPr>
          <w:rFonts w:hint="eastAsia"/>
          <w:color w:val="000000"/>
        </w:rPr>
        <w:t>产品能源</w:t>
      </w:r>
      <w:r>
        <w:rPr>
          <w:color w:val="000000"/>
        </w:rPr>
        <w:t>消耗</w:t>
      </w:r>
      <w:r>
        <w:rPr>
          <w:rFonts w:hint="eastAsia"/>
          <w:color w:val="000000"/>
        </w:rPr>
        <w:t>限额</w:t>
      </w:r>
    </w:p>
    <w:p>
      <w:pPr>
        <w:tabs>
          <w:tab w:val="left" w:pos="2734"/>
        </w:tabs>
        <w:snapToGrid w:val="0"/>
        <w:spacing w:line="360" w:lineRule="exact"/>
        <w:rPr>
          <w:color w:val="000000"/>
        </w:rPr>
      </w:pPr>
      <w:r>
        <w:rPr>
          <w:rFonts w:hint="eastAsia"/>
          <w:color w:val="000000"/>
        </w:rPr>
        <w:t>GB/T 23331 能源管理体系 要求</w:t>
      </w:r>
    </w:p>
    <w:p>
      <w:pPr>
        <w:tabs>
          <w:tab w:val="left" w:pos="2734"/>
        </w:tabs>
        <w:snapToGrid w:val="0"/>
        <w:spacing w:line="360" w:lineRule="exact"/>
        <w:rPr>
          <w:color w:val="000000"/>
        </w:rPr>
      </w:pPr>
      <w:r>
        <w:rPr>
          <w:rFonts w:hint="eastAsia"/>
          <w:color w:val="000000"/>
        </w:rPr>
        <w:t>GB/T 24001 环境管理体系 要求及使用指南</w:t>
      </w:r>
    </w:p>
    <w:p>
      <w:pPr>
        <w:snapToGrid w:val="0"/>
        <w:spacing w:line="360" w:lineRule="exact"/>
        <w:ind w:firstLine="420" w:firstLineChars="200"/>
      </w:pPr>
      <w:r>
        <w:t>GB/T 24256</w:t>
      </w:r>
      <w:r>
        <w:rPr>
          <w:rFonts w:hint="eastAsia"/>
        </w:rPr>
        <w:t xml:space="preserve"> 产品生态设计通则</w:t>
      </w:r>
    </w:p>
    <w:p>
      <w:pPr>
        <w:tabs>
          <w:tab w:val="left" w:pos="2734"/>
        </w:tabs>
        <w:snapToGrid w:val="0"/>
        <w:spacing w:line="360" w:lineRule="exact"/>
        <w:rPr>
          <w:color w:val="000000"/>
        </w:rPr>
      </w:pPr>
      <w:r>
        <w:rPr>
          <w:rFonts w:hint="eastAsia"/>
          <w:color w:val="000000"/>
        </w:rPr>
        <w:t>GB 24789 用水单位水计量器具配备和管理通则</w:t>
      </w:r>
    </w:p>
    <w:p>
      <w:pPr>
        <w:tabs>
          <w:tab w:val="left" w:pos="2734"/>
        </w:tabs>
        <w:snapToGrid w:val="0"/>
        <w:spacing w:line="360" w:lineRule="exact"/>
        <w:rPr>
          <w:color w:val="000000"/>
        </w:rPr>
      </w:pPr>
      <w:r>
        <w:rPr>
          <w:rFonts w:hint="eastAsia"/>
          <w:color w:val="000000"/>
        </w:rPr>
        <w:t>GB/T 29115 工业企业节约原材料评价导则</w:t>
      </w:r>
    </w:p>
    <w:p>
      <w:pPr>
        <w:tabs>
          <w:tab w:val="left" w:pos="2734"/>
        </w:tabs>
        <w:snapToGrid w:val="0"/>
        <w:spacing w:line="360" w:lineRule="exact"/>
        <w:rPr>
          <w:color w:val="000000"/>
        </w:rPr>
      </w:pPr>
      <w:r>
        <w:rPr>
          <w:rFonts w:hint="eastAsia"/>
          <w:color w:val="000000"/>
        </w:rPr>
        <w:t>GB/T 32150工业企业温室气体排放核算和报告通则</w:t>
      </w:r>
    </w:p>
    <w:p>
      <w:pPr>
        <w:tabs>
          <w:tab w:val="left" w:pos="2734"/>
        </w:tabs>
        <w:snapToGrid w:val="0"/>
        <w:spacing w:line="360" w:lineRule="exact"/>
        <w:rPr>
          <w:color w:val="000000"/>
        </w:rPr>
      </w:pPr>
      <w:r>
        <w:rPr>
          <w:rFonts w:hint="eastAsia"/>
          <w:color w:val="000000"/>
        </w:rPr>
        <w:t>GB/T 32161 生态设计产品评价通则</w:t>
      </w:r>
    </w:p>
    <w:p>
      <w:pPr>
        <w:tabs>
          <w:tab w:val="left" w:pos="2734"/>
        </w:tabs>
        <w:snapToGrid w:val="0"/>
        <w:spacing w:line="360" w:lineRule="exact"/>
        <w:rPr>
          <w:color w:val="000000"/>
        </w:rPr>
      </w:pPr>
      <w:r>
        <w:rPr>
          <w:rFonts w:hint="eastAsia"/>
          <w:color w:val="000000"/>
        </w:rPr>
        <w:t>GB</w:t>
      </w:r>
      <w:r>
        <w:rPr>
          <w:color w:val="000000"/>
        </w:rPr>
        <w:t xml:space="preserve">/T 33000 </w:t>
      </w:r>
      <w:r>
        <w:rPr>
          <w:rFonts w:hint="eastAsia"/>
          <w:color w:val="000000"/>
        </w:rPr>
        <w:t>企业</w:t>
      </w:r>
      <w:r>
        <w:rPr>
          <w:color w:val="000000"/>
        </w:rPr>
        <w:t>安全生产标准化基本规范</w:t>
      </w:r>
    </w:p>
    <w:p>
      <w:pPr>
        <w:tabs>
          <w:tab w:val="left" w:pos="2734"/>
        </w:tabs>
        <w:snapToGrid w:val="0"/>
        <w:spacing w:line="360" w:lineRule="exact"/>
        <w:rPr>
          <w:color w:val="000000"/>
        </w:rPr>
      </w:pPr>
      <w:r>
        <w:rPr>
          <w:rFonts w:hint="eastAsia"/>
          <w:color w:val="000000"/>
        </w:rPr>
        <w:t>GB/T 36132 绿色工厂评价通则</w:t>
      </w:r>
    </w:p>
    <w:p>
      <w:pPr>
        <w:tabs>
          <w:tab w:val="left" w:pos="2734"/>
        </w:tabs>
        <w:snapToGrid w:val="0"/>
        <w:spacing w:line="360" w:lineRule="exact"/>
        <w:rPr>
          <w:color w:val="000000"/>
        </w:rPr>
      </w:pPr>
      <w:r>
        <w:rPr>
          <w:rFonts w:hint="eastAsia"/>
          <w:color w:val="000000"/>
        </w:rPr>
        <w:t xml:space="preserve">GB/T </w:t>
      </w:r>
      <w:r>
        <w:rPr>
          <w:color w:val="000000"/>
        </w:rPr>
        <w:t>45</w:t>
      </w:r>
      <w:r>
        <w:rPr>
          <w:rFonts w:hint="eastAsia"/>
          <w:color w:val="000000"/>
        </w:rPr>
        <w:t>001 职业健康安全管理体系 要求及</w:t>
      </w:r>
      <w:r>
        <w:rPr>
          <w:color w:val="000000"/>
        </w:rPr>
        <w:t>使用指南</w:t>
      </w:r>
    </w:p>
    <w:p>
      <w:pPr>
        <w:tabs>
          <w:tab w:val="left" w:pos="2734"/>
        </w:tabs>
        <w:snapToGrid w:val="0"/>
        <w:spacing w:line="360" w:lineRule="exact"/>
        <w:rPr>
          <w:color w:val="000000"/>
        </w:rPr>
      </w:pPr>
      <w:r>
        <w:rPr>
          <w:rFonts w:hint="eastAsia"/>
          <w:color w:val="000000"/>
        </w:rPr>
        <w:t>GB 50034 建筑照明设计标准</w:t>
      </w:r>
    </w:p>
    <w:p>
      <w:pPr>
        <w:tabs>
          <w:tab w:val="left" w:pos="2734"/>
        </w:tabs>
        <w:snapToGrid w:val="0"/>
        <w:spacing w:line="360" w:lineRule="exact"/>
        <w:rPr>
          <w:color w:val="000000"/>
        </w:rPr>
      </w:pPr>
      <w:r>
        <w:rPr>
          <w:color w:val="000000"/>
        </w:rPr>
        <w:t xml:space="preserve">RB/T 117 </w:t>
      </w:r>
      <w:r>
        <w:rPr>
          <w:rFonts w:hint="eastAsia"/>
          <w:color w:val="000000"/>
        </w:rPr>
        <w:t>能源</w:t>
      </w:r>
      <w:r>
        <w:rPr>
          <w:color w:val="000000"/>
        </w:rPr>
        <w:t>管理体系</w:t>
      </w:r>
      <w:r>
        <w:rPr>
          <w:rFonts w:hint="eastAsia"/>
          <w:color w:val="000000"/>
        </w:rPr>
        <w:t xml:space="preserve"> 有色</w:t>
      </w:r>
      <w:r>
        <w:rPr>
          <w:color w:val="000000"/>
        </w:rPr>
        <w:t>金属企业认证要求</w:t>
      </w:r>
    </w:p>
    <w:p>
      <w:pPr>
        <w:tabs>
          <w:tab w:val="left" w:pos="2734"/>
        </w:tabs>
        <w:snapToGrid w:val="0"/>
        <w:spacing w:line="360" w:lineRule="exact"/>
        <w:rPr>
          <w:color w:val="000000"/>
        </w:rPr>
      </w:pPr>
      <w:r>
        <w:rPr>
          <w:rFonts w:hint="eastAsia"/>
          <w:color w:val="000000"/>
        </w:rPr>
        <w:t>YS/T XXXX 铜加工</w:t>
      </w:r>
      <w:r>
        <w:rPr>
          <w:color w:val="000000"/>
        </w:rPr>
        <w:t>行业能源计量器具配备和</w:t>
      </w:r>
      <w:r>
        <w:rPr>
          <w:rFonts w:hint="eastAsia"/>
          <w:color w:val="000000"/>
        </w:rPr>
        <w:t>管理</w:t>
      </w:r>
      <w:r>
        <w:rPr>
          <w:color w:val="000000"/>
        </w:rPr>
        <w:t>要求</w:t>
      </w:r>
    </w:p>
    <w:p>
      <w:pPr>
        <w:tabs>
          <w:tab w:val="left" w:pos="2734"/>
        </w:tabs>
        <w:snapToGrid w:val="0"/>
        <w:spacing w:line="360" w:lineRule="exact"/>
        <w:rPr>
          <w:color w:val="000000"/>
        </w:rPr>
      </w:pPr>
    </w:p>
    <w:p>
      <w:pPr>
        <w:snapToGrid w:val="0"/>
        <w:spacing w:line="360" w:lineRule="exact"/>
        <w:ind w:firstLine="0"/>
        <w:rPr>
          <w:color w:val="000000"/>
        </w:rPr>
      </w:pPr>
      <w:r>
        <w:rPr>
          <w:rFonts w:hint="eastAsia"/>
          <w:color w:val="000000"/>
        </w:rPr>
        <w:t>3 术语和定义</w:t>
      </w:r>
    </w:p>
    <w:p>
      <w:pPr>
        <w:snapToGrid w:val="0"/>
        <w:spacing w:line="360" w:lineRule="exact"/>
        <w:ind w:firstLine="0"/>
        <w:rPr>
          <w:color w:val="000000"/>
        </w:rPr>
      </w:pPr>
      <w:r>
        <w:rPr>
          <w:rFonts w:hint="eastAsia"/>
          <w:color w:val="000000"/>
        </w:rPr>
        <w:t xml:space="preserve">    下列术语和定义使用于本文件。</w:t>
      </w:r>
    </w:p>
    <w:p>
      <w:pPr>
        <w:snapToGrid w:val="0"/>
        <w:spacing w:line="360" w:lineRule="exact"/>
        <w:ind w:firstLine="0"/>
        <w:rPr>
          <w:color w:val="000000"/>
        </w:rPr>
      </w:pPr>
      <w:r>
        <w:rPr>
          <w:rFonts w:hint="eastAsia"/>
          <w:color w:val="000000"/>
        </w:rPr>
        <w:t xml:space="preserve">3.1 </w:t>
      </w:r>
    </w:p>
    <w:p>
      <w:pPr>
        <w:snapToGrid w:val="0"/>
        <w:spacing w:line="360" w:lineRule="exact"/>
        <w:ind w:firstLine="0"/>
        <w:rPr>
          <w:color w:val="000000"/>
        </w:rPr>
      </w:pPr>
      <w:r>
        <w:rPr>
          <w:rFonts w:hint="eastAsia"/>
          <w:color w:val="000000"/>
        </w:rPr>
        <w:t xml:space="preserve">    绿色工厂 green factory</w:t>
      </w:r>
    </w:p>
    <w:p>
      <w:pPr>
        <w:snapToGrid w:val="0"/>
        <w:spacing w:line="360" w:lineRule="exact"/>
        <w:ind w:firstLine="0"/>
        <w:rPr>
          <w:color w:val="000000"/>
        </w:rPr>
      </w:pPr>
      <w:r>
        <w:rPr>
          <w:rFonts w:hint="eastAsia"/>
          <w:color w:val="000000"/>
        </w:rPr>
        <w:t xml:space="preserve">    实现了用地集约化、原料无害化、生产清洁化、废物资源化、能源低碳化的工厂。</w:t>
      </w:r>
    </w:p>
    <w:p>
      <w:pPr>
        <w:snapToGrid w:val="0"/>
        <w:spacing w:line="360" w:lineRule="exact"/>
        <w:ind w:firstLine="0"/>
        <w:rPr>
          <w:color w:val="000000"/>
        </w:rPr>
      </w:pPr>
      <w:r>
        <w:rPr>
          <w:rFonts w:hint="eastAsia"/>
          <w:color w:val="000000"/>
        </w:rPr>
        <w:t xml:space="preserve">    [GB/T 36132-2018，定义3.1]</w:t>
      </w:r>
    </w:p>
    <w:p>
      <w:pPr>
        <w:snapToGrid w:val="0"/>
        <w:spacing w:line="360" w:lineRule="exact"/>
        <w:ind w:firstLine="0"/>
        <w:rPr>
          <w:color w:val="000000"/>
        </w:rPr>
      </w:pPr>
      <w:r>
        <w:rPr>
          <w:rFonts w:hint="eastAsia"/>
          <w:color w:val="000000"/>
        </w:rPr>
        <w:t xml:space="preserve">3.2 </w:t>
      </w:r>
    </w:p>
    <w:p>
      <w:pPr>
        <w:snapToGrid w:val="0"/>
        <w:spacing w:line="360" w:lineRule="exact"/>
        <w:ind w:firstLine="0"/>
        <w:rPr>
          <w:color w:val="000000"/>
        </w:rPr>
      </w:pPr>
      <w:r>
        <w:rPr>
          <w:rFonts w:hint="eastAsia"/>
          <w:color w:val="000000"/>
        </w:rPr>
        <w:t xml:space="preserve">    绿色产品 green product </w:t>
      </w:r>
    </w:p>
    <w:p>
      <w:pPr>
        <w:snapToGrid w:val="0"/>
        <w:spacing w:line="360" w:lineRule="exact"/>
        <w:ind w:firstLine="0"/>
        <w:rPr>
          <w:color w:val="000000"/>
        </w:rPr>
      </w:pPr>
      <w:r>
        <w:rPr>
          <w:rFonts w:hint="eastAsia"/>
          <w:color w:val="000000"/>
        </w:rPr>
        <w:t xml:space="preserve">    在全生命周期过程中，符合环境保护要求，对生态环境和人体无害或危害小，资源能源消耗少、品质高的产品。</w:t>
      </w:r>
    </w:p>
    <w:p>
      <w:pPr>
        <w:snapToGrid w:val="0"/>
        <w:spacing w:line="360" w:lineRule="exact"/>
        <w:ind w:firstLine="0"/>
        <w:rPr>
          <w:color w:val="000000"/>
        </w:rPr>
      </w:pPr>
      <w:r>
        <w:rPr>
          <w:rFonts w:hint="eastAsia"/>
          <w:color w:val="000000"/>
        </w:rPr>
        <w:t xml:space="preserve">    [GB/T 33761-2017，定义3.1]</w:t>
      </w:r>
    </w:p>
    <w:p>
      <w:pPr>
        <w:snapToGrid w:val="0"/>
        <w:spacing w:line="360" w:lineRule="exact"/>
        <w:ind w:firstLine="0"/>
        <w:rPr>
          <w:color w:val="000000"/>
        </w:rPr>
      </w:pPr>
      <w:r>
        <w:rPr>
          <w:rFonts w:hint="eastAsia"/>
          <w:color w:val="000000"/>
        </w:rPr>
        <w:t xml:space="preserve">3.3 </w:t>
      </w:r>
    </w:p>
    <w:p>
      <w:pPr>
        <w:snapToGrid w:val="0"/>
        <w:spacing w:line="360" w:lineRule="exact"/>
        <w:ind w:firstLine="0"/>
        <w:rPr>
          <w:color w:val="000000"/>
        </w:rPr>
      </w:pPr>
      <w:r>
        <w:rPr>
          <w:rFonts w:hint="eastAsia"/>
          <w:color w:val="000000"/>
        </w:rPr>
        <w:t xml:space="preserve">    相关方 interested party; stakeholder</w:t>
      </w:r>
    </w:p>
    <w:p>
      <w:pPr>
        <w:snapToGrid w:val="0"/>
        <w:spacing w:line="360" w:lineRule="exact"/>
        <w:ind w:firstLine="0"/>
        <w:rPr>
          <w:color w:val="000000"/>
        </w:rPr>
      </w:pPr>
      <w:r>
        <w:rPr>
          <w:rFonts w:hint="eastAsia"/>
          <w:color w:val="000000"/>
        </w:rPr>
        <w:t xml:space="preserve">    可影响绿色工厂创建的决策或活动，受绿色工厂创建的决策或活动所影响、或自认为受绿色工厂创建的决策或活动影响的个人或组织。</w:t>
      </w:r>
    </w:p>
    <w:p>
      <w:pPr>
        <w:snapToGrid w:val="0"/>
        <w:spacing w:line="360" w:lineRule="exact"/>
        <w:ind w:firstLine="0"/>
        <w:rPr>
          <w:color w:val="000000"/>
        </w:rPr>
      </w:pPr>
      <w:r>
        <w:rPr>
          <w:rFonts w:hint="eastAsia"/>
          <w:color w:val="000000"/>
        </w:rPr>
        <w:t xml:space="preserve">    [GB/T 36132-2018，定义3.3]</w:t>
      </w:r>
    </w:p>
    <w:p>
      <w:pPr>
        <w:snapToGrid w:val="0"/>
        <w:spacing w:line="360" w:lineRule="exact"/>
        <w:ind w:firstLine="0"/>
        <w:rPr>
          <w:color w:val="000000"/>
        </w:rPr>
      </w:pPr>
    </w:p>
    <w:p>
      <w:pPr>
        <w:snapToGrid w:val="0"/>
        <w:spacing w:line="360" w:lineRule="exact"/>
        <w:ind w:firstLine="0"/>
        <w:rPr>
          <w:rFonts w:eastAsiaTheme="minorEastAsia"/>
          <w:color w:val="000000"/>
        </w:rPr>
      </w:pPr>
      <w:r>
        <w:rPr>
          <w:rFonts w:eastAsiaTheme="minorEastAsia"/>
          <w:color w:val="000000"/>
        </w:rPr>
        <w:t xml:space="preserve">4 </w:t>
      </w:r>
      <w:r>
        <w:rPr>
          <w:rFonts w:hAnsiTheme="minorEastAsia" w:eastAsiaTheme="minorEastAsia"/>
          <w:color w:val="000000"/>
        </w:rPr>
        <w:t>总则</w:t>
      </w:r>
    </w:p>
    <w:p>
      <w:pPr>
        <w:snapToGrid w:val="0"/>
        <w:spacing w:line="360" w:lineRule="exact"/>
        <w:ind w:firstLine="0"/>
        <w:rPr>
          <w:rFonts w:eastAsiaTheme="minorEastAsia"/>
          <w:color w:val="000000"/>
        </w:rPr>
      </w:pPr>
      <w:r>
        <w:rPr>
          <w:rFonts w:eastAsiaTheme="minorEastAsia"/>
          <w:color w:val="000000"/>
        </w:rPr>
        <w:t xml:space="preserve">    </w:t>
      </w:r>
      <w:r>
        <w:rPr>
          <w:rFonts w:hAnsiTheme="minorEastAsia" w:eastAsiaTheme="minorEastAsia"/>
          <w:color w:val="000000"/>
        </w:rPr>
        <w:t>绿色工厂应在保证产品功能、质量以及生产过程中人的职业健康安全的前提下，引入生命周期思想，优先选用绿色原料、工艺、技术和设备，满足基础设施、管理体系、能源与资源投入、产品、环境排放、绩效的综合评价要求，并进行持续改进。</w:t>
      </w:r>
    </w:p>
    <w:p>
      <w:pPr>
        <w:pStyle w:val="28"/>
        <w:numPr>
          <w:ilvl w:val="0"/>
          <w:numId w:val="0"/>
        </w:numPr>
        <w:snapToGrid w:val="0"/>
        <w:spacing w:before="163" w:after="163" w:line="360" w:lineRule="exact"/>
        <w:rPr>
          <w:rFonts w:ascii="Times New Roman" w:hAnsiTheme="minorEastAsia" w:eastAsiaTheme="minorEastAsia"/>
          <w:szCs w:val="20"/>
        </w:rPr>
      </w:pPr>
      <w:bookmarkStart w:id="5" w:name="_Toc497209979"/>
      <w:bookmarkStart w:id="6" w:name="_Toc462385457"/>
      <w:r>
        <w:rPr>
          <w:rFonts w:ascii="Times New Roman" w:eastAsiaTheme="minorEastAsia"/>
          <w:szCs w:val="20"/>
        </w:rPr>
        <w:t xml:space="preserve">4.1  </w:t>
      </w:r>
      <w:r>
        <w:rPr>
          <w:rFonts w:ascii="Times New Roman" w:hAnsiTheme="minorEastAsia" w:eastAsiaTheme="minorEastAsia"/>
          <w:szCs w:val="20"/>
        </w:rPr>
        <w:t>评价原则</w:t>
      </w:r>
      <w:bookmarkEnd w:id="5"/>
      <w:bookmarkStart w:id="7" w:name="_Toc497209980"/>
      <w:bookmarkStart w:id="8" w:name="_Toc491581450"/>
      <w:bookmarkStart w:id="9" w:name="_Toc482371797"/>
    </w:p>
    <w:p>
      <w:pPr>
        <w:pStyle w:val="28"/>
        <w:numPr>
          <w:ilvl w:val="0"/>
          <w:numId w:val="0"/>
        </w:numPr>
        <w:snapToGrid w:val="0"/>
        <w:spacing w:before="163" w:after="163" w:line="360" w:lineRule="exact"/>
        <w:rPr>
          <w:rFonts w:ascii="Times New Roman" w:eastAsiaTheme="minorEastAsia"/>
          <w:szCs w:val="20"/>
        </w:rPr>
      </w:pPr>
      <w:r>
        <w:rPr>
          <w:rFonts w:ascii="Times New Roman" w:eastAsiaTheme="minorEastAsia"/>
        </w:rPr>
        <w:t xml:space="preserve">4.1.1  </w:t>
      </w:r>
      <w:bookmarkStart w:id="10" w:name="_Hlk520100082"/>
      <w:r>
        <w:rPr>
          <w:rFonts w:ascii="Times New Roman" w:hAnsiTheme="minorEastAsia" w:eastAsiaTheme="minorEastAsia"/>
        </w:rPr>
        <w:t>一致性原则</w:t>
      </w:r>
      <w:bookmarkEnd w:id="7"/>
      <w:bookmarkEnd w:id="8"/>
      <w:bookmarkEnd w:id="9"/>
    </w:p>
    <w:p>
      <w:pPr>
        <w:pStyle w:val="16"/>
        <w:snapToGrid w:val="0"/>
        <w:spacing w:line="360" w:lineRule="exact"/>
        <w:ind w:left="0" w:leftChars="0" w:firstLine="420"/>
        <w:rPr>
          <w:rFonts w:hAnsiTheme="minorEastAsia" w:eastAsiaTheme="minorEastAsia"/>
          <w:sz w:val="21"/>
          <w:szCs w:val="21"/>
        </w:rPr>
      </w:pPr>
      <w:r>
        <w:rPr>
          <w:rFonts w:hAnsiTheme="minorEastAsia" w:eastAsiaTheme="minorEastAsia"/>
          <w:sz w:val="21"/>
          <w:szCs w:val="21"/>
        </w:rPr>
        <w:t>评价总体结构与</w:t>
      </w:r>
      <w:r>
        <w:rPr>
          <w:rFonts w:eastAsiaTheme="minorEastAsia"/>
          <w:sz w:val="21"/>
          <w:szCs w:val="21"/>
        </w:rPr>
        <w:t>GB/T36132</w:t>
      </w:r>
      <w:r>
        <w:rPr>
          <w:rFonts w:hAnsiTheme="minorEastAsia" w:eastAsiaTheme="minorEastAsia"/>
          <w:sz w:val="21"/>
          <w:szCs w:val="21"/>
        </w:rPr>
        <w:t>提出的相关评价指标体系和通则要求保持一致，包括：基本要求、基础设施、管理体系、能源与资源投入、产品、环境排放、绩效等</w:t>
      </w:r>
      <w:r>
        <w:rPr>
          <w:rFonts w:eastAsiaTheme="minorEastAsia"/>
          <w:sz w:val="21"/>
          <w:szCs w:val="21"/>
        </w:rPr>
        <w:t>7</w:t>
      </w:r>
      <w:r>
        <w:rPr>
          <w:rFonts w:hAnsiTheme="minorEastAsia" w:eastAsiaTheme="minorEastAsia"/>
          <w:sz w:val="21"/>
          <w:szCs w:val="21"/>
        </w:rPr>
        <w:t>个一级指标。</w:t>
      </w:r>
      <w:bookmarkEnd w:id="10"/>
      <w:bookmarkStart w:id="11" w:name="_Toc491581451"/>
      <w:bookmarkStart w:id="12" w:name="_Toc482371798"/>
      <w:bookmarkStart w:id="13" w:name="_Toc497209981"/>
    </w:p>
    <w:p>
      <w:pPr>
        <w:pStyle w:val="16"/>
        <w:snapToGrid w:val="0"/>
        <w:spacing w:line="360" w:lineRule="exact"/>
        <w:ind w:left="0" w:leftChars="0" w:firstLine="0"/>
        <w:rPr>
          <w:rFonts w:eastAsiaTheme="minorEastAsia"/>
          <w:sz w:val="21"/>
          <w:szCs w:val="21"/>
        </w:rPr>
      </w:pPr>
      <w:r>
        <w:rPr>
          <w:rFonts w:hint="eastAsia" w:eastAsiaTheme="minorEastAsia"/>
          <w:sz w:val="21"/>
          <w:szCs w:val="21"/>
        </w:rPr>
        <w:t>4.1.2 行业性</w:t>
      </w:r>
      <w:r>
        <w:rPr>
          <w:rFonts w:eastAsiaTheme="minorEastAsia"/>
          <w:sz w:val="21"/>
          <w:szCs w:val="21"/>
        </w:rPr>
        <w:t>原则</w:t>
      </w:r>
    </w:p>
    <w:p>
      <w:pPr>
        <w:ind w:firstLine="420" w:firstLineChars="200"/>
        <w:rPr>
          <w:rFonts w:ascii="黑体" w:eastAsia="黑体" w:cs="黑体"/>
        </w:rPr>
      </w:pPr>
      <w:r>
        <w:rPr>
          <w:rFonts w:hint="eastAsia" w:ascii="黑体" w:hAnsi="黑体" w:cs="黑体"/>
        </w:rPr>
        <w:t>评价</w:t>
      </w:r>
      <w:r>
        <w:rPr>
          <w:rFonts w:hint="eastAsia" w:cs="宋体"/>
        </w:rPr>
        <w:t>要求在</w:t>
      </w:r>
      <w:r>
        <w:rPr>
          <w:rFonts w:cs="宋体"/>
        </w:rPr>
        <w:t>GB/T 36132</w:t>
      </w:r>
      <w:r>
        <w:rPr>
          <w:rFonts w:hint="eastAsia" w:cs="宋体"/>
        </w:rPr>
        <w:t>的基础上</w:t>
      </w:r>
      <w:r>
        <w:rPr>
          <w:rFonts w:hint="eastAsia" w:ascii="黑体" w:hAnsi="黑体" w:cs="黑体"/>
        </w:rPr>
        <w:t>突出铜及铜合金管材</w:t>
      </w:r>
      <w:r>
        <w:rPr>
          <w:rFonts w:ascii="黑体" w:hAnsi="黑体" w:cs="黑体"/>
        </w:rPr>
        <w:t>生产</w:t>
      </w:r>
      <w:r>
        <w:rPr>
          <w:rFonts w:hint="eastAsia" w:ascii="黑体" w:hAnsi="黑体" w:cs="黑体"/>
        </w:rPr>
        <w:t>行业的特征。</w:t>
      </w:r>
    </w:p>
    <w:p>
      <w:pPr>
        <w:pStyle w:val="16"/>
        <w:snapToGrid w:val="0"/>
        <w:spacing w:line="360" w:lineRule="exact"/>
        <w:ind w:left="0" w:leftChars="0" w:firstLine="0"/>
        <w:rPr>
          <w:rFonts w:hAnsiTheme="minorEastAsia" w:eastAsiaTheme="minorEastAsia"/>
          <w:sz w:val="21"/>
          <w:szCs w:val="21"/>
        </w:rPr>
      </w:pPr>
      <w:r>
        <w:rPr>
          <w:rFonts w:eastAsiaTheme="minorEastAsia"/>
          <w:sz w:val="21"/>
          <w:szCs w:val="21"/>
        </w:rPr>
        <w:t xml:space="preserve">4.1.3 </w:t>
      </w:r>
      <w:bookmarkEnd w:id="11"/>
      <w:bookmarkEnd w:id="12"/>
      <w:bookmarkEnd w:id="13"/>
      <w:bookmarkStart w:id="14" w:name="_Hlk520100102"/>
      <w:r>
        <w:rPr>
          <w:rFonts w:hAnsiTheme="minorEastAsia" w:eastAsiaTheme="minorEastAsia"/>
          <w:sz w:val="21"/>
          <w:szCs w:val="21"/>
        </w:rPr>
        <w:t>定量与定性结合原则</w:t>
      </w:r>
    </w:p>
    <w:p>
      <w:pPr>
        <w:pStyle w:val="16"/>
        <w:snapToGrid w:val="0"/>
        <w:spacing w:line="360" w:lineRule="exact"/>
        <w:ind w:left="0" w:leftChars="0" w:firstLine="420"/>
        <w:rPr>
          <w:rFonts w:eastAsiaTheme="minorEastAsia"/>
          <w:sz w:val="21"/>
          <w:szCs w:val="21"/>
        </w:rPr>
      </w:pPr>
      <w:r>
        <w:rPr>
          <w:rFonts w:hint="eastAsia" w:hAnsiTheme="minorEastAsia" w:eastAsiaTheme="minorEastAsia"/>
          <w:sz w:val="21"/>
          <w:szCs w:val="21"/>
        </w:rPr>
        <w:t>评价</w:t>
      </w:r>
      <w:r>
        <w:rPr>
          <w:rFonts w:hAnsiTheme="minorEastAsia" w:eastAsiaTheme="minorEastAsia"/>
          <w:sz w:val="21"/>
          <w:szCs w:val="21"/>
        </w:rPr>
        <w:t>指标采用</w:t>
      </w:r>
      <w:r>
        <w:rPr>
          <w:rFonts w:hint="eastAsia" w:hAnsiTheme="minorEastAsia" w:eastAsiaTheme="minorEastAsia"/>
          <w:sz w:val="21"/>
          <w:szCs w:val="21"/>
        </w:rPr>
        <w:t>定量与</w:t>
      </w:r>
      <w:r>
        <w:rPr>
          <w:rFonts w:hAnsiTheme="minorEastAsia" w:eastAsiaTheme="minorEastAsia"/>
          <w:sz w:val="21"/>
          <w:szCs w:val="21"/>
        </w:rPr>
        <w:t>定性</w:t>
      </w:r>
      <w:r>
        <w:rPr>
          <w:rFonts w:hint="eastAsia" w:hAnsiTheme="minorEastAsia" w:eastAsiaTheme="minorEastAsia"/>
          <w:sz w:val="21"/>
          <w:szCs w:val="21"/>
        </w:rPr>
        <w:t>、</w:t>
      </w:r>
      <w:r>
        <w:rPr>
          <w:rFonts w:hAnsiTheme="minorEastAsia" w:eastAsiaTheme="minorEastAsia"/>
          <w:sz w:val="21"/>
          <w:szCs w:val="21"/>
        </w:rPr>
        <w:t>过程与</w:t>
      </w:r>
      <w:r>
        <w:rPr>
          <w:rFonts w:hint="eastAsia" w:hAnsiTheme="minorEastAsia" w:eastAsiaTheme="minorEastAsia"/>
          <w:sz w:val="21"/>
          <w:szCs w:val="21"/>
        </w:rPr>
        <w:t>绩效</w:t>
      </w:r>
      <w:r>
        <w:rPr>
          <w:rFonts w:hAnsiTheme="minorEastAsia" w:eastAsiaTheme="minorEastAsia"/>
          <w:sz w:val="21"/>
          <w:szCs w:val="21"/>
        </w:rPr>
        <w:t>相结合的方式，</w:t>
      </w:r>
      <w:r>
        <w:rPr>
          <w:rFonts w:hint="eastAsia" w:hAnsiTheme="minorEastAsia" w:eastAsiaTheme="minorEastAsia"/>
          <w:sz w:val="21"/>
          <w:szCs w:val="21"/>
        </w:rPr>
        <w:t>形成</w:t>
      </w:r>
      <w:r>
        <w:rPr>
          <w:rFonts w:hAnsiTheme="minorEastAsia" w:eastAsiaTheme="minorEastAsia"/>
          <w:sz w:val="21"/>
          <w:szCs w:val="21"/>
        </w:rPr>
        <w:t>完整的综合性评价指标。定量评价指标选取有代表性的、能反映</w:t>
      </w:r>
      <w:r>
        <w:rPr>
          <w:rFonts w:eastAsiaTheme="minorEastAsia"/>
          <w:sz w:val="21"/>
          <w:szCs w:val="21"/>
        </w:rPr>
        <w:t>“</w:t>
      </w:r>
      <w:r>
        <w:rPr>
          <w:rFonts w:hAnsiTheme="minorEastAsia" w:eastAsiaTheme="minorEastAsia"/>
          <w:sz w:val="21"/>
          <w:szCs w:val="21"/>
        </w:rPr>
        <w:t>节能</w:t>
      </w:r>
      <w:r>
        <w:rPr>
          <w:rFonts w:eastAsiaTheme="minorEastAsia"/>
          <w:sz w:val="21"/>
          <w:szCs w:val="21"/>
        </w:rPr>
        <w:t>”</w:t>
      </w:r>
      <w:r>
        <w:rPr>
          <w:rFonts w:hAnsiTheme="minorEastAsia" w:eastAsiaTheme="minorEastAsia"/>
          <w:sz w:val="21"/>
          <w:szCs w:val="21"/>
        </w:rPr>
        <w:t>、</w:t>
      </w:r>
      <w:r>
        <w:rPr>
          <w:rFonts w:eastAsiaTheme="minorEastAsia"/>
          <w:sz w:val="21"/>
          <w:szCs w:val="21"/>
        </w:rPr>
        <w:t>“</w:t>
      </w:r>
      <w:r>
        <w:rPr>
          <w:rFonts w:hAnsiTheme="minorEastAsia" w:eastAsiaTheme="minorEastAsia"/>
          <w:sz w:val="21"/>
          <w:szCs w:val="21"/>
        </w:rPr>
        <w:t>降耗</w:t>
      </w:r>
      <w:r>
        <w:rPr>
          <w:rFonts w:eastAsiaTheme="minorEastAsia"/>
          <w:sz w:val="21"/>
          <w:szCs w:val="21"/>
        </w:rPr>
        <w:t>”</w:t>
      </w:r>
      <w:r>
        <w:rPr>
          <w:rFonts w:hAnsiTheme="minorEastAsia" w:eastAsiaTheme="minorEastAsia"/>
          <w:sz w:val="21"/>
          <w:szCs w:val="21"/>
        </w:rPr>
        <w:t>、</w:t>
      </w:r>
      <w:r>
        <w:rPr>
          <w:rFonts w:eastAsiaTheme="minorEastAsia"/>
          <w:sz w:val="21"/>
          <w:szCs w:val="21"/>
        </w:rPr>
        <w:t>“</w:t>
      </w:r>
      <w:r>
        <w:rPr>
          <w:rFonts w:hAnsiTheme="minorEastAsia" w:eastAsiaTheme="minorEastAsia"/>
          <w:sz w:val="21"/>
          <w:szCs w:val="21"/>
        </w:rPr>
        <w:t>减污</w:t>
      </w:r>
      <w:r>
        <w:rPr>
          <w:rFonts w:eastAsiaTheme="minorEastAsia"/>
          <w:sz w:val="21"/>
          <w:szCs w:val="21"/>
        </w:rPr>
        <w:t>”</w:t>
      </w:r>
      <w:r>
        <w:rPr>
          <w:rFonts w:hAnsiTheme="minorEastAsia" w:eastAsiaTheme="minorEastAsia"/>
          <w:sz w:val="21"/>
          <w:szCs w:val="21"/>
        </w:rPr>
        <w:t>和</w:t>
      </w:r>
      <w:r>
        <w:rPr>
          <w:rFonts w:eastAsiaTheme="minorEastAsia"/>
          <w:sz w:val="21"/>
          <w:szCs w:val="21"/>
        </w:rPr>
        <w:t>“</w:t>
      </w:r>
      <w:r>
        <w:rPr>
          <w:rFonts w:hAnsiTheme="minorEastAsia" w:eastAsiaTheme="minorEastAsia"/>
          <w:sz w:val="21"/>
          <w:szCs w:val="21"/>
        </w:rPr>
        <w:t>增效</w:t>
      </w:r>
      <w:r>
        <w:rPr>
          <w:rFonts w:eastAsiaTheme="minorEastAsia"/>
          <w:sz w:val="21"/>
          <w:szCs w:val="21"/>
        </w:rPr>
        <w:t>”</w:t>
      </w:r>
      <w:r>
        <w:rPr>
          <w:rFonts w:hAnsiTheme="minorEastAsia" w:eastAsiaTheme="minorEastAsia"/>
          <w:sz w:val="21"/>
          <w:szCs w:val="21"/>
        </w:rPr>
        <w:t>等有关绿色制造的指标。定性评价指标主要根据国家有关推行绿色生产的产业发展和技术进步政策、资源环境保护政策规定以及行业发展规划选取</w:t>
      </w:r>
      <w:bookmarkEnd w:id="14"/>
      <w:r>
        <w:rPr>
          <w:rFonts w:hint="eastAsia" w:hAnsiTheme="minorEastAsia" w:eastAsiaTheme="minorEastAsia"/>
          <w:sz w:val="21"/>
          <w:szCs w:val="21"/>
        </w:rPr>
        <w:t>。</w:t>
      </w:r>
    </w:p>
    <w:p>
      <w:pPr>
        <w:pStyle w:val="28"/>
        <w:numPr>
          <w:ilvl w:val="0"/>
          <w:numId w:val="0"/>
        </w:numPr>
        <w:snapToGrid w:val="0"/>
        <w:spacing w:before="163" w:after="163" w:line="360" w:lineRule="exact"/>
        <w:rPr>
          <w:rFonts w:ascii="Times New Roman" w:eastAsiaTheme="minorEastAsia"/>
          <w:szCs w:val="20"/>
        </w:rPr>
      </w:pPr>
      <w:r>
        <w:rPr>
          <w:rFonts w:ascii="Times New Roman" w:eastAsiaTheme="minorEastAsia"/>
          <w:szCs w:val="20"/>
        </w:rPr>
        <w:t>4.</w:t>
      </w:r>
      <w:bookmarkEnd w:id="6"/>
      <w:r>
        <w:rPr>
          <w:rFonts w:ascii="Times New Roman" w:eastAsiaTheme="minorEastAsia"/>
          <w:szCs w:val="20"/>
        </w:rPr>
        <w:t xml:space="preserve">2 </w:t>
      </w:r>
      <w:r>
        <w:rPr>
          <w:rFonts w:ascii="Times New Roman" w:hAnsiTheme="minorEastAsia" w:eastAsiaTheme="minorEastAsia"/>
          <w:szCs w:val="20"/>
        </w:rPr>
        <w:t>评价指标体系</w:t>
      </w:r>
    </w:p>
    <w:p>
      <w:pPr>
        <w:pStyle w:val="16"/>
        <w:snapToGrid w:val="0"/>
        <w:spacing w:line="360" w:lineRule="exact"/>
        <w:ind w:left="0" w:leftChars="0" w:firstLine="420"/>
        <w:rPr>
          <w:rFonts w:eastAsiaTheme="minorEastAsia"/>
          <w:sz w:val="21"/>
          <w:szCs w:val="21"/>
        </w:rPr>
      </w:pPr>
      <w:r>
        <w:rPr>
          <w:rFonts w:hAnsiTheme="minorEastAsia" w:eastAsiaTheme="minorEastAsia"/>
          <w:sz w:val="21"/>
          <w:szCs w:val="21"/>
        </w:rPr>
        <w:t>评价指标体系包括基本要求和评价指标要求两部分。基本要求包括应满足的节能环保法律法规、产业政策、管理体系、强制性能源环保标准等方面的要求；评价指标包括基础</w:t>
      </w:r>
      <w:r>
        <w:rPr>
          <w:rFonts w:hAnsiTheme="minorEastAsia" w:eastAsiaTheme="minorEastAsia"/>
          <w:sz w:val="21"/>
        </w:rPr>
        <w:t>设施、管理体系、能源与资源投入、产品、环境排放、绩效评价等</w:t>
      </w:r>
      <w:r>
        <w:rPr>
          <w:rFonts w:eastAsiaTheme="minorEastAsia"/>
          <w:sz w:val="21"/>
        </w:rPr>
        <w:t>6</w:t>
      </w:r>
      <w:r>
        <w:rPr>
          <w:rFonts w:hAnsiTheme="minorEastAsia" w:eastAsiaTheme="minorEastAsia"/>
          <w:sz w:val="21"/>
        </w:rPr>
        <w:t>类一级指标，在一级指标设置若干个二级指标，在二级指标下设具体评价要求。</w:t>
      </w:r>
    </w:p>
    <w:p>
      <w:pPr>
        <w:pStyle w:val="16"/>
        <w:snapToGrid w:val="0"/>
        <w:spacing w:line="360" w:lineRule="exact"/>
        <w:ind w:left="0" w:leftChars="0" w:firstLine="426"/>
        <w:rPr>
          <w:rFonts w:eastAsiaTheme="minorEastAsia"/>
          <w:sz w:val="21"/>
          <w:szCs w:val="21"/>
        </w:rPr>
      </w:pPr>
      <w:r>
        <w:rPr>
          <w:rFonts w:hAnsiTheme="minorEastAsia" w:eastAsiaTheme="minorEastAsia"/>
          <w:sz w:val="21"/>
          <w:szCs w:val="21"/>
        </w:rPr>
        <w:t>具体评价要求分为必选要求和可选要求，必选要求为工厂应达到的基础性要求；可选要求为工厂努力宜达到的提高性要求，具有先进性，依据受评工厂实际情况确定可选要求的满足程度。</w:t>
      </w:r>
    </w:p>
    <w:p>
      <w:pPr>
        <w:pStyle w:val="28"/>
        <w:numPr>
          <w:ilvl w:val="0"/>
          <w:numId w:val="0"/>
        </w:numPr>
        <w:snapToGrid w:val="0"/>
        <w:spacing w:before="163" w:after="163" w:line="360" w:lineRule="exact"/>
        <w:rPr>
          <w:rFonts w:ascii="Times New Roman" w:eastAsiaTheme="minorEastAsia"/>
          <w:szCs w:val="20"/>
        </w:rPr>
      </w:pPr>
      <w:r>
        <w:rPr>
          <w:rFonts w:ascii="Times New Roman" w:eastAsiaTheme="minorEastAsia"/>
          <w:szCs w:val="20"/>
        </w:rPr>
        <w:t xml:space="preserve">4.3 </w:t>
      </w:r>
      <w:r>
        <w:rPr>
          <w:rFonts w:ascii="Times New Roman" w:hAnsiTheme="minorEastAsia" w:eastAsiaTheme="minorEastAsia"/>
          <w:szCs w:val="20"/>
        </w:rPr>
        <w:t>评价方法</w:t>
      </w:r>
    </w:p>
    <w:p>
      <w:pPr>
        <w:spacing w:line="360" w:lineRule="auto"/>
        <w:ind w:left="-283" w:leftChars="-135" w:firstLine="0"/>
      </w:pPr>
      <w:r>
        <w:t>4.3.1 评价可由第一方、第二方或第三方组织实施。当评价结果用于对外宣告时，</w:t>
      </w:r>
      <w:r>
        <w:rPr>
          <w:rFonts w:hint="eastAsia"/>
        </w:rPr>
        <w:t>应由</w:t>
      </w:r>
      <w:r>
        <w:t>独立于工厂、具备相应能力的第三方组织</w:t>
      </w:r>
      <w:r>
        <w:rPr>
          <w:rFonts w:hint="eastAsia"/>
        </w:rPr>
        <w:t>实施</w:t>
      </w:r>
      <w:r>
        <w:t>。</w:t>
      </w:r>
    </w:p>
    <w:p>
      <w:pPr>
        <w:spacing w:line="360" w:lineRule="auto"/>
        <w:ind w:left="-283" w:leftChars="-135" w:firstLine="0"/>
      </w:pPr>
      <w:r>
        <w:t>4.3.2 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spacing w:line="360" w:lineRule="auto"/>
        <w:ind w:left="-283" w:leftChars="-135" w:firstLine="0"/>
      </w:pPr>
      <w:r>
        <w:t>4.3.3 评价采用指标加权综合评分的方式，各指标加权综合评分的总分为100分。</w:t>
      </w:r>
      <w:r>
        <w:rPr>
          <w:rFonts w:hAnsiTheme="minorEastAsia" w:eastAsiaTheme="minorEastAsia"/>
          <w:szCs w:val="21"/>
        </w:rPr>
        <w:t>评价要求中必选指标应全部满足。评价要求可选指标应对照附录</w:t>
      </w:r>
      <w:r>
        <w:rPr>
          <w:rFonts w:eastAsiaTheme="minorEastAsia"/>
          <w:szCs w:val="21"/>
        </w:rPr>
        <w:t>A</w:t>
      </w:r>
      <w:r>
        <w:rPr>
          <w:rFonts w:hAnsiTheme="minorEastAsia" w:eastAsiaTheme="minorEastAsia"/>
          <w:szCs w:val="21"/>
        </w:rPr>
        <w:t>中具体条款，依据符合程度在</w:t>
      </w:r>
      <w:r>
        <w:rPr>
          <w:rFonts w:eastAsiaTheme="minorEastAsia"/>
          <w:szCs w:val="21"/>
        </w:rPr>
        <w:t>0</w:t>
      </w:r>
      <w:r>
        <w:rPr>
          <w:rFonts w:hAnsiTheme="minorEastAsia" w:eastAsiaTheme="minorEastAsia"/>
          <w:szCs w:val="21"/>
        </w:rPr>
        <w:t>分和满分之间取值。当某项评价要求不适用时，应将该项评价要求的分值平均分配给相同一级指标下其他评价要求。</w:t>
      </w:r>
    </w:p>
    <w:p>
      <w:pPr>
        <w:spacing w:line="360" w:lineRule="auto"/>
        <w:ind w:left="-283" w:leftChars="-135" w:firstLine="0"/>
        <w:rPr>
          <w:szCs w:val="21"/>
        </w:rPr>
      </w:pPr>
      <w:r>
        <w:t>4.3.4 评价应依据国家主管部门规定、铜</w:t>
      </w:r>
      <w:r>
        <w:rPr>
          <w:rFonts w:hint="eastAsia"/>
        </w:rPr>
        <w:t>及铜合金</w:t>
      </w:r>
      <w:r>
        <w:t>管材行业先进水平或相关方要求确定评分标准，</w:t>
      </w:r>
      <w:r>
        <w:rPr>
          <w:szCs w:val="21"/>
        </w:rPr>
        <w:t>当工厂的指标加权综合评分达到85分以上，即满足成为绿色工厂的条件。</w:t>
      </w:r>
    </w:p>
    <w:p>
      <w:pPr>
        <w:pStyle w:val="28"/>
        <w:numPr>
          <w:ilvl w:val="0"/>
          <w:numId w:val="0"/>
        </w:numPr>
        <w:snapToGrid w:val="0"/>
        <w:spacing w:before="163" w:after="163" w:line="360" w:lineRule="exact"/>
        <w:ind w:left="-283" w:leftChars="-135"/>
        <w:rPr>
          <w:rFonts w:ascii="Times New Roman" w:hAnsiTheme="minorEastAsia" w:eastAsiaTheme="minorEastAsia"/>
          <w:szCs w:val="20"/>
        </w:rPr>
      </w:pPr>
      <w:r>
        <w:rPr>
          <w:rFonts w:ascii="Times New Roman" w:eastAsiaTheme="minorEastAsia"/>
          <w:szCs w:val="20"/>
        </w:rPr>
        <w:t xml:space="preserve">4.4 </w:t>
      </w:r>
      <w:r>
        <w:rPr>
          <w:rFonts w:ascii="Times New Roman" w:hAnsiTheme="minorEastAsia" w:eastAsiaTheme="minorEastAsia"/>
          <w:szCs w:val="20"/>
        </w:rPr>
        <w:t>权重系数和指标分数</w:t>
      </w:r>
    </w:p>
    <w:p>
      <w:pPr>
        <w:pStyle w:val="28"/>
        <w:numPr>
          <w:ilvl w:val="0"/>
          <w:numId w:val="0"/>
        </w:numPr>
        <w:snapToGrid w:val="0"/>
        <w:spacing w:before="163" w:after="163" w:line="360" w:lineRule="exact"/>
        <w:ind w:left="-283" w:leftChars="-135"/>
        <w:rPr>
          <w:rFonts w:ascii="Times New Roman" w:eastAsiaTheme="minorEastAsia"/>
          <w:szCs w:val="20"/>
        </w:rPr>
      </w:pPr>
      <w:r>
        <w:rPr>
          <w:rFonts w:hint="eastAsia" w:ascii="Times New Roman" w:hAnsiTheme="minorEastAsia" w:eastAsiaTheme="minorEastAsia"/>
          <w:szCs w:val="20"/>
        </w:rPr>
        <w:t xml:space="preserve">    铜及铜合金管材生产</w:t>
      </w:r>
      <w:r>
        <w:rPr>
          <w:rFonts w:ascii="Times New Roman" w:hAnsiTheme="minorEastAsia" w:eastAsiaTheme="minorEastAsia"/>
        </w:rPr>
        <w:t>绿色工厂评价一级指标权重系数为：</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基本要求（</w:t>
      </w:r>
      <w:r>
        <w:rPr>
          <w:rFonts w:eastAsiaTheme="minorEastAsia"/>
          <w:sz w:val="21"/>
          <w:szCs w:val="21"/>
        </w:rPr>
        <w:t>5.1</w:t>
      </w:r>
      <w:r>
        <w:rPr>
          <w:rFonts w:hAnsiTheme="minorEastAsia" w:eastAsiaTheme="minorEastAsia"/>
          <w:sz w:val="21"/>
          <w:szCs w:val="21"/>
        </w:rPr>
        <w:t>）采取一票否决制，应全部满足；</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基础设施（</w:t>
      </w:r>
      <w:r>
        <w:rPr>
          <w:rFonts w:eastAsiaTheme="minorEastAsia"/>
          <w:sz w:val="21"/>
          <w:szCs w:val="21"/>
        </w:rPr>
        <w:t>5.2</w:t>
      </w:r>
      <w:r>
        <w:rPr>
          <w:rFonts w:hAnsiTheme="minorEastAsia" w:eastAsiaTheme="minorEastAsia"/>
          <w:sz w:val="21"/>
          <w:szCs w:val="21"/>
        </w:rPr>
        <w:t>）</w:t>
      </w:r>
      <w:r>
        <w:rPr>
          <w:rFonts w:eastAsiaTheme="minorEastAsia"/>
          <w:sz w:val="21"/>
          <w:szCs w:val="21"/>
        </w:rPr>
        <w:t>20%</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管理体系（</w:t>
      </w:r>
      <w:r>
        <w:rPr>
          <w:rFonts w:eastAsiaTheme="minorEastAsia"/>
          <w:sz w:val="21"/>
          <w:szCs w:val="21"/>
        </w:rPr>
        <w:t>5.3</w:t>
      </w:r>
      <w:r>
        <w:rPr>
          <w:rFonts w:hAnsiTheme="minorEastAsia" w:eastAsiaTheme="minorEastAsia"/>
          <w:sz w:val="21"/>
          <w:szCs w:val="21"/>
        </w:rPr>
        <w:t>）</w:t>
      </w:r>
      <w:r>
        <w:rPr>
          <w:rFonts w:eastAsiaTheme="minorEastAsia"/>
          <w:sz w:val="21"/>
          <w:szCs w:val="21"/>
        </w:rPr>
        <w:t>15%</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能源与资源投入（</w:t>
      </w:r>
      <w:r>
        <w:rPr>
          <w:rFonts w:eastAsiaTheme="minorEastAsia"/>
          <w:sz w:val="21"/>
          <w:szCs w:val="21"/>
        </w:rPr>
        <w:t>5.4</w:t>
      </w:r>
      <w:r>
        <w:rPr>
          <w:rFonts w:hAnsiTheme="minorEastAsia" w:eastAsiaTheme="minorEastAsia"/>
          <w:sz w:val="21"/>
          <w:szCs w:val="21"/>
        </w:rPr>
        <w:t>）</w:t>
      </w:r>
      <w:r>
        <w:rPr>
          <w:rFonts w:eastAsiaTheme="minorEastAsia"/>
          <w:sz w:val="21"/>
          <w:szCs w:val="21"/>
        </w:rPr>
        <w:t>15%</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产品（</w:t>
      </w:r>
      <w:r>
        <w:rPr>
          <w:rFonts w:eastAsiaTheme="minorEastAsia"/>
          <w:sz w:val="21"/>
          <w:szCs w:val="21"/>
        </w:rPr>
        <w:t>5.5</w:t>
      </w:r>
      <w:r>
        <w:rPr>
          <w:rFonts w:hAnsiTheme="minorEastAsia" w:eastAsiaTheme="minorEastAsia"/>
          <w:sz w:val="21"/>
          <w:szCs w:val="21"/>
        </w:rPr>
        <w:t>）</w:t>
      </w:r>
      <w:r>
        <w:rPr>
          <w:rFonts w:eastAsiaTheme="minorEastAsia"/>
          <w:sz w:val="21"/>
          <w:szCs w:val="21"/>
        </w:rPr>
        <w:t>10%</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环境排放（</w:t>
      </w:r>
      <w:r>
        <w:rPr>
          <w:rFonts w:eastAsiaTheme="minorEastAsia"/>
          <w:sz w:val="21"/>
          <w:szCs w:val="21"/>
        </w:rPr>
        <w:t>5.6</w:t>
      </w:r>
      <w:r>
        <w:rPr>
          <w:rFonts w:hAnsiTheme="minorEastAsia" w:eastAsiaTheme="minorEastAsia"/>
          <w:sz w:val="21"/>
          <w:szCs w:val="21"/>
        </w:rPr>
        <w:t>）</w:t>
      </w:r>
      <w:r>
        <w:rPr>
          <w:rFonts w:eastAsiaTheme="minorEastAsia"/>
          <w:sz w:val="21"/>
          <w:szCs w:val="21"/>
        </w:rPr>
        <w:t>10%</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eastAsiaTheme="minorEastAsia"/>
          <w:sz w:val="21"/>
          <w:szCs w:val="21"/>
        </w:rPr>
        <w:t>——</w:t>
      </w:r>
      <w:r>
        <w:rPr>
          <w:rFonts w:hAnsiTheme="minorEastAsia" w:eastAsiaTheme="minorEastAsia"/>
          <w:sz w:val="21"/>
          <w:szCs w:val="21"/>
        </w:rPr>
        <w:t>绩效（</w:t>
      </w:r>
      <w:r>
        <w:rPr>
          <w:rFonts w:eastAsiaTheme="minorEastAsia"/>
          <w:sz w:val="21"/>
          <w:szCs w:val="21"/>
        </w:rPr>
        <w:t>5.7</w:t>
      </w:r>
      <w:r>
        <w:rPr>
          <w:rFonts w:hAnsiTheme="minorEastAsia" w:eastAsiaTheme="minorEastAsia"/>
          <w:sz w:val="21"/>
          <w:szCs w:val="21"/>
        </w:rPr>
        <w:t>）</w:t>
      </w:r>
      <w:r>
        <w:rPr>
          <w:rFonts w:eastAsiaTheme="minorEastAsia"/>
          <w:sz w:val="21"/>
          <w:szCs w:val="21"/>
        </w:rPr>
        <w:t>30%</w:t>
      </w:r>
      <w:r>
        <w:rPr>
          <w:rFonts w:hAnsiTheme="minorEastAsia" w:eastAsiaTheme="minorEastAsia"/>
          <w:sz w:val="21"/>
          <w:szCs w:val="21"/>
        </w:rPr>
        <w:t>。</w:t>
      </w:r>
    </w:p>
    <w:p>
      <w:pPr>
        <w:pStyle w:val="16"/>
        <w:snapToGrid w:val="0"/>
        <w:spacing w:line="360" w:lineRule="exact"/>
        <w:ind w:left="-283" w:leftChars="-135" w:firstLine="420" w:firstLineChars="200"/>
        <w:rPr>
          <w:rFonts w:eastAsiaTheme="minorEastAsia"/>
          <w:sz w:val="21"/>
          <w:szCs w:val="21"/>
        </w:rPr>
      </w:pPr>
      <w:r>
        <w:rPr>
          <w:rFonts w:hAnsiTheme="minorEastAsia" w:eastAsiaTheme="minorEastAsia"/>
          <w:sz w:val="21"/>
          <w:szCs w:val="21"/>
        </w:rPr>
        <w:t>各二级指标和具体评价要求见附录</w:t>
      </w:r>
      <w:r>
        <w:rPr>
          <w:rFonts w:eastAsiaTheme="minorEastAsia"/>
          <w:sz w:val="21"/>
          <w:szCs w:val="21"/>
        </w:rPr>
        <w:t>A</w:t>
      </w:r>
      <w:r>
        <w:rPr>
          <w:rFonts w:hAnsiTheme="minorEastAsia" w:eastAsiaTheme="minorEastAsia"/>
          <w:sz w:val="21"/>
          <w:szCs w:val="21"/>
        </w:rPr>
        <w:t>。</w:t>
      </w:r>
    </w:p>
    <w:p>
      <w:pPr>
        <w:snapToGrid w:val="0"/>
        <w:spacing w:line="360" w:lineRule="exact"/>
        <w:ind w:firstLine="0"/>
        <w:rPr>
          <w:color w:val="000000"/>
        </w:rPr>
      </w:pPr>
    </w:p>
    <w:p>
      <w:pPr>
        <w:snapToGrid w:val="0"/>
        <w:spacing w:line="360" w:lineRule="exact"/>
        <w:ind w:leftChars="-135" w:hanging="283" w:hangingChars="135"/>
        <w:rPr>
          <w:color w:val="000000"/>
        </w:rPr>
      </w:pPr>
      <w:r>
        <w:rPr>
          <w:rFonts w:hint="eastAsia"/>
          <w:color w:val="000000"/>
        </w:rPr>
        <w:t>5 评价要求</w:t>
      </w:r>
    </w:p>
    <w:p>
      <w:pPr>
        <w:snapToGrid w:val="0"/>
        <w:spacing w:line="360" w:lineRule="exact"/>
        <w:ind w:leftChars="-135" w:hanging="283" w:hangingChars="135"/>
        <w:rPr>
          <w:color w:val="000000"/>
        </w:rPr>
      </w:pPr>
      <w:r>
        <w:rPr>
          <w:rFonts w:hint="eastAsia"/>
          <w:color w:val="000000"/>
        </w:rPr>
        <w:t>5.1 基本要求</w:t>
      </w:r>
    </w:p>
    <w:p>
      <w:pPr>
        <w:snapToGrid w:val="0"/>
        <w:spacing w:line="360" w:lineRule="exact"/>
        <w:ind w:leftChars="-135" w:hanging="283" w:hangingChars="135"/>
        <w:rPr>
          <w:color w:val="000000"/>
        </w:rPr>
      </w:pPr>
      <w:r>
        <w:rPr>
          <w:rFonts w:hint="eastAsia"/>
          <w:color w:val="000000"/>
        </w:rPr>
        <w:t>5.1.1 最高管理者职责</w:t>
      </w:r>
    </w:p>
    <w:p>
      <w:pPr>
        <w:snapToGrid w:val="0"/>
        <w:spacing w:line="360" w:lineRule="exact"/>
        <w:ind w:leftChars="-135" w:hanging="283" w:hangingChars="135"/>
        <w:rPr>
          <w:color w:val="000000"/>
        </w:rPr>
      </w:pPr>
      <w:r>
        <w:rPr>
          <w:rFonts w:hint="eastAsia"/>
          <w:color w:val="000000"/>
        </w:rPr>
        <w:t xml:space="preserve">    最高管理者应负有以下职责：</w:t>
      </w:r>
    </w:p>
    <w:p>
      <w:pPr>
        <w:snapToGrid w:val="0"/>
        <w:spacing w:line="360" w:lineRule="exact"/>
        <w:ind w:leftChars="-135" w:hanging="283" w:hangingChars="135"/>
        <w:rPr>
          <w:color w:val="000000"/>
        </w:rPr>
      </w:pPr>
      <w:r>
        <w:rPr>
          <w:rFonts w:hint="eastAsia"/>
          <w:color w:val="000000"/>
        </w:rPr>
        <w:t xml:space="preserve">    a) 应通过下述方面证实其在绿色工厂方面的领导作用和承诺：</w:t>
      </w:r>
    </w:p>
    <w:p>
      <w:pPr>
        <w:snapToGrid w:val="0"/>
        <w:spacing w:line="360" w:lineRule="exact"/>
        <w:ind w:leftChars="-135" w:hanging="283" w:hangingChars="135"/>
        <w:rPr>
          <w:color w:val="000000"/>
        </w:rPr>
      </w:pPr>
      <w:r>
        <w:rPr>
          <w:rFonts w:hint="eastAsia"/>
          <w:color w:val="000000"/>
        </w:rPr>
        <w:t xml:space="preserve">      1） 对绿色工厂的有效性负责；</w:t>
      </w:r>
    </w:p>
    <w:p>
      <w:pPr>
        <w:snapToGrid w:val="0"/>
        <w:spacing w:line="360" w:lineRule="exact"/>
        <w:ind w:left="-286" w:leftChars="-136" w:firstLine="0"/>
        <w:rPr>
          <w:color w:val="000000"/>
        </w:rPr>
      </w:pPr>
      <w:r>
        <w:rPr>
          <w:rFonts w:hint="eastAsia"/>
          <w:color w:val="000000"/>
        </w:rPr>
        <w:t xml:space="preserve">      2） 确保建立绿色工厂建设、运行维护的方针和目标，并确保其与组织的战略方向及所处的环境相一致；</w:t>
      </w:r>
    </w:p>
    <w:p>
      <w:pPr>
        <w:snapToGrid w:val="0"/>
        <w:spacing w:line="360" w:lineRule="exact"/>
        <w:ind w:leftChars="-135" w:hanging="283" w:hangingChars="135"/>
        <w:rPr>
          <w:color w:val="000000"/>
        </w:rPr>
      </w:pPr>
      <w:r>
        <w:rPr>
          <w:rFonts w:hint="eastAsia"/>
          <w:color w:val="000000"/>
        </w:rPr>
        <w:t xml:space="preserve">      3） 确保将绿色工厂要求融入组织的业务过程；</w:t>
      </w:r>
    </w:p>
    <w:p>
      <w:pPr>
        <w:snapToGrid w:val="0"/>
        <w:spacing w:line="360" w:lineRule="exact"/>
        <w:ind w:leftChars="-135" w:hanging="283" w:hangingChars="135"/>
        <w:rPr>
          <w:color w:val="000000"/>
        </w:rPr>
      </w:pPr>
      <w:r>
        <w:rPr>
          <w:rFonts w:hint="eastAsia"/>
          <w:color w:val="000000"/>
        </w:rPr>
        <w:t xml:space="preserve">      4） 确保可获得绿色工厂建设、运行维护所需的资源；</w:t>
      </w:r>
    </w:p>
    <w:p>
      <w:pPr>
        <w:snapToGrid w:val="0"/>
        <w:spacing w:line="360" w:lineRule="exact"/>
        <w:ind w:firstLine="0"/>
        <w:rPr>
          <w:color w:val="000000"/>
        </w:rPr>
      </w:pPr>
      <w:r>
        <w:rPr>
          <w:rFonts w:hint="eastAsia"/>
          <w:color w:val="000000"/>
        </w:rPr>
        <w:t xml:space="preserve">      5） 就有效开展绿色制造的重要性和符合绿色工厂要求的重要性进行沟通；</w:t>
      </w:r>
    </w:p>
    <w:p>
      <w:pPr>
        <w:snapToGrid w:val="0"/>
        <w:spacing w:line="360" w:lineRule="exact"/>
        <w:ind w:firstLine="0"/>
        <w:rPr>
          <w:color w:val="000000"/>
        </w:rPr>
      </w:pPr>
      <w:r>
        <w:rPr>
          <w:rFonts w:hint="eastAsia"/>
          <w:color w:val="000000"/>
        </w:rPr>
        <w:t xml:space="preserve">      6） 确保工厂实现其开展绿色制造的预期结果；</w:t>
      </w:r>
    </w:p>
    <w:p>
      <w:pPr>
        <w:snapToGrid w:val="0"/>
        <w:spacing w:line="360" w:lineRule="exact"/>
        <w:ind w:firstLine="0"/>
        <w:rPr>
          <w:color w:val="000000"/>
        </w:rPr>
      </w:pPr>
      <w:r>
        <w:rPr>
          <w:rFonts w:hint="eastAsia"/>
          <w:color w:val="000000"/>
        </w:rPr>
        <w:t xml:space="preserve">      7） 指导并支持员工对绿色工厂的有效性做出贡献；</w:t>
      </w:r>
    </w:p>
    <w:p>
      <w:pPr>
        <w:snapToGrid w:val="0"/>
        <w:spacing w:line="360" w:lineRule="exact"/>
        <w:ind w:firstLine="0"/>
        <w:rPr>
          <w:color w:val="000000"/>
        </w:rPr>
      </w:pPr>
      <w:r>
        <w:rPr>
          <w:rFonts w:hint="eastAsia"/>
          <w:color w:val="000000"/>
        </w:rPr>
        <w:t xml:space="preserve">      8） 促进持续改进；</w:t>
      </w:r>
    </w:p>
    <w:p>
      <w:pPr>
        <w:snapToGrid w:val="0"/>
        <w:spacing w:line="360" w:lineRule="exact"/>
        <w:ind w:firstLine="0"/>
        <w:rPr>
          <w:color w:val="000000"/>
        </w:rPr>
      </w:pPr>
      <w:r>
        <w:rPr>
          <w:rFonts w:hint="eastAsia"/>
          <w:color w:val="000000"/>
        </w:rPr>
        <w:t xml:space="preserve">      9） 支持其他相关管理人员在其职责范围内证实其领导作用。</w:t>
      </w:r>
    </w:p>
    <w:p>
      <w:pPr>
        <w:snapToGrid w:val="0"/>
        <w:spacing w:line="360" w:lineRule="exact"/>
        <w:ind w:left="2" w:firstLine="0"/>
        <w:rPr>
          <w:color w:val="000000"/>
        </w:rPr>
      </w:pPr>
      <w:r>
        <w:rPr>
          <w:rFonts w:hint="eastAsia"/>
          <w:color w:val="000000"/>
        </w:rPr>
        <w:t xml:space="preserve">    b） 应确保在工厂内部分配并沟通与绿色工厂相关角色的职责和权限。分配的职责和权限至少应包括下列事项：</w:t>
      </w:r>
    </w:p>
    <w:p>
      <w:pPr>
        <w:snapToGrid w:val="0"/>
        <w:spacing w:line="360" w:lineRule="exact"/>
        <w:ind w:firstLine="0"/>
        <w:rPr>
          <w:color w:val="000000"/>
        </w:rPr>
      </w:pPr>
      <w:r>
        <w:rPr>
          <w:rFonts w:hint="eastAsia"/>
          <w:color w:val="000000"/>
        </w:rPr>
        <w:t xml:space="preserve">      1） 确保工厂建设、运行维护符合本标准的要求；</w:t>
      </w:r>
    </w:p>
    <w:p>
      <w:pPr>
        <w:snapToGrid w:val="0"/>
        <w:spacing w:line="360" w:lineRule="exact"/>
        <w:ind w:firstLine="0"/>
        <w:rPr>
          <w:color w:val="000000"/>
        </w:rPr>
      </w:pPr>
      <w:r>
        <w:rPr>
          <w:rFonts w:hint="eastAsia"/>
          <w:color w:val="000000"/>
        </w:rPr>
        <w:t xml:space="preserve">      2） 收集并保持工厂满足绿色工厂评价要求的证据；</w:t>
      </w:r>
    </w:p>
    <w:p>
      <w:pPr>
        <w:snapToGrid w:val="0"/>
        <w:spacing w:line="360" w:lineRule="exact"/>
        <w:ind w:firstLine="0"/>
        <w:rPr>
          <w:color w:val="000000"/>
        </w:rPr>
      </w:pPr>
      <w:r>
        <w:rPr>
          <w:rFonts w:hint="eastAsia"/>
          <w:color w:val="000000"/>
        </w:rPr>
        <w:t xml:space="preserve">      3） 向最高管理者报告绿色工厂的绩效。</w:t>
      </w:r>
    </w:p>
    <w:p>
      <w:pPr>
        <w:snapToGrid w:val="0"/>
        <w:spacing w:line="360" w:lineRule="exact"/>
        <w:ind w:firstLine="0"/>
        <w:rPr>
          <w:color w:val="000000"/>
        </w:rPr>
      </w:pPr>
      <w:r>
        <w:rPr>
          <w:rFonts w:hint="eastAsia"/>
          <w:color w:val="000000"/>
        </w:rPr>
        <w:t>5.1.2 工厂</w:t>
      </w:r>
    </w:p>
    <w:p>
      <w:pPr>
        <w:snapToGrid w:val="0"/>
        <w:spacing w:line="360" w:lineRule="exact"/>
        <w:ind w:left="2" w:firstLine="0"/>
        <w:rPr>
          <w:color w:val="000000"/>
        </w:rPr>
      </w:pPr>
      <w:r>
        <w:rPr>
          <w:rFonts w:hint="eastAsia"/>
          <w:color w:val="000000"/>
        </w:rPr>
        <w:t xml:space="preserve">    a） 应设有绿色工厂管理结构，负责有关绿色工厂的制度建设、实施、考核及奖励工作，建立目标责任制；</w:t>
      </w:r>
    </w:p>
    <w:p>
      <w:pPr>
        <w:snapToGrid w:val="0"/>
        <w:spacing w:line="360" w:lineRule="exact"/>
        <w:ind w:firstLine="0"/>
        <w:rPr>
          <w:color w:val="000000"/>
        </w:rPr>
      </w:pPr>
      <w:r>
        <w:rPr>
          <w:rFonts w:hint="eastAsia"/>
          <w:color w:val="000000"/>
        </w:rPr>
        <w:t xml:space="preserve">    b） 应有开展绿色工厂的中长期规划及年度目标、指标和实施方案。可行时，指标应明确且可量化；</w:t>
      </w:r>
    </w:p>
    <w:p>
      <w:pPr>
        <w:snapToGrid w:val="0"/>
        <w:spacing w:line="360" w:lineRule="exact"/>
        <w:ind w:firstLine="0"/>
        <w:rPr>
          <w:color w:val="000000"/>
        </w:rPr>
      </w:pPr>
      <w:r>
        <w:rPr>
          <w:rFonts w:hint="eastAsia"/>
          <w:color w:val="000000"/>
        </w:rPr>
        <w:t xml:space="preserve">    c） 应传播绿色制造的概念和知识，定期为员工提供绿色制造相关知识的教育、培训，并对教育和培训的结果进行考核。</w:t>
      </w:r>
    </w:p>
    <w:p>
      <w:pPr>
        <w:snapToGrid w:val="0"/>
        <w:spacing w:line="360" w:lineRule="exact"/>
        <w:ind w:firstLine="0"/>
        <w:rPr>
          <w:color w:val="000000"/>
        </w:rPr>
      </w:pPr>
      <w:r>
        <w:rPr>
          <w:rFonts w:hint="eastAsia"/>
          <w:color w:val="000000"/>
        </w:rPr>
        <w:t>5.1.3 基础合规性和相关方要求</w:t>
      </w:r>
    </w:p>
    <w:p>
      <w:pPr>
        <w:snapToGrid w:val="0"/>
        <w:spacing w:line="360" w:lineRule="exact"/>
        <w:ind w:firstLine="420"/>
        <w:rPr>
          <w:color w:val="000000"/>
        </w:rPr>
      </w:pPr>
      <w:r>
        <w:rPr>
          <w:rFonts w:hint="eastAsia"/>
          <w:color w:val="000000"/>
        </w:rPr>
        <w:t>绿色工厂应依法设立在建设和生产过程中应遵守有关法律、法规、政策和标准，至少</w:t>
      </w:r>
      <w:r>
        <w:rPr>
          <w:color w:val="000000"/>
        </w:rPr>
        <w:t>运行一年以上。</w:t>
      </w:r>
    </w:p>
    <w:p>
      <w:pPr>
        <w:snapToGrid w:val="0"/>
        <w:spacing w:line="360" w:lineRule="exact"/>
        <w:ind w:firstLine="420"/>
        <w:rPr>
          <w:color w:val="000000"/>
        </w:rPr>
      </w:pPr>
      <w:r>
        <w:rPr>
          <w:rFonts w:hint="eastAsia"/>
          <w:color w:val="000000"/>
        </w:rPr>
        <w:t>近三年（含成立不足三年）无较大及以上安全、环保、质量等事故，工厂能源消耗指标应满足铜及铜合金管材行业执行的强制性能耗标准限定值的要求。</w:t>
      </w:r>
    </w:p>
    <w:p>
      <w:pPr>
        <w:snapToGrid w:val="0"/>
        <w:spacing w:line="360" w:lineRule="exact"/>
        <w:ind w:firstLine="420"/>
        <w:rPr>
          <w:color w:val="000000"/>
        </w:rPr>
      </w:pPr>
      <w:r>
        <w:rPr>
          <w:rFonts w:hint="eastAsia"/>
          <w:color w:val="000000"/>
        </w:rPr>
        <w:t>工厂应</w:t>
      </w:r>
      <w:r>
        <w:rPr>
          <w:color w:val="000000"/>
        </w:rPr>
        <w:t>具有</w:t>
      </w:r>
      <w:r>
        <w:rPr>
          <w:rFonts w:hint="eastAsia"/>
          <w:color w:val="000000"/>
        </w:rPr>
        <w:t>良好</w:t>
      </w:r>
      <w:r>
        <w:rPr>
          <w:color w:val="000000"/>
        </w:rPr>
        <w:t>的信用，近三年（</w:t>
      </w:r>
      <w:r>
        <w:rPr>
          <w:rFonts w:hint="eastAsia"/>
          <w:color w:val="000000"/>
        </w:rPr>
        <w:t>含</w:t>
      </w:r>
      <w:r>
        <w:rPr>
          <w:color w:val="000000"/>
        </w:rPr>
        <w:t>成立不足三年）</w:t>
      </w:r>
      <w:r>
        <w:rPr>
          <w:rFonts w:hint="eastAsia"/>
          <w:color w:val="000000"/>
        </w:rPr>
        <w:t>无</w:t>
      </w:r>
      <w:r>
        <w:rPr>
          <w:color w:val="000000"/>
        </w:rPr>
        <w:t>严重违法</w:t>
      </w:r>
      <w:r>
        <w:rPr>
          <w:rFonts w:hint="eastAsia"/>
          <w:color w:val="000000"/>
        </w:rPr>
        <w:t>失信、</w:t>
      </w:r>
      <w:r>
        <w:rPr>
          <w:color w:val="000000"/>
        </w:rPr>
        <w:t>经营异常和行政处罚记录。</w:t>
      </w:r>
    </w:p>
    <w:p>
      <w:pPr>
        <w:snapToGrid w:val="0"/>
        <w:spacing w:line="360" w:lineRule="exact"/>
        <w:ind w:firstLine="420"/>
        <w:rPr>
          <w:color w:val="000000"/>
        </w:rPr>
      </w:pPr>
      <w:r>
        <w:rPr>
          <w:rFonts w:hint="eastAsia"/>
          <w:color w:val="000000"/>
        </w:rPr>
        <w:t>对利益相关方的环境要求做出承诺的，应同时满足有关承诺的要求。</w:t>
      </w:r>
    </w:p>
    <w:p>
      <w:pPr>
        <w:snapToGrid w:val="0"/>
        <w:spacing w:line="360" w:lineRule="exact"/>
        <w:ind w:firstLine="0"/>
        <w:rPr>
          <w:color w:val="000000"/>
        </w:rPr>
      </w:pPr>
      <w:r>
        <w:rPr>
          <w:rFonts w:hint="eastAsia"/>
          <w:color w:val="000000"/>
        </w:rPr>
        <w:t>5.2 基础设施</w:t>
      </w:r>
    </w:p>
    <w:p>
      <w:pPr>
        <w:snapToGrid w:val="0"/>
        <w:spacing w:line="360" w:lineRule="exact"/>
        <w:ind w:firstLine="0"/>
        <w:rPr>
          <w:color w:val="000000"/>
        </w:rPr>
      </w:pPr>
      <w:r>
        <w:rPr>
          <w:rFonts w:hint="eastAsia"/>
          <w:color w:val="000000"/>
        </w:rPr>
        <w:t>5.2.1 建筑</w:t>
      </w:r>
    </w:p>
    <w:p>
      <w:pPr>
        <w:snapToGrid w:val="0"/>
        <w:spacing w:line="360" w:lineRule="exact"/>
        <w:ind w:firstLine="0"/>
        <w:rPr>
          <w:color w:val="000000"/>
        </w:rPr>
      </w:pPr>
      <w:r>
        <w:rPr>
          <w:rFonts w:hint="eastAsia"/>
          <w:color w:val="000000"/>
        </w:rPr>
        <w:t xml:space="preserve">    工厂的建筑应满足国家或地方相关法律法规及标准的要求，并从建筑材料、建筑结构、采光照明、绿化及场地、再生资源及能源利用等方面进行建筑的节约、节能、节水、节地、无害化及可再生能源利用。</w:t>
      </w:r>
      <w:r>
        <w:rPr>
          <w:rFonts w:hint="eastAsia"/>
          <w:szCs w:val="21"/>
        </w:rPr>
        <w:t>工厂应集约利用厂区，</w:t>
      </w:r>
      <w:r>
        <w:rPr>
          <w:rFonts w:hint="eastAsia"/>
          <w:color w:val="000000"/>
        </w:rPr>
        <w:t>适用时，工厂的厂房应尽量采用</w:t>
      </w:r>
      <w:r>
        <w:rPr>
          <w:rFonts w:hint="eastAsia"/>
          <w:szCs w:val="21"/>
        </w:rPr>
        <w:t>联合厂房、多层建筑、高层建筑等</w:t>
      </w:r>
      <w:r>
        <w:rPr>
          <w:rFonts w:hint="eastAsia"/>
          <w:color w:val="000000"/>
        </w:rPr>
        <w:t>。</w:t>
      </w:r>
    </w:p>
    <w:p>
      <w:pPr>
        <w:snapToGrid w:val="0"/>
        <w:spacing w:line="360" w:lineRule="exact"/>
        <w:ind w:firstLine="0"/>
        <w:rPr>
          <w:color w:val="000000"/>
        </w:rPr>
      </w:pPr>
      <w:r>
        <w:rPr>
          <w:rFonts w:hint="eastAsia"/>
          <w:color w:val="000000"/>
        </w:rPr>
        <w:t>5.2.2 照明</w:t>
      </w:r>
    </w:p>
    <w:p>
      <w:pPr>
        <w:snapToGrid w:val="0"/>
        <w:spacing w:line="360" w:lineRule="exact"/>
        <w:ind w:firstLine="0"/>
        <w:rPr>
          <w:color w:val="000000"/>
        </w:rPr>
      </w:pPr>
      <w:r>
        <w:rPr>
          <w:rFonts w:hint="eastAsia"/>
          <w:color w:val="000000"/>
        </w:rPr>
        <w:t xml:space="preserve">    工厂的照明应满足以下要求： </w:t>
      </w:r>
    </w:p>
    <w:p>
      <w:pPr>
        <w:snapToGrid w:val="0"/>
        <w:spacing w:line="360" w:lineRule="exact"/>
        <w:ind w:firstLine="0"/>
        <w:rPr>
          <w:color w:val="000000"/>
        </w:rPr>
      </w:pPr>
      <w:r>
        <w:rPr>
          <w:rFonts w:hint="eastAsia"/>
          <w:color w:val="000000"/>
        </w:rPr>
        <w:t xml:space="preserve">    a） 工厂厂区及各房间或场所的照明应尽量利用自然光，人工照明应符合GB 50034规定；</w:t>
      </w:r>
    </w:p>
    <w:p>
      <w:pPr>
        <w:snapToGrid w:val="0"/>
        <w:spacing w:line="360" w:lineRule="exact"/>
        <w:ind w:firstLine="0"/>
        <w:rPr>
          <w:color w:val="000000"/>
        </w:rPr>
      </w:pPr>
      <w:r>
        <w:rPr>
          <w:rFonts w:hint="eastAsia"/>
          <w:color w:val="000000"/>
        </w:rPr>
        <w:t xml:space="preserve">    b） 不同场所的照明应进行分级设计；</w:t>
      </w:r>
    </w:p>
    <w:p>
      <w:pPr>
        <w:snapToGrid w:val="0"/>
        <w:spacing w:line="360" w:lineRule="exact"/>
        <w:ind w:firstLine="0"/>
        <w:rPr>
          <w:color w:val="000000"/>
        </w:rPr>
      </w:pPr>
      <w:r>
        <w:rPr>
          <w:rFonts w:hint="eastAsia"/>
          <w:color w:val="000000"/>
        </w:rPr>
        <w:t xml:space="preserve">    c） 公共场所的照明宜采取分区、分组与定时自动调光等措施。</w:t>
      </w:r>
    </w:p>
    <w:p>
      <w:pPr>
        <w:snapToGrid w:val="0"/>
        <w:spacing w:line="360" w:lineRule="exact"/>
        <w:ind w:firstLine="0"/>
        <w:rPr>
          <w:color w:val="000000"/>
        </w:rPr>
      </w:pPr>
      <w:r>
        <w:rPr>
          <w:rFonts w:hint="eastAsia"/>
          <w:color w:val="000000"/>
        </w:rPr>
        <w:t>5.2.3 设备设施</w:t>
      </w:r>
    </w:p>
    <w:p>
      <w:pPr>
        <w:snapToGrid w:val="0"/>
        <w:spacing w:line="360" w:lineRule="exact"/>
        <w:ind w:firstLine="0"/>
        <w:rPr>
          <w:color w:val="000000"/>
        </w:rPr>
      </w:pPr>
      <w:r>
        <w:rPr>
          <w:rFonts w:hint="eastAsia"/>
          <w:color w:val="000000"/>
        </w:rPr>
        <w:t>5.2.3.1 专用设备</w:t>
      </w:r>
    </w:p>
    <w:p>
      <w:pPr>
        <w:snapToGrid w:val="0"/>
        <w:spacing w:line="360" w:lineRule="exact"/>
        <w:ind w:firstLine="0"/>
        <w:rPr>
          <w:color w:val="000000"/>
        </w:rPr>
      </w:pPr>
      <w:r>
        <w:rPr>
          <w:rFonts w:hint="eastAsia"/>
          <w:color w:val="000000"/>
        </w:rPr>
        <w:t xml:space="preserve">    专用设备应符合产业准入要求，降低能源与资源消耗，减少污染物排放。</w:t>
      </w:r>
      <w:r>
        <w:rPr>
          <w:rFonts w:hint="eastAsia"/>
          <w:szCs w:val="21"/>
        </w:rPr>
        <w:t>工厂新、改和扩建时，装置等生产设施的生产工艺、建设规模应符合国家、地方相关产业政策等要求。</w:t>
      </w:r>
    </w:p>
    <w:p>
      <w:pPr>
        <w:snapToGrid w:val="0"/>
        <w:spacing w:line="360" w:lineRule="exact"/>
        <w:ind w:firstLine="0"/>
        <w:rPr>
          <w:color w:val="000000"/>
        </w:rPr>
      </w:pPr>
      <w:r>
        <w:rPr>
          <w:rFonts w:hint="eastAsia"/>
          <w:color w:val="000000"/>
        </w:rPr>
        <w:t>5.2.3.2 通用设备</w:t>
      </w:r>
    </w:p>
    <w:p>
      <w:pPr>
        <w:snapToGrid w:val="0"/>
        <w:spacing w:line="360" w:lineRule="exact"/>
        <w:ind w:firstLine="0"/>
        <w:rPr>
          <w:color w:val="000000"/>
        </w:rPr>
      </w:pPr>
      <w:r>
        <w:rPr>
          <w:rFonts w:hint="eastAsia"/>
          <w:color w:val="000000"/>
        </w:rPr>
        <w:t xml:space="preserve">    通用设备应符合以下要求：</w:t>
      </w:r>
    </w:p>
    <w:p>
      <w:pPr>
        <w:snapToGrid w:val="0"/>
        <w:spacing w:line="360" w:lineRule="exact"/>
        <w:ind w:firstLine="0"/>
        <w:rPr>
          <w:color w:val="000000"/>
        </w:rPr>
      </w:pPr>
      <w:r>
        <w:rPr>
          <w:rFonts w:hint="eastAsia"/>
          <w:color w:val="000000"/>
        </w:rPr>
        <w:t xml:space="preserve">    a） 适用时，通用设备应采用效率高、能耗低、水耗低、物耗低的产品；</w:t>
      </w:r>
    </w:p>
    <w:p>
      <w:pPr>
        <w:snapToGrid w:val="0"/>
        <w:spacing w:line="360" w:lineRule="exact"/>
        <w:ind w:firstLine="0"/>
        <w:rPr>
          <w:color w:val="000000"/>
        </w:rPr>
      </w:pPr>
      <w:r>
        <w:rPr>
          <w:rFonts w:hint="eastAsia"/>
          <w:color w:val="000000"/>
        </w:rPr>
        <w:t xml:space="preserve">    b） 已明令禁止生产、使用的和能耗高、效率低的设备应限期淘汰更新；</w:t>
      </w:r>
    </w:p>
    <w:p>
      <w:pPr>
        <w:snapToGrid w:val="0"/>
        <w:spacing w:line="360" w:lineRule="exact"/>
        <w:ind w:firstLine="0"/>
        <w:rPr>
          <w:color w:val="000000"/>
        </w:rPr>
      </w:pPr>
      <w:r>
        <w:rPr>
          <w:rFonts w:hint="eastAsia"/>
          <w:color w:val="000000"/>
        </w:rPr>
        <w:t xml:space="preserve"> c） 通用设备或其系统的实际运行效率或主要运行参数应符合该设备经济运行的要求。</w:t>
      </w:r>
    </w:p>
    <w:p>
      <w:pPr>
        <w:snapToGrid w:val="0"/>
        <w:spacing w:line="360" w:lineRule="exact"/>
        <w:ind w:left="-283" w:leftChars="-135" w:firstLine="0"/>
        <w:rPr>
          <w:color w:val="000000"/>
        </w:rPr>
      </w:pPr>
      <w:r>
        <w:rPr>
          <w:rFonts w:hint="eastAsia"/>
          <w:color w:val="000000"/>
        </w:rPr>
        <w:t>5.2.3.3 计量设备</w:t>
      </w:r>
    </w:p>
    <w:p>
      <w:pPr>
        <w:snapToGrid w:val="0"/>
        <w:spacing w:line="360" w:lineRule="exact"/>
        <w:ind w:left="-283" w:leftChars="-135" w:firstLine="0"/>
        <w:rPr>
          <w:color w:val="000000"/>
        </w:rPr>
      </w:pPr>
      <w:r>
        <w:rPr>
          <w:rFonts w:hint="eastAsia"/>
          <w:color w:val="000000"/>
        </w:rPr>
        <w:t xml:space="preserve">    工厂应依据GB 17167、GB 24789和</w:t>
      </w:r>
      <w:r>
        <w:rPr>
          <w:color w:val="000000"/>
        </w:rPr>
        <w:t>YS/T XXXX</w:t>
      </w:r>
      <w:r>
        <w:rPr>
          <w:rFonts w:hint="eastAsia"/>
          <w:color w:val="000000"/>
        </w:rPr>
        <w:t>等要求配备、使用和管理能源、水以及其他资源的计量器具和装置。能源及资源使用的类型不同时，应进行分类计量。</w:t>
      </w:r>
    </w:p>
    <w:p>
      <w:pPr>
        <w:snapToGrid w:val="0"/>
        <w:spacing w:line="360" w:lineRule="exact"/>
        <w:ind w:left="-283" w:leftChars="-135" w:firstLine="0"/>
        <w:rPr>
          <w:color w:val="000000"/>
        </w:rPr>
      </w:pPr>
      <w:r>
        <w:rPr>
          <w:rFonts w:hint="eastAsia"/>
          <w:color w:val="000000"/>
        </w:rPr>
        <w:t>5.2.3.4 污染物处理设备设施</w:t>
      </w:r>
    </w:p>
    <w:p>
      <w:pPr>
        <w:snapToGrid w:val="0"/>
        <w:spacing w:line="360" w:lineRule="exact"/>
        <w:ind w:left="-283" w:leftChars="-135" w:firstLine="0"/>
        <w:rPr>
          <w:color w:val="000000"/>
        </w:rPr>
      </w:pPr>
      <w:r>
        <w:rPr>
          <w:rFonts w:hint="eastAsia"/>
          <w:color w:val="000000"/>
        </w:rPr>
        <w:t xml:space="preserve">    必要时，工厂应投入适宜的污染物处理设备，以确保其污染物排放达到相关法律法规及标准要求。</w:t>
      </w:r>
    </w:p>
    <w:p>
      <w:pPr>
        <w:snapToGrid w:val="0"/>
        <w:spacing w:line="360" w:lineRule="exact"/>
        <w:ind w:left="-283" w:leftChars="-135" w:firstLine="420" w:firstLineChars="200"/>
        <w:rPr>
          <w:color w:val="000000"/>
        </w:rPr>
      </w:pPr>
      <w:r>
        <w:rPr>
          <w:rFonts w:hint="eastAsia"/>
          <w:color w:val="000000"/>
        </w:rPr>
        <w:t>污染物处理设备的处理能力应与工厂生产排放相适应，设备应满足通用设备的节能方面的要求。</w:t>
      </w:r>
      <w:r>
        <w:rPr>
          <w:rFonts w:hint="eastAsia" w:hAnsi="宋体"/>
          <w:szCs w:val="21"/>
        </w:rPr>
        <w:t>工厂宜建立主要污染物排放台账，开展自行监测和监控，保存原始监测和监控记录。</w:t>
      </w:r>
    </w:p>
    <w:p>
      <w:pPr>
        <w:snapToGrid w:val="0"/>
        <w:spacing w:line="360" w:lineRule="exact"/>
        <w:ind w:left="-283" w:leftChars="-135" w:firstLine="0"/>
        <w:rPr>
          <w:color w:val="000000"/>
        </w:rPr>
      </w:pPr>
      <w:r>
        <w:rPr>
          <w:rFonts w:hint="eastAsia"/>
          <w:color w:val="000000"/>
        </w:rPr>
        <w:t>5.3 管理体系</w:t>
      </w:r>
    </w:p>
    <w:p>
      <w:pPr>
        <w:pStyle w:val="16"/>
        <w:snapToGrid w:val="0"/>
        <w:spacing w:line="360" w:lineRule="exact"/>
        <w:ind w:left="-283" w:leftChars="-135" w:firstLine="0"/>
        <w:rPr>
          <w:rFonts w:eastAsiaTheme="minorEastAsia"/>
          <w:sz w:val="21"/>
          <w:szCs w:val="21"/>
        </w:rPr>
      </w:pPr>
      <w:r>
        <w:rPr>
          <w:rFonts w:eastAsiaTheme="minorEastAsia"/>
          <w:sz w:val="21"/>
          <w:szCs w:val="21"/>
        </w:rPr>
        <w:t xml:space="preserve">5.3.1 </w:t>
      </w:r>
      <w:r>
        <w:rPr>
          <w:rFonts w:hAnsiTheme="minorEastAsia" w:eastAsiaTheme="minorEastAsia"/>
          <w:sz w:val="21"/>
          <w:szCs w:val="21"/>
        </w:rPr>
        <w:t>质量管理体系</w:t>
      </w:r>
    </w:p>
    <w:p>
      <w:pPr>
        <w:pStyle w:val="16"/>
        <w:snapToGrid w:val="0"/>
        <w:spacing w:line="360" w:lineRule="exact"/>
        <w:ind w:left="-283" w:leftChars="-135" w:firstLine="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工厂应建立、实施并保持质量管理体系。工厂的质量管理体系应满足</w:t>
      </w:r>
      <w:r>
        <w:rPr>
          <w:rFonts w:eastAsiaTheme="minorEastAsia"/>
          <w:sz w:val="21"/>
          <w:szCs w:val="21"/>
        </w:rPr>
        <w:t>GB/T 19001</w:t>
      </w:r>
      <w:r>
        <w:rPr>
          <w:rFonts w:hAnsiTheme="minorEastAsia" w:eastAsiaTheme="minorEastAsia"/>
          <w:sz w:val="21"/>
          <w:szCs w:val="21"/>
        </w:rPr>
        <w:t>的要求。</w:t>
      </w:r>
    </w:p>
    <w:p>
      <w:pPr>
        <w:pStyle w:val="16"/>
        <w:snapToGrid w:val="0"/>
        <w:spacing w:line="360" w:lineRule="exact"/>
        <w:ind w:left="-283" w:leftChars="-135" w:firstLine="0"/>
        <w:rPr>
          <w:rFonts w:eastAsiaTheme="minorEastAsia"/>
          <w:sz w:val="21"/>
          <w:szCs w:val="21"/>
        </w:rPr>
      </w:pPr>
      <w:r>
        <w:rPr>
          <w:rFonts w:eastAsiaTheme="minorEastAsia"/>
          <w:sz w:val="21"/>
          <w:szCs w:val="21"/>
        </w:rPr>
        <w:t xml:space="preserve">5.3.2 </w:t>
      </w:r>
      <w:r>
        <w:rPr>
          <w:rFonts w:hAnsiTheme="minorEastAsia" w:eastAsiaTheme="minorEastAsia"/>
          <w:sz w:val="21"/>
          <w:szCs w:val="21"/>
        </w:rPr>
        <w:t>职业健康安全管理体系</w:t>
      </w:r>
    </w:p>
    <w:p>
      <w:pPr>
        <w:pStyle w:val="16"/>
        <w:snapToGrid w:val="0"/>
        <w:spacing w:line="360" w:lineRule="exact"/>
        <w:ind w:left="-283" w:leftChars="-135" w:firstLine="0"/>
        <w:rPr>
          <w:rFonts w:eastAsiaTheme="minorEastAsia"/>
          <w:sz w:val="21"/>
          <w:szCs w:val="21"/>
        </w:rPr>
      </w:pPr>
      <w:r>
        <w:rPr>
          <w:rFonts w:hint="eastAsia" w:hAnsiTheme="minorEastAsia" w:eastAsiaTheme="minorEastAsia"/>
          <w:sz w:val="21"/>
          <w:szCs w:val="21"/>
        </w:rPr>
        <w:t xml:space="preserve">   </w:t>
      </w:r>
      <w:r>
        <w:rPr>
          <w:rFonts w:hAnsiTheme="minorEastAsia" w:eastAsiaTheme="minorEastAsia"/>
          <w:sz w:val="21"/>
          <w:szCs w:val="21"/>
        </w:rPr>
        <w:t xml:space="preserve"> 工厂应建立、实施并保持职业健康安全管理体系。工厂的职业健康安全管理体系应满足</w:t>
      </w:r>
      <w:r>
        <w:rPr>
          <w:rFonts w:eastAsiaTheme="minorEastAsia"/>
          <w:sz w:val="21"/>
          <w:szCs w:val="21"/>
        </w:rPr>
        <w:t>GB/T 45001</w:t>
      </w:r>
      <w:r>
        <w:rPr>
          <w:rFonts w:hAnsiTheme="minorEastAsia" w:eastAsiaTheme="minorEastAsia"/>
          <w:sz w:val="21"/>
          <w:szCs w:val="21"/>
        </w:rPr>
        <w:t>的要求</w:t>
      </w:r>
      <w:r>
        <w:rPr>
          <w:rFonts w:hint="eastAsia" w:hAnsiTheme="minorEastAsia" w:eastAsiaTheme="minorEastAsia"/>
          <w:sz w:val="21"/>
          <w:szCs w:val="21"/>
        </w:rPr>
        <w:t>，并</w:t>
      </w:r>
      <w:r>
        <w:rPr>
          <w:rFonts w:hAnsiTheme="minorEastAsia" w:eastAsiaTheme="minorEastAsia"/>
          <w:sz w:val="21"/>
          <w:szCs w:val="21"/>
        </w:rPr>
        <w:t>宜满足GB/T 33000</w:t>
      </w:r>
      <w:r>
        <w:rPr>
          <w:rFonts w:hint="eastAsia" w:hAnsiTheme="minorEastAsia" w:eastAsiaTheme="minorEastAsia"/>
          <w:sz w:val="21"/>
          <w:szCs w:val="21"/>
        </w:rPr>
        <w:t>的</w:t>
      </w:r>
      <w:r>
        <w:rPr>
          <w:rFonts w:hAnsiTheme="minorEastAsia" w:eastAsiaTheme="minorEastAsia"/>
          <w:sz w:val="21"/>
          <w:szCs w:val="21"/>
        </w:rPr>
        <w:t>要求</w:t>
      </w:r>
    </w:p>
    <w:p>
      <w:pPr>
        <w:pStyle w:val="16"/>
        <w:snapToGrid w:val="0"/>
        <w:spacing w:line="360" w:lineRule="exact"/>
        <w:ind w:left="-283" w:leftChars="-135" w:firstLine="0"/>
        <w:rPr>
          <w:rFonts w:eastAsiaTheme="minorEastAsia"/>
          <w:sz w:val="21"/>
          <w:szCs w:val="21"/>
        </w:rPr>
      </w:pPr>
      <w:r>
        <w:rPr>
          <w:rFonts w:eastAsiaTheme="minorEastAsia"/>
          <w:sz w:val="21"/>
          <w:szCs w:val="21"/>
        </w:rPr>
        <w:t xml:space="preserve">5.3.3 </w:t>
      </w:r>
      <w:r>
        <w:rPr>
          <w:rFonts w:hAnsiTheme="minorEastAsia" w:eastAsiaTheme="minorEastAsia"/>
          <w:sz w:val="21"/>
          <w:szCs w:val="21"/>
        </w:rPr>
        <w:t>环境管理体系</w:t>
      </w:r>
    </w:p>
    <w:p>
      <w:pPr>
        <w:pStyle w:val="16"/>
        <w:snapToGrid w:val="0"/>
        <w:spacing w:line="360" w:lineRule="exact"/>
        <w:ind w:left="-283" w:leftChars="-135" w:firstLine="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工厂应建立、实施并保持环境管理体系。工厂的环境管理体系应满足</w:t>
      </w:r>
      <w:r>
        <w:rPr>
          <w:rFonts w:eastAsiaTheme="minorEastAsia"/>
          <w:sz w:val="21"/>
          <w:szCs w:val="21"/>
        </w:rPr>
        <w:t>GB/T 24001</w:t>
      </w:r>
      <w:r>
        <w:rPr>
          <w:rFonts w:hAnsiTheme="minorEastAsia" w:eastAsiaTheme="minorEastAsia"/>
          <w:sz w:val="21"/>
          <w:szCs w:val="21"/>
        </w:rPr>
        <w:t>的要求。</w:t>
      </w:r>
    </w:p>
    <w:p>
      <w:pPr>
        <w:pStyle w:val="16"/>
        <w:snapToGrid w:val="0"/>
        <w:spacing w:line="360" w:lineRule="exact"/>
        <w:ind w:left="-283" w:leftChars="-135" w:firstLine="0"/>
        <w:rPr>
          <w:rFonts w:eastAsiaTheme="minorEastAsia"/>
          <w:sz w:val="21"/>
          <w:szCs w:val="21"/>
        </w:rPr>
      </w:pPr>
      <w:r>
        <w:rPr>
          <w:rFonts w:eastAsiaTheme="minorEastAsia"/>
          <w:sz w:val="21"/>
          <w:szCs w:val="21"/>
        </w:rPr>
        <w:t xml:space="preserve">5.3.4 </w:t>
      </w:r>
      <w:r>
        <w:rPr>
          <w:rFonts w:hAnsiTheme="minorEastAsia" w:eastAsiaTheme="minorEastAsia"/>
          <w:sz w:val="21"/>
          <w:szCs w:val="21"/>
        </w:rPr>
        <w:t>能源管理体系</w:t>
      </w:r>
      <w:r>
        <w:rPr>
          <w:rFonts w:hint="eastAsia" w:hAnsiTheme="minorEastAsia" w:eastAsiaTheme="minorEastAsia"/>
          <w:sz w:val="21"/>
          <w:szCs w:val="21"/>
        </w:rPr>
        <w:t xml:space="preserve"> </w:t>
      </w:r>
    </w:p>
    <w:p>
      <w:pPr>
        <w:pStyle w:val="16"/>
        <w:snapToGrid w:val="0"/>
        <w:spacing w:line="360" w:lineRule="exact"/>
        <w:ind w:left="-283" w:leftChars="-135" w:firstLine="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工厂</w:t>
      </w:r>
      <w:r>
        <w:rPr>
          <w:rFonts w:hint="eastAsia" w:hAnsiTheme="minorEastAsia" w:eastAsiaTheme="minorEastAsia"/>
          <w:sz w:val="21"/>
          <w:szCs w:val="21"/>
        </w:rPr>
        <w:t>应</w:t>
      </w:r>
      <w:r>
        <w:rPr>
          <w:rFonts w:hAnsiTheme="minorEastAsia" w:eastAsiaTheme="minorEastAsia"/>
          <w:sz w:val="21"/>
          <w:szCs w:val="21"/>
        </w:rPr>
        <w:t>建立、实施并保持能源管理体系。工厂的能源管理体系宜满足</w:t>
      </w:r>
      <w:r>
        <w:rPr>
          <w:rFonts w:eastAsiaTheme="minorEastAsia"/>
          <w:sz w:val="21"/>
          <w:szCs w:val="21"/>
        </w:rPr>
        <w:t>GB/T 23331</w:t>
      </w:r>
      <w:r>
        <w:rPr>
          <w:rFonts w:hAnsiTheme="minorEastAsia" w:eastAsiaTheme="minorEastAsia"/>
          <w:sz w:val="21"/>
          <w:szCs w:val="21"/>
        </w:rPr>
        <w:t>的要求</w:t>
      </w:r>
      <w:r>
        <w:rPr>
          <w:rFonts w:hint="eastAsia" w:hAnsiTheme="minorEastAsia" w:eastAsiaTheme="minorEastAsia"/>
          <w:sz w:val="21"/>
          <w:szCs w:val="21"/>
        </w:rPr>
        <w:t>，</w:t>
      </w:r>
      <w:r>
        <w:rPr>
          <w:rFonts w:hAnsiTheme="minorEastAsia" w:eastAsiaTheme="minorEastAsia"/>
          <w:sz w:val="21"/>
          <w:szCs w:val="21"/>
        </w:rPr>
        <w:t>并宜满足RB/T 117</w:t>
      </w:r>
      <w:r>
        <w:rPr>
          <w:rFonts w:hint="eastAsia" w:hAnsiTheme="minorEastAsia" w:eastAsiaTheme="minorEastAsia"/>
          <w:sz w:val="21"/>
          <w:szCs w:val="21"/>
        </w:rPr>
        <w:t>和</w:t>
      </w:r>
      <w:r>
        <w:rPr>
          <w:rFonts w:hAnsiTheme="minorEastAsia" w:eastAsiaTheme="minorEastAsia"/>
          <w:sz w:val="21"/>
          <w:szCs w:val="21"/>
        </w:rPr>
        <w:t>YS/T XXXX</w:t>
      </w:r>
      <w:r>
        <w:rPr>
          <w:rFonts w:hint="eastAsia" w:hAnsiTheme="minorEastAsia" w:eastAsiaTheme="minorEastAsia"/>
          <w:sz w:val="21"/>
          <w:szCs w:val="21"/>
        </w:rPr>
        <w:t>的</w:t>
      </w:r>
      <w:r>
        <w:rPr>
          <w:rFonts w:hAnsiTheme="minorEastAsia" w:eastAsiaTheme="minorEastAsia"/>
          <w:sz w:val="21"/>
          <w:szCs w:val="21"/>
        </w:rPr>
        <w:t>要求。</w:t>
      </w:r>
    </w:p>
    <w:p>
      <w:pPr>
        <w:pStyle w:val="16"/>
        <w:snapToGrid w:val="0"/>
        <w:spacing w:line="360" w:lineRule="exact"/>
        <w:ind w:left="-283" w:leftChars="-135" w:firstLine="0"/>
        <w:rPr>
          <w:rFonts w:eastAsiaTheme="minorEastAsia"/>
          <w:sz w:val="21"/>
          <w:szCs w:val="21"/>
        </w:rPr>
      </w:pPr>
      <w:r>
        <w:rPr>
          <w:rFonts w:eastAsiaTheme="minorEastAsia"/>
          <w:sz w:val="21"/>
          <w:szCs w:val="21"/>
        </w:rPr>
        <w:t xml:space="preserve">5.3.5 </w:t>
      </w:r>
      <w:r>
        <w:rPr>
          <w:rFonts w:hAnsiTheme="minorEastAsia" w:eastAsiaTheme="minorEastAsia"/>
          <w:sz w:val="21"/>
          <w:szCs w:val="21"/>
        </w:rPr>
        <w:t>测量管理体系</w:t>
      </w:r>
    </w:p>
    <w:p>
      <w:pPr>
        <w:pStyle w:val="16"/>
        <w:snapToGrid w:val="0"/>
        <w:spacing w:line="360" w:lineRule="exact"/>
        <w:ind w:left="-283" w:leftChars="-135" w:firstLine="0"/>
        <w:rPr>
          <w:rFonts w:eastAsiaTheme="minorEastAsia"/>
          <w:sz w:val="21"/>
          <w:szCs w:val="21"/>
        </w:rPr>
      </w:pPr>
      <w:r>
        <w:rPr>
          <w:rFonts w:hint="eastAsia" w:hAnsiTheme="minorEastAsia" w:eastAsiaTheme="minorEastAsia"/>
          <w:sz w:val="21"/>
          <w:szCs w:val="21"/>
        </w:rPr>
        <w:t xml:space="preserve">    </w:t>
      </w:r>
      <w:r>
        <w:rPr>
          <w:rFonts w:hAnsiTheme="minorEastAsia" w:eastAsiaTheme="minorEastAsia"/>
          <w:sz w:val="21"/>
          <w:szCs w:val="21"/>
        </w:rPr>
        <w:t>工厂</w:t>
      </w:r>
      <w:r>
        <w:rPr>
          <w:rFonts w:hint="eastAsia" w:hAnsiTheme="minorEastAsia" w:eastAsiaTheme="minorEastAsia"/>
          <w:sz w:val="21"/>
          <w:szCs w:val="21"/>
        </w:rPr>
        <w:t>应</w:t>
      </w:r>
      <w:r>
        <w:rPr>
          <w:rFonts w:hAnsiTheme="minorEastAsia" w:eastAsiaTheme="minorEastAsia"/>
          <w:sz w:val="21"/>
          <w:szCs w:val="21"/>
        </w:rPr>
        <w:t>建立、实施并保持测量管理体系。</w:t>
      </w:r>
      <w:bookmarkStart w:id="15" w:name="_Hlk520101871"/>
      <w:r>
        <w:rPr>
          <w:rFonts w:hAnsiTheme="minorEastAsia" w:eastAsiaTheme="minorEastAsia"/>
          <w:sz w:val="21"/>
          <w:szCs w:val="21"/>
        </w:rPr>
        <w:t>工厂测量管理体系宜满足</w:t>
      </w:r>
      <w:r>
        <w:rPr>
          <w:rFonts w:eastAsiaTheme="minorEastAsia"/>
          <w:sz w:val="21"/>
          <w:szCs w:val="21"/>
        </w:rPr>
        <w:t>GB/T 19022</w:t>
      </w:r>
      <w:r>
        <w:rPr>
          <w:rFonts w:hAnsiTheme="minorEastAsia" w:eastAsiaTheme="minorEastAsia"/>
          <w:sz w:val="21"/>
          <w:szCs w:val="21"/>
        </w:rPr>
        <w:t>的要求。</w:t>
      </w:r>
      <w:bookmarkEnd w:id="15"/>
    </w:p>
    <w:p>
      <w:pPr>
        <w:snapToGrid w:val="0"/>
        <w:spacing w:line="360" w:lineRule="exact"/>
        <w:ind w:left="-283" w:leftChars="-135" w:firstLine="0"/>
        <w:rPr>
          <w:color w:val="000000"/>
        </w:rPr>
      </w:pPr>
      <w:r>
        <w:rPr>
          <w:rFonts w:hint="eastAsia"/>
          <w:color w:val="000000"/>
        </w:rPr>
        <w:t>5.4 能源与资源</w:t>
      </w:r>
    </w:p>
    <w:p>
      <w:pPr>
        <w:snapToGrid w:val="0"/>
        <w:spacing w:line="360" w:lineRule="exact"/>
        <w:ind w:left="-283" w:leftChars="-135" w:firstLine="0"/>
        <w:rPr>
          <w:color w:val="000000"/>
        </w:rPr>
      </w:pPr>
      <w:r>
        <w:rPr>
          <w:rFonts w:hint="eastAsia"/>
          <w:color w:val="000000"/>
        </w:rPr>
        <w:t>5.4.1 能源投入</w:t>
      </w:r>
    </w:p>
    <w:p>
      <w:pPr>
        <w:snapToGrid w:val="0"/>
        <w:spacing w:line="360" w:lineRule="exact"/>
        <w:ind w:left="-283" w:leftChars="-135" w:firstLine="0"/>
        <w:rPr>
          <w:color w:val="000000"/>
        </w:rPr>
      </w:pPr>
      <w:r>
        <w:rPr>
          <w:rFonts w:hint="eastAsia"/>
          <w:color w:val="000000"/>
        </w:rPr>
        <w:t xml:space="preserve">    工厂应优化用能结构，在确保安全、质量的前提下减少不可再生能源投入，宜使用可再生能源替代不可再生能源，充分利用余热余压余能等。</w:t>
      </w:r>
    </w:p>
    <w:p>
      <w:pPr>
        <w:snapToGrid w:val="0"/>
        <w:spacing w:line="360" w:lineRule="exact"/>
        <w:ind w:left="-283" w:leftChars="-135" w:firstLine="0"/>
        <w:rPr>
          <w:color w:val="0070C0"/>
        </w:rPr>
      </w:pPr>
      <w:r>
        <w:rPr>
          <w:rFonts w:hint="eastAsia"/>
          <w:color w:val="0070C0"/>
        </w:rPr>
        <w:t>5.4.2 资源投入</w:t>
      </w:r>
    </w:p>
    <w:p>
      <w:pPr>
        <w:snapToGrid w:val="0"/>
        <w:spacing w:line="360" w:lineRule="exact"/>
        <w:ind w:left="-283" w:leftChars="-135" w:firstLine="0"/>
        <w:rPr>
          <w:color w:val="0070C0"/>
        </w:rPr>
      </w:pPr>
      <w:r>
        <w:rPr>
          <w:rFonts w:hint="eastAsia"/>
          <w:color w:val="0070C0"/>
        </w:rPr>
        <w:t xml:space="preserve">    工厂应按照GB 7119的要求对其开展节水评价工作。</w:t>
      </w:r>
    </w:p>
    <w:p>
      <w:pPr>
        <w:snapToGrid w:val="0"/>
        <w:spacing w:line="360" w:lineRule="exact"/>
        <w:ind w:left="-283" w:leftChars="-135" w:firstLine="0"/>
        <w:rPr>
          <w:color w:val="0070C0"/>
        </w:rPr>
      </w:pPr>
      <w:r>
        <w:rPr>
          <w:rFonts w:hint="eastAsia"/>
          <w:color w:val="0070C0"/>
        </w:rPr>
        <w:t xml:space="preserve">    工厂应减少材料、尤其是有害物质的使用，评估有害物质及化学品减量使用或替代的可行性，宜使用回收料、可回收材料替代原生材料、不可回收材料，宜替代或减少全球增温潜势较高温室气体的使用。工厂应按照GB/T 29115要求对其原材料使用量的减少进行评估。</w:t>
      </w:r>
    </w:p>
    <w:p>
      <w:pPr>
        <w:tabs>
          <w:tab w:val="left" w:pos="1509"/>
        </w:tabs>
        <w:snapToGrid w:val="0"/>
        <w:spacing w:line="360" w:lineRule="exact"/>
        <w:ind w:left="-283" w:leftChars="-135" w:firstLine="0"/>
        <w:rPr>
          <w:color w:val="000000"/>
        </w:rPr>
      </w:pPr>
      <w:r>
        <w:rPr>
          <w:rFonts w:hint="eastAsia"/>
          <w:color w:val="000000"/>
        </w:rPr>
        <w:t>5.4.3 采购</w:t>
      </w:r>
    </w:p>
    <w:p>
      <w:pPr>
        <w:snapToGrid w:val="0"/>
        <w:spacing w:line="360" w:lineRule="exact"/>
        <w:ind w:left="-283" w:leftChars="-135" w:firstLine="0"/>
        <w:rPr>
          <w:color w:val="000000"/>
        </w:rPr>
      </w:pPr>
      <w:r>
        <w:rPr>
          <w:rFonts w:hint="eastAsia"/>
          <w:color w:val="000000"/>
        </w:rPr>
        <w:t xml:space="preserve">    工厂应实施包括环保要求的选择、评价和重新评价供方的准则。</w:t>
      </w:r>
    </w:p>
    <w:p>
      <w:pPr>
        <w:snapToGrid w:val="0"/>
        <w:spacing w:line="360" w:lineRule="exact"/>
        <w:ind w:left="-283" w:leftChars="-135" w:firstLine="0"/>
        <w:rPr>
          <w:color w:val="000000"/>
        </w:rPr>
      </w:pPr>
      <w:r>
        <w:rPr>
          <w:rFonts w:hint="eastAsia"/>
          <w:color w:val="000000"/>
        </w:rPr>
        <w:t xml:space="preserve">    必要时，工厂向供方提供的采购信息应包括有害物质使用、可回收材料使用、能效等环保要求。</w:t>
      </w:r>
    </w:p>
    <w:p>
      <w:pPr>
        <w:snapToGrid w:val="0"/>
        <w:spacing w:line="360" w:lineRule="exact"/>
        <w:ind w:left="-283" w:leftChars="-135" w:firstLine="0"/>
        <w:rPr>
          <w:color w:val="000000"/>
        </w:rPr>
      </w:pPr>
      <w:r>
        <w:rPr>
          <w:rFonts w:hint="eastAsia"/>
          <w:color w:val="000000"/>
        </w:rPr>
        <w:t xml:space="preserve">    工厂应确定并实施检验或其他必要的活动，以确保采购的产品满足规定的采购要求。</w:t>
      </w:r>
    </w:p>
    <w:p>
      <w:pPr>
        <w:tabs>
          <w:tab w:val="right" w:pos="9354"/>
        </w:tabs>
        <w:snapToGrid w:val="0"/>
        <w:spacing w:line="360" w:lineRule="exact"/>
        <w:ind w:left="-283" w:leftChars="-135" w:firstLine="0"/>
        <w:rPr>
          <w:color w:val="000000"/>
        </w:rPr>
      </w:pPr>
      <w:r>
        <w:rPr>
          <w:rFonts w:hint="eastAsia"/>
          <w:color w:val="000000"/>
        </w:rPr>
        <w:t>5.5 产品</w:t>
      </w:r>
    </w:p>
    <w:p>
      <w:pPr>
        <w:tabs>
          <w:tab w:val="right" w:pos="9354"/>
        </w:tabs>
        <w:snapToGrid w:val="0"/>
        <w:spacing w:line="360" w:lineRule="exact"/>
        <w:ind w:left="-283" w:leftChars="-135" w:firstLine="0"/>
        <w:rPr>
          <w:color w:val="000000"/>
        </w:rPr>
      </w:pPr>
      <w:r>
        <w:rPr>
          <w:rFonts w:hint="eastAsia"/>
          <w:color w:val="000000"/>
        </w:rPr>
        <w:t>5.5.1 一般要求</w:t>
      </w:r>
    </w:p>
    <w:p>
      <w:pPr>
        <w:tabs>
          <w:tab w:val="right" w:pos="9354"/>
        </w:tabs>
        <w:snapToGrid w:val="0"/>
        <w:spacing w:line="360" w:lineRule="exact"/>
        <w:ind w:left="-283" w:leftChars="-135" w:firstLine="0"/>
        <w:rPr>
          <w:color w:val="000000"/>
        </w:rPr>
      </w:pPr>
      <w:r>
        <w:rPr>
          <w:rFonts w:hint="eastAsia"/>
          <w:color w:val="000000"/>
        </w:rPr>
        <w:t xml:space="preserve">    工厂宜生产符合绿色产品要求的产品。</w:t>
      </w:r>
    </w:p>
    <w:p>
      <w:pPr>
        <w:tabs>
          <w:tab w:val="right" w:pos="9354"/>
        </w:tabs>
        <w:snapToGrid w:val="0"/>
        <w:spacing w:line="360" w:lineRule="exact"/>
        <w:ind w:firstLine="0"/>
        <w:rPr>
          <w:color w:val="000000"/>
        </w:rPr>
      </w:pPr>
      <w:r>
        <w:rPr>
          <w:rFonts w:hint="eastAsia"/>
          <w:color w:val="000000"/>
        </w:rPr>
        <w:t>5.5.2 生态设计</w:t>
      </w:r>
    </w:p>
    <w:p>
      <w:pPr>
        <w:tabs>
          <w:tab w:val="right" w:pos="9354"/>
        </w:tabs>
        <w:snapToGrid w:val="0"/>
        <w:spacing w:line="360" w:lineRule="exact"/>
        <w:ind w:firstLine="0"/>
        <w:rPr>
          <w:color w:val="000000"/>
        </w:rPr>
      </w:pPr>
      <w:r>
        <w:rPr>
          <w:rFonts w:hint="eastAsia"/>
          <w:color w:val="000000"/>
        </w:rPr>
        <w:t xml:space="preserve">    工厂宜按照GB/T 24256对生产的产品进行生态设计，并按照GB/T 32161对生产的产品进行生态设计产品评价。</w:t>
      </w:r>
    </w:p>
    <w:p>
      <w:pPr>
        <w:tabs>
          <w:tab w:val="right" w:pos="9354"/>
        </w:tabs>
        <w:snapToGrid w:val="0"/>
        <w:spacing w:line="360" w:lineRule="exact"/>
        <w:ind w:firstLine="0"/>
        <w:rPr>
          <w:color w:val="0070C0"/>
        </w:rPr>
      </w:pPr>
      <w:r>
        <w:rPr>
          <w:rFonts w:hint="eastAsia"/>
          <w:color w:val="0070C0"/>
        </w:rPr>
        <w:t>5.5.3 有害物质使用</w:t>
      </w:r>
    </w:p>
    <w:p>
      <w:pPr>
        <w:tabs>
          <w:tab w:val="right" w:pos="9354"/>
        </w:tabs>
        <w:snapToGrid w:val="0"/>
        <w:spacing w:line="360" w:lineRule="exact"/>
        <w:ind w:firstLine="0"/>
        <w:rPr>
          <w:color w:val="0070C0"/>
        </w:rPr>
      </w:pPr>
      <w:r>
        <w:rPr>
          <w:rFonts w:hint="eastAsia"/>
          <w:color w:val="0070C0"/>
        </w:rPr>
        <w:t xml:space="preserve">    工厂生产的产品应减少有害物质的使用，避免有害物质的泄露。</w:t>
      </w:r>
    </w:p>
    <w:p>
      <w:pPr>
        <w:tabs>
          <w:tab w:val="right" w:pos="9354"/>
        </w:tabs>
        <w:snapToGrid w:val="0"/>
        <w:spacing w:line="360" w:lineRule="exact"/>
        <w:ind w:firstLine="0"/>
        <w:rPr>
          <w:color w:val="000000"/>
        </w:rPr>
      </w:pPr>
      <w:r>
        <w:rPr>
          <w:rFonts w:hint="eastAsia"/>
          <w:color w:val="000000"/>
        </w:rPr>
        <w:t>5.5.4 节能</w:t>
      </w:r>
    </w:p>
    <w:p>
      <w:pPr>
        <w:tabs>
          <w:tab w:val="right" w:pos="9354"/>
        </w:tabs>
        <w:snapToGrid w:val="0"/>
        <w:spacing w:line="360" w:lineRule="exact"/>
        <w:ind w:firstLine="0"/>
        <w:rPr>
          <w:color w:val="000000"/>
        </w:rPr>
      </w:pPr>
      <w:r>
        <w:rPr>
          <w:rFonts w:hint="eastAsia"/>
          <w:color w:val="000000"/>
        </w:rPr>
        <w:t xml:space="preserve">    工厂生产的产品生产</w:t>
      </w:r>
      <w:r>
        <w:rPr>
          <w:color w:val="000000"/>
        </w:rPr>
        <w:t>能耗</w:t>
      </w:r>
      <w:r>
        <w:rPr>
          <w:rFonts w:hint="eastAsia"/>
          <w:color w:val="000000"/>
        </w:rPr>
        <w:t>应满足GB</w:t>
      </w:r>
      <w:r>
        <w:rPr>
          <w:color w:val="000000"/>
        </w:rPr>
        <w:t xml:space="preserve"> 21350</w:t>
      </w:r>
      <w:r>
        <w:rPr>
          <w:rFonts w:hint="eastAsia"/>
          <w:color w:val="000000"/>
        </w:rPr>
        <w:t>的限定值要求，并努力达到先进值</w:t>
      </w:r>
      <w:r>
        <w:rPr>
          <w:color w:val="000000"/>
        </w:rPr>
        <w:t>的要求</w:t>
      </w:r>
      <w:r>
        <w:rPr>
          <w:rFonts w:hint="eastAsia"/>
          <w:color w:val="000000"/>
        </w:rPr>
        <w:t>。</w:t>
      </w:r>
    </w:p>
    <w:p>
      <w:pPr>
        <w:tabs>
          <w:tab w:val="right" w:pos="9354"/>
        </w:tabs>
        <w:snapToGrid w:val="0"/>
        <w:spacing w:line="360" w:lineRule="exact"/>
        <w:ind w:firstLine="0"/>
        <w:rPr>
          <w:color w:val="0070C0"/>
        </w:rPr>
      </w:pPr>
      <w:r>
        <w:rPr>
          <w:rFonts w:hint="eastAsia"/>
          <w:color w:val="0070C0"/>
        </w:rPr>
        <w:t>5.5.5 减排</w:t>
      </w:r>
    </w:p>
    <w:p>
      <w:pPr>
        <w:tabs>
          <w:tab w:val="right" w:pos="9354"/>
        </w:tabs>
        <w:snapToGrid w:val="0"/>
        <w:spacing w:line="360" w:lineRule="exact"/>
        <w:ind w:firstLine="0"/>
        <w:rPr>
          <w:color w:val="0070C0"/>
        </w:rPr>
      </w:pPr>
      <w:r>
        <w:rPr>
          <w:rFonts w:hint="eastAsia"/>
          <w:color w:val="0070C0"/>
        </w:rPr>
        <w:t xml:space="preserve">    工厂宜采用适用的标准或规范对产品进行碳足迹核算或核查，核查结果宜对外公布，并利用核算或核查结果对其产品的碳足迹进行改善。适用时，产品宜满足相关低碳产品要求。</w:t>
      </w:r>
    </w:p>
    <w:p>
      <w:pPr>
        <w:tabs>
          <w:tab w:val="right" w:pos="9354"/>
        </w:tabs>
        <w:snapToGrid w:val="0"/>
        <w:spacing w:line="360" w:lineRule="exact"/>
        <w:ind w:firstLine="0"/>
        <w:rPr>
          <w:color w:val="0070C0"/>
        </w:rPr>
      </w:pPr>
      <w:r>
        <w:rPr>
          <w:rFonts w:hint="eastAsia"/>
          <w:color w:val="0070C0"/>
        </w:rPr>
        <w:t>5.5.6 可回收利用率</w:t>
      </w:r>
    </w:p>
    <w:p>
      <w:pPr>
        <w:tabs>
          <w:tab w:val="right" w:pos="9354"/>
        </w:tabs>
        <w:snapToGrid w:val="0"/>
        <w:spacing w:line="360" w:lineRule="exact"/>
        <w:ind w:firstLine="0"/>
        <w:rPr>
          <w:color w:val="0070C0"/>
        </w:rPr>
      </w:pPr>
      <w:r>
        <w:rPr>
          <w:rFonts w:hint="eastAsia"/>
          <w:color w:val="0070C0"/>
        </w:rPr>
        <w:t xml:space="preserve">    工厂宜按照GB/T 20862 的要求计算其产品的可回收利用率，并利用计算结果对产品的可回收利用率进行改善。</w:t>
      </w:r>
    </w:p>
    <w:p>
      <w:pPr>
        <w:tabs>
          <w:tab w:val="right" w:pos="9354"/>
        </w:tabs>
        <w:snapToGrid w:val="0"/>
        <w:spacing w:line="360" w:lineRule="exact"/>
        <w:ind w:firstLine="0"/>
        <w:rPr>
          <w:color w:val="000000"/>
        </w:rPr>
      </w:pPr>
      <w:r>
        <w:rPr>
          <w:rFonts w:hint="eastAsia"/>
          <w:color w:val="000000"/>
        </w:rPr>
        <w:t xml:space="preserve">5.6 环境排放 </w:t>
      </w:r>
      <w:r>
        <w:rPr>
          <w:color w:val="000000"/>
        </w:rPr>
        <w:tab/>
      </w:r>
    </w:p>
    <w:p>
      <w:pPr>
        <w:snapToGrid w:val="0"/>
        <w:spacing w:line="360" w:lineRule="exact"/>
        <w:ind w:firstLine="0"/>
        <w:rPr>
          <w:color w:val="000000"/>
        </w:rPr>
      </w:pPr>
      <w:r>
        <w:rPr>
          <w:rFonts w:hint="eastAsia"/>
          <w:color w:val="000000"/>
        </w:rPr>
        <w:t>5.6.1 大气污染物</w:t>
      </w:r>
    </w:p>
    <w:p>
      <w:pPr>
        <w:snapToGrid w:val="0"/>
        <w:spacing w:line="360" w:lineRule="exact"/>
        <w:ind w:firstLine="0"/>
        <w:rPr>
          <w:color w:val="000000"/>
        </w:rPr>
      </w:pPr>
      <w:r>
        <w:rPr>
          <w:rFonts w:hint="eastAsia"/>
          <w:color w:val="000000"/>
        </w:rPr>
        <w:t xml:space="preserve">    工厂的大气污染物排放应符合相关国家标准、行业标准及地方标准要求，并满足区域内排放总量控制要求。</w:t>
      </w:r>
    </w:p>
    <w:p>
      <w:pPr>
        <w:snapToGrid w:val="0"/>
        <w:spacing w:line="360" w:lineRule="exact"/>
        <w:ind w:firstLine="0"/>
        <w:rPr>
          <w:color w:val="000000"/>
        </w:rPr>
      </w:pPr>
      <w:r>
        <w:rPr>
          <w:rFonts w:hint="eastAsia"/>
          <w:color w:val="000000"/>
        </w:rPr>
        <w:t>5.6.2 水体污染物</w:t>
      </w:r>
    </w:p>
    <w:p>
      <w:pPr>
        <w:snapToGrid w:val="0"/>
        <w:spacing w:line="360" w:lineRule="exact"/>
        <w:ind w:firstLine="0"/>
        <w:rPr>
          <w:color w:val="0070C0"/>
        </w:rPr>
      </w:pPr>
      <w:r>
        <w:rPr>
          <w:rFonts w:hint="eastAsia"/>
          <w:color w:val="0070C0"/>
        </w:rPr>
        <w:t xml:space="preserve">    工厂的水体污染物排放应符合相关国家标准、行业标准及地方标准要求，或在满足要求的前提下委托具备相应能力和资质的处理厂进行处理，并满足区域内排放总量控制要求。</w:t>
      </w:r>
    </w:p>
    <w:p>
      <w:pPr>
        <w:snapToGrid w:val="0"/>
        <w:spacing w:line="360" w:lineRule="exact"/>
        <w:ind w:firstLine="0"/>
        <w:rPr>
          <w:color w:val="0070C0"/>
        </w:rPr>
      </w:pPr>
      <w:r>
        <w:rPr>
          <w:rFonts w:hint="eastAsia"/>
          <w:color w:val="0070C0"/>
        </w:rPr>
        <w:t>5.6.3 固体污染物</w:t>
      </w:r>
    </w:p>
    <w:p>
      <w:pPr>
        <w:snapToGrid w:val="0"/>
        <w:spacing w:line="360" w:lineRule="exact"/>
        <w:ind w:firstLine="0"/>
        <w:rPr>
          <w:color w:val="0070C0"/>
        </w:rPr>
      </w:pPr>
      <w:r>
        <w:rPr>
          <w:rFonts w:hint="eastAsia"/>
          <w:color w:val="0070C0"/>
        </w:rPr>
        <w:t xml:space="preserve">    工厂产生的固体废弃物的处理应符合GB 18599、</w:t>
      </w:r>
      <w:r>
        <w:rPr>
          <w:color w:val="0070C0"/>
        </w:rPr>
        <w:t>GB 18597</w:t>
      </w:r>
      <w:r>
        <w:rPr>
          <w:rFonts w:hint="eastAsia"/>
          <w:color w:val="0070C0"/>
        </w:rPr>
        <w:t>及相关标准的要求。工厂无法自行处理的，应将固体废弃物转交给具备相应能力和资质的处理厂进行处理。</w:t>
      </w:r>
    </w:p>
    <w:p>
      <w:pPr>
        <w:snapToGrid w:val="0"/>
        <w:spacing w:line="360" w:lineRule="exact"/>
        <w:ind w:firstLine="0"/>
        <w:rPr>
          <w:color w:val="000000"/>
        </w:rPr>
      </w:pPr>
      <w:r>
        <w:rPr>
          <w:rFonts w:hint="eastAsia"/>
          <w:color w:val="000000"/>
        </w:rPr>
        <w:t>5.6.4 噪声</w:t>
      </w:r>
    </w:p>
    <w:p>
      <w:pPr>
        <w:snapToGrid w:val="0"/>
        <w:spacing w:line="360" w:lineRule="exact"/>
        <w:ind w:firstLine="0"/>
        <w:rPr>
          <w:color w:val="000000"/>
        </w:rPr>
      </w:pPr>
      <w:r>
        <w:rPr>
          <w:rFonts w:hint="eastAsia"/>
          <w:color w:val="000000"/>
        </w:rPr>
        <w:t xml:space="preserve">    工厂的厂界环境噪声排放应符合GB</w:t>
      </w:r>
      <w:r>
        <w:rPr>
          <w:color w:val="000000"/>
        </w:rPr>
        <w:t xml:space="preserve"> 12348</w:t>
      </w:r>
      <w:r>
        <w:rPr>
          <w:rFonts w:hint="eastAsia"/>
          <w:color w:val="000000"/>
        </w:rPr>
        <w:t>及相关行业标准和地方标准要求。</w:t>
      </w:r>
    </w:p>
    <w:p>
      <w:pPr>
        <w:snapToGrid w:val="0"/>
        <w:spacing w:line="360" w:lineRule="exact"/>
        <w:ind w:firstLine="0"/>
        <w:rPr>
          <w:color w:val="000000"/>
        </w:rPr>
      </w:pPr>
      <w:r>
        <w:rPr>
          <w:rFonts w:hint="eastAsia"/>
          <w:color w:val="000000"/>
        </w:rPr>
        <w:t>5.6.5 温室气体</w:t>
      </w:r>
    </w:p>
    <w:p>
      <w:pPr>
        <w:snapToGrid w:val="0"/>
        <w:spacing w:line="360" w:lineRule="exact"/>
        <w:ind w:firstLine="0"/>
        <w:rPr>
          <w:color w:val="000000"/>
        </w:rPr>
      </w:pPr>
      <w:r>
        <w:rPr>
          <w:rFonts w:hint="eastAsia"/>
          <w:color w:val="000000"/>
        </w:rPr>
        <w:t xml:space="preserve">    工厂应采用GB/T 32150或适用的标准或规范对其厂界范围内的温室气体排放</w:t>
      </w:r>
      <w:bookmarkStart w:id="16" w:name="_GoBack"/>
      <w:bookmarkEnd w:id="16"/>
      <w:r>
        <w:rPr>
          <w:rFonts w:hint="eastAsia"/>
          <w:color w:val="000000"/>
        </w:rPr>
        <w:t>进行核算和报告，宜进行核查，核查结果宜对外公布。可行时，工厂应利用核算或核查结果对其温室气体的排放进行改善。</w:t>
      </w:r>
    </w:p>
    <w:p>
      <w:pPr>
        <w:snapToGrid w:val="0"/>
        <w:spacing w:line="360" w:lineRule="exact"/>
        <w:ind w:firstLine="0"/>
        <w:rPr>
          <w:color w:val="000000"/>
        </w:rPr>
      </w:pPr>
      <w:r>
        <w:rPr>
          <w:rFonts w:hint="eastAsia"/>
          <w:color w:val="000000"/>
        </w:rPr>
        <w:t>5.7 绩效</w:t>
      </w:r>
    </w:p>
    <w:p>
      <w:pPr>
        <w:snapToGrid w:val="0"/>
        <w:spacing w:line="360" w:lineRule="exact"/>
        <w:ind w:firstLine="0"/>
        <w:rPr>
          <w:color w:val="000000"/>
        </w:rPr>
      </w:pPr>
      <w:r>
        <w:rPr>
          <w:rFonts w:hint="eastAsia"/>
          <w:color w:val="000000"/>
        </w:rPr>
        <w:t xml:space="preserve">5.7.1 一般要求 </w:t>
      </w:r>
    </w:p>
    <w:p>
      <w:pPr>
        <w:snapToGrid w:val="0"/>
        <w:spacing w:line="360" w:lineRule="exact"/>
        <w:ind w:firstLine="0"/>
        <w:rPr>
          <w:color w:val="0070C0"/>
        </w:rPr>
      </w:pPr>
      <w:r>
        <w:rPr>
          <w:color w:val="0070C0"/>
        </w:rPr>
        <w:t>5.7.1.1</w:t>
      </w:r>
      <w:r>
        <w:rPr>
          <w:rFonts w:hint="eastAsia"/>
          <w:color w:val="0070C0"/>
        </w:rPr>
        <w:t>工厂应依据GB/T</w:t>
      </w:r>
      <w:r>
        <w:rPr>
          <w:color w:val="0070C0"/>
        </w:rPr>
        <w:t xml:space="preserve"> </w:t>
      </w:r>
      <w:r>
        <w:rPr>
          <w:rFonts w:hint="eastAsia"/>
          <w:color w:val="0070C0"/>
        </w:rPr>
        <w:t>36132附录A提供的方法计算或评价其绩效，并利用结果进行绩效改善。适用时，绩效指标应至少满足铜及铜合金管材行业准入要求，综合绩效指标应达到行业先进水平。</w:t>
      </w:r>
    </w:p>
    <w:p>
      <w:pPr>
        <w:snapToGrid w:val="0"/>
        <w:spacing w:line="360" w:lineRule="exact"/>
        <w:ind w:firstLine="0"/>
        <w:rPr>
          <w:color w:val="000000"/>
        </w:rPr>
      </w:pPr>
      <w:r>
        <w:rPr>
          <w:rFonts w:hint="eastAsia"/>
          <w:color w:val="000000"/>
        </w:rPr>
        <w:t>5.7.1.2 绩效统计和计算应选取和覆盖能够反映工厂绩效水平的完整周期，至少包括不超过评价前一自然年度连续的12个月。</w:t>
      </w:r>
    </w:p>
    <w:p>
      <w:pPr>
        <w:snapToGrid w:val="0"/>
        <w:spacing w:line="360" w:lineRule="exact"/>
        <w:ind w:firstLine="0"/>
        <w:rPr>
          <w:color w:val="000000"/>
        </w:rPr>
      </w:pPr>
      <w:r>
        <w:rPr>
          <w:rFonts w:hint="eastAsia"/>
          <w:color w:val="000000"/>
        </w:rPr>
        <w:t>5.7.2 用地集约化</w:t>
      </w:r>
    </w:p>
    <w:p>
      <w:pPr>
        <w:snapToGrid w:val="0"/>
        <w:spacing w:line="360" w:lineRule="exact"/>
        <w:ind w:firstLine="0"/>
        <w:rPr>
          <w:color w:val="000000"/>
        </w:rPr>
      </w:pPr>
      <w:r>
        <w:rPr>
          <w:rFonts w:hint="eastAsia"/>
          <w:color w:val="000000"/>
        </w:rPr>
        <w:t>5.7.2.1 建设项目用地应符合国家现行有关建设项目用地的规定，工厂应按GB/T 3613</w:t>
      </w:r>
      <w:r>
        <w:rPr>
          <w:color w:val="000000"/>
        </w:rPr>
        <w:t>2</w:t>
      </w:r>
      <w:r>
        <w:rPr>
          <w:rFonts w:hint="eastAsia"/>
          <w:color w:val="000000"/>
        </w:rPr>
        <w:t>附录</w:t>
      </w:r>
      <w:r>
        <w:rPr>
          <w:color w:val="000000"/>
        </w:rPr>
        <w:t>A</w:t>
      </w:r>
      <w:r>
        <w:rPr>
          <w:rFonts w:hint="eastAsia"/>
          <w:color w:val="000000"/>
        </w:rPr>
        <w:t>计算容积率和建筑密度。</w:t>
      </w:r>
      <w:r>
        <w:rPr>
          <w:color w:val="000000"/>
        </w:rPr>
        <w:t>建筑</w:t>
      </w:r>
      <w:r>
        <w:rPr>
          <w:rFonts w:hint="eastAsia"/>
          <w:color w:val="000000"/>
        </w:rPr>
        <w:t>容积率</w:t>
      </w:r>
      <w:r>
        <w:rPr>
          <w:color w:val="000000"/>
        </w:rPr>
        <w:t>不应小于</w:t>
      </w:r>
      <w:r>
        <w:rPr>
          <w:rFonts w:hint="eastAsia"/>
          <w:color w:val="000000"/>
        </w:rPr>
        <w:t>0.6。</w:t>
      </w:r>
    </w:p>
    <w:p>
      <w:pPr>
        <w:snapToGrid w:val="0"/>
        <w:spacing w:line="360" w:lineRule="exact"/>
        <w:ind w:firstLine="0"/>
        <w:rPr>
          <w:color w:val="000000"/>
        </w:rPr>
      </w:pPr>
      <w:r>
        <w:rPr>
          <w:rFonts w:hint="eastAsia"/>
          <w:color w:val="000000"/>
        </w:rPr>
        <w:t>5.7.2.2</w:t>
      </w:r>
      <w:r>
        <w:rPr>
          <w:color w:val="000000"/>
        </w:rPr>
        <w:t xml:space="preserve"> </w:t>
      </w:r>
      <w:r>
        <w:rPr>
          <w:rFonts w:hint="eastAsia"/>
          <w:color w:val="000000"/>
        </w:rPr>
        <w:t>单位用地面积产值不应低于地方发布的单位用地面积产值的要求。未发布单位用地面积产值的地区，单位用地面积产值应超过本年度所在省市的单位用地面积产值的</w:t>
      </w:r>
      <w:r>
        <w:rPr>
          <w:color w:val="000000"/>
        </w:rPr>
        <w:t>平均水平</w:t>
      </w:r>
      <w:r>
        <w:rPr>
          <w:rFonts w:hint="eastAsia"/>
          <w:color w:val="000000"/>
        </w:rPr>
        <w:t>。</w:t>
      </w:r>
    </w:p>
    <w:p>
      <w:pPr>
        <w:snapToGrid w:val="0"/>
        <w:spacing w:line="360" w:lineRule="exact"/>
        <w:ind w:firstLine="0"/>
        <w:rPr>
          <w:color w:val="000000"/>
        </w:rPr>
      </w:pPr>
      <w:r>
        <w:rPr>
          <w:rFonts w:hint="eastAsia"/>
          <w:color w:val="000000"/>
        </w:rPr>
        <w:t>5.7.3 原料无害化</w:t>
      </w:r>
    </w:p>
    <w:p>
      <w:pPr>
        <w:snapToGrid w:val="0"/>
        <w:spacing w:line="360" w:lineRule="exact"/>
        <w:ind w:left="-283" w:leftChars="-135" w:firstLine="0"/>
        <w:rPr>
          <w:color w:val="000000"/>
        </w:rPr>
      </w:pPr>
      <w:r>
        <w:rPr>
          <w:color w:val="000000"/>
        </w:rPr>
        <w:t xml:space="preserve">5.7.3.1 </w:t>
      </w:r>
      <w:r>
        <w:rPr>
          <w:rFonts w:hint="eastAsia"/>
          <w:color w:val="000000"/>
        </w:rPr>
        <w:t>工厂应采用GB/T 36132附录A的方法计算绿色物料使用率。</w:t>
      </w:r>
    </w:p>
    <w:p>
      <w:pPr>
        <w:snapToGrid w:val="0"/>
        <w:spacing w:line="360" w:lineRule="exact"/>
        <w:ind w:left="-283" w:leftChars="-135" w:firstLine="0"/>
        <w:rPr>
          <w:color w:val="0070C0"/>
        </w:rPr>
      </w:pPr>
      <w:r>
        <w:rPr>
          <w:rFonts w:hint="eastAsia"/>
          <w:color w:val="0070C0"/>
        </w:rPr>
        <w:t>5.7.3.</w:t>
      </w:r>
      <w:r>
        <w:rPr>
          <w:color w:val="0070C0"/>
        </w:rPr>
        <w:t>2</w:t>
      </w:r>
      <w:r>
        <w:rPr>
          <w:rFonts w:hint="eastAsia"/>
          <w:color w:val="0070C0"/>
        </w:rPr>
        <w:t xml:space="preserve"> 绿色物料应选自省级以上政府相关部门发布的资源综合利用产品目录、有毒有害原料（产品）替代目录，并应对其进行统计与识别。 </w:t>
      </w:r>
    </w:p>
    <w:p>
      <w:pPr>
        <w:snapToGrid w:val="0"/>
        <w:spacing w:line="360" w:lineRule="exact"/>
        <w:ind w:left="-283" w:leftChars="-135" w:firstLine="0"/>
        <w:rPr>
          <w:color w:val="0070C0"/>
        </w:rPr>
      </w:pPr>
      <w:r>
        <w:rPr>
          <w:rFonts w:hint="eastAsia"/>
          <w:color w:val="0070C0"/>
        </w:rPr>
        <w:t>5.7.3.</w:t>
      </w:r>
      <w:r>
        <w:rPr>
          <w:color w:val="0070C0"/>
        </w:rPr>
        <w:t>3</w:t>
      </w:r>
      <w:r>
        <w:rPr>
          <w:rFonts w:hint="eastAsia"/>
          <w:color w:val="0070C0"/>
        </w:rPr>
        <w:t>适用时，工厂宜使用铜及铜合金二次资源作为原材料进行资源综合利用，如利用再生资源及产业废弃物等作为原料，提高铜及铜合金二次资源利用率。</w:t>
      </w:r>
    </w:p>
    <w:p>
      <w:pPr>
        <w:snapToGrid w:val="0"/>
        <w:spacing w:line="360" w:lineRule="exact"/>
        <w:ind w:left="-283" w:leftChars="-135" w:firstLine="0"/>
        <w:rPr>
          <w:color w:val="000000"/>
        </w:rPr>
      </w:pPr>
      <w:r>
        <w:rPr>
          <w:rFonts w:hint="eastAsia"/>
          <w:color w:val="000000"/>
        </w:rPr>
        <w:t>5.7.4 生产洁净化</w:t>
      </w:r>
    </w:p>
    <w:p>
      <w:pPr>
        <w:snapToGrid w:val="0"/>
        <w:spacing w:line="360" w:lineRule="exact"/>
        <w:ind w:left="-283" w:leftChars="-135" w:firstLine="0"/>
        <w:rPr>
          <w:color w:val="000000"/>
        </w:rPr>
      </w:pPr>
      <w:r>
        <w:rPr>
          <w:color w:val="000000"/>
        </w:rPr>
        <w:t xml:space="preserve">5.7.4.1 </w:t>
      </w:r>
      <w:r>
        <w:rPr>
          <w:rFonts w:hint="eastAsia"/>
          <w:color w:val="000000"/>
        </w:rPr>
        <w:t>工厂应采用GB/T 36132附录A的方法计算单位产品主要污染物产生量、单位产品废气产生量、单位产品废水产生量。</w:t>
      </w:r>
    </w:p>
    <w:p>
      <w:pPr>
        <w:snapToGrid w:val="0"/>
        <w:spacing w:line="360" w:lineRule="exact"/>
        <w:ind w:left="-283" w:leftChars="-135" w:firstLine="0"/>
        <w:rPr>
          <w:color w:val="000000"/>
        </w:rPr>
      </w:pPr>
      <w:r>
        <w:rPr>
          <w:rFonts w:hint="eastAsia"/>
          <w:color w:val="000000"/>
        </w:rPr>
        <w:t>5.7.4.</w:t>
      </w:r>
      <w:r>
        <w:rPr>
          <w:color w:val="000000"/>
        </w:rPr>
        <w:t>2</w:t>
      </w:r>
      <w:r>
        <w:rPr>
          <w:rFonts w:hint="eastAsia"/>
          <w:color w:val="0070C0"/>
        </w:rPr>
        <w:t>单位产品主要污染物产生量、单位产品废气产生量、单位产品废水产生量应达到铜及铜合金管材生产行业的国内清洁生产先进水平，</w:t>
      </w:r>
      <w:r>
        <w:rPr>
          <w:rFonts w:hint="eastAsia"/>
          <w:color w:val="000000"/>
        </w:rPr>
        <w:t>未明确具体水平指标的，应采用其他对比方式，证明其达到国内先进水平；</w:t>
      </w:r>
    </w:p>
    <w:p>
      <w:pPr>
        <w:snapToGrid w:val="0"/>
        <w:spacing w:line="360" w:lineRule="exact"/>
        <w:ind w:left="-283" w:leftChars="-135" w:firstLine="0"/>
        <w:rPr>
          <w:color w:val="000000"/>
        </w:rPr>
      </w:pPr>
      <w:r>
        <w:rPr>
          <w:rFonts w:hint="eastAsia"/>
          <w:color w:val="000000"/>
        </w:rPr>
        <w:t>5.7.5 废物资源化</w:t>
      </w:r>
    </w:p>
    <w:p>
      <w:pPr>
        <w:snapToGrid w:val="0"/>
        <w:spacing w:line="360" w:lineRule="exact"/>
        <w:ind w:left="-283" w:leftChars="-135" w:firstLine="0"/>
        <w:rPr>
          <w:color w:val="0070C0"/>
        </w:rPr>
      </w:pPr>
      <w:r>
        <w:rPr>
          <w:color w:val="000000"/>
        </w:rPr>
        <w:t xml:space="preserve">5.7.5.1 </w:t>
      </w:r>
      <w:r>
        <w:rPr>
          <w:rFonts w:hint="eastAsia"/>
          <w:color w:val="000000"/>
        </w:rPr>
        <w:t>工厂应采用GB/T 36132附录A的方法计算单位</w:t>
      </w:r>
      <w:r>
        <w:rPr>
          <w:rFonts w:hint="eastAsia"/>
          <w:color w:val="0070C0"/>
        </w:rPr>
        <w:t>产品主要原材料消耗量、工业固体废弃物综合利用率、废水回用率。</w:t>
      </w:r>
    </w:p>
    <w:p>
      <w:pPr>
        <w:snapToGrid w:val="0"/>
        <w:spacing w:line="360" w:lineRule="exact"/>
        <w:ind w:left="-283" w:leftChars="-135" w:firstLine="0"/>
        <w:rPr>
          <w:color w:val="000000"/>
        </w:rPr>
      </w:pPr>
      <w:r>
        <w:rPr>
          <w:rFonts w:hint="eastAsia"/>
          <w:color w:val="000000"/>
        </w:rPr>
        <w:t>5.7.5.</w:t>
      </w:r>
      <w:r>
        <w:rPr>
          <w:color w:val="000000"/>
        </w:rPr>
        <w:t>2</w:t>
      </w:r>
      <w:r>
        <w:rPr>
          <w:rFonts w:hint="eastAsia"/>
          <w:color w:val="000000"/>
        </w:rPr>
        <w:t>单</w:t>
      </w:r>
      <w:r>
        <w:rPr>
          <w:rFonts w:hint="eastAsia"/>
          <w:color w:val="0070C0"/>
        </w:rPr>
        <w:t>位产品的主要原材料消耗量、工业固体废物综合利用率、废水回用率应达到铜及铜合金管材</w:t>
      </w:r>
      <w:r>
        <w:rPr>
          <w:color w:val="0070C0"/>
        </w:rPr>
        <w:t>生产</w:t>
      </w:r>
      <w:r>
        <w:rPr>
          <w:rFonts w:hint="eastAsia"/>
          <w:color w:val="0070C0"/>
        </w:rPr>
        <w:t>行业的国内清洁生产先进水平，</w:t>
      </w:r>
      <w:r>
        <w:rPr>
          <w:rFonts w:hint="eastAsia"/>
          <w:color w:val="000000"/>
        </w:rPr>
        <w:t>未明确具体水平指标的，应采用其他对比方式，证明其达到国内先进水平。</w:t>
      </w:r>
    </w:p>
    <w:p>
      <w:pPr>
        <w:snapToGrid w:val="0"/>
        <w:spacing w:line="360" w:lineRule="exact"/>
        <w:ind w:left="-283" w:leftChars="-135" w:firstLine="0"/>
        <w:rPr>
          <w:color w:val="000000"/>
        </w:rPr>
      </w:pPr>
      <w:r>
        <w:rPr>
          <w:rFonts w:hint="eastAsia"/>
          <w:color w:val="000000"/>
        </w:rPr>
        <w:t>5.7.6 能源低碳化</w:t>
      </w:r>
    </w:p>
    <w:p>
      <w:pPr>
        <w:snapToGrid w:val="0"/>
        <w:spacing w:line="360" w:lineRule="exact"/>
        <w:ind w:left="-283" w:leftChars="-135" w:firstLine="0"/>
        <w:rPr>
          <w:color w:val="000000"/>
        </w:rPr>
      </w:pPr>
      <w:r>
        <w:rPr>
          <w:color w:val="000000"/>
        </w:rPr>
        <w:t>5.7.6.1</w:t>
      </w:r>
      <w:r>
        <w:rPr>
          <w:rFonts w:hint="eastAsia"/>
          <w:color w:val="000000"/>
        </w:rPr>
        <w:t>工厂应采用GB/T 36132附录A的方法计算单位产品综合能耗、单位产品碳排放量。</w:t>
      </w:r>
    </w:p>
    <w:p>
      <w:pPr>
        <w:snapToGrid w:val="0"/>
        <w:spacing w:line="360" w:lineRule="exact"/>
        <w:ind w:left="-283" w:leftChars="-135" w:firstLine="0"/>
        <w:rPr>
          <w:color w:val="0070C0"/>
        </w:rPr>
      </w:pPr>
      <w:r>
        <w:rPr>
          <w:rFonts w:hint="eastAsia"/>
          <w:color w:val="000000"/>
        </w:rPr>
        <w:t>5.7.6.</w:t>
      </w:r>
      <w:r>
        <w:rPr>
          <w:color w:val="000000"/>
        </w:rPr>
        <w:t>2</w:t>
      </w:r>
      <w:r>
        <w:rPr>
          <w:rFonts w:hint="eastAsia"/>
          <w:color w:val="0070C0"/>
        </w:rPr>
        <w:t>工厂的单位产品综合能耗应优于铜及铜合金管材</w:t>
      </w:r>
      <w:r>
        <w:rPr>
          <w:color w:val="0070C0"/>
        </w:rPr>
        <w:t>生产</w:t>
      </w:r>
      <w:r>
        <w:rPr>
          <w:rFonts w:hint="eastAsia"/>
          <w:color w:val="0070C0"/>
        </w:rPr>
        <w:t>行业相关的能耗限额准入值，应达到相关清洁生产评价指标体系中的国内清洁生产先进水平，未明确具体水平指标的，应采用其他对比方式，证明其达到国内先进水平；</w:t>
      </w:r>
    </w:p>
    <w:p>
      <w:pPr>
        <w:snapToGrid w:val="0"/>
        <w:spacing w:line="360" w:lineRule="exact"/>
        <w:ind w:left="-283" w:leftChars="-135" w:firstLine="0"/>
        <w:rPr>
          <w:color w:val="0070C0"/>
        </w:rPr>
      </w:pPr>
      <w:r>
        <w:rPr>
          <w:rFonts w:hint="eastAsia"/>
          <w:color w:val="000000"/>
        </w:rPr>
        <w:t xml:space="preserve">5.7.6.3 </w:t>
      </w:r>
      <w:r>
        <w:rPr>
          <w:rFonts w:hint="eastAsia"/>
          <w:color w:val="0070C0"/>
        </w:rPr>
        <w:t>工厂的单位产品碳排放量应依据GB/T 32150及适用的标准进行测算，单位产品碳排放量宜逐年下降。</w:t>
      </w:r>
    </w:p>
    <w:p>
      <w:pPr>
        <w:snapToGrid w:val="0"/>
        <w:spacing w:line="360" w:lineRule="exact"/>
        <w:ind w:left="-283" w:leftChars="-135" w:firstLine="0"/>
        <w:rPr>
          <w:color w:val="000000"/>
        </w:rPr>
      </w:pPr>
    </w:p>
    <w:p>
      <w:pPr>
        <w:snapToGrid w:val="0"/>
        <w:spacing w:line="360" w:lineRule="exact"/>
        <w:ind w:left="-283" w:leftChars="-135" w:firstLine="0"/>
        <w:rPr>
          <w:color w:val="000000"/>
        </w:rPr>
      </w:pPr>
      <w:r>
        <w:rPr>
          <w:rFonts w:hint="eastAsia"/>
          <w:color w:val="000000"/>
        </w:rPr>
        <w:t>6 评价程序</w:t>
      </w:r>
    </w:p>
    <w:p>
      <w:pPr>
        <w:pStyle w:val="16"/>
        <w:snapToGrid w:val="0"/>
        <w:spacing w:line="360" w:lineRule="exact"/>
        <w:ind w:left="-283" w:leftChars="-135" w:firstLine="426"/>
        <w:rPr>
          <w:rFonts w:hAnsi="宋体"/>
          <w:sz w:val="21"/>
          <w:szCs w:val="21"/>
        </w:rPr>
      </w:pPr>
      <w:r>
        <w:rPr>
          <w:rFonts w:hint="eastAsia" w:hAnsi="宋体"/>
          <w:sz w:val="21"/>
          <w:szCs w:val="21"/>
        </w:rPr>
        <w:t>评价应建立规范的评价工作流程，包括但</w:t>
      </w:r>
      <w:r>
        <w:rPr>
          <w:rFonts w:hAnsi="宋体"/>
          <w:sz w:val="21"/>
          <w:szCs w:val="21"/>
        </w:rPr>
        <w:t>不限于</w:t>
      </w:r>
      <w:r>
        <w:rPr>
          <w:rFonts w:hint="eastAsia" w:hAnsi="宋体"/>
          <w:sz w:val="21"/>
          <w:szCs w:val="21"/>
        </w:rPr>
        <w:t>评价准备、组建评价工作组、制定评价方案、预评价、现场评价、编制评价报告、技术评审等。</w:t>
      </w:r>
    </w:p>
    <w:p>
      <w:pPr>
        <w:snapToGrid w:val="0"/>
        <w:spacing w:line="360" w:lineRule="exact"/>
        <w:ind w:left="-283" w:leftChars="-135" w:firstLine="0"/>
        <w:rPr>
          <w:color w:val="000000"/>
        </w:rPr>
      </w:pPr>
    </w:p>
    <w:p>
      <w:pPr>
        <w:snapToGrid w:val="0"/>
        <w:spacing w:line="360" w:lineRule="exact"/>
        <w:ind w:left="-283" w:leftChars="-135" w:firstLine="0"/>
        <w:rPr>
          <w:color w:val="000000"/>
        </w:rPr>
      </w:pPr>
      <w:r>
        <w:rPr>
          <w:rFonts w:hint="eastAsia"/>
          <w:color w:val="000000"/>
        </w:rPr>
        <w:t>7 评价报告</w:t>
      </w:r>
    </w:p>
    <w:p>
      <w:pPr>
        <w:pStyle w:val="16"/>
        <w:snapToGrid w:val="0"/>
        <w:spacing w:line="360" w:lineRule="exact"/>
        <w:ind w:left="-283" w:leftChars="-135" w:firstLine="0"/>
        <w:rPr>
          <w:rFonts w:hAnsi="宋体"/>
          <w:sz w:val="21"/>
          <w:szCs w:val="21"/>
        </w:rPr>
      </w:pPr>
      <w:r>
        <w:rPr>
          <w:rFonts w:hint="eastAsia"/>
          <w:color w:val="000000"/>
        </w:rPr>
        <w:t xml:space="preserve">    </w:t>
      </w:r>
      <w:r>
        <w:rPr>
          <w:rFonts w:hint="eastAsia" w:hAnsi="宋体"/>
          <w:sz w:val="21"/>
          <w:szCs w:val="21"/>
        </w:rPr>
        <w:t>评价报告内容包括但不限于：</w:t>
      </w:r>
    </w:p>
    <w:p>
      <w:pPr>
        <w:pStyle w:val="16"/>
        <w:snapToGrid w:val="0"/>
        <w:spacing w:line="360" w:lineRule="exact"/>
        <w:ind w:left="-283" w:leftChars="-135" w:firstLine="420"/>
        <w:rPr>
          <w:rFonts w:hAnsi="宋体"/>
          <w:sz w:val="21"/>
          <w:szCs w:val="21"/>
        </w:rPr>
      </w:pPr>
      <w:r>
        <w:rPr>
          <w:rFonts w:hint="eastAsia" w:hAnsi="宋体"/>
          <w:sz w:val="21"/>
          <w:szCs w:val="21"/>
        </w:rPr>
        <w:t>a）实施评价的组织方式；</w:t>
      </w:r>
    </w:p>
    <w:p>
      <w:pPr>
        <w:pStyle w:val="16"/>
        <w:snapToGrid w:val="0"/>
        <w:spacing w:line="360" w:lineRule="exact"/>
        <w:ind w:left="-283" w:leftChars="-135" w:firstLine="420"/>
        <w:rPr>
          <w:rFonts w:hAnsi="宋体"/>
          <w:sz w:val="21"/>
          <w:szCs w:val="21"/>
        </w:rPr>
      </w:pPr>
      <w:r>
        <w:rPr>
          <w:rFonts w:hint="eastAsia" w:hAnsi="宋体"/>
          <w:sz w:val="21"/>
          <w:szCs w:val="21"/>
        </w:rPr>
        <w:t>b）评价目的、范围及准则；</w:t>
      </w:r>
    </w:p>
    <w:p>
      <w:pPr>
        <w:pStyle w:val="16"/>
        <w:snapToGrid w:val="0"/>
        <w:spacing w:line="360" w:lineRule="exact"/>
        <w:ind w:left="-283" w:leftChars="-135" w:firstLine="420"/>
        <w:rPr>
          <w:rFonts w:hAnsi="宋体"/>
          <w:sz w:val="21"/>
          <w:szCs w:val="21"/>
        </w:rPr>
      </w:pPr>
      <w:r>
        <w:rPr>
          <w:rFonts w:hint="eastAsia" w:hAnsi="宋体"/>
          <w:sz w:val="21"/>
          <w:szCs w:val="21"/>
        </w:rPr>
        <w:t>c）评价过程，主要包括评价组织安排、文件评审情况、现场评价情况、评价报告编制及内部技术评审情况；</w:t>
      </w:r>
    </w:p>
    <w:p>
      <w:pPr>
        <w:pStyle w:val="16"/>
        <w:snapToGrid w:val="0"/>
        <w:spacing w:line="360" w:lineRule="exact"/>
        <w:ind w:left="-283" w:leftChars="-135" w:firstLine="420"/>
        <w:rPr>
          <w:rFonts w:hAnsi="宋体"/>
          <w:sz w:val="21"/>
          <w:szCs w:val="21"/>
        </w:rPr>
      </w:pPr>
      <w:r>
        <w:rPr>
          <w:rFonts w:hint="eastAsia" w:hAnsi="宋体"/>
          <w:sz w:val="21"/>
          <w:szCs w:val="21"/>
        </w:rPr>
        <w:t>d）评价内容，包括一般要求、基础设施、管理体系、能源资源投入、产品、环境排放、绩效等；</w:t>
      </w:r>
    </w:p>
    <w:p>
      <w:pPr>
        <w:pStyle w:val="16"/>
        <w:snapToGrid w:val="0"/>
        <w:spacing w:line="360" w:lineRule="exact"/>
        <w:ind w:left="-283" w:leftChars="-135" w:firstLine="420"/>
        <w:rPr>
          <w:rFonts w:hAnsi="宋体"/>
          <w:sz w:val="21"/>
          <w:szCs w:val="21"/>
        </w:rPr>
      </w:pPr>
      <w:r>
        <w:rPr>
          <w:rFonts w:hint="eastAsia" w:hAnsi="宋体"/>
          <w:sz w:val="21"/>
          <w:szCs w:val="21"/>
        </w:rPr>
        <w:t>e）评价证明材料的核实情况，包括证明文件和数据真实性、计算范围及计算方法、相关计量设备和有关标准的执行情况等；</w:t>
      </w:r>
    </w:p>
    <w:p>
      <w:pPr>
        <w:pStyle w:val="16"/>
        <w:snapToGrid w:val="0"/>
        <w:spacing w:line="360" w:lineRule="exact"/>
        <w:ind w:left="-283" w:leftChars="-135" w:firstLine="420"/>
        <w:rPr>
          <w:rFonts w:hAnsi="宋体"/>
          <w:sz w:val="21"/>
          <w:szCs w:val="21"/>
        </w:rPr>
      </w:pPr>
      <w:r>
        <w:rPr>
          <w:rFonts w:hint="eastAsia" w:hAnsi="宋体"/>
          <w:sz w:val="21"/>
          <w:szCs w:val="21"/>
        </w:rPr>
        <w:t>f）评价识别的问题；</w:t>
      </w:r>
    </w:p>
    <w:p>
      <w:pPr>
        <w:pStyle w:val="16"/>
        <w:snapToGrid w:val="0"/>
        <w:spacing w:line="360" w:lineRule="exact"/>
        <w:ind w:left="0" w:leftChars="0" w:firstLine="424" w:firstLineChars="202"/>
        <w:rPr>
          <w:rFonts w:hAnsi="宋体"/>
          <w:sz w:val="21"/>
          <w:szCs w:val="21"/>
        </w:rPr>
      </w:pPr>
      <w:r>
        <w:rPr>
          <w:rFonts w:hint="eastAsia" w:hAnsi="宋体"/>
          <w:sz w:val="21"/>
          <w:szCs w:val="21"/>
        </w:rPr>
        <w:t>g）评价识别的工厂主要创建做法、工作亮点等；</w:t>
      </w:r>
    </w:p>
    <w:p>
      <w:pPr>
        <w:pStyle w:val="16"/>
        <w:snapToGrid w:val="0"/>
        <w:spacing w:line="360" w:lineRule="exact"/>
        <w:ind w:left="-283" w:leftChars="-135" w:firstLine="735" w:firstLineChars="350"/>
        <w:rPr>
          <w:rFonts w:hAnsi="宋体"/>
          <w:sz w:val="21"/>
          <w:szCs w:val="21"/>
        </w:rPr>
      </w:pPr>
      <w:r>
        <w:rPr>
          <w:rFonts w:hint="eastAsia" w:hAnsi="宋体"/>
          <w:sz w:val="21"/>
          <w:szCs w:val="21"/>
        </w:rPr>
        <w:t>h）对持续创建绿色工厂提出的下一步工作计划或建议；</w:t>
      </w:r>
    </w:p>
    <w:p>
      <w:pPr>
        <w:pStyle w:val="16"/>
        <w:snapToGrid w:val="0"/>
        <w:spacing w:line="360" w:lineRule="exact"/>
        <w:ind w:left="-283" w:leftChars="-135" w:firstLine="735" w:firstLineChars="350"/>
        <w:rPr>
          <w:rFonts w:hAnsi="宋体"/>
          <w:sz w:val="21"/>
          <w:szCs w:val="21"/>
        </w:rPr>
      </w:pPr>
      <w:r>
        <w:rPr>
          <w:rFonts w:hint="eastAsia" w:hAnsi="宋体"/>
          <w:sz w:val="21"/>
          <w:szCs w:val="21"/>
        </w:rPr>
        <w:t>i）相关支持材料。</w:t>
      </w:r>
    </w:p>
    <w:p>
      <w:pPr>
        <w:snapToGrid w:val="0"/>
        <w:spacing w:line="360" w:lineRule="exact"/>
        <w:ind w:firstLine="0"/>
        <w:rPr>
          <w:color w:val="000000"/>
        </w:rPr>
      </w:pPr>
    </w:p>
    <w:p>
      <w:pPr>
        <w:snapToGrid w:val="0"/>
        <w:spacing w:line="360" w:lineRule="exact"/>
        <w:ind w:firstLine="0"/>
        <w:rPr>
          <w:color w:val="000000"/>
        </w:rPr>
      </w:pPr>
    </w:p>
    <w:p>
      <w:pPr>
        <w:snapToGrid w:val="0"/>
        <w:spacing w:line="360" w:lineRule="exact"/>
        <w:ind w:firstLine="0"/>
        <w:rPr>
          <w:color w:val="000000"/>
        </w:rPr>
      </w:pPr>
    </w:p>
    <w:p>
      <w:pPr>
        <w:snapToGrid w:val="0"/>
        <w:spacing w:line="360" w:lineRule="exact"/>
        <w:ind w:firstLine="0"/>
        <w:rPr>
          <w:color w:val="000000"/>
        </w:rPr>
      </w:pPr>
    </w:p>
    <w:p>
      <w:pPr>
        <w:snapToGrid w:val="0"/>
        <w:spacing w:line="360" w:lineRule="exact"/>
        <w:ind w:firstLine="0"/>
        <w:rPr>
          <w:color w:val="000000"/>
        </w:rPr>
      </w:pPr>
    </w:p>
    <w:p>
      <w:pPr>
        <w:snapToGrid w:val="0"/>
        <w:spacing w:line="360" w:lineRule="exact"/>
        <w:ind w:firstLine="0"/>
        <w:rPr>
          <w:color w:val="000000"/>
        </w:rPr>
      </w:pPr>
    </w:p>
    <w:p>
      <w:pPr>
        <w:snapToGrid w:val="0"/>
        <w:spacing w:line="360" w:lineRule="exact"/>
        <w:ind w:firstLine="0"/>
        <w:rPr>
          <w:color w:val="000000"/>
        </w:rPr>
        <w:sectPr>
          <w:pgSz w:w="11906" w:h="16838"/>
          <w:pgMar w:top="1134" w:right="1134" w:bottom="1134" w:left="1418" w:header="851" w:footer="992" w:gutter="0"/>
          <w:cols w:space="425" w:num="1"/>
          <w:docGrid w:type="lines" w:linePitch="326" w:charSpace="0"/>
        </w:sectPr>
      </w:pPr>
    </w:p>
    <w:p>
      <w:pPr>
        <w:snapToGrid w:val="0"/>
        <w:spacing w:line="360" w:lineRule="exact"/>
        <w:ind w:firstLine="0"/>
        <w:jc w:val="center"/>
        <w:rPr>
          <w:color w:val="000000"/>
        </w:rPr>
      </w:pPr>
      <w:r>
        <w:rPr>
          <w:rFonts w:hint="eastAsia"/>
          <w:color w:val="000000"/>
        </w:rPr>
        <w:t>附录A</w:t>
      </w:r>
    </w:p>
    <w:p>
      <w:pPr>
        <w:snapToGrid w:val="0"/>
        <w:spacing w:line="360" w:lineRule="exact"/>
        <w:ind w:firstLine="0"/>
        <w:jc w:val="center"/>
        <w:rPr>
          <w:color w:val="000000"/>
        </w:rPr>
      </w:pPr>
      <w:r>
        <w:rPr>
          <w:rFonts w:hint="eastAsia"/>
          <w:color w:val="000000"/>
        </w:rPr>
        <w:t>（规范性附录）</w:t>
      </w:r>
    </w:p>
    <w:p>
      <w:pPr>
        <w:snapToGrid w:val="0"/>
        <w:spacing w:line="360" w:lineRule="exact"/>
        <w:ind w:firstLine="0"/>
        <w:jc w:val="center"/>
        <w:rPr>
          <w:color w:val="000000"/>
        </w:rPr>
      </w:pPr>
      <w:r>
        <w:rPr>
          <w:rFonts w:hint="eastAsia"/>
          <w:color w:val="000000"/>
        </w:rPr>
        <w:t>铜及铜合金管材生产绿色工厂评价指标</w:t>
      </w:r>
    </w:p>
    <w:p>
      <w:pPr>
        <w:snapToGrid w:val="0"/>
        <w:spacing w:line="360" w:lineRule="exact"/>
        <w:ind w:firstLine="0"/>
        <w:rPr>
          <w:color w:val="000000"/>
        </w:rPr>
      </w:pPr>
      <w:r>
        <w:rPr>
          <w:rFonts w:hint="eastAsia"/>
          <w:color w:val="000000"/>
        </w:rPr>
        <w:t xml:space="preserve">    铜及铜合金管材生产绿色工厂评价指标见表1</w:t>
      </w:r>
    </w:p>
    <w:p>
      <w:pPr>
        <w:spacing w:line="360" w:lineRule="auto"/>
        <w:ind w:firstLine="420" w:firstLineChars="200"/>
        <w:jc w:val="center"/>
        <w:rPr>
          <w:rFonts w:ascii="黑体" w:hAnsi="宋体" w:eastAsia="黑体"/>
          <w:bCs/>
          <w:szCs w:val="21"/>
        </w:rPr>
      </w:pPr>
      <w:r>
        <w:rPr>
          <w:rFonts w:hint="eastAsia" w:ascii="黑体" w:hAnsi="宋体" w:eastAsia="黑体"/>
          <w:bCs/>
          <w:szCs w:val="21"/>
        </w:rPr>
        <w:t>表A</w:t>
      </w:r>
      <w:r>
        <w:rPr>
          <w:rFonts w:ascii="黑体" w:hAnsi="宋体" w:eastAsia="黑体"/>
          <w:bCs/>
          <w:szCs w:val="21"/>
        </w:rPr>
        <w:t xml:space="preserve">.1 </w:t>
      </w:r>
      <w:r>
        <w:rPr>
          <w:rFonts w:hint="eastAsia" w:ascii="黑体" w:hAnsi="宋体" w:eastAsia="黑体"/>
          <w:bCs/>
          <w:szCs w:val="21"/>
        </w:rPr>
        <w:t>铜及铜合金生产绿色工厂评价指标</w:t>
      </w:r>
    </w:p>
    <w:tbl>
      <w:tblPr>
        <w:tblStyle w:val="18"/>
        <w:tblW w:w="5000" w:type="pct"/>
        <w:tblInd w:w="0" w:type="dxa"/>
        <w:tblLayout w:type="autofit"/>
        <w:tblCellMar>
          <w:top w:w="0" w:type="dxa"/>
          <w:left w:w="108" w:type="dxa"/>
          <w:bottom w:w="0" w:type="dxa"/>
          <w:right w:w="108" w:type="dxa"/>
        </w:tblCellMar>
      </w:tblPr>
      <w:tblGrid>
        <w:gridCol w:w="707"/>
        <w:gridCol w:w="810"/>
        <w:gridCol w:w="1085"/>
        <w:gridCol w:w="10403"/>
        <w:gridCol w:w="1005"/>
        <w:gridCol w:w="776"/>
      </w:tblGrid>
      <w:tr>
        <w:tblPrEx>
          <w:tblCellMar>
            <w:top w:w="0" w:type="dxa"/>
            <w:left w:w="108" w:type="dxa"/>
            <w:bottom w:w="0" w:type="dxa"/>
            <w:right w:w="108" w:type="dxa"/>
          </w:tblCellMar>
        </w:tblPrEx>
        <w:trPr>
          <w:trHeight w:val="270" w:hRule="atLeast"/>
          <w:tblHeader/>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rPr>
                <w:b/>
                <w:bCs/>
                <w:szCs w:val="21"/>
              </w:rPr>
            </w:pPr>
            <w:r>
              <w:rPr>
                <w:rFonts w:hAnsi="宋体"/>
                <w:b/>
                <w:bCs/>
                <w:szCs w:val="21"/>
              </w:rPr>
              <w:t>序号</w:t>
            </w:r>
          </w:p>
        </w:tc>
        <w:tc>
          <w:tcPr>
            <w:tcW w:w="274" w:type="pct"/>
            <w:tcBorders>
              <w:top w:val="single" w:color="auto" w:sz="4" w:space="0"/>
              <w:left w:val="nil"/>
              <w:bottom w:val="single" w:color="auto" w:sz="4" w:space="0"/>
              <w:right w:val="single" w:color="auto" w:sz="4" w:space="0"/>
            </w:tcBorders>
            <w:shd w:val="clear" w:color="auto" w:fill="auto"/>
            <w:vAlign w:val="center"/>
          </w:tcPr>
          <w:p>
            <w:pPr>
              <w:ind w:firstLine="0"/>
              <w:jc w:val="center"/>
              <w:rPr>
                <w:b/>
                <w:bCs/>
                <w:szCs w:val="21"/>
              </w:rPr>
            </w:pPr>
            <w:r>
              <w:rPr>
                <w:rFonts w:hAnsi="宋体"/>
                <w:b/>
                <w:bCs/>
                <w:szCs w:val="21"/>
              </w:rPr>
              <w:t>一级指标</w:t>
            </w:r>
          </w:p>
        </w:tc>
        <w:tc>
          <w:tcPr>
            <w:tcW w:w="367" w:type="pct"/>
            <w:tcBorders>
              <w:top w:val="single" w:color="auto" w:sz="4" w:space="0"/>
              <w:left w:val="nil"/>
              <w:bottom w:val="single" w:color="auto" w:sz="4" w:space="0"/>
              <w:right w:val="single" w:color="auto" w:sz="4" w:space="0"/>
            </w:tcBorders>
            <w:shd w:val="clear" w:color="auto" w:fill="auto"/>
            <w:vAlign w:val="center"/>
          </w:tcPr>
          <w:p>
            <w:pPr>
              <w:ind w:firstLine="0"/>
              <w:jc w:val="center"/>
              <w:rPr>
                <w:b/>
                <w:bCs/>
                <w:szCs w:val="21"/>
              </w:rPr>
            </w:pPr>
            <w:r>
              <w:rPr>
                <w:rFonts w:hAnsi="宋体"/>
                <w:b/>
                <w:bCs/>
                <w:szCs w:val="21"/>
              </w:rPr>
              <w:t>二级指标</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jc w:val="center"/>
              <w:rPr>
                <w:b/>
                <w:bCs/>
                <w:szCs w:val="21"/>
              </w:rPr>
            </w:pPr>
            <w:r>
              <w:rPr>
                <w:rFonts w:hint="eastAsia" w:hAnsi="宋体"/>
                <w:b/>
                <w:bCs/>
                <w:szCs w:val="21"/>
              </w:rPr>
              <w:t>评价</w:t>
            </w:r>
            <w:r>
              <w:rPr>
                <w:rFonts w:hAnsi="宋体"/>
                <w:b/>
                <w:bCs/>
                <w:szCs w:val="21"/>
              </w:rPr>
              <w:t>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rFonts w:hAnsi="宋体"/>
                <w:b/>
                <w:bCs/>
                <w:szCs w:val="21"/>
              </w:rPr>
            </w:pPr>
            <w:r>
              <w:rPr>
                <w:rFonts w:hint="eastAsia" w:hAnsi="宋体"/>
                <w:b/>
                <w:bCs/>
                <w:szCs w:val="21"/>
              </w:rPr>
              <w:t>要求</w:t>
            </w:r>
          </w:p>
          <w:p>
            <w:pPr>
              <w:ind w:firstLine="0"/>
              <w:jc w:val="center"/>
              <w:rPr>
                <w:rFonts w:hAnsi="宋体"/>
                <w:b/>
                <w:bCs/>
                <w:szCs w:val="21"/>
              </w:rPr>
            </w:pPr>
            <w:r>
              <w:rPr>
                <w:rFonts w:hint="eastAsia" w:hAnsi="宋体"/>
                <w:b/>
                <w:bCs/>
                <w:szCs w:val="21"/>
              </w:rPr>
              <w:t>类型</w:t>
            </w:r>
          </w:p>
        </w:tc>
        <w:tc>
          <w:tcPr>
            <w:tcW w:w="262" w:type="pct"/>
            <w:tcBorders>
              <w:top w:val="single" w:color="auto" w:sz="4" w:space="0"/>
              <w:left w:val="nil"/>
              <w:bottom w:val="single" w:color="auto" w:sz="4" w:space="0"/>
              <w:right w:val="single" w:color="auto" w:sz="4" w:space="0"/>
            </w:tcBorders>
            <w:shd w:val="clear" w:color="auto" w:fill="auto"/>
            <w:vAlign w:val="center"/>
          </w:tcPr>
          <w:p>
            <w:pPr>
              <w:ind w:firstLine="0"/>
              <w:jc w:val="center"/>
              <w:rPr>
                <w:b/>
                <w:bCs/>
                <w:szCs w:val="21"/>
              </w:rPr>
            </w:pPr>
            <w:r>
              <w:rPr>
                <w:rFonts w:hAnsi="宋体"/>
                <w:b/>
                <w:bCs/>
                <w:szCs w:val="21"/>
              </w:rPr>
              <w:t>权重</w:t>
            </w:r>
          </w:p>
        </w:tc>
      </w:tr>
      <w:tr>
        <w:tblPrEx>
          <w:tblCellMar>
            <w:top w:w="0" w:type="dxa"/>
            <w:left w:w="108" w:type="dxa"/>
            <w:bottom w:w="0" w:type="dxa"/>
            <w:right w:w="108" w:type="dxa"/>
          </w:tblCellMar>
        </w:tblPrEx>
        <w:trPr>
          <w:trHeight w:val="493" w:hRule="atLeast"/>
        </w:trPr>
        <w:tc>
          <w:tcPr>
            <w:tcW w:w="239"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0</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int="eastAsia" w:hAnsi="宋体"/>
                <w:szCs w:val="21"/>
              </w:rPr>
              <w:t>基本</w:t>
            </w:r>
            <w:r>
              <w:rPr>
                <w:rFonts w:hAnsi="宋体"/>
                <w:szCs w:val="21"/>
              </w:rPr>
              <w:t>要求</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管理职责</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最高管理者应分派绿色工厂相关的职责和权限，确保相关资源的获得，并承诺和确保满足绿色工厂评价要求。</w:t>
            </w:r>
          </w:p>
        </w:tc>
        <w:tc>
          <w:tcPr>
            <w:tcW w:w="340" w:type="pct"/>
            <w:vMerge w:val="restart"/>
            <w:tcBorders>
              <w:top w:val="single" w:color="auto" w:sz="4" w:space="0"/>
              <w:left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一票否决</w:t>
            </w:r>
          </w:p>
        </w:tc>
      </w:tr>
      <w:tr>
        <w:tblPrEx>
          <w:tblCellMar>
            <w:top w:w="0" w:type="dxa"/>
            <w:left w:w="108" w:type="dxa"/>
            <w:bottom w:w="0" w:type="dxa"/>
            <w:right w:w="108" w:type="dxa"/>
          </w:tblCellMar>
        </w:tblPrEx>
        <w:trPr>
          <w:trHeight w:val="514"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工厂应设有绿色工厂管理机构，负责有关绿色制造的制度建设、实施、考核及奖励工作，建立目标责任制。</w:t>
            </w:r>
          </w:p>
        </w:tc>
        <w:tc>
          <w:tcPr>
            <w:tcW w:w="340" w:type="pct"/>
            <w:vMerge w:val="continue"/>
            <w:tcBorders>
              <w:left w:val="single" w:color="auto" w:sz="4" w:space="0"/>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r>
      <w:tr>
        <w:tblPrEx>
          <w:tblCellMar>
            <w:top w:w="0" w:type="dxa"/>
            <w:left w:w="108" w:type="dxa"/>
            <w:bottom w:w="0" w:type="dxa"/>
            <w:right w:w="108" w:type="dxa"/>
          </w:tblCellMar>
        </w:tblPrEx>
        <w:trPr>
          <w:trHeight w:val="409"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工厂应有绿色工厂建设中长期规划及量化的年度目标和实施方案。</w:t>
            </w:r>
          </w:p>
        </w:tc>
        <w:tc>
          <w:tcPr>
            <w:tcW w:w="340" w:type="pct"/>
            <w:vMerge w:val="continue"/>
            <w:tcBorders>
              <w:left w:val="single" w:color="auto" w:sz="4" w:space="0"/>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r>
      <w:tr>
        <w:tblPrEx>
          <w:tblCellMar>
            <w:top w:w="0" w:type="dxa"/>
            <w:left w:w="108" w:type="dxa"/>
            <w:bottom w:w="0" w:type="dxa"/>
            <w:right w:w="108" w:type="dxa"/>
          </w:tblCellMar>
        </w:tblPrEx>
        <w:trPr>
          <w:trHeight w:val="526"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工厂定期提供绿色工厂相关教育、培训，并评估教育和培训结果。</w:t>
            </w:r>
          </w:p>
        </w:tc>
        <w:tc>
          <w:tcPr>
            <w:tcW w:w="340" w:type="pct"/>
            <w:vMerge w:val="continue"/>
            <w:tcBorders>
              <w:left w:val="single" w:color="auto" w:sz="4" w:space="0"/>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nil"/>
              <w:left w:val="single" w:color="auto" w:sz="4" w:space="0"/>
              <w:bottom w:val="single" w:color="000000" w:sz="4" w:space="0"/>
              <w:right w:val="single" w:color="auto" w:sz="4" w:space="0"/>
            </w:tcBorders>
            <w:shd w:val="clear" w:color="auto" w:fill="auto"/>
            <w:vAlign w:val="center"/>
          </w:tcPr>
          <w:p>
            <w:pPr>
              <w:ind w:firstLine="0"/>
              <w:rPr>
                <w:szCs w:val="21"/>
              </w:rPr>
            </w:pPr>
            <w:r>
              <w:rPr>
                <w:rFonts w:hAnsi="宋体"/>
                <w:szCs w:val="21"/>
              </w:rPr>
              <w:t>合规性与相关方要求</w:t>
            </w: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szCs w:val="21"/>
              </w:rPr>
              <w:t>工厂应依法设立在建设和生产过程中应遵守有关法律、法规、政策和标准；</w:t>
            </w:r>
          </w:p>
        </w:tc>
        <w:tc>
          <w:tcPr>
            <w:tcW w:w="340" w:type="pct"/>
            <w:vMerge w:val="restart"/>
            <w:tcBorders>
              <w:top w:val="single" w:color="auto" w:sz="4" w:space="0"/>
              <w:left w:val="nil"/>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ind w:firstLine="0"/>
              <w:jc w:val="center"/>
              <w:rPr>
                <w:szCs w:val="21"/>
              </w:rPr>
            </w:pPr>
            <w:r>
              <w:rPr>
                <w:rFonts w:hAnsi="宋体"/>
                <w:szCs w:val="21"/>
              </w:rPr>
              <w:t>一票否决</w:t>
            </w: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szCs w:val="21"/>
              </w:rPr>
              <w:t>近三年（含成立不足三年）无较大安全、环保、质量等事故；</w:t>
            </w:r>
          </w:p>
        </w:tc>
        <w:tc>
          <w:tcPr>
            <w:tcW w:w="340" w:type="pct"/>
            <w:vMerge w:val="continue"/>
            <w:tcBorders>
              <w:left w:val="nil"/>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工厂能源消耗指标应满足铜及铜合金管材行业执行的强制性能耗限额标准限定值的要求；</w:t>
            </w:r>
          </w:p>
        </w:tc>
        <w:tc>
          <w:tcPr>
            <w:tcW w:w="340" w:type="pct"/>
            <w:vMerge w:val="continue"/>
            <w:tcBorders>
              <w:left w:val="nil"/>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工厂各种污染物排放指标应符合国家、地方现行有关标准对铜及铜合金管材行业的要求；</w:t>
            </w:r>
          </w:p>
        </w:tc>
        <w:tc>
          <w:tcPr>
            <w:tcW w:w="340" w:type="pct"/>
            <w:vMerge w:val="continue"/>
            <w:tcBorders>
              <w:left w:val="nil"/>
              <w:bottom w:val="single" w:color="auto" w:sz="4" w:space="0"/>
              <w:right w:val="single" w:color="auto" w:sz="4" w:space="0"/>
            </w:tcBorders>
            <w:vAlign w:val="center"/>
          </w:tcPr>
          <w:p>
            <w:pPr>
              <w:ind w:firstLine="0"/>
              <w:jc w:val="center"/>
              <w:rPr>
                <w:szCs w:val="21"/>
              </w:rPr>
            </w:pP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720" w:hRule="atLeast"/>
        </w:trPr>
        <w:tc>
          <w:tcPr>
            <w:tcW w:w="239"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1</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基础设施</w:t>
            </w:r>
          </w:p>
        </w:tc>
        <w:tc>
          <w:tcPr>
            <w:tcW w:w="367" w:type="pct"/>
            <w:vMerge w:val="restart"/>
            <w:tcBorders>
              <w:top w:val="nil"/>
              <w:left w:val="single" w:color="auto" w:sz="4" w:space="0"/>
              <w:bottom w:val="single" w:color="000000" w:sz="4" w:space="0"/>
              <w:right w:val="single" w:color="auto" w:sz="4" w:space="0"/>
            </w:tcBorders>
            <w:shd w:val="clear" w:color="auto" w:fill="auto"/>
            <w:vAlign w:val="center"/>
          </w:tcPr>
          <w:p>
            <w:pPr>
              <w:ind w:firstLine="0"/>
              <w:rPr>
                <w:szCs w:val="21"/>
              </w:rPr>
            </w:pPr>
            <w:r>
              <w:rPr>
                <w:rFonts w:hAnsi="宋体"/>
                <w:szCs w:val="21"/>
              </w:rPr>
              <w:t>建筑</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工厂的建筑应从建筑材料、建筑结构、采光照明、绿化及场地、再生资源及能源利用等方面进行建筑的节材、节能、节水、节地、无害化及可再生能源利用。</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000000" w:sz="4" w:space="0"/>
              <w:right w:val="single" w:color="auto" w:sz="4" w:space="0"/>
            </w:tcBorders>
            <w:shd w:val="clear" w:color="auto" w:fill="auto"/>
            <w:vAlign w:val="center"/>
          </w:tcPr>
          <w:p>
            <w:pPr>
              <w:ind w:firstLine="0"/>
              <w:jc w:val="center"/>
              <w:rPr>
                <w:szCs w:val="21"/>
              </w:rPr>
            </w:pPr>
            <w:r>
              <w:rPr>
                <w:rFonts w:hint="eastAsia"/>
                <w:szCs w:val="21"/>
              </w:rPr>
              <w:t>2</w:t>
            </w:r>
            <w:r>
              <w:rPr>
                <w:szCs w:val="21"/>
              </w:rPr>
              <w:t>0%</w:t>
            </w: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工厂应集约利用厂区，在满足生产工艺前提下，优先采用联合厂房、多层建筑、高层建筑等。</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nil"/>
              <w:left w:val="single" w:color="auto" w:sz="4" w:space="0"/>
              <w:right w:val="single" w:color="auto" w:sz="4" w:space="0"/>
            </w:tcBorders>
            <w:vAlign w:val="center"/>
          </w:tcPr>
          <w:p>
            <w:pPr>
              <w:ind w:firstLine="0"/>
              <w:rPr>
                <w:szCs w:val="21"/>
              </w:rPr>
            </w:pPr>
            <w:r>
              <w:rPr>
                <w:rFonts w:hint="eastAsia"/>
                <w:szCs w:val="21"/>
              </w:rPr>
              <w:t>照明</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工厂厂区及各房间或场所的照明应尽量考虑使用自然光，功率密度、照度等参数应符合</w:t>
            </w:r>
            <w:r>
              <w:rPr>
                <w:szCs w:val="21"/>
              </w:rPr>
              <w:t>GB 50034</w:t>
            </w:r>
            <w:r>
              <w:rPr>
                <w:rFonts w:hint="eastAsia"/>
                <w:szCs w:val="21"/>
              </w:rPr>
              <w:t>规定；</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left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不同的场所的照明应进行分级设计；</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公共场所的照明宜采取分区、分组与定时自动调光等措施。</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nil"/>
              <w:left w:val="single" w:color="auto" w:sz="4" w:space="0"/>
              <w:right w:val="single" w:color="auto" w:sz="4" w:space="0"/>
            </w:tcBorders>
            <w:vAlign w:val="center"/>
          </w:tcPr>
          <w:p>
            <w:pPr>
              <w:ind w:firstLine="0"/>
              <w:rPr>
                <w:szCs w:val="21"/>
              </w:rPr>
            </w:pPr>
            <w:r>
              <w:rPr>
                <w:rFonts w:hint="eastAsia"/>
                <w:szCs w:val="21"/>
              </w:rPr>
              <w:t>专用设备</w:t>
            </w: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szCs w:val="21"/>
              </w:rPr>
              <w:t>工厂</w:t>
            </w:r>
            <w:r>
              <w:rPr>
                <w:rFonts w:hint="eastAsia"/>
                <w:color w:val="000000"/>
              </w:rPr>
              <w:t>应符合产业准入要求，降低能源与资源消耗，减少污染物排放。</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szCs w:val="21"/>
              </w:rPr>
              <w:t>工厂新、改和扩建时，装置等生产设施的生产工艺、建设规模应符合国家、地方相关产业政策等要求。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right w:val="single" w:color="auto" w:sz="4" w:space="0"/>
            </w:tcBorders>
            <w:vAlign w:val="center"/>
          </w:tcPr>
          <w:p>
            <w:pPr>
              <w:ind w:firstLine="0"/>
              <w:rPr>
                <w:szCs w:val="21"/>
              </w:rPr>
            </w:pPr>
            <w:r>
              <w:rPr>
                <w:rFonts w:hint="eastAsia"/>
                <w:szCs w:val="21"/>
              </w:rPr>
              <w:t>通用设备</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szCs w:val="21"/>
              </w:rPr>
              <w:t>已明令禁止生产、使用的和能耗高、效率低的设备应限期淘汰更新。</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left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szCs w:val="21"/>
              </w:rPr>
              <w:t>通用设备宜采用效率高、能耗低、水耗低、物耗低的产品。</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left w:val="single" w:color="auto" w:sz="4" w:space="0"/>
              <w:bottom w:val="single" w:color="000000"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szCs w:val="21"/>
              </w:rPr>
              <w:t>用能设备或系统的实际运行效率或主要运行参数宜符合该设备经济运行的要求。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639"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0"/>
              <w:rPr>
                <w:szCs w:val="21"/>
              </w:rPr>
            </w:pPr>
            <w:r>
              <w:rPr>
                <w:rFonts w:hAnsi="宋体"/>
                <w:szCs w:val="21"/>
              </w:rPr>
              <w:t>计量设备</w:t>
            </w:r>
          </w:p>
        </w:tc>
        <w:tc>
          <w:tcPr>
            <w:tcW w:w="3518" w:type="pct"/>
            <w:tcBorders>
              <w:top w:val="single" w:color="auto" w:sz="4" w:space="0"/>
              <w:left w:val="nil"/>
              <w:right w:val="single" w:color="auto" w:sz="4" w:space="0"/>
            </w:tcBorders>
            <w:shd w:val="clear" w:color="auto" w:fill="auto"/>
            <w:vAlign w:val="center"/>
          </w:tcPr>
          <w:p>
            <w:pPr>
              <w:ind w:firstLine="0"/>
              <w:rPr>
                <w:szCs w:val="21"/>
              </w:rPr>
            </w:pPr>
            <w:r>
              <w:rPr>
                <w:rFonts w:hint="eastAsia"/>
                <w:szCs w:val="21"/>
              </w:rPr>
              <w:t>工厂应依据GB 17167、GB 24789等要求配备、使用和管理能源、水以及其他资源的计量器具和装置。</w:t>
            </w:r>
          </w:p>
        </w:tc>
        <w:tc>
          <w:tcPr>
            <w:tcW w:w="340" w:type="pct"/>
            <w:tcBorders>
              <w:top w:val="single" w:color="auto" w:sz="4" w:space="0"/>
              <w:left w:val="nil"/>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186"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污染物处理设备</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工厂应投入适宜的污染物处理设备，以确保其污染物排放达到相关法律法规及标准要求。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Ansi="宋体"/>
                <w:szCs w:val="21"/>
              </w:rPr>
              <w:t>污染物处理设备的处理能力应与工厂生产排放相适应，并应正常运行。</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357"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工厂应建立主要污染物排放台账，开展自行监测和监控，保存原始监测和监控记录。</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2</w:t>
            </w:r>
          </w:p>
        </w:tc>
        <w:tc>
          <w:tcPr>
            <w:tcW w:w="2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管理体系</w:t>
            </w: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int="eastAsia" w:hAnsi="宋体"/>
                <w:szCs w:val="21"/>
              </w:rPr>
              <w:t>质量管理</w:t>
            </w:r>
            <w:r>
              <w:rPr>
                <w:rFonts w:hAnsi="宋体"/>
                <w:szCs w:val="21"/>
              </w:rPr>
              <w:t>体系</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工厂应建立、实施并保持质量管理体系。</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int="eastAsia"/>
                <w:szCs w:val="21"/>
              </w:rPr>
              <w:t>1</w:t>
            </w:r>
            <w:r>
              <w:rPr>
                <w:szCs w:val="21"/>
              </w:rPr>
              <w:t>5%</w:t>
            </w:r>
          </w:p>
        </w:tc>
      </w:tr>
      <w:tr>
        <w:tblPrEx>
          <w:tblCellMar>
            <w:top w:w="0" w:type="dxa"/>
            <w:left w:w="108" w:type="dxa"/>
            <w:bottom w:w="0" w:type="dxa"/>
            <w:right w:w="108" w:type="dxa"/>
          </w:tblCellMar>
        </w:tblPrEx>
        <w:trPr>
          <w:trHeight w:val="480" w:hRule="atLeast"/>
        </w:trPr>
        <w:tc>
          <w:tcPr>
            <w:tcW w:w="2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工厂的质量管理体系应满足GB/T 19001的要求。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p>
        </w:tc>
      </w:tr>
      <w:tr>
        <w:tblPrEx>
          <w:tblCellMar>
            <w:top w:w="0" w:type="dxa"/>
            <w:left w:w="108" w:type="dxa"/>
            <w:bottom w:w="0" w:type="dxa"/>
            <w:right w:w="108" w:type="dxa"/>
          </w:tblCellMar>
        </w:tblPrEx>
        <w:trPr>
          <w:trHeight w:val="629"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职业健康安全管理体系</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工厂应建立、实施并保持职业健康安全管理体系。</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12"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 xml:space="preserve">工厂的职业健康安全管理体系应满足GB/T </w:t>
            </w:r>
            <w:r>
              <w:rPr>
                <w:rFonts w:hAnsi="宋体"/>
                <w:szCs w:val="21"/>
              </w:rPr>
              <w:t>45</w:t>
            </w:r>
            <w:r>
              <w:rPr>
                <w:rFonts w:hint="eastAsia" w:hAnsi="宋体"/>
                <w:szCs w:val="21"/>
              </w:rPr>
              <w:t>001的要求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384" w:hRule="exac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环境管理体系</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工厂应建立、实施并保持环境管理体系。</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31" w:hRule="exac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工厂的环境管理体系应满足GB/T 24001的要求。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能源管理体系</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工厂建立、实施并保持能源管理体系。</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工厂的能源管理体系宜满足GB/T 23331的要求。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测量管理体系</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工厂建立、实施并保持测量管理体系。</w:t>
            </w:r>
            <w:r>
              <w:rPr>
                <w:rFonts w:hint="eastAsia"/>
                <w:szCs w:val="21"/>
              </w:rPr>
              <w:t xml:space="preserve"> </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工厂测量管理体系宜满足GB/T 19022的要求。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3</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能源资源投入</w:t>
            </w:r>
          </w:p>
        </w:tc>
        <w:tc>
          <w:tcPr>
            <w:tcW w:w="367" w:type="pct"/>
            <w:vMerge w:val="restart"/>
            <w:tcBorders>
              <w:top w:val="nil"/>
              <w:left w:val="single" w:color="auto" w:sz="4" w:space="0"/>
              <w:bottom w:val="single" w:color="000000" w:sz="4" w:space="0"/>
              <w:right w:val="single" w:color="auto" w:sz="4" w:space="0"/>
            </w:tcBorders>
            <w:shd w:val="clear" w:color="auto" w:fill="auto"/>
            <w:vAlign w:val="center"/>
          </w:tcPr>
          <w:p>
            <w:pPr>
              <w:ind w:firstLine="0"/>
              <w:rPr>
                <w:szCs w:val="21"/>
              </w:rPr>
            </w:pPr>
            <w:r>
              <w:rPr>
                <w:rFonts w:hAnsi="宋体"/>
                <w:szCs w:val="21"/>
              </w:rPr>
              <w:t>能源投入</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工厂应优化</w:t>
            </w:r>
            <w:r>
              <w:rPr>
                <w:rFonts w:hint="eastAsia" w:hAnsi="宋体"/>
                <w:szCs w:val="21"/>
              </w:rPr>
              <w:t>生产结构和</w:t>
            </w:r>
            <w:r>
              <w:rPr>
                <w:rFonts w:hAnsi="宋体"/>
                <w:szCs w:val="21"/>
              </w:rPr>
              <w:t>用能结构，在保证安全、质量的前提下减少能源投入</w:t>
            </w:r>
            <w:r>
              <w:rPr>
                <w:rFonts w:hint="eastAsia" w:hAnsi="宋体"/>
                <w:szCs w:val="21"/>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int="eastAsia"/>
                <w:szCs w:val="21"/>
              </w:rPr>
              <w:t>1</w:t>
            </w:r>
            <w:r>
              <w:rPr>
                <w:szCs w:val="21"/>
              </w:rPr>
              <w:t>5%</w:t>
            </w: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工厂宜使用可再生能源替代不可再生能源，充分利用余热余压余能等。</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384"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000000" w:sz="4" w:space="0"/>
              <w:right w:val="single" w:color="auto" w:sz="4" w:space="0"/>
            </w:tcBorders>
            <w:vAlign w:val="center"/>
          </w:tcPr>
          <w:p>
            <w:pPr>
              <w:ind w:firstLine="0"/>
              <w:rPr>
                <w:szCs w:val="21"/>
              </w:rPr>
            </w:pPr>
            <w:r>
              <w:rPr>
                <w:rFonts w:hint="eastAsia"/>
                <w:szCs w:val="21"/>
              </w:rPr>
              <w:t>资源投入</w:t>
            </w:r>
          </w:p>
        </w:tc>
        <w:tc>
          <w:tcPr>
            <w:tcW w:w="3518" w:type="pct"/>
            <w:tcBorders>
              <w:top w:val="nil"/>
              <w:left w:val="nil"/>
              <w:bottom w:val="single" w:color="auto" w:sz="4" w:space="0"/>
              <w:right w:val="single" w:color="auto" w:sz="4" w:space="0"/>
            </w:tcBorders>
            <w:shd w:val="clear" w:color="auto" w:fill="auto"/>
            <w:vAlign w:val="center"/>
          </w:tcPr>
          <w:p>
            <w:pPr>
              <w:snapToGrid w:val="0"/>
              <w:spacing w:line="360" w:lineRule="exact"/>
              <w:ind w:firstLine="0"/>
              <w:rPr>
                <w:color w:val="000000"/>
                <w:szCs w:val="24"/>
              </w:rPr>
            </w:pPr>
            <w:r>
              <w:rPr>
                <w:rFonts w:hint="eastAsia"/>
                <w:color w:val="000000"/>
              </w:rPr>
              <w:t>工厂应按照GB 7119的要求对其开展节水评价工作。</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936"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nil"/>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color w:val="000000"/>
              </w:rPr>
              <w:t>工厂应减少材料、尤其是有害物质的使用，评估有害物质及化学品减量使用或替代的可行性，宜使用回收料、可回收材料替代原生材料、不可回收材料，宜替代或减少全球增温潜势较高温室气体的使用。工厂应按照GB/T 29115要求对其原材料使用量的减少进行评估。</w:t>
            </w:r>
          </w:p>
        </w:tc>
        <w:tc>
          <w:tcPr>
            <w:tcW w:w="340" w:type="pct"/>
            <w:tcBorders>
              <w:top w:val="single" w:color="auto" w:sz="4" w:space="0"/>
              <w:left w:val="nil"/>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16"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采购</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szCs w:val="21"/>
              </w:rPr>
              <w:t>工厂应制定并实施包括环保要求的选择、评价和重新评价供方的准则。</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273"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工厂宜向供方提供的采购信息应包含有害物质使用、可回收材料使用、能效等环保要求。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27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工厂应确定并实施检验或其他必要的活动，以确保采购的产品满足规定的采购要求。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346" w:hRule="atLeast"/>
        </w:trPr>
        <w:tc>
          <w:tcPr>
            <w:tcW w:w="239"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4</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产品</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生态设计</w:t>
            </w:r>
          </w:p>
        </w:tc>
        <w:tc>
          <w:tcPr>
            <w:tcW w:w="3518" w:type="pct"/>
            <w:tcBorders>
              <w:top w:val="nil"/>
              <w:left w:val="nil"/>
              <w:bottom w:val="single" w:color="auto" w:sz="4" w:space="0"/>
              <w:right w:val="single" w:color="auto" w:sz="4" w:space="0"/>
            </w:tcBorders>
            <w:shd w:val="clear" w:color="auto" w:fill="auto"/>
            <w:vAlign w:val="center"/>
          </w:tcPr>
          <w:p>
            <w:pPr>
              <w:tabs>
                <w:tab w:val="right" w:pos="9354"/>
              </w:tabs>
              <w:snapToGrid w:val="0"/>
              <w:spacing w:line="360" w:lineRule="exact"/>
              <w:ind w:firstLine="0"/>
              <w:rPr>
                <w:szCs w:val="21"/>
              </w:rPr>
            </w:pPr>
            <w:r>
              <w:rPr>
                <w:rFonts w:hint="eastAsia"/>
                <w:color w:val="000000"/>
              </w:rPr>
              <w:t>按照GB/T 32161对生产的产品进行生态设计产品评价。</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int="eastAsia"/>
                <w:szCs w:val="21"/>
              </w:rPr>
              <w:t>1</w:t>
            </w:r>
            <w:r>
              <w:rPr>
                <w:szCs w:val="21"/>
              </w:rPr>
              <w:t>0%</w:t>
            </w:r>
          </w:p>
        </w:tc>
      </w:tr>
      <w:tr>
        <w:tblPrEx>
          <w:tblCellMar>
            <w:top w:w="0" w:type="dxa"/>
            <w:left w:w="108" w:type="dxa"/>
            <w:bottom w:w="0" w:type="dxa"/>
            <w:right w:w="108" w:type="dxa"/>
          </w:tblCellMar>
        </w:tblPrEx>
        <w:trPr>
          <w:trHeight w:val="27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color w:val="000000"/>
              </w:rPr>
              <w:t>工厂宜按照GB/T 24256对生产的产品进行生态设计，</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72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有害物质限制使用</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color w:val="000000"/>
              </w:rPr>
              <w:t>工厂生产的产品应减少有害物质的使用，避免有害物质的泄露。</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Ansi="宋体"/>
                <w:szCs w:val="21"/>
              </w:rPr>
              <w:t>节能</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应满足相关能效限定值及能效等级标准要求中能效限定值。</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产品能效宜努力达到先进值要求。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r>
              <w:rPr>
                <w:rFonts w:hint="eastAsia" w:hAnsi="宋体"/>
                <w:szCs w:val="21"/>
              </w:rPr>
              <w:t>减排</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工厂宜根据适用的标准规范等要求及有关标准、规范文件对企业碳足迹进行自查或核查。</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核查结果宜对外公布。</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产品宜满足相关低碳产品的要求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533"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szCs w:val="21"/>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0"/>
              <w:rPr>
                <w:rFonts w:hAnsi="宋体"/>
                <w:szCs w:val="21"/>
              </w:rPr>
            </w:pPr>
            <w:r>
              <w:rPr>
                <w:rFonts w:hint="eastAsia" w:hAnsi="宋体"/>
                <w:szCs w:val="21"/>
              </w:rPr>
              <w:t>可回收利用</w:t>
            </w:r>
          </w:p>
        </w:tc>
        <w:tc>
          <w:tcPr>
            <w:tcW w:w="3518" w:type="pct"/>
            <w:tcBorders>
              <w:top w:val="single" w:color="auto" w:sz="4" w:space="0"/>
              <w:left w:val="nil"/>
              <w:bottom w:val="single" w:color="auto" w:sz="4" w:space="0"/>
              <w:right w:val="single" w:color="auto" w:sz="4" w:space="0"/>
            </w:tcBorders>
            <w:shd w:val="clear" w:color="auto" w:fill="auto"/>
            <w:vAlign w:val="center"/>
          </w:tcPr>
          <w:p>
            <w:pPr>
              <w:snapToGrid w:val="0"/>
              <w:ind w:firstLine="0"/>
              <w:rPr>
                <w:szCs w:val="21"/>
              </w:rPr>
            </w:pPr>
            <w:r>
              <w:rPr>
                <w:rFonts w:hint="eastAsia"/>
                <w:color w:val="000000"/>
              </w:rPr>
              <w:t>工厂宜按照GB/T 20862 的要求计算其产品的可回收利用率，并利用计算结果对产品的可回收利用率进行改善。</w:t>
            </w:r>
          </w:p>
        </w:tc>
        <w:tc>
          <w:tcPr>
            <w:tcW w:w="340" w:type="pct"/>
            <w:tcBorders>
              <w:top w:val="single" w:color="auto" w:sz="4" w:space="0"/>
              <w:left w:val="nil"/>
              <w:right w:val="single" w:color="auto" w:sz="4" w:space="0"/>
            </w:tcBorders>
            <w:vAlign w:val="center"/>
          </w:tcPr>
          <w:p>
            <w:pPr>
              <w:ind w:firstLine="0"/>
              <w:jc w:val="center"/>
              <w:rPr>
                <w:szCs w:val="21"/>
              </w:rPr>
            </w:pPr>
            <w:r>
              <w:rPr>
                <w:rFonts w:hint="eastAsia"/>
                <w:szCs w:val="21"/>
              </w:rPr>
              <w:t>必</w:t>
            </w:r>
            <w:r>
              <w:rPr>
                <w:szCs w:val="21"/>
              </w:rPr>
              <w:t>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szCs w:val="21"/>
              </w:rPr>
            </w:pPr>
          </w:p>
        </w:tc>
      </w:tr>
      <w:tr>
        <w:tblPrEx>
          <w:tblCellMar>
            <w:top w:w="0" w:type="dxa"/>
            <w:left w:w="108" w:type="dxa"/>
            <w:bottom w:w="0" w:type="dxa"/>
            <w:right w:w="108" w:type="dxa"/>
          </w:tblCellMar>
        </w:tblPrEx>
        <w:trPr>
          <w:trHeight w:val="386" w:hRule="atLeast"/>
        </w:trPr>
        <w:tc>
          <w:tcPr>
            <w:tcW w:w="239" w:type="pct"/>
            <w:vMerge w:val="restart"/>
            <w:tcBorders>
              <w:top w:val="nil"/>
              <w:left w:val="single" w:color="auto" w:sz="4" w:space="0"/>
              <w:right w:val="single" w:color="auto" w:sz="4" w:space="0"/>
            </w:tcBorders>
            <w:shd w:val="clear" w:color="auto" w:fill="auto"/>
            <w:vAlign w:val="center"/>
          </w:tcPr>
          <w:p>
            <w:pPr>
              <w:ind w:firstLine="0"/>
              <w:jc w:val="center"/>
              <w:rPr>
                <w:szCs w:val="21"/>
              </w:rPr>
            </w:pPr>
            <w:r>
              <w:rPr>
                <w:szCs w:val="21"/>
              </w:rPr>
              <w:t>5</w:t>
            </w:r>
          </w:p>
        </w:tc>
        <w:tc>
          <w:tcPr>
            <w:tcW w:w="274" w:type="pct"/>
            <w:vMerge w:val="restart"/>
            <w:tcBorders>
              <w:top w:val="nil"/>
              <w:left w:val="single" w:color="auto" w:sz="4" w:space="0"/>
              <w:right w:val="single" w:color="auto" w:sz="4" w:space="0"/>
            </w:tcBorders>
            <w:shd w:val="clear" w:color="auto" w:fill="auto"/>
            <w:vAlign w:val="center"/>
          </w:tcPr>
          <w:p>
            <w:pPr>
              <w:ind w:firstLine="0"/>
              <w:jc w:val="center"/>
              <w:rPr>
                <w:szCs w:val="21"/>
              </w:rPr>
            </w:pPr>
            <w:r>
              <w:rPr>
                <w:rFonts w:hAnsi="宋体"/>
                <w:szCs w:val="21"/>
              </w:rPr>
              <w:t>环境排放</w:t>
            </w:r>
          </w:p>
        </w:tc>
        <w:tc>
          <w:tcPr>
            <w:tcW w:w="367" w:type="pct"/>
            <w:tcBorders>
              <w:top w:val="nil"/>
              <w:left w:val="nil"/>
              <w:right w:val="single" w:color="auto" w:sz="4" w:space="0"/>
            </w:tcBorders>
            <w:shd w:val="clear" w:color="auto" w:fill="auto"/>
            <w:vAlign w:val="center"/>
          </w:tcPr>
          <w:p>
            <w:pPr>
              <w:ind w:firstLine="0"/>
              <w:rPr>
                <w:szCs w:val="21"/>
              </w:rPr>
            </w:pPr>
            <w:r>
              <w:rPr>
                <w:rFonts w:hAnsi="宋体"/>
                <w:szCs w:val="21"/>
              </w:rPr>
              <w:t>大气污染物排放</w:t>
            </w:r>
          </w:p>
        </w:tc>
        <w:tc>
          <w:tcPr>
            <w:tcW w:w="3518" w:type="pct"/>
            <w:tcBorders>
              <w:top w:val="single" w:color="auto" w:sz="4" w:space="0"/>
              <w:left w:val="nil"/>
              <w:bottom w:val="single" w:color="auto" w:sz="4" w:space="0"/>
              <w:right w:val="single" w:color="auto" w:sz="4" w:space="0"/>
            </w:tcBorders>
            <w:shd w:val="clear" w:color="auto" w:fill="auto"/>
            <w:vAlign w:val="center"/>
          </w:tcPr>
          <w:p>
            <w:pPr>
              <w:pStyle w:val="16"/>
              <w:ind w:leftChars="0" w:hanging="420" w:hangingChars="200"/>
              <w:rPr>
                <w:szCs w:val="21"/>
              </w:rPr>
            </w:pPr>
            <w:r>
              <w:rPr>
                <w:rFonts w:hint="eastAsia" w:hAnsi="宋体"/>
                <w:sz w:val="21"/>
                <w:szCs w:val="21"/>
              </w:rPr>
              <w:t>工厂的大气污染物应符合国家和地方标准要求，并满足区域内排放总量控制要求。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int="eastAsia"/>
                <w:szCs w:val="21"/>
              </w:rPr>
              <w:t>1</w:t>
            </w:r>
            <w:r>
              <w:rPr>
                <w:szCs w:val="21"/>
              </w:rPr>
              <w:t>0%</w:t>
            </w:r>
          </w:p>
        </w:tc>
      </w:tr>
      <w:tr>
        <w:tblPrEx>
          <w:tblCellMar>
            <w:top w:w="0" w:type="dxa"/>
            <w:left w:w="108" w:type="dxa"/>
            <w:bottom w:w="0" w:type="dxa"/>
            <w:right w:w="108" w:type="dxa"/>
          </w:tblCellMar>
        </w:tblPrEx>
        <w:trPr>
          <w:trHeight w:val="898" w:hRule="atLeast"/>
        </w:trPr>
        <w:tc>
          <w:tcPr>
            <w:tcW w:w="239" w:type="pct"/>
            <w:vMerge w:val="continue"/>
            <w:tcBorders>
              <w:left w:val="single" w:color="auto" w:sz="4" w:space="0"/>
              <w:right w:val="single" w:color="auto" w:sz="4" w:space="0"/>
            </w:tcBorders>
            <w:vAlign w:val="center"/>
          </w:tcPr>
          <w:p>
            <w:pPr>
              <w:ind w:firstLine="0"/>
              <w:rPr>
                <w:szCs w:val="21"/>
              </w:rPr>
            </w:pPr>
          </w:p>
        </w:tc>
        <w:tc>
          <w:tcPr>
            <w:tcW w:w="274" w:type="pct"/>
            <w:vMerge w:val="continue"/>
            <w:tcBorders>
              <w:left w:val="single" w:color="auto" w:sz="4" w:space="0"/>
              <w:right w:val="single" w:color="auto" w:sz="4" w:space="0"/>
            </w:tcBorders>
            <w:vAlign w:val="center"/>
          </w:tcPr>
          <w:p>
            <w:pPr>
              <w:ind w:firstLine="0"/>
              <w:rPr>
                <w:szCs w:val="21"/>
              </w:rPr>
            </w:pPr>
          </w:p>
        </w:tc>
        <w:tc>
          <w:tcPr>
            <w:tcW w:w="367" w:type="pct"/>
            <w:tcBorders>
              <w:top w:val="single" w:color="auto" w:sz="4" w:space="0"/>
              <w:left w:val="nil"/>
              <w:right w:val="single" w:color="auto" w:sz="4" w:space="0"/>
            </w:tcBorders>
            <w:shd w:val="clear" w:color="auto" w:fill="auto"/>
            <w:vAlign w:val="center"/>
          </w:tcPr>
          <w:p>
            <w:pPr>
              <w:ind w:firstLine="0"/>
              <w:rPr>
                <w:color w:val="000000"/>
                <w:szCs w:val="21"/>
              </w:rPr>
            </w:pPr>
            <w:r>
              <w:rPr>
                <w:rFonts w:hAnsi="宋体"/>
                <w:color w:val="000000"/>
                <w:szCs w:val="21"/>
              </w:rPr>
              <w:t>水体污染物排放</w:t>
            </w:r>
          </w:p>
        </w:tc>
        <w:tc>
          <w:tcPr>
            <w:tcW w:w="3518" w:type="pct"/>
            <w:tcBorders>
              <w:top w:val="single" w:color="auto" w:sz="4" w:space="0"/>
              <w:left w:val="nil"/>
              <w:right w:val="single" w:color="auto" w:sz="4" w:space="0"/>
            </w:tcBorders>
            <w:shd w:val="clear" w:color="auto" w:fill="auto"/>
            <w:vAlign w:val="center"/>
          </w:tcPr>
          <w:p>
            <w:pPr>
              <w:ind w:firstLine="0"/>
              <w:rPr>
                <w:color w:val="000000"/>
                <w:szCs w:val="21"/>
              </w:rPr>
            </w:pPr>
            <w:r>
              <w:rPr>
                <w:rFonts w:hint="eastAsia" w:hAnsi="宋体"/>
                <w:color w:val="000000"/>
                <w:szCs w:val="21"/>
              </w:rPr>
              <w:t>工厂的水体污染物应符合国家和地方标准要求，并满足区域内排放总量控制要求</w:t>
            </w:r>
          </w:p>
        </w:tc>
        <w:tc>
          <w:tcPr>
            <w:tcW w:w="340" w:type="pct"/>
            <w:tcBorders>
              <w:top w:val="single" w:color="auto" w:sz="4" w:space="0"/>
              <w:left w:val="nil"/>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480" w:hRule="atLeast"/>
        </w:trPr>
        <w:tc>
          <w:tcPr>
            <w:tcW w:w="239" w:type="pct"/>
            <w:vMerge w:val="continue"/>
            <w:tcBorders>
              <w:left w:val="single" w:color="auto" w:sz="4" w:space="0"/>
              <w:right w:val="single" w:color="auto" w:sz="4" w:space="0"/>
            </w:tcBorders>
            <w:vAlign w:val="center"/>
          </w:tcPr>
          <w:p>
            <w:pPr>
              <w:ind w:firstLine="0"/>
              <w:rPr>
                <w:color w:val="FF0000"/>
                <w:szCs w:val="21"/>
              </w:rPr>
            </w:pPr>
          </w:p>
        </w:tc>
        <w:tc>
          <w:tcPr>
            <w:tcW w:w="274" w:type="pct"/>
            <w:vMerge w:val="continue"/>
            <w:tcBorders>
              <w:left w:val="single" w:color="auto" w:sz="4" w:space="0"/>
              <w:right w:val="single" w:color="auto" w:sz="4" w:space="0"/>
            </w:tcBorders>
            <w:vAlign w:val="center"/>
          </w:tcPr>
          <w:p>
            <w:pPr>
              <w:ind w:firstLine="0"/>
              <w:rPr>
                <w:color w:val="FF0000"/>
                <w:szCs w:val="21"/>
              </w:rPr>
            </w:pPr>
          </w:p>
        </w:tc>
        <w:tc>
          <w:tcPr>
            <w:tcW w:w="367" w:type="pct"/>
            <w:vMerge w:val="restart"/>
            <w:tcBorders>
              <w:top w:val="single" w:color="auto" w:sz="4" w:space="0"/>
              <w:left w:val="nil"/>
              <w:right w:val="single" w:color="auto" w:sz="4" w:space="0"/>
            </w:tcBorders>
            <w:shd w:val="clear" w:color="auto" w:fill="auto"/>
            <w:vAlign w:val="center"/>
          </w:tcPr>
          <w:p>
            <w:pPr>
              <w:ind w:firstLine="0"/>
              <w:rPr>
                <w:szCs w:val="21"/>
              </w:rPr>
            </w:pPr>
            <w:r>
              <w:rPr>
                <w:rFonts w:hAnsi="宋体"/>
                <w:szCs w:val="21"/>
              </w:rPr>
              <w:t>固体废物排放</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工厂产生的固体废弃物的处理应符合</w:t>
            </w:r>
            <w:r>
              <w:rPr>
                <w:rFonts w:hAnsi="宋体"/>
                <w:szCs w:val="21"/>
              </w:rPr>
              <w:t>GB18597</w:t>
            </w:r>
            <w:r>
              <w:rPr>
                <w:rFonts w:hint="eastAsia" w:hAnsi="宋体"/>
                <w:szCs w:val="21"/>
              </w:rPr>
              <w:t>、</w:t>
            </w:r>
            <w:r>
              <w:rPr>
                <w:rFonts w:hAnsi="宋体"/>
                <w:szCs w:val="21"/>
              </w:rPr>
              <w:t>GB18599</w:t>
            </w:r>
            <w:r>
              <w:rPr>
                <w:rFonts w:hint="eastAsia" w:hAnsi="宋体"/>
                <w:szCs w:val="21"/>
              </w:rPr>
              <w:t>等相关处理标准要求。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480" w:hRule="atLeast"/>
        </w:trPr>
        <w:tc>
          <w:tcPr>
            <w:tcW w:w="239" w:type="pct"/>
            <w:vMerge w:val="continue"/>
            <w:tcBorders>
              <w:left w:val="single" w:color="auto" w:sz="4" w:space="0"/>
              <w:right w:val="single" w:color="auto" w:sz="4" w:space="0"/>
            </w:tcBorders>
            <w:vAlign w:val="center"/>
          </w:tcPr>
          <w:p>
            <w:pPr>
              <w:ind w:firstLine="0"/>
              <w:rPr>
                <w:color w:val="FF0000"/>
                <w:szCs w:val="21"/>
              </w:rPr>
            </w:pPr>
          </w:p>
        </w:tc>
        <w:tc>
          <w:tcPr>
            <w:tcW w:w="274" w:type="pct"/>
            <w:vMerge w:val="continue"/>
            <w:tcBorders>
              <w:left w:val="single" w:color="auto" w:sz="4" w:space="0"/>
              <w:right w:val="single" w:color="auto" w:sz="4" w:space="0"/>
            </w:tcBorders>
            <w:vAlign w:val="center"/>
          </w:tcPr>
          <w:p>
            <w:pPr>
              <w:ind w:firstLine="0"/>
              <w:rPr>
                <w:color w:val="FF0000"/>
                <w:szCs w:val="21"/>
              </w:rPr>
            </w:pPr>
          </w:p>
        </w:tc>
        <w:tc>
          <w:tcPr>
            <w:tcW w:w="367" w:type="pct"/>
            <w:vMerge w:val="continue"/>
            <w:tcBorders>
              <w:left w:val="nil"/>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工厂无法自行处理的，应将固体废弃物转交给具备相应能力和资质的处理厂进行处理。</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480" w:hRule="atLeast"/>
        </w:trPr>
        <w:tc>
          <w:tcPr>
            <w:tcW w:w="239" w:type="pct"/>
            <w:vMerge w:val="continue"/>
            <w:tcBorders>
              <w:left w:val="single" w:color="auto" w:sz="4" w:space="0"/>
              <w:right w:val="single" w:color="auto" w:sz="4" w:space="0"/>
            </w:tcBorders>
            <w:vAlign w:val="center"/>
          </w:tcPr>
          <w:p>
            <w:pPr>
              <w:ind w:firstLine="0"/>
              <w:rPr>
                <w:color w:val="FF0000"/>
                <w:szCs w:val="21"/>
              </w:rPr>
            </w:pPr>
          </w:p>
        </w:tc>
        <w:tc>
          <w:tcPr>
            <w:tcW w:w="274" w:type="pct"/>
            <w:vMerge w:val="continue"/>
            <w:tcBorders>
              <w:left w:val="single" w:color="auto" w:sz="4" w:space="0"/>
              <w:right w:val="single" w:color="auto" w:sz="4" w:space="0"/>
            </w:tcBorders>
            <w:vAlign w:val="center"/>
          </w:tcPr>
          <w:p>
            <w:pPr>
              <w:ind w:firstLine="0"/>
              <w:rPr>
                <w:color w:val="FF0000"/>
                <w:szCs w:val="21"/>
              </w:rPr>
            </w:pPr>
          </w:p>
        </w:tc>
        <w:tc>
          <w:tcPr>
            <w:tcW w:w="367" w:type="pct"/>
            <w:vMerge w:val="restart"/>
            <w:tcBorders>
              <w:top w:val="nil"/>
              <w:left w:val="nil"/>
              <w:right w:val="single" w:color="auto" w:sz="4" w:space="0"/>
            </w:tcBorders>
            <w:shd w:val="clear" w:color="auto" w:fill="auto"/>
            <w:vAlign w:val="center"/>
          </w:tcPr>
          <w:p>
            <w:pPr>
              <w:ind w:firstLine="0"/>
              <w:rPr>
                <w:szCs w:val="21"/>
              </w:rPr>
            </w:pPr>
            <w:r>
              <w:rPr>
                <w:rFonts w:hAnsi="宋体"/>
                <w:szCs w:val="21"/>
              </w:rPr>
              <w:t>噪声排放</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color w:val="000000"/>
                <w:szCs w:val="21"/>
              </w:rPr>
              <w:t>工厂的噪声污染物应符合国家和地方标准要求。</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480" w:hRule="atLeast"/>
        </w:trPr>
        <w:tc>
          <w:tcPr>
            <w:tcW w:w="239" w:type="pct"/>
            <w:vMerge w:val="continue"/>
            <w:tcBorders>
              <w:left w:val="single" w:color="auto" w:sz="4" w:space="0"/>
              <w:right w:val="single" w:color="auto" w:sz="4" w:space="0"/>
            </w:tcBorders>
            <w:vAlign w:val="center"/>
          </w:tcPr>
          <w:p>
            <w:pPr>
              <w:ind w:firstLine="0"/>
              <w:rPr>
                <w:color w:val="FF0000"/>
                <w:szCs w:val="21"/>
              </w:rPr>
            </w:pPr>
          </w:p>
        </w:tc>
        <w:tc>
          <w:tcPr>
            <w:tcW w:w="274" w:type="pct"/>
            <w:vMerge w:val="continue"/>
            <w:tcBorders>
              <w:left w:val="single" w:color="auto" w:sz="4" w:space="0"/>
              <w:right w:val="single" w:color="auto" w:sz="4" w:space="0"/>
            </w:tcBorders>
            <w:vAlign w:val="center"/>
          </w:tcPr>
          <w:p>
            <w:pPr>
              <w:ind w:firstLine="0"/>
              <w:rPr>
                <w:color w:val="FF0000"/>
                <w:szCs w:val="21"/>
              </w:rPr>
            </w:pPr>
          </w:p>
        </w:tc>
        <w:tc>
          <w:tcPr>
            <w:tcW w:w="367" w:type="pct"/>
            <w:vMerge w:val="continue"/>
            <w:tcBorders>
              <w:left w:val="nil"/>
              <w:bottom w:val="single" w:color="auto" w:sz="4" w:space="0"/>
              <w:right w:val="single" w:color="auto" w:sz="4" w:space="0"/>
            </w:tcBorders>
            <w:shd w:val="clear" w:color="auto" w:fill="auto"/>
            <w:vAlign w:val="center"/>
          </w:tcPr>
          <w:p>
            <w:pPr>
              <w:ind w:firstLine="0"/>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w:t>
            </w:r>
            <w:r>
              <w:rPr>
                <w:rFonts w:hAnsi="宋体"/>
                <w:szCs w:val="21"/>
              </w:rPr>
              <w:t>厂的厂界环境噪声排放应符合</w:t>
            </w:r>
            <w:r>
              <w:rPr>
                <w:rFonts w:hint="eastAsia" w:hAnsi="宋体"/>
                <w:szCs w:val="21"/>
              </w:rPr>
              <w:t>GB12348要求</w:t>
            </w:r>
            <w:r>
              <w:rPr>
                <w:rFonts w:hAnsi="宋体"/>
                <w:szCs w:val="21"/>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480" w:hRule="atLeast"/>
        </w:trPr>
        <w:tc>
          <w:tcPr>
            <w:tcW w:w="239" w:type="pct"/>
            <w:vMerge w:val="continue"/>
            <w:tcBorders>
              <w:left w:val="single" w:color="auto" w:sz="4" w:space="0"/>
              <w:bottom w:val="single" w:color="auto" w:sz="4" w:space="0"/>
              <w:right w:val="single" w:color="auto" w:sz="4" w:space="0"/>
            </w:tcBorders>
            <w:vAlign w:val="center"/>
          </w:tcPr>
          <w:p>
            <w:pPr>
              <w:ind w:firstLine="0"/>
              <w:rPr>
                <w:color w:val="FF0000"/>
                <w:szCs w:val="21"/>
              </w:rPr>
            </w:pPr>
          </w:p>
        </w:tc>
        <w:tc>
          <w:tcPr>
            <w:tcW w:w="274" w:type="pct"/>
            <w:vMerge w:val="continue"/>
            <w:tcBorders>
              <w:left w:val="single" w:color="auto" w:sz="4" w:space="0"/>
              <w:bottom w:val="single" w:color="auto" w:sz="4" w:space="0"/>
              <w:right w:val="single" w:color="auto" w:sz="4" w:space="0"/>
            </w:tcBorders>
            <w:vAlign w:val="center"/>
          </w:tcPr>
          <w:p>
            <w:pPr>
              <w:ind w:firstLine="0"/>
              <w:rPr>
                <w:color w:val="FF0000"/>
                <w:szCs w:val="21"/>
              </w:rPr>
            </w:pPr>
          </w:p>
        </w:tc>
        <w:tc>
          <w:tcPr>
            <w:tcW w:w="367" w:type="pct"/>
            <w:tcBorders>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温室气体</w:t>
            </w: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color w:val="000000"/>
              </w:rPr>
              <w:t>工厂应采用GB/T 32150或适用的标准或规范对其厂界范围内的温室气体排放进行核算和报告，宜进行核查，核查结果宜对外公布。可行时，工厂应利用核算或核查结果对其温室气体的排放进行改善。</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tcBorders>
              <w:top w:val="nil"/>
              <w:left w:val="single" w:color="auto" w:sz="4" w:space="0"/>
              <w:bottom w:val="single" w:color="auto"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244" w:hRule="atLeast"/>
        </w:trPr>
        <w:tc>
          <w:tcPr>
            <w:tcW w:w="239"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szCs w:val="21"/>
              </w:rPr>
              <w:t>6</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绩效</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用地集约化</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工厂容积率应不低于</w:t>
            </w:r>
            <w:r>
              <w:rPr>
                <w:rFonts w:hint="eastAsia" w:hAnsi="宋体"/>
                <w:szCs w:val="21"/>
              </w:rPr>
              <w:t>0</w:t>
            </w:r>
            <w:r>
              <w:rPr>
                <w:rFonts w:hAnsi="宋体"/>
                <w:szCs w:val="21"/>
              </w:rPr>
              <w:t>.6</w:t>
            </w:r>
            <w:r>
              <w:rPr>
                <w:rFonts w:hint="eastAsia" w:hAnsi="宋体"/>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restart"/>
            <w:tcBorders>
              <w:top w:val="nil"/>
              <w:left w:val="single" w:color="auto" w:sz="4" w:space="0"/>
              <w:bottom w:val="single" w:color="000000" w:sz="4" w:space="0"/>
              <w:right w:val="single" w:color="auto" w:sz="4" w:space="0"/>
            </w:tcBorders>
            <w:shd w:val="clear" w:color="auto" w:fill="auto"/>
            <w:vAlign w:val="center"/>
          </w:tcPr>
          <w:p>
            <w:pPr>
              <w:ind w:firstLine="0"/>
              <w:jc w:val="center"/>
              <w:rPr>
                <w:szCs w:val="21"/>
              </w:rPr>
            </w:pPr>
            <w:r>
              <w:rPr>
                <w:rFonts w:hint="eastAsia"/>
                <w:szCs w:val="21"/>
              </w:rPr>
              <w:t>3</w:t>
            </w:r>
            <w:r>
              <w:rPr>
                <w:szCs w:val="21"/>
              </w:rPr>
              <w:t>0%</w:t>
            </w:r>
          </w:p>
        </w:tc>
      </w:tr>
      <w:tr>
        <w:tblPrEx>
          <w:tblCellMar>
            <w:top w:w="0" w:type="dxa"/>
            <w:left w:w="108" w:type="dxa"/>
            <w:bottom w:w="0" w:type="dxa"/>
            <w:right w:w="108" w:type="dxa"/>
          </w:tblCellMar>
        </w:tblPrEx>
        <w:trPr>
          <w:trHeight w:val="244"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Ansi="宋体"/>
                <w:szCs w:val="21"/>
              </w:rPr>
              <w:t>工厂容积率</w:t>
            </w:r>
            <w:r>
              <w:rPr>
                <w:rFonts w:hint="eastAsia" w:hAnsi="宋体"/>
                <w:szCs w:val="21"/>
              </w:rPr>
              <w:t>宜</w:t>
            </w:r>
            <w:r>
              <w:rPr>
                <w:rFonts w:hAnsi="宋体"/>
                <w:szCs w:val="21"/>
              </w:rPr>
              <w:t>不低于</w:t>
            </w:r>
            <w:r>
              <w:rPr>
                <w:rFonts w:hint="eastAsia" w:hAnsi="宋体"/>
                <w:szCs w:val="21"/>
              </w:rPr>
              <w:t>0</w:t>
            </w:r>
            <w:r>
              <w:rPr>
                <w:rFonts w:hAnsi="宋体"/>
                <w:szCs w:val="21"/>
              </w:rPr>
              <w:t>.72</w:t>
            </w:r>
            <w:r>
              <w:rPr>
                <w:rFonts w:hint="eastAsia" w:hAnsi="宋体"/>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000000" w:sz="4" w:space="0"/>
              <w:right w:val="single" w:color="auto" w:sz="4" w:space="0"/>
            </w:tcBorders>
            <w:shd w:val="clear" w:color="auto" w:fill="auto"/>
            <w:vAlign w:val="center"/>
          </w:tcPr>
          <w:p>
            <w:pPr>
              <w:ind w:firstLine="0"/>
              <w:jc w:val="center"/>
              <w:rPr>
                <w:szCs w:val="21"/>
              </w:rPr>
            </w:pPr>
          </w:p>
        </w:tc>
      </w:tr>
      <w:tr>
        <w:tblPrEx>
          <w:tblCellMar>
            <w:top w:w="0" w:type="dxa"/>
            <w:left w:w="108" w:type="dxa"/>
            <w:bottom w:w="0" w:type="dxa"/>
            <w:right w:w="108" w:type="dxa"/>
          </w:tblCellMar>
        </w:tblPrEx>
        <w:trPr>
          <w:trHeight w:val="244"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Ansi="宋体"/>
                <w:szCs w:val="21"/>
              </w:rPr>
              <w:t>工厂</w:t>
            </w:r>
            <w:r>
              <w:rPr>
                <w:rFonts w:hint="eastAsia" w:hAnsi="宋体"/>
                <w:szCs w:val="21"/>
              </w:rPr>
              <w:t>建筑密度应不低于3</w:t>
            </w:r>
            <w:r>
              <w:rPr>
                <w:rFonts w:hAnsi="宋体"/>
                <w:szCs w:val="21"/>
              </w:rPr>
              <w:t>0%</w:t>
            </w:r>
            <w:r>
              <w:rPr>
                <w:rFonts w:hint="eastAsia" w:hAnsi="宋体"/>
                <w:szCs w:val="21"/>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shd w:val="clear" w:color="auto" w:fill="auto"/>
            <w:vAlign w:val="center"/>
          </w:tcPr>
          <w:p>
            <w:pPr>
              <w:ind w:firstLine="0"/>
              <w:jc w:val="center"/>
              <w:rPr>
                <w:szCs w:val="21"/>
              </w:rPr>
            </w:pPr>
          </w:p>
        </w:tc>
      </w:tr>
      <w:tr>
        <w:tblPrEx>
          <w:tblCellMar>
            <w:top w:w="0" w:type="dxa"/>
            <w:left w:w="108" w:type="dxa"/>
            <w:bottom w:w="0" w:type="dxa"/>
            <w:right w:w="108" w:type="dxa"/>
          </w:tblCellMar>
        </w:tblPrEx>
        <w:trPr>
          <w:trHeight w:val="244" w:hRule="atLeast"/>
        </w:trPr>
        <w:tc>
          <w:tcPr>
            <w:tcW w:w="239"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p>
        </w:tc>
        <w:tc>
          <w:tcPr>
            <w:tcW w:w="274"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67" w:type="pct"/>
            <w:vMerge w:val="continue"/>
            <w:tcBorders>
              <w:top w:val="nil"/>
              <w:left w:val="single" w:color="auto" w:sz="4" w:space="0"/>
              <w:bottom w:val="single" w:color="auto" w:sz="4" w:space="0"/>
              <w:right w:val="single" w:color="auto" w:sz="4" w:space="0"/>
            </w:tcBorders>
            <w:shd w:val="clear" w:color="auto" w:fill="auto"/>
            <w:vAlign w:val="center"/>
          </w:tcPr>
          <w:p>
            <w:pPr>
              <w:ind w:firstLine="0"/>
              <w:jc w:val="center"/>
              <w:rPr>
                <w:rFonts w:hAnsi="宋体"/>
                <w:szCs w:val="21"/>
              </w:rPr>
            </w:pPr>
          </w:p>
        </w:tc>
        <w:tc>
          <w:tcPr>
            <w:tcW w:w="3518" w:type="pct"/>
            <w:tcBorders>
              <w:top w:val="nil"/>
              <w:left w:val="nil"/>
              <w:bottom w:val="single" w:color="auto" w:sz="4" w:space="0"/>
              <w:right w:val="single" w:color="auto" w:sz="4" w:space="0"/>
            </w:tcBorders>
            <w:shd w:val="clear" w:color="auto" w:fill="auto"/>
            <w:vAlign w:val="center"/>
          </w:tcPr>
          <w:p>
            <w:pPr>
              <w:ind w:firstLine="0"/>
              <w:rPr>
                <w:rFonts w:hAnsi="宋体"/>
                <w:szCs w:val="21"/>
              </w:rPr>
            </w:pPr>
            <w:r>
              <w:rPr>
                <w:rFonts w:hint="eastAsia" w:hAnsi="宋体"/>
                <w:szCs w:val="21"/>
              </w:rPr>
              <w:t>工</w:t>
            </w:r>
            <w:r>
              <w:rPr>
                <w:rFonts w:hAnsi="宋体"/>
                <w:szCs w:val="21"/>
              </w:rPr>
              <w:t>厂</w:t>
            </w:r>
            <w:r>
              <w:rPr>
                <w:rFonts w:hint="eastAsia" w:hAnsi="宋体"/>
                <w:szCs w:val="21"/>
              </w:rPr>
              <w:t>建筑密度宜不低于4</w:t>
            </w:r>
            <w:r>
              <w:rPr>
                <w:rFonts w:hAnsi="宋体"/>
                <w:szCs w:val="21"/>
              </w:rPr>
              <w:t>0%</w:t>
            </w:r>
            <w:r>
              <w:rPr>
                <w:rFonts w:hint="eastAsia" w:hAnsi="宋体"/>
                <w:szCs w:val="21"/>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可选</w:t>
            </w:r>
          </w:p>
        </w:tc>
        <w:tc>
          <w:tcPr>
            <w:tcW w:w="262" w:type="pct"/>
            <w:vMerge w:val="continue"/>
            <w:tcBorders>
              <w:top w:val="nil"/>
              <w:left w:val="single" w:color="auto" w:sz="4" w:space="0"/>
              <w:bottom w:val="single" w:color="000000" w:sz="4" w:space="0"/>
              <w:right w:val="single" w:color="auto" w:sz="4" w:space="0"/>
            </w:tcBorders>
            <w:shd w:val="clear" w:color="auto" w:fill="auto"/>
            <w:vAlign w:val="center"/>
          </w:tcPr>
          <w:p>
            <w:pPr>
              <w:ind w:firstLine="0"/>
              <w:jc w:val="center"/>
              <w:rPr>
                <w:szCs w:val="21"/>
              </w:rPr>
            </w:pPr>
          </w:p>
        </w:tc>
      </w:tr>
      <w:tr>
        <w:tblPrEx>
          <w:tblCellMar>
            <w:top w:w="0" w:type="dxa"/>
            <w:left w:w="108" w:type="dxa"/>
            <w:bottom w:w="0" w:type="dxa"/>
            <w:right w:w="108" w:type="dxa"/>
          </w:tblCellMar>
        </w:tblPrEx>
        <w:trPr>
          <w:trHeight w:val="480"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367" w:type="pct"/>
            <w:tcBorders>
              <w:top w:val="nil"/>
              <w:left w:val="single" w:color="auto" w:sz="4" w:space="0"/>
              <w:bottom w:val="single" w:color="auto" w:sz="4" w:space="0"/>
              <w:right w:val="single" w:color="auto" w:sz="4" w:space="0"/>
            </w:tcBorders>
            <w:vAlign w:val="center"/>
          </w:tcPr>
          <w:p>
            <w:pPr>
              <w:ind w:firstLine="0"/>
              <w:jc w:val="center"/>
              <w:rPr>
                <w:szCs w:val="21"/>
              </w:rPr>
            </w:pPr>
            <w:r>
              <w:rPr>
                <w:rFonts w:hint="eastAsia"/>
                <w:szCs w:val="21"/>
              </w:rPr>
              <w:t>原料</w:t>
            </w:r>
            <w:r>
              <w:rPr>
                <w:szCs w:val="21"/>
              </w:rPr>
              <w:t>无害化</w:t>
            </w:r>
          </w:p>
        </w:tc>
        <w:tc>
          <w:tcPr>
            <w:tcW w:w="3518" w:type="pct"/>
            <w:tcBorders>
              <w:top w:val="nil"/>
              <w:left w:val="nil"/>
              <w:bottom w:val="single" w:color="auto" w:sz="4" w:space="0"/>
              <w:right w:val="single" w:color="auto" w:sz="4" w:space="0"/>
            </w:tcBorders>
            <w:shd w:val="clear" w:color="auto" w:fill="auto"/>
            <w:vAlign w:val="center"/>
          </w:tcPr>
          <w:p>
            <w:pPr>
              <w:ind w:firstLine="0"/>
              <w:rPr>
                <w:szCs w:val="21"/>
              </w:rPr>
            </w:pPr>
            <w:r>
              <w:rPr>
                <w:rFonts w:hint="eastAsia" w:hAnsi="宋体"/>
                <w:szCs w:val="21"/>
              </w:rPr>
              <w:t>工厂绿色</w:t>
            </w:r>
            <w:r>
              <w:rPr>
                <w:rFonts w:hAnsi="宋体"/>
                <w:szCs w:val="21"/>
              </w:rPr>
              <w:t>物料使用率</w:t>
            </w:r>
            <w:r>
              <w:rPr>
                <w:rFonts w:hint="eastAsia" w:hAnsi="宋体"/>
                <w:szCs w:val="21"/>
              </w:rPr>
              <w:t>应</w:t>
            </w:r>
            <w:r>
              <w:rPr>
                <w:rFonts w:hAnsi="宋体"/>
                <w:szCs w:val="21"/>
              </w:rPr>
              <w:t>满足</w:t>
            </w:r>
            <w:r>
              <w:rPr>
                <w:rFonts w:hint="eastAsia" w:hAnsi="宋体"/>
                <w:szCs w:val="21"/>
              </w:rPr>
              <w:t>国家</w:t>
            </w:r>
            <w:r>
              <w:rPr>
                <w:rFonts w:hAnsi="宋体"/>
                <w:szCs w:val="21"/>
              </w:rPr>
              <w:t>有关标准规范要求</w:t>
            </w:r>
            <w:r>
              <w:rPr>
                <w:rFonts w:hint="eastAsia" w:hAnsi="宋体"/>
                <w:szCs w:val="21"/>
              </w:rPr>
              <w:t>。</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623"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367" w:type="pct"/>
            <w:tcBorders>
              <w:top w:val="nil"/>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生产洁净化</w:t>
            </w:r>
          </w:p>
        </w:tc>
        <w:tc>
          <w:tcPr>
            <w:tcW w:w="3518" w:type="pct"/>
            <w:tcBorders>
              <w:top w:val="nil"/>
              <w:left w:val="nil"/>
              <w:bottom w:val="single" w:color="auto" w:sz="4" w:space="0"/>
              <w:right w:val="single" w:color="auto" w:sz="4" w:space="0"/>
            </w:tcBorders>
            <w:shd w:val="clear" w:color="auto" w:fill="auto"/>
            <w:vAlign w:val="center"/>
          </w:tcPr>
          <w:p>
            <w:pPr>
              <w:snapToGrid w:val="0"/>
              <w:spacing w:line="360" w:lineRule="exact"/>
              <w:ind w:firstLine="0"/>
              <w:rPr>
                <w:color w:val="000000"/>
              </w:rPr>
            </w:pPr>
            <w:r>
              <w:rPr>
                <w:rFonts w:hint="eastAsia"/>
                <w:color w:val="000000"/>
              </w:rPr>
              <w:t>主要污染物产生量、单位产品废气产生量、单位产品废水产生量等处于行业先进水平。</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817"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
              <w:jc w:val="center"/>
              <w:rPr>
                <w:rFonts w:hAnsi="宋体"/>
                <w:szCs w:val="21"/>
              </w:rPr>
            </w:pPr>
            <w:r>
              <w:rPr>
                <w:rFonts w:hAnsi="宋体"/>
                <w:szCs w:val="21"/>
              </w:rPr>
              <w:t>废物资源化</w:t>
            </w:r>
          </w:p>
        </w:tc>
        <w:tc>
          <w:tcPr>
            <w:tcW w:w="3518" w:type="pct"/>
            <w:tcBorders>
              <w:top w:val="single" w:color="auto" w:sz="4" w:space="0"/>
              <w:left w:val="nil"/>
              <w:right w:val="single" w:color="auto" w:sz="4" w:space="0"/>
            </w:tcBorders>
            <w:shd w:val="clear" w:color="auto" w:fill="auto"/>
            <w:vAlign w:val="center"/>
          </w:tcPr>
          <w:p>
            <w:pPr>
              <w:snapToGrid w:val="0"/>
              <w:spacing w:line="360" w:lineRule="exact"/>
              <w:ind w:firstLine="0"/>
              <w:rPr>
                <w:color w:val="000000"/>
              </w:rPr>
            </w:pPr>
            <w:r>
              <w:rPr>
                <w:rFonts w:hint="eastAsia"/>
                <w:color w:val="000000"/>
              </w:rPr>
              <w:t>主要原材料消耗量、工业固体废弃物综合利用率、废水回用率等处于行业先进水平。</w:t>
            </w:r>
          </w:p>
        </w:tc>
        <w:tc>
          <w:tcPr>
            <w:tcW w:w="340" w:type="pct"/>
            <w:tcBorders>
              <w:top w:val="single" w:color="auto" w:sz="4" w:space="0"/>
              <w:left w:val="nil"/>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color w:val="FF0000"/>
                <w:szCs w:val="21"/>
              </w:rPr>
            </w:pPr>
          </w:p>
        </w:tc>
      </w:tr>
      <w:tr>
        <w:tblPrEx>
          <w:tblCellMar>
            <w:top w:w="0" w:type="dxa"/>
            <w:left w:w="108" w:type="dxa"/>
            <w:bottom w:w="0" w:type="dxa"/>
            <w:right w:w="108" w:type="dxa"/>
          </w:tblCellMar>
        </w:tblPrEx>
        <w:trPr>
          <w:trHeight w:val="842" w:hRule="atLeast"/>
        </w:trPr>
        <w:tc>
          <w:tcPr>
            <w:tcW w:w="239"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274" w:type="pct"/>
            <w:vMerge w:val="continue"/>
            <w:tcBorders>
              <w:top w:val="nil"/>
              <w:left w:val="single" w:color="auto" w:sz="4" w:space="0"/>
              <w:bottom w:val="single" w:color="auto" w:sz="4" w:space="0"/>
              <w:right w:val="single" w:color="auto" w:sz="4" w:space="0"/>
            </w:tcBorders>
            <w:vAlign w:val="center"/>
          </w:tcPr>
          <w:p>
            <w:pPr>
              <w:ind w:firstLine="0"/>
              <w:rPr>
                <w:color w:val="FF0000"/>
                <w:szCs w:val="21"/>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Cs w:val="21"/>
              </w:rPr>
            </w:pPr>
            <w:r>
              <w:rPr>
                <w:rFonts w:hAnsi="宋体"/>
                <w:szCs w:val="21"/>
              </w:rPr>
              <w:t>能源低碳化</w:t>
            </w:r>
          </w:p>
        </w:tc>
        <w:tc>
          <w:tcPr>
            <w:tcW w:w="3518" w:type="pct"/>
            <w:tcBorders>
              <w:top w:val="single" w:color="auto" w:sz="4" w:space="0"/>
              <w:left w:val="nil"/>
              <w:bottom w:val="single" w:color="auto" w:sz="4" w:space="0"/>
              <w:right w:val="single" w:color="auto" w:sz="4" w:space="0"/>
            </w:tcBorders>
            <w:shd w:val="clear" w:color="auto" w:fill="auto"/>
            <w:vAlign w:val="center"/>
          </w:tcPr>
          <w:p>
            <w:pPr>
              <w:ind w:firstLine="0"/>
              <w:rPr>
                <w:szCs w:val="21"/>
              </w:rPr>
            </w:pPr>
            <w:r>
              <w:rPr>
                <w:rFonts w:hint="eastAsia"/>
                <w:color w:val="000000"/>
              </w:rPr>
              <w:t>单位产品综合能耗、单位产品碳排放量等处于行业先进水平。</w:t>
            </w:r>
          </w:p>
        </w:tc>
        <w:tc>
          <w:tcPr>
            <w:tcW w:w="340" w:type="pct"/>
            <w:tcBorders>
              <w:top w:val="single" w:color="auto" w:sz="4" w:space="0"/>
              <w:left w:val="nil"/>
              <w:bottom w:val="single" w:color="auto" w:sz="4" w:space="0"/>
              <w:right w:val="single" w:color="auto" w:sz="4" w:space="0"/>
            </w:tcBorders>
            <w:vAlign w:val="center"/>
          </w:tcPr>
          <w:p>
            <w:pPr>
              <w:ind w:firstLine="0"/>
              <w:jc w:val="center"/>
              <w:rPr>
                <w:szCs w:val="21"/>
              </w:rPr>
            </w:pPr>
            <w:r>
              <w:rPr>
                <w:rFonts w:hint="eastAsia"/>
                <w:szCs w:val="21"/>
              </w:rPr>
              <w:t>必选</w:t>
            </w:r>
          </w:p>
        </w:tc>
        <w:tc>
          <w:tcPr>
            <w:tcW w:w="262" w:type="pct"/>
            <w:vMerge w:val="continue"/>
            <w:tcBorders>
              <w:top w:val="nil"/>
              <w:left w:val="single" w:color="auto" w:sz="4" w:space="0"/>
              <w:bottom w:val="single" w:color="000000" w:sz="4" w:space="0"/>
              <w:right w:val="single" w:color="auto" w:sz="4" w:space="0"/>
            </w:tcBorders>
            <w:vAlign w:val="center"/>
          </w:tcPr>
          <w:p>
            <w:pPr>
              <w:ind w:firstLine="0"/>
              <w:jc w:val="center"/>
              <w:rPr>
                <w:color w:val="FF0000"/>
                <w:szCs w:val="21"/>
              </w:rPr>
            </w:pPr>
          </w:p>
        </w:tc>
      </w:tr>
    </w:tbl>
    <w:p>
      <w:pPr>
        <w:pStyle w:val="17"/>
      </w:pPr>
    </w:p>
    <w:p>
      <w:pPr>
        <w:snapToGrid w:val="0"/>
        <w:spacing w:line="360" w:lineRule="exact"/>
        <w:ind w:firstLine="0"/>
        <w:rPr>
          <w:color w:val="000000"/>
        </w:rPr>
      </w:pPr>
    </w:p>
    <w:p>
      <w:pPr>
        <w:snapToGrid w:val="0"/>
        <w:spacing w:line="360" w:lineRule="exact"/>
        <w:rPr>
          <w:color w:val="000000"/>
        </w:rPr>
      </w:pPr>
    </w:p>
    <w:p>
      <w:pPr>
        <w:snapToGrid w:val="0"/>
        <w:spacing w:line="360" w:lineRule="exact"/>
        <w:jc w:val="center"/>
        <w:rPr>
          <w:color w:val="000000"/>
        </w:rPr>
      </w:pPr>
      <w:r>
        <w:rPr>
          <w:color w:val="000000"/>
        </w:rPr>
        <w:t>──────────</w:t>
      </w:r>
    </w:p>
    <w:sectPr>
      <w:pgSz w:w="16838" w:h="11906" w:orient="landscape"/>
      <w:pgMar w:top="1418" w:right="1134" w:bottom="1134" w:left="1134"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Style w:val="21"/>
      </w:rPr>
      <w:fldChar w:fldCharType="begin"/>
    </w:r>
    <w:r>
      <w:rPr>
        <w:rStyle w:val="21"/>
      </w:rPr>
      <w:instrText xml:space="preserve">PAGE  </w:instrText>
    </w:r>
    <w:r>
      <w:rPr>
        <w:rStyle w:val="21"/>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EBF5EDB"/>
    <w:multiLevelType w:val="multilevel"/>
    <w:tmpl w:val="3EBF5EDB"/>
    <w:lvl w:ilvl="0" w:tentative="0">
      <w:start w:val="1"/>
      <w:numFmt w:val="decimal"/>
      <w:suff w:val="space"/>
      <w:lvlText w:val="%1 "/>
      <w:lvlJc w:val="left"/>
      <w:pPr>
        <w:ind w:left="0" w:firstLine="0"/>
      </w:pPr>
      <w:rPr>
        <w:rFonts w:hint="default" w:ascii="Verdana" w:hAnsi="Verdana"/>
        <w:sz w:val="24"/>
      </w:rPr>
    </w:lvl>
    <w:lvl w:ilvl="1" w:tentative="0">
      <w:start w:val="1"/>
      <w:numFmt w:val="decimal"/>
      <w:pStyle w:val="5"/>
      <w:suff w:val="space"/>
      <w:lvlText w:val="%1.%2 "/>
      <w:lvlJc w:val="left"/>
      <w:pPr>
        <w:ind w:left="0" w:firstLine="0"/>
      </w:pPr>
      <w:rPr>
        <w:rFonts w:hint="default" w:ascii="Verdana" w:hAnsi="Verdana"/>
        <w:sz w:val="24"/>
      </w:rPr>
    </w:lvl>
    <w:lvl w:ilvl="2" w:tentative="0">
      <w:start w:val="1"/>
      <w:numFmt w:val="decimal"/>
      <w:pStyle w:val="7"/>
      <w:suff w:val="space"/>
      <w:lvlText w:val="%1.%2.%3 "/>
      <w:lvlJc w:val="left"/>
      <w:pPr>
        <w:ind w:left="0" w:firstLine="0"/>
      </w:pPr>
      <w:rPr>
        <w:rFonts w:hint="default" w:ascii="Verdana" w:hAnsi="Verdana"/>
        <w:sz w:val="24"/>
      </w:rPr>
    </w:lvl>
    <w:lvl w:ilvl="3" w:tentative="0">
      <w:start w:val="1"/>
      <w:numFmt w:val="decimal"/>
      <w:pStyle w:val="8"/>
      <w:suff w:val="space"/>
      <w:lvlText w:val="%1.%2.%3.%4 "/>
      <w:lvlJc w:val="left"/>
      <w:pPr>
        <w:ind w:left="0" w:firstLine="0"/>
      </w:pPr>
      <w:rPr>
        <w:rFonts w:hint="default" w:ascii="Verdana" w:hAnsi="Verdana"/>
        <w:sz w:val="24"/>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2A7"/>
    <w:rsid w:val="00001690"/>
    <w:rsid w:val="0000267B"/>
    <w:rsid w:val="0000485A"/>
    <w:rsid w:val="00011908"/>
    <w:rsid w:val="00012FBE"/>
    <w:rsid w:val="000215A7"/>
    <w:rsid w:val="000338FE"/>
    <w:rsid w:val="00033A2D"/>
    <w:rsid w:val="0003589A"/>
    <w:rsid w:val="00036E7F"/>
    <w:rsid w:val="00036FE6"/>
    <w:rsid w:val="00041E33"/>
    <w:rsid w:val="00054482"/>
    <w:rsid w:val="00057725"/>
    <w:rsid w:val="00062033"/>
    <w:rsid w:val="00063B8B"/>
    <w:rsid w:val="0006515D"/>
    <w:rsid w:val="00067CBC"/>
    <w:rsid w:val="00072FB4"/>
    <w:rsid w:val="00074B56"/>
    <w:rsid w:val="000750EF"/>
    <w:rsid w:val="000753BE"/>
    <w:rsid w:val="00075BEB"/>
    <w:rsid w:val="00076825"/>
    <w:rsid w:val="00081177"/>
    <w:rsid w:val="0008736E"/>
    <w:rsid w:val="0009219D"/>
    <w:rsid w:val="0009599B"/>
    <w:rsid w:val="000A3481"/>
    <w:rsid w:val="000A5BD8"/>
    <w:rsid w:val="000A7448"/>
    <w:rsid w:val="000C4D38"/>
    <w:rsid w:val="000C4F2E"/>
    <w:rsid w:val="000C6B3A"/>
    <w:rsid w:val="000C6BD1"/>
    <w:rsid w:val="000C6C2A"/>
    <w:rsid w:val="000C7B0B"/>
    <w:rsid w:val="000D26C7"/>
    <w:rsid w:val="000E05E9"/>
    <w:rsid w:val="000F5D73"/>
    <w:rsid w:val="00114D3D"/>
    <w:rsid w:val="00121E18"/>
    <w:rsid w:val="001229ED"/>
    <w:rsid w:val="001261A3"/>
    <w:rsid w:val="001274D7"/>
    <w:rsid w:val="0012758A"/>
    <w:rsid w:val="00132F96"/>
    <w:rsid w:val="0013624E"/>
    <w:rsid w:val="00144F5F"/>
    <w:rsid w:val="001548FA"/>
    <w:rsid w:val="00155C01"/>
    <w:rsid w:val="00160017"/>
    <w:rsid w:val="001644A6"/>
    <w:rsid w:val="001644D1"/>
    <w:rsid w:val="00170F86"/>
    <w:rsid w:val="00181B8B"/>
    <w:rsid w:val="00187821"/>
    <w:rsid w:val="00191217"/>
    <w:rsid w:val="0019526B"/>
    <w:rsid w:val="00195370"/>
    <w:rsid w:val="00197933"/>
    <w:rsid w:val="001A2B9B"/>
    <w:rsid w:val="001A2D84"/>
    <w:rsid w:val="001B339F"/>
    <w:rsid w:val="001C76A3"/>
    <w:rsid w:val="001C7E3B"/>
    <w:rsid w:val="001D5221"/>
    <w:rsid w:val="001E0F05"/>
    <w:rsid w:val="001E1253"/>
    <w:rsid w:val="001F2566"/>
    <w:rsid w:val="001F40F5"/>
    <w:rsid w:val="001F644A"/>
    <w:rsid w:val="00202CF4"/>
    <w:rsid w:val="00203B71"/>
    <w:rsid w:val="00204E04"/>
    <w:rsid w:val="00205292"/>
    <w:rsid w:val="002057C3"/>
    <w:rsid w:val="00205886"/>
    <w:rsid w:val="00210593"/>
    <w:rsid w:val="002120E7"/>
    <w:rsid w:val="00215C42"/>
    <w:rsid w:val="00215FD6"/>
    <w:rsid w:val="002173C6"/>
    <w:rsid w:val="00224CEA"/>
    <w:rsid w:val="00230FBB"/>
    <w:rsid w:val="00234363"/>
    <w:rsid w:val="00235374"/>
    <w:rsid w:val="002366D0"/>
    <w:rsid w:val="00236B86"/>
    <w:rsid w:val="00237002"/>
    <w:rsid w:val="00237DE1"/>
    <w:rsid w:val="00241AEB"/>
    <w:rsid w:val="00241E0B"/>
    <w:rsid w:val="00242DBA"/>
    <w:rsid w:val="0024751D"/>
    <w:rsid w:val="00247A73"/>
    <w:rsid w:val="00257AB5"/>
    <w:rsid w:val="002629F2"/>
    <w:rsid w:val="00270BF6"/>
    <w:rsid w:val="00282C2B"/>
    <w:rsid w:val="00283B96"/>
    <w:rsid w:val="00283CCB"/>
    <w:rsid w:val="002862A7"/>
    <w:rsid w:val="002921F1"/>
    <w:rsid w:val="0029469B"/>
    <w:rsid w:val="002A1B32"/>
    <w:rsid w:val="002A1E3E"/>
    <w:rsid w:val="002A47A9"/>
    <w:rsid w:val="002A6086"/>
    <w:rsid w:val="002A69AC"/>
    <w:rsid w:val="002A6BEF"/>
    <w:rsid w:val="002B145A"/>
    <w:rsid w:val="002B22EB"/>
    <w:rsid w:val="002B3DF0"/>
    <w:rsid w:val="002B4D57"/>
    <w:rsid w:val="002B5847"/>
    <w:rsid w:val="002B79F1"/>
    <w:rsid w:val="002C2DE2"/>
    <w:rsid w:val="002C5DF3"/>
    <w:rsid w:val="002D401C"/>
    <w:rsid w:val="002D5A0A"/>
    <w:rsid w:val="002E2522"/>
    <w:rsid w:val="002E3CCE"/>
    <w:rsid w:val="002E5AAB"/>
    <w:rsid w:val="002E5C72"/>
    <w:rsid w:val="002E6C7C"/>
    <w:rsid w:val="003012E8"/>
    <w:rsid w:val="00302030"/>
    <w:rsid w:val="0030657E"/>
    <w:rsid w:val="003130AF"/>
    <w:rsid w:val="00315DF5"/>
    <w:rsid w:val="003168D3"/>
    <w:rsid w:val="00320392"/>
    <w:rsid w:val="00330A69"/>
    <w:rsid w:val="003417A7"/>
    <w:rsid w:val="00341AFC"/>
    <w:rsid w:val="00341E91"/>
    <w:rsid w:val="00347B6B"/>
    <w:rsid w:val="00352BF6"/>
    <w:rsid w:val="00353416"/>
    <w:rsid w:val="00355EA4"/>
    <w:rsid w:val="00357AAA"/>
    <w:rsid w:val="00357CCA"/>
    <w:rsid w:val="0036016F"/>
    <w:rsid w:val="003621D8"/>
    <w:rsid w:val="00364BD6"/>
    <w:rsid w:val="003660E7"/>
    <w:rsid w:val="00375833"/>
    <w:rsid w:val="003802C4"/>
    <w:rsid w:val="00380D36"/>
    <w:rsid w:val="00382E44"/>
    <w:rsid w:val="00390B25"/>
    <w:rsid w:val="003A5D8C"/>
    <w:rsid w:val="003C3293"/>
    <w:rsid w:val="003C769C"/>
    <w:rsid w:val="003D40DA"/>
    <w:rsid w:val="003D6F49"/>
    <w:rsid w:val="003E1889"/>
    <w:rsid w:val="003E51C9"/>
    <w:rsid w:val="003E7679"/>
    <w:rsid w:val="003F1BF0"/>
    <w:rsid w:val="003F3D8A"/>
    <w:rsid w:val="003F54DE"/>
    <w:rsid w:val="0040230F"/>
    <w:rsid w:val="00403466"/>
    <w:rsid w:val="00403856"/>
    <w:rsid w:val="00404F9D"/>
    <w:rsid w:val="00415197"/>
    <w:rsid w:val="004172C5"/>
    <w:rsid w:val="004234ED"/>
    <w:rsid w:val="00425C8E"/>
    <w:rsid w:val="00427CA0"/>
    <w:rsid w:val="00427F5E"/>
    <w:rsid w:val="00445AD3"/>
    <w:rsid w:val="004539FF"/>
    <w:rsid w:val="0045423F"/>
    <w:rsid w:val="004551E4"/>
    <w:rsid w:val="00464796"/>
    <w:rsid w:val="00467D19"/>
    <w:rsid w:val="004725A9"/>
    <w:rsid w:val="00474638"/>
    <w:rsid w:val="00475E29"/>
    <w:rsid w:val="004876D5"/>
    <w:rsid w:val="004925B7"/>
    <w:rsid w:val="004A1996"/>
    <w:rsid w:val="004A7FB2"/>
    <w:rsid w:val="004B4A13"/>
    <w:rsid w:val="004C0160"/>
    <w:rsid w:val="004C1285"/>
    <w:rsid w:val="004D46AD"/>
    <w:rsid w:val="004D4EE0"/>
    <w:rsid w:val="004D572A"/>
    <w:rsid w:val="004E2136"/>
    <w:rsid w:val="004E2AAC"/>
    <w:rsid w:val="004E63A8"/>
    <w:rsid w:val="004F6C03"/>
    <w:rsid w:val="00502A45"/>
    <w:rsid w:val="005058FE"/>
    <w:rsid w:val="00506EC4"/>
    <w:rsid w:val="00530CBE"/>
    <w:rsid w:val="00531BB0"/>
    <w:rsid w:val="00535586"/>
    <w:rsid w:val="00542D62"/>
    <w:rsid w:val="00545261"/>
    <w:rsid w:val="00547B7F"/>
    <w:rsid w:val="005572AE"/>
    <w:rsid w:val="0056399A"/>
    <w:rsid w:val="00571846"/>
    <w:rsid w:val="005733AE"/>
    <w:rsid w:val="0057365B"/>
    <w:rsid w:val="0057427F"/>
    <w:rsid w:val="00580894"/>
    <w:rsid w:val="00592B6E"/>
    <w:rsid w:val="005A332A"/>
    <w:rsid w:val="005A63CA"/>
    <w:rsid w:val="005B1D2F"/>
    <w:rsid w:val="005B5024"/>
    <w:rsid w:val="005C07AB"/>
    <w:rsid w:val="005C1339"/>
    <w:rsid w:val="005C1E34"/>
    <w:rsid w:val="005D0009"/>
    <w:rsid w:val="005D22B7"/>
    <w:rsid w:val="005D495C"/>
    <w:rsid w:val="005E165D"/>
    <w:rsid w:val="005E66CC"/>
    <w:rsid w:val="005F6EED"/>
    <w:rsid w:val="00603932"/>
    <w:rsid w:val="00607859"/>
    <w:rsid w:val="00612E8D"/>
    <w:rsid w:val="00621636"/>
    <w:rsid w:val="0062285C"/>
    <w:rsid w:val="006250AA"/>
    <w:rsid w:val="00640F2B"/>
    <w:rsid w:val="006449E3"/>
    <w:rsid w:val="00644EF5"/>
    <w:rsid w:val="00647D32"/>
    <w:rsid w:val="006534B9"/>
    <w:rsid w:val="00653AD8"/>
    <w:rsid w:val="00654BDA"/>
    <w:rsid w:val="006611AD"/>
    <w:rsid w:val="00662E0D"/>
    <w:rsid w:val="006740E3"/>
    <w:rsid w:val="00682FEE"/>
    <w:rsid w:val="00683FFC"/>
    <w:rsid w:val="006853FF"/>
    <w:rsid w:val="00686AA8"/>
    <w:rsid w:val="00687EDA"/>
    <w:rsid w:val="006901C5"/>
    <w:rsid w:val="006904AC"/>
    <w:rsid w:val="006907DC"/>
    <w:rsid w:val="006938D8"/>
    <w:rsid w:val="00695AB1"/>
    <w:rsid w:val="00697567"/>
    <w:rsid w:val="006A0DA7"/>
    <w:rsid w:val="006A208E"/>
    <w:rsid w:val="006A402D"/>
    <w:rsid w:val="006B7A38"/>
    <w:rsid w:val="006C2970"/>
    <w:rsid w:val="006C3A5F"/>
    <w:rsid w:val="006C6CE5"/>
    <w:rsid w:val="006D480E"/>
    <w:rsid w:val="006E117D"/>
    <w:rsid w:val="006E3747"/>
    <w:rsid w:val="006E7428"/>
    <w:rsid w:val="006F3677"/>
    <w:rsid w:val="006F76A3"/>
    <w:rsid w:val="00703240"/>
    <w:rsid w:val="007035CE"/>
    <w:rsid w:val="0070390A"/>
    <w:rsid w:val="007043F5"/>
    <w:rsid w:val="00704479"/>
    <w:rsid w:val="0070476F"/>
    <w:rsid w:val="007104F2"/>
    <w:rsid w:val="0071494A"/>
    <w:rsid w:val="00714FC8"/>
    <w:rsid w:val="00732303"/>
    <w:rsid w:val="007327A7"/>
    <w:rsid w:val="00732893"/>
    <w:rsid w:val="00733883"/>
    <w:rsid w:val="0073588E"/>
    <w:rsid w:val="007358ED"/>
    <w:rsid w:val="00760C86"/>
    <w:rsid w:val="007661EC"/>
    <w:rsid w:val="00771094"/>
    <w:rsid w:val="0077281E"/>
    <w:rsid w:val="007751C9"/>
    <w:rsid w:val="00783CDA"/>
    <w:rsid w:val="00790ED2"/>
    <w:rsid w:val="007913AB"/>
    <w:rsid w:val="007938F3"/>
    <w:rsid w:val="00795687"/>
    <w:rsid w:val="00795C27"/>
    <w:rsid w:val="007B6A81"/>
    <w:rsid w:val="007C432D"/>
    <w:rsid w:val="007C52CC"/>
    <w:rsid w:val="007C5A56"/>
    <w:rsid w:val="007C7390"/>
    <w:rsid w:val="007C7AFD"/>
    <w:rsid w:val="007C7F9E"/>
    <w:rsid w:val="007D0EC7"/>
    <w:rsid w:val="007D2725"/>
    <w:rsid w:val="007E38A7"/>
    <w:rsid w:val="007E6A87"/>
    <w:rsid w:val="007F0C2B"/>
    <w:rsid w:val="007F1787"/>
    <w:rsid w:val="007F27D6"/>
    <w:rsid w:val="007F2C5D"/>
    <w:rsid w:val="007F3ABA"/>
    <w:rsid w:val="007F3CDF"/>
    <w:rsid w:val="008027D2"/>
    <w:rsid w:val="00805840"/>
    <w:rsid w:val="008218B9"/>
    <w:rsid w:val="00825F5B"/>
    <w:rsid w:val="008311D5"/>
    <w:rsid w:val="008354BB"/>
    <w:rsid w:val="00835607"/>
    <w:rsid w:val="00837639"/>
    <w:rsid w:val="008413D8"/>
    <w:rsid w:val="00843D2A"/>
    <w:rsid w:val="008453D0"/>
    <w:rsid w:val="00854704"/>
    <w:rsid w:val="0085790F"/>
    <w:rsid w:val="00857936"/>
    <w:rsid w:val="00860FD8"/>
    <w:rsid w:val="008613B1"/>
    <w:rsid w:val="008617A5"/>
    <w:rsid w:val="008635F8"/>
    <w:rsid w:val="008648EB"/>
    <w:rsid w:val="00866267"/>
    <w:rsid w:val="00873326"/>
    <w:rsid w:val="008734A7"/>
    <w:rsid w:val="00873A98"/>
    <w:rsid w:val="00875034"/>
    <w:rsid w:val="008822DB"/>
    <w:rsid w:val="00882A8C"/>
    <w:rsid w:val="008912CB"/>
    <w:rsid w:val="0089290C"/>
    <w:rsid w:val="008A140C"/>
    <w:rsid w:val="008A1FA8"/>
    <w:rsid w:val="008A41B3"/>
    <w:rsid w:val="008A4B79"/>
    <w:rsid w:val="008A66A6"/>
    <w:rsid w:val="008A6EB8"/>
    <w:rsid w:val="008C338B"/>
    <w:rsid w:val="008C4108"/>
    <w:rsid w:val="008D545E"/>
    <w:rsid w:val="008D6C72"/>
    <w:rsid w:val="008F2942"/>
    <w:rsid w:val="008F3C7D"/>
    <w:rsid w:val="008F4FA2"/>
    <w:rsid w:val="008F51E6"/>
    <w:rsid w:val="008F56CD"/>
    <w:rsid w:val="009004F4"/>
    <w:rsid w:val="009114BB"/>
    <w:rsid w:val="009127C9"/>
    <w:rsid w:val="00926E9B"/>
    <w:rsid w:val="0093514B"/>
    <w:rsid w:val="00937D6C"/>
    <w:rsid w:val="00942B14"/>
    <w:rsid w:val="00942BF3"/>
    <w:rsid w:val="00944AB7"/>
    <w:rsid w:val="009475C4"/>
    <w:rsid w:val="009570F7"/>
    <w:rsid w:val="009573A4"/>
    <w:rsid w:val="00960A52"/>
    <w:rsid w:val="00962FC9"/>
    <w:rsid w:val="009637FD"/>
    <w:rsid w:val="009811C2"/>
    <w:rsid w:val="009833F8"/>
    <w:rsid w:val="00986CD7"/>
    <w:rsid w:val="00987A9A"/>
    <w:rsid w:val="00990EB6"/>
    <w:rsid w:val="00996020"/>
    <w:rsid w:val="009971DD"/>
    <w:rsid w:val="009A040D"/>
    <w:rsid w:val="009A42E3"/>
    <w:rsid w:val="009B25E0"/>
    <w:rsid w:val="009B3D77"/>
    <w:rsid w:val="009B4221"/>
    <w:rsid w:val="009B4CC2"/>
    <w:rsid w:val="009C2AD1"/>
    <w:rsid w:val="009C5A00"/>
    <w:rsid w:val="009D2180"/>
    <w:rsid w:val="009D460B"/>
    <w:rsid w:val="009D4BDA"/>
    <w:rsid w:val="009D4D92"/>
    <w:rsid w:val="009E279E"/>
    <w:rsid w:val="009E4B54"/>
    <w:rsid w:val="009F1084"/>
    <w:rsid w:val="009F1412"/>
    <w:rsid w:val="009F2F87"/>
    <w:rsid w:val="009F4710"/>
    <w:rsid w:val="00A01203"/>
    <w:rsid w:val="00A05D04"/>
    <w:rsid w:val="00A05FED"/>
    <w:rsid w:val="00A06806"/>
    <w:rsid w:val="00A07122"/>
    <w:rsid w:val="00A07CB5"/>
    <w:rsid w:val="00A13D9E"/>
    <w:rsid w:val="00A15B87"/>
    <w:rsid w:val="00A20128"/>
    <w:rsid w:val="00A20DF8"/>
    <w:rsid w:val="00A24280"/>
    <w:rsid w:val="00A25F70"/>
    <w:rsid w:val="00A27240"/>
    <w:rsid w:val="00A30ECF"/>
    <w:rsid w:val="00A45A96"/>
    <w:rsid w:val="00A47374"/>
    <w:rsid w:val="00A52411"/>
    <w:rsid w:val="00A55406"/>
    <w:rsid w:val="00A5650B"/>
    <w:rsid w:val="00A601B8"/>
    <w:rsid w:val="00A60A0C"/>
    <w:rsid w:val="00A628DF"/>
    <w:rsid w:val="00A647E7"/>
    <w:rsid w:val="00A65A75"/>
    <w:rsid w:val="00A6747F"/>
    <w:rsid w:val="00A7008F"/>
    <w:rsid w:val="00A715D8"/>
    <w:rsid w:val="00A73050"/>
    <w:rsid w:val="00A835FB"/>
    <w:rsid w:val="00A84A3F"/>
    <w:rsid w:val="00A8667C"/>
    <w:rsid w:val="00A8750C"/>
    <w:rsid w:val="00A87556"/>
    <w:rsid w:val="00A87C92"/>
    <w:rsid w:val="00A9008D"/>
    <w:rsid w:val="00A93B94"/>
    <w:rsid w:val="00AA52D6"/>
    <w:rsid w:val="00AA5781"/>
    <w:rsid w:val="00AB0232"/>
    <w:rsid w:val="00AB0709"/>
    <w:rsid w:val="00AB7D28"/>
    <w:rsid w:val="00AC07A3"/>
    <w:rsid w:val="00AC0D44"/>
    <w:rsid w:val="00AC5BC1"/>
    <w:rsid w:val="00AD3D0C"/>
    <w:rsid w:val="00AE17C5"/>
    <w:rsid w:val="00AE7263"/>
    <w:rsid w:val="00AF0B07"/>
    <w:rsid w:val="00AF1DD0"/>
    <w:rsid w:val="00AF7217"/>
    <w:rsid w:val="00AF7607"/>
    <w:rsid w:val="00B003CF"/>
    <w:rsid w:val="00B01035"/>
    <w:rsid w:val="00B0338E"/>
    <w:rsid w:val="00B12CDD"/>
    <w:rsid w:val="00B1317D"/>
    <w:rsid w:val="00B25A88"/>
    <w:rsid w:val="00B26C97"/>
    <w:rsid w:val="00B27D05"/>
    <w:rsid w:val="00B305FB"/>
    <w:rsid w:val="00B31653"/>
    <w:rsid w:val="00B364A7"/>
    <w:rsid w:val="00B3653F"/>
    <w:rsid w:val="00B41E93"/>
    <w:rsid w:val="00B43A7B"/>
    <w:rsid w:val="00B50140"/>
    <w:rsid w:val="00B50D66"/>
    <w:rsid w:val="00B61820"/>
    <w:rsid w:val="00B723D6"/>
    <w:rsid w:val="00B73484"/>
    <w:rsid w:val="00B75D24"/>
    <w:rsid w:val="00B81DB7"/>
    <w:rsid w:val="00B8235C"/>
    <w:rsid w:val="00B83920"/>
    <w:rsid w:val="00B907CB"/>
    <w:rsid w:val="00B929F4"/>
    <w:rsid w:val="00B95A63"/>
    <w:rsid w:val="00B97B95"/>
    <w:rsid w:val="00BA22E7"/>
    <w:rsid w:val="00BA3AD4"/>
    <w:rsid w:val="00BA4816"/>
    <w:rsid w:val="00BA4D5E"/>
    <w:rsid w:val="00BA4FEE"/>
    <w:rsid w:val="00BA7D6F"/>
    <w:rsid w:val="00BC12AE"/>
    <w:rsid w:val="00BD5276"/>
    <w:rsid w:val="00BE0AE2"/>
    <w:rsid w:val="00BE2641"/>
    <w:rsid w:val="00BE71A0"/>
    <w:rsid w:val="00BF0260"/>
    <w:rsid w:val="00C04A60"/>
    <w:rsid w:val="00C11521"/>
    <w:rsid w:val="00C1166B"/>
    <w:rsid w:val="00C132FA"/>
    <w:rsid w:val="00C218E6"/>
    <w:rsid w:val="00C21E52"/>
    <w:rsid w:val="00C2209F"/>
    <w:rsid w:val="00C2380F"/>
    <w:rsid w:val="00C24502"/>
    <w:rsid w:val="00C2702F"/>
    <w:rsid w:val="00C33EDE"/>
    <w:rsid w:val="00C5635B"/>
    <w:rsid w:val="00C617F7"/>
    <w:rsid w:val="00C6634C"/>
    <w:rsid w:val="00C66559"/>
    <w:rsid w:val="00C673D3"/>
    <w:rsid w:val="00C727A5"/>
    <w:rsid w:val="00C75306"/>
    <w:rsid w:val="00C76582"/>
    <w:rsid w:val="00C83013"/>
    <w:rsid w:val="00C85491"/>
    <w:rsid w:val="00C90E25"/>
    <w:rsid w:val="00C922F9"/>
    <w:rsid w:val="00C97C45"/>
    <w:rsid w:val="00CA012F"/>
    <w:rsid w:val="00CA14ED"/>
    <w:rsid w:val="00CA3903"/>
    <w:rsid w:val="00CA434A"/>
    <w:rsid w:val="00CA7243"/>
    <w:rsid w:val="00CB3AFE"/>
    <w:rsid w:val="00CC12F6"/>
    <w:rsid w:val="00CC1B27"/>
    <w:rsid w:val="00CC7A2F"/>
    <w:rsid w:val="00CD0F32"/>
    <w:rsid w:val="00CD4610"/>
    <w:rsid w:val="00CE2BB7"/>
    <w:rsid w:val="00CE640D"/>
    <w:rsid w:val="00CF2E91"/>
    <w:rsid w:val="00CF6366"/>
    <w:rsid w:val="00CF6FD0"/>
    <w:rsid w:val="00D00ABC"/>
    <w:rsid w:val="00D02122"/>
    <w:rsid w:val="00D06B80"/>
    <w:rsid w:val="00D07E7D"/>
    <w:rsid w:val="00D1052F"/>
    <w:rsid w:val="00D16E0F"/>
    <w:rsid w:val="00D20399"/>
    <w:rsid w:val="00D24280"/>
    <w:rsid w:val="00D30385"/>
    <w:rsid w:val="00D33D57"/>
    <w:rsid w:val="00D403C4"/>
    <w:rsid w:val="00D42A5A"/>
    <w:rsid w:val="00D45B76"/>
    <w:rsid w:val="00D47611"/>
    <w:rsid w:val="00D47FD7"/>
    <w:rsid w:val="00D57B48"/>
    <w:rsid w:val="00D64F23"/>
    <w:rsid w:val="00D65463"/>
    <w:rsid w:val="00D70754"/>
    <w:rsid w:val="00D81E03"/>
    <w:rsid w:val="00D83916"/>
    <w:rsid w:val="00D84B15"/>
    <w:rsid w:val="00D87655"/>
    <w:rsid w:val="00D87E83"/>
    <w:rsid w:val="00D90F30"/>
    <w:rsid w:val="00D92D87"/>
    <w:rsid w:val="00D93640"/>
    <w:rsid w:val="00D9423A"/>
    <w:rsid w:val="00DA280A"/>
    <w:rsid w:val="00DB061E"/>
    <w:rsid w:val="00DB3A6A"/>
    <w:rsid w:val="00DC3B3C"/>
    <w:rsid w:val="00DD2D6C"/>
    <w:rsid w:val="00DD53A4"/>
    <w:rsid w:val="00DD53F0"/>
    <w:rsid w:val="00DD7497"/>
    <w:rsid w:val="00DE1773"/>
    <w:rsid w:val="00DF17C9"/>
    <w:rsid w:val="00DF52F5"/>
    <w:rsid w:val="00E114A5"/>
    <w:rsid w:val="00E121D3"/>
    <w:rsid w:val="00E12D4A"/>
    <w:rsid w:val="00E1407A"/>
    <w:rsid w:val="00E259D9"/>
    <w:rsid w:val="00E262D0"/>
    <w:rsid w:val="00E2719F"/>
    <w:rsid w:val="00E27B8D"/>
    <w:rsid w:val="00E35541"/>
    <w:rsid w:val="00E3714C"/>
    <w:rsid w:val="00E37AED"/>
    <w:rsid w:val="00E37C60"/>
    <w:rsid w:val="00E478E9"/>
    <w:rsid w:val="00E557FD"/>
    <w:rsid w:val="00E64DEB"/>
    <w:rsid w:val="00E66147"/>
    <w:rsid w:val="00E6691E"/>
    <w:rsid w:val="00E67BF9"/>
    <w:rsid w:val="00E71135"/>
    <w:rsid w:val="00E72EC2"/>
    <w:rsid w:val="00E7782F"/>
    <w:rsid w:val="00E84114"/>
    <w:rsid w:val="00E97E5F"/>
    <w:rsid w:val="00EA026C"/>
    <w:rsid w:val="00EA3A4C"/>
    <w:rsid w:val="00EA79E7"/>
    <w:rsid w:val="00EB444C"/>
    <w:rsid w:val="00EC621C"/>
    <w:rsid w:val="00ED3D20"/>
    <w:rsid w:val="00EE5EE1"/>
    <w:rsid w:val="00EE6585"/>
    <w:rsid w:val="00EE747C"/>
    <w:rsid w:val="00EF06ED"/>
    <w:rsid w:val="00EF1A8B"/>
    <w:rsid w:val="00EF2D0C"/>
    <w:rsid w:val="00EF44FB"/>
    <w:rsid w:val="00EF5A87"/>
    <w:rsid w:val="00EF749F"/>
    <w:rsid w:val="00EF7A76"/>
    <w:rsid w:val="00EF7EA9"/>
    <w:rsid w:val="00F05E22"/>
    <w:rsid w:val="00F06ED1"/>
    <w:rsid w:val="00F07136"/>
    <w:rsid w:val="00F072DC"/>
    <w:rsid w:val="00F1042C"/>
    <w:rsid w:val="00F134CF"/>
    <w:rsid w:val="00F13E1D"/>
    <w:rsid w:val="00F14880"/>
    <w:rsid w:val="00F16996"/>
    <w:rsid w:val="00F21129"/>
    <w:rsid w:val="00F2231F"/>
    <w:rsid w:val="00F273DE"/>
    <w:rsid w:val="00F31445"/>
    <w:rsid w:val="00F3508E"/>
    <w:rsid w:val="00F3781C"/>
    <w:rsid w:val="00F4323E"/>
    <w:rsid w:val="00F4330F"/>
    <w:rsid w:val="00F44F02"/>
    <w:rsid w:val="00F46F4B"/>
    <w:rsid w:val="00F51119"/>
    <w:rsid w:val="00F5323F"/>
    <w:rsid w:val="00F60BC8"/>
    <w:rsid w:val="00F64541"/>
    <w:rsid w:val="00F71107"/>
    <w:rsid w:val="00F716F7"/>
    <w:rsid w:val="00F844C3"/>
    <w:rsid w:val="00F853B4"/>
    <w:rsid w:val="00F86457"/>
    <w:rsid w:val="00F87024"/>
    <w:rsid w:val="00F877C0"/>
    <w:rsid w:val="00F97012"/>
    <w:rsid w:val="00FA1237"/>
    <w:rsid w:val="00FA133B"/>
    <w:rsid w:val="00FA3081"/>
    <w:rsid w:val="00FA31B9"/>
    <w:rsid w:val="00FB24FC"/>
    <w:rsid w:val="00FB28AB"/>
    <w:rsid w:val="00FB7DFC"/>
    <w:rsid w:val="00FC0BFF"/>
    <w:rsid w:val="00FC255E"/>
    <w:rsid w:val="00FC5CC9"/>
    <w:rsid w:val="00FC7949"/>
    <w:rsid w:val="00FD0CAE"/>
    <w:rsid w:val="00FD1C79"/>
    <w:rsid w:val="00FD2509"/>
    <w:rsid w:val="00FD33ED"/>
    <w:rsid w:val="00FD389E"/>
    <w:rsid w:val="00FD7B23"/>
    <w:rsid w:val="00FE7E1D"/>
    <w:rsid w:val="00FF163F"/>
    <w:rsid w:val="15A5429F"/>
    <w:rsid w:val="2353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435"/>
      <w:textAlignment w:val="baseline"/>
    </w:pPr>
    <w:rPr>
      <w:rFonts w:ascii="Times New Roman" w:hAnsi="Times New Roman" w:eastAsia="宋体" w:cs="Times New Roman"/>
      <w:sz w:val="21"/>
      <w:lang w:val="en-US" w:eastAsia="zh-CN" w:bidi="ar-SA"/>
    </w:rPr>
  </w:style>
  <w:style w:type="paragraph" w:styleId="2">
    <w:name w:val="heading 1"/>
    <w:basedOn w:val="1"/>
    <w:next w:val="3"/>
    <w:qFormat/>
    <w:uiPriority w:val="0"/>
    <w:pPr>
      <w:keepLines/>
      <w:spacing w:before="120" w:after="120" w:line="240" w:lineRule="auto"/>
      <w:outlineLvl w:val="0"/>
    </w:pPr>
    <w:rPr>
      <w:rFonts w:ascii="黑体" w:hAnsi="Verdana" w:eastAsia="黑体"/>
    </w:rPr>
  </w:style>
  <w:style w:type="paragraph" w:styleId="5">
    <w:name w:val="heading 2"/>
    <w:basedOn w:val="2"/>
    <w:next w:val="6"/>
    <w:qFormat/>
    <w:uiPriority w:val="0"/>
    <w:pPr>
      <w:numPr>
        <w:ilvl w:val="1"/>
        <w:numId w:val="1"/>
      </w:numPr>
      <w:outlineLvl w:val="1"/>
    </w:pPr>
    <w:rPr>
      <w:rFonts w:ascii="宋体" w:hAnsi="Times New Roman" w:eastAsia="宋体"/>
    </w:rPr>
  </w:style>
  <w:style w:type="paragraph" w:styleId="7">
    <w:name w:val="heading 3"/>
    <w:basedOn w:val="2"/>
    <w:next w:val="6"/>
    <w:qFormat/>
    <w:uiPriority w:val="0"/>
    <w:pPr>
      <w:numPr>
        <w:ilvl w:val="2"/>
        <w:numId w:val="1"/>
      </w:numPr>
      <w:outlineLvl w:val="2"/>
    </w:pPr>
    <w:rPr>
      <w:rFonts w:ascii="宋体" w:hAnsi="Tahoma" w:eastAsia="宋体"/>
    </w:rPr>
  </w:style>
  <w:style w:type="paragraph" w:styleId="8">
    <w:name w:val="heading 4"/>
    <w:basedOn w:val="2"/>
    <w:next w:val="6"/>
    <w:qFormat/>
    <w:uiPriority w:val="0"/>
    <w:pPr>
      <w:keepNext/>
      <w:numPr>
        <w:ilvl w:val="3"/>
        <w:numId w:val="1"/>
      </w:numPr>
      <w:outlineLvl w:val="3"/>
    </w:pPr>
    <w:rPr>
      <w:rFonts w:ascii="宋体" w:hAnsi="Tahoma" w:eastAsia="宋体"/>
    </w:rPr>
  </w:style>
  <w:style w:type="paragraph" w:styleId="9">
    <w:name w:val="heading 5"/>
    <w:basedOn w:val="7"/>
    <w:next w:val="6"/>
    <w:qFormat/>
    <w:uiPriority w:val="0"/>
    <w:pPr>
      <w:numPr>
        <w:ilvl w:val="4"/>
      </w:numPr>
      <w:outlineLvl w:val="4"/>
    </w:pPr>
  </w:style>
  <w:style w:type="paragraph" w:styleId="10">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6">
    <w:name w:val="Normal Indent"/>
    <w:basedOn w:val="1"/>
    <w:qFormat/>
    <w:uiPriority w:val="0"/>
    <w:pPr>
      <w:ind w:firstLine="420" w:firstLineChars="200"/>
    </w:pPr>
  </w:style>
  <w:style w:type="paragraph" w:styleId="11">
    <w:name w:val="Date"/>
    <w:basedOn w:val="1"/>
    <w:next w:val="1"/>
    <w:qFormat/>
    <w:uiPriority w:val="0"/>
    <w:pPr>
      <w:adjustRightInd/>
      <w:spacing w:line="240" w:lineRule="auto"/>
      <w:jc w:val="both"/>
      <w:textAlignment w:val="auto"/>
    </w:pPr>
    <w:rPr>
      <w:kern w:val="2"/>
    </w:rPr>
  </w:style>
  <w:style w:type="paragraph" w:styleId="12">
    <w:name w:val="Balloon Text"/>
    <w:basedOn w:val="1"/>
    <w:link w:val="26"/>
    <w:uiPriority w:val="0"/>
    <w:pPr>
      <w:spacing w:line="240" w:lineRule="auto"/>
    </w:pPr>
    <w:rPr>
      <w:sz w:val="18"/>
      <w:szCs w:val="18"/>
    </w:rPr>
  </w:style>
  <w:style w:type="paragraph" w:styleId="13">
    <w:name w:val="footer"/>
    <w:basedOn w:val="1"/>
    <w:qFormat/>
    <w:uiPriority w:val="0"/>
    <w:pPr>
      <w:tabs>
        <w:tab w:val="center" w:pos="4153"/>
        <w:tab w:val="right" w:pos="8306"/>
      </w:tabs>
      <w:spacing w:line="240" w:lineRule="atLeast"/>
    </w:pPr>
    <w:rPr>
      <w:sz w:val="18"/>
    </w:rPr>
  </w:style>
  <w:style w:type="paragraph" w:styleId="1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semiHidden/>
    <w:qFormat/>
    <w:uiPriority w:val="0"/>
  </w:style>
  <w:style w:type="paragraph" w:styleId="16">
    <w:name w:val="Body Text Indent 3"/>
    <w:basedOn w:val="1"/>
    <w:link w:val="27"/>
    <w:uiPriority w:val="0"/>
    <w:pPr>
      <w:spacing w:after="120"/>
      <w:ind w:left="420" w:leftChars="200"/>
    </w:pPr>
    <w:rPr>
      <w:sz w:val="16"/>
      <w:szCs w:val="16"/>
    </w:rPr>
  </w:style>
  <w:style w:type="paragraph" w:styleId="17">
    <w:name w:val="Title"/>
    <w:basedOn w:val="1"/>
    <w:next w:val="1"/>
    <w:link w:val="34"/>
    <w:qFormat/>
    <w:uiPriority w:val="10"/>
    <w:pPr>
      <w:adjustRightInd/>
      <w:spacing w:before="240" w:after="60" w:line="240" w:lineRule="auto"/>
      <w:ind w:firstLine="0"/>
      <w:jc w:val="center"/>
      <w:textAlignment w:val="auto"/>
      <w:outlineLvl w:val="0"/>
    </w:pPr>
    <w:rPr>
      <w:rFonts w:asciiTheme="majorHAnsi" w:hAnsiTheme="majorHAnsi" w:cstheme="majorBidi"/>
      <w:b/>
      <w:bCs/>
      <w:kern w:val="2"/>
      <w:sz w:val="32"/>
      <w:szCs w:val="32"/>
    </w:rPr>
  </w:style>
  <w:style w:type="table" w:styleId="19">
    <w:name w:val="Table Grid"/>
    <w:basedOn w:val="18"/>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paragraph" w:customStyle="1" w:styleId="22">
    <w:name w:val="篇"/>
    <w:basedOn w:val="1"/>
    <w:next w:val="1"/>
    <w:qFormat/>
    <w:uiPriority w:val="0"/>
    <w:pPr>
      <w:jc w:val="center"/>
    </w:pPr>
    <w:rPr>
      <w:rFonts w:eastAsia="黑体"/>
    </w:rPr>
  </w:style>
  <w:style w:type="paragraph" w:customStyle="1" w:styleId="23">
    <w:name w:val="Char"/>
    <w:basedOn w:val="1"/>
    <w:qFormat/>
    <w:uiPriority w:val="0"/>
    <w:pPr>
      <w:widowControl/>
      <w:adjustRightInd/>
      <w:spacing w:after="160" w:line="240" w:lineRule="exact"/>
      <w:textAlignment w:val="auto"/>
    </w:pPr>
    <w:rPr>
      <w:rFonts w:ascii="Verdana" w:hAnsi="Verdana"/>
      <w:sz w:val="20"/>
      <w:lang w:eastAsia="en-US"/>
    </w:rPr>
  </w:style>
  <w:style w:type="character" w:customStyle="1" w:styleId="24">
    <w:name w:val="发布"/>
    <w:qFormat/>
    <w:uiPriority w:val="0"/>
    <w:rPr>
      <w:rFonts w:ascii="黑体" w:eastAsia="黑体"/>
      <w:spacing w:val="22"/>
      <w:w w:val="100"/>
      <w:position w:val="3"/>
      <w:sz w:val="28"/>
    </w:rPr>
  </w:style>
  <w:style w:type="paragraph" w:customStyle="1" w:styleId="25">
    <w:name w:val="其他发布部门"/>
    <w:basedOn w:val="1"/>
    <w:uiPriority w:val="0"/>
    <w:pPr>
      <w:framePr w:w="7433" w:h="585" w:hRule="exact" w:hSpace="180" w:vSpace="180" w:wrap="around" w:vAnchor="margin" w:hAnchor="margin" w:xAlign="center" w:y="14401" w:anchorLock="1"/>
      <w:widowControl/>
      <w:adjustRightInd/>
      <w:spacing w:line="0" w:lineRule="atLeast"/>
      <w:jc w:val="center"/>
      <w:textAlignment w:val="auto"/>
    </w:pPr>
    <w:rPr>
      <w:rFonts w:ascii="黑体" w:eastAsia="黑体"/>
      <w:spacing w:val="20"/>
      <w:w w:val="135"/>
      <w:sz w:val="36"/>
    </w:rPr>
  </w:style>
  <w:style w:type="character" w:customStyle="1" w:styleId="26">
    <w:name w:val="批注框文本 Char"/>
    <w:basedOn w:val="20"/>
    <w:link w:val="12"/>
    <w:uiPriority w:val="0"/>
    <w:rPr>
      <w:sz w:val="18"/>
      <w:szCs w:val="18"/>
    </w:rPr>
  </w:style>
  <w:style w:type="character" w:customStyle="1" w:styleId="27">
    <w:name w:val="正文文本缩进 3 Char"/>
    <w:basedOn w:val="20"/>
    <w:link w:val="16"/>
    <w:uiPriority w:val="0"/>
    <w:rPr>
      <w:sz w:val="16"/>
      <w:szCs w:val="16"/>
    </w:rPr>
  </w:style>
  <w:style w:type="paragraph" w:customStyle="1" w:styleId="28">
    <w:name w:val="一级条标题"/>
    <w:next w:val="1"/>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章标题"/>
    <w:next w:val="1"/>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1"/>
    <w:uiPriority w:val="0"/>
    <w:pPr>
      <w:numPr>
        <w:ilvl w:val="2"/>
      </w:numPr>
      <w:spacing w:before="50" w:after="50"/>
      <w:outlineLvl w:val="3"/>
    </w:pPr>
  </w:style>
  <w:style w:type="paragraph" w:customStyle="1" w:styleId="31">
    <w:name w:val="三级条标题"/>
    <w:basedOn w:val="30"/>
    <w:next w:val="1"/>
    <w:uiPriority w:val="0"/>
    <w:pPr>
      <w:numPr>
        <w:ilvl w:val="3"/>
      </w:numPr>
      <w:outlineLvl w:val="4"/>
    </w:pPr>
  </w:style>
  <w:style w:type="paragraph" w:customStyle="1" w:styleId="32">
    <w:name w:val="四级条标题"/>
    <w:basedOn w:val="31"/>
    <w:next w:val="1"/>
    <w:uiPriority w:val="0"/>
    <w:pPr>
      <w:numPr>
        <w:ilvl w:val="4"/>
      </w:numPr>
      <w:outlineLvl w:val="5"/>
    </w:pPr>
  </w:style>
  <w:style w:type="paragraph" w:customStyle="1" w:styleId="33">
    <w:name w:val="五级条标题"/>
    <w:basedOn w:val="32"/>
    <w:next w:val="1"/>
    <w:uiPriority w:val="0"/>
    <w:pPr>
      <w:numPr>
        <w:ilvl w:val="5"/>
      </w:numPr>
      <w:outlineLvl w:val="6"/>
    </w:pPr>
  </w:style>
  <w:style w:type="character" w:customStyle="1" w:styleId="34">
    <w:name w:val="标题 Char"/>
    <w:basedOn w:val="20"/>
    <w:link w:val="17"/>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3"/>
    <customShpInfo spid="_x0000_s1068"/>
    <customShpInfo spid="_x0000_s1069"/>
    <customShpInfo spid="_x0000_s1071"/>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xxx</Company>
  <Pages>15</Pages>
  <Words>1570</Words>
  <Characters>8954</Characters>
  <Lines>74</Lines>
  <Paragraphs>21</Paragraphs>
  <TotalTime>2064</TotalTime>
  <ScaleCrop>false</ScaleCrop>
  <LinksUpToDate>false</LinksUpToDate>
  <CharactersWithSpaces>10503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2018-12-25T01:56:00Z</dcterms:created>
  <dc:creator>zlgl</dc:creator>
  <dc:description>0611西安审定会修改后,征求各分公司意见,再修改,报标委会</dc:description>
  <cp:lastModifiedBy>杨丽娟</cp:lastModifiedBy>
  <cp:lastPrinted>2020-05-27T09:22:00Z</cp:lastPrinted>
  <dcterms:modified xsi:type="dcterms:W3CDTF">2020-06-01T08:05:26Z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