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Cs/>
          <w:color w:val="000000"/>
          <w:sz w:val="28"/>
          <w:szCs w:val="28"/>
        </w:rPr>
        <w:t>：</w:t>
      </w:r>
    </w:p>
    <w:p>
      <w:pPr>
        <w:widowControl/>
        <w:jc w:val="center"/>
        <w:rPr>
          <w:rFonts w:hint="default" w:ascii="Times New Roman" w:cs="Times New Roman"/>
          <w:b/>
          <w:bCs/>
          <w:color w:val="000000"/>
          <w:sz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lang w:val="en-US" w:eastAsia="zh-CN"/>
        </w:rPr>
        <w:t>审定</w:t>
      </w:r>
      <w:r>
        <w:rPr>
          <w:rFonts w:hint="eastAsia"/>
          <w:b/>
          <w:bCs/>
          <w:color w:val="auto"/>
          <w:sz w:val="28"/>
          <w:lang w:eastAsia="zh-CN"/>
        </w:rPr>
        <w:t>、</w:t>
      </w:r>
      <w:r>
        <w:rPr>
          <w:rFonts w:hint="eastAsia"/>
          <w:b/>
          <w:bCs/>
          <w:color w:val="auto"/>
          <w:sz w:val="28"/>
          <w:lang w:val="en-US" w:eastAsia="zh-CN"/>
        </w:rPr>
        <w:t>预审</w:t>
      </w:r>
      <w:r>
        <w:rPr>
          <w:rFonts w:hint="default" w:ascii="Times New Roman" w:hAnsi="Times New Roman" w:cs="Times New Roman"/>
          <w:b/>
          <w:bCs/>
          <w:color w:val="auto"/>
          <w:sz w:val="28"/>
          <w:lang w:val="en-US" w:eastAsia="zh-CN"/>
        </w:rPr>
        <w:t>11</w:t>
      </w:r>
      <w:r>
        <w:rPr>
          <w:rFonts w:hint="eastAsia"/>
          <w:b/>
          <w:bCs/>
          <w:color w:val="auto"/>
          <w:sz w:val="28"/>
          <w:lang w:val="en-US" w:eastAsia="zh-CN"/>
        </w:rPr>
        <w:t>项稀土国家、行业标准项目</w:t>
      </w:r>
      <w:r>
        <w:rPr>
          <w:rFonts w:hint="eastAsia" w:ascii="Times New Roman" w:cs="Times New Roman"/>
          <w:b/>
          <w:bCs/>
          <w:color w:val="000000"/>
          <w:sz w:val="28"/>
          <w:highlight w:val="none"/>
          <w:lang w:eastAsia="zh-CN"/>
        </w:rPr>
        <w:t>情况</w:t>
      </w:r>
      <w:r>
        <w:rPr>
          <w:rFonts w:hint="eastAsia" w:ascii="Times New Roman" w:cs="Times New Roman"/>
          <w:b/>
          <w:bCs/>
          <w:color w:val="000000"/>
          <w:sz w:val="28"/>
          <w:highlight w:val="none"/>
          <w:lang w:val="en-US" w:eastAsia="zh-CN"/>
        </w:rPr>
        <w:t>表</w:t>
      </w:r>
    </w:p>
    <w:tbl>
      <w:tblPr>
        <w:tblStyle w:val="4"/>
        <w:tblW w:w="14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355"/>
        <w:gridCol w:w="1781"/>
        <w:gridCol w:w="884"/>
        <w:gridCol w:w="1000"/>
        <w:gridCol w:w="1250"/>
        <w:gridCol w:w="1115"/>
        <w:gridCol w:w="3418"/>
        <w:gridCol w:w="1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计划号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性质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制修订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代替标准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完成年限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cs="Times New Roman" w:hAnsiTheme="minorEastAsia"/>
                <w:b/>
                <w:kern w:val="0"/>
                <w:sz w:val="21"/>
                <w:szCs w:val="21"/>
              </w:rPr>
              <w:t>主要起草单位</w:t>
            </w:r>
            <w:r>
              <w:rPr>
                <w:rFonts w:hint="eastAsia" w:ascii="Times New Roman" w:cs="Times New Roman" w:hAnsiTheme="minorEastAsia"/>
                <w:b/>
                <w:kern w:val="0"/>
                <w:sz w:val="21"/>
                <w:szCs w:val="21"/>
                <w:highlight w:val="none"/>
                <w:lang w:eastAsia="zh-CN"/>
              </w:rPr>
              <w:t>及报名参加起草单位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Times New Roman" w:cs="Times New Roman" w:hAnsiTheme="minorEastAsia" w:eastAsiaTheme="minorEastAsia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hAnsiTheme="minorEastAsia"/>
                <w:b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国标委发〔2018〕60号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20182087-T-469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离子型稀土原矿化学分析方法 稀土总量测定 电感耦合等离子体质谱法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赣州有色冶金研究所、国家钨与稀土产品质量监督检验中心、江西理工大学、中国有色桂林地质矿产研究院有限公司、福建省长汀金龙稀土有限公司、赣州晨光稀土新材料股份有限公司、湖南稀土金属材料研究院、包头稀土研究院、钢研纳克检测技术股份有限公司、国合通用测试评价认证股份公司、虔东稀土集团股份有限公司、中国科学院海西研究院厦门稀土材料研究所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国标委发〔2018〕60号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20182088-T-469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镧铈金属及其化合物化学分析方法 第1部分：铈量的测定 硫酸亚铁铵滴定法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国标（北京）检验认证有限公司、虔东稀土集团股份有限公司、湖南稀土金属材料研究院、赣州有色冶金研究所、中国北方稀土（集团）高科技股份有限公司、四川江铜稀土有限责任公司、乐山有研稀土新材料有限公司、四川省乐山锐丰冶金有限公司、国家钨与稀土产品质量监督检验中心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1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国标委发〔2018〕60号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20182092-T-469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镧铈金属及其化合物化学分析方法 第2部分：稀土量的测定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中国北方稀土（集团）高科技股份有限公司、包头稀土研究院、包头华美稀土高科有限公司、国标（北京）检验认证有限公司，赣州晨光稀土新材料股份有限公司、广东珠江稀土有限公司、钢研纳克检测技术股份有限公司、中国有色桂林地质矿产研究院有限公司、有研稀土新材料股份有限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国标委发〔2018〕83号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FFFFFF"/>
              </w:rPr>
              <w:t>20184315-T-469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稀土金属及其氧化物中稀土杂质化学分析法 第4部分：钕中镧、铈、镨、钐、铕、钆、铽、镝、钬、铒、铥、镱、镥和钇的测定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江西理工大学、广东珠江稀土有限公司、包头稀土研究院、虔东稀土集团股份有限公司、江苏金石稀土有限公司、包头华美稀土高科有限公司、国标（北京）检验认证有限公司、赣州国检中心、厦门稀土材料研究所、湖南稀土金属材料研究院、赣州有色冶金研究所、乐山有研稀土新材料有限公司、江阴加华新材料资源有限公司、福建省长汀金龙稀土有限公司、中国有色桂林矿产地质研究院有限公司、中国工程物理研究院化工材料研究所、内蒙古自治区稀土产品质量监督检验研究院（国家稀土产品质量监督检验中心）、江西省分析测试中心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国标委发〔2018〕83号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FFFFFF"/>
              </w:rPr>
              <w:t>2018431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FFFFFF"/>
              </w:rPr>
              <w:t>-T-469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稀土金属及其氧化物中非稀土杂质化学分析方法 第7部：硅量的测定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包头稀土研究院、赣州有色冶金研究所、中国有色桂林矿产地质研究院有限公司、淄博加华新材料资源有限公司、乐山有研稀土新材料有限公司、赣州湛海工贸有限公司、长福建省长汀金龙稀土有限公司、广东省工业分析检测中心、江苏金石稀土有限公司、国标（北京）检验认证有限公司、虔东稀土集团股份有限公司、内蒙古自治区稀土产品质量监督检验研究院（国家稀土产品质量监督检验中心）、厦门稀土材料研究所、钢研纳克检测技术股份有限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国标委发〔2018〕83号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2018431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-T-469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"http://zxd.sacinfo.org.cn/default/com.sac.tpms.core.common.detailForSearch.projectDetailInfo.flow?projectID=119074&amp;stage=std" \t "http://zxd.sacinfo.org.cn/default/_blank"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color w:val="auto"/>
                <w:szCs w:val="21"/>
                <w:highlight w:val="none"/>
                <w:u w:val="none"/>
                <w:shd w:val="clear" w:color="auto" w:fill="FFFFFF"/>
              </w:rPr>
              <w:t>稀土金属及其氧化物中非稀土杂质化学分析方法 第</w:t>
            </w:r>
            <w:r>
              <w:rPr>
                <w:rStyle w:val="6"/>
                <w:rFonts w:hint="eastAsia" w:ascii="宋体" w:hAnsi="宋体" w:cs="宋体"/>
                <w:color w:val="auto"/>
                <w:szCs w:val="21"/>
                <w:highlight w:val="none"/>
                <w:u w:val="none"/>
                <w:shd w:val="clear" w:color="auto" w:fill="FFFFFF"/>
                <w:lang w:val="en-US" w:eastAsia="zh-CN"/>
              </w:rPr>
              <w:t>4</w:t>
            </w:r>
            <w:r>
              <w:rPr>
                <w:rStyle w:val="6"/>
                <w:rFonts w:hint="eastAsia" w:ascii="宋体" w:hAnsi="宋体" w:cs="宋体"/>
                <w:color w:val="auto"/>
                <w:szCs w:val="21"/>
                <w:highlight w:val="none"/>
                <w:u w:val="none"/>
                <w:shd w:val="clear" w:color="auto" w:fill="FFFFFF"/>
              </w:rPr>
              <w:t>部：氧、氮量的测定 脉冲-红外吸收法和脉冲-热导法</w:t>
            </w:r>
            <w:r>
              <w:rPr>
                <w:rStyle w:val="6"/>
                <w:rFonts w:hint="eastAsia" w:ascii="宋体" w:hAnsi="宋体" w:cs="宋体"/>
                <w:color w:val="auto"/>
                <w:szCs w:val="21"/>
                <w:highlight w:val="none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包头稀土研究院、国标（北京）检验认证有限公司，钢研纳克检测技术股份有限公司、包头稀土研究院天津分院、湖南稀土金属材料研究院、内蒙古自治区稀土产品质量监督检验研究院（国家稀土产品质量监督检验中心）、福建省长汀金龙稀土有限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国标委发〔2018〕60号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20182089-T-469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烧结钕铁硼永磁体失重试验方法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北京中科三环高技术股份有限公司、宁波韵升股份有限公司、中国科学院宁波材料技术与工程研究所、包头稀土研究院、安徽大地熊新材料股份有限公司、赣州富尔特电子股份有限公司、福建省长汀金龙稀土有限公司、钢铁研究总院、有研稀土新材料股份有限公司、中国北方稀土（集团）高科技股份有限公司、金风科技股份有限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国标委发〔2018〕60号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20182091-T-469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烧结铈及富铈永磁材料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钢铁研究总院、安徽大地熊新材料股份有限公司、有研稀土新材料股份有限公司、北京中科三环高技术股份有限公司、宁波韵升股份有限公司、中国北方稀土（集团）高科技股份有限公司、包头稀土研究院、赣州富尔特电子股份有限公司、宁波复能新材料股份有限公司、山东上达稀土材料有限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国标委发〔2018〕60号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20182090-T-469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烧结钕铁硼表面涂层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2020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宁波韵升股份有限公司、中国科学院宁波材料技术与工程研究所、福建省长汀金龙稀土有限公司、钢铁研究总院、包头稀土研究院、安徽大地熊新材料股份有限公司、赣州富尔特电子股份有限公司、有研稀土新材料股份有限公司、金风科技股份有限公司、中国北方稀土（集团）高科技股份有限公司、北京中科三环高技术股份有限公司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国标委发〔2019〕11号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20190885-T-469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稀土永磁材料高温磁通衰减检测方法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2021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宁波科田磁业有限公司、中国科学院宁波材料技术与工程研究所、福建省长汀金龙稀土有限公司、宁波韵升股份有限公司、安徽大地熊新材料股份有限公司、赣州富尔特电子股份有限公司、北京中科三环高技术股份有限公司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"http://www.baidu.com/link?url=X-V3bRKv_3Cca7GZyHkPb8SSnq-LeSS-bji5AfC9mla"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国合通用测试评价认证股份公司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、包头稀土研究院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工信厅科函〔2019〕126号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2019-0478T-XB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废旧烧结钕铁硼磁体再生利用技术规范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2021</w:t>
            </w:r>
          </w:p>
        </w:tc>
        <w:tc>
          <w:tcPr>
            <w:tcW w:w="341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安徽大地熊新材料股份有限公司、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"http://www.baidu.com/link?url=87RHykdyE451eAZipQiRn_eSytwN9KCcO6jHZrlMKRowbrH-yLIBDkY6i63YtZmNhUgPAqtQGEFrGVwqH1u88q"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赣州富尔特电子股份有限公司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、有研稀土新材料股份有限公司、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"http://www.baidu.com/link?url=p6SISuZBx_Ev3Um1v-8zCPaBOZe1HwFhcmdIFvuFYbbPXfyBjo7dxJzHcQy3x4PC"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天津博雅全鑫磁电科技有限公司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"http://www.baidu.com/link?url=5fX3TwFSG15qyv4xeE7LW4No05NZzVsAHPRBTCslMhK"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甘肃稀土新材料股份有限公司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国家钨与稀土产品质量监督检测中心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、包头稀土研究院、北京工业大学、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"http://www.baidu.com/link?url=_XBAqmgNFPISMQ-rmXf0_Dy9eIUgD61t-N3HExe-h0aUosKBFBrVdzDzAfbNAkEL"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信丰县包钢新利稀土有限责任公司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"https://xin.baidu.com/detail/compinfo?pid=xlTM-TogKuTwWO0zKWxQe3LySYtCK9GYCwmd&amp;from=ps"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中国北方稀土(集团)高科技股份有限公司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"http://www.baidu.com/link?url=_bb-FtvztZXdcBEw65l-Gi9d6PptwhdzXmmql1EiD9fSI4hNQkBoX2YEYBTSDALF"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赣州稀土友力科技开发有限公司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"http://www.baidu.com/link?url=ExUclsXjXAdxlnQNIy-Rj8R1Tm92icHn3sfN7MKvaMkfKnZ5IEoG4mdFpXnoZC3O"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中国科学院海西研究院厦门稀土材料研究所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"http://www.baidu.com/link?url=uBOkhNVx9bWPj-XzWmanisdJkz02juvf4Uq8SqLnNI1Vrv2HBdpPPoJUPNFeqkIA8NTCjRGOycuZAT2zg3LIAa" \t "https://www.baidu.com/_blank" </w:instrTex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中铝广西有色稀土股份有限公司</w:t>
            </w:r>
            <w:r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159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/>
                <w:kern w:val="0"/>
                <w:sz w:val="21"/>
                <w:szCs w:val="21"/>
                <w:lang w:val="en-US" w:eastAsia="zh-CN" w:bidi="ar-SA"/>
              </w:rPr>
              <w:t>预审</w:t>
            </w:r>
          </w:p>
        </w:tc>
      </w:tr>
    </w:tbl>
    <w:p>
      <w:pPr>
        <w:widowControl/>
        <w:jc w:val="both"/>
        <w:rPr>
          <w:rFonts w:hint="eastAsia"/>
          <w:b w:val="0"/>
          <w:bCs w:val="0"/>
          <w:color w:val="auto"/>
          <w:sz w:val="28"/>
          <w:lang w:val="en-US" w:eastAsia="zh-CN"/>
        </w:rPr>
      </w:pPr>
    </w:p>
    <w:p>
      <w:pPr>
        <w:jc w:val="left"/>
        <w:rPr>
          <w:bCs/>
          <w:color w:val="000000"/>
          <w:sz w:val="28"/>
          <w:szCs w:val="28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46036"/>
    <w:rsid w:val="41DB11A3"/>
    <w:rsid w:val="4AE46036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2020-05-26T07:17:00Z</dcterms:created>
  <dc:creator>CathayMok</dc:creator>
  <cp:lastModifiedBy>CathayMok</cp:lastModifiedBy>
  <dcterms:modified xsi:type="dcterms:W3CDTF">2020-05-26T07:18:09Z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