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：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eastAsia="宋体" w:cs="Times New Roman" w:hAnsiTheme="minorEastAsia"/>
          <w:b/>
          <w:bCs/>
          <w:kern w:val="0"/>
          <w:sz w:val="28"/>
          <w:szCs w:val="28"/>
        </w:rPr>
        <w:t>预审</w:t>
      </w:r>
      <w:r>
        <w:rPr>
          <w:rFonts w:ascii="Times New Roman" w:eastAsia="宋体" w:cs="Times New Roman" w:hAnsiTheme="minorEastAsia"/>
          <w:b/>
          <w:bCs/>
          <w:kern w:val="0"/>
          <w:sz w:val="28"/>
          <w:szCs w:val="28"/>
        </w:rPr>
        <w:t>的标准项目</w:t>
      </w:r>
    </w:p>
    <w:p>
      <w:pPr>
        <w:snapToGrid w:val="0"/>
        <w:ind w:firstLine="1540" w:firstLineChars="55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57"/>
        <w:gridCol w:w="2373"/>
        <w:gridCol w:w="5789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28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标准项目名称</w:t>
            </w:r>
          </w:p>
        </w:tc>
        <w:tc>
          <w:tcPr>
            <w:tcW w:w="83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项目计划编号</w:t>
            </w:r>
          </w:p>
        </w:tc>
        <w:tc>
          <w:tcPr>
            <w:tcW w:w="204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起草单位</w:t>
            </w:r>
            <w:r>
              <w:rPr>
                <w:rFonts w:hint="eastAsia" w:ascii="Times New Roman" w:eastAsia="宋体"/>
                <w:sz w:val="24"/>
              </w:rPr>
              <w:t>及相关单位</w:t>
            </w:r>
          </w:p>
        </w:tc>
        <w:tc>
          <w:tcPr>
            <w:tcW w:w="43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再生锌原料化学分析方法 第12部分：铟含量的测定 火焰原子吸收光谱法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工信厅科[2018]73号</w:t>
            </w:r>
            <w:r>
              <w:rPr>
                <w:rFonts w:ascii="宋体" w:hAnsi="宋体" w:cs="宋体"/>
                <w:kern w:val="0"/>
                <w:szCs w:val="21"/>
              </w:rPr>
              <w:t>2018-2022T-YS</w:t>
            </w:r>
          </w:p>
        </w:tc>
        <w:tc>
          <w:tcPr>
            <w:tcW w:w="2042" w:type="pct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深圳市中金岭南有色金属股份有限公司、湖南有色金属研究院、北矿检测技术有限公司、广西壮族自治区分析测试研究中心、郴州市产商品质量监督检验所、云南祥云飞龙、紫金矿业集团股份有限公司、白银有色金、广东先导稀材股份有限公司、湖南省有色地质勘查研究院、清远佳致新材料研究院有限公司、西安汉唐分析检测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再生锌原料化学分析方法 第13部分：铊含量的测定 电感耦合等离子体原子发射光谱法和电感耦合等离子体质谱法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工信厅科[2018]73号</w:t>
            </w:r>
            <w:r>
              <w:rPr>
                <w:rFonts w:ascii="宋体" w:hAnsi="宋体" w:cs="宋体"/>
                <w:kern w:val="0"/>
                <w:szCs w:val="21"/>
              </w:rPr>
              <w:t>2018-2023T-YS</w:t>
            </w:r>
          </w:p>
        </w:tc>
        <w:tc>
          <w:tcPr>
            <w:tcW w:w="2042" w:type="pct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深圳市中金岭南有色金属股份有限公司、深圳市中金岭南有色金属股份有限公司韶关冶炼厂、</w:t>
            </w:r>
            <w:r>
              <w:rPr>
                <w:rFonts w:hint="eastAsia" w:ascii="Calibri" w:hAnsi="Calibri" w:eastAsia="宋体" w:cs="Times New Roman"/>
                <w:sz w:val="24"/>
              </w:rPr>
              <w:t>北矿检测技术有限公司</w:t>
            </w:r>
            <w:r>
              <w:rPr>
                <w:rFonts w:hint="eastAsia"/>
                <w:sz w:val="24"/>
              </w:rPr>
              <w:t>、中国有色桂林矿产地质研究院有限公司、贵州省分析测试研究院、广西壮族自治区分析测试研究中心、长沙矿冶研究院、西安汉唐分析检测有限公司、紫金矿业集团股份有限公司、水口山有色金属有限责任公司、郴州市产商品质量监督检验所、山东恒邦冶炼股份有限公司、深圳市中南岭南有色金属股份有限公司凡口铅锌矿、中国检验认证集团广西有限公司、昆明冶金研究院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145B"/>
    <w:rsid w:val="409B145B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character" w:styleId="6">
    <w:name w:val="Hyperlink"/>
    <w:basedOn w:val="5"/>
    <w:unhideWhenUsed/>
    <w:qFormat/>
    <w:uiPriority w:val="99"/>
    <w:rPr>
      <w:color w:val="444444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2020-05-20T08:28:00Z</dcterms:created>
  <dc:creator>CathayMok</dc:creator>
  <cp:lastModifiedBy>CathayMok</cp:lastModifiedBy>
  <dcterms:modified xsi:type="dcterms:W3CDTF">2020-05-20T08:29:18Z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