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3"/>
        <w:ind w:firstLine="810"/>
      </w:pPr>
      <w:bookmarkStart w:id="0" w:name="SectionMark2"/>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2272665</wp:posOffset>
                </wp:positionV>
                <wp:extent cx="6121400" cy="0"/>
                <wp:effectExtent l="0" t="0" r="31750" b="19050"/>
                <wp:wrapNone/>
                <wp:docPr id="19" name="Line 104"/>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04" o:spid="_x0000_s1026" o:spt="20" style="position:absolute;left:0pt;margin-left:0pt;margin-top:178.95pt;height:0pt;width:482pt;z-index:251659264;mso-width-relative:page;mso-height-relative:page;" filled="f" stroked="t" coordsize="21600,21600" o:gfxdata="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Tvstu&#10;1wAAAAgBAAAPAAAAAAAAAAEAIAAAACIAAABkcnMvZG93bnJldi54bWxQSwECFAAUAAAACACHTuJA&#10;5EExl7ABAABVAwAADgAAAAAAAAABACAAAAAmAQAAZHJzL2Uyb0RvYy54bWxQSwUGAAAAAAYABgBZ&#10;AQAASAUAAAAA&#10;">
                <v:fill on="f" focussize="0,0"/>
                <v:stroke weight="1pt" color="#080000" joinstyle="round"/>
                <v:imagedata o:title=""/>
                <o:lock v:ext="edit" aspectratio="f"/>
              </v:line>
            </w:pict>
          </mc:Fallback>
        </mc:AlternateContent>
      </w:r>
      <w:bookmarkStart w:id="1" w:name="_Hlk480575715"/>
      <w:bookmarkEnd w:id="1"/>
      <w:r>
        <mc:AlternateContent>
          <mc:Choice Requires="wps">
            <w:drawing>
              <wp:anchor distT="0" distB="0" distL="114300" distR="114300" simplePos="0" relativeHeight="251658240" behindDoc="0" locked="1" layoutInCell="1" allowOverlap="1">
                <wp:simplePos x="0" y="0"/>
                <wp:positionH relativeFrom="margin">
                  <wp:posOffset>76200</wp:posOffset>
                </wp:positionH>
                <wp:positionV relativeFrom="margin">
                  <wp:posOffset>8623935</wp:posOffset>
                </wp:positionV>
                <wp:extent cx="6120130" cy="970915"/>
                <wp:effectExtent l="0" t="0" r="0" b="635"/>
                <wp:wrapNone/>
                <wp:docPr id="18"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970915"/>
                        </a:xfrm>
                        <a:prstGeom prst="rect">
                          <a:avLst/>
                        </a:prstGeom>
                        <a:solidFill>
                          <a:srgbClr val="FFFFFF"/>
                        </a:solidFill>
                        <a:ln>
                          <a:noFill/>
                        </a:ln>
                      </wps:spPr>
                      <wps:txbx>
                        <w:txbxContent>
                          <w:p>
                            <w:pPr>
                              <w:spacing w:line="0" w:lineRule="atLeast"/>
                              <w:jc w:val="center"/>
                              <w:rPr>
                                <w:rFonts w:ascii="黑体" w:eastAsia="黑体"/>
                                <w:spacing w:val="20"/>
                                <w:w w:val="135"/>
                                <w:kern w:val="0"/>
                                <w:sz w:val="36"/>
                                <w:szCs w:val="20"/>
                              </w:rPr>
                            </w:pPr>
                            <w:bookmarkStart w:id="82" w:name="_Hlk480576895"/>
                            <w:bookmarkEnd w:id="82"/>
                            <w:r>
                              <w:rPr>
                                <w:rFonts w:hint="eastAsia" w:ascii="黑体" w:eastAsia="黑体"/>
                                <w:spacing w:val="20"/>
                                <w:w w:val="135"/>
                                <w:kern w:val="0"/>
                                <w:sz w:val="36"/>
                                <w:szCs w:val="20"/>
                              </w:rPr>
                              <w:t>中国有色金属工业协会</w:t>
                            </w:r>
                          </w:p>
                          <w:p>
                            <w:pPr>
                              <w:spacing w:line="0" w:lineRule="atLeast"/>
                              <w:jc w:val="center"/>
                              <w:rPr>
                                <w:rFonts w:ascii="黑体" w:eastAsia="黑体"/>
                                <w:spacing w:val="20"/>
                                <w:w w:val="135"/>
                                <w:kern w:val="0"/>
                                <w:sz w:val="36"/>
                                <w:szCs w:val="20"/>
                              </w:rPr>
                            </w:pPr>
                            <w:r>
                              <w:rPr>
                                <w:rFonts w:hint="eastAsia" w:ascii="黑体" w:eastAsia="黑体"/>
                                <w:spacing w:val="20"/>
                                <w:w w:val="135"/>
                                <w:kern w:val="0"/>
                                <w:sz w:val="36"/>
                                <w:szCs w:val="20"/>
                              </w:rPr>
                              <w:t xml:space="preserve">       中国有色金属学会    </w:t>
                            </w:r>
                            <w:r>
                              <w:rPr>
                                <w:rFonts w:hint="eastAsia"/>
                                <w:sz w:val="28"/>
                                <w:szCs w:val="28"/>
                              </w:rPr>
                              <w:drawing>
                                <wp:inline distT="0" distB="0" distL="0" distR="0">
                                  <wp:extent cx="586740" cy="5105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6740" cy="510540"/>
                                          </a:xfrm>
                                          <a:prstGeom prst="rect">
                                            <a:avLst/>
                                          </a:prstGeom>
                                          <a:noFill/>
                                          <a:ln>
                                            <a:noFill/>
                                          </a:ln>
                                        </pic:spPr>
                                      </pic:pic>
                                    </a:graphicData>
                                  </a:graphic>
                                </wp:inline>
                              </w:drawing>
                            </w:r>
                          </w:p>
                          <w:p>
                            <w:pPr>
                              <w:spacing w:line="0" w:lineRule="atLeast"/>
                              <w:ind w:right="2127" w:rightChars="1013" w:firstLine="2130" w:firstLineChars="405"/>
                              <w:jc w:val="distribute"/>
                              <w:rPr>
                                <w:rFonts w:ascii="黑体" w:eastAsia="黑体"/>
                                <w:spacing w:val="20"/>
                                <w:w w:val="135"/>
                                <w:kern w:val="0"/>
                                <w:sz w:val="36"/>
                                <w:szCs w:val="20"/>
                              </w:rPr>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6pt;margin-top:679.05pt;height:76.45pt;width:481.9pt;mso-position-horizontal-relative:margin;mso-position-vertical-relative:margin;z-index:251658240;mso-width-relative:page;mso-height-relative:page;" fillcolor="#FFFFFF" filled="t" stroked="f" coordsize="21600,21600" o:gfxdata="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VQD4jaAAAADAEAAA8AAAAAAAAAAQAgAAAAIgAAAGRycy9kb3ducmV2LnhtbFBL&#10;AQIUABQAAAAIAIdO4kAN/4DL9AEAAN4DAAAOAAAAAAAAAAEAIAAAACkBAABkcnMvZTJvRG9jLnht&#10;bFBLBQYAAAAABgAGAFkBAACPBQAAAAA=&#10;">
                <v:fill on="t" focussize="0,0"/>
                <v:stroke on="f"/>
                <v:imagedata o:title=""/>
                <o:lock v:ext="edit" aspectratio="f"/>
                <v:textbox inset="0mm,0mm,0mm,0mm">
                  <w:txbxContent>
                    <w:p>
                      <w:pPr>
                        <w:spacing w:line="0" w:lineRule="atLeast"/>
                        <w:jc w:val="center"/>
                        <w:rPr>
                          <w:rFonts w:ascii="黑体" w:eastAsia="黑体"/>
                          <w:spacing w:val="20"/>
                          <w:w w:val="135"/>
                          <w:kern w:val="0"/>
                          <w:sz w:val="36"/>
                          <w:szCs w:val="20"/>
                        </w:rPr>
                      </w:pPr>
                      <w:bookmarkStart w:id="82" w:name="_Hlk480576895"/>
                      <w:bookmarkEnd w:id="82"/>
                      <w:r>
                        <w:rPr>
                          <w:rFonts w:hint="eastAsia" w:ascii="黑体" w:eastAsia="黑体"/>
                          <w:spacing w:val="20"/>
                          <w:w w:val="135"/>
                          <w:kern w:val="0"/>
                          <w:sz w:val="36"/>
                          <w:szCs w:val="20"/>
                        </w:rPr>
                        <w:t>中国有色金属工业协会</w:t>
                      </w:r>
                    </w:p>
                    <w:p>
                      <w:pPr>
                        <w:spacing w:line="0" w:lineRule="atLeast"/>
                        <w:jc w:val="center"/>
                        <w:rPr>
                          <w:rFonts w:ascii="黑体" w:eastAsia="黑体"/>
                          <w:spacing w:val="20"/>
                          <w:w w:val="135"/>
                          <w:kern w:val="0"/>
                          <w:sz w:val="36"/>
                          <w:szCs w:val="20"/>
                        </w:rPr>
                      </w:pPr>
                      <w:r>
                        <w:rPr>
                          <w:rFonts w:hint="eastAsia" w:ascii="黑体" w:eastAsia="黑体"/>
                          <w:spacing w:val="20"/>
                          <w:w w:val="135"/>
                          <w:kern w:val="0"/>
                          <w:sz w:val="36"/>
                          <w:szCs w:val="20"/>
                        </w:rPr>
                        <w:t xml:space="preserve">       中国有色金属学会    </w:t>
                      </w:r>
                      <w:r>
                        <w:rPr>
                          <w:rFonts w:hint="eastAsia"/>
                          <w:sz w:val="28"/>
                          <w:szCs w:val="28"/>
                        </w:rPr>
                        <w:drawing>
                          <wp:inline distT="0" distB="0" distL="0" distR="0">
                            <wp:extent cx="586740" cy="5105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6740" cy="510540"/>
                                    </a:xfrm>
                                    <a:prstGeom prst="rect">
                                      <a:avLst/>
                                    </a:prstGeom>
                                    <a:noFill/>
                                    <a:ln>
                                      <a:noFill/>
                                    </a:ln>
                                  </pic:spPr>
                                </pic:pic>
                              </a:graphicData>
                            </a:graphic>
                          </wp:inline>
                        </w:drawing>
                      </w:r>
                    </w:p>
                    <w:p>
                      <w:pPr>
                        <w:spacing w:line="0" w:lineRule="atLeast"/>
                        <w:ind w:right="2127" w:rightChars="1013" w:firstLine="2130" w:firstLineChars="405"/>
                        <w:jc w:val="distribute"/>
                        <w:rPr>
                          <w:rFonts w:ascii="黑体" w:eastAsia="黑体"/>
                          <w:spacing w:val="20"/>
                          <w:w w:val="135"/>
                          <w:kern w:val="0"/>
                          <w:sz w:val="36"/>
                          <w:szCs w:val="20"/>
                        </w:rPr>
                      </w:pPr>
                    </w:p>
                  </w:txbxContent>
                </v:textbox>
                <w10:anchorlock/>
              </v:shape>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4100830</wp:posOffset>
                </wp:positionH>
                <wp:positionV relativeFrom="margin">
                  <wp:posOffset>8082915</wp:posOffset>
                </wp:positionV>
                <wp:extent cx="2019300" cy="312420"/>
                <wp:effectExtent l="0" t="0" r="0" b="0"/>
                <wp:wrapNone/>
                <wp:docPr id="17"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93"/>
                              <w:ind w:right="61"/>
                              <w:jc w:val="left"/>
                            </w:pPr>
                            <w:r>
                              <w:rPr>
                                <w:rFonts w:hint="eastAsia"/>
                              </w:rPr>
                              <w:t>××××-××-××实施实施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36.45pt;height:24.6pt;width:159pt;mso-position-horizontal-relative:margin;mso-position-vertical-relative:margin;z-index:251656192;mso-width-relative:page;mso-height-relative:page;" fillcolor="#FFFFFF" filled="t" stroked="f" coordsize="21600,21600" o:gfxdata="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9c1JvaAAAADQEAAA8AAAAAAAAAAQAgAAAAIgAAAGRycy9kb3ducmV2LnhtbFBL&#10;AQIUABQAAAAIAIdO4kBPMTLa9AEAAN4DAAAOAAAAAAAAAAEAIAAAACkBAABkcnMvZTJvRG9jLnht&#10;bFBLBQYAAAAABgAGAFkBAACPBQAAAAA=&#10;">
                <v:fill on="t" focussize="0,0"/>
                <v:stroke on="f"/>
                <v:imagedata o:title=""/>
                <o:lock v:ext="edit" aspectratio="f"/>
                <v:textbox inset="0mm,0mm,0mm,0mm">
                  <w:txbxContent>
                    <w:p>
                      <w:pPr>
                        <w:pStyle w:val="93"/>
                        <w:ind w:right="61"/>
                        <w:jc w:val="left"/>
                      </w:pPr>
                      <w:r>
                        <w:rPr>
                          <w:rFonts w:hint="eastAsia"/>
                        </w:rPr>
                        <w:t>××××-××-××实施实施</w:t>
                      </w:r>
                    </w:p>
                  </w:txbxContent>
                </v:textbox>
                <w10:anchorlock/>
              </v:shape>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76200</wp:posOffset>
                </wp:positionH>
                <wp:positionV relativeFrom="margin">
                  <wp:posOffset>8082915</wp:posOffset>
                </wp:positionV>
                <wp:extent cx="2019300" cy="312420"/>
                <wp:effectExtent l="0" t="0" r="0" b="0"/>
                <wp:wrapNone/>
                <wp:docPr id="16"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4"/>
                            </w:pP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6pt;margin-top:636.45pt;height:24.6pt;width:159pt;mso-position-horizontal-relative:margin;mso-position-vertical-relative:margin;z-index:251657216;mso-width-relative:page;mso-height-relative:page;" fillcolor="#FFFFFF" filled="t" stroked="f" coordsize="21600,21600" o:gfxdata="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qfZ0k2AAAAAwBAAAPAAAAAAAAAAEAIAAAACIAAABkcnMvZG93bnJldi54bWxQSwEC&#10;FAAUAAAACACHTuJAsdN1HfQBAADeAwAADgAAAAAAAAABACAAAAAnAQAAZHJzL2Uyb0RvYy54bWxQ&#10;SwUGAAAAAAYABgBZAQAAjQUAAAAA&#10;">
                <v:fill on="t" focussize="0,0"/>
                <v:stroke on="f"/>
                <v:imagedata o:title=""/>
                <o:lock v:ext="edit" aspectratio="f"/>
                <v:textbox inset="0mm,0mm,0mm,0mm">
                  <w:txbxContent>
                    <w:p>
                      <w:pPr>
                        <w:pStyle w:val="64"/>
                      </w:pPr>
                      <w:r>
                        <w:rPr>
                          <w:rFonts w:hint="eastAsia"/>
                        </w:rPr>
                        <w:t>××××-××-××发布</w:t>
                      </w:r>
                    </w:p>
                  </w:txbxContent>
                </v:textbox>
                <w10:anchorlock/>
              </v:shape>
            </w:pict>
          </mc:Fallback>
        </mc:AlternateContent>
      </w:r>
      <w:r>
        <mc:AlternateContent>
          <mc:Choice Requires="wps">
            <w:drawing>
              <wp:anchor distT="0" distB="0" distL="114300" distR="114300" simplePos="0" relativeHeight="251655168" behindDoc="0" locked="1" layoutInCell="1" allowOverlap="1">
                <wp:simplePos x="0" y="0"/>
                <wp:positionH relativeFrom="margin">
                  <wp:posOffset>0</wp:posOffset>
                </wp:positionH>
                <wp:positionV relativeFrom="margin">
                  <wp:posOffset>3635375</wp:posOffset>
                </wp:positionV>
                <wp:extent cx="5969000" cy="4681220"/>
                <wp:effectExtent l="0" t="0" r="0" b="5080"/>
                <wp:wrapNone/>
                <wp:docPr id="15"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pPr>
                              <w:pStyle w:val="71"/>
                              <w:rPr>
                                <w:rFonts w:ascii="宋体" w:hAnsi="宋体"/>
                                <w:sz w:val="52"/>
                                <w:szCs w:val="52"/>
                              </w:rPr>
                            </w:pPr>
                            <w:r>
                              <w:rPr>
                                <w:rFonts w:hint="eastAsia" w:ascii="宋体" w:hAnsi="宋体"/>
                                <w:sz w:val="52"/>
                                <w:szCs w:val="52"/>
                              </w:rPr>
                              <w:t xml:space="preserve">绿色设计产品评价技术规范   </w:t>
                            </w:r>
                          </w:p>
                          <w:p>
                            <w:pPr>
                              <w:pStyle w:val="71"/>
                              <w:rPr>
                                <w:rFonts w:ascii="宋体" w:hAnsi="宋体"/>
                                <w:sz w:val="52"/>
                                <w:szCs w:val="52"/>
                              </w:rPr>
                            </w:pPr>
                            <w:r>
                              <w:rPr>
                                <w:rFonts w:hint="eastAsia" w:ascii="宋体" w:hAnsi="宋体"/>
                                <w:sz w:val="52"/>
                                <w:szCs w:val="52"/>
                              </w:rPr>
                              <w:t>刚性导电汇流排铝型材</w:t>
                            </w:r>
                          </w:p>
                          <w:p>
                            <w:pPr>
                              <w:pStyle w:val="71"/>
                              <w:rPr>
                                <w:rFonts w:eastAsia="等线"/>
                                <w:color w:val="111315"/>
                                <w:w w:val="110"/>
                                <w:sz w:val="26"/>
                                <w:szCs w:val="26"/>
                              </w:rPr>
                            </w:pPr>
                            <w:r>
                              <w:rPr>
                                <w:rFonts w:eastAsia="等线"/>
                                <w:color w:val="111315"/>
                                <w:w w:val="110"/>
                                <w:sz w:val="26"/>
                                <w:szCs w:val="26"/>
                              </w:rPr>
                              <w:t>Technical specification for green-design product assessment –</w:t>
                            </w:r>
                          </w:p>
                          <w:p>
                            <w:pPr>
                              <w:pStyle w:val="57"/>
                              <w:ind w:firstLine="572"/>
                              <w:jc w:val="center"/>
                            </w:pPr>
                            <w:r>
                              <w:rPr>
                                <w:rFonts w:ascii="Times New Roman" w:eastAsia="等线"/>
                                <w:color w:val="111315"/>
                                <w:w w:val="110"/>
                                <w:sz w:val="26"/>
                                <w:szCs w:val="26"/>
                              </w:rPr>
                              <w:t>Rigid conductive busbar aluminum profiles</w:t>
                            </w:r>
                          </w:p>
                          <w:p>
                            <w:pPr>
                              <w:pStyle w:val="72"/>
                              <w:ind w:firstLine="1134"/>
                            </w:pPr>
                          </w:p>
                          <w:p>
                            <w:pPr>
                              <w:pStyle w:val="70"/>
                            </w:pPr>
                            <w:r>
                              <w:rPr>
                                <w:rFonts w:hint="eastAsia"/>
                              </w:rPr>
                              <w:t>（送审稿）</w:t>
                            </w:r>
                          </w:p>
                          <w:p>
                            <w:pPr>
                              <w:pStyle w:val="70"/>
                              <w:ind w:firstLine="972"/>
                            </w:pPr>
                          </w:p>
                          <w:p>
                            <w:pPr>
                              <w:pStyle w:val="69"/>
                              <w:ind w:firstLine="850"/>
                              <w:jc w:val="both"/>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55168;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RXn3HYAAAACQEAAA8AAAAAAAAAAQAgAAAAIgAAAGRycy9kb3ducmV2LnhtbFBL&#10;AQIUABQAAAAIAIdO4kA8mzDu9gEAAN8DAAAOAAAAAAAAAAEAIAAAACcBAABkcnMvZTJvRG9jLnht&#10;bFBLBQYAAAAABgAGAFkBAACPBQAAAAA=&#10;">
                <v:fill on="t" focussize="0,0"/>
                <v:stroke on="f"/>
                <v:imagedata o:title=""/>
                <o:lock v:ext="edit" aspectratio="f"/>
                <v:textbox inset="0mm,0mm,0mm,0mm">
                  <w:txbxContent>
                    <w:p>
                      <w:pPr>
                        <w:pStyle w:val="71"/>
                        <w:rPr>
                          <w:rFonts w:ascii="宋体" w:hAnsi="宋体"/>
                          <w:sz w:val="52"/>
                          <w:szCs w:val="52"/>
                        </w:rPr>
                      </w:pPr>
                      <w:r>
                        <w:rPr>
                          <w:rFonts w:hint="eastAsia" w:ascii="宋体" w:hAnsi="宋体"/>
                          <w:sz w:val="52"/>
                          <w:szCs w:val="52"/>
                        </w:rPr>
                        <w:t xml:space="preserve">绿色设计产品评价技术规范   </w:t>
                      </w:r>
                    </w:p>
                    <w:p>
                      <w:pPr>
                        <w:pStyle w:val="71"/>
                        <w:rPr>
                          <w:rFonts w:ascii="宋体" w:hAnsi="宋体"/>
                          <w:sz w:val="52"/>
                          <w:szCs w:val="52"/>
                        </w:rPr>
                      </w:pPr>
                      <w:r>
                        <w:rPr>
                          <w:rFonts w:hint="eastAsia" w:ascii="宋体" w:hAnsi="宋体"/>
                          <w:sz w:val="52"/>
                          <w:szCs w:val="52"/>
                        </w:rPr>
                        <w:t>刚性导电汇流排铝型材</w:t>
                      </w:r>
                    </w:p>
                    <w:p>
                      <w:pPr>
                        <w:pStyle w:val="71"/>
                        <w:rPr>
                          <w:rFonts w:eastAsia="等线"/>
                          <w:color w:val="111315"/>
                          <w:w w:val="110"/>
                          <w:sz w:val="26"/>
                          <w:szCs w:val="26"/>
                        </w:rPr>
                      </w:pPr>
                      <w:r>
                        <w:rPr>
                          <w:rFonts w:eastAsia="等线"/>
                          <w:color w:val="111315"/>
                          <w:w w:val="110"/>
                          <w:sz w:val="26"/>
                          <w:szCs w:val="26"/>
                        </w:rPr>
                        <w:t>Technical specification for green-design product assessment –</w:t>
                      </w:r>
                    </w:p>
                    <w:p>
                      <w:pPr>
                        <w:pStyle w:val="57"/>
                        <w:ind w:firstLine="572"/>
                        <w:jc w:val="center"/>
                      </w:pPr>
                      <w:r>
                        <w:rPr>
                          <w:rFonts w:ascii="Times New Roman" w:eastAsia="等线"/>
                          <w:color w:val="111315"/>
                          <w:w w:val="110"/>
                          <w:sz w:val="26"/>
                          <w:szCs w:val="26"/>
                        </w:rPr>
                        <w:t>Rigid conductive busbar aluminum profiles</w:t>
                      </w:r>
                    </w:p>
                    <w:p>
                      <w:pPr>
                        <w:pStyle w:val="72"/>
                        <w:ind w:firstLine="1134"/>
                      </w:pPr>
                    </w:p>
                    <w:p>
                      <w:pPr>
                        <w:pStyle w:val="70"/>
                      </w:pPr>
                      <w:r>
                        <w:rPr>
                          <w:rFonts w:hint="eastAsia"/>
                        </w:rPr>
                        <w:t>（送审稿）</w:t>
                      </w:r>
                    </w:p>
                    <w:p>
                      <w:pPr>
                        <w:pStyle w:val="70"/>
                        <w:ind w:firstLine="972"/>
                      </w:pPr>
                    </w:p>
                    <w:p>
                      <w:pPr>
                        <w:pStyle w:val="69"/>
                        <w:ind w:firstLine="850"/>
                        <w:jc w:val="both"/>
                      </w:pPr>
                    </w:p>
                  </w:txbxContent>
                </v:textbox>
                <w10:anchorlock/>
              </v:shape>
            </w:pict>
          </mc:Fallback>
        </mc:AlternateContent>
      </w:r>
      <w:r>
        <mc:AlternateContent>
          <mc:Choice Requires="wps">
            <w:drawing>
              <wp:anchor distT="0" distB="0" distL="114300" distR="114300" simplePos="0" relativeHeight="251654144" behindDoc="0" locked="1" layoutInCell="1" allowOverlap="1">
                <wp:simplePos x="0" y="0"/>
                <wp:positionH relativeFrom="margin">
                  <wp:posOffset>0</wp:posOffset>
                </wp:positionH>
                <wp:positionV relativeFrom="margin">
                  <wp:posOffset>1971675</wp:posOffset>
                </wp:positionV>
                <wp:extent cx="6075680" cy="290195"/>
                <wp:effectExtent l="0" t="0" r="1270" b="0"/>
                <wp:wrapNone/>
                <wp:docPr id="14" name="fmFrame3"/>
                <wp:cNvGraphicFramePr/>
                <a:graphic xmlns:a="http://schemas.openxmlformats.org/drawingml/2006/main">
                  <a:graphicData uri="http://schemas.microsoft.com/office/word/2010/wordprocessingShape">
                    <wps:wsp>
                      <wps:cNvSpPr txBox="1">
                        <a:spLocks noChangeArrowheads="1"/>
                      </wps:cNvSpPr>
                      <wps:spPr bwMode="auto">
                        <a:xfrm>
                          <a:off x="0" y="0"/>
                          <a:ext cx="6075680" cy="290195"/>
                        </a:xfrm>
                        <a:prstGeom prst="rect">
                          <a:avLst/>
                        </a:prstGeom>
                        <a:solidFill>
                          <a:srgbClr val="FFFFFF"/>
                        </a:solidFill>
                        <a:ln>
                          <a:noFill/>
                        </a:ln>
                      </wps:spPr>
                      <wps:txbx>
                        <w:txbxContent>
                          <w:p>
                            <w:pPr>
                              <w:pStyle w:val="66"/>
                              <w:spacing w:before="0"/>
                              <w:ind w:firstLine="1134"/>
                            </w:pPr>
                            <w:r>
                              <w:t>T/</w:t>
                            </w:r>
                            <w:r>
                              <w:rPr>
                                <w:rFonts w:hint="eastAsia"/>
                              </w:rPr>
                              <w:t>CNIA</w:t>
                            </w:r>
                            <w:r>
                              <w:t xml:space="preserve"> </w:t>
                            </w:r>
                            <w:r>
                              <w:rPr>
                                <w:rFonts w:hint="eastAsia"/>
                              </w:rPr>
                              <w:t>XXX</w:t>
                            </w:r>
                            <w:r>
                              <w:t>X—201</w:t>
                            </w:r>
                            <w:r>
                              <w:rPr>
                                <w:rFonts w:hint="eastAsia"/>
                              </w:rPr>
                              <w:t>X</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55.25pt;height:22.85pt;width:478.4pt;mso-position-horizontal-relative:margin;mso-position-vertical-relative:margin;z-index:251654144;mso-width-relative:page;mso-height-relative:page;" fillcolor="#FFFFFF" filled="t" stroked="f" coordsize="21600,21600" o:gfxdata="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kACY1wAAAAgBAAAPAAAAAAAAAAEAIAAAACIAAABkcnMvZG93bnJldi54bWxQSwEC&#10;FAAUAAAACACHTuJARkebSPUBAADeAwAADgAAAAAAAAABACAAAAAmAQAAZHJzL2Uyb0RvYy54bWxQ&#10;SwUGAAAAAAYABgBZAQAAjQUAAAAA&#10;">
                <v:fill on="t" focussize="0,0"/>
                <v:stroke on="f"/>
                <v:imagedata o:title=""/>
                <o:lock v:ext="edit" aspectratio="f"/>
                <v:textbox inset="0mm,0mm,0mm,0mm">
                  <w:txbxContent>
                    <w:p>
                      <w:pPr>
                        <w:pStyle w:val="66"/>
                        <w:spacing w:before="0"/>
                        <w:ind w:firstLine="1134"/>
                      </w:pPr>
                      <w:r>
                        <w:t>T/</w:t>
                      </w:r>
                      <w:r>
                        <w:rPr>
                          <w:rFonts w:hint="eastAsia"/>
                        </w:rPr>
                        <w:t>CNIA</w:t>
                      </w:r>
                      <w:r>
                        <w:t xml:space="preserve"> </w:t>
                      </w:r>
                      <w:r>
                        <w:rPr>
                          <w:rFonts w:hint="eastAsia"/>
                        </w:rPr>
                        <w:t>XXX</w:t>
                      </w:r>
                      <w:r>
                        <w:t>X—201</w:t>
                      </w:r>
                      <w:r>
                        <w:rPr>
                          <w:rFonts w:hint="eastAsia"/>
                        </w:rPr>
                        <w:t>X</w:t>
                      </w:r>
                    </w:p>
                  </w:txbxContent>
                </v:textbox>
                <w10:anchorlock/>
              </v:shape>
            </w:pict>
          </mc:Fallback>
        </mc:AlternateContent>
      </w:r>
      <w:r>
        <mc:AlternateContent>
          <mc:Choice Requires="wps">
            <w:drawing>
              <wp:anchor distT="0" distB="0" distL="114300" distR="114300" simplePos="0" relativeHeight="251653120" behindDoc="0" locked="1" layoutInCell="1" allowOverlap="1">
                <wp:simplePos x="0" y="0"/>
                <wp:positionH relativeFrom="margin">
                  <wp:posOffset>707390</wp:posOffset>
                </wp:positionH>
                <wp:positionV relativeFrom="margin">
                  <wp:posOffset>657860</wp:posOffset>
                </wp:positionV>
                <wp:extent cx="4875530" cy="744220"/>
                <wp:effectExtent l="0" t="0" r="1270" b="0"/>
                <wp:wrapNone/>
                <wp:docPr id="11" name="fmFrame2"/>
                <wp:cNvGraphicFramePr/>
                <a:graphic xmlns:a="http://schemas.openxmlformats.org/drawingml/2006/main">
                  <a:graphicData uri="http://schemas.microsoft.com/office/word/2010/wordprocessingShape">
                    <wps:wsp>
                      <wps:cNvSpPr txBox="1">
                        <a:spLocks noChangeArrowheads="1"/>
                      </wps:cNvSpPr>
                      <wps:spPr bwMode="auto">
                        <a:xfrm>
                          <a:off x="0" y="0"/>
                          <a:ext cx="4875530" cy="744220"/>
                        </a:xfrm>
                        <a:prstGeom prst="rect">
                          <a:avLst/>
                        </a:prstGeom>
                        <a:solidFill>
                          <a:srgbClr val="FFFFFF"/>
                        </a:solidFill>
                        <a:ln>
                          <a:noFill/>
                        </a:ln>
                      </wps:spPr>
                      <wps:txbx>
                        <w:txbxContent>
                          <w:p>
                            <w:pPr>
                              <w:spacing w:line="0" w:lineRule="atLeast"/>
                              <w:jc w:val="distribute"/>
                              <w:rPr>
                                <w:rFonts w:ascii="黑体" w:hAnsi="宋体" w:eastAsia="黑体"/>
                                <w:kern w:val="0"/>
                                <w:sz w:val="84"/>
                                <w:szCs w:val="84"/>
                              </w:rPr>
                            </w:pPr>
                            <w:r>
                              <w:rPr>
                                <w:rFonts w:hint="eastAsia" w:ascii="黑体" w:hAnsi="宋体" w:eastAsia="黑体"/>
                                <w:kern w:val="0"/>
                                <w:sz w:val="84"/>
                                <w:szCs w:val="84"/>
                              </w:rPr>
                              <w:t>团体标准</w:t>
                            </w:r>
                          </w:p>
                          <w:p>
                            <w:pPr>
                              <w:pStyle w:val="89"/>
                              <w:jc w:val="center"/>
                            </w:pP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5.7pt;margin-top:51.8pt;height:58.6pt;width:383.9pt;mso-position-horizontal-relative:margin;mso-position-vertical-relative:margin;z-index:251653120;mso-width-relative:page;mso-height-relative:page;" fillcolor="#FFFFFF" filled="t" stroked="f" coordsize="21600,21600" o:gfxdata="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CMeo2QAAAAsBAAAPAAAAAAAAAAEAIAAAACIAAABkcnMvZG93bnJldi54bWxQ&#10;SwECFAAUAAAACACHTuJA9BWb+fYBAADeAwAADgAAAAAAAAABACAAAAAoAQAAZHJzL2Uyb0RvYy54&#10;bWxQSwUGAAAAAAYABgBZAQAAkAUAAAAA&#10;">
                <v:fill on="t" focussize="0,0"/>
                <v:stroke on="f"/>
                <v:imagedata o:title=""/>
                <o:lock v:ext="edit" aspectratio="f"/>
                <v:textbox inset="0mm,0mm,0mm,0mm">
                  <w:txbxContent>
                    <w:p>
                      <w:pPr>
                        <w:spacing w:line="0" w:lineRule="atLeast"/>
                        <w:jc w:val="distribute"/>
                        <w:rPr>
                          <w:rFonts w:ascii="黑体" w:hAnsi="宋体" w:eastAsia="黑体"/>
                          <w:kern w:val="0"/>
                          <w:sz w:val="84"/>
                          <w:szCs w:val="84"/>
                        </w:rPr>
                      </w:pPr>
                      <w:r>
                        <w:rPr>
                          <w:rFonts w:hint="eastAsia" w:ascii="黑体" w:hAnsi="宋体" w:eastAsia="黑体"/>
                          <w:kern w:val="0"/>
                          <w:sz w:val="84"/>
                          <w:szCs w:val="84"/>
                        </w:rPr>
                        <w:t>团体标准</w:t>
                      </w:r>
                    </w:p>
                    <w:p>
                      <w:pPr>
                        <w:pStyle w:val="89"/>
                        <w:jc w:val="center"/>
                      </w:pPr>
                    </w:p>
                  </w:txbxContent>
                </v:textbox>
                <w10:anchorlock/>
              </v:shape>
            </w:pict>
          </mc:Fallback>
        </mc:AlternateContent>
      </w:r>
      <w:r>
        <mc:AlternateContent>
          <mc:Choice Requires="wps">
            <w:drawing>
              <wp:anchor distT="0" distB="0" distL="114300" distR="114300" simplePos="0" relativeHeight="251652096" behindDoc="0" locked="1" layoutInCell="1" allowOverlap="1">
                <wp:simplePos x="0" y="0"/>
                <wp:positionH relativeFrom="margin">
                  <wp:posOffset>0</wp:posOffset>
                </wp:positionH>
                <wp:positionV relativeFrom="margin">
                  <wp:posOffset>0</wp:posOffset>
                </wp:positionV>
                <wp:extent cx="3412490" cy="657860"/>
                <wp:effectExtent l="0" t="0" r="0" b="8890"/>
                <wp:wrapNone/>
                <wp:docPr id="9" name="fmFrame1"/>
                <wp:cNvGraphicFramePr/>
                <a:graphic xmlns:a="http://schemas.openxmlformats.org/drawingml/2006/main">
                  <a:graphicData uri="http://schemas.microsoft.com/office/word/2010/wordprocessingShape">
                    <wps:wsp>
                      <wps:cNvSpPr txBox="1">
                        <a:spLocks noChangeArrowheads="1"/>
                      </wps:cNvSpPr>
                      <wps:spPr bwMode="auto">
                        <a:xfrm>
                          <a:off x="0" y="0"/>
                          <a:ext cx="3412490" cy="657860"/>
                        </a:xfrm>
                        <a:prstGeom prst="rect">
                          <a:avLst/>
                        </a:prstGeom>
                        <a:solidFill>
                          <a:srgbClr val="FFFFFF"/>
                        </a:solidFill>
                        <a:ln>
                          <a:noFill/>
                        </a:ln>
                      </wps:spPr>
                      <wps:txbx>
                        <w:txbxContent>
                          <w:p>
                            <w:pPr>
                              <w:rPr>
                                <w:rFonts w:ascii="宋体" w:hAnsi="宋体"/>
                              </w:rPr>
                            </w:pPr>
                            <w:r>
                              <w:rPr>
                                <w:rFonts w:hint="eastAsia" w:ascii="宋体" w:hAnsi="宋体"/>
                              </w:rPr>
                              <w:t>ICS</w:t>
                            </w:r>
                            <w:r>
                              <w:rPr>
                                <w:rFonts w:hint="eastAsia" w:ascii="黑体"/>
                              </w:rPr>
                              <w:t xml:space="preserve"> 85</w:t>
                            </w:r>
                            <w:r>
                              <w:rPr>
                                <w:rFonts w:ascii="黑体" w:hAnsi="黑体" w:eastAsia="黑体"/>
                                <w:szCs w:val="22"/>
                              </w:rPr>
                              <w:t>.</w:t>
                            </w:r>
                            <w:r>
                              <w:rPr>
                                <w:rFonts w:hint="eastAsia" w:ascii="黑体" w:hAnsi="黑体" w:eastAsia="黑体"/>
                                <w:szCs w:val="22"/>
                              </w:rPr>
                              <w:t>060</w:t>
                            </w:r>
                          </w:p>
                          <w:p>
                            <w:pPr>
                              <w:pStyle w:val="100"/>
                              <w:rPr>
                                <w:rFonts w:ascii="宋体" w:hAnsi="宋体" w:eastAsia="宋体"/>
                                <w:strike/>
                                <w:color w:val="FF0000"/>
                              </w:rPr>
                            </w:pPr>
                            <w:r>
                              <w:rPr>
                                <w:rFonts w:hint="eastAsia" w:ascii="宋体" w:hAnsi="宋体" w:eastAsia="宋体"/>
                                <w:kern w:val="2"/>
                                <w:szCs w:val="22"/>
                              </w:rPr>
                              <w:t>Y 39</w:t>
                            </w:r>
                          </w:p>
                          <w:p>
                            <w:pPr>
                              <w:pStyle w:val="100"/>
                              <w:ind w:firstLine="850"/>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68.7pt;mso-position-horizontal-relative:margin;mso-position-vertical-relative:margin;z-index:251652096;mso-width-relative:page;mso-height-relative:page;" fillcolor="#FFFFFF" filled="t" stroked="f" coordsize="21600,21600" o:gfxdata="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XcPF7VAAAABQEAAA8AAAAAAAAAAQAgAAAAIgAAAGRycy9kb3ducmV2LnhtbFBLAQIU&#10;ABQAAAAIAIdO4kBobH/g9gEAAN0DAAAOAAAAAAAAAAEAIAAAACQBAABkcnMvZTJvRG9jLnhtbFBL&#10;BQYAAAAABgAGAFkBAACMBQAAAAA=&#10;">
                <v:fill on="t" focussize="0,0"/>
                <v:stroke on="f"/>
                <v:imagedata o:title=""/>
                <o:lock v:ext="edit" aspectratio="f"/>
                <v:textbox inset="0mm,0mm,0mm,0mm">
                  <w:txbxContent>
                    <w:p>
                      <w:pPr>
                        <w:rPr>
                          <w:rFonts w:ascii="宋体" w:hAnsi="宋体"/>
                        </w:rPr>
                      </w:pPr>
                      <w:r>
                        <w:rPr>
                          <w:rFonts w:hint="eastAsia" w:ascii="宋体" w:hAnsi="宋体"/>
                        </w:rPr>
                        <w:t>ICS</w:t>
                      </w:r>
                      <w:r>
                        <w:rPr>
                          <w:rFonts w:hint="eastAsia" w:ascii="黑体"/>
                        </w:rPr>
                        <w:t xml:space="preserve"> 85</w:t>
                      </w:r>
                      <w:r>
                        <w:rPr>
                          <w:rFonts w:ascii="黑体" w:hAnsi="黑体" w:eastAsia="黑体"/>
                          <w:szCs w:val="22"/>
                        </w:rPr>
                        <w:t>.</w:t>
                      </w:r>
                      <w:r>
                        <w:rPr>
                          <w:rFonts w:hint="eastAsia" w:ascii="黑体" w:hAnsi="黑体" w:eastAsia="黑体"/>
                          <w:szCs w:val="22"/>
                        </w:rPr>
                        <w:t>060</w:t>
                      </w:r>
                    </w:p>
                    <w:p>
                      <w:pPr>
                        <w:pStyle w:val="100"/>
                        <w:rPr>
                          <w:rFonts w:ascii="宋体" w:hAnsi="宋体" w:eastAsia="宋体"/>
                          <w:strike/>
                          <w:color w:val="FF0000"/>
                        </w:rPr>
                      </w:pPr>
                      <w:r>
                        <w:rPr>
                          <w:rFonts w:hint="eastAsia" w:ascii="宋体" w:hAnsi="宋体" w:eastAsia="宋体"/>
                          <w:kern w:val="2"/>
                          <w:szCs w:val="22"/>
                        </w:rPr>
                        <w:t>Y 39</w:t>
                      </w:r>
                    </w:p>
                    <w:p>
                      <w:pPr>
                        <w:pStyle w:val="100"/>
                        <w:ind w:firstLine="850"/>
                      </w:pPr>
                    </w:p>
                  </w:txbxContent>
                </v:textbox>
                <w10:anchorlock/>
              </v:shape>
            </w:pict>
          </mc:Fallback>
        </mc:AlternateContent>
      </w:r>
      <w:r>
        <w:rPr>
          <w:rFonts w:hint="eastAsia"/>
        </w:rPr>
        <w:t>、</w:t>
      </w:r>
      <w:bookmarkStart w:id="83" w:name="_GoBack"/>
      <w:bookmarkEnd w:id="83"/>
    </w:p>
    <w:p>
      <w:pPr>
        <w:ind w:firstLine="850"/>
      </w:pPr>
    </w:p>
    <w:p>
      <w:pPr>
        <w:ind w:firstLine="850"/>
      </w:pPr>
    </w:p>
    <w:p>
      <w:pPr>
        <w:ind w:firstLine="850"/>
      </w:pPr>
    </w:p>
    <w:p>
      <w:pPr>
        <w:ind w:firstLine="850"/>
      </w:pPr>
    </w:p>
    <w:p>
      <w:pPr>
        <w:ind w:firstLine="850"/>
      </w:pPr>
    </w:p>
    <w:p>
      <w:pPr>
        <w:ind w:firstLine="850"/>
      </w:pPr>
    </w:p>
    <w:p>
      <w:pPr>
        <w:ind w:firstLine="850"/>
      </w:pPr>
    </w:p>
    <w:p>
      <w:pPr>
        <w:ind w:firstLine="850"/>
      </w:pPr>
    </w:p>
    <w:p>
      <w:pPr>
        <w:ind w:firstLine="850"/>
      </w:pPr>
    </w:p>
    <w:p>
      <w:pPr>
        <w:ind w:firstLine="850"/>
      </w:pPr>
    </w:p>
    <w:p>
      <w:pPr>
        <w:ind w:firstLine="850"/>
      </w:pPr>
    </w:p>
    <w:p>
      <w:pPr>
        <w:ind w:firstLine="850"/>
      </w:pPr>
    </w:p>
    <w:p>
      <w:pPr>
        <w:ind w:firstLine="850"/>
      </w:pPr>
    </w:p>
    <w:p>
      <w:pPr>
        <w:ind w:firstLine="850"/>
      </w:pPr>
    </w:p>
    <w:p>
      <w:pPr>
        <w:ind w:firstLine="850"/>
      </w:pPr>
    </w:p>
    <w:p>
      <w:pPr>
        <w:tabs>
          <w:tab w:val="left" w:pos="3945"/>
        </w:tabs>
        <w:ind w:firstLine="850"/>
      </w:pPr>
      <w:r>
        <w:tab/>
      </w:r>
    </w:p>
    <w:p>
      <w:pPr>
        <w:ind w:firstLine="850"/>
      </w:pPr>
      <w: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5095240</wp:posOffset>
                </wp:positionV>
                <wp:extent cx="6121400" cy="0"/>
                <wp:effectExtent l="0" t="0" r="31750" b="19050"/>
                <wp:wrapNone/>
                <wp:docPr id="20" name="Line 105"/>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05" o:spid="_x0000_s1026" o:spt="20" style="position:absolute;left:0pt;margin-left:-0.1pt;margin-top:401.2pt;height:0pt;width:482pt;z-index:251660288;mso-width-relative:page;mso-height-relative:page;" filled="f" stroked="t" coordsize="21600,21600" o:gfxdata="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5e85U&#10;2AAAAAkBAAAPAAAAAAAAAAEAIAAAACIAAABkcnMvZG93bnJldi54bWxQSwECFAAUAAAACACHTuJA&#10;mGsaQq8BAABVAwAADgAAAAAAAAABACAAAAAnAQAAZHJzL2Uyb0RvYy54bWxQSwUGAAAAAAYABgBZ&#10;AQAASAUAAAAA&#10;">
                <v:fill on="f" focussize="0,0"/>
                <v:stroke weight="1pt" color="#080000" joinstyle="round"/>
                <v:imagedata o:title=""/>
                <o:lock v:ext="edit" aspectratio="f"/>
              </v:line>
            </w:pict>
          </mc:Fallback>
        </mc:AlternateContent>
      </w:r>
    </w:p>
    <w:p>
      <w:pPr>
        <w:ind w:firstLine="850"/>
        <w:sectPr>
          <w:headerReference r:id="rId3" w:type="default"/>
          <w:footerReference r:id="rId5" w:type="default"/>
          <w:headerReference r:id="rId4" w:type="even"/>
          <w:footerReference r:id="rId6" w:type="even"/>
          <w:pgSz w:w="11907" w:h="16839"/>
          <w:pgMar w:top="567" w:right="851" w:bottom="1361" w:left="1418" w:header="0" w:footer="0" w:gutter="0"/>
          <w:pgNumType w:start="1"/>
          <w:cols w:space="425" w:num="1"/>
          <w:titlePg/>
          <w:docGrid w:type="lines" w:linePitch="312" w:charSpace="0"/>
        </w:sectPr>
      </w:pPr>
    </w:p>
    <w:sdt>
      <w:sdtPr>
        <w:rPr>
          <w:rFonts w:ascii="Times New Roman" w:hAnsi="Times New Roman" w:eastAsia="宋体" w:cs="Times New Roman"/>
          <w:color w:val="auto"/>
          <w:kern w:val="2"/>
          <w:sz w:val="21"/>
          <w:szCs w:val="24"/>
          <w:lang w:val="zh-CN"/>
        </w:rPr>
        <w:id w:val="-1673323337"/>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133"/>
            <w:jc w:val="center"/>
            <w:rPr>
              <w:b/>
              <w:color w:val="auto"/>
            </w:rPr>
          </w:pPr>
          <w:bookmarkStart w:id="2" w:name="_Toc472324897"/>
          <w:bookmarkStart w:id="3" w:name="_Toc472431378"/>
          <w:r>
            <w:rPr>
              <w:b/>
              <w:color w:val="auto"/>
              <w:lang w:val="zh-CN"/>
            </w:rPr>
            <w:t>目</w:t>
          </w:r>
          <w:r>
            <w:rPr>
              <w:rFonts w:hint="eastAsia"/>
              <w:b/>
              <w:color w:val="auto"/>
              <w:lang w:val="zh-CN"/>
            </w:rPr>
            <w:t xml:space="preserve">   </w:t>
          </w:r>
          <w:r>
            <w:rPr>
              <w:b/>
              <w:color w:val="auto"/>
              <w:lang w:val="zh-CN"/>
            </w:rPr>
            <w:t>录</w:t>
          </w:r>
        </w:p>
        <w:p>
          <w:pPr>
            <w:pStyle w:val="17"/>
            <w:tabs>
              <w:tab w:val="right" w:leader="dot" w:pos="9345"/>
            </w:tabs>
            <w:spacing w:line="360" w:lineRule="auto"/>
            <w:rPr>
              <w:rFonts w:ascii="Times New Roman"/>
              <w:kern w:val="2"/>
              <w:sz w:val="24"/>
              <w:szCs w:val="24"/>
            </w:rPr>
          </w:pPr>
          <w:r>
            <w:rPr>
              <w:rFonts w:ascii="Times New Roman"/>
            </w:rPr>
            <w:fldChar w:fldCharType="begin"/>
          </w:r>
          <w:r>
            <w:rPr>
              <w:rFonts w:ascii="Times New Roman"/>
            </w:rPr>
            <w:instrText xml:space="preserve"> TOC \o "1-3" \h \z \u </w:instrText>
          </w:r>
          <w:r>
            <w:rPr>
              <w:rFonts w:ascii="Times New Roman"/>
            </w:rPr>
            <w:fldChar w:fldCharType="separate"/>
          </w:r>
          <w:r>
            <w:fldChar w:fldCharType="begin"/>
          </w:r>
          <w:r>
            <w:instrText xml:space="preserve"> HYPERLINK \l "_Toc34746177" </w:instrText>
          </w:r>
          <w:r>
            <w:fldChar w:fldCharType="separate"/>
          </w:r>
          <w:r>
            <w:rPr>
              <w:rStyle w:val="42"/>
              <w:sz w:val="24"/>
              <w:szCs w:val="24"/>
            </w:rPr>
            <w:t>前    言</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_Toc34746177 \h </w:instrText>
          </w:r>
          <w:r>
            <w:rPr>
              <w:rFonts w:ascii="Times New Roman"/>
              <w:sz w:val="24"/>
              <w:szCs w:val="24"/>
            </w:rPr>
            <w:fldChar w:fldCharType="separate"/>
          </w:r>
          <w:r>
            <w:rPr>
              <w:rFonts w:ascii="Times New Roman"/>
              <w:sz w:val="24"/>
              <w:szCs w:val="24"/>
            </w:rPr>
            <w:t>II</w:t>
          </w:r>
          <w:r>
            <w:rPr>
              <w:rFonts w:ascii="Times New Roman"/>
              <w:sz w:val="24"/>
              <w:szCs w:val="24"/>
            </w:rPr>
            <w:fldChar w:fldCharType="end"/>
          </w:r>
          <w:r>
            <w:rPr>
              <w:rFonts w:ascii="Times New Roman"/>
              <w:sz w:val="24"/>
              <w:szCs w:val="24"/>
            </w:rPr>
            <w:fldChar w:fldCharType="end"/>
          </w:r>
        </w:p>
        <w:p>
          <w:pPr>
            <w:pStyle w:val="16"/>
            <w:tabs>
              <w:tab w:val="right" w:leader="dot" w:pos="9345"/>
            </w:tabs>
            <w:spacing w:line="360" w:lineRule="auto"/>
            <w:rPr>
              <w:rFonts w:ascii="Times New Roman"/>
              <w:kern w:val="2"/>
              <w:sz w:val="24"/>
              <w:szCs w:val="24"/>
            </w:rPr>
          </w:pPr>
          <w:r>
            <w:fldChar w:fldCharType="begin"/>
          </w:r>
          <w:r>
            <w:instrText xml:space="preserve"> HYPERLINK \l "_Toc34746179" </w:instrText>
          </w:r>
          <w:r>
            <w:fldChar w:fldCharType="separate"/>
          </w:r>
          <w:r>
            <w:rPr>
              <w:rStyle w:val="42"/>
              <w:sz w:val="24"/>
              <w:szCs w:val="24"/>
            </w:rPr>
            <w:t>1 范围</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_Toc34746179 \h </w:instrText>
          </w:r>
          <w:r>
            <w:rPr>
              <w:rFonts w:ascii="Times New Roman"/>
              <w:sz w:val="24"/>
              <w:szCs w:val="24"/>
            </w:rPr>
            <w:fldChar w:fldCharType="separate"/>
          </w:r>
          <w:r>
            <w:rPr>
              <w:rFonts w:ascii="Times New Roman"/>
              <w:sz w:val="24"/>
              <w:szCs w:val="24"/>
            </w:rPr>
            <w:t>1</w:t>
          </w:r>
          <w:r>
            <w:rPr>
              <w:rFonts w:ascii="Times New Roman"/>
              <w:sz w:val="24"/>
              <w:szCs w:val="24"/>
            </w:rPr>
            <w:fldChar w:fldCharType="end"/>
          </w:r>
          <w:r>
            <w:rPr>
              <w:rFonts w:ascii="Times New Roman"/>
              <w:sz w:val="24"/>
              <w:szCs w:val="24"/>
            </w:rPr>
            <w:fldChar w:fldCharType="end"/>
          </w:r>
        </w:p>
        <w:p>
          <w:pPr>
            <w:pStyle w:val="16"/>
            <w:tabs>
              <w:tab w:val="right" w:leader="dot" w:pos="9345"/>
            </w:tabs>
            <w:spacing w:line="360" w:lineRule="auto"/>
            <w:rPr>
              <w:rFonts w:ascii="Times New Roman"/>
              <w:kern w:val="2"/>
              <w:sz w:val="24"/>
              <w:szCs w:val="24"/>
            </w:rPr>
          </w:pPr>
          <w:r>
            <w:fldChar w:fldCharType="begin"/>
          </w:r>
          <w:r>
            <w:instrText xml:space="preserve"> HYPERLINK \l "_Toc34746180" </w:instrText>
          </w:r>
          <w:r>
            <w:fldChar w:fldCharType="separate"/>
          </w:r>
          <w:r>
            <w:rPr>
              <w:rStyle w:val="42"/>
              <w:sz w:val="24"/>
              <w:szCs w:val="24"/>
            </w:rPr>
            <w:t>2 规范性引用文件</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_Toc34746180 \h </w:instrText>
          </w:r>
          <w:r>
            <w:rPr>
              <w:rFonts w:ascii="Times New Roman"/>
              <w:sz w:val="24"/>
              <w:szCs w:val="24"/>
            </w:rPr>
            <w:fldChar w:fldCharType="separate"/>
          </w:r>
          <w:r>
            <w:rPr>
              <w:rFonts w:ascii="Times New Roman"/>
              <w:sz w:val="24"/>
              <w:szCs w:val="24"/>
            </w:rPr>
            <w:t>1</w:t>
          </w:r>
          <w:r>
            <w:rPr>
              <w:rFonts w:ascii="Times New Roman"/>
              <w:sz w:val="24"/>
              <w:szCs w:val="24"/>
            </w:rPr>
            <w:fldChar w:fldCharType="end"/>
          </w:r>
          <w:r>
            <w:rPr>
              <w:rFonts w:ascii="Times New Roman"/>
              <w:sz w:val="24"/>
              <w:szCs w:val="24"/>
            </w:rPr>
            <w:fldChar w:fldCharType="end"/>
          </w:r>
        </w:p>
        <w:p>
          <w:pPr>
            <w:pStyle w:val="16"/>
            <w:tabs>
              <w:tab w:val="right" w:leader="dot" w:pos="9345"/>
            </w:tabs>
            <w:spacing w:line="360" w:lineRule="auto"/>
            <w:rPr>
              <w:rFonts w:ascii="Times New Roman"/>
              <w:kern w:val="2"/>
              <w:sz w:val="24"/>
              <w:szCs w:val="24"/>
            </w:rPr>
          </w:pPr>
          <w:r>
            <w:fldChar w:fldCharType="begin"/>
          </w:r>
          <w:r>
            <w:instrText xml:space="preserve"> HYPERLINK \l "_Toc34746181" </w:instrText>
          </w:r>
          <w:r>
            <w:fldChar w:fldCharType="separate"/>
          </w:r>
          <w:r>
            <w:rPr>
              <w:rStyle w:val="42"/>
              <w:sz w:val="24"/>
              <w:szCs w:val="24"/>
            </w:rPr>
            <w:t>3 术语和定义</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_Toc34746181 \h </w:instrText>
          </w:r>
          <w:r>
            <w:rPr>
              <w:rFonts w:ascii="Times New Roman"/>
              <w:sz w:val="24"/>
              <w:szCs w:val="24"/>
            </w:rPr>
            <w:fldChar w:fldCharType="separate"/>
          </w:r>
          <w:r>
            <w:rPr>
              <w:rFonts w:ascii="Times New Roman"/>
              <w:sz w:val="24"/>
              <w:szCs w:val="24"/>
            </w:rPr>
            <w:t>1</w:t>
          </w:r>
          <w:r>
            <w:rPr>
              <w:rFonts w:ascii="Times New Roman"/>
              <w:sz w:val="24"/>
              <w:szCs w:val="24"/>
            </w:rPr>
            <w:fldChar w:fldCharType="end"/>
          </w:r>
          <w:r>
            <w:rPr>
              <w:rFonts w:ascii="Times New Roman"/>
              <w:sz w:val="24"/>
              <w:szCs w:val="24"/>
            </w:rPr>
            <w:fldChar w:fldCharType="end"/>
          </w:r>
        </w:p>
        <w:p>
          <w:pPr>
            <w:pStyle w:val="16"/>
            <w:tabs>
              <w:tab w:val="right" w:leader="dot" w:pos="9345"/>
            </w:tabs>
            <w:spacing w:line="360" w:lineRule="auto"/>
            <w:rPr>
              <w:rFonts w:ascii="Times New Roman"/>
              <w:kern w:val="2"/>
              <w:sz w:val="24"/>
              <w:szCs w:val="24"/>
            </w:rPr>
          </w:pPr>
          <w:r>
            <w:fldChar w:fldCharType="begin"/>
          </w:r>
          <w:r>
            <w:instrText xml:space="preserve"> HYPERLINK \l "_Toc34746192" </w:instrText>
          </w:r>
          <w:r>
            <w:fldChar w:fldCharType="separate"/>
          </w:r>
          <w:r>
            <w:rPr>
              <w:rStyle w:val="42"/>
              <w:sz w:val="24"/>
              <w:szCs w:val="24"/>
            </w:rPr>
            <w:t>4 评价方法</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_Toc34746192 \h </w:instrText>
          </w:r>
          <w:r>
            <w:rPr>
              <w:rFonts w:ascii="Times New Roman"/>
              <w:sz w:val="24"/>
              <w:szCs w:val="24"/>
            </w:rPr>
            <w:fldChar w:fldCharType="separate"/>
          </w:r>
          <w:r>
            <w:rPr>
              <w:rFonts w:ascii="Times New Roman"/>
              <w:sz w:val="24"/>
              <w:szCs w:val="24"/>
            </w:rPr>
            <w:t>2</w:t>
          </w:r>
          <w:r>
            <w:rPr>
              <w:rFonts w:ascii="Times New Roman"/>
              <w:sz w:val="24"/>
              <w:szCs w:val="24"/>
            </w:rPr>
            <w:fldChar w:fldCharType="end"/>
          </w:r>
          <w:r>
            <w:rPr>
              <w:rFonts w:ascii="Times New Roman"/>
              <w:sz w:val="24"/>
              <w:szCs w:val="24"/>
            </w:rPr>
            <w:fldChar w:fldCharType="end"/>
          </w:r>
        </w:p>
        <w:p>
          <w:pPr>
            <w:pStyle w:val="15"/>
            <w:tabs>
              <w:tab w:val="right" w:leader="dot" w:pos="9345"/>
            </w:tabs>
            <w:spacing w:line="360" w:lineRule="auto"/>
            <w:rPr>
              <w:rFonts w:ascii="Times New Roman"/>
              <w:kern w:val="2"/>
              <w:sz w:val="24"/>
              <w:szCs w:val="24"/>
            </w:rPr>
          </w:pPr>
          <w:r>
            <w:fldChar w:fldCharType="begin"/>
          </w:r>
          <w:r>
            <w:instrText xml:space="preserve"> HYPERLINK \l "_Toc34746195" </w:instrText>
          </w:r>
          <w:r>
            <w:fldChar w:fldCharType="separate"/>
          </w:r>
          <w:r>
            <w:rPr>
              <w:rStyle w:val="42"/>
              <w:sz w:val="24"/>
              <w:szCs w:val="24"/>
            </w:rPr>
            <w:t>5 评价要求</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_Toc34746195 \h </w:instrText>
          </w:r>
          <w:r>
            <w:rPr>
              <w:rFonts w:ascii="Times New Roman"/>
              <w:sz w:val="24"/>
              <w:szCs w:val="24"/>
            </w:rPr>
            <w:fldChar w:fldCharType="separate"/>
          </w:r>
          <w:r>
            <w:rPr>
              <w:rFonts w:ascii="Times New Roman"/>
              <w:sz w:val="24"/>
              <w:szCs w:val="24"/>
            </w:rPr>
            <w:t>3</w:t>
          </w:r>
          <w:r>
            <w:rPr>
              <w:rFonts w:ascii="Times New Roman"/>
              <w:sz w:val="24"/>
              <w:szCs w:val="24"/>
            </w:rPr>
            <w:fldChar w:fldCharType="end"/>
          </w:r>
          <w:r>
            <w:rPr>
              <w:rFonts w:ascii="Times New Roman"/>
              <w:sz w:val="24"/>
              <w:szCs w:val="24"/>
            </w:rPr>
            <w:fldChar w:fldCharType="end"/>
          </w:r>
        </w:p>
        <w:p>
          <w:pPr>
            <w:pStyle w:val="17"/>
            <w:tabs>
              <w:tab w:val="right" w:leader="dot" w:pos="9345"/>
            </w:tabs>
            <w:spacing w:line="360" w:lineRule="auto"/>
            <w:rPr>
              <w:rFonts w:ascii="Times New Roman"/>
              <w:kern w:val="2"/>
              <w:sz w:val="24"/>
              <w:szCs w:val="24"/>
            </w:rPr>
          </w:pPr>
          <w:r>
            <w:fldChar w:fldCharType="begin"/>
          </w:r>
          <w:r>
            <w:instrText xml:space="preserve"> HYPERLINK \l "_Toc34746199" </w:instrText>
          </w:r>
          <w:r>
            <w:fldChar w:fldCharType="separate"/>
          </w:r>
          <w:r>
            <w:rPr>
              <w:rStyle w:val="42"/>
              <w:sz w:val="24"/>
              <w:szCs w:val="24"/>
            </w:rPr>
            <w:t>6 产品生命周期评价报告编制方法</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_Toc34746199 \h </w:instrText>
          </w:r>
          <w:r>
            <w:rPr>
              <w:rFonts w:ascii="Times New Roman"/>
              <w:sz w:val="24"/>
              <w:szCs w:val="24"/>
            </w:rPr>
            <w:fldChar w:fldCharType="separate"/>
          </w:r>
          <w:r>
            <w:rPr>
              <w:rFonts w:ascii="Times New Roman"/>
              <w:sz w:val="24"/>
              <w:szCs w:val="24"/>
            </w:rPr>
            <w:t>5</w:t>
          </w:r>
          <w:r>
            <w:rPr>
              <w:rFonts w:ascii="Times New Roman"/>
              <w:sz w:val="24"/>
              <w:szCs w:val="24"/>
            </w:rPr>
            <w:fldChar w:fldCharType="end"/>
          </w:r>
          <w:r>
            <w:rPr>
              <w:rFonts w:ascii="Times New Roman"/>
              <w:sz w:val="24"/>
              <w:szCs w:val="24"/>
            </w:rPr>
            <w:fldChar w:fldCharType="end"/>
          </w:r>
        </w:p>
        <w:p>
          <w:pPr>
            <w:pStyle w:val="17"/>
            <w:tabs>
              <w:tab w:val="right" w:leader="dot" w:pos="9345"/>
            </w:tabs>
            <w:spacing w:line="360" w:lineRule="auto"/>
            <w:rPr>
              <w:rFonts w:ascii="Times New Roman"/>
              <w:kern w:val="2"/>
              <w:sz w:val="24"/>
              <w:szCs w:val="24"/>
            </w:rPr>
          </w:pPr>
          <w:r>
            <w:fldChar w:fldCharType="begin"/>
          </w:r>
          <w:r>
            <w:instrText xml:space="preserve"> HYPERLINK \l "_Toc34746202" </w:instrText>
          </w:r>
          <w:r>
            <w:fldChar w:fldCharType="separate"/>
          </w:r>
          <w:r>
            <w:rPr>
              <w:rStyle w:val="42"/>
              <w:sz w:val="24"/>
              <w:szCs w:val="24"/>
            </w:rPr>
            <w:t>7评价结论</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_Toc34746202 \h </w:instrText>
          </w:r>
          <w:r>
            <w:rPr>
              <w:rFonts w:ascii="Times New Roman"/>
              <w:sz w:val="24"/>
              <w:szCs w:val="24"/>
            </w:rPr>
            <w:fldChar w:fldCharType="separate"/>
          </w:r>
          <w:r>
            <w:rPr>
              <w:rFonts w:ascii="Times New Roman"/>
              <w:sz w:val="24"/>
              <w:szCs w:val="24"/>
            </w:rPr>
            <w:t>6</w:t>
          </w:r>
          <w:r>
            <w:rPr>
              <w:rFonts w:ascii="Times New Roman"/>
              <w:sz w:val="24"/>
              <w:szCs w:val="24"/>
            </w:rPr>
            <w:fldChar w:fldCharType="end"/>
          </w:r>
          <w:r>
            <w:rPr>
              <w:rFonts w:ascii="Times New Roman"/>
              <w:sz w:val="24"/>
              <w:szCs w:val="24"/>
            </w:rPr>
            <w:fldChar w:fldCharType="end"/>
          </w:r>
        </w:p>
        <w:p>
          <w:pPr>
            <w:pStyle w:val="17"/>
            <w:tabs>
              <w:tab w:val="right" w:leader="dot" w:pos="9345"/>
            </w:tabs>
            <w:spacing w:line="360" w:lineRule="auto"/>
            <w:rPr>
              <w:rFonts w:ascii="Times New Roman"/>
              <w:kern w:val="2"/>
              <w:sz w:val="24"/>
              <w:szCs w:val="24"/>
            </w:rPr>
          </w:pPr>
          <w:r>
            <w:fldChar w:fldCharType="begin"/>
          </w:r>
          <w:r>
            <w:instrText xml:space="preserve"> HYPERLINK \l "_Toc34746203" </w:instrText>
          </w:r>
          <w:r>
            <w:fldChar w:fldCharType="separate"/>
          </w:r>
          <w:r>
            <w:rPr>
              <w:rStyle w:val="42"/>
              <w:sz w:val="24"/>
              <w:szCs w:val="24"/>
            </w:rPr>
            <w:t>附　录　A （规范性附录）指标计算方法</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_Toc34746203 \h </w:instrText>
          </w:r>
          <w:r>
            <w:rPr>
              <w:rFonts w:ascii="Times New Roman"/>
              <w:sz w:val="24"/>
              <w:szCs w:val="24"/>
            </w:rPr>
            <w:fldChar w:fldCharType="separate"/>
          </w:r>
          <w:r>
            <w:rPr>
              <w:rFonts w:ascii="Times New Roman"/>
              <w:sz w:val="24"/>
              <w:szCs w:val="24"/>
            </w:rPr>
            <w:t>17</w:t>
          </w:r>
          <w:r>
            <w:rPr>
              <w:rFonts w:ascii="Times New Roman"/>
              <w:sz w:val="24"/>
              <w:szCs w:val="24"/>
            </w:rPr>
            <w:fldChar w:fldCharType="end"/>
          </w:r>
          <w:r>
            <w:rPr>
              <w:rFonts w:ascii="Times New Roman"/>
              <w:sz w:val="24"/>
              <w:szCs w:val="24"/>
            </w:rPr>
            <w:fldChar w:fldCharType="end"/>
          </w:r>
        </w:p>
        <w:p>
          <w:pPr>
            <w:pStyle w:val="17"/>
            <w:tabs>
              <w:tab w:val="right" w:leader="dot" w:pos="9345"/>
            </w:tabs>
            <w:spacing w:line="360" w:lineRule="auto"/>
            <w:rPr>
              <w:rFonts w:ascii="Times New Roman"/>
              <w:kern w:val="2"/>
              <w:sz w:val="24"/>
              <w:szCs w:val="24"/>
            </w:rPr>
          </w:pPr>
          <w:r>
            <w:fldChar w:fldCharType="begin"/>
          </w:r>
          <w:r>
            <w:instrText xml:space="preserve"> HYPERLINK \l "_Toc34746205" </w:instrText>
          </w:r>
          <w:r>
            <w:fldChar w:fldCharType="separate"/>
          </w:r>
          <w:r>
            <w:rPr>
              <w:rStyle w:val="42"/>
              <w:sz w:val="24"/>
              <w:szCs w:val="24"/>
            </w:rPr>
            <w:t>附　录　B （资料性附录）生命周期评价方法</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_Toc34746205 \h </w:instrText>
          </w:r>
          <w:r>
            <w:rPr>
              <w:rFonts w:ascii="Times New Roman"/>
              <w:sz w:val="24"/>
              <w:szCs w:val="24"/>
            </w:rPr>
            <w:fldChar w:fldCharType="separate"/>
          </w:r>
          <w:r>
            <w:rPr>
              <w:rFonts w:ascii="Times New Roman"/>
              <w:sz w:val="24"/>
              <w:szCs w:val="24"/>
            </w:rPr>
            <w:t>18</w:t>
          </w:r>
          <w:r>
            <w:rPr>
              <w:rFonts w:ascii="Times New Roman"/>
              <w:sz w:val="24"/>
              <w:szCs w:val="24"/>
            </w:rPr>
            <w:fldChar w:fldCharType="end"/>
          </w:r>
          <w:r>
            <w:rPr>
              <w:rFonts w:ascii="Times New Roman"/>
              <w:sz w:val="24"/>
              <w:szCs w:val="24"/>
            </w:rPr>
            <w:fldChar w:fldCharType="end"/>
          </w:r>
        </w:p>
        <w:p>
          <w:pPr>
            <w:pStyle w:val="17"/>
            <w:tabs>
              <w:tab w:val="right" w:leader="dot" w:pos="9345"/>
            </w:tabs>
            <w:spacing w:line="360" w:lineRule="auto"/>
            <w:rPr>
              <w:rFonts w:ascii="Times New Roman"/>
              <w:kern w:val="2"/>
              <w:szCs w:val="22"/>
            </w:rPr>
          </w:pPr>
          <w:r>
            <w:fldChar w:fldCharType="begin"/>
          </w:r>
          <w:r>
            <w:instrText xml:space="preserve"> HYPERLINK \l "_Toc34746207" </w:instrText>
          </w:r>
          <w:r>
            <w:fldChar w:fldCharType="separate"/>
          </w:r>
          <w:r>
            <w:rPr>
              <w:rStyle w:val="42"/>
              <w:sz w:val="24"/>
              <w:szCs w:val="24"/>
            </w:rPr>
            <w:t>附  录  C （资料性附录）产品绿色设计改进方案优先排序方法及示例</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_Toc34746207 \h </w:instrText>
          </w:r>
          <w:r>
            <w:rPr>
              <w:rFonts w:ascii="Times New Roman"/>
              <w:sz w:val="24"/>
              <w:szCs w:val="24"/>
            </w:rPr>
            <w:fldChar w:fldCharType="separate"/>
          </w:r>
          <w:r>
            <w:rPr>
              <w:rFonts w:ascii="Times New Roman"/>
              <w:sz w:val="24"/>
              <w:szCs w:val="24"/>
            </w:rPr>
            <w:t>23</w:t>
          </w:r>
          <w:r>
            <w:rPr>
              <w:rFonts w:ascii="Times New Roman"/>
              <w:sz w:val="24"/>
              <w:szCs w:val="24"/>
            </w:rPr>
            <w:fldChar w:fldCharType="end"/>
          </w:r>
          <w:r>
            <w:rPr>
              <w:rFonts w:ascii="Times New Roman"/>
              <w:sz w:val="24"/>
              <w:szCs w:val="24"/>
            </w:rPr>
            <w:fldChar w:fldCharType="end"/>
          </w:r>
        </w:p>
        <w:p>
          <w:pPr>
            <w:spacing w:line="360" w:lineRule="auto"/>
            <w:rPr>
              <w:b/>
              <w:bCs/>
              <w:lang w:val="zh-CN"/>
            </w:rPr>
          </w:pPr>
          <w:r>
            <w:rPr>
              <w:b/>
              <w:bCs/>
              <w:lang w:val="zh-CN"/>
            </w:rPr>
            <w:fldChar w:fldCharType="end"/>
          </w:r>
        </w:p>
        <w:p>
          <w:pPr>
            <w:spacing w:line="360" w:lineRule="auto"/>
            <w:rPr>
              <w:b/>
              <w:bCs/>
              <w:lang w:val="zh-CN"/>
            </w:rPr>
          </w:pPr>
        </w:p>
        <w:p>
          <w:pPr>
            <w:spacing w:line="360" w:lineRule="auto"/>
            <w:rPr>
              <w:b/>
              <w:bCs/>
              <w:lang w:val="zh-CN"/>
            </w:rPr>
          </w:pPr>
        </w:p>
        <w:p>
          <w:pPr>
            <w:spacing w:line="360" w:lineRule="auto"/>
            <w:rPr>
              <w:b/>
              <w:bCs/>
              <w:lang w:val="zh-CN"/>
            </w:rPr>
          </w:pPr>
        </w:p>
        <w:p>
          <w:pPr>
            <w:spacing w:line="360" w:lineRule="auto"/>
            <w:rPr>
              <w:b/>
              <w:bCs/>
              <w:lang w:val="zh-CN"/>
            </w:rPr>
          </w:pPr>
        </w:p>
        <w:p>
          <w:pPr>
            <w:spacing w:line="360" w:lineRule="auto"/>
            <w:rPr>
              <w:b/>
              <w:bCs/>
              <w:lang w:val="zh-CN"/>
            </w:rPr>
          </w:pPr>
        </w:p>
        <w:p>
          <w:pPr>
            <w:spacing w:line="360" w:lineRule="auto"/>
            <w:rPr>
              <w:b/>
              <w:bCs/>
              <w:lang w:val="zh-CN"/>
            </w:rPr>
          </w:pPr>
        </w:p>
        <w:p>
          <w:pPr>
            <w:spacing w:line="360" w:lineRule="auto"/>
            <w:rPr>
              <w:b/>
              <w:bCs/>
              <w:lang w:val="zh-CN"/>
            </w:rPr>
          </w:pPr>
        </w:p>
        <w:p>
          <w:pPr>
            <w:spacing w:line="360" w:lineRule="auto"/>
            <w:rPr>
              <w:b/>
              <w:bCs/>
              <w:lang w:val="zh-CN"/>
            </w:rPr>
          </w:pPr>
        </w:p>
        <w:p>
          <w:pPr>
            <w:spacing w:line="360" w:lineRule="auto"/>
            <w:rPr>
              <w:b/>
              <w:bCs/>
              <w:lang w:val="zh-CN"/>
            </w:rPr>
          </w:pPr>
        </w:p>
        <w:p>
          <w:pPr>
            <w:spacing w:line="360" w:lineRule="auto"/>
            <w:rPr>
              <w:b/>
              <w:bCs/>
              <w:lang w:val="zh-CN"/>
            </w:rPr>
          </w:pPr>
        </w:p>
        <w:p>
          <w:pPr>
            <w:spacing w:line="360" w:lineRule="auto"/>
            <w:rPr>
              <w:b/>
              <w:bCs/>
              <w:lang w:val="zh-CN"/>
            </w:rPr>
          </w:pPr>
        </w:p>
        <w:p>
          <w:pPr>
            <w:spacing w:line="360" w:lineRule="auto"/>
            <w:rPr>
              <w:b/>
              <w:bCs/>
              <w:lang w:val="zh-CN"/>
            </w:rPr>
          </w:pPr>
        </w:p>
        <w:p>
          <w:pPr>
            <w:spacing w:line="360" w:lineRule="auto"/>
            <w:rPr>
              <w:b/>
              <w:bCs/>
              <w:lang w:val="zh-CN"/>
            </w:rPr>
          </w:pPr>
        </w:p>
        <w:p>
          <w:pPr>
            <w:spacing w:line="360" w:lineRule="auto"/>
          </w:pPr>
        </w:p>
      </w:sdtContent>
    </w:sdt>
    <w:p>
      <w:pPr>
        <w:pStyle w:val="55"/>
      </w:pPr>
      <w:bookmarkStart w:id="4" w:name="_Toc34746177"/>
      <w:r>
        <w:rPr>
          <w:rFonts w:hint="eastAsia"/>
        </w:rPr>
        <w:t>前    言</w:t>
      </w:r>
      <w:bookmarkEnd w:id="2"/>
      <w:bookmarkEnd w:id="3"/>
      <w:bookmarkEnd w:id="4"/>
    </w:p>
    <w:p>
      <w:pPr>
        <w:ind w:firstLine="426"/>
        <w:rPr>
          <w:szCs w:val="21"/>
        </w:rPr>
      </w:pPr>
      <w:r>
        <w:rPr>
          <w:szCs w:val="21"/>
        </w:rPr>
        <w:t>本标准按照GB/T 1.1-2009给出的规则起草。</w:t>
      </w:r>
    </w:p>
    <w:p>
      <w:pPr>
        <w:ind w:firstLine="426"/>
        <w:rPr>
          <w:szCs w:val="21"/>
        </w:rPr>
      </w:pPr>
      <w:r>
        <w:rPr>
          <w:szCs w:val="21"/>
        </w:rPr>
        <w:t>本标准由工业和信息化部节能与综合利用司提出。</w:t>
      </w:r>
    </w:p>
    <w:p>
      <w:pPr>
        <w:ind w:firstLine="426"/>
        <w:rPr>
          <w:szCs w:val="21"/>
        </w:rPr>
      </w:pPr>
      <w:r>
        <w:t>本标准由全国有色金属标准化技术委员会（SAC/TC243）归口。</w:t>
      </w:r>
    </w:p>
    <w:p>
      <w:pPr>
        <w:ind w:firstLine="420" w:firstLineChars="200"/>
        <w:rPr>
          <w:szCs w:val="21"/>
        </w:rPr>
      </w:pPr>
      <w:r>
        <w:rPr>
          <w:szCs w:val="21"/>
        </w:rPr>
        <w:t>本标准起草单位： 。</w:t>
      </w:r>
    </w:p>
    <w:p>
      <w:pPr>
        <w:ind w:firstLine="420" w:firstLineChars="200"/>
        <w:rPr>
          <w:szCs w:val="21"/>
        </w:rPr>
      </w:pPr>
      <w:r>
        <w:t>本标准主要起草人：</w:t>
      </w:r>
      <w:r>
        <w:rPr>
          <w:szCs w:val="21"/>
        </w:rPr>
        <w:t xml:space="preserve"> </w:t>
      </w:r>
      <w:r>
        <w:rPr>
          <w:rFonts w:hint="eastAsia"/>
          <w:szCs w:val="21"/>
        </w:rPr>
        <w:t>。</w:t>
      </w: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sectPr>
          <w:headerReference r:id="rId7" w:type="default"/>
          <w:footerReference r:id="rId9" w:type="default"/>
          <w:headerReference r:id="rId8" w:type="even"/>
          <w:footerReference r:id="rId10" w:type="even"/>
          <w:pgSz w:w="11907" w:h="16839"/>
          <w:pgMar w:top="1418" w:right="1134" w:bottom="1134" w:left="1418" w:header="1418" w:footer="851" w:gutter="0"/>
          <w:pgNumType w:fmt="upperRoman" w:start="1"/>
          <w:cols w:space="425" w:num="1"/>
          <w:docGrid w:type="linesAndChars" w:linePitch="312" w:charSpace="0"/>
        </w:sectPr>
      </w:pPr>
    </w:p>
    <w:bookmarkEnd w:id="0"/>
    <w:p>
      <w:pPr>
        <w:shd w:val="clear" w:color="FFFFFF" w:fill="auto"/>
        <w:spacing w:before="156" w:beforeLines="50" w:line="460" w:lineRule="exact"/>
        <w:ind w:firstLine="1296"/>
        <w:jc w:val="center"/>
        <w:outlineLvl w:val="0"/>
        <w:rPr>
          <w:rFonts w:ascii="黑体" w:eastAsia="黑体"/>
          <w:kern w:val="0"/>
          <w:sz w:val="32"/>
          <w:szCs w:val="20"/>
        </w:rPr>
      </w:pPr>
      <w:bookmarkStart w:id="5" w:name="_Toc25248070"/>
      <w:bookmarkStart w:id="6" w:name="_Toc34746178"/>
      <w:bookmarkStart w:id="7" w:name="SectionMark4"/>
      <w:r>
        <w:rPr>
          <w:rFonts w:hint="eastAsia" w:ascii="黑体" w:eastAsia="黑体"/>
          <w:kern w:val="0"/>
          <w:sz w:val="32"/>
          <w:szCs w:val="20"/>
        </w:rPr>
        <w:t>绿色设计产品评价技术规范 刚性导电汇流排铝型材</w:t>
      </w:r>
      <w:bookmarkEnd w:id="5"/>
      <w:bookmarkEnd w:id="6"/>
    </w:p>
    <w:p>
      <w:pPr>
        <w:pStyle w:val="58"/>
        <w:spacing w:before="312" w:beforeLines="100" w:after="156"/>
        <w:ind w:firstLine="425"/>
      </w:pPr>
      <w:bookmarkStart w:id="8" w:name="_Toc34746179"/>
      <w:bookmarkStart w:id="9" w:name="_Toc472324900"/>
      <w:bookmarkStart w:id="10" w:name="_Toc472431380"/>
      <w:r>
        <w:rPr>
          <w:rFonts w:hint="eastAsia"/>
        </w:rPr>
        <w:t>范围</w:t>
      </w:r>
      <w:bookmarkEnd w:id="8"/>
      <w:bookmarkEnd w:id="9"/>
      <w:bookmarkEnd w:id="10"/>
    </w:p>
    <w:p>
      <w:pPr>
        <w:pStyle w:val="57"/>
        <w:ind w:firstLine="440"/>
        <w:rPr>
          <w:w w:val="105"/>
        </w:rPr>
      </w:pPr>
      <w:r>
        <w:rPr>
          <w:rFonts w:hint="eastAsia"/>
          <w:w w:val="105"/>
        </w:rPr>
        <w:t>本标准规定了刚性导电汇流排铝型材绿色设计产品的评价要求和评价方法，以及产品生命周期评价报告编制方法。</w:t>
      </w:r>
    </w:p>
    <w:p>
      <w:pPr>
        <w:pStyle w:val="57"/>
        <w:ind w:firstLine="440"/>
        <w:rPr>
          <w:w w:val="105"/>
        </w:rPr>
      </w:pPr>
      <w:r>
        <w:rPr>
          <w:rFonts w:hint="eastAsia"/>
          <w:w w:val="105"/>
        </w:rPr>
        <w:t>本标准适用于刚性导电汇流排铝型材的绿色设计产品评价，其他类似产品可参照执行。</w:t>
      </w:r>
    </w:p>
    <w:p>
      <w:pPr>
        <w:pStyle w:val="57"/>
        <w:ind w:firstLine="440"/>
      </w:pPr>
      <w:r>
        <w:rPr>
          <w:rFonts w:hint="eastAsia"/>
          <w:w w:val="105"/>
        </w:rPr>
        <w:t>本标准所指的刚性导电汇流排铝型材的生产工序只包括熔铸工序和挤压工序，不包括后续的表面处理工序。</w:t>
      </w:r>
    </w:p>
    <w:p>
      <w:pPr>
        <w:pStyle w:val="58"/>
        <w:spacing w:before="156" w:after="156"/>
        <w:ind w:firstLine="426"/>
      </w:pPr>
      <w:bookmarkStart w:id="11" w:name="_Toc472324901"/>
      <w:bookmarkStart w:id="12" w:name="_Toc472431381"/>
      <w:bookmarkStart w:id="13" w:name="_Toc34746180"/>
      <w:r>
        <w:rPr>
          <w:rFonts w:hint="eastAsia"/>
        </w:rPr>
        <w:t>规范性引用文件</w:t>
      </w:r>
      <w:bookmarkEnd w:id="11"/>
      <w:bookmarkEnd w:id="12"/>
      <w:bookmarkEnd w:id="13"/>
    </w:p>
    <w:p>
      <w:pPr>
        <w:pStyle w:val="57"/>
        <w:ind w:firstLine="420"/>
        <w:rPr>
          <w:sz w:val="24"/>
        </w:rPr>
      </w:pPr>
      <w:bookmarkStart w:id="14" w:name="_Toc472324902"/>
      <w:r>
        <w:rPr>
          <w:rFonts w:hint="eastAsia"/>
        </w:rPr>
        <w:t>下列文件对于本文件的应用是必不可少的。凡是注日期的引用文件，仅注日期的版本适用于本文件。凡是不注日期的引用文件，其最新版本（包括所有的修改单）适用于本文件。</w:t>
      </w:r>
      <w:bookmarkEnd w:id="14"/>
    </w:p>
    <w:p>
      <w:pPr>
        <w:ind w:left="420" w:leftChars="200" w:firstLine="6"/>
        <w:rPr>
          <w:kern w:val="0"/>
          <w:szCs w:val="21"/>
          <w:lang w:bidi="ar"/>
        </w:rPr>
      </w:pPr>
      <w:r>
        <w:rPr>
          <w:kern w:val="0"/>
          <w:szCs w:val="21"/>
          <w:lang w:bidi="ar"/>
        </w:rPr>
        <w:t>GB/T 3190 变形铝及铝合金化学成分</w:t>
      </w:r>
    </w:p>
    <w:p>
      <w:pPr>
        <w:ind w:left="420" w:leftChars="200" w:firstLine="6"/>
        <w:rPr>
          <w:kern w:val="0"/>
          <w:szCs w:val="21"/>
          <w:lang w:bidi="ar"/>
        </w:rPr>
      </w:pPr>
      <w:r>
        <w:rPr>
          <w:kern w:val="0"/>
          <w:szCs w:val="21"/>
          <w:lang w:bidi="ar"/>
        </w:rPr>
        <w:t>GB/T 3199 铝及铝合金加工产品包装、标志、运输、贮存</w:t>
      </w:r>
    </w:p>
    <w:p>
      <w:pPr>
        <w:ind w:left="420" w:leftChars="200" w:firstLine="6"/>
        <w:rPr>
          <w:kern w:val="0"/>
          <w:szCs w:val="21"/>
          <w:lang w:bidi="ar"/>
        </w:rPr>
      </w:pPr>
      <w:r>
        <w:rPr>
          <w:kern w:val="0"/>
          <w:szCs w:val="21"/>
          <w:lang w:bidi="ar"/>
        </w:rPr>
        <w:t>GB/T 6892 一般工业用铝及铝合金挤压型材</w:t>
      </w:r>
    </w:p>
    <w:p>
      <w:pPr>
        <w:ind w:left="420" w:leftChars="200" w:firstLine="6"/>
        <w:rPr>
          <w:kern w:val="0"/>
          <w:szCs w:val="21"/>
          <w:lang w:bidi="ar"/>
        </w:rPr>
      </w:pPr>
      <w:r>
        <w:rPr>
          <w:kern w:val="0"/>
          <w:szCs w:val="21"/>
          <w:lang w:bidi="ar"/>
        </w:rPr>
        <w:t>GB/T 7999 铝及铝合金光电直读发射光谱分析方法</w:t>
      </w:r>
    </w:p>
    <w:p>
      <w:pPr>
        <w:ind w:left="420" w:leftChars="200" w:firstLine="6"/>
        <w:rPr>
          <w:kern w:val="0"/>
          <w:szCs w:val="21"/>
          <w:lang w:bidi="ar"/>
        </w:rPr>
      </w:pPr>
      <w:r>
        <w:rPr>
          <w:kern w:val="0"/>
          <w:szCs w:val="21"/>
          <w:lang w:bidi="ar"/>
        </w:rPr>
        <w:t>GB/T 8005.1 铝及铝合金术语 第1部分：产品及加工处理工艺</w:t>
      </w:r>
    </w:p>
    <w:p>
      <w:pPr>
        <w:ind w:left="420" w:leftChars="200" w:firstLine="6"/>
        <w:rPr>
          <w:kern w:val="0"/>
          <w:szCs w:val="21"/>
          <w:lang w:bidi="ar"/>
        </w:rPr>
      </w:pPr>
      <w:r>
        <w:rPr>
          <w:kern w:val="0"/>
          <w:szCs w:val="21"/>
          <w:lang w:bidi="ar"/>
        </w:rPr>
        <w:t>GB 17167 用能单位能源计量器具配备和管理通则</w:t>
      </w:r>
    </w:p>
    <w:p>
      <w:pPr>
        <w:ind w:left="420" w:leftChars="200" w:firstLine="6"/>
        <w:rPr>
          <w:kern w:val="0"/>
          <w:szCs w:val="21"/>
          <w:lang w:bidi="ar"/>
        </w:rPr>
      </w:pPr>
      <w:r>
        <w:rPr>
          <w:kern w:val="0"/>
          <w:szCs w:val="21"/>
          <w:lang w:bidi="ar"/>
        </w:rPr>
        <w:t>GB/T 19001 质量管理体系 要求</w:t>
      </w:r>
    </w:p>
    <w:p>
      <w:pPr>
        <w:ind w:left="420" w:leftChars="200" w:firstLine="6"/>
        <w:rPr>
          <w:kern w:val="0"/>
          <w:szCs w:val="21"/>
          <w:lang w:bidi="ar"/>
        </w:rPr>
      </w:pPr>
      <w:r>
        <w:rPr>
          <w:kern w:val="0"/>
          <w:szCs w:val="21"/>
          <w:lang w:bidi="ar"/>
        </w:rPr>
        <w:t>GB/T 20862 产品可回收利用率计算方法导则</w:t>
      </w:r>
    </w:p>
    <w:p>
      <w:pPr>
        <w:ind w:left="420" w:leftChars="200" w:firstLine="6"/>
        <w:rPr>
          <w:kern w:val="0"/>
          <w:szCs w:val="21"/>
          <w:lang w:bidi="ar"/>
        </w:rPr>
      </w:pPr>
      <w:r>
        <w:rPr>
          <w:kern w:val="0"/>
          <w:szCs w:val="21"/>
          <w:lang w:bidi="ar"/>
        </w:rPr>
        <w:t>GB/T 20975.1 铝及铝合金化学分析方法 第1部分：汞含量的测定</w:t>
      </w:r>
    </w:p>
    <w:p>
      <w:pPr>
        <w:ind w:left="420" w:leftChars="200" w:firstLine="6"/>
        <w:rPr>
          <w:kern w:val="0"/>
          <w:szCs w:val="21"/>
          <w:lang w:bidi="ar"/>
        </w:rPr>
      </w:pPr>
      <w:r>
        <w:rPr>
          <w:kern w:val="0"/>
          <w:szCs w:val="21"/>
          <w:lang w:bidi="ar"/>
        </w:rPr>
        <w:t>GB/T 20975.2 铝及铝合金化学分析方法 第2部分：砷含量的测定</w:t>
      </w:r>
    </w:p>
    <w:p>
      <w:pPr>
        <w:ind w:left="420" w:leftChars="200" w:firstLine="6"/>
        <w:rPr>
          <w:kern w:val="0"/>
          <w:szCs w:val="21"/>
          <w:lang w:bidi="ar"/>
        </w:rPr>
      </w:pPr>
      <w:r>
        <w:rPr>
          <w:kern w:val="0"/>
          <w:szCs w:val="21"/>
          <w:lang w:bidi="ar"/>
        </w:rPr>
        <w:t>GB/T 20975.6 铝及铝合金化学分析方法 第6部分：镉含量的测定 火焰原子吸收光谱法</w:t>
      </w:r>
    </w:p>
    <w:p>
      <w:pPr>
        <w:ind w:left="420" w:leftChars="200" w:firstLine="6"/>
        <w:rPr>
          <w:kern w:val="0"/>
          <w:szCs w:val="21"/>
          <w:lang w:bidi="ar"/>
        </w:rPr>
      </w:pPr>
      <w:r>
        <w:rPr>
          <w:kern w:val="0"/>
          <w:szCs w:val="21"/>
          <w:lang w:bidi="ar"/>
        </w:rPr>
        <w:t>GB/T 20975.11 铝及铝合金化学分析方法 第11部分：铅含量的测定</w:t>
      </w:r>
    </w:p>
    <w:p>
      <w:pPr>
        <w:ind w:left="420" w:leftChars="200" w:firstLine="6"/>
        <w:rPr>
          <w:kern w:val="0"/>
          <w:szCs w:val="21"/>
          <w:lang w:bidi="ar"/>
        </w:rPr>
      </w:pPr>
      <w:r>
        <w:rPr>
          <w:kern w:val="0"/>
          <w:szCs w:val="21"/>
          <w:lang w:bidi="ar"/>
        </w:rPr>
        <w:t>GB/T 23331 能源管理体系 要求</w:t>
      </w:r>
    </w:p>
    <w:p>
      <w:pPr>
        <w:ind w:left="420" w:leftChars="200" w:firstLine="6"/>
        <w:rPr>
          <w:kern w:val="0"/>
          <w:szCs w:val="21"/>
          <w:lang w:bidi="ar"/>
        </w:rPr>
      </w:pPr>
      <w:r>
        <w:rPr>
          <w:kern w:val="0"/>
          <w:szCs w:val="21"/>
          <w:lang w:bidi="ar"/>
        </w:rPr>
        <w:t>GB/T 24040 环境管理 生命周期评价 原则与框架</w:t>
      </w:r>
    </w:p>
    <w:p>
      <w:pPr>
        <w:ind w:left="420" w:leftChars="200" w:firstLine="6"/>
        <w:rPr>
          <w:kern w:val="0"/>
          <w:szCs w:val="21"/>
          <w:lang w:bidi="ar"/>
        </w:rPr>
      </w:pPr>
      <w:r>
        <w:rPr>
          <w:kern w:val="0"/>
          <w:szCs w:val="21"/>
          <w:lang w:bidi="ar"/>
        </w:rPr>
        <w:t>GB/T 24001 环境管理体系要求及使用指南</w:t>
      </w:r>
    </w:p>
    <w:p>
      <w:pPr>
        <w:ind w:left="420" w:leftChars="200" w:firstLine="6"/>
        <w:rPr>
          <w:kern w:val="0"/>
          <w:szCs w:val="21"/>
          <w:lang w:bidi="ar"/>
        </w:rPr>
      </w:pPr>
      <w:r>
        <w:rPr>
          <w:kern w:val="0"/>
          <w:szCs w:val="21"/>
          <w:lang w:bidi="ar"/>
        </w:rPr>
        <w:t>GB/T 24044 环境管理 生命周期评价 要求与指南</w:t>
      </w:r>
    </w:p>
    <w:p>
      <w:pPr>
        <w:ind w:left="420" w:leftChars="200" w:firstLine="6"/>
        <w:rPr>
          <w:kern w:val="0"/>
          <w:szCs w:val="21"/>
          <w:lang w:bidi="ar"/>
        </w:rPr>
      </w:pPr>
      <w:r>
        <w:rPr>
          <w:kern w:val="0"/>
          <w:szCs w:val="21"/>
          <w:lang w:bidi="ar"/>
        </w:rPr>
        <w:t>GB/T 24256 产品生态设计通则</w:t>
      </w:r>
    </w:p>
    <w:p>
      <w:pPr>
        <w:ind w:left="420" w:leftChars="200" w:firstLine="6"/>
        <w:rPr>
          <w:kern w:val="0"/>
          <w:szCs w:val="21"/>
          <w:lang w:bidi="ar"/>
        </w:rPr>
      </w:pPr>
      <w:r>
        <w:rPr>
          <w:kern w:val="0"/>
          <w:szCs w:val="21"/>
          <w:lang w:bidi="ar"/>
        </w:rPr>
        <w:t>GB 24789 用水单位水计量器具配备和管理通则</w:t>
      </w:r>
    </w:p>
    <w:p>
      <w:pPr>
        <w:ind w:left="420" w:leftChars="200" w:firstLine="6"/>
        <w:rPr>
          <w:kern w:val="0"/>
          <w:szCs w:val="21"/>
          <w:lang w:bidi="ar"/>
        </w:rPr>
      </w:pPr>
      <w:r>
        <w:rPr>
          <w:kern w:val="0"/>
          <w:szCs w:val="21"/>
          <w:lang w:bidi="ar"/>
        </w:rPr>
        <w:t>GB/T 25973 工业企业清洁生产审核技术导则</w:t>
      </w:r>
    </w:p>
    <w:p>
      <w:pPr>
        <w:ind w:left="420" w:leftChars="200" w:firstLine="6"/>
        <w:rPr>
          <w:kern w:val="0"/>
          <w:szCs w:val="21"/>
          <w:lang w:bidi="ar"/>
        </w:rPr>
      </w:pPr>
      <w:r>
        <w:rPr>
          <w:kern w:val="0"/>
          <w:szCs w:val="21"/>
          <w:lang w:bidi="ar"/>
        </w:rPr>
        <w:t>GB/T 28001 职业健康安全管理体系 要求</w:t>
      </w:r>
    </w:p>
    <w:p>
      <w:pPr>
        <w:ind w:left="420" w:leftChars="200" w:firstLine="6"/>
        <w:rPr>
          <w:kern w:val="0"/>
          <w:szCs w:val="21"/>
          <w:lang w:bidi="ar"/>
        </w:rPr>
      </w:pPr>
      <w:r>
        <w:rPr>
          <w:kern w:val="0"/>
          <w:szCs w:val="21"/>
          <w:lang w:bidi="ar"/>
        </w:rPr>
        <w:t>GB/T 32161 生态设计产品评价通则</w:t>
      </w:r>
    </w:p>
    <w:p>
      <w:pPr>
        <w:ind w:left="420" w:leftChars="200" w:firstLine="6"/>
        <w:rPr>
          <w:kern w:val="0"/>
          <w:szCs w:val="21"/>
          <w:lang w:bidi="ar"/>
        </w:rPr>
      </w:pPr>
      <w:r>
        <w:rPr>
          <w:kern w:val="0"/>
          <w:szCs w:val="21"/>
          <w:lang w:bidi="ar"/>
        </w:rPr>
        <w:t>GB/T 32162 生态设计产品标识</w:t>
      </w:r>
    </w:p>
    <w:p>
      <w:pPr>
        <w:ind w:left="420" w:leftChars="200" w:firstLine="6"/>
        <w:rPr>
          <w:kern w:val="0"/>
          <w:szCs w:val="21"/>
          <w:lang w:bidi="ar"/>
        </w:rPr>
      </w:pPr>
      <w:r>
        <w:rPr>
          <w:kern w:val="0"/>
          <w:szCs w:val="21"/>
          <w:lang w:bidi="ar"/>
        </w:rPr>
        <w:t>TB/T 3252 电气化铁路接触网汇流排</w:t>
      </w:r>
    </w:p>
    <w:p>
      <w:pPr>
        <w:ind w:left="420" w:leftChars="200" w:firstLine="6"/>
        <w:rPr>
          <w:kern w:val="0"/>
          <w:szCs w:val="21"/>
          <w:lang w:bidi="ar"/>
        </w:rPr>
      </w:pPr>
      <w:r>
        <w:rPr>
          <w:kern w:val="0"/>
          <w:szCs w:val="21"/>
          <w:lang w:bidi="ar"/>
        </w:rPr>
        <w:t>YS/T 694.1 变形铝及铝合金单位产品能源消耗限额 第1部分：铸造锭</w:t>
      </w:r>
    </w:p>
    <w:p>
      <w:pPr>
        <w:ind w:left="420" w:leftChars="200" w:firstLine="6"/>
        <w:rPr>
          <w:kern w:val="0"/>
          <w:szCs w:val="21"/>
          <w:lang w:bidi="ar"/>
        </w:rPr>
      </w:pPr>
      <w:r>
        <w:rPr>
          <w:kern w:val="0"/>
          <w:szCs w:val="21"/>
          <w:lang w:bidi="ar"/>
        </w:rPr>
        <w:t>YS/T 694.4 变形铝及铝合金单位产品能源消耗限额 第4部分：挤压型材、管材</w:t>
      </w:r>
    </w:p>
    <w:p>
      <w:pPr>
        <w:pStyle w:val="58"/>
        <w:spacing w:before="156" w:after="156"/>
      </w:pPr>
      <w:bookmarkStart w:id="15" w:name="_Toc34746181"/>
      <w:bookmarkStart w:id="16" w:name="_Toc472324903"/>
      <w:bookmarkStart w:id="17" w:name="_Toc472431383"/>
      <w:r>
        <w:rPr>
          <w:rFonts w:hint="eastAsia"/>
        </w:rPr>
        <w:t>术语</w:t>
      </w:r>
      <w:r>
        <w:t>和定义</w:t>
      </w:r>
      <w:bookmarkEnd w:id="15"/>
    </w:p>
    <w:bookmarkEnd w:id="16"/>
    <w:bookmarkEnd w:id="17"/>
    <w:p>
      <w:pPr>
        <w:tabs>
          <w:tab w:val="center" w:pos="4201"/>
          <w:tab w:val="right" w:leader="dot" w:pos="9298"/>
        </w:tabs>
        <w:autoSpaceDE w:val="0"/>
        <w:autoSpaceDN w:val="0"/>
        <w:ind w:firstLine="420" w:firstLineChars="200"/>
        <w:rPr>
          <w:kern w:val="0"/>
          <w:szCs w:val="20"/>
        </w:rPr>
      </w:pPr>
      <w:r>
        <w:rPr>
          <w:kern w:val="0"/>
          <w:szCs w:val="20"/>
        </w:rPr>
        <w:t>GB/T 32161和TB/T 3252界定的以及下列术语和定义适用于本文件。</w:t>
      </w:r>
    </w:p>
    <w:p>
      <w:pPr>
        <w:spacing w:before="156" w:beforeLines="50" w:after="156" w:afterLines="50"/>
        <w:outlineLvl w:val="2"/>
        <w:rPr>
          <w:rFonts w:ascii="黑体" w:hAnsi="黑体" w:eastAsia="黑体"/>
          <w:kern w:val="0"/>
          <w:szCs w:val="21"/>
        </w:rPr>
      </w:pPr>
      <w:bookmarkStart w:id="18" w:name="_Toc502851819"/>
      <w:bookmarkEnd w:id="18"/>
      <w:bookmarkStart w:id="19" w:name="_Toc34746182"/>
      <w:bookmarkStart w:id="20" w:name="_Toc25248074"/>
      <w:bookmarkStart w:id="21" w:name="_Toc502851820"/>
      <w:r>
        <w:rPr>
          <w:rFonts w:ascii="黑体" w:hAnsi="黑体" w:eastAsia="黑体"/>
          <w:kern w:val="0"/>
          <w:szCs w:val="21"/>
        </w:rPr>
        <w:t>3.1</w:t>
      </w:r>
      <w:bookmarkEnd w:id="19"/>
      <w:bookmarkEnd w:id="20"/>
    </w:p>
    <w:p>
      <w:pPr>
        <w:spacing w:before="156" w:beforeLines="50" w:after="156" w:afterLines="50"/>
        <w:ind w:firstLine="424" w:firstLineChars="202"/>
        <w:outlineLvl w:val="2"/>
        <w:rPr>
          <w:rFonts w:ascii="黑体" w:hAnsi="黑体" w:eastAsia="黑体"/>
          <w:kern w:val="0"/>
          <w:szCs w:val="21"/>
        </w:rPr>
      </w:pPr>
      <w:bookmarkStart w:id="22" w:name="_Toc34746183"/>
      <w:bookmarkStart w:id="23" w:name="_Toc25248075"/>
      <w:r>
        <w:rPr>
          <w:rFonts w:eastAsia="黑体"/>
          <w:kern w:val="0"/>
          <w:szCs w:val="21"/>
        </w:rPr>
        <w:t>刚性导电汇流排</w:t>
      </w:r>
      <w:r>
        <w:rPr>
          <w:rFonts w:hint="eastAsia" w:eastAsia="黑体"/>
          <w:kern w:val="0"/>
          <w:szCs w:val="21"/>
        </w:rPr>
        <w:t xml:space="preserve">铝型材 </w:t>
      </w:r>
      <w:bookmarkEnd w:id="22"/>
      <w:bookmarkEnd w:id="23"/>
      <w:r>
        <w:rPr>
          <w:rFonts w:ascii="黑体" w:hAnsi="黑体" w:eastAsia="黑体"/>
          <w:kern w:val="0"/>
          <w:szCs w:val="21"/>
        </w:rPr>
        <w:t>Rigid conductive busbar aluminum profiles</w:t>
      </w:r>
    </w:p>
    <w:p>
      <w:pPr>
        <w:tabs>
          <w:tab w:val="center" w:pos="4201"/>
          <w:tab w:val="right" w:leader="dot" w:pos="9298"/>
        </w:tabs>
        <w:autoSpaceDE w:val="0"/>
        <w:autoSpaceDN w:val="0"/>
        <w:ind w:firstLine="420" w:firstLineChars="200"/>
        <w:rPr>
          <w:kern w:val="0"/>
          <w:szCs w:val="20"/>
        </w:rPr>
      </w:pPr>
      <w:r>
        <w:rPr>
          <w:rFonts w:hint="eastAsia"/>
          <w:kern w:val="0"/>
          <w:szCs w:val="20"/>
        </w:rPr>
        <w:t>电气化刚性接触网系统中，用于固定接触线并承载电流的铝型材。</w:t>
      </w:r>
    </w:p>
    <w:p>
      <w:pPr>
        <w:spacing w:before="156" w:beforeLines="50" w:after="156" w:afterLines="50"/>
        <w:outlineLvl w:val="2"/>
        <w:rPr>
          <w:rFonts w:ascii="黑体" w:hAnsi="黑体" w:eastAsia="黑体"/>
          <w:kern w:val="0"/>
          <w:szCs w:val="21"/>
        </w:rPr>
      </w:pPr>
      <w:bookmarkStart w:id="24" w:name="_Toc34746184"/>
      <w:bookmarkStart w:id="25" w:name="_Toc25248076"/>
      <w:r>
        <w:rPr>
          <w:rFonts w:ascii="黑体" w:hAnsi="黑体" w:eastAsia="黑体"/>
          <w:kern w:val="0"/>
          <w:szCs w:val="21"/>
        </w:rPr>
        <w:t>3.2</w:t>
      </w:r>
      <w:bookmarkEnd w:id="24"/>
      <w:bookmarkEnd w:id="25"/>
    </w:p>
    <w:p>
      <w:pPr>
        <w:spacing w:before="156" w:beforeLines="50" w:after="156" w:afterLines="50"/>
        <w:ind w:firstLine="424" w:firstLineChars="202"/>
        <w:outlineLvl w:val="2"/>
        <w:rPr>
          <w:rFonts w:eastAsia="黑体"/>
          <w:kern w:val="0"/>
          <w:szCs w:val="21"/>
        </w:rPr>
      </w:pPr>
      <w:bookmarkStart w:id="26" w:name="_Toc34746185"/>
      <w:bookmarkStart w:id="27" w:name="_Toc25248077"/>
      <w:r>
        <w:rPr>
          <w:rFonts w:eastAsia="黑体"/>
          <w:kern w:val="0"/>
          <w:szCs w:val="21"/>
        </w:rPr>
        <w:t>绿色</w:t>
      </w:r>
      <w:r>
        <w:rPr>
          <w:rFonts w:hint="eastAsia" w:eastAsia="黑体"/>
          <w:kern w:val="0"/>
          <w:szCs w:val="21"/>
        </w:rPr>
        <w:t>（生态）</w:t>
      </w:r>
      <w:r>
        <w:rPr>
          <w:rFonts w:eastAsia="黑体"/>
          <w:kern w:val="0"/>
          <w:szCs w:val="21"/>
        </w:rPr>
        <w:t xml:space="preserve">设计 </w:t>
      </w:r>
      <w:r>
        <w:rPr>
          <w:rFonts w:ascii="黑体" w:hAnsi="黑体" w:eastAsia="黑体"/>
          <w:kern w:val="0"/>
          <w:szCs w:val="21"/>
        </w:rPr>
        <w:t>eco-design</w:t>
      </w:r>
      <w:bookmarkEnd w:id="21"/>
      <w:bookmarkEnd w:id="26"/>
      <w:bookmarkEnd w:id="27"/>
    </w:p>
    <w:p>
      <w:pPr>
        <w:tabs>
          <w:tab w:val="center" w:pos="4201"/>
          <w:tab w:val="right" w:leader="dot" w:pos="9298"/>
        </w:tabs>
        <w:autoSpaceDE w:val="0"/>
        <w:autoSpaceDN w:val="0"/>
        <w:ind w:firstLine="420" w:firstLineChars="200"/>
        <w:rPr>
          <w:kern w:val="0"/>
          <w:szCs w:val="20"/>
        </w:rPr>
      </w:pPr>
      <w:r>
        <w:rPr>
          <w:kern w:val="0"/>
          <w:szCs w:val="20"/>
        </w:rPr>
        <w:t>按照全生命周期的理念，在产品设计开发阶段系统考虑原材料</w:t>
      </w:r>
      <w:r>
        <w:rPr>
          <w:rFonts w:hint="eastAsia"/>
          <w:kern w:val="0"/>
          <w:szCs w:val="20"/>
        </w:rPr>
        <w:t>选用</w:t>
      </w:r>
      <w:r>
        <w:rPr>
          <w:kern w:val="0"/>
          <w:szCs w:val="20"/>
        </w:rPr>
        <w:t>、生产、</w:t>
      </w:r>
      <w:r>
        <w:rPr>
          <w:rFonts w:hint="eastAsia"/>
          <w:kern w:val="0"/>
          <w:szCs w:val="20"/>
        </w:rPr>
        <w:t>销售、使用、回收、处理等</w:t>
      </w:r>
      <w:r>
        <w:rPr>
          <w:kern w:val="0"/>
          <w:szCs w:val="20"/>
        </w:rPr>
        <w:t>各个环节对资源环境造成的影响，力求产品在全生命周期中最大限度降低资源消耗、尽可能少用或不用含有有害物质的原材料，减少污染物产生和排放，从而实现环境保护的活动。</w:t>
      </w:r>
    </w:p>
    <w:p>
      <w:pPr>
        <w:spacing w:before="156" w:beforeLines="50" w:after="156" w:afterLines="50"/>
        <w:outlineLvl w:val="2"/>
        <w:rPr>
          <w:rFonts w:ascii="黑体" w:hAnsi="黑体" w:eastAsia="黑体"/>
          <w:kern w:val="0"/>
          <w:szCs w:val="21"/>
        </w:rPr>
      </w:pPr>
      <w:bookmarkStart w:id="28" w:name="_Toc502851822"/>
      <w:bookmarkEnd w:id="28"/>
      <w:bookmarkStart w:id="29" w:name="_Toc25248078"/>
      <w:bookmarkStart w:id="30" w:name="_Toc34746186"/>
      <w:bookmarkStart w:id="31" w:name="_Toc502851823"/>
      <w:r>
        <w:rPr>
          <w:rFonts w:ascii="黑体" w:hAnsi="黑体" w:eastAsia="黑体"/>
          <w:kern w:val="0"/>
          <w:szCs w:val="21"/>
        </w:rPr>
        <w:t>3.3</w:t>
      </w:r>
      <w:bookmarkEnd w:id="29"/>
      <w:bookmarkEnd w:id="30"/>
    </w:p>
    <w:p>
      <w:pPr>
        <w:spacing w:before="156" w:beforeLines="50" w:after="156" w:afterLines="50"/>
        <w:ind w:firstLine="424" w:firstLineChars="202"/>
        <w:outlineLvl w:val="2"/>
        <w:rPr>
          <w:rFonts w:eastAsia="黑体"/>
          <w:kern w:val="0"/>
          <w:szCs w:val="21"/>
        </w:rPr>
      </w:pPr>
      <w:bookmarkStart w:id="32" w:name="_Toc34746187"/>
      <w:bookmarkStart w:id="33" w:name="_Toc25248079"/>
      <w:r>
        <w:rPr>
          <w:rFonts w:eastAsia="黑体"/>
          <w:kern w:val="0"/>
          <w:szCs w:val="21"/>
        </w:rPr>
        <w:t>绿色</w:t>
      </w:r>
      <w:r>
        <w:rPr>
          <w:rFonts w:hint="eastAsia" w:eastAsia="黑体"/>
          <w:kern w:val="0"/>
          <w:szCs w:val="21"/>
        </w:rPr>
        <w:t>（</w:t>
      </w:r>
      <w:r>
        <w:rPr>
          <w:rFonts w:eastAsia="黑体"/>
          <w:kern w:val="0"/>
          <w:szCs w:val="21"/>
        </w:rPr>
        <w:t>生态</w:t>
      </w:r>
      <w:r>
        <w:rPr>
          <w:rFonts w:hint="eastAsia" w:eastAsia="黑体"/>
          <w:kern w:val="0"/>
          <w:szCs w:val="21"/>
        </w:rPr>
        <w:t>）</w:t>
      </w:r>
      <w:r>
        <w:rPr>
          <w:rFonts w:eastAsia="黑体"/>
          <w:kern w:val="0"/>
          <w:szCs w:val="21"/>
        </w:rPr>
        <w:t xml:space="preserve">设计产品 </w:t>
      </w:r>
      <w:r>
        <w:rPr>
          <w:rFonts w:ascii="黑体" w:hAnsi="黑体" w:eastAsia="黑体"/>
          <w:kern w:val="0"/>
          <w:szCs w:val="21"/>
        </w:rPr>
        <w:t>eco-design products</w:t>
      </w:r>
      <w:bookmarkEnd w:id="31"/>
      <w:bookmarkEnd w:id="32"/>
      <w:bookmarkEnd w:id="33"/>
    </w:p>
    <w:p>
      <w:pPr>
        <w:tabs>
          <w:tab w:val="center" w:pos="4201"/>
          <w:tab w:val="right" w:leader="dot" w:pos="9298"/>
        </w:tabs>
        <w:autoSpaceDE w:val="0"/>
        <w:autoSpaceDN w:val="0"/>
        <w:ind w:firstLine="420" w:firstLineChars="200"/>
        <w:rPr>
          <w:kern w:val="0"/>
          <w:szCs w:val="20"/>
        </w:rPr>
      </w:pPr>
      <w:r>
        <w:rPr>
          <w:kern w:val="0"/>
          <w:szCs w:val="20"/>
        </w:rPr>
        <w:t>符合绿色（生态）设计理念和评价要求的产品。</w:t>
      </w:r>
    </w:p>
    <w:p>
      <w:pPr>
        <w:spacing w:before="156" w:beforeLines="50" w:after="156" w:afterLines="50"/>
        <w:outlineLvl w:val="2"/>
        <w:rPr>
          <w:rFonts w:ascii="黑体" w:hAnsi="黑体" w:eastAsia="黑体"/>
          <w:kern w:val="0"/>
          <w:szCs w:val="21"/>
        </w:rPr>
      </w:pPr>
      <w:bookmarkStart w:id="34" w:name="_Toc34746188"/>
      <w:bookmarkStart w:id="35" w:name="_Toc25248080"/>
      <w:r>
        <w:rPr>
          <w:rFonts w:ascii="黑体" w:hAnsi="黑体" w:eastAsia="黑体"/>
          <w:kern w:val="0"/>
          <w:szCs w:val="21"/>
        </w:rPr>
        <w:t>3.</w:t>
      </w:r>
      <w:r>
        <w:rPr>
          <w:rFonts w:hint="eastAsia" w:ascii="黑体" w:hAnsi="黑体" w:eastAsia="黑体"/>
          <w:kern w:val="0"/>
          <w:szCs w:val="21"/>
        </w:rPr>
        <w:t>4</w:t>
      </w:r>
      <w:bookmarkEnd w:id="34"/>
      <w:bookmarkEnd w:id="35"/>
    </w:p>
    <w:p>
      <w:pPr>
        <w:spacing w:before="156" w:beforeLines="50" w:after="156" w:afterLines="50"/>
        <w:ind w:firstLine="424" w:firstLineChars="202"/>
        <w:outlineLvl w:val="2"/>
        <w:rPr>
          <w:rFonts w:eastAsia="黑体"/>
          <w:kern w:val="0"/>
          <w:szCs w:val="21"/>
        </w:rPr>
      </w:pPr>
      <w:bookmarkStart w:id="36" w:name="_Toc25248081"/>
      <w:bookmarkStart w:id="37" w:name="_Toc34746189"/>
      <w:r>
        <w:rPr>
          <w:rFonts w:hint="eastAsia" w:eastAsia="黑体"/>
          <w:kern w:val="0"/>
          <w:szCs w:val="21"/>
        </w:rPr>
        <w:t xml:space="preserve">现场数据 </w:t>
      </w:r>
      <w:r>
        <w:rPr>
          <w:rFonts w:hint="eastAsia" w:ascii="黑体" w:hAnsi="黑体" w:eastAsia="黑体"/>
          <w:kern w:val="0"/>
          <w:szCs w:val="21"/>
        </w:rPr>
        <w:t>field data</w:t>
      </w:r>
      <w:bookmarkEnd w:id="36"/>
      <w:bookmarkEnd w:id="37"/>
    </w:p>
    <w:p>
      <w:pPr>
        <w:tabs>
          <w:tab w:val="center" w:pos="4201"/>
          <w:tab w:val="right" w:leader="dot" w:pos="9298"/>
        </w:tabs>
        <w:autoSpaceDE w:val="0"/>
        <w:autoSpaceDN w:val="0"/>
        <w:ind w:firstLine="420" w:firstLineChars="200"/>
        <w:rPr>
          <w:kern w:val="0"/>
          <w:szCs w:val="20"/>
        </w:rPr>
      </w:pPr>
      <w:r>
        <w:rPr>
          <w:rFonts w:hint="eastAsia"/>
          <w:kern w:val="0"/>
          <w:szCs w:val="20"/>
        </w:rPr>
        <w:t>通过直接定量测量方式获得的产品生命周期活动数据。</w:t>
      </w:r>
    </w:p>
    <w:p>
      <w:pPr>
        <w:spacing w:before="156" w:beforeLines="50" w:after="156" w:afterLines="50"/>
        <w:outlineLvl w:val="2"/>
        <w:rPr>
          <w:rFonts w:ascii="黑体" w:hAnsi="黑体" w:eastAsia="黑体"/>
          <w:kern w:val="0"/>
          <w:szCs w:val="21"/>
        </w:rPr>
      </w:pPr>
      <w:bookmarkStart w:id="38" w:name="_Toc34746190"/>
      <w:bookmarkStart w:id="39" w:name="_Toc25248082"/>
      <w:r>
        <w:rPr>
          <w:rFonts w:ascii="黑体" w:hAnsi="黑体" w:eastAsia="黑体"/>
          <w:kern w:val="0"/>
          <w:szCs w:val="21"/>
        </w:rPr>
        <w:t>3.</w:t>
      </w:r>
      <w:r>
        <w:rPr>
          <w:rFonts w:hint="eastAsia" w:ascii="黑体" w:hAnsi="黑体" w:eastAsia="黑体"/>
          <w:kern w:val="0"/>
          <w:szCs w:val="21"/>
        </w:rPr>
        <w:t>5</w:t>
      </w:r>
      <w:bookmarkEnd w:id="38"/>
      <w:bookmarkEnd w:id="39"/>
    </w:p>
    <w:p>
      <w:pPr>
        <w:spacing w:before="156" w:beforeLines="50" w:after="156" w:afterLines="50"/>
        <w:ind w:firstLine="424" w:firstLineChars="202"/>
        <w:outlineLvl w:val="2"/>
        <w:rPr>
          <w:rFonts w:eastAsia="黑体"/>
          <w:kern w:val="0"/>
          <w:szCs w:val="21"/>
        </w:rPr>
      </w:pPr>
      <w:bookmarkStart w:id="40" w:name="_Toc25248083"/>
      <w:bookmarkStart w:id="41" w:name="_Toc34746191"/>
      <w:r>
        <w:rPr>
          <w:rFonts w:hint="eastAsia" w:eastAsia="黑体"/>
          <w:kern w:val="0"/>
          <w:szCs w:val="21"/>
        </w:rPr>
        <w:t>背景数据</w:t>
      </w:r>
      <w:r>
        <w:rPr>
          <w:rFonts w:hint="eastAsia" w:ascii="黑体" w:hAnsi="黑体" w:eastAsia="黑体"/>
          <w:kern w:val="0"/>
          <w:szCs w:val="21"/>
        </w:rPr>
        <w:t>background data</w:t>
      </w:r>
      <w:bookmarkEnd w:id="40"/>
      <w:bookmarkEnd w:id="41"/>
    </w:p>
    <w:p>
      <w:pPr>
        <w:tabs>
          <w:tab w:val="center" w:pos="4201"/>
          <w:tab w:val="right" w:leader="dot" w:pos="9298"/>
        </w:tabs>
        <w:autoSpaceDE w:val="0"/>
        <w:autoSpaceDN w:val="0"/>
        <w:ind w:firstLine="420" w:firstLineChars="200"/>
        <w:rPr>
          <w:kern w:val="0"/>
          <w:szCs w:val="20"/>
        </w:rPr>
      </w:pPr>
      <w:r>
        <w:rPr>
          <w:rFonts w:hint="eastAsia"/>
          <w:kern w:val="0"/>
          <w:szCs w:val="20"/>
        </w:rPr>
        <w:t>通过直接测量以外的来源获得的产品生命周期数据。</w:t>
      </w:r>
    </w:p>
    <w:p>
      <w:pPr>
        <w:spacing w:before="312" w:beforeLines="100" w:after="312" w:afterLines="100"/>
        <w:outlineLvl w:val="1"/>
        <w:rPr>
          <w:rFonts w:ascii="黑体" w:hAnsi="黑体" w:eastAsia="黑体"/>
          <w:kern w:val="0"/>
          <w:szCs w:val="20"/>
        </w:rPr>
      </w:pPr>
      <w:bookmarkStart w:id="42" w:name="_Toc494224105"/>
      <w:bookmarkStart w:id="43" w:name="_Toc502851825"/>
      <w:bookmarkStart w:id="44" w:name="_Toc34746192"/>
      <w:r>
        <w:rPr>
          <w:rFonts w:ascii="黑体" w:hAnsi="黑体" w:eastAsia="黑体"/>
          <w:kern w:val="0"/>
          <w:szCs w:val="20"/>
        </w:rPr>
        <w:t>4 评价方法</w:t>
      </w:r>
      <w:bookmarkEnd w:id="42"/>
      <w:bookmarkEnd w:id="43"/>
      <w:bookmarkEnd w:id="44"/>
    </w:p>
    <w:p>
      <w:pPr>
        <w:spacing w:before="156" w:beforeLines="50" w:after="156" w:afterLines="50"/>
        <w:outlineLvl w:val="2"/>
        <w:rPr>
          <w:rFonts w:ascii="黑体" w:hAnsi="黑体" w:eastAsia="黑体"/>
          <w:kern w:val="0"/>
          <w:szCs w:val="21"/>
        </w:rPr>
      </w:pPr>
      <w:bookmarkStart w:id="45" w:name="_Toc34746193"/>
      <w:r>
        <w:rPr>
          <w:rFonts w:ascii="黑体" w:hAnsi="黑体" w:eastAsia="黑体"/>
          <w:kern w:val="0"/>
          <w:szCs w:val="21"/>
        </w:rPr>
        <w:t xml:space="preserve">4.1 </w:t>
      </w:r>
      <w:r>
        <w:rPr>
          <w:rFonts w:hint="eastAsia" w:ascii="黑体" w:hAnsi="黑体" w:eastAsia="黑体"/>
          <w:kern w:val="0"/>
          <w:szCs w:val="21"/>
        </w:rPr>
        <w:t>评价方法</w:t>
      </w:r>
      <w:bookmarkEnd w:id="45"/>
    </w:p>
    <w:p>
      <w:pPr>
        <w:tabs>
          <w:tab w:val="center" w:pos="4201"/>
          <w:tab w:val="right" w:leader="dot" w:pos="9298"/>
        </w:tabs>
        <w:autoSpaceDE w:val="0"/>
        <w:autoSpaceDN w:val="0"/>
        <w:ind w:firstLine="420" w:firstLineChars="200"/>
        <w:rPr>
          <w:rFonts w:ascii="宋体" w:hAnsi="宋体"/>
          <w:kern w:val="0"/>
          <w:szCs w:val="20"/>
        </w:rPr>
      </w:pPr>
      <w:r>
        <w:rPr>
          <w:rFonts w:ascii="宋体" w:hAnsi="宋体"/>
          <w:kern w:val="0"/>
          <w:szCs w:val="20"/>
        </w:rPr>
        <w:t>本标准采用指标评价和生命周期评价相结合的方法，</w:t>
      </w:r>
      <w:r>
        <w:rPr>
          <w:rFonts w:hint="eastAsia" w:ascii="宋体" w:hAnsi="宋体"/>
          <w:kern w:val="0"/>
          <w:szCs w:val="20"/>
        </w:rPr>
        <w:t>刚性导电汇流排铝型材</w:t>
      </w:r>
      <w:r>
        <w:rPr>
          <w:rFonts w:ascii="宋体" w:hAnsi="宋体"/>
          <w:kern w:val="0"/>
          <w:szCs w:val="20"/>
        </w:rPr>
        <w:t>产品应同时满足以下两个条件，可判定为绿色设计产品。</w:t>
      </w:r>
    </w:p>
    <w:p>
      <w:pPr>
        <w:tabs>
          <w:tab w:val="center" w:pos="4201"/>
          <w:tab w:val="right" w:leader="dot" w:pos="9298"/>
        </w:tabs>
        <w:autoSpaceDE w:val="0"/>
        <w:autoSpaceDN w:val="0"/>
        <w:ind w:firstLine="420" w:firstLineChars="200"/>
        <w:rPr>
          <w:kern w:val="0"/>
          <w:szCs w:val="20"/>
        </w:rPr>
      </w:pPr>
      <w:r>
        <w:rPr>
          <w:kern w:val="0"/>
          <w:szCs w:val="20"/>
        </w:rPr>
        <w:t>a) 满足基本要求（见5.1）和产品评价指标要求（见5.2），并提供相关符合性证明文件；</w:t>
      </w:r>
    </w:p>
    <w:p>
      <w:pPr>
        <w:tabs>
          <w:tab w:val="center" w:pos="4201"/>
          <w:tab w:val="right" w:leader="dot" w:pos="9298"/>
        </w:tabs>
        <w:autoSpaceDE w:val="0"/>
        <w:autoSpaceDN w:val="0"/>
        <w:ind w:left="420"/>
        <w:rPr>
          <w:kern w:val="0"/>
          <w:szCs w:val="20"/>
        </w:rPr>
      </w:pPr>
      <w:r>
        <w:rPr>
          <w:kern w:val="0"/>
          <w:szCs w:val="20"/>
        </w:rPr>
        <w:t>b) 开展产品生命周期评价，并按照第6章的方法提供产品生命周期评价报告（见6.2）。</w:t>
      </w:r>
    </w:p>
    <w:p>
      <w:pPr>
        <w:spacing w:before="156" w:beforeLines="50" w:after="156" w:afterLines="50"/>
        <w:outlineLvl w:val="2"/>
        <w:rPr>
          <w:rFonts w:ascii="黑体" w:hAnsi="黑体" w:eastAsia="黑体"/>
          <w:kern w:val="0"/>
          <w:szCs w:val="21"/>
        </w:rPr>
      </w:pPr>
      <w:bookmarkStart w:id="46" w:name="_Toc34746194"/>
      <w:r>
        <w:rPr>
          <w:rFonts w:ascii="黑体" w:hAnsi="黑体" w:eastAsia="黑体"/>
          <w:kern w:val="0"/>
          <w:szCs w:val="21"/>
        </w:rPr>
        <w:t xml:space="preserve">4.2 </w:t>
      </w:r>
      <w:r>
        <w:rPr>
          <w:rFonts w:hint="eastAsia" w:ascii="黑体" w:hAnsi="黑体" w:eastAsia="黑体"/>
          <w:kern w:val="0"/>
          <w:szCs w:val="21"/>
        </w:rPr>
        <w:t>评价流程</w:t>
      </w:r>
      <w:bookmarkEnd w:id="46"/>
    </w:p>
    <w:p>
      <w:pPr>
        <w:tabs>
          <w:tab w:val="center" w:pos="4201"/>
          <w:tab w:val="right" w:leader="dot" w:pos="9298"/>
        </w:tabs>
        <w:autoSpaceDE w:val="0"/>
        <w:autoSpaceDN w:val="0"/>
        <w:ind w:firstLine="420" w:firstLineChars="200"/>
        <w:jc w:val="both"/>
        <w:rPr>
          <w:kern w:val="0"/>
          <w:szCs w:val="20"/>
        </w:rPr>
      </w:pPr>
      <w:r>
        <w:rPr>
          <w:kern w:val="0"/>
          <w:szCs w:val="20"/>
        </w:rPr>
        <w:t>根据刚性导电汇流排铝型材产品的特点，明确评价的范围；根据评价指标体系中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如图1所示。</w:t>
      </w:r>
    </w:p>
    <w:p>
      <w:pPr>
        <w:tabs>
          <w:tab w:val="center" w:pos="4201"/>
          <w:tab w:val="right" w:leader="dot" w:pos="9298"/>
        </w:tabs>
        <w:autoSpaceDE w:val="0"/>
        <w:autoSpaceDN w:val="0"/>
        <w:ind w:left="420"/>
        <w:jc w:val="center"/>
        <w:rPr>
          <w:kern w:val="0"/>
          <w:szCs w:val="20"/>
        </w:rPr>
      </w:pPr>
      <w:r>
        <w:rPr>
          <w:rFonts w:eastAsiaTheme="minorEastAsia"/>
          <w:position w:val="-131"/>
          <w:sz w:val="18"/>
          <w:szCs w:val="18"/>
        </w:rPr>
        <w:drawing>
          <wp:inline distT="0" distB="0" distL="0" distR="0">
            <wp:extent cx="5196205" cy="5268595"/>
            <wp:effectExtent l="0" t="0" r="4445"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14372" cy="5287301"/>
                    </a:xfrm>
                    <a:prstGeom prst="rect">
                      <a:avLst/>
                    </a:prstGeom>
                    <a:noFill/>
                    <a:ln>
                      <a:noFill/>
                    </a:ln>
                  </pic:spPr>
                </pic:pic>
              </a:graphicData>
            </a:graphic>
          </wp:inline>
        </w:drawing>
      </w:r>
    </w:p>
    <w:p>
      <w:pPr>
        <w:tabs>
          <w:tab w:val="center" w:pos="4201"/>
          <w:tab w:val="right" w:leader="dot" w:pos="9298"/>
        </w:tabs>
        <w:autoSpaceDE w:val="0"/>
        <w:autoSpaceDN w:val="0"/>
        <w:ind w:left="420"/>
        <w:jc w:val="center"/>
        <w:rPr>
          <w:b/>
          <w:kern w:val="0"/>
          <w:szCs w:val="20"/>
        </w:rPr>
      </w:pPr>
      <w:r>
        <w:rPr>
          <w:rFonts w:hint="eastAsia"/>
          <w:b/>
          <w:kern w:val="0"/>
          <w:szCs w:val="20"/>
        </w:rPr>
        <w:t>图1 刚性导电汇流排铝型材绿色</w:t>
      </w:r>
      <w:r>
        <w:rPr>
          <w:b/>
          <w:kern w:val="0"/>
          <w:szCs w:val="20"/>
        </w:rPr>
        <w:t>设计产品评价流程</w:t>
      </w:r>
    </w:p>
    <w:p>
      <w:pPr>
        <w:numPr>
          <w:ilvl w:val="1"/>
          <w:numId w:val="0"/>
        </w:numPr>
        <w:spacing w:before="156" w:beforeLines="50" w:after="156" w:afterLines="50"/>
        <w:outlineLvl w:val="2"/>
        <w:rPr>
          <w:rFonts w:ascii="黑体" w:hAnsi="黑体" w:eastAsia="黑体"/>
          <w:kern w:val="0"/>
          <w:szCs w:val="21"/>
        </w:rPr>
      </w:pPr>
      <w:bookmarkStart w:id="47" w:name="_Toc34746195"/>
      <w:r>
        <w:rPr>
          <w:rFonts w:ascii="黑体" w:hAnsi="黑体" w:eastAsia="黑体"/>
          <w:kern w:val="0"/>
          <w:szCs w:val="21"/>
        </w:rPr>
        <w:t>5 评价要求</w:t>
      </w:r>
      <w:bookmarkEnd w:id="47"/>
    </w:p>
    <w:p>
      <w:pPr>
        <w:numPr>
          <w:ilvl w:val="1"/>
          <w:numId w:val="0"/>
        </w:numPr>
        <w:spacing w:before="156" w:beforeLines="50" w:after="156" w:afterLines="50"/>
        <w:outlineLvl w:val="2"/>
        <w:rPr>
          <w:rFonts w:ascii="黑体" w:hAnsi="黑体" w:eastAsia="黑体"/>
          <w:kern w:val="0"/>
          <w:szCs w:val="21"/>
        </w:rPr>
      </w:pPr>
      <w:bookmarkStart w:id="48" w:name="_Toc25248086"/>
      <w:bookmarkStart w:id="49" w:name="_Toc34746196"/>
      <w:r>
        <w:rPr>
          <w:rFonts w:ascii="黑体" w:hAnsi="黑体" w:eastAsia="黑体"/>
          <w:kern w:val="0"/>
          <w:szCs w:val="21"/>
        </w:rPr>
        <w:t>5.1 基本要求</w:t>
      </w:r>
      <w:bookmarkEnd w:id="48"/>
      <w:bookmarkEnd w:id="49"/>
    </w:p>
    <w:p>
      <w:pPr>
        <w:tabs>
          <w:tab w:val="center" w:pos="4201"/>
          <w:tab w:val="right" w:leader="dot" w:pos="9298"/>
        </w:tabs>
        <w:autoSpaceDE w:val="0"/>
        <w:autoSpaceDN w:val="0"/>
        <w:ind w:firstLine="420" w:firstLineChars="200"/>
        <w:rPr>
          <w:kern w:val="0"/>
          <w:szCs w:val="20"/>
        </w:rPr>
      </w:pPr>
      <w:r>
        <w:rPr>
          <w:kern w:val="0"/>
          <w:szCs w:val="20"/>
        </w:rPr>
        <w:t>生产企业应满足以下要求，包括但不限于：</w:t>
      </w:r>
    </w:p>
    <w:p>
      <w:pPr>
        <w:tabs>
          <w:tab w:val="left" w:pos="840"/>
        </w:tabs>
        <w:ind w:firstLine="420" w:firstLineChars="200"/>
        <w:rPr>
          <w:kern w:val="0"/>
          <w:szCs w:val="20"/>
        </w:rPr>
      </w:pPr>
      <w:r>
        <w:rPr>
          <w:rFonts w:hint="eastAsia"/>
          <w:kern w:val="0"/>
          <w:szCs w:val="20"/>
        </w:rPr>
        <w:t xml:space="preserve">a) </w:t>
      </w:r>
      <w:r>
        <w:rPr>
          <w:kern w:val="0"/>
          <w:szCs w:val="20"/>
        </w:rPr>
        <w:t>生产企业的污染物排放应达到国家、行业</w:t>
      </w:r>
      <w:r>
        <w:rPr>
          <w:rFonts w:hint="eastAsia"/>
          <w:kern w:val="0"/>
          <w:szCs w:val="20"/>
        </w:rPr>
        <w:t>及</w:t>
      </w:r>
      <w:r>
        <w:rPr>
          <w:kern w:val="0"/>
          <w:szCs w:val="20"/>
        </w:rPr>
        <w:t>地方污染物排放标准的要求</w:t>
      </w:r>
      <w:r>
        <w:rPr>
          <w:rFonts w:hint="eastAsia"/>
          <w:kern w:val="0"/>
          <w:szCs w:val="20"/>
        </w:rPr>
        <w:t>；</w:t>
      </w:r>
      <w:r>
        <w:rPr>
          <w:kern w:val="0"/>
          <w:szCs w:val="20"/>
        </w:rPr>
        <w:t>污染物</w:t>
      </w:r>
      <w:r>
        <w:rPr>
          <w:rFonts w:hint="eastAsia"/>
          <w:kern w:val="0"/>
          <w:szCs w:val="20"/>
        </w:rPr>
        <w:t>排放</w:t>
      </w:r>
      <w:r>
        <w:rPr>
          <w:kern w:val="0"/>
          <w:szCs w:val="20"/>
        </w:rPr>
        <w:t>总量应达到国家、行业</w:t>
      </w:r>
      <w:r>
        <w:rPr>
          <w:rFonts w:hint="eastAsia"/>
          <w:kern w:val="0"/>
          <w:szCs w:val="20"/>
        </w:rPr>
        <w:t>及</w:t>
      </w:r>
      <w:r>
        <w:rPr>
          <w:kern w:val="0"/>
          <w:szCs w:val="20"/>
        </w:rPr>
        <w:t>地方污染物排放总量控制指标；近三年（投产不足三年的企业自投产之日起）无较大质量、安全和环境事故</w:t>
      </w:r>
      <w:r>
        <w:rPr>
          <w:rFonts w:hint="eastAsia"/>
          <w:kern w:val="0"/>
          <w:szCs w:val="20"/>
        </w:rPr>
        <w:t>；</w:t>
      </w:r>
    </w:p>
    <w:p>
      <w:pPr>
        <w:tabs>
          <w:tab w:val="left" w:pos="840"/>
        </w:tabs>
        <w:ind w:firstLine="420" w:firstLineChars="200"/>
        <w:rPr>
          <w:kern w:val="0"/>
          <w:szCs w:val="20"/>
        </w:rPr>
      </w:pPr>
      <w:r>
        <w:rPr>
          <w:rFonts w:hint="eastAsia"/>
          <w:kern w:val="0"/>
          <w:szCs w:val="20"/>
        </w:rPr>
        <w:t xml:space="preserve">b) </w:t>
      </w:r>
      <w:r>
        <w:rPr>
          <w:kern w:val="0"/>
          <w:szCs w:val="20"/>
        </w:rPr>
        <w:t>生产企业应按照GB/T 19001、GB/T 24001、GB/T</w:t>
      </w:r>
      <w:r>
        <w:rPr>
          <w:rFonts w:hint="eastAsia"/>
          <w:kern w:val="0"/>
          <w:szCs w:val="20"/>
        </w:rPr>
        <w:t xml:space="preserve"> </w:t>
      </w:r>
      <w:r>
        <w:rPr>
          <w:kern w:val="0"/>
          <w:szCs w:val="20"/>
        </w:rPr>
        <w:t>28001和GB/T</w:t>
      </w:r>
      <w:r>
        <w:rPr>
          <w:rFonts w:hint="eastAsia"/>
          <w:kern w:val="0"/>
          <w:szCs w:val="20"/>
        </w:rPr>
        <w:t xml:space="preserve"> </w:t>
      </w:r>
      <w:r>
        <w:rPr>
          <w:kern w:val="0"/>
          <w:szCs w:val="20"/>
        </w:rPr>
        <w:t>23331等的要求建立、实施、保持并持续改进质量管理体系、环境管理体系、职业健康</w:t>
      </w:r>
      <w:r>
        <w:rPr>
          <w:rFonts w:hint="eastAsia"/>
          <w:kern w:val="0"/>
          <w:szCs w:val="20"/>
        </w:rPr>
        <w:t>安全</w:t>
      </w:r>
      <w:r>
        <w:rPr>
          <w:kern w:val="0"/>
          <w:szCs w:val="20"/>
        </w:rPr>
        <w:t>管理体系及能源管理体系，并将绿色设计过程引入管理体系</w:t>
      </w:r>
      <w:r>
        <w:rPr>
          <w:rFonts w:hint="eastAsia"/>
          <w:kern w:val="0"/>
          <w:szCs w:val="20"/>
        </w:rPr>
        <w:t>；</w:t>
      </w:r>
    </w:p>
    <w:p>
      <w:pPr>
        <w:tabs>
          <w:tab w:val="left" w:pos="840"/>
        </w:tabs>
        <w:ind w:firstLine="420" w:firstLineChars="200"/>
        <w:rPr>
          <w:kern w:val="0"/>
          <w:szCs w:val="20"/>
        </w:rPr>
      </w:pPr>
      <w:r>
        <w:rPr>
          <w:rFonts w:hint="eastAsia"/>
          <w:kern w:val="0"/>
          <w:szCs w:val="20"/>
        </w:rPr>
        <w:t xml:space="preserve">c) </w:t>
      </w:r>
      <w:r>
        <w:rPr>
          <w:kern w:val="0"/>
          <w:szCs w:val="20"/>
        </w:rPr>
        <w:t>生产企业应采用清洁生产的技术、工艺和装备，不得使用国家或有关部门发布的淘汰或禁止的技术、工艺和装备</w:t>
      </w:r>
      <w:r>
        <w:rPr>
          <w:rFonts w:hint="eastAsia"/>
          <w:kern w:val="0"/>
          <w:szCs w:val="20"/>
        </w:rPr>
        <w:t>；</w:t>
      </w:r>
    </w:p>
    <w:p>
      <w:pPr>
        <w:tabs>
          <w:tab w:val="left" w:pos="840"/>
        </w:tabs>
        <w:ind w:firstLine="420" w:firstLineChars="200"/>
        <w:rPr>
          <w:kern w:val="0"/>
          <w:szCs w:val="20"/>
        </w:rPr>
      </w:pPr>
      <w:r>
        <w:rPr>
          <w:rFonts w:hint="eastAsia"/>
          <w:kern w:val="0"/>
          <w:szCs w:val="20"/>
        </w:rPr>
        <w:t xml:space="preserve">d) </w:t>
      </w:r>
      <w:r>
        <w:rPr>
          <w:kern w:val="0"/>
          <w:szCs w:val="20"/>
        </w:rPr>
        <w:t>生产企业应按照GB</w:t>
      </w:r>
      <w:r>
        <w:rPr>
          <w:rFonts w:hint="eastAsia"/>
          <w:kern w:val="0"/>
          <w:szCs w:val="20"/>
        </w:rPr>
        <w:t xml:space="preserve"> </w:t>
      </w:r>
      <w:r>
        <w:rPr>
          <w:kern w:val="0"/>
          <w:szCs w:val="20"/>
        </w:rPr>
        <w:t>17167</w:t>
      </w:r>
      <w:r>
        <w:rPr>
          <w:rFonts w:hint="eastAsia"/>
          <w:kern w:val="0"/>
          <w:szCs w:val="20"/>
        </w:rPr>
        <w:t>和GB 24789</w:t>
      </w:r>
      <w:r>
        <w:rPr>
          <w:kern w:val="0"/>
          <w:szCs w:val="20"/>
        </w:rPr>
        <w:t>配备能源</w:t>
      </w:r>
      <w:r>
        <w:rPr>
          <w:rFonts w:hint="eastAsia"/>
          <w:kern w:val="0"/>
          <w:szCs w:val="20"/>
        </w:rPr>
        <w:t>和水</w:t>
      </w:r>
      <w:r>
        <w:rPr>
          <w:kern w:val="0"/>
          <w:szCs w:val="20"/>
        </w:rPr>
        <w:t>计量器具</w:t>
      </w:r>
      <w:r>
        <w:rPr>
          <w:rFonts w:hint="eastAsia"/>
          <w:kern w:val="0"/>
          <w:szCs w:val="20"/>
        </w:rPr>
        <w:t>；</w:t>
      </w:r>
      <w:r>
        <w:rPr>
          <w:kern w:val="0"/>
          <w:szCs w:val="20"/>
        </w:rPr>
        <w:t>鼓励企业建立计量管理体系</w:t>
      </w:r>
      <w:r>
        <w:rPr>
          <w:rFonts w:hint="eastAsia"/>
          <w:kern w:val="0"/>
          <w:szCs w:val="20"/>
        </w:rPr>
        <w:t>；</w:t>
      </w:r>
    </w:p>
    <w:p>
      <w:pPr>
        <w:tabs>
          <w:tab w:val="left" w:pos="840"/>
        </w:tabs>
        <w:ind w:firstLine="420" w:firstLineChars="200"/>
        <w:rPr>
          <w:kern w:val="0"/>
          <w:szCs w:val="20"/>
        </w:rPr>
      </w:pPr>
      <w:r>
        <w:rPr>
          <w:rFonts w:hint="eastAsia"/>
          <w:kern w:val="0"/>
          <w:szCs w:val="20"/>
        </w:rPr>
        <w:t xml:space="preserve">e) </w:t>
      </w:r>
      <w:r>
        <w:rPr>
          <w:kern w:val="0"/>
          <w:szCs w:val="20"/>
        </w:rPr>
        <w:t>生产企业</w:t>
      </w:r>
      <w:r>
        <w:rPr>
          <w:rFonts w:hint="eastAsia"/>
          <w:kern w:val="0"/>
          <w:szCs w:val="20"/>
        </w:rPr>
        <w:t>应按照GB/T 25973的要求开展</w:t>
      </w:r>
      <w:r>
        <w:rPr>
          <w:kern w:val="0"/>
          <w:szCs w:val="20"/>
        </w:rPr>
        <w:t>清洁生产审核</w:t>
      </w:r>
      <w:r>
        <w:rPr>
          <w:rFonts w:hint="eastAsia"/>
          <w:kern w:val="0"/>
          <w:szCs w:val="20"/>
        </w:rPr>
        <w:t>；</w:t>
      </w:r>
    </w:p>
    <w:p>
      <w:pPr>
        <w:tabs>
          <w:tab w:val="left" w:pos="840"/>
        </w:tabs>
        <w:ind w:firstLine="420" w:firstLineChars="200"/>
        <w:rPr>
          <w:kern w:val="0"/>
          <w:szCs w:val="20"/>
        </w:rPr>
      </w:pPr>
      <w:r>
        <w:rPr>
          <w:rFonts w:hint="eastAsia"/>
          <w:kern w:val="0"/>
          <w:szCs w:val="20"/>
        </w:rPr>
        <w:t xml:space="preserve">f) </w:t>
      </w:r>
      <w:r>
        <w:rPr>
          <w:kern w:val="0"/>
          <w:szCs w:val="20"/>
        </w:rPr>
        <w:t>企业</w:t>
      </w:r>
      <w:r>
        <w:rPr>
          <w:rFonts w:hint="eastAsia"/>
          <w:kern w:val="0"/>
          <w:szCs w:val="20"/>
        </w:rPr>
        <w:t>不</w:t>
      </w:r>
      <w:r>
        <w:rPr>
          <w:kern w:val="0"/>
          <w:szCs w:val="20"/>
        </w:rPr>
        <w:t>使用</w:t>
      </w:r>
      <w:r>
        <w:rPr>
          <w:rFonts w:hint="eastAsia"/>
          <w:kern w:val="0"/>
          <w:szCs w:val="20"/>
        </w:rPr>
        <w:t>煤作为一次</w:t>
      </w:r>
      <w:r>
        <w:rPr>
          <w:kern w:val="0"/>
          <w:szCs w:val="20"/>
        </w:rPr>
        <w:t>能源</w:t>
      </w:r>
      <w:r>
        <w:rPr>
          <w:rFonts w:hint="eastAsia"/>
          <w:kern w:val="0"/>
          <w:szCs w:val="20"/>
        </w:rPr>
        <w:t>；</w:t>
      </w:r>
    </w:p>
    <w:p>
      <w:pPr>
        <w:tabs>
          <w:tab w:val="left" w:pos="840"/>
        </w:tabs>
        <w:ind w:firstLine="420" w:firstLineChars="200"/>
        <w:rPr>
          <w:kern w:val="0"/>
          <w:szCs w:val="20"/>
        </w:rPr>
      </w:pPr>
      <w:r>
        <w:rPr>
          <w:rFonts w:hint="eastAsia"/>
          <w:kern w:val="0"/>
          <w:szCs w:val="20"/>
        </w:rPr>
        <w:t xml:space="preserve">g) </w:t>
      </w:r>
      <w:r>
        <w:rPr>
          <w:kern w:val="0"/>
          <w:szCs w:val="20"/>
        </w:rPr>
        <w:t>鼓励生产企业根据法律法规和标准要求配备污染物检测和在线监控设备</w:t>
      </w:r>
      <w:r>
        <w:rPr>
          <w:rFonts w:hint="eastAsia"/>
          <w:kern w:val="0"/>
          <w:szCs w:val="20"/>
        </w:rPr>
        <w:t>。</w:t>
      </w:r>
    </w:p>
    <w:p>
      <w:pPr>
        <w:numPr>
          <w:ilvl w:val="1"/>
          <w:numId w:val="0"/>
        </w:numPr>
        <w:spacing w:before="156" w:beforeLines="50" w:after="156" w:afterLines="50"/>
        <w:outlineLvl w:val="2"/>
        <w:rPr>
          <w:rFonts w:ascii="黑体" w:hAnsi="黑体" w:eastAsia="黑体"/>
          <w:kern w:val="0"/>
          <w:szCs w:val="21"/>
        </w:rPr>
      </w:pPr>
      <w:bookmarkStart w:id="50" w:name="_Toc34746197"/>
      <w:bookmarkStart w:id="51" w:name="_Toc25248087"/>
      <w:r>
        <w:rPr>
          <w:rFonts w:ascii="黑体" w:hAnsi="黑体" w:eastAsia="黑体"/>
          <w:kern w:val="0"/>
          <w:szCs w:val="21"/>
        </w:rPr>
        <w:t>5.2 指标要求</w:t>
      </w:r>
      <w:bookmarkEnd w:id="50"/>
      <w:bookmarkEnd w:id="51"/>
    </w:p>
    <w:p>
      <w:pPr>
        <w:tabs>
          <w:tab w:val="left" w:pos="840"/>
        </w:tabs>
        <w:ind w:firstLine="420" w:firstLineChars="200"/>
        <w:rPr>
          <w:kern w:val="0"/>
          <w:szCs w:val="20"/>
        </w:rPr>
      </w:pPr>
      <w:r>
        <w:rPr>
          <w:rFonts w:hint="eastAsia"/>
          <w:kern w:val="0"/>
          <w:szCs w:val="20"/>
        </w:rPr>
        <w:t>刚性导电汇流排铝型材绿色设计产品</w:t>
      </w:r>
      <w:r>
        <w:rPr>
          <w:kern w:val="0"/>
          <w:szCs w:val="20"/>
        </w:rPr>
        <w:t>评价指标由一级指标和二级指标组成，其中一级指标包括资源属性指标、能源属性指标、环境属性指标和产品属性指标，具体评价指标见表1。</w:t>
      </w:r>
    </w:p>
    <w:p>
      <w:pPr>
        <w:tabs>
          <w:tab w:val="center" w:pos="4201"/>
          <w:tab w:val="right" w:leader="dot" w:pos="9298"/>
        </w:tabs>
        <w:autoSpaceDE w:val="0"/>
        <w:autoSpaceDN w:val="0"/>
        <w:ind w:firstLine="420" w:firstLineChars="200"/>
        <w:jc w:val="center"/>
        <w:rPr>
          <w:b/>
          <w:color w:val="FF0000"/>
          <w:kern w:val="0"/>
          <w:szCs w:val="20"/>
        </w:rPr>
      </w:pPr>
      <w:r>
        <w:rPr>
          <w:b/>
          <w:kern w:val="0"/>
          <w:szCs w:val="20"/>
        </w:rPr>
        <w:t>表1</w:t>
      </w:r>
      <w:r>
        <w:rPr>
          <w:rFonts w:hint="eastAsia"/>
          <w:b/>
          <w:kern w:val="0"/>
          <w:szCs w:val="20"/>
        </w:rPr>
        <w:t xml:space="preserve"> </w:t>
      </w:r>
      <w:r>
        <w:rPr>
          <w:b/>
          <w:kern w:val="0"/>
          <w:szCs w:val="20"/>
        </w:rPr>
        <w:t>评价指标要求</w:t>
      </w:r>
    </w:p>
    <w:tbl>
      <w:tblPr>
        <w:tblStyle w:val="33"/>
        <w:tblW w:w="852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63"/>
        <w:gridCol w:w="383"/>
        <w:gridCol w:w="767"/>
        <w:gridCol w:w="516"/>
        <w:gridCol w:w="484"/>
        <w:gridCol w:w="1050"/>
        <w:gridCol w:w="2353"/>
        <w:gridCol w:w="200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63" w:type="dxa"/>
            <w:tcBorders>
              <w:bottom w:val="single" w:color="auto" w:sz="12" w:space="0"/>
              <w:right w:val="single" w:color="auto" w:sz="4" w:space="0"/>
            </w:tcBorders>
            <w:vAlign w:val="center"/>
          </w:tcPr>
          <w:p>
            <w:pPr>
              <w:autoSpaceDE w:val="0"/>
              <w:autoSpaceDN w:val="0"/>
              <w:adjustRightInd w:val="0"/>
              <w:snapToGrid w:val="0"/>
              <w:jc w:val="center"/>
              <w:rPr>
                <w:rFonts w:ascii="宋体" w:hAnsi="宋体" w:cs="宋体"/>
                <w:b/>
                <w:bCs/>
                <w:kern w:val="0"/>
                <w:sz w:val="18"/>
                <w:szCs w:val="18"/>
              </w:rPr>
            </w:pPr>
            <w:r>
              <w:rPr>
                <w:rFonts w:hint="eastAsia" w:ascii="宋体" w:hAnsi="宋体" w:cs="宋体"/>
                <w:b/>
                <w:bCs/>
                <w:kern w:val="0"/>
                <w:sz w:val="18"/>
                <w:szCs w:val="18"/>
              </w:rPr>
              <w:t>一级指标</w:t>
            </w:r>
          </w:p>
        </w:tc>
        <w:tc>
          <w:tcPr>
            <w:tcW w:w="3200" w:type="dxa"/>
            <w:gridSpan w:val="5"/>
            <w:tcBorders>
              <w:left w:val="single" w:color="auto" w:sz="4" w:space="0"/>
              <w:bottom w:val="single" w:color="auto" w:sz="12" w:space="0"/>
              <w:right w:val="single" w:color="auto" w:sz="4" w:space="0"/>
            </w:tcBorders>
            <w:vAlign w:val="center"/>
          </w:tcPr>
          <w:p>
            <w:pPr>
              <w:autoSpaceDE w:val="0"/>
              <w:autoSpaceDN w:val="0"/>
              <w:adjustRightInd w:val="0"/>
              <w:snapToGrid w:val="0"/>
              <w:jc w:val="center"/>
              <w:rPr>
                <w:rFonts w:ascii="宋体" w:hAnsi="宋体" w:cs="宋体"/>
                <w:b/>
                <w:bCs/>
                <w:kern w:val="0"/>
                <w:sz w:val="18"/>
                <w:szCs w:val="18"/>
              </w:rPr>
            </w:pPr>
            <w:r>
              <w:rPr>
                <w:rFonts w:hint="eastAsia" w:ascii="宋体" w:hAnsi="宋体" w:cs="宋体"/>
                <w:b/>
                <w:bCs/>
                <w:kern w:val="0"/>
                <w:sz w:val="18"/>
                <w:szCs w:val="18"/>
              </w:rPr>
              <w:t>二级指标</w:t>
            </w:r>
          </w:p>
        </w:tc>
        <w:tc>
          <w:tcPr>
            <w:tcW w:w="2353" w:type="dxa"/>
            <w:tcBorders>
              <w:left w:val="single" w:color="auto" w:sz="4" w:space="0"/>
              <w:bottom w:val="single" w:color="auto" w:sz="12" w:space="0"/>
              <w:right w:val="single" w:color="auto" w:sz="4" w:space="0"/>
            </w:tcBorders>
            <w:vAlign w:val="center"/>
          </w:tcPr>
          <w:p>
            <w:pPr>
              <w:autoSpaceDE w:val="0"/>
              <w:autoSpaceDN w:val="0"/>
              <w:adjustRightInd w:val="0"/>
              <w:snapToGrid w:val="0"/>
              <w:jc w:val="center"/>
              <w:rPr>
                <w:rFonts w:ascii="宋体" w:hAnsi="宋体" w:cs="宋体"/>
                <w:b/>
                <w:bCs/>
                <w:kern w:val="0"/>
                <w:sz w:val="18"/>
                <w:szCs w:val="18"/>
              </w:rPr>
            </w:pPr>
            <w:r>
              <w:rPr>
                <w:rFonts w:hint="eastAsia" w:ascii="宋体" w:hAnsi="宋体" w:cs="宋体"/>
                <w:b/>
                <w:bCs/>
                <w:kern w:val="0"/>
                <w:sz w:val="18"/>
                <w:szCs w:val="18"/>
              </w:rPr>
              <w:t>基准值</w:t>
            </w:r>
          </w:p>
        </w:tc>
        <w:tc>
          <w:tcPr>
            <w:tcW w:w="2009" w:type="dxa"/>
            <w:tcBorders>
              <w:left w:val="single" w:color="auto" w:sz="4" w:space="0"/>
              <w:bottom w:val="single" w:color="auto" w:sz="12" w:space="0"/>
            </w:tcBorders>
            <w:vAlign w:val="center"/>
          </w:tcPr>
          <w:p>
            <w:pPr>
              <w:autoSpaceDE w:val="0"/>
              <w:autoSpaceDN w:val="0"/>
              <w:adjustRightInd w:val="0"/>
              <w:snapToGrid w:val="0"/>
              <w:jc w:val="center"/>
              <w:rPr>
                <w:rFonts w:ascii="宋体" w:hAnsi="宋体" w:cs="宋体"/>
                <w:b/>
                <w:bCs/>
                <w:kern w:val="0"/>
                <w:sz w:val="18"/>
                <w:szCs w:val="18"/>
              </w:rPr>
            </w:pPr>
            <w:r>
              <w:rPr>
                <w:rFonts w:hint="eastAsia" w:ascii="宋体" w:hAnsi="宋体" w:cs="宋体"/>
                <w:b/>
                <w:bCs/>
                <w:kern w:val="0"/>
                <w:sz w:val="18"/>
                <w:szCs w:val="18"/>
              </w:rPr>
              <w:t>判定依据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63" w:type="dxa"/>
            <w:vMerge w:val="restart"/>
            <w:tcBorders>
              <w:top w:val="single" w:color="auto" w:sz="12"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
                <w:bCs/>
                <w:kern w:val="0"/>
                <w:sz w:val="18"/>
                <w:szCs w:val="18"/>
              </w:rPr>
            </w:pPr>
            <w:r>
              <w:rPr>
                <w:rFonts w:hint="eastAsia" w:ascii="宋体" w:hAnsi="宋体" w:cs="宋体"/>
                <w:kern w:val="0"/>
                <w:sz w:val="18"/>
                <w:szCs w:val="18"/>
              </w:rPr>
              <w:t>资源属性</w:t>
            </w:r>
          </w:p>
        </w:tc>
        <w:tc>
          <w:tcPr>
            <w:tcW w:w="383" w:type="dxa"/>
            <w:vMerge w:val="restart"/>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Cs/>
                <w:kern w:val="0"/>
                <w:sz w:val="18"/>
                <w:szCs w:val="18"/>
              </w:rPr>
            </w:pPr>
            <w:r>
              <w:rPr>
                <w:rFonts w:hint="eastAsia" w:ascii="宋体" w:hAnsi="宋体" w:cs="宋体"/>
                <w:bCs/>
                <w:kern w:val="0"/>
                <w:sz w:val="18"/>
                <w:szCs w:val="18"/>
              </w:rPr>
              <w:t>铸造锭</w:t>
            </w:r>
          </w:p>
        </w:tc>
        <w:tc>
          <w:tcPr>
            <w:tcW w:w="2817" w:type="dxa"/>
            <w:gridSpan w:val="4"/>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Cs/>
                <w:kern w:val="0"/>
                <w:sz w:val="18"/>
                <w:szCs w:val="18"/>
              </w:rPr>
            </w:pPr>
            <w:r>
              <w:rPr>
                <w:rFonts w:hint="eastAsia" w:ascii="宋体" w:hAnsi="宋体" w:cs="宋体"/>
                <w:bCs/>
                <w:kern w:val="0"/>
                <w:sz w:val="18"/>
                <w:szCs w:val="18"/>
              </w:rPr>
              <w:t>Hg、Cd、Pb含量总和</w:t>
            </w:r>
          </w:p>
        </w:tc>
        <w:tc>
          <w:tcPr>
            <w:tcW w:w="2353"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Cs/>
                <w:kern w:val="0"/>
                <w:sz w:val="18"/>
                <w:szCs w:val="18"/>
              </w:rPr>
            </w:pPr>
            <w:r>
              <w:rPr>
                <w:rFonts w:hint="eastAsia" w:ascii="宋体" w:hAnsi="宋体" w:cs="宋体"/>
                <w:bCs/>
                <w:kern w:val="0"/>
                <w:sz w:val="18"/>
                <w:szCs w:val="18"/>
              </w:rPr>
              <w:t>≤95 mg/kg</w:t>
            </w:r>
          </w:p>
        </w:tc>
        <w:tc>
          <w:tcPr>
            <w:tcW w:w="2009" w:type="dxa"/>
            <w:tcBorders>
              <w:top w:val="single" w:color="auto" w:sz="12" w:space="0"/>
              <w:left w:val="single" w:color="auto" w:sz="4" w:space="0"/>
              <w:bottom w:val="single" w:color="auto" w:sz="4" w:space="0"/>
            </w:tcBorders>
            <w:vAlign w:val="center"/>
          </w:tcPr>
          <w:p>
            <w:pPr>
              <w:autoSpaceDE w:val="0"/>
              <w:autoSpaceDN w:val="0"/>
              <w:adjustRightInd w:val="0"/>
              <w:snapToGrid w:val="0"/>
              <w:jc w:val="both"/>
              <w:rPr>
                <w:rFonts w:ascii="宋体" w:hAnsi="宋体" w:cs="宋体"/>
                <w:bCs/>
                <w:kern w:val="0"/>
                <w:sz w:val="18"/>
                <w:szCs w:val="18"/>
              </w:rPr>
            </w:pPr>
            <w:r>
              <w:rPr>
                <w:rFonts w:hint="eastAsia" w:ascii="宋体" w:hAnsi="宋体" w:cs="宋体"/>
                <w:bCs/>
                <w:kern w:val="0"/>
                <w:sz w:val="18"/>
                <w:szCs w:val="18"/>
              </w:rPr>
              <w:t>依据GB/T 20975.1、GB/T 20975.6、GB/T 20975.11、GB/T 7999出具的检测报告</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63" w:type="dxa"/>
            <w:vMerge w:val="continue"/>
            <w:tcBorders>
              <w:top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kern w:val="0"/>
                <w:sz w:val="18"/>
                <w:szCs w:val="18"/>
              </w:rPr>
            </w:pPr>
          </w:p>
        </w:tc>
        <w:tc>
          <w:tcPr>
            <w:tcW w:w="383"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Cs/>
                <w:kern w:val="0"/>
                <w:sz w:val="18"/>
                <w:szCs w:val="18"/>
              </w:rPr>
            </w:pPr>
          </w:p>
        </w:tc>
        <w:tc>
          <w:tcPr>
            <w:tcW w:w="281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Cs/>
                <w:kern w:val="0"/>
                <w:sz w:val="18"/>
                <w:szCs w:val="18"/>
              </w:rPr>
            </w:pPr>
            <w:r>
              <w:rPr>
                <w:rFonts w:hint="eastAsia" w:ascii="宋体" w:hAnsi="宋体" w:cs="宋体"/>
                <w:bCs/>
                <w:kern w:val="0"/>
                <w:sz w:val="18"/>
                <w:szCs w:val="18"/>
              </w:rPr>
              <w:t>As含量</w:t>
            </w:r>
          </w:p>
        </w:tc>
        <w:tc>
          <w:tcPr>
            <w:tcW w:w="23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Cs/>
                <w:kern w:val="0"/>
                <w:sz w:val="18"/>
                <w:szCs w:val="18"/>
              </w:rPr>
            </w:pPr>
            <w:r>
              <w:rPr>
                <w:rFonts w:hint="eastAsia" w:ascii="宋体" w:hAnsi="宋体" w:cs="宋体"/>
                <w:bCs/>
                <w:kern w:val="0"/>
                <w:sz w:val="18"/>
                <w:szCs w:val="18"/>
              </w:rPr>
              <w:t>≤90 mg/kg</w:t>
            </w:r>
          </w:p>
        </w:tc>
        <w:tc>
          <w:tcPr>
            <w:tcW w:w="2009" w:type="dxa"/>
            <w:tcBorders>
              <w:top w:val="single" w:color="auto" w:sz="4" w:space="0"/>
              <w:left w:val="single" w:color="auto" w:sz="4" w:space="0"/>
              <w:bottom w:val="single" w:color="auto" w:sz="4" w:space="0"/>
            </w:tcBorders>
            <w:vAlign w:val="center"/>
          </w:tcPr>
          <w:p>
            <w:pPr>
              <w:autoSpaceDE w:val="0"/>
              <w:autoSpaceDN w:val="0"/>
              <w:adjustRightInd w:val="0"/>
              <w:snapToGrid w:val="0"/>
              <w:jc w:val="both"/>
              <w:rPr>
                <w:rFonts w:ascii="宋体" w:hAnsi="宋体" w:cs="宋体"/>
                <w:bCs/>
                <w:kern w:val="0"/>
                <w:sz w:val="18"/>
                <w:szCs w:val="18"/>
              </w:rPr>
            </w:pPr>
            <w:r>
              <w:rPr>
                <w:rFonts w:hint="eastAsia" w:ascii="宋体" w:hAnsi="宋体" w:cs="宋体"/>
                <w:bCs/>
                <w:kern w:val="0"/>
                <w:sz w:val="18"/>
                <w:szCs w:val="18"/>
              </w:rPr>
              <w:t>依据GB/T 20975.2或</w:t>
            </w:r>
            <w:r>
              <w:rPr>
                <w:rFonts w:hint="eastAsia" w:ascii="宋体" w:hAnsi="宋体" w:cs="宋体"/>
              </w:rPr>
              <w:t xml:space="preserve"> </w:t>
            </w:r>
            <w:r>
              <w:rPr>
                <w:rFonts w:hint="eastAsia" w:ascii="宋体" w:hAnsi="宋体" w:cs="宋体"/>
                <w:bCs/>
                <w:kern w:val="0"/>
                <w:sz w:val="18"/>
                <w:szCs w:val="18"/>
              </w:rPr>
              <w:t>GB/T 7999出具的检测报告</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63" w:type="dxa"/>
            <w:vMerge w:val="continue"/>
            <w:tcBorders>
              <w:top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kern w:val="0"/>
                <w:sz w:val="18"/>
                <w:szCs w:val="18"/>
              </w:rPr>
            </w:pPr>
          </w:p>
        </w:tc>
        <w:tc>
          <w:tcPr>
            <w:tcW w:w="383"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Cs/>
                <w:kern w:val="0"/>
                <w:sz w:val="18"/>
                <w:szCs w:val="18"/>
              </w:rPr>
            </w:pPr>
          </w:p>
        </w:tc>
        <w:tc>
          <w:tcPr>
            <w:tcW w:w="281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Cs/>
                <w:kern w:val="0"/>
                <w:sz w:val="18"/>
                <w:szCs w:val="18"/>
              </w:rPr>
            </w:pPr>
            <w:r>
              <w:rPr>
                <w:rFonts w:hint="eastAsia" w:ascii="宋体" w:hAnsi="宋体" w:cs="宋体"/>
                <w:bCs/>
                <w:kern w:val="0"/>
                <w:sz w:val="18"/>
                <w:szCs w:val="18"/>
              </w:rPr>
              <w:t>原生铝中添加废料比例</w:t>
            </w:r>
          </w:p>
        </w:tc>
        <w:tc>
          <w:tcPr>
            <w:tcW w:w="23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Cs/>
                <w:kern w:val="0"/>
                <w:sz w:val="18"/>
                <w:szCs w:val="18"/>
              </w:rPr>
            </w:pPr>
            <w:r>
              <w:rPr>
                <w:rFonts w:hint="eastAsia" w:ascii="宋体" w:hAnsi="宋体" w:cs="宋体"/>
                <w:bCs/>
                <w:kern w:val="0"/>
                <w:sz w:val="18"/>
                <w:szCs w:val="18"/>
              </w:rPr>
              <w:t>≥20%</w:t>
            </w:r>
          </w:p>
        </w:tc>
        <w:tc>
          <w:tcPr>
            <w:tcW w:w="2009" w:type="dxa"/>
            <w:tcBorders>
              <w:top w:val="single" w:color="auto" w:sz="4" w:space="0"/>
              <w:left w:val="single" w:color="auto" w:sz="4" w:space="0"/>
              <w:bottom w:val="single" w:color="auto" w:sz="4" w:space="0"/>
            </w:tcBorders>
            <w:vAlign w:val="center"/>
          </w:tcPr>
          <w:p>
            <w:pPr>
              <w:adjustRightInd w:val="0"/>
              <w:snapToGrid w:val="0"/>
              <w:rPr>
                <w:rFonts w:ascii="宋体" w:hAnsi="宋体" w:cs="宋体"/>
                <w:kern w:val="0"/>
                <w:sz w:val="18"/>
                <w:szCs w:val="18"/>
              </w:rPr>
            </w:pPr>
            <w:r>
              <w:rPr>
                <w:rFonts w:hint="eastAsia" w:ascii="宋体" w:hAnsi="宋体" w:cs="宋体"/>
                <w:kern w:val="0"/>
                <w:sz w:val="18"/>
                <w:szCs w:val="18"/>
              </w:rPr>
              <w:t>提供相关证明材料</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63" w:type="dxa"/>
            <w:vMerge w:val="continue"/>
            <w:tcBorders>
              <w:top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kern w:val="0"/>
                <w:sz w:val="18"/>
                <w:szCs w:val="18"/>
              </w:rPr>
            </w:pPr>
          </w:p>
        </w:tc>
        <w:tc>
          <w:tcPr>
            <w:tcW w:w="383"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Cs/>
                <w:kern w:val="0"/>
                <w:sz w:val="18"/>
                <w:szCs w:val="18"/>
              </w:rPr>
            </w:pPr>
          </w:p>
        </w:tc>
        <w:tc>
          <w:tcPr>
            <w:tcW w:w="281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Cs/>
                <w:kern w:val="0"/>
                <w:sz w:val="18"/>
                <w:szCs w:val="18"/>
              </w:rPr>
            </w:pPr>
            <w:r>
              <w:rPr>
                <w:rFonts w:hint="eastAsia" w:ascii="宋体" w:hAnsi="宋体" w:cs="宋体"/>
                <w:bCs/>
                <w:kern w:val="0"/>
                <w:sz w:val="18"/>
                <w:szCs w:val="18"/>
              </w:rPr>
              <w:t>再生铝使用比例</w:t>
            </w:r>
          </w:p>
        </w:tc>
        <w:tc>
          <w:tcPr>
            <w:tcW w:w="23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Cs/>
                <w:kern w:val="0"/>
                <w:sz w:val="18"/>
                <w:szCs w:val="18"/>
              </w:rPr>
            </w:pPr>
            <w:r>
              <w:rPr>
                <w:rFonts w:hint="eastAsia" w:ascii="宋体" w:hAnsi="宋体" w:cs="宋体"/>
                <w:bCs/>
                <w:kern w:val="0"/>
                <w:sz w:val="18"/>
                <w:szCs w:val="18"/>
              </w:rPr>
              <w:t>≥5%</w:t>
            </w:r>
          </w:p>
        </w:tc>
        <w:tc>
          <w:tcPr>
            <w:tcW w:w="2009" w:type="dxa"/>
            <w:tcBorders>
              <w:top w:val="single" w:color="auto" w:sz="4" w:space="0"/>
              <w:left w:val="single" w:color="auto" w:sz="4" w:space="0"/>
              <w:bottom w:val="single" w:color="auto" w:sz="4" w:space="0"/>
            </w:tcBorders>
            <w:vAlign w:val="center"/>
          </w:tcPr>
          <w:p>
            <w:pPr>
              <w:adjustRightInd w:val="0"/>
              <w:snapToGrid w:val="0"/>
              <w:rPr>
                <w:rFonts w:ascii="宋体" w:hAnsi="宋体" w:cs="宋体"/>
                <w:kern w:val="0"/>
                <w:sz w:val="18"/>
                <w:szCs w:val="18"/>
              </w:rPr>
            </w:pPr>
            <w:r>
              <w:rPr>
                <w:rFonts w:hint="eastAsia" w:ascii="宋体" w:hAnsi="宋体" w:cs="宋体"/>
                <w:kern w:val="0"/>
                <w:sz w:val="18"/>
                <w:szCs w:val="18"/>
              </w:rPr>
              <w:t>提供相关证明材料</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63" w:type="dxa"/>
            <w:vMerge w:val="continue"/>
            <w:tcBorders>
              <w:top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
                <w:bCs/>
                <w:kern w:val="0"/>
                <w:sz w:val="18"/>
                <w:szCs w:val="18"/>
              </w:rPr>
            </w:pPr>
          </w:p>
        </w:tc>
        <w:tc>
          <w:tcPr>
            <w:tcW w:w="1150" w:type="dxa"/>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单位产品</w:t>
            </w:r>
          </w:p>
          <w:p>
            <w:pPr>
              <w:autoSpaceDE w:val="0"/>
              <w:autoSpaceDN w:val="0"/>
              <w:adjustRightInd w:val="0"/>
              <w:snapToGrid w:val="0"/>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取水量</w:t>
            </w:r>
          </w:p>
        </w:tc>
        <w:tc>
          <w:tcPr>
            <w:tcW w:w="205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熔铸工序</w:t>
            </w:r>
          </w:p>
        </w:tc>
        <w:tc>
          <w:tcPr>
            <w:tcW w:w="23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≤1.1 m³/t</w:t>
            </w:r>
          </w:p>
        </w:tc>
        <w:tc>
          <w:tcPr>
            <w:tcW w:w="2009" w:type="dxa"/>
            <w:vMerge w:val="restart"/>
            <w:tcBorders>
              <w:top w:val="single" w:color="auto" w:sz="4" w:space="0"/>
              <w:left w:val="single" w:color="auto" w:sz="4" w:space="0"/>
              <w:bottom w:val="single" w:color="auto" w:sz="4" w:space="0"/>
            </w:tcBorders>
            <w:vAlign w:val="center"/>
          </w:tcPr>
          <w:p>
            <w:pPr>
              <w:autoSpaceDE w:val="0"/>
              <w:autoSpaceDN w:val="0"/>
              <w:adjustRightInd w:val="0"/>
              <w:snapToGrid w:val="0"/>
              <w:rPr>
                <w:rFonts w:ascii="宋体" w:hAnsi="宋体" w:cs="宋体"/>
                <w:bCs/>
                <w:kern w:val="0"/>
                <w:sz w:val="18"/>
                <w:szCs w:val="18"/>
              </w:rPr>
            </w:pPr>
            <w:r>
              <w:rPr>
                <w:rFonts w:hint="eastAsia" w:ascii="宋体" w:hAnsi="宋体" w:cs="宋体"/>
                <w:bCs/>
                <w:kern w:val="0"/>
                <w:sz w:val="18"/>
                <w:szCs w:val="18"/>
              </w:rPr>
              <w:t>依据附录A计算，提供证明文件</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63" w:type="dxa"/>
            <w:vMerge w:val="continue"/>
            <w:tcBorders>
              <w:top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
                <w:bCs/>
                <w:kern w:val="0"/>
                <w:sz w:val="18"/>
                <w:szCs w:val="18"/>
              </w:rPr>
            </w:pPr>
          </w:p>
        </w:tc>
        <w:tc>
          <w:tcPr>
            <w:tcW w:w="1150"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s="宋体"/>
                <w:color w:val="000000" w:themeColor="text1"/>
                <w:kern w:val="0"/>
                <w:sz w:val="18"/>
                <w:szCs w:val="18"/>
                <w14:textFill>
                  <w14:solidFill>
                    <w14:schemeClr w14:val="tx1"/>
                  </w14:solidFill>
                </w14:textFill>
              </w:rPr>
            </w:pPr>
          </w:p>
        </w:tc>
        <w:tc>
          <w:tcPr>
            <w:tcW w:w="205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挤压工序</w:t>
            </w:r>
          </w:p>
        </w:tc>
        <w:tc>
          <w:tcPr>
            <w:tcW w:w="23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≤1.2 m³/t</w:t>
            </w:r>
          </w:p>
        </w:tc>
        <w:tc>
          <w:tcPr>
            <w:tcW w:w="2009" w:type="dxa"/>
            <w:vMerge w:val="continue"/>
            <w:tcBorders>
              <w:top w:val="single" w:color="auto" w:sz="4" w:space="0"/>
              <w:left w:val="single" w:color="auto" w:sz="4" w:space="0"/>
              <w:bottom w:val="single" w:color="auto" w:sz="4" w:space="0"/>
            </w:tcBorders>
            <w:vAlign w:val="center"/>
          </w:tcPr>
          <w:p>
            <w:pPr>
              <w:autoSpaceDE w:val="0"/>
              <w:autoSpaceDN w:val="0"/>
              <w:adjustRightInd w:val="0"/>
              <w:snapToGrid w:val="0"/>
              <w:rPr>
                <w:rFonts w:ascii="宋体" w:hAnsi="宋体" w:cs="宋体"/>
                <w:bCs/>
                <w:kern w:val="0"/>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63" w:type="dxa"/>
            <w:vMerge w:val="continue"/>
            <w:tcBorders>
              <w:top w:val="single" w:color="auto" w:sz="4" w:space="0"/>
              <w:bottom w:val="single" w:color="auto" w:sz="4" w:space="0"/>
              <w:right w:val="single" w:color="auto" w:sz="4" w:space="0"/>
            </w:tcBorders>
          </w:tcPr>
          <w:p>
            <w:pPr>
              <w:autoSpaceDE w:val="0"/>
              <w:autoSpaceDN w:val="0"/>
              <w:adjustRightInd w:val="0"/>
              <w:snapToGrid w:val="0"/>
              <w:jc w:val="center"/>
              <w:rPr>
                <w:rFonts w:ascii="宋体" w:hAnsi="宋体" w:cs="宋体"/>
                <w:kern w:val="0"/>
                <w:sz w:val="18"/>
                <w:szCs w:val="18"/>
              </w:rPr>
            </w:pPr>
          </w:p>
        </w:tc>
        <w:tc>
          <w:tcPr>
            <w:tcW w:w="320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kern w:val="0"/>
                <w:sz w:val="18"/>
                <w:szCs w:val="18"/>
              </w:rPr>
            </w:pPr>
            <w:r>
              <w:rPr>
                <w:rFonts w:hint="eastAsia" w:ascii="宋体" w:hAnsi="宋体" w:cs="宋体"/>
                <w:kern w:val="0"/>
                <w:sz w:val="18"/>
                <w:szCs w:val="18"/>
              </w:rPr>
              <w:t>产品包装</w:t>
            </w:r>
          </w:p>
        </w:tc>
        <w:tc>
          <w:tcPr>
            <w:tcW w:w="235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ascii="宋体" w:hAnsi="宋体" w:cs="宋体"/>
                <w:kern w:val="0"/>
                <w:sz w:val="18"/>
                <w:szCs w:val="18"/>
              </w:rPr>
            </w:pPr>
            <w:r>
              <w:rPr>
                <w:rFonts w:hint="eastAsia" w:ascii="宋体" w:hAnsi="宋体" w:cs="宋体"/>
                <w:kern w:val="0"/>
                <w:sz w:val="18"/>
                <w:szCs w:val="18"/>
              </w:rPr>
              <w:t>按照TB/T 3252及GB/T 3199进行包装，包装箱及其他包装物宜使用具有可再生性或可降解性的清洁、环保材料如牛皮纸、木板；对不具有可再生性或可降解性的材料按相关法律法规规定进行处置</w:t>
            </w:r>
          </w:p>
        </w:tc>
        <w:tc>
          <w:tcPr>
            <w:tcW w:w="2009" w:type="dxa"/>
            <w:tcBorders>
              <w:top w:val="single" w:color="auto" w:sz="4" w:space="0"/>
              <w:left w:val="single" w:color="auto" w:sz="4" w:space="0"/>
              <w:bottom w:val="single" w:color="auto" w:sz="4" w:space="0"/>
            </w:tcBorders>
            <w:vAlign w:val="center"/>
          </w:tcPr>
          <w:p>
            <w:pPr>
              <w:adjustRightInd w:val="0"/>
              <w:snapToGrid w:val="0"/>
              <w:rPr>
                <w:rFonts w:ascii="宋体" w:hAnsi="宋体" w:cs="宋体"/>
                <w:kern w:val="0"/>
                <w:sz w:val="18"/>
                <w:szCs w:val="18"/>
              </w:rPr>
            </w:pPr>
            <w:r>
              <w:rPr>
                <w:rFonts w:hint="eastAsia" w:ascii="宋体" w:hAnsi="宋体" w:cs="宋体"/>
                <w:kern w:val="0"/>
                <w:sz w:val="18"/>
                <w:szCs w:val="18"/>
              </w:rPr>
              <w:t xml:space="preserve">包装及其回收标志的符合性说明文件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63" w:type="dxa"/>
            <w:vMerge w:val="continue"/>
            <w:tcBorders>
              <w:top w:val="single" w:color="auto" w:sz="4" w:space="0"/>
              <w:bottom w:val="single" w:color="auto" w:sz="4" w:space="0"/>
              <w:right w:val="single" w:color="auto" w:sz="4" w:space="0"/>
            </w:tcBorders>
          </w:tcPr>
          <w:p>
            <w:pPr>
              <w:autoSpaceDE w:val="0"/>
              <w:autoSpaceDN w:val="0"/>
              <w:adjustRightInd w:val="0"/>
              <w:snapToGrid w:val="0"/>
              <w:jc w:val="center"/>
              <w:rPr>
                <w:rFonts w:ascii="宋体" w:hAnsi="宋体" w:cs="宋体"/>
                <w:kern w:val="0"/>
                <w:sz w:val="18"/>
                <w:szCs w:val="18"/>
              </w:rPr>
            </w:pPr>
          </w:p>
        </w:tc>
        <w:tc>
          <w:tcPr>
            <w:tcW w:w="320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Cs/>
                <w:kern w:val="0"/>
                <w:sz w:val="18"/>
                <w:szCs w:val="18"/>
              </w:rPr>
            </w:pPr>
            <w:r>
              <w:rPr>
                <w:rFonts w:hint="eastAsia" w:ascii="宋体" w:hAnsi="宋体" w:cs="宋体"/>
                <w:bCs/>
                <w:kern w:val="0"/>
                <w:sz w:val="18"/>
                <w:szCs w:val="18"/>
              </w:rPr>
              <w:t>产品回收率</w:t>
            </w:r>
          </w:p>
        </w:tc>
        <w:tc>
          <w:tcPr>
            <w:tcW w:w="23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Cs/>
                <w:kern w:val="0"/>
                <w:sz w:val="18"/>
                <w:szCs w:val="18"/>
              </w:rPr>
            </w:pPr>
            <w:r>
              <w:rPr>
                <w:rFonts w:hint="eastAsia" w:ascii="宋体" w:hAnsi="宋体" w:cs="宋体"/>
                <w:bCs/>
                <w:kern w:val="0"/>
                <w:sz w:val="18"/>
                <w:szCs w:val="18"/>
              </w:rPr>
              <w:t>≥95%</w:t>
            </w:r>
          </w:p>
        </w:tc>
        <w:tc>
          <w:tcPr>
            <w:tcW w:w="2009" w:type="dxa"/>
            <w:tcBorders>
              <w:top w:val="single" w:color="auto" w:sz="4" w:space="0"/>
              <w:left w:val="single" w:color="auto" w:sz="4" w:space="0"/>
              <w:bottom w:val="single" w:color="auto" w:sz="4" w:space="0"/>
            </w:tcBorders>
            <w:vAlign w:val="center"/>
          </w:tcPr>
          <w:p>
            <w:pPr>
              <w:adjustRightInd w:val="0"/>
              <w:snapToGrid w:val="0"/>
              <w:rPr>
                <w:rFonts w:ascii="宋体" w:hAnsi="宋体" w:cs="宋体"/>
                <w:bCs/>
                <w:kern w:val="0"/>
                <w:sz w:val="18"/>
                <w:szCs w:val="18"/>
              </w:rPr>
            </w:pPr>
            <w:r>
              <w:rPr>
                <w:rFonts w:hint="eastAsia" w:ascii="宋体" w:hAnsi="宋体" w:cs="宋体"/>
                <w:bCs/>
                <w:kern w:val="0"/>
                <w:sz w:val="18"/>
                <w:szCs w:val="18"/>
              </w:rPr>
              <w:t>依据附录A计算，提供证明文件</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63" w:type="dxa"/>
            <w:vMerge w:val="restart"/>
            <w:tcBorders>
              <w:top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kern w:val="0"/>
                <w:sz w:val="18"/>
                <w:szCs w:val="18"/>
              </w:rPr>
            </w:pPr>
            <w:r>
              <w:rPr>
                <w:rFonts w:hint="eastAsia" w:ascii="宋体" w:hAnsi="宋体" w:cs="宋体"/>
                <w:kern w:val="0"/>
                <w:sz w:val="18"/>
                <w:szCs w:val="18"/>
              </w:rPr>
              <w:t>能源属性</w:t>
            </w:r>
          </w:p>
        </w:tc>
        <w:tc>
          <w:tcPr>
            <w:tcW w:w="1150" w:type="dxa"/>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kern w:val="0"/>
                <w:sz w:val="18"/>
                <w:szCs w:val="18"/>
              </w:rPr>
            </w:pPr>
            <w:r>
              <w:rPr>
                <w:rFonts w:hint="eastAsia" w:ascii="宋体" w:hAnsi="宋体" w:cs="宋体"/>
                <w:kern w:val="0"/>
                <w:sz w:val="18"/>
                <w:szCs w:val="18"/>
              </w:rPr>
              <w:t>单位产品</w:t>
            </w:r>
          </w:p>
          <w:p>
            <w:pPr>
              <w:autoSpaceDE w:val="0"/>
              <w:autoSpaceDN w:val="0"/>
              <w:adjustRightInd w:val="0"/>
              <w:snapToGrid w:val="0"/>
              <w:jc w:val="center"/>
              <w:rPr>
                <w:rFonts w:ascii="宋体" w:hAnsi="宋体" w:cs="宋体"/>
                <w:kern w:val="0"/>
                <w:sz w:val="18"/>
                <w:szCs w:val="18"/>
              </w:rPr>
            </w:pPr>
            <w:r>
              <w:rPr>
                <w:rFonts w:hint="eastAsia" w:ascii="宋体" w:hAnsi="宋体" w:cs="宋体"/>
                <w:kern w:val="0"/>
                <w:sz w:val="18"/>
                <w:szCs w:val="18"/>
              </w:rPr>
              <w:t>综合能耗</w:t>
            </w:r>
          </w:p>
        </w:tc>
        <w:tc>
          <w:tcPr>
            <w:tcW w:w="516"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kern w:val="0"/>
                <w:sz w:val="18"/>
                <w:szCs w:val="18"/>
              </w:rPr>
            </w:pPr>
            <w:r>
              <w:rPr>
                <w:rFonts w:hint="eastAsia" w:ascii="宋体" w:hAnsi="宋体" w:cs="宋体"/>
                <w:kern w:val="0"/>
                <w:sz w:val="18"/>
                <w:szCs w:val="18"/>
              </w:rPr>
              <w:t>铸造锭</w:t>
            </w:r>
          </w:p>
        </w:tc>
        <w:tc>
          <w:tcPr>
            <w:tcW w:w="48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s="宋体"/>
                <w:kern w:val="0"/>
                <w:sz w:val="18"/>
                <w:szCs w:val="18"/>
              </w:rPr>
            </w:pPr>
            <w:r>
              <w:rPr>
                <w:rFonts w:hint="eastAsia" w:ascii="宋体" w:hAnsi="宋体" w:cs="宋体"/>
                <w:kern w:val="0"/>
                <w:sz w:val="18"/>
                <w:szCs w:val="18"/>
              </w:rPr>
              <w:t>原生铝</w:t>
            </w:r>
          </w:p>
        </w:tc>
        <w:tc>
          <w:tcPr>
            <w:tcW w:w="10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s="宋体"/>
                <w:kern w:val="0"/>
                <w:sz w:val="18"/>
                <w:szCs w:val="18"/>
              </w:rPr>
            </w:pPr>
            <w:r>
              <w:rPr>
                <w:rFonts w:hint="eastAsia" w:ascii="宋体" w:hAnsi="宋体" w:cs="宋体"/>
                <w:kern w:val="0"/>
                <w:sz w:val="18"/>
                <w:szCs w:val="18"/>
              </w:rPr>
              <w:t>外购铸锭</w:t>
            </w:r>
          </w:p>
        </w:tc>
        <w:tc>
          <w:tcPr>
            <w:tcW w:w="235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kern w:val="0"/>
                <w:sz w:val="18"/>
                <w:szCs w:val="18"/>
              </w:rPr>
            </w:pPr>
            <w:r>
              <w:rPr>
                <w:rFonts w:hint="eastAsia" w:ascii="宋体" w:hAnsi="宋体" w:cs="宋体"/>
                <w:kern w:val="0"/>
                <w:sz w:val="18"/>
                <w:szCs w:val="18"/>
              </w:rPr>
              <w:t>≤80 kgce/t</w:t>
            </w:r>
          </w:p>
        </w:tc>
        <w:tc>
          <w:tcPr>
            <w:tcW w:w="2009" w:type="dxa"/>
            <w:vMerge w:val="restart"/>
            <w:tcBorders>
              <w:top w:val="single" w:color="auto" w:sz="4" w:space="0"/>
              <w:left w:val="single" w:color="auto" w:sz="4" w:space="0"/>
              <w:bottom w:val="single" w:color="auto" w:sz="4" w:space="0"/>
            </w:tcBorders>
            <w:vAlign w:val="center"/>
          </w:tcPr>
          <w:p>
            <w:pPr>
              <w:autoSpaceDE w:val="0"/>
              <w:autoSpaceDN w:val="0"/>
              <w:adjustRightInd w:val="0"/>
              <w:snapToGrid w:val="0"/>
              <w:rPr>
                <w:rFonts w:ascii="宋体" w:hAnsi="宋体" w:cs="宋体"/>
                <w:kern w:val="0"/>
                <w:sz w:val="18"/>
                <w:szCs w:val="18"/>
              </w:rPr>
            </w:pPr>
            <w:r>
              <w:rPr>
                <w:rFonts w:hint="eastAsia" w:ascii="宋体" w:hAnsi="宋体" w:cs="宋体"/>
                <w:kern w:val="0"/>
                <w:sz w:val="18"/>
                <w:szCs w:val="18"/>
              </w:rPr>
              <w:t>依据YS/T 694.1计算，并提供证明文件</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63" w:type="dxa"/>
            <w:vMerge w:val="continue"/>
            <w:tcBorders>
              <w:top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kern w:val="0"/>
                <w:sz w:val="18"/>
                <w:szCs w:val="18"/>
              </w:rPr>
            </w:pPr>
          </w:p>
        </w:tc>
        <w:tc>
          <w:tcPr>
            <w:tcW w:w="1150"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kern w:val="0"/>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kern w:val="0"/>
                <w:sz w:val="18"/>
                <w:szCs w:val="18"/>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s="宋体"/>
                <w:kern w:val="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s="宋体"/>
                <w:kern w:val="0"/>
                <w:sz w:val="18"/>
                <w:szCs w:val="18"/>
              </w:rPr>
            </w:pPr>
            <w:r>
              <w:rPr>
                <w:rFonts w:hint="eastAsia" w:ascii="宋体" w:hAnsi="宋体" w:cs="宋体"/>
                <w:kern w:val="0"/>
                <w:sz w:val="18"/>
                <w:szCs w:val="18"/>
              </w:rPr>
              <w:t>以铝液为原料</w:t>
            </w:r>
          </w:p>
        </w:tc>
        <w:tc>
          <w:tcPr>
            <w:tcW w:w="2353"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kern w:val="0"/>
                <w:sz w:val="18"/>
                <w:szCs w:val="18"/>
              </w:rPr>
            </w:pPr>
          </w:p>
        </w:tc>
        <w:tc>
          <w:tcPr>
            <w:tcW w:w="2009" w:type="dxa"/>
            <w:vMerge w:val="continue"/>
            <w:tcBorders>
              <w:top w:val="single" w:color="auto" w:sz="4" w:space="0"/>
              <w:left w:val="single" w:color="auto" w:sz="4" w:space="0"/>
              <w:bottom w:val="single" w:color="auto" w:sz="4" w:space="0"/>
            </w:tcBorders>
            <w:vAlign w:val="center"/>
          </w:tcPr>
          <w:p>
            <w:pPr>
              <w:autoSpaceDE w:val="0"/>
              <w:autoSpaceDN w:val="0"/>
              <w:adjustRightInd w:val="0"/>
              <w:snapToGrid w:val="0"/>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963" w:type="dxa"/>
            <w:vMerge w:val="continue"/>
            <w:tcBorders>
              <w:top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kern w:val="0"/>
                <w:sz w:val="18"/>
                <w:szCs w:val="18"/>
              </w:rPr>
            </w:pPr>
          </w:p>
        </w:tc>
        <w:tc>
          <w:tcPr>
            <w:tcW w:w="1150"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kern w:val="0"/>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kern w:val="0"/>
                <w:sz w:val="18"/>
                <w:szCs w:val="18"/>
              </w:rPr>
            </w:pPr>
          </w:p>
        </w:tc>
        <w:tc>
          <w:tcPr>
            <w:tcW w:w="48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s="宋体"/>
                <w:kern w:val="0"/>
                <w:sz w:val="18"/>
                <w:szCs w:val="18"/>
              </w:rPr>
            </w:pPr>
            <w:r>
              <w:rPr>
                <w:rFonts w:hint="eastAsia" w:ascii="宋体" w:hAnsi="宋体" w:cs="宋体"/>
                <w:kern w:val="0"/>
                <w:sz w:val="18"/>
                <w:szCs w:val="18"/>
              </w:rPr>
              <w:t>再生铝</w:t>
            </w:r>
          </w:p>
        </w:tc>
        <w:tc>
          <w:tcPr>
            <w:tcW w:w="10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s="宋体"/>
                <w:kern w:val="0"/>
                <w:sz w:val="18"/>
                <w:szCs w:val="18"/>
              </w:rPr>
            </w:pPr>
            <w:r>
              <w:rPr>
                <w:rFonts w:hint="eastAsia" w:ascii="宋体" w:hAnsi="宋体" w:cs="宋体"/>
                <w:kern w:val="0"/>
                <w:sz w:val="18"/>
                <w:szCs w:val="18"/>
              </w:rPr>
              <w:t>外购铸锭</w:t>
            </w:r>
          </w:p>
        </w:tc>
        <w:tc>
          <w:tcPr>
            <w:tcW w:w="235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kern w:val="0"/>
                <w:sz w:val="18"/>
                <w:szCs w:val="18"/>
              </w:rPr>
            </w:pPr>
            <w:r>
              <w:rPr>
                <w:rFonts w:hint="eastAsia" w:ascii="宋体" w:hAnsi="宋体" w:cs="宋体"/>
                <w:kern w:val="0"/>
                <w:sz w:val="18"/>
                <w:szCs w:val="18"/>
              </w:rPr>
              <w:t>≤130 kgce/t</w:t>
            </w:r>
          </w:p>
        </w:tc>
        <w:tc>
          <w:tcPr>
            <w:tcW w:w="2009" w:type="dxa"/>
            <w:vMerge w:val="restart"/>
            <w:tcBorders>
              <w:top w:val="single" w:color="auto" w:sz="4" w:space="0"/>
              <w:left w:val="single" w:color="auto" w:sz="4" w:space="0"/>
              <w:bottom w:val="single" w:color="auto" w:sz="4" w:space="0"/>
            </w:tcBorders>
            <w:vAlign w:val="center"/>
          </w:tcPr>
          <w:p>
            <w:pPr>
              <w:autoSpaceDE w:val="0"/>
              <w:autoSpaceDN w:val="0"/>
              <w:adjustRightInd w:val="0"/>
              <w:snapToGrid w:val="0"/>
              <w:rPr>
                <w:rFonts w:ascii="宋体" w:hAnsi="宋体" w:cs="宋体"/>
                <w:kern w:val="0"/>
                <w:sz w:val="18"/>
                <w:szCs w:val="18"/>
              </w:rPr>
            </w:pPr>
            <w:r>
              <w:rPr>
                <w:rFonts w:hint="eastAsia" w:ascii="宋体" w:hAnsi="宋体" w:cs="宋体"/>
                <w:kern w:val="0"/>
                <w:sz w:val="18"/>
                <w:szCs w:val="18"/>
              </w:rPr>
              <w:t>依据YS/T 694.1计算，并提供证明文件</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63" w:type="dxa"/>
            <w:vMerge w:val="continue"/>
            <w:tcBorders>
              <w:top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s="宋体"/>
              </w:rPr>
            </w:pPr>
          </w:p>
        </w:tc>
        <w:tc>
          <w:tcPr>
            <w:tcW w:w="1150"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s="宋体"/>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s="宋体"/>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s="宋体"/>
                <w:kern w:val="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s="宋体"/>
                <w:kern w:val="0"/>
                <w:sz w:val="18"/>
                <w:szCs w:val="18"/>
              </w:rPr>
            </w:pPr>
            <w:r>
              <w:rPr>
                <w:rFonts w:hint="eastAsia" w:ascii="宋体" w:hAnsi="宋体" w:cs="宋体"/>
                <w:kern w:val="0"/>
                <w:sz w:val="18"/>
                <w:szCs w:val="18"/>
              </w:rPr>
              <w:t>以铝锭为原料</w:t>
            </w:r>
          </w:p>
        </w:tc>
        <w:tc>
          <w:tcPr>
            <w:tcW w:w="2353"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kern w:val="0"/>
                <w:sz w:val="18"/>
                <w:szCs w:val="18"/>
              </w:rPr>
            </w:pPr>
          </w:p>
        </w:tc>
        <w:tc>
          <w:tcPr>
            <w:tcW w:w="2009" w:type="dxa"/>
            <w:vMerge w:val="continue"/>
            <w:tcBorders>
              <w:top w:val="single" w:color="auto" w:sz="4" w:space="0"/>
              <w:left w:val="single" w:color="auto" w:sz="4" w:space="0"/>
              <w:bottom w:val="single" w:color="auto" w:sz="4" w:space="0"/>
            </w:tcBorders>
            <w:vAlign w:val="center"/>
          </w:tcPr>
          <w:p>
            <w:pPr>
              <w:autoSpaceDE w:val="0"/>
              <w:autoSpaceDN w:val="0"/>
              <w:adjustRightInd w:val="0"/>
              <w:snapToGrid w:val="0"/>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63" w:type="dxa"/>
            <w:vMerge w:val="continue"/>
            <w:tcBorders>
              <w:top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kern w:val="0"/>
                <w:sz w:val="18"/>
                <w:szCs w:val="18"/>
              </w:rPr>
            </w:pPr>
          </w:p>
        </w:tc>
        <w:tc>
          <w:tcPr>
            <w:tcW w:w="1150"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kern w:val="0"/>
                <w:sz w:val="18"/>
                <w:szCs w:val="18"/>
              </w:rPr>
            </w:pPr>
          </w:p>
        </w:tc>
        <w:tc>
          <w:tcPr>
            <w:tcW w:w="205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kern w:val="0"/>
                <w:sz w:val="18"/>
                <w:szCs w:val="18"/>
              </w:rPr>
            </w:pPr>
            <w:r>
              <w:rPr>
                <w:rFonts w:hint="eastAsia" w:ascii="宋体" w:hAnsi="宋体" w:cs="宋体"/>
                <w:kern w:val="0"/>
                <w:sz w:val="18"/>
                <w:szCs w:val="18"/>
              </w:rPr>
              <w:t>挤压型材</w:t>
            </w:r>
          </w:p>
        </w:tc>
        <w:tc>
          <w:tcPr>
            <w:tcW w:w="23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kern w:val="0"/>
                <w:sz w:val="18"/>
                <w:szCs w:val="18"/>
              </w:rPr>
            </w:pPr>
            <w:r>
              <w:rPr>
                <w:rFonts w:hint="eastAsia" w:ascii="宋体" w:hAnsi="宋体" w:cs="宋体"/>
                <w:kern w:val="0"/>
                <w:sz w:val="18"/>
                <w:szCs w:val="18"/>
              </w:rPr>
              <w:t>≤190 kgce/t</w:t>
            </w:r>
          </w:p>
        </w:tc>
        <w:tc>
          <w:tcPr>
            <w:tcW w:w="2009" w:type="dxa"/>
            <w:tcBorders>
              <w:top w:val="single" w:color="auto" w:sz="4" w:space="0"/>
              <w:left w:val="single" w:color="auto" w:sz="4" w:space="0"/>
              <w:bottom w:val="single" w:color="auto" w:sz="4" w:space="0"/>
            </w:tcBorders>
            <w:vAlign w:val="center"/>
          </w:tcPr>
          <w:p>
            <w:pPr>
              <w:autoSpaceDE w:val="0"/>
              <w:autoSpaceDN w:val="0"/>
              <w:adjustRightInd w:val="0"/>
              <w:snapToGrid w:val="0"/>
              <w:rPr>
                <w:rFonts w:ascii="宋体" w:hAnsi="宋体" w:cs="宋体"/>
                <w:kern w:val="0"/>
                <w:sz w:val="18"/>
                <w:szCs w:val="18"/>
              </w:rPr>
            </w:pPr>
            <w:r>
              <w:rPr>
                <w:rFonts w:hint="eastAsia" w:ascii="宋体" w:hAnsi="宋体" w:cs="宋体"/>
                <w:kern w:val="0"/>
                <w:sz w:val="18"/>
                <w:szCs w:val="18"/>
              </w:rPr>
              <w:t>依据YS/T 694.4计算，并提供证明文件</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63" w:type="dxa"/>
            <w:vMerge w:val="restart"/>
            <w:tcBorders>
              <w:top w:val="single" w:color="auto" w:sz="4" w:space="0"/>
              <w:bottom w:val="single" w:color="auto" w:sz="4" w:space="0"/>
              <w:right w:val="single" w:color="auto" w:sz="4" w:space="0"/>
            </w:tcBorders>
            <w:vAlign w:val="center"/>
          </w:tcPr>
          <w:p>
            <w:pPr>
              <w:adjustRightInd w:val="0"/>
              <w:snapToGrid w:val="0"/>
              <w:spacing w:before="50" w:after="50"/>
              <w:jc w:val="center"/>
              <w:outlineLvl w:val="3"/>
              <w:rPr>
                <w:rFonts w:ascii="宋体" w:hAnsi="宋体" w:cs="宋体"/>
                <w:kern w:val="0"/>
                <w:sz w:val="18"/>
                <w:szCs w:val="18"/>
              </w:rPr>
            </w:pPr>
            <w:r>
              <w:rPr>
                <w:rFonts w:hint="eastAsia" w:ascii="宋体" w:hAnsi="宋体" w:cs="宋体"/>
                <w:kern w:val="0"/>
                <w:sz w:val="18"/>
                <w:szCs w:val="18"/>
              </w:rPr>
              <w:t>环境属性</w:t>
            </w:r>
          </w:p>
        </w:tc>
        <w:tc>
          <w:tcPr>
            <w:tcW w:w="3200" w:type="dxa"/>
            <w:gridSpan w:val="5"/>
            <w:tcBorders>
              <w:top w:val="single" w:color="auto" w:sz="4" w:space="0"/>
              <w:left w:val="single" w:color="auto" w:sz="4" w:space="0"/>
              <w:bottom w:val="single" w:color="auto" w:sz="4" w:space="0"/>
              <w:right w:val="single" w:color="auto" w:sz="4" w:space="0"/>
            </w:tcBorders>
          </w:tcPr>
          <w:p>
            <w:pPr>
              <w:adjustRightInd w:val="0"/>
              <w:snapToGrid w:val="0"/>
              <w:spacing w:before="50" w:after="50"/>
              <w:jc w:val="center"/>
              <w:outlineLvl w:val="3"/>
              <w:rPr>
                <w:rFonts w:ascii="宋体" w:hAnsi="宋体" w:cs="宋体"/>
                <w:kern w:val="0"/>
                <w:sz w:val="18"/>
                <w:szCs w:val="18"/>
              </w:rPr>
            </w:pPr>
            <w:r>
              <w:rPr>
                <w:rFonts w:hint="eastAsia" w:ascii="宋体" w:hAnsi="宋体" w:cs="宋体"/>
                <w:kern w:val="0"/>
                <w:sz w:val="18"/>
                <w:szCs w:val="18"/>
              </w:rPr>
              <w:t>二氧化硫</w:t>
            </w:r>
          </w:p>
        </w:tc>
        <w:tc>
          <w:tcPr>
            <w:tcW w:w="2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50"/>
              <w:jc w:val="center"/>
              <w:outlineLvl w:val="3"/>
              <w:rPr>
                <w:rFonts w:ascii="宋体" w:hAnsi="宋体" w:cs="宋体"/>
                <w:kern w:val="0"/>
                <w:sz w:val="18"/>
                <w:szCs w:val="18"/>
              </w:rPr>
            </w:pPr>
            <w:r>
              <w:rPr>
                <w:rFonts w:hint="eastAsia" w:ascii="宋体" w:hAnsi="宋体" w:cs="宋体"/>
                <w:kern w:val="0"/>
                <w:sz w:val="18"/>
                <w:szCs w:val="18"/>
              </w:rPr>
              <w:t>≤30 mg/m</w:t>
            </w:r>
            <w:r>
              <w:rPr>
                <w:rFonts w:hint="eastAsia" w:ascii="宋体" w:hAnsi="宋体" w:cs="宋体"/>
                <w:kern w:val="0"/>
                <w:sz w:val="18"/>
                <w:szCs w:val="18"/>
                <w:vertAlign w:val="superscript"/>
              </w:rPr>
              <w:t>3</w:t>
            </w:r>
          </w:p>
        </w:tc>
        <w:tc>
          <w:tcPr>
            <w:tcW w:w="2009" w:type="dxa"/>
            <w:vMerge w:val="restart"/>
            <w:tcBorders>
              <w:top w:val="single" w:color="auto" w:sz="4" w:space="0"/>
              <w:left w:val="single" w:color="auto" w:sz="4" w:space="0"/>
              <w:bottom w:val="single" w:color="auto" w:sz="4" w:space="0"/>
            </w:tcBorders>
            <w:vAlign w:val="center"/>
          </w:tcPr>
          <w:p>
            <w:pPr>
              <w:autoSpaceDE w:val="0"/>
              <w:autoSpaceDN w:val="0"/>
              <w:adjustRightInd w:val="0"/>
              <w:snapToGrid w:val="0"/>
              <w:rPr>
                <w:rFonts w:ascii="宋体" w:hAnsi="宋体" w:cs="宋体"/>
                <w:kern w:val="0"/>
                <w:sz w:val="18"/>
                <w:szCs w:val="18"/>
              </w:rPr>
            </w:pPr>
            <w:r>
              <w:rPr>
                <w:rFonts w:hint="eastAsia" w:ascii="宋体" w:hAnsi="宋体" w:cs="宋体"/>
                <w:kern w:val="0"/>
                <w:sz w:val="18"/>
                <w:szCs w:val="18"/>
              </w:rPr>
              <w:t>提供环境监测报告</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63" w:type="dxa"/>
            <w:vMerge w:val="continue"/>
            <w:tcBorders>
              <w:top w:val="single" w:color="auto" w:sz="4" w:space="0"/>
              <w:bottom w:val="single" w:color="auto" w:sz="4" w:space="0"/>
              <w:right w:val="single" w:color="auto" w:sz="4" w:space="0"/>
            </w:tcBorders>
          </w:tcPr>
          <w:p>
            <w:pPr>
              <w:adjustRightInd w:val="0"/>
              <w:snapToGrid w:val="0"/>
              <w:spacing w:before="50" w:after="50"/>
              <w:outlineLvl w:val="3"/>
              <w:rPr>
                <w:rFonts w:ascii="宋体" w:hAnsi="宋体" w:cs="宋体"/>
                <w:kern w:val="0"/>
                <w:sz w:val="18"/>
                <w:szCs w:val="18"/>
              </w:rPr>
            </w:pPr>
          </w:p>
        </w:tc>
        <w:tc>
          <w:tcPr>
            <w:tcW w:w="3200" w:type="dxa"/>
            <w:gridSpan w:val="5"/>
            <w:tcBorders>
              <w:top w:val="single" w:color="auto" w:sz="4" w:space="0"/>
              <w:left w:val="single" w:color="auto" w:sz="4" w:space="0"/>
              <w:bottom w:val="single" w:color="auto" w:sz="4" w:space="0"/>
              <w:right w:val="single" w:color="auto" w:sz="4" w:space="0"/>
            </w:tcBorders>
          </w:tcPr>
          <w:p>
            <w:pPr>
              <w:adjustRightInd w:val="0"/>
              <w:snapToGrid w:val="0"/>
              <w:spacing w:before="50" w:after="50"/>
              <w:jc w:val="center"/>
              <w:outlineLvl w:val="3"/>
              <w:rPr>
                <w:rFonts w:ascii="宋体" w:hAnsi="宋体" w:cs="宋体"/>
                <w:kern w:val="0"/>
                <w:sz w:val="18"/>
                <w:szCs w:val="18"/>
              </w:rPr>
            </w:pPr>
            <w:r>
              <w:rPr>
                <w:rFonts w:hint="eastAsia" w:ascii="宋体" w:hAnsi="宋体" w:cs="宋体"/>
                <w:kern w:val="0"/>
                <w:sz w:val="18"/>
                <w:szCs w:val="18"/>
              </w:rPr>
              <w:t>氮氧化物</w:t>
            </w:r>
          </w:p>
        </w:tc>
        <w:tc>
          <w:tcPr>
            <w:tcW w:w="2353" w:type="dxa"/>
            <w:tcBorders>
              <w:top w:val="single" w:color="auto" w:sz="4" w:space="0"/>
              <w:left w:val="single" w:color="auto" w:sz="4" w:space="0"/>
              <w:bottom w:val="single" w:color="auto" w:sz="4" w:space="0"/>
              <w:right w:val="single" w:color="auto" w:sz="4" w:space="0"/>
            </w:tcBorders>
          </w:tcPr>
          <w:p>
            <w:pPr>
              <w:adjustRightInd w:val="0"/>
              <w:snapToGrid w:val="0"/>
              <w:spacing w:before="50" w:after="50"/>
              <w:jc w:val="center"/>
              <w:outlineLvl w:val="3"/>
              <w:rPr>
                <w:rFonts w:ascii="宋体" w:hAnsi="宋体" w:cs="宋体"/>
                <w:kern w:val="0"/>
                <w:sz w:val="18"/>
                <w:szCs w:val="18"/>
              </w:rPr>
            </w:pPr>
            <w:r>
              <w:rPr>
                <w:rFonts w:hint="eastAsia" w:ascii="宋体" w:hAnsi="宋体" w:cs="宋体"/>
                <w:kern w:val="0"/>
                <w:sz w:val="18"/>
                <w:szCs w:val="18"/>
              </w:rPr>
              <w:t>≤100 mg/m</w:t>
            </w:r>
            <w:r>
              <w:rPr>
                <w:rFonts w:hint="eastAsia" w:ascii="宋体" w:hAnsi="宋体" w:cs="宋体"/>
                <w:kern w:val="0"/>
                <w:sz w:val="18"/>
                <w:szCs w:val="18"/>
                <w:vertAlign w:val="superscript"/>
              </w:rPr>
              <w:t>3</w:t>
            </w:r>
          </w:p>
        </w:tc>
        <w:tc>
          <w:tcPr>
            <w:tcW w:w="2009" w:type="dxa"/>
            <w:vMerge w:val="continue"/>
            <w:tcBorders>
              <w:top w:val="single" w:color="auto" w:sz="4" w:space="0"/>
              <w:left w:val="single" w:color="auto" w:sz="4" w:space="0"/>
              <w:bottom w:val="single" w:color="auto" w:sz="4" w:space="0"/>
            </w:tcBorders>
            <w:vAlign w:val="center"/>
          </w:tcPr>
          <w:p>
            <w:pPr>
              <w:tabs>
                <w:tab w:val="center" w:pos="4201"/>
                <w:tab w:val="right" w:leader="dot" w:pos="9298"/>
              </w:tabs>
              <w:autoSpaceDE w:val="0"/>
              <w:autoSpaceDN w:val="0"/>
              <w:adjustRightInd w:val="0"/>
              <w:snapToGrid w:val="0"/>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63" w:type="dxa"/>
            <w:vMerge w:val="continue"/>
            <w:tcBorders>
              <w:top w:val="single" w:color="auto" w:sz="4" w:space="0"/>
              <w:bottom w:val="single" w:color="auto" w:sz="4" w:space="0"/>
              <w:right w:val="single" w:color="auto" w:sz="4" w:space="0"/>
            </w:tcBorders>
          </w:tcPr>
          <w:p>
            <w:pPr>
              <w:adjustRightInd w:val="0"/>
              <w:snapToGrid w:val="0"/>
              <w:spacing w:before="50" w:after="50"/>
              <w:outlineLvl w:val="3"/>
              <w:rPr>
                <w:rFonts w:ascii="宋体" w:hAnsi="宋体" w:cs="宋体"/>
                <w:kern w:val="0"/>
                <w:sz w:val="18"/>
                <w:szCs w:val="18"/>
              </w:rPr>
            </w:pPr>
          </w:p>
        </w:tc>
        <w:tc>
          <w:tcPr>
            <w:tcW w:w="3200" w:type="dxa"/>
            <w:gridSpan w:val="5"/>
            <w:tcBorders>
              <w:top w:val="single" w:color="auto" w:sz="4" w:space="0"/>
              <w:left w:val="single" w:color="auto" w:sz="4" w:space="0"/>
              <w:bottom w:val="single" w:color="auto" w:sz="4" w:space="0"/>
              <w:right w:val="single" w:color="auto" w:sz="4" w:space="0"/>
            </w:tcBorders>
          </w:tcPr>
          <w:p>
            <w:pPr>
              <w:adjustRightInd w:val="0"/>
              <w:snapToGrid w:val="0"/>
              <w:spacing w:before="50" w:after="50"/>
              <w:jc w:val="center"/>
              <w:outlineLvl w:val="3"/>
              <w:rPr>
                <w:rFonts w:ascii="宋体" w:hAnsi="宋体" w:cs="宋体"/>
                <w:kern w:val="0"/>
                <w:sz w:val="18"/>
                <w:szCs w:val="18"/>
              </w:rPr>
            </w:pPr>
            <w:r>
              <w:rPr>
                <w:rFonts w:hint="eastAsia" w:ascii="宋体" w:hAnsi="宋体" w:cs="宋体"/>
                <w:kern w:val="0"/>
                <w:sz w:val="18"/>
                <w:szCs w:val="18"/>
              </w:rPr>
              <w:t>颗粒物</w:t>
            </w:r>
          </w:p>
        </w:tc>
        <w:tc>
          <w:tcPr>
            <w:tcW w:w="2353" w:type="dxa"/>
            <w:tcBorders>
              <w:top w:val="single" w:color="auto" w:sz="4" w:space="0"/>
              <w:left w:val="single" w:color="auto" w:sz="4" w:space="0"/>
              <w:bottom w:val="single" w:color="auto" w:sz="4" w:space="0"/>
              <w:right w:val="single" w:color="auto" w:sz="4" w:space="0"/>
            </w:tcBorders>
          </w:tcPr>
          <w:p>
            <w:pPr>
              <w:adjustRightInd w:val="0"/>
              <w:snapToGrid w:val="0"/>
              <w:spacing w:before="50" w:after="50"/>
              <w:jc w:val="center"/>
              <w:outlineLvl w:val="3"/>
              <w:rPr>
                <w:rFonts w:ascii="宋体" w:hAnsi="宋体" w:cs="宋体"/>
                <w:kern w:val="0"/>
                <w:sz w:val="18"/>
                <w:szCs w:val="18"/>
              </w:rPr>
            </w:pPr>
            <w:r>
              <w:rPr>
                <w:rFonts w:hint="eastAsia" w:ascii="宋体" w:hAnsi="宋体" w:cs="宋体"/>
                <w:kern w:val="0"/>
                <w:sz w:val="18"/>
                <w:szCs w:val="18"/>
              </w:rPr>
              <w:t>≤100 mg/m</w:t>
            </w:r>
            <w:r>
              <w:rPr>
                <w:rFonts w:hint="eastAsia" w:ascii="宋体" w:hAnsi="宋体" w:cs="宋体"/>
                <w:kern w:val="0"/>
                <w:sz w:val="18"/>
                <w:szCs w:val="18"/>
                <w:vertAlign w:val="superscript"/>
              </w:rPr>
              <w:t>3</w:t>
            </w:r>
          </w:p>
        </w:tc>
        <w:tc>
          <w:tcPr>
            <w:tcW w:w="2009" w:type="dxa"/>
            <w:vMerge w:val="continue"/>
            <w:tcBorders>
              <w:top w:val="single" w:color="auto" w:sz="4" w:space="0"/>
              <w:left w:val="single" w:color="auto" w:sz="4" w:space="0"/>
              <w:bottom w:val="single" w:color="auto" w:sz="4" w:space="0"/>
            </w:tcBorders>
            <w:vAlign w:val="center"/>
          </w:tcPr>
          <w:p>
            <w:pPr>
              <w:tabs>
                <w:tab w:val="center" w:pos="4201"/>
                <w:tab w:val="right" w:leader="dot" w:pos="9298"/>
              </w:tabs>
              <w:autoSpaceDE w:val="0"/>
              <w:autoSpaceDN w:val="0"/>
              <w:adjustRightInd w:val="0"/>
              <w:snapToGrid w:val="0"/>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63" w:type="dxa"/>
            <w:vMerge w:val="continue"/>
            <w:tcBorders>
              <w:top w:val="single" w:color="auto" w:sz="4" w:space="0"/>
              <w:bottom w:val="single" w:color="auto" w:sz="4" w:space="0"/>
              <w:right w:val="single" w:color="auto" w:sz="4" w:space="0"/>
            </w:tcBorders>
          </w:tcPr>
          <w:p>
            <w:pPr>
              <w:adjustRightInd w:val="0"/>
              <w:snapToGrid w:val="0"/>
              <w:spacing w:before="50" w:after="50"/>
              <w:outlineLvl w:val="3"/>
              <w:rPr>
                <w:rFonts w:ascii="宋体" w:hAnsi="宋体" w:cs="宋体"/>
                <w:kern w:val="0"/>
                <w:sz w:val="18"/>
                <w:szCs w:val="18"/>
              </w:rPr>
            </w:pPr>
          </w:p>
        </w:tc>
        <w:tc>
          <w:tcPr>
            <w:tcW w:w="5553" w:type="dxa"/>
            <w:gridSpan w:val="6"/>
            <w:tcBorders>
              <w:top w:val="single" w:color="auto" w:sz="4" w:space="0"/>
              <w:left w:val="single" w:color="auto" w:sz="4" w:space="0"/>
              <w:bottom w:val="single" w:color="auto" w:sz="4" w:space="0"/>
              <w:right w:val="single" w:color="auto" w:sz="4" w:space="0"/>
            </w:tcBorders>
          </w:tcPr>
          <w:p>
            <w:pPr>
              <w:adjustRightInd w:val="0"/>
              <w:snapToGrid w:val="0"/>
              <w:spacing w:before="50" w:after="50"/>
              <w:outlineLvl w:val="3"/>
              <w:rPr>
                <w:rFonts w:ascii="宋体" w:hAnsi="宋体" w:cs="宋体"/>
                <w:kern w:val="0"/>
                <w:sz w:val="18"/>
                <w:szCs w:val="18"/>
              </w:rPr>
            </w:pPr>
            <w:r>
              <w:rPr>
                <w:rFonts w:hint="eastAsia" w:ascii="宋体" w:hAnsi="宋体" w:cs="宋体"/>
                <w:kern w:val="0"/>
                <w:sz w:val="18"/>
                <w:szCs w:val="18"/>
              </w:rPr>
              <w:t>煲模废碱液应采用先进处理工艺对其进行资源化、减量化处理，处理比例不小于80%</w:t>
            </w:r>
          </w:p>
        </w:tc>
        <w:tc>
          <w:tcPr>
            <w:tcW w:w="2009" w:type="dxa"/>
            <w:vMerge w:val="restart"/>
            <w:tcBorders>
              <w:top w:val="single" w:color="auto" w:sz="4" w:space="0"/>
              <w:left w:val="single" w:color="auto" w:sz="4" w:space="0"/>
              <w:bottom w:val="single" w:color="auto" w:sz="4" w:space="0"/>
            </w:tcBorders>
            <w:vAlign w:val="center"/>
          </w:tcPr>
          <w:p>
            <w:pPr>
              <w:tabs>
                <w:tab w:val="center" w:pos="4201"/>
                <w:tab w:val="right" w:leader="dot" w:pos="9298"/>
              </w:tabs>
              <w:autoSpaceDE w:val="0"/>
              <w:autoSpaceDN w:val="0"/>
              <w:adjustRightInd w:val="0"/>
              <w:snapToGrid w:val="0"/>
              <w:rPr>
                <w:rFonts w:ascii="宋体" w:hAnsi="宋体" w:cs="宋体"/>
                <w:kern w:val="0"/>
                <w:sz w:val="18"/>
                <w:szCs w:val="18"/>
                <w:highlight w:val="yellow"/>
              </w:rPr>
            </w:pPr>
            <w:r>
              <w:rPr>
                <w:rFonts w:hint="eastAsia" w:ascii="宋体" w:hAnsi="宋体" w:cs="宋体"/>
                <w:kern w:val="0"/>
                <w:sz w:val="18"/>
                <w:szCs w:val="18"/>
              </w:rPr>
              <w:t>提供相关证明材料</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63" w:type="dxa"/>
            <w:vMerge w:val="continue"/>
            <w:tcBorders>
              <w:top w:val="single" w:color="auto" w:sz="4" w:space="0"/>
              <w:bottom w:val="single" w:color="auto" w:sz="4" w:space="0"/>
              <w:right w:val="single" w:color="auto" w:sz="4" w:space="0"/>
            </w:tcBorders>
          </w:tcPr>
          <w:p>
            <w:pPr>
              <w:adjustRightInd w:val="0"/>
              <w:snapToGrid w:val="0"/>
              <w:spacing w:before="50" w:after="50"/>
              <w:outlineLvl w:val="3"/>
              <w:rPr>
                <w:rFonts w:ascii="宋体" w:hAnsi="宋体" w:cs="宋体"/>
              </w:rPr>
            </w:pPr>
          </w:p>
        </w:tc>
        <w:tc>
          <w:tcPr>
            <w:tcW w:w="5553" w:type="dxa"/>
            <w:gridSpan w:val="6"/>
            <w:tcBorders>
              <w:top w:val="single" w:color="auto" w:sz="4" w:space="0"/>
              <w:left w:val="single" w:color="auto" w:sz="4" w:space="0"/>
              <w:bottom w:val="single" w:color="auto" w:sz="4" w:space="0"/>
              <w:right w:val="single" w:color="auto" w:sz="4" w:space="0"/>
            </w:tcBorders>
          </w:tcPr>
          <w:p>
            <w:pPr>
              <w:adjustRightInd w:val="0"/>
              <w:snapToGrid w:val="0"/>
              <w:spacing w:before="50" w:after="50"/>
              <w:outlineLvl w:val="3"/>
              <w:rPr>
                <w:rFonts w:ascii="宋体" w:hAnsi="宋体" w:cs="宋体"/>
                <w:kern w:val="0"/>
                <w:sz w:val="18"/>
                <w:szCs w:val="18"/>
              </w:rPr>
            </w:pPr>
            <w:r>
              <w:rPr>
                <w:rFonts w:hint="eastAsia" w:ascii="宋体" w:hAnsi="宋体" w:cs="宋体"/>
                <w:kern w:val="0"/>
                <w:sz w:val="18"/>
                <w:szCs w:val="18"/>
              </w:rPr>
              <w:t>铝灰应采用先进处理工艺对其进行资源化、减量化处理或第三方协同处理，处理比列不小于20%</w:t>
            </w:r>
          </w:p>
        </w:tc>
        <w:tc>
          <w:tcPr>
            <w:tcW w:w="2009" w:type="dxa"/>
            <w:vMerge w:val="continue"/>
            <w:tcBorders>
              <w:top w:val="single" w:color="auto" w:sz="4" w:space="0"/>
              <w:left w:val="single" w:color="auto" w:sz="4" w:space="0"/>
              <w:bottom w:val="single" w:color="auto" w:sz="4" w:space="0"/>
            </w:tcBorders>
            <w:vAlign w:val="center"/>
          </w:tcPr>
          <w:p>
            <w:pPr>
              <w:adjustRightInd w:val="0"/>
              <w:snapToGrid w:val="0"/>
              <w:spacing w:before="50" w:after="50"/>
              <w:outlineLvl w:val="3"/>
              <w:rPr>
                <w:rFonts w:ascii="宋体" w:hAnsi="宋体" w:cs="宋体"/>
                <w:color w:val="FF0000"/>
                <w:kern w:val="0"/>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63" w:type="dxa"/>
            <w:vMerge w:val="restart"/>
            <w:tcBorders>
              <w:top w:val="single" w:color="auto" w:sz="4" w:space="0"/>
              <w:bottom w:val="single" w:color="auto" w:sz="4" w:space="0"/>
              <w:right w:val="single" w:color="auto" w:sz="4" w:space="0"/>
            </w:tcBorders>
            <w:vAlign w:val="center"/>
          </w:tcPr>
          <w:p>
            <w:pPr>
              <w:adjustRightInd w:val="0"/>
              <w:snapToGrid w:val="0"/>
              <w:spacing w:before="50" w:after="50"/>
              <w:jc w:val="center"/>
              <w:outlineLvl w:val="3"/>
              <w:rPr>
                <w:rFonts w:ascii="宋体" w:hAnsi="宋体" w:cs="宋体"/>
                <w:kern w:val="0"/>
                <w:sz w:val="18"/>
                <w:szCs w:val="18"/>
              </w:rPr>
            </w:pPr>
            <w:r>
              <w:rPr>
                <w:rFonts w:hint="eastAsia" w:ascii="宋体" w:hAnsi="宋体" w:cs="宋体"/>
                <w:kern w:val="0"/>
                <w:sz w:val="18"/>
                <w:szCs w:val="18"/>
              </w:rPr>
              <w:t>产品属性</w:t>
            </w:r>
          </w:p>
        </w:tc>
        <w:tc>
          <w:tcPr>
            <w:tcW w:w="32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50"/>
              <w:jc w:val="center"/>
              <w:outlineLvl w:val="3"/>
              <w:rPr>
                <w:rFonts w:ascii="宋体" w:hAnsi="宋体" w:cs="宋体"/>
                <w:kern w:val="0"/>
                <w:sz w:val="18"/>
                <w:szCs w:val="18"/>
              </w:rPr>
            </w:pPr>
            <w:r>
              <w:rPr>
                <w:rFonts w:hint="eastAsia" w:ascii="宋体" w:hAnsi="宋体" w:cs="宋体"/>
                <w:kern w:val="0"/>
                <w:sz w:val="18"/>
                <w:szCs w:val="18"/>
              </w:rPr>
              <w:t>化学成分</w:t>
            </w:r>
          </w:p>
        </w:tc>
        <w:tc>
          <w:tcPr>
            <w:tcW w:w="2353" w:type="dxa"/>
            <w:tcBorders>
              <w:top w:val="single" w:color="auto" w:sz="4" w:space="0"/>
              <w:left w:val="single" w:color="auto" w:sz="4" w:space="0"/>
              <w:bottom w:val="single" w:color="auto" w:sz="4" w:space="0"/>
              <w:right w:val="single" w:color="auto" w:sz="4" w:space="0"/>
            </w:tcBorders>
          </w:tcPr>
          <w:p>
            <w:pPr>
              <w:adjustRightInd w:val="0"/>
              <w:snapToGrid w:val="0"/>
              <w:spacing w:before="50" w:after="50"/>
              <w:outlineLvl w:val="3"/>
              <w:rPr>
                <w:rFonts w:ascii="宋体" w:hAnsi="宋体" w:cs="宋体"/>
                <w:kern w:val="0"/>
                <w:sz w:val="18"/>
                <w:szCs w:val="18"/>
              </w:rPr>
            </w:pPr>
            <w:r>
              <w:rPr>
                <w:rFonts w:hint="eastAsia" w:ascii="宋体" w:hAnsi="宋体" w:cs="宋体"/>
                <w:kern w:val="0"/>
                <w:sz w:val="18"/>
                <w:szCs w:val="18"/>
              </w:rPr>
              <w:t>满足GB/T 3190要求</w:t>
            </w:r>
          </w:p>
        </w:tc>
        <w:tc>
          <w:tcPr>
            <w:tcW w:w="2009" w:type="dxa"/>
            <w:tcBorders>
              <w:top w:val="single" w:color="auto" w:sz="4" w:space="0"/>
              <w:left w:val="single" w:color="auto" w:sz="4" w:space="0"/>
              <w:bottom w:val="single" w:color="auto" w:sz="4" w:space="0"/>
            </w:tcBorders>
            <w:vAlign w:val="center"/>
          </w:tcPr>
          <w:p>
            <w:pPr>
              <w:tabs>
                <w:tab w:val="center" w:pos="4201"/>
                <w:tab w:val="right" w:leader="dot" w:pos="9298"/>
              </w:tabs>
              <w:autoSpaceDE w:val="0"/>
              <w:autoSpaceDN w:val="0"/>
              <w:adjustRightInd w:val="0"/>
              <w:snapToGrid w:val="0"/>
              <w:rPr>
                <w:rFonts w:ascii="宋体" w:hAnsi="宋体" w:cs="宋体"/>
                <w:kern w:val="0"/>
                <w:sz w:val="18"/>
                <w:szCs w:val="18"/>
              </w:rPr>
            </w:pPr>
            <w:r>
              <w:rPr>
                <w:rFonts w:hint="eastAsia" w:ascii="宋体" w:hAnsi="宋体" w:cs="宋体"/>
                <w:kern w:val="0"/>
                <w:sz w:val="18"/>
                <w:szCs w:val="18"/>
              </w:rPr>
              <w:t>依据GB/T 3190出具的检测报告</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63" w:type="dxa"/>
            <w:vMerge w:val="continue"/>
            <w:tcBorders>
              <w:top w:val="single" w:color="auto" w:sz="4" w:space="0"/>
              <w:bottom w:val="single" w:color="auto" w:sz="4" w:space="0"/>
              <w:right w:val="single" w:color="auto" w:sz="4" w:space="0"/>
            </w:tcBorders>
            <w:vAlign w:val="center"/>
          </w:tcPr>
          <w:p>
            <w:pPr>
              <w:adjustRightInd w:val="0"/>
              <w:snapToGrid w:val="0"/>
              <w:spacing w:before="50" w:after="50"/>
              <w:jc w:val="center"/>
              <w:outlineLvl w:val="3"/>
              <w:rPr>
                <w:rFonts w:ascii="宋体" w:hAnsi="宋体" w:cs="宋体"/>
                <w:kern w:val="0"/>
                <w:sz w:val="18"/>
                <w:szCs w:val="18"/>
              </w:rPr>
            </w:pPr>
          </w:p>
        </w:tc>
        <w:tc>
          <w:tcPr>
            <w:tcW w:w="32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50"/>
              <w:jc w:val="center"/>
              <w:outlineLvl w:val="3"/>
              <w:rPr>
                <w:rFonts w:ascii="宋体" w:hAnsi="宋体" w:cs="宋体"/>
                <w:kern w:val="0"/>
                <w:sz w:val="18"/>
                <w:szCs w:val="18"/>
              </w:rPr>
            </w:pPr>
            <w:r>
              <w:rPr>
                <w:rFonts w:hint="eastAsia" w:ascii="宋体" w:hAnsi="宋体" w:cs="宋体"/>
                <w:kern w:val="0"/>
                <w:sz w:val="18"/>
                <w:szCs w:val="18"/>
              </w:rPr>
              <w:t>机械性能</w:t>
            </w:r>
          </w:p>
        </w:tc>
        <w:tc>
          <w:tcPr>
            <w:tcW w:w="2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50"/>
              <w:outlineLvl w:val="3"/>
              <w:rPr>
                <w:rFonts w:ascii="宋体" w:hAnsi="宋体" w:cs="宋体"/>
                <w:kern w:val="0"/>
                <w:sz w:val="18"/>
                <w:szCs w:val="18"/>
              </w:rPr>
            </w:pPr>
            <w:r>
              <w:rPr>
                <w:rFonts w:hint="eastAsia" w:ascii="宋体" w:hAnsi="宋体" w:cs="宋体"/>
                <w:kern w:val="0"/>
                <w:sz w:val="18"/>
                <w:szCs w:val="18"/>
              </w:rPr>
              <w:t>满足TB/T 3252中对机械性能的要求</w:t>
            </w:r>
          </w:p>
        </w:tc>
        <w:tc>
          <w:tcPr>
            <w:tcW w:w="2009" w:type="dxa"/>
            <w:tcBorders>
              <w:top w:val="single" w:color="auto" w:sz="4" w:space="0"/>
              <w:left w:val="single" w:color="auto" w:sz="4" w:space="0"/>
              <w:bottom w:val="single" w:color="auto" w:sz="4" w:space="0"/>
            </w:tcBorders>
            <w:vAlign w:val="center"/>
          </w:tcPr>
          <w:p>
            <w:pPr>
              <w:tabs>
                <w:tab w:val="center" w:pos="4201"/>
                <w:tab w:val="right" w:leader="dot" w:pos="9298"/>
              </w:tabs>
              <w:autoSpaceDE w:val="0"/>
              <w:autoSpaceDN w:val="0"/>
              <w:adjustRightInd w:val="0"/>
              <w:snapToGrid w:val="0"/>
              <w:rPr>
                <w:rFonts w:ascii="宋体" w:hAnsi="宋体" w:cs="宋体"/>
                <w:kern w:val="0"/>
                <w:sz w:val="18"/>
                <w:szCs w:val="18"/>
              </w:rPr>
            </w:pPr>
            <w:r>
              <w:rPr>
                <w:rFonts w:hint="eastAsia" w:ascii="宋体" w:hAnsi="宋体" w:cs="宋体"/>
                <w:kern w:val="0"/>
                <w:sz w:val="18"/>
                <w:szCs w:val="18"/>
              </w:rPr>
              <w:t>依据TB/T 3252出具的检测报告</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63" w:type="dxa"/>
            <w:vMerge w:val="continue"/>
            <w:tcBorders>
              <w:top w:val="single" w:color="auto" w:sz="4" w:space="0"/>
              <w:right w:val="single" w:color="auto" w:sz="4" w:space="0"/>
            </w:tcBorders>
            <w:vAlign w:val="center"/>
          </w:tcPr>
          <w:p>
            <w:pPr>
              <w:adjustRightInd w:val="0"/>
              <w:snapToGrid w:val="0"/>
              <w:spacing w:before="50" w:after="50"/>
              <w:jc w:val="center"/>
              <w:outlineLvl w:val="3"/>
              <w:rPr>
                <w:rFonts w:ascii="宋体" w:hAnsi="宋体" w:cs="宋体"/>
                <w:kern w:val="0"/>
                <w:sz w:val="18"/>
                <w:szCs w:val="18"/>
              </w:rPr>
            </w:pPr>
          </w:p>
        </w:tc>
        <w:tc>
          <w:tcPr>
            <w:tcW w:w="3200" w:type="dxa"/>
            <w:gridSpan w:val="5"/>
            <w:tcBorders>
              <w:top w:val="single" w:color="auto" w:sz="4" w:space="0"/>
              <w:left w:val="single" w:color="auto" w:sz="4" w:space="0"/>
              <w:right w:val="single" w:color="auto" w:sz="4" w:space="0"/>
            </w:tcBorders>
            <w:vAlign w:val="center"/>
          </w:tcPr>
          <w:p>
            <w:pPr>
              <w:adjustRightInd w:val="0"/>
              <w:snapToGrid w:val="0"/>
              <w:spacing w:before="50" w:after="50"/>
              <w:jc w:val="center"/>
              <w:outlineLvl w:val="3"/>
              <w:rPr>
                <w:rFonts w:ascii="宋体" w:hAnsi="宋体" w:cs="宋体"/>
                <w:kern w:val="0"/>
                <w:sz w:val="18"/>
                <w:szCs w:val="18"/>
              </w:rPr>
            </w:pPr>
            <w:r>
              <w:rPr>
                <w:rFonts w:hint="eastAsia" w:ascii="宋体" w:hAnsi="宋体" w:cs="宋体"/>
                <w:kern w:val="0"/>
                <w:sz w:val="18"/>
                <w:szCs w:val="18"/>
              </w:rPr>
              <w:t>电气性能</w:t>
            </w:r>
          </w:p>
        </w:tc>
        <w:tc>
          <w:tcPr>
            <w:tcW w:w="2353" w:type="dxa"/>
            <w:tcBorders>
              <w:top w:val="single" w:color="auto" w:sz="4" w:space="0"/>
              <w:left w:val="single" w:color="auto" w:sz="4" w:space="0"/>
              <w:right w:val="single" w:color="auto" w:sz="4" w:space="0"/>
            </w:tcBorders>
            <w:vAlign w:val="center"/>
          </w:tcPr>
          <w:p>
            <w:pPr>
              <w:adjustRightInd w:val="0"/>
              <w:snapToGrid w:val="0"/>
              <w:spacing w:before="50" w:after="50"/>
              <w:outlineLvl w:val="3"/>
              <w:rPr>
                <w:rFonts w:ascii="宋体" w:hAnsi="宋体" w:cs="宋体"/>
                <w:kern w:val="0"/>
                <w:sz w:val="18"/>
                <w:szCs w:val="18"/>
              </w:rPr>
            </w:pPr>
            <w:r>
              <w:rPr>
                <w:rFonts w:hint="eastAsia" w:ascii="宋体" w:hAnsi="宋体" w:cs="宋体"/>
                <w:kern w:val="0"/>
                <w:sz w:val="18"/>
                <w:szCs w:val="18"/>
              </w:rPr>
              <w:t>满足TB/T 3252中对电气性能的要求</w:t>
            </w:r>
          </w:p>
        </w:tc>
        <w:tc>
          <w:tcPr>
            <w:tcW w:w="2009" w:type="dxa"/>
            <w:tcBorders>
              <w:top w:val="single" w:color="auto" w:sz="4" w:space="0"/>
              <w:left w:val="single" w:color="auto" w:sz="4" w:space="0"/>
            </w:tcBorders>
            <w:vAlign w:val="center"/>
          </w:tcPr>
          <w:p>
            <w:pPr>
              <w:tabs>
                <w:tab w:val="center" w:pos="4201"/>
                <w:tab w:val="right" w:leader="dot" w:pos="9298"/>
              </w:tabs>
              <w:autoSpaceDE w:val="0"/>
              <w:autoSpaceDN w:val="0"/>
              <w:adjustRightInd w:val="0"/>
              <w:snapToGrid w:val="0"/>
              <w:rPr>
                <w:rFonts w:ascii="宋体" w:hAnsi="宋体" w:cs="宋体"/>
                <w:kern w:val="0"/>
                <w:sz w:val="18"/>
                <w:szCs w:val="18"/>
              </w:rPr>
            </w:pPr>
            <w:r>
              <w:rPr>
                <w:rFonts w:hint="eastAsia" w:ascii="宋体" w:hAnsi="宋体" w:cs="宋体"/>
                <w:kern w:val="0"/>
                <w:sz w:val="18"/>
                <w:szCs w:val="18"/>
              </w:rPr>
              <w:t>依据TB/T 3252出具的检测报告</w:t>
            </w:r>
          </w:p>
        </w:tc>
      </w:tr>
    </w:tbl>
    <w:p>
      <w:pPr>
        <w:spacing w:before="156" w:beforeLines="50" w:after="156" w:afterLines="50"/>
        <w:outlineLvl w:val="1"/>
        <w:rPr>
          <w:rFonts w:ascii="黑体" w:hAnsi="黑体" w:eastAsia="黑体"/>
          <w:kern w:val="0"/>
          <w:szCs w:val="20"/>
        </w:rPr>
      </w:pPr>
      <w:bookmarkStart w:id="52" w:name="_Toc34746198"/>
      <w:bookmarkStart w:id="53" w:name="_Toc25248088"/>
      <w:bookmarkStart w:id="54" w:name="_Toc502851831"/>
    </w:p>
    <w:p>
      <w:pPr>
        <w:spacing w:before="156" w:beforeLines="50" w:after="156" w:afterLines="50"/>
        <w:outlineLvl w:val="1"/>
        <w:rPr>
          <w:rFonts w:ascii="黑体" w:hAnsi="黑体" w:eastAsia="黑体"/>
          <w:kern w:val="0"/>
          <w:szCs w:val="20"/>
        </w:rPr>
      </w:pPr>
      <w:r>
        <w:rPr>
          <w:rFonts w:ascii="黑体" w:hAnsi="黑体" w:eastAsia="黑体"/>
          <w:kern w:val="0"/>
          <w:szCs w:val="20"/>
        </w:rPr>
        <w:t>5.3 检验方法和指标计算方法</w:t>
      </w:r>
      <w:bookmarkEnd w:id="52"/>
      <w:bookmarkEnd w:id="53"/>
    </w:p>
    <w:p>
      <w:pPr>
        <w:tabs>
          <w:tab w:val="center" w:pos="4201"/>
          <w:tab w:val="right" w:leader="dot" w:pos="9298"/>
        </w:tabs>
        <w:autoSpaceDE w:val="0"/>
        <w:autoSpaceDN w:val="0"/>
        <w:ind w:left="420" w:leftChars="200"/>
        <w:rPr>
          <w:kern w:val="0"/>
          <w:szCs w:val="20"/>
        </w:rPr>
      </w:pPr>
      <w:r>
        <w:rPr>
          <w:kern w:val="0"/>
          <w:szCs w:val="20"/>
        </w:rPr>
        <w:t>各指标计算方法依据本标准附录A</w:t>
      </w:r>
      <w:r>
        <w:rPr>
          <w:rFonts w:hint="eastAsia"/>
          <w:kern w:val="0"/>
          <w:szCs w:val="20"/>
        </w:rPr>
        <w:t>。</w:t>
      </w:r>
    </w:p>
    <w:bookmarkEnd w:id="54"/>
    <w:p>
      <w:pPr>
        <w:spacing w:before="156" w:beforeLines="50" w:after="156" w:afterLines="50"/>
        <w:outlineLvl w:val="0"/>
        <w:rPr>
          <w:rFonts w:ascii="黑体" w:hAnsi="黑体" w:eastAsia="黑体"/>
          <w:kern w:val="0"/>
          <w:szCs w:val="21"/>
        </w:rPr>
      </w:pPr>
      <w:bookmarkStart w:id="55" w:name="_Toc518656393"/>
      <w:bookmarkStart w:id="56" w:name="_Toc34746199"/>
      <w:r>
        <w:rPr>
          <w:rFonts w:ascii="黑体" w:hAnsi="黑体" w:eastAsia="黑体"/>
          <w:kern w:val="0"/>
          <w:szCs w:val="20"/>
        </w:rPr>
        <w:t>6 产品生命周期评价报告</w:t>
      </w:r>
      <w:bookmarkStart w:id="57" w:name="_Toc502851832"/>
      <w:r>
        <w:rPr>
          <w:rFonts w:ascii="黑体" w:hAnsi="黑体" w:eastAsia="黑体"/>
          <w:kern w:val="0"/>
          <w:szCs w:val="21"/>
        </w:rPr>
        <w:t>编制方法</w:t>
      </w:r>
      <w:bookmarkEnd w:id="55"/>
      <w:bookmarkEnd w:id="56"/>
      <w:bookmarkEnd w:id="57"/>
    </w:p>
    <w:p>
      <w:pPr>
        <w:spacing w:before="156" w:beforeLines="50" w:after="156" w:afterLines="50"/>
        <w:outlineLvl w:val="1"/>
        <w:rPr>
          <w:rFonts w:ascii="黑体" w:hAnsi="黑体" w:eastAsia="黑体"/>
          <w:kern w:val="0"/>
          <w:szCs w:val="20"/>
        </w:rPr>
      </w:pPr>
      <w:bookmarkStart w:id="58" w:name="_Toc25248090"/>
      <w:bookmarkStart w:id="59" w:name="_Toc518656394"/>
      <w:bookmarkStart w:id="60" w:name="_Toc34746200"/>
      <w:r>
        <w:rPr>
          <w:rFonts w:ascii="黑体" w:hAnsi="黑体" w:eastAsia="黑体"/>
          <w:kern w:val="0"/>
          <w:szCs w:val="21"/>
        </w:rPr>
        <w:t>6.1 编制方法</w:t>
      </w:r>
      <w:bookmarkEnd w:id="58"/>
      <w:bookmarkEnd w:id="59"/>
      <w:bookmarkEnd w:id="60"/>
    </w:p>
    <w:p>
      <w:pPr>
        <w:tabs>
          <w:tab w:val="center" w:pos="4201"/>
          <w:tab w:val="right" w:leader="dot" w:pos="9298"/>
        </w:tabs>
        <w:autoSpaceDE w:val="0"/>
        <w:autoSpaceDN w:val="0"/>
        <w:ind w:firstLine="420" w:firstLineChars="200"/>
        <w:rPr>
          <w:kern w:val="0"/>
          <w:szCs w:val="20"/>
        </w:rPr>
      </w:pPr>
      <w:r>
        <w:rPr>
          <w:kern w:val="0"/>
          <w:szCs w:val="20"/>
        </w:rPr>
        <w:t>依据GB/T 24040、GB/T 24044、GB/T 32161给出的全生命周期评价方法学框架及总体要求，编制</w:t>
      </w:r>
      <w:r>
        <w:rPr>
          <w:rFonts w:hint="eastAsia"/>
          <w:kern w:val="0"/>
          <w:szCs w:val="20"/>
        </w:rPr>
        <w:t>刚性导电汇流排铝型材</w:t>
      </w:r>
      <w:r>
        <w:rPr>
          <w:kern w:val="0"/>
          <w:szCs w:val="20"/>
        </w:rPr>
        <w:t>全生命周期评价报告。</w:t>
      </w:r>
    </w:p>
    <w:p>
      <w:pPr>
        <w:numPr>
          <w:ilvl w:val="1"/>
          <w:numId w:val="0"/>
        </w:numPr>
        <w:spacing w:before="156" w:beforeLines="50" w:after="156" w:afterLines="50"/>
        <w:outlineLvl w:val="2"/>
        <w:rPr>
          <w:rFonts w:ascii="黑体" w:hAnsi="黑体" w:eastAsia="黑体"/>
          <w:kern w:val="0"/>
          <w:szCs w:val="21"/>
        </w:rPr>
      </w:pPr>
      <w:bookmarkStart w:id="61" w:name="_Toc34746201"/>
      <w:bookmarkStart w:id="62" w:name="_Toc25248091"/>
      <w:bookmarkStart w:id="63" w:name="_Toc518656395"/>
      <w:bookmarkStart w:id="64" w:name="_Toc502851833"/>
      <w:r>
        <w:rPr>
          <w:rFonts w:ascii="黑体" w:hAnsi="黑体" w:eastAsia="黑体"/>
          <w:kern w:val="0"/>
          <w:szCs w:val="21"/>
        </w:rPr>
        <w:t>6.2 报告内容</w:t>
      </w:r>
      <w:bookmarkEnd w:id="61"/>
      <w:bookmarkEnd w:id="62"/>
      <w:bookmarkEnd w:id="63"/>
      <w:bookmarkEnd w:id="64"/>
    </w:p>
    <w:p>
      <w:pPr>
        <w:numPr>
          <w:ilvl w:val="2"/>
          <w:numId w:val="0"/>
        </w:numPr>
        <w:spacing w:before="156" w:beforeLines="50" w:after="156" w:afterLines="50"/>
        <w:rPr>
          <w:rFonts w:ascii="黑体" w:hAnsi="黑体" w:eastAsia="黑体"/>
          <w:kern w:val="0"/>
          <w:szCs w:val="21"/>
        </w:rPr>
      </w:pPr>
      <w:r>
        <w:rPr>
          <w:rFonts w:ascii="黑体" w:hAnsi="黑体" w:eastAsia="黑体"/>
          <w:kern w:val="0"/>
          <w:szCs w:val="21"/>
        </w:rPr>
        <w:t>6.2.1基本信息</w:t>
      </w:r>
    </w:p>
    <w:p>
      <w:pPr>
        <w:tabs>
          <w:tab w:val="center" w:pos="4201"/>
          <w:tab w:val="right" w:leader="dot" w:pos="9298"/>
        </w:tabs>
        <w:autoSpaceDE w:val="0"/>
        <w:autoSpaceDN w:val="0"/>
        <w:ind w:left="420" w:leftChars="200"/>
        <w:rPr>
          <w:kern w:val="0"/>
          <w:szCs w:val="20"/>
        </w:rPr>
      </w:pPr>
      <w:r>
        <w:rPr>
          <w:kern w:val="0"/>
          <w:szCs w:val="20"/>
        </w:rPr>
        <w:t>报告应提供报告信息、申请者信息、评估对象信息、采用的标准等基本信息</w:t>
      </w:r>
      <w:r>
        <w:rPr>
          <w:rFonts w:hint="eastAsia"/>
          <w:kern w:val="0"/>
          <w:szCs w:val="20"/>
        </w:rPr>
        <w:t>，</w:t>
      </w:r>
      <w:r>
        <w:rPr>
          <w:kern w:val="0"/>
          <w:szCs w:val="20"/>
        </w:rPr>
        <w:t>其中</w:t>
      </w:r>
      <w:r>
        <w:rPr>
          <w:rFonts w:hint="eastAsia"/>
          <w:kern w:val="0"/>
          <w:szCs w:val="20"/>
        </w:rPr>
        <w:t>：</w:t>
      </w:r>
    </w:p>
    <w:p>
      <w:pPr>
        <w:tabs>
          <w:tab w:val="center" w:pos="4201"/>
          <w:tab w:val="right" w:leader="dot" w:pos="9298"/>
        </w:tabs>
        <w:autoSpaceDE w:val="0"/>
        <w:autoSpaceDN w:val="0"/>
        <w:ind w:left="420" w:leftChars="200"/>
        <w:rPr>
          <w:kern w:val="0"/>
          <w:szCs w:val="20"/>
        </w:rPr>
      </w:pPr>
      <w:r>
        <w:rPr>
          <w:rFonts w:hint="eastAsia"/>
          <w:kern w:val="0"/>
          <w:szCs w:val="20"/>
        </w:rPr>
        <w:t xml:space="preserve">a) </w:t>
      </w:r>
      <w:r>
        <w:rPr>
          <w:kern w:val="0"/>
          <w:szCs w:val="20"/>
        </w:rPr>
        <w:t>报告信息包括报告编号、编制人员、审核人员、发布日期等；</w:t>
      </w:r>
    </w:p>
    <w:p>
      <w:pPr>
        <w:tabs>
          <w:tab w:val="center" w:pos="4201"/>
          <w:tab w:val="right" w:leader="dot" w:pos="9298"/>
        </w:tabs>
        <w:autoSpaceDE w:val="0"/>
        <w:autoSpaceDN w:val="0"/>
        <w:ind w:firstLine="420" w:firstLineChars="200"/>
        <w:rPr>
          <w:kern w:val="0"/>
          <w:szCs w:val="20"/>
        </w:rPr>
      </w:pPr>
      <w:r>
        <w:rPr>
          <w:rFonts w:hint="eastAsia"/>
          <w:kern w:val="0"/>
          <w:szCs w:val="20"/>
        </w:rPr>
        <w:t xml:space="preserve">b) </w:t>
      </w:r>
      <w:r>
        <w:rPr>
          <w:kern w:val="0"/>
          <w:szCs w:val="20"/>
        </w:rPr>
        <w:t>申请者信息包括公司全称、</w:t>
      </w:r>
      <w:r>
        <w:rPr>
          <w:rFonts w:hint="eastAsia"/>
          <w:kern w:val="0"/>
          <w:szCs w:val="20"/>
        </w:rPr>
        <w:t>统一社会信用代码</w:t>
      </w:r>
      <w:r>
        <w:rPr>
          <w:kern w:val="0"/>
          <w:szCs w:val="20"/>
        </w:rPr>
        <w:t>、地址、联系人、联系方式等；</w:t>
      </w:r>
    </w:p>
    <w:p>
      <w:pPr>
        <w:tabs>
          <w:tab w:val="center" w:pos="4201"/>
          <w:tab w:val="right" w:leader="dot" w:pos="9298"/>
        </w:tabs>
        <w:autoSpaceDE w:val="0"/>
        <w:autoSpaceDN w:val="0"/>
        <w:ind w:firstLine="420" w:firstLineChars="200"/>
        <w:rPr>
          <w:kern w:val="0"/>
          <w:szCs w:val="20"/>
        </w:rPr>
      </w:pPr>
      <w:r>
        <w:rPr>
          <w:rFonts w:hint="eastAsia"/>
          <w:kern w:val="0"/>
          <w:szCs w:val="20"/>
        </w:rPr>
        <w:t xml:space="preserve">c) </w:t>
      </w:r>
      <w:r>
        <w:rPr>
          <w:kern w:val="0"/>
          <w:szCs w:val="20"/>
        </w:rPr>
        <w:t>评估对象信息包括产品型号/类型、主要技术参数等；</w:t>
      </w:r>
    </w:p>
    <w:p>
      <w:pPr>
        <w:tabs>
          <w:tab w:val="center" w:pos="4201"/>
          <w:tab w:val="right" w:leader="dot" w:pos="9298"/>
        </w:tabs>
        <w:autoSpaceDE w:val="0"/>
        <w:autoSpaceDN w:val="0"/>
        <w:ind w:firstLine="420" w:firstLineChars="200"/>
        <w:rPr>
          <w:kern w:val="0"/>
          <w:szCs w:val="20"/>
        </w:rPr>
      </w:pPr>
      <w:r>
        <w:rPr>
          <w:rFonts w:hint="eastAsia"/>
          <w:kern w:val="0"/>
          <w:szCs w:val="20"/>
        </w:rPr>
        <w:t xml:space="preserve">d) </w:t>
      </w:r>
      <w:r>
        <w:rPr>
          <w:kern w:val="0"/>
          <w:szCs w:val="20"/>
        </w:rPr>
        <w:t>采用的标准信息应包括标准名称及标准号</w:t>
      </w:r>
      <w:r>
        <w:rPr>
          <w:rFonts w:hint="eastAsia"/>
          <w:kern w:val="0"/>
          <w:szCs w:val="20"/>
        </w:rPr>
        <w:t>；</w:t>
      </w:r>
    </w:p>
    <w:p>
      <w:pPr>
        <w:tabs>
          <w:tab w:val="center" w:pos="4201"/>
          <w:tab w:val="right" w:leader="dot" w:pos="9298"/>
        </w:tabs>
        <w:autoSpaceDE w:val="0"/>
        <w:autoSpaceDN w:val="0"/>
        <w:ind w:firstLine="420" w:firstLineChars="200"/>
        <w:rPr>
          <w:kern w:val="0"/>
          <w:szCs w:val="20"/>
        </w:rPr>
      </w:pPr>
      <w:r>
        <w:rPr>
          <w:rFonts w:hint="eastAsia"/>
          <w:kern w:val="0"/>
          <w:szCs w:val="20"/>
        </w:rPr>
        <w:t>e）</w:t>
      </w:r>
      <w:r>
        <w:rPr>
          <w:kern w:val="0"/>
          <w:szCs w:val="20"/>
        </w:rPr>
        <w:t>产品包装</w:t>
      </w:r>
      <w:r>
        <w:rPr>
          <w:rFonts w:hint="eastAsia"/>
          <w:kern w:val="0"/>
          <w:szCs w:val="20"/>
        </w:rPr>
        <w:t>包括</w:t>
      </w:r>
      <w:r>
        <w:rPr>
          <w:kern w:val="0"/>
          <w:szCs w:val="20"/>
        </w:rPr>
        <w:t>产品包装尺寸、包装材料。</w:t>
      </w:r>
    </w:p>
    <w:p>
      <w:pPr>
        <w:numPr>
          <w:ilvl w:val="2"/>
          <w:numId w:val="0"/>
        </w:numPr>
        <w:spacing w:before="156" w:beforeLines="50" w:after="156" w:afterLines="50"/>
        <w:rPr>
          <w:rFonts w:ascii="黑体" w:hAnsi="黑体" w:eastAsia="黑体"/>
          <w:kern w:val="0"/>
          <w:szCs w:val="21"/>
        </w:rPr>
      </w:pPr>
      <w:r>
        <w:rPr>
          <w:rFonts w:ascii="黑体" w:hAnsi="黑体" w:eastAsia="黑体"/>
          <w:kern w:val="0"/>
          <w:szCs w:val="21"/>
        </w:rPr>
        <w:t>6.2.2符合性评价</w:t>
      </w:r>
    </w:p>
    <w:p>
      <w:pPr>
        <w:tabs>
          <w:tab w:val="center" w:pos="4201"/>
          <w:tab w:val="right" w:leader="dot" w:pos="9298"/>
        </w:tabs>
        <w:autoSpaceDE w:val="0"/>
        <w:autoSpaceDN w:val="0"/>
        <w:ind w:firstLine="420" w:firstLineChars="200"/>
        <w:rPr>
          <w:kern w:val="0"/>
          <w:szCs w:val="20"/>
        </w:rPr>
      </w:pPr>
      <w:r>
        <w:rPr>
          <w:rFonts w:hint="eastAsia"/>
          <w:kern w:val="0"/>
          <w:szCs w:val="20"/>
        </w:rPr>
        <w:t>报告中应提供对基本要求和评价指标要求的符合性情况，并提供所有评价指标报告期比基期改进情况的说明。其中报告期为当前评价的年份，一般是指产品参与评价年份的上1年，基期为一个对照年份，一般比报告期提前1年。</w:t>
      </w:r>
    </w:p>
    <w:p>
      <w:pPr>
        <w:numPr>
          <w:ilvl w:val="2"/>
          <w:numId w:val="0"/>
        </w:numPr>
        <w:spacing w:before="156" w:beforeLines="50" w:after="156" w:afterLines="50"/>
        <w:rPr>
          <w:rFonts w:ascii="黑体" w:hAnsi="黑体" w:eastAsia="黑体"/>
          <w:kern w:val="0"/>
          <w:szCs w:val="21"/>
        </w:rPr>
      </w:pPr>
      <w:r>
        <w:rPr>
          <w:rFonts w:ascii="黑体" w:hAnsi="黑体" w:eastAsia="黑体"/>
          <w:kern w:val="0"/>
          <w:szCs w:val="21"/>
        </w:rPr>
        <w:t>6.2.3生命周期评价</w:t>
      </w:r>
    </w:p>
    <w:p>
      <w:pPr>
        <w:numPr>
          <w:ilvl w:val="2"/>
          <w:numId w:val="0"/>
        </w:numPr>
        <w:spacing w:before="156" w:beforeLines="50" w:after="156" w:afterLines="50"/>
        <w:rPr>
          <w:rFonts w:ascii="黑体" w:hAnsi="黑体" w:eastAsia="黑体"/>
          <w:kern w:val="0"/>
          <w:szCs w:val="20"/>
        </w:rPr>
      </w:pPr>
      <w:r>
        <w:rPr>
          <w:rFonts w:ascii="黑体" w:hAnsi="黑体" w:eastAsia="黑体"/>
          <w:kern w:val="0"/>
          <w:szCs w:val="21"/>
        </w:rPr>
        <w:t>6.2.3.1 评价对象及工具</w:t>
      </w:r>
    </w:p>
    <w:p>
      <w:pPr>
        <w:tabs>
          <w:tab w:val="center" w:pos="4201"/>
          <w:tab w:val="right" w:leader="dot" w:pos="9298"/>
        </w:tabs>
        <w:autoSpaceDE w:val="0"/>
        <w:autoSpaceDN w:val="0"/>
        <w:ind w:firstLine="420" w:firstLineChars="200"/>
        <w:rPr>
          <w:kern w:val="0"/>
          <w:szCs w:val="20"/>
        </w:rPr>
      </w:pPr>
      <w:r>
        <w:rPr>
          <w:kern w:val="0"/>
          <w:szCs w:val="20"/>
        </w:rPr>
        <w:t>报告中应详细描述评</w:t>
      </w:r>
      <w:r>
        <w:rPr>
          <w:rFonts w:hint="eastAsia"/>
          <w:kern w:val="0"/>
          <w:szCs w:val="20"/>
        </w:rPr>
        <w:t>价</w:t>
      </w:r>
      <w:r>
        <w:rPr>
          <w:kern w:val="0"/>
          <w:szCs w:val="20"/>
        </w:rPr>
        <w:t>的对象、功能单位和产品主要功能，提供产品的材料构成及主要技术参数表，绘制并说明产品的系统边界，披露所使用的软件工具。</w:t>
      </w:r>
    </w:p>
    <w:p>
      <w:pPr>
        <w:tabs>
          <w:tab w:val="center" w:pos="4201"/>
          <w:tab w:val="right" w:leader="dot" w:pos="9298"/>
        </w:tabs>
        <w:autoSpaceDE w:val="0"/>
        <w:autoSpaceDN w:val="0"/>
        <w:ind w:firstLine="420" w:firstLineChars="200"/>
        <w:rPr>
          <w:kern w:val="0"/>
          <w:szCs w:val="20"/>
        </w:rPr>
      </w:pPr>
      <w:r>
        <w:rPr>
          <w:kern w:val="0"/>
          <w:szCs w:val="20"/>
        </w:rPr>
        <w:t>本标准以</w:t>
      </w:r>
      <w:r>
        <w:rPr>
          <w:rFonts w:hint="eastAsia"/>
          <w:kern w:val="0"/>
          <w:szCs w:val="20"/>
        </w:rPr>
        <w:t>1</w:t>
      </w:r>
      <w:r>
        <w:rPr>
          <w:kern w:val="0"/>
          <w:szCs w:val="20"/>
        </w:rPr>
        <w:t xml:space="preserve"> t </w:t>
      </w:r>
      <w:r>
        <w:rPr>
          <w:rFonts w:hint="eastAsia"/>
          <w:kern w:val="0"/>
          <w:szCs w:val="20"/>
        </w:rPr>
        <w:t>刚性导电汇流排铝型材产品</w:t>
      </w:r>
      <w:r>
        <w:rPr>
          <w:kern w:val="0"/>
          <w:szCs w:val="20"/>
        </w:rPr>
        <w:t>为功能单元表示。</w:t>
      </w:r>
    </w:p>
    <w:p>
      <w:pPr>
        <w:numPr>
          <w:ilvl w:val="2"/>
          <w:numId w:val="0"/>
        </w:numPr>
        <w:spacing w:before="156" w:beforeLines="50" w:after="156" w:afterLines="50"/>
        <w:rPr>
          <w:rFonts w:ascii="黑体" w:hAnsi="黑体" w:eastAsia="黑体"/>
          <w:kern w:val="0"/>
          <w:szCs w:val="21"/>
        </w:rPr>
      </w:pPr>
      <w:r>
        <w:rPr>
          <w:rFonts w:ascii="黑体" w:hAnsi="黑体" w:eastAsia="黑体"/>
          <w:kern w:val="0"/>
          <w:szCs w:val="21"/>
        </w:rPr>
        <w:t>6.2.3.2 生命周期清单分析</w:t>
      </w:r>
    </w:p>
    <w:p>
      <w:pPr>
        <w:tabs>
          <w:tab w:val="center" w:pos="4201"/>
          <w:tab w:val="right" w:leader="dot" w:pos="9298"/>
        </w:tabs>
        <w:autoSpaceDE w:val="0"/>
        <w:autoSpaceDN w:val="0"/>
        <w:ind w:firstLine="420" w:firstLineChars="200"/>
        <w:rPr>
          <w:kern w:val="0"/>
          <w:szCs w:val="20"/>
        </w:rPr>
      </w:pPr>
      <w:r>
        <w:rPr>
          <w:kern w:val="0"/>
          <w:szCs w:val="20"/>
        </w:rPr>
        <w:t>报告中应提供考虑的生命周期阶段</w:t>
      </w:r>
      <w:r>
        <w:rPr>
          <w:rFonts w:hint="eastAsia"/>
          <w:kern w:val="0"/>
          <w:szCs w:val="20"/>
        </w:rPr>
        <w:t>，</w:t>
      </w:r>
      <w:r>
        <w:rPr>
          <w:kern w:val="0"/>
          <w:szCs w:val="20"/>
        </w:rPr>
        <w:t>说明每个阶段所考虑的清单因子及收集到的现场数据或背景数据</w:t>
      </w:r>
      <w:r>
        <w:rPr>
          <w:rFonts w:hint="eastAsia"/>
          <w:kern w:val="0"/>
          <w:szCs w:val="20"/>
        </w:rPr>
        <w:t>，</w:t>
      </w:r>
      <w:r>
        <w:rPr>
          <w:kern w:val="0"/>
          <w:szCs w:val="20"/>
        </w:rPr>
        <w:t>涉及到数据分配的情况应说明分配方法和结果。</w:t>
      </w:r>
    </w:p>
    <w:p>
      <w:pPr>
        <w:numPr>
          <w:ilvl w:val="2"/>
          <w:numId w:val="0"/>
        </w:numPr>
        <w:spacing w:before="156" w:beforeLines="50" w:after="156" w:afterLines="50"/>
        <w:rPr>
          <w:rFonts w:ascii="黑体" w:hAnsi="黑体" w:eastAsia="黑体"/>
          <w:kern w:val="0"/>
          <w:szCs w:val="21"/>
        </w:rPr>
      </w:pPr>
      <w:r>
        <w:rPr>
          <w:rFonts w:ascii="黑体" w:hAnsi="黑体" w:eastAsia="黑体"/>
          <w:kern w:val="0"/>
          <w:szCs w:val="21"/>
        </w:rPr>
        <w:t>6.2.3.3 生命周期影响评价</w:t>
      </w:r>
    </w:p>
    <w:p>
      <w:pPr>
        <w:tabs>
          <w:tab w:val="center" w:pos="4201"/>
          <w:tab w:val="right" w:leader="dot" w:pos="9298"/>
        </w:tabs>
        <w:autoSpaceDE w:val="0"/>
        <w:autoSpaceDN w:val="0"/>
        <w:ind w:firstLine="420" w:firstLineChars="200"/>
        <w:rPr>
          <w:kern w:val="0"/>
          <w:szCs w:val="20"/>
        </w:rPr>
      </w:pPr>
      <w:r>
        <w:rPr>
          <w:kern w:val="0"/>
          <w:szCs w:val="20"/>
        </w:rPr>
        <w:t>报告中应提供产品全生命周期各阶段的不同影响类型的特征化值</w:t>
      </w:r>
      <w:r>
        <w:rPr>
          <w:rFonts w:hint="eastAsia"/>
          <w:kern w:val="0"/>
          <w:szCs w:val="20"/>
        </w:rPr>
        <w:t>，</w:t>
      </w:r>
      <w:r>
        <w:rPr>
          <w:kern w:val="0"/>
          <w:szCs w:val="20"/>
        </w:rPr>
        <w:t>并对不同影响类型在生命周期阶段的分布情况进行比较分析。</w:t>
      </w:r>
    </w:p>
    <w:p>
      <w:pPr>
        <w:numPr>
          <w:ilvl w:val="2"/>
          <w:numId w:val="0"/>
        </w:numPr>
        <w:spacing w:before="156" w:beforeLines="50" w:after="156" w:afterLines="50"/>
        <w:rPr>
          <w:rFonts w:ascii="黑体" w:hAnsi="黑体" w:eastAsia="黑体"/>
          <w:kern w:val="0"/>
          <w:szCs w:val="21"/>
        </w:rPr>
      </w:pPr>
      <w:r>
        <w:rPr>
          <w:rFonts w:ascii="黑体" w:hAnsi="黑体" w:eastAsia="黑体"/>
          <w:kern w:val="0"/>
          <w:szCs w:val="21"/>
        </w:rPr>
        <w:t>6.2.3.4 绿色设计改进方案</w:t>
      </w:r>
    </w:p>
    <w:p>
      <w:pPr>
        <w:tabs>
          <w:tab w:val="center" w:pos="4201"/>
          <w:tab w:val="right" w:leader="dot" w:pos="9298"/>
        </w:tabs>
        <w:autoSpaceDE w:val="0"/>
        <w:autoSpaceDN w:val="0"/>
        <w:ind w:firstLine="420" w:firstLineChars="200"/>
        <w:rPr>
          <w:kern w:val="0"/>
          <w:szCs w:val="20"/>
        </w:rPr>
      </w:pPr>
      <w:r>
        <w:rPr>
          <w:kern w:val="0"/>
          <w:szCs w:val="20"/>
        </w:rPr>
        <w:t>在分析指标的符合性评价结果以及生命周期评价结果的基础上</w:t>
      </w:r>
      <w:r>
        <w:rPr>
          <w:rFonts w:hint="eastAsia"/>
          <w:kern w:val="0"/>
          <w:szCs w:val="20"/>
        </w:rPr>
        <w:t>，</w:t>
      </w:r>
      <w:r>
        <w:rPr>
          <w:kern w:val="0"/>
          <w:szCs w:val="20"/>
        </w:rPr>
        <w:t>提出产品绿色设计改进的具体方案。</w:t>
      </w:r>
    </w:p>
    <w:p>
      <w:pPr>
        <w:numPr>
          <w:ilvl w:val="2"/>
          <w:numId w:val="0"/>
        </w:numPr>
        <w:spacing w:before="156" w:beforeLines="50" w:after="156" w:afterLines="50"/>
        <w:rPr>
          <w:rFonts w:ascii="黑体" w:hAnsi="黑体" w:eastAsia="黑体"/>
          <w:kern w:val="0"/>
          <w:szCs w:val="21"/>
        </w:rPr>
      </w:pPr>
      <w:r>
        <w:rPr>
          <w:rFonts w:ascii="黑体" w:hAnsi="黑体" w:eastAsia="黑体"/>
          <w:kern w:val="0"/>
          <w:szCs w:val="21"/>
        </w:rPr>
        <w:t>6.2.4 附件</w:t>
      </w:r>
    </w:p>
    <w:p>
      <w:pPr>
        <w:tabs>
          <w:tab w:val="center" w:pos="4201"/>
          <w:tab w:val="right" w:leader="dot" w:pos="9298"/>
        </w:tabs>
        <w:autoSpaceDE w:val="0"/>
        <w:autoSpaceDN w:val="0"/>
        <w:ind w:firstLine="420" w:firstLineChars="200"/>
        <w:rPr>
          <w:kern w:val="0"/>
          <w:szCs w:val="20"/>
        </w:rPr>
      </w:pPr>
      <w:r>
        <w:rPr>
          <w:kern w:val="0"/>
          <w:szCs w:val="20"/>
        </w:rPr>
        <w:t>报告中应在附件中提供</w:t>
      </w:r>
      <w:r>
        <w:rPr>
          <w:rFonts w:hint="eastAsia"/>
          <w:kern w:val="0"/>
          <w:szCs w:val="20"/>
        </w:rPr>
        <w:t>：</w:t>
      </w:r>
    </w:p>
    <w:p>
      <w:pPr>
        <w:tabs>
          <w:tab w:val="center" w:pos="4201"/>
          <w:tab w:val="right" w:leader="dot" w:pos="9298"/>
        </w:tabs>
        <w:autoSpaceDE w:val="0"/>
        <w:autoSpaceDN w:val="0"/>
        <w:ind w:firstLine="420" w:firstLineChars="200"/>
        <w:rPr>
          <w:kern w:val="0"/>
          <w:szCs w:val="20"/>
        </w:rPr>
      </w:pPr>
      <w:r>
        <w:rPr>
          <w:kern w:val="0"/>
          <w:szCs w:val="20"/>
        </w:rPr>
        <w:t>a) 产品</w:t>
      </w:r>
      <w:r>
        <w:rPr>
          <w:rFonts w:hint="eastAsia"/>
          <w:kern w:val="0"/>
          <w:szCs w:val="20"/>
        </w:rPr>
        <w:t>图片</w:t>
      </w:r>
      <w:r>
        <w:rPr>
          <w:kern w:val="0"/>
          <w:szCs w:val="20"/>
        </w:rPr>
        <w:t>；</w:t>
      </w:r>
    </w:p>
    <w:p>
      <w:pPr>
        <w:tabs>
          <w:tab w:val="center" w:pos="4201"/>
          <w:tab w:val="right" w:leader="dot" w:pos="9298"/>
        </w:tabs>
        <w:autoSpaceDE w:val="0"/>
        <w:autoSpaceDN w:val="0"/>
        <w:ind w:firstLine="420" w:firstLineChars="200"/>
        <w:rPr>
          <w:kern w:val="0"/>
          <w:szCs w:val="20"/>
        </w:rPr>
      </w:pPr>
      <w:r>
        <w:rPr>
          <w:kern w:val="0"/>
          <w:szCs w:val="20"/>
        </w:rPr>
        <w:t>b) 产品生产</w:t>
      </w:r>
      <w:r>
        <w:rPr>
          <w:rFonts w:hint="eastAsia"/>
          <w:kern w:val="0"/>
          <w:szCs w:val="20"/>
        </w:rPr>
        <w:t>原辅</w:t>
      </w:r>
      <w:r>
        <w:rPr>
          <w:kern w:val="0"/>
          <w:szCs w:val="20"/>
        </w:rPr>
        <w:t>材料清单；</w:t>
      </w:r>
    </w:p>
    <w:p>
      <w:pPr>
        <w:tabs>
          <w:tab w:val="center" w:pos="4201"/>
          <w:tab w:val="right" w:leader="dot" w:pos="9298"/>
        </w:tabs>
        <w:autoSpaceDE w:val="0"/>
        <w:autoSpaceDN w:val="0"/>
        <w:ind w:firstLine="420" w:firstLineChars="200"/>
        <w:rPr>
          <w:kern w:val="0"/>
          <w:szCs w:val="20"/>
        </w:rPr>
      </w:pPr>
      <w:r>
        <w:rPr>
          <w:kern w:val="0"/>
          <w:szCs w:val="20"/>
        </w:rPr>
        <w:t>c) 产品工艺</w:t>
      </w:r>
      <w:r>
        <w:rPr>
          <w:rFonts w:hint="eastAsia"/>
          <w:kern w:val="0"/>
          <w:szCs w:val="20"/>
        </w:rPr>
        <w:t>流程图及工艺说明</w:t>
      </w:r>
      <w:r>
        <w:rPr>
          <w:kern w:val="0"/>
          <w:szCs w:val="20"/>
        </w:rPr>
        <w:t>；</w:t>
      </w:r>
    </w:p>
    <w:p>
      <w:pPr>
        <w:tabs>
          <w:tab w:val="center" w:pos="4201"/>
          <w:tab w:val="right" w:leader="dot" w:pos="9298"/>
        </w:tabs>
        <w:autoSpaceDE w:val="0"/>
        <w:autoSpaceDN w:val="0"/>
        <w:ind w:firstLine="420" w:firstLineChars="200"/>
        <w:rPr>
          <w:kern w:val="0"/>
          <w:szCs w:val="20"/>
        </w:rPr>
      </w:pPr>
      <w:r>
        <w:rPr>
          <w:kern w:val="0"/>
          <w:szCs w:val="20"/>
        </w:rPr>
        <w:t>d) 各</w:t>
      </w:r>
      <w:r>
        <w:rPr>
          <w:rFonts w:hint="eastAsia"/>
          <w:kern w:val="0"/>
          <w:szCs w:val="20"/>
        </w:rPr>
        <w:t>工序的</w:t>
      </w:r>
      <w:r>
        <w:rPr>
          <w:kern w:val="0"/>
          <w:szCs w:val="20"/>
        </w:rPr>
        <w:t>数据收集表；</w:t>
      </w:r>
    </w:p>
    <w:p>
      <w:pPr>
        <w:tabs>
          <w:tab w:val="center" w:pos="4201"/>
          <w:tab w:val="right" w:leader="dot" w:pos="9298"/>
        </w:tabs>
        <w:autoSpaceDE w:val="0"/>
        <w:autoSpaceDN w:val="0"/>
        <w:ind w:firstLine="420" w:firstLineChars="200"/>
        <w:rPr>
          <w:kern w:val="0"/>
          <w:szCs w:val="20"/>
        </w:rPr>
      </w:pPr>
      <w:r>
        <w:rPr>
          <w:kern w:val="0"/>
          <w:szCs w:val="20"/>
        </w:rPr>
        <w:t>e) 其他</w:t>
      </w:r>
      <w:r>
        <w:rPr>
          <w:rFonts w:hint="eastAsia"/>
          <w:kern w:val="0"/>
          <w:szCs w:val="20"/>
        </w:rPr>
        <w:t>要求的证明材料</w:t>
      </w:r>
      <w:r>
        <w:rPr>
          <w:kern w:val="0"/>
          <w:szCs w:val="20"/>
        </w:rPr>
        <w:t>。</w:t>
      </w:r>
    </w:p>
    <w:p>
      <w:pPr>
        <w:spacing w:before="312" w:beforeLines="100" w:after="312" w:afterLines="100"/>
        <w:outlineLvl w:val="0"/>
        <w:rPr>
          <w:rFonts w:eastAsia="黑体"/>
          <w:kern w:val="0"/>
          <w:szCs w:val="20"/>
        </w:rPr>
      </w:pPr>
      <w:bookmarkStart w:id="65" w:name="_Toc34746202"/>
      <w:r>
        <w:rPr>
          <w:rFonts w:eastAsia="黑体"/>
          <w:kern w:val="0"/>
          <w:szCs w:val="20"/>
        </w:rPr>
        <w:t>7评价结论</w:t>
      </w:r>
      <w:bookmarkEnd w:id="65"/>
    </w:p>
    <w:p>
      <w:pPr>
        <w:numPr>
          <w:ilvl w:val="2"/>
          <w:numId w:val="0"/>
        </w:numPr>
        <w:spacing w:before="156" w:beforeLines="50" w:after="156" w:afterLines="50"/>
        <w:rPr>
          <w:rFonts w:ascii="黑体" w:hAnsi="黑体" w:eastAsia="黑体"/>
          <w:kern w:val="0"/>
          <w:szCs w:val="21"/>
        </w:rPr>
      </w:pPr>
      <w:r>
        <w:rPr>
          <w:rFonts w:hint="eastAsia" w:ascii="黑体" w:hAnsi="黑体" w:eastAsia="黑体"/>
          <w:kern w:val="0"/>
          <w:szCs w:val="21"/>
        </w:rPr>
        <w:t xml:space="preserve">7.1 </w:t>
      </w:r>
      <w:r>
        <w:rPr>
          <w:rFonts w:ascii="黑体" w:hAnsi="黑体" w:eastAsia="黑体"/>
          <w:kern w:val="0"/>
          <w:szCs w:val="21"/>
        </w:rPr>
        <w:t>结论</w:t>
      </w:r>
    </w:p>
    <w:p>
      <w:pPr>
        <w:tabs>
          <w:tab w:val="center" w:pos="4201"/>
          <w:tab w:val="right" w:leader="dot" w:pos="9298"/>
        </w:tabs>
        <w:autoSpaceDE w:val="0"/>
        <w:autoSpaceDN w:val="0"/>
        <w:ind w:firstLine="420" w:firstLineChars="200"/>
        <w:rPr>
          <w:kern w:val="0"/>
          <w:szCs w:val="20"/>
        </w:rPr>
      </w:pPr>
      <w:r>
        <w:rPr>
          <w:rFonts w:hint="eastAsia"/>
          <w:kern w:val="0"/>
          <w:szCs w:val="20"/>
        </w:rPr>
        <w:t>应说明该产品对评价指标的符合性结论、生命周期评价结果、提出的改进方案，并根据评价结论初步判断该产品是否为绿色设计产品。</w:t>
      </w:r>
    </w:p>
    <w:p>
      <w:pPr>
        <w:numPr>
          <w:ilvl w:val="2"/>
          <w:numId w:val="0"/>
        </w:numPr>
        <w:spacing w:before="156" w:beforeLines="50" w:after="156" w:afterLines="50"/>
        <w:rPr>
          <w:rFonts w:ascii="黑体" w:hAnsi="黑体" w:eastAsia="黑体"/>
          <w:kern w:val="0"/>
          <w:szCs w:val="21"/>
        </w:rPr>
      </w:pPr>
      <w:bookmarkStart w:id="66" w:name="_Toc518656396"/>
      <w:r>
        <w:rPr>
          <w:rFonts w:ascii="黑体" w:hAnsi="黑体" w:eastAsia="黑体"/>
          <w:kern w:val="0"/>
          <w:szCs w:val="21"/>
        </w:rPr>
        <w:t>7</w:t>
      </w:r>
      <w:r>
        <w:rPr>
          <w:rFonts w:hint="eastAsia" w:ascii="黑体" w:hAnsi="黑体" w:eastAsia="黑体"/>
          <w:kern w:val="0"/>
          <w:szCs w:val="21"/>
        </w:rPr>
        <w:t>.2</w:t>
      </w:r>
      <w:r>
        <w:rPr>
          <w:rFonts w:ascii="黑体" w:hAnsi="黑体" w:eastAsia="黑体"/>
          <w:kern w:val="0"/>
          <w:szCs w:val="21"/>
        </w:rPr>
        <w:t xml:space="preserve"> 标识</w:t>
      </w:r>
      <w:bookmarkEnd w:id="66"/>
    </w:p>
    <w:p>
      <w:pPr>
        <w:tabs>
          <w:tab w:val="center" w:pos="4201"/>
          <w:tab w:val="right" w:leader="dot" w:pos="9298"/>
        </w:tabs>
        <w:autoSpaceDE w:val="0"/>
        <w:autoSpaceDN w:val="0"/>
        <w:ind w:firstLine="420" w:firstLineChars="200"/>
        <w:rPr>
          <w:kern w:val="0"/>
          <w:szCs w:val="20"/>
        </w:rPr>
      </w:pPr>
      <w:r>
        <w:rPr>
          <w:rFonts w:hint="eastAsia"/>
          <w:kern w:val="0"/>
          <w:szCs w:val="20"/>
        </w:rPr>
        <w:t>经评价为</w:t>
      </w:r>
      <w:r>
        <w:rPr>
          <w:kern w:val="0"/>
          <w:szCs w:val="20"/>
        </w:rPr>
        <w:t>绿色设计产品</w:t>
      </w:r>
      <w:r>
        <w:rPr>
          <w:rFonts w:hint="eastAsia"/>
          <w:kern w:val="0"/>
          <w:szCs w:val="20"/>
        </w:rPr>
        <w:t>，</w:t>
      </w:r>
      <w:r>
        <w:rPr>
          <w:kern w:val="0"/>
          <w:szCs w:val="20"/>
        </w:rPr>
        <w:t>可按照GB/T 32162的要求粘贴标识。</w:t>
      </w: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p>
      <w:pPr>
        <w:pStyle w:val="32"/>
        <w:tabs>
          <w:tab w:val="left" w:pos="840"/>
        </w:tabs>
        <w:spacing w:after="0"/>
        <w:contextualSpacing/>
        <w:rPr>
          <w:rFonts w:ascii="宋体" w:hAnsi="宋体"/>
        </w:rPr>
      </w:pPr>
    </w:p>
    <w:bookmarkEnd w:id="7"/>
    <w:p>
      <w:pPr>
        <w:pStyle w:val="57"/>
        <w:ind w:firstLine="420"/>
        <w:sectPr>
          <w:footerReference r:id="rId11" w:type="even"/>
          <w:type w:val="nextColumn"/>
          <w:pgSz w:w="11907" w:h="16839"/>
          <w:pgMar w:top="1276" w:right="1418" w:bottom="1191" w:left="1418" w:header="567" w:footer="567" w:gutter="0"/>
          <w:pgNumType w:start="1"/>
          <w:cols w:space="425" w:num="1"/>
          <w:docGrid w:type="linesAndChars" w:linePitch="312" w:charSpace="0"/>
        </w:sectPr>
      </w:pPr>
      <w:bookmarkStart w:id="67" w:name="SectionMark5"/>
      <w:r>
        <w:rPr>
          <w:position w:val="-8"/>
        </w:rPr>
        <w:object>
          <v:shape id="_x0000_i1025" o:spt="75" type="#_x0000_t75" style="height:15.5pt;width: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p>
    <w:p>
      <w:pPr>
        <w:pStyle w:val="74"/>
        <w:widowControl w:val="0"/>
        <w:spacing w:before="0" w:after="0"/>
        <w:ind w:left="0"/>
      </w:pPr>
      <w:r>
        <w:rPr>
          <w:rFonts w:hint="eastAsia"/>
        </w:rPr>
        <w:br w:type="textWrapping"/>
      </w:r>
      <w:bookmarkStart w:id="68" w:name="_Toc34746203"/>
      <w:bookmarkStart w:id="69" w:name="_Toc472431444"/>
      <w:bookmarkStart w:id="70" w:name="_Toc472324964"/>
      <w:r>
        <w:rPr>
          <w:rFonts w:hint="eastAsia"/>
        </w:rPr>
        <w:t>（规范性附录）</w:t>
      </w:r>
      <w:bookmarkEnd w:id="68"/>
    </w:p>
    <w:p>
      <w:pPr>
        <w:pStyle w:val="74"/>
        <w:numPr>
          <w:ilvl w:val="0"/>
          <w:numId w:val="0"/>
        </w:numPr>
        <w:spacing w:before="0" w:after="0"/>
      </w:pPr>
      <w:bookmarkStart w:id="71" w:name="_Toc34746204"/>
      <w:r>
        <w:rPr>
          <w:rFonts w:hint="eastAsia"/>
        </w:rPr>
        <w:t>指标计算</w:t>
      </w:r>
      <w:r>
        <w:t>方法</w:t>
      </w:r>
      <w:bookmarkEnd w:id="71"/>
    </w:p>
    <w:p>
      <w:pPr>
        <w:numPr>
          <w:ilvl w:val="1"/>
          <w:numId w:val="0"/>
        </w:numPr>
        <w:spacing w:before="156" w:beforeLines="50" w:after="156" w:afterLines="50"/>
        <w:rPr>
          <w:rFonts w:ascii="黑体" w:hAnsi="黑体" w:eastAsia="黑体"/>
          <w:kern w:val="0"/>
          <w:szCs w:val="21"/>
        </w:rPr>
      </w:pPr>
      <w:bookmarkStart w:id="72" w:name="_Toc528675648"/>
      <w:r>
        <w:rPr>
          <w:rFonts w:ascii="黑体" w:hAnsi="黑体" w:eastAsia="黑体"/>
          <w:kern w:val="0"/>
          <w:szCs w:val="21"/>
        </w:rPr>
        <w:t>A.1 单位产品</w:t>
      </w:r>
      <w:r>
        <w:rPr>
          <w:rFonts w:hint="eastAsia" w:ascii="黑体" w:hAnsi="黑体" w:eastAsia="黑体"/>
          <w:kern w:val="0"/>
          <w:szCs w:val="21"/>
        </w:rPr>
        <w:t>综合能耗</w:t>
      </w:r>
      <w:bookmarkEnd w:id="72"/>
    </w:p>
    <w:p>
      <w:pPr>
        <w:spacing w:line="360" w:lineRule="auto"/>
        <w:ind w:firstLine="420" w:firstLineChars="200"/>
        <w:rPr>
          <w:rFonts w:cs="宋体"/>
          <w:color w:val="000000"/>
          <w:szCs w:val="21"/>
        </w:rPr>
      </w:pPr>
      <w:r>
        <w:rPr>
          <w:rFonts w:hint="eastAsia" w:cs="宋体"/>
          <w:color w:val="000000"/>
          <w:szCs w:val="21"/>
        </w:rPr>
        <w:t>铸造锭</w:t>
      </w:r>
      <w:r>
        <w:rPr>
          <w:rFonts w:cs="宋体"/>
          <w:color w:val="000000"/>
          <w:szCs w:val="21"/>
        </w:rPr>
        <w:t>、</w:t>
      </w:r>
      <w:r>
        <w:rPr>
          <w:rFonts w:hint="eastAsia" w:cs="宋体"/>
          <w:color w:val="000000"/>
          <w:szCs w:val="21"/>
        </w:rPr>
        <w:t>挤压型材单位产品综合能耗按照</w:t>
      </w:r>
      <w:r>
        <w:rPr>
          <w:rFonts w:cs="宋体"/>
          <w:color w:val="000000"/>
          <w:szCs w:val="21"/>
        </w:rPr>
        <w:t>YS /T 694.1</w:t>
      </w:r>
      <w:r>
        <w:rPr>
          <w:rFonts w:hint="eastAsia" w:cs="宋体"/>
          <w:color w:val="000000"/>
          <w:szCs w:val="21"/>
        </w:rPr>
        <w:t>和YS /T 694.4计算。</w:t>
      </w:r>
    </w:p>
    <w:p>
      <w:pPr>
        <w:numPr>
          <w:ilvl w:val="1"/>
          <w:numId w:val="0"/>
        </w:numPr>
        <w:spacing w:before="156" w:beforeLines="50" w:after="156" w:afterLines="50"/>
        <w:rPr>
          <w:rFonts w:ascii="黑体" w:hAnsi="黑体" w:eastAsia="黑体"/>
        </w:rPr>
      </w:pPr>
      <w:bookmarkStart w:id="73" w:name="_Toc528675658"/>
      <w:r>
        <w:rPr>
          <w:rFonts w:ascii="黑体" w:hAnsi="黑体" w:eastAsia="黑体"/>
          <w:kern w:val="0"/>
          <w:szCs w:val="21"/>
        </w:rPr>
        <w:t>A.</w:t>
      </w:r>
      <w:r>
        <w:rPr>
          <w:rFonts w:hint="eastAsia" w:ascii="黑体" w:hAnsi="黑体" w:eastAsia="黑体"/>
          <w:kern w:val="0"/>
          <w:szCs w:val="21"/>
        </w:rPr>
        <w:t>2单位产品取水量</w:t>
      </w:r>
    </w:p>
    <w:bookmarkEnd w:id="73"/>
    <w:p>
      <w:pPr>
        <w:autoSpaceDE w:val="0"/>
        <w:autoSpaceDN w:val="0"/>
        <w:adjustRightInd w:val="0"/>
        <w:spacing w:line="360" w:lineRule="auto"/>
        <w:ind w:firstLine="420" w:firstLineChars="200"/>
      </w:pPr>
      <w:r>
        <w:rPr>
          <w:rFonts w:hint="eastAsia"/>
        </w:rPr>
        <w:t>单位产品取水量按式（A.1）计算：</w:t>
      </w:r>
    </w:p>
    <w:p>
      <w:pPr>
        <w:jc w:val="center"/>
      </w:pPr>
      <m:oMath>
        <m:r>
          <w:rPr>
            <w:rFonts w:ascii="Cambria Math" w:hAnsi="Cambria Math"/>
          </w:rPr>
          <m:t>V</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W</m:t>
                </m:r>
                <m:ctrlPr>
                  <w:rPr>
                    <w:rFonts w:ascii="Cambria Math" w:hAnsi="Cambria Math"/>
                    <w:i/>
                  </w:rPr>
                </m:ctrlPr>
              </m:e>
              <m:sub>
                <m:r>
                  <w:rPr>
                    <w:rFonts w:ascii="Cambria Math" w:hAnsi="Cambria Math"/>
                  </w:rPr>
                  <m:t>N</m:t>
                </m:r>
                <m:ctrlPr>
                  <w:rPr>
                    <w:rFonts w:ascii="Cambria Math" w:hAnsi="Cambria Math"/>
                    <w:i/>
                  </w:rPr>
                </m:ctrlPr>
              </m:sub>
            </m:sSub>
            <m:ctrlPr>
              <w:rPr>
                <w:rFonts w:ascii="Cambria Math" w:hAnsi="Cambria Math"/>
              </w:rPr>
            </m:ctrlPr>
          </m:num>
          <m:den>
            <m:r>
              <w:rPr>
                <w:rFonts w:ascii="Cambria Math" w:hAnsi="Cambria Math"/>
              </w:rPr>
              <m:t>P</m:t>
            </m:r>
            <m:ctrlPr>
              <w:rPr>
                <w:rFonts w:ascii="Cambria Math" w:hAnsi="Cambria Math"/>
              </w:rPr>
            </m:ctrlPr>
          </m:den>
        </m:f>
      </m:oMath>
      <w:r>
        <w:rPr>
          <w:rFonts w:hint="eastAsia"/>
        </w:rPr>
        <w:t xml:space="preserve">       （</w:t>
      </w:r>
      <w:r>
        <w:t>A.</w:t>
      </w:r>
      <w:r>
        <w:rPr>
          <w:rFonts w:hint="eastAsia"/>
        </w:rPr>
        <w:t>1）</w:t>
      </w:r>
    </w:p>
    <w:p>
      <w:pPr>
        <w:autoSpaceDE w:val="0"/>
        <w:autoSpaceDN w:val="0"/>
        <w:adjustRightInd w:val="0"/>
        <w:rPr>
          <w:color w:val="000000"/>
          <w:szCs w:val="21"/>
        </w:rPr>
      </w:pPr>
      <w:r>
        <w:rPr>
          <w:rFonts w:hint="eastAsia" w:cs="宋体"/>
          <w:color w:val="000000"/>
          <w:szCs w:val="21"/>
        </w:rPr>
        <w:t>式中：</w:t>
      </w:r>
    </w:p>
    <w:p>
      <w:pPr>
        <w:autoSpaceDE w:val="0"/>
        <w:autoSpaceDN w:val="0"/>
        <w:adjustRightInd w:val="0"/>
        <w:ind w:firstLine="420" w:firstLineChars="200"/>
        <w:rPr>
          <w:color w:val="000000"/>
          <w:szCs w:val="21"/>
        </w:rPr>
      </w:pPr>
      <w:r>
        <w:rPr>
          <w:i/>
          <w:iCs/>
          <w:color w:val="000000"/>
          <w:szCs w:val="21"/>
        </w:rPr>
        <w:t xml:space="preserve">V  </w:t>
      </w:r>
      <w:r>
        <w:rPr>
          <w:color w:val="000000"/>
          <w:szCs w:val="21"/>
        </w:rPr>
        <w:t>—— 报告期内单位产品取水量，单位为立方米每吨（m</w:t>
      </w:r>
      <w:r>
        <w:rPr>
          <w:color w:val="000000"/>
          <w:szCs w:val="21"/>
          <w:vertAlign w:val="superscript"/>
        </w:rPr>
        <w:t>3</w:t>
      </w:r>
      <w:r>
        <w:rPr>
          <w:color w:val="000000"/>
          <w:szCs w:val="21"/>
        </w:rPr>
        <w:t>/t）；</w:t>
      </w:r>
    </w:p>
    <w:p>
      <w:pPr>
        <w:autoSpaceDE w:val="0"/>
        <w:autoSpaceDN w:val="0"/>
        <w:adjustRightInd w:val="0"/>
        <w:ind w:left="1260" w:leftChars="200" w:hanging="840" w:hangingChars="400"/>
        <w:rPr>
          <w:color w:val="000000"/>
          <w:szCs w:val="21"/>
        </w:rPr>
      </w:pPr>
      <w:r>
        <w:rPr>
          <w:i/>
          <w:iCs/>
          <w:color w:val="000000"/>
          <w:szCs w:val="21"/>
        </w:rPr>
        <w:t xml:space="preserve">P  </w:t>
      </w:r>
      <w:r>
        <w:rPr>
          <w:color w:val="000000"/>
          <w:szCs w:val="21"/>
        </w:rPr>
        <w:t>—— 报告期内成品量，单位为吨（t）；</w:t>
      </w:r>
    </w:p>
    <w:p>
      <w:pPr>
        <w:autoSpaceDE w:val="0"/>
        <w:autoSpaceDN w:val="0"/>
        <w:adjustRightInd w:val="0"/>
        <w:ind w:left="1260" w:leftChars="200" w:hanging="840" w:hangingChars="400"/>
        <w:rPr>
          <w:color w:val="000000"/>
          <w:szCs w:val="21"/>
        </w:rPr>
      </w:pPr>
      <w:r>
        <w:rPr>
          <w:i/>
          <w:iCs/>
          <w:color w:val="000000"/>
          <w:szCs w:val="21"/>
        </w:rPr>
        <w:t>W</w:t>
      </w:r>
      <w:r>
        <w:rPr>
          <w:iCs/>
          <w:color w:val="000000"/>
          <w:szCs w:val="21"/>
          <w:vertAlign w:val="subscript"/>
        </w:rPr>
        <w:t xml:space="preserve">N </w:t>
      </w:r>
      <w:r>
        <w:rPr>
          <w:color w:val="000000"/>
          <w:szCs w:val="21"/>
        </w:rPr>
        <w:t>—— 报告期内新鲜水（包括主要工业生产用水、辅助生产用水）用量，单位为立方米（m</w:t>
      </w:r>
      <w:r>
        <w:rPr>
          <w:color w:val="000000"/>
          <w:szCs w:val="21"/>
          <w:vertAlign w:val="superscript"/>
        </w:rPr>
        <w:t>3</w:t>
      </w:r>
      <w:r>
        <w:rPr>
          <w:color w:val="000000"/>
          <w:szCs w:val="21"/>
        </w:rPr>
        <w:t>）。</w:t>
      </w:r>
    </w:p>
    <w:p>
      <w:pPr>
        <w:numPr>
          <w:ilvl w:val="1"/>
          <w:numId w:val="0"/>
        </w:numPr>
        <w:spacing w:before="156" w:beforeLines="50" w:after="156" w:afterLines="50"/>
        <w:rPr>
          <w:rFonts w:ascii="黑体" w:hAnsi="黑体" w:eastAsia="黑体"/>
        </w:rPr>
      </w:pPr>
      <w:r>
        <w:rPr>
          <w:rFonts w:ascii="黑体" w:hAnsi="黑体" w:eastAsia="黑体"/>
          <w:kern w:val="0"/>
          <w:szCs w:val="21"/>
        </w:rPr>
        <w:t>A.3</w:t>
      </w:r>
      <w:r>
        <w:rPr>
          <w:rFonts w:hint="eastAsia" w:ascii="黑体" w:hAnsi="黑体" w:eastAsia="黑体"/>
          <w:kern w:val="0"/>
          <w:szCs w:val="21"/>
        </w:rPr>
        <w:t>产品回收率</w:t>
      </w:r>
    </w:p>
    <w:p>
      <w:pPr>
        <w:autoSpaceDE w:val="0"/>
        <w:autoSpaceDN w:val="0"/>
        <w:adjustRightInd w:val="0"/>
        <w:spacing w:line="360" w:lineRule="auto"/>
        <w:ind w:firstLine="420" w:firstLineChars="200"/>
      </w:pPr>
      <w:r>
        <w:rPr>
          <w:rFonts w:hint="eastAsia"/>
        </w:rPr>
        <w:t>产品回收</w:t>
      </w:r>
      <w:r>
        <w:t>率</w:t>
      </w:r>
      <w:r>
        <w:rPr>
          <w:rFonts w:hint="eastAsia"/>
        </w:rPr>
        <w:t>按式（A.</w:t>
      </w:r>
      <w:r>
        <w:t>2</w:t>
      </w:r>
      <w:r>
        <w:rPr>
          <w:rFonts w:hint="eastAsia"/>
        </w:rPr>
        <w:t>）计算：</w:t>
      </w:r>
    </w:p>
    <w:p>
      <w:pPr>
        <w:jc w:val="center"/>
      </w:pPr>
      <w:r>
        <w:rPr>
          <w:rFonts w:ascii="Cambria Math" w:hAnsi="Cambria Math"/>
        </w:rPr>
        <w:br w:type="textWrapping"/>
      </w:r>
      <m:oMath>
        <m:r>
          <w:rPr>
            <w:rFonts w:ascii="Cambria Math" w:hAnsi="Cambria Math"/>
          </w:rPr>
          <m:t>R</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R</m:t>
                </m:r>
                <m:ctrlPr>
                  <w:rPr>
                    <w:rFonts w:ascii="Cambria Math" w:hAnsi="Cambria Math"/>
                    <w:i/>
                  </w:rPr>
                </m:ctrlPr>
              </m:sub>
            </m:sSub>
            <m:ctrlPr>
              <w:rPr>
                <w:rFonts w:ascii="Cambria Math" w:hAnsi="Cambria Math"/>
              </w:rPr>
            </m:ctrlPr>
          </m:num>
          <m:den>
            <m:r>
              <w:rPr>
                <w:rFonts w:ascii="Cambria Math" w:hAnsi="Cambria Math"/>
              </w:rPr>
              <m:t>P</m:t>
            </m:r>
            <m:ctrlPr>
              <w:rPr>
                <w:rFonts w:ascii="Cambria Math" w:hAnsi="Cambria Math"/>
              </w:rPr>
            </m:ctrlPr>
          </m:den>
        </m:f>
      </m:oMath>
      <w:r>
        <w:t xml:space="preserve">     </w:t>
      </w:r>
      <w:r>
        <w:rPr>
          <w:rFonts w:hint="eastAsia"/>
        </w:rPr>
        <w:t>（</w:t>
      </w:r>
      <w:r>
        <w:t>A.2</w:t>
      </w:r>
      <w:r>
        <w:rPr>
          <w:rFonts w:hint="eastAsia"/>
        </w:rPr>
        <w:t>）</w:t>
      </w:r>
    </w:p>
    <w:p>
      <w:pPr>
        <w:jc w:val="center"/>
      </w:pPr>
      <w:r>
        <w:rPr>
          <w:rFonts w:hint="eastAsia"/>
        </w:rPr>
        <w:t xml:space="preserve">      </w:t>
      </w:r>
    </w:p>
    <w:p>
      <w:pPr>
        <w:autoSpaceDE w:val="0"/>
        <w:autoSpaceDN w:val="0"/>
        <w:adjustRightInd w:val="0"/>
        <w:rPr>
          <w:color w:val="000000"/>
          <w:szCs w:val="21"/>
        </w:rPr>
      </w:pPr>
      <w:r>
        <w:rPr>
          <w:rFonts w:hint="eastAsia" w:cs="宋体"/>
          <w:color w:val="000000"/>
          <w:szCs w:val="21"/>
        </w:rPr>
        <w:t>式中：</w:t>
      </w:r>
    </w:p>
    <w:p>
      <w:pPr>
        <w:autoSpaceDE w:val="0"/>
        <w:autoSpaceDN w:val="0"/>
        <w:adjustRightInd w:val="0"/>
        <w:ind w:firstLine="420" w:firstLineChars="200"/>
        <w:rPr>
          <w:color w:val="000000"/>
          <w:szCs w:val="21"/>
        </w:rPr>
      </w:pPr>
      <w:r>
        <w:rPr>
          <w:i/>
          <w:iCs/>
          <w:color w:val="000000"/>
          <w:szCs w:val="21"/>
        </w:rPr>
        <w:t xml:space="preserve">R  </w:t>
      </w:r>
      <w:r>
        <w:rPr>
          <w:color w:val="000000"/>
          <w:szCs w:val="21"/>
        </w:rPr>
        <w:t xml:space="preserve">—— </w:t>
      </w:r>
      <w:r>
        <w:rPr>
          <w:rFonts w:hint="eastAsia"/>
          <w:color w:val="000000"/>
          <w:szCs w:val="21"/>
        </w:rPr>
        <w:t>产品</w:t>
      </w:r>
      <w:r>
        <w:rPr>
          <w:color w:val="000000"/>
          <w:szCs w:val="21"/>
        </w:rPr>
        <w:t>回收率，单位为</w:t>
      </w:r>
      <w:r>
        <w:rPr>
          <w:rFonts w:hint="eastAsia"/>
          <w:color w:val="000000"/>
          <w:szCs w:val="21"/>
        </w:rPr>
        <w:t>%</w:t>
      </w:r>
      <w:r>
        <w:rPr>
          <w:color w:val="000000"/>
          <w:szCs w:val="21"/>
        </w:rPr>
        <w:t>；</w:t>
      </w:r>
    </w:p>
    <w:p>
      <w:pPr>
        <w:autoSpaceDE w:val="0"/>
        <w:autoSpaceDN w:val="0"/>
        <w:adjustRightInd w:val="0"/>
        <w:ind w:left="1260" w:leftChars="200" w:hanging="840" w:hangingChars="400"/>
        <w:rPr>
          <w:color w:val="000000"/>
          <w:szCs w:val="21"/>
        </w:rPr>
      </w:pPr>
      <w:r>
        <w:rPr>
          <w:i/>
          <w:iCs/>
          <w:color w:val="000000"/>
          <w:szCs w:val="21"/>
        </w:rPr>
        <w:t xml:space="preserve">P  </w:t>
      </w:r>
      <w:r>
        <w:rPr>
          <w:color w:val="000000"/>
          <w:szCs w:val="21"/>
        </w:rPr>
        <w:t>—— 报告期内成品量，单位为吨（t）；</w:t>
      </w:r>
    </w:p>
    <w:p>
      <w:pPr>
        <w:autoSpaceDE w:val="0"/>
        <w:autoSpaceDN w:val="0"/>
        <w:adjustRightInd w:val="0"/>
        <w:ind w:left="1260" w:leftChars="200" w:hanging="840" w:hangingChars="400"/>
        <w:rPr>
          <w:color w:val="000000"/>
          <w:szCs w:val="21"/>
        </w:rPr>
      </w:pPr>
      <w:r>
        <w:rPr>
          <w:i/>
          <w:iCs/>
          <w:color w:val="000000"/>
          <w:szCs w:val="21"/>
        </w:rPr>
        <w:t>P</w:t>
      </w:r>
      <w:r>
        <w:rPr>
          <w:i/>
          <w:iCs/>
          <w:color w:val="000000"/>
          <w:szCs w:val="21"/>
          <w:vertAlign w:val="subscript"/>
        </w:rPr>
        <w:t>R</w:t>
      </w:r>
      <w:r>
        <w:rPr>
          <w:iCs/>
          <w:color w:val="000000"/>
          <w:szCs w:val="21"/>
          <w:vertAlign w:val="subscript"/>
        </w:rPr>
        <w:t xml:space="preserve"> </w:t>
      </w:r>
      <w:r>
        <w:rPr>
          <w:color w:val="000000"/>
          <w:szCs w:val="21"/>
        </w:rPr>
        <w:t>—— 报告期内</w:t>
      </w:r>
      <w:r>
        <w:rPr>
          <w:rFonts w:hint="eastAsia"/>
          <w:color w:val="000000"/>
          <w:szCs w:val="21"/>
        </w:rPr>
        <w:t>回收报废</w:t>
      </w:r>
      <w:r>
        <w:rPr>
          <w:color w:val="000000"/>
          <w:szCs w:val="21"/>
        </w:rPr>
        <w:t>的</w:t>
      </w:r>
      <w:r>
        <w:rPr>
          <w:rFonts w:hint="eastAsia"/>
          <w:color w:val="000000"/>
          <w:szCs w:val="21"/>
        </w:rPr>
        <w:t>刚性导电汇流排铝型材</w:t>
      </w:r>
      <w:r>
        <w:rPr>
          <w:color w:val="000000"/>
          <w:szCs w:val="21"/>
        </w:rPr>
        <w:t>量，单位为</w:t>
      </w:r>
      <w:r>
        <w:rPr>
          <w:rFonts w:hint="eastAsia"/>
          <w:color w:val="000000"/>
          <w:szCs w:val="21"/>
        </w:rPr>
        <w:t>吨</w:t>
      </w:r>
      <w:r>
        <w:rPr>
          <w:color w:val="000000"/>
          <w:szCs w:val="21"/>
        </w:rPr>
        <w:t>（t）。</w:t>
      </w:r>
    </w:p>
    <w:p>
      <w:pPr>
        <w:pStyle w:val="57"/>
        <w:spacing w:line="360" w:lineRule="auto"/>
        <w:ind w:firstLine="0" w:firstLineChars="0"/>
      </w:pPr>
    </w:p>
    <w:p>
      <w:pPr>
        <w:pStyle w:val="57"/>
        <w:ind w:firstLine="420"/>
      </w:pPr>
    </w:p>
    <w:p>
      <w:pPr>
        <w:pStyle w:val="57"/>
        <w:ind w:firstLine="420"/>
      </w:pPr>
    </w:p>
    <w:p>
      <w:pPr>
        <w:pStyle w:val="57"/>
        <w:ind w:firstLine="420"/>
      </w:pPr>
    </w:p>
    <w:p>
      <w:pPr>
        <w:rPr>
          <w:rFonts w:ascii="宋体"/>
          <w:kern w:val="0"/>
          <w:szCs w:val="20"/>
        </w:rPr>
      </w:pPr>
      <w:r>
        <w:br w:type="page"/>
      </w:r>
    </w:p>
    <w:p>
      <w:pPr>
        <w:pStyle w:val="74"/>
        <w:spacing w:before="0" w:after="0"/>
        <w:ind w:left="0"/>
      </w:pPr>
      <w:r>
        <w:rPr>
          <w:rFonts w:hint="eastAsia"/>
        </w:rPr>
        <w:br w:type="textWrapping"/>
      </w:r>
      <w:bookmarkEnd w:id="69"/>
      <w:bookmarkEnd w:id="70"/>
      <w:bookmarkStart w:id="74" w:name="_Toc34746205"/>
      <w:r>
        <w:rPr>
          <w:rFonts w:hint="eastAsia"/>
        </w:rPr>
        <w:t>（资料性附录）</w:t>
      </w:r>
      <w:bookmarkEnd w:id="74"/>
    </w:p>
    <w:p>
      <w:pPr>
        <w:pStyle w:val="74"/>
        <w:numPr>
          <w:ilvl w:val="0"/>
          <w:numId w:val="0"/>
        </w:numPr>
        <w:spacing w:before="0" w:after="0"/>
      </w:pPr>
      <w:bookmarkStart w:id="75" w:name="_Toc34746206"/>
      <w:r>
        <w:rPr>
          <w:rFonts w:hint="eastAsia"/>
        </w:rPr>
        <w:t>生命周期评价方法</w:t>
      </w:r>
      <w:bookmarkEnd w:id="75"/>
    </w:p>
    <w:p>
      <w:pPr>
        <w:numPr>
          <w:ilvl w:val="1"/>
          <w:numId w:val="0"/>
        </w:numPr>
        <w:spacing w:before="312" w:beforeLines="100" w:after="156" w:afterLines="50"/>
        <w:rPr>
          <w:rFonts w:ascii="黑体" w:hAnsi="黑体" w:eastAsia="黑体"/>
          <w:kern w:val="0"/>
          <w:szCs w:val="21"/>
        </w:rPr>
      </w:pPr>
      <w:r>
        <w:rPr>
          <w:rFonts w:hint="eastAsia" w:ascii="黑体" w:hAnsi="黑体" w:eastAsia="黑体"/>
          <w:kern w:val="0"/>
          <w:szCs w:val="21"/>
        </w:rPr>
        <w:t>B.1 评价</w:t>
      </w:r>
      <w:r>
        <w:rPr>
          <w:rFonts w:ascii="黑体" w:hAnsi="黑体" w:eastAsia="黑体"/>
          <w:kern w:val="0"/>
          <w:szCs w:val="21"/>
        </w:rPr>
        <w:t>流程</w:t>
      </w:r>
    </w:p>
    <w:p>
      <w:pPr>
        <w:numPr>
          <w:ilvl w:val="1"/>
          <w:numId w:val="0"/>
        </w:numPr>
        <w:spacing w:before="156" w:beforeLines="50"/>
        <w:ind w:firstLine="420"/>
        <w:rPr>
          <w:kern w:val="0"/>
          <w:szCs w:val="21"/>
        </w:rPr>
      </w:pPr>
      <w:r>
        <w:rPr>
          <w:rFonts w:hint="eastAsia"/>
          <w:kern w:val="0"/>
          <w:szCs w:val="21"/>
        </w:rPr>
        <w:t>刚性导电汇流排铝型材的全生命</w:t>
      </w:r>
      <w:r>
        <w:rPr>
          <w:kern w:val="0"/>
          <w:szCs w:val="21"/>
        </w:rPr>
        <w:t>周期评价主要</w:t>
      </w:r>
      <w:r>
        <w:rPr>
          <w:rFonts w:hint="eastAsia"/>
          <w:kern w:val="0"/>
          <w:szCs w:val="21"/>
        </w:rPr>
        <w:t>包括4个</w:t>
      </w:r>
      <w:r>
        <w:rPr>
          <w:kern w:val="0"/>
          <w:szCs w:val="21"/>
        </w:rPr>
        <w:t>阶段</w:t>
      </w:r>
      <w:r>
        <w:rPr>
          <w:rFonts w:hint="eastAsia"/>
          <w:kern w:val="0"/>
          <w:szCs w:val="21"/>
        </w:rPr>
        <w:t>：</w:t>
      </w:r>
    </w:p>
    <w:p>
      <w:pPr>
        <w:numPr>
          <w:ilvl w:val="1"/>
          <w:numId w:val="0"/>
        </w:numPr>
        <w:ind w:firstLine="420"/>
        <w:rPr>
          <w:kern w:val="0"/>
          <w:szCs w:val="20"/>
        </w:rPr>
      </w:pPr>
      <w:r>
        <w:rPr>
          <w:rFonts w:hint="eastAsia"/>
          <w:kern w:val="0"/>
          <w:szCs w:val="20"/>
        </w:rPr>
        <w:t>a) 目的</w:t>
      </w:r>
      <w:r>
        <w:rPr>
          <w:kern w:val="0"/>
          <w:szCs w:val="20"/>
        </w:rPr>
        <w:t>和范围的确定</w:t>
      </w:r>
      <w:r>
        <w:rPr>
          <w:rFonts w:hint="eastAsia"/>
          <w:kern w:val="0"/>
          <w:szCs w:val="20"/>
        </w:rPr>
        <w:t>；</w:t>
      </w:r>
    </w:p>
    <w:p>
      <w:pPr>
        <w:numPr>
          <w:ilvl w:val="1"/>
          <w:numId w:val="0"/>
        </w:numPr>
        <w:ind w:firstLine="420"/>
        <w:rPr>
          <w:kern w:val="0"/>
          <w:szCs w:val="20"/>
        </w:rPr>
      </w:pPr>
      <w:r>
        <w:rPr>
          <w:rFonts w:hint="eastAsia"/>
          <w:kern w:val="0"/>
          <w:szCs w:val="20"/>
        </w:rPr>
        <w:t>b) 清单分析；</w:t>
      </w:r>
    </w:p>
    <w:p>
      <w:pPr>
        <w:numPr>
          <w:ilvl w:val="1"/>
          <w:numId w:val="0"/>
        </w:numPr>
        <w:ind w:firstLine="420"/>
        <w:rPr>
          <w:kern w:val="0"/>
          <w:szCs w:val="20"/>
        </w:rPr>
      </w:pPr>
      <w:r>
        <w:rPr>
          <w:rFonts w:hint="eastAsia"/>
          <w:kern w:val="0"/>
          <w:szCs w:val="20"/>
        </w:rPr>
        <w:t>c) 影响评价；</w:t>
      </w:r>
    </w:p>
    <w:p>
      <w:pPr>
        <w:numPr>
          <w:ilvl w:val="1"/>
          <w:numId w:val="0"/>
        </w:numPr>
        <w:ind w:firstLine="420"/>
        <w:rPr>
          <w:kern w:val="0"/>
          <w:szCs w:val="20"/>
        </w:rPr>
      </w:pPr>
      <w:r>
        <w:rPr>
          <w:rFonts w:hint="eastAsia"/>
          <w:kern w:val="0"/>
          <w:szCs w:val="20"/>
        </w:rPr>
        <w:t>d) 结果解释。</w:t>
      </w:r>
    </w:p>
    <w:p>
      <w:pPr>
        <w:numPr>
          <w:ilvl w:val="1"/>
          <w:numId w:val="0"/>
        </w:numPr>
        <w:spacing w:before="156" w:beforeLines="50" w:after="156" w:afterLines="50"/>
        <w:rPr>
          <w:rFonts w:ascii="黑体" w:hAnsi="黑体" w:eastAsia="黑体"/>
          <w:kern w:val="0"/>
          <w:szCs w:val="21"/>
        </w:rPr>
      </w:pPr>
      <w:r>
        <w:rPr>
          <w:rFonts w:hint="eastAsia" w:ascii="黑体" w:hAnsi="黑体" w:eastAsia="黑体"/>
          <w:kern w:val="0"/>
          <w:szCs w:val="21"/>
        </w:rPr>
        <w:t>B.2 评价目的</w:t>
      </w:r>
      <w:r>
        <w:rPr>
          <w:rFonts w:ascii="黑体" w:hAnsi="黑体" w:eastAsia="黑体"/>
          <w:kern w:val="0"/>
          <w:szCs w:val="21"/>
        </w:rPr>
        <w:t>和</w:t>
      </w:r>
      <w:r>
        <w:rPr>
          <w:rFonts w:hint="eastAsia" w:ascii="黑体" w:hAnsi="黑体" w:eastAsia="黑体"/>
          <w:kern w:val="0"/>
          <w:szCs w:val="21"/>
        </w:rPr>
        <w:t>范围</w:t>
      </w:r>
    </w:p>
    <w:p>
      <w:pPr>
        <w:numPr>
          <w:ilvl w:val="1"/>
          <w:numId w:val="0"/>
        </w:numPr>
        <w:spacing w:before="156" w:beforeLines="50" w:after="156" w:afterLines="50"/>
        <w:rPr>
          <w:rFonts w:ascii="黑体" w:hAnsi="黑体" w:eastAsia="黑体"/>
          <w:kern w:val="0"/>
          <w:szCs w:val="21"/>
        </w:rPr>
      </w:pPr>
      <w:r>
        <w:rPr>
          <w:rFonts w:hint="eastAsia" w:ascii="黑体" w:hAnsi="黑体" w:eastAsia="黑体"/>
          <w:kern w:val="0"/>
          <w:szCs w:val="21"/>
        </w:rPr>
        <w:t>B</w:t>
      </w:r>
      <w:r>
        <w:rPr>
          <w:rFonts w:ascii="黑体" w:hAnsi="黑体" w:eastAsia="黑体"/>
          <w:kern w:val="0"/>
          <w:szCs w:val="21"/>
        </w:rPr>
        <w:t>.</w:t>
      </w:r>
      <w:r>
        <w:rPr>
          <w:rFonts w:hint="eastAsia" w:ascii="黑体" w:hAnsi="黑体" w:eastAsia="黑体"/>
          <w:kern w:val="0"/>
          <w:szCs w:val="21"/>
        </w:rPr>
        <w:t>2.1</w:t>
      </w:r>
      <w:r>
        <w:rPr>
          <w:rFonts w:ascii="黑体" w:hAnsi="黑体" w:eastAsia="黑体"/>
          <w:kern w:val="0"/>
          <w:szCs w:val="21"/>
        </w:rPr>
        <w:t xml:space="preserve"> </w:t>
      </w:r>
      <w:r>
        <w:rPr>
          <w:rFonts w:hint="eastAsia" w:ascii="黑体" w:hAnsi="黑体" w:eastAsia="黑体"/>
          <w:kern w:val="0"/>
          <w:szCs w:val="21"/>
        </w:rPr>
        <w:t>评价</w:t>
      </w:r>
      <w:r>
        <w:rPr>
          <w:rFonts w:ascii="黑体" w:hAnsi="黑体" w:eastAsia="黑体"/>
          <w:kern w:val="0"/>
          <w:szCs w:val="21"/>
        </w:rPr>
        <w:t>目的</w:t>
      </w:r>
    </w:p>
    <w:p>
      <w:pPr>
        <w:numPr>
          <w:ilvl w:val="1"/>
          <w:numId w:val="0"/>
        </w:numPr>
        <w:spacing w:before="156" w:beforeLines="50"/>
        <w:ind w:firstLine="420"/>
        <w:rPr>
          <w:kern w:val="0"/>
          <w:szCs w:val="21"/>
        </w:rPr>
      </w:pPr>
      <w:r>
        <w:rPr>
          <w:rFonts w:hint="eastAsia"/>
          <w:kern w:val="0"/>
          <w:szCs w:val="21"/>
        </w:rPr>
        <w:t>通过</w:t>
      </w:r>
      <w:r>
        <w:rPr>
          <w:kern w:val="0"/>
          <w:szCs w:val="21"/>
        </w:rPr>
        <w:t>调查刚性导电汇流排铝型材</w:t>
      </w:r>
      <w:r>
        <w:rPr>
          <w:rFonts w:hint="eastAsia"/>
          <w:kern w:val="0"/>
          <w:szCs w:val="21"/>
        </w:rPr>
        <w:t>的原材料采集、产品生产过程中各项消耗和排放等数据，量化分析刚性导电汇流铝排型材的环境影响，为产品的绿色设计、工艺改进等提供支持。</w:t>
      </w:r>
    </w:p>
    <w:p>
      <w:pPr>
        <w:numPr>
          <w:ilvl w:val="1"/>
          <w:numId w:val="0"/>
        </w:numPr>
        <w:spacing w:before="156" w:beforeLines="50" w:after="156" w:afterLines="50"/>
        <w:rPr>
          <w:rFonts w:ascii="黑体" w:hAnsi="黑体" w:eastAsia="黑体"/>
          <w:kern w:val="0"/>
          <w:szCs w:val="21"/>
        </w:rPr>
      </w:pPr>
      <w:r>
        <w:rPr>
          <w:rFonts w:hint="eastAsia" w:ascii="黑体" w:hAnsi="黑体" w:eastAsia="黑体"/>
          <w:kern w:val="0"/>
          <w:szCs w:val="21"/>
        </w:rPr>
        <w:t>B.2.</w:t>
      </w:r>
      <w:r>
        <w:rPr>
          <w:rFonts w:ascii="黑体" w:hAnsi="黑体" w:eastAsia="黑体"/>
          <w:kern w:val="0"/>
          <w:szCs w:val="21"/>
        </w:rPr>
        <w:t>2</w:t>
      </w:r>
      <w:r>
        <w:rPr>
          <w:rFonts w:hint="eastAsia" w:ascii="黑体" w:hAnsi="黑体" w:eastAsia="黑体"/>
          <w:kern w:val="0"/>
          <w:szCs w:val="21"/>
        </w:rPr>
        <w:t xml:space="preserve"> 功能单位</w:t>
      </w:r>
    </w:p>
    <w:p>
      <w:pPr>
        <w:numPr>
          <w:ilvl w:val="1"/>
          <w:numId w:val="0"/>
        </w:numPr>
        <w:spacing w:before="156" w:beforeLines="50"/>
        <w:ind w:firstLine="420"/>
        <w:rPr>
          <w:kern w:val="0"/>
          <w:szCs w:val="21"/>
        </w:rPr>
      </w:pPr>
      <w:r>
        <w:rPr>
          <w:rFonts w:hint="eastAsia"/>
          <w:kern w:val="0"/>
          <w:szCs w:val="21"/>
        </w:rPr>
        <w:t>本方法以生产1t刚性导电汇流排铝型材产品为功能单位。</w:t>
      </w:r>
    </w:p>
    <w:p>
      <w:pPr>
        <w:numPr>
          <w:ilvl w:val="1"/>
          <w:numId w:val="0"/>
        </w:numPr>
        <w:spacing w:before="156" w:beforeLines="50" w:after="156" w:afterLines="50"/>
        <w:rPr>
          <w:rFonts w:ascii="黑体" w:hAnsi="黑体" w:eastAsia="黑体"/>
          <w:kern w:val="0"/>
          <w:szCs w:val="21"/>
        </w:rPr>
      </w:pPr>
      <w:r>
        <w:rPr>
          <w:rFonts w:hint="eastAsia" w:ascii="黑体" w:hAnsi="黑体" w:eastAsia="黑体"/>
          <w:kern w:val="0"/>
          <w:szCs w:val="21"/>
        </w:rPr>
        <w:t>B.2.</w:t>
      </w:r>
      <w:r>
        <w:rPr>
          <w:rFonts w:ascii="黑体" w:hAnsi="黑体" w:eastAsia="黑体"/>
          <w:kern w:val="0"/>
          <w:szCs w:val="21"/>
        </w:rPr>
        <w:t>3</w:t>
      </w:r>
      <w:r>
        <w:rPr>
          <w:rFonts w:hint="eastAsia" w:ascii="黑体" w:hAnsi="黑体" w:eastAsia="黑体"/>
          <w:kern w:val="0"/>
          <w:szCs w:val="21"/>
        </w:rPr>
        <w:t xml:space="preserve"> 系统边界</w:t>
      </w:r>
    </w:p>
    <w:p>
      <w:pPr>
        <w:numPr>
          <w:ilvl w:val="1"/>
          <w:numId w:val="0"/>
        </w:numPr>
        <w:spacing w:before="156" w:beforeLines="50"/>
        <w:ind w:firstLine="420"/>
        <w:rPr>
          <w:kern w:val="0"/>
          <w:szCs w:val="21"/>
        </w:rPr>
      </w:pPr>
      <w:r>
        <w:rPr>
          <w:rFonts w:hint="eastAsia"/>
          <w:kern w:val="0"/>
          <w:szCs w:val="21"/>
        </w:rPr>
        <w:t>本规范界定的刚性导电汇流排铝型材的生命周期评价的系统边界详见图B-1，主要包括原材料获取及产品生产阶段。</w:t>
      </w:r>
    </w:p>
    <w:p>
      <w:pPr>
        <w:numPr>
          <w:ilvl w:val="1"/>
          <w:numId w:val="0"/>
        </w:numPr>
        <w:jc w:val="center"/>
        <w:rPr>
          <w:kern w:val="0"/>
          <w:szCs w:val="21"/>
        </w:rPr>
      </w:pPr>
      <w:r>
        <w:rPr>
          <w:rFonts w:ascii="黑体" w:hAnsi="黑体" w:eastAsia="黑体"/>
          <w:color w:val="000000" w:themeColor="text1"/>
          <w:kern w:val="0"/>
          <w:szCs w:val="21"/>
          <w14:textFill>
            <w14:solidFill>
              <w14:schemeClr w14:val="tx1"/>
            </w14:solidFill>
          </w14:textFill>
        </w:rPr>
        <mc:AlternateContent>
          <mc:Choice Requires="wpc">
            <w:drawing>
              <wp:inline distT="0" distB="0" distL="0" distR="0">
                <wp:extent cx="5816600" cy="3479800"/>
                <wp:effectExtent l="0" t="0" r="12700" b="2540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6350">
                          <a:solidFill>
                            <a:schemeClr val="tx1"/>
                          </a:solidFill>
                        </a:ln>
                      </wpc:whole>
                      <wps:wsp>
                        <wps:cNvPr id="3" name="矩形 3"/>
                        <wps:cNvSpPr/>
                        <wps:spPr>
                          <a:xfrm>
                            <a:off x="1003300" y="552505"/>
                            <a:ext cx="1155700" cy="488950"/>
                          </a:xfrm>
                          <a:prstGeom prst="rect">
                            <a:avLst/>
                          </a:prstGeom>
                          <a:noFill/>
                          <a:ln w="12700" cap="flat" cmpd="sng" algn="ctr">
                            <a:solidFill>
                              <a:schemeClr val="tx1"/>
                            </a:solidFill>
                            <a:prstDash val="solid"/>
                            <a:miter lim="800000"/>
                          </a:ln>
                          <a:effectLst/>
                        </wps:spPr>
                        <wps:txbx>
                          <w:txbxContent>
                            <w:p>
                              <w:pPr>
                                <w:jc w:val="center"/>
                              </w:pPr>
                              <w:r>
                                <w:rPr>
                                  <w:rFonts w:hint="eastAsia"/>
                                </w:rPr>
                                <w:t>原辅料生产</w:t>
                              </w:r>
                              <w:r>
                                <w:t>加工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矩形 36"/>
                        <wps:cNvSpPr/>
                        <wps:spPr>
                          <a:xfrm>
                            <a:off x="1003300" y="1316705"/>
                            <a:ext cx="1155700" cy="488950"/>
                          </a:xfrm>
                          <a:prstGeom prst="rect">
                            <a:avLst/>
                          </a:prstGeom>
                          <a:noFill/>
                          <a:ln w="12700" cap="flat" cmpd="sng" algn="ctr">
                            <a:solidFill>
                              <a:schemeClr val="tx1"/>
                            </a:solidFill>
                            <a:prstDash val="solid"/>
                            <a:miter lim="800000"/>
                          </a:ln>
                          <a:effectLst/>
                        </wps:spPr>
                        <wps:txbx>
                          <w:txbxContent>
                            <w:p>
                              <w:pPr>
                                <w:pStyle w:val="30"/>
                                <w:spacing w:before="0" w:beforeAutospacing="0" w:after="0" w:afterAutospacing="0"/>
                                <w:jc w:val="center"/>
                              </w:pPr>
                              <w:r>
                                <w:rPr>
                                  <w:rFonts w:hint="eastAsia" w:ascii="Times New Roman"/>
                                  <w:kern w:val="2"/>
                                  <w:sz w:val="21"/>
                                  <w:szCs w:val="21"/>
                                </w:rPr>
                                <w:t>原辅料运输</w:t>
                              </w:r>
                            </w:p>
                          </w:txbxContent>
                        </wps:txbx>
                        <wps:bodyPr rot="0" spcFirstLastPara="0" vert="horz" wrap="square" lIns="91440" tIns="45720" rIns="91440" bIns="45720" numCol="1" spcCol="0" rtlCol="0" fromWordArt="0" anchor="ctr" anchorCtr="0" forceAA="0" compatLnSpc="1">
                          <a:noAutofit/>
                        </wps:bodyPr>
                      </wps:wsp>
                      <wps:wsp>
                        <wps:cNvPr id="49" name="矩形 49"/>
                        <wps:cNvSpPr/>
                        <wps:spPr>
                          <a:xfrm>
                            <a:off x="1047750" y="2504155"/>
                            <a:ext cx="1155700" cy="488950"/>
                          </a:xfrm>
                          <a:prstGeom prst="rect">
                            <a:avLst/>
                          </a:prstGeom>
                          <a:noFill/>
                          <a:ln w="12700" cap="flat" cmpd="sng" algn="ctr">
                            <a:solidFill>
                              <a:schemeClr val="tx1"/>
                            </a:solidFill>
                            <a:prstDash val="solid"/>
                            <a:miter lim="800000"/>
                          </a:ln>
                          <a:effectLst/>
                        </wps:spPr>
                        <wps:txbx>
                          <w:txbxContent>
                            <w:p>
                              <w:pPr>
                                <w:pStyle w:val="30"/>
                                <w:spacing w:before="0" w:beforeAutospacing="0" w:after="0" w:afterAutospacing="0"/>
                                <w:jc w:val="center"/>
                              </w:pPr>
                              <w:r>
                                <w:rPr>
                                  <w:rFonts w:hint="eastAsia" w:ascii="Times New Roman"/>
                                  <w:kern w:val="2"/>
                                  <w:sz w:val="21"/>
                                  <w:szCs w:val="21"/>
                                </w:rPr>
                                <w:t>产品生产</w:t>
                              </w:r>
                            </w:p>
                          </w:txbxContent>
                        </wps:txbx>
                        <wps:bodyPr rot="0" spcFirstLastPara="0" vert="horz" wrap="square" lIns="91440" tIns="45720" rIns="91440" bIns="45720" numCol="1" spcCol="0" rtlCol="0" fromWordArt="0" anchor="ctr" anchorCtr="0" forceAA="0" compatLnSpc="1">
                          <a:noAutofit/>
                        </wps:bodyPr>
                      </wps:wsp>
                      <wps:wsp>
                        <wps:cNvPr id="50" name="矩形 50"/>
                        <wps:cNvSpPr/>
                        <wps:spPr>
                          <a:xfrm>
                            <a:off x="2588850" y="556683"/>
                            <a:ext cx="867750" cy="488950"/>
                          </a:xfrm>
                          <a:prstGeom prst="rect">
                            <a:avLst/>
                          </a:prstGeom>
                          <a:noFill/>
                          <a:ln w="12700" cap="flat" cmpd="sng" algn="ctr">
                            <a:solidFill>
                              <a:schemeClr val="tx1"/>
                            </a:solidFill>
                            <a:prstDash val="solid"/>
                            <a:miter lim="800000"/>
                          </a:ln>
                          <a:effectLst/>
                        </wps:spPr>
                        <wps:txbx>
                          <w:txbxContent>
                            <w:p>
                              <w:pPr>
                                <w:pStyle w:val="30"/>
                                <w:spacing w:before="0" w:beforeAutospacing="0" w:after="0" w:afterAutospacing="0"/>
                                <w:jc w:val="center"/>
                              </w:pPr>
                              <w:r>
                                <w:rPr>
                                  <w:rFonts w:hint="eastAsia" w:ascii="Times New Roman"/>
                                  <w:kern w:val="2"/>
                                  <w:sz w:val="21"/>
                                  <w:szCs w:val="21"/>
                                </w:rPr>
                                <w:t>铝锭等</w:t>
                              </w:r>
                              <w:r>
                                <w:rPr>
                                  <w:rFonts w:ascii="Times New Roman"/>
                                  <w:kern w:val="2"/>
                                  <w:sz w:val="21"/>
                                  <w:szCs w:val="21"/>
                                </w:rPr>
                                <w:t>生产</w:t>
                              </w:r>
                            </w:p>
                          </w:txbxContent>
                        </wps:txbx>
                        <wps:bodyPr rot="0" spcFirstLastPara="0" vert="horz" wrap="square" lIns="91440" tIns="45720" rIns="91440" bIns="45720" numCol="1" spcCol="0" rtlCol="0" fromWordArt="0" anchor="ctr" anchorCtr="0" forceAA="0" compatLnSpc="1">
                          <a:noAutofit/>
                        </wps:bodyPr>
                      </wps:wsp>
                      <wps:wsp>
                        <wps:cNvPr id="4" name="直接连接符 4"/>
                        <wps:cNvCnPr/>
                        <wps:spPr>
                          <a:xfrm>
                            <a:off x="793750" y="552505"/>
                            <a:ext cx="209550" cy="0"/>
                          </a:xfrm>
                          <a:prstGeom prst="line">
                            <a:avLst/>
                          </a:prstGeom>
                          <a:noFill/>
                          <a:ln w="6350" cap="flat" cmpd="sng" algn="ctr">
                            <a:solidFill>
                              <a:srgbClr val="4472C4"/>
                            </a:solidFill>
                            <a:prstDash val="solid"/>
                            <a:miter lim="800000"/>
                          </a:ln>
                          <a:effectLst/>
                        </wps:spPr>
                        <wps:bodyPr/>
                      </wps:wsp>
                      <wps:wsp>
                        <wps:cNvPr id="51" name="直接连接符 51"/>
                        <wps:cNvCnPr/>
                        <wps:spPr>
                          <a:xfrm>
                            <a:off x="793750" y="1805655"/>
                            <a:ext cx="209550" cy="0"/>
                          </a:xfrm>
                          <a:prstGeom prst="line">
                            <a:avLst/>
                          </a:prstGeom>
                          <a:noFill/>
                          <a:ln w="6350" cap="flat" cmpd="sng" algn="ctr">
                            <a:solidFill>
                              <a:srgbClr val="4472C4"/>
                            </a:solidFill>
                            <a:prstDash val="solid"/>
                            <a:miter lim="800000"/>
                          </a:ln>
                          <a:effectLst/>
                        </wps:spPr>
                        <wps:bodyPr/>
                      </wps:wsp>
                      <wps:wsp>
                        <wps:cNvPr id="52" name="直接连接符 52"/>
                        <wps:cNvCnPr/>
                        <wps:spPr>
                          <a:xfrm>
                            <a:off x="793750" y="3374685"/>
                            <a:ext cx="209550" cy="0"/>
                          </a:xfrm>
                          <a:prstGeom prst="line">
                            <a:avLst/>
                          </a:prstGeom>
                          <a:noFill/>
                          <a:ln w="6350" cap="flat" cmpd="sng" algn="ctr">
                            <a:solidFill>
                              <a:srgbClr val="4472C4"/>
                            </a:solidFill>
                            <a:prstDash val="solid"/>
                            <a:miter lim="800000"/>
                          </a:ln>
                          <a:effectLst/>
                        </wps:spPr>
                        <wps:bodyPr/>
                      </wps:wsp>
                      <wps:wsp>
                        <wps:cNvPr id="5" name="直接箭头连接符 5"/>
                        <wps:cNvCnPr/>
                        <wps:spPr>
                          <a:xfrm>
                            <a:off x="857250" y="552505"/>
                            <a:ext cx="0" cy="1253150"/>
                          </a:xfrm>
                          <a:prstGeom prst="straightConnector1">
                            <a:avLst/>
                          </a:prstGeom>
                          <a:noFill/>
                          <a:ln w="6350" cap="flat" cmpd="sng" algn="ctr">
                            <a:solidFill>
                              <a:schemeClr val="tx1"/>
                            </a:solidFill>
                            <a:prstDash val="solid"/>
                            <a:miter lim="800000"/>
                            <a:headEnd type="triangle"/>
                            <a:tailEnd type="triangle"/>
                          </a:ln>
                          <a:effectLst/>
                        </wps:spPr>
                        <wps:bodyPr/>
                      </wps:wsp>
                      <wps:wsp>
                        <wps:cNvPr id="53" name="直接箭头连接符 53"/>
                        <wps:cNvCnPr/>
                        <wps:spPr>
                          <a:xfrm>
                            <a:off x="882650" y="2110421"/>
                            <a:ext cx="0" cy="1264209"/>
                          </a:xfrm>
                          <a:prstGeom prst="straightConnector1">
                            <a:avLst/>
                          </a:prstGeom>
                          <a:noFill/>
                          <a:ln w="6350" cap="flat" cmpd="sng" algn="ctr">
                            <a:solidFill>
                              <a:schemeClr val="tx1"/>
                            </a:solidFill>
                            <a:prstDash val="solid"/>
                            <a:miter lim="800000"/>
                            <a:headEnd type="triangle"/>
                            <a:tailEnd type="triangle"/>
                          </a:ln>
                          <a:effectLst/>
                        </wps:spPr>
                        <wps:bodyPr/>
                      </wps:wsp>
                      <wps:wsp>
                        <wps:cNvPr id="6" name="矩形 6"/>
                        <wps:cNvSpPr/>
                        <wps:spPr>
                          <a:xfrm>
                            <a:off x="215900" y="889055"/>
                            <a:ext cx="609600" cy="812800"/>
                          </a:xfrm>
                          <a:prstGeom prst="rect">
                            <a:avLst/>
                          </a:prstGeom>
                          <a:noFill/>
                          <a:ln w="12700" cap="flat" cmpd="sng" algn="ctr">
                            <a:noFill/>
                            <a:prstDash val="solid"/>
                            <a:miter lim="800000"/>
                          </a:ln>
                          <a:effectLst/>
                        </wps:spPr>
                        <wps:txbx>
                          <w:txbxContent>
                            <w:p>
                              <w:pPr>
                                <w:jc w:val="center"/>
                                <w:rPr>
                                  <w:sz w:val="18"/>
                                  <w:szCs w:val="18"/>
                                </w:rPr>
                              </w:pPr>
                              <w:r>
                                <w:rPr>
                                  <w:rFonts w:hint="eastAsia"/>
                                  <w:sz w:val="18"/>
                                  <w:szCs w:val="18"/>
                                </w:rPr>
                                <w:t>原材料获取</w:t>
                              </w:r>
                              <w:r>
                                <w:rPr>
                                  <w:sz w:val="18"/>
                                  <w:szCs w:val="18"/>
                                </w:rPr>
                                <w:t>阶</w:t>
                              </w:r>
                            </w:p>
                            <w:p>
                              <w:pPr>
                                <w:jc w:val="center"/>
                                <w:rPr>
                                  <w:sz w:val="18"/>
                                  <w:szCs w:val="18"/>
                                </w:rPr>
                              </w:pPr>
                              <w:r>
                                <w:rPr>
                                  <w:sz w:val="18"/>
                                  <w:szCs w:val="18"/>
                                </w:rPr>
                                <w:t>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矩形 54"/>
                        <wps:cNvSpPr/>
                        <wps:spPr>
                          <a:xfrm>
                            <a:off x="215900" y="2342665"/>
                            <a:ext cx="609600" cy="812800"/>
                          </a:xfrm>
                          <a:prstGeom prst="rect">
                            <a:avLst/>
                          </a:prstGeom>
                          <a:noFill/>
                          <a:ln w="12700" cap="flat" cmpd="sng" algn="ctr">
                            <a:noFill/>
                            <a:prstDash val="solid"/>
                            <a:miter lim="800000"/>
                          </a:ln>
                          <a:effectLst/>
                        </wps:spPr>
                        <wps:txbx>
                          <w:txbxContent>
                            <w:p>
                              <w:pPr>
                                <w:pStyle w:val="30"/>
                                <w:spacing w:before="0" w:beforeAutospacing="0" w:after="0" w:afterAutospacing="0"/>
                                <w:jc w:val="center"/>
                              </w:pPr>
                              <w:r>
                                <w:rPr>
                                  <w:rFonts w:hint="eastAsia" w:ascii="Times New Roman"/>
                                  <w:kern w:val="2"/>
                                  <w:sz w:val="18"/>
                                  <w:szCs w:val="18"/>
                                </w:rPr>
                                <w:t>产品生产阶段</w:t>
                              </w:r>
                            </w:p>
                          </w:txbxContent>
                        </wps:txbx>
                        <wps:bodyPr rot="0" spcFirstLastPara="0" vert="horz" wrap="square" lIns="91440" tIns="45720" rIns="91440" bIns="45720" numCol="1" spcCol="0" rtlCol="0" fromWordArt="0" anchor="ctr" anchorCtr="0" forceAA="0" compatLnSpc="1">
                          <a:noAutofit/>
                        </wps:bodyPr>
                      </wps:wsp>
                      <wps:wsp>
                        <wps:cNvPr id="55" name="直接连接符 55"/>
                        <wps:cNvCnPr/>
                        <wps:spPr>
                          <a:xfrm>
                            <a:off x="793750" y="2119005"/>
                            <a:ext cx="209550" cy="0"/>
                          </a:xfrm>
                          <a:prstGeom prst="line">
                            <a:avLst/>
                          </a:prstGeom>
                          <a:noFill/>
                          <a:ln w="6350" cap="flat" cmpd="sng" algn="ctr">
                            <a:solidFill>
                              <a:srgbClr val="4472C4"/>
                            </a:solidFill>
                            <a:prstDash val="solid"/>
                            <a:miter lim="800000"/>
                          </a:ln>
                          <a:effectLst/>
                        </wps:spPr>
                        <wps:bodyPr/>
                      </wps:wsp>
                      <wps:wsp>
                        <wps:cNvPr id="7" name="直接箭头连接符 7"/>
                        <wps:cNvCnPr/>
                        <wps:spPr>
                          <a:xfrm>
                            <a:off x="3035300" y="296333"/>
                            <a:ext cx="0" cy="260350"/>
                          </a:xfrm>
                          <a:prstGeom prst="straightConnector1">
                            <a:avLst/>
                          </a:prstGeom>
                          <a:noFill/>
                          <a:ln w="6350" cap="flat" cmpd="sng" algn="ctr">
                            <a:solidFill>
                              <a:schemeClr val="tx1"/>
                            </a:solidFill>
                            <a:prstDash val="solid"/>
                            <a:miter lim="800000"/>
                            <a:tailEnd type="triangle"/>
                          </a:ln>
                          <a:effectLst/>
                        </wps:spPr>
                        <wps:bodyPr/>
                      </wps:wsp>
                      <wps:wsp>
                        <wps:cNvPr id="8" name="直接箭头连接符 8"/>
                        <wps:cNvCnPr>
                          <a:stCxn id="50" idx="3"/>
                        </wps:cNvCnPr>
                        <wps:spPr>
                          <a:xfrm flipV="1">
                            <a:off x="3456600" y="801132"/>
                            <a:ext cx="397850" cy="13"/>
                          </a:xfrm>
                          <a:prstGeom prst="straightConnector1">
                            <a:avLst/>
                          </a:prstGeom>
                          <a:noFill/>
                          <a:ln w="6350" cap="flat" cmpd="sng" algn="ctr">
                            <a:solidFill>
                              <a:schemeClr val="tx1"/>
                            </a:solidFill>
                            <a:prstDash val="dash"/>
                            <a:miter lim="800000"/>
                            <a:tailEnd type="triangle"/>
                          </a:ln>
                          <a:effectLst/>
                        </wps:spPr>
                        <wps:bodyPr/>
                      </wps:wsp>
                      <wps:wsp>
                        <wps:cNvPr id="56" name="矩形 56"/>
                        <wps:cNvSpPr/>
                        <wps:spPr>
                          <a:xfrm>
                            <a:off x="5075850" y="445864"/>
                            <a:ext cx="667090" cy="812800"/>
                          </a:xfrm>
                          <a:prstGeom prst="rect">
                            <a:avLst/>
                          </a:prstGeom>
                          <a:noFill/>
                          <a:ln w="12700" cap="flat" cmpd="sng" algn="ctr">
                            <a:noFill/>
                            <a:prstDash val="solid"/>
                            <a:miter lim="800000"/>
                          </a:ln>
                          <a:effectLst/>
                        </wps:spPr>
                        <wps:txbx>
                          <w:txbxContent>
                            <w:p>
                              <w:pPr>
                                <w:pStyle w:val="30"/>
                                <w:spacing w:before="0" w:beforeAutospacing="0" w:after="0" w:afterAutospacing="0"/>
                                <w:jc w:val="center"/>
                                <w:rPr>
                                  <w:rFonts w:ascii="Times New Roman"/>
                                  <w:kern w:val="2"/>
                                  <w:sz w:val="18"/>
                                  <w:szCs w:val="18"/>
                                </w:rPr>
                              </w:pPr>
                              <w:r>
                                <w:rPr>
                                  <w:rFonts w:hint="eastAsia" w:ascii="Times New Roman"/>
                                  <w:kern w:val="2"/>
                                  <w:sz w:val="18"/>
                                  <w:szCs w:val="18"/>
                                </w:rPr>
                                <w:t>污染物</w:t>
                              </w:r>
                            </w:p>
                            <w:p>
                              <w:pPr>
                                <w:pStyle w:val="30"/>
                                <w:spacing w:before="0" w:beforeAutospacing="0" w:after="0" w:afterAutospacing="0"/>
                                <w:jc w:val="center"/>
                              </w:pPr>
                              <w:r>
                                <w:rPr>
                                  <w:rFonts w:hint="eastAsia" w:ascii="Times New Roman"/>
                                  <w:kern w:val="2"/>
                                  <w:sz w:val="18"/>
                                  <w:szCs w:val="18"/>
                                </w:rPr>
                                <w:t>排放</w:t>
                              </w:r>
                            </w:p>
                          </w:txbxContent>
                        </wps:txbx>
                        <wps:bodyPr rot="0" spcFirstLastPara="0" vert="horz" wrap="square" lIns="91440" tIns="45720" rIns="91440" bIns="45720" numCol="1" spcCol="0" rtlCol="0" fromWordArt="0" anchor="ctr" anchorCtr="0" forceAA="0" compatLnSpc="1">
                          <a:noAutofit/>
                        </wps:bodyPr>
                      </wps:wsp>
                      <wps:wsp>
                        <wps:cNvPr id="57" name="矩形 57"/>
                        <wps:cNvSpPr/>
                        <wps:spPr>
                          <a:xfrm>
                            <a:off x="2588850" y="55"/>
                            <a:ext cx="952500" cy="349250"/>
                          </a:xfrm>
                          <a:prstGeom prst="rect">
                            <a:avLst/>
                          </a:prstGeom>
                          <a:noFill/>
                          <a:ln w="12700" cap="flat" cmpd="sng" algn="ctr">
                            <a:noFill/>
                            <a:prstDash val="solid"/>
                            <a:miter lim="800000"/>
                          </a:ln>
                          <a:effectLst/>
                        </wps:spPr>
                        <wps:txbx>
                          <w:txbxContent>
                            <w:p>
                              <w:pPr>
                                <w:pStyle w:val="30"/>
                                <w:spacing w:before="0" w:beforeAutospacing="0" w:after="0" w:afterAutospacing="0"/>
                                <w:jc w:val="center"/>
                              </w:pPr>
                              <w:r>
                                <w:rPr>
                                  <w:rFonts w:hint="eastAsia" w:ascii="Times New Roman"/>
                                  <w:kern w:val="2"/>
                                  <w:sz w:val="18"/>
                                  <w:szCs w:val="18"/>
                                </w:rPr>
                                <w:t>资源能源</w:t>
                              </w:r>
                              <w:r>
                                <w:rPr>
                                  <w:rFonts w:ascii="Times New Roman"/>
                                  <w:kern w:val="2"/>
                                  <w:sz w:val="18"/>
                                  <w:szCs w:val="18"/>
                                </w:rPr>
                                <w:t>投入</w:t>
                              </w:r>
                            </w:p>
                          </w:txbxContent>
                        </wps:txbx>
                        <wps:bodyPr rot="0" spcFirstLastPara="0" vert="horz" wrap="square" lIns="91440" tIns="45720" rIns="91440" bIns="45720" numCol="1" spcCol="0" rtlCol="0" fromWordArt="0" anchor="ctr" anchorCtr="0" forceAA="0" compatLnSpc="1">
                          <a:noAutofit/>
                        </wps:bodyPr>
                      </wps:wsp>
                      <wps:wsp>
                        <wps:cNvPr id="58" name="矩形 58"/>
                        <wps:cNvSpPr/>
                        <wps:spPr>
                          <a:xfrm>
                            <a:off x="2588850" y="2133878"/>
                            <a:ext cx="929050" cy="404000"/>
                          </a:xfrm>
                          <a:prstGeom prst="rect">
                            <a:avLst/>
                          </a:prstGeom>
                          <a:noFill/>
                          <a:ln w="12700" cap="flat" cmpd="sng" algn="ctr">
                            <a:solidFill>
                              <a:schemeClr val="tx1"/>
                            </a:solidFill>
                            <a:prstDash val="solid"/>
                            <a:miter lim="800000"/>
                          </a:ln>
                          <a:effectLst/>
                        </wps:spPr>
                        <wps:txbx>
                          <w:txbxContent>
                            <w:p>
                              <w:pPr>
                                <w:pStyle w:val="30"/>
                                <w:spacing w:before="0" w:beforeAutospacing="0" w:after="0" w:afterAutospacing="0"/>
                                <w:jc w:val="center"/>
                              </w:pPr>
                              <w:r>
                                <w:rPr>
                                  <w:rFonts w:hint="eastAsia" w:ascii="Times New Roman"/>
                                  <w:kern w:val="2"/>
                                  <w:sz w:val="21"/>
                                  <w:szCs w:val="21"/>
                                </w:rPr>
                                <w:t>铸锭熔炼</w:t>
                              </w:r>
                            </w:p>
                          </w:txbxContent>
                        </wps:txbx>
                        <wps:bodyPr rot="0" spcFirstLastPara="0" vert="horz" wrap="square" lIns="91440" tIns="45720" rIns="91440" bIns="45720" numCol="1" spcCol="0" rtlCol="0" fromWordArt="0" anchor="ctr" anchorCtr="0" forceAA="0" compatLnSpc="1">
                          <a:noAutofit/>
                        </wps:bodyPr>
                      </wps:wsp>
                      <wps:wsp>
                        <wps:cNvPr id="59" name="矩形 59"/>
                        <wps:cNvSpPr/>
                        <wps:spPr>
                          <a:xfrm>
                            <a:off x="4510700" y="2092245"/>
                            <a:ext cx="1155700" cy="488950"/>
                          </a:xfrm>
                          <a:prstGeom prst="rect">
                            <a:avLst/>
                          </a:prstGeom>
                          <a:noFill/>
                          <a:ln w="12700" cap="flat" cmpd="sng" algn="ctr">
                            <a:solidFill>
                              <a:schemeClr val="tx1"/>
                            </a:solidFill>
                            <a:prstDash val="solid"/>
                            <a:miter lim="800000"/>
                          </a:ln>
                          <a:effectLst/>
                        </wps:spPr>
                        <wps:txbx>
                          <w:txbxContent>
                            <w:p>
                              <w:pPr>
                                <w:pStyle w:val="30"/>
                                <w:spacing w:before="0" w:beforeAutospacing="0" w:after="0" w:afterAutospacing="0"/>
                                <w:jc w:val="center"/>
                              </w:pPr>
                              <w:r>
                                <w:rPr>
                                  <w:rFonts w:hint="eastAsia" w:ascii="Times New Roman"/>
                                  <w:kern w:val="2"/>
                                  <w:sz w:val="21"/>
                                  <w:szCs w:val="21"/>
                                </w:rPr>
                                <w:t>挤压工序</w:t>
                              </w:r>
                            </w:p>
                          </w:txbxContent>
                        </wps:txbx>
                        <wps:bodyPr rot="0" spcFirstLastPara="0" vert="horz" wrap="square" lIns="91440" tIns="45720" rIns="91440" bIns="45720" numCol="1" spcCol="0" rtlCol="0" fromWordArt="0" anchor="ctr" anchorCtr="0" forceAA="0" compatLnSpc="1">
                          <a:noAutofit/>
                        </wps:bodyPr>
                      </wps:wsp>
                      <wps:wsp>
                        <wps:cNvPr id="10" name="直接箭头连接符 10"/>
                        <wps:cNvCnPr/>
                        <wps:spPr>
                          <a:xfrm>
                            <a:off x="3263900" y="1055810"/>
                            <a:ext cx="0" cy="1054645"/>
                          </a:xfrm>
                          <a:prstGeom prst="straightConnector1">
                            <a:avLst/>
                          </a:prstGeom>
                          <a:noFill/>
                          <a:ln w="6350" cap="flat" cmpd="sng" algn="ctr">
                            <a:solidFill>
                              <a:schemeClr val="tx1"/>
                            </a:solidFill>
                            <a:prstDash val="solid"/>
                            <a:miter lim="800000"/>
                            <a:tailEnd type="triangle"/>
                          </a:ln>
                          <a:effectLst/>
                        </wps:spPr>
                        <wps:bodyPr/>
                      </wps:wsp>
                      <wps:wsp>
                        <wps:cNvPr id="13" name="直接箭头连接符 13"/>
                        <wps:cNvCnPr/>
                        <wps:spPr>
                          <a:xfrm>
                            <a:off x="3517900" y="2344611"/>
                            <a:ext cx="992800" cy="0"/>
                          </a:xfrm>
                          <a:prstGeom prst="straightConnector1">
                            <a:avLst/>
                          </a:prstGeom>
                          <a:noFill/>
                          <a:ln w="6350" cap="flat" cmpd="sng" algn="ctr">
                            <a:solidFill>
                              <a:schemeClr val="tx1"/>
                            </a:solidFill>
                            <a:prstDash val="solid"/>
                            <a:miter lim="800000"/>
                            <a:tailEnd type="triangle"/>
                          </a:ln>
                          <a:effectLst/>
                        </wps:spPr>
                        <wps:bodyPr/>
                      </wps:wsp>
                      <wps:wsp>
                        <wps:cNvPr id="21" name="直接箭头连接符 21"/>
                        <wps:cNvCnPr/>
                        <wps:spPr>
                          <a:xfrm>
                            <a:off x="2895600" y="1885950"/>
                            <a:ext cx="0" cy="222106"/>
                          </a:xfrm>
                          <a:prstGeom prst="straightConnector1">
                            <a:avLst/>
                          </a:prstGeom>
                          <a:noFill/>
                          <a:ln w="6350" cap="flat" cmpd="sng" algn="ctr">
                            <a:solidFill>
                              <a:schemeClr val="tx1"/>
                            </a:solidFill>
                            <a:prstDash val="solid"/>
                            <a:miter lim="800000"/>
                            <a:tailEnd type="triangle"/>
                          </a:ln>
                          <a:effectLst/>
                        </wps:spPr>
                        <wps:bodyPr/>
                      </wps:wsp>
                      <wps:wsp>
                        <wps:cNvPr id="62" name="矩形 62"/>
                        <wps:cNvSpPr/>
                        <wps:spPr>
                          <a:xfrm>
                            <a:off x="2527300" y="1513420"/>
                            <a:ext cx="781050" cy="512400"/>
                          </a:xfrm>
                          <a:prstGeom prst="rect">
                            <a:avLst/>
                          </a:prstGeom>
                          <a:noFill/>
                          <a:ln w="12700" cap="flat" cmpd="sng" algn="ctr">
                            <a:noFill/>
                            <a:prstDash val="solid"/>
                            <a:miter lim="800000"/>
                          </a:ln>
                          <a:effectLst/>
                        </wps:spPr>
                        <wps:txbx>
                          <w:txbxContent>
                            <w:p>
                              <w:pPr>
                                <w:pStyle w:val="30"/>
                                <w:spacing w:before="0" w:beforeAutospacing="0" w:after="0" w:afterAutospacing="0"/>
                                <w:jc w:val="center"/>
                              </w:pPr>
                              <w:r>
                                <w:rPr>
                                  <w:rFonts w:hint="eastAsia" w:ascii="Times New Roman"/>
                                  <w:kern w:val="2"/>
                                  <w:sz w:val="18"/>
                                  <w:szCs w:val="18"/>
                                </w:rPr>
                                <w:t>能源、</w:t>
                              </w:r>
                              <w:r>
                                <w:rPr>
                                  <w:rFonts w:ascii="Times New Roman"/>
                                  <w:kern w:val="2"/>
                                  <w:sz w:val="18"/>
                                  <w:szCs w:val="18"/>
                                </w:rPr>
                                <w:t>水</w:t>
                              </w:r>
                            </w:p>
                          </w:txbxContent>
                        </wps:txbx>
                        <wps:bodyPr rot="0" spcFirstLastPara="0" vert="horz" wrap="square" lIns="91440" tIns="45720" rIns="91440" bIns="45720" numCol="1" spcCol="0" rtlCol="0" fromWordArt="0" anchor="ctr" anchorCtr="0" forceAA="0" compatLnSpc="1">
                          <a:noAutofit/>
                        </wps:bodyPr>
                      </wps:wsp>
                      <wps:wsp>
                        <wps:cNvPr id="63" name="直接箭头连接符 63"/>
                        <wps:cNvCnPr/>
                        <wps:spPr>
                          <a:xfrm>
                            <a:off x="5075850" y="1885950"/>
                            <a:ext cx="0" cy="201805"/>
                          </a:xfrm>
                          <a:prstGeom prst="straightConnector1">
                            <a:avLst/>
                          </a:prstGeom>
                          <a:noFill/>
                          <a:ln w="6350" cap="flat" cmpd="sng" algn="ctr">
                            <a:solidFill>
                              <a:schemeClr val="tx1"/>
                            </a:solidFill>
                            <a:prstDash val="solid"/>
                            <a:miter lim="800000"/>
                            <a:tailEnd type="triangle"/>
                          </a:ln>
                          <a:effectLst/>
                        </wps:spPr>
                        <wps:bodyPr/>
                      </wps:wsp>
                      <wps:wsp>
                        <wps:cNvPr id="64" name="矩形 64"/>
                        <wps:cNvSpPr/>
                        <wps:spPr>
                          <a:xfrm>
                            <a:off x="4705010" y="1513420"/>
                            <a:ext cx="781050" cy="511810"/>
                          </a:xfrm>
                          <a:prstGeom prst="rect">
                            <a:avLst/>
                          </a:prstGeom>
                          <a:noFill/>
                          <a:ln w="12700" cap="flat" cmpd="sng" algn="ctr">
                            <a:noFill/>
                            <a:prstDash val="solid"/>
                            <a:miter lim="800000"/>
                          </a:ln>
                          <a:effectLst/>
                        </wps:spPr>
                        <wps:txbx>
                          <w:txbxContent>
                            <w:p>
                              <w:pPr>
                                <w:pStyle w:val="30"/>
                                <w:spacing w:before="0" w:beforeAutospacing="0" w:after="0" w:afterAutospacing="0"/>
                                <w:jc w:val="center"/>
                              </w:pPr>
                              <w:r>
                                <w:rPr>
                                  <w:rFonts w:hint="eastAsia" w:ascii="Times New Roman"/>
                                  <w:kern w:val="2"/>
                                  <w:sz w:val="18"/>
                                  <w:szCs w:val="18"/>
                                </w:rPr>
                                <w:t>能源、水</w:t>
                              </w:r>
                            </w:p>
                          </w:txbxContent>
                        </wps:txbx>
                        <wps:bodyPr rot="0" spcFirstLastPara="0" vert="horz" wrap="square" lIns="91440" tIns="45720" rIns="91440" bIns="45720" numCol="1" spcCol="0" rtlCol="0" fromWordArt="0" anchor="ctr" anchorCtr="0" forceAA="0" compatLnSpc="1">
                          <a:noAutofit/>
                        </wps:bodyPr>
                      </wps:wsp>
                      <wps:wsp>
                        <wps:cNvPr id="65" name="直接箭头连接符 65"/>
                        <wps:cNvCnPr/>
                        <wps:spPr>
                          <a:xfrm>
                            <a:off x="3035300" y="2577755"/>
                            <a:ext cx="0" cy="311151"/>
                          </a:xfrm>
                          <a:prstGeom prst="straightConnector1">
                            <a:avLst/>
                          </a:prstGeom>
                          <a:noFill/>
                          <a:ln w="6350" cap="flat" cmpd="sng" algn="ctr">
                            <a:solidFill>
                              <a:schemeClr val="tx1"/>
                            </a:solidFill>
                            <a:prstDash val="dash"/>
                            <a:miter lim="800000"/>
                            <a:tailEnd type="triangle"/>
                          </a:ln>
                          <a:effectLst/>
                        </wps:spPr>
                        <wps:bodyPr/>
                      </wps:wsp>
                      <wps:wsp>
                        <wps:cNvPr id="66" name="矩形 66"/>
                        <wps:cNvSpPr/>
                        <wps:spPr>
                          <a:xfrm>
                            <a:off x="3854450" y="2892085"/>
                            <a:ext cx="876300" cy="486750"/>
                          </a:xfrm>
                          <a:prstGeom prst="rect">
                            <a:avLst/>
                          </a:prstGeom>
                          <a:noFill/>
                          <a:ln w="12700" cap="flat" cmpd="sng" algn="ctr">
                            <a:noFill/>
                            <a:prstDash val="solid"/>
                            <a:miter lim="800000"/>
                          </a:ln>
                          <a:effectLst/>
                        </wps:spPr>
                        <wps:txbx>
                          <w:txbxContent>
                            <w:p>
                              <w:pPr>
                                <w:pStyle w:val="30"/>
                                <w:spacing w:before="0" w:beforeAutospacing="0" w:after="0" w:afterAutospacing="0"/>
                                <w:jc w:val="center"/>
                              </w:pPr>
                              <w:r>
                                <w:rPr>
                                  <w:rFonts w:hint="eastAsia" w:ascii="Times New Roman"/>
                                  <w:kern w:val="2"/>
                                  <w:sz w:val="18"/>
                                  <w:szCs w:val="18"/>
                                </w:rPr>
                                <w:t>污染物</w:t>
                              </w:r>
                              <w:r>
                                <w:rPr>
                                  <w:rFonts w:ascii="Times New Roman"/>
                                  <w:kern w:val="2"/>
                                  <w:sz w:val="18"/>
                                  <w:szCs w:val="18"/>
                                </w:rPr>
                                <w:t>排放</w:t>
                              </w:r>
                            </w:p>
                          </w:txbxContent>
                        </wps:txbx>
                        <wps:bodyPr rot="0" spcFirstLastPara="0" vert="horz" wrap="square" lIns="91440" tIns="45720" rIns="91440" bIns="45720" numCol="1" spcCol="0" rtlCol="0" fromWordArt="0" anchor="ctr" anchorCtr="0" forceAA="0" compatLnSpc="1">
                          <a:noAutofit/>
                        </wps:bodyPr>
                      </wps:wsp>
                      <wps:wsp>
                        <wps:cNvPr id="67" name="矩形 67"/>
                        <wps:cNvSpPr/>
                        <wps:spPr>
                          <a:xfrm>
                            <a:off x="2588850" y="2888906"/>
                            <a:ext cx="929050" cy="488315"/>
                          </a:xfrm>
                          <a:prstGeom prst="rect">
                            <a:avLst/>
                          </a:prstGeom>
                          <a:noFill/>
                          <a:ln w="12700" cap="flat" cmpd="sng" algn="ctr">
                            <a:solidFill>
                              <a:schemeClr val="tx1"/>
                            </a:solidFill>
                            <a:prstDash val="solid"/>
                            <a:miter lim="800000"/>
                          </a:ln>
                          <a:effectLst/>
                        </wps:spPr>
                        <wps:txbx>
                          <w:txbxContent>
                            <w:p>
                              <w:pPr>
                                <w:pStyle w:val="30"/>
                                <w:spacing w:before="0" w:beforeAutospacing="0" w:after="0" w:afterAutospacing="0"/>
                                <w:jc w:val="center"/>
                              </w:pPr>
                              <w:r>
                                <w:rPr>
                                  <w:rFonts w:ascii="Times New Roman"/>
                                  <w:kern w:val="2"/>
                                  <w:sz w:val="21"/>
                                  <w:szCs w:val="21"/>
                                </w:rPr>
                                <w:t>污染物处理系统</w:t>
                              </w:r>
                            </w:p>
                          </w:txbxContent>
                        </wps:txbx>
                        <wps:bodyPr rot="0" spcFirstLastPara="0" vert="horz" wrap="square" lIns="91440" tIns="45720" rIns="91440" bIns="45720" numCol="1" spcCol="0" rtlCol="0" fromWordArt="0" anchor="ctr" anchorCtr="0" forceAA="0" compatLnSpc="1">
                          <a:noAutofit/>
                        </wps:bodyPr>
                      </wps:wsp>
                      <wps:wsp>
                        <wps:cNvPr id="68" name="直接箭头连接符 68"/>
                        <wps:cNvCnPr/>
                        <wps:spPr>
                          <a:xfrm flipV="1">
                            <a:off x="3517900" y="3135925"/>
                            <a:ext cx="397510" cy="3175"/>
                          </a:xfrm>
                          <a:prstGeom prst="straightConnector1">
                            <a:avLst/>
                          </a:prstGeom>
                          <a:noFill/>
                          <a:ln w="6350" cap="flat" cmpd="sng" algn="ctr">
                            <a:solidFill>
                              <a:schemeClr val="tx1"/>
                            </a:solidFill>
                            <a:prstDash val="dash"/>
                            <a:miter lim="800000"/>
                            <a:tailEnd type="triangle"/>
                          </a:ln>
                          <a:effectLst/>
                        </wps:spPr>
                        <wps:bodyPr/>
                      </wps:wsp>
                      <wps:wsp>
                        <wps:cNvPr id="69" name="矩形 69"/>
                        <wps:cNvSpPr/>
                        <wps:spPr>
                          <a:xfrm>
                            <a:off x="3860800" y="554557"/>
                            <a:ext cx="891200" cy="488315"/>
                          </a:xfrm>
                          <a:prstGeom prst="rect">
                            <a:avLst/>
                          </a:prstGeom>
                          <a:noFill/>
                          <a:ln w="12700" cap="flat" cmpd="sng" algn="ctr">
                            <a:solidFill>
                              <a:schemeClr val="tx1"/>
                            </a:solidFill>
                            <a:prstDash val="solid"/>
                            <a:miter lim="800000"/>
                          </a:ln>
                          <a:effectLst/>
                        </wps:spPr>
                        <wps:txbx>
                          <w:txbxContent>
                            <w:p>
                              <w:pPr>
                                <w:pStyle w:val="30"/>
                                <w:spacing w:before="0" w:beforeAutospacing="0" w:after="0" w:afterAutospacing="0"/>
                                <w:jc w:val="center"/>
                              </w:pPr>
                              <w:r>
                                <w:rPr>
                                  <w:rFonts w:hint="eastAsia" w:ascii="Times New Roman"/>
                                  <w:kern w:val="2"/>
                                  <w:sz w:val="21"/>
                                  <w:szCs w:val="21"/>
                                </w:rPr>
                                <w:t>污染物处理</w:t>
                              </w:r>
                            </w:p>
                          </w:txbxContent>
                        </wps:txbx>
                        <wps:bodyPr rot="0" spcFirstLastPara="0" vert="horz" wrap="square" lIns="91440" tIns="45720" rIns="91440" bIns="45720" numCol="1" spcCol="0" rtlCol="0" fromWordArt="0" anchor="ctr" anchorCtr="0" forceAA="0" compatLnSpc="1">
                          <a:noAutofit/>
                        </wps:bodyPr>
                      </wps:wsp>
                      <wps:wsp>
                        <wps:cNvPr id="70" name="直接箭头连接符 70"/>
                        <wps:cNvCnPr/>
                        <wps:spPr>
                          <a:xfrm flipV="1">
                            <a:off x="4752000" y="809682"/>
                            <a:ext cx="397510" cy="3175"/>
                          </a:xfrm>
                          <a:prstGeom prst="straightConnector1">
                            <a:avLst/>
                          </a:prstGeom>
                          <a:noFill/>
                          <a:ln w="6350" cap="flat" cmpd="sng" algn="ctr">
                            <a:solidFill>
                              <a:schemeClr val="tx1"/>
                            </a:solidFill>
                            <a:prstDash val="dash"/>
                            <a:miter lim="800000"/>
                            <a:tailEnd type="triangle"/>
                          </a:ln>
                          <a:effectLst/>
                        </wps:spPr>
                        <wps:bodyPr/>
                      </wps:wsp>
                      <wps:wsp>
                        <wps:cNvPr id="72" name="直接箭头连接符 72"/>
                        <wps:cNvCnPr/>
                        <wps:spPr>
                          <a:xfrm>
                            <a:off x="2207850" y="3139100"/>
                            <a:ext cx="381000" cy="0"/>
                          </a:xfrm>
                          <a:prstGeom prst="straightConnector1">
                            <a:avLst/>
                          </a:prstGeom>
                          <a:noFill/>
                          <a:ln w="6350" cap="flat" cmpd="sng" algn="ctr">
                            <a:solidFill>
                              <a:schemeClr val="tx1"/>
                            </a:solidFill>
                            <a:prstDash val="solid"/>
                            <a:miter lim="800000"/>
                            <a:tailEnd type="triangle"/>
                          </a:ln>
                          <a:effectLst/>
                        </wps:spPr>
                        <wps:bodyPr/>
                      </wps:wsp>
                      <wps:wsp>
                        <wps:cNvPr id="73" name="矩形 73"/>
                        <wps:cNvSpPr/>
                        <wps:spPr>
                          <a:xfrm>
                            <a:off x="1797050" y="3118616"/>
                            <a:ext cx="889000" cy="260219"/>
                          </a:xfrm>
                          <a:prstGeom prst="rect">
                            <a:avLst/>
                          </a:prstGeom>
                          <a:noFill/>
                          <a:ln w="12700" cap="flat" cmpd="sng" algn="ctr">
                            <a:noFill/>
                            <a:prstDash val="solid"/>
                            <a:miter lim="800000"/>
                          </a:ln>
                          <a:effectLst/>
                        </wps:spPr>
                        <wps:txbx>
                          <w:txbxContent>
                            <w:p>
                              <w:pPr>
                                <w:pStyle w:val="30"/>
                                <w:spacing w:before="0" w:beforeAutospacing="0" w:after="0" w:afterAutospacing="0"/>
                                <w:jc w:val="center"/>
                              </w:pPr>
                              <w:r>
                                <w:rPr>
                                  <w:rFonts w:hint="eastAsia" w:ascii="Times New Roman"/>
                                  <w:kern w:val="2"/>
                                  <w:sz w:val="18"/>
                                  <w:szCs w:val="18"/>
                                </w:rPr>
                                <w:t>资源能源</w:t>
                              </w:r>
                              <w:r>
                                <w:rPr>
                                  <w:rFonts w:ascii="Times New Roman"/>
                                  <w:kern w:val="2"/>
                                  <w:sz w:val="18"/>
                                  <w:szCs w:val="18"/>
                                </w:rPr>
                                <w:t>投入</w:t>
                              </w:r>
                            </w:p>
                          </w:txbxContent>
                        </wps:txbx>
                        <wps:bodyPr rot="0" spcFirstLastPara="0"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274pt;width:458pt;" coordsize="5816600,3479800" editas="canvas" o:gfxdata="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">
                <o:lock v:ext="edit" aspectratio="f"/>
                <v:shape id="_x0000_s1026" o:spid="_x0000_s1026" style="position:absolute;left:0;top:0;height:3479800;width:5816600;" filled="f" stroked="t" coordsize="21600,21600" o:gfxdata="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">
                  <v:fill on="f" focussize="0,0"/>
                  <v:stroke weight="0.5pt" color="#000000 [3213]" joinstyle="round"/>
                  <v:imagedata o:title=""/>
                  <o:lock v:ext="edit" aspectratio="t"/>
                </v:shape>
                <v:rect id="_x0000_s1026" o:spid="_x0000_s1026" o:spt="1" style="position:absolute;left:1003300;top:552505;height:488950;width:1155700;v-text-anchor:middle;" filled="f" stroked="t" coordsize="21600,21600" o:gfxdata="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9UfH9QAAAAFAQAADwAAAAAAAAABACAAAAAiAAAAZHJzL2Rvd25yZXYueG1sUEsBAhQAFAAAAAgA&#10;h07iQKm3S39iAgAAoQQAAA4AAAAAAAAAAQAgAAAAIwEAAGRycy9lMm9Eb2MueG1sUEsFBgAAAAAG&#10;AAYAWQEAAPcFAAAAAA==&#10;">
                  <v:fill on="f" focussize="0,0"/>
                  <v:stroke weight="1pt" color="#000000 [3213]" miterlimit="8" joinstyle="miter"/>
                  <v:imagedata o:title=""/>
                  <o:lock v:ext="edit" aspectratio="f"/>
                  <v:textbox>
                    <w:txbxContent>
                      <w:p>
                        <w:pPr>
                          <w:jc w:val="center"/>
                        </w:pPr>
                        <w:r>
                          <w:rPr>
                            <w:rFonts w:hint="eastAsia"/>
                          </w:rPr>
                          <w:t>原辅料生产</w:t>
                        </w:r>
                        <w:r>
                          <w:t>加工</w:t>
                        </w:r>
                      </w:p>
                    </w:txbxContent>
                  </v:textbox>
                </v:rect>
                <v:rect id="_x0000_s1026" o:spid="_x0000_s1026" o:spt="1" style="position:absolute;left:1003300;top:1316705;height:488950;width:1155700;v-text-anchor:middle;" filled="f" stroked="t" coordsize="21600,21600" o:gfxdata="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z1R8f1AAAAAUBAAAPAAAA&#10;AAAAAAEAIAAAACIAAABkcnMvZG93bnJldi54bWxQSwECFAAUAAAACACHTuJACfMTMFICAAB0BAAA&#10;DgAAAAAAAAABACAAAAAjAQAAZHJzL2Uyb0RvYy54bWxQSwUGAAAAAAYABgBZAQAA5wUAAAAA&#10;">
                  <v:fill on="f" focussize="0,0"/>
                  <v:stroke weight="1pt" color="#000000 [3213]" miterlimit="8" joinstyle="miter"/>
                  <v:imagedata o:title=""/>
                  <o:lock v:ext="edit" aspectratio="f"/>
                  <v:textbox>
                    <w:txbxContent>
                      <w:p>
                        <w:pPr>
                          <w:pStyle w:val="30"/>
                          <w:spacing w:before="0" w:beforeAutospacing="0" w:after="0" w:afterAutospacing="0"/>
                          <w:jc w:val="center"/>
                        </w:pPr>
                        <w:r>
                          <w:rPr>
                            <w:rFonts w:hint="eastAsia" w:ascii="Times New Roman"/>
                            <w:kern w:val="2"/>
                            <w:sz w:val="21"/>
                            <w:szCs w:val="21"/>
                          </w:rPr>
                          <w:t>原辅料运输</w:t>
                        </w:r>
                      </w:p>
                    </w:txbxContent>
                  </v:textbox>
                </v:rect>
                <v:rect id="_x0000_s1026" o:spid="_x0000_s1026" o:spt="1" style="position:absolute;left:1047750;top:2504155;height:488950;width:1155700;v-text-anchor:middle;" filled="f" stroked="t" coordsize="21600,21600" o:gfxdata="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PVHx/UAAAABQEAAA8AAAAA&#10;AAAAAQAgAAAAIgAAAGRycy9kb3ducmV2LnhtbFBLAQIUABQAAAAIAIdO4kCR3IrzUQIAAHQEAAAO&#10;AAAAAAAAAAEAIAAAACMBAABkcnMvZTJvRG9jLnhtbFBLBQYAAAAABgAGAFkBAADmBQAAAAA=&#10;">
                  <v:fill on="f" focussize="0,0"/>
                  <v:stroke weight="1pt" color="#000000 [3213]" miterlimit="8" joinstyle="miter"/>
                  <v:imagedata o:title=""/>
                  <o:lock v:ext="edit" aspectratio="f"/>
                  <v:textbox>
                    <w:txbxContent>
                      <w:p>
                        <w:pPr>
                          <w:pStyle w:val="30"/>
                          <w:spacing w:before="0" w:beforeAutospacing="0" w:after="0" w:afterAutospacing="0"/>
                          <w:jc w:val="center"/>
                        </w:pPr>
                        <w:r>
                          <w:rPr>
                            <w:rFonts w:hint="eastAsia" w:ascii="Times New Roman"/>
                            <w:kern w:val="2"/>
                            <w:sz w:val="21"/>
                            <w:szCs w:val="21"/>
                          </w:rPr>
                          <w:t>产品生产</w:t>
                        </w:r>
                      </w:p>
                    </w:txbxContent>
                  </v:textbox>
                </v:rect>
                <v:rect id="_x0000_s1026" o:spid="_x0000_s1026" o:spt="1" style="position:absolute;left:2588850;top:556683;height:488950;width:867750;v-text-anchor:middle;" filled="f" stroked="t" coordsize="21600,21600" o:gfxdata="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9UfH9QAAAAFAQAADwAAAAAA&#10;AAABACAAAAAiAAAAZHJzL2Rvd25yZXYueG1sUEsBAhQAFAAAAAgAh07iQAH74vxQAgAAcgQAAA4A&#10;AAAAAAAAAQAgAAAAIwEAAGRycy9lMm9Eb2MueG1sUEsFBgAAAAAGAAYAWQEAAOUFAAAAAA==&#10;">
                  <v:fill on="f" focussize="0,0"/>
                  <v:stroke weight="1pt" color="#000000 [3213]" miterlimit="8" joinstyle="miter"/>
                  <v:imagedata o:title=""/>
                  <o:lock v:ext="edit" aspectratio="f"/>
                  <v:textbox>
                    <w:txbxContent>
                      <w:p>
                        <w:pPr>
                          <w:pStyle w:val="30"/>
                          <w:spacing w:before="0" w:beforeAutospacing="0" w:after="0" w:afterAutospacing="0"/>
                          <w:jc w:val="center"/>
                        </w:pPr>
                        <w:r>
                          <w:rPr>
                            <w:rFonts w:hint="eastAsia" w:ascii="Times New Roman"/>
                            <w:kern w:val="2"/>
                            <w:sz w:val="21"/>
                            <w:szCs w:val="21"/>
                          </w:rPr>
                          <w:t>铝锭等</w:t>
                        </w:r>
                        <w:r>
                          <w:rPr>
                            <w:rFonts w:ascii="Times New Roman"/>
                            <w:kern w:val="2"/>
                            <w:sz w:val="21"/>
                            <w:szCs w:val="21"/>
                          </w:rPr>
                          <w:t>生产</w:t>
                        </w:r>
                      </w:p>
                    </w:txbxContent>
                  </v:textbox>
                </v:rect>
                <v:line id="_x0000_s1026" o:spid="_x0000_s1026" o:spt="20" style="position:absolute;left:793750;top:552505;height:0;width:209550;" filled="f" stroked="t" coordsize="21600,21600" o:gfxdata="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Kkqy1gAAAAUBAAAPAAAA&#10;AAAAAAEAIAAAACIAAABkcnMvZG93bnJldi54bWxQSwECFAAUAAAACACHTuJA8+XphN4BAAB6AwAA&#10;DgAAAAAAAAABACAAAAAlAQAAZHJzL2Uyb0RvYy54bWxQSwUGAAAAAAYABgBZAQAAdQUAAAAA&#10;">
                  <v:fill on="f" focussize="0,0"/>
                  <v:stroke weight="0.5pt" color="#4472C4" miterlimit="8" joinstyle="miter"/>
                  <v:imagedata o:title=""/>
                  <o:lock v:ext="edit" aspectratio="f"/>
                </v:line>
                <v:line id="_x0000_s1026" o:spid="_x0000_s1026" o:spt="20" style="position:absolute;left:793750;top:1805655;height:0;width:209550;" filled="f" stroked="t" coordsize="21600,21600" o:gfxdata="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CpKstYAAAAFAQAADwAA&#10;AAAAAAABACAAAAAiAAAAZHJzL2Rvd25yZXYueG1sUEsBAhQAFAAAAAgAh07iQPRIf0/fAQAAfQMA&#10;AA4AAAAAAAAAAQAgAAAAJQEAAGRycy9lMm9Eb2MueG1sUEsFBgAAAAAGAAYAWQEAAHYFAAAAAA==&#10;">
                  <v:fill on="f" focussize="0,0"/>
                  <v:stroke weight="0.5pt" color="#4472C4" miterlimit="8" joinstyle="miter"/>
                  <v:imagedata o:title=""/>
                  <o:lock v:ext="edit" aspectratio="f"/>
                </v:line>
                <v:line id="_x0000_s1026" o:spid="_x0000_s1026" o:spt="20" style="position:absolute;left:793750;top:3374685;height:0;width:209550;" filled="f" stroked="t" coordsize="21600,21600" o:gfxdata="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Kkqy1gAAAAUBAAAPAAAA&#10;AAAAAAEAIAAAACIAAABkcnMvZG93bnJldi54bWxQSwECFAAUAAAACACHTuJAdoPDz94BAAB9AwAA&#10;DgAAAAAAAAABACAAAAAlAQAAZHJzL2Uyb0RvYy54bWxQSwUGAAAAAAYABgBZAQAAdQUAAAAA&#10;">
                  <v:fill on="f" focussize="0,0"/>
                  <v:stroke weight="0.5pt" color="#4472C4" miterlimit="8" joinstyle="miter"/>
                  <v:imagedata o:title=""/>
                  <o:lock v:ext="edit" aspectratio="f"/>
                </v:line>
                <v:shape id="_x0000_s1026" o:spid="_x0000_s1026" o:spt="32" type="#_x0000_t32" style="position:absolute;left:857250;top:552505;height:1253150;width:0;" filled="f" stroked="t" coordsize="21600,21600" o:gfxdata="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DQyNUAAAAFAQAADwAAAAAAAAABACAAAAAiAAAAZHJzL2Rvd25yZXYu&#10;eG1sUEsBAhQAFAAAAAgAh07iQIAB8n3+AQAAxwMAAA4AAAAAAAAAAQAgAAAAJAEAAGRycy9lMm9E&#10;b2MueG1sUEsFBgAAAAAGAAYAWQEAAJQFAAAAAA==&#10;">
                  <v:fill on="f" focussize="0,0"/>
                  <v:stroke weight="0.5pt" color="#000000 [3213]" miterlimit="8" joinstyle="miter" startarrow="block" endarrow="block"/>
                  <v:imagedata o:title=""/>
                  <o:lock v:ext="edit" aspectratio="f"/>
                </v:shape>
                <v:shape id="_x0000_s1026" o:spid="_x0000_s1026" o:spt="32" type="#_x0000_t32" style="position:absolute;left:882650;top:2110421;height:1264209;width:0;" filled="f" stroked="t" coordsize="21600,21600" o:gfxdata="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vw0MjVAAAABQEAAA8AAAAAAAAAAQAgAAAAIgAAAGRycy9kb3du&#10;cmV2LnhtbFBLAQIUABQAAAAIAIdO4kBDCDn2AgIAAMoDAAAOAAAAAAAAAAEAIAAAACQBAABkcnMv&#10;ZTJvRG9jLnhtbFBLBQYAAAAABgAGAFkBAACYBQAAAAA=&#10;">
                  <v:fill on="f" focussize="0,0"/>
                  <v:stroke weight="0.5pt" color="#000000 [3213]" miterlimit="8" joinstyle="miter" startarrow="block" endarrow="block"/>
                  <v:imagedata o:title=""/>
                  <o:lock v:ext="edit" aspectratio="f"/>
                </v:shape>
                <v:rect id="_x0000_s1026" o:spid="_x0000_s1026" o:spt="1" style="position:absolute;left:215900;top:889055;height:812800;width:609600;v-text-anchor:middle;" filled="f" stroked="f" coordsize="21600,21600" o:gfxdata="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MXEQNMAAAAFAQAADwAAAAAA&#10;AAABACAAAAAiAAAAZHJzL2Rvd25yZXYueG1sUEsBAhQAFAAAAAgAh07iQIyACYpRAgAAdgQAAA4A&#10;AAAAAAAAAQAgAAAAIgEAAGRycy9lMm9Eb2MueG1sUEsFBgAAAAAGAAYAWQEAAOUFAAAAAA==&#10;">
                  <v:fill on="f" focussize="0,0"/>
                  <v:stroke on="f" weight="1pt" miterlimit="8" joinstyle="miter"/>
                  <v:imagedata o:title=""/>
                  <o:lock v:ext="edit" aspectratio="f"/>
                  <v:textbox>
                    <w:txbxContent>
                      <w:p>
                        <w:pPr>
                          <w:jc w:val="center"/>
                          <w:rPr>
                            <w:sz w:val="18"/>
                            <w:szCs w:val="18"/>
                          </w:rPr>
                        </w:pPr>
                        <w:r>
                          <w:rPr>
                            <w:rFonts w:hint="eastAsia"/>
                            <w:sz w:val="18"/>
                            <w:szCs w:val="18"/>
                          </w:rPr>
                          <w:t>原材料获取</w:t>
                        </w:r>
                        <w:r>
                          <w:rPr>
                            <w:sz w:val="18"/>
                            <w:szCs w:val="18"/>
                          </w:rPr>
                          <w:t>阶</w:t>
                        </w:r>
                      </w:p>
                      <w:p>
                        <w:pPr>
                          <w:jc w:val="center"/>
                          <w:rPr>
                            <w:sz w:val="18"/>
                            <w:szCs w:val="18"/>
                          </w:rPr>
                        </w:pPr>
                        <w:r>
                          <w:rPr>
                            <w:sz w:val="18"/>
                            <w:szCs w:val="18"/>
                          </w:rPr>
                          <w:t>段</w:t>
                        </w:r>
                      </w:p>
                    </w:txbxContent>
                  </v:textbox>
                </v:rect>
                <v:rect id="_x0000_s1026" o:spid="_x0000_s1026" o:spt="1" style="position:absolute;left:215900;top:2342665;height:812800;width:609600;v-text-anchor:middle;" filled="f" stroked="f" coordsize="21600,21600" o:gfxdata="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wxcRA0wAAAAUBAAAPAAAAAAAAAAEAIAAAACIAAABk&#10;cnMvZG93bnJldi54bWxQSwECFAAUAAAACACHTuJAao6zTEQCAABJBAAADgAAAAAAAAABACAAAAAi&#10;AQAAZHJzL2Uyb0RvYy54bWxQSwUGAAAAAAYABgBZAQAA2AUAAAAA&#10;">
                  <v:fill on="f" focussize="0,0"/>
                  <v:stroke on="f" weight="1pt" miterlimit="8" joinstyle="miter"/>
                  <v:imagedata o:title=""/>
                  <o:lock v:ext="edit" aspectratio="f"/>
                  <v:textbox>
                    <w:txbxContent>
                      <w:p>
                        <w:pPr>
                          <w:pStyle w:val="30"/>
                          <w:spacing w:before="0" w:beforeAutospacing="0" w:after="0" w:afterAutospacing="0"/>
                          <w:jc w:val="center"/>
                        </w:pPr>
                        <w:r>
                          <w:rPr>
                            <w:rFonts w:hint="eastAsia" w:ascii="Times New Roman"/>
                            <w:kern w:val="2"/>
                            <w:sz w:val="18"/>
                            <w:szCs w:val="18"/>
                          </w:rPr>
                          <w:t>产品生产阶段</w:t>
                        </w:r>
                      </w:p>
                    </w:txbxContent>
                  </v:textbox>
                </v:rect>
                <v:line id="_x0000_s1026" o:spid="_x0000_s1026" o:spt="20" style="position:absolute;left:793750;top:2119005;height:0;width:209550;" filled="f" stroked="t" coordsize="21600,21600" o:gfxdata="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AqSrLWAAAABQEAAA8A&#10;AAAAAAAAAQAgAAAAIgAAAGRycy9kb3ducmV2LnhtbFBLAQIUABQAAAAIAIdO4kBvJtfJ4AEAAH0D&#10;AAAOAAAAAAAAAAEAIAAAACUBAABkcnMvZTJvRG9jLnhtbFBLBQYAAAAABgAGAFkBAAB3BQAAAAA=&#10;">
                  <v:fill on="f" focussize="0,0"/>
                  <v:stroke weight="0.5pt" color="#4472C4" miterlimit="8" joinstyle="miter"/>
                  <v:imagedata o:title=""/>
                  <o:lock v:ext="edit" aspectratio="f"/>
                </v:line>
                <v:shape id="_x0000_s1026" o:spid="_x0000_s1026" o:spt="32" type="#_x0000_t32" style="position:absolute;left:3035300;top:296333;height:260350;width:0;" filled="f" stroked="t" coordsize="21600,21600" o:gfxdata="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bgvvTAAAABQEAAA8AAAAAAAAAAQAgAAAAIgAAAGRycy9kb3ducmV2LnhtbFBLAQIU&#10;ABQAAAAIAIdO4kDlteOG+AEAAKsDAAAOAAAAAAAAAAEAIAAAACIBAABkcnMvZTJvRG9jLnhtbFBL&#10;BQYAAAAABgAGAFkBAACMBQAAAAA=&#10;">
                  <v:fill on="f" focussize="0,0"/>
                  <v:stroke weight="0.5pt" color="#000000 [3213]" miterlimit="8" joinstyle="miter" endarrow="block"/>
                  <v:imagedata o:title=""/>
                  <o:lock v:ext="edit" aspectratio="f"/>
                </v:shape>
                <v:shape id="_x0000_s1026" o:spid="_x0000_s1026" o:spt="32" type="#_x0000_t32" style="position:absolute;left:3456600;top:801132;flip:y;height:13;width:397850;" filled="f" stroked="t" coordsize="21600,21600" o:gfxdata="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3OzvHVAAAABQEAAA8AAAAAAAAAAQAgAAAA&#10;IgAAAGRycy9kb3ducmV2LnhtbFBLAQIUABQAAAAIAIdO4kCrHWDZDgIAANwDAAAOAAAAAAAAAAEA&#10;IAAAACQBAABkcnMvZTJvRG9jLnhtbFBLBQYAAAAABgAGAFkBAACkBQAAAAA=&#10;">
                  <v:fill on="f" focussize="0,0"/>
                  <v:stroke weight="0.5pt" color="#000000 [3213]" miterlimit="8" joinstyle="miter" dashstyle="dash" endarrow="block"/>
                  <v:imagedata o:title=""/>
                  <o:lock v:ext="edit" aspectratio="f"/>
                </v:shape>
                <v:rect id="_x0000_s1026" o:spid="_x0000_s1026" o:spt="1" style="position:absolute;left:5075850;top:445864;height:812800;width:667090;v-text-anchor:middle;" filled="f" stroked="f" coordsize="21600,21600" o:gfxdata="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MXEQNMAAAAFAQAADwAAAAAAAAABACAAAAAiAAAA&#10;ZHJzL2Rvd25yZXYueG1sUEsBAhQAFAAAAAgAh07iQJjs7M5FAgAASQQAAA4AAAAAAAAAAQAgAAAA&#10;IgEAAGRycy9lMm9Eb2MueG1sUEsFBgAAAAAGAAYAWQEAANkFAAAAAA==&#10;">
                  <v:fill on="f" focussize="0,0"/>
                  <v:stroke on="f" weight="1pt" miterlimit="8" joinstyle="miter"/>
                  <v:imagedata o:title=""/>
                  <o:lock v:ext="edit" aspectratio="f"/>
                  <v:textbox>
                    <w:txbxContent>
                      <w:p>
                        <w:pPr>
                          <w:pStyle w:val="30"/>
                          <w:spacing w:before="0" w:beforeAutospacing="0" w:after="0" w:afterAutospacing="0"/>
                          <w:jc w:val="center"/>
                          <w:rPr>
                            <w:rFonts w:ascii="Times New Roman"/>
                            <w:kern w:val="2"/>
                            <w:sz w:val="18"/>
                            <w:szCs w:val="18"/>
                          </w:rPr>
                        </w:pPr>
                        <w:r>
                          <w:rPr>
                            <w:rFonts w:hint="eastAsia" w:ascii="Times New Roman"/>
                            <w:kern w:val="2"/>
                            <w:sz w:val="18"/>
                            <w:szCs w:val="18"/>
                          </w:rPr>
                          <w:t>污染物</w:t>
                        </w:r>
                      </w:p>
                      <w:p>
                        <w:pPr>
                          <w:pStyle w:val="30"/>
                          <w:spacing w:before="0" w:beforeAutospacing="0" w:after="0" w:afterAutospacing="0"/>
                          <w:jc w:val="center"/>
                        </w:pPr>
                        <w:r>
                          <w:rPr>
                            <w:rFonts w:hint="eastAsia" w:ascii="Times New Roman"/>
                            <w:kern w:val="2"/>
                            <w:sz w:val="18"/>
                            <w:szCs w:val="18"/>
                          </w:rPr>
                          <w:t>排放</w:t>
                        </w:r>
                      </w:p>
                    </w:txbxContent>
                  </v:textbox>
                </v:rect>
                <v:rect id="_x0000_s1026" o:spid="_x0000_s1026" o:spt="1" style="position:absolute;left:2588850;top:55;height:349250;width:952500;v-text-anchor:middle;" filled="f" stroked="f" coordsize="21600,21600" o:gfxdata="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wxcRA0wAAAAUBAAAPAAAAAAAAAAEAIAAAACIAAABkcnMvZG93&#10;bnJldi54bWxQSwECFAAUAAAACACHTuJAFOHZ+z4CAABFBAAADgAAAAAAAAABACAAAAAiAQAAZHJz&#10;L2Uyb0RvYy54bWxQSwUGAAAAAAYABgBZAQAA0gUAAAAA&#10;">
                  <v:fill on="f" focussize="0,0"/>
                  <v:stroke on="f" weight="1pt" miterlimit="8" joinstyle="miter"/>
                  <v:imagedata o:title=""/>
                  <o:lock v:ext="edit" aspectratio="f"/>
                  <v:textbox>
                    <w:txbxContent>
                      <w:p>
                        <w:pPr>
                          <w:pStyle w:val="30"/>
                          <w:spacing w:before="0" w:beforeAutospacing="0" w:after="0" w:afterAutospacing="0"/>
                          <w:jc w:val="center"/>
                        </w:pPr>
                        <w:r>
                          <w:rPr>
                            <w:rFonts w:hint="eastAsia" w:ascii="Times New Roman"/>
                            <w:kern w:val="2"/>
                            <w:sz w:val="18"/>
                            <w:szCs w:val="18"/>
                          </w:rPr>
                          <w:t>资源能源</w:t>
                        </w:r>
                        <w:r>
                          <w:rPr>
                            <w:rFonts w:ascii="Times New Roman"/>
                            <w:kern w:val="2"/>
                            <w:sz w:val="18"/>
                            <w:szCs w:val="18"/>
                          </w:rPr>
                          <w:t>投入</w:t>
                        </w:r>
                      </w:p>
                    </w:txbxContent>
                  </v:textbox>
                </v:rect>
                <v:rect id="_x0000_s1026" o:spid="_x0000_s1026" o:spt="1" style="position:absolute;left:2588850;top:2133878;height:404000;width:929050;v-text-anchor:middle;" filled="f" stroked="t" coordsize="21600,21600" o:gfxdata="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z1R8f1AAAAAUBAAAP&#10;AAAAAAAAAAEAIAAAACIAAABkcnMvZG93bnJldi54bWxQSwECFAAUAAAACACHTuJA/ipM01UCAABz&#10;BAAADgAAAAAAAAABACAAAAAjAQAAZHJzL2Uyb0RvYy54bWxQSwUGAAAAAAYABgBZAQAA6gUAAAAA&#10;">
                  <v:fill on="f" focussize="0,0"/>
                  <v:stroke weight="1pt" color="#000000 [3213]" miterlimit="8" joinstyle="miter"/>
                  <v:imagedata o:title=""/>
                  <o:lock v:ext="edit" aspectratio="f"/>
                  <v:textbox>
                    <w:txbxContent>
                      <w:p>
                        <w:pPr>
                          <w:pStyle w:val="30"/>
                          <w:spacing w:before="0" w:beforeAutospacing="0" w:after="0" w:afterAutospacing="0"/>
                          <w:jc w:val="center"/>
                        </w:pPr>
                        <w:r>
                          <w:rPr>
                            <w:rFonts w:hint="eastAsia" w:ascii="Times New Roman"/>
                            <w:kern w:val="2"/>
                            <w:sz w:val="21"/>
                            <w:szCs w:val="21"/>
                          </w:rPr>
                          <w:t>铸锭熔炼</w:t>
                        </w:r>
                      </w:p>
                    </w:txbxContent>
                  </v:textbox>
                </v:rect>
                <v:rect id="_x0000_s1026" o:spid="_x0000_s1026" o:spt="1" style="position:absolute;left:4510700;top:2092245;height:488950;width:1155700;v-text-anchor:middle;" filled="f" stroked="t" coordsize="21600,21600" o:gfxdata="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9UfH9QAAAAFAQAADwAA&#10;AAAAAAABACAAAAAiAAAAZHJzL2Rvd25yZXYueG1sUEsBAhQAFAAAAAgAh07iQPqDbcdTAgAAdAQA&#10;AA4AAAAAAAAAAQAgAAAAIwEAAGRycy9lMm9Eb2MueG1sUEsFBgAAAAAGAAYAWQEAAOgFAAAAAA==&#10;">
                  <v:fill on="f" focussize="0,0"/>
                  <v:stroke weight="1pt" color="#000000 [3213]" miterlimit="8" joinstyle="miter"/>
                  <v:imagedata o:title=""/>
                  <o:lock v:ext="edit" aspectratio="f"/>
                  <v:textbox>
                    <w:txbxContent>
                      <w:p>
                        <w:pPr>
                          <w:pStyle w:val="30"/>
                          <w:spacing w:before="0" w:beforeAutospacing="0" w:after="0" w:afterAutospacing="0"/>
                          <w:jc w:val="center"/>
                        </w:pPr>
                        <w:r>
                          <w:rPr>
                            <w:rFonts w:hint="eastAsia" w:ascii="Times New Roman"/>
                            <w:kern w:val="2"/>
                            <w:sz w:val="21"/>
                            <w:szCs w:val="21"/>
                          </w:rPr>
                          <w:t>挤压工序</w:t>
                        </w:r>
                      </w:p>
                    </w:txbxContent>
                  </v:textbox>
                </v:rect>
                <v:shape id="_x0000_s1026" o:spid="_x0000_s1026" o:spt="32" type="#_x0000_t32" style="position:absolute;left:3263900;top:1055810;height:1054645;width:0;" filled="f" stroked="t" coordsize="21600,21600" o:gfxdata="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bgvvTAAAABQEAAA8AAAAAAAAAAQAgAAAAIgAAAGRycy9kb3ducmV2LnhtbFBLAQIU&#10;ABQAAAAIAIdO4kD0L7pz+AEAAK8DAAAOAAAAAAAAAAEAIAAAACIBAABkcnMvZTJvRG9jLnhtbFBL&#10;BQYAAAAABgAGAFkBAACMBQAAAAA=&#10;">
                  <v:fill on="f" focussize="0,0"/>
                  <v:stroke weight="0.5pt" color="#000000 [3213]" miterlimit="8" joinstyle="miter" endarrow="block"/>
                  <v:imagedata o:title=""/>
                  <o:lock v:ext="edit" aspectratio="f"/>
                </v:shape>
                <v:shape id="_x0000_s1026" o:spid="_x0000_s1026" o:spt="32" type="#_x0000_t32" style="position:absolute;left:3517900;top:2344611;height:0;width:992800;" filled="f" stroked="t" coordsize="21600,21600" o:gfxdata="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dbgvvTAAAABQEAAA8AAAAAAAAAAQAgAAAAIgAAAGRycy9kb3ducmV2Lnht&#10;bFBLAQIUABQAAAAIAIdO4kC9Kc8i/gEAAK4DAAAOAAAAAAAAAAEAIAAAACIBAABkcnMvZTJvRG9j&#10;LnhtbFBLBQYAAAAABgAGAFkBAACSBQAAAAA=&#10;">
                  <v:fill on="f" focussize="0,0"/>
                  <v:stroke weight="0.5pt" color="#000000 [3213]" miterlimit="8" joinstyle="miter" endarrow="block"/>
                  <v:imagedata o:title=""/>
                  <o:lock v:ext="edit" aspectratio="f"/>
                </v:shape>
                <v:shape id="_x0000_s1026" o:spid="_x0000_s1026" o:spt="32" type="#_x0000_t32" style="position:absolute;left:2895600;top:1885950;height:222106;width:0;" filled="f" stroked="t" coordsize="21600,21600" o:gfxdata="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1uC+9MAAAAFAQAADwAAAAAAAAABACAAAAAiAAAAZHJzL2Rvd25yZXYueG1sUEsB&#10;AhQAFAAAAAgAh07iQIhnzbv6AQAArgMAAA4AAAAAAAAAAQAgAAAAIgEAAGRycy9lMm9Eb2MueG1s&#10;UEsFBgAAAAAGAAYAWQEAAI4FAAAAAA==&#10;">
                  <v:fill on="f" focussize="0,0"/>
                  <v:stroke weight="0.5pt" color="#000000 [3213]" miterlimit="8" joinstyle="miter" endarrow="block"/>
                  <v:imagedata o:title=""/>
                  <o:lock v:ext="edit" aspectratio="f"/>
                </v:shape>
                <v:rect id="_x0000_s1026" o:spid="_x0000_s1026" o:spt="1" style="position:absolute;left:2527300;top:1513420;height:512400;width:781050;v-text-anchor:middle;" filled="f" stroked="f" coordsize="21600,21600" o:gfxdata="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MXEQNMAAAAFAQAADwAAAAAAAAABACAAAAAiAAAA&#10;ZHJzL2Rvd25yZXYueG1sUEsBAhQAFAAAAAgAh07iQAIEs35FAgAASgQAAA4AAAAAAAAAAQAgAAAA&#10;IgEAAGRycy9lMm9Eb2MueG1sUEsFBgAAAAAGAAYAWQEAANkFAAAAAA==&#10;">
                  <v:fill on="f" focussize="0,0"/>
                  <v:stroke on="f" weight="1pt" miterlimit="8" joinstyle="miter"/>
                  <v:imagedata o:title=""/>
                  <o:lock v:ext="edit" aspectratio="f"/>
                  <v:textbox>
                    <w:txbxContent>
                      <w:p>
                        <w:pPr>
                          <w:pStyle w:val="30"/>
                          <w:spacing w:before="0" w:beforeAutospacing="0" w:after="0" w:afterAutospacing="0"/>
                          <w:jc w:val="center"/>
                        </w:pPr>
                        <w:r>
                          <w:rPr>
                            <w:rFonts w:hint="eastAsia" w:ascii="Times New Roman"/>
                            <w:kern w:val="2"/>
                            <w:sz w:val="18"/>
                            <w:szCs w:val="18"/>
                          </w:rPr>
                          <w:t>能源、</w:t>
                        </w:r>
                        <w:r>
                          <w:rPr>
                            <w:rFonts w:ascii="Times New Roman"/>
                            <w:kern w:val="2"/>
                            <w:sz w:val="18"/>
                            <w:szCs w:val="18"/>
                          </w:rPr>
                          <w:t>水</w:t>
                        </w:r>
                      </w:p>
                    </w:txbxContent>
                  </v:textbox>
                </v:rect>
                <v:shape id="_x0000_s1026" o:spid="_x0000_s1026" o:spt="32" type="#_x0000_t32" style="position:absolute;left:5075850;top:1885950;height:201805;width:0;" filled="f" stroked="t" coordsize="21600,21600" o:gfxdata="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3W4L70wAAAAUBAAAPAAAAAAAAAAEAIAAAACIAAABkcnMvZG93bnJldi54bWxQSwECFAAU&#10;AAAACACHTuJAjYGF9/YBAACuAwAADgAAAAAAAAABACAAAAAiAQAAZHJzL2Uyb0RvYy54bWxQSwUG&#10;AAAAAAYABgBZAQAAigUAAAAA&#10;">
                  <v:fill on="f" focussize="0,0"/>
                  <v:stroke weight="0.5pt" color="#000000 [3213]" miterlimit="8" joinstyle="miter" endarrow="block"/>
                  <v:imagedata o:title=""/>
                  <o:lock v:ext="edit" aspectratio="f"/>
                </v:shape>
                <v:rect id="_x0000_s1026" o:spid="_x0000_s1026" o:spt="1" style="position:absolute;left:4705010;top:1513420;height:511810;width:781050;v-text-anchor:middle;" filled="f" stroked="f" coordsize="21600,21600" o:gfxdata="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&#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wxcRA0wAAAAUBAAAPAAAAAAAAAAEAIAAAACIAAABk&#10;cnMvZG93bnJldi54bWxQSwECFAAUAAAACACHTuJAA+qWaEQCAABKBAAADgAAAAAAAAABACAAAAAi&#10;AQAAZHJzL2Uyb0RvYy54bWxQSwUGAAAAAAYABgBZAQAA2AUAAAAA&#10;">
                  <v:fill on="f" focussize="0,0"/>
                  <v:stroke on="f" weight="1pt" miterlimit="8" joinstyle="miter"/>
                  <v:imagedata o:title=""/>
                  <o:lock v:ext="edit" aspectratio="f"/>
                  <v:textbox>
                    <w:txbxContent>
                      <w:p>
                        <w:pPr>
                          <w:pStyle w:val="30"/>
                          <w:spacing w:before="0" w:beforeAutospacing="0" w:after="0" w:afterAutospacing="0"/>
                          <w:jc w:val="center"/>
                        </w:pPr>
                        <w:r>
                          <w:rPr>
                            <w:rFonts w:hint="eastAsia" w:ascii="Times New Roman"/>
                            <w:kern w:val="2"/>
                            <w:sz w:val="18"/>
                            <w:szCs w:val="18"/>
                          </w:rPr>
                          <w:t>能源、水</w:t>
                        </w:r>
                      </w:p>
                    </w:txbxContent>
                  </v:textbox>
                </v:rect>
                <v:shape id="_x0000_s1026" o:spid="_x0000_s1026" o:spt="32" type="#_x0000_t32" style="position:absolute;left:3035300;top:2577755;height:311151;width:0;" filled="f" stroked="t" coordsize="21600,21600" o:gfxdata="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fg8f9QAAAAFAQAADwAAAAAAAAABACAAAAAiAAAAZHJzL2Rvd25yZXYueG1s&#10;UEsBAhQAFAAAAAgAh07iQAGH3zH8AQAArQMAAA4AAAAAAAAAAQAgAAAAIwEAAGRycy9lMm9Eb2Mu&#10;eG1sUEsFBgAAAAAGAAYAWQEAAJEFAAAAAA==&#10;">
                  <v:fill on="f" focussize="0,0"/>
                  <v:stroke weight="0.5pt" color="#000000 [3213]" miterlimit="8" joinstyle="miter" dashstyle="dash" endarrow="block"/>
                  <v:imagedata o:title=""/>
                  <o:lock v:ext="edit" aspectratio="f"/>
                </v:shape>
                <v:rect id="_x0000_s1026" o:spid="_x0000_s1026" o:spt="1" style="position:absolute;left:3854450;top:2892085;height:486750;width:876300;v-text-anchor:middle;" filled="f" stroked="f" coordsize="21600,21600" o:gfxdata="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DFxEDTAAAABQEAAA8AAAAAAAAAAQAgAAAAIgAA&#10;AGRycy9kb3ducmV2LnhtbFBLAQIUABQAAAAIAIdO4kASPPgcRgIAAEoEAAAOAAAAAAAAAAEAIAAA&#10;ACIBAABkcnMvZTJvRG9jLnhtbFBLBQYAAAAABgAGAFkBAADaBQAAAAA=&#10;">
                  <v:fill on="f" focussize="0,0"/>
                  <v:stroke on="f" weight="1pt" miterlimit="8" joinstyle="miter"/>
                  <v:imagedata o:title=""/>
                  <o:lock v:ext="edit" aspectratio="f"/>
                  <v:textbox>
                    <w:txbxContent>
                      <w:p>
                        <w:pPr>
                          <w:pStyle w:val="30"/>
                          <w:spacing w:before="0" w:beforeAutospacing="0" w:after="0" w:afterAutospacing="0"/>
                          <w:jc w:val="center"/>
                        </w:pPr>
                        <w:r>
                          <w:rPr>
                            <w:rFonts w:hint="eastAsia" w:ascii="Times New Roman"/>
                            <w:kern w:val="2"/>
                            <w:sz w:val="18"/>
                            <w:szCs w:val="18"/>
                          </w:rPr>
                          <w:t>污染物</w:t>
                        </w:r>
                        <w:r>
                          <w:rPr>
                            <w:rFonts w:ascii="Times New Roman"/>
                            <w:kern w:val="2"/>
                            <w:sz w:val="18"/>
                            <w:szCs w:val="18"/>
                          </w:rPr>
                          <w:t>排放</w:t>
                        </w:r>
                      </w:p>
                    </w:txbxContent>
                  </v:textbox>
                </v:rect>
                <v:rect id="_x0000_s1026" o:spid="_x0000_s1026" o:spt="1" style="position:absolute;left:2588850;top:2888906;height:488315;width:929050;v-text-anchor:middle;" filled="f" stroked="t" coordsize="21600,21600" o:gfxdata="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z1R8f1AAAAAUBAAAPAAAA&#10;AAAAAAEAIAAAACIAAABkcnMvZG93bnJldi54bWxQSwECFAAUAAAACACHTuJAHcR3w1ICAABzBAAA&#10;DgAAAAAAAAABACAAAAAjAQAAZHJzL2Uyb0RvYy54bWxQSwUGAAAAAAYABgBZAQAA5wUAAAAA&#10;">
                  <v:fill on="f" focussize="0,0"/>
                  <v:stroke weight="1pt" color="#000000 [3213]" miterlimit="8" joinstyle="miter"/>
                  <v:imagedata o:title=""/>
                  <o:lock v:ext="edit" aspectratio="f"/>
                  <v:textbox>
                    <w:txbxContent>
                      <w:p>
                        <w:pPr>
                          <w:pStyle w:val="30"/>
                          <w:spacing w:before="0" w:beforeAutospacing="0" w:after="0" w:afterAutospacing="0"/>
                          <w:jc w:val="center"/>
                        </w:pPr>
                        <w:r>
                          <w:rPr>
                            <w:rFonts w:ascii="Times New Roman"/>
                            <w:kern w:val="2"/>
                            <w:sz w:val="21"/>
                            <w:szCs w:val="21"/>
                          </w:rPr>
                          <w:t>污染物处理系统</w:t>
                        </w:r>
                      </w:p>
                    </w:txbxContent>
                  </v:textbox>
                </v:rect>
                <v:shape id="_x0000_s1026" o:spid="_x0000_s1026" o:spt="32" type="#_x0000_t32" style="position:absolute;left:3517900;top:3135925;flip:y;height:3175;width:397510;" filled="f" stroked="t" coordsize="21600,21600" o:gfxdata="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9zs7x1QAAAAUBAAAPAAAAAAAAAAEAIAAAACIAAABkcnMvZG93&#10;bnJldi54bWxQSwECFAAUAAAACACHTuJAm+GRTwMCAAC6AwAADgAAAAAAAAABACAAAAAkAQAAZHJz&#10;L2Uyb0RvYy54bWxQSwUGAAAAAAYABgBZAQAAmQUAAAAA&#10;">
                  <v:fill on="f" focussize="0,0"/>
                  <v:stroke weight="0.5pt" color="#000000 [3213]" miterlimit="8" joinstyle="miter" dashstyle="dash" endarrow="block"/>
                  <v:imagedata o:title=""/>
                  <o:lock v:ext="edit" aspectratio="f"/>
                </v:shape>
                <v:rect id="_x0000_s1026" o:spid="_x0000_s1026" o:spt="1" style="position:absolute;left:3860800;top:554557;height:488315;width:891200;v-text-anchor:middle;" filled="f" stroked="t" coordsize="21600,21600" o:gfxdata="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9UfH9QAAAAFAQAADwAA&#10;AAAAAAABACAAAAAiAAAAZHJzL2Rvd25yZXYueG1sUEsBAhQAFAAAAAgAh07iQOMDoRdTAgAAcgQA&#10;AA4AAAAAAAAAAQAgAAAAIwEAAGRycy9lMm9Eb2MueG1sUEsFBgAAAAAGAAYAWQEAAOgFAAAAAA==&#10;">
                  <v:fill on="f" focussize="0,0"/>
                  <v:stroke weight="1pt" color="#000000 [3213]" miterlimit="8" joinstyle="miter"/>
                  <v:imagedata o:title=""/>
                  <o:lock v:ext="edit" aspectratio="f"/>
                  <v:textbox>
                    <w:txbxContent>
                      <w:p>
                        <w:pPr>
                          <w:pStyle w:val="30"/>
                          <w:spacing w:before="0" w:beforeAutospacing="0" w:after="0" w:afterAutospacing="0"/>
                          <w:jc w:val="center"/>
                        </w:pPr>
                        <w:r>
                          <w:rPr>
                            <w:rFonts w:hint="eastAsia" w:ascii="Times New Roman"/>
                            <w:kern w:val="2"/>
                            <w:sz w:val="21"/>
                            <w:szCs w:val="21"/>
                          </w:rPr>
                          <w:t>污染物处理</w:t>
                        </w:r>
                      </w:p>
                    </w:txbxContent>
                  </v:textbox>
                </v:rect>
                <v:shape id="_x0000_s1026" o:spid="_x0000_s1026" o:spt="32" type="#_x0000_t32" style="position:absolute;left:4752000;top:809682;flip:y;height:3175;width:397510;" filled="f" stroked="t" coordsize="21600,21600" o:gfxdata="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9zs7x1QAAAAUBAAAPAAAAAAAAAAEAIAAAACIAAABkcnMvZG93&#10;bnJldi54bWxQSwECFAAUAAAACACHTuJABjRWqgMCAAC5AwAADgAAAAAAAAABACAAAAAkAQAAZHJz&#10;L2Uyb0RvYy54bWxQSwUGAAAAAAYABgBZAQAAmQUAAAAA&#10;">
                  <v:fill on="f" focussize="0,0"/>
                  <v:stroke weight="0.5pt" color="#000000 [3213]" miterlimit="8" joinstyle="miter" dashstyle="dash" endarrow="block"/>
                  <v:imagedata o:title=""/>
                  <o:lock v:ext="edit" aspectratio="f"/>
                </v:shape>
                <v:shape id="_x0000_s1026" o:spid="_x0000_s1026" o:spt="32" type="#_x0000_t32" style="position:absolute;left:2207850;top:3139100;height:0;width:381000;" filled="f" stroked="t" coordsize="21600,21600" o:gfxdata="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dbgvvTAAAABQEAAA8AAAAAAAAAAQAgAAAAIgAAAGRycy9kb3ducmV2LnhtbFBL&#10;AQIUABQAAAAIAIdO4kCNRebh+wEAAK4DAAAOAAAAAAAAAAEAIAAAACIBAABkcnMvZTJvRG9jLnht&#10;bFBLBQYAAAAABgAGAFkBAACPBQAAAAA=&#10;">
                  <v:fill on="f" focussize="0,0"/>
                  <v:stroke weight="0.5pt" color="#000000 [3213]" miterlimit="8" joinstyle="miter" endarrow="block"/>
                  <v:imagedata o:title=""/>
                  <o:lock v:ext="edit" aspectratio="f"/>
                </v:shape>
                <v:rect id="_x0000_s1026" o:spid="_x0000_s1026" o:spt="1" style="position:absolute;left:1797050;top:3118616;height:260219;width:889000;v-text-anchor:middle;" filled="f" stroked="f" coordsize="21600,21600" o:gfxdata="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MXEQNMAAAAFAQAADwAAAAAAAAABACAAAAAiAAAA&#10;ZHJzL2Rvd25yZXYueG1sUEsBAhQAFAAAAAgAh07iQKQDzBtFAgAASgQAAA4AAAAAAAAAAQAgAAAA&#10;IgEAAGRycy9lMm9Eb2MueG1sUEsFBgAAAAAGAAYAWQEAANkFAAAAAA==&#10;">
                  <v:fill on="f" focussize="0,0"/>
                  <v:stroke on="f" weight="1pt" miterlimit="8" joinstyle="miter"/>
                  <v:imagedata o:title=""/>
                  <o:lock v:ext="edit" aspectratio="f"/>
                  <v:textbox>
                    <w:txbxContent>
                      <w:p>
                        <w:pPr>
                          <w:pStyle w:val="30"/>
                          <w:spacing w:before="0" w:beforeAutospacing="0" w:after="0" w:afterAutospacing="0"/>
                          <w:jc w:val="center"/>
                        </w:pPr>
                        <w:r>
                          <w:rPr>
                            <w:rFonts w:hint="eastAsia" w:ascii="Times New Roman"/>
                            <w:kern w:val="2"/>
                            <w:sz w:val="18"/>
                            <w:szCs w:val="18"/>
                          </w:rPr>
                          <w:t>资源能源</w:t>
                        </w:r>
                        <w:r>
                          <w:rPr>
                            <w:rFonts w:ascii="Times New Roman"/>
                            <w:kern w:val="2"/>
                            <w:sz w:val="18"/>
                            <w:szCs w:val="18"/>
                          </w:rPr>
                          <w:t>投入</w:t>
                        </w:r>
                      </w:p>
                    </w:txbxContent>
                  </v:textbox>
                </v:rect>
                <w10:wrap type="none"/>
                <w10:anchorlock/>
              </v:group>
            </w:pict>
          </mc:Fallback>
        </mc:AlternateContent>
      </w:r>
    </w:p>
    <w:p>
      <w:pPr>
        <w:numPr>
          <w:ilvl w:val="1"/>
          <w:numId w:val="0"/>
        </w:numPr>
        <w:jc w:val="center"/>
        <w:rPr>
          <w:rFonts w:eastAsia="仿宋"/>
          <w:b/>
          <w:szCs w:val="21"/>
        </w:rPr>
      </w:pPr>
      <w:r>
        <w:rPr>
          <w:rFonts w:hint="eastAsia" w:eastAsia="仿宋"/>
          <w:b/>
          <w:szCs w:val="21"/>
        </w:rPr>
        <w:t xml:space="preserve">            </w:t>
      </w:r>
      <w:r>
        <w:rPr>
          <w:rFonts w:eastAsia="仿宋"/>
          <w:b/>
          <w:szCs w:val="21"/>
        </w:rPr>
        <w:t>图B-1</w:t>
      </w:r>
      <w:r>
        <w:rPr>
          <w:rFonts w:hint="eastAsia" w:eastAsia="仿宋"/>
          <w:b/>
          <w:szCs w:val="21"/>
        </w:rPr>
        <w:t>刚性导电汇流排铝型材</w:t>
      </w:r>
      <w:r>
        <w:rPr>
          <w:rFonts w:eastAsia="仿宋"/>
          <w:b/>
          <w:szCs w:val="21"/>
        </w:rPr>
        <w:t>生命周期评价系统边界图</w:t>
      </w:r>
    </w:p>
    <w:p>
      <w:pPr>
        <w:numPr>
          <w:ilvl w:val="1"/>
          <w:numId w:val="0"/>
        </w:numPr>
        <w:spacing w:before="156" w:beforeLines="50" w:after="156" w:afterLines="50"/>
        <w:rPr>
          <w:rFonts w:ascii="黑体" w:hAnsi="黑体" w:eastAsia="黑体"/>
          <w:kern w:val="0"/>
          <w:szCs w:val="21"/>
        </w:rPr>
      </w:pPr>
      <w:r>
        <w:rPr>
          <w:rFonts w:hint="eastAsia" w:ascii="黑体" w:hAnsi="黑体" w:eastAsia="黑体"/>
          <w:kern w:val="0"/>
          <w:szCs w:val="21"/>
        </w:rPr>
        <w:t>B.2.</w:t>
      </w:r>
      <w:r>
        <w:rPr>
          <w:rFonts w:ascii="黑体" w:hAnsi="黑体" w:eastAsia="黑体"/>
          <w:kern w:val="0"/>
          <w:szCs w:val="21"/>
        </w:rPr>
        <w:t>4</w:t>
      </w:r>
      <w:r>
        <w:rPr>
          <w:rFonts w:hint="eastAsia" w:ascii="黑体" w:hAnsi="黑体" w:eastAsia="黑体"/>
          <w:kern w:val="0"/>
          <w:szCs w:val="21"/>
        </w:rPr>
        <w:t xml:space="preserve"> 数据取舍原则</w:t>
      </w:r>
    </w:p>
    <w:p>
      <w:pPr>
        <w:numPr>
          <w:ilvl w:val="1"/>
          <w:numId w:val="0"/>
        </w:numPr>
        <w:spacing w:before="156" w:beforeLines="50"/>
        <w:ind w:firstLine="420"/>
        <w:rPr>
          <w:kern w:val="0"/>
          <w:szCs w:val="21"/>
        </w:rPr>
      </w:pPr>
      <w:r>
        <w:rPr>
          <w:rFonts w:hint="eastAsia"/>
          <w:kern w:val="0"/>
          <w:szCs w:val="21"/>
        </w:rPr>
        <w:t>由于单元过程中涉及的数据种类多，应对数据进行适当的取舍，原则如下：</w:t>
      </w:r>
    </w:p>
    <w:p>
      <w:pPr>
        <w:numPr>
          <w:ilvl w:val="1"/>
          <w:numId w:val="0"/>
        </w:numPr>
        <w:ind w:firstLine="420"/>
        <w:rPr>
          <w:kern w:val="0"/>
          <w:szCs w:val="21"/>
        </w:rPr>
      </w:pPr>
      <w:r>
        <w:rPr>
          <w:rFonts w:hint="eastAsia"/>
          <w:kern w:val="0"/>
          <w:szCs w:val="21"/>
        </w:rPr>
        <w:t xml:space="preserve">a) </w:t>
      </w:r>
      <w:r>
        <w:rPr>
          <w:kern w:val="0"/>
          <w:szCs w:val="21"/>
        </w:rPr>
        <w:t>所有能耗需均列出；</w:t>
      </w:r>
    </w:p>
    <w:p>
      <w:pPr>
        <w:numPr>
          <w:ilvl w:val="1"/>
          <w:numId w:val="0"/>
        </w:numPr>
        <w:ind w:firstLine="420"/>
        <w:rPr>
          <w:kern w:val="0"/>
          <w:szCs w:val="21"/>
        </w:rPr>
      </w:pPr>
      <w:r>
        <w:rPr>
          <w:rFonts w:hint="eastAsia"/>
          <w:kern w:val="0"/>
          <w:szCs w:val="21"/>
        </w:rPr>
        <w:t xml:space="preserve">b) </w:t>
      </w:r>
      <w:r>
        <w:rPr>
          <w:kern w:val="0"/>
          <w:szCs w:val="21"/>
        </w:rPr>
        <w:t>所有主要原料消耗均列出；</w:t>
      </w:r>
    </w:p>
    <w:p>
      <w:pPr>
        <w:numPr>
          <w:ilvl w:val="1"/>
          <w:numId w:val="0"/>
        </w:numPr>
        <w:ind w:firstLine="420"/>
        <w:rPr>
          <w:kern w:val="0"/>
          <w:szCs w:val="21"/>
        </w:rPr>
      </w:pPr>
      <w:r>
        <w:rPr>
          <w:rFonts w:hint="eastAsia"/>
          <w:kern w:val="0"/>
          <w:szCs w:val="21"/>
        </w:rPr>
        <w:t xml:space="preserve">c) </w:t>
      </w:r>
      <w:r>
        <w:rPr>
          <w:kern w:val="0"/>
          <w:szCs w:val="21"/>
        </w:rPr>
        <w:t>辅料重量小于产品重量1%的辅料消耗可忽略，但总忽略的重量不应超过产品重量的5%；</w:t>
      </w:r>
    </w:p>
    <w:p>
      <w:pPr>
        <w:numPr>
          <w:ilvl w:val="1"/>
          <w:numId w:val="0"/>
        </w:numPr>
        <w:ind w:firstLine="420"/>
        <w:rPr>
          <w:kern w:val="0"/>
          <w:szCs w:val="21"/>
        </w:rPr>
      </w:pPr>
      <w:r>
        <w:rPr>
          <w:rFonts w:hint="eastAsia"/>
          <w:kern w:val="0"/>
          <w:szCs w:val="21"/>
        </w:rPr>
        <w:t>d) 已有法规、标准、文件（如环保法规、环保标准、环境监测报告、环境影响评价报告等）要求监测的大气、水体的各种排放均列出；</w:t>
      </w:r>
    </w:p>
    <w:p>
      <w:pPr>
        <w:numPr>
          <w:ilvl w:val="1"/>
          <w:numId w:val="0"/>
        </w:numPr>
        <w:ind w:firstLine="420"/>
        <w:rPr>
          <w:kern w:val="0"/>
          <w:szCs w:val="21"/>
        </w:rPr>
      </w:pPr>
      <w:r>
        <w:rPr>
          <w:rFonts w:hint="eastAsia"/>
          <w:kern w:val="0"/>
          <w:szCs w:val="21"/>
        </w:rPr>
        <w:t>e) 小于固体废弃物排放总量1%的一般性固体废弃物可忽略；</w:t>
      </w:r>
    </w:p>
    <w:p>
      <w:pPr>
        <w:numPr>
          <w:ilvl w:val="1"/>
          <w:numId w:val="0"/>
        </w:numPr>
        <w:ind w:firstLine="420"/>
        <w:rPr>
          <w:kern w:val="0"/>
          <w:szCs w:val="21"/>
        </w:rPr>
      </w:pPr>
      <w:r>
        <w:rPr>
          <w:rFonts w:hint="eastAsia"/>
          <w:kern w:val="0"/>
          <w:szCs w:val="21"/>
        </w:rPr>
        <w:t>f) 道路与厂房的基础设施、各工序的设备、厂房内人员及生活设施的消耗和排放，均忽略；</w:t>
      </w:r>
    </w:p>
    <w:p>
      <w:pPr>
        <w:numPr>
          <w:ilvl w:val="1"/>
          <w:numId w:val="0"/>
        </w:numPr>
        <w:ind w:firstLine="420"/>
        <w:rPr>
          <w:kern w:val="0"/>
          <w:szCs w:val="21"/>
        </w:rPr>
      </w:pPr>
      <w:r>
        <w:rPr>
          <w:rFonts w:hint="eastAsia"/>
          <w:kern w:val="0"/>
          <w:szCs w:val="21"/>
        </w:rPr>
        <w:t>g) 任何有毒有害材料和物质均应列出，不可忽略。</w:t>
      </w:r>
    </w:p>
    <w:p>
      <w:pPr>
        <w:numPr>
          <w:ilvl w:val="1"/>
          <w:numId w:val="0"/>
        </w:numPr>
        <w:spacing w:before="156" w:beforeLines="50" w:after="156" w:afterLines="50"/>
        <w:rPr>
          <w:rFonts w:ascii="黑体" w:hAnsi="黑体" w:eastAsia="黑体"/>
          <w:kern w:val="0"/>
          <w:szCs w:val="21"/>
        </w:rPr>
      </w:pPr>
      <w:r>
        <w:rPr>
          <w:rFonts w:hint="eastAsia" w:ascii="黑体" w:hAnsi="黑体" w:eastAsia="黑体"/>
          <w:kern w:val="0"/>
          <w:szCs w:val="21"/>
        </w:rPr>
        <w:t>B.3 生命周期清单分析</w:t>
      </w:r>
    </w:p>
    <w:p>
      <w:pPr>
        <w:numPr>
          <w:ilvl w:val="1"/>
          <w:numId w:val="0"/>
        </w:numPr>
        <w:spacing w:before="156" w:beforeLines="50" w:after="156" w:afterLines="50"/>
        <w:rPr>
          <w:rFonts w:ascii="黑体" w:hAnsi="黑体" w:eastAsia="黑体"/>
          <w:kern w:val="0"/>
          <w:szCs w:val="21"/>
        </w:rPr>
      </w:pPr>
      <w:r>
        <w:rPr>
          <w:rFonts w:hint="eastAsia" w:ascii="黑体" w:hAnsi="黑体" w:eastAsia="黑体"/>
          <w:kern w:val="0"/>
          <w:szCs w:val="21"/>
        </w:rPr>
        <w:t>B.3.1 数据收集</w:t>
      </w:r>
    </w:p>
    <w:p>
      <w:pPr>
        <w:numPr>
          <w:ilvl w:val="1"/>
          <w:numId w:val="0"/>
        </w:numPr>
        <w:spacing w:before="156" w:beforeLines="50"/>
        <w:ind w:firstLine="420"/>
        <w:rPr>
          <w:kern w:val="0"/>
          <w:szCs w:val="21"/>
        </w:rPr>
      </w:pPr>
      <w:r>
        <w:rPr>
          <w:rFonts w:hint="eastAsia"/>
          <w:kern w:val="0"/>
          <w:szCs w:val="21"/>
        </w:rPr>
        <w:t>应将原材料采集、运输，产品生产阶段纳入数据收集清单。</w:t>
      </w:r>
    </w:p>
    <w:p>
      <w:pPr>
        <w:numPr>
          <w:ilvl w:val="1"/>
          <w:numId w:val="0"/>
        </w:numPr>
        <w:ind w:firstLine="420"/>
        <w:rPr>
          <w:kern w:val="0"/>
          <w:szCs w:val="21"/>
        </w:rPr>
      </w:pPr>
      <w:r>
        <w:rPr>
          <w:rFonts w:hint="eastAsia"/>
          <w:kern w:val="0"/>
          <w:szCs w:val="21"/>
        </w:rPr>
        <w:t>数据收集包括现场数据收集和背景数据选择。主要数据尽量使用现场数据，如果现场数据收集缺乏，可以选择背景数据。</w:t>
      </w:r>
    </w:p>
    <w:p>
      <w:pPr>
        <w:numPr>
          <w:ilvl w:val="1"/>
          <w:numId w:val="0"/>
        </w:numPr>
        <w:ind w:firstLine="420"/>
        <w:rPr>
          <w:kern w:val="0"/>
          <w:szCs w:val="21"/>
        </w:rPr>
      </w:pPr>
      <w:r>
        <w:rPr>
          <w:rFonts w:hint="eastAsia"/>
          <w:kern w:val="0"/>
          <w:szCs w:val="21"/>
        </w:rPr>
        <w:t>背景数据包括主要原料的生产数据、权威的电力的组合数据（如火力、水、风力发电等）、不同运输类型造成的环境影响以及产品成分在环境中降解的排放数据。</w:t>
      </w:r>
    </w:p>
    <w:p>
      <w:pPr>
        <w:numPr>
          <w:ilvl w:val="1"/>
          <w:numId w:val="0"/>
        </w:numPr>
        <w:spacing w:before="156" w:beforeLines="50" w:after="156" w:afterLines="50"/>
        <w:rPr>
          <w:rFonts w:ascii="黑体" w:hAnsi="黑体" w:eastAsia="黑体"/>
          <w:kern w:val="0"/>
          <w:szCs w:val="21"/>
        </w:rPr>
      </w:pPr>
      <w:r>
        <w:rPr>
          <w:rFonts w:hint="eastAsia" w:ascii="黑体" w:hAnsi="黑体" w:eastAsia="黑体"/>
          <w:kern w:val="0"/>
          <w:szCs w:val="21"/>
        </w:rPr>
        <w:t>B.3.1.1 现场数据采集</w:t>
      </w:r>
    </w:p>
    <w:p>
      <w:pPr>
        <w:numPr>
          <w:ilvl w:val="1"/>
          <w:numId w:val="0"/>
        </w:numPr>
        <w:spacing w:before="156" w:beforeLines="50"/>
        <w:ind w:firstLine="420"/>
        <w:rPr>
          <w:kern w:val="0"/>
          <w:szCs w:val="21"/>
        </w:rPr>
      </w:pPr>
      <w:r>
        <w:rPr>
          <w:rFonts w:hint="eastAsia"/>
          <w:kern w:val="0"/>
          <w:szCs w:val="21"/>
        </w:rPr>
        <w:t>现场数据来自于企业及其主要原料供应商的实际生产过程，包括各单元过程中单位产品的原料/能源/资源的消耗量以及环保法规、标准，环境监测报告和环境影响评价报告等所要求监测的大气、水体的各种排放和温室气体排放（数据同样需要转换为单位产品对应的排放量）。现场数据还应包括运输数据，即产品原材料、主要包装等从制造地点到最终交货点的运输距离、燃料类型、运载量等。</w:t>
      </w:r>
    </w:p>
    <w:p>
      <w:pPr>
        <w:numPr>
          <w:ilvl w:val="1"/>
          <w:numId w:val="0"/>
        </w:numPr>
        <w:spacing w:after="156" w:afterLines="50"/>
        <w:ind w:firstLine="420"/>
        <w:rPr>
          <w:kern w:val="0"/>
          <w:szCs w:val="21"/>
        </w:rPr>
      </w:pPr>
      <w:r>
        <w:rPr>
          <w:rFonts w:hint="eastAsia"/>
          <w:kern w:val="0"/>
          <w:szCs w:val="21"/>
        </w:rPr>
        <w:t>所收集的数据要求为企业1年平均统计数据，所有现场数据的来源和算法均应明确地说明。</w:t>
      </w:r>
    </w:p>
    <w:p>
      <w:pPr>
        <w:numPr>
          <w:ilvl w:val="1"/>
          <w:numId w:val="0"/>
        </w:numPr>
        <w:spacing w:before="156" w:beforeLines="50" w:after="156" w:afterLines="50"/>
        <w:rPr>
          <w:rFonts w:ascii="黑体" w:hAnsi="黑体" w:eastAsia="黑体"/>
          <w:kern w:val="0"/>
          <w:szCs w:val="21"/>
        </w:rPr>
      </w:pPr>
      <w:r>
        <w:rPr>
          <w:rFonts w:hint="eastAsia" w:ascii="黑体" w:hAnsi="黑体" w:eastAsia="黑体"/>
          <w:kern w:val="0"/>
          <w:szCs w:val="21"/>
        </w:rPr>
        <w:t>B.3.1.2背景数据采集</w:t>
      </w:r>
    </w:p>
    <w:p>
      <w:pPr>
        <w:numPr>
          <w:ilvl w:val="1"/>
          <w:numId w:val="0"/>
        </w:numPr>
        <w:spacing w:before="156" w:beforeLines="50"/>
        <w:ind w:firstLine="420"/>
        <w:rPr>
          <w:kern w:val="0"/>
          <w:szCs w:val="21"/>
        </w:rPr>
      </w:pPr>
      <w:r>
        <w:rPr>
          <w:rFonts w:hint="eastAsia"/>
          <w:kern w:val="0"/>
          <w:szCs w:val="21"/>
        </w:rPr>
        <w:t>背景数据应优先采用来自上游供应商提供的数据，如上游原料的生命周期评价（LCA）报告数据，尤其是重要的原辅料。如果上游供应商不能提供，则优先选择代表中国国内平均生产水平的公开LCA数据，数据的参考年限应优先选择近年数据。在没有符合要求的中国国内数据的情况下，可以选择国外同类技术数据作为背景数据。</w:t>
      </w:r>
    </w:p>
    <w:p>
      <w:pPr>
        <w:numPr>
          <w:ilvl w:val="1"/>
          <w:numId w:val="0"/>
        </w:numPr>
        <w:spacing w:after="156" w:afterLines="50"/>
        <w:ind w:firstLine="420"/>
        <w:rPr>
          <w:kern w:val="0"/>
          <w:szCs w:val="21"/>
        </w:rPr>
      </w:pPr>
      <w:r>
        <w:rPr>
          <w:rFonts w:hint="eastAsia"/>
          <w:kern w:val="0"/>
          <w:szCs w:val="21"/>
        </w:rPr>
        <w:t>所有背景数据来源均应明确地说明。</w:t>
      </w:r>
    </w:p>
    <w:p>
      <w:pPr>
        <w:numPr>
          <w:ilvl w:val="1"/>
          <w:numId w:val="0"/>
        </w:numPr>
        <w:spacing w:before="156" w:beforeLines="50" w:after="156" w:afterLines="50"/>
        <w:rPr>
          <w:rFonts w:ascii="黑体" w:hAnsi="黑体" w:eastAsia="黑体"/>
          <w:kern w:val="0"/>
          <w:szCs w:val="21"/>
        </w:rPr>
      </w:pPr>
      <w:r>
        <w:rPr>
          <w:rFonts w:hint="eastAsia" w:ascii="黑体" w:hAnsi="黑体" w:eastAsia="黑体"/>
          <w:kern w:val="0"/>
          <w:szCs w:val="21"/>
        </w:rPr>
        <w:t>B.3.2 生命周期评价</w:t>
      </w:r>
    </w:p>
    <w:p>
      <w:pPr>
        <w:numPr>
          <w:ilvl w:val="1"/>
          <w:numId w:val="0"/>
        </w:numPr>
        <w:spacing w:before="156" w:beforeLines="50" w:after="156" w:afterLines="50"/>
        <w:rPr>
          <w:rFonts w:ascii="黑体" w:hAnsi="黑体" w:eastAsia="黑体"/>
          <w:kern w:val="0"/>
          <w:szCs w:val="21"/>
        </w:rPr>
      </w:pPr>
      <w:r>
        <w:rPr>
          <w:rFonts w:hint="eastAsia" w:ascii="黑体" w:hAnsi="黑体" w:eastAsia="黑体"/>
          <w:kern w:val="0"/>
          <w:szCs w:val="21"/>
        </w:rPr>
        <w:t>B.3.2.1 数据分析</w:t>
      </w:r>
    </w:p>
    <w:p>
      <w:pPr>
        <w:numPr>
          <w:ilvl w:val="1"/>
          <w:numId w:val="0"/>
        </w:numPr>
        <w:spacing w:before="156" w:beforeLines="50" w:after="156" w:afterLines="50"/>
        <w:ind w:firstLine="420"/>
        <w:rPr>
          <w:kern w:val="0"/>
          <w:szCs w:val="21"/>
        </w:rPr>
      </w:pPr>
      <w:r>
        <w:rPr>
          <w:rFonts w:hint="eastAsia"/>
          <w:kern w:val="0"/>
          <w:szCs w:val="21"/>
        </w:rPr>
        <w:t>根据表B.1进行数据收集，收集的数据为功能单位1t产品的消耗量。</w:t>
      </w:r>
    </w:p>
    <w:p>
      <w:pPr>
        <w:numPr>
          <w:ilvl w:val="1"/>
          <w:numId w:val="0"/>
        </w:numPr>
        <w:spacing w:before="156" w:beforeLines="50" w:after="156" w:afterLines="50"/>
        <w:rPr>
          <w:rFonts w:ascii="黑体" w:hAnsi="黑体" w:eastAsia="黑体"/>
          <w:kern w:val="0"/>
          <w:szCs w:val="21"/>
        </w:rPr>
      </w:pPr>
      <w:r>
        <w:rPr>
          <w:rFonts w:hint="eastAsia" w:ascii="黑体" w:hAnsi="黑体" w:eastAsia="黑体"/>
          <w:kern w:val="0"/>
          <w:szCs w:val="21"/>
        </w:rPr>
        <w:t>B.3.2.2 清单分析</w:t>
      </w:r>
    </w:p>
    <w:p>
      <w:pPr>
        <w:numPr>
          <w:ilvl w:val="1"/>
          <w:numId w:val="0"/>
        </w:numPr>
        <w:spacing w:before="156" w:beforeLines="50" w:after="156" w:afterLines="50"/>
        <w:ind w:firstLine="420"/>
        <w:rPr>
          <w:kern w:val="0"/>
          <w:szCs w:val="21"/>
        </w:rPr>
      </w:pPr>
      <w:r>
        <w:rPr>
          <w:rFonts w:hint="eastAsia"/>
          <w:kern w:val="0"/>
          <w:szCs w:val="21"/>
        </w:rPr>
        <w:t>利用数据库或生命周期评估软件对收集的数据进行分析处理。通过建立各个过程单元模块，输入各过程单元的数据，得到全部输入与输出物质和排放清单，选择表B.2清单因子进行分类评价。</w:t>
      </w:r>
    </w:p>
    <w:p>
      <w:pPr>
        <w:numPr>
          <w:ilvl w:val="1"/>
          <w:numId w:val="0"/>
        </w:numPr>
        <w:adjustRightInd w:val="0"/>
        <w:snapToGrid w:val="0"/>
        <w:spacing w:line="360" w:lineRule="auto"/>
        <w:jc w:val="center"/>
        <w:rPr>
          <w:b/>
          <w:kern w:val="0"/>
          <w:szCs w:val="21"/>
        </w:rPr>
      </w:pPr>
      <w:r>
        <w:rPr>
          <w:rFonts w:hint="eastAsia"/>
          <w:b/>
          <w:kern w:val="0"/>
          <w:szCs w:val="21"/>
        </w:rPr>
        <w:t>表B.1 数据收集清单</w:t>
      </w:r>
    </w:p>
    <w:p>
      <w:pPr>
        <w:numPr>
          <w:ilvl w:val="1"/>
          <w:numId w:val="0"/>
        </w:numPr>
        <w:adjustRightInd w:val="0"/>
        <w:snapToGrid w:val="0"/>
        <w:spacing w:line="360" w:lineRule="auto"/>
        <w:jc w:val="center"/>
      </w:pPr>
      <w:r>
        <mc:AlternateContent>
          <mc:Choice Requires="wps">
            <w:drawing>
              <wp:inline distT="0" distB="0" distL="0" distR="0">
                <wp:extent cx="5522595" cy="6131560"/>
                <wp:effectExtent l="0" t="0" r="0" b="2540"/>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5522595" cy="6131560"/>
                        </a:xfrm>
                        <a:prstGeom prst="rect">
                          <a:avLst/>
                        </a:prstGeom>
                        <a:noFill/>
                        <a:ln>
                          <a:noFill/>
                        </a:ln>
                      </wps:spPr>
                      <wps:txbx>
                        <w:txbxContent>
                          <w:tbl>
                            <w:tblPr>
                              <w:tblStyle w:val="33"/>
                              <w:tblW w:w="862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232"/>
                              <w:gridCol w:w="1232"/>
                              <w:gridCol w:w="1233"/>
                              <w:gridCol w:w="1232"/>
                              <w:gridCol w:w="1232"/>
                              <w:gridCol w:w="12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8625" w:type="dxa"/>
                                  <w:gridSpan w:val="7"/>
                                  <w:tcBorders>
                                    <w:tl2br w:val="nil"/>
                                    <w:tr2bl w:val="nil"/>
                                  </w:tcBorders>
                                </w:tcPr>
                                <w:p>
                                  <w:pPr>
                                    <w:pStyle w:val="124"/>
                                    <w:rPr>
                                      <w:sz w:val="18"/>
                                      <w:szCs w:val="18"/>
                                    </w:rPr>
                                  </w:pPr>
                                  <w:r>
                                    <w:rPr>
                                      <w:rFonts w:hint="eastAsia"/>
                                      <w:sz w:val="18"/>
                                      <w:szCs w:val="18"/>
                                    </w:rPr>
                                    <w:t>时段：</w:t>
                                  </w:r>
                                  <w:r>
                                    <w:rPr>
                                      <w:sz w:val="18"/>
                                      <w:szCs w:val="18"/>
                                    </w:rPr>
                                    <w:t xml:space="preserve"> </w:t>
                                  </w:r>
                                  <w:r>
                                    <w:rPr>
                                      <w:rFonts w:hint="eastAsia"/>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625" w:type="dxa"/>
                                  <w:gridSpan w:val="7"/>
                                  <w:tcBorders>
                                    <w:tl2br w:val="nil"/>
                                    <w:tr2bl w:val="nil"/>
                                  </w:tcBorders>
                                </w:tcPr>
                                <w:p>
                                  <w:pPr>
                                    <w:pStyle w:val="124"/>
                                    <w:rPr>
                                      <w:sz w:val="18"/>
                                      <w:szCs w:val="18"/>
                                    </w:rPr>
                                  </w:pPr>
                                  <w:r>
                                    <w:rPr>
                                      <w:rFonts w:hint="eastAsia"/>
                                      <w:sz w:val="18"/>
                                      <w:szCs w:val="18"/>
                                    </w:rPr>
                                    <w:t>1.原材料运输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32" w:type="dxa"/>
                                  <w:tcBorders>
                                    <w:tl2br w:val="nil"/>
                                    <w:tr2bl w:val="nil"/>
                                  </w:tcBorders>
                                  <w:vAlign w:val="center"/>
                                </w:tcPr>
                                <w:p>
                                  <w:pPr>
                                    <w:pStyle w:val="124"/>
                                    <w:jc w:val="center"/>
                                    <w:rPr>
                                      <w:rFonts w:ascii="Times New Roman" w:hAnsi="Times New Roman" w:cs="Times New Roman"/>
                                      <w:sz w:val="18"/>
                                      <w:szCs w:val="18"/>
                                    </w:rPr>
                                  </w:pPr>
                                  <w:r>
                                    <w:rPr>
                                      <w:rFonts w:hint="eastAsia" w:ascii="Times New Roman" w:hAnsi="Times New Roman" w:cs="Times New Roman"/>
                                      <w:sz w:val="18"/>
                                      <w:szCs w:val="18"/>
                                    </w:rPr>
                                    <w:t>发货</w:t>
                                  </w:r>
                                  <w:r>
                                    <w:rPr>
                                      <w:rFonts w:ascii="Times New Roman" w:hAnsi="Times New Roman" w:cs="Times New Roman"/>
                                      <w:sz w:val="18"/>
                                      <w:szCs w:val="18"/>
                                    </w:rPr>
                                    <w:t>地点</w:t>
                                  </w:r>
                                </w:p>
                              </w:tc>
                              <w:tc>
                                <w:tcPr>
                                  <w:tcW w:w="1232" w:type="dxa"/>
                                  <w:tcBorders>
                                    <w:tl2br w:val="nil"/>
                                    <w:tr2bl w:val="nil"/>
                                  </w:tcBorders>
                                  <w:vAlign w:val="center"/>
                                </w:tcPr>
                                <w:p>
                                  <w:pPr>
                                    <w:pStyle w:val="124"/>
                                    <w:jc w:val="center"/>
                                    <w:rPr>
                                      <w:rFonts w:ascii="Times New Roman" w:hAnsi="Times New Roman" w:cs="Times New Roman"/>
                                      <w:sz w:val="18"/>
                                      <w:szCs w:val="18"/>
                                    </w:rPr>
                                  </w:pPr>
                                  <w:r>
                                    <w:rPr>
                                      <w:rFonts w:ascii="Times New Roman" w:hAnsi="Times New Roman" w:cs="Times New Roman"/>
                                      <w:sz w:val="18"/>
                                      <w:szCs w:val="18"/>
                                    </w:rPr>
                                    <w:t>运输车辆最大运载量（</w:t>
                                  </w:r>
                                  <w:r>
                                    <w:rPr>
                                      <w:rFonts w:hint="eastAsia" w:ascii="Times New Roman" w:hAnsi="Times New Roman" w:cs="Times New Roman"/>
                                      <w:sz w:val="18"/>
                                      <w:szCs w:val="18"/>
                                    </w:rPr>
                                    <w:t>t</w:t>
                                  </w:r>
                                  <w:r>
                                    <w:rPr>
                                      <w:rFonts w:ascii="Times New Roman" w:hAnsi="Times New Roman" w:cs="Times New Roman"/>
                                      <w:sz w:val="18"/>
                                      <w:szCs w:val="18"/>
                                    </w:rPr>
                                    <w:t>）</w:t>
                                  </w:r>
                                </w:p>
                              </w:tc>
                              <w:tc>
                                <w:tcPr>
                                  <w:tcW w:w="1232" w:type="dxa"/>
                                  <w:tcBorders>
                                    <w:tl2br w:val="nil"/>
                                    <w:tr2bl w:val="nil"/>
                                  </w:tcBorders>
                                  <w:vAlign w:val="center"/>
                                </w:tcPr>
                                <w:p>
                                  <w:pPr>
                                    <w:pStyle w:val="124"/>
                                    <w:jc w:val="center"/>
                                    <w:rPr>
                                      <w:rFonts w:ascii="Times New Roman" w:hAnsi="Times New Roman" w:cs="Times New Roman"/>
                                      <w:sz w:val="18"/>
                                      <w:szCs w:val="18"/>
                                    </w:rPr>
                                  </w:pPr>
                                  <w:r>
                                    <w:rPr>
                                      <w:rFonts w:ascii="Times New Roman" w:hAnsi="Times New Roman" w:cs="Times New Roman"/>
                                      <w:sz w:val="18"/>
                                      <w:szCs w:val="18"/>
                                    </w:rPr>
                                    <w:t>总运载量</w:t>
                                  </w:r>
                                </w:p>
                                <w:p>
                                  <w:pPr>
                                    <w:pStyle w:val="124"/>
                                    <w:jc w:val="center"/>
                                    <w:rPr>
                                      <w:rFonts w:ascii="Times New Roman" w:hAnsi="Times New Roman" w:cs="Times New Roman"/>
                                      <w:sz w:val="18"/>
                                      <w:szCs w:val="18"/>
                                    </w:rPr>
                                  </w:pPr>
                                  <w:r>
                                    <w:rPr>
                                      <w:rFonts w:hint="eastAsia" w:ascii="Times New Roman" w:hAnsi="Times New Roman" w:cs="Times New Roman"/>
                                      <w:sz w:val="18"/>
                                      <w:szCs w:val="18"/>
                                    </w:rPr>
                                    <w:t>（t）</w:t>
                                  </w:r>
                                </w:p>
                              </w:tc>
                              <w:tc>
                                <w:tcPr>
                                  <w:tcW w:w="1233" w:type="dxa"/>
                                  <w:tcBorders>
                                    <w:tl2br w:val="nil"/>
                                    <w:tr2bl w:val="nil"/>
                                  </w:tcBorders>
                                  <w:vAlign w:val="center"/>
                                </w:tcPr>
                                <w:p>
                                  <w:pPr>
                                    <w:pStyle w:val="124"/>
                                    <w:jc w:val="center"/>
                                    <w:rPr>
                                      <w:rFonts w:ascii="Times New Roman" w:hAnsi="Times New Roman" w:cs="Times New Roman"/>
                                      <w:sz w:val="18"/>
                                      <w:szCs w:val="18"/>
                                    </w:rPr>
                                  </w:pPr>
                                  <w:r>
                                    <w:rPr>
                                      <w:rFonts w:ascii="Times New Roman" w:hAnsi="Times New Roman" w:cs="Times New Roman"/>
                                      <w:sz w:val="18"/>
                                      <w:szCs w:val="18"/>
                                    </w:rPr>
                                    <w:t>运输方式</w:t>
                                  </w:r>
                                </w:p>
                              </w:tc>
                              <w:tc>
                                <w:tcPr>
                                  <w:tcW w:w="1232" w:type="dxa"/>
                                  <w:tcBorders>
                                    <w:tl2br w:val="nil"/>
                                    <w:tr2bl w:val="nil"/>
                                  </w:tcBorders>
                                  <w:vAlign w:val="center"/>
                                </w:tcPr>
                                <w:p>
                                  <w:pPr>
                                    <w:pStyle w:val="124"/>
                                    <w:jc w:val="center"/>
                                    <w:rPr>
                                      <w:rFonts w:ascii="Times New Roman" w:hAnsi="Times New Roman" w:cs="Times New Roman"/>
                                      <w:sz w:val="18"/>
                                      <w:szCs w:val="18"/>
                                    </w:rPr>
                                  </w:pPr>
                                  <w:r>
                                    <w:rPr>
                                      <w:rFonts w:ascii="Times New Roman" w:hAnsi="Times New Roman" w:cs="Times New Roman"/>
                                      <w:sz w:val="18"/>
                                      <w:szCs w:val="18"/>
                                    </w:rPr>
                                    <w:t>燃料</w:t>
                                  </w:r>
                                  <w:r>
                                    <w:rPr>
                                      <w:rFonts w:hint="eastAsia" w:ascii="Times New Roman" w:hAnsi="Times New Roman" w:cs="Times New Roman"/>
                                      <w:sz w:val="18"/>
                                      <w:szCs w:val="18"/>
                                    </w:rPr>
                                    <w:t>类型</w:t>
                                  </w:r>
                                </w:p>
                              </w:tc>
                              <w:tc>
                                <w:tcPr>
                                  <w:tcW w:w="1232" w:type="dxa"/>
                                  <w:tcBorders>
                                    <w:tl2br w:val="nil"/>
                                    <w:tr2bl w:val="nil"/>
                                  </w:tcBorders>
                                  <w:vAlign w:val="center"/>
                                </w:tcPr>
                                <w:p>
                                  <w:pPr>
                                    <w:pStyle w:val="124"/>
                                    <w:jc w:val="center"/>
                                    <w:rPr>
                                      <w:rFonts w:ascii="Times New Roman" w:hAnsi="Times New Roman" w:cs="Times New Roman"/>
                                      <w:sz w:val="18"/>
                                      <w:szCs w:val="18"/>
                                    </w:rPr>
                                  </w:pPr>
                                  <w:r>
                                    <w:rPr>
                                      <w:rFonts w:ascii="Times New Roman" w:hAnsi="Times New Roman" w:cs="Times New Roman"/>
                                      <w:sz w:val="18"/>
                                      <w:szCs w:val="18"/>
                                    </w:rPr>
                                    <w:t>运输距离</w:t>
                                  </w:r>
                                  <w:r>
                                    <w:rPr>
                                      <w:rFonts w:hint="eastAsia" w:ascii="Times New Roman" w:hAnsi="Times New Roman" w:cs="Times New Roman"/>
                                      <w:sz w:val="18"/>
                                      <w:szCs w:val="18"/>
                                    </w:rPr>
                                    <w:t>（km）</w:t>
                                  </w:r>
                                </w:p>
                              </w:tc>
                              <w:tc>
                                <w:tcPr>
                                  <w:tcW w:w="1232" w:type="dxa"/>
                                  <w:tcBorders>
                                    <w:tl2br w:val="nil"/>
                                    <w:tr2bl w:val="nil"/>
                                  </w:tcBorders>
                                  <w:vAlign w:val="center"/>
                                </w:tcPr>
                                <w:p>
                                  <w:pPr>
                                    <w:pStyle w:val="124"/>
                                    <w:jc w:val="center"/>
                                    <w:rPr>
                                      <w:rFonts w:ascii="Times New Roman" w:hAnsi="Times New Roman" w:cs="Times New Roman"/>
                                      <w:sz w:val="18"/>
                                      <w:szCs w:val="18"/>
                                    </w:rPr>
                                  </w:pPr>
                                  <w:r>
                                    <w:rPr>
                                      <w:rFonts w:ascii="Times New Roman" w:hAnsi="Times New Roman" w:cs="Times New Roman"/>
                                      <w:sz w:val="18"/>
                                      <w:szCs w:val="18"/>
                                    </w:rPr>
                                    <w:t>平均运输距离*总运载量（t*km）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3"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3"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8625" w:type="dxa"/>
                                  <w:gridSpan w:val="7"/>
                                  <w:tcBorders>
                                    <w:tl2br w:val="nil"/>
                                    <w:tr2bl w:val="nil"/>
                                  </w:tcBorders>
                                </w:tcPr>
                                <w:p>
                                  <w:pPr>
                                    <w:pStyle w:val="124"/>
                                    <w:rPr>
                                      <w:sz w:val="18"/>
                                      <w:szCs w:val="18"/>
                                    </w:rPr>
                                  </w:pPr>
                                  <w:r>
                                    <w:rPr>
                                      <w:rFonts w:hint="eastAsia"/>
                                      <w:sz w:val="18"/>
                                      <w:szCs w:val="18"/>
                                    </w:rPr>
                                    <w:t>2.原辅材料消耗（包括包装材料）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32" w:type="dxa"/>
                                  <w:tcBorders>
                                    <w:tl2br w:val="nil"/>
                                    <w:tr2bl w:val="nil"/>
                                  </w:tcBorders>
                                </w:tcPr>
                                <w:p>
                                  <w:pPr>
                                    <w:pStyle w:val="124"/>
                                    <w:jc w:val="center"/>
                                    <w:rPr>
                                      <w:sz w:val="18"/>
                                      <w:szCs w:val="18"/>
                                    </w:rPr>
                                  </w:pPr>
                                  <w:r>
                                    <w:rPr>
                                      <w:rFonts w:hint="eastAsia"/>
                                      <w:sz w:val="18"/>
                                      <w:szCs w:val="18"/>
                                    </w:rPr>
                                    <w:t>原辅材料</w:t>
                                  </w:r>
                                </w:p>
                              </w:tc>
                              <w:tc>
                                <w:tcPr>
                                  <w:tcW w:w="1232" w:type="dxa"/>
                                  <w:tcBorders>
                                    <w:tl2br w:val="nil"/>
                                    <w:tr2bl w:val="nil"/>
                                  </w:tcBorders>
                                </w:tcPr>
                                <w:p>
                                  <w:pPr>
                                    <w:pStyle w:val="124"/>
                                    <w:jc w:val="center"/>
                                    <w:rPr>
                                      <w:sz w:val="18"/>
                                      <w:szCs w:val="18"/>
                                    </w:rPr>
                                  </w:pPr>
                                  <w:r>
                                    <w:rPr>
                                      <w:rFonts w:hint="eastAsia"/>
                                      <w:sz w:val="18"/>
                                      <w:szCs w:val="18"/>
                                    </w:rPr>
                                    <w:t>单位</w:t>
                                  </w:r>
                                </w:p>
                              </w:tc>
                              <w:tc>
                                <w:tcPr>
                                  <w:tcW w:w="1232" w:type="dxa"/>
                                  <w:tcBorders>
                                    <w:tl2br w:val="nil"/>
                                    <w:tr2bl w:val="nil"/>
                                  </w:tcBorders>
                                </w:tcPr>
                                <w:p>
                                  <w:pPr>
                                    <w:pStyle w:val="124"/>
                                    <w:jc w:val="center"/>
                                    <w:rPr>
                                      <w:sz w:val="18"/>
                                      <w:szCs w:val="18"/>
                                    </w:rPr>
                                  </w:pPr>
                                  <w:r>
                                    <w:rPr>
                                      <w:rFonts w:hint="eastAsia"/>
                                      <w:sz w:val="18"/>
                                      <w:szCs w:val="18"/>
                                    </w:rPr>
                                    <w:t>数量</w:t>
                                  </w:r>
                                </w:p>
                              </w:tc>
                              <w:tc>
                                <w:tcPr>
                                  <w:tcW w:w="1233"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r>
                                    <w:rPr>
                                      <w:rFonts w:hint="eastAsia" w:ascii="Times New Roman" w:hAnsi="Times New Roman" w:cs="Times New Roman"/>
                                      <w:sz w:val="18"/>
                                      <w:szCs w:val="18"/>
                                    </w:rPr>
                                    <w:t>t</w:t>
                                  </w:r>
                                  <w:r>
                                    <w:rPr>
                                      <w:rFonts w:ascii="Times New Roman" w:hAnsi="Times New Roman" w:cs="Times New Roman"/>
                                      <w:sz w:val="18"/>
                                      <w:szCs w:val="18"/>
                                    </w:rPr>
                                    <w:t>/t</w:t>
                                  </w:r>
                                </w:p>
                              </w:tc>
                              <w:tc>
                                <w:tcPr>
                                  <w:tcW w:w="1232" w:type="dxa"/>
                                  <w:tcBorders>
                                    <w:tl2br w:val="nil"/>
                                    <w:tr2bl w:val="nil"/>
                                  </w:tcBorders>
                                </w:tcPr>
                                <w:p>
                                  <w:pPr>
                                    <w:pStyle w:val="124"/>
                                    <w:jc w:val="center"/>
                                    <w:rPr>
                                      <w:rFonts w:ascii="Times New Roman" w:hAnsi="Times New Roman" w:cs="Times New Roman"/>
                                      <w:sz w:val="18"/>
                                      <w:szCs w:val="18"/>
                                    </w:rPr>
                                  </w:pPr>
                                </w:p>
                              </w:tc>
                              <w:tc>
                                <w:tcPr>
                                  <w:tcW w:w="1233"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r>
                                    <w:rPr>
                                      <w:rFonts w:ascii="Times New Roman" w:hAnsi="Times New Roman" w:cs="Times New Roman"/>
                                      <w:sz w:val="18"/>
                                      <w:szCs w:val="18"/>
                                    </w:rPr>
                                    <w:t>t/t</w:t>
                                  </w:r>
                                </w:p>
                              </w:tc>
                              <w:tc>
                                <w:tcPr>
                                  <w:tcW w:w="1232" w:type="dxa"/>
                                  <w:tcBorders>
                                    <w:tl2br w:val="nil"/>
                                    <w:tr2bl w:val="nil"/>
                                  </w:tcBorders>
                                </w:tcPr>
                                <w:p>
                                  <w:pPr>
                                    <w:pStyle w:val="124"/>
                                    <w:jc w:val="center"/>
                                    <w:rPr>
                                      <w:rFonts w:ascii="Times New Roman" w:hAnsi="Times New Roman" w:cs="Times New Roman"/>
                                      <w:sz w:val="18"/>
                                      <w:szCs w:val="18"/>
                                    </w:rPr>
                                  </w:pPr>
                                </w:p>
                              </w:tc>
                              <w:tc>
                                <w:tcPr>
                                  <w:tcW w:w="1233"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r>
                                    <w:rPr>
                                      <w:rFonts w:ascii="Times New Roman" w:hAnsi="Times New Roman" w:cs="Times New Roman"/>
                                      <w:sz w:val="18"/>
                                      <w:szCs w:val="18"/>
                                    </w:rPr>
                                    <w:t>t/t</w:t>
                                  </w:r>
                                </w:p>
                              </w:tc>
                              <w:tc>
                                <w:tcPr>
                                  <w:tcW w:w="1232" w:type="dxa"/>
                                  <w:tcBorders>
                                    <w:tl2br w:val="nil"/>
                                    <w:tr2bl w:val="nil"/>
                                  </w:tcBorders>
                                </w:tcPr>
                                <w:p>
                                  <w:pPr>
                                    <w:pStyle w:val="124"/>
                                    <w:jc w:val="center"/>
                                    <w:rPr>
                                      <w:rFonts w:ascii="Times New Roman" w:hAnsi="Times New Roman" w:cs="Times New Roman"/>
                                      <w:sz w:val="18"/>
                                      <w:szCs w:val="18"/>
                                    </w:rPr>
                                  </w:pPr>
                                </w:p>
                              </w:tc>
                              <w:tc>
                                <w:tcPr>
                                  <w:tcW w:w="1233"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rFonts w:ascii="Times New Roman" w:hAnsi="Times New Roman" w:cs="Times New Roman"/>
                                      <w:sz w:val="18"/>
                                      <w:szCs w:val="18"/>
                                    </w:rPr>
                                  </w:pPr>
                                  <w:r>
                                    <w:rPr>
                                      <w:rFonts w:ascii="Times New Roman" w:hAnsi="Times New Roman" w:cs="Times New Roman"/>
                                      <w:sz w:val="18"/>
                                      <w:szCs w:val="18"/>
                                    </w:rPr>
                                    <w:t>…</w:t>
                                  </w:r>
                                </w:p>
                              </w:tc>
                              <w:tc>
                                <w:tcPr>
                                  <w:tcW w:w="1232" w:type="dxa"/>
                                  <w:tcBorders>
                                    <w:tl2br w:val="nil"/>
                                    <w:tr2bl w:val="nil"/>
                                  </w:tcBorders>
                                </w:tcPr>
                                <w:p>
                                  <w:pPr>
                                    <w:pStyle w:val="124"/>
                                    <w:jc w:val="center"/>
                                    <w:rPr>
                                      <w:rFonts w:ascii="Times New Roman" w:hAnsi="Times New Roman" w:cs="Times New Roman"/>
                                      <w:sz w:val="18"/>
                                      <w:szCs w:val="18"/>
                                    </w:rPr>
                                  </w:pPr>
                                  <w:r>
                                    <w:rPr>
                                      <w:rFonts w:ascii="Times New Roman" w:hAnsi="Times New Roman" w:cs="Times New Roman"/>
                                      <w:sz w:val="18"/>
                                      <w:szCs w:val="18"/>
                                    </w:rPr>
                                    <w:t>…</w:t>
                                  </w:r>
                                </w:p>
                              </w:tc>
                              <w:tc>
                                <w:tcPr>
                                  <w:tcW w:w="1232" w:type="dxa"/>
                                  <w:tcBorders>
                                    <w:tl2br w:val="nil"/>
                                    <w:tr2bl w:val="nil"/>
                                  </w:tcBorders>
                                </w:tcPr>
                                <w:p>
                                  <w:pPr>
                                    <w:pStyle w:val="124"/>
                                    <w:jc w:val="center"/>
                                    <w:rPr>
                                      <w:rFonts w:ascii="Times New Roman" w:hAnsi="Times New Roman" w:cs="Times New Roman"/>
                                      <w:sz w:val="18"/>
                                      <w:szCs w:val="18"/>
                                    </w:rPr>
                                  </w:pPr>
                                </w:p>
                              </w:tc>
                              <w:tc>
                                <w:tcPr>
                                  <w:tcW w:w="1233"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625" w:type="dxa"/>
                                  <w:gridSpan w:val="7"/>
                                  <w:tcBorders>
                                    <w:tl2br w:val="nil"/>
                                    <w:tr2bl w:val="nil"/>
                                  </w:tcBorders>
                                </w:tcPr>
                                <w:p>
                                  <w:pPr>
                                    <w:pStyle w:val="124"/>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w:t>
                                  </w:r>
                                  <w:r>
                                    <w:rPr>
                                      <w:rFonts w:hint="eastAsia" w:ascii="Times New Roman" w:hAnsi="Times New Roman" w:cs="Times New Roman"/>
                                      <w:sz w:val="18"/>
                                      <w:szCs w:val="18"/>
                                    </w:rPr>
                                    <w:t>资源消耗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sz w:val="18"/>
                                      <w:szCs w:val="18"/>
                                    </w:rPr>
                                  </w:pPr>
                                  <w:r>
                                    <w:rPr>
                                      <w:rFonts w:hint="eastAsia"/>
                                      <w:sz w:val="18"/>
                                      <w:szCs w:val="18"/>
                                    </w:rPr>
                                    <w:t>水</w:t>
                                  </w:r>
                                </w:p>
                              </w:tc>
                              <w:tc>
                                <w:tcPr>
                                  <w:tcW w:w="1232" w:type="dxa"/>
                                  <w:tcBorders>
                                    <w:tl2br w:val="nil"/>
                                    <w:tr2bl w:val="nil"/>
                                  </w:tcBorders>
                                </w:tcPr>
                                <w:p>
                                  <w:pPr>
                                    <w:pStyle w:val="124"/>
                                    <w:jc w:val="center"/>
                                    <w:rPr>
                                      <w:sz w:val="18"/>
                                      <w:szCs w:val="18"/>
                                    </w:rPr>
                                  </w:pPr>
                                  <w:r>
                                    <w:rPr>
                                      <w:rFonts w:hint="eastAsia"/>
                                      <w:sz w:val="18"/>
                                      <w:szCs w:val="18"/>
                                    </w:rPr>
                                    <w:t>单位</w:t>
                                  </w:r>
                                </w:p>
                              </w:tc>
                              <w:tc>
                                <w:tcPr>
                                  <w:tcW w:w="1232" w:type="dxa"/>
                                  <w:tcBorders>
                                    <w:tl2br w:val="nil"/>
                                    <w:tr2bl w:val="nil"/>
                                  </w:tcBorders>
                                </w:tcPr>
                                <w:p>
                                  <w:pPr>
                                    <w:pStyle w:val="124"/>
                                    <w:jc w:val="center"/>
                                    <w:rPr>
                                      <w:sz w:val="18"/>
                                      <w:szCs w:val="18"/>
                                    </w:rPr>
                                  </w:pPr>
                                  <w:r>
                                    <w:rPr>
                                      <w:rFonts w:hint="eastAsia"/>
                                      <w:sz w:val="18"/>
                                      <w:szCs w:val="18"/>
                                    </w:rPr>
                                    <w:t>数量</w:t>
                                  </w:r>
                                </w:p>
                              </w:tc>
                              <w:tc>
                                <w:tcPr>
                                  <w:tcW w:w="1233" w:type="dxa"/>
                                  <w:tcBorders>
                                    <w:tl2br w:val="nil"/>
                                    <w:tr2bl w:val="nil"/>
                                  </w:tcBorders>
                                </w:tcPr>
                                <w:p>
                                  <w:pPr>
                                    <w:pStyle w:val="124"/>
                                    <w:jc w:val="center"/>
                                    <w:rPr>
                                      <w:sz w:val="18"/>
                                      <w:szCs w:val="18"/>
                                    </w:rPr>
                                  </w:pPr>
                                  <w:r>
                                    <w:rPr>
                                      <w:rFonts w:hint="eastAsia"/>
                                      <w:sz w:val="18"/>
                                      <w:szCs w:val="18"/>
                                    </w:rPr>
                                    <w:t>数据来源</w:t>
                                  </w: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r>
                                    <w:rPr>
                                      <w:rFonts w:ascii="Times New Roman" w:hAnsi="Times New Roman" w:cs="Times New Roman"/>
                                      <w:sz w:val="18"/>
                                      <w:szCs w:val="18"/>
                                    </w:rPr>
                                    <w:t>t/t</w:t>
                                  </w:r>
                                </w:p>
                              </w:tc>
                              <w:tc>
                                <w:tcPr>
                                  <w:tcW w:w="1232" w:type="dxa"/>
                                  <w:tcBorders>
                                    <w:tl2br w:val="nil"/>
                                    <w:tr2bl w:val="nil"/>
                                  </w:tcBorders>
                                </w:tcPr>
                                <w:p>
                                  <w:pPr>
                                    <w:pStyle w:val="124"/>
                                    <w:jc w:val="center"/>
                                    <w:rPr>
                                      <w:sz w:val="18"/>
                                      <w:szCs w:val="18"/>
                                    </w:rPr>
                                  </w:pPr>
                                </w:p>
                              </w:tc>
                              <w:tc>
                                <w:tcPr>
                                  <w:tcW w:w="1233"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625" w:type="dxa"/>
                                  <w:gridSpan w:val="7"/>
                                  <w:tcBorders>
                                    <w:tl2br w:val="nil"/>
                                    <w:tr2bl w:val="nil"/>
                                  </w:tcBorders>
                                </w:tcPr>
                                <w:p>
                                  <w:pPr>
                                    <w:pStyle w:val="124"/>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.能源消耗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sz w:val="18"/>
                                      <w:szCs w:val="18"/>
                                    </w:rPr>
                                  </w:pPr>
                                  <w:r>
                                    <w:rPr>
                                      <w:rFonts w:hint="eastAsia"/>
                                      <w:sz w:val="18"/>
                                      <w:szCs w:val="18"/>
                                    </w:rPr>
                                    <w:t>能源</w:t>
                                  </w:r>
                                </w:p>
                              </w:tc>
                              <w:tc>
                                <w:tcPr>
                                  <w:tcW w:w="1232" w:type="dxa"/>
                                  <w:tcBorders>
                                    <w:tl2br w:val="nil"/>
                                    <w:tr2bl w:val="nil"/>
                                  </w:tcBorders>
                                </w:tcPr>
                                <w:p>
                                  <w:pPr>
                                    <w:pStyle w:val="124"/>
                                    <w:jc w:val="center"/>
                                    <w:rPr>
                                      <w:sz w:val="18"/>
                                      <w:szCs w:val="18"/>
                                    </w:rPr>
                                  </w:pPr>
                                  <w:r>
                                    <w:rPr>
                                      <w:rFonts w:hint="eastAsia"/>
                                      <w:sz w:val="18"/>
                                      <w:szCs w:val="18"/>
                                    </w:rPr>
                                    <w:t>单位</w:t>
                                  </w:r>
                                </w:p>
                              </w:tc>
                              <w:tc>
                                <w:tcPr>
                                  <w:tcW w:w="1232" w:type="dxa"/>
                                  <w:tcBorders>
                                    <w:tl2br w:val="nil"/>
                                    <w:tr2bl w:val="nil"/>
                                  </w:tcBorders>
                                </w:tcPr>
                                <w:p>
                                  <w:pPr>
                                    <w:pStyle w:val="124"/>
                                    <w:jc w:val="center"/>
                                    <w:rPr>
                                      <w:sz w:val="18"/>
                                      <w:szCs w:val="18"/>
                                    </w:rPr>
                                  </w:pPr>
                                  <w:r>
                                    <w:rPr>
                                      <w:rFonts w:hint="eastAsia"/>
                                      <w:sz w:val="18"/>
                                      <w:szCs w:val="18"/>
                                    </w:rPr>
                                    <w:t>数量</w:t>
                                  </w:r>
                                </w:p>
                              </w:tc>
                              <w:tc>
                                <w:tcPr>
                                  <w:tcW w:w="1233" w:type="dxa"/>
                                  <w:tcBorders>
                                    <w:tl2br w:val="nil"/>
                                    <w:tr2bl w:val="nil"/>
                                  </w:tcBorders>
                                </w:tcPr>
                                <w:p>
                                  <w:pPr>
                                    <w:pStyle w:val="124"/>
                                    <w:jc w:val="center"/>
                                    <w:rPr>
                                      <w:sz w:val="18"/>
                                      <w:szCs w:val="18"/>
                                    </w:rPr>
                                  </w:pPr>
                                  <w:r>
                                    <w:rPr>
                                      <w:rFonts w:hint="eastAsia"/>
                                      <w:sz w:val="18"/>
                                      <w:szCs w:val="18"/>
                                    </w:rPr>
                                    <w:t>数据来源</w:t>
                                  </w: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sz w:val="18"/>
                                      <w:szCs w:val="18"/>
                                    </w:rPr>
                                  </w:pPr>
                                  <w:r>
                                    <w:rPr>
                                      <w:rFonts w:hint="eastAsia"/>
                                      <w:sz w:val="18"/>
                                      <w:szCs w:val="18"/>
                                    </w:rPr>
                                    <w:t>电</w:t>
                                  </w:r>
                                </w:p>
                              </w:tc>
                              <w:tc>
                                <w:tcPr>
                                  <w:tcW w:w="1232" w:type="dxa"/>
                                  <w:tcBorders>
                                    <w:tl2br w:val="nil"/>
                                    <w:tr2bl w:val="nil"/>
                                  </w:tcBorders>
                                </w:tcPr>
                                <w:p>
                                  <w:pPr>
                                    <w:pStyle w:val="124"/>
                                    <w:jc w:val="center"/>
                                    <w:rPr>
                                      <w:rFonts w:ascii="Times New Roman" w:hAnsi="Times New Roman" w:cs="Times New Roman"/>
                                      <w:sz w:val="18"/>
                                      <w:szCs w:val="18"/>
                                    </w:rPr>
                                  </w:pPr>
                                  <w:r>
                                    <w:rPr>
                                      <w:rFonts w:ascii="Times New Roman" w:hAnsi="Times New Roman" w:cs="Times New Roman"/>
                                      <w:sz w:val="18"/>
                                      <w:szCs w:val="18"/>
                                    </w:rPr>
                                    <w:t>kWh</w:t>
                                  </w:r>
                                </w:p>
                              </w:tc>
                              <w:tc>
                                <w:tcPr>
                                  <w:tcW w:w="1232" w:type="dxa"/>
                                  <w:tcBorders>
                                    <w:tl2br w:val="nil"/>
                                    <w:tr2bl w:val="nil"/>
                                  </w:tcBorders>
                                </w:tcPr>
                                <w:p>
                                  <w:pPr>
                                    <w:pStyle w:val="124"/>
                                    <w:jc w:val="center"/>
                                    <w:rPr>
                                      <w:sz w:val="18"/>
                                      <w:szCs w:val="18"/>
                                    </w:rPr>
                                  </w:pPr>
                                </w:p>
                              </w:tc>
                              <w:tc>
                                <w:tcPr>
                                  <w:tcW w:w="1233"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32" w:type="dxa"/>
                                  <w:tcBorders>
                                    <w:tl2br w:val="nil"/>
                                    <w:tr2bl w:val="nil"/>
                                  </w:tcBorders>
                                </w:tcPr>
                                <w:p>
                                  <w:pPr>
                                    <w:pStyle w:val="124"/>
                                    <w:jc w:val="center"/>
                                    <w:rPr>
                                      <w:sz w:val="18"/>
                                      <w:szCs w:val="18"/>
                                    </w:rPr>
                                  </w:pPr>
                                  <w:r>
                                    <w:rPr>
                                      <w:rFonts w:hint="eastAsia"/>
                                      <w:sz w:val="18"/>
                                      <w:szCs w:val="18"/>
                                    </w:rPr>
                                    <w:t>天然气</w:t>
                                  </w:r>
                                </w:p>
                              </w:tc>
                              <w:tc>
                                <w:tcPr>
                                  <w:tcW w:w="1232" w:type="dxa"/>
                                  <w:tcBorders>
                                    <w:tl2br w:val="nil"/>
                                    <w:tr2bl w:val="nil"/>
                                  </w:tcBorders>
                                </w:tcPr>
                                <w:p>
                                  <w:pPr>
                                    <w:pStyle w:val="124"/>
                                    <w:jc w:val="center"/>
                                    <w:rPr>
                                      <w:rFonts w:ascii="Times New Roman" w:hAnsi="Times New Roman" w:cs="Times New Roman"/>
                                      <w:sz w:val="18"/>
                                      <w:szCs w:val="18"/>
                                    </w:rPr>
                                  </w:pP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232" w:type="dxa"/>
                                  <w:tcBorders>
                                    <w:tl2br w:val="nil"/>
                                    <w:tr2bl w:val="nil"/>
                                  </w:tcBorders>
                                </w:tcPr>
                                <w:p>
                                  <w:pPr>
                                    <w:pStyle w:val="124"/>
                                    <w:jc w:val="center"/>
                                    <w:rPr>
                                      <w:sz w:val="18"/>
                                      <w:szCs w:val="18"/>
                                    </w:rPr>
                                  </w:pPr>
                                </w:p>
                              </w:tc>
                              <w:tc>
                                <w:tcPr>
                                  <w:tcW w:w="1233"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sz w:val="18"/>
                                      <w:szCs w:val="18"/>
                                    </w:rPr>
                                  </w:pPr>
                                  <w:r>
                                    <w:rPr>
                                      <w:sz w:val="18"/>
                                      <w:szCs w:val="18"/>
                                    </w:rPr>
                                    <w:t>…</w:t>
                                  </w: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3"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625" w:type="dxa"/>
                                  <w:gridSpan w:val="7"/>
                                  <w:tcBorders>
                                    <w:tl2br w:val="nil"/>
                                    <w:tr2bl w:val="nil"/>
                                  </w:tcBorders>
                                </w:tcPr>
                                <w:p>
                                  <w:pPr>
                                    <w:pStyle w:val="124"/>
                                    <w:rPr>
                                      <w:rFonts w:ascii="Times New Roman" w:hAnsi="Times New Roman" w:cs="Times New Roman"/>
                                      <w:sz w:val="18"/>
                                      <w:szCs w:val="18"/>
                                    </w:rPr>
                                  </w:pPr>
                                  <w:r>
                                    <w:rPr>
                                      <w:rFonts w:hint="eastAsia" w:ascii="Times New Roman" w:hAnsi="Times New Roman" w:cs="Times New Roman"/>
                                      <w:sz w:val="18"/>
                                      <w:szCs w:val="18"/>
                                    </w:rPr>
                                    <w:t>5</w:t>
                                  </w:r>
                                  <w:r>
                                    <w:rPr>
                                      <w:rFonts w:ascii="Times New Roman" w:hAnsi="Times New Roman" w:cs="Times New Roman"/>
                                      <w:sz w:val="18"/>
                                      <w:szCs w:val="18"/>
                                    </w:rPr>
                                    <w:t>.环境排放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sz w:val="18"/>
                                      <w:szCs w:val="18"/>
                                    </w:rPr>
                                  </w:pPr>
                                  <w:r>
                                    <w:rPr>
                                      <w:rFonts w:hint="eastAsia"/>
                                      <w:sz w:val="18"/>
                                      <w:szCs w:val="18"/>
                                    </w:rPr>
                                    <w:t>排放种类</w:t>
                                  </w:r>
                                </w:p>
                              </w:tc>
                              <w:tc>
                                <w:tcPr>
                                  <w:tcW w:w="1232" w:type="dxa"/>
                                  <w:tcBorders>
                                    <w:tl2br w:val="nil"/>
                                    <w:tr2bl w:val="nil"/>
                                  </w:tcBorders>
                                </w:tcPr>
                                <w:p>
                                  <w:pPr>
                                    <w:pStyle w:val="124"/>
                                    <w:jc w:val="center"/>
                                    <w:rPr>
                                      <w:sz w:val="18"/>
                                      <w:szCs w:val="18"/>
                                    </w:rPr>
                                  </w:pPr>
                                  <w:r>
                                    <w:rPr>
                                      <w:rFonts w:hint="eastAsia"/>
                                      <w:sz w:val="18"/>
                                      <w:szCs w:val="18"/>
                                    </w:rPr>
                                    <w:t>单位</w:t>
                                  </w:r>
                                </w:p>
                              </w:tc>
                              <w:tc>
                                <w:tcPr>
                                  <w:tcW w:w="1232" w:type="dxa"/>
                                  <w:tcBorders>
                                    <w:tl2br w:val="nil"/>
                                    <w:tr2bl w:val="nil"/>
                                  </w:tcBorders>
                                </w:tcPr>
                                <w:p>
                                  <w:pPr>
                                    <w:pStyle w:val="124"/>
                                    <w:jc w:val="center"/>
                                    <w:rPr>
                                      <w:sz w:val="18"/>
                                      <w:szCs w:val="18"/>
                                    </w:rPr>
                                  </w:pPr>
                                  <w:r>
                                    <w:rPr>
                                      <w:rFonts w:hint="eastAsia"/>
                                      <w:sz w:val="18"/>
                                      <w:szCs w:val="18"/>
                                    </w:rPr>
                                    <w:t>数量</w:t>
                                  </w:r>
                                </w:p>
                              </w:tc>
                              <w:tc>
                                <w:tcPr>
                                  <w:tcW w:w="1233" w:type="dxa"/>
                                  <w:tcBorders>
                                    <w:tl2br w:val="nil"/>
                                    <w:tr2bl w:val="nil"/>
                                  </w:tcBorders>
                                </w:tcPr>
                                <w:p>
                                  <w:pPr>
                                    <w:pStyle w:val="124"/>
                                    <w:jc w:val="center"/>
                                    <w:rPr>
                                      <w:sz w:val="18"/>
                                      <w:szCs w:val="18"/>
                                    </w:rPr>
                                  </w:pPr>
                                  <w:r>
                                    <w:rPr>
                                      <w:rFonts w:hint="eastAsia"/>
                                      <w:sz w:val="18"/>
                                      <w:szCs w:val="18"/>
                                    </w:rPr>
                                    <w:t>数据来源</w:t>
                                  </w: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sz w:val="18"/>
                                      <w:szCs w:val="18"/>
                                    </w:rPr>
                                  </w:pPr>
                                  <w:r>
                                    <w:rPr>
                                      <w:rFonts w:hint="eastAsia"/>
                                      <w:sz w:val="18"/>
                                      <w:szCs w:val="18"/>
                                    </w:rPr>
                                    <w:t>烟尘</w:t>
                                  </w:r>
                                </w:p>
                              </w:tc>
                              <w:tc>
                                <w:tcPr>
                                  <w:tcW w:w="1232" w:type="dxa"/>
                                  <w:tcBorders>
                                    <w:tl2br w:val="nil"/>
                                    <w:tr2bl w:val="nil"/>
                                  </w:tcBorders>
                                  <w:vAlign w:val="center"/>
                                </w:tcPr>
                                <w:p>
                                  <w:pPr>
                                    <w:pStyle w:val="124"/>
                                    <w:jc w:val="center"/>
                                    <w:rPr>
                                      <w:rFonts w:ascii="Times New Roman" w:hAnsi="Times New Roman" w:cs="Times New Roman"/>
                                      <w:sz w:val="18"/>
                                      <w:szCs w:val="18"/>
                                    </w:rPr>
                                  </w:pPr>
                                  <w:r>
                                    <w:rPr>
                                      <w:rFonts w:hint="eastAsia" w:ascii="Times New Roman" w:hAnsi="Times New Roman" w:cs="Times New Roman"/>
                                      <w:sz w:val="18"/>
                                      <w:szCs w:val="18"/>
                                    </w:rPr>
                                    <w:t>kg</w:t>
                                  </w:r>
                                </w:p>
                              </w:tc>
                              <w:tc>
                                <w:tcPr>
                                  <w:tcW w:w="1232" w:type="dxa"/>
                                  <w:tcBorders>
                                    <w:tl2br w:val="nil"/>
                                    <w:tr2bl w:val="nil"/>
                                  </w:tcBorders>
                                </w:tcPr>
                                <w:p>
                                  <w:pPr>
                                    <w:pStyle w:val="124"/>
                                    <w:jc w:val="center"/>
                                    <w:rPr>
                                      <w:sz w:val="18"/>
                                      <w:szCs w:val="18"/>
                                    </w:rPr>
                                  </w:pPr>
                                </w:p>
                              </w:tc>
                              <w:tc>
                                <w:tcPr>
                                  <w:tcW w:w="1233"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sz w:val="18"/>
                                      <w:szCs w:val="18"/>
                                    </w:rPr>
                                  </w:pPr>
                                  <w:r>
                                    <w:rPr>
                                      <w:rFonts w:hint="eastAsia"/>
                                      <w:sz w:val="18"/>
                                      <w:szCs w:val="18"/>
                                    </w:rPr>
                                    <w:t>二氧化硫</w:t>
                                  </w:r>
                                </w:p>
                              </w:tc>
                              <w:tc>
                                <w:tcPr>
                                  <w:tcW w:w="1232" w:type="dxa"/>
                                  <w:tcBorders>
                                    <w:tl2br w:val="nil"/>
                                    <w:tr2bl w:val="nil"/>
                                  </w:tcBorders>
                                  <w:vAlign w:val="center"/>
                                </w:tcPr>
                                <w:p>
                                  <w:pPr>
                                    <w:pStyle w:val="124"/>
                                    <w:jc w:val="center"/>
                                    <w:rPr>
                                      <w:rFonts w:ascii="Times New Roman" w:hAnsi="Times New Roman" w:cs="Times New Roman"/>
                                      <w:sz w:val="18"/>
                                      <w:szCs w:val="18"/>
                                    </w:rPr>
                                  </w:pPr>
                                  <w:r>
                                    <w:rPr>
                                      <w:rFonts w:hint="eastAsia" w:ascii="Times New Roman" w:hAnsi="Times New Roman" w:cs="Times New Roman"/>
                                      <w:sz w:val="18"/>
                                      <w:szCs w:val="18"/>
                                    </w:rPr>
                                    <w:t>kg</w:t>
                                  </w:r>
                                </w:p>
                              </w:tc>
                              <w:tc>
                                <w:tcPr>
                                  <w:tcW w:w="1232" w:type="dxa"/>
                                  <w:tcBorders>
                                    <w:tl2br w:val="nil"/>
                                    <w:tr2bl w:val="nil"/>
                                  </w:tcBorders>
                                </w:tcPr>
                                <w:p>
                                  <w:pPr>
                                    <w:pStyle w:val="124"/>
                                    <w:jc w:val="center"/>
                                    <w:rPr>
                                      <w:sz w:val="18"/>
                                      <w:szCs w:val="18"/>
                                    </w:rPr>
                                  </w:pPr>
                                </w:p>
                              </w:tc>
                              <w:tc>
                                <w:tcPr>
                                  <w:tcW w:w="1233"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32" w:type="dxa"/>
                                  <w:tcBorders>
                                    <w:tl2br w:val="nil"/>
                                    <w:tr2bl w:val="nil"/>
                                  </w:tcBorders>
                                </w:tcPr>
                                <w:p>
                                  <w:pPr>
                                    <w:pStyle w:val="124"/>
                                    <w:jc w:val="center"/>
                                    <w:rPr>
                                      <w:sz w:val="18"/>
                                      <w:szCs w:val="18"/>
                                    </w:rPr>
                                  </w:pPr>
                                  <w:r>
                                    <w:rPr>
                                      <w:rFonts w:hint="eastAsia"/>
                                      <w:sz w:val="18"/>
                                      <w:szCs w:val="18"/>
                                    </w:rPr>
                                    <w:t>氮氧化物</w:t>
                                  </w:r>
                                </w:p>
                              </w:tc>
                              <w:tc>
                                <w:tcPr>
                                  <w:tcW w:w="1232" w:type="dxa"/>
                                  <w:tcBorders>
                                    <w:tl2br w:val="nil"/>
                                    <w:tr2bl w:val="nil"/>
                                  </w:tcBorders>
                                  <w:vAlign w:val="center"/>
                                </w:tcPr>
                                <w:p>
                                  <w:pPr>
                                    <w:pStyle w:val="124"/>
                                    <w:jc w:val="center"/>
                                    <w:rPr>
                                      <w:rFonts w:ascii="Times New Roman" w:hAnsi="Times New Roman" w:cs="Times New Roman"/>
                                      <w:sz w:val="18"/>
                                      <w:szCs w:val="18"/>
                                    </w:rPr>
                                  </w:pPr>
                                  <w:r>
                                    <w:rPr>
                                      <w:rFonts w:hint="eastAsia" w:ascii="Times New Roman" w:hAnsi="Times New Roman" w:cs="Times New Roman"/>
                                      <w:sz w:val="18"/>
                                      <w:szCs w:val="18"/>
                                    </w:rPr>
                                    <w:t>kg</w:t>
                                  </w:r>
                                </w:p>
                              </w:tc>
                              <w:tc>
                                <w:tcPr>
                                  <w:tcW w:w="1232" w:type="dxa"/>
                                  <w:tcBorders>
                                    <w:tl2br w:val="nil"/>
                                    <w:tr2bl w:val="nil"/>
                                  </w:tcBorders>
                                </w:tcPr>
                                <w:p>
                                  <w:pPr>
                                    <w:pStyle w:val="124"/>
                                    <w:jc w:val="center"/>
                                    <w:rPr>
                                      <w:sz w:val="18"/>
                                      <w:szCs w:val="18"/>
                                    </w:rPr>
                                  </w:pPr>
                                </w:p>
                              </w:tc>
                              <w:tc>
                                <w:tcPr>
                                  <w:tcW w:w="1233"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sz w:val="18"/>
                                      <w:szCs w:val="18"/>
                                    </w:rPr>
                                  </w:pPr>
                                  <w:r>
                                    <w:rPr>
                                      <w:rFonts w:hint="eastAsia"/>
                                      <w:sz w:val="18"/>
                                      <w:szCs w:val="18"/>
                                    </w:rPr>
                                    <w:t>颗粒物</w:t>
                                  </w:r>
                                </w:p>
                              </w:tc>
                              <w:tc>
                                <w:tcPr>
                                  <w:tcW w:w="1232" w:type="dxa"/>
                                  <w:tcBorders>
                                    <w:tl2br w:val="nil"/>
                                    <w:tr2bl w:val="nil"/>
                                  </w:tcBorders>
                                  <w:vAlign w:val="center"/>
                                </w:tcPr>
                                <w:p>
                                  <w:pPr>
                                    <w:pStyle w:val="124"/>
                                    <w:jc w:val="center"/>
                                    <w:rPr>
                                      <w:rFonts w:ascii="Times New Roman" w:hAnsi="Times New Roman" w:cs="Times New Roman"/>
                                      <w:sz w:val="18"/>
                                      <w:szCs w:val="18"/>
                                    </w:rPr>
                                  </w:pPr>
                                  <w:r>
                                    <w:rPr>
                                      <w:rFonts w:hint="eastAsia" w:ascii="Times New Roman" w:hAnsi="Times New Roman" w:cs="Times New Roman"/>
                                      <w:sz w:val="18"/>
                                      <w:szCs w:val="18"/>
                                    </w:rPr>
                                    <w:t>kg</w:t>
                                  </w:r>
                                </w:p>
                              </w:tc>
                              <w:tc>
                                <w:tcPr>
                                  <w:tcW w:w="1232" w:type="dxa"/>
                                  <w:tcBorders>
                                    <w:tl2br w:val="nil"/>
                                    <w:tr2bl w:val="nil"/>
                                  </w:tcBorders>
                                </w:tcPr>
                                <w:p>
                                  <w:pPr>
                                    <w:pStyle w:val="124"/>
                                    <w:jc w:val="center"/>
                                    <w:rPr>
                                      <w:sz w:val="18"/>
                                      <w:szCs w:val="18"/>
                                    </w:rPr>
                                  </w:pPr>
                                </w:p>
                              </w:tc>
                              <w:tc>
                                <w:tcPr>
                                  <w:tcW w:w="1233"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sz w:val="18"/>
                                      <w:szCs w:val="18"/>
                                    </w:rPr>
                                  </w:pPr>
                                  <w:r>
                                    <w:rPr>
                                      <w:rFonts w:hint="eastAsia"/>
                                      <w:sz w:val="18"/>
                                      <w:szCs w:val="18"/>
                                    </w:rPr>
                                    <w:t>固体废物</w:t>
                                  </w:r>
                                </w:p>
                              </w:tc>
                              <w:tc>
                                <w:tcPr>
                                  <w:tcW w:w="1232" w:type="dxa"/>
                                  <w:tcBorders>
                                    <w:tl2br w:val="nil"/>
                                    <w:tr2bl w:val="nil"/>
                                  </w:tcBorders>
                                </w:tcPr>
                                <w:p>
                                  <w:pPr>
                                    <w:pStyle w:val="124"/>
                                    <w:jc w:val="center"/>
                                    <w:rPr>
                                      <w:rFonts w:ascii="Times New Roman" w:hAnsi="Times New Roman" w:cs="Times New Roman"/>
                                      <w:sz w:val="18"/>
                                      <w:szCs w:val="18"/>
                                    </w:rPr>
                                  </w:pPr>
                                  <w:r>
                                    <w:rPr>
                                      <w:rFonts w:hint="eastAsia" w:ascii="Times New Roman" w:hAnsi="Times New Roman" w:cs="Times New Roman"/>
                                      <w:sz w:val="18"/>
                                      <w:szCs w:val="18"/>
                                    </w:rPr>
                                    <w:t>kg</w:t>
                                  </w:r>
                                </w:p>
                              </w:tc>
                              <w:tc>
                                <w:tcPr>
                                  <w:tcW w:w="1232" w:type="dxa"/>
                                  <w:tcBorders>
                                    <w:tl2br w:val="nil"/>
                                    <w:tr2bl w:val="nil"/>
                                  </w:tcBorders>
                                </w:tcPr>
                                <w:p>
                                  <w:pPr>
                                    <w:pStyle w:val="124"/>
                                    <w:jc w:val="center"/>
                                    <w:rPr>
                                      <w:sz w:val="18"/>
                                      <w:szCs w:val="18"/>
                                    </w:rPr>
                                  </w:pPr>
                                </w:p>
                              </w:tc>
                              <w:tc>
                                <w:tcPr>
                                  <w:tcW w:w="1233"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8625" w:type="dxa"/>
                                  <w:gridSpan w:val="7"/>
                                  <w:tcBorders>
                                    <w:tl2br w:val="nil"/>
                                    <w:tr2bl w:val="nil"/>
                                  </w:tcBorders>
                                </w:tcPr>
                                <w:p>
                                  <w:pPr>
                                    <w:pStyle w:val="124"/>
                                    <w:rPr>
                                      <w:sz w:val="18"/>
                                      <w:szCs w:val="18"/>
                                    </w:rPr>
                                  </w:pPr>
                                  <w:r>
                                    <w:rPr>
                                      <w:rFonts w:hint="eastAsia"/>
                                      <w:sz w:val="18"/>
                                      <w:szCs w:val="18"/>
                                    </w:rPr>
                                    <w:t>企业根据实际情况填写。</w:t>
                                  </w:r>
                                </w:p>
                              </w:tc>
                            </w:tr>
                          </w:tbl>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482.8pt;width:434.85pt;" filled="f" stroked="f" coordsize="21600,21600" o:gfxdata="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noFAtQAAAAFAQAADwAAAAAAAAABACAAAAAiAAAAZHJzL2Rvd25yZXYu&#10;eG1sUEsBAhQAFAAAAAgAh07iQJ5+OrX/AQAAygMAAA4AAAAAAAAAAQAgAAAAIwEAAGRycy9lMm9E&#10;b2MueG1sUEsFBgAAAAAGAAYAWQEAAJQFAAAAAA==&#10;">
                <v:fill on="f" focussize="0,0"/>
                <v:stroke on="f"/>
                <v:imagedata o:title=""/>
                <o:lock v:ext="edit" aspectratio="f"/>
                <v:textbox>
                  <w:txbxContent>
                    <w:tbl>
                      <w:tblPr>
                        <w:tblStyle w:val="33"/>
                        <w:tblW w:w="862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232"/>
                        <w:gridCol w:w="1232"/>
                        <w:gridCol w:w="1233"/>
                        <w:gridCol w:w="1232"/>
                        <w:gridCol w:w="1232"/>
                        <w:gridCol w:w="12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8625" w:type="dxa"/>
                            <w:gridSpan w:val="7"/>
                            <w:tcBorders>
                              <w:tl2br w:val="nil"/>
                              <w:tr2bl w:val="nil"/>
                            </w:tcBorders>
                          </w:tcPr>
                          <w:p>
                            <w:pPr>
                              <w:pStyle w:val="124"/>
                              <w:rPr>
                                <w:sz w:val="18"/>
                                <w:szCs w:val="18"/>
                              </w:rPr>
                            </w:pPr>
                            <w:r>
                              <w:rPr>
                                <w:rFonts w:hint="eastAsia"/>
                                <w:sz w:val="18"/>
                                <w:szCs w:val="18"/>
                              </w:rPr>
                              <w:t>时段：</w:t>
                            </w:r>
                            <w:r>
                              <w:rPr>
                                <w:sz w:val="18"/>
                                <w:szCs w:val="18"/>
                              </w:rPr>
                              <w:t xml:space="preserve"> </w:t>
                            </w:r>
                            <w:r>
                              <w:rPr>
                                <w:rFonts w:hint="eastAsia"/>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625" w:type="dxa"/>
                            <w:gridSpan w:val="7"/>
                            <w:tcBorders>
                              <w:tl2br w:val="nil"/>
                              <w:tr2bl w:val="nil"/>
                            </w:tcBorders>
                          </w:tcPr>
                          <w:p>
                            <w:pPr>
                              <w:pStyle w:val="124"/>
                              <w:rPr>
                                <w:sz w:val="18"/>
                                <w:szCs w:val="18"/>
                              </w:rPr>
                            </w:pPr>
                            <w:r>
                              <w:rPr>
                                <w:rFonts w:hint="eastAsia"/>
                                <w:sz w:val="18"/>
                                <w:szCs w:val="18"/>
                              </w:rPr>
                              <w:t>1.原材料运输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32" w:type="dxa"/>
                            <w:tcBorders>
                              <w:tl2br w:val="nil"/>
                              <w:tr2bl w:val="nil"/>
                            </w:tcBorders>
                            <w:vAlign w:val="center"/>
                          </w:tcPr>
                          <w:p>
                            <w:pPr>
                              <w:pStyle w:val="124"/>
                              <w:jc w:val="center"/>
                              <w:rPr>
                                <w:rFonts w:ascii="Times New Roman" w:hAnsi="Times New Roman" w:cs="Times New Roman"/>
                                <w:sz w:val="18"/>
                                <w:szCs w:val="18"/>
                              </w:rPr>
                            </w:pPr>
                            <w:r>
                              <w:rPr>
                                <w:rFonts w:hint="eastAsia" w:ascii="Times New Roman" w:hAnsi="Times New Roman" w:cs="Times New Roman"/>
                                <w:sz w:val="18"/>
                                <w:szCs w:val="18"/>
                              </w:rPr>
                              <w:t>发货</w:t>
                            </w:r>
                            <w:r>
                              <w:rPr>
                                <w:rFonts w:ascii="Times New Roman" w:hAnsi="Times New Roman" w:cs="Times New Roman"/>
                                <w:sz w:val="18"/>
                                <w:szCs w:val="18"/>
                              </w:rPr>
                              <w:t>地点</w:t>
                            </w:r>
                          </w:p>
                        </w:tc>
                        <w:tc>
                          <w:tcPr>
                            <w:tcW w:w="1232" w:type="dxa"/>
                            <w:tcBorders>
                              <w:tl2br w:val="nil"/>
                              <w:tr2bl w:val="nil"/>
                            </w:tcBorders>
                            <w:vAlign w:val="center"/>
                          </w:tcPr>
                          <w:p>
                            <w:pPr>
                              <w:pStyle w:val="124"/>
                              <w:jc w:val="center"/>
                              <w:rPr>
                                <w:rFonts w:ascii="Times New Roman" w:hAnsi="Times New Roman" w:cs="Times New Roman"/>
                                <w:sz w:val="18"/>
                                <w:szCs w:val="18"/>
                              </w:rPr>
                            </w:pPr>
                            <w:r>
                              <w:rPr>
                                <w:rFonts w:ascii="Times New Roman" w:hAnsi="Times New Roman" w:cs="Times New Roman"/>
                                <w:sz w:val="18"/>
                                <w:szCs w:val="18"/>
                              </w:rPr>
                              <w:t>运输车辆最大运载量（</w:t>
                            </w:r>
                            <w:r>
                              <w:rPr>
                                <w:rFonts w:hint="eastAsia" w:ascii="Times New Roman" w:hAnsi="Times New Roman" w:cs="Times New Roman"/>
                                <w:sz w:val="18"/>
                                <w:szCs w:val="18"/>
                              </w:rPr>
                              <w:t>t</w:t>
                            </w:r>
                            <w:r>
                              <w:rPr>
                                <w:rFonts w:ascii="Times New Roman" w:hAnsi="Times New Roman" w:cs="Times New Roman"/>
                                <w:sz w:val="18"/>
                                <w:szCs w:val="18"/>
                              </w:rPr>
                              <w:t>）</w:t>
                            </w:r>
                          </w:p>
                        </w:tc>
                        <w:tc>
                          <w:tcPr>
                            <w:tcW w:w="1232" w:type="dxa"/>
                            <w:tcBorders>
                              <w:tl2br w:val="nil"/>
                              <w:tr2bl w:val="nil"/>
                            </w:tcBorders>
                            <w:vAlign w:val="center"/>
                          </w:tcPr>
                          <w:p>
                            <w:pPr>
                              <w:pStyle w:val="124"/>
                              <w:jc w:val="center"/>
                              <w:rPr>
                                <w:rFonts w:ascii="Times New Roman" w:hAnsi="Times New Roman" w:cs="Times New Roman"/>
                                <w:sz w:val="18"/>
                                <w:szCs w:val="18"/>
                              </w:rPr>
                            </w:pPr>
                            <w:r>
                              <w:rPr>
                                <w:rFonts w:ascii="Times New Roman" w:hAnsi="Times New Roman" w:cs="Times New Roman"/>
                                <w:sz w:val="18"/>
                                <w:szCs w:val="18"/>
                              </w:rPr>
                              <w:t>总运载量</w:t>
                            </w:r>
                          </w:p>
                          <w:p>
                            <w:pPr>
                              <w:pStyle w:val="124"/>
                              <w:jc w:val="center"/>
                              <w:rPr>
                                <w:rFonts w:ascii="Times New Roman" w:hAnsi="Times New Roman" w:cs="Times New Roman"/>
                                <w:sz w:val="18"/>
                                <w:szCs w:val="18"/>
                              </w:rPr>
                            </w:pPr>
                            <w:r>
                              <w:rPr>
                                <w:rFonts w:hint="eastAsia" w:ascii="Times New Roman" w:hAnsi="Times New Roman" w:cs="Times New Roman"/>
                                <w:sz w:val="18"/>
                                <w:szCs w:val="18"/>
                              </w:rPr>
                              <w:t>（t）</w:t>
                            </w:r>
                          </w:p>
                        </w:tc>
                        <w:tc>
                          <w:tcPr>
                            <w:tcW w:w="1233" w:type="dxa"/>
                            <w:tcBorders>
                              <w:tl2br w:val="nil"/>
                              <w:tr2bl w:val="nil"/>
                            </w:tcBorders>
                            <w:vAlign w:val="center"/>
                          </w:tcPr>
                          <w:p>
                            <w:pPr>
                              <w:pStyle w:val="124"/>
                              <w:jc w:val="center"/>
                              <w:rPr>
                                <w:rFonts w:ascii="Times New Roman" w:hAnsi="Times New Roman" w:cs="Times New Roman"/>
                                <w:sz w:val="18"/>
                                <w:szCs w:val="18"/>
                              </w:rPr>
                            </w:pPr>
                            <w:r>
                              <w:rPr>
                                <w:rFonts w:ascii="Times New Roman" w:hAnsi="Times New Roman" w:cs="Times New Roman"/>
                                <w:sz w:val="18"/>
                                <w:szCs w:val="18"/>
                              </w:rPr>
                              <w:t>运输方式</w:t>
                            </w:r>
                          </w:p>
                        </w:tc>
                        <w:tc>
                          <w:tcPr>
                            <w:tcW w:w="1232" w:type="dxa"/>
                            <w:tcBorders>
                              <w:tl2br w:val="nil"/>
                              <w:tr2bl w:val="nil"/>
                            </w:tcBorders>
                            <w:vAlign w:val="center"/>
                          </w:tcPr>
                          <w:p>
                            <w:pPr>
                              <w:pStyle w:val="124"/>
                              <w:jc w:val="center"/>
                              <w:rPr>
                                <w:rFonts w:ascii="Times New Roman" w:hAnsi="Times New Roman" w:cs="Times New Roman"/>
                                <w:sz w:val="18"/>
                                <w:szCs w:val="18"/>
                              </w:rPr>
                            </w:pPr>
                            <w:r>
                              <w:rPr>
                                <w:rFonts w:ascii="Times New Roman" w:hAnsi="Times New Roman" w:cs="Times New Roman"/>
                                <w:sz w:val="18"/>
                                <w:szCs w:val="18"/>
                              </w:rPr>
                              <w:t>燃料</w:t>
                            </w:r>
                            <w:r>
                              <w:rPr>
                                <w:rFonts w:hint="eastAsia" w:ascii="Times New Roman" w:hAnsi="Times New Roman" w:cs="Times New Roman"/>
                                <w:sz w:val="18"/>
                                <w:szCs w:val="18"/>
                              </w:rPr>
                              <w:t>类型</w:t>
                            </w:r>
                          </w:p>
                        </w:tc>
                        <w:tc>
                          <w:tcPr>
                            <w:tcW w:w="1232" w:type="dxa"/>
                            <w:tcBorders>
                              <w:tl2br w:val="nil"/>
                              <w:tr2bl w:val="nil"/>
                            </w:tcBorders>
                            <w:vAlign w:val="center"/>
                          </w:tcPr>
                          <w:p>
                            <w:pPr>
                              <w:pStyle w:val="124"/>
                              <w:jc w:val="center"/>
                              <w:rPr>
                                <w:rFonts w:ascii="Times New Roman" w:hAnsi="Times New Roman" w:cs="Times New Roman"/>
                                <w:sz w:val="18"/>
                                <w:szCs w:val="18"/>
                              </w:rPr>
                            </w:pPr>
                            <w:r>
                              <w:rPr>
                                <w:rFonts w:ascii="Times New Roman" w:hAnsi="Times New Roman" w:cs="Times New Roman"/>
                                <w:sz w:val="18"/>
                                <w:szCs w:val="18"/>
                              </w:rPr>
                              <w:t>运输距离</w:t>
                            </w:r>
                            <w:r>
                              <w:rPr>
                                <w:rFonts w:hint="eastAsia" w:ascii="Times New Roman" w:hAnsi="Times New Roman" w:cs="Times New Roman"/>
                                <w:sz w:val="18"/>
                                <w:szCs w:val="18"/>
                              </w:rPr>
                              <w:t>（km）</w:t>
                            </w:r>
                          </w:p>
                        </w:tc>
                        <w:tc>
                          <w:tcPr>
                            <w:tcW w:w="1232" w:type="dxa"/>
                            <w:tcBorders>
                              <w:tl2br w:val="nil"/>
                              <w:tr2bl w:val="nil"/>
                            </w:tcBorders>
                            <w:vAlign w:val="center"/>
                          </w:tcPr>
                          <w:p>
                            <w:pPr>
                              <w:pStyle w:val="124"/>
                              <w:jc w:val="center"/>
                              <w:rPr>
                                <w:rFonts w:ascii="Times New Roman" w:hAnsi="Times New Roman" w:cs="Times New Roman"/>
                                <w:sz w:val="18"/>
                                <w:szCs w:val="18"/>
                              </w:rPr>
                            </w:pPr>
                            <w:r>
                              <w:rPr>
                                <w:rFonts w:ascii="Times New Roman" w:hAnsi="Times New Roman" w:cs="Times New Roman"/>
                                <w:sz w:val="18"/>
                                <w:szCs w:val="18"/>
                              </w:rPr>
                              <w:t>平均运输距离*总运载量（t*km）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3"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3"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8625" w:type="dxa"/>
                            <w:gridSpan w:val="7"/>
                            <w:tcBorders>
                              <w:tl2br w:val="nil"/>
                              <w:tr2bl w:val="nil"/>
                            </w:tcBorders>
                          </w:tcPr>
                          <w:p>
                            <w:pPr>
                              <w:pStyle w:val="124"/>
                              <w:rPr>
                                <w:sz w:val="18"/>
                                <w:szCs w:val="18"/>
                              </w:rPr>
                            </w:pPr>
                            <w:r>
                              <w:rPr>
                                <w:rFonts w:hint="eastAsia"/>
                                <w:sz w:val="18"/>
                                <w:szCs w:val="18"/>
                              </w:rPr>
                              <w:t>2.原辅材料消耗（包括包装材料）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32" w:type="dxa"/>
                            <w:tcBorders>
                              <w:tl2br w:val="nil"/>
                              <w:tr2bl w:val="nil"/>
                            </w:tcBorders>
                          </w:tcPr>
                          <w:p>
                            <w:pPr>
                              <w:pStyle w:val="124"/>
                              <w:jc w:val="center"/>
                              <w:rPr>
                                <w:sz w:val="18"/>
                                <w:szCs w:val="18"/>
                              </w:rPr>
                            </w:pPr>
                            <w:r>
                              <w:rPr>
                                <w:rFonts w:hint="eastAsia"/>
                                <w:sz w:val="18"/>
                                <w:szCs w:val="18"/>
                              </w:rPr>
                              <w:t>原辅材料</w:t>
                            </w:r>
                          </w:p>
                        </w:tc>
                        <w:tc>
                          <w:tcPr>
                            <w:tcW w:w="1232" w:type="dxa"/>
                            <w:tcBorders>
                              <w:tl2br w:val="nil"/>
                              <w:tr2bl w:val="nil"/>
                            </w:tcBorders>
                          </w:tcPr>
                          <w:p>
                            <w:pPr>
                              <w:pStyle w:val="124"/>
                              <w:jc w:val="center"/>
                              <w:rPr>
                                <w:sz w:val="18"/>
                                <w:szCs w:val="18"/>
                              </w:rPr>
                            </w:pPr>
                            <w:r>
                              <w:rPr>
                                <w:rFonts w:hint="eastAsia"/>
                                <w:sz w:val="18"/>
                                <w:szCs w:val="18"/>
                              </w:rPr>
                              <w:t>单位</w:t>
                            </w:r>
                          </w:p>
                        </w:tc>
                        <w:tc>
                          <w:tcPr>
                            <w:tcW w:w="1232" w:type="dxa"/>
                            <w:tcBorders>
                              <w:tl2br w:val="nil"/>
                              <w:tr2bl w:val="nil"/>
                            </w:tcBorders>
                          </w:tcPr>
                          <w:p>
                            <w:pPr>
                              <w:pStyle w:val="124"/>
                              <w:jc w:val="center"/>
                              <w:rPr>
                                <w:sz w:val="18"/>
                                <w:szCs w:val="18"/>
                              </w:rPr>
                            </w:pPr>
                            <w:r>
                              <w:rPr>
                                <w:rFonts w:hint="eastAsia"/>
                                <w:sz w:val="18"/>
                                <w:szCs w:val="18"/>
                              </w:rPr>
                              <w:t>数量</w:t>
                            </w:r>
                          </w:p>
                        </w:tc>
                        <w:tc>
                          <w:tcPr>
                            <w:tcW w:w="1233"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r>
                              <w:rPr>
                                <w:rFonts w:hint="eastAsia" w:ascii="Times New Roman" w:hAnsi="Times New Roman" w:cs="Times New Roman"/>
                                <w:sz w:val="18"/>
                                <w:szCs w:val="18"/>
                              </w:rPr>
                              <w:t>t</w:t>
                            </w:r>
                            <w:r>
                              <w:rPr>
                                <w:rFonts w:ascii="Times New Roman" w:hAnsi="Times New Roman" w:cs="Times New Roman"/>
                                <w:sz w:val="18"/>
                                <w:szCs w:val="18"/>
                              </w:rPr>
                              <w:t>/t</w:t>
                            </w:r>
                          </w:p>
                        </w:tc>
                        <w:tc>
                          <w:tcPr>
                            <w:tcW w:w="1232" w:type="dxa"/>
                            <w:tcBorders>
                              <w:tl2br w:val="nil"/>
                              <w:tr2bl w:val="nil"/>
                            </w:tcBorders>
                          </w:tcPr>
                          <w:p>
                            <w:pPr>
                              <w:pStyle w:val="124"/>
                              <w:jc w:val="center"/>
                              <w:rPr>
                                <w:rFonts w:ascii="Times New Roman" w:hAnsi="Times New Roman" w:cs="Times New Roman"/>
                                <w:sz w:val="18"/>
                                <w:szCs w:val="18"/>
                              </w:rPr>
                            </w:pPr>
                          </w:p>
                        </w:tc>
                        <w:tc>
                          <w:tcPr>
                            <w:tcW w:w="1233"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r>
                              <w:rPr>
                                <w:rFonts w:ascii="Times New Roman" w:hAnsi="Times New Roman" w:cs="Times New Roman"/>
                                <w:sz w:val="18"/>
                                <w:szCs w:val="18"/>
                              </w:rPr>
                              <w:t>t/t</w:t>
                            </w:r>
                          </w:p>
                        </w:tc>
                        <w:tc>
                          <w:tcPr>
                            <w:tcW w:w="1232" w:type="dxa"/>
                            <w:tcBorders>
                              <w:tl2br w:val="nil"/>
                              <w:tr2bl w:val="nil"/>
                            </w:tcBorders>
                          </w:tcPr>
                          <w:p>
                            <w:pPr>
                              <w:pStyle w:val="124"/>
                              <w:jc w:val="center"/>
                              <w:rPr>
                                <w:rFonts w:ascii="Times New Roman" w:hAnsi="Times New Roman" w:cs="Times New Roman"/>
                                <w:sz w:val="18"/>
                                <w:szCs w:val="18"/>
                              </w:rPr>
                            </w:pPr>
                          </w:p>
                        </w:tc>
                        <w:tc>
                          <w:tcPr>
                            <w:tcW w:w="1233"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r>
                              <w:rPr>
                                <w:rFonts w:ascii="Times New Roman" w:hAnsi="Times New Roman" w:cs="Times New Roman"/>
                                <w:sz w:val="18"/>
                                <w:szCs w:val="18"/>
                              </w:rPr>
                              <w:t>t/t</w:t>
                            </w:r>
                          </w:p>
                        </w:tc>
                        <w:tc>
                          <w:tcPr>
                            <w:tcW w:w="1232" w:type="dxa"/>
                            <w:tcBorders>
                              <w:tl2br w:val="nil"/>
                              <w:tr2bl w:val="nil"/>
                            </w:tcBorders>
                          </w:tcPr>
                          <w:p>
                            <w:pPr>
                              <w:pStyle w:val="124"/>
                              <w:jc w:val="center"/>
                              <w:rPr>
                                <w:rFonts w:ascii="Times New Roman" w:hAnsi="Times New Roman" w:cs="Times New Roman"/>
                                <w:sz w:val="18"/>
                                <w:szCs w:val="18"/>
                              </w:rPr>
                            </w:pPr>
                          </w:p>
                        </w:tc>
                        <w:tc>
                          <w:tcPr>
                            <w:tcW w:w="1233"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rFonts w:ascii="Times New Roman" w:hAnsi="Times New Roman" w:cs="Times New Roman"/>
                                <w:sz w:val="18"/>
                                <w:szCs w:val="18"/>
                              </w:rPr>
                            </w:pPr>
                            <w:r>
                              <w:rPr>
                                <w:rFonts w:ascii="Times New Roman" w:hAnsi="Times New Roman" w:cs="Times New Roman"/>
                                <w:sz w:val="18"/>
                                <w:szCs w:val="18"/>
                              </w:rPr>
                              <w:t>…</w:t>
                            </w:r>
                          </w:p>
                        </w:tc>
                        <w:tc>
                          <w:tcPr>
                            <w:tcW w:w="1232" w:type="dxa"/>
                            <w:tcBorders>
                              <w:tl2br w:val="nil"/>
                              <w:tr2bl w:val="nil"/>
                            </w:tcBorders>
                          </w:tcPr>
                          <w:p>
                            <w:pPr>
                              <w:pStyle w:val="124"/>
                              <w:jc w:val="center"/>
                              <w:rPr>
                                <w:rFonts w:ascii="Times New Roman" w:hAnsi="Times New Roman" w:cs="Times New Roman"/>
                                <w:sz w:val="18"/>
                                <w:szCs w:val="18"/>
                              </w:rPr>
                            </w:pPr>
                            <w:r>
                              <w:rPr>
                                <w:rFonts w:ascii="Times New Roman" w:hAnsi="Times New Roman" w:cs="Times New Roman"/>
                                <w:sz w:val="18"/>
                                <w:szCs w:val="18"/>
                              </w:rPr>
                              <w:t>…</w:t>
                            </w:r>
                          </w:p>
                        </w:tc>
                        <w:tc>
                          <w:tcPr>
                            <w:tcW w:w="1232" w:type="dxa"/>
                            <w:tcBorders>
                              <w:tl2br w:val="nil"/>
                              <w:tr2bl w:val="nil"/>
                            </w:tcBorders>
                          </w:tcPr>
                          <w:p>
                            <w:pPr>
                              <w:pStyle w:val="124"/>
                              <w:jc w:val="center"/>
                              <w:rPr>
                                <w:rFonts w:ascii="Times New Roman" w:hAnsi="Times New Roman" w:cs="Times New Roman"/>
                                <w:sz w:val="18"/>
                                <w:szCs w:val="18"/>
                              </w:rPr>
                            </w:pPr>
                          </w:p>
                        </w:tc>
                        <w:tc>
                          <w:tcPr>
                            <w:tcW w:w="1233"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625" w:type="dxa"/>
                            <w:gridSpan w:val="7"/>
                            <w:tcBorders>
                              <w:tl2br w:val="nil"/>
                              <w:tr2bl w:val="nil"/>
                            </w:tcBorders>
                          </w:tcPr>
                          <w:p>
                            <w:pPr>
                              <w:pStyle w:val="124"/>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w:t>
                            </w:r>
                            <w:r>
                              <w:rPr>
                                <w:rFonts w:hint="eastAsia" w:ascii="Times New Roman" w:hAnsi="Times New Roman" w:cs="Times New Roman"/>
                                <w:sz w:val="18"/>
                                <w:szCs w:val="18"/>
                              </w:rPr>
                              <w:t>资源消耗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sz w:val="18"/>
                                <w:szCs w:val="18"/>
                              </w:rPr>
                            </w:pPr>
                            <w:r>
                              <w:rPr>
                                <w:rFonts w:hint="eastAsia"/>
                                <w:sz w:val="18"/>
                                <w:szCs w:val="18"/>
                              </w:rPr>
                              <w:t>水</w:t>
                            </w:r>
                          </w:p>
                        </w:tc>
                        <w:tc>
                          <w:tcPr>
                            <w:tcW w:w="1232" w:type="dxa"/>
                            <w:tcBorders>
                              <w:tl2br w:val="nil"/>
                              <w:tr2bl w:val="nil"/>
                            </w:tcBorders>
                          </w:tcPr>
                          <w:p>
                            <w:pPr>
                              <w:pStyle w:val="124"/>
                              <w:jc w:val="center"/>
                              <w:rPr>
                                <w:sz w:val="18"/>
                                <w:szCs w:val="18"/>
                              </w:rPr>
                            </w:pPr>
                            <w:r>
                              <w:rPr>
                                <w:rFonts w:hint="eastAsia"/>
                                <w:sz w:val="18"/>
                                <w:szCs w:val="18"/>
                              </w:rPr>
                              <w:t>单位</w:t>
                            </w:r>
                          </w:p>
                        </w:tc>
                        <w:tc>
                          <w:tcPr>
                            <w:tcW w:w="1232" w:type="dxa"/>
                            <w:tcBorders>
                              <w:tl2br w:val="nil"/>
                              <w:tr2bl w:val="nil"/>
                            </w:tcBorders>
                          </w:tcPr>
                          <w:p>
                            <w:pPr>
                              <w:pStyle w:val="124"/>
                              <w:jc w:val="center"/>
                              <w:rPr>
                                <w:sz w:val="18"/>
                                <w:szCs w:val="18"/>
                              </w:rPr>
                            </w:pPr>
                            <w:r>
                              <w:rPr>
                                <w:rFonts w:hint="eastAsia"/>
                                <w:sz w:val="18"/>
                                <w:szCs w:val="18"/>
                              </w:rPr>
                              <w:t>数量</w:t>
                            </w:r>
                          </w:p>
                        </w:tc>
                        <w:tc>
                          <w:tcPr>
                            <w:tcW w:w="1233" w:type="dxa"/>
                            <w:tcBorders>
                              <w:tl2br w:val="nil"/>
                              <w:tr2bl w:val="nil"/>
                            </w:tcBorders>
                          </w:tcPr>
                          <w:p>
                            <w:pPr>
                              <w:pStyle w:val="124"/>
                              <w:jc w:val="center"/>
                              <w:rPr>
                                <w:sz w:val="18"/>
                                <w:szCs w:val="18"/>
                              </w:rPr>
                            </w:pPr>
                            <w:r>
                              <w:rPr>
                                <w:rFonts w:hint="eastAsia"/>
                                <w:sz w:val="18"/>
                                <w:szCs w:val="18"/>
                              </w:rPr>
                              <w:t>数据来源</w:t>
                            </w: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rFonts w:ascii="Times New Roman" w:hAnsi="Times New Roman" w:cs="Times New Roman"/>
                                <w:sz w:val="18"/>
                                <w:szCs w:val="18"/>
                              </w:rPr>
                            </w:pPr>
                            <w:r>
                              <w:rPr>
                                <w:rFonts w:ascii="Times New Roman" w:hAnsi="Times New Roman" w:cs="Times New Roman"/>
                                <w:sz w:val="18"/>
                                <w:szCs w:val="18"/>
                              </w:rPr>
                              <w:t>t/t</w:t>
                            </w:r>
                          </w:p>
                        </w:tc>
                        <w:tc>
                          <w:tcPr>
                            <w:tcW w:w="1232" w:type="dxa"/>
                            <w:tcBorders>
                              <w:tl2br w:val="nil"/>
                              <w:tr2bl w:val="nil"/>
                            </w:tcBorders>
                          </w:tcPr>
                          <w:p>
                            <w:pPr>
                              <w:pStyle w:val="124"/>
                              <w:jc w:val="center"/>
                              <w:rPr>
                                <w:sz w:val="18"/>
                                <w:szCs w:val="18"/>
                              </w:rPr>
                            </w:pPr>
                          </w:p>
                        </w:tc>
                        <w:tc>
                          <w:tcPr>
                            <w:tcW w:w="1233"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625" w:type="dxa"/>
                            <w:gridSpan w:val="7"/>
                            <w:tcBorders>
                              <w:tl2br w:val="nil"/>
                              <w:tr2bl w:val="nil"/>
                            </w:tcBorders>
                          </w:tcPr>
                          <w:p>
                            <w:pPr>
                              <w:pStyle w:val="124"/>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.能源消耗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sz w:val="18"/>
                                <w:szCs w:val="18"/>
                              </w:rPr>
                            </w:pPr>
                            <w:r>
                              <w:rPr>
                                <w:rFonts w:hint="eastAsia"/>
                                <w:sz w:val="18"/>
                                <w:szCs w:val="18"/>
                              </w:rPr>
                              <w:t>能源</w:t>
                            </w:r>
                          </w:p>
                        </w:tc>
                        <w:tc>
                          <w:tcPr>
                            <w:tcW w:w="1232" w:type="dxa"/>
                            <w:tcBorders>
                              <w:tl2br w:val="nil"/>
                              <w:tr2bl w:val="nil"/>
                            </w:tcBorders>
                          </w:tcPr>
                          <w:p>
                            <w:pPr>
                              <w:pStyle w:val="124"/>
                              <w:jc w:val="center"/>
                              <w:rPr>
                                <w:sz w:val="18"/>
                                <w:szCs w:val="18"/>
                              </w:rPr>
                            </w:pPr>
                            <w:r>
                              <w:rPr>
                                <w:rFonts w:hint="eastAsia"/>
                                <w:sz w:val="18"/>
                                <w:szCs w:val="18"/>
                              </w:rPr>
                              <w:t>单位</w:t>
                            </w:r>
                          </w:p>
                        </w:tc>
                        <w:tc>
                          <w:tcPr>
                            <w:tcW w:w="1232" w:type="dxa"/>
                            <w:tcBorders>
                              <w:tl2br w:val="nil"/>
                              <w:tr2bl w:val="nil"/>
                            </w:tcBorders>
                          </w:tcPr>
                          <w:p>
                            <w:pPr>
                              <w:pStyle w:val="124"/>
                              <w:jc w:val="center"/>
                              <w:rPr>
                                <w:sz w:val="18"/>
                                <w:szCs w:val="18"/>
                              </w:rPr>
                            </w:pPr>
                            <w:r>
                              <w:rPr>
                                <w:rFonts w:hint="eastAsia"/>
                                <w:sz w:val="18"/>
                                <w:szCs w:val="18"/>
                              </w:rPr>
                              <w:t>数量</w:t>
                            </w:r>
                          </w:p>
                        </w:tc>
                        <w:tc>
                          <w:tcPr>
                            <w:tcW w:w="1233" w:type="dxa"/>
                            <w:tcBorders>
                              <w:tl2br w:val="nil"/>
                              <w:tr2bl w:val="nil"/>
                            </w:tcBorders>
                          </w:tcPr>
                          <w:p>
                            <w:pPr>
                              <w:pStyle w:val="124"/>
                              <w:jc w:val="center"/>
                              <w:rPr>
                                <w:sz w:val="18"/>
                                <w:szCs w:val="18"/>
                              </w:rPr>
                            </w:pPr>
                            <w:r>
                              <w:rPr>
                                <w:rFonts w:hint="eastAsia"/>
                                <w:sz w:val="18"/>
                                <w:szCs w:val="18"/>
                              </w:rPr>
                              <w:t>数据来源</w:t>
                            </w: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sz w:val="18"/>
                                <w:szCs w:val="18"/>
                              </w:rPr>
                            </w:pPr>
                            <w:r>
                              <w:rPr>
                                <w:rFonts w:hint="eastAsia"/>
                                <w:sz w:val="18"/>
                                <w:szCs w:val="18"/>
                              </w:rPr>
                              <w:t>电</w:t>
                            </w:r>
                          </w:p>
                        </w:tc>
                        <w:tc>
                          <w:tcPr>
                            <w:tcW w:w="1232" w:type="dxa"/>
                            <w:tcBorders>
                              <w:tl2br w:val="nil"/>
                              <w:tr2bl w:val="nil"/>
                            </w:tcBorders>
                          </w:tcPr>
                          <w:p>
                            <w:pPr>
                              <w:pStyle w:val="124"/>
                              <w:jc w:val="center"/>
                              <w:rPr>
                                <w:rFonts w:ascii="Times New Roman" w:hAnsi="Times New Roman" w:cs="Times New Roman"/>
                                <w:sz w:val="18"/>
                                <w:szCs w:val="18"/>
                              </w:rPr>
                            </w:pPr>
                            <w:r>
                              <w:rPr>
                                <w:rFonts w:ascii="Times New Roman" w:hAnsi="Times New Roman" w:cs="Times New Roman"/>
                                <w:sz w:val="18"/>
                                <w:szCs w:val="18"/>
                              </w:rPr>
                              <w:t>kWh</w:t>
                            </w:r>
                          </w:p>
                        </w:tc>
                        <w:tc>
                          <w:tcPr>
                            <w:tcW w:w="1232" w:type="dxa"/>
                            <w:tcBorders>
                              <w:tl2br w:val="nil"/>
                              <w:tr2bl w:val="nil"/>
                            </w:tcBorders>
                          </w:tcPr>
                          <w:p>
                            <w:pPr>
                              <w:pStyle w:val="124"/>
                              <w:jc w:val="center"/>
                              <w:rPr>
                                <w:sz w:val="18"/>
                                <w:szCs w:val="18"/>
                              </w:rPr>
                            </w:pPr>
                          </w:p>
                        </w:tc>
                        <w:tc>
                          <w:tcPr>
                            <w:tcW w:w="1233"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32" w:type="dxa"/>
                            <w:tcBorders>
                              <w:tl2br w:val="nil"/>
                              <w:tr2bl w:val="nil"/>
                            </w:tcBorders>
                          </w:tcPr>
                          <w:p>
                            <w:pPr>
                              <w:pStyle w:val="124"/>
                              <w:jc w:val="center"/>
                              <w:rPr>
                                <w:sz w:val="18"/>
                                <w:szCs w:val="18"/>
                              </w:rPr>
                            </w:pPr>
                            <w:r>
                              <w:rPr>
                                <w:rFonts w:hint="eastAsia"/>
                                <w:sz w:val="18"/>
                                <w:szCs w:val="18"/>
                              </w:rPr>
                              <w:t>天然气</w:t>
                            </w:r>
                          </w:p>
                        </w:tc>
                        <w:tc>
                          <w:tcPr>
                            <w:tcW w:w="1232" w:type="dxa"/>
                            <w:tcBorders>
                              <w:tl2br w:val="nil"/>
                              <w:tr2bl w:val="nil"/>
                            </w:tcBorders>
                          </w:tcPr>
                          <w:p>
                            <w:pPr>
                              <w:pStyle w:val="124"/>
                              <w:jc w:val="center"/>
                              <w:rPr>
                                <w:rFonts w:ascii="Times New Roman" w:hAnsi="Times New Roman" w:cs="Times New Roman"/>
                                <w:sz w:val="18"/>
                                <w:szCs w:val="18"/>
                              </w:rPr>
                            </w:pP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232" w:type="dxa"/>
                            <w:tcBorders>
                              <w:tl2br w:val="nil"/>
                              <w:tr2bl w:val="nil"/>
                            </w:tcBorders>
                          </w:tcPr>
                          <w:p>
                            <w:pPr>
                              <w:pStyle w:val="124"/>
                              <w:jc w:val="center"/>
                              <w:rPr>
                                <w:sz w:val="18"/>
                                <w:szCs w:val="18"/>
                              </w:rPr>
                            </w:pPr>
                          </w:p>
                        </w:tc>
                        <w:tc>
                          <w:tcPr>
                            <w:tcW w:w="1233"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sz w:val="18"/>
                                <w:szCs w:val="18"/>
                              </w:rPr>
                            </w:pPr>
                            <w:r>
                              <w:rPr>
                                <w:sz w:val="18"/>
                                <w:szCs w:val="18"/>
                              </w:rPr>
                              <w:t>…</w:t>
                            </w: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3"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625" w:type="dxa"/>
                            <w:gridSpan w:val="7"/>
                            <w:tcBorders>
                              <w:tl2br w:val="nil"/>
                              <w:tr2bl w:val="nil"/>
                            </w:tcBorders>
                          </w:tcPr>
                          <w:p>
                            <w:pPr>
                              <w:pStyle w:val="124"/>
                              <w:rPr>
                                <w:rFonts w:ascii="Times New Roman" w:hAnsi="Times New Roman" w:cs="Times New Roman"/>
                                <w:sz w:val="18"/>
                                <w:szCs w:val="18"/>
                              </w:rPr>
                            </w:pPr>
                            <w:r>
                              <w:rPr>
                                <w:rFonts w:hint="eastAsia" w:ascii="Times New Roman" w:hAnsi="Times New Roman" w:cs="Times New Roman"/>
                                <w:sz w:val="18"/>
                                <w:szCs w:val="18"/>
                              </w:rPr>
                              <w:t>5</w:t>
                            </w:r>
                            <w:r>
                              <w:rPr>
                                <w:rFonts w:ascii="Times New Roman" w:hAnsi="Times New Roman" w:cs="Times New Roman"/>
                                <w:sz w:val="18"/>
                                <w:szCs w:val="18"/>
                              </w:rPr>
                              <w:t>.环境排放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sz w:val="18"/>
                                <w:szCs w:val="18"/>
                              </w:rPr>
                            </w:pPr>
                            <w:r>
                              <w:rPr>
                                <w:rFonts w:hint="eastAsia"/>
                                <w:sz w:val="18"/>
                                <w:szCs w:val="18"/>
                              </w:rPr>
                              <w:t>排放种类</w:t>
                            </w:r>
                          </w:p>
                        </w:tc>
                        <w:tc>
                          <w:tcPr>
                            <w:tcW w:w="1232" w:type="dxa"/>
                            <w:tcBorders>
                              <w:tl2br w:val="nil"/>
                              <w:tr2bl w:val="nil"/>
                            </w:tcBorders>
                          </w:tcPr>
                          <w:p>
                            <w:pPr>
                              <w:pStyle w:val="124"/>
                              <w:jc w:val="center"/>
                              <w:rPr>
                                <w:sz w:val="18"/>
                                <w:szCs w:val="18"/>
                              </w:rPr>
                            </w:pPr>
                            <w:r>
                              <w:rPr>
                                <w:rFonts w:hint="eastAsia"/>
                                <w:sz w:val="18"/>
                                <w:szCs w:val="18"/>
                              </w:rPr>
                              <w:t>单位</w:t>
                            </w:r>
                          </w:p>
                        </w:tc>
                        <w:tc>
                          <w:tcPr>
                            <w:tcW w:w="1232" w:type="dxa"/>
                            <w:tcBorders>
                              <w:tl2br w:val="nil"/>
                              <w:tr2bl w:val="nil"/>
                            </w:tcBorders>
                          </w:tcPr>
                          <w:p>
                            <w:pPr>
                              <w:pStyle w:val="124"/>
                              <w:jc w:val="center"/>
                              <w:rPr>
                                <w:sz w:val="18"/>
                                <w:szCs w:val="18"/>
                              </w:rPr>
                            </w:pPr>
                            <w:r>
                              <w:rPr>
                                <w:rFonts w:hint="eastAsia"/>
                                <w:sz w:val="18"/>
                                <w:szCs w:val="18"/>
                              </w:rPr>
                              <w:t>数量</w:t>
                            </w:r>
                          </w:p>
                        </w:tc>
                        <w:tc>
                          <w:tcPr>
                            <w:tcW w:w="1233" w:type="dxa"/>
                            <w:tcBorders>
                              <w:tl2br w:val="nil"/>
                              <w:tr2bl w:val="nil"/>
                            </w:tcBorders>
                          </w:tcPr>
                          <w:p>
                            <w:pPr>
                              <w:pStyle w:val="124"/>
                              <w:jc w:val="center"/>
                              <w:rPr>
                                <w:sz w:val="18"/>
                                <w:szCs w:val="18"/>
                              </w:rPr>
                            </w:pPr>
                            <w:r>
                              <w:rPr>
                                <w:rFonts w:hint="eastAsia"/>
                                <w:sz w:val="18"/>
                                <w:szCs w:val="18"/>
                              </w:rPr>
                              <w:t>数据来源</w:t>
                            </w: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sz w:val="18"/>
                                <w:szCs w:val="18"/>
                              </w:rPr>
                            </w:pPr>
                            <w:r>
                              <w:rPr>
                                <w:rFonts w:hint="eastAsia"/>
                                <w:sz w:val="18"/>
                                <w:szCs w:val="18"/>
                              </w:rPr>
                              <w:t>烟尘</w:t>
                            </w:r>
                          </w:p>
                        </w:tc>
                        <w:tc>
                          <w:tcPr>
                            <w:tcW w:w="1232" w:type="dxa"/>
                            <w:tcBorders>
                              <w:tl2br w:val="nil"/>
                              <w:tr2bl w:val="nil"/>
                            </w:tcBorders>
                            <w:vAlign w:val="center"/>
                          </w:tcPr>
                          <w:p>
                            <w:pPr>
                              <w:pStyle w:val="124"/>
                              <w:jc w:val="center"/>
                              <w:rPr>
                                <w:rFonts w:ascii="Times New Roman" w:hAnsi="Times New Roman" w:cs="Times New Roman"/>
                                <w:sz w:val="18"/>
                                <w:szCs w:val="18"/>
                              </w:rPr>
                            </w:pPr>
                            <w:r>
                              <w:rPr>
                                <w:rFonts w:hint="eastAsia" w:ascii="Times New Roman" w:hAnsi="Times New Roman" w:cs="Times New Roman"/>
                                <w:sz w:val="18"/>
                                <w:szCs w:val="18"/>
                              </w:rPr>
                              <w:t>kg</w:t>
                            </w:r>
                          </w:p>
                        </w:tc>
                        <w:tc>
                          <w:tcPr>
                            <w:tcW w:w="1232" w:type="dxa"/>
                            <w:tcBorders>
                              <w:tl2br w:val="nil"/>
                              <w:tr2bl w:val="nil"/>
                            </w:tcBorders>
                          </w:tcPr>
                          <w:p>
                            <w:pPr>
                              <w:pStyle w:val="124"/>
                              <w:jc w:val="center"/>
                              <w:rPr>
                                <w:sz w:val="18"/>
                                <w:szCs w:val="18"/>
                              </w:rPr>
                            </w:pPr>
                          </w:p>
                        </w:tc>
                        <w:tc>
                          <w:tcPr>
                            <w:tcW w:w="1233"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sz w:val="18"/>
                                <w:szCs w:val="18"/>
                              </w:rPr>
                            </w:pPr>
                            <w:r>
                              <w:rPr>
                                <w:rFonts w:hint="eastAsia"/>
                                <w:sz w:val="18"/>
                                <w:szCs w:val="18"/>
                              </w:rPr>
                              <w:t>二氧化硫</w:t>
                            </w:r>
                          </w:p>
                        </w:tc>
                        <w:tc>
                          <w:tcPr>
                            <w:tcW w:w="1232" w:type="dxa"/>
                            <w:tcBorders>
                              <w:tl2br w:val="nil"/>
                              <w:tr2bl w:val="nil"/>
                            </w:tcBorders>
                            <w:vAlign w:val="center"/>
                          </w:tcPr>
                          <w:p>
                            <w:pPr>
                              <w:pStyle w:val="124"/>
                              <w:jc w:val="center"/>
                              <w:rPr>
                                <w:rFonts w:ascii="Times New Roman" w:hAnsi="Times New Roman" w:cs="Times New Roman"/>
                                <w:sz w:val="18"/>
                                <w:szCs w:val="18"/>
                              </w:rPr>
                            </w:pPr>
                            <w:r>
                              <w:rPr>
                                <w:rFonts w:hint="eastAsia" w:ascii="Times New Roman" w:hAnsi="Times New Roman" w:cs="Times New Roman"/>
                                <w:sz w:val="18"/>
                                <w:szCs w:val="18"/>
                              </w:rPr>
                              <w:t>kg</w:t>
                            </w:r>
                          </w:p>
                        </w:tc>
                        <w:tc>
                          <w:tcPr>
                            <w:tcW w:w="1232" w:type="dxa"/>
                            <w:tcBorders>
                              <w:tl2br w:val="nil"/>
                              <w:tr2bl w:val="nil"/>
                            </w:tcBorders>
                          </w:tcPr>
                          <w:p>
                            <w:pPr>
                              <w:pStyle w:val="124"/>
                              <w:jc w:val="center"/>
                              <w:rPr>
                                <w:sz w:val="18"/>
                                <w:szCs w:val="18"/>
                              </w:rPr>
                            </w:pPr>
                          </w:p>
                        </w:tc>
                        <w:tc>
                          <w:tcPr>
                            <w:tcW w:w="1233"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32" w:type="dxa"/>
                            <w:tcBorders>
                              <w:tl2br w:val="nil"/>
                              <w:tr2bl w:val="nil"/>
                            </w:tcBorders>
                          </w:tcPr>
                          <w:p>
                            <w:pPr>
                              <w:pStyle w:val="124"/>
                              <w:jc w:val="center"/>
                              <w:rPr>
                                <w:sz w:val="18"/>
                                <w:szCs w:val="18"/>
                              </w:rPr>
                            </w:pPr>
                            <w:r>
                              <w:rPr>
                                <w:rFonts w:hint="eastAsia"/>
                                <w:sz w:val="18"/>
                                <w:szCs w:val="18"/>
                              </w:rPr>
                              <w:t>氮氧化物</w:t>
                            </w:r>
                          </w:p>
                        </w:tc>
                        <w:tc>
                          <w:tcPr>
                            <w:tcW w:w="1232" w:type="dxa"/>
                            <w:tcBorders>
                              <w:tl2br w:val="nil"/>
                              <w:tr2bl w:val="nil"/>
                            </w:tcBorders>
                            <w:vAlign w:val="center"/>
                          </w:tcPr>
                          <w:p>
                            <w:pPr>
                              <w:pStyle w:val="124"/>
                              <w:jc w:val="center"/>
                              <w:rPr>
                                <w:rFonts w:ascii="Times New Roman" w:hAnsi="Times New Roman" w:cs="Times New Roman"/>
                                <w:sz w:val="18"/>
                                <w:szCs w:val="18"/>
                              </w:rPr>
                            </w:pPr>
                            <w:r>
                              <w:rPr>
                                <w:rFonts w:hint="eastAsia" w:ascii="Times New Roman" w:hAnsi="Times New Roman" w:cs="Times New Roman"/>
                                <w:sz w:val="18"/>
                                <w:szCs w:val="18"/>
                              </w:rPr>
                              <w:t>kg</w:t>
                            </w:r>
                          </w:p>
                        </w:tc>
                        <w:tc>
                          <w:tcPr>
                            <w:tcW w:w="1232" w:type="dxa"/>
                            <w:tcBorders>
                              <w:tl2br w:val="nil"/>
                              <w:tr2bl w:val="nil"/>
                            </w:tcBorders>
                          </w:tcPr>
                          <w:p>
                            <w:pPr>
                              <w:pStyle w:val="124"/>
                              <w:jc w:val="center"/>
                              <w:rPr>
                                <w:sz w:val="18"/>
                                <w:szCs w:val="18"/>
                              </w:rPr>
                            </w:pPr>
                          </w:p>
                        </w:tc>
                        <w:tc>
                          <w:tcPr>
                            <w:tcW w:w="1233"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sz w:val="18"/>
                                <w:szCs w:val="18"/>
                              </w:rPr>
                            </w:pPr>
                            <w:r>
                              <w:rPr>
                                <w:rFonts w:hint="eastAsia"/>
                                <w:sz w:val="18"/>
                                <w:szCs w:val="18"/>
                              </w:rPr>
                              <w:t>颗粒物</w:t>
                            </w:r>
                          </w:p>
                        </w:tc>
                        <w:tc>
                          <w:tcPr>
                            <w:tcW w:w="1232" w:type="dxa"/>
                            <w:tcBorders>
                              <w:tl2br w:val="nil"/>
                              <w:tr2bl w:val="nil"/>
                            </w:tcBorders>
                            <w:vAlign w:val="center"/>
                          </w:tcPr>
                          <w:p>
                            <w:pPr>
                              <w:pStyle w:val="124"/>
                              <w:jc w:val="center"/>
                              <w:rPr>
                                <w:rFonts w:ascii="Times New Roman" w:hAnsi="Times New Roman" w:cs="Times New Roman"/>
                                <w:sz w:val="18"/>
                                <w:szCs w:val="18"/>
                              </w:rPr>
                            </w:pPr>
                            <w:r>
                              <w:rPr>
                                <w:rFonts w:hint="eastAsia" w:ascii="Times New Roman" w:hAnsi="Times New Roman" w:cs="Times New Roman"/>
                                <w:sz w:val="18"/>
                                <w:szCs w:val="18"/>
                              </w:rPr>
                              <w:t>kg</w:t>
                            </w:r>
                          </w:p>
                        </w:tc>
                        <w:tc>
                          <w:tcPr>
                            <w:tcW w:w="1232" w:type="dxa"/>
                            <w:tcBorders>
                              <w:tl2br w:val="nil"/>
                              <w:tr2bl w:val="nil"/>
                            </w:tcBorders>
                          </w:tcPr>
                          <w:p>
                            <w:pPr>
                              <w:pStyle w:val="124"/>
                              <w:jc w:val="center"/>
                              <w:rPr>
                                <w:sz w:val="18"/>
                                <w:szCs w:val="18"/>
                              </w:rPr>
                            </w:pPr>
                          </w:p>
                        </w:tc>
                        <w:tc>
                          <w:tcPr>
                            <w:tcW w:w="1233"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32" w:type="dxa"/>
                            <w:tcBorders>
                              <w:tl2br w:val="nil"/>
                              <w:tr2bl w:val="nil"/>
                            </w:tcBorders>
                          </w:tcPr>
                          <w:p>
                            <w:pPr>
                              <w:pStyle w:val="124"/>
                              <w:jc w:val="center"/>
                              <w:rPr>
                                <w:sz w:val="18"/>
                                <w:szCs w:val="18"/>
                              </w:rPr>
                            </w:pPr>
                            <w:r>
                              <w:rPr>
                                <w:rFonts w:hint="eastAsia"/>
                                <w:sz w:val="18"/>
                                <w:szCs w:val="18"/>
                              </w:rPr>
                              <w:t>固体废物</w:t>
                            </w:r>
                          </w:p>
                        </w:tc>
                        <w:tc>
                          <w:tcPr>
                            <w:tcW w:w="1232" w:type="dxa"/>
                            <w:tcBorders>
                              <w:tl2br w:val="nil"/>
                              <w:tr2bl w:val="nil"/>
                            </w:tcBorders>
                          </w:tcPr>
                          <w:p>
                            <w:pPr>
                              <w:pStyle w:val="124"/>
                              <w:jc w:val="center"/>
                              <w:rPr>
                                <w:rFonts w:ascii="Times New Roman" w:hAnsi="Times New Roman" w:cs="Times New Roman"/>
                                <w:sz w:val="18"/>
                                <w:szCs w:val="18"/>
                              </w:rPr>
                            </w:pPr>
                            <w:r>
                              <w:rPr>
                                <w:rFonts w:hint="eastAsia" w:ascii="Times New Roman" w:hAnsi="Times New Roman" w:cs="Times New Roman"/>
                                <w:sz w:val="18"/>
                                <w:szCs w:val="18"/>
                              </w:rPr>
                              <w:t>kg</w:t>
                            </w:r>
                          </w:p>
                        </w:tc>
                        <w:tc>
                          <w:tcPr>
                            <w:tcW w:w="1232" w:type="dxa"/>
                            <w:tcBorders>
                              <w:tl2br w:val="nil"/>
                              <w:tr2bl w:val="nil"/>
                            </w:tcBorders>
                          </w:tcPr>
                          <w:p>
                            <w:pPr>
                              <w:pStyle w:val="124"/>
                              <w:jc w:val="center"/>
                              <w:rPr>
                                <w:sz w:val="18"/>
                                <w:szCs w:val="18"/>
                              </w:rPr>
                            </w:pPr>
                          </w:p>
                        </w:tc>
                        <w:tc>
                          <w:tcPr>
                            <w:tcW w:w="1233"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c>
                          <w:tcPr>
                            <w:tcW w:w="1232" w:type="dxa"/>
                            <w:tcBorders>
                              <w:tl2br w:val="nil"/>
                              <w:tr2bl w:val="nil"/>
                            </w:tcBorders>
                          </w:tcPr>
                          <w:p>
                            <w:pPr>
                              <w:pStyle w:val="12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8625" w:type="dxa"/>
                            <w:gridSpan w:val="7"/>
                            <w:tcBorders>
                              <w:tl2br w:val="nil"/>
                              <w:tr2bl w:val="nil"/>
                            </w:tcBorders>
                          </w:tcPr>
                          <w:p>
                            <w:pPr>
                              <w:pStyle w:val="124"/>
                              <w:rPr>
                                <w:sz w:val="18"/>
                                <w:szCs w:val="18"/>
                              </w:rPr>
                            </w:pPr>
                            <w:r>
                              <w:rPr>
                                <w:rFonts w:hint="eastAsia"/>
                                <w:sz w:val="18"/>
                                <w:szCs w:val="18"/>
                              </w:rPr>
                              <w:t>企业根据实际情况填写。</w:t>
                            </w:r>
                          </w:p>
                        </w:tc>
                      </w:tr>
                    </w:tbl>
                    <w:p/>
                  </w:txbxContent>
                </v:textbox>
                <w10:wrap type="none"/>
                <w10:anchorlock/>
              </v:shape>
            </w:pict>
          </mc:Fallback>
        </mc:AlternateContent>
      </w:r>
    </w:p>
    <w:p>
      <w:pPr>
        <w:numPr>
          <w:ilvl w:val="1"/>
          <w:numId w:val="0"/>
        </w:numPr>
        <w:rPr>
          <w:rFonts w:ascii="黑体" w:hAnsi="黑体" w:eastAsia="黑体"/>
          <w:kern w:val="0"/>
          <w:szCs w:val="21"/>
        </w:rPr>
      </w:pPr>
      <w:r>
        <w:rPr>
          <w:rFonts w:hint="eastAsia" w:ascii="黑体" w:hAnsi="黑体" w:eastAsia="黑体"/>
          <w:kern w:val="0"/>
          <w:szCs w:val="21"/>
        </w:rPr>
        <w:t>B.4 影响评价</w:t>
      </w:r>
    </w:p>
    <w:p>
      <w:pPr>
        <w:numPr>
          <w:ilvl w:val="1"/>
          <w:numId w:val="0"/>
        </w:numPr>
        <w:spacing w:before="156" w:beforeLines="50" w:after="156" w:afterLines="50"/>
        <w:rPr>
          <w:rFonts w:ascii="黑体" w:hAnsi="黑体" w:eastAsia="黑体"/>
          <w:kern w:val="0"/>
          <w:szCs w:val="21"/>
        </w:rPr>
      </w:pPr>
      <w:r>
        <w:rPr>
          <w:rFonts w:hint="eastAsia" w:ascii="黑体" w:hAnsi="黑体" w:eastAsia="黑体"/>
          <w:kern w:val="0"/>
          <w:szCs w:val="21"/>
        </w:rPr>
        <w:t>B.4.1 影响类型</w:t>
      </w:r>
    </w:p>
    <w:p>
      <w:pPr>
        <w:numPr>
          <w:ilvl w:val="1"/>
          <w:numId w:val="0"/>
        </w:numPr>
        <w:spacing w:before="156" w:beforeLines="50" w:after="156" w:afterLines="50"/>
        <w:ind w:firstLine="420"/>
        <w:rPr>
          <w:kern w:val="0"/>
          <w:szCs w:val="21"/>
        </w:rPr>
      </w:pPr>
      <w:r>
        <w:rPr>
          <w:rFonts w:hint="eastAsia"/>
          <w:kern w:val="0"/>
          <w:szCs w:val="21"/>
        </w:rPr>
        <w:t>刚性导电汇流排铝型材的影响类型采用非生物资源消耗（元素）、非生物资源消耗（化石燃料）、酸化、全球气候变暖4个指标。</w:t>
      </w:r>
    </w:p>
    <w:p>
      <w:pPr>
        <w:numPr>
          <w:ilvl w:val="1"/>
          <w:numId w:val="0"/>
        </w:numPr>
        <w:spacing w:before="156" w:beforeLines="50" w:after="156" w:afterLines="50"/>
        <w:rPr>
          <w:rFonts w:ascii="黑体" w:hAnsi="黑体" w:eastAsia="黑体"/>
          <w:kern w:val="0"/>
          <w:szCs w:val="21"/>
        </w:rPr>
      </w:pPr>
      <w:r>
        <w:rPr>
          <w:rFonts w:hint="eastAsia" w:ascii="黑体" w:hAnsi="黑体" w:eastAsia="黑体"/>
          <w:kern w:val="0"/>
          <w:szCs w:val="21"/>
        </w:rPr>
        <w:t>B.4.2 清单因子归类</w:t>
      </w:r>
    </w:p>
    <w:p>
      <w:pPr>
        <w:numPr>
          <w:ilvl w:val="1"/>
          <w:numId w:val="0"/>
        </w:numPr>
        <w:spacing w:before="156" w:beforeLines="50" w:after="156" w:afterLines="50"/>
        <w:ind w:firstLine="420"/>
        <w:rPr>
          <w:kern w:val="0"/>
          <w:szCs w:val="21"/>
        </w:rPr>
      </w:pPr>
      <w:r>
        <w:rPr>
          <w:rFonts w:hint="eastAsia"/>
          <w:kern w:val="0"/>
          <w:szCs w:val="21"/>
        </w:rPr>
        <w:t>根据清单因子的物理化学性质，将对某影响类型有贡献的因子归为一类，详见表B.2。</w:t>
      </w:r>
    </w:p>
    <w:p>
      <w:pPr>
        <w:tabs>
          <w:tab w:val="left" w:pos="866"/>
        </w:tabs>
        <w:jc w:val="center"/>
        <w:rPr>
          <w:rFonts w:eastAsia="黑体"/>
          <w:szCs w:val="21"/>
        </w:rPr>
      </w:pPr>
    </w:p>
    <w:p>
      <w:pPr>
        <w:tabs>
          <w:tab w:val="left" w:pos="866"/>
        </w:tabs>
        <w:jc w:val="center"/>
        <w:rPr>
          <w:rFonts w:eastAsia="黑体"/>
          <w:szCs w:val="21"/>
        </w:rPr>
      </w:pPr>
      <w:r>
        <w:rPr>
          <w:rFonts w:hint="eastAsia" w:eastAsia="黑体"/>
          <w:szCs w:val="21"/>
        </w:rPr>
        <w:t>表B.2生命周期清单因子归类</w:t>
      </w:r>
    </w:p>
    <w:tbl>
      <w:tblPr>
        <w:tblStyle w:val="33"/>
        <w:tblW w:w="942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57"/>
        <w:gridCol w:w="61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57" w:type="dxa"/>
            <w:tcBorders>
              <w:bottom w:val="single" w:color="auto" w:sz="12" w:space="0"/>
            </w:tcBorders>
          </w:tcPr>
          <w:p>
            <w:pPr>
              <w:tabs>
                <w:tab w:val="left" w:pos="866"/>
              </w:tabs>
              <w:jc w:val="center"/>
              <w:rPr>
                <w:rFonts w:ascii="宋体" w:hAnsi="宋体"/>
                <w:bCs/>
                <w:szCs w:val="21"/>
              </w:rPr>
            </w:pPr>
            <w:r>
              <w:rPr>
                <w:rFonts w:hint="eastAsia" w:ascii="宋体" w:hAnsi="宋体"/>
                <w:bCs/>
                <w:szCs w:val="21"/>
              </w:rPr>
              <w:t>影响类型</w:t>
            </w:r>
          </w:p>
        </w:tc>
        <w:tc>
          <w:tcPr>
            <w:tcW w:w="6172" w:type="dxa"/>
            <w:tcBorders>
              <w:bottom w:val="single" w:color="auto" w:sz="12" w:space="0"/>
            </w:tcBorders>
          </w:tcPr>
          <w:p>
            <w:pPr>
              <w:tabs>
                <w:tab w:val="left" w:pos="866"/>
              </w:tabs>
              <w:jc w:val="center"/>
              <w:rPr>
                <w:rFonts w:ascii="宋体" w:hAnsi="宋体"/>
                <w:bCs/>
                <w:szCs w:val="21"/>
              </w:rPr>
            </w:pPr>
            <w:r>
              <w:rPr>
                <w:rFonts w:hint="eastAsia" w:ascii="宋体" w:hAnsi="宋体"/>
                <w:bCs/>
                <w:szCs w:val="21"/>
              </w:rPr>
              <w:t>清单因子归类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57" w:type="dxa"/>
            <w:tcBorders>
              <w:top w:val="single" w:color="auto" w:sz="12" w:space="0"/>
              <w:tl2br w:val="nil"/>
              <w:tr2bl w:val="nil"/>
            </w:tcBorders>
          </w:tcPr>
          <w:p>
            <w:pPr>
              <w:tabs>
                <w:tab w:val="left" w:pos="866"/>
              </w:tabs>
              <w:jc w:val="center"/>
              <w:rPr>
                <w:rFonts w:ascii="宋体" w:hAnsi="宋体"/>
                <w:b/>
                <w:szCs w:val="21"/>
              </w:rPr>
            </w:pPr>
            <w:r>
              <w:rPr>
                <w:rFonts w:hint="eastAsia"/>
                <w:szCs w:val="21"/>
              </w:rPr>
              <w:t>非生物资源消耗（元素）（ADP</w:t>
            </w:r>
            <w:r>
              <w:rPr>
                <w:szCs w:val="21"/>
              </w:rPr>
              <w:t>-e</w:t>
            </w:r>
            <w:r>
              <w:rPr>
                <w:rFonts w:hint="eastAsia"/>
                <w:szCs w:val="21"/>
              </w:rPr>
              <w:t>）</w:t>
            </w:r>
          </w:p>
        </w:tc>
        <w:tc>
          <w:tcPr>
            <w:tcW w:w="6172" w:type="dxa"/>
            <w:tcBorders>
              <w:top w:val="single" w:color="auto" w:sz="12" w:space="0"/>
              <w:tl2br w:val="nil"/>
              <w:tr2bl w:val="nil"/>
            </w:tcBorders>
            <w:vAlign w:val="center"/>
          </w:tcPr>
          <w:p>
            <w:pPr>
              <w:tabs>
                <w:tab w:val="left" w:pos="866"/>
              </w:tabs>
              <w:jc w:val="center"/>
              <w:rPr>
                <w:szCs w:val="21"/>
              </w:rPr>
            </w:pPr>
            <w:r>
              <w:rPr>
                <w:rFonts w:hint="eastAsia"/>
                <w:szCs w:val="21"/>
              </w:rPr>
              <w:t>铝</w:t>
            </w:r>
            <w:r>
              <w:rPr>
                <w:szCs w:val="21"/>
              </w:rPr>
              <w:t>（</w:t>
            </w:r>
            <w:r>
              <w:rPr>
                <w:rFonts w:hint="eastAsia"/>
                <w:szCs w:val="21"/>
              </w:rPr>
              <w:t>A</w:t>
            </w:r>
            <w:r>
              <w:rPr>
                <w:szCs w:val="21"/>
              </w:rPr>
              <w:t>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57" w:type="dxa"/>
            <w:tcBorders>
              <w:tl2br w:val="nil"/>
              <w:tr2bl w:val="nil"/>
            </w:tcBorders>
          </w:tcPr>
          <w:p>
            <w:pPr>
              <w:tabs>
                <w:tab w:val="left" w:pos="866"/>
              </w:tabs>
              <w:jc w:val="center"/>
              <w:rPr>
                <w:szCs w:val="21"/>
              </w:rPr>
            </w:pPr>
            <w:r>
              <w:rPr>
                <w:rFonts w:hint="eastAsia"/>
                <w:szCs w:val="21"/>
              </w:rPr>
              <w:t>非生物资源消耗（化石燃料）（ADP</w:t>
            </w:r>
            <w:r>
              <w:rPr>
                <w:szCs w:val="21"/>
              </w:rPr>
              <w:t>-f</w:t>
            </w:r>
            <w:r>
              <w:rPr>
                <w:rFonts w:hint="eastAsia"/>
                <w:szCs w:val="21"/>
              </w:rPr>
              <w:t>）</w:t>
            </w:r>
          </w:p>
        </w:tc>
        <w:tc>
          <w:tcPr>
            <w:tcW w:w="6172" w:type="dxa"/>
            <w:tcBorders>
              <w:tl2br w:val="nil"/>
              <w:tr2bl w:val="nil"/>
            </w:tcBorders>
            <w:vAlign w:val="center"/>
          </w:tcPr>
          <w:p>
            <w:pPr>
              <w:tabs>
                <w:tab w:val="left" w:pos="866"/>
              </w:tabs>
              <w:jc w:val="center"/>
              <w:rPr>
                <w:szCs w:val="21"/>
              </w:rPr>
            </w:pPr>
            <w:r>
              <w:rPr>
                <w:rFonts w:hint="eastAsia"/>
                <w:szCs w:val="21"/>
              </w:rPr>
              <w:t>原煤、原油、天然气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57" w:type="dxa"/>
            <w:tcBorders>
              <w:tl2br w:val="nil"/>
              <w:tr2bl w:val="nil"/>
            </w:tcBorders>
          </w:tcPr>
          <w:p>
            <w:pPr>
              <w:tabs>
                <w:tab w:val="left" w:pos="866"/>
              </w:tabs>
              <w:jc w:val="center"/>
              <w:rPr>
                <w:rFonts w:ascii="宋体" w:hAnsi="宋体"/>
                <w:b/>
                <w:szCs w:val="21"/>
              </w:rPr>
            </w:pPr>
            <w:r>
              <w:rPr>
                <w:rFonts w:hint="eastAsia"/>
                <w:szCs w:val="21"/>
              </w:rPr>
              <w:t>酸化（AP）</w:t>
            </w:r>
          </w:p>
        </w:tc>
        <w:tc>
          <w:tcPr>
            <w:tcW w:w="6172" w:type="dxa"/>
            <w:tcBorders>
              <w:tl2br w:val="nil"/>
              <w:tr2bl w:val="nil"/>
            </w:tcBorders>
            <w:vAlign w:val="center"/>
          </w:tcPr>
          <w:p>
            <w:pPr>
              <w:tabs>
                <w:tab w:val="left" w:pos="866"/>
              </w:tabs>
              <w:jc w:val="center"/>
              <w:rPr>
                <w:rFonts w:ascii="宋体" w:hAnsi="宋体"/>
                <w:b/>
                <w:szCs w:val="21"/>
              </w:rPr>
            </w:pPr>
            <w:r>
              <w:rPr>
                <w:rFonts w:hint="eastAsia"/>
                <w:szCs w:val="21"/>
              </w:rPr>
              <w:t>二氧化硫（SO</w:t>
            </w:r>
            <w:r>
              <w:rPr>
                <w:rFonts w:hint="eastAsia"/>
                <w:szCs w:val="21"/>
                <w:vertAlign w:val="subscript"/>
              </w:rPr>
              <w:t>2</w:t>
            </w:r>
            <w:r>
              <w:rPr>
                <w:rFonts w:hint="eastAsia"/>
                <w:szCs w:val="21"/>
              </w:rPr>
              <w:t>）、</w:t>
            </w:r>
            <w:r>
              <w:rPr>
                <w:szCs w:val="21"/>
              </w:rPr>
              <w:t>氮氧化物（NO</w:t>
            </w:r>
            <w:r>
              <w:rPr>
                <w:szCs w:val="21"/>
                <w:vertAlign w:val="subscript"/>
              </w:rPr>
              <w:t>x</w:t>
            </w:r>
            <w:r>
              <w:rPr>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57" w:type="dxa"/>
            <w:tcBorders>
              <w:tl2br w:val="nil"/>
              <w:tr2bl w:val="nil"/>
            </w:tcBorders>
          </w:tcPr>
          <w:p>
            <w:pPr>
              <w:tabs>
                <w:tab w:val="left" w:pos="866"/>
              </w:tabs>
              <w:jc w:val="center"/>
              <w:rPr>
                <w:rFonts w:ascii="宋体" w:hAnsi="宋体"/>
                <w:b/>
                <w:szCs w:val="21"/>
              </w:rPr>
            </w:pPr>
            <w:r>
              <w:rPr>
                <w:rFonts w:hint="eastAsia"/>
                <w:szCs w:val="21"/>
              </w:rPr>
              <w:t>全球气候变暖（GWP）</w:t>
            </w:r>
          </w:p>
        </w:tc>
        <w:tc>
          <w:tcPr>
            <w:tcW w:w="6172" w:type="dxa"/>
            <w:tcBorders>
              <w:tl2br w:val="nil"/>
              <w:tr2bl w:val="nil"/>
            </w:tcBorders>
            <w:vAlign w:val="center"/>
          </w:tcPr>
          <w:p>
            <w:pPr>
              <w:tabs>
                <w:tab w:val="left" w:pos="866"/>
              </w:tabs>
              <w:jc w:val="center"/>
              <w:rPr>
                <w:rFonts w:ascii="宋体" w:hAnsi="宋体"/>
                <w:b/>
                <w:szCs w:val="21"/>
              </w:rPr>
            </w:pPr>
            <w:r>
              <w:rPr>
                <w:rFonts w:hint="eastAsia" w:ascii="宋体" w:hAnsi="宋体"/>
                <w:szCs w:val="21"/>
              </w:rPr>
              <w:t>二氧化碳（</w:t>
            </w:r>
            <w:r>
              <w:rPr>
                <w:rFonts w:hint="eastAsia"/>
                <w:szCs w:val="21"/>
              </w:rPr>
              <w:t>C</w:t>
            </w:r>
            <w:r>
              <w:rPr>
                <w:szCs w:val="21"/>
              </w:rPr>
              <w:t>O</w:t>
            </w:r>
            <w:r>
              <w:rPr>
                <w:rFonts w:hint="eastAsia"/>
                <w:szCs w:val="21"/>
                <w:vertAlign w:val="subscript"/>
              </w:rPr>
              <w:t>2</w:t>
            </w:r>
            <w:r>
              <w:rPr>
                <w:rFonts w:hint="eastAsia" w:ascii="宋体" w:hAnsi="宋体"/>
                <w:szCs w:val="21"/>
              </w:rPr>
              <w:t>）、甲烷（</w:t>
            </w:r>
            <w:r>
              <w:rPr>
                <w:szCs w:val="21"/>
              </w:rPr>
              <w:t>CH</w:t>
            </w:r>
            <w:r>
              <w:rPr>
                <w:szCs w:val="21"/>
                <w:vertAlign w:val="subscript"/>
              </w:rPr>
              <w:t>4</w:t>
            </w:r>
            <w:r>
              <w:rPr>
                <w:rFonts w:hint="eastAsia" w:ascii="宋体" w:hAnsi="宋体"/>
                <w:szCs w:val="21"/>
              </w:rPr>
              <w:t>）</w:t>
            </w:r>
          </w:p>
        </w:tc>
      </w:tr>
    </w:tbl>
    <w:p>
      <w:pPr>
        <w:numPr>
          <w:ilvl w:val="1"/>
          <w:numId w:val="0"/>
        </w:numPr>
        <w:spacing w:before="156" w:beforeLines="50" w:after="156" w:afterLines="50"/>
        <w:rPr>
          <w:rFonts w:ascii="黑体" w:hAnsi="黑体" w:eastAsia="黑体"/>
          <w:kern w:val="0"/>
          <w:szCs w:val="21"/>
        </w:rPr>
      </w:pPr>
      <w:r>
        <w:rPr>
          <w:rFonts w:hint="eastAsia" w:ascii="黑体" w:hAnsi="黑体" w:eastAsia="黑体"/>
          <w:kern w:val="0"/>
          <w:szCs w:val="21"/>
        </w:rPr>
        <w:t>B.4.3 分类评价</w:t>
      </w:r>
    </w:p>
    <w:p>
      <w:pPr>
        <w:numPr>
          <w:ilvl w:val="1"/>
          <w:numId w:val="0"/>
        </w:numPr>
        <w:spacing w:before="156" w:beforeLines="50" w:after="156" w:afterLines="50"/>
        <w:ind w:firstLine="420"/>
        <w:rPr>
          <w:kern w:val="0"/>
          <w:szCs w:val="21"/>
        </w:rPr>
      </w:pPr>
      <w:r>
        <w:rPr>
          <w:rFonts w:hint="eastAsia"/>
          <w:kern w:val="0"/>
          <w:szCs w:val="21"/>
        </w:rPr>
        <w:t>计算出不同影响类型的特征化模型。分类评价的结果采用表B.3中的当量物质表示。</w:t>
      </w:r>
    </w:p>
    <w:p>
      <w:pPr>
        <w:tabs>
          <w:tab w:val="left" w:pos="866"/>
        </w:tabs>
        <w:jc w:val="center"/>
        <w:rPr>
          <w:rFonts w:eastAsia="黑体"/>
          <w:szCs w:val="21"/>
        </w:rPr>
      </w:pPr>
      <w:r>
        <w:rPr>
          <w:rFonts w:hint="eastAsia" w:eastAsia="黑体"/>
          <w:szCs w:val="21"/>
        </w:rPr>
        <w:t>表B.3产品生命周期影响评价</w:t>
      </w:r>
    </w:p>
    <w:tbl>
      <w:tblPr>
        <w:tblStyle w:val="33"/>
        <w:tblW w:w="9429"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10"/>
        <w:gridCol w:w="1888"/>
        <w:gridCol w:w="1597"/>
        <w:gridCol w:w="1743"/>
        <w:gridCol w:w="159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610" w:type="dxa"/>
            <w:tcBorders>
              <w:bottom w:val="single" w:color="auto" w:sz="12" w:space="0"/>
              <w:right w:val="single" w:color="auto" w:sz="4" w:space="0"/>
            </w:tcBorders>
          </w:tcPr>
          <w:p>
            <w:pPr>
              <w:tabs>
                <w:tab w:val="left" w:pos="866"/>
              </w:tabs>
              <w:jc w:val="center"/>
              <w:rPr>
                <w:bCs/>
                <w:szCs w:val="21"/>
              </w:rPr>
            </w:pPr>
            <w:r>
              <w:rPr>
                <w:bCs/>
                <w:szCs w:val="21"/>
              </w:rPr>
              <w:t>环境类别</w:t>
            </w:r>
          </w:p>
        </w:tc>
        <w:tc>
          <w:tcPr>
            <w:tcW w:w="1888" w:type="dxa"/>
            <w:tcBorders>
              <w:left w:val="single" w:color="auto" w:sz="4" w:space="0"/>
              <w:bottom w:val="single" w:color="auto" w:sz="12" w:space="0"/>
              <w:right w:val="single" w:color="auto" w:sz="4" w:space="0"/>
            </w:tcBorders>
          </w:tcPr>
          <w:p>
            <w:pPr>
              <w:tabs>
                <w:tab w:val="left" w:pos="866"/>
              </w:tabs>
              <w:jc w:val="center"/>
              <w:rPr>
                <w:bCs/>
                <w:szCs w:val="21"/>
              </w:rPr>
            </w:pPr>
            <w:r>
              <w:rPr>
                <w:bCs/>
                <w:szCs w:val="21"/>
              </w:rPr>
              <w:t>单位</w:t>
            </w:r>
          </w:p>
        </w:tc>
        <w:tc>
          <w:tcPr>
            <w:tcW w:w="1597" w:type="dxa"/>
            <w:tcBorders>
              <w:left w:val="single" w:color="auto" w:sz="4" w:space="0"/>
              <w:bottom w:val="single" w:color="auto" w:sz="12" w:space="0"/>
              <w:right w:val="single" w:color="auto" w:sz="4" w:space="0"/>
            </w:tcBorders>
          </w:tcPr>
          <w:p>
            <w:pPr>
              <w:tabs>
                <w:tab w:val="left" w:pos="866"/>
              </w:tabs>
              <w:jc w:val="center"/>
              <w:rPr>
                <w:bCs/>
                <w:szCs w:val="21"/>
              </w:rPr>
            </w:pPr>
            <w:r>
              <w:rPr>
                <w:bCs/>
                <w:szCs w:val="21"/>
              </w:rPr>
              <w:t>指标参数</w:t>
            </w:r>
          </w:p>
        </w:tc>
        <w:tc>
          <w:tcPr>
            <w:tcW w:w="1743" w:type="dxa"/>
            <w:tcBorders>
              <w:left w:val="single" w:color="auto" w:sz="4" w:space="0"/>
              <w:bottom w:val="single" w:color="auto" w:sz="12" w:space="0"/>
              <w:right w:val="single" w:color="auto" w:sz="4" w:space="0"/>
            </w:tcBorders>
          </w:tcPr>
          <w:p>
            <w:pPr>
              <w:tabs>
                <w:tab w:val="left" w:pos="866"/>
              </w:tabs>
              <w:jc w:val="center"/>
              <w:rPr>
                <w:bCs/>
                <w:szCs w:val="21"/>
              </w:rPr>
            </w:pPr>
            <w:r>
              <w:rPr>
                <w:bCs/>
                <w:szCs w:val="21"/>
              </w:rPr>
              <w:t>特征化因子</w:t>
            </w:r>
          </w:p>
        </w:tc>
        <w:tc>
          <w:tcPr>
            <w:tcW w:w="1591" w:type="dxa"/>
            <w:tcBorders>
              <w:left w:val="single" w:color="auto" w:sz="4" w:space="0"/>
              <w:bottom w:val="single" w:color="auto" w:sz="12" w:space="0"/>
            </w:tcBorders>
          </w:tcPr>
          <w:p>
            <w:pPr>
              <w:tabs>
                <w:tab w:val="left" w:pos="866"/>
              </w:tabs>
              <w:jc w:val="center"/>
              <w:rPr>
                <w:bCs/>
                <w:szCs w:val="21"/>
              </w:rPr>
            </w:pPr>
            <w:r>
              <w:rPr>
                <w:rFonts w:hint="eastAsia"/>
                <w:bCs/>
                <w:szCs w:val="21"/>
              </w:rPr>
              <w:t>评价方法</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610" w:type="dxa"/>
            <w:tcBorders>
              <w:top w:val="single" w:color="auto" w:sz="12" w:space="0"/>
              <w:bottom w:val="single" w:color="auto" w:sz="4" w:space="0"/>
              <w:right w:val="single" w:color="auto" w:sz="4" w:space="0"/>
            </w:tcBorders>
            <w:vAlign w:val="center"/>
          </w:tcPr>
          <w:p>
            <w:pPr>
              <w:tabs>
                <w:tab w:val="left" w:pos="866"/>
              </w:tabs>
              <w:jc w:val="center"/>
              <w:rPr>
                <w:szCs w:val="21"/>
              </w:rPr>
            </w:pPr>
            <w:r>
              <w:rPr>
                <w:rFonts w:hint="eastAsia"/>
                <w:szCs w:val="21"/>
              </w:rPr>
              <w:t>非生物资源消耗（元素）（</w:t>
            </w:r>
            <w:r>
              <w:rPr>
                <w:szCs w:val="21"/>
              </w:rPr>
              <w:t>ADP-e</w:t>
            </w:r>
            <w:r>
              <w:rPr>
                <w:rFonts w:hint="eastAsia"/>
                <w:szCs w:val="21"/>
              </w:rPr>
              <w:t>）</w:t>
            </w:r>
          </w:p>
        </w:tc>
        <w:tc>
          <w:tcPr>
            <w:tcW w:w="1888" w:type="dxa"/>
            <w:tcBorders>
              <w:top w:val="single" w:color="auto" w:sz="12" w:space="0"/>
              <w:left w:val="single" w:color="auto" w:sz="4" w:space="0"/>
              <w:bottom w:val="single" w:color="auto" w:sz="4" w:space="0"/>
              <w:right w:val="single" w:color="auto" w:sz="4" w:space="0"/>
            </w:tcBorders>
            <w:vAlign w:val="center"/>
          </w:tcPr>
          <w:p>
            <w:pPr>
              <w:tabs>
                <w:tab w:val="left" w:pos="866"/>
              </w:tabs>
              <w:jc w:val="center"/>
              <w:rPr>
                <w:szCs w:val="21"/>
              </w:rPr>
            </w:pPr>
            <w:r>
              <w:rPr>
                <w:rFonts w:hint="eastAsia"/>
                <w:szCs w:val="21"/>
              </w:rPr>
              <w:t>kg，</w:t>
            </w:r>
            <w:r>
              <w:rPr>
                <w:szCs w:val="21"/>
              </w:rPr>
              <w:t>Sb</w:t>
            </w:r>
            <w:r>
              <w:rPr>
                <w:rFonts w:hint="eastAsia"/>
                <w:szCs w:val="21"/>
              </w:rPr>
              <w:t xml:space="preserve"> eq./kg</w:t>
            </w:r>
          </w:p>
        </w:tc>
        <w:tc>
          <w:tcPr>
            <w:tcW w:w="1597"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A</w:t>
            </w:r>
            <w:r>
              <w:rPr>
                <w:szCs w:val="21"/>
              </w:rPr>
              <w:t>l</w:t>
            </w:r>
          </w:p>
        </w:tc>
        <w:tc>
          <w:tcPr>
            <w:tcW w:w="1743"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1</w:t>
            </w:r>
            <w:r>
              <w:rPr>
                <w:szCs w:val="21"/>
              </w:rPr>
              <w:t>.09*10</w:t>
            </w:r>
            <w:r>
              <w:rPr>
                <w:szCs w:val="21"/>
                <w:vertAlign w:val="superscript"/>
              </w:rPr>
              <w:t>-9</w:t>
            </w:r>
          </w:p>
        </w:tc>
        <w:tc>
          <w:tcPr>
            <w:tcW w:w="1591" w:type="dxa"/>
            <w:vMerge w:val="restart"/>
            <w:tcBorders>
              <w:top w:val="single" w:color="auto" w:sz="12" w:space="0"/>
              <w:left w:val="single" w:color="auto" w:sz="4" w:space="0"/>
              <w:tl2br w:val="nil"/>
              <w:tr2bl w:val="nil"/>
            </w:tcBorders>
            <w:vAlign w:val="center"/>
          </w:tcPr>
          <w:p>
            <w:pPr>
              <w:spacing w:line="360" w:lineRule="auto"/>
              <w:jc w:val="center"/>
              <w:rPr>
                <w:szCs w:val="21"/>
              </w:rPr>
            </w:pPr>
            <w:r>
              <w:rPr>
                <w:rFonts w:hint="eastAsia"/>
                <w:szCs w:val="21"/>
              </w:rPr>
              <w:t>CML2001-Jan，2016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610" w:type="dxa"/>
            <w:vMerge w:val="restart"/>
            <w:tcBorders>
              <w:top w:val="single" w:color="auto" w:sz="4" w:space="0"/>
              <w:bottom w:val="single" w:color="auto" w:sz="4" w:space="0"/>
              <w:right w:val="single" w:color="auto" w:sz="4" w:space="0"/>
            </w:tcBorders>
            <w:vAlign w:val="center"/>
          </w:tcPr>
          <w:p>
            <w:pPr>
              <w:tabs>
                <w:tab w:val="left" w:pos="866"/>
              </w:tabs>
              <w:jc w:val="center"/>
              <w:rPr>
                <w:szCs w:val="21"/>
              </w:rPr>
            </w:pPr>
            <w:r>
              <w:rPr>
                <w:rFonts w:hint="eastAsia"/>
                <w:szCs w:val="21"/>
              </w:rPr>
              <w:t>非生物资源消耗（化石燃料）（</w:t>
            </w:r>
            <w:r>
              <w:rPr>
                <w:szCs w:val="21"/>
              </w:rPr>
              <w:t>ADP-f</w:t>
            </w:r>
            <w:r>
              <w:rPr>
                <w:rFonts w:hint="eastAsia"/>
                <w:szCs w:val="21"/>
              </w:rPr>
              <w:t>）</w:t>
            </w:r>
          </w:p>
        </w:tc>
        <w:tc>
          <w:tcPr>
            <w:tcW w:w="1888" w:type="dxa"/>
            <w:vMerge w:val="restart"/>
            <w:tcBorders>
              <w:top w:val="single" w:color="auto" w:sz="4" w:space="0"/>
              <w:left w:val="single" w:color="auto" w:sz="4" w:space="0"/>
              <w:bottom w:val="single" w:color="auto" w:sz="4" w:space="0"/>
              <w:right w:val="single" w:color="auto" w:sz="4" w:space="0"/>
            </w:tcBorders>
            <w:vAlign w:val="center"/>
          </w:tcPr>
          <w:p>
            <w:pPr>
              <w:tabs>
                <w:tab w:val="left" w:pos="866"/>
              </w:tabs>
              <w:jc w:val="center"/>
              <w:rPr>
                <w:szCs w:val="21"/>
              </w:rPr>
            </w:pPr>
            <w:r>
              <w:rPr>
                <w:szCs w:val="21"/>
              </w:rPr>
              <w:t>MJ/kg</w:t>
            </w:r>
          </w:p>
        </w:tc>
        <w:tc>
          <w:tcPr>
            <w:tcW w:w="15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原煤</w:t>
            </w:r>
          </w:p>
        </w:tc>
        <w:tc>
          <w:tcPr>
            <w:tcW w:w="1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25.4</w:t>
            </w:r>
          </w:p>
        </w:tc>
        <w:tc>
          <w:tcPr>
            <w:tcW w:w="1591" w:type="dxa"/>
            <w:vMerge w:val="continue"/>
            <w:tcBorders>
              <w:left w:val="single" w:color="auto" w:sz="4" w:space="0"/>
              <w:tl2br w:val="nil"/>
              <w:tr2bl w:val="nil"/>
            </w:tcBorders>
          </w:tcPr>
          <w:p>
            <w:pPr>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610" w:type="dxa"/>
            <w:vMerge w:val="continue"/>
            <w:tcBorders>
              <w:top w:val="single" w:color="auto" w:sz="4" w:space="0"/>
              <w:bottom w:val="single" w:color="auto" w:sz="4" w:space="0"/>
              <w:right w:val="single" w:color="auto" w:sz="4" w:space="0"/>
            </w:tcBorders>
            <w:vAlign w:val="center"/>
          </w:tcPr>
          <w:p>
            <w:pPr>
              <w:tabs>
                <w:tab w:val="left" w:pos="866"/>
              </w:tabs>
              <w:jc w:val="center"/>
              <w:rPr>
                <w:szCs w:val="21"/>
              </w:rPr>
            </w:pPr>
          </w:p>
        </w:tc>
        <w:tc>
          <w:tcPr>
            <w:tcW w:w="1888" w:type="dxa"/>
            <w:vMerge w:val="continue"/>
            <w:tcBorders>
              <w:top w:val="single" w:color="auto" w:sz="4" w:space="0"/>
              <w:left w:val="single" w:color="auto" w:sz="4" w:space="0"/>
              <w:bottom w:val="single" w:color="auto" w:sz="4" w:space="0"/>
              <w:right w:val="single" w:color="auto" w:sz="4" w:space="0"/>
            </w:tcBorders>
            <w:vAlign w:val="center"/>
          </w:tcPr>
          <w:p>
            <w:pPr>
              <w:tabs>
                <w:tab w:val="left" w:pos="866"/>
              </w:tabs>
              <w:jc w:val="center"/>
              <w:rPr>
                <w:szCs w:val="21"/>
              </w:rPr>
            </w:pPr>
          </w:p>
        </w:tc>
        <w:tc>
          <w:tcPr>
            <w:tcW w:w="15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原油</w:t>
            </w:r>
          </w:p>
        </w:tc>
        <w:tc>
          <w:tcPr>
            <w:tcW w:w="1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42.8</w:t>
            </w:r>
          </w:p>
        </w:tc>
        <w:tc>
          <w:tcPr>
            <w:tcW w:w="1591" w:type="dxa"/>
            <w:vMerge w:val="continue"/>
            <w:tcBorders>
              <w:left w:val="single" w:color="auto" w:sz="4" w:space="0"/>
              <w:tl2br w:val="nil"/>
              <w:tr2bl w:val="nil"/>
            </w:tcBorders>
          </w:tcPr>
          <w:p>
            <w:pPr>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610" w:type="dxa"/>
            <w:vMerge w:val="continue"/>
            <w:tcBorders>
              <w:top w:val="single" w:color="auto" w:sz="4" w:space="0"/>
              <w:bottom w:val="single" w:color="auto" w:sz="4" w:space="0"/>
              <w:right w:val="single" w:color="auto" w:sz="4" w:space="0"/>
            </w:tcBorders>
            <w:vAlign w:val="center"/>
          </w:tcPr>
          <w:p>
            <w:pPr>
              <w:tabs>
                <w:tab w:val="left" w:pos="866"/>
              </w:tabs>
              <w:jc w:val="center"/>
              <w:rPr>
                <w:szCs w:val="21"/>
              </w:rPr>
            </w:pPr>
          </w:p>
        </w:tc>
        <w:tc>
          <w:tcPr>
            <w:tcW w:w="1888" w:type="dxa"/>
            <w:vMerge w:val="continue"/>
            <w:tcBorders>
              <w:top w:val="single" w:color="auto" w:sz="4" w:space="0"/>
              <w:left w:val="single" w:color="auto" w:sz="4" w:space="0"/>
              <w:bottom w:val="single" w:color="auto" w:sz="4" w:space="0"/>
              <w:right w:val="single" w:color="auto" w:sz="4" w:space="0"/>
            </w:tcBorders>
            <w:vAlign w:val="center"/>
          </w:tcPr>
          <w:p>
            <w:pPr>
              <w:tabs>
                <w:tab w:val="left" w:pos="866"/>
              </w:tabs>
              <w:jc w:val="center"/>
              <w:rPr>
                <w:szCs w:val="21"/>
              </w:rPr>
            </w:pPr>
          </w:p>
        </w:tc>
        <w:tc>
          <w:tcPr>
            <w:tcW w:w="15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天然气</w:t>
            </w:r>
          </w:p>
        </w:tc>
        <w:tc>
          <w:tcPr>
            <w:tcW w:w="1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46.2</w:t>
            </w:r>
          </w:p>
        </w:tc>
        <w:tc>
          <w:tcPr>
            <w:tcW w:w="1591" w:type="dxa"/>
            <w:vMerge w:val="continue"/>
            <w:tcBorders>
              <w:left w:val="single" w:color="auto" w:sz="4" w:space="0"/>
              <w:tl2br w:val="nil"/>
              <w:tr2bl w:val="nil"/>
            </w:tcBorders>
          </w:tcPr>
          <w:p>
            <w:pPr>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610" w:type="dxa"/>
            <w:vMerge w:val="restart"/>
            <w:tcBorders>
              <w:top w:val="single" w:color="auto" w:sz="4" w:space="0"/>
              <w:bottom w:val="single" w:color="auto" w:sz="4" w:space="0"/>
              <w:right w:val="single" w:color="auto" w:sz="4" w:space="0"/>
            </w:tcBorders>
            <w:vAlign w:val="center"/>
          </w:tcPr>
          <w:p>
            <w:pPr>
              <w:tabs>
                <w:tab w:val="left" w:pos="866"/>
              </w:tabs>
              <w:jc w:val="center"/>
              <w:rPr>
                <w:szCs w:val="21"/>
              </w:rPr>
            </w:pPr>
            <w:r>
              <w:rPr>
                <w:rFonts w:hint="eastAsia"/>
                <w:szCs w:val="21"/>
              </w:rPr>
              <w:t>酸化（AP）</w:t>
            </w:r>
          </w:p>
        </w:tc>
        <w:tc>
          <w:tcPr>
            <w:tcW w:w="1888" w:type="dxa"/>
            <w:vMerge w:val="restart"/>
            <w:tcBorders>
              <w:top w:val="single" w:color="auto" w:sz="4" w:space="0"/>
              <w:left w:val="single" w:color="auto" w:sz="4" w:space="0"/>
              <w:bottom w:val="single" w:color="auto" w:sz="4" w:space="0"/>
              <w:right w:val="single" w:color="auto" w:sz="4" w:space="0"/>
            </w:tcBorders>
            <w:vAlign w:val="center"/>
          </w:tcPr>
          <w:p>
            <w:pPr>
              <w:tabs>
                <w:tab w:val="left" w:pos="866"/>
              </w:tabs>
              <w:jc w:val="center"/>
              <w:rPr>
                <w:szCs w:val="21"/>
              </w:rPr>
            </w:pPr>
            <w:r>
              <w:rPr>
                <w:szCs w:val="21"/>
              </w:rPr>
              <w:t xml:space="preserve">kg, </w:t>
            </w:r>
            <w:r>
              <w:rPr>
                <w:rFonts w:hint="eastAsia"/>
                <w:szCs w:val="21"/>
              </w:rPr>
              <w:t>S</w:t>
            </w:r>
            <w:r>
              <w:rPr>
                <w:szCs w:val="21"/>
              </w:rPr>
              <w:t>O</w:t>
            </w:r>
            <w:r>
              <w:rPr>
                <w:szCs w:val="21"/>
                <w:vertAlign w:val="subscript"/>
              </w:rPr>
              <w:t>2</w:t>
            </w:r>
            <w:r>
              <w:rPr>
                <w:szCs w:val="21"/>
              </w:rPr>
              <w:t xml:space="preserve"> </w:t>
            </w:r>
            <w:r>
              <w:rPr>
                <w:szCs w:val="21"/>
                <w:vertAlign w:val="subscript"/>
              </w:rPr>
              <w:t>eq</w:t>
            </w:r>
            <w:r>
              <w:rPr>
                <w:rFonts w:hint="eastAsia"/>
                <w:szCs w:val="21"/>
                <w:vertAlign w:val="subscript"/>
              </w:rPr>
              <w:t>.</w:t>
            </w:r>
            <w:r>
              <w:rPr>
                <w:rFonts w:hint="eastAsia"/>
                <w:szCs w:val="21"/>
              </w:rPr>
              <w:t>/kg</w:t>
            </w:r>
          </w:p>
        </w:tc>
        <w:tc>
          <w:tcPr>
            <w:tcW w:w="15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SO</w:t>
            </w:r>
            <w:r>
              <w:rPr>
                <w:rFonts w:hint="eastAsia"/>
                <w:szCs w:val="21"/>
                <w:vertAlign w:val="subscript"/>
              </w:rPr>
              <w:t>2</w:t>
            </w:r>
          </w:p>
        </w:tc>
        <w:tc>
          <w:tcPr>
            <w:tcW w:w="1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1</w:t>
            </w:r>
          </w:p>
        </w:tc>
        <w:tc>
          <w:tcPr>
            <w:tcW w:w="1591" w:type="dxa"/>
            <w:vMerge w:val="continue"/>
            <w:tcBorders>
              <w:left w:val="single" w:color="auto" w:sz="4" w:space="0"/>
              <w:tl2br w:val="nil"/>
              <w:tr2bl w:val="nil"/>
            </w:tcBorders>
          </w:tcPr>
          <w:p>
            <w:pPr>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610" w:type="dxa"/>
            <w:vMerge w:val="continue"/>
            <w:tcBorders>
              <w:top w:val="single" w:color="auto" w:sz="4" w:space="0"/>
              <w:bottom w:val="single" w:color="auto" w:sz="4" w:space="0"/>
              <w:right w:val="single" w:color="auto" w:sz="4" w:space="0"/>
            </w:tcBorders>
            <w:vAlign w:val="center"/>
          </w:tcPr>
          <w:p>
            <w:pPr>
              <w:tabs>
                <w:tab w:val="left" w:pos="866"/>
              </w:tabs>
              <w:jc w:val="center"/>
              <w:rPr>
                <w:szCs w:val="21"/>
              </w:rPr>
            </w:pPr>
          </w:p>
        </w:tc>
        <w:tc>
          <w:tcPr>
            <w:tcW w:w="1888" w:type="dxa"/>
            <w:vMerge w:val="continue"/>
            <w:tcBorders>
              <w:top w:val="single" w:color="auto" w:sz="4" w:space="0"/>
              <w:left w:val="single" w:color="auto" w:sz="4" w:space="0"/>
              <w:bottom w:val="single" w:color="auto" w:sz="4" w:space="0"/>
              <w:right w:val="single" w:color="auto" w:sz="4" w:space="0"/>
            </w:tcBorders>
            <w:vAlign w:val="center"/>
          </w:tcPr>
          <w:p>
            <w:pPr>
              <w:tabs>
                <w:tab w:val="left" w:pos="866"/>
              </w:tabs>
              <w:jc w:val="center"/>
              <w:rPr>
                <w:szCs w:val="21"/>
              </w:rPr>
            </w:pPr>
          </w:p>
        </w:tc>
        <w:tc>
          <w:tcPr>
            <w:tcW w:w="15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NO</w:t>
            </w:r>
            <w:r>
              <w:rPr>
                <w:szCs w:val="21"/>
                <w:vertAlign w:val="subscript"/>
              </w:rPr>
              <w:t>x</w:t>
            </w:r>
          </w:p>
        </w:tc>
        <w:tc>
          <w:tcPr>
            <w:tcW w:w="1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0.7</w:t>
            </w:r>
          </w:p>
        </w:tc>
        <w:tc>
          <w:tcPr>
            <w:tcW w:w="1591" w:type="dxa"/>
            <w:vMerge w:val="continue"/>
            <w:tcBorders>
              <w:left w:val="single" w:color="auto" w:sz="4" w:space="0"/>
              <w:tl2br w:val="nil"/>
              <w:tr2bl w:val="nil"/>
            </w:tcBorders>
          </w:tcPr>
          <w:p>
            <w:pPr>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610" w:type="dxa"/>
            <w:vMerge w:val="restart"/>
            <w:tcBorders>
              <w:top w:val="single" w:color="auto" w:sz="4" w:space="0"/>
              <w:bottom w:val="single" w:color="auto" w:sz="4" w:space="0"/>
              <w:right w:val="single" w:color="auto" w:sz="4" w:space="0"/>
            </w:tcBorders>
            <w:vAlign w:val="center"/>
          </w:tcPr>
          <w:p>
            <w:pPr>
              <w:tabs>
                <w:tab w:val="left" w:pos="866"/>
              </w:tabs>
              <w:jc w:val="center"/>
              <w:rPr>
                <w:szCs w:val="21"/>
              </w:rPr>
            </w:pPr>
            <w:r>
              <w:rPr>
                <w:rFonts w:hint="eastAsia"/>
                <w:szCs w:val="21"/>
              </w:rPr>
              <w:t>全球气候变暖（GWP）</w:t>
            </w:r>
          </w:p>
        </w:tc>
        <w:tc>
          <w:tcPr>
            <w:tcW w:w="1888" w:type="dxa"/>
            <w:vMerge w:val="restart"/>
            <w:tcBorders>
              <w:top w:val="single" w:color="auto" w:sz="4" w:space="0"/>
              <w:left w:val="single" w:color="auto" w:sz="4" w:space="0"/>
              <w:bottom w:val="single" w:color="auto" w:sz="4" w:space="0"/>
              <w:right w:val="single" w:color="auto" w:sz="4" w:space="0"/>
            </w:tcBorders>
            <w:vAlign w:val="center"/>
          </w:tcPr>
          <w:p>
            <w:pPr>
              <w:tabs>
                <w:tab w:val="left" w:pos="866"/>
              </w:tabs>
              <w:jc w:val="center"/>
              <w:rPr>
                <w:szCs w:val="21"/>
              </w:rPr>
            </w:pPr>
            <w:r>
              <w:rPr>
                <w:szCs w:val="21"/>
              </w:rPr>
              <w:t xml:space="preserve">kg, </w:t>
            </w:r>
            <w:r>
              <w:rPr>
                <w:rFonts w:hint="eastAsia"/>
                <w:szCs w:val="21"/>
              </w:rPr>
              <w:t>C</w:t>
            </w:r>
            <w:r>
              <w:rPr>
                <w:szCs w:val="21"/>
              </w:rPr>
              <w:t>O</w:t>
            </w:r>
            <w:r>
              <w:rPr>
                <w:szCs w:val="21"/>
                <w:vertAlign w:val="subscript"/>
              </w:rPr>
              <w:t>2</w:t>
            </w:r>
            <w:r>
              <w:rPr>
                <w:szCs w:val="21"/>
              </w:rPr>
              <w:t xml:space="preserve"> </w:t>
            </w:r>
            <w:r>
              <w:rPr>
                <w:szCs w:val="21"/>
                <w:vertAlign w:val="subscript"/>
              </w:rPr>
              <w:t>eq</w:t>
            </w:r>
            <w:r>
              <w:rPr>
                <w:rFonts w:hint="eastAsia"/>
                <w:szCs w:val="21"/>
                <w:vertAlign w:val="subscript"/>
              </w:rPr>
              <w:t>.</w:t>
            </w:r>
            <w:r>
              <w:rPr>
                <w:rFonts w:hint="eastAsia"/>
                <w:szCs w:val="21"/>
              </w:rPr>
              <w:t>/kg</w:t>
            </w:r>
          </w:p>
        </w:tc>
        <w:tc>
          <w:tcPr>
            <w:tcW w:w="15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C</w:t>
            </w:r>
            <w:r>
              <w:rPr>
                <w:szCs w:val="21"/>
              </w:rPr>
              <w:t>O</w:t>
            </w:r>
            <w:r>
              <w:rPr>
                <w:rFonts w:hint="eastAsia"/>
                <w:szCs w:val="21"/>
                <w:vertAlign w:val="subscript"/>
              </w:rPr>
              <w:t>2</w:t>
            </w:r>
          </w:p>
        </w:tc>
        <w:tc>
          <w:tcPr>
            <w:tcW w:w="1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1</w:t>
            </w:r>
          </w:p>
        </w:tc>
        <w:tc>
          <w:tcPr>
            <w:tcW w:w="1591" w:type="dxa"/>
            <w:vMerge w:val="continue"/>
            <w:tcBorders>
              <w:left w:val="single" w:color="auto" w:sz="4" w:space="0"/>
              <w:tl2br w:val="nil"/>
              <w:tr2bl w:val="nil"/>
            </w:tcBorders>
          </w:tcPr>
          <w:p>
            <w:pPr>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610" w:type="dxa"/>
            <w:vMerge w:val="continue"/>
            <w:tcBorders>
              <w:top w:val="single" w:color="auto" w:sz="4" w:space="0"/>
              <w:right w:val="single" w:color="auto" w:sz="4" w:space="0"/>
            </w:tcBorders>
            <w:vAlign w:val="center"/>
          </w:tcPr>
          <w:p>
            <w:pPr>
              <w:tabs>
                <w:tab w:val="left" w:pos="866"/>
              </w:tabs>
              <w:jc w:val="center"/>
              <w:rPr>
                <w:szCs w:val="21"/>
              </w:rPr>
            </w:pPr>
          </w:p>
        </w:tc>
        <w:tc>
          <w:tcPr>
            <w:tcW w:w="1888" w:type="dxa"/>
            <w:vMerge w:val="continue"/>
            <w:tcBorders>
              <w:top w:val="single" w:color="auto" w:sz="4" w:space="0"/>
              <w:left w:val="single" w:color="auto" w:sz="4" w:space="0"/>
              <w:right w:val="single" w:color="auto" w:sz="4" w:space="0"/>
            </w:tcBorders>
            <w:vAlign w:val="center"/>
          </w:tcPr>
          <w:p>
            <w:pPr>
              <w:tabs>
                <w:tab w:val="left" w:pos="866"/>
              </w:tabs>
              <w:jc w:val="center"/>
              <w:rPr>
                <w:szCs w:val="21"/>
              </w:rPr>
            </w:pPr>
          </w:p>
        </w:tc>
        <w:tc>
          <w:tcPr>
            <w:tcW w:w="1597" w:type="dxa"/>
            <w:tcBorders>
              <w:top w:val="single" w:color="auto" w:sz="4" w:space="0"/>
              <w:left w:val="single" w:color="auto" w:sz="4" w:space="0"/>
              <w:right w:val="single" w:color="auto" w:sz="4" w:space="0"/>
            </w:tcBorders>
            <w:vAlign w:val="center"/>
          </w:tcPr>
          <w:p>
            <w:pPr>
              <w:spacing w:line="360" w:lineRule="auto"/>
              <w:jc w:val="center"/>
              <w:rPr>
                <w:szCs w:val="21"/>
              </w:rPr>
            </w:pPr>
            <w:r>
              <w:rPr>
                <w:szCs w:val="21"/>
              </w:rPr>
              <w:t>CH</w:t>
            </w:r>
            <w:r>
              <w:rPr>
                <w:szCs w:val="21"/>
                <w:vertAlign w:val="subscript"/>
              </w:rPr>
              <w:t>4</w:t>
            </w:r>
          </w:p>
        </w:tc>
        <w:tc>
          <w:tcPr>
            <w:tcW w:w="1743" w:type="dxa"/>
            <w:tcBorders>
              <w:top w:val="single" w:color="auto" w:sz="4" w:space="0"/>
              <w:left w:val="single" w:color="auto" w:sz="4" w:space="0"/>
              <w:right w:val="single" w:color="auto" w:sz="4" w:space="0"/>
            </w:tcBorders>
            <w:vAlign w:val="center"/>
          </w:tcPr>
          <w:p>
            <w:pPr>
              <w:spacing w:line="360" w:lineRule="auto"/>
              <w:jc w:val="center"/>
              <w:rPr>
                <w:szCs w:val="21"/>
              </w:rPr>
            </w:pPr>
            <w:r>
              <w:rPr>
                <w:szCs w:val="21"/>
              </w:rPr>
              <w:t>28</w:t>
            </w:r>
          </w:p>
        </w:tc>
        <w:tc>
          <w:tcPr>
            <w:tcW w:w="1591" w:type="dxa"/>
            <w:vMerge w:val="continue"/>
            <w:tcBorders>
              <w:left w:val="single" w:color="auto" w:sz="4" w:space="0"/>
              <w:tl2br w:val="nil"/>
              <w:tr2bl w:val="nil"/>
            </w:tcBorders>
          </w:tcPr>
          <w:p>
            <w:pPr>
              <w:spacing w:line="360" w:lineRule="auto"/>
              <w:jc w:val="center"/>
              <w:rPr>
                <w:szCs w:val="21"/>
              </w:rPr>
            </w:pPr>
          </w:p>
        </w:tc>
      </w:tr>
    </w:tbl>
    <w:p>
      <w:pPr>
        <w:numPr>
          <w:ilvl w:val="1"/>
          <w:numId w:val="0"/>
        </w:numPr>
        <w:spacing w:before="156" w:beforeLines="50" w:after="156" w:afterLines="50"/>
        <w:rPr>
          <w:rFonts w:ascii="黑体" w:hAnsi="黑体" w:eastAsia="黑体"/>
          <w:kern w:val="0"/>
          <w:szCs w:val="21"/>
        </w:rPr>
      </w:pPr>
      <w:r>
        <w:rPr>
          <w:rFonts w:ascii="黑体" w:hAnsi="黑体" w:eastAsia="黑体"/>
          <w:kern w:val="0"/>
          <w:szCs w:val="21"/>
        </w:rPr>
        <w:t xml:space="preserve">B.4.4 </w:t>
      </w:r>
      <w:r>
        <w:rPr>
          <w:rFonts w:hint="eastAsia" w:ascii="黑体" w:hAnsi="黑体" w:eastAsia="黑体"/>
          <w:kern w:val="0"/>
          <w:szCs w:val="21"/>
        </w:rPr>
        <w:t>计算方法</w:t>
      </w:r>
    </w:p>
    <w:p>
      <w:pPr>
        <w:numPr>
          <w:ilvl w:val="1"/>
          <w:numId w:val="0"/>
        </w:numPr>
        <w:spacing w:before="156" w:beforeLines="50" w:after="156" w:afterLines="50"/>
        <w:ind w:firstLine="420"/>
        <w:rPr>
          <w:rFonts w:ascii="宋体e眠副浡渀." w:eastAsia="宋体e眠副浡渀." w:cs="宋体e眠副浡渀."/>
          <w:color w:val="000000"/>
          <w:kern w:val="0"/>
          <w:szCs w:val="21"/>
        </w:rPr>
      </w:pPr>
      <w:r>
        <w:rPr>
          <w:rFonts w:hint="eastAsia" w:ascii="宋体e眠副浡渀." w:eastAsia="宋体e眠副浡渀." w:cs="宋体e眠副浡渀."/>
          <w:color w:val="000000"/>
          <w:kern w:val="0"/>
          <w:szCs w:val="21"/>
        </w:rPr>
        <w:t>影响评价结果计算方法见公式</w:t>
      </w:r>
      <w:r>
        <w:rPr>
          <w:rFonts w:eastAsia="宋体e眠副浡渀."/>
          <w:color w:val="000000"/>
          <w:kern w:val="0"/>
          <w:szCs w:val="21"/>
        </w:rPr>
        <w:t>B.1</w:t>
      </w:r>
      <w:r>
        <w:rPr>
          <w:rFonts w:hint="eastAsia" w:ascii="宋体e眠副浡渀." w:eastAsia="宋体e眠副浡渀." w:cs="宋体e眠副浡渀."/>
          <w:color w:val="000000"/>
          <w:kern w:val="0"/>
          <w:szCs w:val="21"/>
        </w:rPr>
        <w:t>。</w:t>
      </w:r>
    </w:p>
    <w:p>
      <w:pPr>
        <w:numPr>
          <w:ilvl w:val="1"/>
          <w:numId w:val="0"/>
        </w:numPr>
        <w:spacing w:before="312" w:beforeLines="100" w:after="156" w:afterLines="50"/>
        <w:ind w:firstLine="420"/>
        <w:jc w:val="center"/>
        <w:rPr>
          <w:rFonts w:eastAsia="黑体"/>
          <w:szCs w:val="21"/>
        </w:rPr>
      </w:pPr>
      <m:oMath>
        <m:r>
          <w:rPr>
            <w:rFonts w:ascii="Cambria Math" w:hAnsi="Cambria Math" w:eastAsia="黑体"/>
            <w:szCs w:val="21"/>
          </w:rPr>
          <m:t>E</m:t>
        </m:r>
        <m:sSub>
          <m:sSubPr>
            <m:ctrlPr>
              <w:rPr>
                <w:rFonts w:ascii="Cambria Math" w:hAnsi="Cambria Math" w:eastAsia="黑体"/>
                <w:szCs w:val="21"/>
              </w:rPr>
            </m:ctrlPr>
          </m:sSubPr>
          <m:e>
            <m:r>
              <w:rPr>
                <w:rFonts w:ascii="Cambria Math" w:hAnsi="Cambria Math" w:eastAsia="黑体"/>
                <w:szCs w:val="21"/>
              </w:rPr>
              <m:t>P</m:t>
            </m:r>
            <m:ctrlPr>
              <w:rPr>
                <w:rFonts w:ascii="Cambria Math" w:hAnsi="Cambria Math" w:eastAsia="黑体"/>
                <w:szCs w:val="21"/>
              </w:rPr>
            </m:ctrlPr>
          </m:e>
          <m:sub>
            <m:r>
              <w:rPr>
                <w:rFonts w:ascii="Cambria Math" w:hAnsi="Cambria Math" w:eastAsia="黑体"/>
                <w:szCs w:val="21"/>
              </w:rPr>
              <m:t>i</m:t>
            </m:r>
            <m:ctrlPr>
              <w:rPr>
                <w:rFonts w:ascii="Cambria Math" w:hAnsi="Cambria Math" w:eastAsia="黑体"/>
                <w:szCs w:val="21"/>
              </w:rPr>
            </m:ctrlPr>
          </m:sub>
        </m:sSub>
      </m:oMath>
      <w:r>
        <w:rPr>
          <w:rFonts w:hint="eastAsia" w:eastAsia="黑体"/>
          <w:szCs w:val="21"/>
        </w:rPr>
        <w:t>=</w:t>
      </w:r>
      <m:oMath>
        <m:nary>
          <m:naryPr>
            <m:chr m:val="∑"/>
            <m:limLoc m:val="undOvr"/>
            <m:subHide m:val="1"/>
            <m:supHide m:val="1"/>
            <m:ctrlPr>
              <w:rPr>
                <w:rFonts w:ascii="Cambria Math" w:hAnsi="Cambria Math" w:eastAsia="黑体"/>
                <w:szCs w:val="21"/>
              </w:rPr>
            </m:ctrlPr>
          </m:naryPr>
          <m:sub>
            <m:ctrlPr>
              <w:rPr>
                <w:rFonts w:ascii="Cambria Math" w:hAnsi="Cambria Math" w:eastAsia="黑体"/>
                <w:szCs w:val="21"/>
              </w:rPr>
            </m:ctrlPr>
          </m:sub>
          <m:sup>
            <m:ctrlPr>
              <w:rPr>
                <w:rFonts w:ascii="Cambria Math" w:hAnsi="Cambria Math" w:eastAsia="黑体"/>
                <w:szCs w:val="21"/>
              </w:rPr>
            </m:ctrlPr>
          </m:sup>
          <m:e>
            <m:r>
              <w:rPr>
                <w:rFonts w:ascii="Cambria Math" w:hAnsi="Cambria Math" w:eastAsia="黑体"/>
                <w:szCs w:val="21"/>
              </w:rPr>
              <m:t>E</m:t>
            </m:r>
            <m:sSub>
              <m:sSubPr>
                <m:ctrlPr>
                  <w:rPr>
                    <w:rFonts w:ascii="Cambria Math" w:hAnsi="Cambria Math" w:eastAsia="黑体"/>
                    <w:i/>
                    <w:szCs w:val="21"/>
                  </w:rPr>
                </m:ctrlPr>
              </m:sSubPr>
              <m:e>
                <m:r>
                  <w:rPr>
                    <w:rFonts w:ascii="Cambria Math" w:hAnsi="Cambria Math" w:eastAsia="黑体"/>
                    <w:szCs w:val="21"/>
                  </w:rPr>
                  <m:t>P</m:t>
                </m:r>
                <m:ctrlPr>
                  <w:rPr>
                    <w:rFonts w:ascii="Cambria Math" w:hAnsi="Cambria Math" w:eastAsia="黑体"/>
                    <w:i/>
                    <w:szCs w:val="21"/>
                  </w:rPr>
                </m:ctrlPr>
              </m:e>
              <m:sub>
                <m:r>
                  <w:rPr>
                    <w:rFonts w:ascii="Cambria Math" w:hAnsi="Cambria Math" w:eastAsia="黑体"/>
                    <w:szCs w:val="21"/>
                  </w:rPr>
                  <m:t>i</m:t>
                </m:r>
                <m:ctrlPr>
                  <w:rPr>
                    <w:rFonts w:ascii="Cambria Math" w:hAnsi="Cambria Math" w:eastAsia="黑体"/>
                    <w:i/>
                    <w:szCs w:val="21"/>
                  </w:rPr>
                </m:ctrlPr>
              </m:sub>
            </m:sSub>
            <m:ctrlPr>
              <w:rPr>
                <w:rFonts w:ascii="Cambria Math" w:hAnsi="Cambria Math" w:eastAsia="黑体"/>
                <w:szCs w:val="21"/>
              </w:rPr>
            </m:ctrlPr>
          </m:e>
        </m:nary>
      </m:oMath>
      <w:r>
        <w:rPr>
          <w:rFonts w:hint="eastAsia" w:eastAsia="黑体"/>
          <w:szCs w:val="21"/>
        </w:rPr>
        <w:t>=</w:t>
      </w:r>
      <m:oMath>
        <m:nary>
          <m:naryPr>
            <m:chr m:val="∑"/>
            <m:limLoc m:val="undOvr"/>
            <m:subHide m:val="1"/>
            <m:supHide m:val="1"/>
            <m:ctrlPr>
              <w:rPr>
                <w:rFonts w:ascii="Cambria Math" w:hAnsi="Cambria Math" w:eastAsia="黑体"/>
                <w:szCs w:val="21"/>
              </w:rPr>
            </m:ctrlPr>
          </m:naryPr>
          <m:sub>
            <m:ctrlPr>
              <w:rPr>
                <w:rFonts w:ascii="Cambria Math" w:hAnsi="Cambria Math" w:eastAsia="黑体"/>
                <w:szCs w:val="21"/>
              </w:rPr>
            </m:ctrlPr>
          </m:sub>
          <m:sup>
            <m:ctrlPr>
              <w:rPr>
                <w:rFonts w:ascii="Cambria Math" w:hAnsi="Cambria Math" w:eastAsia="黑体"/>
                <w:szCs w:val="21"/>
              </w:rPr>
            </m:ctrlPr>
          </m:sup>
          <m:e>
            <m:sSub>
              <m:sSubPr>
                <m:ctrlPr>
                  <w:rPr>
                    <w:rFonts w:ascii="Cambria Math" w:hAnsi="Cambria Math" w:eastAsia="黑体"/>
                    <w:i/>
                    <w:szCs w:val="21"/>
                  </w:rPr>
                </m:ctrlPr>
              </m:sSubPr>
              <m:e>
                <m:r>
                  <w:rPr>
                    <w:rFonts w:ascii="Cambria Math" w:hAnsi="Cambria Math" w:eastAsia="黑体"/>
                    <w:szCs w:val="21"/>
                  </w:rPr>
                  <m:t>Q</m:t>
                </m:r>
                <m:ctrlPr>
                  <w:rPr>
                    <w:rFonts w:ascii="Cambria Math" w:hAnsi="Cambria Math" w:eastAsia="黑体"/>
                    <w:i/>
                    <w:szCs w:val="21"/>
                  </w:rPr>
                </m:ctrlPr>
              </m:e>
              <m:sub>
                <m:r>
                  <w:rPr>
                    <w:rFonts w:ascii="Cambria Math" w:hAnsi="Cambria Math" w:eastAsia="黑体"/>
                    <w:szCs w:val="21"/>
                  </w:rPr>
                  <m:t>j</m:t>
                </m:r>
                <m:ctrlPr>
                  <w:rPr>
                    <w:rFonts w:ascii="Cambria Math" w:hAnsi="Cambria Math" w:eastAsia="黑体"/>
                    <w:i/>
                    <w:szCs w:val="21"/>
                  </w:rPr>
                </m:ctrlPr>
              </m:sub>
            </m:sSub>
            <m:ctrlPr>
              <w:rPr>
                <w:rFonts w:ascii="Cambria Math" w:hAnsi="Cambria Math" w:eastAsia="黑体"/>
                <w:szCs w:val="21"/>
              </w:rPr>
            </m:ctrlPr>
          </m:e>
        </m:nary>
        <m:r>
          <w:rPr>
            <w:rFonts w:ascii="Cambria Math" w:hAnsi="Cambria Math" w:eastAsia="黑体"/>
            <w:szCs w:val="21"/>
          </w:rPr>
          <m:t>×</m:t>
        </m:r>
        <m:sSub>
          <m:sSubPr>
            <m:ctrlPr>
              <w:rPr>
                <w:rFonts w:ascii="Cambria Math" w:hAnsi="Cambria Math" w:eastAsia="黑体"/>
                <w:i/>
                <w:szCs w:val="21"/>
              </w:rPr>
            </m:ctrlPr>
          </m:sSubPr>
          <m:e>
            <m:r>
              <w:rPr>
                <w:rFonts w:ascii="Cambria Math" w:hAnsi="Cambria Math" w:eastAsia="黑体"/>
                <w:szCs w:val="21"/>
              </w:rPr>
              <m:t>EF</m:t>
            </m:r>
            <m:ctrlPr>
              <w:rPr>
                <w:rFonts w:ascii="Cambria Math" w:hAnsi="Cambria Math" w:eastAsia="黑体"/>
                <w:i/>
                <w:szCs w:val="21"/>
              </w:rPr>
            </m:ctrlPr>
          </m:e>
          <m:sub>
            <m:r>
              <w:rPr>
                <w:rFonts w:ascii="Cambria Math" w:hAnsi="Cambria Math" w:eastAsia="黑体"/>
                <w:szCs w:val="21"/>
              </w:rPr>
              <m:t>ij</m:t>
            </m:r>
            <m:ctrlPr>
              <w:rPr>
                <w:rFonts w:ascii="Cambria Math" w:hAnsi="Cambria Math" w:eastAsia="黑体"/>
                <w:i/>
                <w:szCs w:val="21"/>
              </w:rPr>
            </m:ctrlPr>
          </m:sub>
        </m:sSub>
      </m:oMath>
      <w:r>
        <w:rPr>
          <w:rFonts w:hint="eastAsia" w:eastAsia="黑体"/>
          <w:szCs w:val="21"/>
        </w:rPr>
        <w:t xml:space="preserve">    （B.1）</w:t>
      </w:r>
    </w:p>
    <w:p>
      <w:pPr>
        <w:autoSpaceDE w:val="0"/>
        <w:autoSpaceDN w:val="0"/>
        <w:adjustRightInd w:val="0"/>
        <w:spacing w:before="312" w:beforeLines="100"/>
        <w:ind w:firstLine="420" w:firstLineChars="200"/>
        <w:rPr>
          <w:rFonts w:ascii="宋体ê...." w:eastAsia="宋体ê...." w:cs="宋体ê...."/>
          <w:color w:val="000000"/>
          <w:kern w:val="0"/>
          <w:szCs w:val="21"/>
        </w:rPr>
      </w:pPr>
      <w:r>
        <w:rPr>
          <w:rFonts w:hint="eastAsia" w:ascii="宋体ê...." w:eastAsia="宋体ê...." w:cs="宋体ê...."/>
          <w:color w:val="000000"/>
          <w:kern w:val="0"/>
          <w:szCs w:val="21"/>
        </w:rPr>
        <w:t>式中：</w:t>
      </w:r>
      <w:r>
        <w:rPr>
          <w:rFonts w:ascii="宋体ê...." w:eastAsia="宋体ê...." w:cs="宋体ê...."/>
          <w:color w:val="000000"/>
          <w:kern w:val="0"/>
          <w:szCs w:val="21"/>
        </w:rPr>
        <w:t xml:space="preserve"> </w:t>
      </w:r>
    </w:p>
    <w:p>
      <w:pPr>
        <w:autoSpaceDE w:val="0"/>
        <w:autoSpaceDN w:val="0"/>
        <w:adjustRightInd w:val="0"/>
        <w:ind w:firstLine="420" w:firstLineChars="200"/>
        <w:rPr>
          <w:rFonts w:eastAsia="宋体ê...."/>
          <w:color w:val="000000"/>
          <w:kern w:val="0"/>
          <w:szCs w:val="21"/>
        </w:rPr>
      </w:pPr>
      <w:r>
        <w:rPr>
          <w:rFonts w:eastAsia="宋体ê...."/>
          <w:i/>
          <w:iCs/>
          <w:color w:val="000000"/>
          <w:kern w:val="0"/>
          <w:szCs w:val="21"/>
        </w:rPr>
        <w:t>E</w:t>
      </w:r>
      <w:r>
        <w:rPr>
          <w:rFonts w:hint="eastAsia" w:eastAsia="宋体ê...."/>
          <w:i/>
          <w:iCs/>
          <w:color w:val="000000"/>
          <w:kern w:val="0"/>
          <w:szCs w:val="21"/>
        </w:rPr>
        <w:t>P</w:t>
      </w:r>
      <w:r>
        <w:rPr>
          <w:rFonts w:eastAsia="宋体ê...."/>
          <w:i/>
          <w:iCs/>
          <w:color w:val="000000"/>
          <w:kern w:val="0"/>
          <w:sz w:val="14"/>
          <w:szCs w:val="14"/>
        </w:rPr>
        <w:t xml:space="preserve">i </w:t>
      </w:r>
      <w:r>
        <w:rPr>
          <w:rFonts w:eastAsia="宋体ê...."/>
          <w:color w:val="000000"/>
          <w:kern w:val="0"/>
          <w:szCs w:val="21"/>
        </w:rPr>
        <w:t xml:space="preserve">—— 第i种影响类型特征化值； </w:t>
      </w:r>
    </w:p>
    <w:p>
      <w:pPr>
        <w:autoSpaceDE w:val="0"/>
        <w:autoSpaceDN w:val="0"/>
        <w:adjustRightInd w:val="0"/>
        <w:ind w:firstLine="420" w:firstLineChars="200"/>
        <w:rPr>
          <w:rFonts w:eastAsia="宋体ê...."/>
          <w:color w:val="000000"/>
          <w:kern w:val="0"/>
          <w:szCs w:val="21"/>
        </w:rPr>
      </w:pPr>
      <w:r>
        <w:rPr>
          <w:rFonts w:eastAsia="宋体ê...."/>
          <w:i/>
          <w:iCs/>
          <w:color w:val="000000"/>
          <w:kern w:val="0"/>
          <w:szCs w:val="21"/>
        </w:rPr>
        <w:t>EP</w:t>
      </w:r>
      <w:r>
        <w:rPr>
          <w:rFonts w:eastAsia="宋体ê...."/>
          <w:i/>
          <w:iCs/>
          <w:color w:val="000000"/>
          <w:kern w:val="0"/>
          <w:sz w:val="14"/>
          <w:szCs w:val="14"/>
        </w:rPr>
        <w:t xml:space="preserve">ij </w:t>
      </w:r>
      <w:r>
        <w:rPr>
          <w:rFonts w:eastAsia="宋体ê...."/>
          <w:color w:val="000000"/>
          <w:kern w:val="0"/>
          <w:szCs w:val="21"/>
        </w:rPr>
        <w:t xml:space="preserve">—— 第i种影响类别中第j种清单因子的贡献； </w:t>
      </w:r>
    </w:p>
    <w:p>
      <w:pPr>
        <w:autoSpaceDE w:val="0"/>
        <w:autoSpaceDN w:val="0"/>
        <w:adjustRightInd w:val="0"/>
        <w:ind w:firstLine="420" w:firstLineChars="200"/>
        <w:rPr>
          <w:rFonts w:eastAsia="宋体ê...."/>
          <w:color w:val="000000"/>
          <w:kern w:val="0"/>
          <w:szCs w:val="21"/>
        </w:rPr>
      </w:pPr>
      <w:r>
        <w:rPr>
          <w:rFonts w:eastAsia="宋体ê...."/>
          <w:i/>
          <w:iCs/>
          <w:color w:val="000000"/>
          <w:kern w:val="0"/>
          <w:szCs w:val="21"/>
        </w:rPr>
        <w:t>Q</w:t>
      </w:r>
      <w:r>
        <w:rPr>
          <w:rFonts w:eastAsia="宋体ê...."/>
          <w:i/>
          <w:iCs/>
          <w:color w:val="000000"/>
          <w:kern w:val="0"/>
          <w:sz w:val="14"/>
          <w:szCs w:val="14"/>
        </w:rPr>
        <w:t>j</w:t>
      </w:r>
      <w:r>
        <w:rPr>
          <w:rFonts w:hint="eastAsia" w:eastAsia="宋体ê...."/>
          <w:i/>
          <w:iCs/>
          <w:color w:val="000000"/>
          <w:kern w:val="0"/>
          <w:sz w:val="14"/>
          <w:szCs w:val="14"/>
        </w:rPr>
        <w:t xml:space="preserve">   </w:t>
      </w:r>
      <w:r>
        <w:rPr>
          <w:rFonts w:eastAsia="宋体ê...."/>
          <w:i/>
          <w:iCs/>
          <w:color w:val="000000"/>
          <w:kern w:val="0"/>
          <w:sz w:val="14"/>
          <w:szCs w:val="14"/>
        </w:rPr>
        <w:t xml:space="preserve"> </w:t>
      </w:r>
      <w:r>
        <w:rPr>
          <w:rFonts w:eastAsia="宋体ê...."/>
          <w:color w:val="000000"/>
          <w:kern w:val="0"/>
          <w:szCs w:val="21"/>
        </w:rPr>
        <w:t xml:space="preserve">——第j种清单因子的排放量； </w:t>
      </w:r>
    </w:p>
    <w:p>
      <w:pPr>
        <w:autoSpaceDE w:val="0"/>
        <w:autoSpaceDN w:val="0"/>
        <w:adjustRightInd w:val="0"/>
        <w:ind w:firstLine="420" w:firstLineChars="200"/>
        <w:rPr>
          <w:rFonts w:eastAsia="宋体ê...."/>
          <w:color w:val="000000"/>
          <w:kern w:val="0"/>
          <w:szCs w:val="21"/>
        </w:rPr>
      </w:pPr>
      <w:r>
        <w:rPr>
          <w:rFonts w:eastAsia="宋体ê...."/>
          <w:i/>
          <w:color w:val="000000"/>
          <w:kern w:val="0"/>
          <w:szCs w:val="21"/>
        </w:rPr>
        <w:t>EF</w:t>
      </w:r>
      <w:r>
        <w:rPr>
          <w:rFonts w:eastAsia="宋体ê...."/>
          <w:i/>
          <w:color w:val="000000"/>
          <w:kern w:val="0"/>
          <w:szCs w:val="21"/>
          <w:vertAlign w:val="subscript"/>
        </w:rPr>
        <w:t>ij</w:t>
      </w:r>
      <w:r>
        <w:rPr>
          <w:rFonts w:hint="eastAsia" w:eastAsia="宋体ê...."/>
          <w:i/>
          <w:color w:val="000000"/>
          <w:kern w:val="0"/>
          <w:szCs w:val="21"/>
          <w:vertAlign w:val="subscript"/>
        </w:rPr>
        <w:t xml:space="preserve">  </w:t>
      </w:r>
      <w:r>
        <w:rPr>
          <w:rFonts w:eastAsia="宋体ê...."/>
          <w:color w:val="000000"/>
          <w:kern w:val="0"/>
          <w:szCs w:val="21"/>
        </w:rPr>
        <w:t>——第i种影响类型中第j种清单因子的特征化因子。</w:t>
      </w:r>
    </w:p>
    <w:p>
      <w:pPr>
        <w:numPr>
          <w:ilvl w:val="1"/>
          <w:numId w:val="0"/>
        </w:numPr>
        <w:rPr>
          <w:rFonts w:ascii="黑体" w:hAnsi="黑体" w:eastAsia="黑体"/>
          <w:kern w:val="0"/>
          <w:szCs w:val="21"/>
        </w:rPr>
      </w:pPr>
    </w:p>
    <w:p>
      <w:pPr>
        <w:numPr>
          <w:ilvl w:val="1"/>
          <w:numId w:val="0"/>
        </w:numPr>
        <w:rPr>
          <w:rFonts w:ascii="黑体" w:hAnsi="黑体" w:eastAsia="黑体"/>
          <w:kern w:val="0"/>
          <w:szCs w:val="21"/>
        </w:rPr>
      </w:pPr>
    </w:p>
    <w:p>
      <w:pPr>
        <w:numPr>
          <w:ilvl w:val="1"/>
          <w:numId w:val="0"/>
        </w:numPr>
        <w:rPr>
          <w:rFonts w:ascii="黑体" w:hAnsi="黑体" w:eastAsia="黑体"/>
          <w:kern w:val="0"/>
          <w:szCs w:val="21"/>
        </w:rPr>
      </w:pPr>
    </w:p>
    <w:p>
      <w:pPr>
        <w:numPr>
          <w:ilvl w:val="1"/>
          <w:numId w:val="0"/>
        </w:numPr>
        <w:rPr>
          <w:rFonts w:ascii="黑体" w:hAnsi="黑体" w:eastAsia="黑体"/>
          <w:kern w:val="0"/>
          <w:szCs w:val="21"/>
        </w:rPr>
      </w:pPr>
    </w:p>
    <w:p>
      <w:pPr>
        <w:numPr>
          <w:ilvl w:val="1"/>
          <w:numId w:val="0"/>
        </w:numPr>
        <w:rPr>
          <w:rFonts w:ascii="黑体" w:hAnsi="黑体" w:eastAsia="黑体"/>
          <w:kern w:val="0"/>
          <w:szCs w:val="21"/>
        </w:rPr>
      </w:pPr>
      <w:r>
        <w:rPr>
          <w:rFonts w:hint="eastAsia" w:ascii="黑体" w:hAnsi="黑体" w:eastAsia="黑体"/>
          <w:kern w:val="0"/>
          <w:szCs w:val="21"/>
        </w:rPr>
        <w:t>B.</w:t>
      </w:r>
      <w:r>
        <w:rPr>
          <w:rFonts w:ascii="黑体" w:hAnsi="黑体" w:eastAsia="黑体"/>
          <w:kern w:val="0"/>
          <w:szCs w:val="21"/>
        </w:rPr>
        <w:t>5</w:t>
      </w:r>
      <w:r>
        <w:rPr>
          <w:rFonts w:hint="eastAsia" w:ascii="黑体" w:hAnsi="黑体" w:eastAsia="黑体"/>
          <w:kern w:val="0"/>
          <w:szCs w:val="21"/>
        </w:rPr>
        <w:t xml:space="preserve"> 解释</w:t>
      </w:r>
    </w:p>
    <w:p>
      <w:pPr>
        <w:numPr>
          <w:ilvl w:val="1"/>
          <w:numId w:val="0"/>
        </w:numPr>
        <w:spacing w:before="156" w:beforeLines="50" w:after="156" w:afterLines="50"/>
        <w:rPr>
          <w:rFonts w:ascii="黑体" w:hAnsi="黑体" w:eastAsia="黑体"/>
          <w:kern w:val="0"/>
          <w:szCs w:val="21"/>
        </w:rPr>
      </w:pPr>
      <w:r>
        <w:rPr>
          <w:rFonts w:hint="eastAsia" w:ascii="黑体" w:hAnsi="黑体" w:eastAsia="黑体"/>
          <w:kern w:val="0"/>
          <w:szCs w:val="21"/>
        </w:rPr>
        <w:t>B.5.1 总则</w:t>
      </w:r>
    </w:p>
    <w:p>
      <w:pPr>
        <w:numPr>
          <w:ilvl w:val="1"/>
          <w:numId w:val="0"/>
        </w:numPr>
        <w:spacing w:before="156" w:beforeLines="50" w:after="156" w:afterLines="50"/>
        <w:ind w:firstLine="420"/>
      </w:pPr>
      <w:r>
        <w:rPr>
          <w:rFonts w:hint="eastAsia"/>
        </w:rPr>
        <w:t>解释</w:t>
      </w:r>
      <w:r>
        <w:t>阶段包括评价</w:t>
      </w:r>
      <w:r>
        <w:rPr>
          <w:rFonts w:hint="eastAsia"/>
        </w:rPr>
        <w:t>刚性导电汇流排铝型材</w:t>
      </w:r>
      <w:r>
        <w:t>产品生命周期模型的稳健性、识别热</w:t>
      </w:r>
      <w:r>
        <w:rPr>
          <w:rFonts w:hint="eastAsia"/>
        </w:rPr>
        <w:t>点</w:t>
      </w:r>
      <w:r>
        <w:t>问题与确定改进方案，以及结论、建议和限制。</w:t>
      </w:r>
    </w:p>
    <w:p>
      <w:pPr>
        <w:numPr>
          <w:ilvl w:val="1"/>
          <w:numId w:val="0"/>
        </w:numPr>
        <w:spacing w:before="156" w:beforeLines="50" w:after="156" w:afterLines="50"/>
        <w:rPr>
          <w:rFonts w:ascii="黑体" w:hAnsi="黑体" w:eastAsia="黑体"/>
          <w:kern w:val="0"/>
          <w:szCs w:val="21"/>
        </w:rPr>
      </w:pPr>
      <w:r>
        <w:rPr>
          <w:rFonts w:hint="eastAsia" w:ascii="黑体" w:hAnsi="黑体" w:eastAsia="黑体"/>
          <w:kern w:val="0"/>
          <w:szCs w:val="21"/>
        </w:rPr>
        <w:t>B.5.2生命</w:t>
      </w:r>
      <w:r>
        <w:rPr>
          <w:rFonts w:ascii="黑体" w:hAnsi="黑体" w:eastAsia="黑体"/>
          <w:kern w:val="0"/>
          <w:szCs w:val="21"/>
        </w:rPr>
        <w:t>周期模型的稳健性评价</w:t>
      </w:r>
    </w:p>
    <w:p>
      <w:pPr>
        <w:numPr>
          <w:ilvl w:val="1"/>
          <w:numId w:val="0"/>
        </w:numPr>
        <w:spacing w:before="156" w:beforeLines="50"/>
        <w:ind w:firstLine="420"/>
      </w:pPr>
      <w:r>
        <w:rPr>
          <w:rFonts w:hint="eastAsia"/>
        </w:rPr>
        <w:t>刚性导电汇流排铝型材产品</w:t>
      </w:r>
      <w:r>
        <w:t>的生命周期模型的稳健性评价用于评价系统边界、数据来源、分配选择和生命周期</w:t>
      </w:r>
      <w:r>
        <w:rPr>
          <w:rFonts w:hint="eastAsia"/>
        </w:rPr>
        <w:t>影响</w:t>
      </w:r>
      <w:r>
        <w:t>类型等方法选择对结果的影响程度。</w:t>
      </w:r>
    </w:p>
    <w:p>
      <w:pPr>
        <w:numPr>
          <w:ilvl w:val="1"/>
          <w:numId w:val="0"/>
        </w:numPr>
        <w:ind w:firstLine="420"/>
      </w:pPr>
      <w:r>
        <w:rPr>
          <w:rFonts w:hint="eastAsia"/>
        </w:rPr>
        <w:t>宜</w:t>
      </w:r>
      <w:r>
        <w:t>用于评价</w:t>
      </w:r>
      <w:r>
        <w:rPr>
          <w:rFonts w:hint="eastAsia"/>
        </w:rPr>
        <w:t>刚性导电汇流排铝型材产品</w:t>
      </w:r>
      <w:r>
        <w:t>生命周期模型的工具包括：</w:t>
      </w:r>
    </w:p>
    <w:p>
      <w:pPr>
        <w:numPr>
          <w:ilvl w:val="1"/>
          <w:numId w:val="0"/>
        </w:numPr>
        <w:ind w:firstLine="420"/>
        <w:rPr>
          <w:kern w:val="0"/>
          <w:szCs w:val="21"/>
        </w:rPr>
      </w:pPr>
      <w:r>
        <w:rPr>
          <w:rFonts w:hint="eastAsia"/>
          <w:kern w:val="0"/>
          <w:szCs w:val="21"/>
        </w:rPr>
        <w:t>a) 完整性检查</w:t>
      </w:r>
      <w:r>
        <w:rPr>
          <w:kern w:val="0"/>
          <w:szCs w:val="21"/>
        </w:rPr>
        <w:t>：评价数据清单，以确保</w:t>
      </w:r>
      <w:r>
        <w:rPr>
          <w:rFonts w:hint="eastAsia"/>
          <w:kern w:val="0"/>
          <w:szCs w:val="21"/>
        </w:rPr>
        <w:t>其</w:t>
      </w:r>
      <w:r>
        <w:rPr>
          <w:kern w:val="0"/>
          <w:szCs w:val="21"/>
        </w:rPr>
        <w:t>相对于确定的目标、范围、系统边界和质量准则完整。这</w:t>
      </w:r>
      <w:r>
        <w:rPr>
          <w:rFonts w:hint="eastAsia"/>
          <w:kern w:val="0"/>
          <w:szCs w:val="21"/>
        </w:rPr>
        <w:t>包括</w:t>
      </w:r>
      <w:r>
        <w:rPr>
          <w:kern w:val="0"/>
          <w:szCs w:val="21"/>
        </w:rPr>
        <w:t>过程范围的完整性（</w:t>
      </w:r>
      <w:r>
        <w:rPr>
          <w:rFonts w:hint="eastAsia"/>
          <w:kern w:val="0"/>
          <w:szCs w:val="21"/>
        </w:rPr>
        <w:t>即</w:t>
      </w:r>
      <w:r>
        <w:rPr>
          <w:kern w:val="0"/>
          <w:szCs w:val="21"/>
        </w:rPr>
        <w:t>包含</w:t>
      </w:r>
      <w:r>
        <w:rPr>
          <w:rFonts w:hint="eastAsia"/>
          <w:kern w:val="0"/>
          <w:szCs w:val="21"/>
        </w:rPr>
        <w:t>了</w:t>
      </w:r>
      <w:r>
        <w:rPr>
          <w:kern w:val="0"/>
          <w:szCs w:val="21"/>
        </w:rPr>
        <w:t>所考虑的各供应链阶段的所有过程）</w:t>
      </w:r>
      <w:r>
        <w:rPr>
          <w:rFonts w:hint="eastAsia"/>
          <w:kern w:val="0"/>
          <w:szCs w:val="21"/>
        </w:rPr>
        <w:t>和</w:t>
      </w:r>
      <w:r>
        <w:rPr>
          <w:kern w:val="0"/>
          <w:szCs w:val="21"/>
        </w:rPr>
        <w:t>输入</w:t>
      </w:r>
      <w:r>
        <w:rPr>
          <w:rFonts w:hint="eastAsia"/>
          <w:kern w:val="0"/>
          <w:szCs w:val="21"/>
        </w:rPr>
        <w:t>/输出</w:t>
      </w:r>
      <w:r>
        <w:rPr>
          <w:kern w:val="0"/>
          <w:szCs w:val="21"/>
        </w:rPr>
        <w:t>范围（</w:t>
      </w:r>
      <w:r>
        <w:rPr>
          <w:rFonts w:hint="eastAsia"/>
          <w:kern w:val="0"/>
          <w:szCs w:val="21"/>
        </w:rPr>
        <w:t>即</w:t>
      </w:r>
      <w:r>
        <w:rPr>
          <w:kern w:val="0"/>
          <w:szCs w:val="21"/>
        </w:rPr>
        <w:t>包含了与各过程相关的所有材料或能量输入以及排放量）；</w:t>
      </w:r>
    </w:p>
    <w:p>
      <w:pPr>
        <w:numPr>
          <w:ilvl w:val="1"/>
          <w:numId w:val="0"/>
        </w:numPr>
        <w:ind w:firstLine="420"/>
        <w:rPr>
          <w:kern w:val="0"/>
          <w:szCs w:val="21"/>
        </w:rPr>
      </w:pPr>
      <w:r>
        <w:rPr>
          <w:rFonts w:hint="eastAsia"/>
          <w:kern w:val="0"/>
          <w:szCs w:val="21"/>
        </w:rPr>
        <w:t>b) 敏感性检测</w:t>
      </w:r>
      <w:r>
        <w:rPr>
          <w:kern w:val="0"/>
          <w:szCs w:val="21"/>
        </w:rPr>
        <w:t>：</w:t>
      </w:r>
      <w:r>
        <w:rPr>
          <w:rFonts w:hint="eastAsia"/>
          <w:kern w:val="0"/>
          <w:szCs w:val="21"/>
        </w:rPr>
        <w:t>通过</w:t>
      </w:r>
      <w:r>
        <w:rPr>
          <w:kern w:val="0"/>
          <w:szCs w:val="21"/>
        </w:rPr>
        <w:t>确定最终结果和结论是如何到数据、分配方法或类型参数等的不确定性的影响，来评价</w:t>
      </w:r>
      <w:r>
        <w:rPr>
          <w:rFonts w:hint="eastAsia"/>
          <w:kern w:val="0"/>
          <w:szCs w:val="21"/>
        </w:rPr>
        <w:t>其</w:t>
      </w:r>
      <w:r>
        <w:rPr>
          <w:kern w:val="0"/>
          <w:szCs w:val="21"/>
        </w:rPr>
        <w:t>可靠性；</w:t>
      </w:r>
    </w:p>
    <w:p>
      <w:pPr>
        <w:numPr>
          <w:ilvl w:val="1"/>
          <w:numId w:val="0"/>
        </w:numPr>
        <w:ind w:firstLine="420"/>
        <w:rPr>
          <w:kern w:val="0"/>
          <w:szCs w:val="21"/>
        </w:rPr>
      </w:pPr>
      <w:r>
        <w:rPr>
          <w:rFonts w:hint="eastAsia"/>
          <w:kern w:val="0"/>
          <w:szCs w:val="21"/>
        </w:rPr>
        <w:t>c) 一致性检测</w:t>
      </w:r>
      <w:r>
        <w:rPr>
          <w:kern w:val="0"/>
          <w:szCs w:val="21"/>
        </w:rPr>
        <w:t>：一致性</w:t>
      </w:r>
      <w:r>
        <w:rPr>
          <w:rFonts w:hint="eastAsia"/>
          <w:kern w:val="0"/>
          <w:szCs w:val="21"/>
        </w:rPr>
        <w:t>检查</w:t>
      </w:r>
      <w:r>
        <w:rPr>
          <w:kern w:val="0"/>
          <w:szCs w:val="21"/>
        </w:rPr>
        <w:t>的目的是确认假设、方法和数据是否与目的和范围的要求相一致。</w:t>
      </w:r>
    </w:p>
    <w:p>
      <w:pPr>
        <w:numPr>
          <w:ilvl w:val="1"/>
          <w:numId w:val="0"/>
        </w:numPr>
        <w:spacing w:before="156" w:beforeLines="50" w:after="156" w:afterLines="50"/>
        <w:rPr>
          <w:rFonts w:ascii="黑体" w:hAnsi="黑体" w:eastAsia="黑体"/>
          <w:kern w:val="0"/>
          <w:szCs w:val="21"/>
        </w:rPr>
      </w:pPr>
      <w:r>
        <w:rPr>
          <w:rFonts w:hint="eastAsia" w:ascii="黑体" w:hAnsi="黑体" w:eastAsia="黑体"/>
          <w:kern w:val="0"/>
          <w:szCs w:val="21"/>
        </w:rPr>
        <w:t>B.5.</w:t>
      </w:r>
      <w:r>
        <w:rPr>
          <w:rFonts w:ascii="黑体" w:hAnsi="黑体" w:eastAsia="黑体"/>
          <w:kern w:val="0"/>
          <w:szCs w:val="21"/>
        </w:rPr>
        <w:t>3</w:t>
      </w:r>
      <w:r>
        <w:rPr>
          <w:rFonts w:hint="eastAsia" w:ascii="黑体" w:hAnsi="黑体" w:eastAsia="黑体"/>
          <w:kern w:val="0"/>
          <w:szCs w:val="21"/>
        </w:rPr>
        <w:t>热点</w:t>
      </w:r>
      <w:r>
        <w:rPr>
          <w:rFonts w:ascii="黑体" w:hAnsi="黑体" w:eastAsia="黑体"/>
          <w:kern w:val="0"/>
          <w:szCs w:val="21"/>
        </w:rPr>
        <w:t>问题识别与改进方案确定</w:t>
      </w:r>
    </w:p>
    <w:p>
      <w:pPr>
        <w:numPr>
          <w:ilvl w:val="1"/>
          <w:numId w:val="0"/>
        </w:numPr>
        <w:ind w:firstLine="420"/>
        <w:rPr>
          <w:kern w:val="0"/>
          <w:szCs w:val="21"/>
        </w:rPr>
      </w:pPr>
      <w:r>
        <w:rPr>
          <w:rFonts w:hint="eastAsia"/>
          <w:kern w:val="0"/>
          <w:szCs w:val="21"/>
        </w:rPr>
        <w:t>为了</w:t>
      </w:r>
      <w:r>
        <w:rPr>
          <w:kern w:val="0"/>
          <w:szCs w:val="21"/>
        </w:rPr>
        <w:t>产生环境效益或</w:t>
      </w:r>
      <w:r>
        <w:rPr>
          <w:rFonts w:hint="eastAsia"/>
          <w:kern w:val="0"/>
          <w:szCs w:val="21"/>
        </w:rPr>
        <w:t>至少</w:t>
      </w:r>
      <w:r>
        <w:rPr>
          <w:kern w:val="0"/>
          <w:szCs w:val="21"/>
        </w:rPr>
        <w:t>将环境责任降至最低，应根据清单分析和影响评价阶段的信息提出一系列与所评价产品相关的</w:t>
      </w:r>
      <w:r>
        <w:rPr>
          <w:rFonts w:hint="eastAsia"/>
          <w:kern w:val="0"/>
          <w:szCs w:val="21"/>
        </w:rPr>
        <w:t>绿色</w:t>
      </w:r>
      <w:r>
        <w:rPr>
          <w:kern w:val="0"/>
          <w:szCs w:val="21"/>
        </w:rPr>
        <w:t>设计改进方案。</w:t>
      </w:r>
    </w:p>
    <w:p>
      <w:pPr>
        <w:numPr>
          <w:ilvl w:val="1"/>
          <w:numId w:val="0"/>
        </w:numPr>
        <w:ind w:firstLine="420"/>
        <w:rPr>
          <w:kern w:val="0"/>
          <w:szCs w:val="21"/>
        </w:rPr>
      </w:pPr>
      <w:r>
        <w:rPr>
          <w:rFonts w:hint="eastAsia"/>
          <w:kern w:val="0"/>
          <w:szCs w:val="21"/>
        </w:rPr>
        <w:t>评估人员</w:t>
      </w:r>
      <w:r>
        <w:rPr>
          <w:kern w:val="0"/>
          <w:szCs w:val="21"/>
        </w:rPr>
        <w:t>根据产品生命周期评价结果提出的改进方案一般是广泛且全面的，并非所有的改进方案都能得到实施，需要从技术可行性、环境改进、经济效益、顾客增加值影响、生产管理等方面评价改进方案，并进行优先排序</w:t>
      </w:r>
      <w:r>
        <w:rPr>
          <w:rFonts w:hint="eastAsia"/>
          <w:kern w:val="0"/>
          <w:szCs w:val="21"/>
        </w:rPr>
        <w:t>。</w:t>
      </w:r>
    </w:p>
    <w:p>
      <w:pPr>
        <w:numPr>
          <w:ilvl w:val="1"/>
          <w:numId w:val="0"/>
        </w:numPr>
        <w:spacing w:before="156" w:beforeLines="50" w:after="156" w:afterLines="50"/>
        <w:rPr>
          <w:rFonts w:ascii="黑体" w:hAnsi="黑体" w:eastAsia="黑体"/>
          <w:kern w:val="0"/>
          <w:szCs w:val="21"/>
        </w:rPr>
      </w:pPr>
      <w:r>
        <w:rPr>
          <w:rFonts w:hint="eastAsia" w:ascii="黑体" w:hAnsi="黑体" w:eastAsia="黑体"/>
          <w:kern w:val="0"/>
          <w:szCs w:val="21"/>
        </w:rPr>
        <w:t>B.5.</w:t>
      </w:r>
      <w:r>
        <w:rPr>
          <w:rFonts w:ascii="黑体" w:hAnsi="黑体" w:eastAsia="黑体"/>
          <w:kern w:val="0"/>
          <w:szCs w:val="21"/>
        </w:rPr>
        <w:t>4</w:t>
      </w:r>
      <w:r>
        <w:rPr>
          <w:rFonts w:hint="eastAsia" w:ascii="黑体" w:hAnsi="黑体" w:eastAsia="黑体"/>
          <w:kern w:val="0"/>
          <w:szCs w:val="21"/>
        </w:rPr>
        <w:t>结论、</w:t>
      </w:r>
      <w:r>
        <w:rPr>
          <w:rFonts w:ascii="黑体" w:hAnsi="黑体" w:eastAsia="黑体"/>
          <w:kern w:val="0"/>
          <w:szCs w:val="21"/>
        </w:rPr>
        <w:t>建议和限制</w:t>
      </w:r>
    </w:p>
    <w:p>
      <w:pPr>
        <w:numPr>
          <w:ilvl w:val="1"/>
          <w:numId w:val="0"/>
        </w:numPr>
        <w:ind w:firstLine="420"/>
        <w:rPr>
          <w:kern w:val="0"/>
          <w:szCs w:val="21"/>
        </w:rPr>
      </w:pPr>
      <w:r>
        <w:rPr>
          <w:rFonts w:hint="eastAsia"/>
          <w:kern w:val="0"/>
          <w:szCs w:val="21"/>
        </w:rPr>
        <w:t>根据</w:t>
      </w:r>
      <w:r>
        <w:rPr>
          <w:kern w:val="0"/>
          <w:szCs w:val="21"/>
        </w:rPr>
        <w:t>确定的</w:t>
      </w:r>
      <w:r>
        <w:rPr>
          <w:rFonts w:hint="eastAsia"/>
          <w:kern w:val="0"/>
          <w:szCs w:val="21"/>
        </w:rPr>
        <w:t>刚性导电汇流排铝型材产品</w:t>
      </w:r>
      <w:r>
        <w:rPr>
          <w:kern w:val="0"/>
          <w:szCs w:val="21"/>
        </w:rPr>
        <w:t>生命周期评价的目的和范围阐述结论、建议和限制。结果</w:t>
      </w:r>
      <w:r>
        <w:rPr>
          <w:rFonts w:hint="eastAsia"/>
          <w:kern w:val="0"/>
          <w:szCs w:val="21"/>
        </w:rPr>
        <w:t>宜</w:t>
      </w:r>
      <w:r>
        <w:rPr>
          <w:kern w:val="0"/>
          <w:szCs w:val="21"/>
        </w:rPr>
        <w:t>包括评价结果、</w:t>
      </w:r>
      <w:r>
        <w:rPr>
          <w:rFonts w:ascii="宋体" w:hAnsi="宋体"/>
          <w:kern w:val="0"/>
          <w:szCs w:val="21"/>
        </w:rPr>
        <w:t>“</w:t>
      </w:r>
      <w:r>
        <w:rPr>
          <w:rFonts w:hint="eastAsia" w:ascii="宋体" w:hAnsi="宋体"/>
          <w:kern w:val="0"/>
          <w:szCs w:val="21"/>
        </w:rPr>
        <w:t>热点</w:t>
      </w:r>
      <w:r>
        <w:rPr>
          <w:rFonts w:ascii="宋体" w:hAnsi="宋体"/>
          <w:kern w:val="0"/>
          <w:szCs w:val="21"/>
        </w:rPr>
        <w:t>问题”</w:t>
      </w:r>
      <w:r>
        <w:rPr>
          <w:rFonts w:hint="eastAsia"/>
          <w:kern w:val="0"/>
          <w:szCs w:val="21"/>
        </w:rPr>
        <w:t>摘要</w:t>
      </w:r>
      <w:r>
        <w:rPr>
          <w:kern w:val="0"/>
          <w:szCs w:val="21"/>
        </w:rPr>
        <w:t>和改进</w:t>
      </w:r>
      <w:r>
        <w:rPr>
          <w:rFonts w:hint="eastAsia"/>
          <w:kern w:val="0"/>
          <w:szCs w:val="21"/>
        </w:rPr>
        <w:t>方案</w:t>
      </w:r>
      <w:r>
        <w:rPr>
          <w:kern w:val="0"/>
          <w:szCs w:val="21"/>
        </w:rPr>
        <w:t>。</w:t>
      </w:r>
    </w:p>
    <w:p>
      <w:pPr>
        <w:numPr>
          <w:ilvl w:val="1"/>
          <w:numId w:val="0"/>
        </w:numPr>
        <w:ind w:firstLine="420"/>
        <w:rPr>
          <w:kern w:val="0"/>
          <w:szCs w:val="21"/>
        </w:rPr>
      </w:pPr>
    </w:p>
    <w:p>
      <w:pPr>
        <w:numPr>
          <w:ilvl w:val="1"/>
          <w:numId w:val="0"/>
        </w:numPr>
        <w:ind w:firstLine="420"/>
        <w:rPr>
          <w:kern w:val="0"/>
          <w:szCs w:val="21"/>
        </w:rPr>
      </w:pPr>
    </w:p>
    <w:p>
      <w:pPr>
        <w:numPr>
          <w:ilvl w:val="1"/>
          <w:numId w:val="0"/>
        </w:numPr>
        <w:ind w:firstLine="420"/>
        <w:rPr>
          <w:kern w:val="0"/>
          <w:szCs w:val="21"/>
        </w:rPr>
      </w:pPr>
    </w:p>
    <w:p>
      <w:pPr>
        <w:numPr>
          <w:ilvl w:val="1"/>
          <w:numId w:val="0"/>
        </w:numPr>
        <w:ind w:firstLine="420"/>
        <w:rPr>
          <w:kern w:val="0"/>
          <w:szCs w:val="21"/>
        </w:rPr>
      </w:pPr>
    </w:p>
    <w:p>
      <w:pPr>
        <w:numPr>
          <w:ilvl w:val="1"/>
          <w:numId w:val="0"/>
        </w:numPr>
        <w:ind w:firstLine="420"/>
        <w:rPr>
          <w:kern w:val="0"/>
          <w:szCs w:val="21"/>
        </w:rPr>
      </w:pPr>
    </w:p>
    <w:p>
      <w:pPr>
        <w:numPr>
          <w:ilvl w:val="1"/>
          <w:numId w:val="0"/>
        </w:numPr>
        <w:ind w:firstLine="420"/>
        <w:rPr>
          <w:kern w:val="0"/>
          <w:szCs w:val="21"/>
        </w:rPr>
      </w:pPr>
    </w:p>
    <w:p>
      <w:pPr>
        <w:numPr>
          <w:ilvl w:val="1"/>
          <w:numId w:val="0"/>
        </w:numPr>
        <w:ind w:firstLine="420"/>
        <w:rPr>
          <w:kern w:val="0"/>
          <w:szCs w:val="21"/>
        </w:rPr>
      </w:pPr>
    </w:p>
    <w:p>
      <w:pPr>
        <w:numPr>
          <w:ilvl w:val="1"/>
          <w:numId w:val="0"/>
        </w:numPr>
        <w:ind w:firstLine="420"/>
        <w:rPr>
          <w:kern w:val="0"/>
          <w:szCs w:val="21"/>
        </w:rPr>
      </w:pPr>
    </w:p>
    <w:p>
      <w:pPr>
        <w:numPr>
          <w:ilvl w:val="1"/>
          <w:numId w:val="0"/>
        </w:numPr>
        <w:ind w:firstLine="420"/>
        <w:rPr>
          <w:kern w:val="0"/>
          <w:szCs w:val="21"/>
        </w:rPr>
      </w:pPr>
    </w:p>
    <w:p>
      <w:pPr>
        <w:numPr>
          <w:ilvl w:val="1"/>
          <w:numId w:val="0"/>
        </w:numPr>
        <w:ind w:firstLine="420"/>
        <w:rPr>
          <w:kern w:val="0"/>
          <w:szCs w:val="21"/>
        </w:rPr>
      </w:pPr>
    </w:p>
    <w:p>
      <w:pPr>
        <w:numPr>
          <w:ilvl w:val="1"/>
          <w:numId w:val="0"/>
        </w:numPr>
        <w:ind w:firstLine="420"/>
        <w:rPr>
          <w:kern w:val="0"/>
          <w:szCs w:val="21"/>
        </w:rPr>
      </w:pPr>
    </w:p>
    <w:p>
      <w:pPr>
        <w:numPr>
          <w:ilvl w:val="1"/>
          <w:numId w:val="0"/>
        </w:numPr>
        <w:ind w:firstLine="420"/>
        <w:rPr>
          <w:kern w:val="0"/>
          <w:szCs w:val="21"/>
        </w:rPr>
      </w:pPr>
    </w:p>
    <w:p>
      <w:pPr>
        <w:numPr>
          <w:ilvl w:val="1"/>
          <w:numId w:val="0"/>
        </w:numPr>
        <w:ind w:firstLine="420"/>
        <w:rPr>
          <w:kern w:val="0"/>
          <w:szCs w:val="21"/>
        </w:rPr>
      </w:pPr>
    </w:p>
    <w:p>
      <w:pPr>
        <w:numPr>
          <w:ilvl w:val="1"/>
          <w:numId w:val="0"/>
        </w:numPr>
        <w:ind w:firstLine="420"/>
        <w:rPr>
          <w:kern w:val="0"/>
          <w:szCs w:val="21"/>
        </w:rPr>
      </w:pPr>
    </w:p>
    <w:p>
      <w:pPr>
        <w:numPr>
          <w:ilvl w:val="1"/>
          <w:numId w:val="0"/>
        </w:numPr>
        <w:ind w:firstLine="420"/>
        <w:rPr>
          <w:kern w:val="0"/>
          <w:szCs w:val="21"/>
        </w:rPr>
      </w:pPr>
    </w:p>
    <w:p>
      <w:pPr>
        <w:pStyle w:val="74"/>
        <w:numPr>
          <w:ilvl w:val="0"/>
          <w:numId w:val="0"/>
        </w:numPr>
        <w:spacing w:before="156" w:after="156"/>
        <w:ind w:left="420" w:leftChars="200"/>
      </w:pPr>
      <w:bookmarkStart w:id="76" w:name="_Toc34746207"/>
      <w:bookmarkStart w:id="77" w:name="_Toc9893123"/>
      <w:bookmarkStart w:id="78" w:name="_Toc508953221"/>
      <w:r>
        <w:rPr>
          <w:rFonts w:hint="eastAsia"/>
        </w:rPr>
        <w:t xml:space="preserve">附 录  </w:t>
      </w:r>
      <w:r>
        <w:t>C</w:t>
      </w:r>
      <w:r>
        <w:br w:type="textWrapping"/>
      </w:r>
      <w:r>
        <w:rPr>
          <w:rFonts w:hint="eastAsia"/>
        </w:rPr>
        <w:t>（资料性附录）</w:t>
      </w:r>
      <w:r>
        <w:br w:type="textWrapping"/>
      </w:r>
      <w:r>
        <w:rPr>
          <w:rFonts w:hint="eastAsia"/>
        </w:rPr>
        <w:t>产品绿色设计改进方案优先排序方法及示例</w:t>
      </w:r>
      <w:bookmarkEnd w:id="76"/>
      <w:bookmarkEnd w:id="77"/>
    </w:p>
    <w:p>
      <w:pPr>
        <w:numPr>
          <w:ilvl w:val="1"/>
          <w:numId w:val="0"/>
        </w:numPr>
        <w:spacing w:before="312" w:beforeLines="100" w:after="156" w:afterLines="50"/>
        <w:rPr>
          <w:rFonts w:ascii="黑体" w:hAnsi="黑体" w:eastAsia="黑体"/>
          <w:kern w:val="0"/>
          <w:szCs w:val="21"/>
        </w:rPr>
      </w:pPr>
      <w:r>
        <w:rPr>
          <w:rFonts w:ascii="黑体" w:hAnsi="黑体" w:eastAsia="黑体"/>
          <w:kern w:val="0"/>
          <w:szCs w:val="21"/>
        </w:rPr>
        <w:t xml:space="preserve">C.1 </w:t>
      </w:r>
      <w:r>
        <w:rPr>
          <w:rFonts w:hint="eastAsia" w:ascii="黑体" w:hAnsi="黑体" w:eastAsia="黑体"/>
          <w:kern w:val="0"/>
          <w:szCs w:val="21"/>
        </w:rPr>
        <w:t>排序方法</w:t>
      </w:r>
    </w:p>
    <w:p>
      <w:pPr>
        <w:ind w:firstLine="420"/>
      </w:pPr>
      <w:r>
        <w:rPr>
          <w:rFonts w:hint="eastAsia"/>
        </w:rPr>
        <w:t>产品绿色设计改进方案优先排序方法步骤如下：</w:t>
      </w:r>
    </w:p>
    <w:p>
      <w:pPr>
        <w:ind w:firstLine="420"/>
      </w:pPr>
      <w:r>
        <w:rPr>
          <w:rFonts w:hint="eastAsia"/>
        </w:rPr>
        <w:t>第一步：将所有方案划分为生产类、设计类和管理类三类方案；</w:t>
      </w:r>
    </w:p>
    <w:p>
      <w:pPr>
        <w:ind w:firstLine="420"/>
      </w:pPr>
      <w:r>
        <w:rPr>
          <w:rFonts w:hint="eastAsia"/>
        </w:rPr>
        <w:t>第二步：选取方案的评价指标，本标准的评价指标包括：</w:t>
      </w:r>
    </w:p>
    <w:p>
      <w:pPr>
        <w:pStyle w:val="127"/>
        <w:numPr>
          <w:ilvl w:val="0"/>
          <w:numId w:val="10"/>
        </w:numPr>
        <w:ind w:firstLineChars="0"/>
      </w:pPr>
      <w:r>
        <w:rPr>
          <w:rFonts w:hint="eastAsia"/>
        </w:rPr>
        <w:t>技术可行性，评估实施某方案的技术可行性；</w:t>
      </w:r>
    </w:p>
    <w:p>
      <w:pPr>
        <w:pStyle w:val="127"/>
        <w:numPr>
          <w:ilvl w:val="0"/>
          <w:numId w:val="10"/>
        </w:numPr>
        <w:ind w:firstLineChars="0"/>
      </w:pPr>
      <w:r>
        <w:rPr>
          <w:rFonts w:hint="eastAsia"/>
        </w:rPr>
        <w:t>绿色设计改进，判断一个方案的实施能够对某个重要环境要素产生何种程度的作用；</w:t>
      </w:r>
    </w:p>
    <w:p>
      <w:pPr>
        <w:pStyle w:val="127"/>
        <w:numPr>
          <w:ilvl w:val="0"/>
          <w:numId w:val="10"/>
        </w:numPr>
        <w:ind w:firstLineChars="0"/>
      </w:pPr>
      <w:r>
        <w:rPr>
          <w:rFonts w:hint="eastAsia"/>
        </w:rPr>
        <w:t>经济效益，评估一个组织实施某特定方案所产生的财务影响；</w:t>
      </w:r>
    </w:p>
    <w:p>
      <w:pPr>
        <w:pStyle w:val="127"/>
        <w:numPr>
          <w:ilvl w:val="0"/>
          <w:numId w:val="10"/>
        </w:numPr>
        <w:ind w:firstLineChars="0"/>
      </w:pPr>
      <w:r>
        <w:rPr>
          <w:rFonts w:hint="eastAsia"/>
        </w:rPr>
        <w:t>顾客增加值（</w:t>
      </w:r>
      <w:r>
        <w:t>CVA</w:t>
      </w:r>
      <w:r>
        <w:rPr>
          <w:rFonts w:hint="eastAsia"/>
        </w:rPr>
        <w:t>）影响，表示因实施了某些方案而提高消费者认同增加值；</w:t>
      </w:r>
    </w:p>
    <w:p>
      <w:pPr>
        <w:pStyle w:val="127"/>
        <w:numPr>
          <w:ilvl w:val="0"/>
          <w:numId w:val="10"/>
        </w:numPr>
        <w:ind w:firstLineChars="0"/>
      </w:pPr>
      <w:r>
        <w:rPr>
          <w:rFonts w:hint="eastAsia"/>
        </w:rPr>
        <w:t>生产管理，估计实施某方案可能对生产计划或者其他生产管理者产生的影响。</w:t>
      </w:r>
    </w:p>
    <w:p>
      <w:pPr>
        <w:ind w:firstLine="420"/>
      </w:pPr>
      <w:r>
        <w:rPr>
          <w:rFonts w:hint="eastAsia"/>
        </w:rPr>
        <w:t>第三步：各指标的等级评分准则如表</w:t>
      </w:r>
      <w:r>
        <w:t>C.1</w:t>
      </w:r>
      <w:r>
        <w:rPr>
          <w:rFonts w:hint="eastAsia"/>
        </w:rPr>
        <w:t>所示。评估人员依据准则对各方案在不同指标上的表现进行打分；</w:t>
      </w:r>
    </w:p>
    <w:p>
      <w:pPr>
        <w:ind w:firstLine="420"/>
      </w:pPr>
      <w:r>
        <w:rPr>
          <w:rFonts w:hint="eastAsia"/>
        </w:rPr>
        <w:t>第四步：加总每个方案在</w:t>
      </w:r>
      <w:r>
        <w:t>5</w:t>
      </w:r>
      <w:r>
        <w:rPr>
          <w:rFonts w:hint="eastAsia"/>
        </w:rPr>
        <w:t>个指标上的得分，得到每个方案的总评分；</w:t>
      </w:r>
    </w:p>
    <w:p>
      <w:pPr>
        <w:ind w:firstLine="420"/>
      </w:pPr>
      <w:r>
        <w:rPr>
          <w:rFonts w:hint="eastAsia"/>
        </w:rPr>
        <w:t>第五步：对每个方案的总评分进行标准化，方法为总评分减去</w:t>
      </w:r>
      <w:r>
        <w:t>10</w:t>
      </w:r>
      <w:r>
        <w:rPr>
          <w:rFonts w:hint="eastAsia"/>
        </w:rPr>
        <w:t>；</w:t>
      </w:r>
    </w:p>
    <w:p>
      <w:pPr>
        <w:ind w:firstLine="420"/>
      </w:pPr>
      <w:r>
        <w:rPr>
          <w:rFonts w:hint="eastAsia"/>
        </w:rPr>
        <w:t>第六步：经过标准化后的方案被分成“生产、设计、管理”三组，绘制分组的实施者优先排序图，分别针对制造工程师、设计工程师或管理人员等实施者；</w:t>
      </w:r>
    </w:p>
    <w:p>
      <w:pPr>
        <w:ind w:firstLine="420"/>
      </w:pPr>
      <w:r>
        <w:rPr>
          <w:rFonts w:hint="eastAsia"/>
        </w:rPr>
        <w:t>第七步：将改进方案按照生命周期阶段分成</w:t>
      </w:r>
      <w:r>
        <w:t>5</w:t>
      </w:r>
      <w:r>
        <w:rPr>
          <w:rFonts w:hint="eastAsia"/>
        </w:rPr>
        <w:t>组（原材料</w:t>
      </w:r>
      <w:r>
        <w:t>获取和加工、</w:t>
      </w:r>
      <w:r>
        <w:rPr>
          <w:rFonts w:hint="eastAsia"/>
        </w:rPr>
        <w:t>产品生产、</w:t>
      </w:r>
      <w:r>
        <w:t>产品运输、产品使用、</w:t>
      </w:r>
      <w:r>
        <w:rPr>
          <w:rFonts w:hint="eastAsia"/>
        </w:rPr>
        <w:t>最终处置</w:t>
      </w:r>
      <w:r>
        <w:t>5</w:t>
      </w:r>
      <w:r>
        <w:rPr>
          <w:rFonts w:hint="eastAsia"/>
        </w:rPr>
        <w:t>个阶段），绘制生命周期阶段优先排序图。</w:t>
      </w:r>
    </w:p>
    <w:p>
      <w:pPr>
        <w:spacing w:before="156" w:beforeLines="50" w:after="156" w:afterLines="50"/>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C.1  </w:t>
      </w:r>
      <w:r>
        <w:rPr>
          <w:rFonts w:hint="eastAsia" w:ascii="黑体" w:hAnsi="黑体" w:eastAsia="黑体"/>
          <w:szCs w:val="21"/>
        </w:rPr>
        <w:t>指标等级评分准则</w:t>
      </w:r>
    </w:p>
    <w:tbl>
      <w:tblPr>
        <w:tblStyle w:val="33"/>
        <w:tblW w:w="957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Layout w:type="fixed"/>
        <w:tblCellMar>
          <w:top w:w="0" w:type="dxa"/>
          <w:left w:w="108" w:type="dxa"/>
          <w:bottom w:w="0" w:type="dxa"/>
          <w:right w:w="108" w:type="dxa"/>
        </w:tblCellMar>
      </w:tblPr>
      <w:tblGrid>
        <w:gridCol w:w="3188"/>
        <w:gridCol w:w="3191"/>
        <w:gridCol w:w="31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CellMar>
            <w:top w:w="0" w:type="dxa"/>
            <w:left w:w="108" w:type="dxa"/>
            <w:bottom w:w="0" w:type="dxa"/>
            <w:right w:w="108" w:type="dxa"/>
          </w:tblCellMar>
        </w:tblPrEx>
        <w:tc>
          <w:tcPr>
            <w:tcW w:w="3188" w:type="dxa"/>
            <w:tcBorders>
              <w:top w:val="single" w:color="000000" w:sz="12" w:space="0"/>
              <w:left w:val="single" w:color="000000" w:sz="12" w:space="0"/>
              <w:bottom w:val="single" w:color="000000" w:sz="12" w:space="0"/>
            </w:tcBorders>
            <w:vAlign w:val="center"/>
          </w:tcPr>
          <w:p>
            <w:pPr>
              <w:jc w:val="center"/>
              <w:rPr>
                <w:rFonts w:hAnsi="宋体"/>
                <w:b/>
                <w:sz w:val="18"/>
                <w:szCs w:val="21"/>
              </w:rPr>
            </w:pPr>
            <w:r>
              <w:rPr>
                <w:rFonts w:hint="eastAsia" w:hAnsi="宋体"/>
                <w:b/>
                <w:sz w:val="18"/>
                <w:szCs w:val="21"/>
              </w:rPr>
              <w:t>符号</w:t>
            </w:r>
          </w:p>
        </w:tc>
        <w:tc>
          <w:tcPr>
            <w:tcW w:w="3191" w:type="dxa"/>
            <w:tcBorders>
              <w:top w:val="single" w:color="000000" w:sz="12" w:space="0"/>
              <w:bottom w:val="single" w:color="000000" w:sz="12" w:space="0"/>
            </w:tcBorders>
            <w:vAlign w:val="center"/>
          </w:tcPr>
          <w:p>
            <w:pPr>
              <w:jc w:val="center"/>
              <w:rPr>
                <w:rFonts w:hAnsi="宋体"/>
                <w:b/>
                <w:sz w:val="18"/>
                <w:szCs w:val="21"/>
              </w:rPr>
            </w:pPr>
            <w:r>
              <w:rPr>
                <w:rFonts w:hint="eastAsia" w:hAnsi="宋体"/>
                <w:b/>
                <w:sz w:val="18"/>
                <w:szCs w:val="21"/>
              </w:rPr>
              <w:t>评价</w:t>
            </w:r>
          </w:p>
        </w:tc>
        <w:tc>
          <w:tcPr>
            <w:tcW w:w="3191" w:type="dxa"/>
            <w:tcBorders>
              <w:top w:val="single" w:color="000000" w:sz="12" w:space="0"/>
              <w:bottom w:val="single" w:color="000000" w:sz="12" w:space="0"/>
              <w:right w:val="single" w:color="000000" w:sz="12" w:space="0"/>
            </w:tcBorders>
            <w:vAlign w:val="center"/>
          </w:tcPr>
          <w:p>
            <w:pPr>
              <w:jc w:val="center"/>
              <w:rPr>
                <w:rFonts w:hAnsi="宋体"/>
                <w:b/>
                <w:sz w:val="18"/>
                <w:szCs w:val="21"/>
              </w:rPr>
            </w:pPr>
            <w:r>
              <w:rPr>
                <w:rFonts w:hint="eastAsia" w:hAnsi="宋体"/>
                <w:b/>
                <w:sz w:val="18"/>
                <w:szCs w:val="21"/>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CellMar>
            <w:top w:w="0" w:type="dxa"/>
            <w:left w:w="108" w:type="dxa"/>
            <w:bottom w:w="0" w:type="dxa"/>
            <w:right w:w="108" w:type="dxa"/>
          </w:tblCellMar>
        </w:tblPrEx>
        <w:tc>
          <w:tcPr>
            <w:tcW w:w="3188" w:type="dxa"/>
            <w:tcBorders>
              <w:top w:val="single" w:color="000000" w:sz="12" w:space="0"/>
              <w:left w:val="single" w:color="000000" w:sz="12" w:space="0"/>
            </w:tcBorders>
            <w:vAlign w:val="center"/>
          </w:tcPr>
          <w:p>
            <w:pPr>
              <w:jc w:val="center"/>
              <w:rPr>
                <w:rFonts w:hAnsi="宋体"/>
                <w:sz w:val="18"/>
                <w:szCs w:val="21"/>
              </w:rPr>
            </w:pPr>
            <w:r>
              <w:rPr>
                <w:rFonts w:hAnsi="宋体"/>
                <w:sz w:val="18"/>
                <w:szCs w:val="21"/>
              </w:rPr>
              <w:t>++</w:t>
            </w:r>
          </w:p>
        </w:tc>
        <w:tc>
          <w:tcPr>
            <w:tcW w:w="3191" w:type="dxa"/>
            <w:tcBorders>
              <w:top w:val="single" w:color="000000" w:sz="12" w:space="0"/>
            </w:tcBorders>
            <w:vAlign w:val="center"/>
          </w:tcPr>
          <w:p>
            <w:pPr>
              <w:jc w:val="center"/>
              <w:rPr>
                <w:rFonts w:hAnsi="宋体"/>
                <w:sz w:val="18"/>
                <w:szCs w:val="21"/>
              </w:rPr>
            </w:pPr>
            <w:r>
              <w:rPr>
                <w:rFonts w:hint="eastAsia" w:hAnsi="宋体"/>
                <w:sz w:val="18"/>
                <w:szCs w:val="21"/>
              </w:rPr>
              <w:t>很好</w:t>
            </w:r>
            <w:r>
              <w:rPr>
                <w:rFonts w:hAnsi="宋体"/>
                <w:sz w:val="18"/>
                <w:szCs w:val="21"/>
              </w:rPr>
              <w:t>/</w:t>
            </w:r>
            <w:r>
              <w:rPr>
                <w:rFonts w:hint="eastAsia" w:hAnsi="宋体"/>
                <w:sz w:val="18"/>
                <w:szCs w:val="21"/>
              </w:rPr>
              <w:t>很高</w:t>
            </w:r>
          </w:p>
        </w:tc>
        <w:tc>
          <w:tcPr>
            <w:tcW w:w="3191" w:type="dxa"/>
            <w:tcBorders>
              <w:top w:val="single" w:color="000000" w:sz="12" w:space="0"/>
              <w:right w:val="single" w:color="000000" w:sz="12" w:space="0"/>
            </w:tcBorders>
            <w:vAlign w:val="center"/>
          </w:tcPr>
          <w:p>
            <w:pPr>
              <w:jc w:val="center"/>
              <w:rPr>
                <w:rFonts w:hAnsi="宋体"/>
                <w:sz w:val="18"/>
                <w:szCs w:val="21"/>
              </w:rPr>
            </w:pPr>
            <w:r>
              <w:rPr>
                <w:rFonts w:hAnsi="宋体"/>
                <w:sz w:val="18"/>
                <w:szCs w:val="21"/>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CellMar>
            <w:top w:w="0" w:type="dxa"/>
            <w:left w:w="108" w:type="dxa"/>
            <w:bottom w:w="0" w:type="dxa"/>
            <w:right w:w="108" w:type="dxa"/>
          </w:tblCellMar>
        </w:tblPrEx>
        <w:tc>
          <w:tcPr>
            <w:tcW w:w="3188" w:type="dxa"/>
            <w:tcBorders>
              <w:left w:val="single" w:color="000000" w:sz="12" w:space="0"/>
            </w:tcBorders>
            <w:vAlign w:val="center"/>
          </w:tcPr>
          <w:p>
            <w:pPr>
              <w:jc w:val="center"/>
              <w:rPr>
                <w:rFonts w:hAnsi="宋体"/>
                <w:sz w:val="18"/>
                <w:szCs w:val="21"/>
              </w:rPr>
            </w:pPr>
            <w:r>
              <w:rPr>
                <w:rFonts w:hAnsi="宋体"/>
                <w:sz w:val="18"/>
                <w:szCs w:val="21"/>
              </w:rPr>
              <w:t>+</w:t>
            </w:r>
          </w:p>
        </w:tc>
        <w:tc>
          <w:tcPr>
            <w:tcW w:w="3191" w:type="dxa"/>
            <w:vAlign w:val="center"/>
          </w:tcPr>
          <w:p>
            <w:pPr>
              <w:jc w:val="center"/>
              <w:rPr>
                <w:rFonts w:hAnsi="宋体"/>
                <w:sz w:val="18"/>
                <w:szCs w:val="21"/>
              </w:rPr>
            </w:pPr>
            <w:r>
              <w:rPr>
                <w:rFonts w:hint="eastAsia" w:hAnsi="宋体"/>
                <w:sz w:val="18"/>
                <w:szCs w:val="21"/>
              </w:rPr>
              <w:t>好</w:t>
            </w:r>
            <w:r>
              <w:rPr>
                <w:rFonts w:hAnsi="宋体"/>
                <w:sz w:val="18"/>
                <w:szCs w:val="21"/>
              </w:rPr>
              <w:t>/</w:t>
            </w:r>
            <w:r>
              <w:rPr>
                <w:rFonts w:hint="eastAsia" w:hAnsi="宋体"/>
                <w:sz w:val="18"/>
                <w:szCs w:val="21"/>
              </w:rPr>
              <w:t>高</w:t>
            </w:r>
          </w:p>
        </w:tc>
        <w:tc>
          <w:tcPr>
            <w:tcW w:w="3191" w:type="dxa"/>
            <w:tcBorders>
              <w:right w:val="single" w:color="000000" w:sz="12" w:space="0"/>
            </w:tcBorders>
            <w:vAlign w:val="center"/>
          </w:tcPr>
          <w:p>
            <w:pPr>
              <w:jc w:val="center"/>
              <w:rPr>
                <w:rFonts w:hAnsi="宋体"/>
                <w:sz w:val="18"/>
                <w:szCs w:val="21"/>
              </w:rPr>
            </w:pPr>
            <w:r>
              <w:rPr>
                <w:rFonts w:hAnsi="宋体"/>
                <w:sz w:val="18"/>
                <w:szCs w:val="21"/>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CellMar>
            <w:top w:w="0" w:type="dxa"/>
            <w:left w:w="108" w:type="dxa"/>
            <w:bottom w:w="0" w:type="dxa"/>
            <w:right w:w="108" w:type="dxa"/>
          </w:tblCellMar>
        </w:tblPrEx>
        <w:tc>
          <w:tcPr>
            <w:tcW w:w="3188" w:type="dxa"/>
            <w:tcBorders>
              <w:left w:val="single" w:color="000000" w:sz="12" w:space="0"/>
            </w:tcBorders>
            <w:vAlign w:val="center"/>
          </w:tcPr>
          <w:p>
            <w:pPr>
              <w:jc w:val="center"/>
              <w:rPr>
                <w:rFonts w:hAnsi="宋体"/>
                <w:sz w:val="18"/>
                <w:szCs w:val="21"/>
              </w:rPr>
            </w:pPr>
            <w:r>
              <w:rPr>
                <w:rFonts w:hAnsi="宋体"/>
                <w:sz w:val="18"/>
                <w:szCs w:val="21"/>
              </w:rPr>
              <w:t>+/-</w:t>
            </w:r>
          </w:p>
        </w:tc>
        <w:tc>
          <w:tcPr>
            <w:tcW w:w="3191" w:type="dxa"/>
            <w:vAlign w:val="center"/>
          </w:tcPr>
          <w:p>
            <w:pPr>
              <w:jc w:val="center"/>
              <w:rPr>
                <w:rFonts w:hAnsi="宋体"/>
                <w:sz w:val="18"/>
                <w:szCs w:val="21"/>
              </w:rPr>
            </w:pPr>
            <w:r>
              <w:rPr>
                <w:rFonts w:hint="eastAsia" w:hAnsi="宋体"/>
                <w:sz w:val="18"/>
                <w:szCs w:val="21"/>
              </w:rPr>
              <w:t>中等、一般</w:t>
            </w:r>
          </w:p>
        </w:tc>
        <w:tc>
          <w:tcPr>
            <w:tcW w:w="3191" w:type="dxa"/>
            <w:tcBorders>
              <w:right w:val="single" w:color="000000" w:sz="12" w:space="0"/>
            </w:tcBorders>
            <w:vAlign w:val="center"/>
          </w:tcPr>
          <w:p>
            <w:pPr>
              <w:jc w:val="center"/>
              <w:rPr>
                <w:rFonts w:hAnsi="宋体"/>
                <w:sz w:val="18"/>
                <w:szCs w:val="21"/>
              </w:rPr>
            </w:pPr>
            <w:r>
              <w:rPr>
                <w:rFonts w:hAnsi="宋体"/>
                <w:sz w:val="18"/>
                <w:szCs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CellMar>
            <w:top w:w="0" w:type="dxa"/>
            <w:left w:w="108" w:type="dxa"/>
            <w:bottom w:w="0" w:type="dxa"/>
            <w:right w:w="108" w:type="dxa"/>
          </w:tblCellMar>
        </w:tblPrEx>
        <w:tc>
          <w:tcPr>
            <w:tcW w:w="3188" w:type="dxa"/>
            <w:tcBorders>
              <w:left w:val="single" w:color="000000" w:sz="12" w:space="0"/>
            </w:tcBorders>
            <w:vAlign w:val="center"/>
          </w:tcPr>
          <w:p>
            <w:pPr>
              <w:jc w:val="center"/>
              <w:rPr>
                <w:rFonts w:hAnsi="宋体"/>
                <w:sz w:val="18"/>
                <w:szCs w:val="21"/>
              </w:rPr>
            </w:pPr>
            <w:r>
              <w:rPr>
                <w:rFonts w:hAnsi="宋体"/>
                <w:sz w:val="18"/>
                <w:szCs w:val="21"/>
              </w:rPr>
              <w:t>-</w:t>
            </w:r>
          </w:p>
        </w:tc>
        <w:tc>
          <w:tcPr>
            <w:tcW w:w="3191" w:type="dxa"/>
            <w:vAlign w:val="center"/>
          </w:tcPr>
          <w:p>
            <w:pPr>
              <w:jc w:val="center"/>
              <w:rPr>
                <w:rFonts w:hAnsi="宋体"/>
                <w:sz w:val="18"/>
                <w:szCs w:val="21"/>
              </w:rPr>
            </w:pPr>
            <w:r>
              <w:rPr>
                <w:rFonts w:hint="eastAsia" w:hAnsi="宋体"/>
                <w:sz w:val="18"/>
                <w:szCs w:val="21"/>
              </w:rPr>
              <w:t>差</w:t>
            </w:r>
            <w:r>
              <w:rPr>
                <w:rFonts w:hAnsi="宋体"/>
                <w:sz w:val="18"/>
                <w:szCs w:val="21"/>
              </w:rPr>
              <w:t>/</w:t>
            </w:r>
            <w:r>
              <w:rPr>
                <w:rFonts w:hint="eastAsia" w:hAnsi="宋体"/>
                <w:sz w:val="18"/>
                <w:szCs w:val="21"/>
              </w:rPr>
              <w:t>低</w:t>
            </w:r>
          </w:p>
        </w:tc>
        <w:tc>
          <w:tcPr>
            <w:tcW w:w="3191" w:type="dxa"/>
            <w:tcBorders>
              <w:right w:val="single" w:color="000000" w:sz="12" w:space="0"/>
            </w:tcBorders>
            <w:vAlign w:val="center"/>
          </w:tcPr>
          <w:p>
            <w:pPr>
              <w:jc w:val="center"/>
              <w:rPr>
                <w:rFonts w:hAnsi="宋体"/>
                <w:sz w:val="18"/>
                <w:szCs w:val="21"/>
              </w:rPr>
            </w:pPr>
            <w:r>
              <w:rPr>
                <w:rFonts w:hAnsi="宋体"/>
                <w:sz w:val="18"/>
                <w:szCs w:val="21"/>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CellMar>
            <w:top w:w="0" w:type="dxa"/>
            <w:left w:w="108" w:type="dxa"/>
            <w:bottom w:w="0" w:type="dxa"/>
            <w:right w:w="108" w:type="dxa"/>
          </w:tblCellMar>
        </w:tblPrEx>
        <w:tc>
          <w:tcPr>
            <w:tcW w:w="3188" w:type="dxa"/>
            <w:tcBorders>
              <w:left w:val="single" w:color="000000" w:sz="12" w:space="0"/>
              <w:bottom w:val="single" w:color="000000" w:sz="12" w:space="0"/>
            </w:tcBorders>
            <w:vAlign w:val="center"/>
          </w:tcPr>
          <w:p>
            <w:pPr>
              <w:jc w:val="center"/>
              <w:rPr>
                <w:rFonts w:hAnsi="宋体"/>
                <w:sz w:val="18"/>
                <w:szCs w:val="21"/>
              </w:rPr>
            </w:pPr>
            <w:r>
              <w:rPr>
                <w:rFonts w:hAnsi="宋体"/>
                <w:sz w:val="18"/>
                <w:szCs w:val="21"/>
              </w:rPr>
              <w:t>--</w:t>
            </w:r>
          </w:p>
        </w:tc>
        <w:tc>
          <w:tcPr>
            <w:tcW w:w="3191" w:type="dxa"/>
            <w:tcBorders>
              <w:bottom w:val="single" w:color="000000" w:sz="12" w:space="0"/>
            </w:tcBorders>
            <w:vAlign w:val="center"/>
          </w:tcPr>
          <w:p>
            <w:pPr>
              <w:jc w:val="center"/>
              <w:rPr>
                <w:rFonts w:hAnsi="宋体"/>
                <w:sz w:val="18"/>
                <w:szCs w:val="21"/>
              </w:rPr>
            </w:pPr>
            <w:r>
              <w:rPr>
                <w:rFonts w:hint="eastAsia" w:hAnsi="宋体"/>
                <w:sz w:val="18"/>
                <w:szCs w:val="21"/>
              </w:rPr>
              <w:t>很差</w:t>
            </w:r>
            <w:r>
              <w:rPr>
                <w:rFonts w:hAnsi="宋体"/>
                <w:sz w:val="18"/>
                <w:szCs w:val="21"/>
              </w:rPr>
              <w:t>/</w:t>
            </w:r>
            <w:r>
              <w:rPr>
                <w:rFonts w:hint="eastAsia" w:hAnsi="宋体"/>
                <w:sz w:val="18"/>
                <w:szCs w:val="21"/>
              </w:rPr>
              <w:t>很低</w:t>
            </w:r>
          </w:p>
        </w:tc>
        <w:tc>
          <w:tcPr>
            <w:tcW w:w="3191" w:type="dxa"/>
            <w:tcBorders>
              <w:bottom w:val="single" w:color="000000" w:sz="12" w:space="0"/>
              <w:right w:val="single" w:color="000000" w:sz="12" w:space="0"/>
            </w:tcBorders>
            <w:vAlign w:val="center"/>
          </w:tcPr>
          <w:p>
            <w:pPr>
              <w:jc w:val="center"/>
              <w:rPr>
                <w:rFonts w:hAnsi="宋体"/>
                <w:sz w:val="18"/>
                <w:szCs w:val="21"/>
              </w:rPr>
            </w:pPr>
            <w:r>
              <w:rPr>
                <w:rFonts w:hAnsi="宋体"/>
                <w:sz w:val="18"/>
                <w:szCs w:val="21"/>
              </w:rPr>
              <w:t>0</w:t>
            </w:r>
          </w:p>
        </w:tc>
      </w:tr>
    </w:tbl>
    <w:p>
      <w:pPr>
        <w:numPr>
          <w:ilvl w:val="1"/>
          <w:numId w:val="0"/>
        </w:numPr>
        <w:spacing w:before="312" w:beforeLines="100" w:after="156" w:afterLines="50"/>
        <w:rPr>
          <w:rFonts w:ascii="黑体" w:hAnsi="黑体" w:eastAsia="黑体"/>
          <w:kern w:val="0"/>
          <w:szCs w:val="21"/>
        </w:rPr>
      </w:pPr>
      <w:r>
        <w:rPr>
          <w:rFonts w:ascii="黑体" w:hAnsi="黑体" w:eastAsia="黑体"/>
          <w:kern w:val="0"/>
          <w:szCs w:val="21"/>
        </w:rPr>
        <w:t xml:space="preserve">C.2 </w:t>
      </w:r>
      <w:r>
        <w:rPr>
          <w:rFonts w:hint="eastAsia" w:ascii="黑体" w:hAnsi="黑体" w:eastAsia="黑体"/>
          <w:kern w:val="0"/>
          <w:szCs w:val="21"/>
        </w:rPr>
        <w:t>排序示例</w:t>
      </w:r>
    </w:p>
    <w:p>
      <w:pPr>
        <w:tabs>
          <w:tab w:val="left" w:pos="360"/>
        </w:tabs>
        <w:wordWrap w:val="0"/>
        <w:overflowPunct w:val="0"/>
        <w:autoSpaceDE w:val="0"/>
        <w:autoSpaceDN w:val="0"/>
        <w:spacing w:before="156" w:beforeLines="50" w:after="156" w:afterLines="50"/>
        <w:textAlignment w:val="baseline"/>
        <w:outlineLvl w:val="2"/>
        <w:rPr>
          <w:rFonts w:ascii="黑体" w:hAnsi="等线" w:eastAsia="黑体"/>
          <w:kern w:val="21"/>
          <w:szCs w:val="20"/>
        </w:rPr>
      </w:pPr>
      <w:bookmarkStart w:id="79" w:name="_Toc34746208"/>
      <w:r>
        <w:rPr>
          <w:rFonts w:ascii="黑体" w:hAnsi="等线" w:eastAsia="黑体"/>
          <w:kern w:val="21"/>
          <w:szCs w:val="20"/>
        </w:rPr>
        <w:t xml:space="preserve">C.2.1 </w:t>
      </w:r>
      <w:r>
        <w:rPr>
          <w:rFonts w:hint="eastAsia" w:ascii="黑体" w:hAnsi="等线" w:eastAsia="黑体"/>
          <w:kern w:val="21"/>
          <w:szCs w:val="20"/>
        </w:rPr>
        <w:t>改进方案</w:t>
      </w:r>
      <w:bookmarkEnd w:id="79"/>
    </w:p>
    <w:p>
      <w:pPr>
        <w:ind w:firstLine="420"/>
      </w:pPr>
      <w:r>
        <w:rPr>
          <w:rFonts w:hint="eastAsia"/>
        </w:rPr>
        <w:t>依据某刚性导电汇流排铝型材产品生命周期评价结果提出的一些建议如下：</w:t>
      </w:r>
    </w:p>
    <w:p>
      <w:pPr>
        <w:pStyle w:val="127"/>
        <w:numPr>
          <w:ilvl w:val="0"/>
          <w:numId w:val="11"/>
        </w:numPr>
        <w:ind w:firstLineChars="0"/>
      </w:pPr>
      <w:r>
        <w:t>生产制造改进方案包括：</w:t>
      </w:r>
    </w:p>
    <w:p>
      <w:pPr>
        <w:ind w:firstLine="420"/>
      </w:pPr>
      <w:r>
        <w:t>　　——修改材料规格要求，如规定铸造锭中</w:t>
      </w:r>
      <w:r>
        <w:rPr>
          <w:rFonts w:hint="eastAsia"/>
        </w:rPr>
        <w:t>原生铝</w:t>
      </w:r>
      <w:r>
        <w:t>加入废料</w:t>
      </w:r>
      <w:r>
        <w:rPr>
          <w:rFonts w:hint="eastAsia"/>
        </w:rPr>
        <w:t>的</w:t>
      </w:r>
      <w:r>
        <w:t>比例；</w:t>
      </w:r>
    </w:p>
    <w:p>
      <w:pPr>
        <w:ind w:firstLine="420"/>
      </w:pPr>
      <w:r>
        <w:t>　　——与供应商合作，尽可能减少进入工厂的包装材料种类，以便开展固体废弃物的再循环；</w:t>
      </w:r>
    </w:p>
    <w:p>
      <w:pPr>
        <w:ind w:firstLine="420"/>
      </w:pPr>
      <w:r>
        <w:t>　　——使用具有可再生性或可降解性的清洁、环保包装材料，使其满足防护标准并能最终再循环</w:t>
      </w:r>
      <w:r>
        <w:rPr>
          <w:rFonts w:hint="eastAsia"/>
        </w:rPr>
        <w:t>；</w:t>
      </w:r>
    </w:p>
    <w:p>
      <w:pPr>
        <w:ind w:firstLine="840" w:firstLineChars="400"/>
      </w:pPr>
      <w:r>
        <w:t>——</w:t>
      </w:r>
      <w:r>
        <w:rPr>
          <w:rFonts w:hint="eastAsia"/>
        </w:rPr>
        <w:t>开展技术</w:t>
      </w:r>
      <w:r>
        <w:t>改造，淘汰耗能大的落后设备，引进节能型设备，提高能效水平</w:t>
      </w:r>
      <w:r>
        <w:rPr>
          <w:rFonts w:hint="eastAsia"/>
        </w:rPr>
        <w:t>；</w:t>
      </w:r>
    </w:p>
    <w:p>
      <w:pPr>
        <w:ind w:firstLine="840" w:firstLineChars="400"/>
      </w:pPr>
      <w:r>
        <w:t>——</w:t>
      </w:r>
      <w:r>
        <w:rPr>
          <w:rFonts w:hint="eastAsia"/>
        </w:rPr>
        <w:t>煲模废碱液、</w:t>
      </w:r>
      <w:r>
        <w:t>铝灰应采用先进处理工艺对其进行资源化、减量化处理，</w:t>
      </w:r>
      <w:r>
        <w:rPr>
          <w:rFonts w:hint="eastAsia"/>
        </w:rPr>
        <w:t>减少</w:t>
      </w:r>
      <w:r>
        <w:t>污染物排放。</w:t>
      </w:r>
    </w:p>
    <w:p>
      <w:pPr>
        <w:ind w:firstLine="420" w:firstLineChars="200"/>
      </w:pPr>
      <w:r>
        <w:t>b） 设计改进方案包括：</w:t>
      </w:r>
    </w:p>
    <w:p>
      <w:pPr>
        <w:ind w:firstLine="420"/>
      </w:pPr>
      <w:r>
        <w:t>　　——减少原生铝的使用，更多使用再生铝原料；</w:t>
      </w:r>
    </w:p>
    <w:p>
      <w:pPr>
        <w:ind w:firstLine="840" w:firstLineChars="400"/>
      </w:pPr>
      <w:r>
        <w:t>——通过信息化手段进行产品设计与仿真，提高产品成材率。</w:t>
      </w:r>
    </w:p>
    <w:p>
      <w:pPr>
        <w:ind w:firstLine="420"/>
      </w:pPr>
      <w:r>
        <w:t>c） 产品管理改进方案包括：</w:t>
      </w:r>
    </w:p>
    <w:p>
      <w:pPr>
        <w:ind w:firstLine="420"/>
      </w:pPr>
      <w:r>
        <w:t>　　——优化产品性能，提高产品使用寿命；</w:t>
      </w:r>
    </w:p>
    <w:p>
      <w:pPr>
        <w:ind w:firstLine="840" w:firstLineChars="400"/>
      </w:pPr>
      <w:r>
        <w:t>——改进产品结构，优化安装方式，减少对周围环境的影响；</w:t>
      </w:r>
    </w:p>
    <w:p>
      <w:pPr>
        <w:ind w:firstLine="840" w:firstLineChars="400"/>
      </w:pPr>
      <w:r>
        <w:t>——建立专业工程团队，提高产品回收率。</w:t>
      </w:r>
    </w:p>
    <w:p>
      <w:pPr>
        <w:tabs>
          <w:tab w:val="left" w:pos="360"/>
        </w:tabs>
        <w:wordWrap w:val="0"/>
        <w:overflowPunct w:val="0"/>
        <w:autoSpaceDE w:val="0"/>
        <w:autoSpaceDN w:val="0"/>
        <w:spacing w:before="156" w:beforeLines="50" w:after="156" w:afterLines="50"/>
        <w:textAlignment w:val="baseline"/>
        <w:outlineLvl w:val="2"/>
        <w:rPr>
          <w:rFonts w:ascii="黑体" w:hAnsi="等线" w:eastAsia="黑体"/>
          <w:kern w:val="21"/>
          <w:szCs w:val="20"/>
        </w:rPr>
      </w:pPr>
      <w:bookmarkStart w:id="80" w:name="_Toc34746209"/>
      <w:r>
        <w:rPr>
          <w:rFonts w:hint="eastAsia" w:ascii="黑体" w:hAnsi="等线" w:eastAsia="黑体"/>
          <w:kern w:val="21"/>
          <w:szCs w:val="20"/>
        </w:rPr>
        <w:t>D</w:t>
      </w:r>
      <w:r>
        <w:rPr>
          <w:rFonts w:ascii="黑体" w:hAnsi="等线" w:eastAsia="黑体"/>
          <w:kern w:val="21"/>
          <w:szCs w:val="20"/>
        </w:rPr>
        <w:t xml:space="preserve">.2.2 </w:t>
      </w:r>
      <w:r>
        <w:rPr>
          <w:rFonts w:hint="eastAsia" w:ascii="黑体" w:hAnsi="等线" w:eastAsia="黑体"/>
          <w:kern w:val="21"/>
          <w:szCs w:val="20"/>
        </w:rPr>
        <w:t>改进方案的优先排序表</w:t>
      </w:r>
      <w:bookmarkEnd w:id="80"/>
    </w:p>
    <w:p>
      <w:pPr>
        <w:ind w:firstLine="420"/>
      </w:pPr>
      <w:r>
        <w:rPr>
          <w:rFonts w:hint="eastAsia"/>
        </w:rPr>
        <w:t>改进方案的优先排序表如表</w:t>
      </w:r>
      <w:r>
        <w:t>C.2</w:t>
      </w:r>
      <w:r>
        <w:rPr>
          <w:rFonts w:hint="eastAsia"/>
        </w:rPr>
        <w:t>所示</w:t>
      </w:r>
    </w:p>
    <w:p>
      <w:pPr>
        <w:ind w:firstLine="420"/>
        <w:jc w:val="center"/>
        <w:rPr>
          <w:b/>
        </w:rPr>
      </w:pPr>
      <w:r>
        <w:rPr>
          <w:rFonts w:hint="eastAsia"/>
          <w:b/>
        </w:rPr>
        <w:t>表</w:t>
      </w:r>
      <w:r>
        <w:rPr>
          <w:b/>
        </w:rPr>
        <w:t xml:space="preserve">C.2  </w:t>
      </w:r>
      <w:r>
        <w:rPr>
          <w:rFonts w:hint="eastAsia"/>
          <w:b/>
        </w:rPr>
        <w:t>改进方案的优先排序表</w:t>
      </w:r>
    </w:p>
    <w:tbl>
      <w:tblPr>
        <w:tblStyle w:val="33"/>
        <w:tblW w:w="9410"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
      <w:tblGrid>
        <w:gridCol w:w="879"/>
        <w:gridCol w:w="2993"/>
        <w:gridCol w:w="974"/>
        <w:gridCol w:w="888"/>
        <w:gridCol w:w="888"/>
        <w:gridCol w:w="738"/>
        <w:gridCol w:w="659"/>
        <w:gridCol w:w="762"/>
        <w:gridCol w:w="629"/>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trHeight w:val="45" w:hRule="atLeast"/>
        </w:trPr>
        <w:tc>
          <w:tcPr>
            <w:tcW w:w="879" w:type="dxa"/>
            <w:tcBorders>
              <w:bottom w:val="single" w:color="000000" w:sz="12" w:space="0"/>
              <w:right w:val="single" w:color="000000" w:sz="4" w:space="0"/>
            </w:tcBorders>
            <w:vAlign w:val="center"/>
          </w:tcPr>
          <w:p>
            <w:pPr>
              <w:jc w:val="center"/>
              <w:rPr>
                <w:rFonts w:ascii="宋体" w:hAnsi="宋体" w:cs="宋体"/>
                <w:bCs/>
                <w:sz w:val="18"/>
                <w:szCs w:val="18"/>
              </w:rPr>
            </w:pPr>
            <w:r>
              <w:rPr>
                <w:rFonts w:hint="eastAsia" w:ascii="宋体" w:hAnsi="宋体" w:cs="宋体"/>
                <w:bCs/>
                <w:sz w:val="18"/>
                <w:szCs w:val="18"/>
              </w:rPr>
              <w:t>环节</w:t>
            </w:r>
          </w:p>
        </w:tc>
        <w:tc>
          <w:tcPr>
            <w:tcW w:w="2993" w:type="dxa"/>
            <w:tcBorders>
              <w:left w:val="single" w:color="000000" w:sz="4" w:space="0"/>
              <w:bottom w:val="single" w:color="000000" w:sz="12" w:space="0"/>
              <w:right w:val="single" w:color="000000" w:sz="4" w:space="0"/>
            </w:tcBorders>
            <w:vAlign w:val="center"/>
          </w:tcPr>
          <w:p>
            <w:pPr>
              <w:jc w:val="center"/>
              <w:rPr>
                <w:rFonts w:ascii="宋体" w:hAnsi="宋体" w:cs="宋体"/>
                <w:bCs/>
                <w:sz w:val="18"/>
                <w:szCs w:val="18"/>
              </w:rPr>
            </w:pPr>
            <w:r>
              <w:rPr>
                <w:rFonts w:hint="eastAsia" w:ascii="宋体" w:hAnsi="宋体" w:cs="宋体"/>
                <w:bCs/>
                <w:sz w:val="18"/>
                <w:szCs w:val="18"/>
              </w:rPr>
              <w:t>改进方案</w:t>
            </w:r>
          </w:p>
        </w:tc>
        <w:tc>
          <w:tcPr>
            <w:tcW w:w="974" w:type="dxa"/>
            <w:tcBorders>
              <w:left w:val="single" w:color="000000" w:sz="4" w:space="0"/>
              <w:bottom w:val="single" w:color="000000" w:sz="12" w:space="0"/>
              <w:right w:val="single" w:color="000000" w:sz="4" w:space="0"/>
            </w:tcBorders>
            <w:vAlign w:val="center"/>
          </w:tcPr>
          <w:p>
            <w:pPr>
              <w:jc w:val="center"/>
              <w:rPr>
                <w:rFonts w:ascii="宋体" w:hAnsi="宋体" w:cs="宋体"/>
                <w:bCs/>
                <w:sz w:val="18"/>
                <w:szCs w:val="18"/>
              </w:rPr>
            </w:pPr>
            <w:r>
              <w:rPr>
                <w:rFonts w:hint="eastAsia" w:ascii="宋体" w:hAnsi="宋体" w:cs="宋体"/>
                <w:bCs/>
                <w:sz w:val="18"/>
                <w:szCs w:val="18"/>
              </w:rPr>
              <w:t>生命周期</w:t>
            </w:r>
          </w:p>
          <w:p>
            <w:pPr>
              <w:jc w:val="center"/>
              <w:rPr>
                <w:rFonts w:ascii="宋体" w:hAnsi="宋体" w:cs="宋体"/>
                <w:bCs/>
                <w:sz w:val="18"/>
                <w:szCs w:val="18"/>
              </w:rPr>
            </w:pPr>
            <w:r>
              <w:rPr>
                <w:rFonts w:hint="eastAsia" w:ascii="宋体" w:hAnsi="宋体" w:cs="宋体"/>
                <w:bCs/>
                <w:sz w:val="18"/>
                <w:szCs w:val="18"/>
              </w:rPr>
              <w:t>阶段</w:t>
            </w:r>
          </w:p>
        </w:tc>
        <w:tc>
          <w:tcPr>
            <w:tcW w:w="888" w:type="dxa"/>
            <w:tcBorders>
              <w:left w:val="single" w:color="000000" w:sz="4" w:space="0"/>
              <w:bottom w:val="single" w:color="000000" w:sz="12" w:space="0"/>
              <w:right w:val="single" w:color="000000" w:sz="4" w:space="0"/>
            </w:tcBorders>
            <w:vAlign w:val="center"/>
          </w:tcPr>
          <w:p>
            <w:pPr>
              <w:jc w:val="center"/>
              <w:rPr>
                <w:rFonts w:ascii="宋体" w:hAnsi="宋体" w:cs="宋体"/>
                <w:bCs/>
                <w:sz w:val="18"/>
                <w:szCs w:val="18"/>
              </w:rPr>
            </w:pPr>
            <w:r>
              <w:rPr>
                <w:rFonts w:hint="eastAsia" w:ascii="宋体" w:hAnsi="宋体" w:cs="宋体"/>
                <w:bCs/>
                <w:sz w:val="18"/>
                <w:szCs w:val="18"/>
              </w:rPr>
              <w:t>技术</w:t>
            </w:r>
          </w:p>
          <w:p>
            <w:pPr>
              <w:jc w:val="center"/>
              <w:rPr>
                <w:rFonts w:ascii="宋体" w:hAnsi="宋体" w:cs="宋体"/>
                <w:bCs/>
                <w:sz w:val="18"/>
                <w:szCs w:val="18"/>
              </w:rPr>
            </w:pPr>
            <w:r>
              <w:rPr>
                <w:rFonts w:hint="eastAsia" w:ascii="宋体" w:hAnsi="宋体" w:cs="宋体"/>
                <w:bCs/>
                <w:sz w:val="18"/>
                <w:szCs w:val="18"/>
              </w:rPr>
              <w:t>可行性</w:t>
            </w:r>
          </w:p>
        </w:tc>
        <w:tc>
          <w:tcPr>
            <w:tcW w:w="888" w:type="dxa"/>
            <w:tcBorders>
              <w:left w:val="single" w:color="000000" w:sz="4" w:space="0"/>
              <w:bottom w:val="single" w:color="000000" w:sz="12" w:space="0"/>
              <w:right w:val="single" w:color="000000" w:sz="4" w:space="0"/>
            </w:tcBorders>
            <w:vAlign w:val="center"/>
          </w:tcPr>
          <w:p>
            <w:pPr>
              <w:jc w:val="center"/>
              <w:rPr>
                <w:rFonts w:ascii="宋体" w:hAnsi="宋体" w:cs="宋体"/>
                <w:bCs/>
                <w:sz w:val="18"/>
                <w:szCs w:val="18"/>
              </w:rPr>
            </w:pPr>
            <w:r>
              <w:rPr>
                <w:rFonts w:hint="eastAsia" w:ascii="宋体" w:hAnsi="宋体" w:cs="宋体"/>
                <w:bCs/>
                <w:sz w:val="18"/>
                <w:szCs w:val="18"/>
              </w:rPr>
              <w:t>环境</w:t>
            </w:r>
          </w:p>
          <w:p>
            <w:pPr>
              <w:jc w:val="center"/>
              <w:rPr>
                <w:rFonts w:ascii="宋体" w:hAnsi="宋体" w:cs="宋体"/>
                <w:bCs/>
                <w:sz w:val="18"/>
                <w:szCs w:val="18"/>
              </w:rPr>
            </w:pPr>
            <w:r>
              <w:rPr>
                <w:rFonts w:hint="eastAsia" w:ascii="宋体" w:hAnsi="宋体" w:cs="宋体"/>
                <w:bCs/>
                <w:sz w:val="18"/>
                <w:szCs w:val="18"/>
              </w:rPr>
              <w:t>敏感性</w:t>
            </w:r>
          </w:p>
        </w:tc>
        <w:tc>
          <w:tcPr>
            <w:tcW w:w="738" w:type="dxa"/>
            <w:tcBorders>
              <w:left w:val="single" w:color="000000" w:sz="4" w:space="0"/>
              <w:bottom w:val="single" w:color="000000" w:sz="12" w:space="0"/>
              <w:right w:val="single" w:color="000000" w:sz="4" w:space="0"/>
            </w:tcBorders>
            <w:vAlign w:val="center"/>
          </w:tcPr>
          <w:p>
            <w:pPr>
              <w:jc w:val="center"/>
              <w:rPr>
                <w:rFonts w:ascii="宋体" w:hAnsi="宋体" w:cs="宋体"/>
                <w:bCs/>
                <w:sz w:val="18"/>
                <w:szCs w:val="18"/>
              </w:rPr>
            </w:pPr>
            <w:r>
              <w:rPr>
                <w:rFonts w:hint="eastAsia" w:ascii="宋体" w:hAnsi="宋体" w:cs="宋体"/>
                <w:bCs/>
                <w:sz w:val="18"/>
                <w:szCs w:val="18"/>
              </w:rPr>
              <w:t>经济</w:t>
            </w:r>
          </w:p>
          <w:p>
            <w:pPr>
              <w:jc w:val="center"/>
              <w:rPr>
                <w:rFonts w:ascii="宋体" w:hAnsi="宋体" w:cs="宋体"/>
                <w:bCs/>
                <w:sz w:val="18"/>
                <w:szCs w:val="18"/>
              </w:rPr>
            </w:pPr>
            <w:r>
              <w:rPr>
                <w:rFonts w:hint="eastAsia" w:ascii="宋体" w:hAnsi="宋体" w:cs="宋体"/>
                <w:bCs/>
                <w:sz w:val="18"/>
                <w:szCs w:val="18"/>
              </w:rPr>
              <w:t>影响</w:t>
            </w:r>
          </w:p>
        </w:tc>
        <w:tc>
          <w:tcPr>
            <w:tcW w:w="659" w:type="dxa"/>
            <w:tcBorders>
              <w:left w:val="single" w:color="000000" w:sz="4" w:space="0"/>
              <w:bottom w:val="single" w:color="000000" w:sz="12" w:space="0"/>
              <w:right w:val="single" w:color="000000" w:sz="4" w:space="0"/>
            </w:tcBorders>
            <w:vAlign w:val="center"/>
          </w:tcPr>
          <w:p>
            <w:pPr>
              <w:jc w:val="center"/>
              <w:rPr>
                <w:rFonts w:ascii="宋体" w:hAnsi="宋体" w:cs="宋体"/>
                <w:bCs/>
                <w:sz w:val="18"/>
                <w:szCs w:val="18"/>
              </w:rPr>
            </w:pPr>
            <w:r>
              <w:rPr>
                <w:rFonts w:hint="eastAsia" w:ascii="宋体" w:hAnsi="宋体" w:cs="宋体"/>
                <w:bCs/>
                <w:sz w:val="18"/>
                <w:szCs w:val="18"/>
              </w:rPr>
              <w:t>CVA</w:t>
            </w:r>
          </w:p>
          <w:p>
            <w:pPr>
              <w:jc w:val="center"/>
              <w:rPr>
                <w:rFonts w:ascii="宋体" w:hAnsi="宋体" w:cs="宋体"/>
                <w:bCs/>
                <w:sz w:val="18"/>
                <w:szCs w:val="18"/>
              </w:rPr>
            </w:pPr>
            <w:r>
              <w:rPr>
                <w:rFonts w:hint="eastAsia" w:ascii="宋体" w:hAnsi="宋体" w:cs="宋体"/>
                <w:bCs/>
                <w:sz w:val="18"/>
                <w:szCs w:val="18"/>
              </w:rPr>
              <w:t>影响</w:t>
            </w:r>
          </w:p>
        </w:tc>
        <w:tc>
          <w:tcPr>
            <w:tcW w:w="762" w:type="dxa"/>
            <w:tcBorders>
              <w:left w:val="single" w:color="000000" w:sz="4" w:space="0"/>
              <w:bottom w:val="single" w:color="000000" w:sz="12" w:space="0"/>
              <w:right w:val="single" w:color="000000" w:sz="4" w:space="0"/>
            </w:tcBorders>
            <w:vAlign w:val="center"/>
          </w:tcPr>
          <w:p>
            <w:pPr>
              <w:jc w:val="center"/>
              <w:rPr>
                <w:rFonts w:ascii="宋体" w:hAnsi="宋体" w:cs="宋体"/>
                <w:bCs/>
                <w:sz w:val="18"/>
                <w:szCs w:val="18"/>
              </w:rPr>
            </w:pPr>
            <w:r>
              <w:rPr>
                <w:rFonts w:hint="eastAsia" w:ascii="宋体" w:hAnsi="宋体" w:cs="宋体"/>
                <w:bCs/>
                <w:sz w:val="18"/>
                <w:szCs w:val="18"/>
              </w:rPr>
              <w:t>生产</w:t>
            </w:r>
          </w:p>
          <w:p>
            <w:pPr>
              <w:jc w:val="center"/>
              <w:rPr>
                <w:rFonts w:ascii="宋体" w:hAnsi="宋体" w:cs="宋体"/>
                <w:bCs/>
                <w:sz w:val="18"/>
                <w:szCs w:val="18"/>
              </w:rPr>
            </w:pPr>
            <w:r>
              <w:rPr>
                <w:rFonts w:hint="eastAsia" w:ascii="宋体" w:hAnsi="宋体" w:cs="宋体"/>
                <w:bCs/>
                <w:sz w:val="18"/>
                <w:szCs w:val="18"/>
              </w:rPr>
              <w:t>管理</w:t>
            </w:r>
          </w:p>
        </w:tc>
        <w:tc>
          <w:tcPr>
            <w:tcW w:w="629" w:type="dxa"/>
            <w:tcBorders>
              <w:left w:val="single" w:color="000000" w:sz="4" w:space="0"/>
              <w:bottom w:val="single" w:color="000000" w:sz="12" w:space="0"/>
            </w:tcBorders>
            <w:vAlign w:val="center"/>
          </w:tcPr>
          <w:p>
            <w:pPr>
              <w:jc w:val="center"/>
              <w:rPr>
                <w:rFonts w:ascii="宋体" w:hAnsi="宋体" w:cs="宋体"/>
                <w:bCs/>
                <w:sz w:val="18"/>
                <w:szCs w:val="18"/>
              </w:rPr>
            </w:pPr>
            <w:r>
              <w:rPr>
                <w:rFonts w:hint="eastAsia" w:ascii="宋体" w:hAnsi="宋体" w:cs="宋体"/>
                <w:bCs/>
                <w:sz w:val="18"/>
                <w:szCs w:val="18"/>
              </w:rPr>
              <w:t>总评分</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trHeight w:val="304" w:hRule="atLeast"/>
        </w:trPr>
        <w:tc>
          <w:tcPr>
            <w:tcW w:w="879" w:type="dxa"/>
            <w:vMerge w:val="restart"/>
            <w:tcBorders>
              <w:top w:val="single" w:color="000000" w:sz="12" w:space="0"/>
              <w:bottom w:val="single" w:color="000000" w:sz="4" w:space="0"/>
              <w:right w:val="single" w:color="000000" w:sz="4" w:space="0"/>
            </w:tcBorders>
            <w:vAlign w:val="center"/>
          </w:tcPr>
          <w:p>
            <w:pPr>
              <w:jc w:val="center"/>
              <w:rPr>
                <w:sz w:val="18"/>
                <w:szCs w:val="18"/>
              </w:rPr>
            </w:pPr>
            <w:r>
              <w:rPr>
                <w:sz w:val="18"/>
                <w:szCs w:val="18"/>
              </w:rPr>
              <w:t>生产</w:t>
            </w:r>
          </w:p>
        </w:tc>
        <w:tc>
          <w:tcPr>
            <w:tcW w:w="2993" w:type="dxa"/>
            <w:tcBorders>
              <w:top w:val="single" w:color="000000" w:sz="12" w:space="0"/>
              <w:left w:val="single" w:color="000000" w:sz="4" w:space="0"/>
              <w:bottom w:val="single" w:color="000000" w:sz="4" w:space="0"/>
              <w:right w:val="single" w:color="000000" w:sz="4" w:space="0"/>
            </w:tcBorders>
          </w:tcPr>
          <w:p>
            <w:pPr>
              <w:rPr>
                <w:sz w:val="18"/>
                <w:szCs w:val="18"/>
              </w:rPr>
            </w:pPr>
            <w:r>
              <w:rPr>
                <w:sz w:val="18"/>
                <w:szCs w:val="18"/>
              </w:rPr>
              <w:t>修改材料规格要求，如规定铸造锭中原生铝加入废料的比例</w:t>
            </w:r>
          </w:p>
        </w:tc>
        <w:tc>
          <w:tcPr>
            <w:tcW w:w="974" w:type="dxa"/>
            <w:tcBorders>
              <w:top w:val="single" w:color="000000" w:sz="12" w:space="0"/>
              <w:left w:val="single" w:color="000000" w:sz="4" w:space="0"/>
              <w:bottom w:val="single" w:color="000000" w:sz="4" w:space="0"/>
              <w:right w:val="single" w:color="000000" w:sz="4" w:space="0"/>
            </w:tcBorders>
            <w:vAlign w:val="center"/>
          </w:tcPr>
          <w:p>
            <w:pPr>
              <w:jc w:val="center"/>
              <w:rPr>
                <w:sz w:val="18"/>
                <w:szCs w:val="18"/>
              </w:rPr>
            </w:pPr>
            <w:r>
              <w:rPr>
                <w:sz w:val="18"/>
                <w:szCs w:val="18"/>
              </w:rPr>
              <w:t>L1.1</w:t>
            </w:r>
          </w:p>
        </w:tc>
        <w:tc>
          <w:tcPr>
            <w:tcW w:w="888" w:type="dxa"/>
            <w:tcBorders>
              <w:top w:val="single" w:color="000000" w:sz="12"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888" w:type="dxa"/>
            <w:tcBorders>
              <w:top w:val="single" w:color="000000" w:sz="12"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738" w:type="dxa"/>
            <w:tcBorders>
              <w:top w:val="single" w:color="000000" w:sz="12"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659" w:type="dxa"/>
            <w:tcBorders>
              <w:top w:val="single" w:color="000000" w:sz="12"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762" w:type="dxa"/>
            <w:tcBorders>
              <w:top w:val="single" w:color="000000" w:sz="12"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629" w:type="dxa"/>
            <w:tcBorders>
              <w:top w:val="single" w:color="000000" w:sz="12" w:space="0"/>
              <w:left w:val="single" w:color="000000" w:sz="4" w:space="0"/>
              <w:bottom w:val="single" w:color="000000" w:sz="4" w:space="0"/>
            </w:tcBorders>
            <w:vAlign w:val="center"/>
          </w:tcPr>
          <w:p>
            <w:pPr>
              <w:jc w:val="center"/>
              <w:rPr>
                <w:sz w:val="18"/>
                <w:szCs w:val="18"/>
              </w:rPr>
            </w:pPr>
            <w:r>
              <w:rPr>
                <w:sz w:val="18"/>
                <w:szCs w:val="18"/>
              </w:rPr>
              <w:t>16</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trHeight w:val="47" w:hRule="atLeast"/>
        </w:trPr>
        <w:tc>
          <w:tcPr>
            <w:tcW w:w="879" w:type="dxa"/>
            <w:vMerge w:val="continue"/>
            <w:tcBorders>
              <w:top w:val="single" w:color="000000" w:sz="4" w:space="0"/>
              <w:bottom w:val="single" w:color="000000" w:sz="4" w:space="0"/>
              <w:right w:val="single" w:color="000000" w:sz="4" w:space="0"/>
            </w:tcBorders>
            <w:vAlign w:val="center"/>
          </w:tcPr>
          <w:p>
            <w:pPr>
              <w:jc w:val="center"/>
              <w:rPr>
                <w:sz w:val="18"/>
                <w:szCs w:val="18"/>
              </w:rPr>
            </w:pPr>
          </w:p>
        </w:tc>
        <w:tc>
          <w:tcPr>
            <w:tcW w:w="2993" w:type="dxa"/>
            <w:tcBorders>
              <w:top w:val="single" w:color="000000" w:sz="4" w:space="0"/>
              <w:left w:val="single" w:color="000000" w:sz="4" w:space="0"/>
              <w:bottom w:val="single" w:color="000000" w:sz="4" w:space="0"/>
              <w:right w:val="single" w:color="000000" w:sz="4" w:space="0"/>
            </w:tcBorders>
          </w:tcPr>
          <w:p>
            <w:pPr>
              <w:rPr>
                <w:sz w:val="18"/>
                <w:szCs w:val="18"/>
              </w:rPr>
            </w:pPr>
            <w:r>
              <w:rPr>
                <w:sz w:val="18"/>
                <w:szCs w:val="18"/>
              </w:rPr>
              <w:t>与供应商合作，尽可能减少进入工厂的包装材料种类，以便开展固体废弃物的再循环</w:t>
            </w: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L1.2</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659"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629" w:type="dxa"/>
            <w:tcBorders>
              <w:top w:val="single" w:color="000000" w:sz="4" w:space="0"/>
              <w:left w:val="single" w:color="000000" w:sz="4" w:space="0"/>
              <w:bottom w:val="single" w:color="000000" w:sz="4" w:space="0"/>
            </w:tcBorders>
            <w:vAlign w:val="center"/>
          </w:tcPr>
          <w:p>
            <w:pPr>
              <w:jc w:val="center"/>
              <w:rPr>
                <w:sz w:val="18"/>
                <w:szCs w:val="18"/>
              </w:rPr>
            </w:pPr>
            <w:r>
              <w:rPr>
                <w:sz w:val="18"/>
                <w:szCs w:val="18"/>
              </w:rPr>
              <w:t>12</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trHeight w:val="47" w:hRule="atLeast"/>
        </w:trPr>
        <w:tc>
          <w:tcPr>
            <w:tcW w:w="879" w:type="dxa"/>
            <w:vMerge w:val="continue"/>
            <w:tcBorders>
              <w:top w:val="single" w:color="000000" w:sz="4" w:space="0"/>
              <w:bottom w:val="single" w:color="000000" w:sz="4" w:space="0"/>
              <w:right w:val="single" w:color="000000" w:sz="4" w:space="0"/>
            </w:tcBorders>
            <w:vAlign w:val="center"/>
          </w:tcPr>
          <w:p>
            <w:pPr>
              <w:jc w:val="center"/>
              <w:rPr>
                <w:sz w:val="18"/>
                <w:szCs w:val="18"/>
              </w:rPr>
            </w:pPr>
          </w:p>
        </w:tc>
        <w:tc>
          <w:tcPr>
            <w:tcW w:w="2993" w:type="dxa"/>
            <w:tcBorders>
              <w:top w:val="single" w:color="000000" w:sz="4" w:space="0"/>
              <w:left w:val="single" w:color="000000" w:sz="4" w:space="0"/>
              <w:bottom w:val="single" w:color="000000" w:sz="4" w:space="0"/>
              <w:right w:val="single" w:color="000000" w:sz="4" w:space="0"/>
            </w:tcBorders>
          </w:tcPr>
          <w:p>
            <w:pPr>
              <w:rPr>
                <w:sz w:val="18"/>
                <w:szCs w:val="18"/>
              </w:rPr>
            </w:pPr>
            <w:r>
              <w:rPr>
                <w:sz w:val="18"/>
                <w:szCs w:val="18"/>
              </w:rPr>
              <w:t>使用具有可再生性或可降解性的清洁、环保包装材料，使其满足防护标准并能最终再循环</w:t>
            </w: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L3.1</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659"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629" w:type="dxa"/>
            <w:tcBorders>
              <w:top w:val="single" w:color="000000" w:sz="4" w:space="0"/>
              <w:left w:val="single" w:color="000000" w:sz="4" w:space="0"/>
              <w:bottom w:val="single" w:color="000000" w:sz="4" w:space="0"/>
            </w:tcBorders>
            <w:vAlign w:val="center"/>
          </w:tcPr>
          <w:p>
            <w:pPr>
              <w:jc w:val="center"/>
              <w:rPr>
                <w:sz w:val="18"/>
                <w:szCs w:val="18"/>
              </w:rPr>
            </w:pPr>
            <w:r>
              <w:rPr>
                <w:sz w:val="18"/>
                <w:szCs w:val="18"/>
              </w:rPr>
              <w:t>13</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trHeight w:val="47" w:hRule="atLeast"/>
        </w:trPr>
        <w:tc>
          <w:tcPr>
            <w:tcW w:w="879" w:type="dxa"/>
            <w:vMerge w:val="continue"/>
            <w:tcBorders>
              <w:top w:val="single" w:color="000000" w:sz="4" w:space="0"/>
              <w:bottom w:val="single" w:color="000000" w:sz="4" w:space="0"/>
              <w:right w:val="single" w:color="000000" w:sz="4" w:space="0"/>
            </w:tcBorders>
            <w:vAlign w:val="center"/>
          </w:tcPr>
          <w:p>
            <w:pPr>
              <w:jc w:val="center"/>
              <w:rPr>
                <w:sz w:val="18"/>
                <w:szCs w:val="18"/>
              </w:rPr>
            </w:pPr>
          </w:p>
        </w:tc>
        <w:tc>
          <w:tcPr>
            <w:tcW w:w="2993" w:type="dxa"/>
            <w:tcBorders>
              <w:top w:val="single" w:color="000000" w:sz="4" w:space="0"/>
              <w:left w:val="single" w:color="000000" w:sz="4" w:space="0"/>
              <w:bottom w:val="single" w:color="000000" w:sz="4" w:space="0"/>
              <w:right w:val="single" w:color="000000" w:sz="4" w:space="0"/>
            </w:tcBorders>
          </w:tcPr>
          <w:p>
            <w:pPr>
              <w:rPr>
                <w:sz w:val="18"/>
                <w:szCs w:val="18"/>
              </w:rPr>
            </w:pPr>
            <w:r>
              <w:rPr>
                <w:sz w:val="18"/>
                <w:szCs w:val="18"/>
              </w:rPr>
              <w:t>开展技术改造，淘汰耗能大的落后设备，引进节能型设备，提高能效水平</w:t>
            </w: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L</w:t>
            </w:r>
            <w:r>
              <w:rPr>
                <w:rFonts w:hint="eastAsia"/>
                <w:sz w:val="18"/>
                <w:szCs w:val="18"/>
              </w:rPr>
              <w:t>2.1</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sz w:val="18"/>
                <w:szCs w:val="18"/>
              </w:rPr>
              <w:t>+</w:t>
            </w:r>
          </w:p>
        </w:tc>
        <w:tc>
          <w:tcPr>
            <w:tcW w:w="659"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sz w:val="18"/>
                <w:szCs w:val="18"/>
              </w:rPr>
              <w:t>+</w:t>
            </w:r>
          </w:p>
        </w:tc>
        <w:tc>
          <w:tcPr>
            <w:tcW w:w="629" w:type="dxa"/>
            <w:tcBorders>
              <w:top w:val="single" w:color="000000" w:sz="4" w:space="0"/>
              <w:left w:val="single" w:color="000000" w:sz="4" w:space="0"/>
              <w:bottom w:val="single" w:color="000000" w:sz="4" w:space="0"/>
            </w:tcBorders>
            <w:vAlign w:val="center"/>
          </w:tcPr>
          <w:p>
            <w:pPr>
              <w:jc w:val="center"/>
              <w:rPr>
                <w:sz w:val="18"/>
                <w:szCs w:val="18"/>
              </w:rPr>
            </w:pPr>
            <w:r>
              <w:rPr>
                <w:sz w:val="18"/>
                <w:szCs w:val="18"/>
              </w:rPr>
              <w:t>1</w:t>
            </w:r>
            <w:r>
              <w:rPr>
                <w:rFonts w:hint="eastAsia"/>
                <w:sz w:val="18"/>
                <w:szCs w:val="18"/>
              </w:rPr>
              <w:t>6</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trHeight w:val="47" w:hRule="atLeast"/>
        </w:trPr>
        <w:tc>
          <w:tcPr>
            <w:tcW w:w="879" w:type="dxa"/>
            <w:vMerge w:val="continue"/>
            <w:tcBorders>
              <w:top w:val="single" w:color="000000" w:sz="4" w:space="0"/>
              <w:bottom w:val="single" w:color="000000" w:sz="4" w:space="0"/>
              <w:right w:val="single" w:color="000000" w:sz="4" w:space="0"/>
            </w:tcBorders>
            <w:vAlign w:val="center"/>
          </w:tcPr>
          <w:p>
            <w:pPr>
              <w:jc w:val="center"/>
              <w:rPr>
                <w:sz w:val="18"/>
                <w:szCs w:val="18"/>
              </w:rPr>
            </w:pPr>
          </w:p>
        </w:tc>
        <w:tc>
          <w:tcPr>
            <w:tcW w:w="2993" w:type="dxa"/>
            <w:tcBorders>
              <w:top w:val="single" w:color="000000" w:sz="4" w:space="0"/>
              <w:left w:val="single" w:color="000000" w:sz="4" w:space="0"/>
              <w:bottom w:val="single" w:color="000000" w:sz="4" w:space="0"/>
              <w:right w:val="single" w:color="000000" w:sz="4" w:space="0"/>
            </w:tcBorders>
          </w:tcPr>
          <w:p>
            <w:pPr>
              <w:rPr>
                <w:sz w:val="18"/>
                <w:szCs w:val="18"/>
              </w:rPr>
            </w:pPr>
            <w:r>
              <w:rPr>
                <w:sz w:val="18"/>
                <w:szCs w:val="18"/>
              </w:rPr>
              <w:t>煲模废碱液、铝灰应采用先进处理工艺对其进行资源化、减量化处理，减少污染物排放</w:t>
            </w: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L2.2</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sz w:val="18"/>
                <w:szCs w:val="18"/>
              </w:rPr>
              <w:t>+</w:t>
            </w:r>
          </w:p>
        </w:tc>
        <w:tc>
          <w:tcPr>
            <w:tcW w:w="659"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629" w:type="dxa"/>
            <w:tcBorders>
              <w:top w:val="single" w:color="000000" w:sz="4" w:space="0"/>
              <w:left w:val="single" w:color="000000" w:sz="4" w:space="0"/>
              <w:bottom w:val="single" w:color="000000" w:sz="4" w:space="0"/>
            </w:tcBorders>
            <w:vAlign w:val="center"/>
          </w:tcPr>
          <w:p>
            <w:pPr>
              <w:jc w:val="center"/>
              <w:rPr>
                <w:sz w:val="18"/>
                <w:szCs w:val="18"/>
              </w:rPr>
            </w:pPr>
            <w:r>
              <w:rPr>
                <w:sz w:val="18"/>
                <w:szCs w:val="18"/>
              </w:rPr>
              <w:t>16</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trHeight w:val="78" w:hRule="atLeast"/>
        </w:trPr>
        <w:tc>
          <w:tcPr>
            <w:tcW w:w="879" w:type="dxa"/>
            <w:vMerge w:val="restart"/>
            <w:tcBorders>
              <w:top w:val="single" w:color="000000" w:sz="4" w:space="0"/>
              <w:bottom w:val="single" w:color="000000" w:sz="4" w:space="0"/>
              <w:right w:val="single" w:color="000000" w:sz="4" w:space="0"/>
            </w:tcBorders>
            <w:vAlign w:val="center"/>
          </w:tcPr>
          <w:p>
            <w:pPr>
              <w:jc w:val="center"/>
              <w:rPr>
                <w:sz w:val="18"/>
                <w:szCs w:val="18"/>
              </w:rPr>
            </w:pPr>
            <w:r>
              <w:rPr>
                <w:sz w:val="18"/>
                <w:szCs w:val="18"/>
              </w:rPr>
              <w:t>设计</w:t>
            </w:r>
          </w:p>
        </w:tc>
        <w:tc>
          <w:tcPr>
            <w:tcW w:w="2993" w:type="dxa"/>
            <w:tcBorders>
              <w:top w:val="single" w:color="000000" w:sz="4" w:space="0"/>
              <w:left w:val="single" w:color="000000" w:sz="4" w:space="0"/>
              <w:bottom w:val="single" w:color="000000" w:sz="4" w:space="0"/>
              <w:right w:val="single" w:color="000000" w:sz="4" w:space="0"/>
            </w:tcBorders>
          </w:tcPr>
          <w:p>
            <w:pPr>
              <w:rPr>
                <w:sz w:val="18"/>
                <w:szCs w:val="18"/>
              </w:rPr>
            </w:pPr>
            <w:r>
              <w:rPr>
                <w:rFonts w:hint="eastAsia"/>
                <w:sz w:val="18"/>
                <w:szCs w:val="18"/>
              </w:rPr>
              <w:t>减少原生铝的使用，更多使用再生铝原料</w:t>
            </w: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L1.3</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659"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629" w:type="dxa"/>
            <w:tcBorders>
              <w:top w:val="single" w:color="000000" w:sz="4" w:space="0"/>
              <w:left w:val="single" w:color="000000" w:sz="4" w:space="0"/>
              <w:bottom w:val="single" w:color="000000" w:sz="4" w:space="0"/>
            </w:tcBorders>
            <w:vAlign w:val="center"/>
          </w:tcPr>
          <w:p>
            <w:pPr>
              <w:jc w:val="center"/>
              <w:rPr>
                <w:sz w:val="18"/>
                <w:szCs w:val="18"/>
              </w:rPr>
            </w:pPr>
            <w:r>
              <w:rPr>
                <w:sz w:val="18"/>
                <w:szCs w:val="18"/>
              </w:rPr>
              <w:t>18</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trHeight w:val="47" w:hRule="atLeast"/>
        </w:trPr>
        <w:tc>
          <w:tcPr>
            <w:tcW w:w="879" w:type="dxa"/>
            <w:vMerge w:val="continue"/>
            <w:tcBorders>
              <w:top w:val="single" w:color="000000" w:sz="4" w:space="0"/>
              <w:bottom w:val="single" w:color="000000" w:sz="4" w:space="0"/>
              <w:right w:val="single" w:color="000000" w:sz="4" w:space="0"/>
            </w:tcBorders>
            <w:vAlign w:val="center"/>
          </w:tcPr>
          <w:p>
            <w:pPr>
              <w:jc w:val="center"/>
              <w:rPr>
                <w:sz w:val="18"/>
                <w:szCs w:val="18"/>
              </w:rPr>
            </w:pPr>
          </w:p>
        </w:tc>
        <w:tc>
          <w:tcPr>
            <w:tcW w:w="2993" w:type="dxa"/>
            <w:tcBorders>
              <w:top w:val="single" w:color="000000" w:sz="4" w:space="0"/>
              <w:left w:val="single" w:color="000000" w:sz="4" w:space="0"/>
              <w:bottom w:val="single" w:color="000000" w:sz="4" w:space="0"/>
              <w:right w:val="single" w:color="000000" w:sz="4" w:space="0"/>
            </w:tcBorders>
          </w:tcPr>
          <w:p>
            <w:pPr>
              <w:rPr>
                <w:sz w:val="18"/>
                <w:szCs w:val="18"/>
              </w:rPr>
            </w:pPr>
            <w:r>
              <w:rPr>
                <w:rFonts w:hint="eastAsia"/>
                <w:sz w:val="18"/>
                <w:szCs w:val="18"/>
              </w:rPr>
              <w:t>通过信息化手段进行产品设计与仿真，提高产品成材率</w:t>
            </w: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L2.3</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659"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629" w:type="dxa"/>
            <w:tcBorders>
              <w:top w:val="single" w:color="000000" w:sz="4" w:space="0"/>
              <w:left w:val="single" w:color="000000" w:sz="4" w:space="0"/>
              <w:bottom w:val="single" w:color="000000" w:sz="4" w:space="0"/>
            </w:tcBorders>
            <w:vAlign w:val="center"/>
          </w:tcPr>
          <w:p>
            <w:pPr>
              <w:jc w:val="center"/>
              <w:rPr>
                <w:sz w:val="18"/>
                <w:szCs w:val="18"/>
              </w:rPr>
            </w:pPr>
            <w:r>
              <w:rPr>
                <w:sz w:val="18"/>
                <w:szCs w:val="18"/>
              </w:rPr>
              <w:t>15</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trHeight w:val="304" w:hRule="atLeast"/>
        </w:trPr>
        <w:tc>
          <w:tcPr>
            <w:tcW w:w="879" w:type="dxa"/>
            <w:vMerge w:val="restart"/>
            <w:tcBorders>
              <w:top w:val="single" w:color="000000" w:sz="4" w:space="0"/>
              <w:bottom w:val="single" w:color="000000" w:sz="4" w:space="0"/>
              <w:right w:val="single" w:color="000000" w:sz="4" w:space="0"/>
            </w:tcBorders>
            <w:vAlign w:val="center"/>
          </w:tcPr>
          <w:p>
            <w:pPr>
              <w:jc w:val="center"/>
              <w:rPr>
                <w:sz w:val="18"/>
                <w:szCs w:val="18"/>
              </w:rPr>
            </w:pPr>
            <w:r>
              <w:rPr>
                <w:sz w:val="18"/>
                <w:szCs w:val="18"/>
              </w:rPr>
              <w:t>管理</w:t>
            </w:r>
          </w:p>
        </w:tc>
        <w:tc>
          <w:tcPr>
            <w:tcW w:w="2993" w:type="dxa"/>
            <w:tcBorders>
              <w:top w:val="single" w:color="000000" w:sz="4" w:space="0"/>
              <w:left w:val="single" w:color="000000" w:sz="4" w:space="0"/>
              <w:bottom w:val="single" w:color="000000" w:sz="4" w:space="0"/>
              <w:right w:val="single" w:color="000000" w:sz="4" w:space="0"/>
            </w:tcBorders>
          </w:tcPr>
          <w:p>
            <w:pPr>
              <w:rPr>
                <w:sz w:val="18"/>
                <w:szCs w:val="18"/>
              </w:rPr>
            </w:pPr>
            <w:r>
              <w:rPr>
                <w:rFonts w:hint="eastAsia"/>
                <w:sz w:val="18"/>
                <w:szCs w:val="18"/>
              </w:rPr>
              <w:t>优化产品性能，提高产品使用寿命</w:t>
            </w: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L4.1</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659"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629" w:type="dxa"/>
            <w:tcBorders>
              <w:top w:val="single" w:color="000000" w:sz="4" w:space="0"/>
              <w:left w:val="single" w:color="000000" w:sz="4" w:space="0"/>
              <w:bottom w:val="single" w:color="000000" w:sz="4" w:space="0"/>
            </w:tcBorders>
            <w:vAlign w:val="center"/>
          </w:tcPr>
          <w:p>
            <w:pPr>
              <w:jc w:val="center"/>
              <w:rPr>
                <w:sz w:val="18"/>
                <w:szCs w:val="18"/>
              </w:rPr>
            </w:pPr>
            <w:r>
              <w:rPr>
                <w:sz w:val="18"/>
                <w:szCs w:val="18"/>
              </w:rPr>
              <w:t>13</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trHeight w:val="304" w:hRule="atLeast"/>
        </w:trPr>
        <w:tc>
          <w:tcPr>
            <w:tcW w:w="879" w:type="dxa"/>
            <w:vMerge w:val="continue"/>
            <w:tcBorders>
              <w:top w:val="single" w:color="000000" w:sz="4" w:space="0"/>
              <w:bottom w:val="single" w:color="000000" w:sz="4" w:space="0"/>
              <w:right w:val="single" w:color="000000" w:sz="4" w:space="0"/>
            </w:tcBorders>
            <w:vAlign w:val="center"/>
          </w:tcPr>
          <w:p>
            <w:pPr>
              <w:jc w:val="center"/>
              <w:rPr>
                <w:sz w:val="18"/>
                <w:szCs w:val="18"/>
              </w:rPr>
            </w:pPr>
          </w:p>
        </w:tc>
        <w:tc>
          <w:tcPr>
            <w:tcW w:w="2993" w:type="dxa"/>
            <w:tcBorders>
              <w:top w:val="single" w:color="000000" w:sz="4" w:space="0"/>
              <w:left w:val="single" w:color="000000" w:sz="4" w:space="0"/>
              <w:bottom w:val="single" w:color="000000" w:sz="4" w:space="0"/>
              <w:right w:val="single" w:color="000000" w:sz="4" w:space="0"/>
            </w:tcBorders>
          </w:tcPr>
          <w:p>
            <w:pPr>
              <w:rPr>
                <w:sz w:val="18"/>
                <w:szCs w:val="18"/>
              </w:rPr>
            </w:pPr>
            <w:r>
              <w:rPr>
                <w:rFonts w:hint="eastAsia"/>
                <w:sz w:val="18"/>
                <w:szCs w:val="18"/>
              </w:rPr>
              <w:t>改进产品结构，优化安装方式，减少对周围环境的影响</w:t>
            </w: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L5.1</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659"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w:t>
            </w:r>
          </w:p>
        </w:tc>
        <w:tc>
          <w:tcPr>
            <w:tcW w:w="629" w:type="dxa"/>
            <w:tcBorders>
              <w:top w:val="single" w:color="000000" w:sz="4" w:space="0"/>
              <w:left w:val="single" w:color="000000" w:sz="4" w:space="0"/>
              <w:bottom w:val="single" w:color="000000" w:sz="4" w:space="0"/>
            </w:tcBorders>
            <w:vAlign w:val="center"/>
          </w:tcPr>
          <w:p>
            <w:pPr>
              <w:jc w:val="center"/>
              <w:rPr>
                <w:sz w:val="18"/>
                <w:szCs w:val="18"/>
              </w:rPr>
            </w:pPr>
            <w:r>
              <w:rPr>
                <w:sz w:val="18"/>
                <w:szCs w:val="18"/>
              </w:rPr>
              <w:t>1</w:t>
            </w:r>
            <w:r>
              <w:rPr>
                <w:rFonts w:hint="eastAsia"/>
                <w:sz w:val="18"/>
                <w:szCs w:val="18"/>
              </w:rPr>
              <w:t>3</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trHeight w:val="304" w:hRule="atLeast"/>
        </w:trPr>
        <w:tc>
          <w:tcPr>
            <w:tcW w:w="879" w:type="dxa"/>
            <w:vMerge w:val="continue"/>
            <w:tcBorders>
              <w:top w:val="single" w:color="000000" w:sz="4" w:space="0"/>
              <w:right w:val="single" w:color="000000" w:sz="4" w:space="0"/>
            </w:tcBorders>
            <w:vAlign w:val="center"/>
          </w:tcPr>
          <w:p>
            <w:pPr>
              <w:jc w:val="center"/>
              <w:rPr>
                <w:sz w:val="18"/>
                <w:szCs w:val="18"/>
              </w:rPr>
            </w:pPr>
          </w:p>
        </w:tc>
        <w:tc>
          <w:tcPr>
            <w:tcW w:w="2993" w:type="dxa"/>
            <w:tcBorders>
              <w:top w:val="single" w:color="000000" w:sz="4" w:space="0"/>
              <w:left w:val="single" w:color="000000" w:sz="4" w:space="0"/>
              <w:right w:val="single" w:color="000000" w:sz="4" w:space="0"/>
            </w:tcBorders>
          </w:tcPr>
          <w:p>
            <w:pPr>
              <w:rPr>
                <w:sz w:val="18"/>
                <w:szCs w:val="18"/>
              </w:rPr>
            </w:pPr>
            <w:r>
              <w:rPr>
                <w:rFonts w:hint="eastAsia"/>
                <w:sz w:val="18"/>
                <w:szCs w:val="18"/>
              </w:rPr>
              <w:t>建立专业工程团队，提高产品回收率</w:t>
            </w:r>
          </w:p>
        </w:tc>
        <w:tc>
          <w:tcPr>
            <w:tcW w:w="974" w:type="dxa"/>
            <w:tcBorders>
              <w:top w:val="single" w:color="000000" w:sz="4" w:space="0"/>
              <w:left w:val="single" w:color="000000" w:sz="4" w:space="0"/>
              <w:right w:val="single" w:color="000000" w:sz="4" w:space="0"/>
            </w:tcBorders>
            <w:vAlign w:val="center"/>
          </w:tcPr>
          <w:p>
            <w:pPr>
              <w:jc w:val="center"/>
              <w:rPr>
                <w:sz w:val="18"/>
                <w:szCs w:val="18"/>
              </w:rPr>
            </w:pPr>
            <w:r>
              <w:rPr>
                <w:sz w:val="18"/>
                <w:szCs w:val="18"/>
              </w:rPr>
              <w:t>L5.2</w:t>
            </w:r>
          </w:p>
        </w:tc>
        <w:tc>
          <w:tcPr>
            <w:tcW w:w="888" w:type="dxa"/>
            <w:tcBorders>
              <w:top w:val="single" w:color="000000" w:sz="4" w:space="0"/>
              <w:left w:val="single" w:color="000000" w:sz="4" w:space="0"/>
              <w:right w:val="single" w:color="000000" w:sz="4" w:space="0"/>
            </w:tcBorders>
            <w:vAlign w:val="center"/>
          </w:tcPr>
          <w:p>
            <w:pPr>
              <w:jc w:val="center"/>
              <w:rPr>
                <w:sz w:val="18"/>
                <w:szCs w:val="18"/>
              </w:rPr>
            </w:pPr>
            <w:r>
              <w:rPr>
                <w:sz w:val="18"/>
                <w:szCs w:val="18"/>
              </w:rPr>
              <w:t>++</w:t>
            </w:r>
          </w:p>
        </w:tc>
        <w:tc>
          <w:tcPr>
            <w:tcW w:w="888" w:type="dxa"/>
            <w:tcBorders>
              <w:top w:val="single" w:color="000000" w:sz="4" w:space="0"/>
              <w:left w:val="single" w:color="000000" w:sz="4" w:space="0"/>
              <w:right w:val="single" w:color="000000" w:sz="4" w:space="0"/>
            </w:tcBorders>
            <w:vAlign w:val="center"/>
          </w:tcPr>
          <w:p>
            <w:pPr>
              <w:jc w:val="center"/>
              <w:rPr>
                <w:sz w:val="18"/>
                <w:szCs w:val="18"/>
              </w:rPr>
            </w:pPr>
            <w:r>
              <w:rPr>
                <w:sz w:val="18"/>
                <w:szCs w:val="18"/>
              </w:rPr>
              <w:t>+</w:t>
            </w:r>
          </w:p>
        </w:tc>
        <w:tc>
          <w:tcPr>
            <w:tcW w:w="738" w:type="dxa"/>
            <w:tcBorders>
              <w:top w:val="single" w:color="000000" w:sz="4" w:space="0"/>
              <w:left w:val="single" w:color="000000" w:sz="4" w:space="0"/>
              <w:right w:val="single" w:color="000000" w:sz="4" w:space="0"/>
            </w:tcBorders>
            <w:vAlign w:val="center"/>
          </w:tcPr>
          <w:p>
            <w:pPr>
              <w:jc w:val="center"/>
              <w:rPr>
                <w:sz w:val="18"/>
                <w:szCs w:val="18"/>
              </w:rPr>
            </w:pPr>
            <w:r>
              <w:rPr>
                <w:sz w:val="18"/>
                <w:szCs w:val="18"/>
              </w:rPr>
              <w:t>+/-</w:t>
            </w:r>
          </w:p>
        </w:tc>
        <w:tc>
          <w:tcPr>
            <w:tcW w:w="659" w:type="dxa"/>
            <w:tcBorders>
              <w:top w:val="single" w:color="000000" w:sz="4" w:space="0"/>
              <w:left w:val="single" w:color="000000" w:sz="4" w:space="0"/>
              <w:right w:val="single" w:color="000000" w:sz="4" w:space="0"/>
            </w:tcBorders>
            <w:vAlign w:val="center"/>
          </w:tcPr>
          <w:p>
            <w:pPr>
              <w:jc w:val="center"/>
              <w:rPr>
                <w:sz w:val="18"/>
                <w:szCs w:val="18"/>
              </w:rPr>
            </w:pPr>
            <w:r>
              <w:rPr>
                <w:sz w:val="18"/>
                <w:szCs w:val="18"/>
              </w:rPr>
              <w:t>+</w:t>
            </w:r>
          </w:p>
        </w:tc>
        <w:tc>
          <w:tcPr>
            <w:tcW w:w="762" w:type="dxa"/>
            <w:tcBorders>
              <w:top w:val="single" w:color="000000" w:sz="4" w:space="0"/>
              <w:left w:val="single" w:color="000000" w:sz="4" w:space="0"/>
              <w:right w:val="single" w:color="000000" w:sz="4" w:space="0"/>
            </w:tcBorders>
            <w:vAlign w:val="center"/>
          </w:tcPr>
          <w:p>
            <w:pPr>
              <w:jc w:val="center"/>
              <w:rPr>
                <w:sz w:val="18"/>
                <w:szCs w:val="18"/>
              </w:rPr>
            </w:pPr>
            <w:r>
              <w:rPr>
                <w:sz w:val="18"/>
                <w:szCs w:val="18"/>
              </w:rPr>
              <w:t>-</w:t>
            </w:r>
          </w:p>
        </w:tc>
        <w:tc>
          <w:tcPr>
            <w:tcW w:w="629" w:type="dxa"/>
            <w:tcBorders>
              <w:top w:val="single" w:color="000000" w:sz="4" w:space="0"/>
              <w:left w:val="single" w:color="000000" w:sz="4" w:space="0"/>
            </w:tcBorders>
            <w:vAlign w:val="center"/>
          </w:tcPr>
          <w:p>
            <w:pPr>
              <w:jc w:val="center"/>
              <w:rPr>
                <w:sz w:val="18"/>
                <w:szCs w:val="18"/>
              </w:rPr>
            </w:pPr>
            <w:r>
              <w:rPr>
                <w:sz w:val="18"/>
                <w:szCs w:val="18"/>
              </w:rPr>
              <w:t>1</w:t>
            </w:r>
            <w:r>
              <w:rPr>
                <w:rFonts w:hint="eastAsia"/>
                <w:sz w:val="18"/>
                <w:szCs w:val="18"/>
              </w:rPr>
              <w:t>3</w:t>
            </w:r>
          </w:p>
        </w:tc>
      </w:tr>
    </w:tbl>
    <w:p>
      <w:pPr>
        <w:tabs>
          <w:tab w:val="left" w:pos="360"/>
        </w:tabs>
        <w:wordWrap w:val="0"/>
        <w:overflowPunct w:val="0"/>
        <w:autoSpaceDE w:val="0"/>
        <w:autoSpaceDN w:val="0"/>
        <w:spacing w:before="156" w:beforeLines="50" w:after="156" w:afterLines="50"/>
        <w:textAlignment w:val="baseline"/>
        <w:outlineLvl w:val="2"/>
        <w:rPr>
          <w:rFonts w:ascii="黑体" w:hAnsi="等线" w:eastAsia="黑体"/>
          <w:kern w:val="21"/>
          <w:szCs w:val="20"/>
        </w:rPr>
      </w:pPr>
      <w:bookmarkStart w:id="81" w:name="_Toc34746210"/>
      <w:r>
        <w:rPr>
          <w:rFonts w:ascii="黑体" w:hAnsi="等线" w:eastAsia="黑体"/>
          <w:kern w:val="21"/>
          <w:szCs w:val="20"/>
        </w:rPr>
        <w:t xml:space="preserve">C.2.3 </w:t>
      </w:r>
      <w:r>
        <w:rPr>
          <w:rFonts w:hint="eastAsia" w:ascii="黑体" w:hAnsi="等线" w:eastAsia="黑体"/>
          <w:kern w:val="21"/>
          <w:szCs w:val="20"/>
        </w:rPr>
        <w:t>实施者优先排序图和生命周期阶段优先排序图</w:t>
      </w:r>
      <w:bookmarkEnd w:id="81"/>
    </w:p>
    <w:p>
      <w:pPr>
        <w:ind w:firstLine="420"/>
      </w:pPr>
      <w:r>
        <w:rPr>
          <w:rFonts w:hint="eastAsia"/>
        </w:rPr>
        <w:t>图</w:t>
      </w:r>
      <w:r>
        <w:t>C.1</w:t>
      </w:r>
      <w:r>
        <w:rPr>
          <w:rFonts w:hint="eastAsia"/>
        </w:rPr>
        <w:t>为实施者优先排序图，可以看出在原材料</w:t>
      </w:r>
      <w:r>
        <w:t>获取和加工</w:t>
      </w:r>
      <w:r>
        <w:rPr>
          <w:rFonts w:hint="eastAsia"/>
        </w:rPr>
        <w:t>环节，有两项措施最为优先：一是减少原生铝的使用，更多使用再生铝原料；二是铸造锭中原生铝加入废料的比例；</w:t>
      </w:r>
      <w:r>
        <w:t>在产品制造环节突出的</w:t>
      </w:r>
      <w:r>
        <w:rPr>
          <w:rFonts w:hint="eastAsia"/>
        </w:rPr>
        <w:t>改进方案是淘汰耗能大的落后设备，引进节能型设备和煲模废碱液、铝灰应采用先进处理工艺对其进行资源化、减量化处理。</w:t>
      </w:r>
    </w:p>
    <w:p>
      <w:pPr>
        <w:spacing w:after="156" w:afterLines="50"/>
        <w:ind w:firstLine="420"/>
      </w:pPr>
      <w:r>
        <w:rPr>
          <w:rFonts w:hint="eastAsia"/>
        </w:rPr>
        <w:t>图</w:t>
      </w:r>
      <w:r>
        <w:t>C.2</w:t>
      </w:r>
      <w:r>
        <w:rPr>
          <w:rFonts w:hint="eastAsia"/>
        </w:rPr>
        <w:t>生命周期阶段优先排序图，为改进方案提供了一个新的评估手段，即将改进方案按时间和空间进行排序。例如，原材料</w:t>
      </w:r>
      <w:r>
        <w:t>获取和加工阶段</w:t>
      </w:r>
      <w:r>
        <w:rPr>
          <w:rFonts w:hint="eastAsia"/>
        </w:rPr>
        <w:t>改进方案的优先度很高，因此该阶段的环境影响相对较大。而产品</w:t>
      </w:r>
      <w:r>
        <w:t>最终处理阶段</w:t>
      </w:r>
      <w:r>
        <w:rPr>
          <w:rFonts w:hint="eastAsia"/>
        </w:rPr>
        <w:t>改进方案的优先度较低。</w:t>
      </w:r>
    </w:p>
    <w:p>
      <w:pPr>
        <w:jc w:val="center"/>
        <w:rPr>
          <w:rFonts w:ascii="黑体" w:hAnsi="黑体" w:eastAsia="黑体"/>
          <w:color w:val="FF0000"/>
          <w:sz w:val="18"/>
          <w:szCs w:val="18"/>
        </w:rPr>
      </w:pPr>
      <w:r>
        <w:drawing>
          <wp:inline distT="0" distB="0" distL="0" distR="0">
            <wp:extent cx="4572000" cy="2743200"/>
            <wp:effectExtent l="0" t="0" r="0" b="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center"/>
        <w:rPr>
          <w:rFonts w:ascii="黑体" w:hAnsi="黑体" w:eastAsia="黑体"/>
          <w:color w:val="FF0000"/>
          <w:sz w:val="18"/>
          <w:szCs w:val="18"/>
        </w:rPr>
      </w:pPr>
    </w:p>
    <w:p>
      <w:pPr>
        <w:jc w:val="center"/>
        <w:rPr>
          <w:rFonts w:hAnsi="宋体"/>
          <w:sz w:val="18"/>
          <w:szCs w:val="18"/>
        </w:rPr>
      </w:pPr>
      <w:r>
        <w:rPr>
          <w:rFonts w:hint="eastAsia" w:ascii="黑体" w:hAnsi="黑体" w:eastAsia="黑体"/>
          <w:sz w:val="18"/>
          <w:szCs w:val="18"/>
        </w:rPr>
        <w:t>注：</w:t>
      </w:r>
      <w:r>
        <w:rPr>
          <w:rFonts w:hint="eastAsia" w:hAnsi="宋体"/>
          <w:sz w:val="18"/>
          <w:szCs w:val="18"/>
        </w:rPr>
        <w:t>横轴上对应的是关于生产（</w:t>
      </w:r>
      <w:r>
        <w:rPr>
          <w:rFonts w:hAnsi="宋体"/>
          <w:sz w:val="18"/>
          <w:szCs w:val="18"/>
        </w:rPr>
        <w:t>M</w:t>
      </w:r>
      <w:r>
        <w:rPr>
          <w:rFonts w:hint="eastAsia" w:hAnsi="宋体"/>
          <w:sz w:val="18"/>
          <w:szCs w:val="18"/>
        </w:rPr>
        <w:t>）、设计（</w:t>
      </w:r>
      <w:r>
        <w:rPr>
          <w:rFonts w:hAnsi="宋体"/>
          <w:sz w:val="18"/>
          <w:szCs w:val="18"/>
        </w:rPr>
        <w:t>D</w:t>
      </w:r>
      <w:r>
        <w:rPr>
          <w:rFonts w:hint="eastAsia" w:hAnsi="宋体"/>
          <w:sz w:val="18"/>
          <w:szCs w:val="18"/>
        </w:rPr>
        <w:t>）和管理（</w:t>
      </w:r>
      <w:r>
        <w:rPr>
          <w:rFonts w:hAnsi="宋体"/>
          <w:sz w:val="18"/>
          <w:szCs w:val="18"/>
        </w:rPr>
        <w:t>MG</w:t>
      </w:r>
      <w:r>
        <w:rPr>
          <w:rFonts w:hint="eastAsia" w:hAnsi="宋体"/>
          <w:sz w:val="18"/>
          <w:szCs w:val="18"/>
        </w:rPr>
        <w:t>）的改进方案；纵轴上，数字越大表明优先度越高。</w:t>
      </w:r>
    </w:p>
    <w:p>
      <w:pPr>
        <w:spacing w:before="156" w:beforeLines="50" w:after="156" w:afterLines="50"/>
        <w:jc w:val="center"/>
        <w:rPr>
          <w:rFonts w:ascii="黑体" w:hAnsi="黑体" w:eastAsia="黑体"/>
          <w:szCs w:val="21"/>
        </w:rPr>
      </w:pPr>
      <w:r>
        <w:rPr>
          <w:rFonts w:hint="eastAsia" w:ascii="黑体" w:hAnsi="黑体" w:eastAsia="黑体"/>
          <w:szCs w:val="21"/>
        </w:rPr>
        <w:t>图</w:t>
      </w:r>
      <w:r>
        <w:rPr>
          <w:rFonts w:ascii="黑体" w:hAnsi="黑体" w:eastAsia="黑体"/>
          <w:szCs w:val="21"/>
        </w:rPr>
        <w:t xml:space="preserve">C.1 </w:t>
      </w:r>
      <w:r>
        <w:rPr>
          <w:rFonts w:hint="eastAsia" w:ascii="黑体" w:hAnsi="黑体" w:eastAsia="黑体"/>
          <w:szCs w:val="21"/>
        </w:rPr>
        <w:t>某刚性导电汇流排铝型材产品改进方案的实施者优先排序图</w:t>
      </w:r>
    </w:p>
    <w:p>
      <w:pPr>
        <w:spacing w:before="156" w:beforeLines="50" w:after="156" w:afterLines="50"/>
        <w:jc w:val="center"/>
        <w:rPr>
          <w:rFonts w:ascii="黑体" w:hAnsi="黑体" w:eastAsia="黑体"/>
          <w:color w:val="FF0000"/>
          <w:szCs w:val="21"/>
        </w:rPr>
      </w:pPr>
      <w:r>
        <w:drawing>
          <wp:inline distT="0" distB="0" distL="0" distR="0">
            <wp:extent cx="4572000" cy="2743200"/>
            <wp:effectExtent l="0" t="0" r="0" b="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ind w:firstLine="360"/>
        <w:jc w:val="center"/>
        <w:rPr>
          <w:rFonts w:hAnsi="宋体"/>
          <w:sz w:val="18"/>
          <w:szCs w:val="18"/>
        </w:rPr>
      </w:pPr>
      <w:r>
        <w:rPr>
          <w:rFonts w:hint="eastAsia" w:ascii="黑体" w:hAnsi="黑体" w:eastAsia="黑体"/>
          <w:sz w:val="18"/>
          <w:szCs w:val="18"/>
        </w:rPr>
        <w:t>注：</w:t>
      </w:r>
      <w:r>
        <w:rPr>
          <w:rFonts w:hint="eastAsia" w:hAnsi="宋体"/>
          <w:sz w:val="18"/>
          <w:szCs w:val="18"/>
        </w:rPr>
        <w:t>每个柱状图下方代码的第一个数字表示相应的生命周期阶段，第二个数字表示改进方案的序号。</w:t>
      </w:r>
    </w:p>
    <w:p>
      <w:pPr>
        <w:spacing w:before="156" w:beforeLines="50" w:after="156" w:afterLines="50"/>
        <w:jc w:val="center"/>
      </w:pPr>
      <w:r>
        <w:rPr>
          <w:rFonts w:hint="eastAsia" w:ascii="黑体" w:hAnsi="黑体" w:eastAsia="黑体"/>
          <w:szCs w:val="21"/>
        </w:rPr>
        <w:t>图</w:t>
      </w:r>
      <w:r>
        <w:rPr>
          <w:rFonts w:ascii="黑体" w:hAnsi="黑体" w:eastAsia="黑体"/>
          <w:szCs w:val="21"/>
        </w:rPr>
        <w:t xml:space="preserve">C.2  </w:t>
      </w:r>
      <w:r>
        <w:rPr>
          <w:rFonts w:hint="eastAsia" w:ascii="黑体" w:hAnsi="黑体" w:eastAsia="黑体"/>
          <w:szCs w:val="21"/>
        </w:rPr>
        <w:t>某刚性导电汇流排铝型材产品改进方案的生命周期阶段优先</w:t>
      </w:r>
      <w:bookmarkEnd w:id="78"/>
      <w:r>
        <w:rPr>
          <w:rFonts w:hint="eastAsia" w:ascii="黑体" w:hAnsi="黑体" w:eastAsia="黑体"/>
          <w:szCs w:val="21"/>
        </w:rPr>
        <w:t>排序图</w:t>
      </w:r>
    </w:p>
    <w:p>
      <w:pPr>
        <w:numPr>
          <w:ilvl w:val="1"/>
          <w:numId w:val="0"/>
        </w:numPr>
        <w:ind w:firstLine="420"/>
        <w:rPr>
          <w:color w:val="FF0000"/>
          <w:kern w:val="0"/>
          <w:szCs w:val="21"/>
        </w:rPr>
      </w:pPr>
    </w:p>
    <w:p>
      <w:pPr>
        <w:numPr>
          <w:ilvl w:val="1"/>
          <w:numId w:val="0"/>
        </w:numPr>
        <w:ind w:firstLine="420"/>
        <w:rPr>
          <w:color w:val="FF0000"/>
          <w:kern w:val="0"/>
          <w:szCs w:val="21"/>
        </w:rPr>
      </w:pPr>
    </w:p>
    <w:bookmarkEnd w:id="67"/>
    <w:p>
      <w:pPr>
        <w:pStyle w:val="57"/>
        <w:ind w:firstLine="420"/>
        <w:rPr>
          <w:color w:val="FF0000"/>
        </w:rPr>
      </w:pPr>
    </w:p>
    <w:sectPr>
      <w:type w:val="continuous"/>
      <w:pgSz w:w="11907" w:h="16839"/>
      <w:pgMar w:top="1418" w:right="1276" w:bottom="1418" w:left="1418" w:header="1418" w:footer="851" w:gutter="0"/>
      <w:pgNumType w:start="17"/>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宋体e眠副浡渀.">
    <w:altName w:val="宋体"/>
    <w:panose1 w:val="00000000000000000000"/>
    <w:charset w:val="86"/>
    <w:family w:val="roman"/>
    <w:pitch w:val="default"/>
    <w:sig w:usb0="00000000" w:usb1="00000000" w:usb2="00000010" w:usb3="00000000" w:csb0="00040000" w:csb1="00000000"/>
  </w:font>
  <w:font w:name="宋体ê....">
    <w:altName w:val="宋体"/>
    <w:panose1 w:val="00000000000000000000"/>
    <w:charset w:val="86"/>
    <w:family w:val="roman"/>
    <w:pitch w:val="default"/>
    <w:sig w:usb0="00000000" w:usb1="00000000" w:usb2="0000001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Style w:val="36"/>
      </w:rPr>
    </w:pPr>
    <w:r>
      <w:rPr>
        <w:rStyle w:val="36"/>
      </w:rPr>
      <w:fldChar w:fldCharType="begin"/>
    </w:r>
    <w:r>
      <w:rPr>
        <w:rStyle w:val="36"/>
      </w:rPr>
      <w:instrText xml:space="preserve">PAGE  </w:instrText>
    </w:r>
    <w:r>
      <w:rPr>
        <w:rStyle w:val="36"/>
      </w:rPr>
      <w:fldChar w:fldCharType="separate"/>
    </w:r>
    <w:r>
      <w:rPr>
        <w:rStyle w:val="36"/>
      </w:rPr>
      <w:t>1</w:t>
    </w:r>
    <w:r>
      <w:rPr>
        <w:rStyle w:val="3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Style w:val="36"/>
      </w:rPr>
    </w:pPr>
    <w:r>
      <w:rPr>
        <w:rStyle w:val="36"/>
      </w:rPr>
      <w:fldChar w:fldCharType="begin"/>
    </w:r>
    <w:r>
      <w:rPr>
        <w:rStyle w:val="36"/>
      </w:rPr>
      <w:instrText xml:space="preserve">PAGE  </w:instrText>
    </w:r>
    <w:r>
      <w:rPr>
        <w:rStyle w:val="3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3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Style w:val="36"/>
      </w:rPr>
    </w:pPr>
    <w:r>
      <w:rPr>
        <w:rStyle w:val="36"/>
      </w:rPr>
      <w:fldChar w:fldCharType="begin"/>
    </w:r>
    <w:r>
      <w:rPr>
        <w:rStyle w:val="36"/>
      </w:rPr>
      <w:instrText xml:space="preserve">PAGE  </w:instrText>
    </w:r>
    <w:r>
      <w:rPr>
        <w:rStyle w:val="36"/>
      </w:rPr>
      <w:fldChar w:fldCharType="separate"/>
    </w:r>
    <w:r>
      <w:rPr>
        <w:rStyle w:val="36"/>
      </w:rPr>
      <w:t>II</w:t>
    </w:r>
    <w:r>
      <w:rPr>
        <w:rStyle w:val="3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3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t>YS/T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framePr w:w="0" w:hRule="auto" w:wrap="auto" w:vAnchor="margin" w:hAnchor="text" w:yAlign="inline"/>
      <w:wordWrap w:val="0"/>
      <w:ind w:firstLine="850"/>
    </w:pPr>
    <w:r>
      <w:rPr>
        <w:sz w:val="21"/>
      </w:rPr>
      <w:t>T/</w:t>
    </w:r>
    <w:r>
      <w:rPr>
        <w:rFonts w:hint="eastAsia"/>
        <w:sz w:val="21"/>
      </w:rPr>
      <w:t xml:space="preserve">CNIA </w:t>
    </w:r>
    <w:r>
      <w:rPr>
        <w:sz w:val="21"/>
      </w:rPr>
      <w:t xml:space="preserve"> </w:t>
    </w:r>
    <w:r>
      <w:rPr>
        <w:rFonts w:hint="eastAsia"/>
        <w:sz w:val="21"/>
      </w:rPr>
      <w:t>XXX</w:t>
    </w:r>
    <w:r>
      <w:rPr>
        <w:sz w:val="21"/>
      </w:rPr>
      <w:t>X—201</w:t>
    </w:r>
    <w:r>
      <w:rPr>
        <w:rFonts w:hint="eastAsia"/>
        <w:sz w:val="21"/>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framePr w:w="0" w:hRule="auto" w:wrap="auto" w:vAnchor="margin" w:hAnchor="text" w:yAlign="inline"/>
      <w:wordWrap w:val="0"/>
      <w:ind w:firstLine="850"/>
    </w:pPr>
    <w:r>
      <w:rPr>
        <w:sz w:val="21"/>
      </w:rPr>
      <w:t>T/</w:t>
    </w:r>
    <w:r>
      <w:rPr>
        <w:rFonts w:hint="eastAsia"/>
        <w:sz w:val="21"/>
      </w:rPr>
      <w:t xml:space="preserve">CNIA </w:t>
    </w:r>
    <w:r>
      <w:rPr>
        <w:sz w:val="21"/>
      </w:rPr>
      <w:t xml:space="preserve"> </w:t>
    </w:r>
    <w:r>
      <w:rPr>
        <w:rFonts w:hint="eastAsia"/>
        <w:sz w:val="21"/>
      </w:rPr>
      <w:t>XXX</w:t>
    </w:r>
    <w:r>
      <w:rPr>
        <w:sz w:val="21"/>
      </w:rPr>
      <w:t>X—201</w:t>
    </w:r>
    <w:r>
      <w:rPr>
        <w:rFonts w:hint="eastAsia"/>
        <w:sz w:val="21"/>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pStyle w:val="61"/>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94"/>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86"/>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108"/>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106"/>
      <w:suff w:val="nothing"/>
      <w:lvlText w:val="图%1　"/>
      <w:lvlJc w:val="left"/>
      <w:pPr>
        <w:ind w:left="0" w:firstLine="0"/>
      </w:pPr>
      <w:rPr>
        <w:rFonts w:hint="eastAsia" w:ascii="黑体" w:hAnsi="Times New Roman" w:eastAsia="黑体"/>
        <w:b w:val="0"/>
        <w:i w:val="0"/>
        <w:sz w:val="21"/>
        <w:lang w:val="en-US"/>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57D3FBC"/>
    <w:multiLevelType w:val="multilevel"/>
    <w:tmpl w:val="657D3FBC"/>
    <w:lvl w:ilvl="0" w:tentative="0">
      <w:start w:val="1"/>
      <w:numFmt w:val="upperLetter"/>
      <w:pStyle w:val="74"/>
      <w:suff w:val="nothing"/>
      <w:lvlText w:val="附　录　%1"/>
      <w:lvlJc w:val="left"/>
      <w:pPr>
        <w:ind w:left="4820" w:firstLine="0"/>
      </w:pPr>
      <w:rPr>
        <w:rFonts w:hint="eastAsia" w:ascii="黑体" w:hAnsi="Times New Roman" w:eastAsia="黑体"/>
        <w:b w:val="0"/>
        <w:i w:val="0"/>
        <w:sz w:val="21"/>
      </w:rPr>
    </w:lvl>
    <w:lvl w:ilvl="1" w:tentative="0">
      <w:start w:val="1"/>
      <w:numFmt w:val="decimal"/>
      <w:pStyle w:val="76"/>
      <w:suff w:val="nothing"/>
      <w:lvlText w:val="%1.%2　"/>
      <w:lvlJc w:val="left"/>
      <w:pPr>
        <w:ind w:left="0" w:firstLine="0"/>
      </w:pPr>
      <w:rPr>
        <w:rFonts w:hint="eastAsia" w:ascii="黑体" w:hAnsi="Times New Roman" w:eastAsia="黑体"/>
        <w:b w:val="0"/>
        <w:i w:val="0"/>
        <w:strike w:val="0"/>
        <w:snapToGrid/>
        <w:color w:val="000000" w:themeColor="text1"/>
        <w:spacing w:val="0"/>
        <w:w w:val="100"/>
        <w:kern w:val="21"/>
        <w:sz w:val="21"/>
        <w14:textFill>
          <w14:solidFill>
            <w14:schemeClr w14:val="tx1"/>
          </w14:solidFill>
        </w14:textFill>
      </w:rPr>
    </w:lvl>
    <w:lvl w:ilvl="2" w:tentative="0">
      <w:start w:val="1"/>
      <w:numFmt w:val="decimal"/>
      <w:pStyle w:val="77"/>
      <w:suff w:val="nothing"/>
      <w:lvlText w:val="%1.%2.%3　"/>
      <w:lvlJc w:val="left"/>
      <w:pPr>
        <w:ind w:left="0" w:firstLine="0"/>
      </w:pPr>
      <w:rPr>
        <w:rFonts w:hint="eastAsia" w:ascii="黑体" w:hAnsi="黑体" w:eastAsia="黑体"/>
        <w:b w:val="0"/>
        <w:i w:val="0"/>
        <w:sz w:val="21"/>
      </w:rPr>
    </w:lvl>
    <w:lvl w:ilvl="3" w:tentative="0">
      <w:start w:val="1"/>
      <w:numFmt w:val="decimal"/>
      <w:pStyle w:val="78"/>
      <w:suff w:val="nothing"/>
      <w:lvlText w:val="%1.%2.%3.%4　"/>
      <w:lvlJc w:val="left"/>
      <w:pPr>
        <w:ind w:left="1418" w:firstLine="0"/>
      </w:pPr>
      <w:rPr>
        <w:rFonts w:hint="eastAsia" w:ascii="黑体" w:hAnsi="Times New Roman" w:eastAsia="黑体"/>
        <w:b w:val="0"/>
        <w:i w:val="0"/>
        <w:sz w:val="21"/>
      </w:rPr>
    </w:lvl>
    <w:lvl w:ilvl="4" w:tentative="0">
      <w:start w:val="1"/>
      <w:numFmt w:val="decimal"/>
      <w:pStyle w:val="79"/>
      <w:suff w:val="nothing"/>
      <w:lvlText w:val="%1.%2.%3.%4.%5　"/>
      <w:lvlJc w:val="left"/>
      <w:pPr>
        <w:ind w:left="142" w:firstLine="0"/>
      </w:pPr>
      <w:rPr>
        <w:rFonts w:hint="eastAsia" w:ascii="黑体" w:hAnsi="Times New Roman" w:eastAsia="黑体"/>
        <w:b w:val="0"/>
        <w:i w:val="0"/>
        <w:sz w:val="21"/>
      </w:rPr>
    </w:lvl>
    <w:lvl w:ilvl="5" w:tentative="0">
      <w:start w:val="1"/>
      <w:numFmt w:val="decimal"/>
      <w:pStyle w:val="80"/>
      <w:suff w:val="nothing"/>
      <w:lvlText w:val="%1.%2.%3.%4.%5.%6　"/>
      <w:lvlJc w:val="left"/>
      <w:pPr>
        <w:ind w:left="2552"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6F47A9E"/>
    <w:multiLevelType w:val="multilevel"/>
    <w:tmpl w:val="66F47A9E"/>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CEA2025"/>
    <w:multiLevelType w:val="multilevel"/>
    <w:tmpl w:val="6CEA2025"/>
    <w:lvl w:ilvl="0" w:tentative="0">
      <w:start w:val="1"/>
      <w:numFmt w:val="none"/>
      <w:pStyle w:val="55"/>
      <w:suff w:val="nothing"/>
      <w:lvlText w:val="%1"/>
      <w:lvlJc w:val="left"/>
      <w:pPr>
        <w:ind w:left="0" w:firstLine="0"/>
      </w:pPr>
      <w:rPr>
        <w:rFonts w:hint="default" w:ascii="Times New Roman" w:hAnsi="Times New Roman"/>
        <w:b/>
        <w:i w:val="0"/>
        <w:sz w:val="21"/>
      </w:rPr>
    </w:lvl>
    <w:lvl w:ilvl="1" w:tentative="0">
      <w:start w:val="1"/>
      <w:numFmt w:val="decimal"/>
      <w:pStyle w:val="58"/>
      <w:suff w:val="nothing"/>
      <w:lvlText w:val="%1%2　"/>
      <w:lvlJc w:val="left"/>
      <w:pPr>
        <w:ind w:left="709" w:firstLine="0"/>
      </w:pPr>
      <w:rPr>
        <w:rFonts w:hint="eastAsia" w:ascii="黑体" w:hAnsi="Times New Roman" w:eastAsia="黑体"/>
        <w:b w:val="0"/>
        <w:i w:val="0"/>
        <w:sz w:val="21"/>
      </w:rPr>
    </w:lvl>
    <w:lvl w:ilvl="2" w:tentative="0">
      <w:start w:val="1"/>
      <w:numFmt w:val="decimal"/>
      <w:pStyle w:val="59"/>
      <w:suff w:val="nothing"/>
      <w:lvlText w:val="%1%2.%3　"/>
      <w:lvlJc w:val="left"/>
      <w:pPr>
        <w:ind w:left="142" w:firstLine="0"/>
      </w:pPr>
      <w:rPr>
        <w:rFonts w:hint="eastAsia" w:ascii="黑体" w:hAnsi="Times New Roman" w:eastAsia="黑体"/>
        <w:b w:val="0"/>
        <w:i w:val="0"/>
        <w:sz w:val="21"/>
      </w:rPr>
    </w:lvl>
    <w:lvl w:ilvl="3" w:tentative="0">
      <w:start w:val="1"/>
      <w:numFmt w:val="decimal"/>
      <w:lvlText w:val="3.1.2.%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851"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tentative="0">
      <w:start w:val="1"/>
      <w:numFmt w:val="none"/>
      <w:pStyle w:val="10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315503D"/>
    <w:multiLevelType w:val="multilevel"/>
    <w:tmpl w:val="7315503D"/>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6933334"/>
    <w:multiLevelType w:val="multilevel"/>
    <w:tmpl w:val="76933334"/>
    <w:lvl w:ilvl="0" w:tentative="0">
      <w:start w:val="1"/>
      <w:numFmt w:val="none"/>
      <w:pStyle w:val="8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0"/>
  </w:num>
  <w:num w:numId="3">
    <w:abstractNumId w:val="5"/>
  </w:num>
  <w:num w:numId="4">
    <w:abstractNumId w:val="10"/>
  </w:num>
  <w:num w:numId="5">
    <w:abstractNumId w:val="2"/>
  </w:num>
  <w:num w:numId="6">
    <w:abstractNumId w:val="1"/>
  </w:num>
  <w:num w:numId="7">
    <w:abstractNumId w:val="4"/>
  </w:num>
  <w:num w:numId="8">
    <w:abstractNumId w:val="8"/>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1D"/>
    <w:rsid w:val="000000DC"/>
    <w:rsid w:val="00000F23"/>
    <w:rsid w:val="00003D76"/>
    <w:rsid w:val="00006577"/>
    <w:rsid w:val="000078DF"/>
    <w:rsid w:val="00007E0B"/>
    <w:rsid w:val="00011638"/>
    <w:rsid w:val="00011F2E"/>
    <w:rsid w:val="00012E5A"/>
    <w:rsid w:val="00013D95"/>
    <w:rsid w:val="0001411D"/>
    <w:rsid w:val="000144EC"/>
    <w:rsid w:val="000153AE"/>
    <w:rsid w:val="0001559E"/>
    <w:rsid w:val="00016435"/>
    <w:rsid w:val="00016638"/>
    <w:rsid w:val="0001713B"/>
    <w:rsid w:val="000212DD"/>
    <w:rsid w:val="0002319E"/>
    <w:rsid w:val="00023321"/>
    <w:rsid w:val="00023CFA"/>
    <w:rsid w:val="00024EF8"/>
    <w:rsid w:val="00026199"/>
    <w:rsid w:val="000267B2"/>
    <w:rsid w:val="00027508"/>
    <w:rsid w:val="00027B36"/>
    <w:rsid w:val="0003030B"/>
    <w:rsid w:val="00031C7F"/>
    <w:rsid w:val="00032DAF"/>
    <w:rsid w:val="00034058"/>
    <w:rsid w:val="00034195"/>
    <w:rsid w:val="00034B8A"/>
    <w:rsid w:val="00034BBC"/>
    <w:rsid w:val="00041286"/>
    <w:rsid w:val="00042EC3"/>
    <w:rsid w:val="00045CD8"/>
    <w:rsid w:val="00045F73"/>
    <w:rsid w:val="000469E5"/>
    <w:rsid w:val="00047E7B"/>
    <w:rsid w:val="0005167C"/>
    <w:rsid w:val="000519A4"/>
    <w:rsid w:val="00052884"/>
    <w:rsid w:val="00053D3A"/>
    <w:rsid w:val="000546C3"/>
    <w:rsid w:val="00054B45"/>
    <w:rsid w:val="00057CEF"/>
    <w:rsid w:val="00060D51"/>
    <w:rsid w:val="0006180A"/>
    <w:rsid w:val="00061E1A"/>
    <w:rsid w:val="000638FF"/>
    <w:rsid w:val="00065397"/>
    <w:rsid w:val="000667BC"/>
    <w:rsid w:val="000669D5"/>
    <w:rsid w:val="00066AD4"/>
    <w:rsid w:val="00066EC6"/>
    <w:rsid w:val="0006713C"/>
    <w:rsid w:val="00070323"/>
    <w:rsid w:val="00070861"/>
    <w:rsid w:val="00070CBB"/>
    <w:rsid w:val="000727CD"/>
    <w:rsid w:val="00074073"/>
    <w:rsid w:val="00074A47"/>
    <w:rsid w:val="00075154"/>
    <w:rsid w:val="00075B67"/>
    <w:rsid w:val="00080DE3"/>
    <w:rsid w:val="00081F65"/>
    <w:rsid w:val="000823A3"/>
    <w:rsid w:val="00083E09"/>
    <w:rsid w:val="000915C5"/>
    <w:rsid w:val="00092999"/>
    <w:rsid w:val="00093010"/>
    <w:rsid w:val="0009410D"/>
    <w:rsid w:val="00096872"/>
    <w:rsid w:val="000973FC"/>
    <w:rsid w:val="000A19B7"/>
    <w:rsid w:val="000A3354"/>
    <w:rsid w:val="000A344F"/>
    <w:rsid w:val="000A4AC5"/>
    <w:rsid w:val="000A51B5"/>
    <w:rsid w:val="000A743E"/>
    <w:rsid w:val="000B0059"/>
    <w:rsid w:val="000B033F"/>
    <w:rsid w:val="000B08AD"/>
    <w:rsid w:val="000B28C9"/>
    <w:rsid w:val="000B2E24"/>
    <w:rsid w:val="000B3D7B"/>
    <w:rsid w:val="000B5CE3"/>
    <w:rsid w:val="000B771C"/>
    <w:rsid w:val="000C1003"/>
    <w:rsid w:val="000C3F06"/>
    <w:rsid w:val="000C3FE7"/>
    <w:rsid w:val="000C485E"/>
    <w:rsid w:val="000C5219"/>
    <w:rsid w:val="000C63B5"/>
    <w:rsid w:val="000C6EA6"/>
    <w:rsid w:val="000D0E2D"/>
    <w:rsid w:val="000D1F8D"/>
    <w:rsid w:val="000D25CA"/>
    <w:rsid w:val="000D574F"/>
    <w:rsid w:val="000D66EF"/>
    <w:rsid w:val="000D6728"/>
    <w:rsid w:val="000D680B"/>
    <w:rsid w:val="000D71A9"/>
    <w:rsid w:val="000E017A"/>
    <w:rsid w:val="000E0710"/>
    <w:rsid w:val="000E0BCA"/>
    <w:rsid w:val="000E132A"/>
    <w:rsid w:val="000E1532"/>
    <w:rsid w:val="000E27C0"/>
    <w:rsid w:val="000E4FAA"/>
    <w:rsid w:val="000E78AE"/>
    <w:rsid w:val="000F088E"/>
    <w:rsid w:val="000F100F"/>
    <w:rsid w:val="000F20F6"/>
    <w:rsid w:val="000F3F84"/>
    <w:rsid w:val="000F44A6"/>
    <w:rsid w:val="000F58FA"/>
    <w:rsid w:val="000F69FB"/>
    <w:rsid w:val="00105A41"/>
    <w:rsid w:val="00105A52"/>
    <w:rsid w:val="00105D81"/>
    <w:rsid w:val="00107FF8"/>
    <w:rsid w:val="0011052C"/>
    <w:rsid w:val="001106B6"/>
    <w:rsid w:val="00110C71"/>
    <w:rsid w:val="00111B68"/>
    <w:rsid w:val="0011447C"/>
    <w:rsid w:val="00115197"/>
    <w:rsid w:val="00116C96"/>
    <w:rsid w:val="001179A3"/>
    <w:rsid w:val="00120822"/>
    <w:rsid w:val="00122C2B"/>
    <w:rsid w:val="00123F7F"/>
    <w:rsid w:val="001253B3"/>
    <w:rsid w:val="00125616"/>
    <w:rsid w:val="00127ED6"/>
    <w:rsid w:val="00130795"/>
    <w:rsid w:val="0013188B"/>
    <w:rsid w:val="00131D86"/>
    <w:rsid w:val="0013233E"/>
    <w:rsid w:val="001327EF"/>
    <w:rsid w:val="00132DEA"/>
    <w:rsid w:val="00133157"/>
    <w:rsid w:val="00133E70"/>
    <w:rsid w:val="00135BD8"/>
    <w:rsid w:val="00136EF1"/>
    <w:rsid w:val="0013705E"/>
    <w:rsid w:val="001374C7"/>
    <w:rsid w:val="001374E8"/>
    <w:rsid w:val="0013770C"/>
    <w:rsid w:val="00140021"/>
    <w:rsid w:val="001406CD"/>
    <w:rsid w:val="001406D3"/>
    <w:rsid w:val="00146213"/>
    <w:rsid w:val="001471ED"/>
    <w:rsid w:val="00151BCE"/>
    <w:rsid w:val="00152461"/>
    <w:rsid w:val="00152F12"/>
    <w:rsid w:val="001547AD"/>
    <w:rsid w:val="00157FFC"/>
    <w:rsid w:val="00160060"/>
    <w:rsid w:val="00160939"/>
    <w:rsid w:val="00165ADB"/>
    <w:rsid w:val="0016731B"/>
    <w:rsid w:val="0016791C"/>
    <w:rsid w:val="00170B2D"/>
    <w:rsid w:val="0017288F"/>
    <w:rsid w:val="00174BD4"/>
    <w:rsid w:val="001769A4"/>
    <w:rsid w:val="00176E1D"/>
    <w:rsid w:val="001776D6"/>
    <w:rsid w:val="00181024"/>
    <w:rsid w:val="00182B2A"/>
    <w:rsid w:val="0018358D"/>
    <w:rsid w:val="0018414B"/>
    <w:rsid w:val="00184FD9"/>
    <w:rsid w:val="00190B88"/>
    <w:rsid w:val="00190C75"/>
    <w:rsid w:val="00190F6D"/>
    <w:rsid w:val="00192353"/>
    <w:rsid w:val="001938C9"/>
    <w:rsid w:val="00193C3F"/>
    <w:rsid w:val="00196C3B"/>
    <w:rsid w:val="00197537"/>
    <w:rsid w:val="00197A85"/>
    <w:rsid w:val="001A0722"/>
    <w:rsid w:val="001A112C"/>
    <w:rsid w:val="001A1B1D"/>
    <w:rsid w:val="001A26A0"/>
    <w:rsid w:val="001A2EC5"/>
    <w:rsid w:val="001A3BC5"/>
    <w:rsid w:val="001A42EC"/>
    <w:rsid w:val="001A4CD3"/>
    <w:rsid w:val="001A515E"/>
    <w:rsid w:val="001A69DB"/>
    <w:rsid w:val="001A6FF6"/>
    <w:rsid w:val="001A701C"/>
    <w:rsid w:val="001A7B59"/>
    <w:rsid w:val="001A7D96"/>
    <w:rsid w:val="001B0A03"/>
    <w:rsid w:val="001B0A3F"/>
    <w:rsid w:val="001B0B3A"/>
    <w:rsid w:val="001B10D5"/>
    <w:rsid w:val="001B1178"/>
    <w:rsid w:val="001B322C"/>
    <w:rsid w:val="001B344A"/>
    <w:rsid w:val="001B4670"/>
    <w:rsid w:val="001B4C97"/>
    <w:rsid w:val="001B5AD1"/>
    <w:rsid w:val="001B696A"/>
    <w:rsid w:val="001B6BBC"/>
    <w:rsid w:val="001C109E"/>
    <w:rsid w:val="001C3E2F"/>
    <w:rsid w:val="001D00B2"/>
    <w:rsid w:val="001D16B9"/>
    <w:rsid w:val="001D2322"/>
    <w:rsid w:val="001D27E3"/>
    <w:rsid w:val="001D2DFD"/>
    <w:rsid w:val="001D2EB8"/>
    <w:rsid w:val="001D3B52"/>
    <w:rsid w:val="001D51B4"/>
    <w:rsid w:val="001D56F6"/>
    <w:rsid w:val="001D6580"/>
    <w:rsid w:val="001D7D97"/>
    <w:rsid w:val="001E07DE"/>
    <w:rsid w:val="001E0B2C"/>
    <w:rsid w:val="001E1E5A"/>
    <w:rsid w:val="001E2174"/>
    <w:rsid w:val="001E264C"/>
    <w:rsid w:val="001E2DE7"/>
    <w:rsid w:val="001E3C0F"/>
    <w:rsid w:val="001E6AB4"/>
    <w:rsid w:val="001E6E17"/>
    <w:rsid w:val="001E7432"/>
    <w:rsid w:val="001F3107"/>
    <w:rsid w:val="001F57E4"/>
    <w:rsid w:val="00202E59"/>
    <w:rsid w:val="00203223"/>
    <w:rsid w:val="0020327E"/>
    <w:rsid w:val="00204D80"/>
    <w:rsid w:val="002056FD"/>
    <w:rsid w:val="002077A8"/>
    <w:rsid w:val="002106A5"/>
    <w:rsid w:val="00211C7A"/>
    <w:rsid w:val="00214052"/>
    <w:rsid w:val="00214657"/>
    <w:rsid w:val="00216590"/>
    <w:rsid w:val="002217D2"/>
    <w:rsid w:val="00221E9E"/>
    <w:rsid w:val="00222C42"/>
    <w:rsid w:val="002238FF"/>
    <w:rsid w:val="0022483F"/>
    <w:rsid w:val="00225036"/>
    <w:rsid w:val="002254F5"/>
    <w:rsid w:val="0022574B"/>
    <w:rsid w:val="0022790A"/>
    <w:rsid w:val="002307C2"/>
    <w:rsid w:val="00230A03"/>
    <w:rsid w:val="00231AE2"/>
    <w:rsid w:val="00235177"/>
    <w:rsid w:val="00235B88"/>
    <w:rsid w:val="00235E1A"/>
    <w:rsid w:val="002367CD"/>
    <w:rsid w:val="00237D8E"/>
    <w:rsid w:val="00243478"/>
    <w:rsid w:val="00244A95"/>
    <w:rsid w:val="00245A47"/>
    <w:rsid w:val="00246975"/>
    <w:rsid w:val="00246CD1"/>
    <w:rsid w:val="00247B6F"/>
    <w:rsid w:val="00250D8D"/>
    <w:rsid w:val="00252B45"/>
    <w:rsid w:val="00253EFF"/>
    <w:rsid w:val="00254331"/>
    <w:rsid w:val="00254D3C"/>
    <w:rsid w:val="00255DAB"/>
    <w:rsid w:val="00256137"/>
    <w:rsid w:val="002563CB"/>
    <w:rsid w:val="00257B12"/>
    <w:rsid w:val="002601A9"/>
    <w:rsid w:val="00260581"/>
    <w:rsid w:val="00261494"/>
    <w:rsid w:val="00261B17"/>
    <w:rsid w:val="002645EC"/>
    <w:rsid w:val="00264F43"/>
    <w:rsid w:val="0026508E"/>
    <w:rsid w:val="00265C73"/>
    <w:rsid w:val="00271A12"/>
    <w:rsid w:val="00271BBC"/>
    <w:rsid w:val="002733CF"/>
    <w:rsid w:val="00273981"/>
    <w:rsid w:val="00274043"/>
    <w:rsid w:val="002747BF"/>
    <w:rsid w:val="002764EA"/>
    <w:rsid w:val="00277A7F"/>
    <w:rsid w:val="00283EDD"/>
    <w:rsid w:val="00284BFB"/>
    <w:rsid w:val="00286CC5"/>
    <w:rsid w:val="002913D1"/>
    <w:rsid w:val="00293279"/>
    <w:rsid w:val="0029331C"/>
    <w:rsid w:val="00293346"/>
    <w:rsid w:val="0029338E"/>
    <w:rsid w:val="00294E81"/>
    <w:rsid w:val="00295FF5"/>
    <w:rsid w:val="00297CA9"/>
    <w:rsid w:val="00297E27"/>
    <w:rsid w:val="002A02A0"/>
    <w:rsid w:val="002A0C58"/>
    <w:rsid w:val="002A1410"/>
    <w:rsid w:val="002A2203"/>
    <w:rsid w:val="002A61AE"/>
    <w:rsid w:val="002A7384"/>
    <w:rsid w:val="002B00DB"/>
    <w:rsid w:val="002B082D"/>
    <w:rsid w:val="002B10E0"/>
    <w:rsid w:val="002B26A6"/>
    <w:rsid w:val="002B2DD6"/>
    <w:rsid w:val="002B30DC"/>
    <w:rsid w:val="002B363E"/>
    <w:rsid w:val="002B4B64"/>
    <w:rsid w:val="002B7C63"/>
    <w:rsid w:val="002C1BF1"/>
    <w:rsid w:val="002C1DBC"/>
    <w:rsid w:val="002C3567"/>
    <w:rsid w:val="002C51B1"/>
    <w:rsid w:val="002C680A"/>
    <w:rsid w:val="002C7618"/>
    <w:rsid w:val="002D1153"/>
    <w:rsid w:val="002D3178"/>
    <w:rsid w:val="002D3EA9"/>
    <w:rsid w:val="002D4154"/>
    <w:rsid w:val="002D4B9F"/>
    <w:rsid w:val="002D5D2B"/>
    <w:rsid w:val="002D63FB"/>
    <w:rsid w:val="002D68D0"/>
    <w:rsid w:val="002E062C"/>
    <w:rsid w:val="002E0781"/>
    <w:rsid w:val="002E1B2A"/>
    <w:rsid w:val="002E1D94"/>
    <w:rsid w:val="002E1FC4"/>
    <w:rsid w:val="002E2EEA"/>
    <w:rsid w:val="002F05A3"/>
    <w:rsid w:val="002F07C4"/>
    <w:rsid w:val="002F091A"/>
    <w:rsid w:val="002F0BE4"/>
    <w:rsid w:val="002F3F6F"/>
    <w:rsid w:val="002F4466"/>
    <w:rsid w:val="002F472B"/>
    <w:rsid w:val="002F4E5F"/>
    <w:rsid w:val="002F7E2A"/>
    <w:rsid w:val="00300A42"/>
    <w:rsid w:val="00301648"/>
    <w:rsid w:val="00303EF6"/>
    <w:rsid w:val="0030410B"/>
    <w:rsid w:val="00304D1C"/>
    <w:rsid w:val="00305992"/>
    <w:rsid w:val="003059D1"/>
    <w:rsid w:val="00315991"/>
    <w:rsid w:val="003163C4"/>
    <w:rsid w:val="003172F1"/>
    <w:rsid w:val="0032039E"/>
    <w:rsid w:val="00323306"/>
    <w:rsid w:val="00323748"/>
    <w:rsid w:val="003237B4"/>
    <w:rsid w:val="00326290"/>
    <w:rsid w:val="00326CCB"/>
    <w:rsid w:val="00327EFB"/>
    <w:rsid w:val="00331125"/>
    <w:rsid w:val="003315AA"/>
    <w:rsid w:val="003339D1"/>
    <w:rsid w:val="00334699"/>
    <w:rsid w:val="00335142"/>
    <w:rsid w:val="00335BFB"/>
    <w:rsid w:val="0034047F"/>
    <w:rsid w:val="00341A8A"/>
    <w:rsid w:val="00343E35"/>
    <w:rsid w:val="003444BE"/>
    <w:rsid w:val="00344B28"/>
    <w:rsid w:val="00344B95"/>
    <w:rsid w:val="00345B23"/>
    <w:rsid w:val="0034614A"/>
    <w:rsid w:val="00346730"/>
    <w:rsid w:val="003500A0"/>
    <w:rsid w:val="00350222"/>
    <w:rsid w:val="00350418"/>
    <w:rsid w:val="00350739"/>
    <w:rsid w:val="00352C38"/>
    <w:rsid w:val="00352C62"/>
    <w:rsid w:val="00352E16"/>
    <w:rsid w:val="003539E0"/>
    <w:rsid w:val="00354E56"/>
    <w:rsid w:val="00354F54"/>
    <w:rsid w:val="00360CAB"/>
    <w:rsid w:val="003638C3"/>
    <w:rsid w:val="0036455F"/>
    <w:rsid w:val="00364636"/>
    <w:rsid w:val="00364B08"/>
    <w:rsid w:val="00364BE0"/>
    <w:rsid w:val="00364E27"/>
    <w:rsid w:val="003651C6"/>
    <w:rsid w:val="0036614C"/>
    <w:rsid w:val="0036620B"/>
    <w:rsid w:val="00367D0F"/>
    <w:rsid w:val="003709AB"/>
    <w:rsid w:val="00370D8D"/>
    <w:rsid w:val="00372A13"/>
    <w:rsid w:val="00373900"/>
    <w:rsid w:val="00373A7E"/>
    <w:rsid w:val="003748FD"/>
    <w:rsid w:val="00374BCF"/>
    <w:rsid w:val="00374D2F"/>
    <w:rsid w:val="00375D00"/>
    <w:rsid w:val="0037684F"/>
    <w:rsid w:val="00376AC7"/>
    <w:rsid w:val="00377B57"/>
    <w:rsid w:val="003802B9"/>
    <w:rsid w:val="00380A61"/>
    <w:rsid w:val="00381BD6"/>
    <w:rsid w:val="00383C00"/>
    <w:rsid w:val="00383D04"/>
    <w:rsid w:val="00385AD4"/>
    <w:rsid w:val="00387740"/>
    <w:rsid w:val="00387823"/>
    <w:rsid w:val="00387914"/>
    <w:rsid w:val="003910D6"/>
    <w:rsid w:val="003923C7"/>
    <w:rsid w:val="003930F9"/>
    <w:rsid w:val="00394A67"/>
    <w:rsid w:val="0039541F"/>
    <w:rsid w:val="003964E8"/>
    <w:rsid w:val="003976BB"/>
    <w:rsid w:val="003977E9"/>
    <w:rsid w:val="003A0982"/>
    <w:rsid w:val="003A1517"/>
    <w:rsid w:val="003A1C84"/>
    <w:rsid w:val="003A23D8"/>
    <w:rsid w:val="003A23E1"/>
    <w:rsid w:val="003A3EE6"/>
    <w:rsid w:val="003A5C83"/>
    <w:rsid w:val="003A7423"/>
    <w:rsid w:val="003A75CE"/>
    <w:rsid w:val="003B0DD9"/>
    <w:rsid w:val="003B1678"/>
    <w:rsid w:val="003B284A"/>
    <w:rsid w:val="003B320D"/>
    <w:rsid w:val="003B3DA2"/>
    <w:rsid w:val="003B439C"/>
    <w:rsid w:val="003B47FC"/>
    <w:rsid w:val="003B577A"/>
    <w:rsid w:val="003B5DEE"/>
    <w:rsid w:val="003B6908"/>
    <w:rsid w:val="003B6CC5"/>
    <w:rsid w:val="003C116D"/>
    <w:rsid w:val="003C239C"/>
    <w:rsid w:val="003C58AA"/>
    <w:rsid w:val="003C70B4"/>
    <w:rsid w:val="003D0358"/>
    <w:rsid w:val="003D0478"/>
    <w:rsid w:val="003D0E59"/>
    <w:rsid w:val="003D0E88"/>
    <w:rsid w:val="003D1CDB"/>
    <w:rsid w:val="003D1EDA"/>
    <w:rsid w:val="003D5117"/>
    <w:rsid w:val="003E0804"/>
    <w:rsid w:val="003E2257"/>
    <w:rsid w:val="003E23AF"/>
    <w:rsid w:val="003E3046"/>
    <w:rsid w:val="003E34FB"/>
    <w:rsid w:val="003E421A"/>
    <w:rsid w:val="003E4C6D"/>
    <w:rsid w:val="003E5100"/>
    <w:rsid w:val="003E5DE8"/>
    <w:rsid w:val="003E6774"/>
    <w:rsid w:val="003E6FBE"/>
    <w:rsid w:val="003F047C"/>
    <w:rsid w:val="003F04EF"/>
    <w:rsid w:val="003F17BA"/>
    <w:rsid w:val="003F248B"/>
    <w:rsid w:val="003F3BC3"/>
    <w:rsid w:val="003F56D3"/>
    <w:rsid w:val="003F6619"/>
    <w:rsid w:val="003F782F"/>
    <w:rsid w:val="004022A8"/>
    <w:rsid w:val="004025CC"/>
    <w:rsid w:val="00404212"/>
    <w:rsid w:val="004045B6"/>
    <w:rsid w:val="00404825"/>
    <w:rsid w:val="00404AF8"/>
    <w:rsid w:val="00405324"/>
    <w:rsid w:val="0041110B"/>
    <w:rsid w:val="00412A6F"/>
    <w:rsid w:val="00413BCF"/>
    <w:rsid w:val="00413CF9"/>
    <w:rsid w:val="0041485C"/>
    <w:rsid w:val="004170DE"/>
    <w:rsid w:val="00417F8C"/>
    <w:rsid w:val="00421BD5"/>
    <w:rsid w:val="00422D45"/>
    <w:rsid w:val="00423EAE"/>
    <w:rsid w:val="00427E39"/>
    <w:rsid w:val="00435EA1"/>
    <w:rsid w:val="00436776"/>
    <w:rsid w:val="00437378"/>
    <w:rsid w:val="00441802"/>
    <w:rsid w:val="00442AC1"/>
    <w:rsid w:val="00443065"/>
    <w:rsid w:val="00443115"/>
    <w:rsid w:val="00443196"/>
    <w:rsid w:val="00443433"/>
    <w:rsid w:val="00443B53"/>
    <w:rsid w:val="004515C4"/>
    <w:rsid w:val="004520D7"/>
    <w:rsid w:val="004565C2"/>
    <w:rsid w:val="004614EF"/>
    <w:rsid w:val="00461B85"/>
    <w:rsid w:val="0046227A"/>
    <w:rsid w:val="004625D8"/>
    <w:rsid w:val="00463000"/>
    <w:rsid w:val="00464BAC"/>
    <w:rsid w:val="00471339"/>
    <w:rsid w:val="00472726"/>
    <w:rsid w:val="00474308"/>
    <w:rsid w:val="00474608"/>
    <w:rsid w:val="0047486C"/>
    <w:rsid w:val="00474A0F"/>
    <w:rsid w:val="00475B25"/>
    <w:rsid w:val="004763E0"/>
    <w:rsid w:val="0047678D"/>
    <w:rsid w:val="0048166A"/>
    <w:rsid w:val="00482F04"/>
    <w:rsid w:val="004831E1"/>
    <w:rsid w:val="00484535"/>
    <w:rsid w:val="00484F6F"/>
    <w:rsid w:val="00484FA8"/>
    <w:rsid w:val="0048600F"/>
    <w:rsid w:val="0048646D"/>
    <w:rsid w:val="00487D60"/>
    <w:rsid w:val="00490EE7"/>
    <w:rsid w:val="004914E6"/>
    <w:rsid w:val="00492073"/>
    <w:rsid w:val="004920DC"/>
    <w:rsid w:val="004927EE"/>
    <w:rsid w:val="004928C9"/>
    <w:rsid w:val="0049361E"/>
    <w:rsid w:val="004938A2"/>
    <w:rsid w:val="00494AED"/>
    <w:rsid w:val="004961B7"/>
    <w:rsid w:val="004971A3"/>
    <w:rsid w:val="00497444"/>
    <w:rsid w:val="00497512"/>
    <w:rsid w:val="004A0B44"/>
    <w:rsid w:val="004A1391"/>
    <w:rsid w:val="004A3A5C"/>
    <w:rsid w:val="004A3D86"/>
    <w:rsid w:val="004A4618"/>
    <w:rsid w:val="004A5460"/>
    <w:rsid w:val="004A56AF"/>
    <w:rsid w:val="004B03CA"/>
    <w:rsid w:val="004B2925"/>
    <w:rsid w:val="004B2D92"/>
    <w:rsid w:val="004B3E46"/>
    <w:rsid w:val="004B7B9F"/>
    <w:rsid w:val="004C1AC6"/>
    <w:rsid w:val="004C1ED9"/>
    <w:rsid w:val="004C1FAE"/>
    <w:rsid w:val="004C2AED"/>
    <w:rsid w:val="004C343B"/>
    <w:rsid w:val="004C3C1D"/>
    <w:rsid w:val="004C457B"/>
    <w:rsid w:val="004C5F85"/>
    <w:rsid w:val="004C6A48"/>
    <w:rsid w:val="004C6A6A"/>
    <w:rsid w:val="004D1C7B"/>
    <w:rsid w:val="004D2A9C"/>
    <w:rsid w:val="004D2E93"/>
    <w:rsid w:val="004D3DC7"/>
    <w:rsid w:val="004D541B"/>
    <w:rsid w:val="004D5676"/>
    <w:rsid w:val="004D6CF1"/>
    <w:rsid w:val="004D76A8"/>
    <w:rsid w:val="004D7FF0"/>
    <w:rsid w:val="004E06D6"/>
    <w:rsid w:val="004E51BE"/>
    <w:rsid w:val="004E55D1"/>
    <w:rsid w:val="004E6F8B"/>
    <w:rsid w:val="004E71DF"/>
    <w:rsid w:val="004E7E23"/>
    <w:rsid w:val="004F1357"/>
    <w:rsid w:val="004F20C6"/>
    <w:rsid w:val="004F265F"/>
    <w:rsid w:val="004F274A"/>
    <w:rsid w:val="004F301D"/>
    <w:rsid w:val="004F50D5"/>
    <w:rsid w:val="004F5DAC"/>
    <w:rsid w:val="004F61F0"/>
    <w:rsid w:val="004F669D"/>
    <w:rsid w:val="004F6B6E"/>
    <w:rsid w:val="004F79B6"/>
    <w:rsid w:val="004F79D5"/>
    <w:rsid w:val="00501626"/>
    <w:rsid w:val="005016CF"/>
    <w:rsid w:val="00501868"/>
    <w:rsid w:val="005025AC"/>
    <w:rsid w:val="00503BA0"/>
    <w:rsid w:val="00505211"/>
    <w:rsid w:val="00506D9B"/>
    <w:rsid w:val="00507472"/>
    <w:rsid w:val="00510011"/>
    <w:rsid w:val="00510A19"/>
    <w:rsid w:val="0051111C"/>
    <w:rsid w:val="00511923"/>
    <w:rsid w:val="00511AA4"/>
    <w:rsid w:val="00511CA2"/>
    <w:rsid w:val="0051275F"/>
    <w:rsid w:val="0051361B"/>
    <w:rsid w:val="00513763"/>
    <w:rsid w:val="00513AC1"/>
    <w:rsid w:val="00514788"/>
    <w:rsid w:val="00515AE4"/>
    <w:rsid w:val="00521096"/>
    <w:rsid w:val="0052218D"/>
    <w:rsid w:val="00522299"/>
    <w:rsid w:val="005225CE"/>
    <w:rsid w:val="00522C1B"/>
    <w:rsid w:val="00522FF3"/>
    <w:rsid w:val="00530228"/>
    <w:rsid w:val="00530A54"/>
    <w:rsid w:val="00531D75"/>
    <w:rsid w:val="00531ED9"/>
    <w:rsid w:val="00532742"/>
    <w:rsid w:val="00534246"/>
    <w:rsid w:val="00534FB4"/>
    <w:rsid w:val="00535AE0"/>
    <w:rsid w:val="00535E92"/>
    <w:rsid w:val="00535F81"/>
    <w:rsid w:val="0053641C"/>
    <w:rsid w:val="0054049A"/>
    <w:rsid w:val="005406C4"/>
    <w:rsid w:val="005412C2"/>
    <w:rsid w:val="0054133F"/>
    <w:rsid w:val="0054274E"/>
    <w:rsid w:val="00542771"/>
    <w:rsid w:val="00543121"/>
    <w:rsid w:val="00543302"/>
    <w:rsid w:val="00543B6D"/>
    <w:rsid w:val="00543BD4"/>
    <w:rsid w:val="00545306"/>
    <w:rsid w:val="0055068C"/>
    <w:rsid w:val="005517E0"/>
    <w:rsid w:val="005526FB"/>
    <w:rsid w:val="00552F14"/>
    <w:rsid w:val="005541EF"/>
    <w:rsid w:val="005547EA"/>
    <w:rsid w:val="00557190"/>
    <w:rsid w:val="00557D6E"/>
    <w:rsid w:val="005632FF"/>
    <w:rsid w:val="00563514"/>
    <w:rsid w:val="005648F6"/>
    <w:rsid w:val="005670C7"/>
    <w:rsid w:val="0057023F"/>
    <w:rsid w:val="00571125"/>
    <w:rsid w:val="00572980"/>
    <w:rsid w:val="00573AFD"/>
    <w:rsid w:val="00574A26"/>
    <w:rsid w:val="00575055"/>
    <w:rsid w:val="00580924"/>
    <w:rsid w:val="00581958"/>
    <w:rsid w:val="005866F5"/>
    <w:rsid w:val="00586B8A"/>
    <w:rsid w:val="00587F27"/>
    <w:rsid w:val="00590682"/>
    <w:rsid w:val="005912CD"/>
    <w:rsid w:val="00592E01"/>
    <w:rsid w:val="00593D8F"/>
    <w:rsid w:val="00594CFE"/>
    <w:rsid w:val="00595D8A"/>
    <w:rsid w:val="00596BDE"/>
    <w:rsid w:val="005A0811"/>
    <w:rsid w:val="005A0D0B"/>
    <w:rsid w:val="005A21D0"/>
    <w:rsid w:val="005A222F"/>
    <w:rsid w:val="005A59F1"/>
    <w:rsid w:val="005A6C8F"/>
    <w:rsid w:val="005A6D81"/>
    <w:rsid w:val="005A7C05"/>
    <w:rsid w:val="005B312F"/>
    <w:rsid w:val="005B38E5"/>
    <w:rsid w:val="005B3948"/>
    <w:rsid w:val="005B50E4"/>
    <w:rsid w:val="005B655C"/>
    <w:rsid w:val="005B7663"/>
    <w:rsid w:val="005C1F64"/>
    <w:rsid w:val="005C2FD7"/>
    <w:rsid w:val="005C32DA"/>
    <w:rsid w:val="005C3992"/>
    <w:rsid w:val="005C4A94"/>
    <w:rsid w:val="005C4D4B"/>
    <w:rsid w:val="005C5A43"/>
    <w:rsid w:val="005C616C"/>
    <w:rsid w:val="005C6C96"/>
    <w:rsid w:val="005D1919"/>
    <w:rsid w:val="005D2588"/>
    <w:rsid w:val="005D42E1"/>
    <w:rsid w:val="005D48BE"/>
    <w:rsid w:val="005D57A2"/>
    <w:rsid w:val="005D635E"/>
    <w:rsid w:val="005D6A5C"/>
    <w:rsid w:val="005D7B97"/>
    <w:rsid w:val="005E0233"/>
    <w:rsid w:val="005E097C"/>
    <w:rsid w:val="005E0ADF"/>
    <w:rsid w:val="005E0D47"/>
    <w:rsid w:val="005E15FE"/>
    <w:rsid w:val="005E3455"/>
    <w:rsid w:val="005E6377"/>
    <w:rsid w:val="005E7888"/>
    <w:rsid w:val="005F1632"/>
    <w:rsid w:val="005F1DE4"/>
    <w:rsid w:val="005F22F8"/>
    <w:rsid w:val="005F4208"/>
    <w:rsid w:val="005F47A1"/>
    <w:rsid w:val="005F4A5F"/>
    <w:rsid w:val="005F623C"/>
    <w:rsid w:val="005F641F"/>
    <w:rsid w:val="005F6D9C"/>
    <w:rsid w:val="005F75B1"/>
    <w:rsid w:val="00601A0B"/>
    <w:rsid w:val="00602AAD"/>
    <w:rsid w:val="00602F70"/>
    <w:rsid w:val="006036AD"/>
    <w:rsid w:val="00603D34"/>
    <w:rsid w:val="00603D3A"/>
    <w:rsid w:val="006049A2"/>
    <w:rsid w:val="00607315"/>
    <w:rsid w:val="006078D5"/>
    <w:rsid w:val="00610B4A"/>
    <w:rsid w:val="00612A91"/>
    <w:rsid w:val="006131B2"/>
    <w:rsid w:val="00614528"/>
    <w:rsid w:val="006146BC"/>
    <w:rsid w:val="00617111"/>
    <w:rsid w:val="006175F9"/>
    <w:rsid w:val="00617C31"/>
    <w:rsid w:val="00621AFC"/>
    <w:rsid w:val="00622418"/>
    <w:rsid w:val="00623C1C"/>
    <w:rsid w:val="006276E4"/>
    <w:rsid w:val="00634200"/>
    <w:rsid w:val="00636412"/>
    <w:rsid w:val="00637508"/>
    <w:rsid w:val="0064080A"/>
    <w:rsid w:val="00643F3C"/>
    <w:rsid w:val="00644BEA"/>
    <w:rsid w:val="00645C63"/>
    <w:rsid w:val="00645D5F"/>
    <w:rsid w:val="0064678D"/>
    <w:rsid w:val="00650405"/>
    <w:rsid w:val="006511F3"/>
    <w:rsid w:val="00651AB5"/>
    <w:rsid w:val="00652770"/>
    <w:rsid w:val="0065329F"/>
    <w:rsid w:val="00653D13"/>
    <w:rsid w:val="006545DB"/>
    <w:rsid w:val="00654A22"/>
    <w:rsid w:val="006554E8"/>
    <w:rsid w:val="00655CA2"/>
    <w:rsid w:val="0065620F"/>
    <w:rsid w:val="00656C2E"/>
    <w:rsid w:val="00657AE4"/>
    <w:rsid w:val="00660BF8"/>
    <w:rsid w:val="00663129"/>
    <w:rsid w:val="006631A0"/>
    <w:rsid w:val="00665157"/>
    <w:rsid w:val="00665185"/>
    <w:rsid w:val="006660A1"/>
    <w:rsid w:val="006661A2"/>
    <w:rsid w:val="0066678A"/>
    <w:rsid w:val="00666A92"/>
    <w:rsid w:val="006672F0"/>
    <w:rsid w:val="00670175"/>
    <w:rsid w:val="006705FA"/>
    <w:rsid w:val="0067151E"/>
    <w:rsid w:val="006715E6"/>
    <w:rsid w:val="00671703"/>
    <w:rsid w:val="00671D05"/>
    <w:rsid w:val="006723CE"/>
    <w:rsid w:val="0067593B"/>
    <w:rsid w:val="00675F06"/>
    <w:rsid w:val="00677488"/>
    <w:rsid w:val="00677C81"/>
    <w:rsid w:val="00680C37"/>
    <w:rsid w:val="006824A1"/>
    <w:rsid w:val="0068299D"/>
    <w:rsid w:val="006835CB"/>
    <w:rsid w:val="00683B96"/>
    <w:rsid w:val="0068483B"/>
    <w:rsid w:val="00685926"/>
    <w:rsid w:val="00685BE6"/>
    <w:rsid w:val="00690B90"/>
    <w:rsid w:val="00691A42"/>
    <w:rsid w:val="00693CC7"/>
    <w:rsid w:val="0069452B"/>
    <w:rsid w:val="00694B72"/>
    <w:rsid w:val="00695C4B"/>
    <w:rsid w:val="00696718"/>
    <w:rsid w:val="00696F27"/>
    <w:rsid w:val="006A04FC"/>
    <w:rsid w:val="006A230A"/>
    <w:rsid w:val="006A2353"/>
    <w:rsid w:val="006A3AEA"/>
    <w:rsid w:val="006A662F"/>
    <w:rsid w:val="006A67C1"/>
    <w:rsid w:val="006A7FB7"/>
    <w:rsid w:val="006B035E"/>
    <w:rsid w:val="006B039C"/>
    <w:rsid w:val="006B2224"/>
    <w:rsid w:val="006B56F4"/>
    <w:rsid w:val="006B6F7B"/>
    <w:rsid w:val="006B79DE"/>
    <w:rsid w:val="006B7B1C"/>
    <w:rsid w:val="006C0D9A"/>
    <w:rsid w:val="006C4A5D"/>
    <w:rsid w:val="006C4CCE"/>
    <w:rsid w:val="006C4DE4"/>
    <w:rsid w:val="006C5D60"/>
    <w:rsid w:val="006C605E"/>
    <w:rsid w:val="006C6F18"/>
    <w:rsid w:val="006C7283"/>
    <w:rsid w:val="006C7F0D"/>
    <w:rsid w:val="006D0AC1"/>
    <w:rsid w:val="006D15ED"/>
    <w:rsid w:val="006D1E7A"/>
    <w:rsid w:val="006D20FF"/>
    <w:rsid w:val="006D2895"/>
    <w:rsid w:val="006D2D7E"/>
    <w:rsid w:val="006D51E2"/>
    <w:rsid w:val="006D5753"/>
    <w:rsid w:val="006D609E"/>
    <w:rsid w:val="006D6AC9"/>
    <w:rsid w:val="006D6EFE"/>
    <w:rsid w:val="006E330B"/>
    <w:rsid w:val="006E698C"/>
    <w:rsid w:val="006F0615"/>
    <w:rsid w:val="006F1101"/>
    <w:rsid w:val="006F3BEC"/>
    <w:rsid w:val="006F57ED"/>
    <w:rsid w:val="006F7738"/>
    <w:rsid w:val="00700084"/>
    <w:rsid w:val="00700717"/>
    <w:rsid w:val="00700950"/>
    <w:rsid w:val="0070208E"/>
    <w:rsid w:val="00702121"/>
    <w:rsid w:val="00703F98"/>
    <w:rsid w:val="00704EAD"/>
    <w:rsid w:val="00704EB9"/>
    <w:rsid w:val="00706FEF"/>
    <w:rsid w:val="0071194F"/>
    <w:rsid w:val="0071348E"/>
    <w:rsid w:val="00713F60"/>
    <w:rsid w:val="007144A0"/>
    <w:rsid w:val="00716BCB"/>
    <w:rsid w:val="00720A1A"/>
    <w:rsid w:val="0072119B"/>
    <w:rsid w:val="007242FE"/>
    <w:rsid w:val="007261B1"/>
    <w:rsid w:val="0073166D"/>
    <w:rsid w:val="007329EC"/>
    <w:rsid w:val="00733159"/>
    <w:rsid w:val="007345B1"/>
    <w:rsid w:val="00734873"/>
    <w:rsid w:val="00734ED0"/>
    <w:rsid w:val="0073538A"/>
    <w:rsid w:val="00735ECB"/>
    <w:rsid w:val="0074097F"/>
    <w:rsid w:val="0074164F"/>
    <w:rsid w:val="00742072"/>
    <w:rsid w:val="00743313"/>
    <w:rsid w:val="00744539"/>
    <w:rsid w:val="00747CBF"/>
    <w:rsid w:val="007523C1"/>
    <w:rsid w:val="007525BD"/>
    <w:rsid w:val="00752936"/>
    <w:rsid w:val="00752A10"/>
    <w:rsid w:val="0075319E"/>
    <w:rsid w:val="0075397A"/>
    <w:rsid w:val="00753F42"/>
    <w:rsid w:val="0075641E"/>
    <w:rsid w:val="0075674E"/>
    <w:rsid w:val="00756B2E"/>
    <w:rsid w:val="00757516"/>
    <w:rsid w:val="00760E73"/>
    <w:rsid w:val="00762D2A"/>
    <w:rsid w:val="00763EE9"/>
    <w:rsid w:val="00771305"/>
    <w:rsid w:val="00771D83"/>
    <w:rsid w:val="007725C2"/>
    <w:rsid w:val="007730F2"/>
    <w:rsid w:val="00773E1E"/>
    <w:rsid w:val="007741D3"/>
    <w:rsid w:val="007769EF"/>
    <w:rsid w:val="007819B2"/>
    <w:rsid w:val="007852AB"/>
    <w:rsid w:val="007871EC"/>
    <w:rsid w:val="007872B4"/>
    <w:rsid w:val="0079158F"/>
    <w:rsid w:val="00791F0B"/>
    <w:rsid w:val="00792722"/>
    <w:rsid w:val="00793954"/>
    <w:rsid w:val="007943E1"/>
    <w:rsid w:val="007960CE"/>
    <w:rsid w:val="007971CA"/>
    <w:rsid w:val="00797FA1"/>
    <w:rsid w:val="007A103A"/>
    <w:rsid w:val="007A12C0"/>
    <w:rsid w:val="007A1BEE"/>
    <w:rsid w:val="007A39FF"/>
    <w:rsid w:val="007A3E6B"/>
    <w:rsid w:val="007A4D33"/>
    <w:rsid w:val="007A64BD"/>
    <w:rsid w:val="007B15ED"/>
    <w:rsid w:val="007B3CC7"/>
    <w:rsid w:val="007B6876"/>
    <w:rsid w:val="007B6C09"/>
    <w:rsid w:val="007B6F40"/>
    <w:rsid w:val="007B73ED"/>
    <w:rsid w:val="007B755C"/>
    <w:rsid w:val="007C1403"/>
    <w:rsid w:val="007C2AD1"/>
    <w:rsid w:val="007C2F0A"/>
    <w:rsid w:val="007C3176"/>
    <w:rsid w:val="007C49D6"/>
    <w:rsid w:val="007C5677"/>
    <w:rsid w:val="007C797A"/>
    <w:rsid w:val="007D060F"/>
    <w:rsid w:val="007D08A2"/>
    <w:rsid w:val="007D2153"/>
    <w:rsid w:val="007D39F0"/>
    <w:rsid w:val="007D3E3E"/>
    <w:rsid w:val="007D5B3B"/>
    <w:rsid w:val="007D5F13"/>
    <w:rsid w:val="007D732B"/>
    <w:rsid w:val="007D74DB"/>
    <w:rsid w:val="007D7BD8"/>
    <w:rsid w:val="007D7F5C"/>
    <w:rsid w:val="007E60C7"/>
    <w:rsid w:val="007F08DC"/>
    <w:rsid w:val="007F0F63"/>
    <w:rsid w:val="007F2F4A"/>
    <w:rsid w:val="007F3B20"/>
    <w:rsid w:val="00800C54"/>
    <w:rsid w:val="00800F48"/>
    <w:rsid w:val="00801A88"/>
    <w:rsid w:val="0080430D"/>
    <w:rsid w:val="00807258"/>
    <w:rsid w:val="008104B4"/>
    <w:rsid w:val="00814227"/>
    <w:rsid w:val="00814E07"/>
    <w:rsid w:val="00816A5C"/>
    <w:rsid w:val="0082176C"/>
    <w:rsid w:val="00821F22"/>
    <w:rsid w:val="00822529"/>
    <w:rsid w:val="008226C8"/>
    <w:rsid w:val="00824179"/>
    <w:rsid w:val="00825260"/>
    <w:rsid w:val="008272D6"/>
    <w:rsid w:val="00827CB4"/>
    <w:rsid w:val="008308FF"/>
    <w:rsid w:val="00830C7F"/>
    <w:rsid w:val="00831693"/>
    <w:rsid w:val="008325E0"/>
    <w:rsid w:val="00833535"/>
    <w:rsid w:val="00835691"/>
    <w:rsid w:val="00837407"/>
    <w:rsid w:val="00840B42"/>
    <w:rsid w:val="00841049"/>
    <w:rsid w:val="00841195"/>
    <w:rsid w:val="008412D2"/>
    <w:rsid w:val="0084315A"/>
    <w:rsid w:val="00844EB3"/>
    <w:rsid w:val="0084574B"/>
    <w:rsid w:val="0084673A"/>
    <w:rsid w:val="00850D42"/>
    <w:rsid w:val="0085133C"/>
    <w:rsid w:val="00852F29"/>
    <w:rsid w:val="00854375"/>
    <w:rsid w:val="00854CCE"/>
    <w:rsid w:val="00855946"/>
    <w:rsid w:val="00855A72"/>
    <w:rsid w:val="008576D6"/>
    <w:rsid w:val="008601B4"/>
    <w:rsid w:val="00860AEA"/>
    <w:rsid w:val="008643A5"/>
    <w:rsid w:val="00864783"/>
    <w:rsid w:val="0087122A"/>
    <w:rsid w:val="00875454"/>
    <w:rsid w:val="00875461"/>
    <w:rsid w:val="00877512"/>
    <w:rsid w:val="008802F7"/>
    <w:rsid w:val="00881D72"/>
    <w:rsid w:val="00883B34"/>
    <w:rsid w:val="0088443A"/>
    <w:rsid w:val="008849EB"/>
    <w:rsid w:val="00885929"/>
    <w:rsid w:val="008865ED"/>
    <w:rsid w:val="00886F4F"/>
    <w:rsid w:val="008878C2"/>
    <w:rsid w:val="00891F4D"/>
    <w:rsid w:val="00895E8B"/>
    <w:rsid w:val="00896285"/>
    <w:rsid w:val="008A0412"/>
    <w:rsid w:val="008A3981"/>
    <w:rsid w:val="008A6998"/>
    <w:rsid w:val="008A69A5"/>
    <w:rsid w:val="008A7535"/>
    <w:rsid w:val="008A7593"/>
    <w:rsid w:val="008A780B"/>
    <w:rsid w:val="008B40E1"/>
    <w:rsid w:val="008B4130"/>
    <w:rsid w:val="008B45D3"/>
    <w:rsid w:val="008B49D3"/>
    <w:rsid w:val="008B60FD"/>
    <w:rsid w:val="008B6A0C"/>
    <w:rsid w:val="008C1054"/>
    <w:rsid w:val="008C1873"/>
    <w:rsid w:val="008C1A2F"/>
    <w:rsid w:val="008C31DB"/>
    <w:rsid w:val="008C3847"/>
    <w:rsid w:val="008C7073"/>
    <w:rsid w:val="008C7393"/>
    <w:rsid w:val="008D13BF"/>
    <w:rsid w:val="008D4B6F"/>
    <w:rsid w:val="008D64B5"/>
    <w:rsid w:val="008D7367"/>
    <w:rsid w:val="008D752E"/>
    <w:rsid w:val="008D7836"/>
    <w:rsid w:val="008E0089"/>
    <w:rsid w:val="008E00D7"/>
    <w:rsid w:val="008E1795"/>
    <w:rsid w:val="008E2852"/>
    <w:rsid w:val="008E2BDB"/>
    <w:rsid w:val="008E374A"/>
    <w:rsid w:val="008E6248"/>
    <w:rsid w:val="008E6413"/>
    <w:rsid w:val="008E6588"/>
    <w:rsid w:val="008E6ADC"/>
    <w:rsid w:val="008E7222"/>
    <w:rsid w:val="008E7C47"/>
    <w:rsid w:val="008E7FB3"/>
    <w:rsid w:val="008F4048"/>
    <w:rsid w:val="008F40D0"/>
    <w:rsid w:val="008F471E"/>
    <w:rsid w:val="008F510C"/>
    <w:rsid w:val="008F5D72"/>
    <w:rsid w:val="008F6770"/>
    <w:rsid w:val="00900F3C"/>
    <w:rsid w:val="00902542"/>
    <w:rsid w:val="00902C42"/>
    <w:rsid w:val="009062A4"/>
    <w:rsid w:val="009064DB"/>
    <w:rsid w:val="0091120A"/>
    <w:rsid w:val="00911FB1"/>
    <w:rsid w:val="00914252"/>
    <w:rsid w:val="009157F3"/>
    <w:rsid w:val="00920207"/>
    <w:rsid w:val="00921E5F"/>
    <w:rsid w:val="00922CC3"/>
    <w:rsid w:val="00923A4F"/>
    <w:rsid w:val="00924449"/>
    <w:rsid w:val="00927173"/>
    <w:rsid w:val="009316DB"/>
    <w:rsid w:val="009322B4"/>
    <w:rsid w:val="0093240F"/>
    <w:rsid w:val="009339C4"/>
    <w:rsid w:val="00933E57"/>
    <w:rsid w:val="0093458B"/>
    <w:rsid w:val="00934597"/>
    <w:rsid w:val="0093574D"/>
    <w:rsid w:val="009366BD"/>
    <w:rsid w:val="00937BA7"/>
    <w:rsid w:val="00940C2C"/>
    <w:rsid w:val="00943C2C"/>
    <w:rsid w:val="00944FA4"/>
    <w:rsid w:val="00946FC3"/>
    <w:rsid w:val="00947777"/>
    <w:rsid w:val="00947B20"/>
    <w:rsid w:val="00950629"/>
    <w:rsid w:val="009508A2"/>
    <w:rsid w:val="00950AE7"/>
    <w:rsid w:val="009512E0"/>
    <w:rsid w:val="00951D10"/>
    <w:rsid w:val="00955DBE"/>
    <w:rsid w:val="009577FE"/>
    <w:rsid w:val="00957FA5"/>
    <w:rsid w:val="00960179"/>
    <w:rsid w:val="00960920"/>
    <w:rsid w:val="0096096C"/>
    <w:rsid w:val="0096104A"/>
    <w:rsid w:val="009616F5"/>
    <w:rsid w:val="00961FB6"/>
    <w:rsid w:val="0096432D"/>
    <w:rsid w:val="00965426"/>
    <w:rsid w:val="009675C6"/>
    <w:rsid w:val="00971349"/>
    <w:rsid w:val="00972FB9"/>
    <w:rsid w:val="00973111"/>
    <w:rsid w:val="00976334"/>
    <w:rsid w:val="00981301"/>
    <w:rsid w:val="009814DD"/>
    <w:rsid w:val="00981C9A"/>
    <w:rsid w:val="00981E01"/>
    <w:rsid w:val="00983452"/>
    <w:rsid w:val="00984791"/>
    <w:rsid w:val="0098505D"/>
    <w:rsid w:val="00985187"/>
    <w:rsid w:val="00986449"/>
    <w:rsid w:val="00987C3D"/>
    <w:rsid w:val="00990357"/>
    <w:rsid w:val="0099189F"/>
    <w:rsid w:val="0099359F"/>
    <w:rsid w:val="00995075"/>
    <w:rsid w:val="00995B62"/>
    <w:rsid w:val="009968E0"/>
    <w:rsid w:val="00996F65"/>
    <w:rsid w:val="009A14E3"/>
    <w:rsid w:val="009A1646"/>
    <w:rsid w:val="009A27F1"/>
    <w:rsid w:val="009A33AF"/>
    <w:rsid w:val="009A358E"/>
    <w:rsid w:val="009A4241"/>
    <w:rsid w:val="009A4E0D"/>
    <w:rsid w:val="009A5548"/>
    <w:rsid w:val="009A56DB"/>
    <w:rsid w:val="009A7528"/>
    <w:rsid w:val="009B1C82"/>
    <w:rsid w:val="009B1CC9"/>
    <w:rsid w:val="009B3B2E"/>
    <w:rsid w:val="009B4BFA"/>
    <w:rsid w:val="009B531A"/>
    <w:rsid w:val="009B692B"/>
    <w:rsid w:val="009B6CDA"/>
    <w:rsid w:val="009B78B2"/>
    <w:rsid w:val="009C0702"/>
    <w:rsid w:val="009C09B9"/>
    <w:rsid w:val="009C1FFE"/>
    <w:rsid w:val="009C36C4"/>
    <w:rsid w:val="009C3B06"/>
    <w:rsid w:val="009C466C"/>
    <w:rsid w:val="009C571E"/>
    <w:rsid w:val="009C5EE3"/>
    <w:rsid w:val="009C66F7"/>
    <w:rsid w:val="009D028E"/>
    <w:rsid w:val="009D1B92"/>
    <w:rsid w:val="009D225D"/>
    <w:rsid w:val="009D3763"/>
    <w:rsid w:val="009D438C"/>
    <w:rsid w:val="009D5914"/>
    <w:rsid w:val="009D5E50"/>
    <w:rsid w:val="009D7BAC"/>
    <w:rsid w:val="009E0119"/>
    <w:rsid w:val="009E0136"/>
    <w:rsid w:val="009E1141"/>
    <w:rsid w:val="009E2032"/>
    <w:rsid w:val="009E2B3B"/>
    <w:rsid w:val="009E4FF4"/>
    <w:rsid w:val="009E7905"/>
    <w:rsid w:val="009F153A"/>
    <w:rsid w:val="009F2024"/>
    <w:rsid w:val="009F3467"/>
    <w:rsid w:val="009F3520"/>
    <w:rsid w:val="009F550D"/>
    <w:rsid w:val="00A01003"/>
    <w:rsid w:val="00A011B0"/>
    <w:rsid w:val="00A017DA"/>
    <w:rsid w:val="00A01E66"/>
    <w:rsid w:val="00A067A9"/>
    <w:rsid w:val="00A07304"/>
    <w:rsid w:val="00A11BD2"/>
    <w:rsid w:val="00A12B93"/>
    <w:rsid w:val="00A134AB"/>
    <w:rsid w:val="00A13602"/>
    <w:rsid w:val="00A13704"/>
    <w:rsid w:val="00A139B4"/>
    <w:rsid w:val="00A14408"/>
    <w:rsid w:val="00A15231"/>
    <w:rsid w:val="00A17071"/>
    <w:rsid w:val="00A20060"/>
    <w:rsid w:val="00A20A62"/>
    <w:rsid w:val="00A22063"/>
    <w:rsid w:val="00A22D6F"/>
    <w:rsid w:val="00A25208"/>
    <w:rsid w:val="00A2755F"/>
    <w:rsid w:val="00A276B7"/>
    <w:rsid w:val="00A30FC3"/>
    <w:rsid w:val="00A333DE"/>
    <w:rsid w:val="00A33475"/>
    <w:rsid w:val="00A36884"/>
    <w:rsid w:val="00A36E24"/>
    <w:rsid w:val="00A40426"/>
    <w:rsid w:val="00A407CA"/>
    <w:rsid w:val="00A40A66"/>
    <w:rsid w:val="00A41832"/>
    <w:rsid w:val="00A43DC7"/>
    <w:rsid w:val="00A453F2"/>
    <w:rsid w:val="00A4639F"/>
    <w:rsid w:val="00A47878"/>
    <w:rsid w:val="00A47C55"/>
    <w:rsid w:val="00A507C0"/>
    <w:rsid w:val="00A516B3"/>
    <w:rsid w:val="00A51DF4"/>
    <w:rsid w:val="00A53497"/>
    <w:rsid w:val="00A53A8E"/>
    <w:rsid w:val="00A5488A"/>
    <w:rsid w:val="00A54954"/>
    <w:rsid w:val="00A55B16"/>
    <w:rsid w:val="00A570E4"/>
    <w:rsid w:val="00A57B27"/>
    <w:rsid w:val="00A62002"/>
    <w:rsid w:val="00A637D4"/>
    <w:rsid w:val="00A6466B"/>
    <w:rsid w:val="00A70B60"/>
    <w:rsid w:val="00A71441"/>
    <w:rsid w:val="00A716A0"/>
    <w:rsid w:val="00A719E4"/>
    <w:rsid w:val="00A71ADB"/>
    <w:rsid w:val="00A757F6"/>
    <w:rsid w:val="00A7610B"/>
    <w:rsid w:val="00A769A6"/>
    <w:rsid w:val="00A76D9E"/>
    <w:rsid w:val="00A8170A"/>
    <w:rsid w:val="00A83B5D"/>
    <w:rsid w:val="00A87560"/>
    <w:rsid w:val="00A8787F"/>
    <w:rsid w:val="00A87B1C"/>
    <w:rsid w:val="00A87D59"/>
    <w:rsid w:val="00A90C16"/>
    <w:rsid w:val="00A9166A"/>
    <w:rsid w:val="00A91B67"/>
    <w:rsid w:val="00A932AD"/>
    <w:rsid w:val="00A94C4F"/>
    <w:rsid w:val="00A97A76"/>
    <w:rsid w:val="00AA1B4B"/>
    <w:rsid w:val="00AA50A7"/>
    <w:rsid w:val="00AA5A0A"/>
    <w:rsid w:val="00AA6EE4"/>
    <w:rsid w:val="00AB1E0C"/>
    <w:rsid w:val="00AB234E"/>
    <w:rsid w:val="00AB3239"/>
    <w:rsid w:val="00AB3602"/>
    <w:rsid w:val="00AB6C84"/>
    <w:rsid w:val="00AB7735"/>
    <w:rsid w:val="00AC299E"/>
    <w:rsid w:val="00AC2B0F"/>
    <w:rsid w:val="00AC2BF8"/>
    <w:rsid w:val="00AC39A3"/>
    <w:rsid w:val="00AC3AAD"/>
    <w:rsid w:val="00AC5FE2"/>
    <w:rsid w:val="00AD016F"/>
    <w:rsid w:val="00AD218C"/>
    <w:rsid w:val="00AD3250"/>
    <w:rsid w:val="00AD6703"/>
    <w:rsid w:val="00AD67C1"/>
    <w:rsid w:val="00AD74E8"/>
    <w:rsid w:val="00AE0340"/>
    <w:rsid w:val="00AE1D73"/>
    <w:rsid w:val="00AE2DC8"/>
    <w:rsid w:val="00AE392A"/>
    <w:rsid w:val="00AE3FD4"/>
    <w:rsid w:val="00AF03EB"/>
    <w:rsid w:val="00AF042F"/>
    <w:rsid w:val="00AF111C"/>
    <w:rsid w:val="00AF233E"/>
    <w:rsid w:val="00AF332F"/>
    <w:rsid w:val="00AF3AF2"/>
    <w:rsid w:val="00AF3EA6"/>
    <w:rsid w:val="00AF5BC7"/>
    <w:rsid w:val="00AF649E"/>
    <w:rsid w:val="00B0012A"/>
    <w:rsid w:val="00B00801"/>
    <w:rsid w:val="00B0196F"/>
    <w:rsid w:val="00B0382F"/>
    <w:rsid w:val="00B05693"/>
    <w:rsid w:val="00B06BF8"/>
    <w:rsid w:val="00B075ED"/>
    <w:rsid w:val="00B1183E"/>
    <w:rsid w:val="00B11946"/>
    <w:rsid w:val="00B12480"/>
    <w:rsid w:val="00B142D6"/>
    <w:rsid w:val="00B1506B"/>
    <w:rsid w:val="00B1728A"/>
    <w:rsid w:val="00B20107"/>
    <w:rsid w:val="00B20A08"/>
    <w:rsid w:val="00B2133F"/>
    <w:rsid w:val="00B23552"/>
    <w:rsid w:val="00B27265"/>
    <w:rsid w:val="00B3097D"/>
    <w:rsid w:val="00B31E99"/>
    <w:rsid w:val="00B32C41"/>
    <w:rsid w:val="00B32D79"/>
    <w:rsid w:val="00B35070"/>
    <w:rsid w:val="00B3547B"/>
    <w:rsid w:val="00B35782"/>
    <w:rsid w:val="00B357B9"/>
    <w:rsid w:val="00B36381"/>
    <w:rsid w:val="00B363BD"/>
    <w:rsid w:val="00B36683"/>
    <w:rsid w:val="00B368F3"/>
    <w:rsid w:val="00B36E5A"/>
    <w:rsid w:val="00B404D1"/>
    <w:rsid w:val="00B40BE0"/>
    <w:rsid w:val="00B43342"/>
    <w:rsid w:val="00B439E1"/>
    <w:rsid w:val="00B44774"/>
    <w:rsid w:val="00B44D28"/>
    <w:rsid w:val="00B46BDE"/>
    <w:rsid w:val="00B477BD"/>
    <w:rsid w:val="00B511F0"/>
    <w:rsid w:val="00B51351"/>
    <w:rsid w:val="00B53E72"/>
    <w:rsid w:val="00B5576C"/>
    <w:rsid w:val="00B55DFF"/>
    <w:rsid w:val="00B571B2"/>
    <w:rsid w:val="00B605CB"/>
    <w:rsid w:val="00B608CF"/>
    <w:rsid w:val="00B60FD6"/>
    <w:rsid w:val="00B6202F"/>
    <w:rsid w:val="00B63A66"/>
    <w:rsid w:val="00B641DE"/>
    <w:rsid w:val="00B64D60"/>
    <w:rsid w:val="00B65ABF"/>
    <w:rsid w:val="00B665C6"/>
    <w:rsid w:val="00B66F83"/>
    <w:rsid w:val="00B66FBA"/>
    <w:rsid w:val="00B70056"/>
    <w:rsid w:val="00B70CF9"/>
    <w:rsid w:val="00B71887"/>
    <w:rsid w:val="00B71FD5"/>
    <w:rsid w:val="00B72298"/>
    <w:rsid w:val="00B75942"/>
    <w:rsid w:val="00B81BE3"/>
    <w:rsid w:val="00B837C7"/>
    <w:rsid w:val="00B8527B"/>
    <w:rsid w:val="00B87DEC"/>
    <w:rsid w:val="00B967A3"/>
    <w:rsid w:val="00BA0936"/>
    <w:rsid w:val="00BA3DBE"/>
    <w:rsid w:val="00BA3E9F"/>
    <w:rsid w:val="00BA58CD"/>
    <w:rsid w:val="00BA6BD0"/>
    <w:rsid w:val="00BA722B"/>
    <w:rsid w:val="00BB0135"/>
    <w:rsid w:val="00BB01F1"/>
    <w:rsid w:val="00BB0288"/>
    <w:rsid w:val="00BB0D47"/>
    <w:rsid w:val="00BB2304"/>
    <w:rsid w:val="00BB2409"/>
    <w:rsid w:val="00BB2EE9"/>
    <w:rsid w:val="00BB37E7"/>
    <w:rsid w:val="00BB3AA8"/>
    <w:rsid w:val="00BB3AB4"/>
    <w:rsid w:val="00BB45B5"/>
    <w:rsid w:val="00BB5742"/>
    <w:rsid w:val="00BB5BE7"/>
    <w:rsid w:val="00BB6C06"/>
    <w:rsid w:val="00BC1387"/>
    <w:rsid w:val="00BC14C1"/>
    <w:rsid w:val="00BC1CD6"/>
    <w:rsid w:val="00BC2858"/>
    <w:rsid w:val="00BC2A64"/>
    <w:rsid w:val="00BC3086"/>
    <w:rsid w:val="00BC30A6"/>
    <w:rsid w:val="00BC347C"/>
    <w:rsid w:val="00BC7FC2"/>
    <w:rsid w:val="00BD0D22"/>
    <w:rsid w:val="00BD22C7"/>
    <w:rsid w:val="00BD310C"/>
    <w:rsid w:val="00BD47C4"/>
    <w:rsid w:val="00BD68F2"/>
    <w:rsid w:val="00BE0D09"/>
    <w:rsid w:val="00BE10F7"/>
    <w:rsid w:val="00BE2A2F"/>
    <w:rsid w:val="00BE4240"/>
    <w:rsid w:val="00BE7E15"/>
    <w:rsid w:val="00BF07E7"/>
    <w:rsid w:val="00BF119E"/>
    <w:rsid w:val="00BF26D1"/>
    <w:rsid w:val="00BF3087"/>
    <w:rsid w:val="00BF3392"/>
    <w:rsid w:val="00BF437B"/>
    <w:rsid w:val="00BF533C"/>
    <w:rsid w:val="00BF53FB"/>
    <w:rsid w:val="00BF5833"/>
    <w:rsid w:val="00C00712"/>
    <w:rsid w:val="00C01C7B"/>
    <w:rsid w:val="00C026E4"/>
    <w:rsid w:val="00C02F1A"/>
    <w:rsid w:val="00C03436"/>
    <w:rsid w:val="00C068D9"/>
    <w:rsid w:val="00C12059"/>
    <w:rsid w:val="00C1218B"/>
    <w:rsid w:val="00C12273"/>
    <w:rsid w:val="00C13C14"/>
    <w:rsid w:val="00C21850"/>
    <w:rsid w:val="00C23A89"/>
    <w:rsid w:val="00C241FA"/>
    <w:rsid w:val="00C25A2A"/>
    <w:rsid w:val="00C25F0E"/>
    <w:rsid w:val="00C26B17"/>
    <w:rsid w:val="00C3131B"/>
    <w:rsid w:val="00C326F6"/>
    <w:rsid w:val="00C34A89"/>
    <w:rsid w:val="00C36C85"/>
    <w:rsid w:val="00C41683"/>
    <w:rsid w:val="00C424F7"/>
    <w:rsid w:val="00C430BE"/>
    <w:rsid w:val="00C43292"/>
    <w:rsid w:val="00C43B67"/>
    <w:rsid w:val="00C441EE"/>
    <w:rsid w:val="00C4421B"/>
    <w:rsid w:val="00C456C4"/>
    <w:rsid w:val="00C459DF"/>
    <w:rsid w:val="00C46BD5"/>
    <w:rsid w:val="00C46E6B"/>
    <w:rsid w:val="00C50E1C"/>
    <w:rsid w:val="00C52043"/>
    <w:rsid w:val="00C52B76"/>
    <w:rsid w:val="00C5387A"/>
    <w:rsid w:val="00C53C2A"/>
    <w:rsid w:val="00C5569F"/>
    <w:rsid w:val="00C56FB2"/>
    <w:rsid w:val="00C60EAB"/>
    <w:rsid w:val="00C61AA8"/>
    <w:rsid w:val="00C62FA3"/>
    <w:rsid w:val="00C6303E"/>
    <w:rsid w:val="00C67F0F"/>
    <w:rsid w:val="00C7228A"/>
    <w:rsid w:val="00C738CA"/>
    <w:rsid w:val="00C777A2"/>
    <w:rsid w:val="00C803C7"/>
    <w:rsid w:val="00C82362"/>
    <w:rsid w:val="00C852FA"/>
    <w:rsid w:val="00C85ADF"/>
    <w:rsid w:val="00C86306"/>
    <w:rsid w:val="00C8678A"/>
    <w:rsid w:val="00C91540"/>
    <w:rsid w:val="00C91F1D"/>
    <w:rsid w:val="00C92D96"/>
    <w:rsid w:val="00C95B67"/>
    <w:rsid w:val="00C96425"/>
    <w:rsid w:val="00C96518"/>
    <w:rsid w:val="00C96559"/>
    <w:rsid w:val="00C96DD3"/>
    <w:rsid w:val="00C97695"/>
    <w:rsid w:val="00C976CE"/>
    <w:rsid w:val="00CA047C"/>
    <w:rsid w:val="00CA0E2D"/>
    <w:rsid w:val="00CA21F8"/>
    <w:rsid w:val="00CA2F60"/>
    <w:rsid w:val="00CA2FD4"/>
    <w:rsid w:val="00CA3E91"/>
    <w:rsid w:val="00CA4F3B"/>
    <w:rsid w:val="00CA57C8"/>
    <w:rsid w:val="00CA57FD"/>
    <w:rsid w:val="00CA6083"/>
    <w:rsid w:val="00CA6C60"/>
    <w:rsid w:val="00CB00BA"/>
    <w:rsid w:val="00CB1BC0"/>
    <w:rsid w:val="00CB3402"/>
    <w:rsid w:val="00CB4A37"/>
    <w:rsid w:val="00CB529A"/>
    <w:rsid w:val="00CC0651"/>
    <w:rsid w:val="00CC3235"/>
    <w:rsid w:val="00CC3897"/>
    <w:rsid w:val="00CC3D8D"/>
    <w:rsid w:val="00CD0074"/>
    <w:rsid w:val="00CD054A"/>
    <w:rsid w:val="00CD1704"/>
    <w:rsid w:val="00CD3E55"/>
    <w:rsid w:val="00CD61F5"/>
    <w:rsid w:val="00CD6C87"/>
    <w:rsid w:val="00CD72EF"/>
    <w:rsid w:val="00CD76EF"/>
    <w:rsid w:val="00CE011C"/>
    <w:rsid w:val="00CE018F"/>
    <w:rsid w:val="00CE0992"/>
    <w:rsid w:val="00CE1060"/>
    <w:rsid w:val="00CE1215"/>
    <w:rsid w:val="00CE136B"/>
    <w:rsid w:val="00CE2800"/>
    <w:rsid w:val="00CE5132"/>
    <w:rsid w:val="00CE5C86"/>
    <w:rsid w:val="00CE67B9"/>
    <w:rsid w:val="00CE6BF5"/>
    <w:rsid w:val="00CE74F2"/>
    <w:rsid w:val="00CF1ACD"/>
    <w:rsid w:val="00CF2106"/>
    <w:rsid w:val="00CF6C3F"/>
    <w:rsid w:val="00CF7B1B"/>
    <w:rsid w:val="00D0144D"/>
    <w:rsid w:val="00D0306C"/>
    <w:rsid w:val="00D06316"/>
    <w:rsid w:val="00D079E0"/>
    <w:rsid w:val="00D07BE1"/>
    <w:rsid w:val="00D10AE4"/>
    <w:rsid w:val="00D12A05"/>
    <w:rsid w:val="00D17B0B"/>
    <w:rsid w:val="00D20ACE"/>
    <w:rsid w:val="00D21A56"/>
    <w:rsid w:val="00D21FDC"/>
    <w:rsid w:val="00D22A49"/>
    <w:rsid w:val="00D253B4"/>
    <w:rsid w:val="00D26ACE"/>
    <w:rsid w:val="00D27292"/>
    <w:rsid w:val="00D3141C"/>
    <w:rsid w:val="00D31671"/>
    <w:rsid w:val="00D3253E"/>
    <w:rsid w:val="00D32D38"/>
    <w:rsid w:val="00D339B3"/>
    <w:rsid w:val="00D34287"/>
    <w:rsid w:val="00D3436C"/>
    <w:rsid w:val="00D35A52"/>
    <w:rsid w:val="00D3684E"/>
    <w:rsid w:val="00D3717B"/>
    <w:rsid w:val="00D3766F"/>
    <w:rsid w:val="00D41520"/>
    <w:rsid w:val="00D42A6D"/>
    <w:rsid w:val="00D43913"/>
    <w:rsid w:val="00D43C04"/>
    <w:rsid w:val="00D44B6A"/>
    <w:rsid w:val="00D46776"/>
    <w:rsid w:val="00D47F46"/>
    <w:rsid w:val="00D5084A"/>
    <w:rsid w:val="00D50FA4"/>
    <w:rsid w:val="00D542D1"/>
    <w:rsid w:val="00D55053"/>
    <w:rsid w:val="00D56EB1"/>
    <w:rsid w:val="00D601AF"/>
    <w:rsid w:val="00D607D9"/>
    <w:rsid w:val="00D621E2"/>
    <w:rsid w:val="00D62FF4"/>
    <w:rsid w:val="00D66425"/>
    <w:rsid w:val="00D664B3"/>
    <w:rsid w:val="00D67821"/>
    <w:rsid w:val="00D71214"/>
    <w:rsid w:val="00D71FBA"/>
    <w:rsid w:val="00D720C2"/>
    <w:rsid w:val="00D72D18"/>
    <w:rsid w:val="00D74202"/>
    <w:rsid w:val="00D7477B"/>
    <w:rsid w:val="00D74B38"/>
    <w:rsid w:val="00D757BF"/>
    <w:rsid w:val="00D76258"/>
    <w:rsid w:val="00D77972"/>
    <w:rsid w:val="00D80E13"/>
    <w:rsid w:val="00D84613"/>
    <w:rsid w:val="00D853B3"/>
    <w:rsid w:val="00D873FD"/>
    <w:rsid w:val="00D87FFC"/>
    <w:rsid w:val="00D9088E"/>
    <w:rsid w:val="00D91B41"/>
    <w:rsid w:val="00D9303C"/>
    <w:rsid w:val="00D93E7E"/>
    <w:rsid w:val="00D941E1"/>
    <w:rsid w:val="00D94BB3"/>
    <w:rsid w:val="00D95517"/>
    <w:rsid w:val="00D973D8"/>
    <w:rsid w:val="00D97AA2"/>
    <w:rsid w:val="00DA105B"/>
    <w:rsid w:val="00DA252C"/>
    <w:rsid w:val="00DA2F18"/>
    <w:rsid w:val="00DA337D"/>
    <w:rsid w:val="00DA5409"/>
    <w:rsid w:val="00DA7A86"/>
    <w:rsid w:val="00DB0657"/>
    <w:rsid w:val="00DB3A43"/>
    <w:rsid w:val="00DB4764"/>
    <w:rsid w:val="00DB4F4E"/>
    <w:rsid w:val="00DB75DC"/>
    <w:rsid w:val="00DB7B06"/>
    <w:rsid w:val="00DC0869"/>
    <w:rsid w:val="00DC3100"/>
    <w:rsid w:val="00DC3C07"/>
    <w:rsid w:val="00DC5D53"/>
    <w:rsid w:val="00DC7587"/>
    <w:rsid w:val="00DD10DF"/>
    <w:rsid w:val="00DD141E"/>
    <w:rsid w:val="00DD2DF7"/>
    <w:rsid w:val="00DD3E9A"/>
    <w:rsid w:val="00DD4311"/>
    <w:rsid w:val="00DD5CDE"/>
    <w:rsid w:val="00DE17B2"/>
    <w:rsid w:val="00DE1C78"/>
    <w:rsid w:val="00DE2AD6"/>
    <w:rsid w:val="00DE37D7"/>
    <w:rsid w:val="00DE4668"/>
    <w:rsid w:val="00DE62B3"/>
    <w:rsid w:val="00DE6BAD"/>
    <w:rsid w:val="00DE7825"/>
    <w:rsid w:val="00DE78E2"/>
    <w:rsid w:val="00DF1356"/>
    <w:rsid w:val="00DF4B0A"/>
    <w:rsid w:val="00DF4F26"/>
    <w:rsid w:val="00E00EAA"/>
    <w:rsid w:val="00E013CE"/>
    <w:rsid w:val="00E038B9"/>
    <w:rsid w:val="00E05CC4"/>
    <w:rsid w:val="00E06C24"/>
    <w:rsid w:val="00E06CD6"/>
    <w:rsid w:val="00E108A3"/>
    <w:rsid w:val="00E108C8"/>
    <w:rsid w:val="00E11045"/>
    <w:rsid w:val="00E12925"/>
    <w:rsid w:val="00E12A8A"/>
    <w:rsid w:val="00E13E0F"/>
    <w:rsid w:val="00E14DF7"/>
    <w:rsid w:val="00E15AB0"/>
    <w:rsid w:val="00E16CD2"/>
    <w:rsid w:val="00E16D9B"/>
    <w:rsid w:val="00E174C6"/>
    <w:rsid w:val="00E176B0"/>
    <w:rsid w:val="00E215BB"/>
    <w:rsid w:val="00E22510"/>
    <w:rsid w:val="00E23338"/>
    <w:rsid w:val="00E239D2"/>
    <w:rsid w:val="00E246AF"/>
    <w:rsid w:val="00E25E2E"/>
    <w:rsid w:val="00E30544"/>
    <w:rsid w:val="00E32C7E"/>
    <w:rsid w:val="00E33A1D"/>
    <w:rsid w:val="00E35B69"/>
    <w:rsid w:val="00E41C1D"/>
    <w:rsid w:val="00E42AFE"/>
    <w:rsid w:val="00E43AC3"/>
    <w:rsid w:val="00E43F01"/>
    <w:rsid w:val="00E4658D"/>
    <w:rsid w:val="00E471ED"/>
    <w:rsid w:val="00E47288"/>
    <w:rsid w:val="00E47753"/>
    <w:rsid w:val="00E50FF9"/>
    <w:rsid w:val="00E5146F"/>
    <w:rsid w:val="00E5378A"/>
    <w:rsid w:val="00E53BD2"/>
    <w:rsid w:val="00E554A9"/>
    <w:rsid w:val="00E55C8A"/>
    <w:rsid w:val="00E55D60"/>
    <w:rsid w:val="00E56700"/>
    <w:rsid w:val="00E56C9D"/>
    <w:rsid w:val="00E60B24"/>
    <w:rsid w:val="00E6195F"/>
    <w:rsid w:val="00E64360"/>
    <w:rsid w:val="00E64BA0"/>
    <w:rsid w:val="00E6548B"/>
    <w:rsid w:val="00E65778"/>
    <w:rsid w:val="00E66AA5"/>
    <w:rsid w:val="00E701DA"/>
    <w:rsid w:val="00E708AC"/>
    <w:rsid w:val="00E70F57"/>
    <w:rsid w:val="00E72693"/>
    <w:rsid w:val="00E73CDA"/>
    <w:rsid w:val="00E74E7F"/>
    <w:rsid w:val="00E75032"/>
    <w:rsid w:val="00E76CFF"/>
    <w:rsid w:val="00E7714E"/>
    <w:rsid w:val="00E80358"/>
    <w:rsid w:val="00E8059B"/>
    <w:rsid w:val="00E815CB"/>
    <w:rsid w:val="00E816B4"/>
    <w:rsid w:val="00E84978"/>
    <w:rsid w:val="00E861EC"/>
    <w:rsid w:val="00E875AC"/>
    <w:rsid w:val="00E879BD"/>
    <w:rsid w:val="00E925C5"/>
    <w:rsid w:val="00E940F1"/>
    <w:rsid w:val="00E94B6D"/>
    <w:rsid w:val="00E956CF"/>
    <w:rsid w:val="00E95FE8"/>
    <w:rsid w:val="00E96375"/>
    <w:rsid w:val="00E96BC2"/>
    <w:rsid w:val="00EA6BCD"/>
    <w:rsid w:val="00EB23CF"/>
    <w:rsid w:val="00EB2E35"/>
    <w:rsid w:val="00EB2EB8"/>
    <w:rsid w:val="00EB3668"/>
    <w:rsid w:val="00EB6660"/>
    <w:rsid w:val="00EB71B7"/>
    <w:rsid w:val="00EC08A9"/>
    <w:rsid w:val="00EC1B3E"/>
    <w:rsid w:val="00EC1DCE"/>
    <w:rsid w:val="00EC3F83"/>
    <w:rsid w:val="00EC4590"/>
    <w:rsid w:val="00ED1C9C"/>
    <w:rsid w:val="00ED2DA9"/>
    <w:rsid w:val="00ED34EC"/>
    <w:rsid w:val="00ED5B6C"/>
    <w:rsid w:val="00EE04C9"/>
    <w:rsid w:val="00EE0AFF"/>
    <w:rsid w:val="00EE0E1A"/>
    <w:rsid w:val="00EE246C"/>
    <w:rsid w:val="00EE2A27"/>
    <w:rsid w:val="00EE3479"/>
    <w:rsid w:val="00EE4F7F"/>
    <w:rsid w:val="00EE7666"/>
    <w:rsid w:val="00EE7BBA"/>
    <w:rsid w:val="00EF106B"/>
    <w:rsid w:val="00EF10FA"/>
    <w:rsid w:val="00EF519A"/>
    <w:rsid w:val="00EF6184"/>
    <w:rsid w:val="00EF6C75"/>
    <w:rsid w:val="00EF6FDB"/>
    <w:rsid w:val="00EF736E"/>
    <w:rsid w:val="00F010F7"/>
    <w:rsid w:val="00F014DF"/>
    <w:rsid w:val="00F02CDB"/>
    <w:rsid w:val="00F03523"/>
    <w:rsid w:val="00F051BD"/>
    <w:rsid w:val="00F05E6C"/>
    <w:rsid w:val="00F07AE3"/>
    <w:rsid w:val="00F12E52"/>
    <w:rsid w:val="00F1567A"/>
    <w:rsid w:val="00F173FC"/>
    <w:rsid w:val="00F174B4"/>
    <w:rsid w:val="00F17B60"/>
    <w:rsid w:val="00F207D1"/>
    <w:rsid w:val="00F20AE4"/>
    <w:rsid w:val="00F2292E"/>
    <w:rsid w:val="00F2296F"/>
    <w:rsid w:val="00F24C41"/>
    <w:rsid w:val="00F25FFD"/>
    <w:rsid w:val="00F30AE4"/>
    <w:rsid w:val="00F31325"/>
    <w:rsid w:val="00F316C6"/>
    <w:rsid w:val="00F32E93"/>
    <w:rsid w:val="00F336EC"/>
    <w:rsid w:val="00F33CC2"/>
    <w:rsid w:val="00F340CD"/>
    <w:rsid w:val="00F34A9D"/>
    <w:rsid w:val="00F34FBC"/>
    <w:rsid w:val="00F400FE"/>
    <w:rsid w:val="00F40309"/>
    <w:rsid w:val="00F407E5"/>
    <w:rsid w:val="00F4220A"/>
    <w:rsid w:val="00F427D2"/>
    <w:rsid w:val="00F46743"/>
    <w:rsid w:val="00F46B8F"/>
    <w:rsid w:val="00F47DDE"/>
    <w:rsid w:val="00F5042B"/>
    <w:rsid w:val="00F52DE4"/>
    <w:rsid w:val="00F53D94"/>
    <w:rsid w:val="00F54518"/>
    <w:rsid w:val="00F55D6B"/>
    <w:rsid w:val="00F57D27"/>
    <w:rsid w:val="00F64F64"/>
    <w:rsid w:val="00F65979"/>
    <w:rsid w:val="00F673D5"/>
    <w:rsid w:val="00F6767C"/>
    <w:rsid w:val="00F6770C"/>
    <w:rsid w:val="00F67BE1"/>
    <w:rsid w:val="00F71958"/>
    <w:rsid w:val="00F71FE6"/>
    <w:rsid w:val="00F734A0"/>
    <w:rsid w:val="00F750B0"/>
    <w:rsid w:val="00F75776"/>
    <w:rsid w:val="00F80FB2"/>
    <w:rsid w:val="00F8167E"/>
    <w:rsid w:val="00F82049"/>
    <w:rsid w:val="00F83237"/>
    <w:rsid w:val="00F83842"/>
    <w:rsid w:val="00F852A3"/>
    <w:rsid w:val="00F94445"/>
    <w:rsid w:val="00F95199"/>
    <w:rsid w:val="00F96DD7"/>
    <w:rsid w:val="00F96E1C"/>
    <w:rsid w:val="00F97225"/>
    <w:rsid w:val="00F97704"/>
    <w:rsid w:val="00FA0FE3"/>
    <w:rsid w:val="00FA1186"/>
    <w:rsid w:val="00FA13C7"/>
    <w:rsid w:val="00FA3A7B"/>
    <w:rsid w:val="00FA3C79"/>
    <w:rsid w:val="00FA3D32"/>
    <w:rsid w:val="00FA4F59"/>
    <w:rsid w:val="00FA6355"/>
    <w:rsid w:val="00FA6425"/>
    <w:rsid w:val="00FA74D1"/>
    <w:rsid w:val="00FA76AA"/>
    <w:rsid w:val="00FB0C66"/>
    <w:rsid w:val="00FB15DD"/>
    <w:rsid w:val="00FB2597"/>
    <w:rsid w:val="00FB3D32"/>
    <w:rsid w:val="00FB5225"/>
    <w:rsid w:val="00FB6D30"/>
    <w:rsid w:val="00FB6D6A"/>
    <w:rsid w:val="00FC36D7"/>
    <w:rsid w:val="00FC408B"/>
    <w:rsid w:val="00FD0990"/>
    <w:rsid w:val="00FD0CC5"/>
    <w:rsid w:val="00FD0F7E"/>
    <w:rsid w:val="00FD1D95"/>
    <w:rsid w:val="00FD20AE"/>
    <w:rsid w:val="00FD2E77"/>
    <w:rsid w:val="00FD37FE"/>
    <w:rsid w:val="00FD38F2"/>
    <w:rsid w:val="00FD3B4F"/>
    <w:rsid w:val="00FD574B"/>
    <w:rsid w:val="00FD69E9"/>
    <w:rsid w:val="00FD6DBD"/>
    <w:rsid w:val="00FD7750"/>
    <w:rsid w:val="00FD796D"/>
    <w:rsid w:val="00FE09AA"/>
    <w:rsid w:val="00FE19E5"/>
    <w:rsid w:val="00FE20DB"/>
    <w:rsid w:val="00FE461B"/>
    <w:rsid w:val="00FE5FE2"/>
    <w:rsid w:val="00FE6CE1"/>
    <w:rsid w:val="00FF04BD"/>
    <w:rsid w:val="00FF1A00"/>
    <w:rsid w:val="00FF3BCA"/>
    <w:rsid w:val="00FF594E"/>
    <w:rsid w:val="00FF5A54"/>
    <w:rsid w:val="00FF66D3"/>
    <w:rsid w:val="06506B85"/>
    <w:rsid w:val="0F1C1EF6"/>
    <w:rsid w:val="1DA01AAB"/>
    <w:rsid w:val="2D691232"/>
    <w:rsid w:val="36D56286"/>
    <w:rsid w:val="373C08D9"/>
    <w:rsid w:val="3BCD62A3"/>
    <w:rsid w:val="3BE363C4"/>
    <w:rsid w:val="3DA95E59"/>
    <w:rsid w:val="40E733DF"/>
    <w:rsid w:val="41B94868"/>
    <w:rsid w:val="42E14F20"/>
    <w:rsid w:val="4AAA7D02"/>
    <w:rsid w:val="4B682DF0"/>
    <w:rsid w:val="4E25202E"/>
    <w:rsid w:val="548664F8"/>
    <w:rsid w:val="54A46B41"/>
    <w:rsid w:val="590D777D"/>
    <w:rsid w:val="5B5505A3"/>
    <w:rsid w:val="66FA39F5"/>
    <w:rsid w:val="6BF23E77"/>
    <w:rsid w:val="72692FC9"/>
    <w:rsid w:val="760452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5">
    <w:name w:val="Default Paragraph Font"/>
    <w:semiHidden/>
    <w:unhideWhenUsed/>
    <w:qFormat/>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3"/>
    <w:next w:val="1"/>
    <w:qFormat/>
    <w:uiPriority w:val="39"/>
  </w:style>
  <w:style w:type="paragraph" w:styleId="13">
    <w:name w:val="toc 5"/>
    <w:basedOn w:val="14"/>
    <w:next w:val="1"/>
    <w:qFormat/>
    <w:uiPriority w:val="39"/>
  </w:style>
  <w:style w:type="paragraph" w:styleId="14">
    <w:name w:val="toc 4"/>
    <w:basedOn w:val="15"/>
    <w:next w:val="1"/>
    <w:qFormat/>
    <w:uiPriority w:val="39"/>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Body Text"/>
    <w:basedOn w:val="1"/>
    <w:qFormat/>
    <w:uiPriority w:val="0"/>
    <w:pPr>
      <w:spacing w:after="120"/>
    </w:pPr>
  </w:style>
  <w:style w:type="paragraph" w:styleId="21">
    <w:name w:val="Body Text Indent"/>
    <w:basedOn w:val="1"/>
    <w:qFormat/>
    <w:uiPriority w:val="0"/>
    <w:pPr>
      <w:spacing w:line="360" w:lineRule="exact"/>
      <w:ind w:left="420" w:firstLine="480"/>
    </w:pPr>
    <w:rPr>
      <w:sz w:val="24"/>
      <w:szCs w:val="20"/>
    </w:rPr>
  </w:style>
  <w:style w:type="paragraph" w:styleId="22">
    <w:name w:val="HTML Address"/>
    <w:basedOn w:val="1"/>
    <w:qFormat/>
    <w:uiPriority w:val="0"/>
    <w:rPr>
      <w:i/>
      <w:iCs/>
    </w:rPr>
  </w:style>
  <w:style w:type="paragraph" w:styleId="23">
    <w:name w:val="toc 8"/>
    <w:basedOn w:val="11"/>
    <w:next w:val="1"/>
    <w:qFormat/>
    <w:uiPriority w:val="39"/>
  </w:style>
  <w:style w:type="paragraph" w:styleId="24">
    <w:name w:val="Balloon Text"/>
    <w:basedOn w:val="1"/>
    <w:link w:val="126"/>
    <w:qFormat/>
    <w:uiPriority w:val="0"/>
    <w:rPr>
      <w:sz w:val="18"/>
      <w:szCs w:val="18"/>
    </w:rPr>
  </w:style>
  <w:style w:type="paragraph" w:styleId="25">
    <w:name w:val="footer"/>
    <w:basedOn w:val="1"/>
    <w:link w:val="132"/>
    <w:qFormat/>
    <w:uiPriority w:val="99"/>
    <w:pPr>
      <w:tabs>
        <w:tab w:val="center" w:pos="4153"/>
        <w:tab w:val="right" w:pos="8306"/>
      </w:tabs>
      <w:snapToGrid w:val="0"/>
      <w:ind w:right="210" w:rightChars="100"/>
      <w:jc w:val="right"/>
    </w:pPr>
    <w:rPr>
      <w:sz w:val="18"/>
      <w:szCs w:val="18"/>
    </w:rPr>
  </w:style>
  <w:style w:type="paragraph" w:styleId="26">
    <w:name w:val="header"/>
    <w:basedOn w:val="1"/>
    <w:link w:val="119"/>
    <w:qFormat/>
    <w:uiPriority w:val="99"/>
    <w:p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pPr>
    <w:rPr>
      <w:sz w:val="18"/>
      <w:szCs w:val="18"/>
    </w:rPr>
  </w:style>
  <w:style w:type="paragraph" w:styleId="28">
    <w:name w:val="toc 9"/>
    <w:basedOn w:val="23"/>
    <w:next w:val="1"/>
    <w:qFormat/>
    <w:uiPriority w:val="39"/>
  </w:style>
  <w:style w:type="paragraph" w:styleId="29">
    <w:name w:val="HTML Preformatted"/>
    <w:basedOn w:val="1"/>
    <w:qFormat/>
    <w:uiPriority w:val="0"/>
    <w:rPr>
      <w:rFonts w:ascii="Courier New" w:hAnsi="Courier New" w:cs="Courier New"/>
      <w:sz w:val="20"/>
      <w:szCs w:val="20"/>
    </w:rPr>
  </w:style>
  <w:style w:type="paragraph" w:styleId="30">
    <w:name w:val="Normal (Web)"/>
    <w:basedOn w:val="1"/>
    <w:next w:val="24"/>
    <w:semiHidden/>
    <w:unhideWhenUsed/>
    <w:qFormat/>
    <w:uiPriority w:val="99"/>
    <w:pPr>
      <w:spacing w:before="100" w:beforeAutospacing="1" w:after="100" w:afterAutospacing="1"/>
    </w:pPr>
    <w:rPr>
      <w:rFonts w:ascii="宋体" w:hAnsi="宋体" w:cs="宋体"/>
      <w:kern w:val="0"/>
      <w:sz w:val="24"/>
    </w:rPr>
  </w:style>
  <w:style w:type="paragraph" w:styleId="31">
    <w:name w:val="Title"/>
    <w:basedOn w:val="1"/>
    <w:qFormat/>
    <w:uiPriority w:val="0"/>
    <w:pPr>
      <w:spacing w:before="240" w:after="60"/>
      <w:jc w:val="center"/>
      <w:outlineLvl w:val="0"/>
    </w:pPr>
    <w:rPr>
      <w:rFonts w:ascii="Arial" w:hAnsi="Arial" w:cs="Arial"/>
      <w:b/>
      <w:bCs/>
      <w:sz w:val="32"/>
      <w:szCs w:val="32"/>
    </w:rPr>
  </w:style>
  <w:style w:type="paragraph" w:styleId="32">
    <w:name w:val="Body Text First Indent"/>
    <w:basedOn w:val="20"/>
    <w:link w:val="122"/>
    <w:qFormat/>
    <w:uiPriority w:val="0"/>
    <w:pPr>
      <w:ind w:firstLine="420"/>
    </w:pPr>
    <w:rPr>
      <w:szCs w:val="20"/>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HTML Definition"/>
    <w:qFormat/>
    <w:uiPriority w:val="0"/>
    <w:rPr>
      <w:i/>
      <w:iCs/>
    </w:rPr>
  </w:style>
  <w:style w:type="character" w:styleId="39">
    <w:name w:val="HTML Typewriter"/>
    <w:qFormat/>
    <w:uiPriority w:val="0"/>
    <w:rPr>
      <w:rFonts w:ascii="Courier New" w:hAnsi="Courier New"/>
      <w:sz w:val="20"/>
      <w:szCs w:val="20"/>
    </w:rPr>
  </w:style>
  <w:style w:type="character" w:styleId="40">
    <w:name w:val="HTML Acronym"/>
    <w:basedOn w:val="35"/>
    <w:qFormat/>
    <w:uiPriority w:val="0"/>
  </w:style>
  <w:style w:type="character" w:styleId="41">
    <w:name w:val="HTML Variable"/>
    <w:qFormat/>
    <w:uiPriority w:val="0"/>
    <w:rPr>
      <w:i/>
      <w:iCs/>
    </w:rPr>
  </w:style>
  <w:style w:type="character" w:styleId="42">
    <w:name w:val="Hyperlink"/>
    <w:qFormat/>
    <w:uiPriority w:val="99"/>
    <w:rPr>
      <w:rFonts w:ascii="Times New Roman" w:hAnsi="Times New Roman" w:eastAsia="宋体"/>
      <w:color w:val="auto"/>
      <w:spacing w:val="0"/>
      <w:w w:val="100"/>
      <w:position w:val="0"/>
      <w:sz w:val="21"/>
      <w:u w:val="none"/>
      <w:vertAlign w:val="baseline"/>
    </w:rPr>
  </w:style>
  <w:style w:type="character" w:styleId="43">
    <w:name w:val="HTML Code"/>
    <w:qFormat/>
    <w:uiPriority w:val="0"/>
    <w:rPr>
      <w:rFonts w:ascii="Courier New" w:hAnsi="Courier New"/>
      <w:sz w:val="20"/>
      <w:szCs w:val="20"/>
    </w:rPr>
  </w:style>
  <w:style w:type="character" w:styleId="44">
    <w:name w:val="HTML Cite"/>
    <w:qFormat/>
    <w:uiPriority w:val="0"/>
    <w:rPr>
      <w:i/>
      <w:iCs/>
    </w:rPr>
  </w:style>
  <w:style w:type="character" w:styleId="45">
    <w:name w:val="footnote reference"/>
    <w:semiHidden/>
    <w:qFormat/>
    <w:uiPriority w:val="0"/>
    <w:rPr>
      <w:vertAlign w:val="superscript"/>
    </w:rPr>
  </w:style>
  <w:style w:type="character" w:styleId="46">
    <w:name w:val="HTML Keyboard"/>
    <w:qFormat/>
    <w:uiPriority w:val="0"/>
    <w:rPr>
      <w:rFonts w:ascii="Courier New" w:hAnsi="Courier New"/>
      <w:sz w:val="20"/>
      <w:szCs w:val="20"/>
    </w:rPr>
  </w:style>
  <w:style w:type="character" w:styleId="47">
    <w:name w:val="HTML Sample"/>
    <w:qFormat/>
    <w:uiPriority w:val="0"/>
    <w:rPr>
      <w:rFonts w:ascii="Courier New" w:hAnsi="Courier New"/>
    </w:rPr>
  </w:style>
  <w:style w:type="paragraph" w:customStyle="1" w:styleId="4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3">
    <w:name w:val="标准书眉_偶数页"/>
    <w:basedOn w:val="52"/>
    <w:next w:val="1"/>
    <w:qFormat/>
    <w:uiPriority w:val="0"/>
    <w:pPr>
      <w:jc w:val="left"/>
    </w:p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6">
    <w:name w:val="参考文献、索引标题"/>
    <w:basedOn w:val="55"/>
    <w:next w:val="1"/>
    <w:qFormat/>
    <w:uiPriority w:val="0"/>
    <w:pPr>
      <w:numPr>
        <w:numId w:val="0"/>
      </w:numPr>
      <w:spacing w:after="200"/>
    </w:pPr>
    <w:rPr>
      <w:sz w:val="21"/>
    </w:rPr>
  </w:style>
  <w:style w:type="paragraph" w:customStyle="1" w:styleId="57">
    <w:name w:val="段"/>
    <w:link w:val="11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章标题"/>
    <w:next w:val="57"/>
    <w:link w:val="113"/>
    <w:qFormat/>
    <w:uiPriority w:val="0"/>
    <w:pPr>
      <w:numPr>
        <w:ilvl w:val="1"/>
        <w:numId w:val="1"/>
      </w:numPr>
      <w:spacing w:beforeLines="50" w:afterLines="50"/>
      <w:ind w:left="0"/>
      <w:jc w:val="both"/>
      <w:outlineLvl w:val="1"/>
    </w:pPr>
    <w:rPr>
      <w:rFonts w:ascii="黑体" w:hAnsi="Times New Roman" w:eastAsia="黑体" w:cs="Times New Roman"/>
      <w:sz w:val="21"/>
      <w:lang w:val="en-US" w:eastAsia="zh-CN" w:bidi="ar-SA"/>
    </w:rPr>
  </w:style>
  <w:style w:type="paragraph" w:customStyle="1" w:styleId="59">
    <w:name w:val="一级条标题"/>
    <w:basedOn w:val="58"/>
    <w:next w:val="57"/>
    <w:link w:val="114"/>
    <w:qFormat/>
    <w:uiPriority w:val="0"/>
    <w:pPr>
      <w:numPr>
        <w:ilvl w:val="2"/>
      </w:numPr>
      <w:spacing w:beforeLines="0" w:afterLines="0"/>
      <w:ind w:left="710"/>
      <w:outlineLvl w:val="2"/>
    </w:pPr>
  </w:style>
  <w:style w:type="paragraph" w:customStyle="1" w:styleId="60">
    <w:name w:val="二级条标题"/>
    <w:basedOn w:val="59"/>
    <w:next w:val="57"/>
    <w:link w:val="115"/>
    <w:qFormat/>
    <w:uiPriority w:val="0"/>
    <w:pPr>
      <w:numPr>
        <w:ilvl w:val="0"/>
        <w:numId w:val="0"/>
      </w:numPr>
      <w:outlineLvl w:val="3"/>
    </w:pPr>
  </w:style>
  <w:style w:type="paragraph" w:customStyle="1" w:styleId="61">
    <w:name w:val="二级无标题条"/>
    <w:basedOn w:val="1"/>
    <w:qFormat/>
    <w:uiPriority w:val="0"/>
    <w:pPr>
      <w:numPr>
        <w:ilvl w:val="3"/>
        <w:numId w:val="2"/>
      </w:numPr>
    </w:pPr>
  </w:style>
  <w:style w:type="character" w:customStyle="1" w:styleId="62">
    <w:name w:val="发布"/>
    <w:qFormat/>
    <w:uiPriority w:val="0"/>
    <w:rPr>
      <w:rFonts w:ascii="黑体" w:eastAsia="黑体"/>
      <w:spacing w:val="22"/>
      <w:w w:val="100"/>
      <w:position w:val="3"/>
      <w:sz w:val="28"/>
    </w:rPr>
  </w:style>
  <w:style w:type="paragraph" w:customStyle="1" w:styleId="63">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6">
    <w:name w:val="封面标准号2"/>
    <w:basedOn w:val="65"/>
    <w:qFormat/>
    <w:uiPriority w:val="0"/>
    <w:pPr>
      <w:framePr w:w="9138" w:h="1244" w:hRule="exact" w:wrap="around" w:vAnchor="page" w:hAnchor="margin" w:y="2908"/>
      <w:adjustRightInd w:val="0"/>
      <w:spacing w:before="357" w:line="280" w:lineRule="exact"/>
    </w:pPr>
  </w:style>
  <w:style w:type="paragraph" w:customStyle="1" w:styleId="67">
    <w:name w:val="封面标准代替信息"/>
    <w:basedOn w:val="66"/>
    <w:qFormat/>
    <w:uiPriority w:val="0"/>
    <w:pPr>
      <w:framePr/>
      <w:spacing w:before="57"/>
    </w:pPr>
    <w:rPr>
      <w:rFonts w:ascii="宋体"/>
      <w:sz w:val="21"/>
    </w:rPr>
  </w:style>
  <w:style w:type="paragraph" w:customStyle="1" w:styleId="6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3">
    <w:name w:val="封面正文"/>
    <w:qFormat/>
    <w:uiPriority w:val="0"/>
    <w:pPr>
      <w:jc w:val="both"/>
    </w:pPr>
    <w:rPr>
      <w:rFonts w:ascii="Times New Roman" w:hAnsi="Times New Roman" w:eastAsia="宋体" w:cs="Times New Roman"/>
      <w:lang w:val="en-US" w:eastAsia="zh-CN" w:bidi="ar-SA"/>
    </w:rPr>
  </w:style>
  <w:style w:type="paragraph" w:customStyle="1" w:styleId="74">
    <w:name w:val="附录标识"/>
    <w:basedOn w:val="55"/>
    <w:qFormat/>
    <w:uiPriority w:val="0"/>
    <w:pPr>
      <w:numPr>
        <w:ilvl w:val="0"/>
        <w:numId w:val="3"/>
      </w:numPr>
      <w:tabs>
        <w:tab w:val="left" w:pos="6405"/>
      </w:tabs>
      <w:spacing w:after="200"/>
    </w:pPr>
    <w:rPr>
      <w:sz w:val="21"/>
    </w:rPr>
  </w:style>
  <w:style w:type="paragraph" w:customStyle="1" w:styleId="75">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76">
    <w:name w:val="附录章标题"/>
    <w:next w:val="57"/>
    <w:qFormat/>
    <w:uiPriority w:val="0"/>
    <w:pPr>
      <w:numPr>
        <w:ilvl w:val="1"/>
        <w:numId w:val="3"/>
      </w:numPr>
      <w:wordWrap w:val="0"/>
      <w:overflowPunct w:val="0"/>
      <w:autoSpaceDE w:val="0"/>
      <w:spacing w:beforeLines="50" w:afterLines="50"/>
      <w:ind w:left="1134"/>
      <w:jc w:val="both"/>
      <w:textAlignment w:val="baseline"/>
      <w:outlineLvl w:val="1"/>
    </w:pPr>
    <w:rPr>
      <w:rFonts w:ascii="黑体" w:hAnsi="Times New Roman" w:eastAsia="黑体" w:cs="Times New Roman"/>
      <w:kern w:val="21"/>
      <w:sz w:val="21"/>
      <w:lang w:val="en-US" w:eastAsia="zh-CN" w:bidi="ar-SA"/>
    </w:rPr>
  </w:style>
  <w:style w:type="paragraph" w:customStyle="1" w:styleId="77">
    <w:name w:val="附录一级条标题"/>
    <w:basedOn w:val="76"/>
    <w:next w:val="57"/>
    <w:qFormat/>
    <w:uiPriority w:val="0"/>
    <w:pPr>
      <w:numPr>
        <w:ilvl w:val="2"/>
      </w:numPr>
      <w:autoSpaceDN w:val="0"/>
      <w:spacing w:beforeLines="0" w:afterLines="0"/>
      <w:outlineLvl w:val="2"/>
    </w:pPr>
  </w:style>
  <w:style w:type="paragraph" w:customStyle="1" w:styleId="78">
    <w:name w:val="附录二级条标题"/>
    <w:basedOn w:val="77"/>
    <w:next w:val="57"/>
    <w:qFormat/>
    <w:uiPriority w:val="0"/>
    <w:pPr>
      <w:numPr>
        <w:ilvl w:val="3"/>
      </w:numPr>
      <w:ind w:left="0"/>
      <w:outlineLvl w:val="3"/>
    </w:pPr>
  </w:style>
  <w:style w:type="paragraph" w:customStyle="1" w:styleId="79">
    <w:name w:val="附录三级条标题"/>
    <w:basedOn w:val="78"/>
    <w:next w:val="57"/>
    <w:qFormat/>
    <w:uiPriority w:val="0"/>
    <w:pPr>
      <w:numPr>
        <w:ilvl w:val="4"/>
      </w:numPr>
      <w:outlineLvl w:val="4"/>
    </w:pPr>
  </w:style>
  <w:style w:type="paragraph" w:customStyle="1" w:styleId="80">
    <w:name w:val="附录四级条标题"/>
    <w:basedOn w:val="79"/>
    <w:next w:val="57"/>
    <w:qFormat/>
    <w:uiPriority w:val="0"/>
    <w:pPr>
      <w:numPr>
        <w:ilvl w:val="5"/>
      </w:numPr>
      <w:ind w:left="1985"/>
      <w:outlineLvl w:val="5"/>
    </w:pPr>
  </w:style>
  <w:style w:type="paragraph" w:customStyle="1" w:styleId="81">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82">
    <w:name w:val="附录五级条标题"/>
    <w:basedOn w:val="80"/>
    <w:next w:val="57"/>
    <w:qFormat/>
    <w:uiPriority w:val="0"/>
    <w:pPr>
      <w:numPr>
        <w:ilvl w:val="6"/>
      </w:numPr>
      <w:outlineLvl w:val="6"/>
    </w:pPr>
  </w:style>
  <w:style w:type="character" w:customStyle="1" w:styleId="83">
    <w:name w:val="个人答复风格"/>
    <w:qFormat/>
    <w:uiPriority w:val="0"/>
    <w:rPr>
      <w:rFonts w:ascii="Arial" w:hAnsi="Arial" w:eastAsia="宋体" w:cs="Arial"/>
      <w:color w:val="auto"/>
      <w:sz w:val="20"/>
    </w:rPr>
  </w:style>
  <w:style w:type="character" w:customStyle="1" w:styleId="84">
    <w:name w:val="个人撰写风格"/>
    <w:qFormat/>
    <w:uiPriority w:val="0"/>
    <w:rPr>
      <w:rFonts w:ascii="Arial" w:hAnsi="Arial" w:eastAsia="宋体" w:cs="Arial"/>
      <w:color w:val="auto"/>
      <w:sz w:val="20"/>
    </w:rPr>
  </w:style>
  <w:style w:type="paragraph" w:customStyle="1" w:styleId="85">
    <w:name w:val="列项——"/>
    <w:qFormat/>
    <w:uiPriority w:val="0"/>
    <w:pPr>
      <w:widowControl w:val="0"/>
      <w:numPr>
        <w:ilvl w:val="0"/>
        <w:numId w:val="4"/>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6">
    <w:name w:val="列项·"/>
    <w:qFormat/>
    <w:uiPriority w:val="0"/>
    <w:pPr>
      <w:numPr>
        <w:ilvl w:val="0"/>
        <w:numId w:val="5"/>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87">
    <w:name w:val="目次、标准名称标题"/>
    <w:basedOn w:val="55"/>
    <w:next w:val="57"/>
    <w:qFormat/>
    <w:uiPriority w:val="0"/>
    <w:pPr>
      <w:numPr>
        <w:numId w:val="0"/>
      </w:numPr>
      <w:spacing w:line="460" w:lineRule="exact"/>
    </w:pPr>
  </w:style>
  <w:style w:type="paragraph" w:customStyle="1" w:styleId="8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0">
    <w:name w:val="其他发布部门"/>
    <w:basedOn w:val="63"/>
    <w:qFormat/>
    <w:uiPriority w:val="0"/>
    <w:pPr>
      <w:framePr/>
      <w:spacing w:line="0" w:lineRule="atLeast"/>
    </w:pPr>
    <w:rPr>
      <w:rFonts w:ascii="黑体" w:eastAsia="黑体"/>
      <w:b w:val="0"/>
    </w:rPr>
  </w:style>
  <w:style w:type="paragraph" w:customStyle="1" w:styleId="91">
    <w:name w:val="三级条标题"/>
    <w:basedOn w:val="60"/>
    <w:next w:val="57"/>
    <w:link w:val="118"/>
    <w:qFormat/>
    <w:uiPriority w:val="0"/>
    <w:pPr>
      <w:numPr>
        <w:ilvl w:val="4"/>
      </w:numPr>
      <w:outlineLvl w:val="4"/>
    </w:pPr>
  </w:style>
  <w:style w:type="paragraph" w:customStyle="1" w:styleId="92">
    <w:name w:val="三级无标题条"/>
    <w:basedOn w:val="1"/>
    <w:qFormat/>
    <w:uiPriority w:val="0"/>
    <w:pPr>
      <w:numPr>
        <w:ilvl w:val="4"/>
        <w:numId w:val="2"/>
      </w:numPr>
    </w:pPr>
  </w:style>
  <w:style w:type="paragraph" w:customStyle="1" w:styleId="93">
    <w:name w:val="实施日期"/>
    <w:basedOn w:val="64"/>
    <w:qFormat/>
    <w:uiPriority w:val="0"/>
    <w:pPr>
      <w:framePr w:hSpace="0" w:xAlign="right"/>
      <w:jc w:val="right"/>
    </w:pPr>
  </w:style>
  <w:style w:type="paragraph" w:customStyle="1" w:styleId="94">
    <w:name w:val="示例"/>
    <w:next w:val="57"/>
    <w:qFormat/>
    <w:uiPriority w:val="0"/>
    <w:pPr>
      <w:numPr>
        <w:ilvl w:val="0"/>
        <w:numId w:val="6"/>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5">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6">
    <w:name w:val="四级条标题"/>
    <w:basedOn w:val="91"/>
    <w:next w:val="57"/>
    <w:qFormat/>
    <w:uiPriority w:val="0"/>
    <w:pPr>
      <w:numPr>
        <w:ilvl w:val="5"/>
      </w:numPr>
      <w:outlineLvl w:val="5"/>
    </w:pPr>
  </w:style>
  <w:style w:type="paragraph" w:customStyle="1" w:styleId="97">
    <w:name w:val="四级无标题条"/>
    <w:basedOn w:val="1"/>
    <w:qFormat/>
    <w:uiPriority w:val="0"/>
    <w:pPr>
      <w:numPr>
        <w:ilvl w:val="5"/>
        <w:numId w:val="2"/>
      </w:numPr>
    </w:pPr>
  </w:style>
  <w:style w:type="paragraph" w:customStyle="1" w:styleId="98">
    <w:name w:val="条文脚注"/>
    <w:basedOn w:val="27"/>
    <w:qFormat/>
    <w:uiPriority w:val="0"/>
    <w:pPr>
      <w:ind w:left="780" w:leftChars="200" w:hanging="360" w:hangingChars="200"/>
      <w:jc w:val="both"/>
    </w:pPr>
    <w:rPr>
      <w:rFonts w:ascii="宋体"/>
    </w:rPr>
  </w:style>
  <w:style w:type="paragraph" w:customStyle="1" w:styleId="99">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1">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102">
    <w:name w:val="五级条标题"/>
    <w:basedOn w:val="96"/>
    <w:next w:val="57"/>
    <w:qFormat/>
    <w:uiPriority w:val="0"/>
    <w:pPr>
      <w:numPr>
        <w:ilvl w:val="6"/>
      </w:numPr>
      <w:outlineLvl w:val="6"/>
    </w:pPr>
  </w:style>
  <w:style w:type="paragraph" w:customStyle="1" w:styleId="103">
    <w:name w:val="五级无标题条"/>
    <w:basedOn w:val="1"/>
    <w:qFormat/>
    <w:uiPriority w:val="0"/>
    <w:pPr>
      <w:numPr>
        <w:ilvl w:val="6"/>
        <w:numId w:val="2"/>
      </w:numPr>
    </w:pPr>
  </w:style>
  <w:style w:type="paragraph" w:customStyle="1" w:styleId="104">
    <w:name w:val="一级无标题条"/>
    <w:basedOn w:val="1"/>
    <w:qFormat/>
    <w:uiPriority w:val="0"/>
    <w:pPr>
      <w:numPr>
        <w:ilvl w:val="2"/>
        <w:numId w:val="2"/>
      </w:numPr>
    </w:pPr>
  </w:style>
  <w:style w:type="paragraph" w:customStyle="1" w:styleId="105">
    <w:name w:val="正文表标题"/>
    <w:next w:val="57"/>
    <w:qFormat/>
    <w:uiPriority w:val="0"/>
    <w:pPr>
      <w:jc w:val="center"/>
    </w:pPr>
    <w:rPr>
      <w:rFonts w:ascii="黑体" w:hAnsi="Times New Roman" w:eastAsia="黑体" w:cs="Times New Roman"/>
      <w:sz w:val="21"/>
      <w:lang w:val="en-US" w:eastAsia="zh-CN" w:bidi="ar-SA"/>
    </w:rPr>
  </w:style>
  <w:style w:type="paragraph" w:customStyle="1" w:styleId="106">
    <w:name w:val="正文图标题"/>
    <w:next w:val="57"/>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07">
    <w:name w:val="注："/>
    <w:next w:val="57"/>
    <w:link w:val="121"/>
    <w:qFormat/>
    <w:uiPriority w:val="0"/>
    <w:pPr>
      <w:widowControl w:val="0"/>
      <w:numPr>
        <w:ilvl w:val="0"/>
        <w:numId w:val="8"/>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8">
    <w:name w:val="注×："/>
    <w:qFormat/>
    <w:uiPriority w:val="0"/>
    <w:pPr>
      <w:widowControl w:val="0"/>
      <w:numPr>
        <w:ilvl w:val="0"/>
        <w:numId w:val="9"/>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9">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0">
    <w:name w:val="标准正文"/>
    <w:basedOn w:val="1"/>
    <w:qFormat/>
    <w:uiPriority w:val="0"/>
    <w:pPr>
      <w:adjustRightInd w:val="0"/>
      <w:spacing w:line="360" w:lineRule="atLeast"/>
      <w:ind w:firstLine="425"/>
      <w:textAlignment w:val="baseline"/>
    </w:pPr>
    <w:rPr>
      <w:spacing w:val="-4"/>
      <w:kern w:val="21"/>
      <w:szCs w:val="20"/>
    </w:rPr>
  </w:style>
  <w:style w:type="paragraph" w:customStyle="1" w:styleId="111">
    <w:name w:val="c封面标准名称"/>
    <w:basedOn w:val="1"/>
    <w:qFormat/>
    <w:uiPriority w:val="0"/>
    <w:pPr>
      <w:adjustRightInd w:val="0"/>
      <w:jc w:val="center"/>
    </w:pPr>
    <w:rPr>
      <w:rFonts w:eastAsia="黑体"/>
      <w:kern w:val="0"/>
      <w:sz w:val="52"/>
      <w:szCs w:val="20"/>
    </w:rPr>
  </w:style>
  <w:style w:type="character" w:customStyle="1" w:styleId="112">
    <w:name w:val="段 Char"/>
    <w:link w:val="57"/>
    <w:qFormat/>
    <w:uiPriority w:val="0"/>
    <w:rPr>
      <w:rFonts w:ascii="宋体" w:eastAsia="宋体"/>
      <w:sz w:val="21"/>
      <w:lang w:val="en-US" w:eastAsia="zh-CN" w:bidi="ar-SA"/>
    </w:rPr>
  </w:style>
  <w:style w:type="character" w:customStyle="1" w:styleId="113">
    <w:name w:val="章标题 Char"/>
    <w:link w:val="58"/>
    <w:qFormat/>
    <w:uiPriority w:val="0"/>
    <w:rPr>
      <w:rFonts w:ascii="黑体" w:eastAsia="黑体"/>
      <w:sz w:val="21"/>
    </w:rPr>
  </w:style>
  <w:style w:type="character" w:customStyle="1" w:styleId="114">
    <w:name w:val="一级条标题 Char"/>
    <w:basedOn w:val="113"/>
    <w:link w:val="59"/>
    <w:qFormat/>
    <w:uiPriority w:val="0"/>
    <w:rPr>
      <w:rFonts w:ascii="黑体" w:eastAsia="黑体"/>
      <w:sz w:val="21"/>
    </w:rPr>
  </w:style>
  <w:style w:type="character" w:customStyle="1" w:styleId="115">
    <w:name w:val="二级条标题 Char"/>
    <w:basedOn w:val="114"/>
    <w:link w:val="60"/>
    <w:qFormat/>
    <w:uiPriority w:val="0"/>
    <w:rPr>
      <w:rFonts w:ascii="黑体" w:eastAsia="黑体"/>
      <w:sz w:val="21"/>
    </w:rPr>
  </w:style>
  <w:style w:type="character" w:customStyle="1" w:styleId="116">
    <w:name w:val="表中文字"/>
    <w:qFormat/>
    <w:uiPriority w:val="0"/>
    <w:rPr>
      <w:rFonts w:ascii="宋体" w:eastAsia="宋体"/>
      <w:sz w:val="18"/>
    </w:rPr>
  </w:style>
  <w:style w:type="paragraph" w:customStyle="1" w:styleId="117">
    <w:name w:val="Char"/>
    <w:basedOn w:val="1"/>
    <w:qFormat/>
    <w:uiPriority w:val="0"/>
    <w:pPr>
      <w:spacing w:after="160" w:line="240" w:lineRule="exact"/>
    </w:pPr>
    <w:rPr>
      <w:rFonts w:ascii="Verdana" w:hAnsi="Verdana"/>
      <w:kern w:val="0"/>
      <w:sz w:val="20"/>
      <w:szCs w:val="20"/>
      <w:lang w:eastAsia="en-US"/>
    </w:rPr>
  </w:style>
  <w:style w:type="character" w:customStyle="1" w:styleId="118">
    <w:name w:val="三级条标题 Char"/>
    <w:link w:val="91"/>
    <w:qFormat/>
    <w:uiPriority w:val="0"/>
    <w:rPr>
      <w:rFonts w:ascii="黑体" w:eastAsia="黑体"/>
      <w:sz w:val="21"/>
    </w:rPr>
  </w:style>
  <w:style w:type="character" w:customStyle="1" w:styleId="119">
    <w:name w:val="页眉 字符"/>
    <w:link w:val="26"/>
    <w:qFormat/>
    <w:uiPriority w:val="99"/>
    <w:rPr>
      <w:kern w:val="2"/>
      <w:sz w:val="18"/>
      <w:szCs w:val="18"/>
    </w:rPr>
  </w:style>
  <w:style w:type="paragraph" w:customStyle="1" w:styleId="120">
    <w:name w:val="图表脚注说明"/>
    <w:basedOn w:val="1"/>
    <w:qFormat/>
    <w:uiPriority w:val="0"/>
    <w:rPr>
      <w:rFonts w:ascii="宋体"/>
      <w:sz w:val="18"/>
      <w:szCs w:val="18"/>
    </w:rPr>
  </w:style>
  <w:style w:type="character" w:customStyle="1" w:styleId="121">
    <w:name w:val="注： Char"/>
    <w:link w:val="107"/>
    <w:qFormat/>
    <w:uiPriority w:val="0"/>
    <w:rPr>
      <w:rFonts w:ascii="宋体"/>
      <w:sz w:val="18"/>
    </w:rPr>
  </w:style>
  <w:style w:type="character" w:customStyle="1" w:styleId="122">
    <w:name w:val="正文文本首行缩进 字符"/>
    <w:link w:val="32"/>
    <w:qFormat/>
    <w:uiPriority w:val="0"/>
    <w:rPr>
      <w:kern w:val="2"/>
      <w:sz w:val="21"/>
    </w:rPr>
  </w:style>
  <w:style w:type="character" w:customStyle="1" w:styleId="123">
    <w:name w:val="@他1"/>
    <w:semiHidden/>
    <w:unhideWhenUsed/>
    <w:qFormat/>
    <w:uiPriority w:val="99"/>
    <w:rPr>
      <w:color w:val="2B579A"/>
      <w:shd w:val="clear" w:color="auto" w:fill="E6E6E6"/>
    </w:rPr>
  </w:style>
  <w:style w:type="paragraph" w:customStyle="1" w:styleId="124">
    <w:name w:val="Default"/>
    <w:qFormat/>
    <w:uiPriority w:val="0"/>
    <w:pPr>
      <w:widowControl w:val="0"/>
      <w:autoSpaceDE w:val="0"/>
      <w:autoSpaceDN w:val="0"/>
      <w:adjustRightInd w:val="0"/>
    </w:pPr>
    <w:rPr>
      <w:rFonts w:ascii="宋体" w:hAnsi="宋体" w:eastAsia="宋体" w:cs="宋体"/>
      <w:color w:val="000000"/>
      <w:sz w:val="24"/>
      <w:szCs w:val="24"/>
      <w:lang w:val="en-US" w:eastAsia="zh-CN" w:bidi="mn-Mong-CN"/>
    </w:rPr>
  </w:style>
  <w:style w:type="character" w:styleId="125">
    <w:name w:val="Placeholder Text"/>
    <w:basedOn w:val="35"/>
    <w:semiHidden/>
    <w:qFormat/>
    <w:uiPriority w:val="99"/>
    <w:rPr>
      <w:color w:val="808080"/>
    </w:rPr>
  </w:style>
  <w:style w:type="character" w:customStyle="1" w:styleId="126">
    <w:name w:val="批注框文本 字符"/>
    <w:basedOn w:val="35"/>
    <w:link w:val="24"/>
    <w:qFormat/>
    <w:uiPriority w:val="0"/>
    <w:rPr>
      <w:kern w:val="2"/>
      <w:sz w:val="18"/>
      <w:szCs w:val="18"/>
    </w:rPr>
  </w:style>
  <w:style w:type="paragraph" w:styleId="127">
    <w:name w:val="List Paragraph"/>
    <w:basedOn w:val="1"/>
    <w:qFormat/>
    <w:uiPriority w:val="34"/>
    <w:pPr>
      <w:ind w:firstLine="420" w:firstLineChars="200"/>
    </w:pPr>
  </w:style>
  <w:style w:type="character" w:customStyle="1" w:styleId="128">
    <w:name w:val="段 Char Char"/>
    <w:qFormat/>
    <w:uiPriority w:val="0"/>
    <w:rPr>
      <w:rFonts w:ascii="宋体"/>
    </w:rPr>
  </w:style>
  <w:style w:type="table" w:customStyle="1" w:styleId="129">
    <w:name w:val="网格型1"/>
    <w:basedOn w:val="3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网格型2"/>
    <w:basedOn w:val="33"/>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
    <w:name w:val="网格型3"/>
    <w:basedOn w:val="3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2">
    <w:name w:val="页脚 字符"/>
    <w:basedOn w:val="35"/>
    <w:link w:val="25"/>
    <w:qFormat/>
    <w:uiPriority w:val="99"/>
    <w:rPr>
      <w:kern w:val="2"/>
      <w:sz w:val="18"/>
      <w:szCs w:val="18"/>
    </w:rPr>
  </w:style>
  <w:style w:type="paragraph" w:customStyle="1" w:styleId="133">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2.xml"/><Relationship Id="rId17" Type="http://schemas.openxmlformats.org/officeDocument/2006/relationships/chart" Target="charts/chart1.xml"/><Relationship Id="rId16" Type="http://schemas.openxmlformats.org/officeDocument/2006/relationships/image" Target="media/image3.wmf"/><Relationship Id="rId15" Type="http://schemas.openxmlformats.org/officeDocument/2006/relationships/oleObject" Target="embeddings/oleObject1.bin"/><Relationship Id="rId14" Type="http://schemas.openxmlformats.org/officeDocument/2006/relationships/image" Target="media/image2.png"/><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Sheet1!$F$7:$O$7</c:f>
              <c:strCache>
                <c:ptCount val="10"/>
                <c:pt idx="0">
                  <c:v>M1</c:v>
                </c:pt>
                <c:pt idx="1">
                  <c:v>M4</c:v>
                </c:pt>
                <c:pt idx="2">
                  <c:v>M5</c:v>
                </c:pt>
                <c:pt idx="3">
                  <c:v>M3</c:v>
                </c:pt>
                <c:pt idx="4">
                  <c:v>M2</c:v>
                </c:pt>
                <c:pt idx="5">
                  <c:v>D1</c:v>
                </c:pt>
                <c:pt idx="6">
                  <c:v>D2</c:v>
                </c:pt>
                <c:pt idx="7">
                  <c:v>MG1</c:v>
                </c:pt>
                <c:pt idx="8">
                  <c:v>MG2</c:v>
                </c:pt>
                <c:pt idx="9">
                  <c:v>MG3</c:v>
                </c:pt>
              </c:strCache>
            </c:strRef>
          </c:cat>
          <c:val>
            <c:numRef>
              <c:f>Sheet1!$F$8:$O$8</c:f>
              <c:numCache>
                <c:formatCode>General</c:formatCode>
                <c:ptCount val="10"/>
                <c:pt idx="0">
                  <c:v>6</c:v>
                </c:pt>
                <c:pt idx="1">
                  <c:v>6</c:v>
                </c:pt>
                <c:pt idx="2">
                  <c:v>6</c:v>
                </c:pt>
                <c:pt idx="3">
                  <c:v>3</c:v>
                </c:pt>
                <c:pt idx="4">
                  <c:v>2</c:v>
                </c:pt>
                <c:pt idx="5">
                  <c:v>8</c:v>
                </c:pt>
                <c:pt idx="6">
                  <c:v>5</c:v>
                </c:pt>
                <c:pt idx="7">
                  <c:v>3</c:v>
                </c:pt>
                <c:pt idx="8">
                  <c:v>3</c:v>
                </c:pt>
                <c:pt idx="9">
                  <c:v>3</c:v>
                </c:pt>
              </c:numCache>
            </c:numRef>
          </c:val>
        </c:ser>
        <c:dLbls>
          <c:showLegendKey val="0"/>
          <c:showVal val="0"/>
          <c:showCatName val="0"/>
          <c:showSerName val="0"/>
          <c:showPercent val="0"/>
          <c:showBubbleSize val="0"/>
        </c:dLbls>
        <c:gapWidth val="219"/>
        <c:overlap val="-27"/>
        <c:axId val="533858672"/>
        <c:axId val="533859232"/>
      </c:barChart>
      <c:catAx>
        <c:axId val="533858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3859232"/>
        <c:crosses val="autoZero"/>
        <c:auto val="1"/>
        <c:lblAlgn val="ctr"/>
        <c:lblOffset val="100"/>
        <c:noMultiLvlLbl val="0"/>
      </c:catAx>
      <c:valAx>
        <c:axId val="533859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3858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Sheet1!$D$44:$M$44</c:f>
              <c:strCache>
                <c:ptCount val="10"/>
                <c:pt idx="0">
                  <c:v>L1.1</c:v>
                </c:pt>
                <c:pt idx="1">
                  <c:v>L1.2</c:v>
                </c:pt>
                <c:pt idx="2">
                  <c:v>L1.3</c:v>
                </c:pt>
                <c:pt idx="3">
                  <c:v>L2.1</c:v>
                </c:pt>
                <c:pt idx="4">
                  <c:v>L2.2</c:v>
                </c:pt>
                <c:pt idx="5">
                  <c:v>L2.3</c:v>
                </c:pt>
                <c:pt idx="6">
                  <c:v>L3.1</c:v>
                </c:pt>
                <c:pt idx="7">
                  <c:v>L4.1</c:v>
                </c:pt>
                <c:pt idx="8">
                  <c:v>L5.1</c:v>
                </c:pt>
                <c:pt idx="9">
                  <c:v>L5.2</c:v>
                </c:pt>
              </c:strCache>
            </c:strRef>
          </c:cat>
          <c:val>
            <c:numRef>
              <c:f>Sheet1!$D$45:$M$45</c:f>
              <c:numCache>
                <c:formatCode>General</c:formatCode>
                <c:ptCount val="10"/>
                <c:pt idx="0">
                  <c:v>6</c:v>
                </c:pt>
                <c:pt idx="1">
                  <c:v>2</c:v>
                </c:pt>
                <c:pt idx="2">
                  <c:v>3</c:v>
                </c:pt>
                <c:pt idx="3">
                  <c:v>6</c:v>
                </c:pt>
                <c:pt idx="4">
                  <c:v>6</c:v>
                </c:pt>
                <c:pt idx="5">
                  <c:v>8</c:v>
                </c:pt>
                <c:pt idx="6">
                  <c:v>5</c:v>
                </c:pt>
                <c:pt idx="7">
                  <c:v>3</c:v>
                </c:pt>
                <c:pt idx="8">
                  <c:v>3</c:v>
                </c:pt>
                <c:pt idx="9">
                  <c:v>3</c:v>
                </c:pt>
              </c:numCache>
            </c:numRef>
          </c:val>
        </c:ser>
        <c:dLbls>
          <c:showLegendKey val="0"/>
          <c:showVal val="0"/>
          <c:showCatName val="0"/>
          <c:showSerName val="0"/>
          <c:showPercent val="0"/>
          <c:showBubbleSize val="0"/>
        </c:dLbls>
        <c:gapWidth val="219"/>
        <c:overlap val="-27"/>
        <c:axId val="342854880"/>
        <c:axId val="353354032"/>
      </c:barChart>
      <c:catAx>
        <c:axId val="34285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3354032"/>
        <c:crosses val="autoZero"/>
        <c:auto val="1"/>
        <c:lblAlgn val="ctr"/>
        <c:lblOffset val="100"/>
        <c:noMultiLvlLbl val="0"/>
      </c:catAx>
      <c:valAx>
        <c:axId val="353354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2854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2B0C35-9E90-497A-B1E7-AA5AE17DBE37}">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20</Pages>
  <Words>1589</Words>
  <Characters>9060</Characters>
  <Lines>75</Lines>
  <Paragraphs>21</Paragraphs>
  <TotalTime>16</TotalTime>
  <ScaleCrop>false</ScaleCrop>
  <LinksUpToDate>false</LinksUpToDate>
  <CharactersWithSpaces>10628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2020-01-16T03:07:00Z</dcterms:created>
  <dc:creator>标准科</dc:creator>
  <cp:lastModifiedBy>CathayMok</cp:lastModifiedBy>
  <cp:lastPrinted>2019-01-25T03:16:00Z</cp:lastPrinted>
  <dcterms:modified xsi:type="dcterms:W3CDTF">2020-05-06T05:32:20Z</dcterms:modified>
  <dc:title> </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