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1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eastAsia="宋体" w:cs="Times New Roman" w:hAnsiTheme="minorEastAsia"/>
          <w:b/>
          <w:bCs/>
          <w:kern w:val="0"/>
          <w:sz w:val="28"/>
          <w:szCs w:val="28"/>
        </w:rPr>
        <w:t>预审</w:t>
      </w:r>
      <w:r>
        <w:rPr>
          <w:rFonts w:ascii="Times New Roman" w:eastAsia="宋体" w:cs="Times New Roman" w:hAnsiTheme="minorEastAsia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957"/>
        <w:gridCol w:w="2373"/>
        <w:gridCol w:w="5789"/>
        <w:gridCol w:w="1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标准项目名称</w:t>
            </w:r>
          </w:p>
        </w:tc>
        <w:tc>
          <w:tcPr>
            <w:tcW w:w="83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项目计划编号</w:t>
            </w:r>
          </w:p>
        </w:tc>
        <w:tc>
          <w:tcPr>
            <w:tcW w:w="204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起草单位</w:t>
            </w:r>
            <w:r>
              <w:rPr>
                <w:rFonts w:hint="eastAsia" w:ascii="Times New Roman" w:eastAsia="宋体"/>
                <w:sz w:val="24"/>
              </w:rPr>
              <w:t>及相关单位</w:t>
            </w:r>
          </w:p>
        </w:tc>
        <w:tc>
          <w:tcPr>
            <w:tcW w:w="43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1.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锌精矿化学分析方法 第22部分：可溶性锌量的测定 火焰原子吸收光谱法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国标委发〔2018〕60号20182003-T-610</w:t>
            </w:r>
          </w:p>
        </w:tc>
        <w:tc>
          <w:tcPr>
            <w:tcW w:w="2042" w:type="pct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深圳市中金岭南有色金属股份有限公司、紫金矿业有限公司、中国检验认证集团广西有限公司、防城港海关、长沙矿冶研究院、北矿检测技术有限公司、株洲冶炼集团股份有限公司、水口山有色金属有限责任公司、中条山有色金属集团有限公司、广东清远佳致新材料研究院有限公司、云南驰宏锌锗股份有限公司、湖南省有色地质勘查研究院、广西壮族自治区分析测试研究中心、郴州市产商品质量监督检验所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2.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铅精矿化学分析方法 第16部分：可溶性铅量的测定 火焰原子吸收光谱法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国标委发〔2018〕60号20182004-T-610</w:t>
            </w:r>
          </w:p>
        </w:tc>
        <w:tc>
          <w:tcPr>
            <w:tcW w:w="2042" w:type="pct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深圳市中金岭南有色金属股份有限公司、水口山有色金属有限责任公司、西安汉唐分析检测有限公司、湖南有色金属研究院、桂林地矿院、广西壮族自治区分析测试研究中心、大冶有色金属集团控股有限公司、北矿检测技术有限公司、广东先导稀材股份有限公司、湖南省有色地质勘查研究院、中条山有色金属集团有限公司、山东恒邦冶炼股份有限公司、株洲冶炼集团股份有限公司、郴州市金贵银业股份有限公司、紫金矿业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F3F9E"/>
    <w:rsid w:val="209F3F9E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2020-04-21T01:45:00Z</dcterms:created>
  <dc:creator>CathayMok</dc:creator>
  <cp:lastModifiedBy>CathayMok</cp:lastModifiedBy>
  <dcterms:modified xsi:type="dcterms:W3CDTF">2020-04-21T01:45:47Z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