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E5E" w:rsidRPr="00595E5E" w:rsidRDefault="00595E5E" w:rsidP="00595E5E">
      <w:pPr>
        <w:spacing w:line="360" w:lineRule="exact"/>
        <w:jc w:val="left"/>
        <w:rPr>
          <w:rFonts w:ascii="Calibri" w:eastAsia="宋体" w:hAnsi="Calibri" w:cs="Times New Roman"/>
          <w:sz w:val="28"/>
          <w:szCs w:val="28"/>
        </w:rPr>
      </w:pPr>
      <w:r w:rsidRPr="00595E5E">
        <w:rPr>
          <w:rFonts w:ascii="Calibri" w:eastAsia="宋体" w:hAnsi="Calibri" w:cs="Times New Roman" w:hint="eastAsia"/>
          <w:sz w:val="28"/>
          <w:szCs w:val="28"/>
        </w:rPr>
        <w:t>附件</w:t>
      </w:r>
      <w:r w:rsidRPr="00595E5E">
        <w:rPr>
          <w:rFonts w:ascii="Calibri" w:eastAsia="宋体" w:hAnsi="Calibri" w:cs="Times New Roman" w:hint="eastAsia"/>
          <w:sz w:val="28"/>
          <w:szCs w:val="28"/>
        </w:rPr>
        <w:t>3</w:t>
      </w:r>
      <w:r w:rsidRPr="00595E5E">
        <w:rPr>
          <w:rFonts w:ascii="Calibri" w:eastAsia="宋体" w:hAnsi="Calibri" w:cs="Times New Roman" w:hint="eastAsia"/>
          <w:sz w:val="28"/>
          <w:szCs w:val="28"/>
        </w:rPr>
        <w:t>：</w:t>
      </w:r>
    </w:p>
    <w:p w:rsidR="00595E5E" w:rsidRPr="00595E5E" w:rsidRDefault="00595E5E" w:rsidP="00595E5E">
      <w:pPr>
        <w:spacing w:line="360" w:lineRule="exact"/>
        <w:jc w:val="center"/>
        <w:rPr>
          <w:rFonts w:ascii="Calibri" w:eastAsia="宋体" w:hAnsi="Calibri" w:cs="Times New Roman"/>
          <w:sz w:val="28"/>
          <w:szCs w:val="28"/>
        </w:rPr>
      </w:pPr>
      <w:r w:rsidRPr="00595E5E">
        <w:rPr>
          <w:rFonts w:ascii="Calibri" w:eastAsia="宋体" w:hAnsi="Calibri" w:cs="Times New Roman" w:hint="eastAsia"/>
          <w:sz w:val="28"/>
          <w:szCs w:val="28"/>
        </w:rPr>
        <w:t>《高铅渣</w:t>
      </w:r>
      <w:r w:rsidRPr="00595E5E">
        <w:rPr>
          <w:rFonts w:ascii="Calibri" w:eastAsia="宋体" w:hAnsi="Calibri" w:cs="Times New Roman" w:hint="eastAsia"/>
          <w:sz w:val="28"/>
          <w:szCs w:val="28"/>
        </w:rPr>
        <w:t>-</w:t>
      </w:r>
      <w:r w:rsidRPr="00595E5E">
        <w:rPr>
          <w:rFonts w:ascii="Calibri" w:eastAsia="宋体" w:hAnsi="Calibri" w:cs="Times New Roman" w:hint="eastAsia"/>
          <w:sz w:val="28"/>
          <w:szCs w:val="28"/>
        </w:rPr>
        <w:t>编制说明（送审稿）》</w:t>
      </w:r>
    </w:p>
    <w:p w:rsidR="00595E5E" w:rsidRPr="00595E5E" w:rsidRDefault="00595E5E" w:rsidP="00595E5E">
      <w:pPr>
        <w:spacing w:line="360" w:lineRule="exact"/>
        <w:jc w:val="center"/>
        <w:rPr>
          <w:rFonts w:ascii="Calibri" w:eastAsia="宋体" w:hAnsi="Calibri" w:cs="Times New Roman"/>
          <w:sz w:val="28"/>
          <w:szCs w:val="28"/>
        </w:rPr>
      </w:pPr>
    </w:p>
    <w:p w:rsidR="00595E5E" w:rsidRPr="00595E5E" w:rsidRDefault="00595E5E" w:rsidP="00595E5E">
      <w:pPr>
        <w:spacing w:line="360" w:lineRule="exact"/>
        <w:jc w:val="center"/>
        <w:rPr>
          <w:rFonts w:ascii="Calibri" w:eastAsia="宋体" w:hAnsi="Calibri" w:cs="Times New Roman"/>
          <w:sz w:val="28"/>
          <w:szCs w:val="28"/>
        </w:rPr>
      </w:pPr>
    </w:p>
    <w:p w:rsidR="00595E5E" w:rsidRPr="00595E5E" w:rsidRDefault="00595E5E" w:rsidP="00595E5E">
      <w:pPr>
        <w:spacing w:line="360" w:lineRule="exact"/>
        <w:jc w:val="center"/>
        <w:rPr>
          <w:rFonts w:ascii="Calibri" w:eastAsia="宋体" w:hAnsi="Calibri" w:cs="Times New Roman"/>
          <w:sz w:val="28"/>
          <w:szCs w:val="28"/>
        </w:rPr>
      </w:pPr>
    </w:p>
    <w:p w:rsidR="00595E5E" w:rsidRPr="00595E5E" w:rsidRDefault="00595E5E" w:rsidP="00595E5E">
      <w:pPr>
        <w:spacing w:line="360" w:lineRule="exact"/>
        <w:jc w:val="center"/>
        <w:rPr>
          <w:rFonts w:ascii="Calibri" w:eastAsia="宋体" w:hAnsi="Calibri" w:cs="Times New Roman"/>
          <w:sz w:val="28"/>
          <w:szCs w:val="28"/>
        </w:rPr>
      </w:pPr>
    </w:p>
    <w:p w:rsidR="00595E5E" w:rsidRPr="00595E5E" w:rsidRDefault="00595E5E" w:rsidP="00595E5E">
      <w:pPr>
        <w:spacing w:line="360" w:lineRule="exact"/>
        <w:jc w:val="center"/>
        <w:rPr>
          <w:rFonts w:ascii="Calibri" w:eastAsia="宋体" w:hAnsi="Calibri" w:cs="Times New Roman"/>
          <w:sz w:val="28"/>
          <w:szCs w:val="28"/>
        </w:rPr>
      </w:pPr>
    </w:p>
    <w:p w:rsidR="00595E5E" w:rsidRPr="00595E5E" w:rsidRDefault="00595E5E" w:rsidP="00595E5E">
      <w:pPr>
        <w:spacing w:line="360" w:lineRule="exact"/>
        <w:jc w:val="center"/>
        <w:rPr>
          <w:rFonts w:ascii="Calibri" w:eastAsia="宋体" w:hAnsi="Calibri" w:cs="Times New Roman"/>
          <w:sz w:val="28"/>
          <w:szCs w:val="28"/>
        </w:rPr>
      </w:pPr>
    </w:p>
    <w:p w:rsidR="00595E5E" w:rsidRPr="00595E5E" w:rsidRDefault="00595E5E" w:rsidP="00595E5E">
      <w:pPr>
        <w:spacing w:line="360" w:lineRule="auto"/>
        <w:jc w:val="center"/>
        <w:rPr>
          <w:rFonts w:ascii="宋体" w:eastAsia="宋体" w:hAnsi="宋体" w:cs="Times New Roman"/>
          <w:b/>
          <w:sz w:val="52"/>
          <w:szCs w:val="52"/>
        </w:rPr>
      </w:pPr>
      <w:r w:rsidRPr="00595E5E">
        <w:rPr>
          <w:rFonts w:ascii="宋体" w:eastAsia="宋体" w:hAnsi="宋体" w:cs="Times New Roman" w:hint="eastAsia"/>
          <w:b/>
          <w:sz w:val="52"/>
          <w:szCs w:val="52"/>
        </w:rPr>
        <w:t>团体标准《高铅渣》编制说明</w:t>
      </w:r>
    </w:p>
    <w:p w:rsidR="00595E5E" w:rsidRPr="00595E5E" w:rsidRDefault="00595E5E" w:rsidP="00595E5E">
      <w:pPr>
        <w:spacing w:line="360" w:lineRule="auto"/>
        <w:jc w:val="center"/>
        <w:rPr>
          <w:rFonts w:ascii="宋体" w:eastAsia="宋体" w:hAnsi="宋体" w:cs="Times New Roman"/>
          <w:b/>
          <w:sz w:val="52"/>
          <w:szCs w:val="52"/>
        </w:rPr>
      </w:pPr>
    </w:p>
    <w:p w:rsidR="00595E5E" w:rsidRPr="00595E5E" w:rsidRDefault="00595E5E" w:rsidP="00595E5E">
      <w:pPr>
        <w:spacing w:line="360" w:lineRule="auto"/>
        <w:jc w:val="center"/>
        <w:rPr>
          <w:rFonts w:ascii="宋体" w:eastAsia="宋体" w:hAnsi="宋体" w:cs="Times New Roman"/>
          <w:b/>
          <w:sz w:val="52"/>
          <w:szCs w:val="52"/>
        </w:rPr>
      </w:pPr>
    </w:p>
    <w:p w:rsidR="00595E5E" w:rsidRPr="00595E5E" w:rsidRDefault="00595E5E" w:rsidP="00595E5E">
      <w:pPr>
        <w:spacing w:line="360" w:lineRule="auto"/>
        <w:jc w:val="center"/>
        <w:rPr>
          <w:rFonts w:ascii="宋体" w:eastAsia="宋体" w:hAnsi="宋体" w:cs="Times New Roman"/>
          <w:b/>
          <w:sz w:val="32"/>
        </w:rPr>
      </w:pPr>
      <w:r w:rsidRPr="00595E5E">
        <w:rPr>
          <w:rFonts w:ascii="宋体" w:eastAsia="宋体" w:hAnsi="宋体" w:cs="Times New Roman" w:hint="eastAsia"/>
          <w:b/>
          <w:sz w:val="32"/>
        </w:rPr>
        <w:t>（送审稿）</w:t>
      </w:r>
    </w:p>
    <w:p w:rsidR="00595E5E" w:rsidRPr="00595E5E" w:rsidRDefault="00595E5E" w:rsidP="00595E5E">
      <w:pPr>
        <w:spacing w:line="360" w:lineRule="auto"/>
        <w:jc w:val="center"/>
        <w:rPr>
          <w:rFonts w:ascii="宋体" w:eastAsia="宋体" w:hAnsi="宋体" w:cs="Times New Roman"/>
          <w:b/>
          <w:sz w:val="32"/>
        </w:rPr>
      </w:pPr>
    </w:p>
    <w:p w:rsidR="00595E5E" w:rsidRPr="00595E5E" w:rsidRDefault="00595E5E" w:rsidP="00595E5E">
      <w:pPr>
        <w:spacing w:line="360" w:lineRule="auto"/>
        <w:jc w:val="center"/>
        <w:rPr>
          <w:rFonts w:ascii="宋体" w:eastAsia="宋体" w:hAnsi="宋体" w:cs="Times New Roman"/>
          <w:b/>
          <w:sz w:val="32"/>
        </w:rPr>
      </w:pPr>
    </w:p>
    <w:p w:rsidR="00595E5E" w:rsidRPr="00595E5E" w:rsidRDefault="00595E5E" w:rsidP="00595E5E">
      <w:pPr>
        <w:spacing w:line="360" w:lineRule="auto"/>
        <w:jc w:val="center"/>
        <w:rPr>
          <w:rFonts w:ascii="宋体" w:eastAsia="宋体" w:hAnsi="宋体" w:cs="Times New Roman"/>
          <w:b/>
          <w:sz w:val="32"/>
        </w:rPr>
      </w:pPr>
    </w:p>
    <w:p w:rsidR="00595E5E" w:rsidRPr="00595E5E" w:rsidRDefault="00595E5E" w:rsidP="00595E5E">
      <w:pPr>
        <w:spacing w:line="360" w:lineRule="auto"/>
        <w:jc w:val="center"/>
        <w:rPr>
          <w:rFonts w:ascii="宋体" w:eastAsia="宋体" w:hAnsi="宋体" w:cs="Times New Roman"/>
          <w:b/>
          <w:sz w:val="32"/>
        </w:rPr>
      </w:pPr>
    </w:p>
    <w:p w:rsidR="00595E5E" w:rsidRPr="00595E5E" w:rsidRDefault="00595E5E" w:rsidP="00595E5E">
      <w:pPr>
        <w:spacing w:line="360" w:lineRule="auto"/>
        <w:jc w:val="center"/>
        <w:rPr>
          <w:rFonts w:ascii="宋体" w:eastAsia="宋体" w:hAnsi="宋体" w:cs="Times New Roman"/>
          <w:b/>
          <w:sz w:val="32"/>
        </w:rPr>
      </w:pPr>
    </w:p>
    <w:p w:rsidR="00595E5E" w:rsidRPr="00595E5E" w:rsidRDefault="00595E5E" w:rsidP="00595E5E">
      <w:pPr>
        <w:spacing w:line="360" w:lineRule="auto"/>
        <w:rPr>
          <w:rFonts w:ascii="宋体" w:eastAsia="宋体" w:hAnsi="宋体" w:cs="Times New Roman"/>
          <w:b/>
          <w:sz w:val="32"/>
        </w:rPr>
      </w:pPr>
    </w:p>
    <w:p w:rsidR="00595E5E" w:rsidRPr="00595E5E" w:rsidRDefault="00595E5E" w:rsidP="00595E5E">
      <w:pPr>
        <w:spacing w:line="360" w:lineRule="auto"/>
        <w:jc w:val="center"/>
        <w:rPr>
          <w:rFonts w:ascii="宋体" w:eastAsia="宋体" w:hAnsi="宋体" w:cs="Times New Roman"/>
          <w:b/>
          <w:sz w:val="32"/>
        </w:rPr>
      </w:pPr>
    </w:p>
    <w:p w:rsidR="00595E5E" w:rsidRPr="00595E5E" w:rsidRDefault="00595E5E" w:rsidP="00595E5E">
      <w:pPr>
        <w:spacing w:line="360" w:lineRule="auto"/>
        <w:jc w:val="center"/>
        <w:rPr>
          <w:rFonts w:ascii="宋体" w:eastAsia="宋体" w:hAnsi="宋体" w:cs="Times New Roman"/>
          <w:b/>
          <w:sz w:val="32"/>
        </w:rPr>
      </w:pPr>
    </w:p>
    <w:p w:rsidR="00595E5E" w:rsidRPr="00595E5E" w:rsidRDefault="00595E5E" w:rsidP="00595E5E">
      <w:pPr>
        <w:spacing w:line="360" w:lineRule="auto"/>
        <w:jc w:val="center"/>
        <w:rPr>
          <w:rFonts w:ascii="宋体" w:eastAsia="宋体" w:hAnsi="宋体" w:cs="Times New Roman"/>
          <w:b/>
          <w:sz w:val="44"/>
          <w:szCs w:val="44"/>
        </w:rPr>
      </w:pPr>
      <w:r w:rsidRPr="00595E5E">
        <w:rPr>
          <w:rFonts w:ascii="宋体" w:eastAsia="宋体" w:hAnsi="宋体" w:cs="Times New Roman" w:hint="eastAsia"/>
          <w:b/>
          <w:sz w:val="44"/>
          <w:szCs w:val="44"/>
        </w:rPr>
        <w:t>中国有色金属工业标准计量质量研究所</w:t>
      </w:r>
    </w:p>
    <w:p w:rsidR="00595E5E" w:rsidRPr="00595E5E" w:rsidRDefault="00595E5E" w:rsidP="00595E5E">
      <w:pPr>
        <w:spacing w:line="360" w:lineRule="auto"/>
        <w:jc w:val="center"/>
        <w:rPr>
          <w:rFonts w:ascii="宋体" w:eastAsia="宋体" w:hAnsi="宋体" w:cs="Times New Roman"/>
          <w:b/>
          <w:sz w:val="32"/>
        </w:rPr>
      </w:pPr>
      <w:r w:rsidRPr="00595E5E">
        <w:rPr>
          <w:rFonts w:ascii="宋体" w:eastAsia="宋体" w:hAnsi="宋体" w:cs="Times New Roman" w:hint="eastAsia"/>
          <w:b/>
          <w:sz w:val="44"/>
          <w:szCs w:val="44"/>
        </w:rPr>
        <w:t>2019年12月</w:t>
      </w:r>
    </w:p>
    <w:p w:rsidR="00595E5E" w:rsidRPr="00595E5E" w:rsidRDefault="00595E5E" w:rsidP="00595E5E">
      <w:pPr>
        <w:jc w:val="center"/>
        <w:rPr>
          <w:rFonts w:ascii="黑体" w:eastAsia="黑体" w:hAnsi="黑体" w:cs="Times New Roman"/>
          <w:b/>
          <w:sz w:val="24"/>
          <w:szCs w:val="24"/>
        </w:rPr>
      </w:pPr>
    </w:p>
    <w:p w:rsidR="00595E5E" w:rsidRPr="00595E5E" w:rsidRDefault="00595E5E" w:rsidP="00595E5E">
      <w:pPr>
        <w:jc w:val="center"/>
        <w:rPr>
          <w:rFonts w:ascii="黑体" w:eastAsia="黑体" w:hAnsi="黑体" w:cs="Times New Roman"/>
          <w:b/>
          <w:sz w:val="24"/>
          <w:szCs w:val="24"/>
        </w:rPr>
      </w:pPr>
    </w:p>
    <w:p w:rsidR="00595E5E" w:rsidRPr="00595E5E" w:rsidRDefault="00595E5E" w:rsidP="00595E5E">
      <w:pPr>
        <w:jc w:val="center"/>
        <w:rPr>
          <w:rFonts w:ascii="黑体" w:eastAsia="黑体" w:hAnsi="黑体" w:cs="Times New Roman"/>
          <w:b/>
          <w:sz w:val="24"/>
          <w:szCs w:val="24"/>
        </w:rPr>
      </w:pPr>
    </w:p>
    <w:p w:rsidR="00595E5E" w:rsidRPr="00595E5E" w:rsidRDefault="00595E5E" w:rsidP="00595E5E">
      <w:pPr>
        <w:jc w:val="center"/>
        <w:rPr>
          <w:rFonts w:ascii="黑体" w:eastAsia="黑体" w:hAnsi="黑体" w:cs="Times New Roman"/>
          <w:b/>
          <w:sz w:val="24"/>
          <w:szCs w:val="24"/>
        </w:rPr>
      </w:pPr>
    </w:p>
    <w:p w:rsidR="00595E5E" w:rsidRPr="00595E5E" w:rsidRDefault="00595E5E" w:rsidP="00595E5E">
      <w:pPr>
        <w:jc w:val="center"/>
        <w:rPr>
          <w:rFonts w:ascii="黑体" w:eastAsia="黑体" w:hAnsi="黑体" w:cs="Times New Roman"/>
          <w:b/>
          <w:sz w:val="24"/>
          <w:szCs w:val="24"/>
        </w:rPr>
      </w:pPr>
      <w:r w:rsidRPr="00595E5E">
        <w:rPr>
          <w:rFonts w:ascii="黑体" w:eastAsia="黑体" w:hAnsi="黑体" w:cs="Times New Roman" w:hint="eastAsia"/>
          <w:b/>
          <w:sz w:val="24"/>
          <w:szCs w:val="24"/>
        </w:rPr>
        <w:lastRenderedPageBreak/>
        <w:t>团体标准《高铅渣》</w:t>
      </w:r>
    </w:p>
    <w:p w:rsidR="00595E5E" w:rsidRPr="00595E5E" w:rsidRDefault="00595E5E" w:rsidP="00595E5E">
      <w:pPr>
        <w:jc w:val="center"/>
        <w:rPr>
          <w:rFonts w:ascii="黑体" w:eastAsia="黑体" w:hAnsi="黑体" w:cs="Times New Roman"/>
          <w:b/>
          <w:sz w:val="24"/>
          <w:szCs w:val="24"/>
        </w:rPr>
      </w:pPr>
      <w:r w:rsidRPr="00595E5E">
        <w:rPr>
          <w:rFonts w:ascii="黑体" w:eastAsia="黑体" w:hAnsi="黑体" w:cs="Times New Roman" w:hint="eastAsia"/>
          <w:b/>
          <w:sz w:val="24"/>
          <w:szCs w:val="24"/>
        </w:rPr>
        <w:t>编制说明（预审稿）</w:t>
      </w:r>
    </w:p>
    <w:p w:rsidR="00595E5E" w:rsidRPr="00595E5E" w:rsidRDefault="00595E5E" w:rsidP="00595E5E">
      <w:pPr>
        <w:spacing w:line="360" w:lineRule="exact"/>
        <w:jc w:val="left"/>
        <w:rPr>
          <w:rFonts w:ascii="黑体" w:eastAsia="黑体" w:hAnsi="黑体" w:cs="Times New Roman"/>
          <w:b/>
          <w:szCs w:val="21"/>
        </w:rPr>
      </w:pPr>
      <w:r w:rsidRPr="00595E5E">
        <w:rPr>
          <w:rFonts w:ascii="黑体" w:eastAsia="黑体" w:hAnsi="黑体" w:cs="Times New Roman" w:hint="eastAsia"/>
          <w:b/>
          <w:szCs w:val="21"/>
        </w:rPr>
        <w:t>一、任务来源</w:t>
      </w:r>
    </w:p>
    <w:p w:rsidR="00595E5E" w:rsidRPr="00595E5E" w:rsidRDefault="00595E5E" w:rsidP="00595E5E">
      <w:pPr>
        <w:spacing w:line="360" w:lineRule="exact"/>
        <w:ind w:firstLineChars="200" w:firstLine="420"/>
        <w:jc w:val="left"/>
        <w:rPr>
          <w:rFonts w:ascii="宋体" w:eastAsia="宋体" w:hAnsi="宋体" w:cs="Times New Roman"/>
          <w:szCs w:val="21"/>
        </w:rPr>
      </w:pPr>
      <w:r w:rsidRPr="00595E5E">
        <w:rPr>
          <w:rFonts w:ascii="宋体" w:eastAsia="宋体" w:hAnsi="宋体" w:cs="Times New Roman" w:hint="eastAsia"/>
          <w:szCs w:val="21"/>
        </w:rPr>
        <w:t>根据中国有色金属工业协会《关于下达2018年第三批协会标准制修订计划的通知》（中色科协字[2018]165号）精神，下达《高铅渣》编制计划，项目编号为：中色科协字[2018]165号2018-063-T/CNIA，技术归口单位是全国有色金属标准化技术委员会。标准项目由中国有色金属工业标准计量质量研究所、河南豫光金铅股份有限公司、河南金利金铅股份有限公司、湖南宇腾有色金属股份有限公司、</w:t>
      </w:r>
      <w:r w:rsidRPr="00595E5E">
        <w:rPr>
          <w:rFonts w:ascii="宋体" w:eastAsia="宋体" w:hAnsi="宋体" w:cs="Times New Roman" w:hint="eastAsia"/>
          <w:color w:val="000000"/>
          <w:szCs w:val="21"/>
        </w:rPr>
        <w:t>济源</w:t>
      </w:r>
      <w:proofErr w:type="gramStart"/>
      <w:r w:rsidRPr="00595E5E">
        <w:rPr>
          <w:rFonts w:ascii="宋体" w:eastAsia="宋体" w:hAnsi="宋体" w:cs="Times New Roman" w:hint="eastAsia"/>
          <w:color w:val="000000"/>
          <w:szCs w:val="21"/>
        </w:rPr>
        <w:t>市万洋冶炼</w:t>
      </w:r>
      <w:proofErr w:type="gramEnd"/>
      <w:r w:rsidRPr="00595E5E">
        <w:rPr>
          <w:rFonts w:ascii="宋体" w:eastAsia="宋体" w:hAnsi="宋体" w:cs="Times New Roman" w:hint="eastAsia"/>
          <w:color w:val="000000"/>
          <w:szCs w:val="21"/>
        </w:rPr>
        <w:t>（集团）有限公司、湖南有色金属研究院</w:t>
      </w:r>
      <w:r w:rsidRPr="00595E5E">
        <w:rPr>
          <w:rFonts w:ascii="宋体" w:eastAsia="宋体" w:hAnsi="宋体" w:cs="Times New Roman" w:hint="eastAsia"/>
          <w:szCs w:val="21"/>
        </w:rPr>
        <w:t>负责起草，计划完成时间为2019年12月。</w:t>
      </w:r>
    </w:p>
    <w:p w:rsidR="00595E5E" w:rsidRPr="00595E5E" w:rsidRDefault="00595E5E" w:rsidP="00595E5E">
      <w:pPr>
        <w:spacing w:line="360" w:lineRule="exact"/>
        <w:jc w:val="left"/>
        <w:rPr>
          <w:rFonts w:ascii="黑体" w:eastAsia="黑体" w:hAnsi="黑体" w:cs="Times New Roman"/>
          <w:b/>
          <w:szCs w:val="21"/>
        </w:rPr>
      </w:pPr>
      <w:r w:rsidRPr="00595E5E">
        <w:rPr>
          <w:rFonts w:ascii="黑体" w:eastAsia="黑体" w:hAnsi="黑体" w:cs="Times New Roman" w:hint="eastAsia"/>
          <w:b/>
          <w:szCs w:val="21"/>
        </w:rPr>
        <w:t>二、立项依据</w:t>
      </w:r>
    </w:p>
    <w:p w:rsidR="00595E5E" w:rsidRPr="00595E5E" w:rsidRDefault="00595E5E" w:rsidP="00595E5E">
      <w:pPr>
        <w:spacing w:line="360" w:lineRule="exact"/>
        <w:ind w:firstLineChars="200" w:firstLine="420"/>
        <w:rPr>
          <w:rFonts w:ascii="宋体" w:eastAsia="宋体" w:hAnsi="宋体" w:cs="Times New Roman"/>
          <w:szCs w:val="21"/>
        </w:rPr>
      </w:pPr>
      <w:r w:rsidRPr="00595E5E">
        <w:rPr>
          <w:rFonts w:ascii="宋体" w:eastAsia="宋体" w:hAnsi="宋体" w:cs="Times New Roman" w:hint="eastAsia"/>
          <w:szCs w:val="21"/>
        </w:rPr>
        <w:t>铅的应用十分广泛，是国民经济不可缺少的金属材料之一。目前，铅的主要用途集中在铅酸蓄电池，其消耗量约占</w:t>
      </w:r>
      <w:proofErr w:type="gramStart"/>
      <w:r w:rsidRPr="00595E5E">
        <w:rPr>
          <w:rFonts w:ascii="宋体" w:eastAsia="宋体" w:hAnsi="宋体" w:cs="Times New Roman" w:hint="eastAsia"/>
          <w:szCs w:val="21"/>
        </w:rPr>
        <w:t>铅消费</w:t>
      </w:r>
      <w:proofErr w:type="gramEnd"/>
      <w:r w:rsidRPr="00595E5E">
        <w:rPr>
          <w:rFonts w:ascii="宋体" w:eastAsia="宋体" w:hAnsi="宋体" w:cs="Times New Roman" w:hint="eastAsia"/>
          <w:szCs w:val="21"/>
        </w:rPr>
        <w:t>总量的70%以上，除此之外，铅也被广泛地应用在耐腐蚀材料、焊料和磨具等合金材料上。中国是</w:t>
      </w:r>
      <w:proofErr w:type="gramStart"/>
      <w:r w:rsidRPr="00595E5E">
        <w:rPr>
          <w:rFonts w:ascii="宋体" w:eastAsia="宋体" w:hAnsi="宋体" w:cs="Times New Roman" w:hint="eastAsia"/>
          <w:szCs w:val="21"/>
        </w:rPr>
        <w:t>世界上铅储量</w:t>
      </w:r>
      <w:proofErr w:type="gramEnd"/>
      <w:r w:rsidRPr="00595E5E">
        <w:rPr>
          <w:rFonts w:ascii="宋体" w:eastAsia="宋体" w:hAnsi="宋体" w:cs="Times New Roman" w:hint="eastAsia"/>
          <w:szCs w:val="21"/>
        </w:rPr>
        <w:t>较为丰富的国家，同时也是全球最大的精铅生产国和消费国。</w:t>
      </w:r>
    </w:p>
    <w:p w:rsidR="00595E5E" w:rsidRPr="00595E5E" w:rsidRDefault="00595E5E" w:rsidP="00595E5E">
      <w:pPr>
        <w:spacing w:line="360" w:lineRule="exact"/>
        <w:ind w:firstLineChars="200" w:firstLine="420"/>
        <w:rPr>
          <w:rFonts w:ascii="宋体" w:eastAsia="宋体" w:hAnsi="宋体" w:cs="Times New Roman"/>
          <w:szCs w:val="21"/>
        </w:rPr>
      </w:pPr>
      <w:r w:rsidRPr="00595E5E">
        <w:rPr>
          <w:rFonts w:ascii="宋体" w:eastAsia="宋体" w:hAnsi="宋体" w:cs="Times New Roman" w:hint="eastAsia"/>
          <w:szCs w:val="21"/>
        </w:rPr>
        <w:t>随着我国汽车产业及高性能合金产业的飞速发展，铅的消耗也随着市场的需求而急剧增长。在过去几年中，全球汽车原装电池的需求增长为2%-3%，而我国增长率超过8%，与此同时，铅电池的价格受制于金属铅的产能，价格较为敏感，过高的原料和冶炼成本将直接导致铅在蓄电池中的成本</w:t>
      </w:r>
      <w:proofErr w:type="gramStart"/>
      <w:r w:rsidRPr="00595E5E">
        <w:rPr>
          <w:rFonts w:ascii="宋体" w:eastAsia="宋体" w:hAnsi="宋体" w:cs="Times New Roman" w:hint="eastAsia"/>
          <w:szCs w:val="21"/>
        </w:rPr>
        <w:t>占比较</w:t>
      </w:r>
      <w:proofErr w:type="gramEnd"/>
      <w:r w:rsidRPr="00595E5E">
        <w:rPr>
          <w:rFonts w:ascii="宋体" w:eastAsia="宋体" w:hAnsi="宋体" w:cs="Times New Roman" w:hint="eastAsia"/>
          <w:szCs w:val="21"/>
        </w:rPr>
        <w:t>高，极大地影响使用成本。为了弥补铅加剧消耗的局面，我国再生铅的产量也迅速增长。目前，我国再生铅产量已达到铅总产量的50%，但这一比例仍然不足，未来几年，国内铅冶炼行业仍然会处于冶炼能力远大于开采能力的局面，原料的缺口会进一步加大，而现货市场长期受制于国际交易价格，不具有明显优势。作为补充，</w:t>
      </w:r>
      <w:proofErr w:type="gramStart"/>
      <w:r w:rsidRPr="00595E5E">
        <w:rPr>
          <w:rFonts w:ascii="宋体" w:eastAsia="宋体" w:hAnsi="宋体" w:cs="Times New Roman" w:hint="eastAsia"/>
          <w:szCs w:val="21"/>
        </w:rPr>
        <w:t>高铅渣</w:t>
      </w:r>
      <w:proofErr w:type="gramEnd"/>
      <w:r w:rsidRPr="00595E5E">
        <w:rPr>
          <w:rFonts w:ascii="宋体" w:eastAsia="宋体" w:hAnsi="宋体" w:cs="Times New Roman" w:hint="eastAsia"/>
          <w:szCs w:val="21"/>
        </w:rPr>
        <w:t>可在一定程度上</w:t>
      </w:r>
      <w:proofErr w:type="gramStart"/>
      <w:r w:rsidRPr="00595E5E">
        <w:rPr>
          <w:rFonts w:ascii="宋体" w:eastAsia="宋体" w:hAnsi="宋体" w:cs="Times New Roman" w:hint="eastAsia"/>
          <w:szCs w:val="21"/>
        </w:rPr>
        <w:t>弥补较</w:t>
      </w:r>
      <w:proofErr w:type="gramEnd"/>
      <w:r w:rsidRPr="00595E5E">
        <w:rPr>
          <w:rFonts w:ascii="宋体" w:eastAsia="宋体" w:hAnsi="宋体" w:cs="Times New Roman" w:hint="eastAsia"/>
          <w:szCs w:val="21"/>
        </w:rPr>
        <w:t>高产能带来的原料短缺的问题，它是一类铅冶炼工艺流程的中间产品，我国每年的产出量近20万吨，该产品的铅含量受一次熔炼入炉原料的金属品位影响，最低在35%以上，而最高可超过55%，范围基本趋于稳定，是一种铅品位相对较高，质量较好的还原炉入炉原料。随着目前选矿技术和冶炼技术的不断提高，也保证了</w:t>
      </w:r>
      <w:proofErr w:type="gramStart"/>
      <w:r w:rsidRPr="00595E5E">
        <w:rPr>
          <w:rFonts w:ascii="宋体" w:eastAsia="宋体" w:hAnsi="宋体" w:cs="Times New Roman" w:hint="eastAsia"/>
          <w:szCs w:val="21"/>
        </w:rPr>
        <w:t>高铅渣</w:t>
      </w:r>
      <w:proofErr w:type="gramEnd"/>
      <w:r w:rsidRPr="00595E5E">
        <w:rPr>
          <w:rFonts w:ascii="宋体" w:eastAsia="宋体" w:hAnsi="宋体" w:cs="Times New Roman" w:hint="eastAsia"/>
          <w:szCs w:val="21"/>
        </w:rPr>
        <w:t>的整体品质。</w:t>
      </w:r>
    </w:p>
    <w:p w:rsidR="00595E5E" w:rsidRPr="00595E5E" w:rsidRDefault="00595E5E" w:rsidP="00595E5E">
      <w:pPr>
        <w:spacing w:line="360" w:lineRule="exact"/>
        <w:ind w:firstLineChars="200" w:firstLine="420"/>
        <w:rPr>
          <w:rFonts w:ascii="宋体" w:eastAsia="宋体" w:hAnsi="宋体" w:cs="Times New Roman"/>
          <w:szCs w:val="21"/>
        </w:rPr>
      </w:pPr>
      <w:r w:rsidRPr="00595E5E">
        <w:rPr>
          <w:rFonts w:ascii="宋体" w:eastAsia="宋体" w:hAnsi="宋体" w:cs="Times New Roman" w:hint="eastAsia"/>
          <w:szCs w:val="21"/>
        </w:rPr>
        <w:t>工业固废资源化已成为有效缓解战略资源短缺矛盾的重要途径，围绕固废综合利用及产业链接循环化发展，国家在循环经济的法律法规方面也出台了相关的文件。2005年，国务院印发了《关于加快循环经济的若干意见》；自2008年起，又陆续发布《中华人民共和国循环经济促进法》和《再生资源回收利用管理办法》；2014年，《“十二五”循环经济发展规划》的颁布更是重点提出在工业领域全面推行循环性生产方式。在生产</w:t>
      </w:r>
      <w:proofErr w:type="gramStart"/>
      <w:r w:rsidRPr="00595E5E">
        <w:rPr>
          <w:rFonts w:ascii="宋体" w:eastAsia="宋体" w:hAnsi="宋体" w:cs="Times New Roman" w:hint="eastAsia"/>
          <w:szCs w:val="21"/>
        </w:rPr>
        <w:t>高铅渣</w:t>
      </w:r>
      <w:proofErr w:type="gramEnd"/>
      <w:r w:rsidRPr="00595E5E">
        <w:rPr>
          <w:rFonts w:ascii="宋体" w:eastAsia="宋体" w:hAnsi="宋体" w:cs="Times New Roman" w:hint="eastAsia"/>
          <w:szCs w:val="21"/>
        </w:rPr>
        <w:t>的过程中，以铅泥、铅膏等含铅二次物料和铅饼、烟灰等含铅冶炼残余物为补充原料，不仅促进了含铅物料的循环利用，减少了污染，而且变废为宝，提高了</w:t>
      </w:r>
      <w:proofErr w:type="gramStart"/>
      <w:r w:rsidRPr="00595E5E">
        <w:rPr>
          <w:rFonts w:ascii="宋体" w:eastAsia="宋体" w:hAnsi="宋体" w:cs="Times New Roman" w:hint="eastAsia"/>
          <w:szCs w:val="21"/>
        </w:rPr>
        <w:t>高铅渣</w:t>
      </w:r>
      <w:proofErr w:type="gramEnd"/>
      <w:r w:rsidRPr="00595E5E">
        <w:rPr>
          <w:rFonts w:ascii="宋体" w:eastAsia="宋体" w:hAnsi="宋体" w:cs="Times New Roman" w:hint="eastAsia"/>
          <w:szCs w:val="21"/>
        </w:rPr>
        <w:t>的铅含量。目前，我国尚无从资源化回收利用含铅物料的角度规范中间品质量的标准，行业内无规范统一的中间产品回收指标要求，这也将导致产品质量不一和管理不便。因此，为了进一步提高</w:t>
      </w:r>
      <w:proofErr w:type="gramStart"/>
      <w:r w:rsidRPr="00595E5E">
        <w:rPr>
          <w:rFonts w:ascii="宋体" w:eastAsia="宋体" w:hAnsi="宋体" w:cs="Times New Roman" w:hint="eastAsia"/>
          <w:szCs w:val="21"/>
        </w:rPr>
        <w:t>铅资源</w:t>
      </w:r>
      <w:proofErr w:type="gramEnd"/>
      <w:r w:rsidRPr="00595E5E">
        <w:rPr>
          <w:rFonts w:ascii="宋体" w:eastAsia="宋体" w:hAnsi="宋体" w:cs="Times New Roman" w:hint="eastAsia"/>
          <w:szCs w:val="21"/>
        </w:rPr>
        <w:t>的回收和循环利用水平，推动铅冶炼业在“十三五”期间基本实现铅冶炼中间产品的有效利用和固体废料的减量化和无害化处理，降低生产成本，推动铅冶炼绿色生产，制定《高铅渣》 标准是势在必行的，它既能为铅冶炼行业和贸易提供支撑，又能为产品属性界定提供依据，最终可推动铅冶炼行业向节能、环保和高效的方向发展。</w:t>
      </w:r>
    </w:p>
    <w:p w:rsidR="00595E5E" w:rsidRPr="00595E5E" w:rsidRDefault="00595E5E" w:rsidP="00595E5E">
      <w:pPr>
        <w:spacing w:line="360" w:lineRule="exact"/>
        <w:jc w:val="left"/>
        <w:rPr>
          <w:rFonts w:ascii="黑体" w:eastAsia="黑体" w:hAnsi="黑体" w:cs="Times New Roman"/>
          <w:b/>
          <w:szCs w:val="21"/>
        </w:rPr>
      </w:pPr>
      <w:r w:rsidRPr="00595E5E">
        <w:rPr>
          <w:rFonts w:ascii="黑体" w:eastAsia="黑体" w:hAnsi="黑体" w:cs="Times New Roman" w:hint="eastAsia"/>
          <w:b/>
          <w:szCs w:val="21"/>
        </w:rPr>
        <w:t>三、 项目编制</w:t>
      </w:r>
      <w:proofErr w:type="gramStart"/>
      <w:r w:rsidRPr="00595E5E">
        <w:rPr>
          <w:rFonts w:ascii="黑体" w:eastAsia="黑体" w:hAnsi="黑体" w:cs="Times New Roman" w:hint="eastAsia"/>
          <w:b/>
          <w:szCs w:val="21"/>
        </w:rPr>
        <w:t>组单位</w:t>
      </w:r>
      <w:proofErr w:type="gramEnd"/>
      <w:r w:rsidRPr="00595E5E">
        <w:rPr>
          <w:rFonts w:ascii="黑体" w:eastAsia="黑体" w:hAnsi="黑体" w:cs="Times New Roman" w:hint="eastAsia"/>
          <w:b/>
          <w:szCs w:val="21"/>
        </w:rPr>
        <w:t>简况</w:t>
      </w:r>
    </w:p>
    <w:p w:rsidR="00595E5E" w:rsidRPr="00595E5E" w:rsidRDefault="00595E5E" w:rsidP="00595E5E">
      <w:pPr>
        <w:spacing w:line="360" w:lineRule="exact"/>
        <w:jc w:val="left"/>
        <w:rPr>
          <w:rFonts w:ascii="黑体" w:eastAsia="黑体" w:hAnsi="黑体" w:cs="Times New Roman"/>
          <w:b/>
          <w:szCs w:val="21"/>
        </w:rPr>
      </w:pPr>
      <w:r w:rsidRPr="00595E5E">
        <w:rPr>
          <w:rFonts w:ascii="黑体" w:eastAsia="黑体" w:hAnsi="黑体" w:cs="Times New Roman" w:hint="eastAsia"/>
          <w:b/>
          <w:szCs w:val="21"/>
        </w:rPr>
        <w:lastRenderedPageBreak/>
        <w:t>3.1 编制组成员单位</w:t>
      </w:r>
    </w:p>
    <w:p w:rsidR="00595E5E" w:rsidRPr="00595E5E" w:rsidRDefault="00595E5E" w:rsidP="00595E5E">
      <w:pPr>
        <w:spacing w:line="360" w:lineRule="exact"/>
        <w:ind w:firstLineChars="200" w:firstLine="420"/>
        <w:jc w:val="left"/>
        <w:rPr>
          <w:rFonts w:ascii="宋体" w:eastAsia="宋体" w:hAnsi="宋体" w:cs="Times New Roman"/>
          <w:szCs w:val="21"/>
        </w:rPr>
      </w:pPr>
      <w:r w:rsidRPr="00595E5E">
        <w:rPr>
          <w:rFonts w:ascii="宋体" w:eastAsia="宋体" w:hAnsi="宋体" w:cs="Times New Roman" w:hint="eastAsia"/>
          <w:szCs w:val="21"/>
        </w:rPr>
        <w:t>本项目由中国有色金属工业标准计量质量研究所、河南豫光金铅股份有限公司、河南金利金铅股份有限公司、湖南宇腾有色金属股份有限公司、</w:t>
      </w:r>
      <w:r w:rsidRPr="00595E5E">
        <w:rPr>
          <w:rFonts w:ascii="宋体" w:eastAsia="宋体" w:hAnsi="宋体" w:cs="Times New Roman" w:hint="eastAsia"/>
          <w:color w:val="000000"/>
          <w:szCs w:val="21"/>
        </w:rPr>
        <w:t>济源</w:t>
      </w:r>
      <w:proofErr w:type="gramStart"/>
      <w:r w:rsidRPr="00595E5E">
        <w:rPr>
          <w:rFonts w:ascii="宋体" w:eastAsia="宋体" w:hAnsi="宋体" w:cs="Times New Roman" w:hint="eastAsia"/>
          <w:color w:val="000000"/>
          <w:szCs w:val="21"/>
        </w:rPr>
        <w:t>市万洋冶炼</w:t>
      </w:r>
      <w:proofErr w:type="gramEnd"/>
      <w:r w:rsidRPr="00595E5E">
        <w:rPr>
          <w:rFonts w:ascii="宋体" w:eastAsia="宋体" w:hAnsi="宋体" w:cs="Times New Roman" w:hint="eastAsia"/>
          <w:color w:val="000000"/>
          <w:szCs w:val="21"/>
        </w:rPr>
        <w:t>（集团）有限公司、湖南有色金属研究院</w:t>
      </w:r>
      <w:r w:rsidRPr="00595E5E">
        <w:rPr>
          <w:rFonts w:ascii="宋体" w:eastAsia="宋体" w:hAnsi="宋体" w:cs="Times New Roman" w:hint="eastAsia"/>
          <w:szCs w:val="21"/>
        </w:rPr>
        <w:t>等单位共同起草，中国有色金属工业标准计量质量研究所是主编单位。</w:t>
      </w:r>
    </w:p>
    <w:p w:rsidR="00595E5E" w:rsidRPr="00595E5E" w:rsidRDefault="00595E5E" w:rsidP="00595E5E">
      <w:pPr>
        <w:spacing w:line="360" w:lineRule="exact"/>
        <w:jc w:val="left"/>
        <w:rPr>
          <w:rFonts w:ascii="黑体" w:eastAsia="黑体" w:hAnsi="黑体" w:cs="Times New Roman"/>
          <w:b/>
          <w:szCs w:val="21"/>
        </w:rPr>
      </w:pPr>
      <w:r w:rsidRPr="00595E5E">
        <w:rPr>
          <w:rFonts w:ascii="黑体" w:eastAsia="黑体" w:hAnsi="黑体" w:cs="Times New Roman" w:hint="eastAsia"/>
          <w:b/>
          <w:szCs w:val="21"/>
        </w:rPr>
        <w:t>3.2 主编单位简介</w:t>
      </w:r>
    </w:p>
    <w:p w:rsidR="00595E5E" w:rsidRPr="00595E5E" w:rsidRDefault="00595E5E" w:rsidP="00595E5E">
      <w:pPr>
        <w:spacing w:line="360" w:lineRule="exact"/>
        <w:jc w:val="left"/>
        <w:rPr>
          <w:rFonts w:ascii="宋体" w:eastAsia="宋体" w:hAnsi="宋体" w:cs="Times New Roman"/>
          <w:szCs w:val="21"/>
        </w:rPr>
      </w:pPr>
      <w:r w:rsidRPr="00595E5E">
        <w:rPr>
          <w:rFonts w:ascii="黑体" w:eastAsia="黑体" w:hAnsi="黑体" w:cs="Times New Roman" w:hint="eastAsia"/>
          <w:b/>
          <w:szCs w:val="21"/>
        </w:rPr>
        <w:t xml:space="preserve">    </w:t>
      </w:r>
      <w:r w:rsidRPr="00595E5E">
        <w:rPr>
          <w:rFonts w:ascii="宋体" w:eastAsia="宋体" w:hAnsi="宋体" w:cs="Times New Roman"/>
          <w:szCs w:val="21"/>
        </w:rPr>
        <w:t>中国有色金属工业标准</w:t>
      </w:r>
      <w:r w:rsidRPr="00595E5E">
        <w:rPr>
          <w:rFonts w:ascii="宋体" w:eastAsia="宋体" w:hAnsi="宋体" w:cs="Times New Roman" w:hint="eastAsia"/>
          <w:szCs w:val="21"/>
        </w:rPr>
        <w:t>质量</w:t>
      </w:r>
      <w:r w:rsidRPr="00595E5E">
        <w:rPr>
          <w:rFonts w:ascii="宋体" w:eastAsia="宋体" w:hAnsi="宋体" w:cs="Times New Roman"/>
          <w:szCs w:val="21"/>
        </w:rPr>
        <w:t>计量研究所是我国有色金属标准化归口单位，同时是国际标准化组织I S O / T C 7 9 / S C 5 和ISO/TC26秘书处挂靠单位。主要负责我国有色金属（含稀土）国家标准、行业标准及国家军用标准的项目计划、制修订和复审工作等。</w:t>
      </w:r>
    </w:p>
    <w:p w:rsidR="00595E5E" w:rsidRPr="00595E5E" w:rsidRDefault="00595E5E" w:rsidP="00595E5E">
      <w:pPr>
        <w:spacing w:line="360" w:lineRule="exact"/>
        <w:jc w:val="left"/>
        <w:rPr>
          <w:rFonts w:ascii="黑体" w:eastAsia="黑体" w:hAnsi="黑体" w:cs="Times New Roman"/>
          <w:b/>
          <w:szCs w:val="21"/>
        </w:rPr>
      </w:pPr>
      <w:r w:rsidRPr="00595E5E">
        <w:rPr>
          <w:rFonts w:ascii="黑体" w:eastAsia="黑体" w:hAnsi="黑体" w:cs="Times New Roman" w:hint="eastAsia"/>
          <w:b/>
          <w:szCs w:val="21"/>
        </w:rPr>
        <w:t>3.3 标准编制过程</w:t>
      </w:r>
    </w:p>
    <w:p w:rsidR="00595E5E" w:rsidRPr="00595E5E" w:rsidRDefault="00595E5E" w:rsidP="00595E5E">
      <w:pPr>
        <w:spacing w:line="360" w:lineRule="exact"/>
        <w:rPr>
          <w:rFonts w:ascii="宋体" w:eastAsia="宋体" w:hAnsi="宋体" w:cs="Times New Roman"/>
          <w:szCs w:val="21"/>
        </w:rPr>
      </w:pPr>
      <w:r w:rsidRPr="00595E5E">
        <w:rPr>
          <w:rFonts w:ascii="黑体" w:eastAsia="黑体" w:hAnsi="黑体" w:cs="Times New Roman" w:hint="eastAsia"/>
          <w:b/>
          <w:szCs w:val="21"/>
        </w:rPr>
        <w:t xml:space="preserve">    </w:t>
      </w:r>
      <w:r w:rsidRPr="00595E5E">
        <w:rPr>
          <w:rFonts w:ascii="宋体" w:eastAsia="宋体" w:hAnsi="宋体" w:cs="Times New Roman" w:hint="eastAsia"/>
          <w:szCs w:val="21"/>
        </w:rPr>
        <w:t>2018年6月，</w:t>
      </w:r>
      <w:r w:rsidRPr="00595E5E">
        <w:rPr>
          <w:rFonts w:ascii="宋体" w:eastAsia="宋体" w:hAnsi="宋体" w:cs="Times New Roman" w:hint="eastAsia"/>
          <w:szCs w:val="21"/>
          <w:lang w:val="zh-CN"/>
        </w:rPr>
        <w:t>中国有色金属工业标准计量质量研究所</w:t>
      </w:r>
      <w:r w:rsidRPr="00595E5E">
        <w:rPr>
          <w:rFonts w:ascii="宋体" w:eastAsia="宋体" w:hAnsi="宋体" w:cs="Times New Roman" w:hint="eastAsia"/>
          <w:szCs w:val="21"/>
        </w:rPr>
        <w:t>接到《高铅渣》的制定任务后，成立了标准编制工作组，确认了各成员的工作任务和职责，制定了工作计划和进度安排，确定了制定原则。</w:t>
      </w:r>
    </w:p>
    <w:p w:rsidR="00595E5E" w:rsidRPr="00595E5E" w:rsidRDefault="00595E5E" w:rsidP="00595E5E">
      <w:pPr>
        <w:spacing w:line="360" w:lineRule="exact"/>
        <w:rPr>
          <w:rFonts w:ascii="宋体" w:eastAsia="宋体" w:hAnsi="宋体" w:cs="Times New Roman"/>
          <w:szCs w:val="21"/>
        </w:rPr>
      </w:pPr>
      <w:r w:rsidRPr="00595E5E">
        <w:rPr>
          <w:rFonts w:ascii="宋体" w:eastAsia="宋体" w:hAnsi="宋体" w:cs="Times New Roman" w:hint="eastAsia"/>
          <w:szCs w:val="21"/>
        </w:rPr>
        <w:t xml:space="preserve">    2019年3月，通过《高铅渣》协会标准编写数据调查表的发放，向株洲冶炼集团等铅锌冶炼相关企业征集标准编写的相关信息；并于4月11日～4月15日，组织调研团对湖南水口山有色金属有限责任公司等4家企业进行了实地调研和数据采集工作。</w:t>
      </w:r>
    </w:p>
    <w:p w:rsidR="00595E5E" w:rsidRPr="00595E5E" w:rsidRDefault="00595E5E" w:rsidP="00595E5E">
      <w:pPr>
        <w:spacing w:line="360" w:lineRule="exact"/>
        <w:rPr>
          <w:rFonts w:ascii="宋体" w:eastAsia="宋体" w:hAnsi="宋体" w:cs="Times New Roman"/>
          <w:szCs w:val="21"/>
        </w:rPr>
      </w:pPr>
      <w:r w:rsidRPr="00595E5E">
        <w:rPr>
          <w:rFonts w:ascii="宋体" w:eastAsia="宋体" w:hAnsi="宋体" w:cs="Times New Roman" w:hint="eastAsia"/>
          <w:szCs w:val="21"/>
        </w:rPr>
        <w:t xml:space="preserve">    2019年5月，标准编制组在河南省济源市召开了本标准的讨论会议，对标准的主要内容进行了讨论，根据编制组专家与参会专家代表的意见，编制组成员对标准进行了再次修改和完善。</w:t>
      </w:r>
    </w:p>
    <w:p w:rsidR="00595E5E" w:rsidRPr="00595E5E" w:rsidRDefault="00595E5E" w:rsidP="00595E5E">
      <w:pPr>
        <w:spacing w:line="360" w:lineRule="exact"/>
        <w:rPr>
          <w:rFonts w:ascii="宋体" w:eastAsia="宋体" w:hAnsi="宋体" w:cs="Times New Roman"/>
          <w:szCs w:val="21"/>
        </w:rPr>
      </w:pPr>
      <w:r w:rsidRPr="00595E5E">
        <w:rPr>
          <w:rFonts w:ascii="宋体" w:eastAsia="宋体" w:hAnsi="宋体" w:cs="Times New Roman" w:hint="eastAsia"/>
          <w:szCs w:val="21"/>
        </w:rPr>
        <w:t xml:space="preserve">    2019年9月，标准编制组在湖南省郴州市召开了本标准的预审会议，再次对标准内容及相关指标进行了讨论，编制组成员根据现场专家与代表的意见对标准预审稿进行了修改和完善，并形成送审稿。</w:t>
      </w:r>
    </w:p>
    <w:p w:rsidR="00595E5E" w:rsidRPr="00595E5E" w:rsidRDefault="00595E5E" w:rsidP="00595E5E">
      <w:pPr>
        <w:spacing w:line="360" w:lineRule="exact"/>
        <w:rPr>
          <w:rFonts w:ascii="宋体" w:eastAsia="宋体" w:hAnsi="宋体" w:cs="Times New Roman"/>
          <w:szCs w:val="21"/>
        </w:rPr>
      </w:pPr>
      <w:r w:rsidRPr="00595E5E">
        <w:rPr>
          <w:rFonts w:ascii="宋体" w:eastAsia="宋体" w:hAnsi="宋体" w:cs="Times New Roman" w:hint="eastAsia"/>
          <w:szCs w:val="21"/>
        </w:rPr>
        <w:t xml:space="preserve">    </w:t>
      </w:r>
      <w:r w:rsidRPr="00595E5E">
        <w:rPr>
          <w:rFonts w:ascii="宋体" w:eastAsia="宋体" w:hAnsi="宋体" w:cs="Times New Roman"/>
          <w:szCs w:val="21"/>
        </w:rPr>
        <w:t>本标准在编制过程中</w:t>
      </w:r>
      <w:r w:rsidRPr="00595E5E">
        <w:rPr>
          <w:rFonts w:ascii="宋体" w:eastAsia="宋体" w:hAnsi="宋体" w:cs="Times New Roman" w:hint="eastAsia"/>
          <w:szCs w:val="21"/>
        </w:rPr>
        <w:t>，</w:t>
      </w:r>
      <w:r w:rsidRPr="00595E5E">
        <w:rPr>
          <w:rFonts w:ascii="宋体" w:eastAsia="宋体" w:hAnsi="宋体" w:cs="Times New Roman"/>
          <w:szCs w:val="21"/>
        </w:rPr>
        <w:t>检索</w:t>
      </w:r>
      <w:r w:rsidRPr="00595E5E">
        <w:rPr>
          <w:rFonts w:ascii="宋体" w:eastAsia="宋体" w:hAnsi="宋体" w:cs="Times New Roman" w:hint="eastAsia"/>
          <w:szCs w:val="21"/>
        </w:rPr>
        <w:t>了</w:t>
      </w:r>
      <w:r w:rsidRPr="00595E5E">
        <w:rPr>
          <w:rFonts w:ascii="宋体" w:eastAsia="宋体" w:hAnsi="宋体" w:cs="Times New Roman"/>
          <w:szCs w:val="21"/>
        </w:rPr>
        <w:t>国际及</w:t>
      </w:r>
      <w:r w:rsidRPr="00595E5E">
        <w:rPr>
          <w:rFonts w:ascii="宋体" w:eastAsia="宋体" w:hAnsi="宋体" w:cs="Times New Roman" w:hint="eastAsia"/>
          <w:szCs w:val="21"/>
        </w:rPr>
        <w:t>国内的</w:t>
      </w:r>
      <w:r w:rsidRPr="00595E5E">
        <w:rPr>
          <w:rFonts w:ascii="宋体" w:eastAsia="宋体" w:hAnsi="宋体" w:cs="Times New Roman"/>
          <w:szCs w:val="21"/>
        </w:rPr>
        <w:t>标准</w:t>
      </w:r>
      <w:r w:rsidRPr="00595E5E">
        <w:rPr>
          <w:rFonts w:ascii="宋体" w:eastAsia="宋体" w:hAnsi="宋体" w:cs="Times New Roman" w:hint="eastAsia"/>
          <w:szCs w:val="21"/>
        </w:rPr>
        <w:t>，</w:t>
      </w:r>
      <w:r w:rsidRPr="00595E5E">
        <w:rPr>
          <w:rFonts w:ascii="宋体" w:eastAsia="宋体" w:hAnsi="宋体" w:cs="Times New Roman"/>
          <w:szCs w:val="21"/>
        </w:rPr>
        <w:t>均无与</w:t>
      </w:r>
      <w:r w:rsidRPr="00595E5E">
        <w:rPr>
          <w:rFonts w:ascii="宋体" w:eastAsia="宋体" w:hAnsi="宋体" w:cs="Times New Roman" w:hint="eastAsia"/>
          <w:szCs w:val="21"/>
        </w:rPr>
        <w:t>《高铅渣》相关的产品标准。查阅了大量国内外相关文献资料及相关企业的企业标准，咨询企业的使用要求，进行了资料收集。经综合考虑，形成了该标准的讨论稿。</w:t>
      </w:r>
    </w:p>
    <w:p w:rsidR="00595E5E" w:rsidRPr="00595E5E" w:rsidRDefault="00595E5E" w:rsidP="00595E5E">
      <w:pPr>
        <w:spacing w:line="360" w:lineRule="exact"/>
        <w:jc w:val="left"/>
        <w:rPr>
          <w:rFonts w:ascii="黑体" w:eastAsia="黑体" w:hAnsi="黑体" w:cs="Times New Roman"/>
          <w:b/>
          <w:szCs w:val="21"/>
        </w:rPr>
      </w:pPr>
      <w:r w:rsidRPr="00595E5E">
        <w:rPr>
          <w:rFonts w:ascii="黑体" w:eastAsia="黑体" w:hAnsi="黑体" w:cs="Times New Roman" w:hint="eastAsia"/>
          <w:b/>
          <w:szCs w:val="21"/>
        </w:rPr>
        <w:t>四、标准编制原则和确定标准主要内容</w:t>
      </w:r>
    </w:p>
    <w:p w:rsidR="00595E5E" w:rsidRPr="00595E5E" w:rsidRDefault="00595E5E" w:rsidP="00595E5E">
      <w:pPr>
        <w:spacing w:line="360" w:lineRule="exact"/>
        <w:jc w:val="left"/>
        <w:rPr>
          <w:rFonts w:ascii="黑体" w:eastAsia="黑体" w:hAnsi="黑体" w:cs="Times New Roman"/>
          <w:b/>
          <w:szCs w:val="21"/>
        </w:rPr>
      </w:pPr>
      <w:r w:rsidRPr="00595E5E">
        <w:rPr>
          <w:rFonts w:ascii="黑体" w:eastAsia="黑体" w:hAnsi="黑体" w:cs="Times New Roman" w:hint="eastAsia"/>
          <w:b/>
          <w:szCs w:val="21"/>
        </w:rPr>
        <w:t>4.1 编制原则</w:t>
      </w:r>
    </w:p>
    <w:p w:rsidR="00595E5E" w:rsidRPr="00595E5E" w:rsidRDefault="00595E5E" w:rsidP="00595E5E">
      <w:pPr>
        <w:spacing w:line="360" w:lineRule="exact"/>
        <w:rPr>
          <w:rFonts w:ascii="宋体" w:eastAsia="宋体" w:hAnsi="宋体" w:cs="Times New Roman"/>
          <w:szCs w:val="21"/>
        </w:rPr>
      </w:pPr>
      <w:r w:rsidRPr="00595E5E">
        <w:rPr>
          <w:rFonts w:ascii="黑体" w:eastAsia="黑体" w:hAnsi="黑体" w:cs="Times New Roman" w:hint="eastAsia"/>
          <w:b/>
          <w:szCs w:val="21"/>
        </w:rPr>
        <w:t xml:space="preserve">    </w:t>
      </w:r>
      <w:r w:rsidRPr="00595E5E">
        <w:rPr>
          <w:rFonts w:ascii="宋体" w:eastAsia="宋体" w:hAnsi="宋体" w:cs="Times New Roman"/>
          <w:szCs w:val="21"/>
        </w:rPr>
        <w:t>本标准的制定工作遵循</w:t>
      </w:r>
      <w:r w:rsidRPr="00595E5E">
        <w:rPr>
          <w:rFonts w:ascii="宋体" w:eastAsia="宋体" w:hAnsi="宋体" w:cs="Times New Roman" w:hint="eastAsia"/>
          <w:szCs w:val="21"/>
        </w:rPr>
        <w:t>“统一性、协调性、适用性、一致性、规范性”的原则，本着先进性、科学性、合理性和可操作性的原则，按照</w:t>
      </w:r>
      <w:r w:rsidRPr="00595E5E">
        <w:rPr>
          <w:rFonts w:ascii="宋体" w:eastAsia="宋体" w:hAnsi="宋体" w:cs="Times New Roman"/>
          <w:szCs w:val="21"/>
        </w:rPr>
        <w:t>GB/T 1.1</w:t>
      </w:r>
      <w:r w:rsidRPr="00595E5E">
        <w:rPr>
          <w:rFonts w:ascii="宋体" w:eastAsia="宋体" w:hAnsi="宋体" w:cs="Times New Roman" w:hint="eastAsia"/>
          <w:szCs w:val="21"/>
        </w:rPr>
        <w:t>―</w:t>
      </w:r>
      <w:r w:rsidRPr="00595E5E">
        <w:rPr>
          <w:rFonts w:ascii="宋体" w:eastAsia="宋体" w:hAnsi="宋体" w:cs="Times New Roman"/>
          <w:szCs w:val="21"/>
        </w:rPr>
        <w:t>2009</w:t>
      </w:r>
      <w:r w:rsidRPr="00595E5E">
        <w:rPr>
          <w:rFonts w:ascii="宋体" w:eastAsia="宋体" w:hAnsi="宋体" w:cs="Times New Roman" w:hint="eastAsia"/>
          <w:szCs w:val="21"/>
        </w:rPr>
        <w:t>给出的规则编写。</w:t>
      </w:r>
    </w:p>
    <w:p w:rsidR="00595E5E" w:rsidRPr="00595E5E" w:rsidRDefault="00595E5E" w:rsidP="00595E5E">
      <w:pPr>
        <w:spacing w:line="360" w:lineRule="exact"/>
        <w:rPr>
          <w:rFonts w:ascii="宋体" w:eastAsia="宋体" w:hAnsi="宋体" w:cs="Times New Roman"/>
          <w:szCs w:val="21"/>
        </w:rPr>
      </w:pPr>
      <w:r w:rsidRPr="00595E5E">
        <w:rPr>
          <w:rFonts w:ascii="宋体" w:eastAsia="宋体" w:hAnsi="宋体" w:cs="Times New Roman" w:hint="eastAsia"/>
          <w:szCs w:val="21"/>
        </w:rPr>
        <w:t xml:space="preserve">    </w:t>
      </w:r>
      <w:r w:rsidRPr="00595E5E">
        <w:rPr>
          <w:rFonts w:ascii="宋体" w:eastAsia="宋体" w:hAnsi="宋体" w:cs="Times New Roman"/>
          <w:szCs w:val="21"/>
        </w:rPr>
        <w:t>本标准的编制充分考虑</w:t>
      </w:r>
      <w:r w:rsidRPr="00595E5E">
        <w:rPr>
          <w:rFonts w:ascii="宋体" w:eastAsia="宋体" w:hAnsi="宋体" w:cs="Times New Roman" w:hint="eastAsia"/>
          <w:szCs w:val="21"/>
        </w:rPr>
        <w:t>冶炼</w:t>
      </w:r>
      <w:r w:rsidRPr="00595E5E">
        <w:rPr>
          <w:rFonts w:ascii="宋体" w:eastAsia="宋体" w:hAnsi="宋体" w:cs="Times New Roman"/>
          <w:szCs w:val="21"/>
        </w:rPr>
        <w:t>企业的产品质量和相关单位的意见，同时确保用户的需求，为</w:t>
      </w:r>
      <w:r w:rsidRPr="00595E5E">
        <w:rPr>
          <w:rFonts w:ascii="宋体" w:eastAsia="宋体" w:hAnsi="宋体" w:cs="Times New Roman" w:hint="eastAsia"/>
          <w:szCs w:val="21"/>
        </w:rPr>
        <w:t>铅</w:t>
      </w:r>
      <w:r w:rsidRPr="00595E5E">
        <w:rPr>
          <w:rFonts w:ascii="宋体" w:eastAsia="宋体" w:hAnsi="宋体" w:cs="Times New Roman"/>
          <w:szCs w:val="21"/>
        </w:rPr>
        <w:t>冶炼企业提供</w:t>
      </w:r>
      <w:r w:rsidRPr="00595E5E">
        <w:rPr>
          <w:rFonts w:ascii="宋体" w:eastAsia="宋体" w:hAnsi="宋体" w:cs="Times New Roman" w:hint="eastAsia"/>
          <w:szCs w:val="21"/>
        </w:rPr>
        <w:t>符合要求</w:t>
      </w:r>
      <w:r w:rsidRPr="00595E5E">
        <w:rPr>
          <w:rFonts w:ascii="宋体" w:eastAsia="宋体" w:hAnsi="宋体" w:cs="Times New Roman"/>
          <w:szCs w:val="21"/>
        </w:rPr>
        <w:t>的</w:t>
      </w:r>
      <w:r w:rsidRPr="00595E5E">
        <w:rPr>
          <w:rFonts w:ascii="宋体" w:eastAsia="宋体" w:hAnsi="宋体" w:cs="Times New Roman" w:hint="eastAsia"/>
          <w:szCs w:val="21"/>
        </w:rPr>
        <w:t>生产</w:t>
      </w:r>
      <w:r w:rsidRPr="00595E5E">
        <w:rPr>
          <w:rFonts w:ascii="宋体" w:eastAsia="宋体" w:hAnsi="宋体" w:cs="Times New Roman"/>
          <w:szCs w:val="21"/>
        </w:rPr>
        <w:t>原料。</w:t>
      </w:r>
    </w:p>
    <w:p w:rsidR="00595E5E" w:rsidRPr="00595E5E" w:rsidRDefault="00595E5E" w:rsidP="00595E5E">
      <w:pPr>
        <w:spacing w:line="360" w:lineRule="exact"/>
        <w:jc w:val="left"/>
        <w:rPr>
          <w:rFonts w:ascii="黑体" w:eastAsia="黑体" w:hAnsi="黑体" w:cs="Times New Roman"/>
          <w:b/>
          <w:szCs w:val="21"/>
        </w:rPr>
      </w:pPr>
      <w:r w:rsidRPr="00595E5E">
        <w:rPr>
          <w:rFonts w:ascii="黑体" w:eastAsia="黑体" w:hAnsi="黑体" w:cs="Times New Roman" w:hint="eastAsia"/>
          <w:b/>
          <w:szCs w:val="21"/>
        </w:rPr>
        <w:t>4.2 确定标准主要内容</w:t>
      </w:r>
    </w:p>
    <w:p w:rsidR="00595E5E" w:rsidRPr="00595E5E" w:rsidRDefault="00595E5E" w:rsidP="00595E5E">
      <w:pPr>
        <w:spacing w:line="360" w:lineRule="exact"/>
        <w:ind w:firstLineChars="200" w:firstLine="420"/>
        <w:rPr>
          <w:rFonts w:ascii="宋体" w:eastAsia="宋体" w:hAnsi="宋体" w:cs="Times New Roman"/>
          <w:szCs w:val="21"/>
        </w:rPr>
      </w:pPr>
      <w:r w:rsidRPr="00595E5E">
        <w:rPr>
          <w:rFonts w:ascii="宋体" w:eastAsia="宋体" w:hAnsi="宋体" w:cs="Times New Roman" w:hint="eastAsia"/>
          <w:szCs w:val="21"/>
        </w:rPr>
        <w:t>本标准规定了</w:t>
      </w:r>
      <w:proofErr w:type="gramStart"/>
      <w:r w:rsidRPr="00595E5E">
        <w:rPr>
          <w:rFonts w:ascii="宋体" w:eastAsia="宋体" w:hAnsi="宋体" w:cs="Times New Roman" w:hint="eastAsia"/>
          <w:szCs w:val="21"/>
        </w:rPr>
        <w:t>高铅渣</w:t>
      </w:r>
      <w:proofErr w:type="gramEnd"/>
      <w:r w:rsidRPr="00595E5E">
        <w:rPr>
          <w:rFonts w:ascii="宋体" w:eastAsia="宋体" w:hAnsi="宋体" w:cs="Times New Roman" w:hint="eastAsia"/>
          <w:szCs w:val="21"/>
        </w:rPr>
        <w:t>的术语和定义、技术要求、试验方法、检验规则、标志、包装、运输、贮存、质量证明书及订货单（或合同）内容。</w:t>
      </w:r>
    </w:p>
    <w:p w:rsidR="00595E5E" w:rsidRPr="00595E5E" w:rsidRDefault="00595E5E" w:rsidP="00595E5E">
      <w:pPr>
        <w:spacing w:line="360" w:lineRule="exact"/>
        <w:ind w:firstLineChars="200" w:firstLine="420"/>
        <w:rPr>
          <w:rFonts w:ascii="宋体" w:eastAsia="宋体" w:hAnsi="宋体" w:cs="Times New Roman"/>
          <w:szCs w:val="21"/>
        </w:rPr>
      </w:pPr>
      <w:r w:rsidRPr="00595E5E">
        <w:rPr>
          <w:rFonts w:ascii="宋体" w:eastAsia="宋体" w:hAnsi="宋体" w:cs="Times New Roman" w:hint="eastAsia"/>
          <w:szCs w:val="21"/>
        </w:rPr>
        <w:t>本标准适用于铅精矿及铅膏、铅泥、铅饼等含铅物料经氧化熔炼得到的</w:t>
      </w:r>
      <w:proofErr w:type="gramStart"/>
      <w:r w:rsidRPr="00595E5E">
        <w:rPr>
          <w:rFonts w:ascii="宋体" w:eastAsia="宋体" w:hAnsi="宋体" w:cs="Times New Roman" w:hint="eastAsia"/>
          <w:szCs w:val="21"/>
        </w:rPr>
        <w:t>高铅渣</w:t>
      </w:r>
      <w:proofErr w:type="gramEnd"/>
      <w:r w:rsidRPr="00595E5E">
        <w:rPr>
          <w:rFonts w:ascii="宋体" w:eastAsia="宋体" w:hAnsi="宋体" w:cs="Times New Roman" w:hint="eastAsia"/>
          <w:szCs w:val="21"/>
        </w:rPr>
        <w:t>，主要用于粗铅的生产。</w:t>
      </w:r>
      <w:r w:rsidRPr="00595E5E">
        <w:rPr>
          <w:rFonts w:ascii="Calibri" w:eastAsia="宋体" w:hAnsi="Calibri" w:cs="Times New Roman" w:hint="eastAsia"/>
          <w:bCs/>
        </w:rPr>
        <w:t>含铅物料主要包括回收的含铅二次物料和锌、铜冶炼过程中产生的含铅残余物质。</w:t>
      </w:r>
    </w:p>
    <w:p w:rsidR="00595E5E" w:rsidRPr="00595E5E" w:rsidRDefault="00595E5E" w:rsidP="00595E5E">
      <w:pPr>
        <w:spacing w:line="360" w:lineRule="exact"/>
        <w:jc w:val="left"/>
        <w:rPr>
          <w:rFonts w:ascii="黑体" w:eastAsia="黑体" w:hAnsi="黑体" w:cs="Times New Roman"/>
          <w:b/>
          <w:bCs/>
          <w:szCs w:val="21"/>
        </w:rPr>
      </w:pPr>
      <w:r w:rsidRPr="00595E5E">
        <w:rPr>
          <w:rFonts w:ascii="黑体" w:eastAsia="黑体" w:hAnsi="黑体" w:cs="Times New Roman" w:hint="eastAsia"/>
          <w:b/>
          <w:szCs w:val="21"/>
        </w:rPr>
        <w:t>五、</w:t>
      </w:r>
      <w:r w:rsidRPr="00595E5E">
        <w:rPr>
          <w:rFonts w:ascii="黑体" w:eastAsia="黑体" w:hAnsi="黑体" w:cs="Times New Roman" w:hint="eastAsia"/>
          <w:b/>
          <w:bCs/>
          <w:szCs w:val="21"/>
        </w:rPr>
        <w:t>确定标准主要技术内容（如技术指标、参数等）的依据</w:t>
      </w:r>
    </w:p>
    <w:p w:rsidR="00595E5E" w:rsidRPr="00595E5E" w:rsidRDefault="00595E5E" w:rsidP="00595E5E">
      <w:pPr>
        <w:spacing w:line="360" w:lineRule="exact"/>
        <w:jc w:val="left"/>
        <w:rPr>
          <w:rFonts w:ascii="黑体" w:eastAsia="黑体" w:hAnsi="黑体" w:cs="Times New Roman"/>
          <w:b/>
          <w:bCs/>
          <w:szCs w:val="21"/>
        </w:rPr>
      </w:pPr>
      <w:r w:rsidRPr="00595E5E">
        <w:rPr>
          <w:rFonts w:ascii="黑体" w:eastAsia="黑体" w:hAnsi="黑体" w:cs="Times New Roman" w:hint="eastAsia"/>
          <w:b/>
          <w:bCs/>
          <w:szCs w:val="21"/>
        </w:rPr>
        <w:t xml:space="preserve">5.1 </w:t>
      </w:r>
      <w:proofErr w:type="gramStart"/>
      <w:r w:rsidRPr="00595E5E">
        <w:rPr>
          <w:rFonts w:ascii="黑体" w:eastAsia="黑体" w:hAnsi="黑体" w:cs="Times New Roman" w:hint="eastAsia"/>
          <w:b/>
          <w:bCs/>
          <w:szCs w:val="21"/>
        </w:rPr>
        <w:t>高铅渣</w:t>
      </w:r>
      <w:proofErr w:type="gramEnd"/>
      <w:r w:rsidRPr="00595E5E">
        <w:rPr>
          <w:rFonts w:ascii="黑体" w:eastAsia="黑体" w:hAnsi="黑体" w:cs="Times New Roman" w:hint="eastAsia"/>
          <w:b/>
          <w:bCs/>
          <w:szCs w:val="21"/>
        </w:rPr>
        <w:t>生产工艺流程</w:t>
      </w:r>
    </w:p>
    <w:p w:rsidR="00595E5E" w:rsidRPr="00595E5E" w:rsidRDefault="00595E5E" w:rsidP="00595E5E">
      <w:pPr>
        <w:spacing w:line="360" w:lineRule="exact"/>
        <w:rPr>
          <w:rFonts w:ascii="宋体" w:eastAsia="宋体" w:hAnsi="宋体" w:cs="Times New Roman"/>
          <w:szCs w:val="21"/>
        </w:rPr>
      </w:pPr>
      <w:r w:rsidRPr="00595E5E">
        <w:rPr>
          <w:rFonts w:ascii="黑体" w:eastAsia="黑体" w:hAnsi="黑体" w:cs="Times New Roman" w:hint="eastAsia"/>
          <w:b/>
          <w:bCs/>
          <w:szCs w:val="21"/>
        </w:rPr>
        <w:lastRenderedPageBreak/>
        <w:t xml:space="preserve">    </w:t>
      </w:r>
      <w:r w:rsidRPr="00595E5E">
        <w:rPr>
          <w:rFonts w:ascii="宋体" w:eastAsia="宋体" w:hAnsi="宋体" w:cs="Times New Roman" w:hint="eastAsia"/>
          <w:bCs/>
          <w:szCs w:val="21"/>
        </w:rPr>
        <w:t>目前，</w:t>
      </w:r>
      <w:proofErr w:type="gramStart"/>
      <w:r w:rsidRPr="00595E5E">
        <w:rPr>
          <w:rFonts w:ascii="宋体" w:eastAsia="宋体" w:hAnsi="宋体" w:cs="Times New Roman" w:hint="eastAsia"/>
          <w:bCs/>
          <w:szCs w:val="21"/>
        </w:rPr>
        <w:t>高铅渣</w:t>
      </w:r>
      <w:proofErr w:type="gramEnd"/>
      <w:r w:rsidRPr="00595E5E">
        <w:rPr>
          <w:rFonts w:ascii="宋体" w:eastAsia="宋体" w:hAnsi="宋体" w:cs="Times New Roman" w:hint="eastAsia"/>
          <w:bCs/>
          <w:szCs w:val="21"/>
        </w:rPr>
        <w:t>的来源主要</w:t>
      </w:r>
      <w:proofErr w:type="gramStart"/>
      <w:r w:rsidRPr="00595E5E">
        <w:rPr>
          <w:rFonts w:ascii="宋体" w:eastAsia="宋体" w:hAnsi="宋体" w:cs="Times New Roman" w:hint="eastAsia"/>
          <w:bCs/>
          <w:szCs w:val="21"/>
        </w:rPr>
        <w:t>为铅氧化</w:t>
      </w:r>
      <w:proofErr w:type="gramEnd"/>
      <w:r w:rsidRPr="00595E5E">
        <w:rPr>
          <w:rFonts w:ascii="宋体" w:eastAsia="宋体" w:hAnsi="宋体" w:cs="Times New Roman" w:hint="eastAsia"/>
          <w:bCs/>
          <w:szCs w:val="21"/>
        </w:rPr>
        <w:t>熔炼生产过程。传统炼铅工艺主要为烧结-鼓风炉炼铅法，此法</w:t>
      </w:r>
      <w:proofErr w:type="gramStart"/>
      <w:r w:rsidRPr="00595E5E">
        <w:rPr>
          <w:rFonts w:ascii="宋体" w:eastAsia="宋体" w:hAnsi="宋体" w:cs="Times New Roman" w:hint="eastAsia"/>
          <w:bCs/>
          <w:szCs w:val="21"/>
        </w:rPr>
        <w:t>氧化段由</w:t>
      </w:r>
      <w:proofErr w:type="gramEnd"/>
      <w:r w:rsidRPr="00595E5E">
        <w:rPr>
          <w:rFonts w:ascii="宋体" w:eastAsia="宋体" w:hAnsi="宋体" w:cs="Times New Roman" w:hint="eastAsia"/>
          <w:bCs/>
          <w:szCs w:val="21"/>
        </w:rPr>
        <w:t>硫化铅精矿经烧结焙烧，得到的烧结块在鼓风炉中进行还原熔炼，产出粗铅。这种工艺对原料的适应性较强，且稳定可靠，但存在致命的缺陷，即烧结烟气SO</w:t>
      </w:r>
      <w:r w:rsidRPr="00595E5E">
        <w:rPr>
          <w:rFonts w:ascii="宋体" w:eastAsia="宋体" w:hAnsi="宋体" w:cs="Times New Roman" w:hint="eastAsia"/>
          <w:bCs/>
          <w:szCs w:val="21"/>
          <w:vertAlign w:val="subscript"/>
        </w:rPr>
        <w:t>2</w:t>
      </w:r>
      <w:r w:rsidRPr="00595E5E">
        <w:rPr>
          <w:rFonts w:ascii="宋体" w:eastAsia="宋体" w:hAnsi="宋体" w:cs="Times New Roman" w:hint="eastAsia"/>
          <w:bCs/>
          <w:szCs w:val="21"/>
        </w:rPr>
        <w:t>浓度较低，难以通过制酸工艺得到利用，而直接排放的烟气严重污染大气环境，与我国有色金属冶炼绿色发展的方向相背。因此，为了克服烟气利用率低的缺陷等，目前国内主要采用</w:t>
      </w:r>
      <w:proofErr w:type="gramStart"/>
      <w:r w:rsidRPr="00595E5E">
        <w:rPr>
          <w:rFonts w:ascii="宋体" w:eastAsia="宋体" w:hAnsi="宋体" w:cs="Times New Roman" w:hint="eastAsia"/>
          <w:bCs/>
          <w:szCs w:val="21"/>
        </w:rPr>
        <w:t>富氧底吹和</w:t>
      </w:r>
      <w:proofErr w:type="gramEnd"/>
      <w:r w:rsidRPr="00595E5E">
        <w:rPr>
          <w:rFonts w:ascii="宋体" w:eastAsia="宋体" w:hAnsi="宋体" w:cs="Times New Roman" w:hint="eastAsia"/>
          <w:bCs/>
          <w:szCs w:val="21"/>
        </w:rPr>
        <w:t>顶吹熔炼法进行铅锌冶炼，其中主要包括</w:t>
      </w:r>
      <w:r w:rsidRPr="00595E5E">
        <w:rPr>
          <w:rFonts w:ascii="宋体" w:eastAsia="宋体" w:hAnsi="宋体" w:cs="Times New Roman" w:hint="eastAsia"/>
          <w:szCs w:val="21"/>
        </w:rPr>
        <w:t>河南豫光金铅股份有限公司、河南金利金铅股份有限公司和湖南宇腾有色金属股份有限公司等采用的</w:t>
      </w:r>
      <w:proofErr w:type="gramStart"/>
      <w:r w:rsidRPr="00595E5E">
        <w:rPr>
          <w:rFonts w:ascii="宋体" w:eastAsia="宋体" w:hAnsi="宋体" w:cs="Times New Roman" w:hint="eastAsia"/>
          <w:szCs w:val="21"/>
        </w:rPr>
        <w:t>氧气底吹熔炼</w:t>
      </w:r>
      <w:proofErr w:type="gramEnd"/>
      <w:r w:rsidRPr="00595E5E">
        <w:rPr>
          <w:rFonts w:ascii="宋体" w:eastAsia="宋体" w:hAnsi="宋体" w:cs="Times New Roman" w:hint="eastAsia"/>
          <w:szCs w:val="21"/>
        </w:rPr>
        <w:t>法，及广西南丹南方金属有限公司采用的侧吹熔炼法。其中，富氧顶吹-鼓风炉炼铅工艺（I-Y法）环保效果好，ISA炉的密封性较好，冶炼过程中烟气泄露点少，作业环境好；同时产生的烟气中S的回收利用率高。目前云南</w:t>
      </w:r>
      <w:proofErr w:type="gramStart"/>
      <w:r w:rsidRPr="00595E5E">
        <w:rPr>
          <w:rFonts w:ascii="宋体" w:eastAsia="宋体" w:hAnsi="宋体" w:cs="Times New Roman" w:hint="eastAsia"/>
          <w:szCs w:val="21"/>
        </w:rPr>
        <w:t>驰宏规模</w:t>
      </w:r>
      <w:proofErr w:type="gramEnd"/>
      <w:r w:rsidRPr="00595E5E">
        <w:rPr>
          <w:rFonts w:ascii="宋体" w:eastAsia="宋体" w:hAnsi="宋体" w:cs="Times New Roman" w:hint="eastAsia"/>
          <w:szCs w:val="21"/>
        </w:rPr>
        <w:t>为粗铅8万t/a的曲靖铅冶炼工厂已投入生产运行。</w:t>
      </w:r>
      <w:proofErr w:type="gramStart"/>
      <w:r w:rsidRPr="00595E5E">
        <w:rPr>
          <w:rFonts w:ascii="宋体" w:eastAsia="宋体" w:hAnsi="宋体" w:cs="Times New Roman" w:hint="eastAsia"/>
          <w:szCs w:val="21"/>
        </w:rPr>
        <w:t>以底吹熔炼</w:t>
      </w:r>
      <w:proofErr w:type="gramEnd"/>
      <w:r w:rsidRPr="00595E5E">
        <w:rPr>
          <w:rFonts w:ascii="宋体" w:eastAsia="宋体" w:hAnsi="宋体" w:cs="Times New Roman" w:hint="eastAsia"/>
          <w:szCs w:val="21"/>
        </w:rPr>
        <w:t>法为例，以下为氧化及还原段冶炼流程图：</w:t>
      </w:r>
    </w:p>
    <w:p w:rsidR="00595E5E" w:rsidRPr="00595E5E" w:rsidRDefault="00595E5E" w:rsidP="00595E5E">
      <w:pPr>
        <w:jc w:val="center"/>
        <w:rPr>
          <w:rFonts w:ascii="宋体" w:eastAsia="宋体" w:hAnsi="宋体" w:cs="Times New Roman"/>
          <w:szCs w:val="21"/>
        </w:rPr>
      </w:pPr>
      <w:r>
        <w:rPr>
          <w:rFonts w:ascii="宋体" w:eastAsia="宋体" w:hAnsi="宋体" w:cs="Times New Roman"/>
          <w:noProof/>
          <w:szCs w:val="21"/>
        </w:rPr>
        <mc:AlternateContent>
          <mc:Choice Requires="wps">
            <w:drawing>
              <wp:anchor distT="0" distB="0" distL="114300" distR="114300" simplePos="0" relativeHeight="251659264" behindDoc="0" locked="0" layoutInCell="1" allowOverlap="1">
                <wp:simplePos x="0" y="0"/>
                <wp:positionH relativeFrom="column">
                  <wp:posOffset>2392680</wp:posOffset>
                </wp:positionH>
                <wp:positionV relativeFrom="paragraph">
                  <wp:posOffset>1394460</wp:posOffset>
                </wp:positionV>
                <wp:extent cx="312420" cy="182880"/>
                <wp:effectExtent l="11430" t="13335" r="9525" b="1333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182880"/>
                        </a:xfrm>
                        <a:prstGeom prst="rect">
                          <a:avLst/>
                        </a:prstGeom>
                        <a:solidFill>
                          <a:srgbClr val="FFFFFF">
                            <a:alpha val="0"/>
                          </a:srgbClr>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left:0;text-align:left;margin-left:188.4pt;margin-top:109.8pt;width:24.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" strokecolor="red">
                <v:fill opacity="0"/>
              </v:rect>
            </w:pict>
          </mc:Fallback>
        </mc:AlternateContent>
      </w:r>
      <w:r w:rsidRPr="00595E5E">
        <w:rPr>
          <w:rFonts w:ascii="宋体" w:eastAsia="宋体" w:hAnsi="宋体" w:cs="Times New Roman"/>
          <w:noProof/>
          <w:szCs w:val="21"/>
        </w:rPr>
        <w:drawing>
          <wp:inline distT="0" distB="0" distL="0" distR="0" wp14:anchorId="325AC512" wp14:editId="5F46FF7B">
            <wp:extent cx="2476500" cy="3562350"/>
            <wp:effectExtent l="19050" t="0" r="0" b="0"/>
            <wp:docPr id="1" name="图片 1" descr="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mg"/>
                    <pic:cNvPicPr>
                      <a:picLocks noChangeAspect="1" noChangeArrowheads="1"/>
                    </pic:cNvPicPr>
                  </pic:nvPicPr>
                  <pic:blipFill>
                    <a:blip r:embed="rId5"/>
                    <a:srcRect/>
                    <a:stretch>
                      <a:fillRect/>
                    </a:stretch>
                  </pic:blipFill>
                  <pic:spPr bwMode="auto">
                    <a:xfrm>
                      <a:off x="0" y="0"/>
                      <a:ext cx="2476500" cy="3562350"/>
                    </a:xfrm>
                    <a:prstGeom prst="rect">
                      <a:avLst/>
                    </a:prstGeom>
                    <a:noFill/>
                    <a:ln w="9525">
                      <a:noFill/>
                      <a:miter lim="800000"/>
                      <a:headEnd/>
                      <a:tailEnd/>
                    </a:ln>
                  </pic:spPr>
                </pic:pic>
              </a:graphicData>
            </a:graphic>
          </wp:inline>
        </w:drawing>
      </w:r>
    </w:p>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图1 铅冶炼中</w:t>
      </w:r>
      <w:proofErr w:type="gramStart"/>
      <w:r w:rsidRPr="00595E5E">
        <w:rPr>
          <w:rFonts w:ascii="宋体" w:eastAsia="宋体" w:hAnsi="宋体" w:cs="Times New Roman" w:hint="eastAsia"/>
          <w:szCs w:val="21"/>
        </w:rPr>
        <w:t>高铅渣</w:t>
      </w:r>
      <w:proofErr w:type="gramEnd"/>
      <w:r w:rsidRPr="00595E5E">
        <w:rPr>
          <w:rFonts w:ascii="宋体" w:eastAsia="宋体" w:hAnsi="宋体" w:cs="Times New Roman" w:hint="eastAsia"/>
          <w:szCs w:val="21"/>
        </w:rPr>
        <w:t>的生产过程</w:t>
      </w:r>
    </w:p>
    <w:p w:rsidR="00595E5E" w:rsidRPr="00595E5E" w:rsidRDefault="00595E5E" w:rsidP="00595E5E">
      <w:pPr>
        <w:spacing w:line="360" w:lineRule="exact"/>
        <w:ind w:firstLineChars="200" w:firstLine="420"/>
        <w:rPr>
          <w:rFonts w:ascii="宋体" w:eastAsia="宋体" w:hAnsi="宋体" w:cs="Times New Roman"/>
          <w:szCs w:val="21"/>
        </w:rPr>
      </w:pPr>
      <w:r w:rsidRPr="00595E5E">
        <w:rPr>
          <w:rFonts w:ascii="宋体" w:eastAsia="宋体" w:hAnsi="宋体" w:cs="Times New Roman" w:hint="eastAsia"/>
          <w:szCs w:val="21"/>
        </w:rPr>
        <w:t>如上图，将铅精矿、铅膏等与熔剂、烟尘等按一定比例混合制粒后，进入熔炼炉进行氧化熔炼，在熔炼过程中完成脱硫，产出粗铅和</w:t>
      </w:r>
      <w:proofErr w:type="gramStart"/>
      <w:r w:rsidRPr="00595E5E">
        <w:rPr>
          <w:rFonts w:ascii="宋体" w:eastAsia="宋体" w:hAnsi="宋体" w:cs="Times New Roman" w:hint="eastAsia"/>
          <w:szCs w:val="21"/>
        </w:rPr>
        <w:t>高铅渣</w:t>
      </w:r>
      <w:proofErr w:type="gramEnd"/>
      <w:r w:rsidRPr="00595E5E">
        <w:rPr>
          <w:rFonts w:ascii="宋体" w:eastAsia="宋体" w:hAnsi="宋体" w:cs="Times New Roman" w:hint="eastAsia"/>
          <w:szCs w:val="21"/>
        </w:rPr>
        <w:t>。其中，</w:t>
      </w:r>
      <w:proofErr w:type="gramStart"/>
      <w:r w:rsidRPr="00595E5E">
        <w:rPr>
          <w:rFonts w:ascii="宋体" w:eastAsia="宋体" w:hAnsi="宋体" w:cs="Times New Roman" w:hint="eastAsia"/>
          <w:szCs w:val="21"/>
        </w:rPr>
        <w:t>氧化段一次</w:t>
      </w:r>
      <w:proofErr w:type="gramEnd"/>
      <w:r w:rsidRPr="00595E5E">
        <w:rPr>
          <w:rFonts w:ascii="宋体" w:eastAsia="宋体" w:hAnsi="宋体" w:cs="Times New Roman" w:hint="eastAsia"/>
          <w:szCs w:val="21"/>
        </w:rPr>
        <w:t>熔炼的产品受入炉料品位的影响，当原料的铅品位较低时，则</w:t>
      </w:r>
      <w:proofErr w:type="gramStart"/>
      <w:r w:rsidRPr="00595E5E">
        <w:rPr>
          <w:rFonts w:ascii="宋体" w:eastAsia="宋体" w:hAnsi="宋体" w:cs="Times New Roman" w:hint="eastAsia"/>
          <w:szCs w:val="21"/>
        </w:rPr>
        <w:t>不</w:t>
      </w:r>
      <w:proofErr w:type="gramEnd"/>
      <w:r w:rsidRPr="00595E5E">
        <w:rPr>
          <w:rFonts w:ascii="宋体" w:eastAsia="宋体" w:hAnsi="宋体" w:cs="Times New Roman" w:hint="eastAsia"/>
          <w:szCs w:val="21"/>
        </w:rPr>
        <w:t>产出粗铅，而仅产出液态</w:t>
      </w:r>
      <w:proofErr w:type="gramStart"/>
      <w:r w:rsidRPr="00595E5E">
        <w:rPr>
          <w:rFonts w:ascii="宋体" w:eastAsia="宋体" w:hAnsi="宋体" w:cs="Times New Roman" w:hint="eastAsia"/>
          <w:szCs w:val="21"/>
        </w:rPr>
        <w:t>高铅渣</w:t>
      </w:r>
      <w:proofErr w:type="gramEnd"/>
      <w:r w:rsidRPr="00595E5E">
        <w:rPr>
          <w:rFonts w:ascii="宋体" w:eastAsia="宋体" w:hAnsi="宋体" w:cs="Times New Roman" w:hint="eastAsia"/>
          <w:szCs w:val="21"/>
        </w:rPr>
        <w:t>。</w:t>
      </w:r>
    </w:p>
    <w:p w:rsidR="00595E5E" w:rsidRPr="00595E5E" w:rsidRDefault="00595E5E" w:rsidP="00595E5E">
      <w:pPr>
        <w:spacing w:line="360" w:lineRule="exact"/>
        <w:jc w:val="left"/>
        <w:rPr>
          <w:rFonts w:ascii="黑体" w:eastAsia="黑体" w:hAnsi="黑体" w:cs="Times New Roman"/>
          <w:b/>
          <w:szCs w:val="21"/>
        </w:rPr>
      </w:pPr>
      <w:r w:rsidRPr="00595E5E">
        <w:rPr>
          <w:rFonts w:ascii="黑体" w:eastAsia="黑体" w:hAnsi="黑体" w:cs="Times New Roman" w:hint="eastAsia"/>
          <w:b/>
          <w:szCs w:val="21"/>
        </w:rPr>
        <w:t>5.2 确定标准主要技术内容</w:t>
      </w:r>
    </w:p>
    <w:p w:rsidR="00595E5E" w:rsidRPr="00595E5E" w:rsidRDefault="00595E5E" w:rsidP="00595E5E">
      <w:pPr>
        <w:spacing w:line="360" w:lineRule="exact"/>
        <w:jc w:val="left"/>
        <w:rPr>
          <w:rFonts w:ascii="黑体" w:eastAsia="黑体" w:hAnsi="黑体" w:cs="Times New Roman"/>
          <w:b/>
          <w:szCs w:val="21"/>
        </w:rPr>
      </w:pPr>
      <w:r w:rsidRPr="00595E5E">
        <w:rPr>
          <w:rFonts w:ascii="黑体" w:eastAsia="黑体" w:hAnsi="黑体" w:cs="Times New Roman" w:hint="eastAsia"/>
          <w:b/>
          <w:szCs w:val="21"/>
        </w:rPr>
        <w:t>5.2.1 范围</w:t>
      </w:r>
    </w:p>
    <w:p w:rsidR="00595E5E" w:rsidRPr="00595E5E" w:rsidRDefault="00595E5E" w:rsidP="00595E5E">
      <w:pPr>
        <w:spacing w:line="360" w:lineRule="exact"/>
        <w:ind w:firstLineChars="200" w:firstLine="420"/>
        <w:rPr>
          <w:rFonts w:ascii="宋体" w:eastAsia="宋体" w:hAnsi="宋体" w:cs="Times New Roman"/>
          <w:szCs w:val="21"/>
        </w:rPr>
      </w:pPr>
      <w:r w:rsidRPr="00595E5E">
        <w:rPr>
          <w:rFonts w:ascii="宋体" w:eastAsia="宋体" w:hAnsi="宋体" w:cs="Times New Roman" w:hint="eastAsia"/>
          <w:szCs w:val="21"/>
        </w:rPr>
        <w:t>本标准规定了</w:t>
      </w:r>
      <w:proofErr w:type="gramStart"/>
      <w:r w:rsidRPr="00595E5E">
        <w:rPr>
          <w:rFonts w:ascii="宋体" w:eastAsia="宋体" w:hAnsi="宋体" w:cs="Times New Roman" w:hint="eastAsia"/>
          <w:szCs w:val="21"/>
        </w:rPr>
        <w:t>高铅渣</w:t>
      </w:r>
      <w:proofErr w:type="gramEnd"/>
      <w:r w:rsidRPr="00595E5E">
        <w:rPr>
          <w:rFonts w:ascii="宋体" w:eastAsia="宋体" w:hAnsi="宋体" w:cs="Times New Roman" w:hint="eastAsia"/>
          <w:szCs w:val="21"/>
        </w:rPr>
        <w:t>的术语和定义、技术要求、试验方法、检验规则、标志、包装、运输、贮存、质量证明书及订货单（或合同）内容。</w:t>
      </w:r>
    </w:p>
    <w:p w:rsidR="00595E5E" w:rsidRPr="00595E5E" w:rsidRDefault="00595E5E" w:rsidP="00595E5E">
      <w:pPr>
        <w:spacing w:line="360" w:lineRule="exact"/>
        <w:jc w:val="left"/>
        <w:rPr>
          <w:rFonts w:ascii="宋体" w:eastAsia="宋体" w:hAnsi="宋体" w:cs="Times New Roman"/>
          <w:szCs w:val="21"/>
        </w:rPr>
      </w:pPr>
      <w:r w:rsidRPr="00595E5E">
        <w:rPr>
          <w:rFonts w:ascii="宋体" w:eastAsia="宋体" w:hAnsi="宋体" w:cs="Times New Roman" w:hint="eastAsia"/>
          <w:szCs w:val="21"/>
        </w:rPr>
        <w:t xml:space="preserve">    本标准适用于铅精矿及铅膏、铅饼等含铅物料经氧化熔炼产生的</w:t>
      </w:r>
      <w:proofErr w:type="gramStart"/>
      <w:r w:rsidRPr="00595E5E">
        <w:rPr>
          <w:rFonts w:ascii="宋体" w:eastAsia="宋体" w:hAnsi="宋体" w:cs="Times New Roman" w:hint="eastAsia"/>
          <w:szCs w:val="21"/>
        </w:rPr>
        <w:t>高铅渣</w:t>
      </w:r>
      <w:proofErr w:type="gramEnd"/>
      <w:r w:rsidRPr="00595E5E">
        <w:rPr>
          <w:rFonts w:ascii="宋体" w:eastAsia="宋体" w:hAnsi="宋体" w:cs="Times New Roman" w:hint="eastAsia"/>
          <w:szCs w:val="21"/>
        </w:rPr>
        <w:t>，主要用于粗铅的生产。</w:t>
      </w:r>
    </w:p>
    <w:p w:rsidR="00595E5E" w:rsidRPr="00595E5E" w:rsidRDefault="00595E5E" w:rsidP="00595E5E">
      <w:pPr>
        <w:spacing w:line="360" w:lineRule="exact"/>
        <w:jc w:val="left"/>
        <w:rPr>
          <w:rFonts w:ascii="宋体" w:eastAsia="宋体" w:hAnsi="宋体" w:cs="Times New Roman"/>
          <w:b/>
          <w:szCs w:val="21"/>
        </w:rPr>
      </w:pPr>
      <w:r w:rsidRPr="00595E5E">
        <w:rPr>
          <w:rFonts w:ascii="宋体" w:eastAsia="宋体" w:hAnsi="宋体" w:cs="Times New Roman" w:hint="eastAsia"/>
          <w:b/>
          <w:szCs w:val="21"/>
        </w:rPr>
        <w:t>5.2.2 规范性引用文件</w:t>
      </w:r>
    </w:p>
    <w:p w:rsidR="00595E5E" w:rsidRPr="00595E5E" w:rsidRDefault="00595E5E" w:rsidP="00595E5E">
      <w:pPr>
        <w:spacing w:line="360" w:lineRule="exact"/>
        <w:rPr>
          <w:rFonts w:ascii="宋体" w:eastAsia="宋体" w:hAnsi="宋体" w:cs="Times New Roman"/>
          <w:szCs w:val="21"/>
        </w:rPr>
      </w:pPr>
      <w:r w:rsidRPr="00595E5E">
        <w:rPr>
          <w:rFonts w:ascii="宋体" w:eastAsia="宋体" w:hAnsi="宋体" w:cs="Times New Roman" w:hint="eastAsia"/>
          <w:szCs w:val="21"/>
        </w:rPr>
        <w:t xml:space="preserve">    经检索和查新，目前尚无</w:t>
      </w:r>
      <w:proofErr w:type="gramStart"/>
      <w:r w:rsidRPr="00595E5E">
        <w:rPr>
          <w:rFonts w:ascii="宋体" w:eastAsia="宋体" w:hAnsi="宋体" w:cs="Times New Roman" w:hint="eastAsia"/>
          <w:szCs w:val="21"/>
        </w:rPr>
        <w:t>高铅渣产品</w:t>
      </w:r>
      <w:proofErr w:type="gramEnd"/>
      <w:r w:rsidRPr="00595E5E">
        <w:rPr>
          <w:rFonts w:ascii="宋体" w:eastAsia="宋体" w:hAnsi="宋体" w:cs="Times New Roman" w:hint="eastAsia"/>
          <w:szCs w:val="21"/>
        </w:rPr>
        <w:t>成分及水分的检测标准。对于成分元素的检测，主</w:t>
      </w:r>
      <w:r w:rsidRPr="00595E5E">
        <w:rPr>
          <w:rFonts w:ascii="宋体" w:eastAsia="宋体" w:hAnsi="宋体" w:cs="Times New Roman" w:hint="eastAsia"/>
          <w:szCs w:val="21"/>
        </w:rPr>
        <w:lastRenderedPageBreak/>
        <w:t>要相关企业一般采用X射线荧光光谱法、原子吸收法及EDTA滴定法，参考的标准主要为GB/T 8152-2006《铅精矿化学分析方法》；对于产品水分的检测，参考了散装浮选铅精矿取样、制样方法中水分测定的方法进行。</w:t>
      </w:r>
    </w:p>
    <w:p w:rsidR="00595E5E" w:rsidRPr="00595E5E" w:rsidRDefault="00595E5E" w:rsidP="00595E5E">
      <w:pPr>
        <w:spacing w:line="360" w:lineRule="exact"/>
        <w:rPr>
          <w:rFonts w:ascii="宋体" w:eastAsia="宋体" w:hAnsi="宋体" w:cs="Times New Roman"/>
          <w:szCs w:val="21"/>
        </w:rPr>
      </w:pPr>
      <w:r w:rsidRPr="00595E5E">
        <w:rPr>
          <w:rFonts w:ascii="宋体" w:eastAsia="宋体" w:hAnsi="宋体" w:cs="Times New Roman" w:hint="eastAsia"/>
          <w:szCs w:val="21"/>
        </w:rPr>
        <w:t xml:space="preserve">    根据企业对产品成分分析的实际情况及所反馈的调查信息，本标准主要采用GB/T 8152-2006《铅精矿化学分析方法》、</w:t>
      </w:r>
      <w:r w:rsidRPr="00595E5E">
        <w:rPr>
          <w:rFonts w:ascii="宋体" w:eastAsia="宋体" w:hAnsi="Calibri" w:cs="宋体"/>
          <w:bCs/>
          <w:kern w:val="0"/>
          <w:szCs w:val="21"/>
        </w:rPr>
        <w:t>YS/T 1149.3</w:t>
      </w:r>
      <w:r w:rsidRPr="00595E5E">
        <w:rPr>
          <w:rFonts w:ascii="宋体" w:eastAsia="宋体" w:hAnsi="Calibri" w:cs="宋体" w:hint="eastAsia"/>
          <w:bCs/>
          <w:kern w:val="0"/>
          <w:szCs w:val="21"/>
        </w:rPr>
        <w:t xml:space="preserve"> 《</w:t>
      </w:r>
      <w:r w:rsidRPr="00595E5E">
        <w:rPr>
          <w:rFonts w:ascii="宋体" w:eastAsia="宋体" w:hAnsi="Calibri" w:cs="宋体"/>
          <w:bCs/>
          <w:kern w:val="0"/>
          <w:szCs w:val="21"/>
        </w:rPr>
        <w:t>锌精矿焙砂化学分析方法</w:t>
      </w:r>
      <w:r w:rsidRPr="00595E5E">
        <w:rPr>
          <w:rFonts w:ascii="宋体" w:eastAsia="宋体" w:hAnsi="Calibri" w:cs="宋体" w:hint="eastAsia"/>
          <w:bCs/>
          <w:kern w:val="0"/>
          <w:szCs w:val="21"/>
        </w:rPr>
        <w:t xml:space="preserve"> </w:t>
      </w:r>
      <w:r w:rsidRPr="00595E5E">
        <w:rPr>
          <w:rFonts w:ascii="宋体" w:eastAsia="宋体" w:hAnsi="Calibri" w:cs="宋体"/>
          <w:bCs/>
          <w:kern w:val="0"/>
          <w:szCs w:val="21"/>
        </w:rPr>
        <w:t>第3部分</w:t>
      </w:r>
      <w:r w:rsidRPr="00595E5E">
        <w:rPr>
          <w:rFonts w:ascii="宋体" w:eastAsia="宋体" w:hAnsi="Calibri" w:cs="宋体" w:hint="eastAsia"/>
          <w:bCs/>
          <w:kern w:val="0"/>
          <w:szCs w:val="21"/>
        </w:rPr>
        <w:t>：</w:t>
      </w:r>
      <w:r w:rsidRPr="00595E5E">
        <w:rPr>
          <w:rFonts w:ascii="宋体" w:eastAsia="宋体" w:hAnsi="Calibri" w:cs="宋体"/>
          <w:bCs/>
          <w:kern w:val="0"/>
          <w:szCs w:val="21"/>
        </w:rPr>
        <w:t>硫量的测定 燃烧中和滴定法</w:t>
      </w:r>
      <w:r w:rsidRPr="00595E5E">
        <w:rPr>
          <w:rFonts w:ascii="宋体" w:eastAsia="宋体" w:hAnsi="Calibri" w:cs="宋体" w:hint="eastAsia"/>
          <w:bCs/>
          <w:kern w:val="0"/>
          <w:szCs w:val="21"/>
        </w:rPr>
        <w:t>》</w:t>
      </w:r>
      <w:r w:rsidRPr="00595E5E">
        <w:rPr>
          <w:rFonts w:ascii="宋体" w:eastAsia="宋体" w:hAnsi="宋体" w:cs="Times New Roman" w:hint="eastAsia"/>
          <w:szCs w:val="21"/>
        </w:rPr>
        <w:t>作为</w:t>
      </w:r>
      <w:proofErr w:type="gramStart"/>
      <w:r w:rsidRPr="00595E5E">
        <w:rPr>
          <w:rFonts w:ascii="宋体" w:eastAsia="宋体" w:hAnsi="宋体" w:cs="Times New Roman" w:hint="eastAsia"/>
          <w:szCs w:val="21"/>
        </w:rPr>
        <w:t>高铅渣</w:t>
      </w:r>
      <w:proofErr w:type="gramEnd"/>
      <w:r w:rsidRPr="00595E5E">
        <w:rPr>
          <w:rFonts w:ascii="宋体" w:eastAsia="宋体" w:hAnsi="宋体" w:cs="Times New Roman" w:hint="eastAsia"/>
          <w:szCs w:val="21"/>
        </w:rPr>
        <w:t>成分元素分析的引用文件，水分测定则由供需双方所约定的方法进行。</w:t>
      </w:r>
    </w:p>
    <w:p w:rsidR="00595E5E" w:rsidRPr="00595E5E" w:rsidRDefault="00595E5E" w:rsidP="00595E5E">
      <w:pPr>
        <w:spacing w:line="360" w:lineRule="exact"/>
        <w:rPr>
          <w:rFonts w:ascii="宋体" w:eastAsia="宋体" w:hAnsi="宋体" w:cs="Times New Roman"/>
          <w:szCs w:val="21"/>
        </w:rPr>
      </w:pPr>
      <w:r w:rsidRPr="00595E5E">
        <w:rPr>
          <w:rFonts w:ascii="宋体" w:eastAsia="宋体" w:hAnsi="宋体" w:cs="Times New Roman" w:hint="eastAsia"/>
          <w:szCs w:val="21"/>
        </w:rPr>
        <w:t xml:space="preserve">    产品的放射性限制需严格按GB/T 20664-2006执行。</w:t>
      </w:r>
    </w:p>
    <w:p w:rsidR="00595E5E" w:rsidRPr="00595E5E" w:rsidRDefault="00595E5E" w:rsidP="00595E5E">
      <w:pPr>
        <w:spacing w:line="360" w:lineRule="exact"/>
        <w:rPr>
          <w:rFonts w:ascii="宋体" w:eastAsia="宋体" w:hAnsi="宋体" w:cs="Times New Roman"/>
          <w:b/>
          <w:szCs w:val="21"/>
        </w:rPr>
      </w:pPr>
      <w:r w:rsidRPr="00595E5E">
        <w:rPr>
          <w:rFonts w:ascii="宋体" w:eastAsia="宋体" w:hAnsi="宋体" w:cs="Times New Roman" w:hint="eastAsia"/>
          <w:b/>
          <w:szCs w:val="21"/>
        </w:rPr>
        <w:t>5.2.3 术语和定义</w:t>
      </w:r>
    </w:p>
    <w:p w:rsidR="00595E5E" w:rsidRPr="00595E5E" w:rsidRDefault="00595E5E" w:rsidP="00595E5E">
      <w:pPr>
        <w:spacing w:line="360" w:lineRule="exact"/>
        <w:rPr>
          <w:rFonts w:ascii="宋体" w:eastAsia="宋体" w:hAnsi="宋体" w:cs="Times New Roman"/>
          <w:szCs w:val="21"/>
        </w:rPr>
      </w:pPr>
      <w:r w:rsidRPr="00595E5E">
        <w:rPr>
          <w:rFonts w:ascii="宋体" w:eastAsia="宋体" w:hAnsi="宋体" w:cs="Times New Roman" w:hint="eastAsia"/>
          <w:b/>
          <w:szCs w:val="21"/>
        </w:rPr>
        <w:t xml:space="preserve">   </w:t>
      </w:r>
      <w:r w:rsidRPr="00595E5E">
        <w:rPr>
          <w:rFonts w:ascii="宋体" w:eastAsia="宋体" w:hAnsi="宋体" w:cs="Times New Roman" w:hint="eastAsia"/>
          <w:szCs w:val="21"/>
        </w:rPr>
        <w:t xml:space="preserve"> 本标准定义的</w:t>
      </w:r>
      <w:proofErr w:type="gramStart"/>
      <w:r w:rsidRPr="00595E5E">
        <w:rPr>
          <w:rFonts w:ascii="宋体" w:eastAsia="宋体" w:hAnsi="宋体" w:cs="Times New Roman" w:hint="eastAsia"/>
          <w:szCs w:val="21"/>
        </w:rPr>
        <w:t>高铅渣</w:t>
      </w:r>
      <w:proofErr w:type="gramEnd"/>
      <w:r w:rsidRPr="00595E5E">
        <w:rPr>
          <w:rFonts w:ascii="宋体" w:eastAsia="宋体" w:hAnsi="宋体" w:cs="Times New Roman" w:hint="eastAsia"/>
          <w:szCs w:val="21"/>
        </w:rPr>
        <w:t>系</w:t>
      </w:r>
      <w:r w:rsidRPr="00595E5E">
        <w:rPr>
          <w:rFonts w:ascii="宋体" w:eastAsia="宋体" w:hAnsi="Calibri" w:cs="宋体" w:hint="eastAsia"/>
          <w:kern w:val="0"/>
          <w:szCs w:val="21"/>
        </w:rPr>
        <w:t>指</w:t>
      </w:r>
      <w:r w:rsidRPr="00595E5E">
        <w:rPr>
          <w:rFonts w:ascii="Calibri" w:eastAsia="宋体" w:hAnsi="Calibri" w:cs="Times New Roman" w:hint="eastAsia"/>
          <w:bCs/>
        </w:rPr>
        <w:t>铅精矿及铅膏、铅饼等含铅物料</w:t>
      </w:r>
      <w:r w:rsidRPr="00595E5E">
        <w:rPr>
          <w:rFonts w:ascii="宋体" w:eastAsia="宋体" w:hAnsi="Calibri" w:cs="宋体" w:hint="eastAsia"/>
          <w:kern w:val="0"/>
          <w:szCs w:val="21"/>
        </w:rPr>
        <w:t>经过氧化熔炼后</w:t>
      </w:r>
      <w:r w:rsidRPr="00595E5E">
        <w:rPr>
          <w:rFonts w:ascii="Calibri" w:eastAsia="宋体" w:hAnsi="Calibri" w:cs="Times New Roman" w:hint="eastAsia"/>
          <w:bCs/>
        </w:rPr>
        <w:t>得到的高含铅中间产品，主要用于粗铅的生产，</w:t>
      </w:r>
      <w:proofErr w:type="spellStart"/>
      <w:r w:rsidRPr="00595E5E">
        <w:rPr>
          <w:rFonts w:ascii="宋体" w:eastAsia="宋体" w:hAnsi="Calibri" w:cs="宋体" w:hint="eastAsia"/>
          <w:kern w:val="0"/>
          <w:szCs w:val="21"/>
        </w:rPr>
        <w:t>Pb</w:t>
      </w:r>
      <w:proofErr w:type="spellEnd"/>
      <w:r w:rsidRPr="00595E5E">
        <w:rPr>
          <w:rFonts w:ascii="宋体" w:eastAsia="宋体" w:hAnsi="Calibri" w:cs="宋体" w:hint="eastAsia"/>
          <w:kern w:val="0"/>
          <w:szCs w:val="21"/>
        </w:rPr>
        <w:t>含量不小于50%。</w:t>
      </w:r>
    </w:p>
    <w:p w:rsidR="00595E5E" w:rsidRPr="00595E5E" w:rsidRDefault="00595E5E" w:rsidP="00595E5E">
      <w:pPr>
        <w:spacing w:line="360" w:lineRule="exact"/>
        <w:rPr>
          <w:rFonts w:ascii="宋体" w:eastAsia="宋体" w:hAnsi="宋体" w:cs="Times New Roman"/>
          <w:b/>
          <w:szCs w:val="21"/>
        </w:rPr>
      </w:pPr>
      <w:r w:rsidRPr="00595E5E">
        <w:rPr>
          <w:rFonts w:ascii="宋体" w:eastAsia="宋体" w:hAnsi="宋体" w:cs="Times New Roman" w:hint="eastAsia"/>
          <w:b/>
          <w:szCs w:val="21"/>
        </w:rPr>
        <w:t>5.2.4 要求</w:t>
      </w:r>
    </w:p>
    <w:p w:rsidR="00595E5E" w:rsidRPr="00595E5E" w:rsidRDefault="00595E5E" w:rsidP="00595E5E">
      <w:pPr>
        <w:spacing w:line="360" w:lineRule="exact"/>
        <w:rPr>
          <w:rFonts w:ascii="宋体" w:eastAsia="宋体" w:hAnsi="宋体" w:cs="Times New Roman"/>
          <w:szCs w:val="21"/>
        </w:rPr>
      </w:pPr>
      <w:r w:rsidRPr="00595E5E">
        <w:rPr>
          <w:rFonts w:ascii="宋体" w:eastAsia="宋体" w:hAnsi="宋体" w:cs="Times New Roman" w:hint="eastAsia"/>
          <w:szCs w:val="21"/>
        </w:rPr>
        <w:t xml:space="preserve">5.2.4.1 </w:t>
      </w:r>
      <w:proofErr w:type="gramStart"/>
      <w:r w:rsidRPr="00595E5E">
        <w:rPr>
          <w:rFonts w:ascii="宋体" w:eastAsia="宋体" w:hAnsi="宋体" w:cs="Times New Roman" w:hint="eastAsia"/>
          <w:szCs w:val="21"/>
        </w:rPr>
        <w:t>高铅渣</w:t>
      </w:r>
      <w:proofErr w:type="gramEnd"/>
      <w:r w:rsidRPr="00595E5E">
        <w:rPr>
          <w:rFonts w:ascii="宋体" w:eastAsia="宋体" w:hAnsi="宋体" w:cs="Times New Roman" w:hint="eastAsia"/>
          <w:szCs w:val="21"/>
        </w:rPr>
        <w:t>品级及主要元素的确认</w:t>
      </w:r>
    </w:p>
    <w:p w:rsidR="00595E5E" w:rsidRPr="00595E5E" w:rsidRDefault="00595E5E" w:rsidP="00595E5E">
      <w:pPr>
        <w:spacing w:line="360" w:lineRule="exact"/>
        <w:rPr>
          <w:rFonts w:ascii="宋体" w:eastAsia="宋体" w:hAnsi="宋体" w:cs="Times New Roman"/>
          <w:szCs w:val="21"/>
        </w:rPr>
      </w:pPr>
      <w:r w:rsidRPr="00595E5E">
        <w:rPr>
          <w:rFonts w:ascii="宋体" w:eastAsia="宋体" w:hAnsi="宋体" w:cs="Times New Roman" w:hint="eastAsia"/>
          <w:szCs w:val="21"/>
        </w:rPr>
        <w:t xml:space="preserve">    </w:t>
      </w:r>
      <w:proofErr w:type="gramStart"/>
      <w:r w:rsidRPr="00595E5E">
        <w:rPr>
          <w:rFonts w:ascii="宋体" w:eastAsia="宋体" w:hAnsi="宋体" w:cs="Times New Roman" w:hint="eastAsia"/>
          <w:szCs w:val="21"/>
        </w:rPr>
        <w:t>高铅渣中</w:t>
      </w:r>
      <w:proofErr w:type="gramEnd"/>
      <w:r w:rsidRPr="00595E5E">
        <w:rPr>
          <w:rFonts w:ascii="宋体" w:eastAsia="宋体" w:hAnsi="宋体" w:cs="Times New Roman" w:hint="eastAsia"/>
          <w:szCs w:val="21"/>
        </w:rPr>
        <w:t>铅的含量</w:t>
      </w:r>
      <w:proofErr w:type="gramStart"/>
      <w:r w:rsidRPr="00595E5E">
        <w:rPr>
          <w:rFonts w:ascii="宋体" w:eastAsia="宋体" w:hAnsi="宋体" w:cs="Times New Roman" w:hint="eastAsia"/>
          <w:szCs w:val="21"/>
        </w:rPr>
        <w:t>主要由入炉料</w:t>
      </w:r>
      <w:proofErr w:type="gramEnd"/>
      <w:r w:rsidRPr="00595E5E">
        <w:rPr>
          <w:rFonts w:ascii="宋体" w:eastAsia="宋体" w:hAnsi="宋体" w:cs="Times New Roman" w:hint="eastAsia"/>
          <w:szCs w:val="21"/>
        </w:rPr>
        <w:t>中铅的品位决定，主品位铅的含量越高，后续处理工艺越容易控制，成本越低。</w:t>
      </w:r>
    </w:p>
    <w:p w:rsidR="00595E5E" w:rsidRPr="00595E5E" w:rsidRDefault="00595E5E" w:rsidP="00595E5E">
      <w:pPr>
        <w:spacing w:line="360" w:lineRule="exact"/>
        <w:ind w:firstLineChars="200" w:firstLine="420"/>
        <w:rPr>
          <w:rFonts w:ascii="宋体" w:eastAsia="宋体" w:hAnsi="宋体" w:cs="Times New Roman"/>
          <w:szCs w:val="21"/>
        </w:rPr>
      </w:pPr>
      <w:r w:rsidRPr="00595E5E">
        <w:rPr>
          <w:rFonts w:ascii="宋体" w:eastAsia="宋体" w:hAnsi="宋体" w:cs="Times New Roman" w:hint="eastAsia"/>
          <w:szCs w:val="21"/>
        </w:rPr>
        <w:t>以下为不同公司生产的</w:t>
      </w:r>
      <w:proofErr w:type="gramStart"/>
      <w:r w:rsidRPr="00595E5E">
        <w:rPr>
          <w:rFonts w:ascii="宋体" w:eastAsia="宋体" w:hAnsi="宋体" w:cs="Times New Roman" w:hint="eastAsia"/>
          <w:szCs w:val="21"/>
        </w:rPr>
        <w:t>高铅渣</w:t>
      </w:r>
      <w:proofErr w:type="gramEnd"/>
      <w:r w:rsidRPr="00595E5E">
        <w:rPr>
          <w:rFonts w:ascii="宋体" w:eastAsia="宋体" w:hAnsi="宋体" w:cs="Times New Roman" w:hint="eastAsia"/>
          <w:szCs w:val="21"/>
        </w:rPr>
        <w:t>的成分分析表：</w:t>
      </w:r>
    </w:p>
    <w:p w:rsidR="00595E5E" w:rsidRPr="00595E5E" w:rsidRDefault="00595E5E" w:rsidP="00595E5E">
      <w:pPr>
        <w:spacing w:beforeLines="50" w:before="156"/>
        <w:ind w:firstLineChars="200" w:firstLine="420"/>
        <w:jc w:val="center"/>
        <w:rPr>
          <w:rFonts w:ascii="宋体" w:eastAsia="宋体" w:hAnsi="宋体" w:cs="Times New Roman"/>
          <w:szCs w:val="21"/>
        </w:rPr>
      </w:pPr>
      <w:r w:rsidRPr="00595E5E">
        <w:rPr>
          <w:rFonts w:ascii="宋体" w:eastAsia="宋体" w:hAnsi="宋体" w:cs="Times New Roman" w:hint="eastAsia"/>
          <w:szCs w:val="21"/>
        </w:rPr>
        <w:t>表1 A公司</w:t>
      </w:r>
      <w:proofErr w:type="gramStart"/>
      <w:r w:rsidRPr="00595E5E">
        <w:rPr>
          <w:rFonts w:ascii="宋体" w:eastAsia="宋体" w:hAnsi="宋体" w:cs="Times New Roman" w:hint="eastAsia"/>
          <w:szCs w:val="21"/>
        </w:rPr>
        <w:t>高铅渣</w:t>
      </w:r>
      <w:proofErr w:type="gramEnd"/>
      <w:r w:rsidRPr="00595E5E">
        <w:rPr>
          <w:rFonts w:ascii="宋体" w:eastAsia="宋体" w:hAnsi="宋体" w:cs="Times New Roman" w:hint="eastAsia"/>
          <w:szCs w:val="21"/>
        </w:rPr>
        <w:t>成分表（质量分数/%）</w:t>
      </w:r>
    </w:p>
    <w:tbl>
      <w:tblPr>
        <w:tblW w:w="6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
        <w:gridCol w:w="894"/>
        <w:gridCol w:w="1634"/>
        <w:gridCol w:w="1634"/>
        <w:gridCol w:w="1635"/>
      </w:tblGrid>
      <w:tr w:rsidR="00595E5E" w:rsidRPr="00595E5E" w:rsidTr="009371E8">
        <w:trPr>
          <w:trHeight w:val="347"/>
          <w:jc w:val="center"/>
        </w:trPr>
        <w:tc>
          <w:tcPr>
            <w:tcW w:w="1880" w:type="dxa"/>
            <w:gridSpan w:val="2"/>
            <w:vMerge w:val="restart"/>
            <w:vAlign w:val="center"/>
          </w:tcPr>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成分分析</w:t>
            </w:r>
          </w:p>
        </w:tc>
        <w:tc>
          <w:tcPr>
            <w:tcW w:w="4903" w:type="dxa"/>
            <w:gridSpan w:val="3"/>
            <w:vAlign w:val="center"/>
          </w:tcPr>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含量</w:t>
            </w:r>
          </w:p>
        </w:tc>
      </w:tr>
      <w:tr w:rsidR="00595E5E" w:rsidRPr="00595E5E" w:rsidTr="009371E8">
        <w:trPr>
          <w:trHeight w:val="347"/>
          <w:jc w:val="center"/>
        </w:trPr>
        <w:tc>
          <w:tcPr>
            <w:tcW w:w="1880" w:type="dxa"/>
            <w:gridSpan w:val="2"/>
            <w:vMerge/>
            <w:vAlign w:val="center"/>
          </w:tcPr>
          <w:p w:rsidR="00595E5E" w:rsidRPr="00595E5E" w:rsidRDefault="00595E5E" w:rsidP="00595E5E">
            <w:pPr>
              <w:spacing w:line="300" w:lineRule="exact"/>
              <w:jc w:val="center"/>
              <w:rPr>
                <w:rFonts w:ascii="宋体" w:eastAsia="宋体" w:hAnsi="宋体" w:cs="Times New Roman"/>
                <w:bCs/>
                <w:szCs w:val="21"/>
              </w:rPr>
            </w:pPr>
          </w:p>
        </w:tc>
        <w:tc>
          <w:tcPr>
            <w:tcW w:w="1634" w:type="dxa"/>
            <w:vAlign w:val="center"/>
          </w:tcPr>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2016</w:t>
            </w:r>
          </w:p>
        </w:tc>
        <w:tc>
          <w:tcPr>
            <w:tcW w:w="1634" w:type="dxa"/>
            <w:vAlign w:val="center"/>
          </w:tcPr>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2017</w:t>
            </w:r>
          </w:p>
        </w:tc>
        <w:tc>
          <w:tcPr>
            <w:tcW w:w="1635" w:type="dxa"/>
            <w:vAlign w:val="center"/>
          </w:tcPr>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2018</w:t>
            </w:r>
          </w:p>
        </w:tc>
      </w:tr>
      <w:tr w:rsidR="00595E5E" w:rsidRPr="00595E5E" w:rsidTr="009371E8">
        <w:trPr>
          <w:trHeight w:val="347"/>
          <w:jc w:val="center"/>
        </w:trPr>
        <w:tc>
          <w:tcPr>
            <w:tcW w:w="1880" w:type="dxa"/>
            <w:gridSpan w:val="2"/>
            <w:vMerge/>
            <w:vAlign w:val="center"/>
          </w:tcPr>
          <w:p w:rsidR="00595E5E" w:rsidRPr="00595E5E" w:rsidRDefault="00595E5E" w:rsidP="00595E5E">
            <w:pPr>
              <w:spacing w:line="300" w:lineRule="exact"/>
              <w:jc w:val="center"/>
              <w:rPr>
                <w:rFonts w:ascii="宋体" w:eastAsia="宋体" w:hAnsi="宋体" w:cs="Times New Roman"/>
                <w:bCs/>
                <w:szCs w:val="21"/>
              </w:rPr>
            </w:pPr>
          </w:p>
        </w:tc>
        <w:tc>
          <w:tcPr>
            <w:tcW w:w="1634" w:type="dxa"/>
            <w:vAlign w:val="center"/>
          </w:tcPr>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范围</w:t>
            </w:r>
          </w:p>
        </w:tc>
        <w:tc>
          <w:tcPr>
            <w:tcW w:w="1634" w:type="dxa"/>
            <w:vAlign w:val="center"/>
          </w:tcPr>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范围</w:t>
            </w:r>
          </w:p>
        </w:tc>
        <w:tc>
          <w:tcPr>
            <w:tcW w:w="1635" w:type="dxa"/>
            <w:vAlign w:val="center"/>
          </w:tcPr>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范围</w:t>
            </w:r>
          </w:p>
        </w:tc>
      </w:tr>
      <w:tr w:rsidR="00595E5E" w:rsidRPr="00595E5E" w:rsidTr="009371E8">
        <w:trPr>
          <w:trHeight w:val="347"/>
          <w:jc w:val="center"/>
        </w:trPr>
        <w:tc>
          <w:tcPr>
            <w:tcW w:w="986" w:type="dxa"/>
            <w:vMerge w:val="restart"/>
            <w:vAlign w:val="center"/>
          </w:tcPr>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主要</w:t>
            </w:r>
          </w:p>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成分</w:t>
            </w:r>
          </w:p>
        </w:tc>
        <w:tc>
          <w:tcPr>
            <w:tcW w:w="894" w:type="dxa"/>
          </w:tcPr>
          <w:p w:rsidR="00595E5E" w:rsidRPr="00595E5E" w:rsidRDefault="00595E5E" w:rsidP="00595E5E">
            <w:pPr>
              <w:rPr>
                <w:rFonts w:ascii="宋体" w:eastAsia="宋体" w:hAnsi="宋体" w:cs="Times New Roman"/>
                <w:szCs w:val="21"/>
              </w:rPr>
            </w:pPr>
            <w:proofErr w:type="spellStart"/>
            <w:r w:rsidRPr="00595E5E">
              <w:rPr>
                <w:rFonts w:ascii="宋体" w:eastAsia="宋体" w:hAnsi="宋体" w:cs="Times New Roman"/>
                <w:szCs w:val="21"/>
              </w:rPr>
              <w:t>Pb</w:t>
            </w:r>
            <w:proofErr w:type="spellEnd"/>
          </w:p>
        </w:tc>
        <w:tc>
          <w:tcPr>
            <w:tcW w:w="1634" w:type="dxa"/>
          </w:tcPr>
          <w:p w:rsidR="00595E5E" w:rsidRPr="00595E5E" w:rsidRDefault="00595E5E" w:rsidP="00595E5E">
            <w:pPr>
              <w:jc w:val="right"/>
              <w:rPr>
                <w:rFonts w:ascii="宋体" w:eastAsia="宋体" w:hAnsi="宋体" w:cs="Times New Roman"/>
                <w:szCs w:val="21"/>
              </w:rPr>
            </w:pPr>
            <w:r w:rsidRPr="00595E5E">
              <w:rPr>
                <w:rFonts w:ascii="宋体" w:eastAsia="宋体" w:hAnsi="宋体" w:cs="Times New Roman"/>
                <w:szCs w:val="21"/>
              </w:rPr>
              <w:t>46.63 - 53.89</w:t>
            </w:r>
          </w:p>
        </w:tc>
        <w:tc>
          <w:tcPr>
            <w:tcW w:w="1634" w:type="dxa"/>
          </w:tcPr>
          <w:p w:rsidR="00595E5E" w:rsidRPr="00595E5E" w:rsidRDefault="00595E5E" w:rsidP="00595E5E">
            <w:pPr>
              <w:jc w:val="right"/>
              <w:rPr>
                <w:rFonts w:ascii="宋体" w:eastAsia="宋体" w:hAnsi="宋体" w:cs="Times New Roman"/>
                <w:szCs w:val="21"/>
              </w:rPr>
            </w:pPr>
            <w:r w:rsidRPr="00595E5E">
              <w:rPr>
                <w:rFonts w:ascii="宋体" w:eastAsia="宋体" w:hAnsi="宋体" w:cs="Times New Roman"/>
                <w:szCs w:val="21"/>
              </w:rPr>
              <w:t>47.26 - 50.88</w:t>
            </w:r>
          </w:p>
        </w:tc>
        <w:tc>
          <w:tcPr>
            <w:tcW w:w="1635" w:type="dxa"/>
          </w:tcPr>
          <w:p w:rsidR="00595E5E" w:rsidRPr="00595E5E" w:rsidRDefault="00595E5E" w:rsidP="00595E5E">
            <w:pPr>
              <w:jc w:val="right"/>
              <w:rPr>
                <w:rFonts w:ascii="宋体" w:eastAsia="宋体" w:hAnsi="宋体" w:cs="Times New Roman"/>
                <w:szCs w:val="21"/>
              </w:rPr>
            </w:pPr>
            <w:r w:rsidRPr="00595E5E">
              <w:rPr>
                <w:rFonts w:ascii="宋体" w:eastAsia="宋体" w:hAnsi="宋体" w:cs="Times New Roman"/>
                <w:szCs w:val="21"/>
              </w:rPr>
              <w:t>45.11 - 50.99</w:t>
            </w:r>
          </w:p>
        </w:tc>
      </w:tr>
      <w:tr w:rsidR="00595E5E" w:rsidRPr="00595E5E" w:rsidTr="009371E8">
        <w:trPr>
          <w:trHeight w:val="347"/>
          <w:jc w:val="center"/>
        </w:trPr>
        <w:tc>
          <w:tcPr>
            <w:tcW w:w="986" w:type="dxa"/>
            <w:vMerge/>
          </w:tcPr>
          <w:p w:rsidR="00595E5E" w:rsidRPr="00595E5E" w:rsidRDefault="00595E5E" w:rsidP="00595E5E">
            <w:pPr>
              <w:spacing w:line="300" w:lineRule="exact"/>
              <w:jc w:val="center"/>
              <w:rPr>
                <w:rFonts w:ascii="宋体" w:eastAsia="宋体" w:hAnsi="宋体" w:cs="Times New Roman"/>
                <w:bCs/>
                <w:szCs w:val="21"/>
              </w:rPr>
            </w:pPr>
          </w:p>
        </w:tc>
        <w:tc>
          <w:tcPr>
            <w:tcW w:w="894" w:type="dxa"/>
          </w:tcPr>
          <w:p w:rsidR="00595E5E" w:rsidRPr="00595E5E" w:rsidRDefault="00595E5E" w:rsidP="00595E5E">
            <w:pPr>
              <w:rPr>
                <w:rFonts w:ascii="宋体" w:eastAsia="宋体" w:hAnsi="宋体" w:cs="Times New Roman"/>
                <w:szCs w:val="21"/>
              </w:rPr>
            </w:pPr>
            <w:r w:rsidRPr="00595E5E">
              <w:rPr>
                <w:rFonts w:ascii="宋体" w:eastAsia="宋体" w:hAnsi="宋体" w:cs="Times New Roman"/>
                <w:szCs w:val="21"/>
              </w:rPr>
              <w:t>Zn</w:t>
            </w:r>
          </w:p>
        </w:tc>
        <w:tc>
          <w:tcPr>
            <w:tcW w:w="1634" w:type="dxa"/>
          </w:tcPr>
          <w:p w:rsidR="00595E5E" w:rsidRPr="00595E5E" w:rsidRDefault="00595E5E" w:rsidP="00595E5E">
            <w:pPr>
              <w:jc w:val="right"/>
              <w:rPr>
                <w:rFonts w:ascii="宋体" w:eastAsia="宋体" w:hAnsi="宋体" w:cs="Times New Roman"/>
                <w:szCs w:val="21"/>
              </w:rPr>
            </w:pPr>
            <w:r w:rsidRPr="00595E5E">
              <w:rPr>
                <w:rFonts w:ascii="宋体" w:eastAsia="宋体" w:hAnsi="宋体" w:cs="Times New Roman"/>
                <w:szCs w:val="21"/>
              </w:rPr>
              <w:t>3.89 - 6.62</w:t>
            </w:r>
          </w:p>
        </w:tc>
        <w:tc>
          <w:tcPr>
            <w:tcW w:w="1634" w:type="dxa"/>
          </w:tcPr>
          <w:p w:rsidR="00595E5E" w:rsidRPr="00595E5E" w:rsidRDefault="00595E5E" w:rsidP="00595E5E">
            <w:pPr>
              <w:jc w:val="right"/>
              <w:rPr>
                <w:rFonts w:ascii="宋体" w:eastAsia="宋体" w:hAnsi="宋体" w:cs="Times New Roman"/>
                <w:szCs w:val="21"/>
              </w:rPr>
            </w:pPr>
            <w:r w:rsidRPr="00595E5E">
              <w:rPr>
                <w:rFonts w:ascii="宋体" w:eastAsia="宋体" w:hAnsi="宋体" w:cs="Times New Roman"/>
                <w:szCs w:val="21"/>
              </w:rPr>
              <w:t>2.74 - 7.87</w:t>
            </w:r>
          </w:p>
        </w:tc>
        <w:tc>
          <w:tcPr>
            <w:tcW w:w="1635" w:type="dxa"/>
          </w:tcPr>
          <w:p w:rsidR="00595E5E" w:rsidRPr="00595E5E" w:rsidRDefault="00595E5E" w:rsidP="00595E5E">
            <w:pPr>
              <w:jc w:val="right"/>
              <w:rPr>
                <w:rFonts w:ascii="宋体" w:eastAsia="宋体" w:hAnsi="宋体" w:cs="Times New Roman"/>
                <w:szCs w:val="21"/>
              </w:rPr>
            </w:pPr>
            <w:r w:rsidRPr="00595E5E">
              <w:rPr>
                <w:rFonts w:ascii="宋体" w:eastAsia="宋体" w:hAnsi="宋体" w:cs="Times New Roman"/>
                <w:szCs w:val="21"/>
              </w:rPr>
              <w:t>2.59 - 7.41</w:t>
            </w:r>
          </w:p>
        </w:tc>
      </w:tr>
      <w:tr w:rsidR="00595E5E" w:rsidRPr="00595E5E" w:rsidTr="009371E8">
        <w:trPr>
          <w:trHeight w:val="347"/>
          <w:jc w:val="center"/>
        </w:trPr>
        <w:tc>
          <w:tcPr>
            <w:tcW w:w="986" w:type="dxa"/>
            <w:vMerge/>
          </w:tcPr>
          <w:p w:rsidR="00595E5E" w:rsidRPr="00595E5E" w:rsidRDefault="00595E5E" w:rsidP="00595E5E">
            <w:pPr>
              <w:spacing w:line="300" w:lineRule="exact"/>
              <w:jc w:val="center"/>
              <w:rPr>
                <w:rFonts w:ascii="宋体" w:eastAsia="宋体" w:hAnsi="宋体" w:cs="Times New Roman"/>
                <w:bCs/>
                <w:szCs w:val="21"/>
              </w:rPr>
            </w:pPr>
          </w:p>
        </w:tc>
        <w:tc>
          <w:tcPr>
            <w:tcW w:w="894" w:type="dxa"/>
          </w:tcPr>
          <w:p w:rsidR="00595E5E" w:rsidRPr="00595E5E" w:rsidRDefault="00595E5E" w:rsidP="00595E5E">
            <w:pPr>
              <w:rPr>
                <w:rFonts w:ascii="宋体" w:eastAsia="宋体" w:hAnsi="宋体" w:cs="Times New Roman"/>
                <w:szCs w:val="21"/>
              </w:rPr>
            </w:pPr>
            <w:r w:rsidRPr="00595E5E">
              <w:rPr>
                <w:rFonts w:ascii="宋体" w:eastAsia="宋体" w:hAnsi="宋体" w:cs="Times New Roman"/>
                <w:szCs w:val="21"/>
              </w:rPr>
              <w:t>Fe</w:t>
            </w:r>
          </w:p>
        </w:tc>
        <w:tc>
          <w:tcPr>
            <w:tcW w:w="1634" w:type="dxa"/>
          </w:tcPr>
          <w:p w:rsidR="00595E5E" w:rsidRPr="00595E5E" w:rsidRDefault="00595E5E" w:rsidP="00595E5E">
            <w:pPr>
              <w:jc w:val="right"/>
              <w:rPr>
                <w:rFonts w:ascii="宋体" w:eastAsia="宋体" w:hAnsi="宋体" w:cs="Times New Roman"/>
                <w:szCs w:val="21"/>
              </w:rPr>
            </w:pPr>
            <w:r w:rsidRPr="00595E5E">
              <w:rPr>
                <w:rFonts w:ascii="宋体" w:eastAsia="宋体" w:hAnsi="宋体" w:cs="Times New Roman"/>
                <w:szCs w:val="21"/>
              </w:rPr>
              <w:t>6.78 - 11.23</w:t>
            </w:r>
          </w:p>
        </w:tc>
        <w:tc>
          <w:tcPr>
            <w:tcW w:w="1634" w:type="dxa"/>
          </w:tcPr>
          <w:p w:rsidR="00595E5E" w:rsidRPr="00595E5E" w:rsidRDefault="00595E5E" w:rsidP="00595E5E">
            <w:pPr>
              <w:jc w:val="right"/>
              <w:rPr>
                <w:rFonts w:ascii="宋体" w:eastAsia="宋体" w:hAnsi="宋体" w:cs="Times New Roman"/>
                <w:szCs w:val="21"/>
              </w:rPr>
            </w:pPr>
            <w:r w:rsidRPr="00595E5E">
              <w:rPr>
                <w:rFonts w:ascii="宋体" w:eastAsia="宋体" w:hAnsi="宋体" w:cs="Times New Roman"/>
                <w:szCs w:val="21"/>
              </w:rPr>
              <w:t>7.35 - 11.45</w:t>
            </w:r>
          </w:p>
        </w:tc>
        <w:tc>
          <w:tcPr>
            <w:tcW w:w="1635" w:type="dxa"/>
          </w:tcPr>
          <w:p w:rsidR="00595E5E" w:rsidRPr="00595E5E" w:rsidRDefault="00595E5E" w:rsidP="00595E5E">
            <w:pPr>
              <w:jc w:val="right"/>
              <w:rPr>
                <w:rFonts w:ascii="宋体" w:eastAsia="宋体" w:hAnsi="宋体" w:cs="Times New Roman"/>
                <w:szCs w:val="21"/>
              </w:rPr>
            </w:pPr>
            <w:r w:rsidRPr="00595E5E">
              <w:rPr>
                <w:rFonts w:ascii="宋体" w:eastAsia="宋体" w:hAnsi="宋体" w:cs="Times New Roman"/>
                <w:szCs w:val="21"/>
              </w:rPr>
              <w:t>7.22 - 11.96</w:t>
            </w:r>
          </w:p>
        </w:tc>
      </w:tr>
      <w:tr w:rsidR="00595E5E" w:rsidRPr="00595E5E" w:rsidTr="009371E8">
        <w:trPr>
          <w:trHeight w:val="347"/>
          <w:jc w:val="center"/>
        </w:trPr>
        <w:tc>
          <w:tcPr>
            <w:tcW w:w="986" w:type="dxa"/>
            <w:vMerge/>
          </w:tcPr>
          <w:p w:rsidR="00595E5E" w:rsidRPr="00595E5E" w:rsidRDefault="00595E5E" w:rsidP="00595E5E">
            <w:pPr>
              <w:spacing w:line="300" w:lineRule="exact"/>
              <w:jc w:val="center"/>
              <w:rPr>
                <w:rFonts w:ascii="宋体" w:eastAsia="宋体" w:hAnsi="宋体" w:cs="Times New Roman"/>
                <w:bCs/>
                <w:szCs w:val="21"/>
              </w:rPr>
            </w:pPr>
          </w:p>
        </w:tc>
        <w:tc>
          <w:tcPr>
            <w:tcW w:w="894" w:type="dxa"/>
            <w:tcBorders>
              <w:top w:val="single" w:sz="4" w:space="0" w:color="auto"/>
              <w:bottom w:val="single" w:sz="4" w:space="0" w:color="auto"/>
              <w:right w:val="single" w:sz="4" w:space="0" w:color="auto"/>
            </w:tcBorders>
          </w:tcPr>
          <w:p w:rsidR="00595E5E" w:rsidRPr="00595E5E" w:rsidRDefault="00595E5E" w:rsidP="00595E5E">
            <w:pPr>
              <w:rPr>
                <w:rFonts w:ascii="宋体" w:eastAsia="宋体" w:hAnsi="宋体" w:cs="Times New Roman"/>
                <w:szCs w:val="21"/>
              </w:rPr>
            </w:pPr>
            <w:r w:rsidRPr="00595E5E">
              <w:rPr>
                <w:rFonts w:ascii="宋体" w:eastAsia="宋体" w:hAnsi="宋体" w:cs="Times New Roman"/>
                <w:szCs w:val="21"/>
              </w:rPr>
              <w:t>SiO2</w:t>
            </w:r>
          </w:p>
        </w:tc>
        <w:tc>
          <w:tcPr>
            <w:tcW w:w="1634"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jc w:val="right"/>
              <w:rPr>
                <w:rFonts w:ascii="宋体" w:eastAsia="宋体" w:hAnsi="宋体" w:cs="Times New Roman"/>
                <w:szCs w:val="21"/>
              </w:rPr>
            </w:pPr>
            <w:r w:rsidRPr="00595E5E">
              <w:rPr>
                <w:rFonts w:ascii="宋体" w:eastAsia="宋体" w:hAnsi="宋体" w:cs="Times New Roman"/>
                <w:szCs w:val="21"/>
              </w:rPr>
              <w:t>6.99 - 8.57</w:t>
            </w:r>
          </w:p>
        </w:tc>
        <w:tc>
          <w:tcPr>
            <w:tcW w:w="1634"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jc w:val="right"/>
              <w:rPr>
                <w:rFonts w:ascii="宋体" w:eastAsia="宋体" w:hAnsi="宋体" w:cs="Times New Roman"/>
                <w:szCs w:val="21"/>
              </w:rPr>
            </w:pPr>
            <w:r w:rsidRPr="00595E5E">
              <w:rPr>
                <w:rFonts w:ascii="宋体" w:eastAsia="宋体" w:hAnsi="宋体" w:cs="Times New Roman"/>
                <w:szCs w:val="21"/>
              </w:rPr>
              <w:t>7.19 - 8.57</w:t>
            </w:r>
          </w:p>
        </w:tc>
        <w:tc>
          <w:tcPr>
            <w:tcW w:w="1635"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jc w:val="right"/>
              <w:rPr>
                <w:rFonts w:ascii="宋体" w:eastAsia="宋体" w:hAnsi="宋体" w:cs="Times New Roman"/>
                <w:szCs w:val="21"/>
              </w:rPr>
            </w:pPr>
            <w:r w:rsidRPr="00595E5E">
              <w:rPr>
                <w:rFonts w:ascii="宋体" w:eastAsia="宋体" w:hAnsi="宋体" w:cs="Times New Roman"/>
                <w:szCs w:val="21"/>
              </w:rPr>
              <w:t>6.49 - 9.55</w:t>
            </w:r>
          </w:p>
        </w:tc>
      </w:tr>
      <w:tr w:rsidR="00595E5E" w:rsidRPr="00595E5E" w:rsidTr="009371E8">
        <w:trPr>
          <w:trHeight w:val="347"/>
          <w:jc w:val="center"/>
        </w:trPr>
        <w:tc>
          <w:tcPr>
            <w:tcW w:w="986" w:type="dxa"/>
            <w:vMerge/>
          </w:tcPr>
          <w:p w:rsidR="00595E5E" w:rsidRPr="00595E5E" w:rsidRDefault="00595E5E" w:rsidP="00595E5E">
            <w:pPr>
              <w:spacing w:line="300" w:lineRule="exact"/>
              <w:jc w:val="center"/>
              <w:rPr>
                <w:rFonts w:ascii="宋体" w:eastAsia="宋体" w:hAnsi="宋体" w:cs="Times New Roman"/>
                <w:bCs/>
                <w:szCs w:val="21"/>
              </w:rPr>
            </w:pPr>
          </w:p>
        </w:tc>
        <w:tc>
          <w:tcPr>
            <w:tcW w:w="894" w:type="dxa"/>
            <w:tcBorders>
              <w:top w:val="single" w:sz="4" w:space="0" w:color="auto"/>
              <w:bottom w:val="single" w:sz="4" w:space="0" w:color="auto"/>
              <w:right w:val="single" w:sz="4" w:space="0" w:color="auto"/>
            </w:tcBorders>
          </w:tcPr>
          <w:p w:rsidR="00595E5E" w:rsidRPr="00595E5E" w:rsidRDefault="00595E5E" w:rsidP="00595E5E">
            <w:pPr>
              <w:rPr>
                <w:rFonts w:ascii="宋体" w:eastAsia="宋体" w:hAnsi="宋体" w:cs="Times New Roman"/>
                <w:szCs w:val="21"/>
              </w:rPr>
            </w:pPr>
            <w:proofErr w:type="spellStart"/>
            <w:r w:rsidRPr="00595E5E">
              <w:rPr>
                <w:rFonts w:ascii="宋体" w:eastAsia="宋体" w:hAnsi="宋体" w:cs="Times New Roman"/>
                <w:szCs w:val="21"/>
              </w:rPr>
              <w:t>CaO</w:t>
            </w:r>
            <w:proofErr w:type="spellEnd"/>
          </w:p>
        </w:tc>
        <w:tc>
          <w:tcPr>
            <w:tcW w:w="1634"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jc w:val="right"/>
              <w:rPr>
                <w:rFonts w:ascii="宋体" w:eastAsia="宋体" w:hAnsi="宋体" w:cs="Times New Roman"/>
                <w:szCs w:val="21"/>
              </w:rPr>
            </w:pPr>
            <w:r w:rsidRPr="00595E5E">
              <w:rPr>
                <w:rFonts w:ascii="宋体" w:eastAsia="宋体" w:hAnsi="宋体" w:cs="Times New Roman"/>
                <w:szCs w:val="21"/>
              </w:rPr>
              <w:t>3.15 - 4.15</w:t>
            </w:r>
          </w:p>
        </w:tc>
        <w:tc>
          <w:tcPr>
            <w:tcW w:w="1634"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jc w:val="right"/>
              <w:rPr>
                <w:rFonts w:ascii="宋体" w:eastAsia="宋体" w:hAnsi="宋体" w:cs="Times New Roman"/>
                <w:szCs w:val="21"/>
              </w:rPr>
            </w:pPr>
            <w:r w:rsidRPr="00595E5E">
              <w:rPr>
                <w:rFonts w:ascii="宋体" w:eastAsia="宋体" w:hAnsi="宋体" w:cs="Times New Roman"/>
                <w:szCs w:val="21"/>
              </w:rPr>
              <w:t>3.10 - 5.36</w:t>
            </w:r>
          </w:p>
        </w:tc>
        <w:tc>
          <w:tcPr>
            <w:tcW w:w="1635"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jc w:val="right"/>
              <w:rPr>
                <w:rFonts w:ascii="宋体" w:eastAsia="宋体" w:hAnsi="宋体" w:cs="Times New Roman"/>
                <w:szCs w:val="21"/>
              </w:rPr>
            </w:pPr>
            <w:r w:rsidRPr="00595E5E">
              <w:rPr>
                <w:rFonts w:ascii="宋体" w:eastAsia="宋体" w:hAnsi="宋体" w:cs="Times New Roman"/>
                <w:szCs w:val="21"/>
              </w:rPr>
              <w:t>4.33 - 6.10</w:t>
            </w:r>
          </w:p>
        </w:tc>
      </w:tr>
      <w:tr w:rsidR="00595E5E" w:rsidRPr="00595E5E" w:rsidTr="009371E8">
        <w:trPr>
          <w:trHeight w:val="347"/>
          <w:jc w:val="center"/>
        </w:trPr>
        <w:tc>
          <w:tcPr>
            <w:tcW w:w="986" w:type="dxa"/>
            <w:vMerge w:val="restart"/>
            <w:tcBorders>
              <w:top w:val="single" w:sz="4" w:space="0" w:color="auto"/>
              <w:left w:val="single" w:sz="4" w:space="0" w:color="auto"/>
              <w:right w:val="single" w:sz="4" w:space="0" w:color="auto"/>
            </w:tcBorders>
            <w:vAlign w:val="center"/>
          </w:tcPr>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杂质</w:t>
            </w:r>
          </w:p>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元素</w:t>
            </w:r>
          </w:p>
        </w:tc>
        <w:tc>
          <w:tcPr>
            <w:tcW w:w="894"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rPr>
                <w:rFonts w:ascii="宋体" w:eastAsia="宋体" w:hAnsi="宋体" w:cs="Times New Roman"/>
                <w:szCs w:val="21"/>
              </w:rPr>
            </w:pPr>
            <w:r w:rsidRPr="00595E5E">
              <w:rPr>
                <w:rFonts w:ascii="宋体" w:eastAsia="宋体" w:hAnsi="宋体" w:cs="Times New Roman"/>
                <w:szCs w:val="21"/>
              </w:rPr>
              <w:t>S</w:t>
            </w:r>
          </w:p>
        </w:tc>
        <w:tc>
          <w:tcPr>
            <w:tcW w:w="1634"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jc w:val="right"/>
              <w:rPr>
                <w:rFonts w:ascii="宋体" w:eastAsia="宋体" w:hAnsi="宋体" w:cs="Times New Roman"/>
                <w:szCs w:val="21"/>
              </w:rPr>
            </w:pPr>
            <w:r w:rsidRPr="00595E5E">
              <w:rPr>
                <w:rFonts w:ascii="宋体" w:eastAsia="宋体" w:hAnsi="宋体" w:cs="Times New Roman"/>
                <w:szCs w:val="21"/>
              </w:rPr>
              <w:t>0.22 - 0.64</w:t>
            </w:r>
          </w:p>
        </w:tc>
        <w:tc>
          <w:tcPr>
            <w:tcW w:w="1634"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jc w:val="right"/>
              <w:rPr>
                <w:rFonts w:ascii="宋体" w:eastAsia="宋体" w:hAnsi="宋体" w:cs="Times New Roman"/>
                <w:szCs w:val="21"/>
              </w:rPr>
            </w:pPr>
            <w:r w:rsidRPr="00595E5E">
              <w:rPr>
                <w:rFonts w:ascii="宋体" w:eastAsia="宋体" w:hAnsi="宋体" w:cs="Times New Roman"/>
                <w:szCs w:val="21"/>
              </w:rPr>
              <w:t>0.22 - 0.64</w:t>
            </w:r>
          </w:p>
        </w:tc>
        <w:tc>
          <w:tcPr>
            <w:tcW w:w="1635"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jc w:val="right"/>
              <w:rPr>
                <w:rFonts w:ascii="宋体" w:eastAsia="宋体" w:hAnsi="宋体" w:cs="Times New Roman"/>
                <w:szCs w:val="21"/>
              </w:rPr>
            </w:pPr>
            <w:r w:rsidRPr="00595E5E">
              <w:rPr>
                <w:rFonts w:ascii="宋体" w:eastAsia="宋体" w:hAnsi="宋体" w:cs="Times New Roman"/>
                <w:szCs w:val="21"/>
              </w:rPr>
              <w:t>0.21 - 0.32</w:t>
            </w:r>
          </w:p>
        </w:tc>
      </w:tr>
      <w:tr w:rsidR="00595E5E" w:rsidRPr="00595E5E" w:rsidTr="009371E8">
        <w:trPr>
          <w:trHeight w:val="347"/>
          <w:jc w:val="center"/>
        </w:trPr>
        <w:tc>
          <w:tcPr>
            <w:tcW w:w="986" w:type="dxa"/>
            <w:vMerge/>
            <w:tcBorders>
              <w:left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p>
        </w:tc>
        <w:tc>
          <w:tcPr>
            <w:tcW w:w="894"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rPr>
                <w:rFonts w:ascii="宋体" w:eastAsia="宋体" w:hAnsi="宋体" w:cs="Times New Roman"/>
                <w:szCs w:val="21"/>
              </w:rPr>
            </w:pPr>
            <w:r w:rsidRPr="00595E5E">
              <w:rPr>
                <w:rFonts w:ascii="宋体" w:eastAsia="宋体" w:hAnsi="宋体" w:cs="Times New Roman"/>
                <w:szCs w:val="21"/>
              </w:rPr>
              <w:t>As</w:t>
            </w:r>
          </w:p>
        </w:tc>
        <w:tc>
          <w:tcPr>
            <w:tcW w:w="1634"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jc w:val="right"/>
              <w:rPr>
                <w:rFonts w:ascii="宋体" w:eastAsia="宋体" w:hAnsi="宋体" w:cs="Times New Roman"/>
                <w:szCs w:val="21"/>
              </w:rPr>
            </w:pPr>
            <w:r w:rsidRPr="00595E5E">
              <w:rPr>
                <w:rFonts w:ascii="宋体" w:eastAsia="宋体" w:hAnsi="宋体" w:cs="Times New Roman"/>
                <w:szCs w:val="21"/>
              </w:rPr>
              <w:t>0.12 -0.33</w:t>
            </w:r>
          </w:p>
        </w:tc>
        <w:tc>
          <w:tcPr>
            <w:tcW w:w="1634"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jc w:val="right"/>
              <w:rPr>
                <w:rFonts w:ascii="宋体" w:eastAsia="宋体" w:hAnsi="宋体" w:cs="Times New Roman"/>
                <w:szCs w:val="21"/>
              </w:rPr>
            </w:pPr>
            <w:r w:rsidRPr="00595E5E">
              <w:rPr>
                <w:rFonts w:ascii="宋体" w:eastAsia="宋体" w:hAnsi="宋体" w:cs="Times New Roman"/>
                <w:szCs w:val="21"/>
              </w:rPr>
              <w:t>0.08 - 0.28</w:t>
            </w:r>
          </w:p>
        </w:tc>
        <w:tc>
          <w:tcPr>
            <w:tcW w:w="1635"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jc w:val="right"/>
              <w:rPr>
                <w:rFonts w:ascii="宋体" w:eastAsia="宋体" w:hAnsi="宋体" w:cs="Times New Roman"/>
                <w:szCs w:val="21"/>
              </w:rPr>
            </w:pPr>
            <w:r w:rsidRPr="00595E5E">
              <w:rPr>
                <w:rFonts w:ascii="宋体" w:eastAsia="宋体" w:hAnsi="宋体" w:cs="Times New Roman"/>
                <w:szCs w:val="21"/>
              </w:rPr>
              <w:t>0.08 - 0.43</w:t>
            </w:r>
          </w:p>
        </w:tc>
      </w:tr>
      <w:tr w:rsidR="00595E5E" w:rsidRPr="00595E5E" w:rsidTr="009371E8">
        <w:trPr>
          <w:trHeight w:val="347"/>
          <w:jc w:val="center"/>
        </w:trPr>
        <w:tc>
          <w:tcPr>
            <w:tcW w:w="986" w:type="dxa"/>
            <w:vMerge/>
            <w:tcBorders>
              <w:left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p>
        </w:tc>
        <w:tc>
          <w:tcPr>
            <w:tcW w:w="894"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rPr>
                <w:rFonts w:ascii="宋体" w:eastAsia="宋体" w:hAnsi="宋体" w:cs="Times New Roman"/>
                <w:szCs w:val="21"/>
              </w:rPr>
            </w:pPr>
            <w:r w:rsidRPr="00595E5E">
              <w:rPr>
                <w:rFonts w:ascii="宋体" w:eastAsia="宋体" w:hAnsi="宋体" w:cs="Times New Roman"/>
                <w:szCs w:val="21"/>
              </w:rPr>
              <w:t>Na</w:t>
            </w:r>
          </w:p>
        </w:tc>
        <w:tc>
          <w:tcPr>
            <w:tcW w:w="1634"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jc w:val="right"/>
              <w:rPr>
                <w:rFonts w:ascii="宋体" w:eastAsia="宋体" w:hAnsi="宋体" w:cs="Times New Roman"/>
                <w:szCs w:val="21"/>
              </w:rPr>
            </w:pPr>
            <w:r w:rsidRPr="00595E5E">
              <w:rPr>
                <w:rFonts w:ascii="宋体" w:eastAsia="宋体" w:hAnsi="宋体" w:cs="Times New Roman"/>
                <w:szCs w:val="21"/>
              </w:rPr>
              <w:t>0.32 -0.56</w:t>
            </w:r>
          </w:p>
        </w:tc>
        <w:tc>
          <w:tcPr>
            <w:tcW w:w="1634"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jc w:val="right"/>
              <w:rPr>
                <w:rFonts w:ascii="宋体" w:eastAsia="宋体" w:hAnsi="宋体" w:cs="Times New Roman"/>
                <w:szCs w:val="21"/>
              </w:rPr>
            </w:pPr>
            <w:r w:rsidRPr="00595E5E">
              <w:rPr>
                <w:rFonts w:ascii="宋体" w:eastAsia="宋体" w:hAnsi="宋体" w:cs="Times New Roman"/>
                <w:szCs w:val="21"/>
              </w:rPr>
              <w:t>0.32 - 0.56</w:t>
            </w:r>
          </w:p>
        </w:tc>
        <w:tc>
          <w:tcPr>
            <w:tcW w:w="1635"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jc w:val="right"/>
              <w:rPr>
                <w:rFonts w:ascii="宋体" w:eastAsia="宋体" w:hAnsi="宋体" w:cs="Times New Roman"/>
                <w:szCs w:val="21"/>
              </w:rPr>
            </w:pPr>
            <w:r w:rsidRPr="00595E5E">
              <w:rPr>
                <w:rFonts w:ascii="宋体" w:eastAsia="宋体" w:hAnsi="宋体" w:cs="Times New Roman"/>
                <w:szCs w:val="21"/>
              </w:rPr>
              <w:t>0.35 - 0.49</w:t>
            </w:r>
          </w:p>
        </w:tc>
      </w:tr>
      <w:tr w:rsidR="00595E5E" w:rsidRPr="00595E5E" w:rsidTr="009371E8">
        <w:trPr>
          <w:trHeight w:val="347"/>
          <w:jc w:val="center"/>
        </w:trPr>
        <w:tc>
          <w:tcPr>
            <w:tcW w:w="986" w:type="dxa"/>
            <w:vMerge/>
            <w:tcBorders>
              <w:left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p>
        </w:tc>
        <w:tc>
          <w:tcPr>
            <w:tcW w:w="894"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rPr>
                <w:rFonts w:ascii="宋体" w:eastAsia="宋体" w:hAnsi="宋体" w:cs="Times New Roman"/>
                <w:szCs w:val="21"/>
              </w:rPr>
            </w:pPr>
            <w:r w:rsidRPr="00595E5E">
              <w:rPr>
                <w:rFonts w:ascii="宋体" w:eastAsia="宋体" w:hAnsi="宋体" w:cs="Times New Roman"/>
                <w:szCs w:val="21"/>
              </w:rPr>
              <w:t>K</w:t>
            </w:r>
          </w:p>
        </w:tc>
        <w:tc>
          <w:tcPr>
            <w:tcW w:w="1634"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jc w:val="right"/>
              <w:rPr>
                <w:rFonts w:ascii="宋体" w:eastAsia="宋体" w:hAnsi="宋体" w:cs="Times New Roman"/>
                <w:szCs w:val="21"/>
              </w:rPr>
            </w:pPr>
            <w:r w:rsidRPr="00595E5E">
              <w:rPr>
                <w:rFonts w:ascii="宋体" w:eastAsia="宋体" w:hAnsi="宋体" w:cs="Times New Roman"/>
                <w:szCs w:val="21"/>
              </w:rPr>
              <w:t>0.07 -0.40</w:t>
            </w:r>
          </w:p>
        </w:tc>
        <w:tc>
          <w:tcPr>
            <w:tcW w:w="1634"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jc w:val="right"/>
              <w:rPr>
                <w:rFonts w:ascii="宋体" w:eastAsia="宋体" w:hAnsi="宋体" w:cs="Times New Roman"/>
                <w:szCs w:val="21"/>
              </w:rPr>
            </w:pPr>
            <w:r w:rsidRPr="00595E5E">
              <w:rPr>
                <w:rFonts w:ascii="宋体" w:eastAsia="宋体" w:hAnsi="宋体" w:cs="Times New Roman"/>
                <w:szCs w:val="21"/>
              </w:rPr>
              <w:t>0.07 - 0.40</w:t>
            </w:r>
          </w:p>
        </w:tc>
        <w:tc>
          <w:tcPr>
            <w:tcW w:w="1635"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jc w:val="right"/>
              <w:rPr>
                <w:rFonts w:ascii="宋体" w:eastAsia="宋体" w:hAnsi="宋体" w:cs="Times New Roman"/>
                <w:szCs w:val="21"/>
              </w:rPr>
            </w:pPr>
            <w:r w:rsidRPr="00595E5E">
              <w:rPr>
                <w:rFonts w:ascii="宋体" w:eastAsia="宋体" w:hAnsi="宋体" w:cs="Times New Roman"/>
                <w:szCs w:val="21"/>
              </w:rPr>
              <w:t>0.07 - 0.12</w:t>
            </w:r>
          </w:p>
        </w:tc>
      </w:tr>
      <w:tr w:rsidR="00595E5E" w:rsidRPr="00595E5E" w:rsidTr="009371E8">
        <w:trPr>
          <w:trHeight w:val="347"/>
          <w:jc w:val="center"/>
        </w:trPr>
        <w:tc>
          <w:tcPr>
            <w:tcW w:w="986" w:type="dxa"/>
            <w:vMerge/>
            <w:tcBorders>
              <w:left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p>
        </w:tc>
        <w:tc>
          <w:tcPr>
            <w:tcW w:w="894"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rPr>
                <w:rFonts w:ascii="宋体" w:eastAsia="宋体" w:hAnsi="宋体" w:cs="Times New Roman"/>
                <w:szCs w:val="21"/>
              </w:rPr>
            </w:pPr>
            <w:r w:rsidRPr="00595E5E">
              <w:rPr>
                <w:rFonts w:ascii="宋体" w:eastAsia="宋体" w:hAnsi="宋体" w:cs="Times New Roman"/>
                <w:szCs w:val="21"/>
              </w:rPr>
              <w:t>Cr</w:t>
            </w:r>
          </w:p>
        </w:tc>
        <w:tc>
          <w:tcPr>
            <w:tcW w:w="1634"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jc w:val="right"/>
              <w:rPr>
                <w:rFonts w:ascii="宋体" w:eastAsia="宋体" w:hAnsi="宋体" w:cs="Times New Roman"/>
                <w:szCs w:val="21"/>
              </w:rPr>
            </w:pPr>
            <w:r w:rsidRPr="00595E5E">
              <w:rPr>
                <w:rFonts w:ascii="宋体" w:eastAsia="宋体" w:hAnsi="宋体" w:cs="Times New Roman"/>
                <w:szCs w:val="21"/>
              </w:rPr>
              <w:t>0.03 - 0.14</w:t>
            </w:r>
          </w:p>
        </w:tc>
        <w:tc>
          <w:tcPr>
            <w:tcW w:w="1634"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jc w:val="right"/>
              <w:rPr>
                <w:rFonts w:ascii="宋体" w:eastAsia="宋体" w:hAnsi="宋体" w:cs="Times New Roman"/>
                <w:szCs w:val="21"/>
              </w:rPr>
            </w:pPr>
            <w:r w:rsidRPr="00595E5E">
              <w:rPr>
                <w:rFonts w:ascii="宋体" w:eastAsia="宋体" w:hAnsi="宋体" w:cs="Times New Roman"/>
                <w:szCs w:val="21"/>
              </w:rPr>
              <w:t>0.03 - 0.15</w:t>
            </w:r>
          </w:p>
        </w:tc>
        <w:tc>
          <w:tcPr>
            <w:tcW w:w="1635"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jc w:val="right"/>
              <w:rPr>
                <w:rFonts w:ascii="宋体" w:eastAsia="宋体" w:hAnsi="宋体" w:cs="Times New Roman"/>
                <w:szCs w:val="21"/>
              </w:rPr>
            </w:pPr>
            <w:r w:rsidRPr="00595E5E">
              <w:rPr>
                <w:rFonts w:ascii="宋体" w:eastAsia="宋体" w:hAnsi="宋体" w:cs="Times New Roman"/>
                <w:szCs w:val="21"/>
              </w:rPr>
              <w:t>0.03 - 0.17</w:t>
            </w:r>
          </w:p>
        </w:tc>
      </w:tr>
      <w:tr w:rsidR="00595E5E" w:rsidRPr="00595E5E" w:rsidTr="009371E8">
        <w:trPr>
          <w:trHeight w:val="347"/>
          <w:jc w:val="center"/>
        </w:trPr>
        <w:tc>
          <w:tcPr>
            <w:tcW w:w="986" w:type="dxa"/>
            <w:vMerge/>
            <w:tcBorders>
              <w:left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p>
        </w:tc>
        <w:tc>
          <w:tcPr>
            <w:tcW w:w="894"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rPr>
                <w:rFonts w:ascii="宋体" w:eastAsia="宋体" w:hAnsi="宋体" w:cs="Times New Roman"/>
                <w:szCs w:val="21"/>
              </w:rPr>
            </w:pPr>
            <w:r w:rsidRPr="00595E5E">
              <w:rPr>
                <w:rFonts w:ascii="宋体" w:eastAsia="宋体" w:hAnsi="宋体" w:cs="Times New Roman"/>
                <w:szCs w:val="21"/>
              </w:rPr>
              <w:t>Cl</w:t>
            </w:r>
          </w:p>
        </w:tc>
        <w:tc>
          <w:tcPr>
            <w:tcW w:w="1634"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jc w:val="right"/>
              <w:rPr>
                <w:rFonts w:ascii="宋体" w:eastAsia="宋体" w:hAnsi="宋体" w:cs="Times New Roman"/>
                <w:szCs w:val="21"/>
              </w:rPr>
            </w:pPr>
            <w:r w:rsidRPr="00595E5E">
              <w:rPr>
                <w:rFonts w:ascii="宋体" w:eastAsia="宋体" w:hAnsi="宋体" w:cs="Times New Roman"/>
                <w:szCs w:val="21"/>
              </w:rPr>
              <w:t>0.05 - 0.08</w:t>
            </w:r>
          </w:p>
        </w:tc>
        <w:tc>
          <w:tcPr>
            <w:tcW w:w="1634"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jc w:val="right"/>
              <w:rPr>
                <w:rFonts w:ascii="宋体" w:eastAsia="宋体" w:hAnsi="宋体" w:cs="Times New Roman"/>
                <w:szCs w:val="21"/>
              </w:rPr>
            </w:pPr>
            <w:r w:rsidRPr="00595E5E">
              <w:rPr>
                <w:rFonts w:ascii="宋体" w:eastAsia="宋体" w:hAnsi="宋体" w:cs="Times New Roman"/>
                <w:szCs w:val="21"/>
              </w:rPr>
              <w:t>0.05 - 0.09</w:t>
            </w:r>
          </w:p>
        </w:tc>
        <w:tc>
          <w:tcPr>
            <w:tcW w:w="1635"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jc w:val="right"/>
              <w:rPr>
                <w:rFonts w:ascii="宋体" w:eastAsia="宋体" w:hAnsi="宋体" w:cs="Times New Roman"/>
                <w:szCs w:val="21"/>
              </w:rPr>
            </w:pPr>
            <w:r w:rsidRPr="00595E5E">
              <w:rPr>
                <w:rFonts w:ascii="宋体" w:eastAsia="宋体" w:hAnsi="宋体" w:cs="Times New Roman"/>
                <w:szCs w:val="21"/>
              </w:rPr>
              <w:t>0.04 - 0.08</w:t>
            </w:r>
          </w:p>
        </w:tc>
      </w:tr>
      <w:tr w:rsidR="00595E5E" w:rsidRPr="00595E5E" w:rsidTr="009371E8">
        <w:trPr>
          <w:trHeight w:val="347"/>
          <w:jc w:val="center"/>
        </w:trPr>
        <w:tc>
          <w:tcPr>
            <w:tcW w:w="986" w:type="dxa"/>
            <w:vMerge/>
            <w:tcBorders>
              <w:left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p>
        </w:tc>
        <w:tc>
          <w:tcPr>
            <w:tcW w:w="894"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rPr>
                <w:rFonts w:ascii="宋体" w:eastAsia="宋体" w:hAnsi="宋体" w:cs="Times New Roman"/>
                <w:szCs w:val="21"/>
              </w:rPr>
            </w:pPr>
            <w:r w:rsidRPr="00595E5E">
              <w:rPr>
                <w:rFonts w:ascii="宋体" w:eastAsia="宋体" w:hAnsi="宋体" w:cs="Times New Roman"/>
                <w:szCs w:val="21"/>
              </w:rPr>
              <w:t>Al2O3</w:t>
            </w:r>
          </w:p>
        </w:tc>
        <w:tc>
          <w:tcPr>
            <w:tcW w:w="1634"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jc w:val="right"/>
              <w:rPr>
                <w:rFonts w:ascii="宋体" w:eastAsia="宋体" w:hAnsi="宋体" w:cs="Times New Roman"/>
                <w:szCs w:val="21"/>
              </w:rPr>
            </w:pPr>
            <w:r w:rsidRPr="00595E5E">
              <w:rPr>
                <w:rFonts w:ascii="宋体" w:eastAsia="宋体" w:hAnsi="宋体" w:cs="Times New Roman"/>
                <w:szCs w:val="21"/>
              </w:rPr>
              <w:t>0.62 - 1.24</w:t>
            </w:r>
          </w:p>
        </w:tc>
        <w:tc>
          <w:tcPr>
            <w:tcW w:w="1634"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jc w:val="right"/>
              <w:rPr>
                <w:rFonts w:ascii="宋体" w:eastAsia="宋体" w:hAnsi="宋体" w:cs="Times New Roman"/>
                <w:szCs w:val="21"/>
              </w:rPr>
            </w:pPr>
            <w:r w:rsidRPr="00595E5E">
              <w:rPr>
                <w:rFonts w:ascii="宋体" w:eastAsia="宋体" w:hAnsi="宋体" w:cs="Times New Roman"/>
                <w:szCs w:val="21"/>
              </w:rPr>
              <w:t>0.90 - 1.40</w:t>
            </w:r>
          </w:p>
        </w:tc>
        <w:tc>
          <w:tcPr>
            <w:tcW w:w="1635"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jc w:val="right"/>
              <w:rPr>
                <w:rFonts w:ascii="宋体" w:eastAsia="宋体" w:hAnsi="宋体" w:cs="Times New Roman"/>
                <w:szCs w:val="21"/>
              </w:rPr>
            </w:pPr>
            <w:r w:rsidRPr="00595E5E">
              <w:rPr>
                <w:rFonts w:ascii="宋体" w:eastAsia="宋体" w:hAnsi="宋体" w:cs="Times New Roman"/>
                <w:szCs w:val="21"/>
              </w:rPr>
              <w:t>0.96 - 1.43</w:t>
            </w:r>
          </w:p>
        </w:tc>
      </w:tr>
      <w:tr w:rsidR="00595E5E" w:rsidRPr="00595E5E" w:rsidTr="009371E8">
        <w:trPr>
          <w:trHeight w:val="347"/>
          <w:jc w:val="center"/>
        </w:trPr>
        <w:tc>
          <w:tcPr>
            <w:tcW w:w="986" w:type="dxa"/>
            <w:vMerge/>
            <w:tcBorders>
              <w:left w:val="single" w:sz="4" w:space="0" w:color="auto"/>
              <w:bottom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p>
        </w:tc>
        <w:tc>
          <w:tcPr>
            <w:tcW w:w="894"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rPr>
                <w:rFonts w:ascii="宋体" w:eastAsia="宋体" w:hAnsi="宋体" w:cs="Times New Roman"/>
                <w:szCs w:val="21"/>
              </w:rPr>
            </w:pPr>
            <w:proofErr w:type="spellStart"/>
            <w:r w:rsidRPr="00595E5E">
              <w:rPr>
                <w:rFonts w:ascii="宋体" w:eastAsia="宋体" w:hAnsi="宋体" w:cs="Times New Roman"/>
                <w:szCs w:val="21"/>
              </w:rPr>
              <w:t>MgO</w:t>
            </w:r>
            <w:proofErr w:type="spellEnd"/>
          </w:p>
        </w:tc>
        <w:tc>
          <w:tcPr>
            <w:tcW w:w="1634"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jc w:val="right"/>
              <w:rPr>
                <w:rFonts w:ascii="宋体" w:eastAsia="宋体" w:hAnsi="宋体" w:cs="Times New Roman"/>
                <w:szCs w:val="21"/>
              </w:rPr>
            </w:pPr>
            <w:r w:rsidRPr="00595E5E">
              <w:rPr>
                <w:rFonts w:ascii="宋体" w:eastAsia="宋体" w:hAnsi="宋体" w:cs="Times New Roman"/>
                <w:szCs w:val="21"/>
              </w:rPr>
              <w:t>0.37 - 1.34</w:t>
            </w:r>
          </w:p>
        </w:tc>
        <w:tc>
          <w:tcPr>
            <w:tcW w:w="1634"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jc w:val="right"/>
              <w:rPr>
                <w:rFonts w:ascii="宋体" w:eastAsia="宋体" w:hAnsi="宋体" w:cs="Times New Roman"/>
                <w:szCs w:val="21"/>
              </w:rPr>
            </w:pPr>
            <w:r w:rsidRPr="00595E5E">
              <w:rPr>
                <w:rFonts w:ascii="宋体" w:eastAsia="宋体" w:hAnsi="宋体" w:cs="Times New Roman"/>
                <w:szCs w:val="21"/>
              </w:rPr>
              <w:t>0.37 - 1.54</w:t>
            </w:r>
          </w:p>
        </w:tc>
        <w:tc>
          <w:tcPr>
            <w:tcW w:w="1635"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jc w:val="right"/>
              <w:rPr>
                <w:rFonts w:ascii="宋体" w:eastAsia="宋体" w:hAnsi="宋体" w:cs="Times New Roman"/>
                <w:szCs w:val="21"/>
              </w:rPr>
            </w:pPr>
            <w:r w:rsidRPr="00595E5E">
              <w:rPr>
                <w:rFonts w:ascii="宋体" w:eastAsia="宋体" w:hAnsi="宋体" w:cs="Times New Roman"/>
                <w:szCs w:val="21"/>
              </w:rPr>
              <w:t>0.30 - 0.91</w:t>
            </w:r>
          </w:p>
        </w:tc>
      </w:tr>
      <w:tr w:rsidR="00595E5E" w:rsidRPr="00595E5E" w:rsidTr="009371E8">
        <w:trPr>
          <w:trHeight w:val="347"/>
          <w:jc w:val="center"/>
        </w:trPr>
        <w:tc>
          <w:tcPr>
            <w:tcW w:w="986" w:type="dxa"/>
            <w:vMerge w:val="restart"/>
            <w:tcBorders>
              <w:top w:val="single" w:sz="4" w:space="0" w:color="auto"/>
              <w:left w:val="single" w:sz="4" w:space="0" w:color="auto"/>
              <w:right w:val="single" w:sz="4" w:space="0" w:color="auto"/>
            </w:tcBorders>
            <w:vAlign w:val="center"/>
          </w:tcPr>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其他</w:t>
            </w:r>
          </w:p>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有价</w:t>
            </w:r>
          </w:p>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元素</w:t>
            </w:r>
          </w:p>
        </w:tc>
        <w:tc>
          <w:tcPr>
            <w:tcW w:w="894"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rPr>
                <w:rFonts w:ascii="宋体" w:eastAsia="宋体" w:hAnsi="宋体" w:cs="Times New Roman"/>
                <w:szCs w:val="21"/>
              </w:rPr>
            </w:pPr>
            <w:r w:rsidRPr="00595E5E">
              <w:rPr>
                <w:rFonts w:ascii="宋体" w:eastAsia="宋体" w:hAnsi="宋体" w:cs="Times New Roman"/>
                <w:szCs w:val="21"/>
              </w:rPr>
              <w:t>Ag</w:t>
            </w:r>
          </w:p>
        </w:tc>
        <w:tc>
          <w:tcPr>
            <w:tcW w:w="1634"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jc w:val="right"/>
              <w:rPr>
                <w:rFonts w:ascii="宋体" w:eastAsia="宋体" w:hAnsi="宋体" w:cs="Times New Roman"/>
                <w:szCs w:val="21"/>
              </w:rPr>
            </w:pPr>
            <w:r w:rsidRPr="00595E5E">
              <w:rPr>
                <w:rFonts w:ascii="宋体" w:eastAsia="宋体" w:hAnsi="宋体" w:cs="Times New Roman"/>
                <w:szCs w:val="21"/>
              </w:rPr>
              <w:t>0.002 - 0.012</w:t>
            </w:r>
          </w:p>
        </w:tc>
        <w:tc>
          <w:tcPr>
            <w:tcW w:w="1634"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jc w:val="right"/>
              <w:rPr>
                <w:rFonts w:ascii="宋体" w:eastAsia="宋体" w:hAnsi="宋体" w:cs="Times New Roman"/>
                <w:szCs w:val="21"/>
              </w:rPr>
            </w:pPr>
            <w:r w:rsidRPr="00595E5E">
              <w:rPr>
                <w:rFonts w:ascii="宋体" w:eastAsia="宋体" w:hAnsi="宋体" w:cs="Times New Roman"/>
                <w:szCs w:val="21"/>
              </w:rPr>
              <w:t>0.002 - 0.013</w:t>
            </w:r>
          </w:p>
        </w:tc>
        <w:tc>
          <w:tcPr>
            <w:tcW w:w="1635"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jc w:val="right"/>
              <w:rPr>
                <w:rFonts w:ascii="宋体" w:eastAsia="宋体" w:hAnsi="宋体" w:cs="Times New Roman"/>
                <w:szCs w:val="21"/>
              </w:rPr>
            </w:pPr>
            <w:r w:rsidRPr="00595E5E">
              <w:rPr>
                <w:rFonts w:ascii="宋体" w:eastAsia="宋体" w:hAnsi="宋体" w:cs="Times New Roman"/>
                <w:szCs w:val="21"/>
              </w:rPr>
              <w:t>0.009 - 0.015</w:t>
            </w:r>
          </w:p>
        </w:tc>
      </w:tr>
      <w:tr w:rsidR="00595E5E" w:rsidRPr="00595E5E" w:rsidTr="009371E8">
        <w:trPr>
          <w:trHeight w:val="347"/>
          <w:jc w:val="center"/>
        </w:trPr>
        <w:tc>
          <w:tcPr>
            <w:tcW w:w="986" w:type="dxa"/>
            <w:vMerge/>
            <w:tcBorders>
              <w:left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p>
        </w:tc>
        <w:tc>
          <w:tcPr>
            <w:tcW w:w="894"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rPr>
                <w:rFonts w:ascii="宋体" w:eastAsia="宋体" w:hAnsi="宋体" w:cs="Times New Roman"/>
                <w:szCs w:val="21"/>
              </w:rPr>
            </w:pPr>
            <w:r w:rsidRPr="00595E5E">
              <w:rPr>
                <w:rFonts w:ascii="宋体" w:eastAsia="宋体" w:hAnsi="宋体" w:cs="Times New Roman"/>
                <w:szCs w:val="21"/>
              </w:rPr>
              <w:t>Cu</w:t>
            </w:r>
          </w:p>
        </w:tc>
        <w:tc>
          <w:tcPr>
            <w:tcW w:w="1634"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jc w:val="right"/>
              <w:rPr>
                <w:rFonts w:ascii="宋体" w:eastAsia="宋体" w:hAnsi="宋体" w:cs="Times New Roman"/>
                <w:szCs w:val="21"/>
              </w:rPr>
            </w:pPr>
            <w:r w:rsidRPr="00595E5E">
              <w:rPr>
                <w:rFonts w:ascii="宋体" w:eastAsia="宋体" w:hAnsi="宋体" w:cs="Times New Roman"/>
                <w:szCs w:val="21"/>
              </w:rPr>
              <w:t>0.54 - 1.06</w:t>
            </w:r>
          </w:p>
        </w:tc>
        <w:tc>
          <w:tcPr>
            <w:tcW w:w="1634"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jc w:val="right"/>
              <w:rPr>
                <w:rFonts w:ascii="宋体" w:eastAsia="宋体" w:hAnsi="宋体" w:cs="Times New Roman"/>
                <w:szCs w:val="21"/>
              </w:rPr>
            </w:pPr>
            <w:r w:rsidRPr="00595E5E">
              <w:rPr>
                <w:rFonts w:ascii="宋体" w:eastAsia="宋体" w:hAnsi="宋体" w:cs="Times New Roman"/>
                <w:szCs w:val="21"/>
              </w:rPr>
              <w:t>0.54 - 1.06</w:t>
            </w:r>
          </w:p>
        </w:tc>
        <w:tc>
          <w:tcPr>
            <w:tcW w:w="1635"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jc w:val="right"/>
              <w:rPr>
                <w:rFonts w:ascii="宋体" w:eastAsia="宋体" w:hAnsi="宋体" w:cs="Times New Roman"/>
                <w:szCs w:val="21"/>
              </w:rPr>
            </w:pPr>
            <w:r w:rsidRPr="00595E5E">
              <w:rPr>
                <w:rFonts w:ascii="宋体" w:eastAsia="宋体" w:hAnsi="宋体" w:cs="Times New Roman"/>
                <w:szCs w:val="21"/>
              </w:rPr>
              <w:t>0.28 - 0.90</w:t>
            </w:r>
          </w:p>
        </w:tc>
      </w:tr>
      <w:tr w:rsidR="00595E5E" w:rsidRPr="00595E5E" w:rsidTr="009371E8">
        <w:trPr>
          <w:trHeight w:val="347"/>
          <w:jc w:val="center"/>
        </w:trPr>
        <w:tc>
          <w:tcPr>
            <w:tcW w:w="986" w:type="dxa"/>
            <w:vMerge/>
            <w:tcBorders>
              <w:left w:val="single" w:sz="4" w:space="0" w:color="auto"/>
              <w:bottom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p>
        </w:tc>
        <w:tc>
          <w:tcPr>
            <w:tcW w:w="894"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rPr>
                <w:rFonts w:ascii="宋体" w:eastAsia="宋体" w:hAnsi="宋体" w:cs="Times New Roman"/>
                <w:szCs w:val="21"/>
              </w:rPr>
            </w:pPr>
            <w:r w:rsidRPr="00595E5E">
              <w:rPr>
                <w:rFonts w:ascii="宋体" w:eastAsia="宋体" w:hAnsi="宋体" w:cs="Times New Roman"/>
                <w:szCs w:val="21"/>
              </w:rPr>
              <w:t>Sb</w:t>
            </w:r>
          </w:p>
        </w:tc>
        <w:tc>
          <w:tcPr>
            <w:tcW w:w="1634"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jc w:val="right"/>
              <w:rPr>
                <w:rFonts w:ascii="宋体" w:eastAsia="宋体" w:hAnsi="宋体" w:cs="Times New Roman"/>
                <w:szCs w:val="21"/>
              </w:rPr>
            </w:pPr>
            <w:r w:rsidRPr="00595E5E">
              <w:rPr>
                <w:rFonts w:ascii="宋体" w:eastAsia="宋体" w:hAnsi="宋体" w:cs="Times New Roman"/>
                <w:szCs w:val="21"/>
              </w:rPr>
              <w:t>1.00 - 1.48</w:t>
            </w:r>
          </w:p>
        </w:tc>
        <w:tc>
          <w:tcPr>
            <w:tcW w:w="1634"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jc w:val="right"/>
              <w:rPr>
                <w:rFonts w:ascii="宋体" w:eastAsia="宋体" w:hAnsi="宋体" w:cs="Times New Roman"/>
                <w:szCs w:val="21"/>
              </w:rPr>
            </w:pPr>
            <w:r w:rsidRPr="00595E5E">
              <w:rPr>
                <w:rFonts w:ascii="宋体" w:eastAsia="宋体" w:hAnsi="宋体" w:cs="Times New Roman"/>
                <w:szCs w:val="21"/>
              </w:rPr>
              <w:t>1.03 - 1.80</w:t>
            </w:r>
          </w:p>
        </w:tc>
        <w:tc>
          <w:tcPr>
            <w:tcW w:w="1635"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jc w:val="right"/>
              <w:rPr>
                <w:rFonts w:ascii="宋体" w:eastAsia="宋体" w:hAnsi="宋体" w:cs="Times New Roman"/>
                <w:szCs w:val="21"/>
              </w:rPr>
            </w:pPr>
            <w:r w:rsidRPr="00595E5E">
              <w:rPr>
                <w:rFonts w:ascii="宋体" w:eastAsia="宋体" w:hAnsi="宋体" w:cs="Times New Roman"/>
                <w:szCs w:val="21"/>
              </w:rPr>
              <w:t>1.16 - 1.85</w:t>
            </w:r>
          </w:p>
        </w:tc>
      </w:tr>
    </w:tbl>
    <w:p w:rsidR="00595E5E" w:rsidRPr="00595E5E" w:rsidRDefault="00595E5E" w:rsidP="00595E5E">
      <w:pPr>
        <w:spacing w:beforeLines="50" w:before="156"/>
        <w:ind w:firstLineChars="200" w:firstLine="420"/>
        <w:jc w:val="center"/>
        <w:rPr>
          <w:rFonts w:ascii="宋体" w:eastAsia="宋体" w:hAnsi="宋体" w:cs="Times New Roman"/>
          <w:szCs w:val="21"/>
        </w:rPr>
      </w:pPr>
      <w:r w:rsidRPr="00595E5E">
        <w:rPr>
          <w:rFonts w:ascii="宋体" w:eastAsia="宋体" w:hAnsi="宋体" w:cs="Times New Roman" w:hint="eastAsia"/>
          <w:szCs w:val="21"/>
        </w:rPr>
        <w:t>表2 B公司</w:t>
      </w:r>
      <w:proofErr w:type="gramStart"/>
      <w:r w:rsidRPr="00595E5E">
        <w:rPr>
          <w:rFonts w:ascii="宋体" w:eastAsia="宋体" w:hAnsi="宋体" w:cs="Times New Roman" w:hint="eastAsia"/>
          <w:szCs w:val="21"/>
        </w:rPr>
        <w:t>高铅渣</w:t>
      </w:r>
      <w:proofErr w:type="gramEnd"/>
      <w:r w:rsidRPr="00595E5E">
        <w:rPr>
          <w:rFonts w:ascii="宋体" w:eastAsia="宋体" w:hAnsi="宋体" w:cs="Times New Roman" w:hint="eastAsia"/>
          <w:szCs w:val="21"/>
        </w:rPr>
        <w:t>成分表（质量分数/%）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035"/>
        <w:gridCol w:w="1378"/>
        <w:gridCol w:w="1634"/>
        <w:gridCol w:w="1635"/>
      </w:tblGrid>
      <w:tr w:rsidR="00595E5E" w:rsidRPr="00595E5E" w:rsidTr="009371E8">
        <w:trPr>
          <w:trHeight w:val="347"/>
          <w:jc w:val="center"/>
        </w:trPr>
        <w:tc>
          <w:tcPr>
            <w:tcW w:w="2136" w:type="dxa"/>
            <w:gridSpan w:val="2"/>
            <w:vMerge w:val="restart"/>
            <w:vAlign w:val="center"/>
          </w:tcPr>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成分分析</w:t>
            </w:r>
          </w:p>
        </w:tc>
        <w:tc>
          <w:tcPr>
            <w:tcW w:w="4647" w:type="dxa"/>
            <w:gridSpan w:val="3"/>
            <w:vAlign w:val="center"/>
          </w:tcPr>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含量</w:t>
            </w:r>
          </w:p>
        </w:tc>
      </w:tr>
      <w:tr w:rsidR="00595E5E" w:rsidRPr="00595E5E" w:rsidTr="009371E8">
        <w:trPr>
          <w:trHeight w:val="347"/>
          <w:jc w:val="center"/>
        </w:trPr>
        <w:tc>
          <w:tcPr>
            <w:tcW w:w="2136" w:type="dxa"/>
            <w:gridSpan w:val="2"/>
            <w:vMerge/>
            <w:vAlign w:val="center"/>
          </w:tcPr>
          <w:p w:rsidR="00595E5E" w:rsidRPr="00595E5E" w:rsidRDefault="00595E5E" w:rsidP="00595E5E">
            <w:pPr>
              <w:spacing w:line="300" w:lineRule="exact"/>
              <w:jc w:val="center"/>
              <w:rPr>
                <w:rFonts w:ascii="宋体" w:eastAsia="宋体" w:hAnsi="宋体" w:cs="Times New Roman"/>
                <w:bCs/>
                <w:szCs w:val="21"/>
              </w:rPr>
            </w:pPr>
          </w:p>
        </w:tc>
        <w:tc>
          <w:tcPr>
            <w:tcW w:w="1378" w:type="dxa"/>
            <w:vAlign w:val="center"/>
          </w:tcPr>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2016</w:t>
            </w:r>
          </w:p>
        </w:tc>
        <w:tc>
          <w:tcPr>
            <w:tcW w:w="1634" w:type="dxa"/>
            <w:vAlign w:val="center"/>
          </w:tcPr>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2017</w:t>
            </w:r>
          </w:p>
        </w:tc>
        <w:tc>
          <w:tcPr>
            <w:tcW w:w="1635" w:type="dxa"/>
            <w:vAlign w:val="center"/>
          </w:tcPr>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2018</w:t>
            </w:r>
          </w:p>
        </w:tc>
      </w:tr>
      <w:tr w:rsidR="00595E5E" w:rsidRPr="00595E5E" w:rsidTr="009371E8">
        <w:trPr>
          <w:trHeight w:val="347"/>
          <w:jc w:val="center"/>
        </w:trPr>
        <w:tc>
          <w:tcPr>
            <w:tcW w:w="2136" w:type="dxa"/>
            <w:gridSpan w:val="2"/>
            <w:vMerge/>
            <w:vAlign w:val="center"/>
          </w:tcPr>
          <w:p w:rsidR="00595E5E" w:rsidRPr="00595E5E" w:rsidRDefault="00595E5E" w:rsidP="00595E5E">
            <w:pPr>
              <w:spacing w:line="300" w:lineRule="exact"/>
              <w:jc w:val="center"/>
              <w:rPr>
                <w:rFonts w:ascii="宋体" w:eastAsia="宋体" w:hAnsi="宋体" w:cs="Times New Roman"/>
                <w:bCs/>
                <w:szCs w:val="21"/>
              </w:rPr>
            </w:pPr>
          </w:p>
        </w:tc>
        <w:tc>
          <w:tcPr>
            <w:tcW w:w="1378" w:type="dxa"/>
            <w:vAlign w:val="center"/>
          </w:tcPr>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范围</w:t>
            </w:r>
          </w:p>
        </w:tc>
        <w:tc>
          <w:tcPr>
            <w:tcW w:w="1634" w:type="dxa"/>
            <w:vAlign w:val="center"/>
          </w:tcPr>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范围</w:t>
            </w:r>
          </w:p>
        </w:tc>
        <w:tc>
          <w:tcPr>
            <w:tcW w:w="1635" w:type="dxa"/>
            <w:vAlign w:val="center"/>
          </w:tcPr>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范围</w:t>
            </w:r>
          </w:p>
        </w:tc>
      </w:tr>
      <w:tr w:rsidR="00595E5E" w:rsidRPr="00595E5E" w:rsidTr="009371E8">
        <w:trPr>
          <w:trHeight w:val="347"/>
          <w:jc w:val="center"/>
        </w:trPr>
        <w:tc>
          <w:tcPr>
            <w:tcW w:w="1101" w:type="dxa"/>
            <w:vMerge w:val="restart"/>
            <w:vAlign w:val="center"/>
          </w:tcPr>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主要</w:t>
            </w:r>
          </w:p>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成分</w:t>
            </w:r>
          </w:p>
        </w:tc>
        <w:tc>
          <w:tcPr>
            <w:tcW w:w="1035" w:type="dxa"/>
          </w:tcPr>
          <w:p w:rsidR="00595E5E" w:rsidRPr="00595E5E" w:rsidRDefault="00595E5E" w:rsidP="00595E5E">
            <w:pPr>
              <w:spacing w:line="300" w:lineRule="exact"/>
              <w:jc w:val="center"/>
              <w:rPr>
                <w:rFonts w:ascii="宋体" w:eastAsia="宋体" w:hAnsi="宋体" w:cs="Times New Roman"/>
                <w:bCs/>
                <w:szCs w:val="21"/>
              </w:rPr>
            </w:pPr>
            <w:proofErr w:type="spellStart"/>
            <w:r w:rsidRPr="00595E5E">
              <w:rPr>
                <w:rFonts w:ascii="宋体" w:eastAsia="宋体" w:hAnsi="宋体" w:cs="Times New Roman" w:hint="eastAsia"/>
                <w:bCs/>
                <w:szCs w:val="21"/>
              </w:rPr>
              <w:t>Pb</w:t>
            </w:r>
            <w:proofErr w:type="spellEnd"/>
          </w:p>
        </w:tc>
        <w:tc>
          <w:tcPr>
            <w:tcW w:w="1378" w:type="dxa"/>
          </w:tcPr>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44-58</w:t>
            </w:r>
          </w:p>
        </w:tc>
        <w:tc>
          <w:tcPr>
            <w:tcW w:w="1634" w:type="dxa"/>
          </w:tcPr>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42-60</w:t>
            </w:r>
          </w:p>
        </w:tc>
        <w:tc>
          <w:tcPr>
            <w:tcW w:w="1635" w:type="dxa"/>
          </w:tcPr>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41-61</w:t>
            </w:r>
          </w:p>
        </w:tc>
      </w:tr>
      <w:tr w:rsidR="00595E5E" w:rsidRPr="00595E5E" w:rsidTr="009371E8">
        <w:trPr>
          <w:trHeight w:val="347"/>
          <w:jc w:val="center"/>
        </w:trPr>
        <w:tc>
          <w:tcPr>
            <w:tcW w:w="1101" w:type="dxa"/>
            <w:vMerge/>
          </w:tcPr>
          <w:p w:rsidR="00595E5E" w:rsidRPr="00595E5E" w:rsidRDefault="00595E5E" w:rsidP="00595E5E">
            <w:pPr>
              <w:spacing w:line="300" w:lineRule="exact"/>
              <w:jc w:val="center"/>
              <w:rPr>
                <w:rFonts w:ascii="宋体" w:eastAsia="宋体" w:hAnsi="宋体" w:cs="Times New Roman"/>
                <w:bCs/>
                <w:szCs w:val="21"/>
              </w:rPr>
            </w:pPr>
          </w:p>
        </w:tc>
        <w:tc>
          <w:tcPr>
            <w:tcW w:w="1035" w:type="dxa"/>
          </w:tcPr>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Zn</w:t>
            </w:r>
          </w:p>
        </w:tc>
        <w:tc>
          <w:tcPr>
            <w:tcW w:w="1378" w:type="dxa"/>
          </w:tcPr>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3.2-7.8</w:t>
            </w:r>
          </w:p>
        </w:tc>
        <w:tc>
          <w:tcPr>
            <w:tcW w:w="1634" w:type="dxa"/>
          </w:tcPr>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3.1-8</w:t>
            </w:r>
          </w:p>
        </w:tc>
        <w:tc>
          <w:tcPr>
            <w:tcW w:w="1635" w:type="dxa"/>
          </w:tcPr>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2.9-7.8</w:t>
            </w:r>
          </w:p>
        </w:tc>
      </w:tr>
      <w:tr w:rsidR="00595E5E" w:rsidRPr="00595E5E" w:rsidTr="009371E8">
        <w:trPr>
          <w:trHeight w:val="347"/>
          <w:jc w:val="center"/>
        </w:trPr>
        <w:tc>
          <w:tcPr>
            <w:tcW w:w="1101" w:type="dxa"/>
            <w:vMerge/>
          </w:tcPr>
          <w:p w:rsidR="00595E5E" w:rsidRPr="00595E5E" w:rsidRDefault="00595E5E" w:rsidP="00595E5E">
            <w:pPr>
              <w:spacing w:line="300" w:lineRule="exact"/>
              <w:jc w:val="center"/>
              <w:rPr>
                <w:rFonts w:ascii="宋体" w:eastAsia="宋体" w:hAnsi="宋体" w:cs="Times New Roman"/>
                <w:bCs/>
                <w:szCs w:val="21"/>
              </w:rPr>
            </w:pPr>
          </w:p>
        </w:tc>
        <w:tc>
          <w:tcPr>
            <w:tcW w:w="1035" w:type="dxa"/>
          </w:tcPr>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SiO2</w:t>
            </w:r>
          </w:p>
        </w:tc>
        <w:tc>
          <w:tcPr>
            <w:tcW w:w="1378" w:type="dxa"/>
          </w:tcPr>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3.4-5.9</w:t>
            </w:r>
          </w:p>
        </w:tc>
        <w:tc>
          <w:tcPr>
            <w:tcW w:w="1634" w:type="dxa"/>
          </w:tcPr>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3.1-5.9</w:t>
            </w:r>
          </w:p>
        </w:tc>
        <w:tc>
          <w:tcPr>
            <w:tcW w:w="1635" w:type="dxa"/>
          </w:tcPr>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3.43-6.29</w:t>
            </w:r>
          </w:p>
        </w:tc>
      </w:tr>
      <w:tr w:rsidR="00595E5E" w:rsidRPr="00595E5E" w:rsidTr="009371E8">
        <w:trPr>
          <w:trHeight w:val="347"/>
          <w:jc w:val="center"/>
        </w:trPr>
        <w:tc>
          <w:tcPr>
            <w:tcW w:w="1101" w:type="dxa"/>
            <w:vMerge/>
          </w:tcPr>
          <w:p w:rsidR="00595E5E" w:rsidRPr="00595E5E" w:rsidRDefault="00595E5E" w:rsidP="00595E5E">
            <w:pPr>
              <w:spacing w:line="300" w:lineRule="exact"/>
              <w:jc w:val="center"/>
              <w:rPr>
                <w:rFonts w:ascii="宋体" w:eastAsia="宋体" w:hAnsi="宋体" w:cs="Times New Roman"/>
                <w:bCs/>
                <w:szCs w:val="21"/>
              </w:rPr>
            </w:pPr>
          </w:p>
        </w:tc>
        <w:tc>
          <w:tcPr>
            <w:tcW w:w="1035" w:type="dxa"/>
            <w:tcBorders>
              <w:top w:val="single" w:sz="4" w:space="0" w:color="auto"/>
              <w:bottom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proofErr w:type="spellStart"/>
            <w:r w:rsidRPr="00595E5E">
              <w:rPr>
                <w:rFonts w:ascii="宋体" w:eastAsia="宋体" w:hAnsi="宋体" w:cs="Times New Roman" w:hint="eastAsia"/>
                <w:bCs/>
                <w:szCs w:val="21"/>
              </w:rPr>
              <w:t>CaO</w:t>
            </w:r>
            <w:proofErr w:type="spellEnd"/>
          </w:p>
        </w:tc>
        <w:tc>
          <w:tcPr>
            <w:tcW w:w="1378"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2.8-3.7</w:t>
            </w:r>
          </w:p>
        </w:tc>
        <w:tc>
          <w:tcPr>
            <w:tcW w:w="1634"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2.7-4.6</w:t>
            </w:r>
          </w:p>
        </w:tc>
        <w:tc>
          <w:tcPr>
            <w:tcW w:w="1635"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2.65-5.29</w:t>
            </w:r>
          </w:p>
        </w:tc>
      </w:tr>
      <w:tr w:rsidR="00595E5E" w:rsidRPr="00595E5E" w:rsidTr="009371E8">
        <w:trPr>
          <w:trHeight w:val="347"/>
          <w:jc w:val="center"/>
        </w:trPr>
        <w:tc>
          <w:tcPr>
            <w:tcW w:w="1101" w:type="dxa"/>
            <w:vMerge/>
          </w:tcPr>
          <w:p w:rsidR="00595E5E" w:rsidRPr="00595E5E" w:rsidRDefault="00595E5E" w:rsidP="00595E5E">
            <w:pPr>
              <w:spacing w:line="300" w:lineRule="exact"/>
              <w:jc w:val="center"/>
              <w:rPr>
                <w:rFonts w:ascii="宋体" w:eastAsia="宋体" w:hAnsi="宋体" w:cs="Times New Roman"/>
                <w:bCs/>
                <w:szCs w:val="21"/>
              </w:rPr>
            </w:pPr>
          </w:p>
        </w:tc>
        <w:tc>
          <w:tcPr>
            <w:tcW w:w="1035" w:type="dxa"/>
            <w:tcBorders>
              <w:top w:val="single" w:sz="4" w:space="0" w:color="auto"/>
              <w:bottom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proofErr w:type="spellStart"/>
            <w:r w:rsidRPr="00595E5E">
              <w:rPr>
                <w:rFonts w:ascii="宋体" w:eastAsia="宋体" w:hAnsi="宋体" w:cs="Times New Roman" w:hint="eastAsia"/>
                <w:bCs/>
                <w:szCs w:val="21"/>
              </w:rPr>
              <w:t>FeO</w:t>
            </w:r>
            <w:proofErr w:type="spellEnd"/>
          </w:p>
        </w:tc>
        <w:tc>
          <w:tcPr>
            <w:tcW w:w="1378"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8.8-13.8</w:t>
            </w:r>
          </w:p>
        </w:tc>
        <w:tc>
          <w:tcPr>
            <w:tcW w:w="1634"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8.02-14.9</w:t>
            </w:r>
          </w:p>
        </w:tc>
        <w:tc>
          <w:tcPr>
            <w:tcW w:w="1635"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8.32-14.7</w:t>
            </w:r>
          </w:p>
        </w:tc>
      </w:tr>
      <w:tr w:rsidR="00595E5E" w:rsidRPr="00595E5E" w:rsidTr="009371E8">
        <w:trPr>
          <w:trHeight w:val="347"/>
          <w:jc w:val="center"/>
        </w:trPr>
        <w:tc>
          <w:tcPr>
            <w:tcW w:w="1101" w:type="dxa"/>
            <w:vMerge/>
            <w:tcBorders>
              <w:bottom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p>
        </w:tc>
        <w:tc>
          <w:tcPr>
            <w:tcW w:w="1035" w:type="dxa"/>
            <w:tcBorders>
              <w:top w:val="single" w:sz="4" w:space="0" w:color="auto"/>
              <w:bottom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Cu</w:t>
            </w:r>
          </w:p>
        </w:tc>
        <w:tc>
          <w:tcPr>
            <w:tcW w:w="1378"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0.28-0.5</w:t>
            </w:r>
          </w:p>
        </w:tc>
        <w:tc>
          <w:tcPr>
            <w:tcW w:w="1634"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0.22-0.97</w:t>
            </w:r>
          </w:p>
        </w:tc>
        <w:tc>
          <w:tcPr>
            <w:tcW w:w="1635"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0.34-0.87</w:t>
            </w:r>
          </w:p>
        </w:tc>
      </w:tr>
      <w:tr w:rsidR="00595E5E" w:rsidRPr="00595E5E" w:rsidTr="009371E8">
        <w:trPr>
          <w:trHeight w:val="347"/>
          <w:jc w:val="center"/>
        </w:trPr>
        <w:tc>
          <w:tcPr>
            <w:tcW w:w="1101" w:type="dxa"/>
            <w:vMerge w:val="restart"/>
            <w:tcBorders>
              <w:top w:val="single" w:sz="4" w:space="0" w:color="auto"/>
              <w:left w:val="single" w:sz="4" w:space="0" w:color="auto"/>
              <w:right w:val="single" w:sz="4" w:space="0" w:color="auto"/>
            </w:tcBorders>
            <w:vAlign w:val="center"/>
          </w:tcPr>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杂质</w:t>
            </w:r>
          </w:p>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元素</w:t>
            </w:r>
          </w:p>
        </w:tc>
        <w:tc>
          <w:tcPr>
            <w:tcW w:w="1035"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As</w:t>
            </w:r>
          </w:p>
        </w:tc>
        <w:tc>
          <w:tcPr>
            <w:tcW w:w="1378"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0.4-0.8</w:t>
            </w:r>
          </w:p>
        </w:tc>
        <w:tc>
          <w:tcPr>
            <w:tcW w:w="1634"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0.38-0.93</w:t>
            </w:r>
          </w:p>
        </w:tc>
        <w:tc>
          <w:tcPr>
            <w:tcW w:w="1635"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0.16-0.78</w:t>
            </w:r>
          </w:p>
        </w:tc>
      </w:tr>
      <w:tr w:rsidR="00595E5E" w:rsidRPr="00595E5E" w:rsidTr="009371E8">
        <w:trPr>
          <w:trHeight w:val="347"/>
          <w:jc w:val="center"/>
        </w:trPr>
        <w:tc>
          <w:tcPr>
            <w:tcW w:w="1101" w:type="dxa"/>
            <w:vMerge/>
            <w:tcBorders>
              <w:left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p>
        </w:tc>
        <w:tc>
          <w:tcPr>
            <w:tcW w:w="1035"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Hg</w:t>
            </w:r>
          </w:p>
        </w:tc>
        <w:tc>
          <w:tcPr>
            <w:tcW w:w="1378"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p>
        </w:tc>
        <w:tc>
          <w:tcPr>
            <w:tcW w:w="1634"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p>
        </w:tc>
        <w:tc>
          <w:tcPr>
            <w:tcW w:w="1635"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p>
        </w:tc>
      </w:tr>
      <w:tr w:rsidR="00595E5E" w:rsidRPr="00595E5E" w:rsidTr="009371E8">
        <w:trPr>
          <w:trHeight w:val="347"/>
          <w:jc w:val="center"/>
        </w:trPr>
        <w:tc>
          <w:tcPr>
            <w:tcW w:w="1101" w:type="dxa"/>
            <w:vMerge/>
            <w:tcBorders>
              <w:left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p>
        </w:tc>
        <w:tc>
          <w:tcPr>
            <w:tcW w:w="1035"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Cd</w:t>
            </w:r>
          </w:p>
        </w:tc>
        <w:tc>
          <w:tcPr>
            <w:tcW w:w="1378"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p>
        </w:tc>
        <w:tc>
          <w:tcPr>
            <w:tcW w:w="1634"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p>
        </w:tc>
        <w:tc>
          <w:tcPr>
            <w:tcW w:w="1635"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p>
        </w:tc>
      </w:tr>
      <w:tr w:rsidR="00595E5E" w:rsidRPr="00595E5E" w:rsidTr="009371E8">
        <w:trPr>
          <w:trHeight w:val="347"/>
          <w:jc w:val="center"/>
        </w:trPr>
        <w:tc>
          <w:tcPr>
            <w:tcW w:w="1101" w:type="dxa"/>
            <w:vMerge/>
            <w:tcBorders>
              <w:left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p>
        </w:tc>
        <w:tc>
          <w:tcPr>
            <w:tcW w:w="1035"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Cr</w:t>
            </w:r>
          </w:p>
        </w:tc>
        <w:tc>
          <w:tcPr>
            <w:tcW w:w="1378"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p>
        </w:tc>
        <w:tc>
          <w:tcPr>
            <w:tcW w:w="1634"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p>
        </w:tc>
        <w:tc>
          <w:tcPr>
            <w:tcW w:w="1635"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p>
        </w:tc>
      </w:tr>
      <w:tr w:rsidR="00595E5E" w:rsidRPr="00595E5E" w:rsidTr="009371E8">
        <w:trPr>
          <w:trHeight w:val="347"/>
          <w:jc w:val="center"/>
        </w:trPr>
        <w:tc>
          <w:tcPr>
            <w:tcW w:w="1101" w:type="dxa"/>
            <w:vMerge/>
            <w:tcBorders>
              <w:left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p>
        </w:tc>
        <w:tc>
          <w:tcPr>
            <w:tcW w:w="1035"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F</w:t>
            </w:r>
          </w:p>
        </w:tc>
        <w:tc>
          <w:tcPr>
            <w:tcW w:w="1378"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p>
        </w:tc>
        <w:tc>
          <w:tcPr>
            <w:tcW w:w="1634"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p>
        </w:tc>
        <w:tc>
          <w:tcPr>
            <w:tcW w:w="1635"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p>
        </w:tc>
      </w:tr>
      <w:tr w:rsidR="00595E5E" w:rsidRPr="00595E5E" w:rsidTr="009371E8">
        <w:trPr>
          <w:trHeight w:val="347"/>
          <w:jc w:val="center"/>
        </w:trPr>
        <w:tc>
          <w:tcPr>
            <w:tcW w:w="1101" w:type="dxa"/>
            <w:vMerge/>
            <w:tcBorders>
              <w:left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p>
        </w:tc>
        <w:tc>
          <w:tcPr>
            <w:tcW w:w="1035"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Cl</w:t>
            </w:r>
          </w:p>
        </w:tc>
        <w:tc>
          <w:tcPr>
            <w:tcW w:w="1378"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p>
        </w:tc>
        <w:tc>
          <w:tcPr>
            <w:tcW w:w="1634"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p>
        </w:tc>
        <w:tc>
          <w:tcPr>
            <w:tcW w:w="1635"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p>
        </w:tc>
      </w:tr>
      <w:tr w:rsidR="00595E5E" w:rsidRPr="00595E5E" w:rsidTr="009371E8">
        <w:trPr>
          <w:trHeight w:val="347"/>
          <w:jc w:val="center"/>
        </w:trPr>
        <w:tc>
          <w:tcPr>
            <w:tcW w:w="1101" w:type="dxa"/>
            <w:vMerge/>
            <w:tcBorders>
              <w:left w:val="single" w:sz="4" w:space="0" w:color="auto"/>
              <w:bottom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p>
        </w:tc>
        <w:tc>
          <w:tcPr>
            <w:tcW w:w="1035"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S</w:t>
            </w:r>
          </w:p>
        </w:tc>
        <w:tc>
          <w:tcPr>
            <w:tcW w:w="1378"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0.1-1.1</w:t>
            </w:r>
          </w:p>
        </w:tc>
        <w:tc>
          <w:tcPr>
            <w:tcW w:w="1634"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0.09-1.28</w:t>
            </w:r>
          </w:p>
        </w:tc>
        <w:tc>
          <w:tcPr>
            <w:tcW w:w="1635"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0.1-1.3</w:t>
            </w:r>
          </w:p>
        </w:tc>
      </w:tr>
      <w:tr w:rsidR="00595E5E" w:rsidRPr="00595E5E" w:rsidTr="009371E8">
        <w:trPr>
          <w:trHeight w:val="347"/>
          <w:jc w:val="center"/>
        </w:trPr>
        <w:tc>
          <w:tcPr>
            <w:tcW w:w="1101" w:type="dxa"/>
            <w:vMerge w:val="restart"/>
            <w:tcBorders>
              <w:top w:val="single" w:sz="4" w:space="0" w:color="auto"/>
              <w:left w:val="single" w:sz="4" w:space="0" w:color="auto"/>
              <w:right w:val="single" w:sz="4" w:space="0" w:color="auto"/>
            </w:tcBorders>
            <w:vAlign w:val="center"/>
          </w:tcPr>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其他</w:t>
            </w:r>
          </w:p>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有价</w:t>
            </w:r>
          </w:p>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元素</w:t>
            </w:r>
          </w:p>
        </w:tc>
        <w:tc>
          <w:tcPr>
            <w:tcW w:w="1035"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w:t>
            </w:r>
          </w:p>
        </w:tc>
        <w:tc>
          <w:tcPr>
            <w:tcW w:w="1378"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p>
        </w:tc>
        <w:tc>
          <w:tcPr>
            <w:tcW w:w="1634"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p>
        </w:tc>
        <w:tc>
          <w:tcPr>
            <w:tcW w:w="1635"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p>
        </w:tc>
      </w:tr>
      <w:tr w:rsidR="00595E5E" w:rsidRPr="00595E5E" w:rsidTr="009371E8">
        <w:trPr>
          <w:trHeight w:val="347"/>
          <w:jc w:val="center"/>
        </w:trPr>
        <w:tc>
          <w:tcPr>
            <w:tcW w:w="1101" w:type="dxa"/>
            <w:vMerge/>
            <w:tcBorders>
              <w:left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p>
        </w:tc>
        <w:tc>
          <w:tcPr>
            <w:tcW w:w="1035"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w:t>
            </w:r>
          </w:p>
        </w:tc>
        <w:tc>
          <w:tcPr>
            <w:tcW w:w="1378"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p>
        </w:tc>
        <w:tc>
          <w:tcPr>
            <w:tcW w:w="1634"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p>
        </w:tc>
        <w:tc>
          <w:tcPr>
            <w:tcW w:w="1635"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p>
        </w:tc>
      </w:tr>
      <w:tr w:rsidR="00595E5E" w:rsidRPr="00595E5E" w:rsidTr="009371E8">
        <w:trPr>
          <w:trHeight w:val="347"/>
          <w:jc w:val="center"/>
        </w:trPr>
        <w:tc>
          <w:tcPr>
            <w:tcW w:w="1101" w:type="dxa"/>
            <w:vMerge/>
            <w:tcBorders>
              <w:left w:val="single" w:sz="4" w:space="0" w:color="auto"/>
              <w:bottom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p>
        </w:tc>
        <w:tc>
          <w:tcPr>
            <w:tcW w:w="1035"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r w:rsidRPr="00595E5E">
              <w:rPr>
                <w:rFonts w:ascii="宋体" w:eastAsia="宋体" w:hAnsi="宋体" w:cs="Times New Roman" w:hint="eastAsia"/>
                <w:bCs/>
                <w:szCs w:val="21"/>
              </w:rPr>
              <w:t>...</w:t>
            </w:r>
          </w:p>
        </w:tc>
        <w:tc>
          <w:tcPr>
            <w:tcW w:w="1378"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p>
        </w:tc>
        <w:tc>
          <w:tcPr>
            <w:tcW w:w="1634"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p>
        </w:tc>
        <w:tc>
          <w:tcPr>
            <w:tcW w:w="1635" w:type="dxa"/>
            <w:tcBorders>
              <w:top w:val="single" w:sz="4" w:space="0" w:color="auto"/>
              <w:left w:val="single" w:sz="4" w:space="0" w:color="auto"/>
              <w:bottom w:val="single" w:sz="4" w:space="0" w:color="auto"/>
              <w:right w:val="single" w:sz="4" w:space="0" w:color="auto"/>
            </w:tcBorders>
          </w:tcPr>
          <w:p w:rsidR="00595E5E" w:rsidRPr="00595E5E" w:rsidRDefault="00595E5E" w:rsidP="00595E5E">
            <w:pPr>
              <w:spacing w:line="300" w:lineRule="exact"/>
              <w:jc w:val="center"/>
              <w:rPr>
                <w:rFonts w:ascii="宋体" w:eastAsia="宋体" w:hAnsi="宋体" w:cs="Times New Roman"/>
                <w:bCs/>
                <w:szCs w:val="21"/>
              </w:rPr>
            </w:pPr>
          </w:p>
        </w:tc>
      </w:tr>
    </w:tbl>
    <w:p w:rsidR="00595E5E" w:rsidRPr="00595E5E" w:rsidRDefault="00595E5E" w:rsidP="00595E5E">
      <w:pPr>
        <w:spacing w:line="360" w:lineRule="exact"/>
        <w:ind w:firstLineChars="200" w:firstLine="420"/>
        <w:jc w:val="left"/>
        <w:rPr>
          <w:rFonts w:ascii="宋体" w:eastAsia="宋体" w:hAnsi="宋体" w:cs="Times New Roman"/>
          <w:szCs w:val="21"/>
        </w:rPr>
      </w:pPr>
      <w:r w:rsidRPr="00595E5E">
        <w:rPr>
          <w:rFonts w:ascii="宋体" w:eastAsia="宋体" w:hAnsi="宋体" w:cs="Times New Roman" w:hint="eastAsia"/>
          <w:szCs w:val="21"/>
        </w:rPr>
        <w:t>对典型企业的数据进行统计分析，如下图所示：</w:t>
      </w:r>
    </w:p>
    <w:p w:rsidR="00595E5E" w:rsidRPr="00595E5E" w:rsidRDefault="00595E5E" w:rsidP="00595E5E">
      <w:pPr>
        <w:ind w:firstLineChars="200" w:firstLine="420"/>
        <w:jc w:val="center"/>
        <w:rPr>
          <w:rFonts w:ascii="宋体" w:eastAsia="宋体" w:hAnsi="宋体" w:cs="Times New Roman"/>
          <w:szCs w:val="21"/>
        </w:rPr>
      </w:pPr>
      <w:r w:rsidRPr="00595E5E">
        <w:rPr>
          <w:rFonts w:ascii="宋体" w:eastAsia="宋体" w:hAnsi="宋体" w:cs="Times New Roman" w:hint="eastAsia"/>
          <w:noProof/>
          <w:szCs w:val="21"/>
        </w:rPr>
        <w:drawing>
          <wp:inline distT="0" distB="0" distL="0" distR="0" wp14:anchorId="634FB8C2" wp14:editId="046FE823">
            <wp:extent cx="3419475" cy="2276475"/>
            <wp:effectExtent l="1905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3419475" cy="2276475"/>
                    </a:xfrm>
                    <a:prstGeom prst="rect">
                      <a:avLst/>
                    </a:prstGeom>
                    <a:noFill/>
                    <a:ln w="9525">
                      <a:noFill/>
                      <a:miter lim="800000"/>
                      <a:headEnd/>
                      <a:tailEnd/>
                    </a:ln>
                  </pic:spPr>
                </pic:pic>
              </a:graphicData>
            </a:graphic>
          </wp:inline>
        </w:drawing>
      </w:r>
    </w:p>
    <w:p w:rsidR="00595E5E" w:rsidRPr="00595E5E" w:rsidRDefault="00595E5E" w:rsidP="00595E5E">
      <w:pPr>
        <w:ind w:firstLineChars="200" w:firstLine="420"/>
        <w:jc w:val="center"/>
        <w:rPr>
          <w:rFonts w:ascii="宋体" w:eastAsia="宋体" w:hAnsi="宋体" w:cs="Times New Roman"/>
          <w:szCs w:val="21"/>
        </w:rPr>
      </w:pPr>
      <w:r w:rsidRPr="00595E5E">
        <w:rPr>
          <w:rFonts w:ascii="宋体" w:eastAsia="宋体" w:hAnsi="宋体" w:cs="Times New Roman" w:hint="eastAsia"/>
          <w:szCs w:val="21"/>
        </w:rPr>
        <w:t>图3 A企业</w:t>
      </w:r>
      <w:proofErr w:type="gramStart"/>
      <w:r w:rsidRPr="00595E5E">
        <w:rPr>
          <w:rFonts w:ascii="宋体" w:eastAsia="宋体" w:hAnsi="宋体" w:cs="Times New Roman" w:hint="eastAsia"/>
          <w:szCs w:val="21"/>
        </w:rPr>
        <w:t>高铅渣铅</w:t>
      </w:r>
      <w:proofErr w:type="gramEnd"/>
      <w:r w:rsidRPr="00595E5E">
        <w:rPr>
          <w:rFonts w:ascii="宋体" w:eastAsia="宋体" w:hAnsi="宋体" w:cs="Times New Roman" w:hint="eastAsia"/>
          <w:szCs w:val="21"/>
        </w:rPr>
        <w:t>含量统计（2016～2018）</w:t>
      </w:r>
    </w:p>
    <w:p w:rsidR="00595E5E" w:rsidRPr="00595E5E" w:rsidRDefault="00595E5E" w:rsidP="00595E5E">
      <w:pPr>
        <w:ind w:firstLineChars="200" w:firstLine="420"/>
        <w:jc w:val="center"/>
        <w:rPr>
          <w:rFonts w:ascii="宋体" w:eastAsia="宋体" w:hAnsi="宋体" w:cs="Times New Roman"/>
          <w:szCs w:val="21"/>
        </w:rPr>
      </w:pPr>
    </w:p>
    <w:p w:rsidR="00595E5E" w:rsidRPr="00595E5E" w:rsidRDefault="00595E5E" w:rsidP="00595E5E">
      <w:pPr>
        <w:ind w:firstLineChars="200" w:firstLine="420"/>
        <w:jc w:val="center"/>
        <w:rPr>
          <w:rFonts w:ascii="宋体" w:eastAsia="宋体" w:hAnsi="宋体" w:cs="Times New Roman"/>
          <w:szCs w:val="21"/>
        </w:rPr>
      </w:pPr>
      <w:r w:rsidRPr="00595E5E">
        <w:rPr>
          <w:rFonts w:ascii="宋体" w:eastAsia="宋体" w:hAnsi="宋体" w:cs="Times New Roman" w:hint="eastAsia"/>
          <w:szCs w:val="21"/>
        </w:rPr>
        <w:t>表3 A企业</w:t>
      </w:r>
      <w:proofErr w:type="gramStart"/>
      <w:r w:rsidRPr="00595E5E">
        <w:rPr>
          <w:rFonts w:ascii="宋体" w:eastAsia="宋体" w:hAnsi="宋体" w:cs="Times New Roman" w:hint="eastAsia"/>
          <w:szCs w:val="21"/>
        </w:rPr>
        <w:t>高铅渣</w:t>
      </w:r>
      <w:proofErr w:type="gramEnd"/>
      <w:r w:rsidRPr="00595E5E">
        <w:rPr>
          <w:rFonts w:ascii="宋体" w:eastAsia="宋体" w:hAnsi="宋体" w:cs="Times New Roman" w:hint="eastAsia"/>
          <w:szCs w:val="21"/>
        </w:rPr>
        <w:t>含量统计表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6"/>
        <w:gridCol w:w="2372"/>
        <w:gridCol w:w="2072"/>
        <w:gridCol w:w="2072"/>
      </w:tblGrid>
      <w:tr w:rsidR="00595E5E" w:rsidRPr="00595E5E" w:rsidTr="009371E8">
        <w:tc>
          <w:tcPr>
            <w:tcW w:w="2006"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序号</w:t>
            </w:r>
          </w:p>
        </w:tc>
        <w:tc>
          <w:tcPr>
            <w:tcW w:w="23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组</w:t>
            </w:r>
          </w:p>
        </w:tc>
        <w:tc>
          <w:tcPr>
            <w:tcW w:w="20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频数</w:t>
            </w:r>
          </w:p>
        </w:tc>
        <w:tc>
          <w:tcPr>
            <w:tcW w:w="20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频率</w:t>
            </w:r>
          </w:p>
        </w:tc>
      </w:tr>
      <w:tr w:rsidR="00595E5E" w:rsidRPr="00595E5E" w:rsidTr="009371E8">
        <w:tc>
          <w:tcPr>
            <w:tcW w:w="2006"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1</w:t>
            </w:r>
          </w:p>
        </w:tc>
        <w:tc>
          <w:tcPr>
            <w:tcW w:w="23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[44.5,45.5]</w:t>
            </w:r>
          </w:p>
        </w:tc>
        <w:tc>
          <w:tcPr>
            <w:tcW w:w="20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1</w:t>
            </w:r>
          </w:p>
        </w:tc>
        <w:tc>
          <w:tcPr>
            <w:tcW w:w="20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0.03</w:t>
            </w:r>
          </w:p>
        </w:tc>
      </w:tr>
      <w:tr w:rsidR="00595E5E" w:rsidRPr="00595E5E" w:rsidTr="009371E8">
        <w:tc>
          <w:tcPr>
            <w:tcW w:w="2006"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2</w:t>
            </w:r>
          </w:p>
        </w:tc>
        <w:tc>
          <w:tcPr>
            <w:tcW w:w="23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[45.5,46.5]</w:t>
            </w:r>
          </w:p>
        </w:tc>
        <w:tc>
          <w:tcPr>
            <w:tcW w:w="20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0</w:t>
            </w:r>
          </w:p>
        </w:tc>
        <w:tc>
          <w:tcPr>
            <w:tcW w:w="20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0</w:t>
            </w:r>
          </w:p>
        </w:tc>
      </w:tr>
      <w:tr w:rsidR="00595E5E" w:rsidRPr="00595E5E" w:rsidTr="009371E8">
        <w:tc>
          <w:tcPr>
            <w:tcW w:w="2006"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3</w:t>
            </w:r>
          </w:p>
        </w:tc>
        <w:tc>
          <w:tcPr>
            <w:tcW w:w="23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[46.5,47.5]</w:t>
            </w:r>
          </w:p>
        </w:tc>
        <w:tc>
          <w:tcPr>
            <w:tcW w:w="20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5</w:t>
            </w:r>
          </w:p>
        </w:tc>
        <w:tc>
          <w:tcPr>
            <w:tcW w:w="20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0.14</w:t>
            </w:r>
          </w:p>
        </w:tc>
      </w:tr>
      <w:tr w:rsidR="00595E5E" w:rsidRPr="00595E5E" w:rsidTr="009371E8">
        <w:tc>
          <w:tcPr>
            <w:tcW w:w="2006"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4</w:t>
            </w:r>
          </w:p>
        </w:tc>
        <w:tc>
          <w:tcPr>
            <w:tcW w:w="23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[47.5,48.5]</w:t>
            </w:r>
          </w:p>
        </w:tc>
        <w:tc>
          <w:tcPr>
            <w:tcW w:w="20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6</w:t>
            </w:r>
          </w:p>
        </w:tc>
        <w:tc>
          <w:tcPr>
            <w:tcW w:w="20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0.17</w:t>
            </w:r>
          </w:p>
        </w:tc>
      </w:tr>
      <w:tr w:rsidR="00595E5E" w:rsidRPr="00595E5E" w:rsidTr="009371E8">
        <w:tc>
          <w:tcPr>
            <w:tcW w:w="2006"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5</w:t>
            </w:r>
          </w:p>
        </w:tc>
        <w:tc>
          <w:tcPr>
            <w:tcW w:w="23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[48.5,49.5]</w:t>
            </w:r>
          </w:p>
        </w:tc>
        <w:tc>
          <w:tcPr>
            <w:tcW w:w="20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6</w:t>
            </w:r>
          </w:p>
        </w:tc>
        <w:tc>
          <w:tcPr>
            <w:tcW w:w="20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0.17</w:t>
            </w:r>
          </w:p>
        </w:tc>
      </w:tr>
      <w:tr w:rsidR="00595E5E" w:rsidRPr="00595E5E" w:rsidTr="009371E8">
        <w:tc>
          <w:tcPr>
            <w:tcW w:w="2006"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6</w:t>
            </w:r>
          </w:p>
        </w:tc>
        <w:tc>
          <w:tcPr>
            <w:tcW w:w="23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[49.5,50.5]</w:t>
            </w:r>
          </w:p>
        </w:tc>
        <w:tc>
          <w:tcPr>
            <w:tcW w:w="20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9</w:t>
            </w:r>
          </w:p>
        </w:tc>
        <w:tc>
          <w:tcPr>
            <w:tcW w:w="20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0.25</w:t>
            </w:r>
          </w:p>
        </w:tc>
      </w:tr>
      <w:tr w:rsidR="00595E5E" w:rsidRPr="00595E5E" w:rsidTr="009371E8">
        <w:tc>
          <w:tcPr>
            <w:tcW w:w="2006"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lastRenderedPageBreak/>
              <w:t>7</w:t>
            </w:r>
          </w:p>
        </w:tc>
        <w:tc>
          <w:tcPr>
            <w:tcW w:w="23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[50.5,51.5]</w:t>
            </w:r>
          </w:p>
        </w:tc>
        <w:tc>
          <w:tcPr>
            <w:tcW w:w="20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7</w:t>
            </w:r>
          </w:p>
        </w:tc>
        <w:tc>
          <w:tcPr>
            <w:tcW w:w="20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0.19</w:t>
            </w:r>
          </w:p>
        </w:tc>
      </w:tr>
      <w:tr w:rsidR="00595E5E" w:rsidRPr="00595E5E" w:rsidTr="009371E8">
        <w:tc>
          <w:tcPr>
            <w:tcW w:w="2006"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8</w:t>
            </w:r>
          </w:p>
        </w:tc>
        <w:tc>
          <w:tcPr>
            <w:tcW w:w="23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[51.5,52.5]</w:t>
            </w:r>
          </w:p>
        </w:tc>
        <w:tc>
          <w:tcPr>
            <w:tcW w:w="20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1</w:t>
            </w:r>
          </w:p>
        </w:tc>
        <w:tc>
          <w:tcPr>
            <w:tcW w:w="20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0.03</w:t>
            </w:r>
          </w:p>
        </w:tc>
      </w:tr>
      <w:tr w:rsidR="00595E5E" w:rsidRPr="00595E5E" w:rsidTr="009371E8">
        <w:tc>
          <w:tcPr>
            <w:tcW w:w="2006"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9</w:t>
            </w:r>
          </w:p>
        </w:tc>
        <w:tc>
          <w:tcPr>
            <w:tcW w:w="23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[52.5,53.5]</w:t>
            </w:r>
          </w:p>
        </w:tc>
        <w:tc>
          <w:tcPr>
            <w:tcW w:w="20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0</w:t>
            </w:r>
          </w:p>
        </w:tc>
        <w:tc>
          <w:tcPr>
            <w:tcW w:w="20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0</w:t>
            </w:r>
          </w:p>
        </w:tc>
      </w:tr>
      <w:tr w:rsidR="00595E5E" w:rsidRPr="00595E5E" w:rsidTr="009371E8">
        <w:tc>
          <w:tcPr>
            <w:tcW w:w="2006"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10</w:t>
            </w:r>
          </w:p>
        </w:tc>
        <w:tc>
          <w:tcPr>
            <w:tcW w:w="23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[53.5,54.5]</w:t>
            </w:r>
          </w:p>
        </w:tc>
        <w:tc>
          <w:tcPr>
            <w:tcW w:w="20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1</w:t>
            </w:r>
          </w:p>
        </w:tc>
        <w:tc>
          <w:tcPr>
            <w:tcW w:w="20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0.03</w:t>
            </w:r>
          </w:p>
        </w:tc>
      </w:tr>
      <w:tr w:rsidR="00595E5E" w:rsidRPr="00595E5E" w:rsidTr="009371E8">
        <w:tc>
          <w:tcPr>
            <w:tcW w:w="2006"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合计</w:t>
            </w:r>
          </w:p>
        </w:tc>
        <w:tc>
          <w:tcPr>
            <w:tcW w:w="23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w:t>
            </w:r>
          </w:p>
        </w:tc>
        <w:tc>
          <w:tcPr>
            <w:tcW w:w="20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36</w:t>
            </w:r>
          </w:p>
        </w:tc>
        <w:tc>
          <w:tcPr>
            <w:tcW w:w="20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w:t>
            </w:r>
          </w:p>
        </w:tc>
      </w:tr>
    </w:tbl>
    <w:p w:rsidR="00595E5E" w:rsidRPr="00595E5E" w:rsidRDefault="00595E5E" w:rsidP="00595E5E">
      <w:pPr>
        <w:ind w:firstLineChars="200" w:firstLine="420"/>
        <w:jc w:val="center"/>
        <w:rPr>
          <w:rFonts w:ascii="宋体" w:eastAsia="宋体" w:hAnsi="宋体" w:cs="Times New Roman"/>
          <w:szCs w:val="21"/>
        </w:rPr>
      </w:pPr>
    </w:p>
    <w:p w:rsidR="00595E5E" w:rsidRPr="00595E5E" w:rsidRDefault="00595E5E" w:rsidP="00595E5E">
      <w:pPr>
        <w:ind w:firstLineChars="200" w:firstLine="420"/>
        <w:jc w:val="center"/>
        <w:rPr>
          <w:rFonts w:ascii="宋体" w:eastAsia="宋体" w:hAnsi="宋体" w:cs="Times New Roman"/>
          <w:szCs w:val="21"/>
        </w:rPr>
      </w:pPr>
      <w:r w:rsidRPr="00595E5E">
        <w:rPr>
          <w:rFonts w:ascii="宋体" w:eastAsia="宋体" w:hAnsi="宋体" w:cs="Times New Roman" w:hint="eastAsia"/>
          <w:noProof/>
          <w:szCs w:val="21"/>
        </w:rPr>
        <w:drawing>
          <wp:inline distT="0" distB="0" distL="0" distR="0" wp14:anchorId="4E8F8440" wp14:editId="72D17293">
            <wp:extent cx="3648075" cy="2438400"/>
            <wp:effectExtent l="1905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3648075" cy="2438400"/>
                    </a:xfrm>
                    <a:prstGeom prst="rect">
                      <a:avLst/>
                    </a:prstGeom>
                    <a:noFill/>
                    <a:ln w="9525">
                      <a:noFill/>
                      <a:miter lim="800000"/>
                      <a:headEnd/>
                      <a:tailEnd/>
                    </a:ln>
                  </pic:spPr>
                </pic:pic>
              </a:graphicData>
            </a:graphic>
          </wp:inline>
        </w:drawing>
      </w:r>
    </w:p>
    <w:p w:rsidR="00595E5E" w:rsidRPr="00595E5E" w:rsidRDefault="00595E5E" w:rsidP="00595E5E">
      <w:pPr>
        <w:ind w:firstLineChars="200" w:firstLine="420"/>
        <w:jc w:val="center"/>
        <w:rPr>
          <w:rFonts w:ascii="宋体" w:eastAsia="宋体" w:hAnsi="宋体" w:cs="Times New Roman"/>
          <w:szCs w:val="21"/>
        </w:rPr>
      </w:pPr>
      <w:r w:rsidRPr="00595E5E">
        <w:rPr>
          <w:rFonts w:ascii="宋体" w:eastAsia="宋体" w:hAnsi="宋体" w:cs="Times New Roman" w:hint="eastAsia"/>
          <w:szCs w:val="21"/>
        </w:rPr>
        <w:t>图4 B企业</w:t>
      </w:r>
      <w:proofErr w:type="gramStart"/>
      <w:r w:rsidRPr="00595E5E">
        <w:rPr>
          <w:rFonts w:ascii="宋体" w:eastAsia="宋体" w:hAnsi="宋体" w:cs="Times New Roman" w:hint="eastAsia"/>
          <w:szCs w:val="21"/>
        </w:rPr>
        <w:t>高铅渣铅</w:t>
      </w:r>
      <w:proofErr w:type="gramEnd"/>
      <w:r w:rsidRPr="00595E5E">
        <w:rPr>
          <w:rFonts w:ascii="宋体" w:eastAsia="宋体" w:hAnsi="宋体" w:cs="Times New Roman" w:hint="eastAsia"/>
          <w:szCs w:val="21"/>
        </w:rPr>
        <w:t>含量统计（2016～2018）</w:t>
      </w:r>
    </w:p>
    <w:p w:rsidR="00595E5E" w:rsidRPr="00595E5E" w:rsidRDefault="00595E5E" w:rsidP="00595E5E">
      <w:pPr>
        <w:ind w:firstLineChars="200" w:firstLine="420"/>
        <w:jc w:val="center"/>
        <w:rPr>
          <w:rFonts w:ascii="宋体" w:eastAsia="宋体" w:hAnsi="宋体" w:cs="Times New Roman"/>
          <w:szCs w:val="21"/>
        </w:rPr>
      </w:pPr>
    </w:p>
    <w:p w:rsidR="00595E5E" w:rsidRPr="00595E5E" w:rsidRDefault="00595E5E" w:rsidP="00595E5E">
      <w:pPr>
        <w:ind w:firstLineChars="200" w:firstLine="420"/>
        <w:jc w:val="center"/>
        <w:rPr>
          <w:rFonts w:ascii="宋体" w:eastAsia="宋体" w:hAnsi="宋体" w:cs="Times New Roman"/>
          <w:szCs w:val="21"/>
        </w:rPr>
      </w:pPr>
      <w:r w:rsidRPr="00595E5E">
        <w:rPr>
          <w:rFonts w:ascii="宋体" w:eastAsia="宋体" w:hAnsi="宋体" w:cs="Times New Roman" w:hint="eastAsia"/>
          <w:szCs w:val="21"/>
        </w:rPr>
        <w:t>表4 B企业</w:t>
      </w:r>
      <w:proofErr w:type="gramStart"/>
      <w:r w:rsidRPr="00595E5E">
        <w:rPr>
          <w:rFonts w:ascii="宋体" w:eastAsia="宋体" w:hAnsi="宋体" w:cs="Times New Roman" w:hint="eastAsia"/>
          <w:szCs w:val="21"/>
        </w:rPr>
        <w:t>高铅渣</w:t>
      </w:r>
      <w:proofErr w:type="gramEnd"/>
      <w:r w:rsidRPr="00595E5E">
        <w:rPr>
          <w:rFonts w:ascii="宋体" w:eastAsia="宋体" w:hAnsi="宋体" w:cs="Times New Roman" w:hint="eastAsia"/>
          <w:szCs w:val="21"/>
        </w:rPr>
        <w:t>含量统计表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6"/>
        <w:gridCol w:w="2372"/>
        <w:gridCol w:w="2072"/>
        <w:gridCol w:w="2072"/>
      </w:tblGrid>
      <w:tr w:rsidR="00595E5E" w:rsidRPr="00595E5E" w:rsidTr="009371E8">
        <w:tc>
          <w:tcPr>
            <w:tcW w:w="2006"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序号</w:t>
            </w:r>
          </w:p>
        </w:tc>
        <w:tc>
          <w:tcPr>
            <w:tcW w:w="23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组</w:t>
            </w:r>
          </w:p>
        </w:tc>
        <w:tc>
          <w:tcPr>
            <w:tcW w:w="20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频数</w:t>
            </w:r>
          </w:p>
        </w:tc>
        <w:tc>
          <w:tcPr>
            <w:tcW w:w="20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频率</w:t>
            </w:r>
          </w:p>
        </w:tc>
      </w:tr>
      <w:tr w:rsidR="00595E5E" w:rsidRPr="00595E5E" w:rsidTr="009371E8">
        <w:tc>
          <w:tcPr>
            <w:tcW w:w="2006"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1</w:t>
            </w:r>
          </w:p>
        </w:tc>
        <w:tc>
          <w:tcPr>
            <w:tcW w:w="23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[33.75,36.25]</w:t>
            </w:r>
          </w:p>
        </w:tc>
        <w:tc>
          <w:tcPr>
            <w:tcW w:w="20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1</w:t>
            </w:r>
          </w:p>
        </w:tc>
        <w:tc>
          <w:tcPr>
            <w:tcW w:w="20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0.03</w:t>
            </w:r>
          </w:p>
        </w:tc>
      </w:tr>
      <w:tr w:rsidR="00595E5E" w:rsidRPr="00595E5E" w:rsidTr="009371E8">
        <w:tc>
          <w:tcPr>
            <w:tcW w:w="2006"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2</w:t>
            </w:r>
          </w:p>
        </w:tc>
        <w:tc>
          <w:tcPr>
            <w:tcW w:w="23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[36.25,38.75]</w:t>
            </w:r>
          </w:p>
        </w:tc>
        <w:tc>
          <w:tcPr>
            <w:tcW w:w="20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0</w:t>
            </w:r>
          </w:p>
        </w:tc>
        <w:tc>
          <w:tcPr>
            <w:tcW w:w="20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0</w:t>
            </w:r>
          </w:p>
        </w:tc>
      </w:tr>
      <w:tr w:rsidR="00595E5E" w:rsidRPr="00595E5E" w:rsidTr="009371E8">
        <w:tc>
          <w:tcPr>
            <w:tcW w:w="2006"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3</w:t>
            </w:r>
          </w:p>
        </w:tc>
        <w:tc>
          <w:tcPr>
            <w:tcW w:w="23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[38.75,41.25]</w:t>
            </w:r>
          </w:p>
        </w:tc>
        <w:tc>
          <w:tcPr>
            <w:tcW w:w="20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1</w:t>
            </w:r>
          </w:p>
        </w:tc>
        <w:tc>
          <w:tcPr>
            <w:tcW w:w="20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0.03</w:t>
            </w:r>
          </w:p>
        </w:tc>
      </w:tr>
      <w:tr w:rsidR="00595E5E" w:rsidRPr="00595E5E" w:rsidTr="009371E8">
        <w:tc>
          <w:tcPr>
            <w:tcW w:w="2006"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4</w:t>
            </w:r>
          </w:p>
        </w:tc>
        <w:tc>
          <w:tcPr>
            <w:tcW w:w="23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[41.25,43.75]</w:t>
            </w:r>
          </w:p>
        </w:tc>
        <w:tc>
          <w:tcPr>
            <w:tcW w:w="20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2</w:t>
            </w:r>
          </w:p>
        </w:tc>
        <w:tc>
          <w:tcPr>
            <w:tcW w:w="20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0.06</w:t>
            </w:r>
          </w:p>
        </w:tc>
      </w:tr>
      <w:tr w:rsidR="00595E5E" w:rsidRPr="00595E5E" w:rsidTr="009371E8">
        <w:tc>
          <w:tcPr>
            <w:tcW w:w="2006"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5</w:t>
            </w:r>
          </w:p>
        </w:tc>
        <w:tc>
          <w:tcPr>
            <w:tcW w:w="23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[43.75,46.25]</w:t>
            </w:r>
          </w:p>
        </w:tc>
        <w:tc>
          <w:tcPr>
            <w:tcW w:w="20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3</w:t>
            </w:r>
          </w:p>
        </w:tc>
        <w:tc>
          <w:tcPr>
            <w:tcW w:w="20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0.09</w:t>
            </w:r>
          </w:p>
        </w:tc>
      </w:tr>
      <w:tr w:rsidR="00595E5E" w:rsidRPr="00595E5E" w:rsidTr="009371E8">
        <w:tc>
          <w:tcPr>
            <w:tcW w:w="2006"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6</w:t>
            </w:r>
          </w:p>
        </w:tc>
        <w:tc>
          <w:tcPr>
            <w:tcW w:w="23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[46.25,48.75]</w:t>
            </w:r>
          </w:p>
        </w:tc>
        <w:tc>
          <w:tcPr>
            <w:tcW w:w="20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15</w:t>
            </w:r>
          </w:p>
        </w:tc>
        <w:tc>
          <w:tcPr>
            <w:tcW w:w="20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0.43</w:t>
            </w:r>
          </w:p>
        </w:tc>
      </w:tr>
      <w:tr w:rsidR="00595E5E" w:rsidRPr="00595E5E" w:rsidTr="009371E8">
        <w:tc>
          <w:tcPr>
            <w:tcW w:w="2006"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7</w:t>
            </w:r>
          </w:p>
        </w:tc>
        <w:tc>
          <w:tcPr>
            <w:tcW w:w="23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[48.75,51.25]</w:t>
            </w:r>
          </w:p>
        </w:tc>
        <w:tc>
          <w:tcPr>
            <w:tcW w:w="20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11</w:t>
            </w:r>
          </w:p>
        </w:tc>
        <w:tc>
          <w:tcPr>
            <w:tcW w:w="20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0.31</w:t>
            </w:r>
          </w:p>
        </w:tc>
      </w:tr>
      <w:tr w:rsidR="00595E5E" w:rsidRPr="00595E5E" w:rsidTr="009371E8">
        <w:tc>
          <w:tcPr>
            <w:tcW w:w="2006"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8</w:t>
            </w:r>
          </w:p>
        </w:tc>
        <w:tc>
          <w:tcPr>
            <w:tcW w:w="23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[51.25,53.75]</w:t>
            </w:r>
          </w:p>
        </w:tc>
        <w:tc>
          <w:tcPr>
            <w:tcW w:w="20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2</w:t>
            </w:r>
          </w:p>
        </w:tc>
        <w:tc>
          <w:tcPr>
            <w:tcW w:w="20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0.06</w:t>
            </w:r>
          </w:p>
        </w:tc>
      </w:tr>
      <w:tr w:rsidR="00595E5E" w:rsidRPr="00595E5E" w:rsidTr="009371E8">
        <w:tc>
          <w:tcPr>
            <w:tcW w:w="2006"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合计</w:t>
            </w:r>
          </w:p>
        </w:tc>
        <w:tc>
          <w:tcPr>
            <w:tcW w:w="23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w:t>
            </w:r>
          </w:p>
        </w:tc>
        <w:tc>
          <w:tcPr>
            <w:tcW w:w="20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35</w:t>
            </w:r>
          </w:p>
        </w:tc>
        <w:tc>
          <w:tcPr>
            <w:tcW w:w="2072"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w:t>
            </w:r>
          </w:p>
        </w:tc>
      </w:tr>
    </w:tbl>
    <w:p w:rsidR="00595E5E" w:rsidRPr="00595E5E" w:rsidRDefault="00595E5E" w:rsidP="00595E5E">
      <w:pPr>
        <w:spacing w:line="360" w:lineRule="exact"/>
        <w:jc w:val="left"/>
        <w:rPr>
          <w:rFonts w:ascii="宋体" w:eastAsia="宋体" w:hAnsi="宋体" w:cs="Times New Roman"/>
          <w:szCs w:val="21"/>
        </w:rPr>
      </w:pPr>
      <w:r w:rsidRPr="00595E5E">
        <w:rPr>
          <w:rFonts w:ascii="宋体" w:eastAsia="宋体" w:hAnsi="宋体" w:cs="Times New Roman" w:hint="eastAsia"/>
          <w:szCs w:val="21"/>
        </w:rPr>
        <w:t xml:space="preserve">    由A企业</w:t>
      </w:r>
      <w:proofErr w:type="gramStart"/>
      <w:r w:rsidRPr="00595E5E">
        <w:rPr>
          <w:rFonts w:ascii="宋体" w:eastAsia="宋体" w:hAnsi="宋体" w:cs="Times New Roman" w:hint="eastAsia"/>
          <w:szCs w:val="21"/>
        </w:rPr>
        <w:t>高铅渣铅</w:t>
      </w:r>
      <w:proofErr w:type="gramEnd"/>
      <w:r w:rsidRPr="00595E5E">
        <w:rPr>
          <w:rFonts w:ascii="宋体" w:eastAsia="宋体" w:hAnsi="宋体" w:cs="Times New Roman" w:hint="eastAsia"/>
          <w:szCs w:val="21"/>
        </w:rPr>
        <w:t>含量的统计数据可得，铅的含量基本分布于45.5%～52.5%，频率约为0.94，由B企业的统计数据可得，铅的含量基本分布于43.75%～53.75%，频率约为0.90。根据现有统计结果，</w:t>
      </w:r>
      <w:proofErr w:type="gramStart"/>
      <w:r w:rsidRPr="00595E5E">
        <w:rPr>
          <w:rFonts w:ascii="宋体" w:eastAsia="宋体" w:hAnsi="宋体" w:cs="Times New Roman" w:hint="eastAsia"/>
          <w:szCs w:val="21"/>
        </w:rPr>
        <w:t>对高铅渣中</w:t>
      </w:r>
      <w:proofErr w:type="gramEnd"/>
      <w:r w:rsidRPr="00595E5E">
        <w:rPr>
          <w:rFonts w:ascii="宋体" w:eastAsia="宋体" w:hAnsi="宋体" w:cs="Times New Roman" w:hint="eastAsia"/>
          <w:szCs w:val="21"/>
        </w:rPr>
        <w:t>铅品位的范围</w:t>
      </w:r>
      <w:proofErr w:type="gramStart"/>
      <w:r w:rsidRPr="00595E5E">
        <w:rPr>
          <w:rFonts w:ascii="宋体" w:eastAsia="宋体" w:hAnsi="宋体" w:cs="Times New Roman" w:hint="eastAsia"/>
          <w:szCs w:val="21"/>
        </w:rPr>
        <w:t>作出</w:t>
      </w:r>
      <w:proofErr w:type="gramEnd"/>
      <w:r w:rsidRPr="00595E5E">
        <w:rPr>
          <w:rFonts w:ascii="宋体" w:eastAsia="宋体" w:hAnsi="宋体" w:cs="Times New Roman" w:hint="eastAsia"/>
          <w:szCs w:val="21"/>
        </w:rPr>
        <w:t>规定，</w:t>
      </w:r>
      <w:proofErr w:type="gramStart"/>
      <w:r w:rsidRPr="00595E5E">
        <w:rPr>
          <w:rFonts w:ascii="宋体" w:eastAsia="宋体" w:hAnsi="宋体" w:cs="Times New Roman" w:hint="eastAsia"/>
          <w:szCs w:val="21"/>
        </w:rPr>
        <w:t>高铅渣</w:t>
      </w:r>
      <w:proofErr w:type="gramEnd"/>
      <w:r w:rsidRPr="00595E5E">
        <w:rPr>
          <w:rFonts w:ascii="宋体" w:eastAsia="宋体" w:hAnsi="宋体" w:cs="Times New Roman" w:hint="eastAsia"/>
          <w:szCs w:val="21"/>
        </w:rPr>
        <w:t>的主要成分铅的含量需不小于50%，产品品级如下表所示：</w:t>
      </w:r>
    </w:p>
    <w:p w:rsidR="00595E5E" w:rsidRPr="00595E5E" w:rsidRDefault="00595E5E" w:rsidP="00595E5E">
      <w:pPr>
        <w:spacing w:line="360" w:lineRule="exact"/>
        <w:ind w:firstLineChars="200" w:firstLine="420"/>
        <w:jc w:val="center"/>
        <w:rPr>
          <w:rFonts w:ascii="宋体" w:eastAsia="宋体" w:hAnsi="宋体" w:cs="Times New Roman"/>
          <w:szCs w:val="21"/>
        </w:rPr>
      </w:pPr>
      <w:r w:rsidRPr="00595E5E">
        <w:rPr>
          <w:rFonts w:ascii="宋体" w:eastAsia="宋体" w:hAnsi="宋体" w:cs="Times New Roman" w:hint="eastAsia"/>
          <w:szCs w:val="21"/>
        </w:rPr>
        <w:t xml:space="preserve">表4 </w:t>
      </w:r>
      <w:proofErr w:type="gramStart"/>
      <w:r w:rsidRPr="00595E5E">
        <w:rPr>
          <w:rFonts w:ascii="宋体" w:eastAsia="宋体" w:hAnsi="宋体" w:cs="Times New Roman" w:hint="eastAsia"/>
          <w:szCs w:val="21"/>
        </w:rPr>
        <w:t>高铅渣</w:t>
      </w:r>
      <w:proofErr w:type="gramEnd"/>
      <w:r w:rsidRPr="00595E5E">
        <w:rPr>
          <w:rFonts w:ascii="宋体" w:eastAsia="宋体" w:hAnsi="宋体" w:cs="Times New Roman" w:hint="eastAsia"/>
          <w:szCs w:val="21"/>
        </w:rPr>
        <w:t>品级分类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1"/>
        <w:gridCol w:w="4261"/>
      </w:tblGrid>
      <w:tr w:rsidR="00595E5E" w:rsidRPr="00595E5E" w:rsidTr="009371E8">
        <w:tc>
          <w:tcPr>
            <w:tcW w:w="4261"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品级</w:t>
            </w:r>
          </w:p>
        </w:tc>
        <w:tc>
          <w:tcPr>
            <w:tcW w:w="4261"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铅品位，不小于（质量分数/%）</w:t>
            </w:r>
          </w:p>
        </w:tc>
      </w:tr>
      <w:tr w:rsidR="00595E5E" w:rsidRPr="00595E5E" w:rsidTr="009371E8">
        <w:tc>
          <w:tcPr>
            <w:tcW w:w="4261"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Pb55</w:t>
            </w:r>
          </w:p>
        </w:tc>
        <w:tc>
          <w:tcPr>
            <w:tcW w:w="4261"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55</w:t>
            </w:r>
          </w:p>
        </w:tc>
      </w:tr>
      <w:tr w:rsidR="00595E5E" w:rsidRPr="00595E5E" w:rsidTr="009371E8">
        <w:tc>
          <w:tcPr>
            <w:tcW w:w="4261"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Pb50</w:t>
            </w:r>
          </w:p>
        </w:tc>
        <w:tc>
          <w:tcPr>
            <w:tcW w:w="4261" w:type="dxa"/>
          </w:tcPr>
          <w:p w:rsidR="00595E5E" w:rsidRPr="00595E5E" w:rsidRDefault="00595E5E" w:rsidP="00595E5E">
            <w:pPr>
              <w:jc w:val="center"/>
              <w:rPr>
                <w:rFonts w:ascii="宋体" w:eastAsia="宋体" w:hAnsi="宋体" w:cs="Times New Roman"/>
                <w:szCs w:val="21"/>
              </w:rPr>
            </w:pPr>
            <w:r w:rsidRPr="00595E5E">
              <w:rPr>
                <w:rFonts w:ascii="宋体" w:eastAsia="宋体" w:hAnsi="宋体" w:cs="Times New Roman" w:hint="eastAsia"/>
                <w:szCs w:val="21"/>
              </w:rPr>
              <w:t>50</w:t>
            </w:r>
          </w:p>
        </w:tc>
      </w:tr>
    </w:tbl>
    <w:p w:rsidR="00595E5E" w:rsidRPr="00595E5E" w:rsidRDefault="00595E5E" w:rsidP="00595E5E">
      <w:pPr>
        <w:spacing w:line="360" w:lineRule="exact"/>
        <w:rPr>
          <w:rFonts w:ascii="宋体" w:eastAsia="宋体" w:hAnsi="宋体" w:cs="Times New Roman"/>
          <w:szCs w:val="21"/>
        </w:rPr>
      </w:pPr>
      <w:r w:rsidRPr="00595E5E">
        <w:rPr>
          <w:rFonts w:ascii="宋体" w:eastAsia="宋体" w:hAnsi="宋体" w:cs="Times New Roman" w:hint="eastAsia"/>
          <w:szCs w:val="21"/>
        </w:rPr>
        <w:t>5.2.4.2 其他元素的确认</w:t>
      </w:r>
    </w:p>
    <w:p w:rsidR="00595E5E" w:rsidRPr="00595E5E" w:rsidRDefault="00595E5E" w:rsidP="00595E5E">
      <w:pPr>
        <w:spacing w:line="360" w:lineRule="exact"/>
        <w:rPr>
          <w:rFonts w:ascii="宋体" w:eastAsia="宋体" w:hAnsi="宋体" w:cs="Times New Roman"/>
          <w:szCs w:val="21"/>
        </w:rPr>
      </w:pPr>
      <w:r w:rsidRPr="00595E5E">
        <w:rPr>
          <w:rFonts w:ascii="宋体" w:eastAsia="宋体" w:hAnsi="宋体" w:cs="Times New Roman" w:hint="eastAsia"/>
          <w:szCs w:val="21"/>
        </w:rPr>
        <w:t xml:space="preserve">    </w:t>
      </w:r>
      <w:proofErr w:type="gramStart"/>
      <w:r w:rsidRPr="00595E5E">
        <w:rPr>
          <w:rFonts w:ascii="宋体" w:eastAsia="宋体" w:hAnsi="宋体" w:cs="Times New Roman" w:hint="eastAsia"/>
          <w:szCs w:val="21"/>
        </w:rPr>
        <w:t>高铅渣中</w:t>
      </w:r>
      <w:proofErr w:type="gramEnd"/>
      <w:r w:rsidRPr="00595E5E">
        <w:rPr>
          <w:rFonts w:ascii="宋体" w:eastAsia="宋体" w:hAnsi="宋体" w:cs="Times New Roman" w:hint="eastAsia"/>
          <w:szCs w:val="21"/>
        </w:rPr>
        <w:t>的主要成分除主元素铅外，还包括氧化锌、二氧化硅、铁及氧化钙，其他杂质</w:t>
      </w:r>
      <w:r w:rsidRPr="00595E5E">
        <w:rPr>
          <w:rFonts w:ascii="宋体" w:eastAsia="宋体" w:hAnsi="宋体" w:cs="Times New Roman" w:hint="eastAsia"/>
          <w:szCs w:val="21"/>
        </w:rPr>
        <w:lastRenderedPageBreak/>
        <w:t>元素包括硫、砷、汞、铜、铬、氟、氯、金、银等。以上元素均是入炉料中固有存在的，在熔炼过程中除硫大部分回收制酸外，其他虽在氧化工艺中有除杂措施，但还有部分会残留在物料中。同样，由于铅精矿及填料的产地、来源等各异，导致不同入炉料中所含其他元素也各不相同，上游供应商无法对原料进行有针对性的除杂和分流工艺加以除去，这也使</w:t>
      </w:r>
      <w:proofErr w:type="gramStart"/>
      <w:r w:rsidRPr="00595E5E">
        <w:rPr>
          <w:rFonts w:ascii="宋体" w:eastAsia="宋体" w:hAnsi="宋体" w:cs="Times New Roman" w:hint="eastAsia"/>
          <w:szCs w:val="21"/>
        </w:rPr>
        <w:t>高铅渣</w:t>
      </w:r>
      <w:proofErr w:type="gramEnd"/>
      <w:r w:rsidRPr="00595E5E">
        <w:rPr>
          <w:rFonts w:ascii="宋体" w:eastAsia="宋体" w:hAnsi="宋体" w:cs="Times New Roman" w:hint="eastAsia"/>
          <w:szCs w:val="21"/>
        </w:rPr>
        <w:t>冶炼企业无法对部分元素提出限量要求，因此，生产企业只可根据本企业所采用的工艺流程有选择性地购买生产原料。</w:t>
      </w:r>
    </w:p>
    <w:p w:rsidR="00595E5E" w:rsidRPr="00595E5E" w:rsidRDefault="00595E5E" w:rsidP="00595E5E">
      <w:pPr>
        <w:spacing w:line="360" w:lineRule="exact"/>
        <w:rPr>
          <w:rFonts w:ascii="宋体" w:eastAsia="宋体" w:hAnsi="宋体" w:cs="Times New Roman"/>
          <w:szCs w:val="21"/>
        </w:rPr>
      </w:pPr>
      <w:r w:rsidRPr="00595E5E">
        <w:rPr>
          <w:rFonts w:ascii="宋体" w:eastAsia="宋体" w:hAnsi="宋体" w:cs="Times New Roman" w:hint="eastAsia"/>
          <w:szCs w:val="21"/>
        </w:rPr>
        <w:t xml:space="preserve">    根据数据统计结果，</w:t>
      </w:r>
      <w:proofErr w:type="gramStart"/>
      <w:r w:rsidRPr="00595E5E">
        <w:rPr>
          <w:rFonts w:ascii="宋体" w:eastAsia="宋体" w:hAnsi="宋体" w:cs="Times New Roman" w:hint="eastAsia"/>
          <w:szCs w:val="21"/>
        </w:rPr>
        <w:t>高铅渣中</w:t>
      </w:r>
      <w:proofErr w:type="gramEnd"/>
      <w:r w:rsidRPr="00595E5E">
        <w:rPr>
          <w:rFonts w:ascii="宋体" w:eastAsia="宋体" w:hAnsi="宋体" w:cs="Times New Roman" w:hint="eastAsia"/>
          <w:szCs w:val="21"/>
        </w:rPr>
        <w:t>的二氧化硅、铁及氧化钙的含量相对其他杂质元素相对较高，这</w:t>
      </w:r>
      <w:proofErr w:type="gramStart"/>
      <w:r w:rsidRPr="00595E5E">
        <w:rPr>
          <w:rFonts w:ascii="宋体" w:eastAsia="宋体" w:hAnsi="宋体" w:cs="Times New Roman" w:hint="eastAsia"/>
          <w:szCs w:val="21"/>
        </w:rPr>
        <w:t>与铅氧化</w:t>
      </w:r>
      <w:proofErr w:type="gramEnd"/>
      <w:r w:rsidRPr="00595E5E">
        <w:rPr>
          <w:rFonts w:ascii="宋体" w:eastAsia="宋体" w:hAnsi="宋体" w:cs="Times New Roman" w:hint="eastAsia"/>
          <w:szCs w:val="21"/>
        </w:rPr>
        <w:t>熔炼工艺有关，由于这些元素本身对环境保护没有负面影响，采购方基于不同的用途对元素的含量有不同的要求，因此，本标准对其含量不做限定；</w:t>
      </w:r>
      <w:proofErr w:type="gramStart"/>
      <w:r w:rsidRPr="00595E5E">
        <w:rPr>
          <w:rFonts w:ascii="宋体" w:eastAsia="宋体" w:hAnsi="宋体" w:cs="Times New Roman" w:hint="eastAsia"/>
          <w:szCs w:val="21"/>
        </w:rPr>
        <w:t>由于高铅渣中</w:t>
      </w:r>
      <w:proofErr w:type="gramEnd"/>
      <w:r w:rsidRPr="00595E5E">
        <w:rPr>
          <w:rFonts w:ascii="宋体" w:eastAsia="宋体" w:hAnsi="宋体" w:cs="Times New Roman" w:hint="eastAsia"/>
          <w:szCs w:val="21"/>
        </w:rPr>
        <w:t>的锌有利于烟化</w:t>
      </w:r>
      <w:proofErr w:type="gramStart"/>
      <w:r w:rsidRPr="00595E5E">
        <w:rPr>
          <w:rFonts w:ascii="宋体" w:eastAsia="宋体" w:hAnsi="宋体" w:cs="Times New Roman" w:hint="eastAsia"/>
          <w:szCs w:val="21"/>
        </w:rPr>
        <w:t>炉提锌</w:t>
      </w:r>
      <w:proofErr w:type="gramEnd"/>
      <w:r w:rsidRPr="00595E5E">
        <w:rPr>
          <w:rFonts w:ascii="宋体" w:eastAsia="宋体" w:hAnsi="宋体" w:cs="Times New Roman" w:hint="eastAsia"/>
          <w:szCs w:val="21"/>
        </w:rPr>
        <w:t>，标准中不对</w:t>
      </w:r>
      <w:proofErr w:type="gramStart"/>
      <w:r w:rsidRPr="00595E5E">
        <w:rPr>
          <w:rFonts w:ascii="宋体" w:eastAsia="宋体" w:hAnsi="宋体" w:cs="Times New Roman" w:hint="eastAsia"/>
          <w:szCs w:val="21"/>
        </w:rPr>
        <w:t>锌</w:t>
      </w:r>
      <w:proofErr w:type="gramEnd"/>
      <w:r w:rsidRPr="00595E5E">
        <w:rPr>
          <w:rFonts w:ascii="宋体" w:eastAsia="宋体" w:hAnsi="宋体" w:cs="Times New Roman" w:hint="eastAsia"/>
          <w:szCs w:val="21"/>
        </w:rPr>
        <w:t>含量进行规定，但应报出分析结果。</w:t>
      </w:r>
    </w:p>
    <w:p w:rsidR="00595E5E" w:rsidRPr="00595E5E" w:rsidRDefault="00595E5E" w:rsidP="00595E5E">
      <w:pPr>
        <w:spacing w:line="360" w:lineRule="exact"/>
        <w:rPr>
          <w:rFonts w:ascii="宋体" w:eastAsia="宋体" w:hAnsi="宋体" w:cs="Times New Roman"/>
          <w:szCs w:val="21"/>
        </w:rPr>
      </w:pPr>
      <w:r w:rsidRPr="00595E5E">
        <w:rPr>
          <w:rFonts w:ascii="宋体" w:eastAsia="宋体" w:hAnsi="宋体" w:cs="Times New Roman" w:hint="eastAsia"/>
          <w:szCs w:val="21"/>
        </w:rPr>
        <w:t xml:space="preserve">    砷、汞等作为有毒有害元素，根据《重金属精矿产品中有害元素的限量规范》（GB/T 20424-2006）中的要求，本标准对此类元素的限制含量进行了规定，分别为不大于0.7%和0.05%；硫</w:t>
      </w:r>
      <w:proofErr w:type="gramStart"/>
      <w:r w:rsidRPr="00595E5E">
        <w:rPr>
          <w:rFonts w:ascii="宋体" w:eastAsia="宋体" w:hAnsi="宋体" w:cs="Times New Roman" w:hint="eastAsia"/>
          <w:szCs w:val="21"/>
        </w:rPr>
        <w:t>在高铅渣中</w:t>
      </w:r>
      <w:proofErr w:type="gramEnd"/>
      <w:r w:rsidRPr="00595E5E">
        <w:rPr>
          <w:rFonts w:ascii="宋体" w:eastAsia="宋体" w:hAnsi="宋体" w:cs="Times New Roman" w:hint="eastAsia"/>
          <w:szCs w:val="21"/>
        </w:rPr>
        <w:t>的含量与入炉料的成分及回收工艺有关，本标准规定</w:t>
      </w:r>
      <w:proofErr w:type="gramStart"/>
      <w:r w:rsidRPr="00595E5E">
        <w:rPr>
          <w:rFonts w:ascii="宋体" w:eastAsia="宋体" w:hAnsi="宋体" w:cs="Times New Roman" w:hint="eastAsia"/>
          <w:szCs w:val="21"/>
        </w:rPr>
        <w:t>高铅渣</w:t>
      </w:r>
      <w:proofErr w:type="gramEnd"/>
      <w:r w:rsidRPr="00595E5E">
        <w:rPr>
          <w:rFonts w:ascii="宋体" w:eastAsia="宋体" w:hAnsi="宋体" w:cs="Times New Roman" w:hint="eastAsia"/>
          <w:szCs w:val="21"/>
        </w:rPr>
        <w:t>含硫量不大于1.0%；金、银、铜为有价元素，不对其含量进行规定，但应报出分析结果。</w:t>
      </w:r>
    </w:p>
    <w:p w:rsidR="00595E5E" w:rsidRPr="00595E5E" w:rsidRDefault="00595E5E" w:rsidP="00595E5E">
      <w:pPr>
        <w:spacing w:line="360" w:lineRule="exact"/>
        <w:rPr>
          <w:rFonts w:ascii="宋体" w:eastAsia="宋体" w:hAnsi="宋体" w:cs="Times New Roman"/>
          <w:szCs w:val="21"/>
        </w:rPr>
      </w:pPr>
      <w:r w:rsidRPr="00595E5E">
        <w:rPr>
          <w:rFonts w:ascii="宋体" w:eastAsia="宋体" w:hAnsi="宋体" w:cs="Times New Roman" w:hint="eastAsia"/>
          <w:szCs w:val="21"/>
        </w:rPr>
        <w:t>5.2.4.3 水分的确认</w:t>
      </w:r>
    </w:p>
    <w:p w:rsidR="00595E5E" w:rsidRPr="00595E5E" w:rsidRDefault="00595E5E" w:rsidP="00595E5E">
      <w:pPr>
        <w:spacing w:line="360" w:lineRule="exact"/>
        <w:rPr>
          <w:rFonts w:ascii="宋体" w:eastAsia="宋体" w:hAnsi="宋体" w:cs="Times New Roman"/>
          <w:szCs w:val="21"/>
        </w:rPr>
      </w:pPr>
      <w:r w:rsidRPr="00595E5E">
        <w:rPr>
          <w:rFonts w:ascii="宋体" w:eastAsia="宋体" w:hAnsi="宋体" w:cs="Times New Roman" w:hint="eastAsia"/>
          <w:szCs w:val="21"/>
        </w:rPr>
        <w:t xml:space="preserve">    部分</w:t>
      </w:r>
      <w:proofErr w:type="gramStart"/>
      <w:r w:rsidRPr="00595E5E">
        <w:rPr>
          <w:rFonts w:ascii="宋体" w:eastAsia="宋体" w:hAnsi="宋体" w:cs="Times New Roman" w:hint="eastAsia"/>
          <w:szCs w:val="21"/>
        </w:rPr>
        <w:t>高铅渣为水淬</w:t>
      </w:r>
      <w:proofErr w:type="gramEnd"/>
      <w:r w:rsidRPr="00595E5E">
        <w:rPr>
          <w:rFonts w:ascii="宋体" w:eastAsia="宋体" w:hAnsi="宋体" w:cs="Times New Roman" w:hint="eastAsia"/>
          <w:szCs w:val="21"/>
        </w:rPr>
        <w:t>冷却后得到产品，如含水量过高，会额外增加运输等成本，因此，本标准规定了水分的指标要求，应不大于10%。</w:t>
      </w:r>
    </w:p>
    <w:p w:rsidR="00595E5E" w:rsidRPr="00595E5E" w:rsidRDefault="00595E5E" w:rsidP="00595E5E">
      <w:pPr>
        <w:spacing w:line="360" w:lineRule="exact"/>
        <w:rPr>
          <w:rFonts w:ascii="宋体" w:eastAsia="宋体" w:hAnsi="宋体" w:cs="Times New Roman"/>
          <w:szCs w:val="21"/>
        </w:rPr>
      </w:pPr>
      <w:r w:rsidRPr="00595E5E">
        <w:rPr>
          <w:rFonts w:ascii="宋体" w:eastAsia="宋体" w:hAnsi="宋体" w:cs="Times New Roman" w:hint="eastAsia"/>
          <w:szCs w:val="21"/>
        </w:rPr>
        <w:t>5.2.4.4 外观质量</w:t>
      </w:r>
    </w:p>
    <w:p w:rsidR="00595E5E" w:rsidRPr="00595E5E" w:rsidRDefault="00595E5E" w:rsidP="00595E5E">
      <w:pPr>
        <w:spacing w:line="360" w:lineRule="exact"/>
        <w:rPr>
          <w:rFonts w:ascii="宋体" w:eastAsia="宋体" w:hAnsi="宋体" w:cs="Times New Roman"/>
          <w:szCs w:val="21"/>
        </w:rPr>
      </w:pPr>
      <w:r w:rsidRPr="00595E5E">
        <w:rPr>
          <w:rFonts w:ascii="宋体" w:eastAsia="宋体" w:hAnsi="宋体" w:cs="Times New Roman" w:hint="eastAsia"/>
          <w:szCs w:val="21"/>
        </w:rPr>
        <w:t xml:space="preserve">    同一批次的产品应混匀，颜色无明显不一致，不应混入外来夹杂物。</w:t>
      </w:r>
    </w:p>
    <w:p w:rsidR="00595E5E" w:rsidRPr="00595E5E" w:rsidRDefault="00595E5E" w:rsidP="00595E5E">
      <w:pPr>
        <w:spacing w:line="360" w:lineRule="exact"/>
        <w:rPr>
          <w:rFonts w:ascii="宋体" w:eastAsia="宋体" w:hAnsi="宋体" w:cs="Times New Roman"/>
          <w:b/>
          <w:szCs w:val="21"/>
        </w:rPr>
      </w:pPr>
      <w:r w:rsidRPr="00595E5E">
        <w:rPr>
          <w:rFonts w:ascii="宋体" w:eastAsia="宋体" w:hAnsi="宋体" w:cs="Times New Roman" w:hint="eastAsia"/>
          <w:b/>
          <w:szCs w:val="21"/>
        </w:rPr>
        <w:t>5.2.5 试验方法</w:t>
      </w:r>
    </w:p>
    <w:p w:rsidR="00595E5E" w:rsidRPr="00595E5E" w:rsidRDefault="00595E5E" w:rsidP="00595E5E">
      <w:pPr>
        <w:spacing w:line="360" w:lineRule="exact"/>
        <w:rPr>
          <w:rFonts w:ascii="宋体" w:eastAsia="宋体" w:hAnsi="Calibri" w:cs="宋体"/>
          <w:kern w:val="0"/>
          <w:szCs w:val="21"/>
        </w:rPr>
      </w:pPr>
      <w:r w:rsidRPr="00595E5E">
        <w:rPr>
          <w:rFonts w:ascii="宋体" w:eastAsia="宋体" w:hAnsi="宋体" w:cs="Times New Roman" w:hint="eastAsia"/>
          <w:szCs w:val="21"/>
        </w:rPr>
        <w:t xml:space="preserve">5.2.5.1 </w:t>
      </w:r>
      <w:proofErr w:type="gramStart"/>
      <w:r w:rsidRPr="00595E5E">
        <w:rPr>
          <w:rFonts w:ascii="宋体" w:eastAsia="宋体" w:hAnsi="宋体" w:cs="Times New Roman" w:hint="eastAsia"/>
          <w:szCs w:val="21"/>
        </w:rPr>
        <w:t>高铅渣中</w:t>
      </w:r>
      <w:proofErr w:type="gramEnd"/>
      <w:r w:rsidRPr="00595E5E">
        <w:rPr>
          <w:rFonts w:ascii="宋体" w:eastAsia="宋体" w:hAnsi="宋体" w:cs="Times New Roman" w:hint="eastAsia"/>
          <w:szCs w:val="21"/>
        </w:rPr>
        <w:t>铅量测定目前无统一标准，企业反馈信息中主要采用滴定法与X射线荧光分析法，由于产品铅含量较高，滴定法已可满足检测的精度需求，且操作简易，故可按照</w:t>
      </w:r>
      <w:r w:rsidRPr="00595E5E">
        <w:rPr>
          <w:rFonts w:ascii="宋体" w:eastAsia="宋体" w:hAnsi="Calibri" w:cs="宋体" w:hint="eastAsia"/>
          <w:kern w:val="0"/>
          <w:szCs w:val="21"/>
        </w:rPr>
        <w:t>GB/T 8152.1-2006的规定进行。</w:t>
      </w:r>
    </w:p>
    <w:p w:rsidR="00595E5E" w:rsidRPr="00595E5E" w:rsidRDefault="00595E5E" w:rsidP="00595E5E">
      <w:pPr>
        <w:spacing w:line="360" w:lineRule="exact"/>
        <w:rPr>
          <w:rFonts w:ascii="宋体" w:eastAsia="宋体" w:hAnsi="Calibri" w:cs="宋体"/>
          <w:kern w:val="0"/>
          <w:szCs w:val="21"/>
        </w:rPr>
      </w:pPr>
      <w:r w:rsidRPr="00595E5E">
        <w:rPr>
          <w:rFonts w:ascii="宋体" w:eastAsia="宋体" w:hAnsi="Calibri" w:cs="宋体" w:hint="eastAsia"/>
          <w:kern w:val="0"/>
          <w:szCs w:val="21"/>
        </w:rPr>
        <w:t xml:space="preserve">5.2.5.4 </w:t>
      </w:r>
      <w:proofErr w:type="gramStart"/>
      <w:r w:rsidRPr="00595E5E">
        <w:rPr>
          <w:rFonts w:ascii="宋体" w:eastAsia="宋体" w:hAnsi="Calibri" w:cs="宋体" w:hint="eastAsia"/>
          <w:kern w:val="0"/>
          <w:szCs w:val="21"/>
        </w:rPr>
        <w:t>高铅渣中</w:t>
      </w:r>
      <w:proofErr w:type="gramEnd"/>
      <w:r w:rsidRPr="00595E5E">
        <w:rPr>
          <w:rFonts w:ascii="宋体" w:eastAsia="宋体" w:hAnsi="Calibri" w:cs="宋体" w:hint="eastAsia"/>
          <w:kern w:val="0"/>
          <w:szCs w:val="21"/>
        </w:rPr>
        <w:t>砷的含量较低，可采用微量元素的测定方法进行试验，可按GB/T 8152.5-2006的规定进行。</w:t>
      </w:r>
    </w:p>
    <w:p w:rsidR="00595E5E" w:rsidRPr="00595E5E" w:rsidRDefault="00595E5E" w:rsidP="00595E5E">
      <w:pPr>
        <w:spacing w:line="360" w:lineRule="exact"/>
        <w:rPr>
          <w:rFonts w:ascii="宋体" w:eastAsia="宋体" w:hAnsi="Calibri" w:cs="宋体"/>
          <w:kern w:val="0"/>
          <w:szCs w:val="21"/>
        </w:rPr>
      </w:pPr>
      <w:r w:rsidRPr="00595E5E">
        <w:rPr>
          <w:rFonts w:ascii="宋体" w:eastAsia="宋体" w:hAnsi="Calibri" w:cs="宋体" w:hint="eastAsia"/>
          <w:kern w:val="0"/>
          <w:szCs w:val="21"/>
        </w:rPr>
        <w:t xml:space="preserve">5.2.5.5 </w:t>
      </w:r>
      <w:proofErr w:type="gramStart"/>
      <w:r w:rsidRPr="00595E5E">
        <w:rPr>
          <w:rFonts w:ascii="宋体" w:eastAsia="宋体" w:hAnsi="Calibri" w:cs="宋体" w:hint="eastAsia"/>
          <w:kern w:val="0"/>
          <w:szCs w:val="21"/>
        </w:rPr>
        <w:t>高铅渣中</w:t>
      </w:r>
      <w:proofErr w:type="gramEnd"/>
      <w:r w:rsidRPr="00595E5E">
        <w:rPr>
          <w:rFonts w:ascii="宋体" w:eastAsia="宋体" w:hAnsi="Calibri" w:cs="宋体" w:hint="eastAsia"/>
          <w:kern w:val="0"/>
          <w:szCs w:val="21"/>
        </w:rPr>
        <w:t>汞的含量较低，可采用微量元素的测定方法进行试验，可按GB/T 8152.11-2006的规定进行。</w:t>
      </w:r>
    </w:p>
    <w:p w:rsidR="00595E5E" w:rsidRPr="00595E5E" w:rsidRDefault="00595E5E" w:rsidP="00595E5E">
      <w:pPr>
        <w:spacing w:line="360" w:lineRule="exact"/>
        <w:rPr>
          <w:rFonts w:ascii="宋体" w:eastAsia="宋体" w:hAnsi="Calibri" w:cs="宋体"/>
          <w:kern w:val="0"/>
          <w:szCs w:val="21"/>
        </w:rPr>
      </w:pPr>
      <w:r w:rsidRPr="00595E5E">
        <w:rPr>
          <w:rFonts w:ascii="宋体" w:eastAsia="宋体" w:hAnsi="Calibri" w:cs="宋体" w:hint="eastAsia"/>
          <w:kern w:val="0"/>
          <w:szCs w:val="21"/>
        </w:rPr>
        <w:t>5.2.5.6 产品</w:t>
      </w:r>
      <w:proofErr w:type="gramStart"/>
      <w:r w:rsidRPr="00595E5E">
        <w:rPr>
          <w:rFonts w:ascii="宋体" w:eastAsia="宋体" w:hAnsi="Calibri" w:cs="宋体" w:hint="eastAsia"/>
          <w:kern w:val="0"/>
          <w:szCs w:val="21"/>
        </w:rPr>
        <w:t>中硫量的</w:t>
      </w:r>
      <w:proofErr w:type="gramEnd"/>
      <w:r w:rsidRPr="00595E5E">
        <w:rPr>
          <w:rFonts w:ascii="宋体" w:eastAsia="宋体" w:hAnsi="Calibri" w:cs="宋体" w:hint="eastAsia"/>
          <w:kern w:val="0"/>
          <w:szCs w:val="21"/>
        </w:rPr>
        <w:t>测定可按</w:t>
      </w:r>
      <w:r w:rsidRPr="00595E5E">
        <w:rPr>
          <w:rFonts w:ascii="宋体" w:eastAsia="宋体" w:hAnsi="Calibri" w:cs="宋体"/>
          <w:kern w:val="0"/>
          <w:szCs w:val="21"/>
        </w:rPr>
        <w:t>YS/T 1149.3-2016</w:t>
      </w:r>
      <w:r w:rsidRPr="00595E5E">
        <w:rPr>
          <w:rFonts w:ascii="宋体" w:eastAsia="宋体" w:hAnsi="Calibri" w:cs="宋体" w:hint="eastAsia"/>
          <w:kern w:val="0"/>
          <w:szCs w:val="21"/>
        </w:rPr>
        <w:t>的规定进行。</w:t>
      </w:r>
    </w:p>
    <w:p w:rsidR="00595E5E" w:rsidRPr="00595E5E" w:rsidRDefault="00595E5E" w:rsidP="00595E5E">
      <w:pPr>
        <w:spacing w:line="360" w:lineRule="exact"/>
        <w:rPr>
          <w:rFonts w:ascii="宋体" w:eastAsia="宋体" w:hAnsi="Calibri" w:cs="宋体"/>
          <w:kern w:val="0"/>
          <w:szCs w:val="21"/>
        </w:rPr>
      </w:pPr>
      <w:r w:rsidRPr="00595E5E">
        <w:rPr>
          <w:rFonts w:ascii="宋体" w:eastAsia="宋体" w:hAnsi="Calibri" w:cs="宋体" w:hint="eastAsia"/>
          <w:kern w:val="0"/>
          <w:szCs w:val="21"/>
        </w:rPr>
        <w:t>5.2.5.7 产品水分的测定，可按GB/T 14262-2010的规定进行。</w:t>
      </w:r>
    </w:p>
    <w:p w:rsidR="00595E5E" w:rsidRPr="00595E5E" w:rsidRDefault="00595E5E" w:rsidP="00595E5E">
      <w:pPr>
        <w:spacing w:line="360" w:lineRule="exact"/>
        <w:rPr>
          <w:rFonts w:ascii="宋体" w:eastAsia="宋体" w:hAnsi="Calibri" w:cs="宋体"/>
          <w:kern w:val="0"/>
          <w:szCs w:val="21"/>
        </w:rPr>
      </w:pPr>
      <w:r w:rsidRPr="00595E5E">
        <w:rPr>
          <w:rFonts w:ascii="宋体" w:eastAsia="宋体" w:hAnsi="Calibri" w:cs="宋体" w:hint="eastAsia"/>
          <w:kern w:val="0"/>
          <w:szCs w:val="21"/>
        </w:rPr>
        <w:t>5.2.5.8 产品的外观质量由目视法检测。</w:t>
      </w:r>
    </w:p>
    <w:p w:rsidR="00595E5E" w:rsidRPr="00595E5E" w:rsidRDefault="00595E5E" w:rsidP="00595E5E">
      <w:pPr>
        <w:spacing w:line="360" w:lineRule="exact"/>
        <w:rPr>
          <w:rFonts w:ascii="宋体" w:eastAsia="宋体" w:hAnsi="Calibri" w:cs="宋体"/>
          <w:b/>
          <w:kern w:val="0"/>
          <w:szCs w:val="21"/>
        </w:rPr>
      </w:pPr>
      <w:r w:rsidRPr="00595E5E">
        <w:rPr>
          <w:rFonts w:ascii="宋体" w:eastAsia="宋体" w:hAnsi="Calibri" w:cs="宋体" w:hint="eastAsia"/>
          <w:b/>
          <w:kern w:val="0"/>
          <w:szCs w:val="21"/>
        </w:rPr>
        <w:t>5.2.6 检验规则</w:t>
      </w:r>
    </w:p>
    <w:p w:rsidR="00595E5E" w:rsidRPr="00595E5E" w:rsidRDefault="00595E5E" w:rsidP="00595E5E">
      <w:pPr>
        <w:spacing w:line="360" w:lineRule="exact"/>
        <w:rPr>
          <w:rFonts w:ascii="宋体" w:eastAsia="宋体" w:hAnsi="宋体" w:cs="Times New Roman"/>
          <w:szCs w:val="21"/>
        </w:rPr>
      </w:pPr>
      <w:r w:rsidRPr="00595E5E">
        <w:rPr>
          <w:rFonts w:ascii="宋体" w:eastAsia="宋体" w:hAnsi="宋体" w:cs="Times New Roman" w:hint="eastAsia"/>
          <w:szCs w:val="21"/>
        </w:rPr>
        <w:t>5.2.6.1 检查和验收</w:t>
      </w:r>
    </w:p>
    <w:p w:rsidR="00595E5E" w:rsidRPr="00595E5E" w:rsidRDefault="00595E5E" w:rsidP="00595E5E">
      <w:pPr>
        <w:spacing w:line="360" w:lineRule="exact"/>
        <w:rPr>
          <w:rFonts w:ascii="宋体" w:eastAsia="宋体" w:hAnsi="宋体" w:cs="Times New Roman"/>
          <w:szCs w:val="21"/>
        </w:rPr>
      </w:pPr>
      <w:r w:rsidRPr="00595E5E">
        <w:rPr>
          <w:rFonts w:ascii="宋体" w:eastAsia="宋体" w:hAnsi="宋体" w:cs="Times New Roman" w:hint="eastAsia"/>
          <w:szCs w:val="21"/>
        </w:rPr>
        <w:t xml:space="preserve">    </w:t>
      </w:r>
      <w:r w:rsidRPr="00595E5E">
        <w:rPr>
          <w:rFonts w:ascii="宋体" w:eastAsia="宋体" w:hAnsi="Calibri" w:cs="宋体" w:hint="eastAsia"/>
          <w:kern w:val="0"/>
          <w:szCs w:val="21"/>
        </w:rPr>
        <w:t>产品</w:t>
      </w:r>
      <w:r w:rsidRPr="00595E5E">
        <w:rPr>
          <w:rFonts w:ascii="宋体" w:eastAsia="宋体" w:hAnsi="宋体" w:cs="Times New Roman" w:hint="eastAsia"/>
          <w:color w:val="000000"/>
          <w:szCs w:val="21"/>
        </w:rPr>
        <w:t>运到需方指定地点，或供需双方商定的交货地点，由需方技术监督部门验收，或由供需双方商定的技术机构验收。供方应确保产品质量符合本标准的规定。</w:t>
      </w:r>
    </w:p>
    <w:p w:rsidR="00595E5E" w:rsidRPr="00595E5E" w:rsidRDefault="00595E5E" w:rsidP="00595E5E">
      <w:pPr>
        <w:spacing w:line="360" w:lineRule="exact"/>
        <w:rPr>
          <w:rFonts w:ascii="宋体" w:eastAsia="宋体" w:hAnsi="宋体" w:cs="Times New Roman"/>
          <w:szCs w:val="21"/>
        </w:rPr>
      </w:pPr>
      <w:r w:rsidRPr="00595E5E">
        <w:rPr>
          <w:rFonts w:ascii="宋体" w:eastAsia="宋体" w:hAnsi="宋体" w:cs="Times New Roman" w:hint="eastAsia"/>
          <w:szCs w:val="21"/>
        </w:rPr>
        <w:t>5.2.6.2 组批</w:t>
      </w:r>
    </w:p>
    <w:p w:rsidR="00595E5E" w:rsidRPr="00595E5E" w:rsidRDefault="00595E5E" w:rsidP="00595E5E">
      <w:pPr>
        <w:spacing w:line="360" w:lineRule="exact"/>
        <w:rPr>
          <w:rFonts w:ascii="宋体" w:eastAsia="宋体" w:hAnsi="宋体" w:cs="Times New Roman"/>
          <w:szCs w:val="21"/>
        </w:rPr>
      </w:pPr>
      <w:r w:rsidRPr="00595E5E">
        <w:rPr>
          <w:rFonts w:ascii="宋体" w:eastAsia="宋体" w:hAnsi="宋体" w:cs="Times New Roman" w:hint="eastAsia"/>
          <w:szCs w:val="21"/>
        </w:rPr>
        <w:t xml:space="preserve">    产品应成批提交验收，每批应由同一牌号、同一规格的产品组成。根据包装和运输条件由供需双方商定检验批次。</w:t>
      </w:r>
    </w:p>
    <w:p w:rsidR="00595E5E" w:rsidRPr="00595E5E" w:rsidRDefault="00595E5E" w:rsidP="00595E5E">
      <w:pPr>
        <w:spacing w:line="360" w:lineRule="exact"/>
        <w:rPr>
          <w:rFonts w:ascii="宋体" w:eastAsia="宋体" w:hAnsi="宋体" w:cs="Times New Roman"/>
          <w:szCs w:val="21"/>
        </w:rPr>
      </w:pPr>
      <w:r w:rsidRPr="00595E5E">
        <w:rPr>
          <w:rFonts w:ascii="宋体" w:eastAsia="宋体" w:hAnsi="宋体" w:cs="Times New Roman" w:hint="eastAsia"/>
          <w:szCs w:val="21"/>
        </w:rPr>
        <w:t>5.2.6.3 取样和制样</w:t>
      </w:r>
    </w:p>
    <w:p w:rsidR="00595E5E" w:rsidRPr="00595E5E" w:rsidRDefault="00595E5E" w:rsidP="00595E5E">
      <w:pPr>
        <w:spacing w:line="360" w:lineRule="exact"/>
        <w:rPr>
          <w:rFonts w:ascii="宋体" w:eastAsia="宋体" w:hAnsi="宋体" w:cs="Times New Roman"/>
          <w:szCs w:val="21"/>
        </w:rPr>
      </w:pPr>
      <w:r w:rsidRPr="00595E5E">
        <w:rPr>
          <w:rFonts w:ascii="宋体" w:eastAsia="宋体" w:hAnsi="宋体" w:cs="Times New Roman" w:hint="eastAsia"/>
          <w:szCs w:val="21"/>
        </w:rPr>
        <w:lastRenderedPageBreak/>
        <w:t xml:space="preserve">    制样时，应取合适重量</w:t>
      </w:r>
      <w:proofErr w:type="gramStart"/>
      <w:r w:rsidRPr="00595E5E">
        <w:rPr>
          <w:rFonts w:ascii="宋体" w:eastAsia="宋体" w:hAnsi="宋体" w:cs="Times New Roman" w:hint="eastAsia"/>
          <w:szCs w:val="21"/>
        </w:rPr>
        <w:t>的缩分试样进行烘样和</w:t>
      </w:r>
      <w:proofErr w:type="gramEnd"/>
      <w:r w:rsidRPr="00595E5E">
        <w:rPr>
          <w:rFonts w:ascii="宋体" w:eastAsia="宋体" w:hAnsi="宋体" w:cs="Times New Roman" w:hint="eastAsia"/>
          <w:szCs w:val="21"/>
        </w:rPr>
        <w:t>水分测定。测试完毕后经研磨、筛分和混匀</w:t>
      </w:r>
      <w:proofErr w:type="gramStart"/>
      <w:r w:rsidRPr="00595E5E">
        <w:rPr>
          <w:rFonts w:ascii="宋体" w:eastAsia="宋体" w:hAnsi="宋体" w:cs="Times New Roman" w:hint="eastAsia"/>
          <w:szCs w:val="21"/>
        </w:rPr>
        <w:t>缩分分为</w:t>
      </w:r>
      <w:proofErr w:type="gramEnd"/>
      <w:r w:rsidRPr="00595E5E">
        <w:rPr>
          <w:rFonts w:ascii="宋体" w:eastAsia="宋体" w:hAnsi="宋体" w:cs="Times New Roman" w:hint="eastAsia"/>
          <w:szCs w:val="21"/>
        </w:rPr>
        <w:t>三份，一袋送测，两袋留底。</w:t>
      </w:r>
    </w:p>
    <w:p w:rsidR="00595E5E" w:rsidRPr="00595E5E" w:rsidRDefault="00595E5E" w:rsidP="00595E5E">
      <w:pPr>
        <w:spacing w:line="360" w:lineRule="exact"/>
        <w:rPr>
          <w:rFonts w:ascii="宋体" w:eastAsia="宋体" w:hAnsi="宋体" w:cs="Times New Roman"/>
          <w:szCs w:val="21"/>
          <w:u w:val="single"/>
        </w:rPr>
      </w:pPr>
      <w:r w:rsidRPr="00595E5E">
        <w:rPr>
          <w:rFonts w:ascii="宋体" w:eastAsia="宋体" w:hAnsi="宋体" w:cs="Times New Roman" w:hint="eastAsia"/>
          <w:szCs w:val="21"/>
        </w:rPr>
        <w:t xml:space="preserve">    </w:t>
      </w:r>
      <w:r w:rsidRPr="00595E5E">
        <w:rPr>
          <w:rFonts w:ascii="宋体" w:eastAsia="宋体" w:hAnsi="宋体" w:cs="Times New Roman" w:hint="eastAsia"/>
          <w:szCs w:val="21"/>
          <w:u w:val="single"/>
        </w:rPr>
        <w:t>取样与</w:t>
      </w:r>
      <w:proofErr w:type="gramStart"/>
      <w:r w:rsidRPr="00595E5E">
        <w:rPr>
          <w:rFonts w:ascii="宋体" w:eastAsia="宋体" w:hAnsi="宋体" w:cs="Times New Roman" w:hint="eastAsia"/>
          <w:szCs w:val="21"/>
          <w:u w:val="single"/>
        </w:rPr>
        <w:t>制样可采用</w:t>
      </w:r>
      <w:proofErr w:type="gramEnd"/>
      <w:r w:rsidRPr="00595E5E">
        <w:rPr>
          <w:rFonts w:ascii="宋体" w:eastAsia="宋体" w:hAnsi="Calibri" w:cs="宋体" w:hint="eastAsia"/>
          <w:kern w:val="0"/>
          <w:szCs w:val="21"/>
          <w:u w:val="single"/>
        </w:rPr>
        <w:t>GB/T 14262的规定进行。</w:t>
      </w:r>
    </w:p>
    <w:p w:rsidR="00595E5E" w:rsidRPr="00595E5E" w:rsidRDefault="00595E5E" w:rsidP="00595E5E">
      <w:pPr>
        <w:spacing w:line="360" w:lineRule="exact"/>
        <w:rPr>
          <w:rFonts w:ascii="宋体" w:eastAsia="宋体" w:hAnsi="宋体" w:cs="Times New Roman"/>
          <w:szCs w:val="21"/>
        </w:rPr>
      </w:pPr>
      <w:r w:rsidRPr="00595E5E">
        <w:rPr>
          <w:rFonts w:ascii="宋体" w:eastAsia="宋体" w:hAnsi="宋体" w:cs="Times New Roman" w:hint="eastAsia"/>
          <w:szCs w:val="21"/>
        </w:rPr>
        <w:t>5.2.6.4 检验结果判定</w:t>
      </w:r>
    </w:p>
    <w:p w:rsidR="00595E5E" w:rsidRPr="00595E5E" w:rsidRDefault="00595E5E" w:rsidP="00595E5E">
      <w:pPr>
        <w:spacing w:line="360" w:lineRule="exact"/>
        <w:rPr>
          <w:rFonts w:ascii="宋体" w:eastAsia="宋体" w:hAnsi="Calibri" w:cs="宋体"/>
          <w:kern w:val="0"/>
          <w:szCs w:val="21"/>
        </w:rPr>
      </w:pPr>
      <w:r w:rsidRPr="00595E5E">
        <w:rPr>
          <w:rFonts w:ascii="宋体" w:eastAsia="宋体" w:hAnsi="宋体" w:cs="Times New Roman" w:hint="eastAsia"/>
          <w:szCs w:val="21"/>
        </w:rPr>
        <w:t xml:space="preserve">    检验结果的数值</w:t>
      </w:r>
      <w:proofErr w:type="gramStart"/>
      <w:r w:rsidRPr="00595E5E">
        <w:rPr>
          <w:rFonts w:ascii="宋体" w:eastAsia="宋体" w:hAnsi="宋体" w:cs="Times New Roman" w:hint="eastAsia"/>
          <w:szCs w:val="21"/>
        </w:rPr>
        <w:t>修约及判定按</w:t>
      </w:r>
      <w:proofErr w:type="gramEnd"/>
      <w:r w:rsidRPr="00595E5E">
        <w:rPr>
          <w:rFonts w:ascii="宋体" w:eastAsia="宋体" w:hAnsi="Calibri" w:cs="宋体" w:hint="eastAsia"/>
          <w:kern w:val="0"/>
          <w:szCs w:val="21"/>
        </w:rPr>
        <w:t>GB/T 8170的规定进行。</w:t>
      </w:r>
    </w:p>
    <w:p w:rsidR="00595E5E" w:rsidRPr="00595E5E" w:rsidRDefault="00595E5E" w:rsidP="00595E5E">
      <w:pPr>
        <w:spacing w:line="360" w:lineRule="exact"/>
        <w:rPr>
          <w:rFonts w:ascii="宋体" w:eastAsia="宋体" w:hAnsi="Calibri" w:cs="宋体"/>
          <w:kern w:val="0"/>
          <w:szCs w:val="21"/>
        </w:rPr>
      </w:pPr>
      <w:r w:rsidRPr="00595E5E">
        <w:rPr>
          <w:rFonts w:ascii="宋体" w:eastAsia="宋体" w:hAnsi="Calibri" w:cs="宋体" w:hint="eastAsia"/>
          <w:kern w:val="0"/>
          <w:szCs w:val="21"/>
        </w:rPr>
        <w:t xml:space="preserve">    如产品外观质量检验不合格，则判该产品不合格；如产品水分检验不合格，则判该批产品不合格；如产品化学成分检验不合格，则判该批产品不合格。</w:t>
      </w:r>
    </w:p>
    <w:p w:rsidR="00595E5E" w:rsidRPr="00595E5E" w:rsidRDefault="00595E5E" w:rsidP="00595E5E">
      <w:pPr>
        <w:spacing w:line="360" w:lineRule="exact"/>
        <w:rPr>
          <w:rFonts w:ascii="宋体" w:eastAsia="宋体" w:hAnsi="Calibri" w:cs="宋体"/>
          <w:b/>
          <w:kern w:val="0"/>
          <w:szCs w:val="21"/>
        </w:rPr>
      </w:pPr>
      <w:r w:rsidRPr="00595E5E">
        <w:rPr>
          <w:rFonts w:ascii="宋体" w:eastAsia="宋体" w:hAnsi="Calibri" w:cs="宋体" w:hint="eastAsia"/>
          <w:b/>
          <w:kern w:val="0"/>
          <w:szCs w:val="21"/>
        </w:rPr>
        <w:t>5.2.7 标志、包装、运输、贮存及质量证明书</w:t>
      </w:r>
    </w:p>
    <w:p w:rsidR="00595E5E" w:rsidRPr="00595E5E" w:rsidRDefault="00595E5E" w:rsidP="00595E5E">
      <w:pPr>
        <w:spacing w:line="360" w:lineRule="exact"/>
        <w:rPr>
          <w:rFonts w:ascii="宋体" w:eastAsia="宋体" w:hAnsi="Calibri" w:cs="宋体"/>
          <w:kern w:val="0"/>
          <w:szCs w:val="21"/>
        </w:rPr>
      </w:pPr>
      <w:r w:rsidRPr="00595E5E">
        <w:rPr>
          <w:rFonts w:ascii="宋体" w:eastAsia="宋体" w:hAnsi="Calibri" w:cs="宋体" w:hint="eastAsia"/>
          <w:b/>
          <w:kern w:val="0"/>
          <w:szCs w:val="21"/>
        </w:rPr>
        <w:t xml:space="preserve">    </w:t>
      </w:r>
      <w:r w:rsidRPr="00595E5E">
        <w:rPr>
          <w:rFonts w:ascii="宋体" w:eastAsia="宋体" w:hAnsi="Calibri" w:cs="宋体" w:hint="eastAsia"/>
          <w:kern w:val="0"/>
          <w:szCs w:val="21"/>
        </w:rPr>
        <w:t>产品为散装或袋装，袋装时每袋产品的重量应基本一致。</w:t>
      </w:r>
    </w:p>
    <w:p w:rsidR="00595E5E" w:rsidRPr="00595E5E" w:rsidRDefault="00595E5E" w:rsidP="00595E5E">
      <w:pPr>
        <w:spacing w:line="360" w:lineRule="exact"/>
        <w:rPr>
          <w:rFonts w:ascii="宋体" w:eastAsia="宋体" w:hAnsi="Calibri" w:cs="宋体"/>
          <w:kern w:val="0"/>
          <w:szCs w:val="21"/>
        </w:rPr>
      </w:pPr>
      <w:r w:rsidRPr="00595E5E">
        <w:rPr>
          <w:rFonts w:ascii="宋体" w:eastAsia="宋体" w:hAnsi="Calibri" w:cs="宋体" w:hint="eastAsia"/>
          <w:b/>
          <w:kern w:val="0"/>
          <w:szCs w:val="21"/>
        </w:rPr>
        <w:t xml:space="preserve">    </w:t>
      </w:r>
      <w:r w:rsidRPr="00595E5E">
        <w:rPr>
          <w:rFonts w:ascii="宋体" w:eastAsia="宋体" w:hAnsi="Calibri" w:cs="宋体" w:hint="eastAsia"/>
          <w:kern w:val="0"/>
          <w:szCs w:val="21"/>
        </w:rPr>
        <w:t>袋装产品外包装上应清晰标注供方名称、产品名称、批号等信息。</w:t>
      </w:r>
    </w:p>
    <w:p w:rsidR="00595E5E" w:rsidRPr="00595E5E" w:rsidRDefault="00595E5E" w:rsidP="00595E5E">
      <w:pPr>
        <w:spacing w:line="360" w:lineRule="exact"/>
        <w:rPr>
          <w:rFonts w:ascii="宋体" w:eastAsia="宋体" w:hAnsi="Calibri" w:cs="宋体"/>
          <w:kern w:val="0"/>
          <w:szCs w:val="21"/>
        </w:rPr>
      </w:pPr>
      <w:r w:rsidRPr="00595E5E">
        <w:rPr>
          <w:rFonts w:ascii="宋体" w:eastAsia="宋体" w:hAnsi="Calibri" w:cs="宋体" w:hint="eastAsia"/>
          <w:kern w:val="0"/>
          <w:szCs w:val="21"/>
        </w:rPr>
        <w:t xml:space="preserve">    包装、运输可由供需双方的要求进行协商；贮存过程中不应淋雨和受潮。</w:t>
      </w:r>
    </w:p>
    <w:p w:rsidR="00595E5E" w:rsidRPr="00595E5E" w:rsidRDefault="00595E5E" w:rsidP="00595E5E">
      <w:pPr>
        <w:spacing w:line="360" w:lineRule="exact"/>
        <w:rPr>
          <w:rFonts w:ascii="宋体" w:eastAsia="宋体" w:hAnsi="Calibri" w:cs="宋体"/>
          <w:kern w:val="0"/>
          <w:szCs w:val="21"/>
        </w:rPr>
      </w:pPr>
      <w:r w:rsidRPr="00595E5E">
        <w:rPr>
          <w:rFonts w:ascii="宋体" w:eastAsia="宋体" w:hAnsi="Calibri" w:cs="宋体" w:hint="eastAsia"/>
          <w:kern w:val="0"/>
          <w:szCs w:val="21"/>
        </w:rPr>
        <w:t xml:space="preserve">    质量证明书上应清晰注明供方名称、地址等信息。</w:t>
      </w:r>
    </w:p>
    <w:p w:rsidR="00595E5E" w:rsidRPr="00595E5E" w:rsidRDefault="00595E5E" w:rsidP="00595E5E">
      <w:pPr>
        <w:spacing w:line="360" w:lineRule="exact"/>
        <w:rPr>
          <w:rFonts w:ascii="宋体" w:eastAsia="宋体" w:hAnsi="Calibri" w:cs="宋体"/>
          <w:b/>
          <w:kern w:val="0"/>
          <w:szCs w:val="21"/>
        </w:rPr>
      </w:pPr>
      <w:r w:rsidRPr="00595E5E">
        <w:rPr>
          <w:rFonts w:ascii="宋体" w:eastAsia="宋体" w:hAnsi="Calibri" w:cs="宋体" w:hint="eastAsia"/>
          <w:b/>
          <w:kern w:val="0"/>
          <w:szCs w:val="21"/>
        </w:rPr>
        <w:t>5.2.8 订货单（或合同）内容</w:t>
      </w:r>
    </w:p>
    <w:p w:rsidR="00595E5E" w:rsidRPr="00595E5E" w:rsidRDefault="00595E5E" w:rsidP="00595E5E">
      <w:pPr>
        <w:spacing w:line="360" w:lineRule="exact"/>
        <w:rPr>
          <w:rFonts w:ascii="宋体" w:eastAsia="宋体" w:hAnsi="宋体" w:cs="Times New Roman"/>
          <w:szCs w:val="21"/>
        </w:rPr>
      </w:pPr>
      <w:r w:rsidRPr="00595E5E">
        <w:rPr>
          <w:rFonts w:ascii="宋体" w:eastAsia="宋体" w:hAnsi="Calibri" w:cs="宋体" w:hint="eastAsia"/>
          <w:kern w:val="0"/>
          <w:szCs w:val="21"/>
        </w:rPr>
        <w:t xml:space="preserve">    订货单（或合同）应包括产品名称、化学成分、牌号、总重量及单件重量等必要信息。</w:t>
      </w:r>
    </w:p>
    <w:p w:rsidR="00595E5E" w:rsidRPr="00595E5E" w:rsidRDefault="00595E5E" w:rsidP="00595E5E">
      <w:pPr>
        <w:spacing w:line="360" w:lineRule="exact"/>
        <w:jc w:val="left"/>
        <w:rPr>
          <w:rFonts w:ascii="黑体" w:eastAsia="黑体" w:hAnsi="黑体" w:cs="Times New Roman"/>
          <w:b/>
          <w:szCs w:val="21"/>
        </w:rPr>
      </w:pPr>
      <w:r w:rsidRPr="00595E5E">
        <w:rPr>
          <w:rFonts w:ascii="黑体" w:eastAsia="黑体" w:hAnsi="黑体" w:cs="Times New Roman" w:hint="eastAsia"/>
          <w:b/>
          <w:szCs w:val="21"/>
        </w:rPr>
        <w:t>六、与现行相关法律、法规、规章及相关标准，特别是强制性标准的协调性</w:t>
      </w:r>
    </w:p>
    <w:p w:rsidR="00595E5E" w:rsidRPr="00595E5E" w:rsidRDefault="00595E5E" w:rsidP="00595E5E">
      <w:pPr>
        <w:spacing w:line="360" w:lineRule="exact"/>
        <w:jc w:val="left"/>
        <w:rPr>
          <w:rFonts w:ascii="宋体" w:eastAsia="宋体" w:hAnsi="宋体" w:cs="Times New Roman"/>
          <w:szCs w:val="21"/>
        </w:rPr>
      </w:pPr>
      <w:r w:rsidRPr="00595E5E">
        <w:rPr>
          <w:rFonts w:ascii="黑体" w:eastAsia="黑体" w:hAnsi="黑体" w:cs="Times New Roman" w:hint="eastAsia"/>
          <w:b/>
          <w:szCs w:val="21"/>
        </w:rPr>
        <w:t xml:space="preserve">    </w:t>
      </w:r>
      <w:r w:rsidRPr="00595E5E">
        <w:rPr>
          <w:rFonts w:ascii="宋体" w:eastAsia="宋体" w:hAnsi="宋体" w:cs="Times New Roman" w:hint="eastAsia"/>
          <w:szCs w:val="21"/>
        </w:rPr>
        <w:t>本标准的制定过程、技术指标的选定、检验项目的设置符合现行法律、法规和强制性国家标准的规定。</w:t>
      </w:r>
    </w:p>
    <w:p w:rsidR="00595E5E" w:rsidRPr="00595E5E" w:rsidRDefault="00595E5E" w:rsidP="00595E5E">
      <w:pPr>
        <w:spacing w:line="360" w:lineRule="exact"/>
        <w:jc w:val="left"/>
        <w:rPr>
          <w:rFonts w:ascii="宋体" w:eastAsia="宋体" w:hAnsi="宋体" w:cs="Times New Roman"/>
          <w:szCs w:val="21"/>
        </w:rPr>
      </w:pPr>
      <w:r w:rsidRPr="00595E5E">
        <w:rPr>
          <w:rFonts w:ascii="宋体" w:eastAsia="宋体" w:hAnsi="宋体" w:cs="Times New Roman" w:hint="eastAsia"/>
          <w:szCs w:val="21"/>
        </w:rPr>
        <w:t xml:space="preserve">    团体标准《高铅渣》是铅锌冶炼企业的原料产品标准，本标准的制定和实施可解决相关行业原料贸易过程中一直无产品质量标准规范的问题，对促进铅冶炼行业健康有序的发展将产生深远的影响，同时，也是国家倡导绿色循环经济中一项切实有效的措施，更有利于我国环保事业的健康发展。</w:t>
      </w:r>
    </w:p>
    <w:p w:rsidR="00595E5E" w:rsidRPr="00595E5E" w:rsidRDefault="00595E5E" w:rsidP="00595E5E">
      <w:pPr>
        <w:spacing w:line="360" w:lineRule="exact"/>
        <w:jc w:val="left"/>
        <w:rPr>
          <w:rFonts w:ascii="宋体" w:eastAsia="宋体" w:hAnsi="宋体" w:cs="Times New Roman"/>
          <w:szCs w:val="21"/>
        </w:rPr>
      </w:pPr>
      <w:r w:rsidRPr="00595E5E">
        <w:rPr>
          <w:rFonts w:ascii="宋体" w:eastAsia="宋体" w:hAnsi="宋体" w:cs="Times New Roman" w:hint="eastAsia"/>
          <w:szCs w:val="21"/>
        </w:rPr>
        <w:t xml:space="preserve">    根据与铅精矿冶炼铅对环境影响的对比分析，调研数据显示，以</w:t>
      </w:r>
      <w:proofErr w:type="gramStart"/>
      <w:r w:rsidRPr="00595E5E">
        <w:rPr>
          <w:rFonts w:ascii="宋体" w:eastAsia="宋体" w:hAnsi="宋体" w:cs="Times New Roman" w:hint="eastAsia"/>
          <w:szCs w:val="21"/>
        </w:rPr>
        <w:t>高铅渣</w:t>
      </w:r>
      <w:proofErr w:type="gramEnd"/>
      <w:r w:rsidRPr="00595E5E">
        <w:rPr>
          <w:rFonts w:ascii="宋体" w:eastAsia="宋体" w:hAnsi="宋体" w:cs="Times New Roman" w:hint="eastAsia"/>
          <w:szCs w:val="21"/>
        </w:rPr>
        <w:t>为原料采用鼓风炉生产粗铅的铅排污系数在12.21～38.03克/吨-粗铅，较以铅精矿为原料采用</w:t>
      </w:r>
      <w:proofErr w:type="gramStart"/>
      <w:r w:rsidRPr="00595E5E">
        <w:rPr>
          <w:rFonts w:ascii="宋体" w:eastAsia="宋体" w:hAnsi="宋体" w:cs="Times New Roman" w:hint="eastAsia"/>
          <w:szCs w:val="21"/>
        </w:rPr>
        <w:t>富氧底吹</w:t>
      </w:r>
      <w:proofErr w:type="gramEnd"/>
      <w:r w:rsidRPr="00595E5E">
        <w:rPr>
          <w:rFonts w:ascii="宋体" w:eastAsia="宋体" w:hAnsi="宋体" w:cs="Times New Roman" w:hint="eastAsia"/>
          <w:szCs w:val="21"/>
        </w:rPr>
        <w:t>-鼓风炉炼铅工艺生产粗铅的54.58克/吨-粗铅小；由于</w:t>
      </w:r>
      <w:proofErr w:type="gramStart"/>
      <w:r w:rsidRPr="00595E5E">
        <w:rPr>
          <w:rFonts w:ascii="宋体" w:eastAsia="宋体" w:hAnsi="宋体" w:cs="Times New Roman" w:hint="eastAsia"/>
          <w:szCs w:val="21"/>
        </w:rPr>
        <w:t>高铅渣</w:t>
      </w:r>
      <w:proofErr w:type="gramEnd"/>
      <w:r w:rsidRPr="00595E5E">
        <w:rPr>
          <w:rFonts w:ascii="宋体" w:eastAsia="宋体" w:hAnsi="宋体" w:cs="Times New Roman" w:hint="eastAsia"/>
          <w:szCs w:val="21"/>
        </w:rPr>
        <w:t>含硫量远低于硫化铅精矿，在冶炼过程中二氧化硫的排放和无组织排放远低于精矿的冶炼，同时，由于含硫较低无需制酸，在处理过程中也无污酸的产生，减少</w:t>
      </w:r>
      <w:proofErr w:type="gramStart"/>
      <w:r w:rsidRPr="00595E5E">
        <w:rPr>
          <w:rFonts w:ascii="宋体" w:eastAsia="宋体" w:hAnsi="宋体" w:cs="Times New Roman" w:hint="eastAsia"/>
          <w:szCs w:val="21"/>
        </w:rPr>
        <w:t>了危废的</w:t>
      </w:r>
      <w:proofErr w:type="gramEnd"/>
      <w:r w:rsidRPr="00595E5E">
        <w:rPr>
          <w:rFonts w:ascii="宋体" w:eastAsia="宋体" w:hAnsi="宋体" w:cs="Times New Roman" w:hint="eastAsia"/>
          <w:szCs w:val="21"/>
        </w:rPr>
        <w:t>产生量；再次，</w:t>
      </w:r>
      <w:proofErr w:type="gramStart"/>
      <w:r w:rsidRPr="00595E5E">
        <w:rPr>
          <w:rFonts w:ascii="宋体" w:eastAsia="宋体" w:hAnsi="宋体" w:cs="Times New Roman" w:hint="eastAsia"/>
          <w:szCs w:val="21"/>
        </w:rPr>
        <w:t>高铅渣中</w:t>
      </w:r>
      <w:proofErr w:type="gramEnd"/>
      <w:r w:rsidRPr="00595E5E">
        <w:rPr>
          <w:rFonts w:ascii="宋体" w:eastAsia="宋体" w:hAnsi="宋体" w:cs="Times New Roman" w:hint="eastAsia"/>
          <w:szCs w:val="21"/>
        </w:rPr>
        <w:t>有害元素如砷、汞等含量较低，在冶炼废气中重金属的无组织排放也较精矿冶炼少。因此，在</w:t>
      </w:r>
      <w:proofErr w:type="gramStart"/>
      <w:r w:rsidRPr="00595E5E">
        <w:rPr>
          <w:rFonts w:ascii="宋体" w:eastAsia="宋体" w:hAnsi="宋体" w:cs="Times New Roman" w:hint="eastAsia"/>
          <w:szCs w:val="21"/>
        </w:rPr>
        <w:t>高铅渣</w:t>
      </w:r>
      <w:proofErr w:type="gramEnd"/>
      <w:r w:rsidRPr="00595E5E">
        <w:rPr>
          <w:rFonts w:ascii="宋体" w:eastAsia="宋体" w:hAnsi="宋体" w:cs="Times New Roman" w:hint="eastAsia"/>
          <w:szCs w:val="21"/>
        </w:rPr>
        <w:t>对环境影响的指标里，其能满足绝大多数，与传统原生铅精矿冶炼相比，它的生产过程更为环保，而环境负担与生产风险也越小。</w:t>
      </w:r>
    </w:p>
    <w:p w:rsidR="00595E5E" w:rsidRPr="00595E5E" w:rsidRDefault="00595E5E" w:rsidP="00595E5E">
      <w:pPr>
        <w:spacing w:line="360" w:lineRule="exact"/>
        <w:jc w:val="left"/>
        <w:rPr>
          <w:rFonts w:ascii="宋体" w:eastAsia="宋体" w:hAnsi="宋体" w:cs="Times New Roman"/>
          <w:szCs w:val="21"/>
        </w:rPr>
      </w:pPr>
      <w:r w:rsidRPr="00595E5E">
        <w:rPr>
          <w:rFonts w:ascii="宋体" w:eastAsia="宋体" w:hAnsi="宋体" w:cs="Times New Roman" w:hint="eastAsia"/>
          <w:szCs w:val="21"/>
        </w:rPr>
        <w:t xml:space="preserve">    综上，</w:t>
      </w:r>
      <w:proofErr w:type="gramStart"/>
      <w:r w:rsidRPr="00595E5E">
        <w:rPr>
          <w:rFonts w:ascii="宋体" w:eastAsia="宋体" w:hAnsi="宋体" w:cs="Times New Roman" w:hint="eastAsia"/>
          <w:szCs w:val="21"/>
        </w:rPr>
        <w:t>高铅渣</w:t>
      </w:r>
      <w:proofErr w:type="gramEnd"/>
      <w:r w:rsidRPr="00595E5E">
        <w:rPr>
          <w:rFonts w:ascii="宋体" w:eastAsia="宋体" w:hAnsi="宋体" w:cs="Times New Roman" w:hint="eastAsia"/>
          <w:szCs w:val="21"/>
        </w:rPr>
        <w:t>的生产过程中合理利用、循环利用了一部分铅膏等含铅二次物料和冶炼过程中产生的含铅残余物，既减少了污染，又实现了变废为宝；以</w:t>
      </w:r>
      <w:proofErr w:type="gramStart"/>
      <w:r w:rsidRPr="00595E5E">
        <w:rPr>
          <w:rFonts w:ascii="宋体" w:eastAsia="宋体" w:hAnsi="宋体" w:cs="Times New Roman" w:hint="eastAsia"/>
          <w:szCs w:val="21"/>
        </w:rPr>
        <w:t>高铅渣作为</w:t>
      </w:r>
      <w:proofErr w:type="gramEnd"/>
      <w:r w:rsidRPr="00595E5E">
        <w:rPr>
          <w:rFonts w:ascii="宋体" w:eastAsia="宋体" w:hAnsi="宋体" w:cs="Times New Roman" w:hint="eastAsia"/>
          <w:szCs w:val="21"/>
        </w:rPr>
        <w:t xml:space="preserve">炼铅原料的补充，极大地弥补了我国铅冶炼行业原料短缺的缺陷，同时，也极大地降低了铅冶炼行业的综合能耗，这也是符合国家在冶炼行业节能、减排和环保的政策和法规的。 </w:t>
      </w:r>
    </w:p>
    <w:p w:rsidR="00595E5E" w:rsidRPr="00595E5E" w:rsidRDefault="00595E5E" w:rsidP="00595E5E">
      <w:pPr>
        <w:spacing w:line="360" w:lineRule="exact"/>
        <w:jc w:val="left"/>
        <w:rPr>
          <w:rFonts w:ascii="黑体" w:eastAsia="黑体" w:hAnsi="黑体" w:cs="Times New Roman"/>
          <w:b/>
          <w:szCs w:val="21"/>
        </w:rPr>
      </w:pPr>
      <w:r w:rsidRPr="00595E5E">
        <w:rPr>
          <w:rFonts w:ascii="黑体" w:eastAsia="黑体" w:hAnsi="黑体" w:cs="Times New Roman" w:hint="eastAsia"/>
          <w:b/>
          <w:szCs w:val="21"/>
        </w:rPr>
        <w:t>七、标准中涉及的专利或知识产权说明</w:t>
      </w:r>
    </w:p>
    <w:p w:rsidR="00595E5E" w:rsidRPr="00595E5E" w:rsidRDefault="00595E5E" w:rsidP="00595E5E">
      <w:pPr>
        <w:spacing w:line="360" w:lineRule="exact"/>
        <w:jc w:val="left"/>
        <w:rPr>
          <w:rFonts w:ascii="宋体" w:eastAsia="宋体" w:hAnsi="宋体" w:cs="Times New Roman"/>
          <w:szCs w:val="21"/>
        </w:rPr>
      </w:pPr>
      <w:r w:rsidRPr="00595E5E">
        <w:rPr>
          <w:rFonts w:ascii="黑体" w:eastAsia="黑体" w:hAnsi="黑体" w:cs="Times New Roman" w:hint="eastAsia"/>
          <w:b/>
          <w:szCs w:val="21"/>
        </w:rPr>
        <w:t xml:space="preserve">    </w:t>
      </w:r>
      <w:r w:rsidRPr="00595E5E">
        <w:rPr>
          <w:rFonts w:ascii="宋体" w:eastAsia="宋体" w:hAnsi="宋体" w:cs="Times New Roman" w:hint="eastAsia"/>
          <w:szCs w:val="21"/>
        </w:rPr>
        <w:t>无。</w:t>
      </w:r>
    </w:p>
    <w:p w:rsidR="00595E5E" w:rsidRPr="00595E5E" w:rsidRDefault="00595E5E" w:rsidP="00595E5E">
      <w:pPr>
        <w:spacing w:line="360" w:lineRule="exact"/>
        <w:jc w:val="left"/>
        <w:rPr>
          <w:rFonts w:ascii="黑体" w:eastAsia="黑体" w:hAnsi="黑体" w:cs="Times New Roman"/>
          <w:b/>
          <w:szCs w:val="21"/>
        </w:rPr>
      </w:pPr>
      <w:r w:rsidRPr="00595E5E">
        <w:rPr>
          <w:rFonts w:ascii="黑体" w:eastAsia="黑体" w:hAnsi="黑体" w:cs="Times New Roman" w:hint="eastAsia"/>
          <w:b/>
          <w:szCs w:val="21"/>
        </w:rPr>
        <w:t>八、重大分歧意见的处理经过和依据</w:t>
      </w:r>
    </w:p>
    <w:p w:rsidR="00595E5E" w:rsidRPr="00595E5E" w:rsidRDefault="00595E5E" w:rsidP="00595E5E">
      <w:pPr>
        <w:spacing w:line="360" w:lineRule="exact"/>
        <w:jc w:val="left"/>
        <w:rPr>
          <w:rFonts w:ascii="宋体" w:eastAsia="宋体" w:hAnsi="宋体" w:cs="Times New Roman"/>
          <w:szCs w:val="21"/>
        </w:rPr>
      </w:pPr>
      <w:r w:rsidRPr="00595E5E">
        <w:rPr>
          <w:rFonts w:ascii="黑体" w:eastAsia="黑体" w:hAnsi="黑体" w:cs="Times New Roman" w:hint="eastAsia"/>
          <w:b/>
          <w:szCs w:val="21"/>
        </w:rPr>
        <w:t xml:space="preserve">   </w:t>
      </w:r>
      <w:r w:rsidRPr="00595E5E">
        <w:rPr>
          <w:rFonts w:ascii="宋体" w:eastAsia="宋体" w:hAnsi="宋体" w:cs="Times New Roman" w:hint="eastAsia"/>
          <w:szCs w:val="21"/>
        </w:rPr>
        <w:t xml:space="preserve"> 无。</w:t>
      </w:r>
    </w:p>
    <w:p w:rsidR="00595E5E" w:rsidRPr="00595E5E" w:rsidRDefault="00595E5E" w:rsidP="00595E5E">
      <w:pPr>
        <w:spacing w:line="360" w:lineRule="exact"/>
        <w:jc w:val="left"/>
        <w:rPr>
          <w:rFonts w:ascii="黑体" w:eastAsia="黑体" w:hAnsi="黑体" w:cs="Times New Roman"/>
          <w:b/>
          <w:szCs w:val="21"/>
        </w:rPr>
      </w:pPr>
      <w:r w:rsidRPr="00595E5E">
        <w:rPr>
          <w:rFonts w:ascii="黑体" w:eastAsia="黑体" w:hAnsi="黑体" w:cs="Times New Roman" w:hint="eastAsia"/>
          <w:b/>
          <w:szCs w:val="21"/>
        </w:rPr>
        <w:t>九、标准作为强制性或推荐性行业标准的建议</w:t>
      </w:r>
    </w:p>
    <w:p w:rsidR="00595E5E" w:rsidRPr="00595E5E" w:rsidRDefault="00595E5E" w:rsidP="00595E5E">
      <w:pPr>
        <w:spacing w:line="360" w:lineRule="exact"/>
        <w:jc w:val="left"/>
        <w:rPr>
          <w:rFonts w:ascii="宋体" w:eastAsia="宋体" w:hAnsi="宋体" w:cs="Times New Roman"/>
          <w:szCs w:val="21"/>
        </w:rPr>
      </w:pPr>
      <w:r w:rsidRPr="00595E5E">
        <w:rPr>
          <w:rFonts w:ascii="黑体" w:eastAsia="黑体" w:hAnsi="黑体" w:cs="Times New Roman" w:hint="eastAsia"/>
          <w:b/>
          <w:szCs w:val="21"/>
        </w:rPr>
        <w:lastRenderedPageBreak/>
        <w:t xml:space="preserve">    </w:t>
      </w:r>
      <w:r w:rsidRPr="00595E5E">
        <w:rPr>
          <w:rFonts w:ascii="宋体" w:eastAsia="宋体" w:hAnsi="宋体" w:cs="Times New Roman" w:hint="eastAsia"/>
          <w:szCs w:val="21"/>
        </w:rPr>
        <w:t>建议协会标准《高铅渣》作为推荐性标准颁布实施。</w:t>
      </w:r>
    </w:p>
    <w:p w:rsidR="00595E5E" w:rsidRPr="00595E5E" w:rsidRDefault="00595E5E" w:rsidP="00595E5E">
      <w:pPr>
        <w:spacing w:line="360" w:lineRule="exact"/>
        <w:jc w:val="left"/>
        <w:rPr>
          <w:rFonts w:ascii="黑体" w:eastAsia="黑体" w:hAnsi="黑体" w:cs="Times New Roman"/>
          <w:b/>
          <w:szCs w:val="21"/>
        </w:rPr>
      </w:pPr>
      <w:r w:rsidRPr="00595E5E">
        <w:rPr>
          <w:rFonts w:ascii="黑体" w:eastAsia="黑体" w:hAnsi="黑体" w:cs="Times New Roman" w:hint="eastAsia"/>
          <w:b/>
          <w:szCs w:val="21"/>
        </w:rPr>
        <w:t>十、贯彻标准的要求和措施建议</w:t>
      </w:r>
    </w:p>
    <w:p w:rsidR="00595E5E" w:rsidRPr="00595E5E" w:rsidRDefault="00595E5E" w:rsidP="00595E5E">
      <w:pPr>
        <w:spacing w:line="360" w:lineRule="exact"/>
        <w:jc w:val="left"/>
        <w:rPr>
          <w:rFonts w:ascii="宋体" w:eastAsia="宋体" w:hAnsi="宋体" w:cs="Times New Roman"/>
          <w:szCs w:val="21"/>
        </w:rPr>
      </w:pPr>
      <w:r w:rsidRPr="00595E5E">
        <w:rPr>
          <w:rFonts w:ascii="黑体" w:eastAsia="黑体" w:hAnsi="黑体" w:cs="Times New Roman" w:hint="eastAsia"/>
          <w:b/>
          <w:szCs w:val="21"/>
        </w:rPr>
        <w:t xml:space="preserve">    </w:t>
      </w:r>
      <w:r w:rsidRPr="00595E5E">
        <w:rPr>
          <w:rFonts w:ascii="宋体" w:eastAsia="宋体" w:hAnsi="宋体" w:cs="Times New Roman" w:hint="eastAsia"/>
          <w:szCs w:val="21"/>
        </w:rPr>
        <w:t>建议本标准在批准发布后3个月实施。</w:t>
      </w:r>
    </w:p>
    <w:p w:rsidR="00595E5E" w:rsidRPr="00595E5E" w:rsidRDefault="00595E5E" w:rsidP="00595E5E">
      <w:pPr>
        <w:spacing w:line="360" w:lineRule="exact"/>
        <w:jc w:val="left"/>
        <w:rPr>
          <w:rFonts w:ascii="黑体" w:eastAsia="黑体" w:hAnsi="黑体" w:cs="Times New Roman"/>
          <w:b/>
          <w:szCs w:val="21"/>
        </w:rPr>
      </w:pPr>
      <w:r w:rsidRPr="00595E5E">
        <w:rPr>
          <w:rFonts w:ascii="黑体" w:eastAsia="黑体" w:hAnsi="黑体" w:cs="Times New Roman" w:hint="eastAsia"/>
          <w:b/>
          <w:szCs w:val="21"/>
        </w:rPr>
        <w:t>十一、废止现行有关标准的建议</w:t>
      </w:r>
    </w:p>
    <w:p w:rsidR="00595E5E" w:rsidRPr="00595E5E" w:rsidRDefault="00595E5E" w:rsidP="00595E5E">
      <w:pPr>
        <w:spacing w:line="360" w:lineRule="exact"/>
        <w:jc w:val="left"/>
        <w:rPr>
          <w:rFonts w:ascii="宋体" w:eastAsia="宋体" w:hAnsi="宋体" w:cs="Times New Roman"/>
          <w:szCs w:val="21"/>
        </w:rPr>
      </w:pPr>
      <w:r w:rsidRPr="00595E5E">
        <w:rPr>
          <w:rFonts w:ascii="黑体" w:eastAsia="黑体" w:hAnsi="黑体" w:cs="Times New Roman" w:hint="eastAsia"/>
          <w:b/>
          <w:szCs w:val="21"/>
        </w:rPr>
        <w:t xml:space="preserve">   </w:t>
      </w:r>
      <w:r w:rsidRPr="00595E5E">
        <w:rPr>
          <w:rFonts w:ascii="宋体" w:eastAsia="宋体" w:hAnsi="宋体" w:cs="Times New Roman" w:hint="eastAsia"/>
          <w:szCs w:val="21"/>
        </w:rPr>
        <w:t xml:space="preserve"> 无。</w:t>
      </w:r>
    </w:p>
    <w:p w:rsidR="00595E5E" w:rsidRPr="00595E5E" w:rsidRDefault="00595E5E" w:rsidP="00595E5E">
      <w:pPr>
        <w:spacing w:line="360" w:lineRule="exact"/>
        <w:jc w:val="center"/>
        <w:rPr>
          <w:rFonts w:ascii="Calibri" w:eastAsia="宋体" w:hAnsi="Calibri" w:cs="Times New Roman"/>
          <w:sz w:val="28"/>
          <w:szCs w:val="28"/>
        </w:rPr>
      </w:pPr>
    </w:p>
    <w:p w:rsidR="00B617D7" w:rsidRDefault="00B617D7">
      <w:bookmarkStart w:id="0" w:name="_GoBack"/>
      <w:bookmarkEnd w:id="0"/>
    </w:p>
    <w:sectPr w:rsidR="00B617D7" w:rsidSect="009634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E5E"/>
    <w:rsid w:val="00595E5E"/>
    <w:rsid w:val="00B61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1228</Words>
  <Characters>7001</Characters>
  <Application>Microsoft Office Word</Application>
  <DocSecurity>0</DocSecurity>
  <Lines>58</Lines>
  <Paragraphs>16</Paragraphs>
  <ScaleCrop>false</ScaleCrop>
  <Company/>
  <LinksUpToDate>false</LinksUpToDate>
  <CharactersWithSpaces>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汪玲玲</dc:creator>
  <cp:lastModifiedBy>汪玲玲</cp:lastModifiedBy>
  <cp:revision>1</cp:revision>
  <dcterms:created xsi:type="dcterms:W3CDTF">2019-12-11T00:50:00Z</dcterms:created>
  <dcterms:modified xsi:type="dcterms:W3CDTF">2019-12-11T00:50:00Z</dcterms:modified>
</cp:coreProperties>
</file>