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r>
        <mc:AlternateContent>
          <mc:Choice Requires="wps">
            <w:drawing>
              <wp:anchor distT="0" distB="0" distL="114300" distR="114300" simplePos="0" relativeHeight="251655168" behindDoc="0" locked="1" layoutInCell="1" allowOverlap="1">
                <wp:simplePos x="0" y="0"/>
                <wp:positionH relativeFrom="margin">
                  <wp:posOffset>-4445</wp:posOffset>
                </wp:positionH>
                <wp:positionV relativeFrom="margin">
                  <wp:posOffset>7251065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z w:val="28"/>
                                <w:szCs w:val="28"/>
                              </w:rPr>
                            </w:pPr>
                            <w:r>
                              <w:rPr>
                                <w:rFonts w:hint="eastAsia" w:ascii="宋体" w:hAnsi="宋体" w:cs="宋体"/>
                                <w:spacing w:val="58"/>
                                <w:w w:val="120"/>
                                <w:sz w:val="28"/>
                                <w:szCs w:val="28"/>
                              </w:rPr>
                              <w:t>双联电解分析仪校准规范编制组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35pt;margin-top:570.95pt;height:121.6pt;width:481.9pt;mso-position-horizontal-relative:margin;mso-position-vertical-relative:margin;z-index:251655168;mso-width-relative:page;mso-height-relative:page;" fillcolor="#FFFFFF" filled="t" stroked="f" coordsize="21600,21600" o:gfxdata="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xuTp1wAAAAsBAAAPAAAAAAAAAAEA&#10;IAAAACIAAABkcnMvZG93bnJldi54bWxQSwECFAAUAAAACACHTuJAPWCj754BAABBAwAADgAAAAAA&#10;AAABACAAAAAmAQAAZHJzL2Uyb0RvYy54bWxQSwUGAAAAAAYABgBZAQAANgUAAAAA&#10;">
                <v:fill on="t" focussize="0,0"/>
                <v:stroke on="f"/>
                <v:imagedata o:title=""/>
                <o:lock v:ext="edit" aspectratio="f"/>
                <v:textbox inset="0mm,0mm,0mm,0mm">
                  <w:txbxContent>
                    <w:p>
                      <w:pPr>
                        <w:jc w:val="center"/>
                        <w:rPr>
                          <w:rFonts w:ascii="宋体" w:hAnsi="宋体" w:cs="宋体"/>
                          <w:sz w:val="28"/>
                          <w:szCs w:val="28"/>
                        </w:rPr>
                      </w:pPr>
                      <w:r>
                        <w:rPr>
                          <w:rFonts w:hint="eastAsia" w:ascii="宋体" w:hAnsi="宋体" w:cs="宋体"/>
                          <w:spacing w:val="58"/>
                          <w:w w:val="120"/>
                          <w:sz w:val="28"/>
                          <w:szCs w:val="28"/>
                        </w:rPr>
                        <w:t>双联电解分析仪校准规范编制组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251460</wp:posOffset>
                </wp:positionH>
                <wp:positionV relativeFrom="margin">
                  <wp:posOffset>4471035</wp:posOffset>
                </wp:positionV>
                <wp:extent cx="5614670" cy="1779270"/>
                <wp:effectExtent l="0" t="0" r="5080" b="1905"/>
                <wp:wrapNone/>
                <wp:docPr id="2" name="文本框 5"/>
                <wp:cNvGraphicFramePr/>
                <a:graphic xmlns:a="http://schemas.openxmlformats.org/drawingml/2006/main">
                  <a:graphicData uri="http://schemas.microsoft.com/office/word/2010/wordprocessingShape">
                    <wps:wsp>
                      <wps:cNvSpPr/>
                      <wps:spPr>
                        <a:xfrm>
                          <a:off x="0" y="0"/>
                          <a:ext cx="5614670" cy="1779270"/>
                        </a:xfrm>
                        <a:prstGeom prst="rect">
                          <a:avLst/>
                        </a:prstGeom>
                        <a:solidFill>
                          <a:srgbClr val="FFFFFF"/>
                        </a:solidFill>
                        <a:ln>
                          <a:noFill/>
                        </a:ln>
                      </wps:spPr>
                      <wps:txbx>
                        <w:txbxContent>
                          <w:p>
                            <w:pPr>
                              <w:pStyle w:val="66"/>
                              <w:spacing w:before="600"/>
                              <w:jc w:val="center"/>
                              <w:rPr>
                                <w:rFonts w:ascii="黑体" w:hAnsi="黑体" w:eastAsia="黑体"/>
                                <w:sz w:val="36"/>
                                <w:szCs w:val="36"/>
                              </w:rPr>
                            </w:pPr>
                            <w:r>
                              <w:rPr>
                                <w:rFonts w:hint="eastAsia" w:ascii="黑体" w:hAnsi="黑体" w:eastAsia="黑体"/>
                                <w:sz w:val="36"/>
                                <w:szCs w:val="36"/>
                              </w:rPr>
                              <w:t>征求意见稿</w:t>
                            </w:r>
                          </w:p>
                          <w:p>
                            <w:pPr>
                              <w:pStyle w:val="66"/>
                              <w:spacing w:before="600"/>
                              <w:jc w:val="center"/>
                              <w:rPr>
                                <w:rFonts w:hint="default" w:ascii="黑体" w:hAnsi="黑体" w:eastAsia="黑体"/>
                                <w:sz w:val="36"/>
                                <w:szCs w:val="36"/>
                                <w:lang w:val="en-US" w:eastAsia="zh-CN"/>
                              </w:rPr>
                            </w:pPr>
                            <w:r>
                              <w:rPr>
                                <w:rFonts w:hint="eastAsia" w:ascii="黑体" w:hAnsi="黑体" w:eastAsia="黑体"/>
                                <w:sz w:val="36"/>
                                <w:szCs w:val="36"/>
                              </w:rPr>
                              <w:t>2019-11-</w:t>
                            </w:r>
                            <w:r>
                              <w:rPr>
                                <w:rFonts w:hint="eastAsia" w:ascii="黑体" w:hAnsi="黑体" w:eastAsia="黑体"/>
                                <w:sz w:val="36"/>
                                <w:szCs w:val="36"/>
                                <w:lang w:val="en-US" w:eastAsia="zh-CN"/>
                              </w:rPr>
                              <w:t>14</w:t>
                            </w:r>
                          </w:p>
                        </w:txbxContent>
                      </wps:txbx>
                      <wps:bodyPr lIns="0" tIns="0" rIns="0" bIns="0" upright="1"/>
                    </wps:wsp>
                  </a:graphicData>
                </a:graphic>
              </wp:anchor>
            </w:drawing>
          </mc:Choice>
          <mc:Fallback>
            <w:pict>
              <v:rect id="文本框 5" o:spid="_x0000_s1026" o:spt="1" style="position:absolute;left:0pt;margin-left:19.8pt;margin-top:352.05pt;height:140.1pt;width:442.1pt;mso-position-horizontal-relative:margin;mso-position-vertical-relative:margin;z-index:251656192;mso-width-relative:page;mso-height-relative:page;" fillcolor="#FFFFFF" filled="t" stroked="f" coordsize="21600,21600" o:gfxdata="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ZD0jNcA&#10;AAAKAQAADwAAAAAAAAABACAAAAAiAAAAZHJzL2Rvd25yZXYueG1sUEsBAhQAFAAAAAgAh07iQLen&#10;C1iuAQAARAMAAA4AAAAAAAAAAQAgAAAAJgEAAGRycy9lMm9Eb2MueG1sUEsFBgAAAAAGAAYAWQEA&#10;AEYFAAAAAA==&#10;">
                <v:fill on="t" focussize="0,0"/>
                <v:stroke on="f"/>
                <v:imagedata o:title=""/>
                <o:lock v:ext="edit" aspectratio="f"/>
                <v:textbox inset="0mm,0mm,0mm,0mm">
                  <w:txbxContent>
                    <w:p>
                      <w:pPr>
                        <w:pStyle w:val="66"/>
                        <w:spacing w:before="600"/>
                        <w:jc w:val="center"/>
                        <w:rPr>
                          <w:rFonts w:ascii="黑体" w:hAnsi="黑体" w:eastAsia="黑体"/>
                          <w:sz w:val="36"/>
                          <w:szCs w:val="36"/>
                        </w:rPr>
                      </w:pPr>
                      <w:r>
                        <w:rPr>
                          <w:rFonts w:hint="eastAsia" w:ascii="黑体" w:hAnsi="黑体" w:eastAsia="黑体"/>
                          <w:sz w:val="36"/>
                          <w:szCs w:val="36"/>
                        </w:rPr>
                        <w:t>征求意见稿</w:t>
                      </w:r>
                    </w:p>
                    <w:p>
                      <w:pPr>
                        <w:pStyle w:val="66"/>
                        <w:spacing w:before="600"/>
                        <w:jc w:val="center"/>
                        <w:rPr>
                          <w:rFonts w:hint="default" w:ascii="黑体" w:hAnsi="黑体" w:eastAsia="黑体"/>
                          <w:sz w:val="36"/>
                          <w:szCs w:val="36"/>
                          <w:lang w:val="en-US" w:eastAsia="zh-CN"/>
                        </w:rPr>
                      </w:pPr>
                      <w:r>
                        <w:rPr>
                          <w:rFonts w:hint="eastAsia" w:ascii="黑体" w:hAnsi="黑体" w:eastAsia="黑体"/>
                          <w:sz w:val="36"/>
                          <w:szCs w:val="36"/>
                        </w:rPr>
                        <w:t>2019-11-</w:t>
                      </w:r>
                      <w:r>
                        <w:rPr>
                          <w:rFonts w:hint="eastAsia" w:ascii="黑体" w:hAnsi="黑体" w:eastAsia="黑体"/>
                          <w:sz w:val="36"/>
                          <w:szCs w:val="36"/>
                          <w:lang w:val="en-US" w:eastAsia="zh-CN"/>
                        </w:rPr>
                        <w:t>14</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-16510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jc w:val="center"/>
                              <w:rPr>
                                <w:rFonts w:hint="default" w:hAnsi="黑体" w:eastAsia="黑体" w:cs="黑体"/>
                                <w:sz w:val="44"/>
                                <w:szCs w:val="44"/>
                                <w:lang w:val="en-US" w:eastAsia="zh-CN"/>
                              </w:rPr>
                            </w:pPr>
                            <w:bookmarkStart w:id="58" w:name="_Hlk23687263"/>
                            <w:r>
                              <w:rPr>
                                <w:rFonts w:hint="eastAsia" w:hAnsi="黑体" w:cs="黑体"/>
                                <w:sz w:val="44"/>
                                <w:szCs w:val="44"/>
                              </w:rPr>
                              <w:t>JJFZ（有色金属）006—20</w:t>
                            </w:r>
                            <w:r>
                              <w:rPr>
                                <w:rFonts w:hint="eastAsia" w:hAnsi="黑体" w:cs="黑体"/>
                                <w:sz w:val="44"/>
                                <w:szCs w:val="44"/>
                                <w:lang w:val="en-US" w:eastAsia="zh-CN"/>
                              </w:rPr>
                              <w:t>XX</w:t>
                            </w:r>
                          </w:p>
                          <w:bookmarkEnd w:id="58"/>
                          <w:p>
                            <w:pPr>
                              <w:pStyle w:val="74"/>
                              <w:jc w:val="center"/>
                              <w:rPr>
                                <w:rFonts w:hAnsi="黑体" w:cs="黑体"/>
                                <w:sz w:val="44"/>
                                <w:szCs w:val="44"/>
                              </w:rPr>
                            </w:pPr>
                            <w:r>
                              <w:rPr>
                                <w:rFonts w:hint="eastAsia" w:hAnsi="黑体" w:cs="黑体"/>
                                <w:sz w:val="44"/>
                                <w:szCs w:val="44"/>
                              </w:rPr>
                              <w:t>双联电解分析仪校准规范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3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Qq+F1gAA&#10;AAoBAAAPAAAAAAAAAAEAIAAAACIAAABkcnMvZG93bnJldi54bWxQSwECFAAUAAAACACHTuJASHwC&#10;dK4BAABEAwAADgAAAAAAAAABACAAAAAlAQAAZHJzL2Uyb0RvYy54bWxQSwUGAAAAAAYABgBZAQAA&#10;RQUAAAAA&#10;">
                <v:fill on="t" focussize="0,0"/>
                <v:stroke on="f"/>
                <v:imagedata o:title=""/>
                <o:lock v:ext="edit" aspectratio="f"/>
                <v:textbox inset="0mm,0mm,0mm,0mm">
                  <w:txbxContent>
                    <w:p>
                      <w:pPr>
                        <w:pStyle w:val="74"/>
                        <w:jc w:val="center"/>
                        <w:rPr>
                          <w:rFonts w:hint="default" w:hAnsi="黑体" w:eastAsia="黑体" w:cs="黑体"/>
                          <w:sz w:val="44"/>
                          <w:szCs w:val="44"/>
                          <w:lang w:val="en-US" w:eastAsia="zh-CN"/>
                        </w:rPr>
                      </w:pPr>
                      <w:bookmarkStart w:id="58" w:name="_Hlk23687263"/>
                      <w:r>
                        <w:rPr>
                          <w:rFonts w:hint="eastAsia" w:hAnsi="黑体" w:cs="黑体"/>
                          <w:sz w:val="44"/>
                          <w:szCs w:val="44"/>
                        </w:rPr>
                        <w:t>JJFZ（有色金属）006—20</w:t>
                      </w:r>
                      <w:r>
                        <w:rPr>
                          <w:rFonts w:hint="eastAsia" w:hAnsi="黑体" w:cs="黑体"/>
                          <w:sz w:val="44"/>
                          <w:szCs w:val="44"/>
                          <w:lang w:val="en-US" w:eastAsia="zh-CN"/>
                        </w:rPr>
                        <w:t>XX</w:t>
                      </w:r>
                    </w:p>
                    <w:bookmarkEnd w:id="58"/>
                    <w:p>
                      <w:pPr>
                        <w:pStyle w:val="74"/>
                        <w:jc w:val="center"/>
                        <w:rPr>
                          <w:rFonts w:hAnsi="黑体" w:cs="黑体"/>
                          <w:sz w:val="44"/>
                          <w:szCs w:val="44"/>
                        </w:rPr>
                      </w:pPr>
                      <w:r>
                        <w:rPr>
                          <w:rFonts w:hint="eastAsia" w:hAnsi="黑体" w:cs="黑体"/>
                          <w:sz w:val="44"/>
                          <w:szCs w:val="44"/>
                        </w:rPr>
                        <w:t>双联电解分析仪校准规范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56592524"/>
      <w:bookmarkStart w:id="4" w:name="_Toc464728892"/>
      <w:r>
        <w:rPr>
          <w:rFonts w:hint="eastAsia"/>
        </w:rPr>
        <w:t>立项目的</w:t>
      </w:r>
      <w:bookmarkEnd w:id="3"/>
      <w:bookmarkEnd w:id="4"/>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双联电解分析仪是运用电解法来分析有色金属的成套装置。电解分析法是建立在电解基础上通过称量沉积于电极表面的沉积物重量以测定溶液中被测离子含量的电化学分析法。电解是在电解池中进行的，外加电源的正极和负极分别与电解池的阳、阴极相连。在电解过程中，在阳极上发生氧化反应，在阴极上发生还原反应。当实际施加于两极的电压大于理论分解电压、超电压和电解回路的电压降之和，就能使电解过程持续稳定地进行，被测金属离子以一定组成的金属状态在阴极析出，或以一定组成的氧化物形态在阳极析出。该仪器选用适当的电解溶液及电流强度或分解电压可以分析铜，铅，镍，锡等元素，达到精密的定量分析目的，精确度 2.5级。该检测仪器的优点是既简化了分析程序，又同时排除了元素间的相互干扰。</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pPr>
      <w:r>
        <w:rPr>
          <w:rFonts w:hint="eastAsia"/>
          <w:szCs w:val="21"/>
          <w:lang w:val="en-US" w:eastAsia="zh-CN"/>
        </w:rPr>
        <w:t>然而</w:t>
      </w:r>
      <w:r>
        <w:rPr>
          <w:rFonts w:hint="eastAsia"/>
          <w:szCs w:val="21"/>
        </w:rPr>
        <w:t>我国的双联电解分析仪设备还处于初步发展阶段，设备的制造研发并不成熟，产品质量参差不齐，这与缺乏双联电解分析仪的校准规程有关，由于缺乏对设备的评价依据，导致产品的验收和维护校准处于灰色地带，对行业的发展造成了不利的影响。科学的校准规范能规范校准操作并确保校准结果的准确性，便于该仪器的广泛推广应用，从而提升产品质量水平，并对有色金属产业发展起到积极推动的作用。</w:t>
      </w:r>
    </w:p>
    <w:p>
      <w:pPr>
        <w:pStyle w:val="60"/>
        <w:spacing w:before="156" w:after="156" w:line="300" w:lineRule="auto"/>
        <w:ind w:left="0"/>
        <w:contextualSpacing/>
      </w:pPr>
      <w:bookmarkStart w:id="5" w:name="_Toc464728896"/>
      <w:r>
        <w:rPr>
          <w:rFonts w:hint="eastAsia"/>
        </w:rPr>
        <w:t>任务来源</w:t>
      </w:r>
      <w:bookmarkEnd w:id="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r>
        <w:rPr>
          <w:rFonts w:hint="eastAsia"/>
          <w:szCs w:val="21"/>
        </w:rPr>
        <w:t>为保证和提升我国</w:t>
      </w:r>
      <w:r>
        <w:rPr>
          <w:rFonts w:hint="eastAsia"/>
          <w:szCs w:val="21"/>
          <w:lang w:val="en-US" w:eastAsia="zh-CN"/>
        </w:rPr>
        <w:t>有色金属行业电解法分析</w:t>
      </w:r>
      <w:r>
        <w:rPr>
          <w:rFonts w:hint="eastAsia"/>
          <w:szCs w:val="21"/>
        </w:rPr>
        <w:t>试验数据的准确性，工业和信息化部</w:t>
      </w:r>
      <w:r>
        <w:rPr>
          <w:rFonts w:hint="eastAsia"/>
          <w:szCs w:val="21"/>
          <w:lang w:val="en-US" w:eastAsia="zh-CN"/>
        </w:rPr>
        <w:t>办公厅于2018年6月20日</w:t>
      </w:r>
      <w:r>
        <w:rPr>
          <w:rFonts w:hint="eastAsia"/>
          <w:szCs w:val="21"/>
        </w:rPr>
        <w:t>下达了《工业和信息化部办公厅关于印发2018年行业计量技术规范制修订计划的通知》</w:t>
      </w:r>
      <w:r>
        <w:rPr>
          <w:rFonts w:hint="eastAsia"/>
          <w:szCs w:val="21"/>
          <w:lang w:eastAsia="zh-CN"/>
        </w:rPr>
        <w:t>（</w:t>
      </w:r>
      <w:r>
        <w:rPr>
          <w:rFonts w:hint="eastAsia"/>
          <w:szCs w:val="21"/>
          <w:lang w:val="en-US" w:eastAsia="zh-CN"/>
        </w:rPr>
        <w:t>工信厅科函[2018]210号</w:t>
      </w:r>
      <w:r>
        <w:rPr>
          <w:rFonts w:hint="eastAsia"/>
          <w:szCs w:val="21"/>
          <w:lang w:eastAsia="zh-CN"/>
        </w:rPr>
        <w:t>）</w:t>
      </w:r>
      <w:r>
        <w:rPr>
          <w:rFonts w:hint="eastAsia"/>
          <w:szCs w:val="21"/>
        </w:rPr>
        <w:t>，</w:t>
      </w:r>
      <w:r>
        <w:rPr>
          <w:rFonts w:hint="eastAsia"/>
          <w:szCs w:val="21"/>
          <w:lang w:val="en-US" w:eastAsia="zh-CN"/>
        </w:rPr>
        <w:t>其中包括《双联电解分析仪校准规范》制订计划项目。该项目</w:t>
      </w:r>
      <w:r>
        <w:rPr>
          <w:rFonts w:hint="eastAsia"/>
          <w:szCs w:val="21"/>
        </w:rPr>
        <w:t>计划</w:t>
      </w:r>
      <w:r>
        <w:rPr>
          <w:rFonts w:hint="eastAsia"/>
          <w:szCs w:val="21"/>
          <w:lang w:val="en-US" w:eastAsia="zh-CN"/>
        </w:rPr>
        <w:t>号</w:t>
      </w:r>
      <w:r>
        <w:rPr>
          <w:rFonts w:hint="eastAsia"/>
          <w:szCs w:val="21"/>
        </w:rPr>
        <w:t>为JJFZ</w:t>
      </w:r>
      <w:r>
        <w:rPr>
          <w:rFonts w:hint="eastAsia"/>
          <w:szCs w:val="21"/>
          <w:lang w:eastAsia="zh-CN"/>
        </w:rPr>
        <w:t>（</w:t>
      </w:r>
      <w:r>
        <w:rPr>
          <w:rFonts w:hint="eastAsia"/>
          <w:szCs w:val="21"/>
        </w:rPr>
        <w:t>有色金属</w:t>
      </w:r>
      <w:r>
        <w:rPr>
          <w:rFonts w:hint="eastAsia"/>
          <w:szCs w:val="21"/>
          <w:lang w:eastAsia="zh-CN"/>
        </w:rPr>
        <w:t>）</w:t>
      </w:r>
      <w:r>
        <w:rPr>
          <w:rFonts w:hint="eastAsia"/>
          <w:szCs w:val="21"/>
        </w:rPr>
        <w:t>00</w:t>
      </w:r>
      <w:r>
        <w:rPr>
          <w:rFonts w:hint="eastAsia"/>
          <w:szCs w:val="21"/>
          <w:lang w:val="en-US" w:eastAsia="zh-CN"/>
        </w:rPr>
        <w:t>6</w:t>
      </w:r>
      <w:r>
        <w:rPr>
          <w:rFonts w:hint="eastAsia"/>
          <w:szCs w:val="21"/>
        </w:rPr>
        <w:t>-2018，</w:t>
      </w:r>
      <w:r>
        <w:rPr>
          <w:rFonts w:hint="eastAsia"/>
          <w:szCs w:val="21"/>
          <w:lang w:val="en-US" w:eastAsia="zh-CN"/>
        </w:rPr>
        <w:t>国标（北京）检验认证有限公司为主要起草单位，</w:t>
      </w:r>
      <w:r>
        <w:rPr>
          <w:rFonts w:hint="eastAsia"/>
          <w:szCs w:val="21"/>
        </w:rPr>
        <w:t>计划完成年限为2020年。</w:t>
      </w:r>
    </w:p>
    <w:p>
      <w:pPr>
        <w:pStyle w:val="60"/>
        <w:spacing w:before="156" w:after="156" w:line="300" w:lineRule="auto"/>
        <w:ind w:left="0"/>
        <w:contextualSpacing/>
      </w:pPr>
      <w:bookmarkStart w:id="6" w:name="_Toc464728898"/>
      <w:bookmarkStart w:id="7" w:name="_Toc462884342"/>
      <w:r>
        <w:rPr>
          <w:rFonts w:hint="eastAsia"/>
        </w:rPr>
        <w:t>项目编制组单位简况</w:t>
      </w:r>
      <w:bookmarkEnd w:id="6"/>
      <w:bookmarkEnd w:id="7"/>
      <w:r>
        <w:rPr>
          <w:rFonts w:hint="eastAsia"/>
        </w:rPr>
        <w:t xml:space="preserve">      </w:t>
      </w:r>
    </w:p>
    <w:p>
      <w:pPr>
        <w:pStyle w:val="59"/>
        <w:spacing w:before="156" w:beforeLines="50" w:after="156" w:afterLines="50" w:line="240" w:lineRule="auto"/>
        <w:ind w:left="0"/>
        <w:rPr>
          <w:color w:val="auto"/>
        </w:rPr>
      </w:pPr>
      <w:bookmarkStart w:id="8" w:name="_Toc462884343"/>
      <w:bookmarkStart w:id="9" w:name="_Toc464728899"/>
      <w:r>
        <w:rPr>
          <w:rFonts w:hint="eastAsia"/>
          <w:color w:val="auto"/>
        </w:rPr>
        <w:t>编制组成员单位</w:t>
      </w:r>
      <w:bookmarkEnd w:id="8"/>
      <w:bookmarkEnd w:id="9"/>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bookmarkStart w:id="10" w:name="_Toc464728900"/>
      <w:bookmarkStart w:id="11" w:name="_Toc462884344"/>
      <w:r>
        <w:rPr>
          <w:rFonts w:hint="eastAsia"/>
          <w:szCs w:val="21"/>
        </w:rPr>
        <w:t>本标准的编制组单位为：国标（北京）检验认证有限公司、</w:t>
      </w:r>
      <w:r>
        <w:rPr>
          <w:rFonts w:hint="eastAsia"/>
          <w:szCs w:val="21"/>
          <w:lang w:val="en-US" w:eastAsia="zh-CN"/>
        </w:rPr>
        <w:t>国合通用测试评价认证股份公司、</w:t>
      </w:r>
      <w:r>
        <w:rPr>
          <w:rFonts w:hint="eastAsia"/>
          <w:szCs w:val="21"/>
        </w:rPr>
        <w:t>广东省工业分析检测中心</w:t>
      </w:r>
      <w:r>
        <w:rPr>
          <w:rFonts w:hint="eastAsia"/>
          <w:szCs w:val="21"/>
          <w:lang w:eastAsia="zh-CN"/>
        </w:rPr>
        <w:t>、</w:t>
      </w:r>
      <w:r>
        <w:rPr>
          <w:rFonts w:hint="eastAsia"/>
          <w:szCs w:val="21"/>
          <w:lang w:val="en-US" w:eastAsia="zh-CN"/>
        </w:rPr>
        <w:t>中铝洛阳铜加工有限公司、中国铝业郑州有色金属研究院有限公司、西安汉唐分析检测有限公司</w:t>
      </w:r>
      <w:r>
        <w:rPr>
          <w:rFonts w:hint="eastAsia"/>
          <w:szCs w:val="21"/>
        </w:rPr>
        <w:t>。编制组成员单位均是我国有色金属行业</w:t>
      </w:r>
      <w:r>
        <w:rPr>
          <w:rFonts w:hint="eastAsia"/>
          <w:szCs w:val="21"/>
          <w:lang w:val="en-US" w:eastAsia="zh-CN"/>
        </w:rPr>
        <w:t>内主要从事</w:t>
      </w:r>
      <w:r>
        <w:rPr>
          <w:rFonts w:hint="eastAsia"/>
          <w:szCs w:val="21"/>
        </w:rPr>
        <w:t>计量</w:t>
      </w:r>
      <w:r>
        <w:rPr>
          <w:rFonts w:hint="eastAsia"/>
          <w:szCs w:val="21"/>
          <w:lang w:eastAsia="zh-CN"/>
        </w:rPr>
        <w:t>、</w:t>
      </w:r>
      <w:r>
        <w:rPr>
          <w:rFonts w:hint="eastAsia"/>
          <w:szCs w:val="21"/>
          <w:lang w:val="en-US" w:eastAsia="zh-CN"/>
        </w:rPr>
        <w:t>分析检测及</w:t>
      </w:r>
      <w:r>
        <w:rPr>
          <w:rFonts w:hint="eastAsia"/>
          <w:szCs w:val="21"/>
        </w:rPr>
        <w:t>科研</w:t>
      </w:r>
      <w:r>
        <w:rPr>
          <w:rFonts w:hint="eastAsia"/>
          <w:szCs w:val="21"/>
          <w:lang w:val="en-US" w:eastAsia="zh-CN"/>
        </w:rPr>
        <w:t>的权威单位</w:t>
      </w:r>
      <w:r>
        <w:rPr>
          <w:rFonts w:hint="eastAsia"/>
          <w:szCs w:val="21"/>
        </w:rPr>
        <w:t>。</w:t>
      </w:r>
    </w:p>
    <w:bookmarkEnd w:id="10"/>
    <w:bookmarkEnd w:id="11"/>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r>
        <w:rPr>
          <w:rFonts w:hint="eastAsia"/>
          <w:color w:val="auto"/>
        </w:rPr>
        <w:t>国标（北京）检验认证有限公司</w:t>
      </w:r>
    </w:p>
    <w:p>
      <w:pPr>
        <w:spacing w:line="300" w:lineRule="auto"/>
        <w:ind w:firstLine="420" w:firstLineChars="200"/>
        <w:contextualSpacing/>
        <w:jc w:val="both"/>
        <w:rPr>
          <w:rFonts w:hint="eastAsia"/>
          <w:szCs w:val="21"/>
          <w:lang w:eastAsia="zh-CN"/>
        </w:rPr>
      </w:pPr>
      <w:r>
        <w:rPr>
          <w:rFonts w:hint="eastAsia"/>
          <w:szCs w:val="21"/>
        </w:rPr>
        <w:t>国标（北京）检验认证有限公司（以下简称</w:t>
      </w:r>
      <w:r>
        <w:rPr>
          <w:rFonts w:hint="eastAsia"/>
          <w:szCs w:val="21"/>
          <w:lang w:eastAsia="zh-CN"/>
        </w:rPr>
        <w:t>“</w:t>
      </w:r>
      <w:r>
        <w:rPr>
          <w:rFonts w:hint="eastAsia"/>
          <w:szCs w:val="21"/>
        </w:rPr>
        <w:t>国标检验</w:t>
      </w:r>
      <w:r>
        <w:rPr>
          <w:rFonts w:hint="eastAsia"/>
          <w:szCs w:val="21"/>
          <w:lang w:eastAsia="zh-CN"/>
        </w:rPr>
        <w:t>”</w:t>
      </w:r>
      <w:r>
        <w:rPr>
          <w:rFonts w:hint="eastAsia"/>
          <w:szCs w:val="21"/>
        </w:rPr>
        <w:t>）是中央企业有研科技集团有限公司（原北京有色金属研究总院）下属国合通用测试评价认证股份公司的全资子公司，注册资本4680.00万元。国标检验是中国有色金属和电子材料方面权威的第三方检验认证服务机构，管理运营着国家有色金属及电子材料分析测试中心、国家有色金属质量监督检验中心和工业（有色金属及半导体材料）产品质量控制和技术评价实验室等6个国家级和省部级中心/实验室，拥有辉光放电质谱仪、电感耦合等离子体串联质谱仪、电感耦合等离子体原子发射光谱仪、激光剥蚀固体进样系统、原子吸收光谱仪、原子荧光光谱仪等大型化学分析仪器设备20多台套，价值2000多万元，</w:t>
      </w:r>
      <w:r>
        <w:rPr>
          <w:rFonts w:hint="eastAsia"/>
          <w:szCs w:val="21"/>
          <w:lang w:val="en-US" w:eastAsia="zh-CN"/>
        </w:rPr>
        <w:t>装备水平</w:t>
      </w:r>
      <w:r>
        <w:rPr>
          <w:rFonts w:hint="eastAsia"/>
          <w:szCs w:val="21"/>
        </w:rPr>
        <w:t>处于国内行业领先</w:t>
      </w:r>
      <w:r>
        <w:rPr>
          <w:rFonts w:hint="eastAsia"/>
          <w:szCs w:val="21"/>
          <w:lang w:val="en-US" w:eastAsia="zh-CN"/>
        </w:rPr>
        <w:t>地位</w:t>
      </w:r>
      <w:r>
        <w:rPr>
          <w:rFonts w:hint="eastAsia"/>
          <w:szCs w:val="21"/>
        </w:rPr>
        <w:t>。国标检验是我国有色金属行业测试评价技术开发的骨干单位之一，</w:t>
      </w:r>
      <w:r>
        <w:rPr>
          <w:rFonts w:hint="eastAsia"/>
          <w:szCs w:val="21"/>
          <w:lang w:val="en-US" w:eastAsia="zh-CN"/>
        </w:rPr>
        <w:t>也</w:t>
      </w:r>
      <w:r>
        <w:rPr>
          <w:rFonts w:hint="eastAsia"/>
          <w:szCs w:val="21"/>
        </w:rPr>
        <w:t>是我国有色金属分析测试标准主要起草单位之一</w:t>
      </w:r>
      <w:r>
        <w:rPr>
          <w:rFonts w:hint="eastAsia"/>
          <w:szCs w:val="21"/>
          <w:lang w:eastAsia="zh-CN"/>
        </w:rPr>
        <w:t>，</w:t>
      </w:r>
      <w:r>
        <w:rPr>
          <w:rFonts w:hint="eastAsia"/>
          <w:szCs w:val="21"/>
        </w:rPr>
        <w:t>先后承担国家科技重大专项、国际科技支撑计划、国家自然科学基金等国家级科研项目41项</w:t>
      </w:r>
      <w:r>
        <w:rPr>
          <w:rFonts w:hint="eastAsia"/>
          <w:szCs w:val="21"/>
          <w:lang w:eastAsia="zh-CN"/>
        </w:rPr>
        <w:t>，</w:t>
      </w:r>
      <w:r>
        <w:rPr>
          <w:rFonts w:hint="eastAsia"/>
          <w:szCs w:val="21"/>
        </w:rPr>
        <w:t>获得省部级科技成果奖励110余项，拥有授权中国专利和国际专利100余项，在国内外期刊发表学术论文800多篇，撰写学术著作23部</w:t>
      </w:r>
      <w:r>
        <w:rPr>
          <w:rFonts w:hint="eastAsia"/>
          <w:szCs w:val="21"/>
          <w:lang w:eastAsia="zh-CN"/>
        </w:rPr>
        <w:t>；</w:t>
      </w:r>
      <w:r>
        <w:rPr>
          <w:rFonts w:hint="eastAsia"/>
          <w:szCs w:val="21"/>
        </w:rPr>
        <w:t>先后制定国家和行业标准381项</w:t>
      </w:r>
      <w:r>
        <w:rPr>
          <w:rFonts w:hint="eastAsia"/>
          <w:szCs w:val="21"/>
          <w:lang w:eastAsia="zh-CN"/>
        </w:rPr>
        <w:t>，研制了国家标准物质/标准样品162个，为航空航天、国防军工、集成电路、能源电气等国家重大工程</w:t>
      </w:r>
      <w:r>
        <w:rPr>
          <w:rFonts w:hint="eastAsia"/>
          <w:szCs w:val="21"/>
          <w:lang w:val="en-US" w:eastAsia="zh-CN"/>
        </w:rPr>
        <w:t>领域</w:t>
      </w:r>
      <w:r>
        <w:rPr>
          <w:rFonts w:hint="eastAsia"/>
          <w:szCs w:val="21"/>
          <w:lang w:eastAsia="zh-CN"/>
        </w:rPr>
        <w:t>提供了有力保障和支撑。</w:t>
      </w:r>
    </w:p>
    <w:p>
      <w:pPr>
        <w:pStyle w:val="59"/>
        <w:spacing w:before="156" w:beforeLines="50" w:after="156" w:afterLines="50" w:line="240" w:lineRule="auto"/>
        <w:ind w:left="0"/>
        <w:rPr>
          <w:color w:val="auto"/>
        </w:rPr>
      </w:pPr>
      <w:bookmarkStart w:id="12" w:name="_Toc464728901"/>
      <w:bookmarkStart w:id="13" w:name="_Toc462884345"/>
      <w:r>
        <w:rPr>
          <w:rFonts w:hint="eastAsia"/>
          <w:color w:val="auto"/>
        </w:rPr>
        <w:t>成员单位简介</w:t>
      </w:r>
      <w:bookmarkEnd w:id="12"/>
      <w:bookmarkEnd w:id="13"/>
    </w:p>
    <w:p>
      <w:pPr>
        <w:pStyle w:val="58"/>
        <w:spacing w:before="156" w:beforeLines="50" w:after="156" w:afterLines="50"/>
        <w:ind w:left="2"/>
        <w:contextualSpacing/>
        <w:rPr>
          <w:color w:val="auto"/>
        </w:rPr>
      </w:pPr>
      <w:bookmarkStart w:id="14" w:name="_Toc464728903"/>
      <w:bookmarkStart w:id="15" w:name="_Toc462884347"/>
      <w:bookmarkStart w:id="16" w:name="_Toc462884357"/>
      <w:bookmarkStart w:id="17" w:name="_Toc464728913"/>
      <w:r>
        <w:rPr>
          <w:rFonts w:hint="eastAsia"/>
          <w:color w:val="auto"/>
        </w:rPr>
        <w:t>国合通用测试评价认证股份公司</w:t>
      </w:r>
    </w:p>
    <w:p>
      <w:pPr>
        <w:pStyle w:val="57"/>
      </w:pPr>
    </w:p>
    <w:p>
      <w:pPr>
        <w:pStyle w:val="58"/>
        <w:spacing w:before="156" w:beforeLines="50" w:after="156" w:afterLines="50"/>
        <w:ind w:left="2"/>
        <w:contextualSpacing/>
        <w:rPr>
          <w:color w:val="auto"/>
        </w:rPr>
      </w:pPr>
      <w:r>
        <w:rPr>
          <w:rFonts w:hint="eastAsia"/>
          <w:color w:val="auto"/>
        </w:rPr>
        <w:t>广东省工业分析检测中心</w:t>
      </w:r>
    </w:p>
    <w:p>
      <w:pPr>
        <w:spacing w:line="300" w:lineRule="auto"/>
        <w:ind w:firstLine="420" w:firstLineChars="200"/>
        <w:contextualSpacing/>
        <w:jc w:val="left"/>
        <w:rPr>
          <w:rFonts w:hint="eastAsia"/>
          <w:szCs w:val="21"/>
        </w:rPr>
      </w:pPr>
    </w:p>
    <w:p>
      <w:pPr>
        <w:pStyle w:val="58"/>
        <w:spacing w:before="156" w:beforeLines="50" w:after="156" w:afterLines="50"/>
        <w:ind w:left="2"/>
        <w:contextualSpacing/>
        <w:rPr>
          <w:color w:val="auto"/>
        </w:rPr>
      </w:pPr>
      <w:r>
        <w:rPr>
          <w:rFonts w:hint="eastAsia"/>
          <w:szCs w:val="21"/>
        </w:rPr>
        <w:t>中铝洛阳铜加工有限公司</w:t>
      </w:r>
    </w:p>
    <w:p>
      <w:pPr>
        <w:pStyle w:val="57"/>
        <w:rPr>
          <w:rFonts w:hint="eastAsia"/>
          <w:szCs w:val="21"/>
        </w:rPr>
      </w:pPr>
    </w:p>
    <w:p>
      <w:pPr>
        <w:pStyle w:val="58"/>
        <w:spacing w:before="156" w:beforeLines="50" w:after="156" w:afterLines="50"/>
        <w:ind w:left="2"/>
        <w:contextualSpacing/>
        <w:rPr>
          <w:rFonts w:hint="eastAsia"/>
          <w:szCs w:val="21"/>
          <w:lang w:val="en-US" w:eastAsia="zh-CN"/>
        </w:rPr>
      </w:pPr>
      <w:r>
        <w:rPr>
          <w:rFonts w:hint="eastAsia"/>
          <w:szCs w:val="21"/>
          <w:lang w:val="en-US" w:eastAsia="zh-CN"/>
        </w:rPr>
        <w:t>中国铝业郑州有色金属研究院有限公司</w:t>
      </w:r>
    </w:p>
    <w:p>
      <w:pPr>
        <w:pStyle w:val="57"/>
        <w:ind w:left="0" w:leftChars="0" w:firstLine="0" w:firstLineChars="0"/>
        <w:rPr>
          <w:rFonts w:hint="eastAsia"/>
          <w:szCs w:val="21"/>
          <w:lang w:val="en-US" w:eastAsia="zh-CN"/>
        </w:rPr>
      </w:pPr>
    </w:p>
    <w:p>
      <w:pPr>
        <w:pStyle w:val="58"/>
        <w:spacing w:before="156" w:beforeLines="50" w:after="156" w:afterLines="50"/>
        <w:ind w:left="2"/>
        <w:contextualSpacing/>
        <w:rPr>
          <w:rFonts w:hint="default"/>
          <w:szCs w:val="21"/>
          <w:lang w:val="en-US" w:eastAsia="zh-CN"/>
        </w:rPr>
      </w:pPr>
      <w:r>
        <w:rPr>
          <w:rFonts w:hint="eastAsia"/>
          <w:szCs w:val="21"/>
          <w:lang w:val="en-US" w:eastAsia="zh-CN"/>
        </w:rPr>
        <w:t>西安汉唐分析检测有限公司</w:t>
      </w:r>
    </w:p>
    <w:p>
      <w:pPr>
        <w:pStyle w:val="57"/>
        <w:ind w:left="0" w:leftChars="0" w:firstLine="0" w:firstLineChars="0"/>
      </w:pPr>
    </w:p>
    <w:bookmarkEnd w:id="14"/>
    <w:bookmarkEnd w:id="15"/>
    <w:p>
      <w:pPr>
        <w:pStyle w:val="60"/>
        <w:spacing w:before="156" w:after="156" w:line="300" w:lineRule="auto"/>
        <w:ind w:left="0"/>
        <w:contextualSpacing/>
      </w:pPr>
      <w:r>
        <w:rPr>
          <w:rFonts w:hint="eastAsia"/>
        </w:rPr>
        <w:t>主要工作过程</w:t>
      </w:r>
      <w:bookmarkEnd w:id="16"/>
      <w:bookmarkEnd w:id="17"/>
    </w:p>
    <w:p>
      <w:pPr>
        <w:pStyle w:val="59"/>
        <w:spacing w:before="156" w:beforeLines="50" w:after="156" w:afterLines="50" w:line="240" w:lineRule="auto"/>
        <w:ind w:left="0"/>
        <w:rPr>
          <w:color w:val="auto"/>
        </w:rPr>
      </w:pPr>
      <w:r>
        <w:rPr>
          <w:rFonts w:hint="eastAsia"/>
          <w:color w:val="auto"/>
        </w:rPr>
        <w:t>任务落实会</w:t>
      </w:r>
    </w:p>
    <w:p>
      <w:pPr>
        <w:pStyle w:val="57"/>
        <w:spacing w:line="324" w:lineRule="auto"/>
        <w:ind w:firstLine="420"/>
        <w:rPr>
          <w:rFonts w:hint="default" w:ascii="Times New Roman" w:hAnsi="Times New Roman" w:cs="Times New Roman"/>
          <w:szCs w:val="21"/>
          <w:lang w:val="en-US" w:eastAsia="zh-CN"/>
        </w:rPr>
      </w:pPr>
      <w:r>
        <w:rPr>
          <w:rFonts w:hint="default" w:ascii="Times New Roman" w:hAnsi="Times New Roman" w:cs="Times New Roman"/>
          <w:szCs w:val="21"/>
        </w:rPr>
        <w:t>2019年5月22日有色金属行业计量技术委员会</w:t>
      </w:r>
      <w:r>
        <w:rPr>
          <w:rFonts w:hint="default" w:ascii="Times New Roman" w:hAnsi="Times New Roman" w:cs="Times New Roman"/>
          <w:szCs w:val="21"/>
          <w:lang w:val="en-US" w:eastAsia="zh-CN"/>
        </w:rPr>
        <w:t>在浙江宁波召开全体工作会议</w:t>
      </w:r>
      <w:r>
        <w:rPr>
          <w:rFonts w:hint="default" w:ascii="Times New Roman" w:hAnsi="Times New Roman" w:cs="Times New Roman"/>
          <w:szCs w:val="21"/>
        </w:rPr>
        <w:t>，</w:t>
      </w:r>
      <w:r>
        <w:rPr>
          <w:rFonts w:hint="default" w:ascii="Times New Roman" w:hAnsi="Times New Roman" w:cs="Times New Roman"/>
          <w:szCs w:val="21"/>
          <w:lang w:val="en-US" w:eastAsia="zh-CN"/>
        </w:rPr>
        <w:t>来自中国有色金属工业协会、中国有色金属工业标准计量质量研究所、国标（北京）检验认证有限公司、广东省工业分析检测中心、中铝洛阳铜加工有限公司、中国铝业郑州有色金属研究院有限公司、西安汉唐分析检测有限公司、东北轻合金有限责任公司、包头稀土院等</w:t>
      </w:r>
      <w:r>
        <w:rPr>
          <w:rFonts w:hint="default" w:ascii="Times New Roman" w:hAnsi="Times New Roman" w:cs="Times New Roman"/>
          <w:szCs w:val="21"/>
        </w:rPr>
        <w:t>30余家企事业单位</w:t>
      </w:r>
      <w:r>
        <w:rPr>
          <w:rFonts w:hint="default" w:ascii="Times New Roman" w:hAnsi="Times New Roman" w:cs="Times New Roman"/>
          <w:szCs w:val="21"/>
          <w:lang w:val="en-US" w:eastAsia="zh-CN"/>
        </w:rPr>
        <w:t>的</w:t>
      </w:r>
      <w:r>
        <w:rPr>
          <w:rFonts w:hint="default" w:ascii="Times New Roman" w:hAnsi="Times New Roman" w:cs="Times New Roman"/>
          <w:szCs w:val="21"/>
        </w:rPr>
        <w:t>40余名代表</w:t>
      </w:r>
      <w:r>
        <w:rPr>
          <w:rFonts w:hint="default" w:ascii="Times New Roman" w:hAnsi="Times New Roman" w:cs="Times New Roman"/>
          <w:szCs w:val="21"/>
          <w:lang w:val="en-US" w:eastAsia="zh-CN"/>
        </w:rPr>
        <w:t>参会。</w:t>
      </w:r>
      <w:r>
        <w:rPr>
          <w:rFonts w:hint="eastAsia" w:ascii="Times New Roman" w:hAnsi="Times New Roman" w:cs="Times New Roman"/>
          <w:szCs w:val="21"/>
          <w:lang w:val="en-US" w:eastAsia="zh-CN"/>
        </w:rPr>
        <w:t>会议对《双联电解分析仪校准规范》制订项目进行了任务落实。该项目有国标（北京）检验认证有限公司牵头制订，国合通用测试评价认证股份公司、广东省工业分析检测中心、中铝洛阳铜加工有限公司、中国铝业郑州有色金属研究院有限公司、西安汉唐分析检测有限公司等5</w:t>
      </w:r>
      <w:bookmarkStart w:id="59" w:name="_GoBack"/>
      <w:bookmarkEnd w:id="59"/>
      <w:r>
        <w:rPr>
          <w:rFonts w:hint="eastAsia" w:ascii="Times New Roman" w:hAnsi="Times New Roman" w:cs="Times New Roman"/>
          <w:szCs w:val="21"/>
          <w:lang w:val="en-US" w:eastAsia="zh-CN"/>
        </w:rPr>
        <w:t>家单位参与制订。会上还落实的该项目各制订阶段的工作内容和时间节点。</w:t>
      </w:r>
    </w:p>
    <w:p>
      <w:pPr>
        <w:pStyle w:val="73"/>
        <w:numPr>
          <w:ilvl w:val="0"/>
          <w:numId w:val="11"/>
        </w:numPr>
        <w:tabs>
          <w:tab w:val="left" w:pos="426"/>
        </w:tabs>
        <w:spacing w:before="312" w:beforeLines="100" w:after="312" w:afterLines="100"/>
        <w:ind w:hangingChars="200"/>
        <w:jc w:val="left"/>
      </w:pPr>
      <w:bookmarkStart w:id="18" w:name="_Toc464728924"/>
      <w:r>
        <w:rPr>
          <w:rFonts w:hint="eastAsia"/>
        </w:rPr>
        <w:t>规程编制原则和确定主要内容</w:t>
      </w:r>
      <w:bookmarkEnd w:id="18"/>
    </w:p>
    <w:p>
      <w:pPr>
        <w:pStyle w:val="78"/>
        <w:wordWrap/>
        <w:spacing w:beforeLines="0" w:after="156" w:line="360" w:lineRule="auto"/>
      </w:pPr>
      <w:bookmarkStart w:id="19" w:name="_Toc464728925"/>
      <w:r>
        <w:rPr>
          <w:rFonts w:hint="eastAsia"/>
        </w:rPr>
        <w:t>编制原则</w:t>
      </w:r>
      <w:bookmarkEnd w:id="19"/>
    </w:p>
    <w:p>
      <w:pPr>
        <w:pStyle w:val="57"/>
        <w:numPr>
          <w:ilvl w:val="0"/>
          <w:numId w:val="12"/>
        </w:numPr>
        <w:spacing w:line="324" w:lineRule="auto"/>
        <w:ind w:firstLine="420"/>
        <w:rPr>
          <w:szCs w:val="21"/>
        </w:rPr>
      </w:pPr>
      <w:bookmarkStart w:id="20" w:name="_Toc464728926"/>
      <w:r>
        <w:rPr>
          <w:rFonts w:hint="eastAsia"/>
          <w:szCs w:val="21"/>
        </w:rPr>
        <w:t>保证有色行业的特殊性和适用性</w:t>
      </w:r>
    </w:p>
    <w:p>
      <w:pPr>
        <w:pStyle w:val="57"/>
        <w:numPr>
          <w:ilvl w:val="0"/>
          <w:numId w:val="12"/>
        </w:numPr>
        <w:spacing w:line="324" w:lineRule="auto"/>
        <w:ind w:firstLine="420"/>
        <w:rPr>
          <w:szCs w:val="21"/>
        </w:rPr>
      </w:pPr>
      <w:r>
        <w:rPr>
          <w:rFonts w:hint="eastAsia"/>
          <w:szCs w:val="21"/>
        </w:rPr>
        <w:t>保证计量规程的规范性</w:t>
      </w:r>
    </w:p>
    <w:p>
      <w:pPr>
        <w:pStyle w:val="78"/>
        <w:spacing w:before="312" w:beforeLines="100" w:after="312" w:afterLines="100"/>
        <w:rPr>
          <w:rFonts w:ascii="宋体" w:hAnsi="宋体"/>
        </w:rPr>
      </w:pPr>
      <w:r>
        <w:rPr>
          <w:rFonts w:hint="eastAsia"/>
        </w:rPr>
        <w:t>确定主要内</w:t>
      </w:r>
      <w:bookmarkEnd w:id="20"/>
      <w:r>
        <w:rPr>
          <w:rFonts w:hint="eastAsia"/>
        </w:rPr>
        <w:t>容</w:t>
      </w:r>
    </w:p>
    <w:p>
      <w:pPr>
        <w:pStyle w:val="60"/>
        <w:numPr>
          <w:ilvl w:val="1"/>
          <w:numId w:val="13"/>
        </w:numPr>
        <w:spacing w:before="312" w:beforeLines="100" w:after="312" w:afterLines="100"/>
        <w:contextualSpacing/>
        <w:rPr>
          <w:rFonts w:hAnsi="黑体"/>
          <w:szCs w:val="21"/>
        </w:rPr>
      </w:pPr>
      <w:bookmarkStart w:id="21" w:name="_Toc464728964"/>
      <w:r>
        <w:rPr>
          <w:rFonts w:hint="eastAsia" w:hAnsi="黑体"/>
          <w:szCs w:val="21"/>
        </w:rPr>
        <w:t>范围</w:t>
      </w:r>
    </w:p>
    <w:p>
      <w:pPr>
        <w:pStyle w:val="57"/>
        <w:spacing w:line="324" w:lineRule="auto"/>
        <w:ind w:firstLine="420"/>
        <w:rPr>
          <w:szCs w:val="21"/>
        </w:rPr>
      </w:pPr>
      <w:r>
        <w:rPr>
          <w:rFonts w:hint="eastAsia"/>
          <w:szCs w:val="21"/>
        </w:rPr>
        <w:t>本规范适用于台式双联电解分析仪的校准。</w:t>
      </w:r>
    </w:p>
    <w:p>
      <w:pPr>
        <w:pStyle w:val="60"/>
        <w:spacing w:before="312" w:beforeLines="100" w:after="312" w:afterLines="100"/>
        <w:contextualSpacing/>
        <w:rPr>
          <w:rFonts w:hAnsi="黑体"/>
          <w:szCs w:val="21"/>
        </w:rPr>
      </w:pPr>
      <w:r>
        <w:rPr>
          <w:rFonts w:hint="eastAsia" w:hAnsi="黑体"/>
          <w:szCs w:val="21"/>
        </w:rPr>
        <w:t>规范性引用文件</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1001—2011 通用计量术语及定义</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1059.1—2012 测量不确定度评定与表示</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JJG 124—2015 电流表、电压表、功率表及电阻表</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JJG 598—1989 直流数字电流表检定规程</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JJF 1587—2016 数字多用表校准规范</w:t>
      </w:r>
    </w:p>
    <w:p>
      <w:pPr>
        <w:pStyle w:val="60"/>
        <w:spacing w:before="312" w:beforeLines="100" w:after="312" w:afterLines="100"/>
        <w:contextualSpacing/>
        <w:rPr>
          <w:rFonts w:hAnsi="黑体"/>
          <w:szCs w:val="21"/>
        </w:rPr>
      </w:pPr>
      <w:bookmarkStart w:id="22" w:name="_Toc193618952"/>
      <w:bookmarkStart w:id="23" w:name="_Toc193860030"/>
      <w:bookmarkStart w:id="24" w:name="_Toc193619097"/>
      <w:bookmarkStart w:id="25" w:name="_Toc500258937"/>
      <w:bookmarkStart w:id="26" w:name="_Toc116_WPSOffice_Level1"/>
      <w:bookmarkStart w:id="27" w:name="_Toc193619055"/>
      <w:bookmarkStart w:id="28" w:name="_Toc193860211"/>
      <w:bookmarkStart w:id="29" w:name="_Toc193860180"/>
      <w:r>
        <w:rPr>
          <w:rFonts w:hint="eastAsia" w:hAnsi="黑体"/>
          <w:szCs w:val="21"/>
        </w:rPr>
        <w:t>概述</w:t>
      </w:r>
      <w:bookmarkEnd w:id="22"/>
      <w:bookmarkEnd w:id="23"/>
      <w:bookmarkEnd w:id="24"/>
      <w:bookmarkEnd w:id="25"/>
      <w:bookmarkEnd w:id="26"/>
      <w:bookmarkEnd w:id="27"/>
      <w:bookmarkEnd w:id="28"/>
      <w:bookmarkEnd w:id="29"/>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双联电解分析仪（以下简称“双联电解仪”）是应用电解法分析有色金属的成套装置，主要包括电解系统、搅拌系统、加热系统、调节控制系统、电源等部分。双联电解仪的基本工作原理是将阴、阳电极浸没入含有铜、铅、镍、锡等金属离子的电解液中，形成闭合电路。在直流电作用下，通过选择适当的电解电流或电压强度使溶液中铜、铅、镍、锡等金属离子在电极附近发生氧化还原反应，并形成单质附着于电极上，最终采用称量法进行精密的定量分析。</w:t>
      </w:r>
    </w:p>
    <w:p>
      <w:pPr>
        <w:pStyle w:val="60"/>
        <w:spacing w:before="312" w:beforeLines="100" w:after="312" w:afterLines="100"/>
        <w:contextualSpacing/>
        <w:rPr>
          <w:rFonts w:hAnsi="黑体"/>
          <w:szCs w:val="21"/>
        </w:rPr>
      </w:pPr>
      <w:bookmarkStart w:id="30" w:name="_Toc193860212"/>
      <w:bookmarkStart w:id="31" w:name="_Toc193619056"/>
      <w:bookmarkStart w:id="32" w:name="_Toc16188_WPSOffice_Level1"/>
      <w:bookmarkStart w:id="33" w:name="_Toc500258938"/>
      <w:bookmarkStart w:id="34" w:name="_Toc193619098"/>
      <w:bookmarkStart w:id="35" w:name="_Toc193860181"/>
      <w:bookmarkStart w:id="36" w:name="_Toc193860031"/>
      <w:bookmarkStart w:id="37" w:name="_Toc193618953"/>
      <w:r>
        <w:rPr>
          <w:rFonts w:hint="eastAsia" w:hAnsi="黑体"/>
          <w:szCs w:val="21"/>
        </w:rPr>
        <w:t>计量特性</w:t>
      </w:r>
      <w:bookmarkEnd w:id="30"/>
      <w:bookmarkEnd w:id="31"/>
      <w:bookmarkEnd w:id="32"/>
      <w:bookmarkEnd w:id="33"/>
      <w:bookmarkEnd w:id="34"/>
      <w:bookmarkEnd w:id="35"/>
      <w:bookmarkEnd w:id="36"/>
      <w:bookmarkEnd w:id="37"/>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4.1 示值误差</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被校仪器电压表或电流表上的显示值与电极输出值之差。</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4.2 最大允许误差</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被校仪器电压表或电流表示值的最大允许误差</w:t>
      </w:r>
    </w:p>
    <w:p>
      <w:pPr>
        <w:pStyle w:val="60"/>
        <w:spacing w:before="312" w:beforeLines="100" w:after="312" w:afterLines="100"/>
        <w:contextualSpacing/>
        <w:rPr>
          <w:rFonts w:hAnsi="黑体"/>
          <w:szCs w:val="21"/>
        </w:rPr>
      </w:pPr>
      <w:bookmarkStart w:id="38" w:name="_Toc5777_WPSOffice_Level1"/>
      <w:r>
        <w:rPr>
          <w:rFonts w:hint="eastAsia" w:hAnsi="黑体"/>
          <w:szCs w:val="21"/>
        </w:rPr>
        <w:t>通用技术要求</w:t>
      </w:r>
      <w:bookmarkEnd w:id="38"/>
    </w:p>
    <w:p>
      <w:pPr>
        <w:pStyle w:val="57"/>
        <w:numPr>
          <w:ilvl w:val="0"/>
          <w:numId w:val="14"/>
        </w:numPr>
        <w:spacing w:line="324" w:lineRule="auto"/>
        <w:ind w:firstLine="420"/>
        <w:rPr>
          <w:rFonts w:hint="default" w:ascii="Times New Roman" w:hAnsi="Times New Roman" w:cs="Times New Roman"/>
          <w:szCs w:val="21"/>
        </w:rPr>
      </w:pPr>
      <w:bookmarkStart w:id="39" w:name="_Toc24185_WPSOffice_Level2"/>
      <w:r>
        <w:rPr>
          <w:rFonts w:hint="default" w:ascii="Times New Roman" w:hAnsi="Times New Roman" w:cs="Times New Roman"/>
          <w:szCs w:val="21"/>
        </w:rPr>
        <w:t>5.1 外观</w:t>
      </w:r>
      <w:bookmarkEnd w:id="39"/>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被较仪器应有完整的下列标识：仪器名称、型号、出厂编号、制造厂名、制造日期、额定工作电压及频率等。</w:t>
      </w:r>
    </w:p>
    <w:p>
      <w:pPr>
        <w:pStyle w:val="57"/>
        <w:spacing w:line="324" w:lineRule="auto"/>
        <w:ind w:firstLine="420"/>
        <w:rPr>
          <w:rFonts w:hint="default" w:ascii="Times New Roman" w:hAnsi="Times New Roman" w:cs="Times New Roman"/>
          <w:szCs w:val="21"/>
        </w:rPr>
      </w:pPr>
      <w:bookmarkStart w:id="40" w:name="_Toc2906_WPSOffice_Level2"/>
      <w:r>
        <w:rPr>
          <w:rFonts w:hint="default" w:ascii="Times New Roman" w:hAnsi="Times New Roman" w:cs="Times New Roman"/>
          <w:szCs w:val="21"/>
        </w:rPr>
        <w:t>5.2 要求</w:t>
      </w:r>
      <w:bookmarkEnd w:id="40"/>
    </w:p>
    <w:p>
      <w:pPr>
        <w:pStyle w:val="57"/>
        <w:spacing w:line="324" w:lineRule="auto"/>
        <w:ind w:firstLine="420"/>
        <w:rPr>
          <w:szCs w:val="21"/>
        </w:rPr>
      </w:pPr>
      <w:r>
        <w:rPr>
          <w:rFonts w:hint="default" w:ascii="Times New Roman" w:hAnsi="Times New Roman" w:cs="Times New Roman"/>
          <w:szCs w:val="21"/>
        </w:rPr>
        <w:t>被较仪器外形结构完好，所有紧固件均应安装牢固，无松动现象；各调节旋钮转动灵活，按键和开关均能正常工作，不应有影响仪器正常工作的机械损伤和缺陷。被较仪器通电后各系统功能应正常，状态指示灯应指示正常。</w:t>
      </w:r>
    </w:p>
    <w:p>
      <w:pPr>
        <w:pStyle w:val="60"/>
        <w:spacing w:before="312" w:beforeLines="100" w:after="312" w:afterLines="100"/>
        <w:contextualSpacing/>
        <w:rPr>
          <w:rFonts w:hAnsi="黑体"/>
          <w:szCs w:val="21"/>
        </w:rPr>
      </w:pPr>
      <w:bookmarkStart w:id="41" w:name="_Toc10263_WPSOffice_Level1"/>
      <w:r>
        <w:rPr>
          <w:rFonts w:hint="eastAsia" w:hAnsi="黑体"/>
          <w:szCs w:val="21"/>
        </w:rPr>
        <w:t>计量器具控制</w:t>
      </w:r>
      <w:bookmarkEnd w:id="41"/>
    </w:p>
    <w:p>
      <w:pPr>
        <w:pStyle w:val="57"/>
        <w:numPr>
          <w:ilvl w:val="1"/>
          <w:numId w:val="14"/>
        </w:numPr>
        <w:spacing w:line="324" w:lineRule="auto"/>
        <w:ind w:firstLine="420"/>
        <w:rPr>
          <w:rFonts w:hint="eastAsia"/>
          <w:vanish/>
          <w:szCs w:val="21"/>
        </w:rPr>
      </w:pPr>
      <w:bookmarkStart w:id="42" w:name="_Toc500258942"/>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bookmarkEnd w:id="42"/>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lang w:val="en-US" w:eastAsia="zh-CN"/>
        </w:rPr>
        <w:t>6</w:t>
      </w:r>
      <w:r>
        <w:rPr>
          <w:rFonts w:hint="default" w:ascii="Times New Roman" w:hAnsi="Times New Roman" w:cs="Times New Roman"/>
          <w:szCs w:val="21"/>
        </w:rPr>
        <w:t>.1 环境条件</w:t>
      </w:r>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仪器周围不得有强烈的机械振动和电磁干扰，不得存放与实验无关的易燃、易爆和强腐蚀性的气体或试剂。</w:t>
      </w:r>
      <w:r>
        <w:rPr>
          <w:rFonts w:hint="eastAsia" w:ascii="Times New Roman" w:hAnsi="Times New Roman" w:cs="Times New Roman"/>
          <w:szCs w:val="21"/>
          <w:lang w:val="en-US" w:eastAsia="zh-CN"/>
        </w:rPr>
        <w:t>本规范规定了</w:t>
      </w:r>
      <w:r>
        <w:rPr>
          <w:rFonts w:hint="default" w:ascii="Times New Roman" w:hAnsi="Times New Roman" w:cs="Times New Roman"/>
          <w:szCs w:val="21"/>
        </w:rPr>
        <w:t>环境温度</w:t>
      </w:r>
      <w:r>
        <w:rPr>
          <w:rFonts w:hint="eastAsia" w:ascii="Times New Roman" w:hAnsi="Times New Roman" w:cs="Times New Roman"/>
          <w:szCs w:val="21"/>
          <w:lang w:val="en-US" w:eastAsia="zh-CN"/>
        </w:rPr>
        <w:t>为</w:t>
      </w:r>
      <w:r>
        <w:rPr>
          <w:rFonts w:hint="default" w:ascii="Times New Roman" w:hAnsi="Times New Roman" w:cs="Times New Roman"/>
          <w:szCs w:val="21"/>
        </w:rPr>
        <w:t xml:space="preserve">20 </w:t>
      </w:r>
      <w:r>
        <w:rPr>
          <w:rFonts w:hint="default" w:ascii="Times New Roman" w:hAnsi="Times New Roman" w:cs="Times New Roman"/>
          <w:szCs w:val="21"/>
          <w:vertAlign w:val="superscript"/>
        </w:rPr>
        <w:t>o</w:t>
      </w:r>
      <w:r>
        <w:rPr>
          <w:rFonts w:hint="default" w:ascii="Times New Roman" w:hAnsi="Times New Roman" w:cs="Times New Roman"/>
          <w:szCs w:val="21"/>
        </w:rPr>
        <w:t xml:space="preserve">C±2 </w:t>
      </w:r>
      <w:r>
        <w:rPr>
          <w:rFonts w:hint="default" w:ascii="Times New Roman" w:hAnsi="Times New Roman" w:cs="Times New Roman"/>
          <w:szCs w:val="21"/>
          <w:vertAlign w:val="superscript"/>
        </w:rPr>
        <w:t>o</w:t>
      </w:r>
      <w:r>
        <w:rPr>
          <w:rFonts w:hint="default" w:ascii="Times New Roman" w:hAnsi="Times New Roman" w:cs="Times New Roman"/>
          <w:szCs w:val="21"/>
        </w:rPr>
        <w:t>C</w:t>
      </w:r>
      <w:r>
        <w:rPr>
          <w:rFonts w:hint="eastAsia" w:ascii="Times New Roman" w:hAnsi="Times New Roman" w:cs="Times New Roman"/>
          <w:szCs w:val="21"/>
          <w:lang w:eastAsia="zh-CN"/>
        </w:rPr>
        <w:t>，</w:t>
      </w:r>
      <w:r>
        <w:rPr>
          <w:rFonts w:hint="default" w:ascii="Times New Roman" w:hAnsi="Times New Roman" w:cs="Times New Roman"/>
          <w:szCs w:val="21"/>
        </w:rPr>
        <w:t>相对湿度：≤75%</w:t>
      </w:r>
      <w:r>
        <w:rPr>
          <w:rFonts w:hint="eastAsia" w:ascii="Times New Roman" w:hAnsi="Times New Roman" w:cs="Times New Roman"/>
          <w:szCs w:val="21"/>
          <w:lang w:eastAsia="zh-CN"/>
        </w:rPr>
        <w:t>，</w:t>
      </w:r>
      <w:r>
        <w:rPr>
          <w:rFonts w:hint="default" w:ascii="Times New Roman" w:hAnsi="Times New Roman" w:cs="Times New Roman"/>
          <w:szCs w:val="21"/>
        </w:rPr>
        <w:t>供电电源：AC 220 V±22 V。</w:t>
      </w:r>
    </w:p>
    <w:p>
      <w:pPr>
        <w:pStyle w:val="57"/>
        <w:spacing w:line="324" w:lineRule="auto"/>
        <w:ind w:firstLine="420"/>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6.2 计量器具</w:t>
      </w:r>
    </w:p>
    <w:p>
      <w:pPr>
        <w:pStyle w:val="57"/>
        <w:spacing w:line="324" w:lineRule="auto"/>
        <w:ind w:firstLine="420"/>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本规范规定计量器具</w:t>
      </w:r>
      <w:r>
        <w:rPr>
          <w:rFonts w:hint="default" w:ascii="Times New Roman" w:hAnsi="Times New Roman" w:cs="Times New Roman"/>
          <w:szCs w:val="21"/>
        </w:rPr>
        <w:t>采用经过检定或校准的直流数字电压表、直流数字电流表或数字多用表。计量器具量程应不小于被校仪器的常用工作范围的上限值，对应功能的最大允许误差（或不确定度）应不大于被校仪器相应功能最大允许误差的1/3</w:t>
      </w:r>
      <w:r>
        <w:rPr>
          <w:rFonts w:hint="eastAsia" w:ascii="Times New Roman" w:hAnsi="Times New Roman" w:cs="Times New Roman"/>
          <w:szCs w:val="21"/>
          <w:lang w:eastAsia="zh-CN"/>
        </w:rPr>
        <w:t>。</w:t>
      </w:r>
    </w:p>
    <w:p>
      <w:pPr>
        <w:pStyle w:val="60"/>
        <w:spacing w:before="312" w:beforeLines="100" w:after="312" w:afterLines="100"/>
        <w:contextualSpacing/>
        <w:rPr>
          <w:rFonts w:hint="eastAsia" w:hAnsi="黑体"/>
          <w:szCs w:val="21"/>
        </w:rPr>
      </w:pPr>
      <w:bookmarkStart w:id="43" w:name="_Toc27112_WPSOffice_Level1"/>
      <w:bookmarkStart w:id="44" w:name="_Toc500258944"/>
      <w:r>
        <w:rPr>
          <w:rFonts w:hint="eastAsia" w:hAnsi="黑体"/>
          <w:szCs w:val="21"/>
        </w:rPr>
        <w:t>校准项目和校准方法</w:t>
      </w:r>
      <w:bookmarkEnd w:id="43"/>
      <w:bookmarkEnd w:id="44"/>
    </w:p>
    <w:p>
      <w:pPr>
        <w:pStyle w:val="57"/>
        <w:spacing w:line="324" w:lineRule="auto"/>
        <w:ind w:firstLine="420"/>
        <w:rPr>
          <w:rFonts w:hint="default" w:ascii="Times New Roman" w:hAnsi="Times New Roman" w:cs="Times New Roman"/>
          <w:szCs w:val="21"/>
        </w:rPr>
      </w:pPr>
      <w:bookmarkStart w:id="45" w:name="_Toc500258945"/>
      <w:bookmarkStart w:id="46" w:name="_Toc26981_WPSOffice_Level2"/>
      <w:r>
        <w:rPr>
          <w:rFonts w:hint="default" w:ascii="Times New Roman" w:hAnsi="Times New Roman" w:cs="Times New Roman"/>
          <w:szCs w:val="21"/>
        </w:rPr>
        <w:t>7.1</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校准项目</w:t>
      </w:r>
      <w:bookmarkEnd w:id="45"/>
      <w:bookmarkEnd w:id="46"/>
    </w:p>
    <w:p>
      <w:pPr>
        <w:pStyle w:val="57"/>
        <w:spacing w:line="324" w:lineRule="auto"/>
        <w:ind w:firstLine="420"/>
        <w:rPr>
          <w:rFonts w:hint="default" w:ascii="Times New Roman" w:hAnsi="Times New Roman" w:cs="Times New Roman"/>
          <w:szCs w:val="21"/>
        </w:rPr>
      </w:pPr>
      <w:r>
        <w:rPr>
          <w:rFonts w:hint="eastAsia" w:ascii="Times New Roman" w:hAnsi="Times New Roman" w:cs="Times New Roman"/>
          <w:szCs w:val="21"/>
          <w:lang w:val="en-US" w:eastAsia="zh-CN"/>
        </w:rPr>
        <w:t>本规范规定了双联电解分析仪的校准项目，详见表1</w:t>
      </w:r>
      <w:r>
        <w:rPr>
          <w:rFonts w:hint="default" w:ascii="Times New Roman" w:hAnsi="Times New Roman" w:cs="Times New Roman"/>
          <w:szCs w:val="21"/>
        </w:rPr>
        <w:t>。</w:t>
      </w:r>
    </w:p>
    <w:p>
      <w:pPr>
        <w:pStyle w:val="57"/>
        <w:spacing w:line="324" w:lineRule="auto"/>
        <w:ind w:left="0" w:leftChars="0" w:firstLine="0" w:firstLineChars="0"/>
        <w:jc w:val="center"/>
        <w:rPr>
          <w:rFonts w:hint="default" w:ascii="Times New Roman" w:hAnsi="Times New Roman" w:cs="Times New Roman"/>
          <w:szCs w:val="21"/>
        </w:rPr>
      </w:pPr>
      <w:r>
        <w:rPr>
          <w:rFonts w:hint="default" w:ascii="Times New Roman" w:hAnsi="Times New Roman" w:cs="Times New Roman"/>
          <w:szCs w:val="21"/>
        </w:rPr>
        <w:t xml:space="preserve">表1 </w:t>
      </w:r>
      <w:r>
        <w:rPr>
          <w:rFonts w:hint="eastAsia" w:ascii="Times New Roman" w:hAnsi="Times New Roman" w:cs="Times New Roman"/>
          <w:szCs w:val="21"/>
          <w:lang w:val="en-US" w:eastAsia="zh-CN"/>
        </w:rPr>
        <w:t>双联电解分析仪</w:t>
      </w:r>
      <w:r>
        <w:rPr>
          <w:rFonts w:hint="default" w:ascii="Times New Roman" w:hAnsi="Times New Roman" w:cs="Times New Roman"/>
          <w:szCs w:val="21"/>
        </w:rPr>
        <w:t>校准项目</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3"/>
        <w:gridCol w:w="5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eastAsia"/>
              </w:rPr>
              <w:t>外观及通电检查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eastAsia"/>
              </w:rPr>
              <w:t>电流示值误差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5553" w:type="dxa"/>
            <w:tcBorders>
              <w:top w:val="single" w:color="000000" w:sz="4" w:space="0"/>
              <w:left w:val="single" w:color="000000" w:sz="4" w:space="0"/>
              <w:bottom w:val="single" w:color="000000" w:sz="4" w:space="0"/>
              <w:right w:val="single" w:color="000000" w:sz="4" w:space="0"/>
            </w:tcBorders>
            <w:vAlign w:val="center"/>
          </w:tcPr>
          <w:p>
            <w:pPr>
              <w:pStyle w:val="57"/>
              <w:keepNext w:val="0"/>
              <w:keepLines w:val="0"/>
              <w:pageBreakBefore w:val="0"/>
              <w:widowControl/>
              <w:kinsoku/>
              <w:wordWrap/>
              <w:overflowPunct/>
              <w:topLinePunct w:val="0"/>
              <w:autoSpaceDE w:val="0"/>
              <w:autoSpaceDN w:val="0"/>
              <w:bidi w:val="0"/>
              <w:adjustRightInd w:val="0"/>
              <w:snapToGrid w:val="0"/>
              <w:spacing w:line="324" w:lineRule="auto"/>
              <w:ind w:left="0" w:leftChars="0" w:firstLine="0" w:firstLineChars="0"/>
              <w:jc w:val="center"/>
              <w:textAlignment w:val="auto"/>
              <w:rPr>
                <w:rFonts w:hint="default" w:ascii="Times New Roman" w:hAnsi="Times New Roman" w:cs="Times New Roman"/>
                <w:szCs w:val="21"/>
              </w:rPr>
            </w:pPr>
            <w:r>
              <w:rPr>
                <w:rFonts w:hint="eastAsia"/>
              </w:rPr>
              <w:t>电压示值误差</w:t>
            </w:r>
          </w:p>
        </w:tc>
      </w:tr>
    </w:tbl>
    <w:p>
      <w:pPr>
        <w:pStyle w:val="57"/>
        <w:spacing w:line="324" w:lineRule="auto"/>
        <w:ind w:firstLine="420"/>
        <w:rPr>
          <w:rFonts w:hint="default" w:ascii="Times New Roman" w:hAnsi="Times New Roman" w:cs="Times New Roman"/>
          <w:szCs w:val="21"/>
        </w:rPr>
      </w:pPr>
    </w:p>
    <w:p>
      <w:pPr>
        <w:pStyle w:val="57"/>
        <w:spacing w:line="324" w:lineRule="auto"/>
        <w:ind w:firstLine="420"/>
        <w:rPr>
          <w:rFonts w:hint="default" w:ascii="Times New Roman" w:hAnsi="Times New Roman" w:cs="Times New Roman"/>
          <w:szCs w:val="21"/>
        </w:rPr>
      </w:pPr>
      <w:bookmarkStart w:id="47" w:name="_Toc9125_WPSOffice_Level2"/>
      <w:r>
        <w:rPr>
          <w:rFonts w:hint="default" w:ascii="Times New Roman" w:hAnsi="Times New Roman" w:cs="Times New Roman"/>
          <w:szCs w:val="21"/>
        </w:rPr>
        <w:t>7.2 校准方法</w:t>
      </w:r>
      <w:bookmarkEnd w:id="47"/>
    </w:p>
    <w:p>
      <w:pPr>
        <w:pStyle w:val="57"/>
        <w:spacing w:line="324" w:lineRule="auto"/>
        <w:ind w:firstLine="420"/>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本规范规定了外观及通电检查方法，电流示值和电压示值的校准方法，以及电流示值误差和电压示值误差的计算方法。</w:t>
      </w:r>
    </w:p>
    <w:p>
      <w:pPr>
        <w:pStyle w:val="60"/>
        <w:spacing w:before="312" w:beforeLines="100" w:after="312" w:afterLines="100"/>
        <w:contextualSpacing/>
        <w:rPr>
          <w:rFonts w:hAnsi="黑体"/>
          <w:szCs w:val="21"/>
        </w:rPr>
      </w:pPr>
      <w:bookmarkStart w:id="48" w:name="_Toc23659_WPSOffice_Level1"/>
      <w:bookmarkStart w:id="49" w:name="_Toc500258947"/>
      <w:r>
        <w:rPr>
          <w:rFonts w:hint="eastAsia" w:hAnsi="黑体"/>
          <w:szCs w:val="21"/>
        </w:rPr>
        <w:t>校准结果表达</w:t>
      </w:r>
      <w:bookmarkEnd w:id="48"/>
      <w:bookmarkEnd w:id="49"/>
    </w:p>
    <w:p>
      <w:pPr>
        <w:pStyle w:val="57"/>
        <w:spacing w:line="324" w:lineRule="auto"/>
        <w:ind w:firstLine="420"/>
        <w:rPr>
          <w:rFonts w:hint="default" w:ascii="Times New Roman" w:hAnsi="Times New Roman" w:cs="Times New Roman"/>
          <w:szCs w:val="21"/>
        </w:rPr>
      </w:pPr>
      <w:r>
        <w:rPr>
          <w:rFonts w:hint="default" w:ascii="Times New Roman" w:hAnsi="Times New Roman" w:cs="Times New Roman"/>
          <w:szCs w:val="21"/>
        </w:rPr>
        <w:t>校准、测试记录应包含的内容见附录A。校准结果应记录在校准证书和校准报告上，校准证书的格式见附录B。</w:t>
      </w:r>
    </w:p>
    <w:p>
      <w:pPr>
        <w:pStyle w:val="60"/>
        <w:spacing w:before="312" w:beforeLines="100" w:after="312" w:afterLines="100"/>
        <w:contextualSpacing/>
        <w:rPr>
          <w:rFonts w:hAnsi="黑体"/>
          <w:szCs w:val="21"/>
        </w:rPr>
      </w:pPr>
      <w:bookmarkStart w:id="50" w:name="_Toc1654_WPSOffice_Level1"/>
      <w:r>
        <w:rPr>
          <w:rFonts w:hint="eastAsia" w:hAnsi="黑体"/>
          <w:szCs w:val="21"/>
        </w:rPr>
        <w:t>复校周期</w:t>
      </w:r>
      <w:bookmarkEnd w:id="50"/>
    </w:p>
    <w:p>
      <w:pPr>
        <w:pStyle w:val="57"/>
        <w:spacing w:line="324" w:lineRule="auto"/>
        <w:ind w:firstLine="420"/>
        <w:rPr>
          <w:rFonts w:hint="eastAsia"/>
          <w:szCs w:val="21"/>
        </w:rPr>
      </w:pPr>
      <w:r>
        <w:rPr>
          <w:rFonts w:hint="eastAsia"/>
          <w:szCs w:val="21"/>
        </w:rPr>
        <w:t>双联电解仪的复校时间间隔由用户自定。由于复校时间间隔的长短是由仪器的使用情况、使用者及仪器本身质量等因素决定的，因此送校单位可以根据实际使用情况自主决定复校时间间隔。建议不超过1年。更换重要部件、维修、搬运或移动后，应重新进行校准。</w:t>
      </w:r>
    </w:p>
    <w:p>
      <w:pPr>
        <w:pStyle w:val="73"/>
        <w:numPr>
          <w:ilvl w:val="0"/>
          <w:numId w:val="11"/>
        </w:numPr>
        <w:tabs>
          <w:tab w:val="left" w:pos="426"/>
        </w:tabs>
        <w:spacing w:before="312" w:beforeLines="100" w:after="312" w:afterLines="100"/>
        <w:ind w:hangingChars="200"/>
        <w:jc w:val="left"/>
      </w:pPr>
      <w:r>
        <w:rPr>
          <w:rFonts w:hint="eastAsia"/>
        </w:rPr>
        <w:t>实践检测情况</w:t>
      </w:r>
      <w:bookmarkEnd w:id="21"/>
    </w:p>
    <w:p>
      <w:pPr>
        <w:pStyle w:val="57"/>
        <w:spacing w:line="300" w:lineRule="auto"/>
        <w:ind w:firstLine="420"/>
        <w:contextualSpacing/>
      </w:pPr>
      <w:r>
        <w:rPr>
          <w:rFonts w:hint="eastAsia"/>
          <w:szCs w:val="21"/>
        </w:rPr>
        <w:t>（无）</w:t>
      </w:r>
    </w:p>
    <w:bookmarkEnd w:id="1"/>
    <w:p>
      <w:pPr>
        <w:pStyle w:val="73"/>
        <w:numPr>
          <w:ilvl w:val="0"/>
          <w:numId w:val="11"/>
        </w:numPr>
        <w:tabs>
          <w:tab w:val="left" w:pos="426"/>
        </w:tabs>
        <w:spacing w:before="312" w:beforeLines="100" w:after="312" w:afterLines="100"/>
        <w:ind w:hangingChars="200"/>
        <w:jc w:val="left"/>
      </w:pPr>
      <w:bookmarkStart w:id="51" w:name="_Toc464728965"/>
      <w:r>
        <w:rPr>
          <w:rFonts w:hint="eastAsia"/>
        </w:rPr>
        <w:t>标准水平分析</w:t>
      </w:r>
      <w:bookmarkEnd w:id="51"/>
    </w:p>
    <w:p>
      <w:r>
        <w:rPr>
          <w:rFonts w:hint="eastAsia"/>
        </w:rPr>
        <w:t xml:space="preserve">    本规程的</w:t>
      </w:r>
      <w:r>
        <w:rPr>
          <w:rFonts w:hint="eastAsia"/>
          <w:lang w:val="en-US" w:eastAsia="zh-CN"/>
        </w:rPr>
        <w:t>制订</w:t>
      </w:r>
      <w:r>
        <w:rPr>
          <w:rFonts w:hint="eastAsia"/>
        </w:rPr>
        <w:t>填补了有色金属行业</w:t>
      </w:r>
      <w:r>
        <w:rPr>
          <w:rFonts w:hint="eastAsia"/>
          <w:lang w:val="en-US" w:eastAsia="zh-CN"/>
        </w:rPr>
        <w:t>电解法分析用双联电解分析仪</w:t>
      </w:r>
      <w:r>
        <w:rPr>
          <w:rFonts w:hint="eastAsia"/>
        </w:rPr>
        <w:t>的校准空白，水平达到国内领先。</w:t>
      </w:r>
    </w:p>
    <w:p>
      <w:pPr>
        <w:pStyle w:val="73"/>
        <w:numPr>
          <w:ilvl w:val="0"/>
          <w:numId w:val="11"/>
        </w:numPr>
        <w:tabs>
          <w:tab w:val="left" w:pos="426"/>
        </w:tabs>
        <w:spacing w:before="312" w:beforeLines="100" w:after="312" w:afterLines="100"/>
        <w:ind w:hangingChars="200"/>
        <w:jc w:val="left"/>
      </w:pPr>
      <w:bookmarkStart w:id="52" w:name="_Toc464728972"/>
      <w:r>
        <w:rPr>
          <w:rFonts w:hint="eastAsia"/>
        </w:rPr>
        <w:t>与现行相关法律、法规、规章及相关规范，特别是规程的协调性</w:t>
      </w:r>
      <w:bookmarkEnd w:id="52"/>
    </w:p>
    <w:p>
      <w:pPr>
        <w:pStyle w:val="57"/>
        <w:spacing w:line="300" w:lineRule="auto"/>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pPr>
      <w:bookmarkStart w:id="53" w:name="_Toc464728973"/>
      <w:r>
        <w:rPr>
          <w:rFonts w:hint="eastAsia"/>
        </w:rPr>
        <w:t>标准中涉及的专利或知识产权说明</w:t>
      </w:r>
      <w:bookmarkEnd w:id="53"/>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54" w:name="_Toc464728974"/>
      <w:r>
        <w:rPr>
          <w:rFonts w:hint="eastAsia"/>
        </w:rPr>
        <w:t>重大分歧意见的处理经过和依据</w:t>
      </w:r>
      <w:bookmarkEnd w:id="54"/>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55" w:name="_Toc464728976"/>
      <w:r>
        <w:rPr>
          <w:rFonts w:hint="eastAsia"/>
        </w:rPr>
        <w:t>贯彻规范的要求和措施建议</w:t>
      </w:r>
      <w:bookmarkEnd w:id="55"/>
    </w:p>
    <w:p>
      <w:pPr>
        <w:pStyle w:val="57"/>
        <w:spacing w:line="300" w:lineRule="auto"/>
        <w:ind w:firstLine="420"/>
        <w:contextualSpacing/>
        <w:rPr>
          <w:rFonts w:hint="eastAsia" w:eastAsia="宋体"/>
          <w:szCs w:val="21"/>
          <w:lang w:eastAsia="zh-CN"/>
        </w:rPr>
      </w:pPr>
      <w:r>
        <w:rPr>
          <w:rFonts w:hint="eastAsia"/>
          <w:szCs w:val="21"/>
        </w:rPr>
        <w:t>本规范发布后，中国有色金属行业协会和有色金属行业计量技术委员会应加强本规范的宣传力度，促进</w:t>
      </w:r>
      <w:r>
        <w:rPr>
          <w:rFonts w:hint="eastAsia"/>
          <w:szCs w:val="21"/>
          <w:lang w:val="en-US" w:eastAsia="zh-CN"/>
        </w:rPr>
        <w:t>双联电解分析仪</w:t>
      </w:r>
      <w:r>
        <w:rPr>
          <w:rFonts w:hint="eastAsia"/>
          <w:szCs w:val="21"/>
        </w:rPr>
        <w:t>生产</w:t>
      </w:r>
      <w:r>
        <w:rPr>
          <w:rFonts w:hint="eastAsia"/>
          <w:szCs w:val="21"/>
          <w:lang w:val="en-US" w:eastAsia="zh-CN"/>
        </w:rPr>
        <w:t>和使用企业</w:t>
      </w:r>
      <w:r>
        <w:rPr>
          <w:rFonts w:hint="eastAsia"/>
          <w:szCs w:val="21"/>
        </w:rPr>
        <w:t>按照设备使用情况合理选用校准规程，以促进我国企业的技术进步和产品质量上档次，提高我国产品在国际国内市场的竞争能力</w:t>
      </w:r>
      <w:r>
        <w:rPr>
          <w:rFonts w:hint="eastAsia"/>
          <w:szCs w:val="21"/>
          <w:lang w:eastAsia="zh-CN"/>
        </w:rPr>
        <w:t>。</w:t>
      </w:r>
    </w:p>
    <w:p>
      <w:pPr>
        <w:pStyle w:val="73"/>
        <w:numPr>
          <w:ilvl w:val="0"/>
          <w:numId w:val="11"/>
        </w:numPr>
        <w:tabs>
          <w:tab w:val="left" w:pos="426"/>
        </w:tabs>
        <w:spacing w:before="312" w:beforeLines="100" w:after="312" w:afterLines="100"/>
        <w:ind w:hangingChars="200"/>
        <w:jc w:val="left"/>
      </w:pPr>
      <w:bookmarkStart w:id="56" w:name="_Toc464728977"/>
      <w:r>
        <w:rPr>
          <w:rFonts w:hint="eastAsia"/>
        </w:rPr>
        <w:t>废止现行有关规程的建议</w:t>
      </w:r>
      <w:bookmarkEnd w:id="56"/>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57" w:name="_Toc464728978"/>
      <w:r>
        <w:rPr>
          <w:rFonts w:hint="eastAsia"/>
        </w:rPr>
        <w:t>产业化情况、推广应用论证和预期达到的经济效果</w:t>
      </w:r>
      <w:bookmarkEnd w:id="57"/>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jc w:val="both"/>
        <w:textAlignment w:val="auto"/>
        <w:rPr>
          <w:rFonts w:hint="default" w:ascii="宋体" w:hAnsi="宋体" w:cs="宋体"/>
          <w:szCs w:val="21"/>
          <w:lang w:val="en-US"/>
        </w:rPr>
      </w:pPr>
      <w:r>
        <w:rPr>
          <w:rFonts w:hint="eastAsia" w:ascii="宋体" w:hAnsi="宋体" w:cs="宋体"/>
          <w:szCs w:val="21"/>
          <w:lang w:val="en-US" w:eastAsia="zh-CN"/>
        </w:rPr>
        <w:t>电解法具有分析准确度高、操作简便、成本低等优点，目前已经被有色金属相关生产和加工企业、科研院所、第三方检测机构等广泛采用，用于有色金属中常量铜，铅，镍，锡等元素的定量分析。双联电解分析仪是电解法操作中必不可少的重要设备，其性能稳定性直接决定了电解法分析结果的准确性。因此，本规范的制订及推广在有色金属行业内十分必要，具有巨大的应用前景。</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425"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0C772A"/>
    <w:rsid w:val="000E2ED4"/>
    <w:rsid w:val="00100912"/>
    <w:rsid w:val="00122AD8"/>
    <w:rsid w:val="0019431C"/>
    <w:rsid w:val="00235374"/>
    <w:rsid w:val="00275F7A"/>
    <w:rsid w:val="002849BB"/>
    <w:rsid w:val="00291548"/>
    <w:rsid w:val="00307A90"/>
    <w:rsid w:val="003B072A"/>
    <w:rsid w:val="00464019"/>
    <w:rsid w:val="004A27E5"/>
    <w:rsid w:val="004E5080"/>
    <w:rsid w:val="00567271"/>
    <w:rsid w:val="0059121E"/>
    <w:rsid w:val="005F42DD"/>
    <w:rsid w:val="00601ADF"/>
    <w:rsid w:val="00623451"/>
    <w:rsid w:val="00625140"/>
    <w:rsid w:val="00644C6D"/>
    <w:rsid w:val="00693668"/>
    <w:rsid w:val="006E11F0"/>
    <w:rsid w:val="00724E03"/>
    <w:rsid w:val="00764D0A"/>
    <w:rsid w:val="00765621"/>
    <w:rsid w:val="007902D1"/>
    <w:rsid w:val="0086056F"/>
    <w:rsid w:val="00876D87"/>
    <w:rsid w:val="008E415E"/>
    <w:rsid w:val="008F5DCA"/>
    <w:rsid w:val="009111C1"/>
    <w:rsid w:val="00946B7D"/>
    <w:rsid w:val="00971240"/>
    <w:rsid w:val="009D79FA"/>
    <w:rsid w:val="00A1497C"/>
    <w:rsid w:val="00A15577"/>
    <w:rsid w:val="00A56163"/>
    <w:rsid w:val="00AC0924"/>
    <w:rsid w:val="00AE0B35"/>
    <w:rsid w:val="00B706F7"/>
    <w:rsid w:val="00BC6B82"/>
    <w:rsid w:val="00C058B2"/>
    <w:rsid w:val="00C27739"/>
    <w:rsid w:val="00C7537E"/>
    <w:rsid w:val="00CD2D13"/>
    <w:rsid w:val="00DB4F65"/>
    <w:rsid w:val="00DE144C"/>
    <w:rsid w:val="00E019C6"/>
    <w:rsid w:val="00E22714"/>
    <w:rsid w:val="00E82471"/>
    <w:rsid w:val="00E911BC"/>
    <w:rsid w:val="00F10C9E"/>
    <w:rsid w:val="00F3447A"/>
    <w:rsid w:val="00F507FB"/>
    <w:rsid w:val="00FE1932"/>
    <w:rsid w:val="01F35A1A"/>
    <w:rsid w:val="02F703B0"/>
    <w:rsid w:val="06527699"/>
    <w:rsid w:val="06876006"/>
    <w:rsid w:val="07472657"/>
    <w:rsid w:val="07DC0ED5"/>
    <w:rsid w:val="08DA22BA"/>
    <w:rsid w:val="0904785D"/>
    <w:rsid w:val="09573966"/>
    <w:rsid w:val="0A427E5B"/>
    <w:rsid w:val="0A720FB2"/>
    <w:rsid w:val="0A781AE7"/>
    <w:rsid w:val="0CCA0314"/>
    <w:rsid w:val="0DD939FA"/>
    <w:rsid w:val="0F5C617C"/>
    <w:rsid w:val="0F7B3107"/>
    <w:rsid w:val="126C0470"/>
    <w:rsid w:val="131F496D"/>
    <w:rsid w:val="14317D7D"/>
    <w:rsid w:val="14FE0CE9"/>
    <w:rsid w:val="158E7867"/>
    <w:rsid w:val="174C2AB4"/>
    <w:rsid w:val="18546AA5"/>
    <w:rsid w:val="1A762B1F"/>
    <w:rsid w:val="1A7B4894"/>
    <w:rsid w:val="1C15715A"/>
    <w:rsid w:val="1F5A1A25"/>
    <w:rsid w:val="1F714057"/>
    <w:rsid w:val="208E75B3"/>
    <w:rsid w:val="218A16C9"/>
    <w:rsid w:val="21BE3478"/>
    <w:rsid w:val="21D04080"/>
    <w:rsid w:val="22423DCF"/>
    <w:rsid w:val="226E205D"/>
    <w:rsid w:val="22F83A30"/>
    <w:rsid w:val="23A74BBD"/>
    <w:rsid w:val="23D43A72"/>
    <w:rsid w:val="25570C32"/>
    <w:rsid w:val="2815722E"/>
    <w:rsid w:val="29846CB3"/>
    <w:rsid w:val="29E46257"/>
    <w:rsid w:val="2A4110A1"/>
    <w:rsid w:val="2AB85E2C"/>
    <w:rsid w:val="2C281A12"/>
    <w:rsid w:val="2E9D32E2"/>
    <w:rsid w:val="2EDA3AF5"/>
    <w:rsid w:val="2FBE527A"/>
    <w:rsid w:val="30522455"/>
    <w:rsid w:val="313303BC"/>
    <w:rsid w:val="31411D15"/>
    <w:rsid w:val="31B57A58"/>
    <w:rsid w:val="33EE1C94"/>
    <w:rsid w:val="34745E77"/>
    <w:rsid w:val="34E124F7"/>
    <w:rsid w:val="36AE69D8"/>
    <w:rsid w:val="370013B5"/>
    <w:rsid w:val="374F49D2"/>
    <w:rsid w:val="38B6063A"/>
    <w:rsid w:val="390229BD"/>
    <w:rsid w:val="39E63C45"/>
    <w:rsid w:val="3A910669"/>
    <w:rsid w:val="3BFA1058"/>
    <w:rsid w:val="3D833313"/>
    <w:rsid w:val="3E36596A"/>
    <w:rsid w:val="3E383ACC"/>
    <w:rsid w:val="3EBA5BC3"/>
    <w:rsid w:val="3F5F0AB5"/>
    <w:rsid w:val="420E5348"/>
    <w:rsid w:val="44100726"/>
    <w:rsid w:val="456D3D97"/>
    <w:rsid w:val="45E87405"/>
    <w:rsid w:val="46474D73"/>
    <w:rsid w:val="48BE5C4B"/>
    <w:rsid w:val="49214E6F"/>
    <w:rsid w:val="4E3430C7"/>
    <w:rsid w:val="4E7510D6"/>
    <w:rsid w:val="51BC50FB"/>
    <w:rsid w:val="52A97DDB"/>
    <w:rsid w:val="5437491D"/>
    <w:rsid w:val="56154CA2"/>
    <w:rsid w:val="57220435"/>
    <w:rsid w:val="587B494C"/>
    <w:rsid w:val="5A931503"/>
    <w:rsid w:val="5A971C98"/>
    <w:rsid w:val="5AFA5C95"/>
    <w:rsid w:val="5CDE078E"/>
    <w:rsid w:val="5D0314B4"/>
    <w:rsid w:val="5DC655CC"/>
    <w:rsid w:val="5E8F1A96"/>
    <w:rsid w:val="5F776EED"/>
    <w:rsid w:val="5FC87E89"/>
    <w:rsid w:val="60252BCC"/>
    <w:rsid w:val="60352180"/>
    <w:rsid w:val="605176D9"/>
    <w:rsid w:val="60CA1CAF"/>
    <w:rsid w:val="60D827E5"/>
    <w:rsid w:val="632F4E17"/>
    <w:rsid w:val="63F828E6"/>
    <w:rsid w:val="65AF78ED"/>
    <w:rsid w:val="67F62D96"/>
    <w:rsid w:val="6AB57C02"/>
    <w:rsid w:val="6B27051F"/>
    <w:rsid w:val="6B753BDA"/>
    <w:rsid w:val="6B770841"/>
    <w:rsid w:val="6CD827FF"/>
    <w:rsid w:val="6DA1070B"/>
    <w:rsid w:val="6E8A0C2B"/>
    <w:rsid w:val="6EA14903"/>
    <w:rsid w:val="6EF60757"/>
    <w:rsid w:val="70271515"/>
    <w:rsid w:val="703436EA"/>
    <w:rsid w:val="70FA146A"/>
    <w:rsid w:val="710228B1"/>
    <w:rsid w:val="72A31B01"/>
    <w:rsid w:val="73A7009A"/>
    <w:rsid w:val="73B95B2E"/>
    <w:rsid w:val="74130018"/>
    <w:rsid w:val="743C694E"/>
    <w:rsid w:val="749F007F"/>
    <w:rsid w:val="776F4A1D"/>
    <w:rsid w:val="77CE2BEC"/>
    <w:rsid w:val="791C2ECF"/>
    <w:rsid w:val="7AC757F1"/>
    <w:rsid w:val="7B7E26A6"/>
    <w:rsid w:val="7C33181D"/>
    <w:rsid w:val="7D700DB4"/>
    <w:rsid w:val="7F1D4563"/>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ind w:left="284"/>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E3E17-6C48-4CFC-A245-65F608CEA681}">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778</Words>
  <Characters>4436</Characters>
  <Lines>36</Lines>
  <Paragraphs>10</Paragraphs>
  <TotalTime>157</TotalTime>
  <ScaleCrop>false</ScaleCrop>
  <LinksUpToDate>false</LinksUpToDate>
  <CharactersWithSpaces>5204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2019-11-11T12:14:00Z</dcterms:created>
  <dc:creator>标准李瑞山9585</dc:creator>
  <cp:lastModifiedBy>熊鱼宝贝2009</cp:lastModifiedBy>
  <cp:lastPrinted>2016-10-20T04:13:00Z</cp:lastPrinted>
  <dcterms:modified xsi:type="dcterms:W3CDTF">2019-11-28T04:38:16Z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