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r>
        <mc:AlternateContent>
          <mc:Choice Requires="wps">
            <w:drawing>
              <wp:anchor distT="0" distB="0" distL="114300" distR="114300" simplePos="0" relativeHeight="251655168" behindDoc="0" locked="1" layoutInCell="1" allowOverlap="1">
                <wp:simplePos x="0" y="0"/>
                <wp:positionH relativeFrom="margin">
                  <wp:posOffset>-4445</wp:posOffset>
                </wp:positionH>
                <wp:positionV relativeFrom="margin">
                  <wp:posOffset>7251065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z w:val="28"/>
                                <w:szCs w:val="28"/>
                              </w:rPr>
                            </w:pPr>
                            <w:r>
                              <w:rPr>
                                <w:rFonts w:hint="eastAsia" w:ascii="宋体" w:hAnsi="宋体" w:cs="宋体"/>
                                <w:spacing w:val="58"/>
                                <w:w w:val="120"/>
                                <w:sz w:val="28"/>
                                <w:szCs w:val="28"/>
                              </w:rPr>
                              <w:t>直流辉光放电质谱仪校准规范编制组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35pt;margin-top:570.95pt;height:121.6pt;width:481.9pt;mso-position-horizontal-relative:margin;mso-position-vertical-relative:margin;z-index:251655168;mso-width-relative:page;mso-height-relative:page;" fillcolor="#FFFFFF" filled="t" stroked="f" coordsize="21600,21600" o:gfxdata="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xuTp1wAAAAsBAAAPAAAAAAAAAAEA&#10;IAAAACIAAABkcnMvZG93bnJldi54bWxQSwECFAAUAAAACACHTuJAPWCj754BAABBAwAADgAAAAAA&#10;AAABACAAAAAmAQAAZHJzL2Uyb0RvYy54bWxQSwUGAAAAAAYABgBZAQAANgUAAAAA&#10;">
                <v:fill on="t" focussize="0,0"/>
                <v:stroke on="f"/>
                <v:imagedata o:title=""/>
                <o:lock v:ext="edit" aspectratio="f"/>
                <v:textbox inset="0mm,0mm,0mm,0mm">
                  <w:txbxContent>
                    <w:p>
                      <w:pPr>
                        <w:jc w:val="center"/>
                        <w:rPr>
                          <w:rFonts w:ascii="宋体" w:hAnsi="宋体" w:cs="宋体"/>
                          <w:sz w:val="28"/>
                          <w:szCs w:val="28"/>
                        </w:rPr>
                      </w:pPr>
                      <w:r>
                        <w:rPr>
                          <w:rFonts w:hint="eastAsia" w:ascii="宋体" w:hAnsi="宋体" w:cs="宋体"/>
                          <w:spacing w:val="58"/>
                          <w:w w:val="120"/>
                          <w:sz w:val="28"/>
                          <w:szCs w:val="28"/>
                        </w:rPr>
                        <w:t>直流辉光放电质谱仪校准规范编制组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251460</wp:posOffset>
                </wp:positionH>
                <wp:positionV relativeFrom="margin">
                  <wp:posOffset>4471035</wp:posOffset>
                </wp:positionV>
                <wp:extent cx="5614670" cy="1779270"/>
                <wp:effectExtent l="0" t="0" r="5080" b="1905"/>
                <wp:wrapNone/>
                <wp:docPr id="2" name="文本框 5"/>
                <wp:cNvGraphicFramePr/>
                <a:graphic xmlns:a="http://schemas.openxmlformats.org/drawingml/2006/main">
                  <a:graphicData uri="http://schemas.microsoft.com/office/word/2010/wordprocessingShape">
                    <wps:wsp>
                      <wps:cNvSpPr/>
                      <wps:spPr>
                        <a:xfrm>
                          <a:off x="0" y="0"/>
                          <a:ext cx="5614670" cy="1779270"/>
                        </a:xfrm>
                        <a:prstGeom prst="rect">
                          <a:avLst/>
                        </a:prstGeom>
                        <a:solidFill>
                          <a:srgbClr val="FFFFFF"/>
                        </a:solidFill>
                        <a:ln>
                          <a:noFill/>
                        </a:ln>
                      </wps:spPr>
                      <wps:txbx>
                        <w:txbxContent>
                          <w:p>
                            <w:pPr>
                              <w:pStyle w:val="66"/>
                              <w:spacing w:before="600"/>
                              <w:jc w:val="center"/>
                              <w:rPr>
                                <w:rFonts w:ascii="黑体" w:hAnsi="黑体" w:eastAsia="黑体"/>
                                <w:sz w:val="36"/>
                                <w:szCs w:val="36"/>
                              </w:rPr>
                            </w:pPr>
                            <w:r>
                              <w:rPr>
                                <w:rFonts w:hint="eastAsia" w:ascii="黑体" w:hAnsi="黑体" w:eastAsia="黑体"/>
                                <w:sz w:val="36"/>
                                <w:szCs w:val="36"/>
                              </w:rPr>
                              <w:t>征求意见稿</w:t>
                            </w:r>
                          </w:p>
                          <w:p>
                            <w:pPr>
                              <w:pStyle w:val="66"/>
                              <w:spacing w:before="600"/>
                              <w:jc w:val="center"/>
                              <w:rPr>
                                <w:rFonts w:hint="default" w:ascii="黑体" w:hAnsi="黑体" w:eastAsia="黑体"/>
                                <w:sz w:val="36"/>
                                <w:szCs w:val="36"/>
                                <w:lang w:val="en-US" w:eastAsia="zh-CN"/>
                              </w:rPr>
                            </w:pPr>
                            <w:r>
                              <w:rPr>
                                <w:rFonts w:hint="eastAsia" w:ascii="黑体" w:hAnsi="黑体" w:eastAsia="黑体"/>
                                <w:sz w:val="36"/>
                                <w:szCs w:val="36"/>
                              </w:rPr>
                              <w:t>2019-11-</w:t>
                            </w:r>
                            <w:r>
                              <w:rPr>
                                <w:rFonts w:hint="eastAsia" w:ascii="黑体" w:hAnsi="黑体" w:eastAsia="黑体"/>
                                <w:sz w:val="36"/>
                                <w:szCs w:val="36"/>
                                <w:lang w:val="en-US" w:eastAsia="zh-CN"/>
                              </w:rPr>
                              <w:t>25</w:t>
                            </w:r>
                          </w:p>
                        </w:txbxContent>
                      </wps:txbx>
                      <wps:bodyPr lIns="0" tIns="0" rIns="0" bIns="0" upright="1"/>
                    </wps:wsp>
                  </a:graphicData>
                </a:graphic>
              </wp:anchor>
            </w:drawing>
          </mc:Choice>
          <mc:Fallback>
            <w:pict>
              <v:rect id="文本框 5" o:spid="_x0000_s1026" o:spt="1" style="position:absolute;left:0pt;margin-left:19.8pt;margin-top:352.05pt;height:140.1pt;width:442.1pt;mso-position-horizontal-relative:margin;mso-position-vertical-relative:margin;z-index:251656192;mso-width-relative:page;mso-height-relative:page;" fillcolor="#FFFFFF" filled="t" stroked="f" coordsize="21600,21600" o:gfxdata="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D0jNcA&#10;AAAKAQAADwAAAAAAAAABACAAAAAiAAAAZHJzL2Rvd25yZXYueG1sUEsBAhQAFAAAAAgAh07iQLen&#10;C1iuAQAARAMAAA4AAAAAAAAAAQAgAAAAJgEAAGRycy9lMm9Eb2MueG1sUEsFBgAAAAAGAAYAWQEA&#10;AEYFAAAAAA==&#10;">
                <v:fill on="t" focussize="0,0"/>
                <v:stroke on="f"/>
                <v:imagedata o:title=""/>
                <o:lock v:ext="edit" aspectratio="f"/>
                <v:textbox inset="0mm,0mm,0mm,0mm">
                  <w:txbxContent>
                    <w:p>
                      <w:pPr>
                        <w:pStyle w:val="66"/>
                        <w:spacing w:before="600"/>
                        <w:jc w:val="center"/>
                        <w:rPr>
                          <w:rFonts w:ascii="黑体" w:hAnsi="黑体" w:eastAsia="黑体"/>
                          <w:sz w:val="36"/>
                          <w:szCs w:val="36"/>
                        </w:rPr>
                      </w:pPr>
                      <w:r>
                        <w:rPr>
                          <w:rFonts w:hint="eastAsia" w:ascii="黑体" w:hAnsi="黑体" w:eastAsia="黑体"/>
                          <w:sz w:val="36"/>
                          <w:szCs w:val="36"/>
                        </w:rPr>
                        <w:t>征求意见稿</w:t>
                      </w:r>
                    </w:p>
                    <w:p>
                      <w:pPr>
                        <w:pStyle w:val="66"/>
                        <w:spacing w:before="600"/>
                        <w:jc w:val="center"/>
                        <w:rPr>
                          <w:rFonts w:hint="default" w:ascii="黑体" w:hAnsi="黑体" w:eastAsia="黑体"/>
                          <w:sz w:val="36"/>
                          <w:szCs w:val="36"/>
                          <w:lang w:val="en-US" w:eastAsia="zh-CN"/>
                        </w:rPr>
                      </w:pPr>
                      <w:r>
                        <w:rPr>
                          <w:rFonts w:hint="eastAsia" w:ascii="黑体" w:hAnsi="黑体" w:eastAsia="黑体"/>
                          <w:sz w:val="36"/>
                          <w:szCs w:val="36"/>
                        </w:rPr>
                        <w:t>2019-11-</w:t>
                      </w:r>
                      <w:r>
                        <w:rPr>
                          <w:rFonts w:hint="eastAsia" w:ascii="黑体" w:hAnsi="黑体" w:eastAsia="黑体"/>
                          <w:sz w:val="36"/>
                          <w:szCs w:val="36"/>
                          <w:lang w:val="en-US" w:eastAsia="zh-CN"/>
                        </w:rPr>
                        <w:t>25</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-16510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jc w:val="center"/>
                              <w:rPr>
                                <w:rFonts w:hint="default" w:hAnsi="黑体" w:eastAsia="黑体" w:cs="黑体"/>
                                <w:sz w:val="44"/>
                                <w:szCs w:val="44"/>
                                <w:lang w:val="en-US" w:eastAsia="zh-CN"/>
                              </w:rPr>
                            </w:pPr>
                            <w:bookmarkStart w:id="58" w:name="_Hlk23687263"/>
                            <w:r>
                              <w:rPr>
                                <w:rFonts w:hint="eastAsia" w:hAnsi="黑体" w:cs="黑体"/>
                                <w:sz w:val="44"/>
                                <w:szCs w:val="44"/>
                              </w:rPr>
                              <w:t>JJFZ（有色金属）00</w:t>
                            </w:r>
                            <w:r>
                              <w:rPr>
                                <w:rFonts w:hint="eastAsia" w:hAnsi="黑体" w:cs="黑体"/>
                                <w:sz w:val="44"/>
                                <w:szCs w:val="44"/>
                                <w:lang w:val="en-US" w:eastAsia="zh-CN"/>
                              </w:rPr>
                              <w:t>3</w:t>
                            </w:r>
                            <w:r>
                              <w:rPr>
                                <w:rFonts w:hint="eastAsia" w:hAnsi="黑体" w:cs="黑体"/>
                                <w:sz w:val="44"/>
                                <w:szCs w:val="44"/>
                              </w:rPr>
                              <w:t>—20</w:t>
                            </w:r>
                            <w:r>
                              <w:rPr>
                                <w:rFonts w:hint="eastAsia" w:hAnsi="黑体" w:cs="黑体"/>
                                <w:sz w:val="44"/>
                                <w:szCs w:val="44"/>
                                <w:lang w:val="en-US" w:eastAsia="zh-CN"/>
                              </w:rPr>
                              <w:t>XX</w:t>
                            </w:r>
                          </w:p>
                          <w:bookmarkEnd w:id="58"/>
                          <w:p>
                            <w:pPr>
                              <w:pStyle w:val="74"/>
                              <w:jc w:val="center"/>
                              <w:rPr>
                                <w:rFonts w:hAnsi="黑体" w:cs="黑体"/>
                                <w:sz w:val="44"/>
                                <w:szCs w:val="44"/>
                              </w:rPr>
                            </w:pPr>
                            <w:r>
                              <w:rPr>
                                <w:rFonts w:hint="eastAsia" w:hAnsi="黑体" w:cs="黑体"/>
                                <w:sz w:val="44"/>
                                <w:szCs w:val="44"/>
                              </w:rPr>
                              <w:t>直流辉光放电质谱仪校准规范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3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Qq+F1gAA&#10;AAoBAAAPAAAAAAAAAAEAIAAAACIAAABkcnMvZG93bnJldi54bWxQSwECFAAUAAAACACHTuJASHwC&#10;dK4BAABEAwAADgAAAAAAAAABACAAAAAlAQAAZHJzL2Uyb0RvYy54bWxQSwUGAAAAAAYABgBZAQAA&#10;RQUAAAAA&#10;">
                <v:fill on="t" focussize="0,0"/>
                <v:stroke on="f"/>
                <v:imagedata o:title=""/>
                <o:lock v:ext="edit" aspectratio="f"/>
                <v:textbox inset="0mm,0mm,0mm,0mm">
                  <w:txbxContent>
                    <w:p>
                      <w:pPr>
                        <w:pStyle w:val="74"/>
                        <w:jc w:val="center"/>
                        <w:rPr>
                          <w:rFonts w:hint="default" w:hAnsi="黑体" w:eastAsia="黑体" w:cs="黑体"/>
                          <w:sz w:val="44"/>
                          <w:szCs w:val="44"/>
                          <w:lang w:val="en-US" w:eastAsia="zh-CN"/>
                        </w:rPr>
                      </w:pPr>
                      <w:bookmarkStart w:id="58" w:name="_Hlk23687263"/>
                      <w:r>
                        <w:rPr>
                          <w:rFonts w:hint="eastAsia" w:hAnsi="黑体" w:cs="黑体"/>
                          <w:sz w:val="44"/>
                          <w:szCs w:val="44"/>
                        </w:rPr>
                        <w:t>JJFZ（有色金属）00</w:t>
                      </w:r>
                      <w:r>
                        <w:rPr>
                          <w:rFonts w:hint="eastAsia" w:hAnsi="黑体" w:cs="黑体"/>
                          <w:sz w:val="44"/>
                          <w:szCs w:val="44"/>
                          <w:lang w:val="en-US" w:eastAsia="zh-CN"/>
                        </w:rPr>
                        <w:t>3</w:t>
                      </w:r>
                      <w:r>
                        <w:rPr>
                          <w:rFonts w:hint="eastAsia" w:hAnsi="黑体" w:cs="黑体"/>
                          <w:sz w:val="44"/>
                          <w:szCs w:val="44"/>
                        </w:rPr>
                        <w:t>—20</w:t>
                      </w:r>
                      <w:r>
                        <w:rPr>
                          <w:rFonts w:hint="eastAsia" w:hAnsi="黑体" w:cs="黑体"/>
                          <w:sz w:val="44"/>
                          <w:szCs w:val="44"/>
                          <w:lang w:val="en-US" w:eastAsia="zh-CN"/>
                        </w:rPr>
                        <w:t>XX</w:t>
                      </w:r>
                    </w:p>
                    <w:bookmarkEnd w:id="58"/>
                    <w:p>
                      <w:pPr>
                        <w:pStyle w:val="74"/>
                        <w:jc w:val="center"/>
                        <w:rPr>
                          <w:rFonts w:hAnsi="黑体" w:cs="黑体"/>
                          <w:sz w:val="44"/>
                          <w:szCs w:val="44"/>
                        </w:rPr>
                      </w:pPr>
                      <w:r>
                        <w:rPr>
                          <w:rFonts w:hint="eastAsia" w:hAnsi="黑体" w:cs="黑体"/>
                          <w:sz w:val="44"/>
                          <w:szCs w:val="44"/>
                        </w:rPr>
                        <w:t>直流辉光放电质谱仪校准规范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56592524"/>
      <w:bookmarkStart w:id="4" w:name="_Toc464728892"/>
      <w:r>
        <w:rPr>
          <w:rFonts w:hint="eastAsia"/>
        </w:rPr>
        <w:t>立项目的</w:t>
      </w:r>
      <w:bookmarkEnd w:id="3"/>
      <w:bookmarkEnd w:id="4"/>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r>
        <w:rPr>
          <w:rFonts w:hint="eastAsia"/>
          <w:szCs w:val="21"/>
        </w:rPr>
        <w:t>直流辉光放电质谱采用固体直接进样的方式对待测元素进行测定，是一种最为有效的固态痕量直接分析方法。与传统的湿化学法相比，缩短了样品前处理时间，同时也避免了由湿化学法带来的试剂和环境污染；中分辨4000，高分辨10000，可将绝大部分的干扰分开；灵敏度高，定量限可达ng/g级。直流辉光放电质谱法在现代高纯材料多元素快速分析方面优势明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pPr>
      <w:r>
        <w:rPr>
          <w:rFonts w:hint="eastAsia"/>
          <w:szCs w:val="21"/>
        </w:rPr>
        <w:t>辉光放电是在0.1~1</w:t>
      </w:r>
      <w:r>
        <w:rPr>
          <w:rFonts w:hint="eastAsia"/>
          <w:szCs w:val="21"/>
          <w:lang w:val="en-US" w:eastAsia="zh-CN"/>
        </w:rPr>
        <w:t xml:space="preserve"> </w:t>
      </w:r>
      <w:r>
        <w:rPr>
          <w:rFonts w:hint="eastAsia"/>
          <w:szCs w:val="21"/>
        </w:rPr>
        <w:t>torr压力下的一种气体放电现场，形成低压等离子体的Ar+被加速到样品材料组成的阴极，样品在阴极表面被溅射，中性粒子在辉光放电等离子体中通过电子碰撞被电离。氩等离子体中形成的正电荷粒子被引入质量分析器，按照质荷比分离，最后由检测器进行检测。直流辉光放电质谱仪的灵敏度、质量轴、分辨率以及检测器的状态都会影响检测结果的准确性，因此有必要对直流辉光放电质谱仪的性能参数进行计量校准。科学的校准规范能够有效确保校准操作的规范性和校准结果的可靠性，能够有效确保该仪器测量的准确性。对于提升产品质量水平、推动有色金属产业升级具有十分重要的积极作用。</w:t>
      </w:r>
    </w:p>
    <w:p>
      <w:pPr>
        <w:pStyle w:val="60"/>
        <w:spacing w:before="156" w:after="156" w:line="300" w:lineRule="auto"/>
        <w:ind w:left="0"/>
        <w:contextualSpacing/>
      </w:pPr>
      <w:bookmarkStart w:id="5" w:name="_Toc464728896"/>
      <w:r>
        <w:rPr>
          <w:rFonts w:hint="eastAsia"/>
        </w:rPr>
        <w:t>任务来源</w:t>
      </w:r>
      <w:bookmarkEnd w:id="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r>
        <w:rPr>
          <w:rFonts w:hint="eastAsia"/>
          <w:szCs w:val="21"/>
        </w:rPr>
        <w:t>为保证和提升我国</w:t>
      </w:r>
      <w:r>
        <w:rPr>
          <w:rFonts w:hint="eastAsia"/>
          <w:szCs w:val="21"/>
          <w:lang w:val="en-US" w:eastAsia="zh-CN"/>
        </w:rPr>
        <w:t>有色金属行业电解法分析</w:t>
      </w:r>
      <w:r>
        <w:rPr>
          <w:rFonts w:hint="eastAsia"/>
          <w:szCs w:val="21"/>
        </w:rPr>
        <w:t>试验数据的准确性，工业和信息化部</w:t>
      </w:r>
      <w:r>
        <w:rPr>
          <w:rFonts w:hint="eastAsia"/>
          <w:szCs w:val="21"/>
          <w:lang w:val="en-US" w:eastAsia="zh-CN"/>
        </w:rPr>
        <w:t>办公厅于2018年6月20日</w:t>
      </w:r>
      <w:r>
        <w:rPr>
          <w:rFonts w:hint="eastAsia"/>
          <w:szCs w:val="21"/>
        </w:rPr>
        <w:t>下达了《工业和信息化部办公厅关于印发2018年行业计量技术规范制修订计划的通知》</w:t>
      </w:r>
      <w:r>
        <w:rPr>
          <w:rFonts w:hint="eastAsia"/>
          <w:szCs w:val="21"/>
          <w:lang w:eastAsia="zh-CN"/>
        </w:rPr>
        <w:t>（</w:t>
      </w:r>
      <w:r>
        <w:rPr>
          <w:rFonts w:hint="eastAsia"/>
          <w:szCs w:val="21"/>
          <w:lang w:val="en-US" w:eastAsia="zh-CN"/>
        </w:rPr>
        <w:t>工信厅科函[2018]210号</w:t>
      </w:r>
      <w:r>
        <w:rPr>
          <w:rFonts w:hint="eastAsia"/>
          <w:szCs w:val="21"/>
          <w:lang w:eastAsia="zh-CN"/>
        </w:rPr>
        <w:t>）</w:t>
      </w:r>
      <w:r>
        <w:rPr>
          <w:rFonts w:hint="eastAsia"/>
          <w:szCs w:val="21"/>
        </w:rPr>
        <w:t>，</w:t>
      </w:r>
      <w:r>
        <w:rPr>
          <w:rFonts w:hint="eastAsia"/>
          <w:szCs w:val="21"/>
          <w:lang w:val="en-US" w:eastAsia="zh-CN"/>
        </w:rPr>
        <w:t>其中包括《直流辉光放电质谱仪校准规范》制订计划项目。该项目</w:t>
      </w:r>
      <w:r>
        <w:rPr>
          <w:rFonts w:hint="eastAsia"/>
          <w:szCs w:val="21"/>
        </w:rPr>
        <w:t>计划</w:t>
      </w:r>
      <w:r>
        <w:rPr>
          <w:rFonts w:hint="eastAsia"/>
          <w:szCs w:val="21"/>
          <w:lang w:val="en-US" w:eastAsia="zh-CN"/>
        </w:rPr>
        <w:t>号</w:t>
      </w:r>
      <w:r>
        <w:rPr>
          <w:rFonts w:hint="eastAsia"/>
          <w:szCs w:val="21"/>
        </w:rPr>
        <w:t>为JJFZ</w:t>
      </w:r>
      <w:r>
        <w:rPr>
          <w:rFonts w:hint="eastAsia"/>
          <w:szCs w:val="21"/>
          <w:lang w:eastAsia="zh-CN"/>
        </w:rPr>
        <w:t>（</w:t>
      </w:r>
      <w:r>
        <w:rPr>
          <w:rFonts w:hint="eastAsia"/>
          <w:szCs w:val="21"/>
        </w:rPr>
        <w:t>有色金属</w:t>
      </w:r>
      <w:r>
        <w:rPr>
          <w:rFonts w:hint="eastAsia"/>
          <w:szCs w:val="21"/>
          <w:lang w:eastAsia="zh-CN"/>
        </w:rPr>
        <w:t>）</w:t>
      </w:r>
      <w:r>
        <w:rPr>
          <w:rFonts w:hint="eastAsia"/>
          <w:szCs w:val="21"/>
        </w:rPr>
        <w:t>00</w:t>
      </w:r>
      <w:r>
        <w:rPr>
          <w:rFonts w:hint="eastAsia"/>
          <w:szCs w:val="21"/>
          <w:lang w:val="en-US" w:eastAsia="zh-CN"/>
        </w:rPr>
        <w:t>3</w:t>
      </w:r>
      <w:r>
        <w:rPr>
          <w:rFonts w:hint="eastAsia"/>
          <w:szCs w:val="21"/>
        </w:rPr>
        <w:t>-2018，</w:t>
      </w:r>
      <w:r>
        <w:rPr>
          <w:rFonts w:hint="eastAsia"/>
          <w:szCs w:val="21"/>
          <w:lang w:val="en-US" w:eastAsia="zh-CN"/>
        </w:rPr>
        <w:t>国标（北京）检验认证有限公司为主要起草单位，</w:t>
      </w:r>
      <w:r>
        <w:rPr>
          <w:rFonts w:hint="eastAsia"/>
          <w:szCs w:val="21"/>
        </w:rPr>
        <w:t>计划完成年限为2020年。</w:t>
      </w:r>
    </w:p>
    <w:p>
      <w:pPr>
        <w:pStyle w:val="60"/>
        <w:spacing w:before="156" w:after="156" w:line="300" w:lineRule="auto"/>
        <w:ind w:left="0"/>
        <w:contextualSpacing/>
      </w:pPr>
      <w:bookmarkStart w:id="6" w:name="_Toc462884342"/>
      <w:bookmarkStart w:id="7" w:name="_Toc464728898"/>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2884343"/>
      <w:bookmarkStart w:id="9" w:name="_Toc464728899"/>
      <w:r>
        <w:rPr>
          <w:rFonts w:hint="eastAsia"/>
          <w:color w:val="auto"/>
        </w:rPr>
        <w:t>编制组成员单位</w:t>
      </w:r>
      <w:bookmarkEnd w:id="8"/>
      <w:bookmarkEnd w:id="9"/>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bookmarkStart w:id="10" w:name="_Toc464728900"/>
      <w:bookmarkStart w:id="11" w:name="_Toc462884344"/>
      <w:r>
        <w:rPr>
          <w:rFonts w:hint="eastAsia"/>
          <w:szCs w:val="21"/>
        </w:rPr>
        <w:t>本标准的编制组单位为：国标（北京）检验认证有限公司、</w:t>
      </w:r>
      <w:r>
        <w:rPr>
          <w:rFonts w:hint="eastAsia"/>
          <w:szCs w:val="21"/>
          <w:lang w:val="en-US" w:eastAsia="zh-CN"/>
        </w:rPr>
        <w:t>国合通用测试评价认证股份公司、</w:t>
      </w:r>
      <w:r>
        <w:rPr>
          <w:rFonts w:hint="eastAsia"/>
          <w:szCs w:val="21"/>
        </w:rPr>
        <w:t>包头稀土研究院</w:t>
      </w:r>
      <w:r>
        <w:rPr>
          <w:rFonts w:hint="eastAsia"/>
          <w:szCs w:val="21"/>
          <w:lang w:eastAsia="zh-CN"/>
        </w:rPr>
        <w:t>、</w:t>
      </w:r>
      <w:r>
        <w:rPr>
          <w:rFonts w:hint="eastAsia"/>
          <w:szCs w:val="21"/>
          <w:lang w:val="en-US" w:eastAsia="zh-CN"/>
        </w:rPr>
        <w:t>甘肃精普监测科技有限公司</w:t>
      </w:r>
      <w:r>
        <w:rPr>
          <w:rFonts w:hint="eastAsia"/>
          <w:szCs w:val="21"/>
        </w:rPr>
        <w:t>。编制组成员单位均是我国有色金属行业</w:t>
      </w:r>
      <w:r>
        <w:rPr>
          <w:rFonts w:hint="eastAsia"/>
          <w:szCs w:val="21"/>
          <w:lang w:val="en-US" w:eastAsia="zh-CN"/>
        </w:rPr>
        <w:t>内主要从事</w:t>
      </w:r>
      <w:r>
        <w:rPr>
          <w:rFonts w:hint="eastAsia"/>
          <w:szCs w:val="21"/>
        </w:rPr>
        <w:t>计量</w:t>
      </w:r>
      <w:r>
        <w:rPr>
          <w:rFonts w:hint="eastAsia"/>
          <w:szCs w:val="21"/>
          <w:lang w:eastAsia="zh-CN"/>
        </w:rPr>
        <w:t>、</w:t>
      </w:r>
      <w:r>
        <w:rPr>
          <w:rFonts w:hint="eastAsia"/>
          <w:szCs w:val="21"/>
          <w:lang w:val="en-US" w:eastAsia="zh-CN"/>
        </w:rPr>
        <w:t>分析检测及</w:t>
      </w:r>
      <w:r>
        <w:rPr>
          <w:rFonts w:hint="eastAsia"/>
          <w:szCs w:val="21"/>
        </w:rPr>
        <w:t>科研</w:t>
      </w:r>
      <w:r>
        <w:rPr>
          <w:rFonts w:hint="eastAsia"/>
          <w:szCs w:val="21"/>
          <w:lang w:val="en-US" w:eastAsia="zh-CN"/>
        </w:rPr>
        <w:t>的权威单位</w:t>
      </w:r>
      <w:r>
        <w:rPr>
          <w:rFonts w:hint="eastAsia"/>
          <w:szCs w:val="21"/>
        </w:rPr>
        <w:t>。</w:t>
      </w:r>
    </w:p>
    <w:bookmarkEnd w:id="10"/>
    <w:bookmarkEnd w:id="11"/>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r>
        <w:rPr>
          <w:rFonts w:hint="eastAsia"/>
          <w:color w:val="auto"/>
        </w:rPr>
        <w:t>国标（北京）检验认证有限公司</w:t>
      </w:r>
    </w:p>
    <w:p>
      <w:pPr>
        <w:spacing w:line="300" w:lineRule="auto"/>
        <w:ind w:firstLine="420" w:firstLineChars="200"/>
        <w:contextualSpacing/>
        <w:jc w:val="both"/>
        <w:rPr>
          <w:rFonts w:hint="eastAsia"/>
          <w:szCs w:val="21"/>
          <w:lang w:eastAsia="zh-CN"/>
        </w:rPr>
      </w:pPr>
      <w:r>
        <w:rPr>
          <w:rFonts w:hint="eastAsia"/>
          <w:szCs w:val="21"/>
        </w:rPr>
        <w:t>国标（北京）检验认证有限公司（以下简称</w:t>
      </w:r>
      <w:r>
        <w:rPr>
          <w:rFonts w:hint="eastAsia"/>
          <w:szCs w:val="21"/>
          <w:lang w:eastAsia="zh-CN"/>
        </w:rPr>
        <w:t>“</w:t>
      </w:r>
      <w:r>
        <w:rPr>
          <w:rFonts w:hint="eastAsia"/>
          <w:szCs w:val="21"/>
        </w:rPr>
        <w:t>国标检验</w:t>
      </w:r>
      <w:r>
        <w:rPr>
          <w:rFonts w:hint="eastAsia"/>
          <w:szCs w:val="21"/>
          <w:lang w:eastAsia="zh-CN"/>
        </w:rPr>
        <w:t>”</w:t>
      </w:r>
      <w:r>
        <w:rPr>
          <w:rFonts w:hint="eastAsia"/>
          <w:szCs w:val="21"/>
        </w:rPr>
        <w:t>）是中央企业有研科技集团有限公司（原北京有色金属研究总院）下属国合通用测试评价认证股份公司的全资子公司，注册资本4680.00万元。国标检验是中国有色金属和电子材料方面权威的第三方检验认证服务机构，管理运营着国家有色金属及电子材料分析测试中心、国家有色金属质量监督检验中心和工业（有色金属及半导体材料）产品质量控制和技术评价实验室等6个国家级和省部级中心/实验室，拥有辉光放电质谱仪、电感耦合等离子体串联质谱仪、电感耦合等离子体原子发射光谱仪、激光剥蚀固体进样系统、原子吸收光谱仪、原子荧光光谱仪等大型化学分析仪器设备20多台套，价值2000多万元，</w:t>
      </w:r>
      <w:r>
        <w:rPr>
          <w:rFonts w:hint="eastAsia"/>
          <w:szCs w:val="21"/>
          <w:lang w:val="en-US" w:eastAsia="zh-CN"/>
        </w:rPr>
        <w:t>装备水平</w:t>
      </w:r>
      <w:r>
        <w:rPr>
          <w:rFonts w:hint="eastAsia"/>
          <w:szCs w:val="21"/>
        </w:rPr>
        <w:t>处于国内行业领先</w:t>
      </w:r>
      <w:r>
        <w:rPr>
          <w:rFonts w:hint="eastAsia"/>
          <w:szCs w:val="21"/>
          <w:lang w:val="en-US" w:eastAsia="zh-CN"/>
        </w:rPr>
        <w:t>地位</w:t>
      </w:r>
      <w:r>
        <w:rPr>
          <w:rFonts w:hint="eastAsia"/>
          <w:szCs w:val="21"/>
        </w:rPr>
        <w:t>。国标检验是我国有色金属行业测试评价技术开发的骨干单位之一，</w:t>
      </w:r>
      <w:r>
        <w:rPr>
          <w:rFonts w:hint="eastAsia"/>
          <w:szCs w:val="21"/>
          <w:lang w:val="en-US" w:eastAsia="zh-CN"/>
        </w:rPr>
        <w:t>也</w:t>
      </w:r>
      <w:r>
        <w:rPr>
          <w:rFonts w:hint="eastAsia"/>
          <w:szCs w:val="21"/>
        </w:rPr>
        <w:t>是我国有色金属分析测试标准主要起草单位之一</w:t>
      </w:r>
      <w:r>
        <w:rPr>
          <w:rFonts w:hint="eastAsia"/>
          <w:szCs w:val="21"/>
          <w:lang w:eastAsia="zh-CN"/>
        </w:rPr>
        <w:t>，</w:t>
      </w:r>
      <w:r>
        <w:rPr>
          <w:rFonts w:hint="eastAsia"/>
          <w:szCs w:val="21"/>
        </w:rPr>
        <w:t>先后承担国家科技重大专项、国际科技支撑计划、国家自然科学基金等国家级科研项目41项</w:t>
      </w:r>
      <w:r>
        <w:rPr>
          <w:rFonts w:hint="eastAsia"/>
          <w:szCs w:val="21"/>
          <w:lang w:eastAsia="zh-CN"/>
        </w:rPr>
        <w:t>，</w:t>
      </w:r>
      <w:r>
        <w:rPr>
          <w:rFonts w:hint="eastAsia"/>
          <w:szCs w:val="21"/>
        </w:rPr>
        <w:t>获得省部级科技成果奖励110余项，拥有授权中国专利和国际专利100余项，在国内外期刊发表学术论文800多篇，撰写学术著作23部</w:t>
      </w:r>
      <w:r>
        <w:rPr>
          <w:rFonts w:hint="eastAsia"/>
          <w:szCs w:val="21"/>
          <w:lang w:eastAsia="zh-CN"/>
        </w:rPr>
        <w:t>；</w:t>
      </w:r>
      <w:r>
        <w:rPr>
          <w:rFonts w:hint="eastAsia"/>
          <w:szCs w:val="21"/>
        </w:rPr>
        <w:t>先后制定国家和行业标准381项</w:t>
      </w:r>
      <w:r>
        <w:rPr>
          <w:rFonts w:hint="eastAsia"/>
          <w:szCs w:val="21"/>
          <w:lang w:eastAsia="zh-CN"/>
        </w:rPr>
        <w:t>，研制了国家标准物质/标准样品162个，为航空航天、国防军工、集成电路、能源电气等国家重大工程</w:t>
      </w:r>
      <w:r>
        <w:rPr>
          <w:rFonts w:hint="eastAsia"/>
          <w:szCs w:val="21"/>
          <w:lang w:val="en-US" w:eastAsia="zh-CN"/>
        </w:rPr>
        <w:t>领域</w:t>
      </w:r>
      <w:r>
        <w:rPr>
          <w:rFonts w:hint="eastAsia"/>
          <w:szCs w:val="21"/>
          <w:lang w:eastAsia="zh-CN"/>
        </w:rPr>
        <w:t>提供了有力保障和支撑。</w:t>
      </w:r>
    </w:p>
    <w:p>
      <w:pPr>
        <w:pStyle w:val="59"/>
        <w:spacing w:before="156" w:beforeLines="50" w:after="156" w:afterLines="50" w:line="240" w:lineRule="auto"/>
        <w:ind w:left="0"/>
        <w:rPr>
          <w:color w:val="auto"/>
        </w:rPr>
      </w:pPr>
      <w:bookmarkStart w:id="12" w:name="_Toc462884345"/>
      <w:bookmarkStart w:id="13" w:name="_Toc464728901"/>
      <w:r>
        <w:rPr>
          <w:rFonts w:hint="eastAsia"/>
          <w:color w:val="auto"/>
        </w:rPr>
        <w:t>成员单位简介</w:t>
      </w:r>
      <w:bookmarkEnd w:id="12"/>
      <w:bookmarkEnd w:id="13"/>
    </w:p>
    <w:p>
      <w:pPr>
        <w:pStyle w:val="58"/>
        <w:spacing w:before="156" w:beforeLines="50" w:after="156" w:afterLines="50"/>
        <w:ind w:left="2"/>
        <w:contextualSpacing/>
        <w:rPr>
          <w:color w:val="auto"/>
        </w:rPr>
      </w:pPr>
      <w:bookmarkStart w:id="14" w:name="_Toc462884347"/>
      <w:bookmarkStart w:id="15" w:name="_Toc464728903"/>
      <w:bookmarkStart w:id="16" w:name="_Toc464728913"/>
      <w:bookmarkStart w:id="17" w:name="_Toc462884357"/>
      <w:r>
        <w:rPr>
          <w:rFonts w:hint="eastAsia"/>
          <w:color w:val="auto"/>
        </w:rPr>
        <w:t>国合通用测试评价认证股份公司</w:t>
      </w:r>
    </w:p>
    <w:p>
      <w:pPr>
        <w:pStyle w:val="57"/>
      </w:pPr>
    </w:p>
    <w:p>
      <w:pPr>
        <w:pStyle w:val="58"/>
        <w:spacing w:before="156" w:beforeLines="50" w:after="156" w:afterLines="50"/>
        <w:ind w:left="2"/>
        <w:contextualSpacing/>
        <w:rPr>
          <w:color w:val="auto"/>
        </w:rPr>
      </w:pPr>
      <w:r>
        <w:rPr>
          <w:rFonts w:hint="eastAsia"/>
          <w:color w:val="auto"/>
        </w:rPr>
        <w:t>包头稀土研究院</w:t>
      </w:r>
    </w:p>
    <w:p>
      <w:pPr>
        <w:spacing w:line="300" w:lineRule="auto"/>
        <w:ind w:firstLine="420" w:firstLineChars="200"/>
        <w:contextualSpacing/>
        <w:jc w:val="left"/>
        <w:rPr>
          <w:rFonts w:hint="eastAsia"/>
          <w:szCs w:val="21"/>
        </w:rPr>
      </w:pPr>
    </w:p>
    <w:p>
      <w:pPr>
        <w:pStyle w:val="58"/>
        <w:spacing w:before="156" w:beforeLines="50" w:after="156" w:afterLines="50"/>
        <w:ind w:left="2"/>
        <w:contextualSpacing/>
        <w:rPr>
          <w:color w:val="auto"/>
        </w:rPr>
      </w:pPr>
      <w:r>
        <w:rPr>
          <w:rFonts w:hint="eastAsia"/>
          <w:szCs w:val="21"/>
        </w:rPr>
        <w:t>甘肃精普监测科技有限公司</w:t>
      </w:r>
    </w:p>
    <w:p>
      <w:pPr>
        <w:pStyle w:val="57"/>
        <w:ind w:left="0" w:leftChars="0" w:firstLine="0" w:firstLineChars="0"/>
      </w:pPr>
    </w:p>
    <w:bookmarkEnd w:id="14"/>
    <w:bookmarkEnd w:id="15"/>
    <w:p>
      <w:pPr>
        <w:pStyle w:val="60"/>
        <w:spacing w:before="156" w:after="156" w:line="300" w:lineRule="auto"/>
        <w:ind w:left="0"/>
        <w:contextualSpacing/>
      </w:pPr>
      <w:r>
        <w:rPr>
          <w:rFonts w:hint="eastAsia"/>
        </w:rPr>
        <w:t>主要工作过程</w:t>
      </w:r>
      <w:bookmarkEnd w:id="16"/>
      <w:bookmarkEnd w:id="17"/>
    </w:p>
    <w:p>
      <w:pPr>
        <w:pStyle w:val="59"/>
        <w:spacing w:before="156" w:beforeLines="50" w:after="156" w:afterLines="50" w:line="240" w:lineRule="auto"/>
        <w:ind w:left="0"/>
        <w:rPr>
          <w:color w:val="auto"/>
        </w:rPr>
      </w:pPr>
      <w:r>
        <w:rPr>
          <w:rFonts w:hint="eastAsia"/>
          <w:color w:val="auto"/>
        </w:rPr>
        <w:t>任务落实会</w:t>
      </w:r>
    </w:p>
    <w:p>
      <w:pPr>
        <w:pStyle w:val="57"/>
        <w:spacing w:line="324" w:lineRule="auto"/>
        <w:ind w:firstLine="420"/>
        <w:rPr>
          <w:rFonts w:hint="default" w:ascii="Times New Roman" w:hAnsi="Times New Roman" w:cs="Times New Roman"/>
          <w:szCs w:val="21"/>
          <w:lang w:val="en-US" w:eastAsia="zh-CN"/>
        </w:rPr>
      </w:pPr>
      <w:r>
        <w:rPr>
          <w:rFonts w:hint="default" w:ascii="Times New Roman" w:hAnsi="Times New Roman" w:cs="Times New Roman"/>
          <w:szCs w:val="21"/>
        </w:rPr>
        <w:t>2019年5月22日有色金属行业计量技术委员会</w:t>
      </w:r>
      <w:r>
        <w:rPr>
          <w:rFonts w:hint="default" w:ascii="Times New Roman" w:hAnsi="Times New Roman" w:cs="Times New Roman"/>
          <w:szCs w:val="21"/>
          <w:lang w:val="en-US" w:eastAsia="zh-CN"/>
        </w:rPr>
        <w:t>在浙江宁波召开全体工作会议</w:t>
      </w:r>
      <w:r>
        <w:rPr>
          <w:rFonts w:hint="default" w:ascii="Times New Roman" w:hAnsi="Times New Roman" w:cs="Times New Roman"/>
          <w:szCs w:val="21"/>
        </w:rPr>
        <w:t>，</w:t>
      </w:r>
      <w:r>
        <w:rPr>
          <w:rFonts w:hint="default" w:ascii="Times New Roman" w:hAnsi="Times New Roman" w:cs="Times New Roman"/>
          <w:szCs w:val="21"/>
          <w:lang w:val="en-US" w:eastAsia="zh-CN"/>
        </w:rPr>
        <w:t>来自中国有色金属工业协会、中国有色金属工业标准计量质量研究所、国标（北京）检验认证有限公司、广东省工业分析检测中心、包头稀土研究院、中国铝业郑州有色金属研究院有限公司、西安汉唐分析检测有限公司、东北轻合金有限责任公司、甘肃精普监测科技有限公司等</w:t>
      </w:r>
      <w:r>
        <w:rPr>
          <w:rFonts w:hint="default" w:ascii="Times New Roman" w:hAnsi="Times New Roman" w:cs="Times New Roman"/>
          <w:szCs w:val="21"/>
        </w:rPr>
        <w:t>30余家企事业单位</w:t>
      </w:r>
      <w:r>
        <w:rPr>
          <w:rFonts w:hint="default" w:ascii="Times New Roman" w:hAnsi="Times New Roman" w:cs="Times New Roman"/>
          <w:szCs w:val="21"/>
          <w:lang w:val="en-US" w:eastAsia="zh-CN"/>
        </w:rPr>
        <w:t>的</w:t>
      </w:r>
      <w:r>
        <w:rPr>
          <w:rFonts w:hint="default" w:ascii="Times New Roman" w:hAnsi="Times New Roman" w:cs="Times New Roman"/>
          <w:szCs w:val="21"/>
        </w:rPr>
        <w:t>40余名代表</w:t>
      </w:r>
      <w:r>
        <w:rPr>
          <w:rFonts w:hint="default" w:ascii="Times New Roman" w:hAnsi="Times New Roman" w:cs="Times New Roman"/>
          <w:szCs w:val="21"/>
          <w:lang w:val="en-US" w:eastAsia="zh-CN"/>
        </w:rPr>
        <w:t>参会。</w:t>
      </w:r>
      <w:r>
        <w:rPr>
          <w:rFonts w:hint="eastAsia" w:ascii="Times New Roman" w:hAnsi="Times New Roman" w:cs="Times New Roman"/>
          <w:szCs w:val="21"/>
          <w:lang w:val="en-US" w:eastAsia="zh-CN"/>
        </w:rPr>
        <w:t>会议对《直流辉光放电质谱仪校准规范》制订项目进行了任务落实。该项目有国标（北京）检验认证有限公司牵头制订，国合通用测试评价认证股份公司、包头稀土研究院、甘肃精普监测科技有限公司等3家单位参与制订。会上还落实的该项目各制订阶段的工作内容和时间节点。</w:t>
      </w:r>
    </w:p>
    <w:p>
      <w:pPr>
        <w:pStyle w:val="73"/>
        <w:numPr>
          <w:ilvl w:val="0"/>
          <w:numId w:val="11"/>
        </w:numPr>
        <w:tabs>
          <w:tab w:val="left" w:pos="426"/>
        </w:tabs>
        <w:spacing w:before="312" w:beforeLines="100" w:after="312" w:afterLines="100"/>
        <w:ind w:hangingChars="200"/>
        <w:jc w:val="left"/>
      </w:pPr>
      <w:bookmarkStart w:id="18" w:name="_Toc464728924"/>
      <w:r>
        <w:rPr>
          <w:rFonts w:hint="eastAsia"/>
        </w:rPr>
        <w:t>规程编制原则和确定主要内容</w:t>
      </w:r>
      <w:bookmarkEnd w:id="18"/>
    </w:p>
    <w:p>
      <w:pPr>
        <w:pStyle w:val="78"/>
        <w:wordWrap/>
        <w:spacing w:beforeLines="0" w:after="156" w:line="360" w:lineRule="auto"/>
      </w:pPr>
      <w:bookmarkStart w:id="19" w:name="_Toc464728925"/>
      <w:r>
        <w:rPr>
          <w:rFonts w:hint="eastAsia"/>
        </w:rPr>
        <w:t>编制原则</w:t>
      </w:r>
      <w:bookmarkEnd w:id="19"/>
    </w:p>
    <w:p>
      <w:pPr>
        <w:pStyle w:val="57"/>
        <w:numPr>
          <w:ilvl w:val="0"/>
          <w:numId w:val="12"/>
        </w:numPr>
        <w:spacing w:line="324" w:lineRule="auto"/>
        <w:ind w:firstLine="420"/>
        <w:rPr>
          <w:szCs w:val="21"/>
        </w:rPr>
      </w:pPr>
      <w:bookmarkStart w:id="20" w:name="_Toc464728926"/>
      <w:r>
        <w:rPr>
          <w:rFonts w:hint="eastAsia"/>
          <w:szCs w:val="21"/>
        </w:rPr>
        <w:t>保证有色行业的特殊性和适用性</w:t>
      </w:r>
    </w:p>
    <w:p>
      <w:pPr>
        <w:pStyle w:val="57"/>
        <w:numPr>
          <w:ilvl w:val="0"/>
          <w:numId w:val="12"/>
        </w:numPr>
        <w:spacing w:line="324" w:lineRule="auto"/>
        <w:ind w:firstLine="420"/>
        <w:rPr>
          <w:szCs w:val="21"/>
        </w:rPr>
      </w:pPr>
      <w:r>
        <w:rPr>
          <w:rFonts w:hint="eastAsia"/>
          <w:szCs w:val="21"/>
        </w:rPr>
        <w:t>保证计量规程的规范性</w:t>
      </w:r>
    </w:p>
    <w:p>
      <w:pPr>
        <w:pStyle w:val="78"/>
        <w:spacing w:before="312" w:beforeLines="100" w:after="312" w:afterLines="100"/>
        <w:rPr>
          <w:rFonts w:ascii="宋体" w:hAnsi="宋体"/>
        </w:rPr>
      </w:pPr>
      <w:r>
        <w:rPr>
          <w:rFonts w:hint="eastAsia"/>
        </w:rPr>
        <w:t>确定主要内</w:t>
      </w:r>
      <w:bookmarkEnd w:id="20"/>
      <w:r>
        <w:rPr>
          <w:rFonts w:hint="eastAsia"/>
        </w:rPr>
        <w:t>容</w:t>
      </w:r>
    </w:p>
    <w:p>
      <w:pPr>
        <w:pStyle w:val="60"/>
        <w:numPr>
          <w:ilvl w:val="1"/>
          <w:numId w:val="13"/>
        </w:numPr>
        <w:spacing w:before="312" w:beforeLines="100" w:after="312" w:afterLines="100"/>
        <w:contextualSpacing/>
        <w:rPr>
          <w:rFonts w:hAnsi="黑体"/>
          <w:szCs w:val="21"/>
        </w:rPr>
      </w:pPr>
      <w:bookmarkStart w:id="21" w:name="_Toc464728964"/>
      <w:r>
        <w:rPr>
          <w:rFonts w:hint="eastAsia" w:hAnsi="黑体"/>
          <w:szCs w:val="21"/>
        </w:rPr>
        <w:t>范围</w:t>
      </w:r>
    </w:p>
    <w:p>
      <w:pPr>
        <w:pStyle w:val="57"/>
        <w:spacing w:line="324" w:lineRule="auto"/>
        <w:ind w:firstLine="420"/>
        <w:rPr>
          <w:szCs w:val="21"/>
        </w:rPr>
      </w:pPr>
      <w:r>
        <w:rPr>
          <w:rFonts w:hint="eastAsia"/>
          <w:szCs w:val="21"/>
        </w:rPr>
        <w:t>本规范适用于直流辉光放电质谱仪的校准。</w:t>
      </w:r>
    </w:p>
    <w:p>
      <w:pPr>
        <w:pStyle w:val="60"/>
        <w:spacing w:before="312" w:beforeLines="100" w:after="312" w:afterLines="100"/>
        <w:contextualSpacing/>
        <w:rPr>
          <w:rFonts w:hAnsi="黑体"/>
          <w:szCs w:val="21"/>
        </w:rPr>
      </w:pPr>
      <w:r>
        <w:rPr>
          <w:rFonts w:hint="eastAsia" w:hAnsi="黑体"/>
          <w:szCs w:val="21"/>
        </w:rPr>
        <w:t>规范性引用文件</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1001—2011 通用计量术语及定义</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1059.1—2012 测量不确定度评定与表示</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GB/T 6041-2002 质谱分析方法通则</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1159-2006 四极杆电感耦合等离子体质谱仪校准规范</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1120-2004 热电离同位素质谱计校准规范</w:t>
      </w:r>
    </w:p>
    <w:p>
      <w:pPr>
        <w:pStyle w:val="60"/>
        <w:spacing w:before="312" w:beforeLines="100" w:after="312" w:afterLines="100"/>
        <w:contextualSpacing/>
        <w:rPr>
          <w:rFonts w:hAnsi="黑体"/>
          <w:szCs w:val="21"/>
        </w:rPr>
      </w:pPr>
      <w:bookmarkStart w:id="22" w:name="_Toc193860030"/>
      <w:bookmarkStart w:id="23" w:name="_Toc193860211"/>
      <w:bookmarkStart w:id="24" w:name="_Toc193619097"/>
      <w:bookmarkStart w:id="25" w:name="_Toc116_WPSOffice_Level1"/>
      <w:bookmarkStart w:id="26" w:name="_Toc193619055"/>
      <w:bookmarkStart w:id="27" w:name="_Toc500258937"/>
      <w:bookmarkStart w:id="28" w:name="_Toc193618952"/>
      <w:bookmarkStart w:id="29" w:name="_Toc193860180"/>
      <w:r>
        <w:rPr>
          <w:rFonts w:hint="eastAsia" w:hAnsi="黑体"/>
          <w:szCs w:val="21"/>
        </w:rPr>
        <w:t>概述</w:t>
      </w:r>
      <w:bookmarkEnd w:id="22"/>
      <w:bookmarkEnd w:id="23"/>
      <w:bookmarkEnd w:id="24"/>
      <w:bookmarkEnd w:id="25"/>
      <w:bookmarkEnd w:id="26"/>
      <w:bookmarkEnd w:id="27"/>
      <w:bookmarkEnd w:id="28"/>
      <w:bookmarkEnd w:id="29"/>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直流辉光放电质谱仪（GD-MS）是利用辉光放电源作为离子源与质谱仪器联接进行质谱测定的一种分析方法。辉光放电离子源利用惰性气体（一般是氩气，压力10 Pa~1000 Pa）在上千伏特电压下电离产生的离子撞击样品表面使之发生溅射，溅射产生的样品原子扩散至等离子中进一步离子化，进而被质谱分析器收集检测。GD-MS主要由辉光放电离子源、质量分析器、离子检测器、真空系统、供电系统、信号控制系统和数据处理系统等组成。</w:t>
      </w:r>
    </w:p>
    <w:p>
      <w:pPr>
        <w:pStyle w:val="60"/>
        <w:spacing w:before="312" w:beforeLines="100" w:after="312" w:afterLines="100"/>
        <w:contextualSpacing/>
        <w:rPr>
          <w:rFonts w:hAnsi="黑体"/>
          <w:szCs w:val="21"/>
        </w:rPr>
      </w:pPr>
      <w:bookmarkStart w:id="30" w:name="_Toc193860212"/>
      <w:bookmarkStart w:id="31" w:name="_Toc500258938"/>
      <w:bookmarkStart w:id="32" w:name="_Toc193619098"/>
      <w:bookmarkStart w:id="33" w:name="_Toc193860031"/>
      <w:bookmarkStart w:id="34" w:name="_Toc193860181"/>
      <w:bookmarkStart w:id="35" w:name="_Toc193619056"/>
      <w:bookmarkStart w:id="36" w:name="_Toc16188_WPSOffice_Level1"/>
      <w:bookmarkStart w:id="37" w:name="_Toc193618953"/>
      <w:r>
        <w:rPr>
          <w:rFonts w:hint="eastAsia" w:hAnsi="黑体"/>
          <w:szCs w:val="21"/>
        </w:rPr>
        <w:t>计量特性</w:t>
      </w:r>
      <w:bookmarkEnd w:id="30"/>
      <w:bookmarkEnd w:id="31"/>
      <w:bookmarkEnd w:id="32"/>
      <w:bookmarkEnd w:id="33"/>
      <w:bookmarkEnd w:id="34"/>
      <w:bookmarkEnd w:id="35"/>
      <w:bookmarkEnd w:id="36"/>
      <w:bookmarkEnd w:id="37"/>
    </w:p>
    <w:p>
      <w:pPr>
        <w:pStyle w:val="57"/>
        <w:spacing w:line="324" w:lineRule="auto"/>
        <w:ind w:firstLine="420"/>
        <w:rPr>
          <w:rFonts w:hint="default" w:ascii="Times New Roman" w:hAnsi="Times New Roman" w:cs="Times New Roman"/>
          <w:szCs w:val="21"/>
        </w:rPr>
      </w:pPr>
      <w:r>
        <w:rPr>
          <w:rFonts w:hint="eastAsia" w:ascii="Times New Roman" w:hAnsi="Times New Roman" w:cs="Times New Roman"/>
          <w:szCs w:val="21"/>
          <w:lang w:val="en-US" w:eastAsia="zh-CN"/>
        </w:rPr>
        <w:t>本规范</w:t>
      </w:r>
      <w:r>
        <w:rPr>
          <w:rFonts w:hint="default" w:ascii="Times New Roman" w:hAnsi="Times New Roman" w:cs="Times New Roman"/>
          <w:szCs w:val="21"/>
        </w:rPr>
        <w:t>规定了直流辉光放电质谱仪的各项主要技术指标，供校准时参考</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详见表1</w:t>
      </w:r>
      <w:r>
        <w:rPr>
          <w:rFonts w:hint="default" w:ascii="Times New Roman" w:hAnsi="Times New Roman" w:cs="Times New Roman"/>
          <w:szCs w:val="21"/>
        </w:rPr>
        <w:t>。</w:t>
      </w:r>
    </w:p>
    <w:p>
      <w:pPr>
        <w:pStyle w:val="57"/>
        <w:spacing w:line="324" w:lineRule="auto"/>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表1 直流辉光放电质谱仪的各项主要技术指标</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805"/>
        <w:gridCol w:w="5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noWrap w:val="0"/>
            <w:vAlign w:val="top"/>
          </w:tcPr>
          <w:p>
            <w:pPr>
              <w:pStyle w:val="57"/>
              <w:spacing w:line="360" w:lineRule="auto"/>
              <w:ind w:firstLine="0" w:firstLineChars="0"/>
              <w:jc w:val="center"/>
              <w:rPr>
                <w:rFonts w:ascii="Times New Roman"/>
              </w:rPr>
            </w:pPr>
            <w:r>
              <w:rPr>
                <w:rFonts w:hint="eastAsia" w:ascii="Times New Roman"/>
              </w:rPr>
              <w:t>序号</w:t>
            </w:r>
          </w:p>
        </w:tc>
        <w:tc>
          <w:tcPr>
            <w:tcW w:w="2805" w:type="dxa"/>
            <w:noWrap w:val="0"/>
            <w:vAlign w:val="top"/>
          </w:tcPr>
          <w:p>
            <w:pPr>
              <w:pStyle w:val="57"/>
              <w:spacing w:line="360" w:lineRule="auto"/>
              <w:ind w:firstLine="0" w:firstLineChars="0"/>
              <w:jc w:val="center"/>
              <w:rPr>
                <w:rFonts w:ascii="Times New Roman"/>
              </w:rPr>
            </w:pPr>
            <w:r>
              <w:rPr>
                <w:rFonts w:hint="eastAsia" w:ascii="Times New Roman"/>
              </w:rPr>
              <w:t>计量特性</w:t>
            </w:r>
          </w:p>
        </w:tc>
        <w:tc>
          <w:tcPr>
            <w:tcW w:w="5377" w:type="dxa"/>
            <w:noWrap w:val="0"/>
            <w:vAlign w:val="top"/>
          </w:tcPr>
          <w:p>
            <w:pPr>
              <w:pStyle w:val="57"/>
              <w:spacing w:line="360" w:lineRule="auto"/>
              <w:ind w:firstLine="0" w:firstLineChars="0"/>
              <w:jc w:val="center"/>
              <w:rPr>
                <w:rFonts w:ascii="Times New Roman"/>
              </w:rPr>
            </w:pPr>
            <w:r>
              <w:rPr>
                <w:rFonts w:hint="eastAsia" w:ascii="Times New Roma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noWrap w:val="0"/>
            <w:vAlign w:val="top"/>
          </w:tcPr>
          <w:p>
            <w:pPr>
              <w:pStyle w:val="57"/>
              <w:spacing w:line="360" w:lineRule="auto"/>
              <w:ind w:firstLine="0" w:firstLineChars="0"/>
              <w:jc w:val="center"/>
              <w:rPr>
                <w:rFonts w:hint="eastAsia" w:ascii="Times New Roman"/>
              </w:rPr>
            </w:pPr>
            <w:r>
              <w:rPr>
                <w:rFonts w:hint="eastAsia" w:ascii="Times New Roman"/>
              </w:rPr>
              <w:t>1</w:t>
            </w:r>
          </w:p>
        </w:tc>
        <w:tc>
          <w:tcPr>
            <w:tcW w:w="2805" w:type="dxa"/>
            <w:noWrap w:val="0"/>
            <w:vAlign w:val="center"/>
          </w:tcPr>
          <w:p>
            <w:pPr>
              <w:pStyle w:val="57"/>
              <w:spacing w:line="360" w:lineRule="auto"/>
              <w:ind w:firstLine="0" w:firstLineChars="0"/>
              <w:jc w:val="center"/>
              <w:rPr>
                <w:rFonts w:hint="eastAsia" w:ascii="Times New Roman"/>
              </w:rPr>
            </w:pPr>
            <w:r>
              <w:rPr>
                <w:rFonts w:hint="eastAsia" w:ascii="Times New Roman"/>
              </w:rPr>
              <w:t>灵敏度/cps</w:t>
            </w:r>
          </w:p>
        </w:tc>
        <w:tc>
          <w:tcPr>
            <w:tcW w:w="5377" w:type="dxa"/>
            <w:noWrap w:val="0"/>
            <w:vAlign w:val="center"/>
          </w:tcPr>
          <w:p>
            <w:pPr>
              <w:pStyle w:val="57"/>
              <w:spacing w:line="360" w:lineRule="auto"/>
              <w:ind w:firstLine="0" w:firstLineChars="0"/>
              <w:jc w:val="center"/>
              <w:rPr>
                <w:rFonts w:hint="eastAsia" w:ascii="Times New Roman"/>
              </w:rPr>
            </w:pPr>
            <w:r>
              <w:rPr>
                <w:rFonts w:hint="eastAsia" w:ascii="Times New Roman"/>
              </w:rPr>
              <w:t>≥1×10</w:t>
            </w:r>
            <w:r>
              <w:rPr>
                <w:rFonts w:hint="eastAsia" w:ascii="Times New Roman"/>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noWrap w:val="0"/>
            <w:vAlign w:val="center"/>
          </w:tcPr>
          <w:p>
            <w:pPr>
              <w:pStyle w:val="57"/>
              <w:spacing w:line="360" w:lineRule="auto"/>
              <w:ind w:firstLine="0" w:firstLineChars="0"/>
              <w:jc w:val="center"/>
              <w:rPr>
                <w:rFonts w:hint="eastAsia" w:ascii="Times New Roman"/>
              </w:rPr>
            </w:pPr>
            <w:r>
              <w:rPr>
                <w:rFonts w:hint="eastAsia" w:ascii="Times New Roman"/>
              </w:rPr>
              <w:t>2</w:t>
            </w:r>
          </w:p>
        </w:tc>
        <w:tc>
          <w:tcPr>
            <w:tcW w:w="2805" w:type="dxa"/>
            <w:noWrap w:val="0"/>
            <w:vAlign w:val="center"/>
          </w:tcPr>
          <w:p>
            <w:pPr>
              <w:pStyle w:val="57"/>
              <w:spacing w:line="360" w:lineRule="auto"/>
              <w:ind w:firstLine="0" w:firstLineChars="0"/>
              <w:jc w:val="center"/>
              <w:rPr>
                <w:rFonts w:hint="eastAsia" w:ascii="Times New Roman"/>
              </w:rPr>
            </w:pPr>
            <w:r>
              <w:rPr>
                <w:rFonts w:hint="eastAsia" w:ascii="Times New Roman"/>
              </w:rPr>
              <w:t>分辨率</w:t>
            </w:r>
          </w:p>
        </w:tc>
        <w:tc>
          <w:tcPr>
            <w:tcW w:w="5377" w:type="dxa"/>
            <w:noWrap w:val="0"/>
            <w:vAlign w:val="center"/>
          </w:tcPr>
          <w:p>
            <w:pPr>
              <w:pStyle w:val="57"/>
              <w:spacing w:line="360" w:lineRule="auto"/>
              <w:ind w:firstLine="0" w:firstLineChars="0"/>
              <w:jc w:val="center"/>
              <w:rPr>
                <w:rFonts w:hint="eastAsia" w:ascii="Times New Roman"/>
              </w:rPr>
            </w:pPr>
            <w:r>
              <w:rPr>
                <w:rFonts w:hint="eastAsia" w:ascii="Times New Roman"/>
              </w:rPr>
              <w:t>低分辨率≥300；</w:t>
            </w:r>
            <w:r>
              <w:rPr>
                <w:rFonts w:ascii="Times New Roman"/>
              </w:rPr>
              <w:t>中分辨</w:t>
            </w:r>
            <w:r>
              <w:rPr>
                <w:rFonts w:hint="eastAsia" w:ascii="Times New Roman"/>
              </w:rPr>
              <w:t>率≥</w:t>
            </w:r>
            <w:r>
              <w:rPr>
                <w:rFonts w:ascii="Times New Roman"/>
              </w:rPr>
              <w:t>3800；高分辨</w:t>
            </w:r>
            <w:r>
              <w:rPr>
                <w:rFonts w:hint="eastAsia" w:ascii="Times New Roman"/>
              </w:rPr>
              <w:t>率≥</w:t>
            </w:r>
            <w:r>
              <w:rPr>
                <w:rFonts w:ascii="Times New Roma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noWrap w:val="0"/>
            <w:vAlign w:val="center"/>
          </w:tcPr>
          <w:p>
            <w:pPr>
              <w:pStyle w:val="57"/>
              <w:spacing w:line="360" w:lineRule="auto"/>
              <w:ind w:firstLine="0" w:firstLineChars="0"/>
              <w:jc w:val="center"/>
              <w:rPr>
                <w:rFonts w:ascii="Times New Roman"/>
              </w:rPr>
            </w:pPr>
            <w:r>
              <w:rPr>
                <w:rFonts w:hint="eastAsia" w:ascii="Times New Roman"/>
              </w:rPr>
              <w:t>3</w:t>
            </w:r>
          </w:p>
        </w:tc>
        <w:tc>
          <w:tcPr>
            <w:tcW w:w="2805" w:type="dxa"/>
            <w:noWrap w:val="0"/>
            <w:vAlign w:val="center"/>
          </w:tcPr>
          <w:p>
            <w:pPr>
              <w:pStyle w:val="57"/>
              <w:spacing w:line="360" w:lineRule="auto"/>
              <w:ind w:firstLine="0" w:firstLineChars="0"/>
              <w:jc w:val="center"/>
              <w:rPr>
                <w:rFonts w:hint="default" w:ascii="Times New Roman" w:eastAsia="宋体"/>
                <w:lang w:val="en-US" w:eastAsia="zh-CN"/>
              </w:rPr>
            </w:pPr>
            <w:r>
              <w:rPr>
                <w:rFonts w:hint="eastAsia" w:ascii="Times New Roman"/>
              </w:rPr>
              <w:t>质量轴</w:t>
            </w:r>
            <w:r>
              <w:rPr>
                <w:rFonts w:hint="eastAsia" w:ascii="Times New Roman"/>
                <w:lang w:val="en-US" w:eastAsia="zh-CN"/>
              </w:rPr>
              <w:t>/u</w:t>
            </w:r>
          </w:p>
        </w:tc>
        <w:tc>
          <w:tcPr>
            <w:tcW w:w="5377" w:type="dxa"/>
            <w:noWrap w:val="0"/>
            <w:vAlign w:val="center"/>
          </w:tcPr>
          <w:p>
            <w:pPr>
              <w:pStyle w:val="57"/>
              <w:spacing w:line="360" w:lineRule="auto"/>
              <w:ind w:firstLine="0" w:firstLineChars="0"/>
              <w:jc w:val="center"/>
              <w:rPr>
                <w:rFonts w:hint="eastAsia" w:ascii="Times New Roman"/>
                <w:color w:val="000000"/>
              </w:rPr>
            </w:pPr>
            <w:r>
              <w:rPr>
                <w:rFonts w:hint="eastAsia" w:ascii="Times New Roman"/>
                <w:color w:val="000000"/>
              </w:rPr>
              <w:t>Ar40++++++：6.647~6.672；</w:t>
            </w:r>
          </w:p>
          <w:p>
            <w:pPr>
              <w:pStyle w:val="57"/>
              <w:spacing w:line="360" w:lineRule="auto"/>
              <w:ind w:firstLine="0" w:firstLineChars="0"/>
              <w:jc w:val="center"/>
              <w:rPr>
                <w:rFonts w:hint="eastAsia" w:ascii="Times New Roman"/>
                <w:color w:val="000000"/>
              </w:rPr>
            </w:pPr>
            <w:r>
              <w:rPr>
                <w:rFonts w:hint="eastAsia" w:ascii="Times New Roman"/>
                <w:color w:val="000000"/>
              </w:rPr>
              <w:t>Ar40+++++：7.982-8.002；</w:t>
            </w:r>
          </w:p>
          <w:p>
            <w:pPr>
              <w:pStyle w:val="57"/>
              <w:spacing w:line="360" w:lineRule="auto"/>
              <w:ind w:firstLine="0" w:firstLineChars="0"/>
              <w:jc w:val="center"/>
              <w:rPr>
                <w:rFonts w:hint="eastAsia" w:ascii="Times New Roman"/>
                <w:color w:val="000000"/>
              </w:rPr>
            </w:pPr>
            <w:r>
              <w:rPr>
                <w:rFonts w:hint="eastAsia" w:ascii="Times New Roman"/>
                <w:color w:val="000000"/>
              </w:rPr>
              <w:t>Ar40++++：9.978~10.003；</w:t>
            </w:r>
          </w:p>
          <w:p>
            <w:pPr>
              <w:pStyle w:val="57"/>
              <w:spacing w:line="360" w:lineRule="auto"/>
              <w:ind w:firstLine="0" w:firstLineChars="0"/>
              <w:jc w:val="center"/>
              <w:rPr>
                <w:rFonts w:hint="eastAsia" w:ascii="Times New Roman"/>
                <w:color w:val="000000"/>
              </w:rPr>
            </w:pPr>
            <w:r>
              <w:rPr>
                <w:rFonts w:hint="eastAsia" w:ascii="Times New Roman"/>
                <w:color w:val="000000"/>
              </w:rPr>
              <w:t>C12:11.997~12.002；</w:t>
            </w:r>
          </w:p>
          <w:p>
            <w:pPr>
              <w:pStyle w:val="57"/>
              <w:spacing w:line="360" w:lineRule="auto"/>
              <w:ind w:firstLine="0" w:firstLineChars="0"/>
              <w:jc w:val="center"/>
              <w:rPr>
                <w:rFonts w:hint="eastAsia" w:ascii="Times New Roman"/>
                <w:color w:val="000000"/>
              </w:rPr>
            </w:pPr>
            <w:r>
              <w:rPr>
                <w:rFonts w:hint="eastAsia" w:ascii="Times New Roman"/>
                <w:color w:val="000000"/>
              </w:rPr>
              <w:t>Ar40+++：13.304~13.337；</w:t>
            </w:r>
          </w:p>
          <w:p>
            <w:pPr>
              <w:pStyle w:val="57"/>
              <w:spacing w:line="360" w:lineRule="auto"/>
              <w:ind w:firstLine="0" w:firstLineChars="0"/>
              <w:jc w:val="center"/>
              <w:rPr>
                <w:rFonts w:hint="eastAsia" w:ascii="Times New Roman"/>
                <w:color w:val="000000"/>
              </w:rPr>
            </w:pPr>
            <w:r>
              <w:rPr>
                <w:rFonts w:hint="eastAsia" w:ascii="Times New Roman"/>
                <w:color w:val="000000"/>
              </w:rPr>
              <w:t>Ar40++：19.9803~19.9809；</w:t>
            </w:r>
          </w:p>
          <w:p>
            <w:pPr>
              <w:pStyle w:val="57"/>
              <w:spacing w:line="360" w:lineRule="auto"/>
              <w:ind w:firstLine="0" w:firstLineChars="0"/>
              <w:jc w:val="center"/>
              <w:rPr>
                <w:rFonts w:hint="eastAsia" w:ascii="Times New Roman"/>
                <w:color w:val="000000"/>
              </w:rPr>
            </w:pPr>
            <w:r>
              <w:rPr>
                <w:rFonts w:hint="eastAsia" w:ascii="Times New Roman"/>
                <w:color w:val="000000"/>
              </w:rPr>
              <w:t>Al27+:26.947~27.015；</w:t>
            </w:r>
          </w:p>
          <w:p>
            <w:pPr>
              <w:pStyle w:val="57"/>
              <w:spacing w:line="360" w:lineRule="auto"/>
              <w:ind w:firstLine="0" w:firstLineChars="0"/>
              <w:jc w:val="center"/>
              <w:rPr>
                <w:rFonts w:hint="eastAsia" w:ascii="Times New Roman"/>
                <w:color w:val="000000"/>
              </w:rPr>
            </w:pPr>
            <w:r>
              <w:rPr>
                <w:rFonts w:hint="eastAsia" w:ascii="Times New Roman"/>
                <w:color w:val="000000"/>
              </w:rPr>
              <w:t>Ar36+:35.922~36.012；</w:t>
            </w:r>
          </w:p>
          <w:p>
            <w:pPr>
              <w:pStyle w:val="57"/>
              <w:spacing w:line="360" w:lineRule="auto"/>
              <w:ind w:firstLine="0" w:firstLineChars="0"/>
              <w:jc w:val="center"/>
              <w:rPr>
                <w:rFonts w:hint="eastAsia" w:ascii="Times New Roman"/>
                <w:color w:val="000000"/>
              </w:rPr>
            </w:pPr>
            <w:r>
              <w:rPr>
                <w:rFonts w:hint="eastAsia" w:ascii="Times New Roman"/>
                <w:color w:val="000000"/>
              </w:rPr>
              <w:t>Ar40+:39.912~40.012；</w:t>
            </w:r>
          </w:p>
          <w:p>
            <w:pPr>
              <w:pStyle w:val="57"/>
              <w:spacing w:line="360" w:lineRule="auto"/>
              <w:ind w:firstLine="0" w:firstLineChars="0"/>
              <w:jc w:val="center"/>
              <w:rPr>
                <w:rFonts w:hint="eastAsia" w:ascii="Times New Roman"/>
                <w:color w:val="000000"/>
              </w:rPr>
            </w:pPr>
            <w:r>
              <w:rPr>
                <w:rFonts w:hint="eastAsia" w:ascii="Times New Roman"/>
                <w:color w:val="000000"/>
              </w:rPr>
              <w:t>Fe56+:55.864~56.004；</w:t>
            </w:r>
          </w:p>
          <w:p>
            <w:pPr>
              <w:pStyle w:val="57"/>
              <w:spacing w:line="360" w:lineRule="auto"/>
              <w:ind w:firstLine="0" w:firstLineChars="0"/>
              <w:jc w:val="center"/>
              <w:rPr>
                <w:rFonts w:hint="eastAsia" w:ascii="Times New Roman"/>
                <w:color w:val="000000"/>
              </w:rPr>
            </w:pPr>
            <w:r>
              <w:rPr>
                <w:rFonts w:hint="eastAsia" w:ascii="Times New Roman"/>
                <w:color w:val="000000"/>
              </w:rPr>
              <w:t>Cu63+:62.850~63.008；</w:t>
            </w:r>
          </w:p>
          <w:p>
            <w:pPr>
              <w:pStyle w:val="57"/>
              <w:spacing w:line="360" w:lineRule="auto"/>
              <w:ind w:firstLine="0" w:firstLineChars="0"/>
              <w:jc w:val="center"/>
              <w:rPr>
                <w:rFonts w:hint="eastAsia" w:ascii="Times New Roman"/>
                <w:color w:val="000000"/>
              </w:rPr>
            </w:pPr>
            <w:r>
              <w:rPr>
                <w:rFonts w:hint="eastAsia" w:ascii="Times New Roman"/>
                <w:color w:val="000000"/>
              </w:rPr>
              <w:t>As75+</w:t>
            </w:r>
            <w:r>
              <w:rPr>
                <w:rFonts w:ascii="Times New Roman"/>
                <w:color w:val="000000"/>
              </w:rPr>
              <w:t>:74.827~75.015</w:t>
            </w:r>
            <w:r>
              <w:rPr>
                <w:rFonts w:hint="eastAsia" w:ascii="Times New Roman"/>
                <w:color w:val="000000"/>
              </w:rPr>
              <w:t>；Ar40Ar40+：79.9240~79.9244；</w:t>
            </w:r>
          </w:p>
          <w:p>
            <w:pPr>
              <w:pStyle w:val="57"/>
              <w:spacing w:line="360" w:lineRule="auto"/>
              <w:ind w:firstLine="0" w:firstLineChars="0"/>
              <w:jc w:val="center"/>
              <w:rPr>
                <w:rFonts w:hint="eastAsia" w:ascii="Times New Roman"/>
                <w:color w:val="000000"/>
              </w:rPr>
            </w:pPr>
            <w:r>
              <w:rPr>
                <w:rFonts w:hint="eastAsia" w:ascii="Times New Roman"/>
                <w:color w:val="000000"/>
              </w:rPr>
              <w:t>Cu63Ar40+:102.763~103.020；</w:t>
            </w:r>
          </w:p>
          <w:p>
            <w:pPr>
              <w:pStyle w:val="57"/>
              <w:spacing w:line="360" w:lineRule="auto"/>
              <w:ind w:firstLine="0" w:firstLineChars="0"/>
              <w:jc w:val="center"/>
              <w:rPr>
                <w:rFonts w:hint="eastAsia" w:ascii="Times New Roman"/>
                <w:color w:val="000000"/>
              </w:rPr>
            </w:pPr>
            <w:r>
              <w:rPr>
                <w:rFonts w:hint="eastAsia" w:ascii="Times New Roman"/>
                <w:color w:val="000000"/>
              </w:rPr>
              <w:t>Sn118+：117.9009~117.9013；</w:t>
            </w:r>
          </w:p>
          <w:p>
            <w:pPr>
              <w:pStyle w:val="57"/>
              <w:spacing w:line="360" w:lineRule="auto"/>
              <w:ind w:firstLine="0" w:firstLineChars="0"/>
              <w:jc w:val="center"/>
              <w:rPr>
                <w:rFonts w:hint="eastAsia" w:ascii="Times New Roman"/>
                <w:color w:val="000000"/>
              </w:rPr>
            </w:pPr>
            <w:r>
              <w:rPr>
                <w:rFonts w:hint="eastAsia" w:ascii="Times New Roman"/>
                <w:color w:val="000000"/>
              </w:rPr>
              <w:t>Sn118Ar40+：157.8632~157.8634；</w:t>
            </w:r>
          </w:p>
          <w:p>
            <w:pPr>
              <w:pStyle w:val="57"/>
              <w:spacing w:line="360" w:lineRule="auto"/>
              <w:ind w:firstLine="0" w:firstLineChars="0"/>
              <w:jc w:val="center"/>
              <w:rPr>
                <w:rFonts w:hint="eastAsia" w:ascii="Times New Roman"/>
                <w:color w:val="000000"/>
              </w:rPr>
            </w:pPr>
            <w:r>
              <w:rPr>
                <w:rFonts w:hint="eastAsia" w:ascii="Times New Roman"/>
                <w:color w:val="000000"/>
              </w:rPr>
              <w:t>Au197+:196.720~197.212；</w:t>
            </w:r>
          </w:p>
          <w:p>
            <w:pPr>
              <w:pStyle w:val="57"/>
              <w:spacing w:line="360" w:lineRule="auto"/>
              <w:ind w:firstLine="0" w:firstLineChars="0"/>
              <w:jc w:val="center"/>
              <w:rPr>
                <w:rFonts w:hint="eastAsia" w:ascii="Times New Roman"/>
              </w:rPr>
            </w:pPr>
            <w:r>
              <w:rPr>
                <w:rFonts w:hint="eastAsia" w:ascii="Times New Roman"/>
                <w:color w:val="000000"/>
              </w:rPr>
              <w:t>Pb208+：207.9759~207.9763</w:t>
            </w:r>
            <w:r>
              <w:rPr>
                <w:rFonts w:hint="eastAsia" w:ascii="Times New Roman"/>
              </w:rPr>
              <w:t>；</w:t>
            </w:r>
          </w:p>
          <w:p>
            <w:pPr>
              <w:pStyle w:val="57"/>
              <w:spacing w:line="360" w:lineRule="auto"/>
              <w:ind w:firstLine="0" w:firstLineChars="0"/>
              <w:jc w:val="center"/>
              <w:rPr>
                <w:rFonts w:ascii="Times New Roman"/>
              </w:rPr>
            </w:pPr>
            <w:r>
              <w:rPr>
                <w:rFonts w:hint="eastAsia" w:ascii="Times New Roman"/>
              </w:rPr>
              <w:t>Pb208Ar40+：247.9383~247.9387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noWrap w:val="0"/>
            <w:vAlign w:val="center"/>
          </w:tcPr>
          <w:p>
            <w:pPr>
              <w:pStyle w:val="57"/>
              <w:spacing w:line="360" w:lineRule="auto"/>
              <w:ind w:firstLine="0" w:firstLineChars="0"/>
              <w:jc w:val="center"/>
              <w:rPr>
                <w:rFonts w:hint="eastAsia" w:ascii="Times New Roman" w:eastAsia="宋体"/>
                <w:lang w:val="en-US" w:eastAsia="zh-CN"/>
              </w:rPr>
            </w:pPr>
            <w:r>
              <w:rPr>
                <w:rFonts w:hint="eastAsia" w:ascii="Times New Roman"/>
                <w:lang w:val="en-US" w:eastAsia="zh-CN"/>
              </w:rPr>
              <w:t>4</w:t>
            </w:r>
          </w:p>
        </w:tc>
        <w:tc>
          <w:tcPr>
            <w:tcW w:w="2805" w:type="dxa"/>
            <w:noWrap w:val="0"/>
            <w:vAlign w:val="center"/>
          </w:tcPr>
          <w:p>
            <w:pPr>
              <w:pStyle w:val="57"/>
              <w:spacing w:line="360" w:lineRule="auto"/>
              <w:ind w:firstLine="0" w:firstLineChars="0"/>
              <w:jc w:val="center"/>
              <w:rPr>
                <w:rFonts w:ascii="Times New Roman"/>
              </w:rPr>
            </w:pPr>
            <w:r>
              <w:rPr>
                <w:rFonts w:hint="eastAsia" w:ascii="Times New Roman"/>
              </w:rPr>
              <w:t>仪器稳定性</w:t>
            </w:r>
          </w:p>
        </w:tc>
        <w:tc>
          <w:tcPr>
            <w:tcW w:w="5377" w:type="dxa"/>
            <w:noWrap w:val="0"/>
            <w:vAlign w:val="center"/>
          </w:tcPr>
          <w:p>
            <w:pPr>
              <w:pStyle w:val="57"/>
              <w:spacing w:line="360" w:lineRule="auto"/>
              <w:ind w:firstLine="0" w:firstLineChars="0"/>
              <w:jc w:val="center"/>
              <w:rPr>
                <w:rFonts w:hint="eastAsia" w:ascii="Times New Roman"/>
              </w:rPr>
            </w:pPr>
            <w:r>
              <w:rPr>
                <w:rFonts w:hint="eastAsia" w:ascii="Times New Roman"/>
              </w:rPr>
              <w:t>基体元素信号强度RSD≤5%</w:t>
            </w:r>
          </w:p>
        </w:tc>
      </w:tr>
    </w:tbl>
    <w:p>
      <w:pPr>
        <w:pStyle w:val="60"/>
        <w:spacing w:before="312" w:beforeLines="100" w:after="312" w:afterLines="100"/>
        <w:contextualSpacing/>
        <w:rPr>
          <w:rFonts w:hAnsi="黑体"/>
          <w:szCs w:val="21"/>
        </w:rPr>
      </w:pPr>
      <w:bookmarkStart w:id="38" w:name="_Toc5777_WPSOffice_Level1"/>
      <w:r>
        <w:rPr>
          <w:rFonts w:hint="eastAsia" w:hAnsi="黑体"/>
          <w:szCs w:val="21"/>
        </w:rPr>
        <w:t>通用技术要求</w:t>
      </w:r>
      <w:bookmarkEnd w:id="38"/>
    </w:p>
    <w:p>
      <w:pPr>
        <w:pStyle w:val="57"/>
        <w:numPr>
          <w:ilvl w:val="0"/>
          <w:numId w:val="14"/>
        </w:numPr>
        <w:spacing w:line="324" w:lineRule="auto"/>
        <w:ind w:firstLine="420"/>
        <w:rPr>
          <w:rFonts w:hint="default" w:ascii="Times New Roman" w:hAnsi="Times New Roman" w:cs="Times New Roman"/>
          <w:szCs w:val="21"/>
        </w:rPr>
      </w:pPr>
      <w:bookmarkStart w:id="39" w:name="_Toc24185_WPSOffice_Level2"/>
      <w:r>
        <w:rPr>
          <w:rFonts w:hint="default" w:ascii="Times New Roman" w:hAnsi="Times New Roman" w:cs="Times New Roman"/>
          <w:szCs w:val="21"/>
        </w:rPr>
        <w:t>5.1 外观</w:t>
      </w:r>
      <w:bookmarkEnd w:id="39"/>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被较仪器应有完整的下列标识：仪器名称、型号、出厂编号、制造厂名、制造日期、额定工作电压及频率等。</w:t>
      </w:r>
    </w:p>
    <w:p>
      <w:pPr>
        <w:pStyle w:val="57"/>
        <w:spacing w:line="324" w:lineRule="auto"/>
        <w:ind w:firstLine="420"/>
        <w:rPr>
          <w:rFonts w:hint="default" w:ascii="Times New Roman" w:hAnsi="Times New Roman" w:cs="Times New Roman"/>
          <w:szCs w:val="21"/>
        </w:rPr>
      </w:pPr>
      <w:bookmarkStart w:id="40" w:name="_Toc2906_WPSOffice_Level2"/>
      <w:r>
        <w:rPr>
          <w:rFonts w:hint="default" w:ascii="Times New Roman" w:hAnsi="Times New Roman" w:cs="Times New Roman"/>
          <w:szCs w:val="21"/>
        </w:rPr>
        <w:t>5.2 要求</w:t>
      </w:r>
      <w:bookmarkEnd w:id="40"/>
    </w:p>
    <w:p>
      <w:pPr>
        <w:pStyle w:val="57"/>
        <w:spacing w:line="324" w:lineRule="auto"/>
        <w:ind w:firstLine="420"/>
        <w:rPr>
          <w:szCs w:val="21"/>
        </w:rPr>
      </w:pPr>
      <w:r>
        <w:rPr>
          <w:rFonts w:hint="default" w:ascii="Times New Roman" w:hAnsi="Times New Roman" w:cs="Times New Roman"/>
          <w:szCs w:val="21"/>
        </w:rPr>
        <w:t>被较仪器外形结构完好，所有紧固件均应安装牢固，无松动现象；各调节旋钮转动灵活，按键和开关均能正常工作，不应有影响仪器正常工作的机械损伤和缺陷。被较仪器通电后各系统功能应正常，状态指示灯应指示正常。</w:t>
      </w:r>
    </w:p>
    <w:p>
      <w:pPr>
        <w:pStyle w:val="60"/>
        <w:spacing w:before="312" w:beforeLines="100" w:after="312" w:afterLines="100"/>
        <w:contextualSpacing/>
        <w:rPr>
          <w:rFonts w:hAnsi="黑体"/>
          <w:szCs w:val="21"/>
        </w:rPr>
      </w:pPr>
      <w:bookmarkStart w:id="41" w:name="_Toc10263_WPSOffice_Level1"/>
      <w:r>
        <w:rPr>
          <w:rFonts w:hint="eastAsia" w:hAnsi="黑体"/>
          <w:szCs w:val="21"/>
        </w:rPr>
        <w:t>计量器具控制</w:t>
      </w:r>
      <w:bookmarkEnd w:id="41"/>
    </w:p>
    <w:p>
      <w:pPr>
        <w:pStyle w:val="57"/>
        <w:numPr>
          <w:ilvl w:val="1"/>
          <w:numId w:val="14"/>
        </w:numPr>
        <w:spacing w:line="324" w:lineRule="auto"/>
        <w:ind w:firstLine="420"/>
        <w:rPr>
          <w:rFonts w:hint="eastAsia"/>
          <w:vanish/>
          <w:szCs w:val="21"/>
        </w:rPr>
      </w:pPr>
      <w:bookmarkStart w:id="42" w:name="_Toc500258942"/>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bookmarkEnd w:id="42"/>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lang w:val="en-US" w:eastAsia="zh-CN"/>
        </w:rPr>
        <w:t>6</w:t>
      </w:r>
      <w:r>
        <w:rPr>
          <w:rFonts w:hint="default" w:ascii="Times New Roman" w:hAnsi="Times New Roman" w:cs="Times New Roman"/>
          <w:szCs w:val="21"/>
        </w:rPr>
        <w:t>.1 环境条件</w:t>
      </w:r>
    </w:p>
    <w:p>
      <w:pPr>
        <w:pStyle w:val="57"/>
        <w:spacing w:line="324" w:lineRule="auto"/>
        <w:ind w:firstLine="420"/>
        <w:rPr>
          <w:rFonts w:hint="default" w:ascii="Times New Roman" w:hAnsi="Times New Roman" w:cs="Times New Roman"/>
          <w:szCs w:val="21"/>
        </w:rPr>
      </w:pPr>
      <w:r>
        <w:rPr>
          <w:rFonts w:hint="eastAsia" w:ascii="Times New Roman" w:hAnsi="Times New Roman" w:cs="Times New Roman"/>
          <w:szCs w:val="21"/>
          <w:lang w:val="en-US" w:eastAsia="zh-CN"/>
        </w:rPr>
        <w:t>根据不同生产厂家、不同型号设备的安装要求执行</w:t>
      </w:r>
      <w:r>
        <w:rPr>
          <w:rFonts w:hint="default" w:ascii="Times New Roman" w:hAnsi="Times New Roman" w:cs="Times New Roman"/>
          <w:szCs w:val="21"/>
        </w:rPr>
        <w:t>。</w:t>
      </w:r>
    </w:p>
    <w:p>
      <w:pPr>
        <w:pStyle w:val="57"/>
        <w:spacing w:line="324" w:lineRule="auto"/>
        <w:ind w:firstLine="420"/>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6.2 计量器具</w:t>
      </w:r>
    </w:p>
    <w:p>
      <w:pPr>
        <w:pStyle w:val="57"/>
        <w:spacing w:line="324" w:lineRule="auto"/>
        <w:ind w:firstLine="420"/>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本规范规定校准时采用国内外有证标准物质，或随仪器自带的黄铜块和钽块</w:t>
      </w:r>
      <w:r>
        <w:rPr>
          <w:rFonts w:hint="eastAsia" w:ascii="Times New Roman" w:hAnsi="Times New Roman" w:cs="Times New Roman"/>
          <w:szCs w:val="21"/>
          <w:lang w:eastAsia="zh-CN"/>
        </w:rPr>
        <w:t>。</w:t>
      </w:r>
    </w:p>
    <w:p>
      <w:pPr>
        <w:pStyle w:val="60"/>
        <w:spacing w:before="312" w:beforeLines="100" w:after="312" w:afterLines="100"/>
        <w:contextualSpacing/>
        <w:rPr>
          <w:rFonts w:hint="eastAsia" w:hAnsi="黑体"/>
          <w:szCs w:val="21"/>
        </w:rPr>
      </w:pPr>
      <w:bookmarkStart w:id="43" w:name="_Toc500258944"/>
      <w:bookmarkStart w:id="44" w:name="_Toc27112_WPSOffice_Level1"/>
      <w:r>
        <w:rPr>
          <w:rFonts w:hint="eastAsia" w:hAnsi="黑体"/>
          <w:szCs w:val="21"/>
        </w:rPr>
        <w:t>校准项目和校准方法</w:t>
      </w:r>
      <w:bookmarkEnd w:id="43"/>
      <w:bookmarkEnd w:id="44"/>
    </w:p>
    <w:p>
      <w:pPr>
        <w:pStyle w:val="57"/>
        <w:spacing w:line="324" w:lineRule="auto"/>
        <w:ind w:firstLine="420"/>
        <w:rPr>
          <w:rFonts w:hint="default" w:ascii="Times New Roman" w:hAnsi="Times New Roman" w:cs="Times New Roman"/>
          <w:szCs w:val="21"/>
        </w:rPr>
      </w:pPr>
      <w:bookmarkStart w:id="45" w:name="_Toc500258945"/>
      <w:bookmarkStart w:id="46" w:name="_Toc26981_WPSOffice_Level2"/>
      <w:r>
        <w:rPr>
          <w:rFonts w:hint="default" w:ascii="Times New Roman" w:hAnsi="Times New Roman" w:cs="Times New Roman"/>
          <w:szCs w:val="21"/>
        </w:rPr>
        <w:t>7.1</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校准项目</w:t>
      </w:r>
      <w:bookmarkEnd w:id="45"/>
      <w:bookmarkEnd w:id="46"/>
    </w:p>
    <w:p>
      <w:pPr>
        <w:pStyle w:val="57"/>
        <w:spacing w:line="324" w:lineRule="auto"/>
        <w:ind w:firstLine="420"/>
        <w:rPr>
          <w:rFonts w:hint="default" w:ascii="Times New Roman" w:hAnsi="Times New Roman" w:cs="Times New Roman"/>
          <w:szCs w:val="21"/>
        </w:rPr>
      </w:pPr>
      <w:r>
        <w:rPr>
          <w:rFonts w:hint="eastAsia" w:ascii="Times New Roman" w:hAnsi="Times New Roman" w:cs="Times New Roman"/>
          <w:szCs w:val="21"/>
          <w:lang w:val="en-US" w:eastAsia="zh-CN"/>
        </w:rPr>
        <w:t>本规范规定了直流辉光放电质谱仪的校准项目，详见表2</w:t>
      </w:r>
      <w:r>
        <w:rPr>
          <w:rFonts w:hint="default" w:ascii="Times New Roman" w:hAnsi="Times New Roman" w:cs="Times New Roman"/>
          <w:szCs w:val="21"/>
        </w:rPr>
        <w:t>。</w:t>
      </w:r>
    </w:p>
    <w:p>
      <w:pPr>
        <w:pStyle w:val="57"/>
        <w:spacing w:line="324" w:lineRule="auto"/>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表</w:t>
      </w:r>
      <w:r>
        <w:rPr>
          <w:rFonts w:hint="eastAsia" w:ascii="Times New Roman" w:hAnsi="Times New Roman" w:cs="Times New Roman"/>
          <w:szCs w:val="21"/>
          <w:lang w:val="en-US" w:eastAsia="zh-CN"/>
        </w:rPr>
        <w:t>2</w:t>
      </w:r>
      <w:r>
        <w:rPr>
          <w:rFonts w:hint="default" w:ascii="Times New Roman" w:hAnsi="Times New Roman" w:cs="Times New Roman"/>
          <w:szCs w:val="21"/>
        </w:rPr>
        <w:t xml:space="preserve"> </w:t>
      </w:r>
      <w:r>
        <w:rPr>
          <w:rFonts w:hint="eastAsia" w:ascii="Times New Roman" w:hAnsi="Times New Roman" w:cs="Times New Roman"/>
          <w:szCs w:val="21"/>
          <w:lang w:val="en-US" w:eastAsia="zh-CN"/>
        </w:rPr>
        <w:t>直流辉光放电质谱仪</w:t>
      </w:r>
      <w:r>
        <w:rPr>
          <w:rFonts w:hint="default" w:ascii="Times New Roman" w:hAnsi="Times New Roman" w:cs="Times New Roman"/>
          <w:szCs w:val="21"/>
        </w:rPr>
        <w:t>校准项目</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3"/>
        <w:gridCol w:w="5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spacing w:line="360" w:lineRule="auto"/>
              <w:ind w:firstLine="0" w:firstLineChars="0"/>
              <w:jc w:val="center"/>
              <w:rPr>
                <w:rFonts w:hint="default" w:ascii="Times New Roman" w:hAnsi="Times New Roman" w:cs="Times New Roman"/>
                <w:szCs w:val="21"/>
              </w:rPr>
            </w:pPr>
            <w:r>
              <w:rPr>
                <w:rFonts w:hint="eastAsia" w:ascii="Times New Roman"/>
              </w:rPr>
              <w:t>外观检查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spacing w:line="360" w:lineRule="auto"/>
              <w:ind w:firstLine="0" w:firstLineChars="0"/>
              <w:jc w:val="center"/>
              <w:rPr>
                <w:rFonts w:hint="default" w:ascii="Times New Roman" w:hAnsi="Times New Roman" w:cs="Times New Roman"/>
                <w:szCs w:val="21"/>
              </w:rPr>
            </w:pPr>
            <w:r>
              <w:rPr>
                <w:rFonts w:hint="eastAsia" w:ascii="Times New Roman"/>
              </w:rPr>
              <w:t>灵敏度校准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spacing w:line="360" w:lineRule="auto"/>
              <w:ind w:firstLine="0" w:firstLineChars="0"/>
              <w:jc w:val="center"/>
              <w:rPr>
                <w:rFonts w:hint="default" w:ascii="Times New Roman" w:hAnsi="Times New Roman" w:cs="Times New Roman"/>
                <w:szCs w:val="21"/>
              </w:rPr>
            </w:pPr>
            <w:r>
              <w:rPr>
                <w:rFonts w:hint="eastAsia" w:ascii="Times New Roman"/>
              </w:rPr>
              <w:t>分辨率校准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4</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spacing w:line="360" w:lineRule="auto"/>
              <w:ind w:firstLine="0" w:firstLineChars="0"/>
              <w:jc w:val="center"/>
              <w:rPr>
                <w:rFonts w:hint="eastAsia"/>
              </w:rPr>
            </w:pPr>
            <w:r>
              <w:rPr>
                <w:rFonts w:hint="eastAsia" w:ascii="Times New Roman"/>
              </w:rPr>
              <w:t>质量轴校准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spacing w:line="360" w:lineRule="auto"/>
              <w:ind w:firstLine="0" w:firstLineChars="0"/>
              <w:jc w:val="center"/>
              <w:rPr>
                <w:rFonts w:hint="eastAsia"/>
              </w:rPr>
            </w:pPr>
            <w:r>
              <w:rPr>
                <w:rFonts w:hint="eastAsia" w:ascii="Times New Roman"/>
              </w:rPr>
              <w:t>仪器稳定性校准</w:t>
            </w:r>
          </w:p>
        </w:tc>
      </w:tr>
    </w:tbl>
    <w:p>
      <w:pPr>
        <w:pStyle w:val="57"/>
        <w:spacing w:line="324" w:lineRule="auto"/>
        <w:ind w:firstLine="420"/>
        <w:rPr>
          <w:rFonts w:hint="default" w:ascii="Times New Roman" w:hAnsi="Times New Roman" w:cs="Times New Roman"/>
          <w:szCs w:val="21"/>
        </w:rPr>
      </w:pPr>
    </w:p>
    <w:p>
      <w:pPr>
        <w:pStyle w:val="57"/>
        <w:spacing w:line="324" w:lineRule="auto"/>
        <w:ind w:firstLine="420"/>
        <w:rPr>
          <w:rFonts w:hint="default" w:ascii="Times New Roman" w:hAnsi="Times New Roman" w:cs="Times New Roman"/>
          <w:szCs w:val="21"/>
        </w:rPr>
      </w:pPr>
      <w:bookmarkStart w:id="47" w:name="_Toc9125_WPSOffice_Level2"/>
      <w:r>
        <w:rPr>
          <w:rFonts w:hint="default" w:ascii="Times New Roman" w:hAnsi="Times New Roman" w:cs="Times New Roman"/>
          <w:szCs w:val="21"/>
        </w:rPr>
        <w:t>7.2 校准方法</w:t>
      </w:r>
      <w:bookmarkEnd w:id="47"/>
    </w:p>
    <w:p>
      <w:pPr>
        <w:pStyle w:val="57"/>
        <w:spacing w:line="324" w:lineRule="auto"/>
        <w:ind w:firstLine="420"/>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本规范规定了外观检查方法，以及仪器灵敏度、分辨率、质量轴和稳定性的校准方法。</w:t>
      </w:r>
    </w:p>
    <w:p>
      <w:pPr>
        <w:pStyle w:val="60"/>
        <w:spacing w:before="312" w:beforeLines="100" w:after="312" w:afterLines="100"/>
        <w:contextualSpacing/>
        <w:rPr>
          <w:rFonts w:hAnsi="黑体"/>
          <w:szCs w:val="21"/>
        </w:rPr>
      </w:pPr>
      <w:bookmarkStart w:id="48" w:name="_Toc500258947"/>
      <w:bookmarkStart w:id="49" w:name="_Toc23659_WPSOffice_Level1"/>
      <w:r>
        <w:rPr>
          <w:rFonts w:hint="eastAsia" w:hAnsi="黑体"/>
          <w:szCs w:val="21"/>
        </w:rPr>
        <w:t>校准结果表达</w:t>
      </w:r>
      <w:bookmarkEnd w:id="48"/>
      <w:bookmarkEnd w:id="49"/>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按本校准规范要求校准的仪器，发给校准证书。证书包括封页和内页，每页及总页数的标识。封页包括标题（即校准规范证书），证书的标识（即编号），送校单位的名称和地址，被校对象的描述和标识，校准依据技术文件，校准使用的标准，校准证书签发人的签名等信息。内页包括校准项目，校准结果及其不确定度的说明等信息（校准规范证书格式见附录B）。</w:t>
      </w:r>
    </w:p>
    <w:p>
      <w:pPr>
        <w:pStyle w:val="60"/>
        <w:spacing w:before="312" w:beforeLines="100" w:after="312" w:afterLines="100"/>
        <w:contextualSpacing/>
        <w:rPr>
          <w:rFonts w:hAnsi="黑体"/>
          <w:szCs w:val="21"/>
        </w:rPr>
      </w:pPr>
      <w:bookmarkStart w:id="50" w:name="_Toc1654_WPSOffice_Level1"/>
      <w:r>
        <w:rPr>
          <w:rFonts w:hint="eastAsia" w:hAnsi="黑体"/>
          <w:szCs w:val="21"/>
        </w:rPr>
        <w:t>复校周期</w:t>
      </w:r>
      <w:bookmarkEnd w:id="50"/>
    </w:p>
    <w:p>
      <w:pPr>
        <w:pStyle w:val="57"/>
        <w:spacing w:line="324" w:lineRule="auto"/>
        <w:ind w:firstLine="420"/>
        <w:rPr>
          <w:rFonts w:hint="eastAsia"/>
          <w:szCs w:val="21"/>
        </w:rPr>
      </w:pPr>
      <w:r>
        <w:rPr>
          <w:rFonts w:hint="eastAsia"/>
          <w:szCs w:val="21"/>
        </w:rPr>
        <w:t>建议复校时间间隔为2年。更换重要部件、维修、搬运或移动后，建议重新校准。</w:t>
      </w:r>
    </w:p>
    <w:p>
      <w:pPr>
        <w:pStyle w:val="73"/>
        <w:numPr>
          <w:ilvl w:val="0"/>
          <w:numId w:val="11"/>
        </w:numPr>
        <w:tabs>
          <w:tab w:val="left" w:pos="426"/>
        </w:tabs>
        <w:spacing w:before="312" w:beforeLines="100" w:after="312" w:afterLines="100"/>
        <w:ind w:hangingChars="200"/>
        <w:jc w:val="left"/>
      </w:pPr>
      <w:r>
        <w:rPr>
          <w:rFonts w:hint="eastAsia"/>
        </w:rPr>
        <w:t>实践检测情况</w:t>
      </w:r>
      <w:bookmarkEnd w:id="21"/>
    </w:p>
    <w:p>
      <w:pPr>
        <w:pStyle w:val="57"/>
        <w:spacing w:line="300" w:lineRule="auto"/>
        <w:ind w:firstLine="420"/>
        <w:contextualSpacing/>
      </w:pPr>
      <w:r>
        <w:rPr>
          <w:rFonts w:hint="eastAsia"/>
          <w:szCs w:val="21"/>
        </w:rPr>
        <w:t>（无）</w:t>
      </w:r>
    </w:p>
    <w:bookmarkEnd w:id="1"/>
    <w:p>
      <w:pPr>
        <w:pStyle w:val="73"/>
        <w:numPr>
          <w:ilvl w:val="0"/>
          <w:numId w:val="11"/>
        </w:numPr>
        <w:tabs>
          <w:tab w:val="left" w:pos="426"/>
        </w:tabs>
        <w:spacing w:before="312" w:beforeLines="100" w:after="312" w:afterLines="100"/>
        <w:ind w:hangingChars="200"/>
        <w:jc w:val="left"/>
      </w:pPr>
      <w:bookmarkStart w:id="51" w:name="_Toc464728965"/>
      <w:r>
        <w:rPr>
          <w:rFonts w:hint="eastAsia"/>
        </w:rPr>
        <w:t>标准水平分析</w:t>
      </w:r>
      <w:bookmarkEnd w:id="51"/>
    </w:p>
    <w:p>
      <w:r>
        <w:rPr>
          <w:rFonts w:hint="eastAsia"/>
        </w:rPr>
        <w:t xml:space="preserve">    本规程的</w:t>
      </w:r>
      <w:r>
        <w:rPr>
          <w:rFonts w:hint="eastAsia"/>
          <w:lang w:val="en-US" w:eastAsia="zh-CN"/>
        </w:rPr>
        <w:t>制订</w:t>
      </w:r>
      <w:r>
        <w:rPr>
          <w:rFonts w:hint="eastAsia"/>
        </w:rPr>
        <w:t>填补了</w:t>
      </w:r>
      <w:r>
        <w:rPr>
          <w:rFonts w:hint="eastAsia"/>
          <w:lang w:val="en-US" w:eastAsia="zh-CN"/>
        </w:rPr>
        <w:t>我国直流辉光放电质谱仪</w:t>
      </w:r>
      <w:r>
        <w:rPr>
          <w:rFonts w:hint="eastAsia"/>
        </w:rPr>
        <w:t>的校准空白，水平达到国内领先。</w:t>
      </w:r>
    </w:p>
    <w:p>
      <w:pPr>
        <w:pStyle w:val="73"/>
        <w:numPr>
          <w:ilvl w:val="0"/>
          <w:numId w:val="11"/>
        </w:numPr>
        <w:tabs>
          <w:tab w:val="left" w:pos="426"/>
        </w:tabs>
        <w:spacing w:before="312" w:beforeLines="100" w:after="312" w:afterLines="100"/>
        <w:ind w:hangingChars="200"/>
        <w:jc w:val="left"/>
      </w:pPr>
      <w:bookmarkStart w:id="52" w:name="_Toc464728972"/>
      <w:r>
        <w:rPr>
          <w:rFonts w:hint="eastAsia"/>
        </w:rPr>
        <w:t>与现行相关法律、法规、规章及相关规范，特别是规程的协调性</w:t>
      </w:r>
      <w:bookmarkEnd w:id="52"/>
    </w:p>
    <w:p>
      <w:pPr>
        <w:pStyle w:val="57"/>
        <w:spacing w:line="300" w:lineRule="auto"/>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53" w:name="_Toc464728973"/>
      <w:r>
        <w:rPr>
          <w:rFonts w:hint="eastAsia"/>
        </w:rPr>
        <w:t>标准中涉及的专利或知识产权说明</w:t>
      </w:r>
      <w:bookmarkEnd w:id="53"/>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54" w:name="_Toc464728974"/>
      <w:r>
        <w:rPr>
          <w:rFonts w:hint="eastAsia"/>
        </w:rPr>
        <w:t>重大分歧意见的处理经过和依据</w:t>
      </w:r>
      <w:bookmarkEnd w:id="54"/>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55" w:name="_Toc464728976"/>
      <w:r>
        <w:rPr>
          <w:rFonts w:hint="eastAsia"/>
        </w:rPr>
        <w:t>贯彻规范的要求和措施建议</w:t>
      </w:r>
      <w:bookmarkEnd w:id="55"/>
    </w:p>
    <w:p>
      <w:pPr>
        <w:pStyle w:val="57"/>
        <w:spacing w:line="300" w:lineRule="auto"/>
        <w:ind w:firstLine="420"/>
        <w:contextualSpacing/>
        <w:rPr>
          <w:rFonts w:hint="eastAsia" w:eastAsia="宋体"/>
          <w:szCs w:val="21"/>
          <w:lang w:eastAsia="zh-CN"/>
        </w:rPr>
      </w:pPr>
      <w:r>
        <w:rPr>
          <w:rFonts w:hint="eastAsia"/>
          <w:szCs w:val="21"/>
        </w:rPr>
        <w:t>本规范发布后，中国有色金属行业协会和有色金属行业计量技术委员会应加强本规范的宣传力度，促进</w:t>
      </w:r>
      <w:r>
        <w:rPr>
          <w:rFonts w:hint="eastAsia"/>
          <w:szCs w:val="21"/>
          <w:lang w:val="en-US" w:eastAsia="zh-CN"/>
        </w:rPr>
        <w:t>直流辉光放电质谱仪的</w:t>
      </w:r>
      <w:r>
        <w:rPr>
          <w:rFonts w:hint="eastAsia"/>
          <w:szCs w:val="21"/>
        </w:rPr>
        <w:t>生产</w:t>
      </w:r>
      <w:r>
        <w:rPr>
          <w:rFonts w:hint="eastAsia"/>
          <w:szCs w:val="21"/>
          <w:lang w:val="en-US" w:eastAsia="zh-CN"/>
        </w:rPr>
        <w:t>和使用企业</w:t>
      </w:r>
      <w:r>
        <w:rPr>
          <w:rFonts w:hint="eastAsia"/>
          <w:szCs w:val="21"/>
        </w:rPr>
        <w:t>按照设备使用情况合理选用校准规程，以促进我国企业的技术进步和产品质量上档次，提高我国产品在国际国内市场的竞争能力</w:t>
      </w:r>
      <w:r>
        <w:rPr>
          <w:rFonts w:hint="eastAsia"/>
          <w:szCs w:val="21"/>
          <w:lang w:eastAsia="zh-CN"/>
        </w:rPr>
        <w:t>。</w:t>
      </w:r>
    </w:p>
    <w:p>
      <w:pPr>
        <w:pStyle w:val="73"/>
        <w:numPr>
          <w:ilvl w:val="0"/>
          <w:numId w:val="11"/>
        </w:numPr>
        <w:tabs>
          <w:tab w:val="left" w:pos="426"/>
        </w:tabs>
        <w:spacing w:before="312" w:beforeLines="100" w:after="312" w:afterLines="100"/>
        <w:ind w:hangingChars="200"/>
        <w:jc w:val="left"/>
      </w:pPr>
      <w:bookmarkStart w:id="56" w:name="_Toc464728977"/>
      <w:r>
        <w:rPr>
          <w:rFonts w:hint="eastAsia"/>
        </w:rPr>
        <w:t>废止现行有关规程的建议</w:t>
      </w:r>
      <w:bookmarkEnd w:id="56"/>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57" w:name="_Toc464728978"/>
      <w:r>
        <w:rPr>
          <w:rFonts w:hint="eastAsia"/>
        </w:rPr>
        <w:t>产业化情况、推广应用论证和预期达到的经济效果</w:t>
      </w:r>
      <w:bookmarkEnd w:id="57"/>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jc w:val="both"/>
        <w:textAlignment w:val="auto"/>
        <w:rPr>
          <w:rFonts w:hint="default" w:ascii="宋体" w:hAnsi="宋体" w:cs="宋体"/>
          <w:szCs w:val="21"/>
          <w:lang w:val="en-US"/>
        </w:rPr>
      </w:pPr>
      <w:r>
        <w:rPr>
          <w:rFonts w:hint="eastAsia" w:ascii="宋体" w:hAnsi="宋体" w:cs="宋体"/>
          <w:szCs w:val="21"/>
          <w:lang w:val="en-US" w:eastAsia="zh-CN"/>
        </w:rPr>
        <w:t>辉光放电质谱法是目前测量高纯金属、半导体材料中痕量杂质元素的一种有效手段，在我国有色金属及半导体行业的应用越来越广泛。然而由于辉光放电质谱仪在结构和工作原理上的特殊性，现有的关于质谱仪的检定或校准规范均不适用。因此，本规范的制订及推广在有色金属行业内十分必要，具有巨大的应用前景。</w:t>
      </w:r>
      <w:bookmarkStart w:id="59" w:name="_GoBack"/>
      <w:bookmarkEnd w:id="59"/>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425"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0C772A"/>
    <w:rsid w:val="000E2ED4"/>
    <w:rsid w:val="00100912"/>
    <w:rsid w:val="00122AD8"/>
    <w:rsid w:val="0019431C"/>
    <w:rsid w:val="00235374"/>
    <w:rsid w:val="00275F7A"/>
    <w:rsid w:val="002849BB"/>
    <w:rsid w:val="00291548"/>
    <w:rsid w:val="00307A90"/>
    <w:rsid w:val="003B072A"/>
    <w:rsid w:val="00464019"/>
    <w:rsid w:val="004A27E5"/>
    <w:rsid w:val="004E5080"/>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971240"/>
    <w:rsid w:val="009D79FA"/>
    <w:rsid w:val="00A1497C"/>
    <w:rsid w:val="00A15577"/>
    <w:rsid w:val="00A56163"/>
    <w:rsid w:val="00AC0924"/>
    <w:rsid w:val="00AE0B35"/>
    <w:rsid w:val="00B706F7"/>
    <w:rsid w:val="00BC6B82"/>
    <w:rsid w:val="00C058B2"/>
    <w:rsid w:val="00C27739"/>
    <w:rsid w:val="00C7537E"/>
    <w:rsid w:val="00CD2D13"/>
    <w:rsid w:val="00DB4F65"/>
    <w:rsid w:val="00DE144C"/>
    <w:rsid w:val="00E019C6"/>
    <w:rsid w:val="00E22714"/>
    <w:rsid w:val="00E82471"/>
    <w:rsid w:val="00E911BC"/>
    <w:rsid w:val="00F10C9E"/>
    <w:rsid w:val="00F3447A"/>
    <w:rsid w:val="00F507FB"/>
    <w:rsid w:val="00FE1932"/>
    <w:rsid w:val="01F35A1A"/>
    <w:rsid w:val="02F703B0"/>
    <w:rsid w:val="06527699"/>
    <w:rsid w:val="06876006"/>
    <w:rsid w:val="07472657"/>
    <w:rsid w:val="07DC0ED5"/>
    <w:rsid w:val="08DA22BA"/>
    <w:rsid w:val="0904785D"/>
    <w:rsid w:val="09573966"/>
    <w:rsid w:val="0A427E5B"/>
    <w:rsid w:val="0A720FB2"/>
    <w:rsid w:val="0A781AE7"/>
    <w:rsid w:val="0CCA0314"/>
    <w:rsid w:val="0F5C617C"/>
    <w:rsid w:val="0F7B3107"/>
    <w:rsid w:val="126C0470"/>
    <w:rsid w:val="131F496D"/>
    <w:rsid w:val="14317D7D"/>
    <w:rsid w:val="14FE0CE9"/>
    <w:rsid w:val="158E7867"/>
    <w:rsid w:val="174C2AB4"/>
    <w:rsid w:val="18546AA5"/>
    <w:rsid w:val="1A762B1F"/>
    <w:rsid w:val="1A7B4894"/>
    <w:rsid w:val="1C0306B5"/>
    <w:rsid w:val="1C15715A"/>
    <w:rsid w:val="1F5A1A25"/>
    <w:rsid w:val="1F714057"/>
    <w:rsid w:val="208E75B3"/>
    <w:rsid w:val="218A16C9"/>
    <w:rsid w:val="21BE3478"/>
    <w:rsid w:val="21D04080"/>
    <w:rsid w:val="22423DCF"/>
    <w:rsid w:val="226E205D"/>
    <w:rsid w:val="22F83A30"/>
    <w:rsid w:val="23A74BBD"/>
    <w:rsid w:val="23D43A72"/>
    <w:rsid w:val="25570C32"/>
    <w:rsid w:val="2815722E"/>
    <w:rsid w:val="29846CB3"/>
    <w:rsid w:val="29E46257"/>
    <w:rsid w:val="2A4110A1"/>
    <w:rsid w:val="2AB85E2C"/>
    <w:rsid w:val="2C281A12"/>
    <w:rsid w:val="2E9D32E2"/>
    <w:rsid w:val="2EDA3AF5"/>
    <w:rsid w:val="2FBE527A"/>
    <w:rsid w:val="30522455"/>
    <w:rsid w:val="313303BC"/>
    <w:rsid w:val="31411D15"/>
    <w:rsid w:val="31B57A58"/>
    <w:rsid w:val="33EE1C94"/>
    <w:rsid w:val="34745E77"/>
    <w:rsid w:val="34E124F7"/>
    <w:rsid w:val="36AE69D8"/>
    <w:rsid w:val="370013B5"/>
    <w:rsid w:val="374F49D2"/>
    <w:rsid w:val="3894091B"/>
    <w:rsid w:val="38B6063A"/>
    <w:rsid w:val="390229BD"/>
    <w:rsid w:val="39E63C45"/>
    <w:rsid w:val="3A910669"/>
    <w:rsid w:val="3B9C374E"/>
    <w:rsid w:val="3BFA1058"/>
    <w:rsid w:val="3D833313"/>
    <w:rsid w:val="3E36596A"/>
    <w:rsid w:val="3E383ACC"/>
    <w:rsid w:val="3EBA5BC3"/>
    <w:rsid w:val="3F5F0AB5"/>
    <w:rsid w:val="40C72767"/>
    <w:rsid w:val="420E5348"/>
    <w:rsid w:val="44100726"/>
    <w:rsid w:val="456D3D97"/>
    <w:rsid w:val="45E87405"/>
    <w:rsid w:val="46474D73"/>
    <w:rsid w:val="48BE5C4B"/>
    <w:rsid w:val="49214E6F"/>
    <w:rsid w:val="4E3430C7"/>
    <w:rsid w:val="4E7510D6"/>
    <w:rsid w:val="51BC50FB"/>
    <w:rsid w:val="52A97DDB"/>
    <w:rsid w:val="5437491D"/>
    <w:rsid w:val="56154CA2"/>
    <w:rsid w:val="57220435"/>
    <w:rsid w:val="587B494C"/>
    <w:rsid w:val="5A003A12"/>
    <w:rsid w:val="5A931503"/>
    <w:rsid w:val="5A971C98"/>
    <w:rsid w:val="5AFA5C95"/>
    <w:rsid w:val="5CDE078E"/>
    <w:rsid w:val="5D0314B4"/>
    <w:rsid w:val="5DC655CC"/>
    <w:rsid w:val="5E8F1A96"/>
    <w:rsid w:val="5F776EED"/>
    <w:rsid w:val="5F9C0FF1"/>
    <w:rsid w:val="5FC87E89"/>
    <w:rsid w:val="60252BCC"/>
    <w:rsid w:val="60352180"/>
    <w:rsid w:val="605176D9"/>
    <w:rsid w:val="60CA1CAF"/>
    <w:rsid w:val="60D827E5"/>
    <w:rsid w:val="632F4E17"/>
    <w:rsid w:val="63F828E6"/>
    <w:rsid w:val="65561A35"/>
    <w:rsid w:val="65AF78ED"/>
    <w:rsid w:val="67F62D96"/>
    <w:rsid w:val="6AB57C02"/>
    <w:rsid w:val="6AE86F32"/>
    <w:rsid w:val="6B27051F"/>
    <w:rsid w:val="6B753BDA"/>
    <w:rsid w:val="6B770841"/>
    <w:rsid w:val="6CD827FF"/>
    <w:rsid w:val="6DA1070B"/>
    <w:rsid w:val="6E8A0C2B"/>
    <w:rsid w:val="6EA14903"/>
    <w:rsid w:val="6EF60757"/>
    <w:rsid w:val="70271515"/>
    <w:rsid w:val="703436EA"/>
    <w:rsid w:val="70FA146A"/>
    <w:rsid w:val="710228B1"/>
    <w:rsid w:val="72A31B01"/>
    <w:rsid w:val="73A7009A"/>
    <w:rsid w:val="73B95B2E"/>
    <w:rsid w:val="73D554A3"/>
    <w:rsid w:val="74130018"/>
    <w:rsid w:val="743C694E"/>
    <w:rsid w:val="749F007F"/>
    <w:rsid w:val="75824C4E"/>
    <w:rsid w:val="776F4A1D"/>
    <w:rsid w:val="77CE2BEC"/>
    <w:rsid w:val="791C2ECF"/>
    <w:rsid w:val="7AC757F1"/>
    <w:rsid w:val="7B7E26A6"/>
    <w:rsid w:val="7C33181D"/>
    <w:rsid w:val="7D700DB4"/>
    <w:rsid w:val="7F1D4563"/>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ind w:left="284"/>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E3E17-6C48-4CFC-A245-65F608CEA681}">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778</Words>
  <Characters>4436</Characters>
  <Lines>36</Lines>
  <Paragraphs>10</Paragraphs>
  <TotalTime>27</TotalTime>
  <ScaleCrop>false</ScaleCrop>
  <LinksUpToDate>false</LinksUpToDate>
  <CharactersWithSpaces>5204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2019-11-11T12:14:00Z</dcterms:created>
  <dc:creator>标准李瑞山9585</dc:creator>
  <cp:lastModifiedBy>熊鱼宝贝2009</cp:lastModifiedBy>
  <cp:lastPrinted>2016-10-20T04:13:00Z</cp:lastPrinted>
  <dcterms:modified xsi:type="dcterms:W3CDTF">2019-11-28T05:14:55Z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