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Calibri" w:eastAsia="黑体" w:cs="黑体"/>
          <w:bCs/>
          <w:sz w:val="36"/>
          <w:szCs w:val="36"/>
        </w:rPr>
      </w:pPr>
    </w:p>
    <w:p>
      <w:pPr>
        <w:jc w:val="center"/>
        <w:rPr>
          <w:rFonts w:hint="eastAsia" w:ascii="黑体" w:hAnsi="Calibri" w:eastAsia="黑体" w:cs="黑体"/>
          <w:bCs/>
          <w:sz w:val="36"/>
          <w:szCs w:val="36"/>
        </w:rPr>
      </w:pPr>
    </w:p>
    <w:p>
      <w:pPr>
        <w:spacing w:line="720" w:lineRule="auto"/>
        <w:jc w:val="center"/>
        <w:rPr>
          <w:rFonts w:ascii="黑体" w:hAnsi="Calibri" w:eastAsia="黑体" w:cs="黑体"/>
          <w:bCs/>
          <w:sz w:val="44"/>
          <w:szCs w:val="44"/>
        </w:rPr>
      </w:pPr>
      <w:r>
        <w:rPr>
          <w:rFonts w:hint="eastAsia" w:ascii="黑体" w:eastAsia="黑体" w:cs="黑体"/>
          <w:bCs/>
          <w:sz w:val="44"/>
          <w:szCs w:val="44"/>
          <w:lang w:eastAsia="zh-CN"/>
        </w:rPr>
        <w:t>铜冶炼烟尘化学分析方法</w:t>
      </w:r>
      <w:r>
        <w:rPr>
          <w:rFonts w:ascii="黑体" w:hAnsi="Calibri" w:eastAsia="黑体" w:cs="黑体"/>
          <w:bCs/>
          <w:sz w:val="44"/>
          <w:szCs w:val="44"/>
        </w:rPr>
        <w:t xml:space="preserve"> </w:t>
      </w:r>
    </w:p>
    <w:p>
      <w:pPr>
        <w:spacing w:line="720" w:lineRule="auto"/>
        <w:jc w:val="center"/>
        <w:rPr>
          <w:rFonts w:hint="eastAsia" w:ascii="黑体" w:hAnsi="Calibri" w:eastAsia="黑体" w:cs="黑体"/>
          <w:bCs/>
          <w:sz w:val="36"/>
          <w:szCs w:val="36"/>
        </w:rPr>
      </w:pPr>
      <w:r>
        <w:rPr>
          <w:rFonts w:hint="eastAsia" w:ascii="黑体" w:hAnsi="Calibri" w:eastAsia="黑体" w:cs="黑体"/>
          <w:bCs/>
          <w:sz w:val="36"/>
          <w:szCs w:val="36"/>
        </w:rPr>
        <w:t>第7部分：镉量的测定</w:t>
      </w:r>
    </w:p>
    <w:p>
      <w:pPr>
        <w:spacing w:line="720" w:lineRule="auto"/>
        <w:jc w:val="center"/>
        <w:rPr>
          <w:rFonts w:hint="eastAsia" w:ascii="黑体" w:hAnsi="Calibri" w:eastAsia="黑体" w:cs="黑体"/>
          <w:bCs/>
          <w:sz w:val="36"/>
          <w:szCs w:val="36"/>
        </w:rPr>
      </w:pPr>
      <w:r>
        <w:rPr>
          <w:rFonts w:hint="eastAsia" w:ascii="黑体" w:hAnsi="Calibri" w:eastAsia="黑体" w:cs="黑体"/>
          <w:bCs/>
          <w:sz w:val="36"/>
          <w:szCs w:val="36"/>
          <w:lang w:val="en-US" w:eastAsia="zh-CN"/>
        </w:rPr>
        <w:t>火焰原子吸收光谱法和</w:t>
      </w:r>
      <w:r>
        <w:rPr>
          <w:rFonts w:hint="eastAsia" w:ascii="黑体" w:hAnsi="Calibri" w:eastAsia="黑体" w:cs="黑体"/>
          <w:bCs/>
          <w:sz w:val="36"/>
          <w:szCs w:val="36"/>
        </w:rPr>
        <w:t>容量法</w:t>
      </w:r>
    </w:p>
    <w:p>
      <w:pPr>
        <w:jc w:val="center"/>
        <w:rPr>
          <w:rFonts w:ascii="黑体" w:hAnsi="Calibri" w:eastAsia="黑体" w:cs="黑体"/>
          <w:bCs/>
          <w:sz w:val="36"/>
          <w:szCs w:val="36"/>
        </w:rPr>
      </w:pPr>
    </w:p>
    <w:p>
      <w:pPr>
        <w:spacing w:line="0" w:lineRule="atLeast"/>
        <w:jc w:val="center"/>
        <w:rPr>
          <w:rFonts w:hint="eastAsia" w:ascii="宋体" w:hAnsi="宋体"/>
          <w:b/>
          <w:sz w:val="52"/>
          <w:szCs w:val="52"/>
        </w:rPr>
      </w:pPr>
    </w:p>
    <w:p>
      <w:pPr>
        <w:spacing w:line="0" w:lineRule="atLeast"/>
        <w:jc w:val="center"/>
        <w:rPr>
          <w:rFonts w:hint="eastAsia" w:ascii="宋体" w:hAnsi="宋体"/>
          <w:b/>
          <w:sz w:val="52"/>
          <w:szCs w:val="52"/>
        </w:rPr>
      </w:pPr>
    </w:p>
    <w:p>
      <w:pPr>
        <w:spacing w:line="0" w:lineRule="atLeast"/>
        <w:jc w:val="center"/>
        <w:rPr>
          <w:rFonts w:hint="eastAsia" w:ascii="宋体" w:hAnsi="宋体"/>
          <w:b/>
          <w:sz w:val="52"/>
          <w:szCs w:val="52"/>
        </w:rPr>
      </w:pPr>
    </w:p>
    <w:p>
      <w:pPr>
        <w:spacing w:line="0" w:lineRule="atLeast"/>
        <w:jc w:val="center"/>
        <w:rPr>
          <w:rFonts w:hint="eastAsia" w:ascii="宋体" w:hAnsi="宋体"/>
          <w:b/>
          <w:sz w:val="52"/>
          <w:szCs w:val="52"/>
        </w:rPr>
      </w:pPr>
    </w:p>
    <w:p>
      <w:pPr>
        <w:spacing w:line="0" w:lineRule="atLeast"/>
        <w:jc w:val="center"/>
        <w:rPr>
          <w:rFonts w:ascii="宋体" w:hAnsi="宋体"/>
          <w:b/>
          <w:sz w:val="52"/>
          <w:szCs w:val="52"/>
        </w:rPr>
      </w:pPr>
    </w:p>
    <w:p>
      <w:pPr>
        <w:jc w:val="center"/>
        <w:rPr>
          <w:rFonts w:hint="eastAsia" w:ascii="黑体" w:hAnsi="Calibri" w:eastAsia="黑体" w:cs="黑体"/>
          <w:bCs/>
          <w:sz w:val="36"/>
          <w:szCs w:val="36"/>
        </w:rPr>
      </w:pPr>
      <w:r>
        <w:rPr>
          <w:rFonts w:hint="eastAsia" w:ascii="黑体" w:hAnsi="Calibri" w:eastAsia="黑体" w:cs="黑体"/>
          <w:bCs/>
          <w:sz w:val="36"/>
          <w:szCs w:val="36"/>
        </w:rPr>
        <w:t>编制说明</w:t>
      </w:r>
    </w:p>
    <w:p>
      <w:pPr>
        <w:spacing w:line="0" w:lineRule="atLeast"/>
        <w:jc w:val="center"/>
        <w:rPr>
          <w:rFonts w:hint="eastAsia" w:ascii="宋体" w:hAnsi="宋体"/>
          <w:b/>
          <w:sz w:val="52"/>
          <w:szCs w:val="52"/>
        </w:rPr>
      </w:pPr>
    </w:p>
    <w:p>
      <w:pPr>
        <w:spacing w:line="0" w:lineRule="atLeast"/>
        <w:jc w:val="center"/>
        <w:rPr>
          <w:rFonts w:ascii="宋体" w:hAnsi="宋体"/>
          <w:b/>
          <w:sz w:val="28"/>
          <w:szCs w:val="28"/>
        </w:rPr>
      </w:pPr>
    </w:p>
    <w:p>
      <w:pPr>
        <w:spacing w:line="0" w:lineRule="atLeast"/>
        <w:jc w:val="center"/>
        <w:rPr>
          <w:rFonts w:ascii="宋体" w:hAnsi="宋体"/>
          <w:b/>
          <w:sz w:val="28"/>
          <w:szCs w:val="28"/>
        </w:rPr>
      </w:pPr>
    </w:p>
    <w:p>
      <w:pPr>
        <w:spacing w:line="0" w:lineRule="atLeast"/>
        <w:jc w:val="center"/>
        <w:rPr>
          <w:rFonts w:ascii="宋体" w:hAnsi="宋体"/>
          <w:b/>
          <w:sz w:val="28"/>
          <w:szCs w:val="28"/>
        </w:rPr>
      </w:pPr>
    </w:p>
    <w:p>
      <w:pPr>
        <w:spacing w:line="0" w:lineRule="atLeast"/>
        <w:jc w:val="center"/>
        <w:rPr>
          <w:rFonts w:ascii="宋体" w:hAnsi="宋体"/>
          <w:b/>
          <w:sz w:val="28"/>
          <w:szCs w:val="28"/>
        </w:rPr>
      </w:pPr>
    </w:p>
    <w:p>
      <w:pPr>
        <w:spacing w:line="0" w:lineRule="atLeast"/>
        <w:rPr>
          <w:rFonts w:hint="eastAsia" w:ascii="宋体" w:hAnsi="宋体"/>
          <w:b/>
          <w:sz w:val="28"/>
          <w:szCs w:val="28"/>
        </w:rPr>
      </w:pPr>
    </w:p>
    <w:p>
      <w:pPr>
        <w:spacing w:line="0" w:lineRule="atLeast"/>
        <w:jc w:val="center"/>
        <w:rPr>
          <w:rFonts w:ascii="宋体" w:hAnsi="宋体"/>
          <w:b/>
          <w:sz w:val="28"/>
          <w:szCs w:val="28"/>
        </w:rPr>
      </w:pPr>
    </w:p>
    <w:p>
      <w:pPr>
        <w:spacing w:line="0" w:lineRule="atLeast"/>
        <w:jc w:val="center"/>
        <w:rPr>
          <w:rFonts w:ascii="宋体" w:hAnsi="宋体"/>
          <w:b/>
          <w:sz w:val="28"/>
          <w:szCs w:val="28"/>
        </w:rPr>
      </w:pPr>
    </w:p>
    <w:p>
      <w:pPr>
        <w:spacing w:line="360" w:lineRule="auto"/>
        <w:jc w:val="center"/>
        <w:rPr>
          <w:rFonts w:hint="eastAsia" w:hAnsi="宋体" w:cs="黑体"/>
          <w:sz w:val="32"/>
          <w:szCs w:val="32"/>
          <w:lang w:val="en-US" w:eastAsia="zh-CN"/>
        </w:rPr>
      </w:pPr>
      <w:r>
        <w:rPr>
          <w:rFonts w:hint="eastAsia" w:hAnsi="宋体" w:cs="黑体"/>
          <w:sz w:val="32"/>
          <w:szCs w:val="32"/>
          <w:lang w:val="en-US" w:eastAsia="zh-CN"/>
        </w:rPr>
        <w:t>铜陵有色金属集团控股有限公司、</w:t>
      </w:r>
    </w:p>
    <w:p>
      <w:pPr>
        <w:spacing w:line="360" w:lineRule="auto"/>
        <w:jc w:val="center"/>
        <w:rPr>
          <w:rFonts w:hint="eastAsia" w:hAnsi="宋体" w:cs="黑体"/>
          <w:sz w:val="32"/>
          <w:szCs w:val="32"/>
          <w:lang w:val="en-US" w:eastAsia="zh-CN"/>
        </w:rPr>
      </w:pPr>
      <w:r>
        <w:rPr>
          <w:rFonts w:hint="eastAsia" w:hAnsi="宋体" w:cs="黑体"/>
          <w:sz w:val="32"/>
          <w:szCs w:val="32"/>
          <w:lang w:val="en-US" w:eastAsia="zh-CN"/>
        </w:rPr>
        <w:t>北矿检测技术有限公司</w:t>
      </w:r>
      <w:r>
        <w:rPr>
          <w:rFonts w:hint="eastAsia" w:hAnsi="宋体" w:cs="黑体"/>
          <w:sz w:val="32"/>
          <w:szCs w:val="32"/>
          <w:lang w:val="en-US" w:eastAsia="zh-CN"/>
        </w:rPr>
        <w:t xml:space="preserve"> </w:t>
      </w:r>
    </w:p>
    <w:p>
      <w:pPr>
        <w:spacing w:line="360" w:lineRule="auto"/>
        <w:jc w:val="center"/>
        <w:rPr>
          <w:rFonts w:hint="eastAsia" w:hAnsi="宋体" w:cs="黑体"/>
          <w:sz w:val="32"/>
          <w:szCs w:val="32"/>
        </w:rPr>
      </w:pPr>
      <w:r>
        <w:rPr>
          <w:rFonts w:hAnsi="宋体" w:cs="黑体"/>
          <w:sz w:val="32"/>
          <w:szCs w:val="32"/>
        </w:rPr>
        <w:t>201</w:t>
      </w:r>
      <w:r>
        <w:rPr>
          <w:rFonts w:hint="eastAsia" w:hAnsi="宋体" w:cs="黑体"/>
          <w:sz w:val="32"/>
          <w:szCs w:val="32"/>
          <w:lang w:val="en-US" w:eastAsia="zh-CN"/>
        </w:rPr>
        <w:t>9</w:t>
      </w:r>
      <w:r>
        <w:rPr>
          <w:rFonts w:hint="eastAsia" w:hAnsi="宋体" w:cs="黑体"/>
          <w:sz w:val="32"/>
          <w:szCs w:val="32"/>
        </w:rPr>
        <w:t>年</w:t>
      </w:r>
      <w:r>
        <w:rPr>
          <w:rFonts w:hint="eastAsia" w:hAnsi="宋体" w:cs="黑体"/>
          <w:sz w:val="32"/>
          <w:szCs w:val="32"/>
          <w:lang w:val="en-US" w:eastAsia="zh-CN"/>
        </w:rPr>
        <w:t>11</w:t>
      </w:r>
      <w:r>
        <w:rPr>
          <w:rFonts w:hint="eastAsia" w:hAnsi="宋体" w:cs="黑体"/>
          <w:sz w:val="32"/>
          <w:szCs w:val="32"/>
        </w:rPr>
        <w:t>月</w:t>
      </w:r>
    </w:p>
    <w:p>
      <w:pPr>
        <w:jc w:val="center"/>
        <w:rPr>
          <w:rFonts w:hint="eastAsia" w:ascii="Times New Roman" w:hAnsi="Times New Roman"/>
          <w:sz w:val="28"/>
          <w:szCs w:val="28"/>
        </w:rPr>
      </w:pPr>
    </w:p>
    <w:p>
      <w:pPr>
        <w:jc w:val="center"/>
        <w:rPr>
          <w:rFonts w:ascii="Times New Roman" w:hAnsi="Times New Roman"/>
          <w:sz w:val="28"/>
          <w:szCs w:val="28"/>
        </w:rPr>
      </w:pPr>
      <w:r>
        <w:rPr>
          <w:rFonts w:hint="eastAsia" w:ascii="Times New Roman" w:hAnsi="Times New Roman"/>
          <w:sz w:val="28"/>
          <w:szCs w:val="28"/>
        </w:rPr>
        <w:t>中华人民共和国有色金属行业标准</w:t>
      </w:r>
    </w:p>
    <w:p>
      <w:pPr>
        <w:spacing w:line="480" w:lineRule="auto"/>
        <w:jc w:val="cente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铜冶炼烟尘化学分析方法</w:t>
      </w:r>
    </w:p>
    <w:p>
      <w:pPr>
        <w:spacing w:line="480" w:lineRule="auto"/>
        <w:jc w:val="center"/>
        <w:rPr>
          <w:rFonts w:hint="eastAsia" w:ascii="Times New Roman" w:hAnsi="Times New Roman" w:eastAsia="黑体"/>
          <w:sz w:val="32"/>
          <w:szCs w:val="32"/>
          <w:lang w:eastAsia="zh-CN"/>
        </w:rPr>
      </w:pPr>
      <w:r>
        <w:rPr>
          <w:rFonts w:hint="eastAsia" w:ascii="Times New Roman" w:hAnsi="Times New Roman" w:eastAsia="黑体"/>
          <w:sz w:val="32"/>
          <w:szCs w:val="32"/>
        </w:rPr>
        <w:t>第7部分：</w:t>
      </w:r>
      <w:r>
        <w:rPr>
          <w:rFonts w:hint="eastAsia" w:ascii="Times New Roman" w:hAnsi="Times New Roman" w:eastAsia="黑体"/>
          <w:sz w:val="32"/>
          <w:szCs w:val="32"/>
          <w:lang w:eastAsia="zh-CN"/>
        </w:rPr>
        <w:t>镉量的测定</w:t>
      </w:r>
      <w:r>
        <w:rPr>
          <w:rFonts w:hint="eastAsia" w:ascii="Times New Roman" w:hAnsi="Times New Roman" w:eastAsia="黑体"/>
          <w:sz w:val="32"/>
          <w:szCs w:val="32"/>
          <w:lang w:val="en-US" w:eastAsia="zh-CN"/>
        </w:rPr>
        <w:t xml:space="preserve"> 火焰原子吸收光谱法和</w:t>
      </w:r>
      <w:r>
        <w:rPr>
          <w:rFonts w:hint="eastAsia" w:ascii="Times New Roman" w:hAnsi="Times New Roman" w:eastAsia="黑体"/>
          <w:sz w:val="32"/>
          <w:szCs w:val="32"/>
          <w:lang w:eastAsia="zh-CN"/>
        </w:rPr>
        <w:t>容量法</w:t>
      </w:r>
    </w:p>
    <w:p>
      <w:pPr>
        <w:jc w:val="center"/>
        <w:rPr>
          <w:rFonts w:ascii="Times New Roman" w:hAnsi="Times New Roman"/>
          <w:sz w:val="28"/>
          <w:szCs w:val="28"/>
        </w:rPr>
      </w:pPr>
      <w:r>
        <w:rPr>
          <w:rFonts w:hint="eastAsia" w:ascii="Times New Roman" w:hAnsi="Times New Roman"/>
          <w:sz w:val="28"/>
          <w:szCs w:val="28"/>
        </w:rPr>
        <w:t>编制说明</w:t>
      </w:r>
    </w:p>
    <w:p>
      <w:pPr>
        <w:jc w:val="center"/>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计划编号：</w:t>
      </w:r>
      <w:r>
        <w:rPr>
          <w:rFonts w:hint="default" w:ascii="Times New Roman" w:hAnsi="Times New Roman" w:eastAsia="宋体" w:cs="Times New Roman"/>
          <w:sz w:val="21"/>
          <w:szCs w:val="21"/>
          <w:lang w:val="en-US" w:eastAsia="zh-CN"/>
        </w:rPr>
        <w:t>工信厅科【2018】31号2018-053</w:t>
      </w: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lang w:val="en-US" w:eastAsia="zh-CN"/>
        </w:rPr>
        <w:t>T-YS</w:t>
      </w:r>
      <w:r>
        <w:rPr>
          <w:rFonts w:hint="eastAsia" w:ascii="Times New Roman" w:hAnsi="Times New Roman"/>
          <w:szCs w:val="21"/>
          <w:lang w:val="en-US" w:eastAsia="zh-CN"/>
        </w:rPr>
        <w:t xml:space="preserve"> </w:t>
      </w:r>
      <w:r>
        <w:rPr>
          <w:rFonts w:ascii="Times New Roman" w:hAnsi="Times New Roman"/>
          <w:color w:val="000000"/>
          <w:kern w:val="0"/>
          <w:szCs w:val="21"/>
        </w:rPr>
        <w:t>)</w:t>
      </w:r>
    </w:p>
    <w:p>
      <w:pPr>
        <w:rPr>
          <w:rFonts w:hint="eastAsia" w:ascii="Times New Roman" w:hAnsi="Times New Roman"/>
          <w:b/>
          <w:szCs w:val="21"/>
        </w:rPr>
      </w:pPr>
      <w:r>
        <w:rPr>
          <w:rFonts w:hint="eastAsia" w:ascii="Times New Roman" w:hAnsi="Times New Roman"/>
          <w:b/>
          <w:szCs w:val="21"/>
          <w:lang w:val="en-US" w:eastAsia="zh-CN"/>
        </w:rPr>
        <w:t xml:space="preserve">1 </w:t>
      </w:r>
      <w:r>
        <w:rPr>
          <w:rFonts w:hint="eastAsia" w:ascii="Times New Roman" w:hAnsi="Times New Roman"/>
          <w:b/>
          <w:szCs w:val="21"/>
        </w:rPr>
        <w:t>工作简况</w:t>
      </w:r>
    </w:p>
    <w:p>
      <w:pPr>
        <w:rPr>
          <w:rFonts w:hint="default" w:ascii="Times New Roman" w:hAnsi="Times New Roman"/>
          <w:b/>
          <w:szCs w:val="21"/>
          <w:lang w:val="en-US" w:eastAsia="zh-CN"/>
        </w:rPr>
      </w:pPr>
      <w:r>
        <w:rPr>
          <w:rFonts w:hint="eastAsia" w:ascii="Times New Roman" w:hAnsi="Times New Roman"/>
          <w:b/>
          <w:szCs w:val="21"/>
          <w:lang w:val="en-US" w:eastAsia="zh-CN"/>
        </w:rPr>
        <w:t>1.1方法概况</w:t>
      </w:r>
    </w:p>
    <w:p>
      <w:pPr>
        <w:rPr>
          <w:rFonts w:hint="eastAsia" w:ascii="Times New Roman" w:hAnsi="Times New Roman"/>
          <w:b/>
          <w:szCs w:val="21"/>
          <w:lang w:val="en-US" w:eastAsia="zh-CN"/>
        </w:rPr>
      </w:pPr>
      <w:r>
        <w:rPr>
          <w:rFonts w:hint="eastAsia" w:ascii="Times New Roman" w:hAnsi="Times New Roman"/>
          <w:b/>
          <w:szCs w:val="21"/>
          <w:lang w:val="en-US" w:eastAsia="zh-CN"/>
        </w:rPr>
        <w:t>1.1.1项目的必要性</w:t>
      </w:r>
    </w:p>
    <w:p>
      <w:pPr>
        <w:spacing w:line="240" w:lineRule="auto"/>
        <w:ind w:firstLine="420" w:firstLineChars="200"/>
        <w:rPr>
          <w:rFonts w:hint="eastAsia" w:ascii="Times New Roman" w:hAnsi="Times New Roman"/>
          <w:b w:val="0"/>
          <w:szCs w:val="21"/>
          <w:lang w:val="en-US" w:eastAsia="zh-CN"/>
        </w:rPr>
      </w:pPr>
      <w:r>
        <w:rPr>
          <w:rFonts w:hint="eastAsia" w:ascii="Times New Roman" w:hAnsi="Times New Roman"/>
          <w:b w:val="0"/>
          <w:szCs w:val="21"/>
          <w:lang w:val="en-US" w:eastAsia="zh-CN"/>
        </w:rPr>
        <w:t xml:space="preserve">铜冶炼工业资源消耗大，二次资源综合利用率较低，有相当大部分可利用资源变成污染物。铜烟尘在铜冶金工业中排放量较大，至今没有得到充分的利用。铜冶炼烟尘属于高温烟灰，粒度较小，根据熔炼工艺以及收尘设备的不同，主要可分为奥炉烟灰、转炉烟灰、阳极烟灰、环集烟灰、奥炉开路烟灰、电收尘烟灰等。采用LS800型OMEC激光粒度测试仪分别对“铜烟灰”进行分析，“铜烟灰”的平均粒径（D50）为1.63μm 至2.31μm，颗粒小，露天堆放时，在雨水作用下，其铅/锌离子易渗入地下，造成环境污染。美国环境保护署在新制定的环境资源保护及回收法中，将其划归为KO61类物质(有毒的固体废物) , 要求冶炼厂对其中的锌、铅等有价元素进行回收处理或钝化处理；否则，须将其密封堆放在由专人监管的山谷中。在我国随着资源的日益枯竭和环保压力的增加，对冶炼烟尘回收已有较成熟的工艺。当前国内外处理铜冶炼烟尘主要有火法、火法-湿法联合法、全湿法、矿冶联合法等。 </w:t>
      </w:r>
    </w:p>
    <w:p>
      <w:pPr>
        <w:spacing w:line="240" w:lineRule="auto"/>
        <w:ind w:firstLine="420" w:firstLineChars="200"/>
        <w:rPr>
          <w:rFonts w:hint="eastAsia" w:ascii="Times New Roman" w:hAnsi="Times New Roman"/>
          <w:b w:val="0"/>
          <w:szCs w:val="21"/>
          <w:lang w:val="en-US" w:eastAsia="zh-CN"/>
        </w:rPr>
      </w:pPr>
      <w:r>
        <w:rPr>
          <w:rFonts w:hint="eastAsia" w:ascii="Times New Roman" w:hAnsi="Times New Roman"/>
          <w:b w:val="0"/>
          <w:szCs w:val="21"/>
          <w:lang w:val="en-US" w:eastAsia="zh-CN"/>
        </w:rPr>
        <w:t>镉是银白色有光泽的金属，其在潮湿的空气中缓慢氧化并失去金属光泽，加热时表面形成棕色的氧化物层。镉的毒性较大，被镉污染的空气和食物对人体危害严重，日本因镉中毒曽出现“痛痛病”。镉作为烟尘中的有害元素，比其它重金属更容易被农作物所吸附。相当数量的镉通过空气、废尘、废水、废渣排入环境，造成污染。当环境受到镉污染后，镉可在生物体内富集，通过食物链进入人体引起慢性中毒。但其可用于电镀、执照高性能电池、生产颜料和荧光粉等。</w:t>
      </w:r>
    </w:p>
    <w:p>
      <w:pPr>
        <w:spacing w:line="240" w:lineRule="auto"/>
        <w:ind w:firstLine="420" w:firstLineChars="200"/>
        <w:rPr>
          <w:rFonts w:hint="eastAsia" w:ascii="Times New Roman" w:hAnsi="Times New Roman"/>
          <w:b w:val="0"/>
          <w:szCs w:val="21"/>
          <w:lang w:val="en-US" w:eastAsia="zh-CN"/>
        </w:rPr>
      </w:pPr>
      <w:r>
        <w:rPr>
          <w:rFonts w:hint="eastAsia" w:ascii="Times New Roman" w:hAnsi="Times New Roman"/>
          <w:b w:val="0"/>
          <w:szCs w:val="21"/>
          <w:lang w:val="en-US" w:eastAsia="zh-CN"/>
        </w:rPr>
        <w:t>从废弃物当中回收镉不仅可满足市场的供求关系，同时具有重大的战略意义。因此，制定铜冶炼烟尘中镉量测定方法，不但给冶炼厂带来良好的经济效益，对资源再生利用提供技术支撑，同时也规范了实验室检验过程，满足市场的需求。</w:t>
      </w:r>
    </w:p>
    <w:p>
      <w:pPr>
        <w:rPr>
          <w:rFonts w:hint="eastAsia" w:ascii="Times New Roman" w:hAnsi="Times New Roman"/>
          <w:b/>
          <w:szCs w:val="21"/>
          <w:lang w:val="en-US" w:eastAsia="zh-CN"/>
        </w:rPr>
      </w:pPr>
      <w:r>
        <w:rPr>
          <w:rFonts w:hint="eastAsia" w:ascii="Times New Roman" w:hAnsi="Times New Roman"/>
          <w:b/>
          <w:szCs w:val="21"/>
          <w:lang w:val="en-US" w:eastAsia="zh-CN"/>
        </w:rPr>
        <w:t>1.1.2适用范围</w:t>
      </w:r>
    </w:p>
    <w:p>
      <w:pPr>
        <w:tabs>
          <w:tab w:val="left" w:pos="540"/>
        </w:tabs>
        <w:ind w:firstLine="420" w:firstLineChars="200"/>
        <w:rPr>
          <w:rFonts w:hint="default" w:ascii="Times New Roman" w:hAnsi="Times New Roman" w:cs="Times New Roman"/>
          <w:szCs w:val="21"/>
          <w:lang w:val="en-US" w:eastAsia="zh-CN"/>
        </w:rPr>
      </w:pPr>
      <w:r>
        <w:rPr>
          <w:rFonts w:hint="default" w:ascii="Times New Roman" w:hAnsi="Times New Roman" w:cs="Times New Roman"/>
        </w:rPr>
        <w:t>本部分适用于</w:t>
      </w:r>
      <w:r>
        <w:rPr>
          <w:rFonts w:hint="default" w:ascii="Times New Roman" w:hAnsi="Times New Roman" w:cs="Times New Roman"/>
          <w:lang w:eastAsia="zh-CN"/>
        </w:rPr>
        <w:t>铜冶炼烟尘</w:t>
      </w:r>
      <w:r>
        <w:rPr>
          <w:rFonts w:hint="default" w:ascii="Times New Roman" w:hAnsi="Times New Roman" w:cs="Times New Roman"/>
        </w:rPr>
        <w:t>中</w:t>
      </w:r>
      <w:r>
        <w:rPr>
          <w:rFonts w:hint="default" w:ascii="Times New Roman" w:hAnsi="Times New Roman" w:eastAsia="宋体" w:cs="Times New Roman"/>
          <w:szCs w:val="20"/>
          <w:lang w:eastAsia="zh-CN"/>
        </w:rPr>
        <w:t>镉</w:t>
      </w:r>
      <w:r>
        <w:rPr>
          <w:rFonts w:hint="default" w:ascii="Times New Roman" w:hAnsi="Times New Roman" w:cs="Times New Roman"/>
        </w:rPr>
        <w:t>含量的测定。</w:t>
      </w:r>
      <w:r>
        <w:rPr>
          <w:rFonts w:hint="default" w:ascii="Times New Roman" w:hAnsi="Times New Roman" w:cs="Times New Roman"/>
          <w:b/>
          <w:bCs/>
          <w:lang w:eastAsia="zh-CN"/>
        </w:rPr>
        <w:t>方法</w:t>
      </w:r>
      <w:r>
        <w:rPr>
          <w:rFonts w:hint="default" w:ascii="Times New Roman" w:hAnsi="Times New Roman" w:cs="Times New Roman"/>
          <w:b/>
          <w:bCs/>
          <w:lang w:val="en-US" w:eastAsia="zh-CN"/>
        </w:rPr>
        <w:t>1</w:t>
      </w:r>
      <w:r>
        <w:rPr>
          <w:rFonts w:hint="eastAsia" w:ascii="Times New Roman" w:hAnsi="Times New Roman" w:cs="Times New Roman"/>
          <w:b/>
          <w:bCs/>
          <w:lang w:val="en-US" w:eastAsia="zh-CN"/>
        </w:rPr>
        <w:t>火焰原子吸收光谱法</w:t>
      </w:r>
      <w:r>
        <w:rPr>
          <w:rFonts w:hint="eastAsia" w:ascii="Times New Roman" w:hAnsi="Times New Roman" w:cs="Times New Roman"/>
          <w:lang w:val="en-US" w:eastAsia="zh-CN"/>
        </w:rPr>
        <w:t xml:space="preserve"> </w:t>
      </w:r>
      <w:r>
        <w:rPr>
          <w:rFonts w:hint="default" w:ascii="Times New Roman" w:hAnsi="Times New Roman" w:cs="Times New Roman"/>
          <w:szCs w:val="21"/>
        </w:rPr>
        <w:t>测定范围：0.</w:t>
      </w:r>
      <w:r>
        <w:rPr>
          <w:rFonts w:hint="default" w:ascii="Times New Roman" w:hAnsi="Times New Roman" w:cs="Times New Roman"/>
          <w:szCs w:val="21"/>
          <w:lang w:val="en-US" w:eastAsia="zh-CN"/>
        </w:rPr>
        <w:t>020</w:t>
      </w:r>
      <w:r>
        <w:rPr>
          <w:rFonts w:hint="default" w:ascii="Times New Roman" w:hAnsi="Times New Roman" w:cs="Times New Roman"/>
          <w:szCs w:val="21"/>
        </w:rPr>
        <w:t>%~5.00%</w:t>
      </w:r>
      <w:r>
        <w:rPr>
          <w:rFonts w:hint="default" w:ascii="Times New Roman" w:hAnsi="Times New Roman" w:cs="Times New Roman"/>
          <w:szCs w:val="21"/>
          <w:lang w:eastAsia="zh-CN"/>
        </w:rPr>
        <w:t>；</w:t>
      </w:r>
      <w:r>
        <w:rPr>
          <w:rFonts w:hint="default" w:ascii="Times New Roman" w:hAnsi="Times New Roman" w:cs="Times New Roman"/>
          <w:b/>
          <w:bCs/>
          <w:szCs w:val="21"/>
          <w:lang w:eastAsia="zh-CN"/>
        </w:rPr>
        <w:t>方法</w:t>
      </w:r>
      <w:r>
        <w:rPr>
          <w:rFonts w:hint="default" w:ascii="Times New Roman" w:hAnsi="Times New Roman" w:cs="Times New Roman"/>
          <w:b/>
          <w:bCs/>
          <w:szCs w:val="21"/>
          <w:lang w:val="en-US" w:eastAsia="zh-CN"/>
        </w:rPr>
        <w:t xml:space="preserve">2 </w:t>
      </w:r>
      <w:r>
        <w:rPr>
          <w:rFonts w:hint="eastAsia" w:ascii="Times New Roman" w:hAnsi="Times New Roman" w:cs="Times New Roman"/>
          <w:b/>
          <w:bCs/>
          <w:szCs w:val="21"/>
          <w:lang w:val="en-US" w:eastAsia="zh-CN"/>
        </w:rPr>
        <w:t>容量法</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 xml:space="preserve">测定范围： </w:t>
      </w:r>
      <w:r>
        <w:rPr>
          <w:rFonts w:hint="default" w:ascii="Times New Roman" w:hAnsi="Times New Roman" w:cs="Times New Roman"/>
          <w:bCs/>
          <w:szCs w:val="21"/>
        </w:rPr>
        <w:t>5.00</w:t>
      </w:r>
      <w:r>
        <w:rPr>
          <w:rFonts w:hint="eastAsia" w:cs="Times New Roman"/>
          <w:bCs/>
          <w:szCs w:val="21"/>
          <w:lang w:val="en-US" w:eastAsia="zh-CN"/>
        </w:rPr>
        <w:t xml:space="preserve"> </w:t>
      </w:r>
      <w:r>
        <w:rPr>
          <w:rFonts w:hint="default" w:ascii="Times New Roman" w:hAnsi="Times New Roman" w:cs="Times New Roman"/>
          <w:bCs/>
          <w:szCs w:val="21"/>
        </w:rPr>
        <w:t>%～16.00</w:t>
      </w:r>
      <w:r>
        <w:rPr>
          <w:rFonts w:hint="eastAsia" w:cs="Times New Roman"/>
          <w:bCs/>
          <w:szCs w:val="21"/>
          <w:lang w:val="en-US" w:eastAsia="zh-CN"/>
        </w:rPr>
        <w:t xml:space="preserve"> </w:t>
      </w:r>
      <w:r>
        <w:rPr>
          <w:rFonts w:hint="default" w:ascii="Times New Roman" w:hAnsi="Times New Roman" w:cs="Times New Roman"/>
          <w:bCs/>
          <w:szCs w:val="21"/>
        </w:rPr>
        <w:t>%</w:t>
      </w:r>
      <w:r>
        <w:rPr>
          <w:rFonts w:hint="eastAsia" w:cs="Times New Roman"/>
          <w:bCs/>
          <w:szCs w:val="21"/>
          <w:lang w:eastAsia="zh-CN"/>
        </w:rPr>
        <w:t>。</w:t>
      </w:r>
      <w:r>
        <w:rPr>
          <w:rFonts w:hint="default" w:ascii="Times New Roman" w:hAnsi="Times New Roman" w:cs="Times New Roman"/>
          <w:szCs w:val="21"/>
          <w:lang w:val="en-US" w:eastAsia="zh-CN"/>
        </w:rPr>
        <w:t xml:space="preserve"> </w:t>
      </w:r>
    </w:p>
    <w:p>
      <w:pPr>
        <w:rPr>
          <w:rFonts w:hint="eastAsia" w:ascii="Times New Roman" w:hAnsi="Times New Roman"/>
          <w:b/>
          <w:szCs w:val="21"/>
          <w:lang w:val="en-US" w:eastAsia="zh-CN"/>
        </w:rPr>
      </w:pPr>
      <w:r>
        <w:rPr>
          <w:rFonts w:hint="eastAsia" w:ascii="Times New Roman" w:hAnsi="Times New Roman"/>
          <w:b/>
          <w:szCs w:val="21"/>
          <w:lang w:val="en-US" w:eastAsia="zh-CN"/>
        </w:rPr>
        <w:t>1.1.3可行性</w:t>
      </w:r>
    </w:p>
    <w:p>
      <w:pPr>
        <w:ind w:firstLine="420" w:firstLineChars="200"/>
        <w:rPr>
          <w:rFonts w:hint="eastAsia" w:ascii="Times New Roman" w:hAnsi="Times New Roman"/>
          <w:b w:val="0"/>
          <w:bCs/>
          <w:szCs w:val="21"/>
          <w:lang w:val="en-US" w:eastAsia="zh-CN"/>
        </w:rPr>
      </w:pPr>
      <w:r>
        <w:rPr>
          <w:rFonts w:hint="eastAsia" w:ascii="Times New Roman" w:hAnsi="Times New Roman"/>
          <w:b w:val="0"/>
          <w:bCs/>
          <w:szCs w:val="21"/>
          <w:lang w:val="en-US" w:eastAsia="zh-CN"/>
        </w:rPr>
        <w:t>铜陵有色金属集团控股有限公司检测研究中心拥有CMA、CAL省级资质认定和CNAS国家实验室认可三个资质，属于面向社会服务第三方专业检测机构。主持和参与100多项国家、行业标准的起草工作；拥有丰富工作经验的技术人员和科研团队，具有较强的检测分析操作经验和深入的标准研究能力，拥有制定该方法必需的环境、设备。标准研制人员已参加过国家和行业标准制定的培训，熟料掌握标准制定规则，有利于资料整理、归纳及标准编制。</w:t>
      </w:r>
    </w:p>
    <w:p>
      <w:pPr>
        <w:ind w:firstLine="420" w:firstLineChars="200"/>
        <w:rPr>
          <w:rFonts w:hint="eastAsia" w:ascii="Times New Roman" w:hAnsi="Times New Roman"/>
          <w:b w:val="0"/>
          <w:bCs/>
          <w:szCs w:val="21"/>
          <w:lang w:val="en-US" w:eastAsia="zh-CN"/>
        </w:rPr>
      </w:pPr>
      <w:r>
        <w:rPr>
          <w:rFonts w:hint="eastAsia" w:ascii="Times New Roman" w:hAnsi="Times New Roman"/>
          <w:b w:val="0"/>
          <w:bCs/>
          <w:szCs w:val="21"/>
          <w:lang w:val="en-US" w:eastAsia="zh-CN"/>
        </w:rPr>
        <w:t>北矿检测技术有限公司为国家重有色金属质量监督检验中心、国家进出口商品检验有色金属认可实验室、中国有色金属工业重金属质检中心、科技成果检测鉴定国家级检测机构，在国内有色金属分析领域具有权威地位。公司拥有多台原子吸收光谱仪，具备项目研究所需的仪器设备。标准起草人员主起草国家行业标准多项，参与国家行业标准几十项，具有丰富的方法研究经验。</w:t>
      </w:r>
    </w:p>
    <w:p>
      <w:pPr>
        <w:ind w:firstLine="420" w:firstLineChars="200"/>
        <w:rPr>
          <w:rFonts w:hint="eastAsia" w:ascii="Times New Roman" w:hAnsi="Times New Roman"/>
          <w:b w:val="0"/>
          <w:bCs/>
          <w:szCs w:val="21"/>
          <w:lang w:val="en-US" w:eastAsia="zh-CN"/>
        </w:rPr>
      </w:pPr>
      <w:r>
        <w:rPr>
          <w:rFonts w:hint="eastAsia" w:ascii="Times New Roman" w:hAnsi="Times New Roman"/>
          <w:b w:val="0"/>
          <w:bCs/>
          <w:szCs w:val="21"/>
          <w:lang w:val="en-US" w:eastAsia="zh-CN"/>
        </w:rPr>
        <w:t>目前，国内铜冶炼企业烟尘的年产量在20万吨以上，其中仅铜陵有色金属集团控股有限公司就年产2万吨。铜烟尘中镉含量较高，若不对其进行有效的处理，其产生的环境危害要远大于其带来的经济效益本身。部分铜烟灰由各冶炼厂直接入炉熔炼，部分已经开始作为二次原料进入贸易市场。这样一来，实现既增加经济效益，又保护环境的“双赢”局面。随着环境压力和环保要求的提高，对回收利用单位资质要求越来越严，没有资质的公司纷纷将其出售，铜冶炼烟尘的贸易越来越频繁，仅广东一地的交易量一年就上万吨。</w:t>
      </w:r>
    </w:p>
    <w:p>
      <w:pPr>
        <w:ind w:firstLine="420" w:firstLineChars="200"/>
        <w:rPr>
          <w:rFonts w:hint="eastAsia" w:ascii="Times New Roman" w:hAnsi="Times New Roman"/>
          <w:b w:val="0"/>
          <w:bCs/>
          <w:szCs w:val="21"/>
          <w:lang w:val="en-US" w:eastAsia="zh-CN"/>
        </w:rPr>
      </w:pPr>
      <w:r>
        <w:rPr>
          <w:rFonts w:hint="eastAsia" w:ascii="Times New Roman" w:hAnsi="Times New Roman"/>
          <w:b w:val="0"/>
          <w:bCs/>
          <w:szCs w:val="21"/>
          <w:lang w:val="en-US" w:eastAsia="zh-CN"/>
        </w:rPr>
        <w:t>准确检测出铜冶炼烟尘中镉的含量，对企业确定回收工艺、提高烟尘的综合利用率并减轻对环境的污染及进行贸易的双方都有着巨大的推动作用。</w:t>
      </w:r>
    </w:p>
    <w:p>
      <w:pPr>
        <w:rPr>
          <w:rFonts w:hint="eastAsia" w:ascii="Times New Roman" w:hAnsi="Times New Roman"/>
          <w:b/>
          <w:szCs w:val="21"/>
          <w:lang w:val="en-US" w:eastAsia="zh-CN"/>
        </w:rPr>
      </w:pPr>
      <w:r>
        <w:rPr>
          <w:rFonts w:hint="eastAsia" w:ascii="Times New Roman" w:hAnsi="Times New Roman"/>
          <w:b/>
          <w:szCs w:val="21"/>
          <w:lang w:val="en-US" w:eastAsia="zh-CN"/>
        </w:rPr>
        <w:t>1.1.4拟要解决的主要问题</w:t>
      </w:r>
    </w:p>
    <w:p>
      <w:pPr>
        <w:ind w:firstLine="420" w:firstLineChars="200"/>
        <w:rPr>
          <w:rFonts w:hint="eastAsia" w:ascii="Times New Roman" w:hAnsi="Times New Roman"/>
          <w:b w:val="0"/>
          <w:bCs/>
          <w:szCs w:val="21"/>
          <w:lang w:val="en-US" w:eastAsia="zh-CN"/>
        </w:rPr>
      </w:pPr>
      <w:r>
        <w:rPr>
          <w:rFonts w:hint="eastAsia" w:ascii="Times New Roman" w:hAnsi="Times New Roman"/>
          <w:b w:val="0"/>
          <w:bCs/>
          <w:szCs w:val="21"/>
          <w:lang w:val="en-US" w:eastAsia="zh-CN"/>
        </w:rPr>
        <w:t>经查，国内测定镉量的国家标准有GB/T 12689.3-2004《锌及锌合金化学分析方法 镉量的测定 火焰原子吸收光谱法》（测定范围：0.0005 %～0.500 %）、GB/T 4103.14-2009《铅及铅合金化学分析方法 第14部分 镉量的测定 火焰原子吸收光谱法》（测量范围：0.0001%～0.01%、0.3%～2.0%）、GB/T 8151.8-2012《锌精矿化学分析方法 第8部分 镉量的测定 火焰原子吸收光谱法》（测量范围：0.10%～2.00%）、GB/T 8152.12-2006 《铅精矿化学分析方法 镉量的测定 火焰原子吸收光谱法》（测量范围：0.03%～0.2%）等。行业标准有YS/T 1115.6-2016 《铜原矿和尾矿化学分析方法 第6部分 镉量的测定 火焰原子吸收光谱法》（测量范围：0.0005%～0.010%）、YS/T 990.7-2014 《冰铜化学分析方法 第7部分 镉量的测定 原子吸收光谱法》（测量范围：0.010%～0.50%）等。而铜冶炼烟尘中镉含量和组成成分与上述产品完全不同，无法直接使用上述标准。目前，国内外均没有铜冶炼烟尘中镉量测定的国家或行业标准。</w:t>
      </w:r>
    </w:p>
    <w:p>
      <w:pPr>
        <w:rPr>
          <w:rFonts w:hint="eastAsia" w:ascii="Times New Roman" w:hAnsi="Times New Roman"/>
          <w:b/>
          <w:szCs w:val="21"/>
          <w:lang w:val="en-US" w:eastAsia="zh-CN"/>
        </w:rPr>
      </w:pPr>
      <w:r>
        <w:rPr>
          <w:rFonts w:hint="eastAsia" w:ascii="Times New Roman" w:hAnsi="Times New Roman"/>
          <w:b/>
          <w:szCs w:val="21"/>
          <w:lang w:val="en-US" w:eastAsia="zh-CN"/>
        </w:rPr>
        <w:t>1.2任务来源</w:t>
      </w:r>
    </w:p>
    <w:p>
      <w:pPr>
        <w:numPr>
          <w:ilvl w:val="0"/>
          <w:numId w:val="0"/>
        </w:num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国家标准化管理委员会及工业和信息化部标准计划项目的安排要求，全国有色金属标准化技术委员会“关于印发《铜冶炼烟尘化学分析方法》等25项行业标准任务落实会会议纪要的通知”（有色标秘[2018]41号）及相关会议纪要的文件精神，确定《铜冶炼烟尘化学分析方法 第</w:t>
      </w:r>
      <w:r>
        <w:rPr>
          <w:rFonts w:hint="eastAsia" w:ascii="Times New Roman" w:hAnsi="Times New Roman" w:cs="Times New Roman"/>
          <w:sz w:val="21"/>
          <w:szCs w:val="21"/>
          <w:lang w:val="en-US" w:eastAsia="zh-CN"/>
        </w:rPr>
        <w:t>7</w:t>
      </w:r>
      <w:r>
        <w:rPr>
          <w:rFonts w:hint="default" w:ascii="Times New Roman" w:hAnsi="Times New Roman" w:eastAsia="宋体" w:cs="Times New Roman"/>
          <w:sz w:val="21"/>
          <w:szCs w:val="21"/>
          <w:lang w:val="en-US" w:eastAsia="zh-CN"/>
        </w:rPr>
        <w:t>部分：</w:t>
      </w:r>
      <w:r>
        <w:rPr>
          <w:rFonts w:hint="eastAsia" w:ascii="Times New Roman" w:hAnsi="Times New Roman" w:cs="Times New Roman"/>
          <w:sz w:val="21"/>
          <w:szCs w:val="21"/>
          <w:lang w:val="en-US" w:eastAsia="zh-CN"/>
        </w:rPr>
        <w:t>镉</w:t>
      </w:r>
      <w:r>
        <w:rPr>
          <w:rFonts w:hint="default" w:ascii="Times New Roman" w:hAnsi="Times New Roman" w:eastAsia="宋体" w:cs="Times New Roman"/>
          <w:sz w:val="21"/>
          <w:szCs w:val="21"/>
          <w:lang w:val="en-US" w:eastAsia="zh-CN"/>
        </w:rPr>
        <w:t>含量的测定》</w:t>
      </w:r>
      <w:r>
        <w:rPr>
          <w:rFonts w:hint="eastAsia" w:ascii="Times New Roman" w:hAnsi="Times New Roman" w:cs="Times New Roman"/>
          <w:sz w:val="21"/>
          <w:szCs w:val="21"/>
          <w:lang w:val="en-US" w:eastAsia="zh-CN"/>
        </w:rPr>
        <w:t xml:space="preserve">方法1火焰原子吸收光谱法 </w:t>
      </w:r>
      <w:r>
        <w:rPr>
          <w:rFonts w:hint="default" w:ascii="Times New Roman" w:hAnsi="Times New Roman" w:eastAsia="宋体" w:cs="Times New Roman"/>
          <w:sz w:val="21"/>
          <w:szCs w:val="21"/>
          <w:lang w:val="en-US" w:eastAsia="zh-CN"/>
        </w:rPr>
        <w:t>由铜陵有色金属集团控股有限公司负责起草</w:t>
      </w:r>
      <w:r>
        <w:rPr>
          <w:rFonts w:hint="eastAsia" w:ascii="Times New Roman" w:hAnsi="Times New Roman" w:cs="Times New Roman"/>
          <w:sz w:val="21"/>
          <w:szCs w:val="21"/>
          <w:lang w:val="en-US" w:eastAsia="zh-CN"/>
        </w:rPr>
        <w:t>、方法2 容量法 由北矿检测技术有限公司负责起草</w:t>
      </w:r>
      <w:r>
        <w:rPr>
          <w:rFonts w:hint="default" w:ascii="Times New Roman" w:hAnsi="Times New Roman" w:eastAsia="宋体" w:cs="Times New Roman"/>
          <w:sz w:val="21"/>
          <w:szCs w:val="21"/>
          <w:lang w:val="en-US" w:eastAsia="zh-CN"/>
        </w:rPr>
        <w:t>。项目计划编号为工信厅科【2018】31号2018-053</w:t>
      </w: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lang w:val="en-US" w:eastAsia="zh-CN"/>
        </w:rPr>
        <w:t>T-YS。</w:t>
      </w:r>
    </w:p>
    <w:p>
      <w:pPr>
        <w:numPr>
          <w:ilvl w:val="0"/>
          <w:numId w:val="0"/>
        </w:numPr>
        <w:ind w:firstLine="42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方法1火焰原子吸收光谱法 </w:t>
      </w:r>
      <w:r>
        <w:rPr>
          <w:rFonts w:hint="default" w:ascii="Times New Roman" w:hAnsi="Times New Roman" w:eastAsia="宋体" w:cs="Times New Roman"/>
          <w:sz w:val="21"/>
          <w:szCs w:val="21"/>
          <w:lang w:val="en-US" w:eastAsia="zh-CN"/>
        </w:rPr>
        <w:t>协助起草单位包括</w:t>
      </w:r>
      <w:r>
        <w:rPr>
          <w:rFonts w:hint="eastAsia" w:asciiTheme="minorEastAsia" w:hAnsiTheme="minorEastAsia" w:eastAsiaTheme="minorEastAsia" w:cstheme="minorEastAsia"/>
          <w:kern w:val="0"/>
          <w:sz w:val="21"/>
          <w:szCs w:val="21"/>
          <w:lang w:val="en-US" w:eastAsia="zh-CN"/>
        </w:rPr>
        <w:t>中色桂林矿产地质研究院有限公司、广东先导稀材股份有限公司、</w:t>
      </w:r>
      <w:r>
        <w:rPr>
          <w:rFonts w:hint="eastAsia" w:asciiTheme="minorEastAsia" w:hAnsiTheme="minorEastAsia" w:eastAsiaTheme="minorEastAsia" w:cstheme="minorEastAsia"/>
          <w:sz w:val="21"/>
          <w:szCs w:val="21"/>
        </w:rPr>
        <w:t>防城港市东途矿产检测有限公司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0"/>
          <w:sz w:val="21"/>
          <w:szCs w:val="21"/>
          <w:lang w:val="en-US" w:eastAsia="zh-CN"/>
        </w:rPr>
        <w:t>五矿铜业（湖南）有限公司、湖南有色金属研究院、江西铜业股份有限公司、山东恒邦冶炼股份有限公司、紫金铜业有限公司、大冶有色设计研究院有限公司、河南豫光金铅股份</w:t>
      </w:r>
      <w:r>
        <w:rPr>
          <w:rFonts w:hint="default" w:asciiTheme="minorEastAsia" w:hAnsiTheme="minorEastAsia" w:eastAsiaTheme="minorEastAsia" w:cstheme="minorEastAsia"/>
          <w:kern w:val="0"/>
          <w:sz w:val="21"/>
          <w:szCs w:val="21"/>
          <w:lang w:val="en-US" w:eastAsia="zh-CN"/>
        </w:rPr>
        <w:t>有限公司</w:t>
      </w:r>
      <w:r>
        <w:rPr>
          <w:rFonts w:hint="default" w:ascii="Times New Roman" w:hAnsi="Times New Roman" w:eastAsia="宋体" w:cs="Times New Roman"/>
          <w:sz w:val="21"/>
          <w:szCs w:val="21"/>
          <w:lang w:eastAsia="zh-CN"/>
        </w:rPr>
        <w:t>。</w:t>
      </w:r>
    </w:p>
    <w:p>
      <w:pPr>
        <w:numPr>
          <w:ilvl w:val="0"/>
          <w:numId w:val="0"/>
        </w:numPr>
        <w:ind w:firstLine="42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方法2 容量法 </w:t>
      </w:r>
      <w:r>
        <w:rPr>
          <w:rFonts w:hint="default" w:ascii="Times New Roman" w:hAnsi="Times New Roman" w:eastAsia="宋体" w:cs="Times New Roman"/>
          <w:sz w:val="21"/>
          <w:szCs w:val="21"/>
          <w:lang w:val="en-US" w:eastAsia="zh-CN"/>
        </w:rPr>
        <w:t>协助起草单位</w:t>
      </w:r>
      <w:r>
        <w:rPr>
          <w:rFonts w:hint="eastAsia" w:ascii="Times New Roman" w:hAnsi="Times New Roman" w:cs="Times New Roman"/>
          <w:sz w:val="21"/>
          <w:szCs w:val="21"/>
          <w:lang w:val="en-US" w:eastAsia="zh-CN"/>
        </w:rPr>
        <w:t>包括</w:t>
      </w:r>
      <w:r>
        <w:rPr>
          <w:rFonts w:hint="default" w:ascii="Times New Roman" w:hAnsi="Times New Roman" w:eastAsia="宋体" w:cs="Times New Roman"/>
          <w:sz w:val="21"/>
          <w:szCs w:val="21"/>
        </w:rPr>
        <w:t>广东先导稀材股份有限公司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中国检验认证集团广西有限公司</w:t>
      </w:r>
      <w:r>
        <w:rPr>
          <w:rFonts w:hint="eastAsia" w:ascii="Times New Roman" w:hAnsi="Times New Roman" w:cs="Times New Roman"/>
          <w:sz w:val="21"/>
          <w:szCs w:val="21"/>
          <w:lang w:eastAsia="zh-CN"/>
        </w:rPr>
        <w:t>、</w:t>
      </w:r>
      <w:r>
        <w:rPr>
          <w:rFonts w:hint="eastAsia" w:asciiTheme="minorEastAsia" w:hAnsiTheme="minorEastAsia" w:eastAsiaTheme="minorEastAsia" w:cstheme="minorEastAsia"/>
          <w:kern w:val="0"/>
          <w:sz w:val="21"/>
          <w:szCs w:val="21"/>
          <w:lang w:val="en-US" w:eastAsia="zh-CN"/>
        </w:rPr>
        <w:t>大冶有色设计研究院有限公司、河南豫光金铅股份</w:t>
      </w:r>
      <w:r>
        <w:rPr>
          <w:rFonts w:hint="default" w:asciiTheme="minorEastAsia" w:hAnsiTheme="minorEastAsia" w:eastAsiaTheme="minorEastAsia" w:cstheme="minorEastAsia"/>
          <w:kern w:val="0"/>
          <w:sz w:val="21"/>
          <w:szCs w:val="21"/>
          <w:lang w:val="en-US" w:eastAsia="zh-CN"/>
        </w:rPr>
        <w:t>有限公司</w:t>
      </w:r>
      <w:r>
        <w:rPr>
          <w:rFonts w:hint="eastAsia" w:asciiTheme="minorEastAsia" w:hAnsiTheme="minorEastAsia" w:eastAsiaTheme="minorEastAsia" w:cstheme="minorEastAsia"/>
          <w:kern w:val="0"/>
          <w:sz w:val="21"/>
          <w:szCs w:val="21"/>
          <w:lang w:val="en-US" w:eastAsia="zh-CN"/>
        </w:rPr>
        <w:t>、福建紫金矿业测试技术有限公司、</w:t>
      </w:r>
      <w:r>
        <w:rPr>
          <w:rFonts w:hint="default" w:ascii="Times New Roman" w:hAnsi="Times New Roman" w:eastAsia="宋体" w:cs="Times New Roman"/>
          <w:sz w:val="21"/>
          <w:szCs w:val="21"/>
          <w:lang w:val="en-US" w:eastAsia="zh-CN"/>
        </w:rPr>
        <w:t>铜陵有色金属集团控股有限公司</w:t>
      </w:r>
      <w:r>
        <w:rPr>
          <w:rFonts w:hint="eastAsia" w:ascii="Times New Roman" w:hAnsi="Times New Roman" w:cs="Times New Roman"/>
          <w:sz w:val="21"/>
          <w:szCs w:val="21"/>
          <w:lang w:val="en-US" w:eastAsia="zh-CN"/>
        </w:rPr>
        <w:t>、中色桂林矿产地质研究院有限公司、山东祥光铜业有限公司、</w:t>
      </w:r>
      <w:r>
        <w:rPr>
          <w:rFonts w:hint="eastAsia" w:asciiTheme="minorEastAsia" w:hAnsiTheme="minorEastAsia" w:eastAsiaTheme="minorEastAsia" w:cstheme="minorEastAsia"/>
          <w:kern w:val="0"/>
          <w:sz w:val="21"/>
          <w:szCs w:val="21"/>
          <w:lang w:val="en-US" w:eastAsia="zh-CN"/>
        </w:rPr>
        <w:t>江西铜业股份有限公司。</w:t>
      </w:r>
    </w:p>
    <w:p>
      <w:pPr>
        <w:rPr>
          <w:rFonts w:hint="eastAsia" w:ascii="Times New Roman" w:hAnsi="Times New Roman"/>
          <w:b/>
          <w:szCs w:val="21"/>
          <w:lang w:val="en-US" w:eastAsia="zh-CN"/>
        </w:rPr>
      </w:pPr>
      <w:r>
        <w:rPr>
          <w:rFonts w:hint="eastAsia" w:ascii="Times New Roman" w:hAnsi="Times New Roman"/>
          <w:b/>
          <w:szCs w:val="21"/>
          <w:lang w:val="en-US" w:eastAsia="zh-CN"/>
        </w:rPr>
        <w:t>1.3标准项目编制单位、起草人及其所作工作</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本标准</w:t>
      </w:r>
      <w:r>
        <w:rPr>
          <w:rFonts w:hint="eastAsia" w:ascii="Times New Roman" w:hAnsi="Times New Roman" w:cs="Times New Roman"/>
          <w:sz w:val="21"/>
          <w:szCs w:val="21"/>
          <w:lang w:val="en-US" w:eastAsia="zh-CN"/>
        </w:rPr>
        <w:t>方法1火焰原子吸收光谱法</w:t>
      </w:r>
      <w:r>
        <w:rPr>
          <w:rFonts w:hint="default" w:ascii="Times New Roman" w:hAnsi="Times New Roman" w:eastAsia="宋体" w:cs="Times New Roman"/>
          <w:sz w:val="21"/>
          <w:szCs w:val="21"/>
          <w:lang w:val="en-US" w:eastAsia="zh-CN"/>
        </w:rPr>
        <w:t>由铜陵有色金属集团控股有限公司负责起草，主要起草人为        ，主要负责本标准的方法制定、资料收集、技术参数的确定及标准条款的编写工作。</w:t>
      </w:r>
    </w:p>
    <w:p>
      <w:pPr>
        <w:numPr>
          <w:ilvl w:val="0"/>
          <w:numId w:val="0"/>
        </w:num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本标准</w:t>
      </w:r>
      <w:r>
        <w:rPr>
          <w:rFonts w:hint="eastAsia" w:ascii="Times New Roman" w:hAnsi="Times New Roman" w:cs="Times New Roman"/>
          <w:sz w:val="21"/>
          <w:szCs w:val="21"/>
          <w:lang w:val="en-US" w:eastAsia="zh-CN"/>
        </w:rPr>
        <w:t>方法1</w:t>
      </w:r>
      <w:r>
        <w:rPr>
          <w:rFonts w:hint="default" w:ascii="Times New Roman" w:hAnsi="Times New Roman" w:eastAsia="宋体" w:cs="Times New Roman"/>
          <w:sz w:val="21"/>
          <w:szCs w:val="21"/>
          <w:lang w:val="en-US" w:eastAsia="zh-CN"/>
        </w:rPr>
        <w:t>参与起草单位包括</w:t>
      </w:r>
      <w:r>
        <w:rPr>
          <w:rFonts w:hint="eastAsia" w:asciiTheme="minorEastAsia" w:hAnsiTheme="minorEastAsia" w:eastAsiaTheme="minorEastAsia" w:cstheme="minorEastAsia"/>
          <w:kern w:val="0"/>
          <w:sz w:val="21"/>
          <w:szCs w:val="21"/>
          <w:lang w:val="en-US" w:eastAsia="zh-CN"/>
        </w:rPr>
        <w:t>中色桂林矿产地质研究院有限公司、广东先导稀材股份有限公司、</w:t>
      </w:r>
      <w:r>
        <w:rPr>
          <w:rFonts w:hint="eastAsia" w:asciiTheme="minorEastAsia" w:hAnsiTheme="minorEastAsia" w:eastAsiaTheme="minorEastAsia" w:cstheme="minorEastAsia"/>
          <w:sz w:val="21"/>
          <w:szCs w:val="21"/>
        </w:rPr>
        <w:t>防城港市东途矿产检测有限公司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0"/>
          <w:sz w:val="21"/>
          <w:szCs w:val="21"/>
          <w:lang w:val="en-US" w:eastAsia="zh-CN"/>
        </w:rPr>
        <w:t>五矿铜业（湖南）有限公司、湖南有色金属研究院、江西铜业股份有限公司、山东恒邦冶炼股份有限公司、紫金铜业有限公司、大冶有色设计研究院有限公司、河南豫光金铅股份</w:t>
      </w:r>
      <w:r>
        <w:rPr>
          <w:rFonts w:hint="default" w:asciiTheme="minorEastAsia" w:hAnsiTheme="minorEastAsia" w:eastAsiaTheme="minorEastAsia" w:cstheme="minorEastAsia"/>
          <w:kern w:val="0"/>
          <w:sz w:val="21"/>
          <w:szCs w:val="21"/>
          <w:lang w:val="en-US" w:eastAsia="zh-CN"/>
        </w:rPr>
        <w:t>有限公司</w:t>
      </w:r>
      <w:r>
        <w:rPr>
          <w:rFonts w:hint="default" w:ascii="Times New Roman" w:hAnsi="Times New Roman" w:eastAsia="宋体" w:cs="Times New Roman"/>
          <w:sz w:val="21"/>
          <w:szCs w:val="21"/>
          <w:lang w:eastAsia="zh-CN"/>
        </w:rPr>
        <w:t>。参与起草人：</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。主要负责本标准的验证工作。</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本标准</w:t>
      </w:r>
      <w:r>
        <w:rPr>
          <w:rFonts w:hint="eastAsia" w:ascii="Times New Roman" w:hAnsi="Times New Roman" w:cs="Times New Roman"/>
          <w:sz w:val="21"/>
          <w:szCs w:val="21"/>
          <w:lang w:val="en-US" w:eastAsia="zh-CN"/>
        </w:rPr>
        <w:t>方法2容量法</w:t>
      </w:r>
      <w:r>
        <w:rPr>
          <w:rFonts w:hint="default" w:ascii="Times New Roman" w:hAnsi="Times New Roman" w:eastAsia="宋体" w:cs="Times New Roman"/>
          <w:sz w:val="21"/>
          <w:szCs w:val="21"/>
          <w:lang w:val="en-US" w:eastAsia="zh-CN"/>
        </w:rPr>
        <w:t>由</w:t>
      </w:r>
      <w:r>
        <w:rPr>
          <w:rFonts w:hint="eastAsia" w:ascii="Times New Roman" w:hAnsi="Times New Roman" w:cs="Times New Roman"/>
          <w:sz w:val="21"/>
          <w:szCs w:val="21"/>
          <w:lang w:val="en-US" w:eastAsia="zh-CN"/>
        </w:rPr>
        <w:t>北矿检测技术有限公司</w:t>
      </w:r>
      <w:r>
        <w:rPr>
          <w:rFonts w:hint="default" w:ascii="Times New Roman" w:hAnsi="Times New Roman" w:eastAsia="宋体" w:cs="Times New Roman"/>
          <w:sz w:val="21"/>
          <w:szCs w:val="21"/>
          <w:lang w:val="en-US" w:eastAsia="zh-CN"/>
        </w:rPr>
        <w:t>负责起草，主要起草人为        ，主要负责本标准的方法制定、资料收集、技术参数的确定及标准条款的编写工作。</w:t>
      </w:r>
    </w:p>
    <w:p>
      <w:pPr>
        <w:numPr>
          <w:ilvl w:val="0"/>
          <w:numId w:val="0"/>
        </w:num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本标准</w:t>
      </w:r>
      <w:r>
        <w:rPr>
          <w:rFonts w:hint="eastAsia" w:ascii="Times New Roman" w:hAnsi="Times New Roman" w:cs="Times New Roman"/>
          <w:sz w:val="21"/>
          <w:szCs w:val="21"/>
          <w:lang w:val="en-US" w:eastAsia="zh-CN"/>
        </w:rPr>
        <w:t>方法2</w:t>
      </w:r>
      <w:r>
        <w:rPr>
          <w:rFonts w:hint="default" w:ascii="Times New Roman" w:hAnsi="Times New Roman" w:eastAsia="宋体" w:cs="Times New Roman"/>
          <w:sz w:val="21"/>
          <w:szCs w:val="21"/>
          <w:lang w:val="en-US" w:eastAsia="zh-CN"/>
        </w:rPr>
        <w:t>参与起草单位包括</w:t>
      </w:r>
      <w:r>
        <w:rPr>
          <w:rFonts w:hint="default" w:ascii="Times New Roman" w:hAnsi="Times New Roman" w:eastAsia="宋体" w:cs="Times New Roman"/>
          <w:sz w:val="21"/>
          <w:szCs w:val="21"/>
        </w:rPr>
        <w:t>广东先导稀材股份有限公司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中国检验认证集团广西有限公司</w:t>
      </w:r>
      <w:r>
        <w:rPr>
          <w:rFonts w:hint="eastAsia" w:ascii="Times New Roman" w:hAnsi="Times New Roman" w:cs="Times New Roman"/>
          <w:sz w:val="21"/>
          <w:szCs w:val="21"/>
          <w:lang w:eastAsia="zh-CN"/>
        </w:rPr>
        <w:t>、</w:t>
      </w:r>
      <w:r>
        <w:rPr>
          <w:rFonts w:hint="eastAsia" w:asciiTheme="minorEastAsia" w:hAnsiTheme="minorEastAsia" w:eastAsiaTheme="minorEastAsia" w:cstheme="minorEastAsia"/>
          <w:kern w:val="0"/>
          <w:sz w:val="21"/>
          <w:szCs w:val="21"/>
          <w:lang w:val="en-US" w:eastAsia="zh-CN"/>
        </w:rPr>
        <w:t>大冶有色设计研究院有限公司、河南豫光金铅股份</w:t>
      </w:r>
      <w:r>
        <w:rPr>
          <w:rFonts w:hint="default" w:asciiTheme="minorEastAsia" w:hAnsiTheme="minorEastAsia" w:eastAsiaTheme="minorEastAsia" w:cstheme="minorEastAsia"/>
          <w:kern w:val="0"/>
          <w:sz w:val="21"/>
          <w:szCs w:val="21"/>
          <w:lang w:val="en-US" w:eastAsia="zh-CN"/>
        </w:rPr>
        <w:t>有限公司</w:t>
      </w:r>
      <w:r>
        <w:rPr>
          <w:rFonts w:hint="eastAsia" w:asciiTheme="minorEastAsia" w:hAnsiTheme="minorEastAsia" w:eastAsiaTheme="minorEastAsia" w:cstheme="minorEastAsia"/>
          <w:kern w:val="0"/>
          <w:sz w:val="21"/>
          <w:szCs w:val="21"/>
          <w:lang w:val="en-US" w:eastAsia="zh-CN"/>
        </w:rPr>
        <w:t>、福建紫金矿业测试技术有限公司、</w:t>
      </w:r>
      <w:r>
        <w:rPr>
          <w:rFonts w:hint="default" w:ascii="Times New Roman" w:hAnsi="Times New Roman" w:eastAsia="宋体" w:cs="Times New Roman"/>
          <w:sz w:val="21"/>
          <w:szCs w:val="21"/>
          <w:lang w:val="en-US" w:eastAsia="zh-CN"/>
        </w:rPr>
        <w:t>铜陵有色金属集团控股有限公司</w:t>
      </w:r>
      <w:r>
        <w:rPr>
          <w:rFonts w:hint="eastAsia" w:ascii="Times New Roman" w:hAnsi="Times New Roman" w:cs="Times New Roman"/>
          <w:sz w:val="21"/>
          <w:szCs w:val="21"/>
          <w:lang w:val="en-US" w:eastAsia="zh-CN"/>
        </w:rPr>
        <w:t>、中色桂林矿产地质研究院有限公司、山东祥光铜业有限公司、</w:t>
      </w:r>
      <w:r>
        <w:rPr>
          <w:rFonts w:hint="eastAsia" w:asciiTheme="minorEastAsia" w:hAnsiTheme="minorEastAsia" w:eastAsiaTheme="minorEastAsia" w:cstheme="minorEastAsia"/>
          <w:kern w:val="0"/>
          <w:sz w:val="21"/>
          <w:szCs w:val="21"/>
          <w:lang w:val="en-US" w:eastAsia="zh-CN"/>
        </w:rPr>
        <w:t>江西铜业股份有限公司。</w:t>
      </w:r>
      <w:r>
        <w:rPr>
          <w:rFonts w:hint="default" w:ascii="Times New Roman" w:hAnsi="Times New Roman" w:eastAsia="宋体" w:cs="Times New Roman"/>
          <w:sz w:val="21"/>
          <w:szCs w:val="21"/>
          <w:lang w:eastAsia="zh-CN"/>
        </w:rPr>
        <w:t>参与起草人：</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。主要负责本标准的验证工作。</w:t>
      </w:r>
    </w:p>
    <w:p>
      <w:pPr>
        <w:rPr>
          <w:rFonts w:hint="eastAsia" w:ascii="Times New Roman" w:hAnsi="Times New Roman"/>
          <w:b/>
          <w:szCs w:val="21"/>
          <w:lang w:val="en-US" w:eastAsia="zh-CN"/>
        </w:rPr>
      </w:pPr>
      <w:r>
        <w:rPr>
          <w:rFonts w:hint="eastAsia" w:ascii="Times New Roman" w:hAnsi="Times New Roman"/>
          <w:b/>
          <w:szCs w:val="21"/>
          <w:lang w:val="en-US" w:eastAsia="zh-CN"/>
        </w:rPr>
        <w:t>1.4主要工作过程</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2018年5月在接到标准制定任务后，成立了标准编制工作组，确定了各成员的工作职能和任务，制订了工作计划和进度安排。</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2018年7月26～7月27日，在黑龙江省哈尔滨市召开全国有色标准会议进行落实任务。</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2018年12月</w:t>
      </w:r>
      <w:r>
        <w:rPr>
          <w:rFonts w:hint="default" w:ascii="Times New Roman" w:hAnsi="Times New Roman" w:eastAsia="宋体" w:cs="Times New Roman"/>
          <w:sz w:val="21"/>
          <w:szCs w:val="21"/>
          <w:lang w:eastAsia="zh-CN"/>
        </w:rPr>
        <w:t>底</w:t>
      </w:r>
      <w:r>
        <w:rPr>
          <w:rFonts w:hint="default" w:ascii="Times New Roman" w:hAnsi="Times New Roman" w:eastAsia="宋体" w:cs="Times New Roman"/>
          <w:sz w:val="21"/>
          <w:szCs w:val="21"/>
        </w:rPr>
        <w:t>前，收集、制备实验样品发给起草单位。</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2019年</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eastAsia="zh-CN"/>
        </w:rPr>
        <w:t>底前</w:t>
      </w:r>
      <w:r>
        <w:rPr>
          <w:rFonts w:hint="default" w:ascii="Times New Roman" w:hAnsi="Times New Roman" w:eastAsia="宋体" w:cs="Times New Roman"/>
          <w:sz w:val="21"/>
          <w:szCs w:val="21"/>
        </w:rPr>
        <w:t>，实验样品及试验报告寄至各验证单位。</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2019年10月底～11月，验证报告返回。</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2019年11月27日～29日，全国有色金属标准化技术委员会在</w:t>
      </w:r>
      <w:bookmarkStart w:id="0" w:name="_Hlk4446392"/>
      <w:r>
        <w:rPr>
          <w:rFonts w:hint="default" w:ascii="Times New Roman" w:hAnsi="Times New Roman" w:eastAsia="宋体" w:cs="Times New Roman"/>
          <w:sz w:val="21"/>
          <w:szCs w:val="21"/>
        </w:rPr>
        <w:t>深圳市召开</w:t>
      </w:r>
      <w:bookmarkEnd w:id="0"/>
      <w:r>
        <w:rPr>
          <w:rFonts w:hint="default" w:ascii="Times New Roman" w:hAnsi="Times New Roman" w:eastAsia="宋体" w:cs="Times New Roman"/>
          <w:sz w:val="21"/>
          <w:szCs w:val="21"/>
        </w:rPr>
        <w:t>《铜冶炼烟尘化学分析方法》行业标准讨论会。</w:t>
      </w:r>
    </w:p>
    <w:p>
      <w:pPr>
        <w:rPr>
          <w:rFonts w:hint="eastAsia" w:ascii="Times New Roman" w:hAnsi="Times New Roman"/>
          <w:b/>
          <w:szCs w:val="21"/>
          <w:lang w:val="en-US" w:eastAsia="zh-CN"/>
        </w:rPr>
      </w:pPr>
      <w:r>
        <w:rPr>
          <w:rFonts w:hint="eastAsia" w:ascii="Times New Roman" w:hAnsi="Times New Roman"/>
          <w:b/>
          <w:szCs w:val="21"/>
          <w:lang w:val="en-US" w:eastAsia="zh-CN"/>
        </w:rPr>
        <w:t>2、标准编制原则</w:t>
      </w:r>
    </w:p>
    <w:p>
      <w:pPr>
        <w:numPr>
          <w:ilvl w:val="0"/>
          <w:numId w:val="0"/>
        </w:numPr>
        <w:ind w:firstLine="420" w:firstLineChars="20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本标准是根据GB/T1.1-2009《标准化工作导则 第1部分：标准的结构和编写规则》和GB/T20001.4</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-2001《标准编写规则 第4部分：化学分析方法》的要求进行编写的。</w:t>
      </w:r>
    </w:p>
    <w:p>
      <w:pPr>
        <w:numPr>
          <w:ilvl w:val="0"/>
          <w:numId w:val="0"/>
        </w:numPr>
        <w:ind w:firstLine="420" w:firstLineChars="20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编制本标准的目的是以能满足</w:t>
      </w:r>
      <w:r>
        <w:rPr>
          <w:rFonts w:hint="default" w:ascii="Times New Roman" w:hAnsi="Times New Roman" w:eastAsia="宋体" w:cs="Times New Roman"/>
          <w:sz w:val="21"/>
          <w:szCs w:val="21"/>
          <w:lang w:eastAsia="zh-CN"/>
        </w:rPr>
        <w:t>铜冶炼烟尘中</w:t>
      </w:r>
      <w:r>
        <w:rPr>
          <w:rFonts w:hint="eastAsia" w:ascii="Times New Roman" w:hAnsi="Times New Roman" w:cs="Times New Roman"/>
          <w:sz w:val="21"/>
          <w:szCs w:val="21"/>
          <w:lang w:val="en-US" w:eastAsia="zh-CN"/>
        </w:rPr>
        <w:t>镉</w:t>
      </w:r>
      <w:r>
        <w:rPr>
          <w:rFonts w:hint="default" w:ascii="Times New Roman" w:hAnsi="Times New Roman" w:eastAsia="宋体" w:cs="Times New Roman"/>
          <w:sz w:val="21"/>
          <w:szCs w:val="21"/>
        </w:rPr>
        <w:t>含量的准确快速测定要求为基础。编制本标准的原则是准确、具有一定的先进性和操作简单性。根据国情制订技术规范并力求与国外先进技术接轨。</w:t>
      </w:r>
    </w:p>
    <w:p>
      <w:pPr>
        <w:rPr>
          <w:rFonts w:hint="eastAsia" w:ascii="Times New Roman" w:hAnsi="Times New Roman"/>
          <w:b/>
          <w:szCs w:val="21"/>
          <w:lang w:val="en-US" w:eastAsia="zh-CN"/>
        </w:rPr>
      </w:pPr>
      <w:r>
        <w:rPr>
          <w:rFonts w:hint="eastAsia" w:ascii="Times New Roman" w:hAnsi="Times New Roman"/>
          <w:b/>
          <w:szCs w:val="21"/>
          <w:lang w:val="en-US" w:eastAsia="zh-CN"/>
        </w:rPr>
        <w:t>3标准主要内容的确定依据</w:t>
      </w:r>
    </w:p>
    <w:p>
      <w:pPr>
        <w:numPr>
          <w:ilvl w:val="0"/>
          <w:numId w:val="0"/>
        </w:num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3.1</w:t>
      </w:r>
      <w:r>
        <w:rPr>
          <w:rFonts w:hint="default" w:ascii="Times New Roman" w:hAnsi="Times New Roman" w:eastAsia="宋体" w:cs="Times New Roman"/>
          <w:b/>
          <w:bCs/>
          <w:sz w:val="21"/>
          <w:szCs w:val="21"/>
        </w:rPr>
        <w:t>测定范围、方法的确定</w:t>
      </w:r>
    </w:p>
    <w:p>
      <w:pPr>
        <w:numPr>
          <w:ilvl w:val="0"/>
          <w:numId w:val="0"/>
        </w:numPr>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根据</w:t>
      </w:r>
      <w:r>
        <w:rPr>
          <w:rFonts w:hint="default" w:ascii="Times New Roman" w:hAnsi="Times New Roman" w:eastAsia="宋体" w:cs="Times New Roman"/>
          <w:sz w:val="21"/>
          <w:szCs w:val="21"/>
          <w:lang w:val="en-US" w:eastAsia="zh-CN"/>
        </w:rPr>
        <w:t>2018</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月在</w:t>
      </w:r>
      <w:r>
        <w:rPr>
          <w:rFonts w:hint="default" w:ascii="Times New Roman" w:hAnsi="Times New Roman" w:eastAsia="宋体" w:cs="Times New Roman"/>
          <w:sz w:val="21"/>
          <w:szCs w:val="21"/>
          <w:lang w:eastAsia="zh-CN"/>
        </w:rPr>
        <w:t>黑龙江哈尔滨</w:t>
      </w:r>
      <w:r>
        <w:rPr>
          <w:rFonts w:hint="default" w:ascii="Times New Roman" w:hAnsi="Times New Roman" w:eastAsia="宋体" w:cs="Times New Roman"/>
          <w:sz w:val="21"/>
          <w:szCs w:val="21"/>
        </w:rPr>
        <w:t>召开的《</w:t>
      </w:r>
      <w:r>
        <w:rPr>
          <w:rFonts w:hint="default" w:ascii="Times New Roman" w:hAnsi="Times New Roman" w:eastAsia="宋体" w:cs="Times New Roman"/>
          <w:sz w:val="21"/>
          <w:szCs w:val="21"/>
          <w:lang w:eastAsia="zh-CN"/>
        </w:rPr>
        <w:t>铜冶炼烟尘</w:t>
      </w:r>
      <w:r>
        <w:rPr>
          <w:rFonts w:hint="default" w:ascii="Times New Roman" w:hAnsi="Times New Roman" w:eastAsia="宋体" w:cs="Times New Roman"/>
          <w:sz w:val="21"/>
          <w:szCs w:val="21"/>
          <w:lang w:val="en-US" w:eastAsia="zh-CN"/>
        </w:rPr>
        <w:t>化学分析方法</w:t>
      </w:r>
      <w:r>
        <w:rPr>
          <w:rFonts w:hint="default" w:ascii="Times New Roman" w:hAnsi="Times New Roman" w:eastAsia="宋体" w:cs="Times New Roman"/>
          <w:sz w:val="21"/>
          <w:szCs w:val="21"/>
        </w:rPr>
        <w:t>》行业标准项目制修订工作任务落实会</w:t>
      </w:r>
      <w:r>
        <w:rPr>
          <w:rFonts w:hint="default" w:ascii="Times New Roman" w:hAnsi="Times New Roman" w:eastAsia="宋体" w:cs="Times New Roman"/>
          <w:sz w:val="21"/>
          <w:szCs w:val="21"/>
          <w:lang w:eastAsia="zh-CN"/>
        </w:rPr>
        <w:t>会议精神</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铜陵有色金属集团控股有限公司</w:t>
      </w:r>
      <w:r>
        <w:rPr>
          <w:rFonts w:hint="default" w:ascii="Times New Roman" w:hAnsi="Times New Roman" w:eastAsia="宋体" w:cs="Times New Roman"/>
          <w:sz w:val="21"/>
          <w:szCs w:val="21"/>
        </w:rPr>
        <w:t>负责承担《</w:t>
      </w:r>
      <w:r>
        <w:rPr>
          <w:rFonts w:hint="default" w:ascii="Times New Roman" w:hAnsi="Times New Roman" w:eastAsia="宋体" w:cs="Times New Roman"/>
          <w:sz w:val="21"/>
          <w:szCs w:val="21"/>
          <w:lang w:eastAsia="zh-CN"/>
        </w:rPr>
        <w:t>铜冶炼烟尘</w:t>
      </w:r>
      <w:r>
        <w:rPr>
          <w:rFonts w:hint="default" w:ascii="Times New Roman" w:hAnsi="Times New Roman" w:eastAsia="宋体" w:cs="Times New Roman"/>
          <w:sz w:val="21"/>
          <w:szCs w:val="21"/>
          <w:lang w:val="en-US" w:eastAsia="zh-CN"/>
        </w:rPr>
        <w:t>化学分析方法 第7部分：镉量的测定</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 xml:space="preserve"> 方法1 火焰原子吸收光谱法 </w:t>
      </w:r>
      <w:r>
        <w:rPr>
          <w:rFonts w:hint="eastAsia" w:ascii="Times New Roman" w:hAnsi="Times New Roman" w:cs="Times New Roman"/>
          <w:sz w:val="21"/>
          <w:szCs w:val="21"/>
          <w:lang w:val="en-US" w:eastAsia="zh-CN"/>
        </w:rPr>
        <w:t>，北矿检测技术有限公司负责承担该标准方法2 容量法</w:t>
      </w:r>
      <w:r>
        <w:rPr>
          <w:rFonts w:hint="default" w:ascii="Times New Roman" w:hAnsi="Times New Roman" w:eastAsia="宋体" w:cs="Times New Roman"/>
          <w:sz w:val="21"/>
          <w:szCs w:val="21"/>
        </w:rPr>
        <w:t>起草工作。</w:t>
      </w:r>
      <w:r>
        <w:rPr>
          <w:rFonts w:hint="default" w:ascii="Times New Roman" w:hAnsi="Times New Roman" w:eastAsia="宋体" w:cs="Times New Roman"/>
          <w:sz w:val="21"/>
          <w:szCs w:val="21"/>
          <w:lang w:eastAsia="zh-CN"/>
        </w:rPr>
        <w:t>根据样品测定结果及各单位反馈结果，</w:t>
      </w:r>
      <w:r>
        <w:rPr>
          <w:rFonts w:hint="default" w:ascii="Times New Roman" w:hAnsi="Times New Roman" w:eastAsia="宋体" w:cs="Times New Roman"/>
          <w:sz w:val="21"/>
          <w:szCs w:val="21"/>
        </w:rPr>
        <w:t>确定</w:t>
      </w:r>
      <w:r>
        <w:rPr>
          <w:rFonts w:hint="default" w:ascii="Times New Roman" w:hAnsi="Times New Roman" w:eastAsia="宋体" w:cs="Times New Roman"/>
          <w:sz w:val="21"/>
          <w:szCs w:val="21"/>
          <w:lang w:eastAsia="zh-CN"/>
        </w:rPr>
        <w:t>铜冶炼烟尘中镉测定范围为</w:t>
      </w:r>
      <w:r>
        <w:rPr>
          <w:rFonts w:hint="default" w:ascii="Times New Roman" w:hAnsi="Times New Roman" w:eastAsia="宋体" w:cs="Times New Roman"/>
          <w:sz w:val="21"/>
          <w:szCs w:val="21"/>
          <w:lang w:val="en-US" w:eastAsia="zh-CN"/>
        </w:rPr>
        <w:t>0.05 - 5.00 %，测定方法为原子吸收光谱法</w:t>
      </w:r>
      <w:r>
        <w:rPr>
          <w:rFonts w:hint="eastAsia" w:ascii="Times New Roman" w:hAnsi="Times New Roman" w:cs="Times New Roman"/>
          <w:sz w:val="21"/>
          <w:szCs w:val="21"/>
          <w:lang w:val="en-US" w:eastAsia="zh-CN"/>
        </w:rPr>
        <w:t>；镉测定范围为</w:t>
      </w:r>
      <w:r>
        <w:rPr>
          <w:rFonts w:hint="default" w:ascii="Times New Roman" w:hAnsi="Times New Roman" w:cs="Times New Roman"/>
          <w:szCs w:val="21"/>
          <w:lang w:val="en-US" w:eastAsia="zh-CN"/>
        </w:rPr>
        <w:t xml:space="preserve"> </w:t>
      </w:r>
      <w:r>
        <w:rPr>
          <w:rFonts w:hint="default" w:ascii="Times New Roman" w:hAnsi="Times New Roman" w:cs="Times New Roman"/>
          <w:bCs/>
          <w:szCs w:val="21"/>
        </w:rPr>
        <w:t>5.00</w:t>
      </w:r>
      <w:r>
        <w:rPr>
          <w:rFonts w:hint="eastAsia" w:cs="Times New Roman"/>
          <w:bCs/>
          <w:szCs w:val="21"/>
          <w:lang w:val="en-US" w:eastAsia="zh-CN"/>
        </w:rPr>
        <w:t xml:space="preserve"> </w:t>
      </w:r>
      <w:r>
        <w:rPr>
          <w:rFonts w:hint="default" w:ascii="Times New Roman" w:hAnsi="Times New Roman" w:cs="Times New Roman"/>
          <w:bCs/>
          <w:szCs w:val="21"/>
        </w:rPr>
        <w:t>%～16.00</w:t>
      </w:r>
      <w:r>
        <w:rPr>
          <w:rFonts w:hint="eastAsia" w:cs="Times New Roman"/>
          <w:bCs/>
          <w:szCs w:val="21"/>
          <w:lang w:val="en-US" w:eastAsia="zh-CN"/>
        </w:rPr>
        <w:t xml:space="preserve"> </w:t>
      </w:r>
      <w:r>
        <w:rPr>
          <w:rFonts w:hint="default" w:ascii="Times New Roman" w:hAnsi="Times New Roman" w:cs="Times New Roman"/>
          <w:bCs/>
          <w:szCs w:val="21"/>
        </w:rPr>
        <w:t>%</w:t>
      </w:r>
      <w:r>
        <w:rPr>
          <w:rFonts w:hint="eastAsia" w:ascii="Times New Roman" w:hAnsi="Times New Roman" w:cs="Times New Roman"/>
          <w:bCs/>
          <w:szCs w:val="21"/>
          <w:lang w:eastAsia="zh-CN"/>
        </w:rPr>
        <w:t>，测定方法为容量法。</w:t>
      </w:r>
    </w:p>
    <w:p>
      <w:pPr>
        <w:numPr>
          <w:ilvl w:val="0"/>
          <w:numId w:val="0"/>
        </w:numPr>
        <w:rPr>
          <w:rFonts w:hint="default"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3.2</w:t>
      </w:r>
      <w:r>
        <w:rPr>
          <w:rFonts w:hint="default" w:ascii="Times New Roman" w:hAnsi="Times New Roman" w:eastAsia="宋体" w:cs="Times New Roman"/>
          <w:b/>
          <w:bCs/>
          <w:sz w:val="21"/>
          <w:szCs w:val="21"/>
          <w:lang w:val="en-US" w:eastAsia="zh-CN"/>
        </w:rPr>
        <w:t>方法1</w:t>
      </w:r>
      <w:r>
        <w:rPr>
          <w:rFonts w:hint="eastAsia" w:ascii="Times New Roman" w:hAnsi="Times New Roman" w:cs="Times New Roman"/>
          <w:b/>
          <w:bCs/>
          <w:sz w:val="21"/>
          <w:szCs w:val="21"/>
          <w:lang w:val="en-US" w:eastAsia="zh-CN"/>
        </w:rPr>
        <w:t>火焰原子吸收光谱法</w:t>
      </w:r>
    </w:p>
    <w:p>
      <w:pPr>
        <w:numPr>
          <w:ilvl w:val="0"/>
          <w:numId w:val="0"/>
        </w:numPr>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r>
        <w:rPr>
          <w:rFonts w:hint="eastAsia" w:ascii="Times New Roman" w:hAnsi="Times New Roman" w:cs="Times New Roman"/>
          <w:sz w:val="21"/>
          <w:szCs w:val="21"/>
          <w:lang w:val="en-US" w:eastAsia="zh-CN"/>
        </w:rPr>
        <w:t>.2.1</w:t>
      </w:r>
      <w:r>
        <w:rPr>
          <w:rFonts w:hint="default" w:ascii="Times New Roman" w:hAnsi="Times New Roman" w:eastAsia="宋体" w:cs="Times New Roman"/>
          <w:sz w:val="21"/>
          <w:szCs w:val="21"/>
          <w:lang w:eastAsia="zh-CN"/>
        </w:rPr>
        <w:t>起草、验证阶段</w:t>
      </w:r>
    </w:p>
    <w:p>
      <w:pPr>
        <w:numPr>
          <w:ilvl w:val="0"/>
          <w:numId w:val="0"/>
        </w:num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我单位进行了仪器工作条件优化试验、酸度实验、检出限实验、工作曲线特性、干扰试验等条件试验，并配制了5个水平的铜冶炼烟尘样品，完成了精密度试验及加标回收试验。</w:t>
      </w:r>
    </w:p>
    <w:p>
      <w:pPr>
        <w:numPr>
          <w:ilvl w:val="0"/>
          <w:numId w:val="0"/>
        </w:num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r>
        <w:rPr>
          <w:rFonts w:hint="eastAsia" w:ascii="Times New Roman" w:hAnsi="Times New Roman" w:cs="Times New Roman"/>
          <w:sz w:val="21"/>
          <w:szCs w:val="21"/>
          <w:lang w:val="en-US" w:eastAsia="zh-CN"/>
        </w:rPr>
        <w:t>.2.2</w:t>
      </w:r>
      <w:r>
        <w:rPr>
          <w:rFonts w:hint="default" w:ascii="Times New Roman" w:hAnsi="Times New Roman" w:eastAsia="宋体" w:cs="Times New Roman"/>
          <w:sz w:val="21"/>
          <w:szCs w:val="21"/>
          <w:lang w:val="en-US" w:eastAsia="zh-CN"/>
        </w:rPr>
        <w:t xml:space="preserve"> 干扰及消除</w:t>
      </w:r>
    </w:p>
    <w:p>
      <w:pPr>
        <w:numPr>
          <w:ilvl w:val="0"/>
          <w:numId w:val="0"/>
        </w:numPr>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铜冶炼烟尘</w:t>
      </w:r>
      <w:r>
        <w:rPr>
          <w:rFonts w:hint="default" w:ascii="Times New Roman" w:hAnsi="Times New Roman" w:eastAsia="宋体" w:cs="Times New Roman"/>
          <w:sz w:val="21"/>
          <w:szCs w:val="21"/>
        </w:rPr>
        <w:t>中除了Si含量较高外，还含有较高Cu、Pb、Zn</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Bi、As、Fe、Al、Mg、Sb、Se</w:t>
      </w:r>
      <w:r>
        <w:rPr>
          <w:rFonts w:hint="default" w:ascii="Times New Roman" w:hAnsi="Times New Roman" w:eastAsia="宋体" w:cs="Times New Roman"/>
          <w:sz w:val="21"/>
          <w:szCs w:val="21"/>
        </w:rPr>
        <w:t>等，大量的Si在溶样过程中以SiF</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的形式挥散除去。</w:t>
      </w:r>
      <w:r>
        <w:rPr>
          <w:rFonts w:hint="default" w:ascii="Times New Roman" w:hAnsi="Times New Roman" w:eastAsia="宋体" w:cs="Times New Roman"/>
          <w:sz w:val="21"/>
          <w:szCs w:val="21"/>
          <w:lang w:val="en-US" w:eastAsia="zh-CN"/>
        </w:rPr>
        <w:t>根据拟定各元素的干扰上限，按本办法最小稀释倍数（0.1g，</w:t>
      </w:r>
      <w:r>
        <w:rPr>
          <w:rFonts w:hint="default" w:ascii="Times New Roman" w:hAnsi="Times New Roman" w:eastAsia="宋体" w:cs="Times New Roman"/>
          <w:sz w:val="21"/>
          <w:szCs w:val="21"/>
        </w:rPr>
        <w:t>定容于</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00mL容量瓶</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，计算出测定溶液中各元素的干扰量见表</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p>
    <w:p>
      <w:pPr>
        <w:spacing w:line="600" w:lineRule="auto"/>
        <w:ind w:firstLine="480"/>
        <w:jc w:val="center"/>
        <w:rPr>
          <w:rFonts w:hint="eastAsia" w:eastAsia="黑体"/>
          <w:sz w:val="21"/>
        </w:rPr>
      </w:pPr>
      <w:r>
        <w:rPr>
          <w:rFonts w:hint="eastAsia" w:eastAsia="黑体"/>
          <w:sz w:val="21"/>
        </w:rPr>
        <w:t>表</w:t>
      </w:r>
      <w:r>
        <w:rPr>
          <w:rFonts w:hint="eastAsia" w:eastAsia="黑体"/>
          <w:sz w:val="21"/>
          <w:lang w:val="en-US" w:eastAsia="zh-CN"/>
        </w:rPr>
        <w:t>1</w:t>
      </w:r>
      <w:r>
        <w:rPr>
          <w:rFonts w:hint="eastAsia" w:eastAsia="黑体"/>
          <w:sz w:val="21"/>
        </w:rPr>
        <w:t xml:space="preserve"> 基体元素含量</w:t>
      </w:r>
    </w:p>
    <w:tbl>
      <w:tblPr>
        <w:tblStyle w:val="21"/>
        <w:tblW w:w="7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814"/>
        <w:gridCol w:w="2042"/>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序号</w:t>
            </w:r>
          </w:p>
        </w:tc>
        <w:tc>
          <w:tcPr>
            <w:tcW w:w="1814" w:type="dxa"/>
            <w:vAlign w:val="center"/>
          </w:tcPr>
          <w:p>
            <w:pPr>
              <w:widowControl w:val="0"/>
              <w:snapToGrid w:val="0"/>
              <w:spacing w:line="360" w:lineRule="auto"/>
              <w:jc w:val="center"/>
              <w:rPr>
                <w:rFonts w:hint="eastAsia" w:ascii="黑体" w:hAnsi="黑体" w:eastAsia="黑体" w:cs="黑体"/>
                <w:kern w:val="0"/>
                <w:sz w:val="21"/>
                <w:szCs w:val="21"/>
              </w:rPr>
            </w:pPr>
            <w:r>
              <w:rPr>
                <w:rFonts w:hint="eastAsia" w:ascii="黑体" w:hAnsi="黑体" w:eastAsia="黑体" w:cs="黑体"/>
                <w:kern w:val="0"/>
                <w:sz w:val="21"/>
                <w:szCs w:val="21"/>
              </w:rPr>
              <w:t>干扰元素</w:t>
            </w:r>
          </w:p>
        </w:tc>
        <w:tc>
          <w:tcPr>
            <w:tcW w:w="2042" w:type="dxa"/>
            <w:vAlign w:val="center"/>
          </w:tcPr>
          <w:p>
            <w:pPr>
              <w:widowControl w:val="0"/>
              <w:snapToGrid w:val="0"/>
              <w:spacing w:line="360" w:lineRule="auto"/>
              <w:jc w:val="center"/>
              <w:rPr>
                <w:rFonts w:hint="eastAsia" w:ascii="黑体" w:hAnsi="黑体" w:eastAsia="黑体" w:cs="黑体"/>
                <w:kern w:val="0"/>
                <w:sz w:val="21"/>
                <w:szCs w:val="21"/>
              </w:rPr>
            </w:pPr>
            <w:r>
              <w:rPr>
                <w:rFonts w:hint="eastAsia" w:ascii="黑体" w:hAnsi="黑体" w:eastAsia="黑体" w:cs="黑体"/>
                <w:kern w:val="0"/>
                <w:sz w:val="21"/>
                <w:szCs w:val="21"/>
              </w:rPr>
              <w:t>拟定干扰上限</w:t>
            </w:r>
          </w:p>
        </w:tc>
        <w:tc>
          <w:tcPr>
            <w:tcW w:w="2800" w:type="dxa"/>
            <w:vAlign w:val="center"/>
          </w:tcPr>
          <w:p>
            <w:pPr>
              <w:widowControl w:val="0"/>
              <w:snapToGrid w:val="0"/>
              <w:spacing w:line="360" w:lineRule="auto"/>
              <w:jc w:val="center"/>
              <w:rPr>
                <w:rFonts w:hint="eastAsia" w:ascii="黑体" w:hAnsi="黑体" w:eastAsia="黑体" w:cs="黑体"/>
                <w:kern w:val="0"/>
                <w:sz w:val="21"/>
                <w:szCs w:val="21"/>
              </w:rPr>
            </w:pPr>
            <w:r>
              <w:rPr>
                <w:rFonts w:hint="eastAsia" w:ascii="黑体" w:hAnsi="黑体" w:eastAsia="黑体" w:cs="黑体"/>
                <w:kern w:val="0"/>
                <w:sz w:val="21"/>
                <w:szCs w:val="21"/>
              </w:rPr>
              <w:t>测定液中最大干扰量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w:t>
            </w:r>
          </w:p>
        </w:tc>
        <w:tc>
          <w:tcPr>
            <w:tcW w:w="1814"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Cu</w:t>
            </w:r>
          </w:p>
        </w:tc>
        <w:tc>
          <w:tcPr>
            <w:tcW w:w="2042" w:type="dxa"/>
            <w:vAlign w:val="center"/>
          </w:tcPr>
          <w:p>
            <w:pPr>
              <w:widowControl w:val="0"/>
              <w:snapToGrid w:val="0"/>
              <w:spacing w:line="360" w:lineRule="auto"/>
              <w:jc w:val="center"/>
              <w:rPr>
                <w:rFonts w:hint="default" w:ascii="Times New Roman" w:hAnsi="Times New Roman"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65%</w:t>
            </w:r>
          </w:p>
        </w:tc>
        <w:tc>
          <w:tcPr>
            <w:tcW w:w="2800"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65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2</w:t>
            </w:r>
          </w:p>
        </w:tc>
        <w:tc>
          <w:tcPr>
            <w:tcW w:w="1814"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Pb</w:t>
            </w:r>
          </w:p>
        </w:tc>
        <w:tc>
          <w:tcPr>
            <w:tcW w:w="2042" w:type="dxa"/>
            <w:vAlign w:val="center"/>
          </w:tcPr>
          <w:p>
            <w:pPr>
              <w:widowControl w:val="0"/>
              <w:snapToGrid w:val="0"/>
              <w:spacing w:line="360" w:lineRule="auto"/>
              <w:jc w:val="center"/>
              <w:rPr>
                <w:rFonts w:hint="default" w:ascii="Times New Roman" w:hAnsi="Times New Roman"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50%</w:t>
            </w:r>
          </w:p>
        </w:tc>
        <w:tc>
          <w:tcPr>
            <w:tcW w:w="2800"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50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3</w:t>
            </w:r>
          </w:p>
        </w:tc>
        <w:tc>
          <w:tcPr>
            <w:tcW w:w="1814" w:type="dxa"/>
            <w:vAlign w:val="center"/>
          </w:tcPr>
          <w:p>
            <w:pPr>
              <w:widowControl w:val="0"/>
              <w:snapToGrid w:val="0"/>
              <w:spacing w:line="360" w:lineRule="auto"/>
              <w:jc w:val="center"/>
              <w:rPr>
                <w:rFonts w:hint="default" w:ascii="Times New Roman" w:hAnsi="Times New Roman"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Zn</w:t>
            </w:r>
          </w:p>
        </w:tc>
        <w:tc>
          <w:tcPr>
            <w:tcW w:w="2042" w:type="dxa"/>
            <w:vAlign w:val="center"/>
          </w:tcPr>
          <w:p>
            <w:pPr>
              <w:widowControl w:val="0"/>
              <w:snapToGrid w:val="0"/>
              <w:spacing w:line="360" w:lineRule="auto"/>
              <w:jc w:val="center"/>
              <w:rPr>
                <w:rFonts w:hint="default" w:ascii="Times New Roman" w:hAnsi="Times New Roman"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25%</w:t>
            </w:r>
          </w:p>
        </w:tc>
        <w:tc>
          <w:tcPr>
            <w:tcW w:w="2800"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4</w:t>
            </w:r>
          </w:p>
        </w:tc>
        <w:tc>
          <w:tcPr>
            <w:tcW w:w="1814" w:type="dxa"/>
            <w:vAlign w:val="center"/>
          </w:tcPr>
          <w:p>
            <w:pPr>
              <w:widowControl w:val="0"/>
              <w:snapToGrid w:val="0"/>
              <w:spacing w:line="360" w:lineRule="auto"/>
              <w:jc w:val="center"/>
              <w:rPr>
                <w:rFonts w:hint="default" w:ascii="Times New Roman" w:hAnsi="Times New Roman"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Bi</w:t>
            </w:r>
          </w:p>
        </w:tc>
        <w:tc>
          <w:tcPr>
            <w:tcW w:w="2042" w:type="dxa"/>
            <w:vAlign w:val="center"/>
          </w:tcPr>
          <w:p>
            <w:pPr>
              <w:widowControl w:val="0"/>
              <w:snapToGrid w:val="0"/>
              <w:spacing w:line="360" w:lineRule="auto"/>
              <w:jc w:val="center"/>
              <w:rPr>
                <w:rFonts w:hint="default" w:ascii="Times New Roman" w:hAnsi="Times New Roman"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w:t>
            </w:r>
          </w:p>
        </w:tc>
        <w:tc>
          <w:tcPr>
            <w:tcW w:w="2800"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5</w:t>
            </w:r>
          </w:p>
        </w:tc>
        <w:tc>
          <w:tcPr>
            <w:tcW w:w="1814"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As</w:t>
            </w:r>
          </w:p>
        </w:tc>
        <w:tc>
          <w:tcPr>
            <w:tcW w:w="2042" w:type="dxa"/>
            <w:vAlign w:val="center"/>
          </w:tcPr>
          <w:p>
            <w:pPr>
              <w:widowControl w:val="0"/>
              <w:snapToGrid w:val="0"/>
              <w:spacing w:line="360" w:lineRule="auto"/>
              <w:jc w:val="center"/>
              <w:rPr>
                <w:rFonts w:hint="default" w:ascii="Times New Roman" w:hAnsi="Times New Roman" w:cs="Times New Roman"/>
                <w:kern w:val="0"/>
                <w:sz w:val="21"/>
                <w:szCs w:val="21"/>
              </w:rPr>
            </w:pPr>
            <w:r>
              <w:rPr>
                <w:rFonts w:hint="default" w:ascii="Times New Roman" w:hAnsi="Times New Roman" w:cs="Times New Roman"/>
                <w:i w:val="0"/>
                <w:color w:val="000000"/>
                <w:kern w:val="0"/>
                <w:sz w:val="21"/>
                <w:szCs w:val="21"/>
                <w:u w:val="none"/>
                <w:lang w:val="en-US" w:eastAsia="zh-CN" w:bidi="ar"/>
              </w:rPr>
              <w:t>25</w:t>
            </w:r>
            <w:r>
              <w:rPr>
                <w:rFonts w:hint="default" w:ascii="Times New Roman" w:hAnsi="Times New Roman" w:eastAsia="宋体" w:cs="Times New Roman"/>
                <w:i w:val="0"/>
                <w:color w:val="000000"/>
                <w:kern w:val="0"/>
                <w:sz w:val="21"/>
                <w:szCs w:val="21"/>
                <w:u w:val="none"/>
                <w:lang w:val="en-US" w:eastAsia="zh-CN" w:bidi="ar"/>
              </w:rPr>
              <w:t>%</w:t>
            </w:r>
          </w:p>
        </w:tc>
        <w:tc>
          <w:tcPr>
            <w:tcW w:w="2800"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6</w:t>
            </w:r>
          </w:p>
        </w:tc>
        <w:tc>
          <w:tcPr>
            <w:tcW w:w="1814"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In</w:t>
            </w:r>
          </w:p>
        </w:tc>
        <w:tc>
          <w:tcPr>
            <w:tcW w:w="2042"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1000 g/t</w:t>
            </w:r>
          </w:p>
        </w:tc>
        <w:tc>
          <w:tcPr>
            <w:tcW w:w="2800"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0.1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7</w:t>
            </w:r>
          </w:p>
        </w:tc>
        <w:tc>
          <w:tcPr>
            <w:tcW w:w="1814"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Sb</w:t>
            </w:r>
          </w:p>
        </w:tc>
        <w:tc>
          <w:tcPr>
            <w:tcW w:w="2042"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i w:val="0"/>
                <w:color w:val="000000"/>
                <w:kern w:val="0"/>
                <w:sz w:val="21"/>
                <w:szCs w:val="21"/>
                <w:u w:val="none"/>
                <w:lang w:val="en-US" w:eastAsia="zh-CN" w:bidi="ar"/>
              </w:rPr>
              <w:t>5</w:t>
            </w:r>
            <w:r>
              <w:rPr>
                <w:rFonts w:hint="default" w:ascii="Times New Roman" w:hAnsi="Times New Roman" w:eastAsia="宋体" w:cs="Times New Roman"/>
                <w:i w:val="0"/>
                <w:color w:val="000000"/>
                <w:kern w:val="0"/>
                <w:sz w:val="21"/>
                <w:szCs w:val="21"/>
                <w:u w:val="none"/>
                <w:lang w:val="en-US" w:eastAsia="zh-CN" w:bidi="ar"/>
              </w:rPr>
              <w:t>%</w:t>
            </w:r>
          </w:p>
        </w:tc>
        <w:tc>
          <w:tcPr>
            <w:tcW w:w="2800" w:type="dxa"/>
            <w:vAlign w:val="center"/>
          </w:tcPr>
          <w:p>
            <w:pPr>
              <w:widowControl w:val="0"/>
              <w:snapToGrid w:val="0"/>
              <w:spacing w:line="360" w:lineRule="auto"/>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8</w:t>
            </w:r>
          </w:p>
        </w:tc>
        <w:tc>
          <w:tcPr>
            <w:tcW w:w="1814"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Au</w:t>
            </w:r>
          </w:p>
        </w:tc>
        <w:tc>
          <w:tcPr>
            <w:tcW w:w="2042"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50 g/t</w:t>
            </w:r>
          </w:p>
        </w:tc>
        <w:tc>
          <w:tcPr>
            <w:tcW w:w="2800"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 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9</w:t>
            </w:r>
          </w:p>
        </w:tc>
        <w:tc>
          <w:tcPr>
            <w:tcW w:w="1814"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Ag</w:t>
            </w:r>
          </w:p>
        </w:tc>
        <w:tc>
          <w:tcPr>
            <w:tcW w:w="2042"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1500 g/t</w:t>
            </w:r>
          </w:p>
        </w:tc>
        <w:tc>
          <w:tcPr>
            <w:tcW w:w="2800"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0.15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10</w:t>
            </w:r>
          </w:p>
        </w:tc>
        <w:tc>
          <w:tcPr>
            <w:tcW w:w="1814"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Fe</w:t>
            </w:r>
          </w:p>
        </w:tc>
        <w:tc>
          <w:tcPr>
            <w:tcW w:w="2042"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22%</w:t>
            </w:r>
          </w:p>
        </w:tc>
        <w:tc>
          <w:tcPr>
            <w:tcW w:w="2800"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22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11</w:t>
            </w:r>
          </w:p>
        </w:tc>
        <w:tc>
          <w:tcPr>
            <w:tcW w:w="1814"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Al</w:t>
            </w:r>
            <w:r>
              <w:rPr>
                <w:rFonts w:hint="default" w:ascii="Times New Roman" w:hAnsi="Times New Roman" w:eastAsia="宋体" w:cs="Times New Roman"/>
                <w:i w:val="0"/>
                <w:color w:val="000000"/>
                <w:kern w:val="0"/>
                <w:sz w:val="21"/>
                <w:szCs w:val="21"/>
                <w:u w:val="none"/>
                <w:vertAlign w:val="subscript"/>
                <w:lang w:val="en-US" w:eastAsia="zh-CN" w:bidi="ar"/>
              </w:rPr>
              <w:t>2</w:t>
            </w:r>
            <w:r>
              <w:rPr>
                <w:rFonts w:hint="default" w:ascii="Times New Roman" w:hAnsi="Times New Roman" w:eastAsia="宋体" w:cs="Times New Roman"/>
                <w:i w:val="0"/>
                <w:color w:val="000000"/>
                <w:kern w:val="0"/>
                <w:sz w:val="21"/>
                <w:szCs w:val="21"/>
                <w:u w:val="none"/>
                <w:lang w:val="en-US" w:eastAsia="zh-CN" w:bidi="ar"/>
              </w:rPr>
              <w:t>O</w:t>
            </w:r>
            <w:r>
              <w:rPr>
                <w:rFonts w:hint="default" w:ascii="Times New Roman" w:hAnsi="Times New Roman" w:eastAsia="宋体" w:cs="Times New Roman"/>
                <w:i w:val="0"/>
                <w:color w:val="000000"/>
                <w:kern w:val="0"/>
                <w:sz w:val="21"/>
                <w:szCs w:val="21"/>
                <w:u w:val="none"/>
                <w:vertAlign w:val="subscript"/>
                <w:lang w:val="en-US" w:eastAsia="zh-CN" w:bidi="ar"/>
              </w:rPr>
              <w:t>3</w:t>
            </w:r>
          </w:p>
        </w:tc>
        <w:tc>
          <w:tcPr>
            <w:tcW w:w="2042"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w:t>
            </w:r>
          </w:p>
        </w:tc>
        <w:tc>
          <w:tcPr>
            <w:tcW w:w="2800"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12</w:t>
            </w:r>
          </w:p>
        </w:tc>
        <w:tc>
          <w:tcPr>
            <w:tcW w:w="1814"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SiO</w:t>
            </w:r>
            <w:r>
              <w:rPr>
                <w:rFonts w:hint="default" w:ascii="Times New Roman" w:hAnsi="Times New Roman" w:eastAsia="宋体" w:cs="Times New Roman"/>
                <w:i w:val="0"/>
                <w:color w:val="000000"/>
                <w:kern w:val="0"/>
                <w:sz w:val="21"/>
                <w:szCs w:val="21"/>
                <w:u w:val="none"/>
                <w:vertAlign w:val="subscript"/>
                <w:lang w:val="en-US" w:eastAsia="zh-CN" w:bidi="ar"/>
              </w:rPr>
              <w:t>2</w:t>
            </w:r>
          </w:p>
        </w:tc>
        <w:tc>
          <w:tcPr>
            <w:tcW w:w="2042"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20%</w:t>
            </w:r>
          </w:p>
        </w:tc>
        <w:tc>
          <w:tcPr>
            <w:tcW w:w="2800"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13</w:t>
            </w:r>
          </w:p>
        </w:tc>
        <w:tc>
          <w:tcPr>
            <w:tcW w:w="1814"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Ca</w:t>
            </w:r>
          </w:p>
        </w:tc>
        <w:tc>
          <w:tcPr>
            <w:tcW w:w="2042"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1.50%</w:t>
            </w:r>
          </w:p>
        </w:tc>
        <w:tc>
          <w:tcPr>
            <w:tcW w:w="2800"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14</w:t>
            </w:r>
          </w:p>
        </w:tc>
        <w:tc>
          <w:tcPr>
            <w:tcW w:w="1814"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Mg</w:t>
            </w:r>
          </w:p>
        </w:tc>
        <w:tc>
          <w:tcPr>
            <w:tcW w:w="2042"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tc>
        <w:tc>
          <w:tcPr>
            <w:tcW w:w="2800"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15</w:t>
            </w:r>
          </w:p>
        </w:tc>
        <w:tc>
          <w:tcPr>
            <w:tcW w:w="1814"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Sn</w:t>
            </w:r>
          </w:p>
        </w:tc>
        <w:tc>
          <w:tcPr>
            <w:tcW w:w="2042"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w:t>
            </w:r>
          </w:p>
        </w:tc>
        <w:tc>
          <w:tcPr>
            <w:tcW w:w="2800"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16</w:t>
            </w:r>
          </w:p>
        </w:tc>
        <w:tc>
          <w:tcPr>
            <w:tcW w:w="1814"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Se</w:t>
            </w:r>
          </w:p>
        </w:tc>
        <w:tc>
          <w:tcPr>
            <w:tcW w:w="2042"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tc>
        <w:tc>
          <w:tcPr>
            <w:tcW w:w="2800"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09"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17</w:t>
            </w:r>
          </w:p>
        </w:tc>
        <w:tc>
          <w:tcPr>
            <w:tcW w:w="1814"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Te</w:t>
            </w:r>
          </w:p>
        </w:tc>
        <w:tc>
          <w:tcPr>
            <w:tcW w:w="2042" w:type="dxa"/>
            <w:vAlign w:val="center"/>
          </w:tcPr>
          <w:p>
            <w:pPr>
              <w:widowControl w:val="0"/>
              <w:snapToGrid w:val="0"/>
              <w:spacing w:line="360" w:lineRule="auto"/>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0.10%</w:t>
            </w:r>
          </w:p>
        </w:tc>
        <w:tc>
          <w:tcPr>
            <w:tcW w:w="2800" w:type="dxa"/>
            <w:vAlign w:val="center"/>
          </w:tcPr>
          <w:p>
            <w:pPr>
              <w:widowControl w:val="0"/>
              <w:snapToGrid w:val="0"/>
              <w:spacing w:line="36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0.1 mg</w:t>
            </w:r>
          </w:p>
        </w:tc>
      </w:tr>
    </w:tbl>
    <w:p>
      <w:pPr>
        <w:spacing w:line="600" w:lineRule="auto"/>
        <w:ind w:firstLine="480"/>
        <w:jc w:val="center"/>
        <w:rPr>
          <w:rFonts w:hint="eastAsia" w:eastAsia="黑体"/>
          <w:sz w:val="21"/>
        </w:rPr>
      </w:pPr>
    </w:p>
    <w:p>
      <w:pPr>
        <w:spacing w:line="600" w:lineRule="auto"/>
        <w:ind w:firstLine="480"/>
        <w:jc w:val="center"/>
        <w:rPr>
          <w:rFonts w:hint="eastAsia" w:eastAsia="黑体"/>
          <w:sz w:val="21"/>
        </w:rPr>
      </w:pPr>
    </w:p>
    <w:p>
      <w:pPr>
        <w:spacing w:line="600" w:lineRule="auto"/>
        <w:ind w:firstLine="480"/>
        <w:jc w:val="center"/>
        <w:rPr>
          <w:rFonts w:hint="eastAsia" w:eastAsia="黑体"/>
          <w:sz w:val="21"/>
        </w:rPr>
      </w:pPr>
      <w:r>
        <w:rPr>
          <w:rFonts w:hint="eastAsia" w:eastAsia="黑体"/>
          <w:sz w:val="21"/>
        </w:rPr>
        <w:t>表</w:t>
      </w:r>
      <w:r>
        <w:rPr>
          <w:rFonts w:hint="eastAsia" w:eastAsia="黑体"/>
          <w:sz w:val="21"/>
          <w:lang w:val="en-US" w:eastAsia="zh-CN"/>
        </w:rPr>
        <w:t>2</w:t>
      </w:r>
      <w:r>
        <w:rPr>
          <w:rFonts w:hint="eastAsia" w:eastAsia="黑体"/>
          <w:sz w:val="21"/>
        </w:rPr>
        <w:t xml:space="preserve">  共存元素对镉的测定影响</w:t>
      </w:r>
    </w:p>
    <w:tbl>
      <w:tblPr>
        <w:tblStyle w:val="20"/>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025"/>
        <w:gridCol w:w="2796"/>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共存元素</w:t>
            </w:r>
          </w:p>
        </w:tc>
        <w:tc>
          <w:tcPr>
            <w:tcW w:w="2025" w:type="dxa"/>
            <w:shd w:val="clear" w:color="auto" w:fill="auto"/>
            <w:noWrap w:val="0"/>
            <w:vAlign w:val="center"/>
          </w:tcPr>
          <w:p>
            <w:pPr>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共存元素加入量</w:t>
            </w:r>
          </w:p>
        </w:tc>
        <w:tc>
          <w:tcPr>
            <w:tcW w:w="2796" w:type="dxa"/>
            <w:shd w:val="clear" w:color="auto" w:fill="auto"/>
            <w:noWrap w:val="0"/>
            <w:vAlign w:val="center"/>
          </w:tcPr>
          <w:p>
            <w:pPr>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rPr>
              <w:t>0.</w:t>
            </w:r>
            <w:r>
              <w:rPr>
                <w:rFonts w:hint="default" w:ascii="Times New Roman" w:hAnsi="Times New Roman" w:eastAsia="黑体" w:cs="Times New Roman"/>
                <w:color w:val="auto"/>
                <w:sz w:val="21"/>
                <w:szCs w:val="21"/>
                <w:lang w:val="en-US" w:eastAsia="zh-CN"/>
              </w:rPr>
              <w:t>2</w:t>
            </w:r>
            <w:r>
              <w:rPr>
                <w:rFonts w:hint="default" w:ascii="Times New Roman" w:hAnsi="Times New Roman" w:eastAsia="黑体" w:cs="Times New Roman"/>
                <w:color w:val="auto"/>
                <w:sz w:val="21"/>
                <w:szCs w:val="21"/>
              </w:rPr>
              <w:t>0μg/mL镉标液镉量</w:t>
            </w:r>
            <w:r>
              <w:rPr>
                <w:rFonts w:hint="default" w:ascii="Times New Roman" w:hAnsi="Times New Roman" w:eastAsia="黑体" w:cs="Times New Roman"/>
                <w:color w:val="auto"/>
                <w:sz w:val="21"/>
                <w:szCs w:val="21"/>
                <w:lang w:eastAsia="zh-CN"/>
              </w:rPr>
              <w:t>，</w:t>
            </w:r>
            <w:r>
              <w:rPr>
                <w:rFonts w:hint="default" w:ascii="Times New Roman" w:hAnsi="Times New Roman" w:eastAsia="黑体" w:cs="Times New Roman"/>
                <w:color w:val="auto"/>
                <w:sz w:val="21"/>
                <w:szCs w:val="21"/>
                <w:lang w:val="en-US" w:eastAsia="zh-CN"/>
              </w:rPr>
              <w:t>A</w:t>
            </w:r>
          </w:p>
        </w:tc>
        <w:tc>
          <w:tcPr>
            <w:tcW w:w="2790" w:type="dxa"/>
            <w:noWrap w:val="0"/>
            <w:vAlign w:val="center"/>
          </w:tcPr>
          <w:p>
            <w:pPr>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0.8</w:t>
            </w:r>
            <w:r>
              <w:rPr>
                <w:rFonts w:hint="default" w:ascii="Times New Roman" w:hAnsi="Times New Roman" w:eastAsia="黑体" w:cs="Times New Roman"/>
                <w:color w:val="auto"/>
                <w:sz w:val="21"/>
                <w:szCs w:val="21"/>
              </w:rPr>
              <w:t>0μg/mL镉标液镉量</w:t>
            </w:r>
            <w:r>
              <w:rPr>
                <w:rFonts w:hint="default" w:ascii="Times New Roman" w:hAnsi="Times New Roman" w:eastAsia="黑体" w:cs="Times New Roman"/>
                <w:color w:val="auto"/>
                <w:sz w:val="21"/>
                <w:szCs w:val="21"/>
                <w:lang w:eastAsia="zh-CN"/>
              </w:rPr>
              <w:t>，</w:t>
            </w:r>
            <w:r>
              <w:rPr>
                <w:rFonts w:hint="default" w:ascii="Times New Roman" w:hAnsi="Times New Roman" w:eastAsia="黑体" w:cs="Times New Roman"/>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不加干扰元素</w:t>
            </w:r>
          </w:p>
        </w:tc>
        <w:tc>
          <w:tcPr>
            <w:tcW w:w="2025" w:type="dxa"/>
            <w:shd w:val="clear" w:color="auto" w:fill="auto"/>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w:t>
            </w:r>
          </w:p>
        </w:tc>
        <w:tc>
          <w:tcPr>
            <w:tcW w:w="2796" w:type="dxa"/>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0.0709</w:t>
            </w:r>
          </w:p>
        </w:tc>
        <w:tc>
          <w:tcPr>
            <w:tcW w:w="2790"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Cu</w:t>
            </w:r>
          </w:p>
        </w:tc>
        <w:tc>
          <w:tcPr>
            <w:tcW w:w="20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65 mg</w:t>
            </w:r>
          </w:p>
        </w:tc>
        <w:tc>
          <w:tcPr>
            <w:tcW w:w="2796" w:type="dxa"/>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0.0701</w:t>
            </w:r>
          </w:p>
        </w:tc>
        <w:tc>
          <w:tcPr>
            <w:tcW w:w="2790"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Pb</w:t>
            </w:r>
          </w:p>
        </w:tc>
        <w:tc>
          <w:tcPr>
            <w:tcW w:w="20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50 mg</w:t>
            </w:r>
          </w:p>
        </w:tc>
        <w:tc>
          <w:tcPr>
            <w:tcW w:w="2796" w:type="dxa"/>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0.0703</w:t>
            </w:r>
          </w:p>
        </w:tc>
        <w:tc>
          <w:tcPr>
            <w:tcW w:w="2790"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color w:val="auto"/>
                <w:kern w:val="0"/>
                <w:sz w:val="21"/>
                <w:szCs w:val="21"/>
                <w:u w:val="none"/>
                <w:lang w:val="en-US" w:eastAsia="zh-CN" w:bidi="ar"/>
              </w:rPr>
              <w:t>Zn</w:t>
            </w:r>
          </w:p>
        </w:tc>
        <w:tc>
          <w:tcPr>
            <w:tcW w:w="20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25 mg</w:t>
            </w:r>
          </w:p>
        </w:tc>
        <w:tc>
          <w:tcPr>
            <w:tcW w:w="2796" w:type="dxa"/>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0.0699</w:t>
            </w:r>
          </w:p>
        </w:tc>
        <w:tc>
          <w:tcPr>
            <w:tcW w:w="2790"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Bi</w:t>
            </w:r>
          </w:p>
        </w:tc>
        <w:tc>
          <w:tcPr>
            <w:tcW w:w="20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15 mg</w:t>
            </w:r>
          </w:p>
        </w:tc>
        <w:tc>
          <w:tcPr>
            <w:tcW w:w="2796" w:type="dxa"/>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0.0705</w:t>
            </w:r>
          </w:p>
        </w:tc>
        <w:tc>
          <w:tcPr>
            <w:tcW w:w="2790"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As</w:t>
            </w:r>
          </w:p>
        </w:tc>
        <w:tc>
          <w:tcPr>
            <w:tcW w:w="20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25 mg</w:t>
            </w:r>
          </w:p>
        </w:tc>
        <w:tc>
          <w:tcPr>
            <w:tcW w:w="2796" w:type="dxa"/>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0.0708</w:t>
            </w:r>
          </w:p>
        </w:tc>
        <w:tc>
          <w:tcPr>
            <w:tcW w:w="2790"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In</w:t>
            </w:r>
          </w:p>
        </w:tc>
        <w:tc>
          <w:tcPr>
            <w:tcW w:w="2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0.1 mg</w:t>
            </w:r>
          </w:p>
        </w:tc>
        <w:tc>
          <w:tcPr>
            <w:tcW w:w="2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0.0707</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Sb</w:t>
            </w:r>
          </w:p>
        </w:tc>
        <w:tc>
          <w:tcPr>
            <w:tcW w:w="2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5 mg</w:t>
            </w:r>
          </w:p>
        </w:tc>
        <w:tc>
          <w:tcPr>
            <w:tcW w:w="2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0.0709</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Au</w:t>
            </w:r>
          </w:p>
        </w:tc>
        <w:tc>
          <w:tcPr>
            <w:tcW w:w="2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5 ug</w:t>
            </w:r>
          </w:p>
        </w:tc>
        <w:tc>
          <w:tcPr>
            <w:tcW w:w="2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0.0710</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Ag</w:t>
            </w:r>
          </w:p>
        </w:tc>
        <w:tc>
          <w:tcPr>
            <w:tcW w:w="2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0.15 mg</w:t>
            </w:r>
          </w:p>
        </w:tc>
        <w:tc>
          <w:tcPr>
            <w:tcW w:w="2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0.0700</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Fe</w:t>
            </w:r>
          </w:p>
        </w:tc>
        <w:tc>
          <w:tcPr>
            <w:tcW w:w="2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22 mg</w:t>
            </w:r>
          </w:p>
        </w:tc>
        <w:tc>
          <w:tcPr>
            <w:tcW w:w="2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0.0705</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Al</w:t>
            </w:r>
            <w:r>
              <w:rPr>
                <w:rFonts w:hint="default" w:ascii="Times New Roman" w:hAnsi="Times New Roman" w:eastAsia="宋体" w:cs="Times New Roman"/>
                <w:i w:val="0"/>
                <w:color w:val="auto"/>
                <w:kern w:val="0"/>
                <w:sz w:val="21"/>
                <w:szCs w:val="21"/>
                <w:u w:val="none"/>
                <w:vertAlign w:val="subscript"/>
                <w:lang w:val="en-US" w:eastAsia="zh-CN" w:bidi="ar"/>
              </w:rPr>
              <w:t>2</w:t>
            </w:r>
            <w:r>
              <w:rPr>
                <w:rFonts w:hint="default" w:ascii="Times New Roman" w:hAnsi="Times New Roman" w:eastAsia="宋体" w:cs="Times New Roman"/>
                <w:i w:val="0"/>
                <w:color w:val="auto"/>
                <w:kern w:val="0"/>
                <w:sz w:val="21"/>
                <w:szCs w:val="21"/>
                <w:u w:val="none"/>
                <w:lang w:val="en-US" w:eastAsia="zh-CN" w:bidi="ar"/>
              </w:rPr>
              <w:t>O</w:t>
            </w:r>
            <w:r>
              <w:rPr>
                <w:rFonts w:hint="default" w:ascii="Times New Roman" w:hAnsi="Times New Roman" w:eastAsia="宋体" w:cs="Times New Roman"/>
                <w:i w:val="0"/>
                <w:color w:val="auto"/>
                <w:kern w:val="0"/>
                <w:sz w:val="21"/>
                <w:szCs w:val="21"/>
                <w:u w:val="none"/>
                <w:vertAlign w:val="subscript"/>
                <w:lang w:val="en-US" w:eastAsia="zh-CN" w:bidi="ar"/>
              </w:rPr>
              <w:t>3</w:t>
            </w:r>
          </w:p>
        </w:tc>
        <w:tc>
          <w:tcPr>
            <w:tcW w:w="2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3 mg</w:t>
            </w:r>
          </w:p>
        </w:tc>
        <w:tc>
          <w:tcPr>
            <w:tcW w:w="2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0.0702</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Ca</w:t>
            </w:r>
          </w:p>
        </w:tc>
        <w:tc>
          <w:tcPr>
            <w:tcW w:w="2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1.5 mg</w:t>
            </w:r>
          </w:p>
        </w:tc>
        <w:tc>
          <w:tcPr>
            <w:tcW w:w="2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0.0706</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Mg</w:t>
            </w:r>
          </w:p>
        </w:tc>
        <w:tc>
          <w:tcPr>
            <w:tcW w:w="2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1 mg</w:t>
            </w:r>
          </w:p>
        </w:tc>
        <w:tc>
          <w:tcPr>
            <w:tcW w:w="2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0.0705</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Sn</w:t>
            </w:r>
          </w:p>
        </w:tc>
        <w:tc>
          <w:tcPr>
            <w:tcW w:w="2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3 mg</w:t>
            </w:r>
          </w:p>
        </w:tc>
        <w:tc>
          <w:tcPr>
            <w:tcW w:w="2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0.0701</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Se</w:t>
            </w:r>
          </w:p>
        </w:tc>
        <w:tc>
          <w:tcPr>
            <w:tcW w:w="2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1 mg</w:t>
            </w:r>
          </w:p>
        </w:tc>
        <w:tc>
          <w:tcPr>
            <w:tcW w:w="2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0.0702</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25" w:type="dxa"/>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Te</w:t>
            </w:r>
          </w:p>
        </w:tc>
        <w:tc>
          <w:tcPr>
            <w:tcW w:w="2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0.1 mg</w:t>
            </w:r>
          </w:p>
        </w:tc>
        <w:tc>
          <w:tcPr>
            <w:tcW w:w="2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0.0703</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gridSpan w:val="2"/>
            <w:tcBorders>
              <w:left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Cu 30</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mg、Pb 20 mg、Zn 10</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mg、Bi 10 mg、As 10 mg、In 0.1 mg、Sb 5</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mg、Au 5 ug、Ag 0.15mg、Fe 10 mg、</w:t>
            </w:r>
            <w:r>
              <w:rPr>
                <w:rFonts w:hint="default" w:ascii="Times New Roman" w:hAnsi="Times New Roman" w:eastAsia="宋体" w:cs="Times New Roman"/>
                <w:i w:val="0"/>
                <w:color w:val="auto"/>
                <w:kern w:val="0"/>
                <w:sz w:val="21"/>
                <w:szCs w:val="21"/>
                <w:u w:val="none"/>
                <w:lang w:val="en-US" w:eastAsia="zh-CN" w:bidi="ar"/>
              </w:rPr>
              <w:t>Al</w:t>
            </w:r>
            <w:r>
              <w:rPr>
                <w:rFonts w:hint="default" w:ascii="Times New Roman" w:hAnsi="Times New Roman" w:eastAsia="宋体" w:cs="Times New Roman"/>
                <w:i w:val="0"/>
                <w:color w:val="auto"/>
                <w:kern w:val="0"/>
                <w:sz w:val="21"/>
                <w:szCs w:val="21"/>
                <w:u w:val="none"/>
                <w:vertAlign w:val="subscript"/>
                <w:lang w:val="en-US" w:eastAsia="zh-CN" w:bidi="ar"/>
              </w:rPr>
              <w:t>2</w:t>
            </w:r>
            <w:r>
              <w:rPr>
                <w:rFonts w:hint="default" w:ascii="Times New Roman" w:hAnsi="Times New Roman" w:eastAsia="宋体" w:cs="Times New Roman"/>
                <w:i w:val="0"/>
                <w:color w:val="auto"/>
                <w:kern w:val="0"/>
                <w:sz w:val="21"/>
                <w:szCs w:val="21"/>
                <w:u w:val="none"/>
                <w:lang w:val="en-US" w:eastAsia="zh-CN" w:bidi="ar"/>
              </w:rPr>
              <w:t>O</w:t>
            </w:r>
            <w:r>
              <w:rPr>
                <w:rFonts w:hint="default" w:ascii="Times New Roman" w:hAnsi="Times New Roman" w:eastAsia="宋体" w:cs="Times New Roman"/>
                <w:i w:val="0"/>
                <w:color w:val="auto"/>
                <w:kern w:val="0"/>
                <w:sz w:val="21"/>
                <w:szCs w:val="21"/>
                <w:u w:val="none"/>
                <w:vertAlign w:val="subscript"/>
                <w:lang w:val="en-US" w:eastAsia="zh-CN" w:bidi="ar"/>
              </w:rPr>
              <w:t>3</w:t>
            </w:r>
            <w:r>
              <w:rPr>
                <w:rFonts w:hint="default" w:ascii="Times New Roman" w:hAnsi="Times New Roman" w:cs="Times New Roman"/>
                <w:i w:val="0"/>
                <w:color w:val="auto"/>
                <w:kern w:val="0"/>
                <w:sz w:val="21"/>
                <w:szCs w:val="21"/>
                <w:u w:val="none"/>
                <w:vertAlign w:val="subscript"/>
                <w:lang w:val="en-US" w:eastAsia="zh-CN" w:bidi="ar"/>
              </w:rPr>
              <w:t xml:space="preserve"> </w:t>
            </w:r>
            <w:r>
              <w:rPr>
                <w:rFonts w:hint="default" w:ascii="Times New Roman" w:hAnsi="Times New Roman" w:cs="Times New Roman"/>
                <w:i w:val="0"/>
                <w:color w:val="auto"/>
                <w:kern w:val="0"/>
                <w:sz w:val="21"/>
                <w:szCs w:val="21"/>
                <w:u w:val="none"/>
                <w:vertAlign w:val="baseline"/>
                <w:lang w:val="en-US" w:eastAsia="zh-CN" w:bidi="ar"/>
              </w:rPr>
              <w:t>3 mg、Ca 1.5 mg、Mg 1 mg、Sn 3 mg、Se 1 mg 、Te 0.1 mg</w:t>
            </w:r>
          </w:p>
        </w:tc>
        <w:tc>
          <w:tcPr>
            <w:tcW w:w="2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0.0705</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0.2808</w:t>
            </w:r>
          </w:p>
        </w:tc>
      </w:tr>
    </w:tbl>
    <w:p>
      <w:pPr>
        <w:spacing w:line="360" w:lineRule="auto"/>
        <w:ind w:firstLine="435"/>
        <w:rPr>
          <w:rFonts w:hint="eastAsia" w:ascii="宋体" w:hAnsi="宋体"/>
          <w:szCs w:val="21"/>
          <w:lang w:val="en-US" w:eastAsia="zh-CN"/>
        </w:rPr>
      </w:pPr>
      <w:r>
        <w:rPr>
          <w:rFonts w:hint="eastAsia" w:ascii="Times New Roman" w:hAnsi="Times New Roman" w:cs="Times New Roman"/>
          <w:szCs w:val="21"/>
          <w:lang w:val="en-US" w:eastAsia="zh-CN"/>
        </w:rPr>
        <w:t>表2</w:t>
      </w:r>
      <w:r>
        <w:rPr>
          <w:rFonts w:hint="default" w:ascii="Times New Roman" w:hAnsi="Times New Roman" w:cs="Times New Roman"/>
          <w:szCs w:val="21"/>
        </w:rPr>
        <w:t>结果表明，上述共存元素对</w:t>
      </w:r>
      <w:r>
        <w:rPr>
          <w:rFonts w:hint="default" w:ascii="Times New Roman" w:hAnsi="Times New Roman" w:cs="Times New Roman"/>
          <w:szCs w:val="21"/>
          <w:lang w:val="en-US" w:eastAsia="zh-CN"/>
        </w:rPr>
        <w:t>0.20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μg/mL和</w:t>
      </w:r>
      <w:r>
        <w:rPr>
          <w:rFonts w:hint="default" w:ascii="Times New Roman" w:hAnsi="Times New Roman" w:cs="Times New Roman"/>
          <w:szCs w:val="21"/>
          <w:lang w:val="en-US" w:eastAsia="zh-CN"/>
        </w:rPr>
        <w:t>0.80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μg/mLCd的测定</w:t>
      </w:r>
      <w:r>
        <w:rPr>
          <w:rFonts w:hint="default" w:ascii="Times New Roman" w:hAnsi="Times New Roman" w:cs="Times New Roman"/>
          <w:szCs w:val="21"/>
          <w:lang w:val="en-US" w:eastAsia="zh-CN"/>
        </w:rPr>
        <w:t>基本无影响。</w:t>
      </w:r>
      <w:r>
        <w:rPr>
          <w:rFonts w:hint="eastAsia" w:ascii="宋体" w:hAnsi="宋体"/>
          <w:szCs w:val="21"/>
          <w:lang w:val="en-US" w:eastAsia="zh-CN"/>
        </w:rPr>
        <w:t xml:space="preserve"> </w:t>
      </w:r>
    </w:p>
    <w:p>
      <w:pPr>
        <w:spacing w:line="360" w:lineRule="auto"/>
        <w:rPr>
          <w:rFonts w:hint="default" w:ascii="Times New Roman" w:hAnsi="Times New Roman" w:cs="Times New Roman"/>
          <w:b/>
          <w:bCs/>
          <w:szCs w:val="21"/>
          <w:lang w:val="en-US" w:eastAsia="zh-CN"/>
        </w:rPr>
      </w:pPr>
      <w:r>
        <w:rPr>
          <w:rFonts w:hint="default" w:ascii="Times New Roman" w:hAnsi="Times New Roman" w:cs="Times New Roman"/>
          <w:b/>
          <w:bCs/>
          <w:szCs w:val="21"/>
          <w:lang w:val="en-US" w:eastAsia="zh-CN"/>
        </w:rPr>
        <w:t>3.3 方法2 容量法</w:t>
      </w:r>
    </w:p>
    <w:p>
      <w:pPr>
        <w:adjustRightInd w:val="0"/>
        <w:snapToGrid w:val="0"/>
        <w:spacing w:before="50" w:after="50"/>
        <w:rPr>
          <w:b/>
          <w:bCs/>
          <w:szCs w:val="21"/>
        </w:rPr>
      </w:pPr>
      <w:r>
        <w:rPr>
          <w:rFonts w:hint="eastAsia"/>
          <w:b/>
          <w:bCs/>
          <w:szCs w:val="21"/>
          <w:lang w:val="en-US" w:eastAsia="zh-CN"/>
        </w:rPr>
        <w:t>3.3.1</w:t>
      </w:r>
      <w:r>
        <w:rPr>
          <w:rFonts w:hint="eastAsia"/>
          <w:b/>
          <w:bCs/>
          <w:szCs w:val="21"/>
        </w:rPr>
        <w:t>.</w:t>
      </w:r>
      <w:r>
        <w:rPr>
          <w:rFonts w:hint="eastAsia"/>
          <w:b/>
          <w:bCs/>
          <w:szCs w:val="21"/>
          <w:lang w:val="en-US" w:eastAsia="zh-CN"/>
        </w:rPr>
        <w:t>1</w:t>
      </w:r>
      <w:r>
        <w:rPr>
          <w:rFonts w:hint="eastAsia"/>
          <w:b/>
          <w:bCs/>
          <w:szCs w:val="21"/>
        </w:rPr>
        <w:t xml:space="preserve"> 共存元素的干扰</w:t>
      </w:r>
    </w:p>
    <w:p>
      <w:pPr>
        <w:snapToGrid w:val="0"/>
        <w:ind w:firstLine="420" w:firstLineChars="200"/>
        <w:rPr>
          <w:szCs w:val="21"/>
        </w:rPr>
      </w:pPr>
      <w:r>
        <w:rPr>
          <w:rFonts w:hAnsi="宋体"/>
          <w:szCs w:val="21"/>
        </w:rPr>
        <w:t>根据任务落实会确定的样品种类，我们对</w:t>
      </w:r>
      <w:r>
        <w:rPr>
          <w:rFonts w:hint="eastAsia" w:hAnsi="宋体"/>
          <w:szCs w:val="21"/>
        </w:rPr>
        <w:t>铜冶炼烟尘</w:t>
      </w:r>
      <w:r>
        <w:rPr>
          <w:rFonts w:hAnsi="宋体"/>
          <w:szCs w:val="21"/>
        </w:rPr>
        <w:t>中主要成分的影响进行了干扰试验及消除干扰试验，表</w:t>
      </w:r>
      <w:r>
        <w:rPr>
          <w:rFonts w:hint="eastAsia" w:hAnsi="宋体"/>
          <w:szCs w:val="21"/>
          <w:lang w:val="en-US" w:eastAsia="zh-CN"/>
        </w:rPr>
        <w:t>3</w:t>
      </w:r>
      <w:r>
        <w:rPr>
          <w:rFonts w:hAnsi="宋体"/>
          <w:szCs w:val="21"/>
        </w:rPr>
        <w:t>为</w:t>
      </w:r>
      <w:r>
        <w:rPr>
          <w:rFonts w:hint="eastAsia" w:hAnsi="宋体"/>
          <w:szCs w:val="21"/>
        </w:rPr>
        <w:t>铜冶炼烟尘</w:t>
      </w:r>
      <w:r>
        <w:rPr>
          <w:rFonts w:hAnsi="宋体"/>
          <w:szCs w:val="21"/>
        </w:rPr>
        <w:t>主要成分表。</w:t>
      </w:r>
    </w:p>
    <w:p>
      <w:pPr>
        <w:spacing w:line="600" w:lineRule="auto"/>
        <w:ind w:firstLine="480"/>
        <w:jc w:val="center"/>
        <w:rPr>
          <w:rFonts w:hint="eastAsia" w:eastAsia="黑体"/>
          <w:sz w:val="21"/>
        </w:rPr>
      </w:pPr>
      <w:r>
        <w:rPr>
          <w:rFonts w:hint="eastAsia" w:eastAsia="黑体"/>
          <w:sz w:val="21"/>
        </w:rPr>
        <w:t>表</w:t>
      </w:r>
      <w:r>
        <w:rPr>
          <w:rFonts w:hint="eastAsia" w:eastAsia="黑体"/>
          <w:sz w:val="21"/>
          <w:lang w:val="en-US" w:eastAsia="zh-CN"/>
        </w:rPr>
        <w:t>3</w:t>
      </w:r>
      <w:r>
        <w:rPr>
          <w:rFonts w:hint="eastAsia" w:eastAsia="黑体"/>
          <w:sz w:val="21"/>
        </w:rPr>
        <w:t>铜冶炼烟尘主要成分表</w:t>
      </w:r>
    </w:p>
    <w:tbl>
      <w:tblPr>
        <w:tblStyle w:val="2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snapToGrid w:val="0"/>
              <w:jc w:val="center"/>
              <w:rPr>
                <w:szCs w:val="21"/>
              </w:rPr>
            </w:pPr>
            <w:r>
              <w:rPr>
                <w:rFonts w:hAnsi="宋体"/>
                <w:szCs w:val="21"/>
              </w:rPr>
              <w:t>元素</w:t>
            </w:r>
          </w:p>
        </w:tc>
        <w:tc>
          <w:tcPr>
            <w:tcW w:w="4898" w:type="dxa"/>
            <w:vAlign w:val="center"/>
          </w:tcPr>
          <w:p>
            <w:pPr>
              <w:snapToGrid w:val="0"/>
              <w:jc w:val="center"/>
              <w:rPr>
                <w:szCs w:val="21"/>
              </w:rPr>
            </w:pPr>
            <w:r>
              <w:rPr>
                <w:rFonts w:hAnsi="宋体"/>
                <w:szCs w:val="21"/>
              </w:rPr>
              <w:t>含量</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3" w:type="dxa"/>
            <w:vAlign w:val="center"/>
          </w:tcPr>
          <w:p>
            <w:pPr>
              <w:snapToGrid w:val="0"/>
              <w:jc w:val="center"/>
              <w:rPr>
                <w:szCs w:val="21"/>
              </w:rPr>
            </w:pPr>
            <w:r>
              <w:rPr>
                <w:rFonts w:hint="eastAsia"/>
                <w:szCs w:val="21"/>
              </w:rPr>
              <w:t>Au</w:t>
            </w:r>
          </w:p>
        </w:tc>
        <w:tc>
          <w:tcPr>
            <w:tcW w:w="4898" w:type="dxa"/>
            <w:vAlign w:val="center"/>
          </w:tcPr>
          <w:p>
            <w:pPr>
              <w:snapToGrid w:val="0"/>
              <w:jc w:val="center"/>
              <w:rPr>
                <w:szCs w:val="21"/>
              </w:rPr>
            </w:pPr>
            <w:r>
              <w:rPr>
                <w:rFonts w:hint="eastAsia"/>
                <w:szCs w:val="21"/>
              </w:rPr>
              <w:t>0.000041~0.003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snapToGrid w:val="0"/>
              <w:jc w:val="center"/>
              <w:rPr>
                <w:szCs w:val="21"/>
              </w:rPr>
            </w:pPr>
            <w:r>
              <w:rPr>
                <w:rFonts w:hint="eastAsia"/>
                <w:szCs w:val="21"/>
              </w:rPr>
              <w:t>Ag</w:t>
            </w:r>
          </w:p>
        </w:tc>
        <w:tc>
          <w:tcPr>
            <w:tcW w:w="4898" w:type="dxa"/>
            <w:vAlign w:val="center"/>
          </w:tcPr>
          <w:p>
            <w:pPr>
              <w:snapToGrid w:val="0"/>
              <w:jc w:val="center"/>
              <w:rPr>
                <w:szCs w:val="21"/>
              </w:rPr>
            </w:pPr>
            <w:r>
              <w:rPr>
                <w:rFonts w:hint="eastAsia"/>
                <w:szCs w:val="21"/>
              </w:rPr>
              <w:t>0.0042~0.045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snapToGrid w:val="0"/>
              <w:jc w:val="center"/>
              <w:rPr>
                <w:szCs w:val="21"/>
              </w:rPr>
            </w:pPr>
            <w:r>
              <w:rPr>
                <w:rFonts w:hint="eastAsia"/>
                <w:szCs w:val="21"/>
              </w:rPr>
              <w:t>Bi</w:t>
            </w:r>
          </w:p>
        </w:tc>
        <w:tc>
          <w:tcPr>
            <w:tcW w:w="4898" w:type="dxa"/>
            <w:vAlign w:val="center"/>
          </w:tcPr>
          <w:p>
            <w:pPr>
              <w:snapToGrid w:val="0"/>
              <w:jc w:val="center"/>
              <w:rPr>
                <w:szCs w:val="21"/>
              </w:rPr>
            </w:pPr>
            <w:r>
              <w:rPr>
                <w:rFonts w:hint="eastAsia"/>
                <w:szCs w:val="21"/>
              </w:rPr>
              <w:t>0.085~1.4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snapToGrid w:val="0"/>
              <w:jc w:val="center"/>
              <w:rPr>
                <w:szCs w:val="21"/>
              </w:rPr>
            </w:pPr>
            <w:r>
              <w:rPr>
                <w:rFonts w:hint="eastAsia"/>
                <w:szCs w:val="21"/>
              </w:rPr>
              <w:t>Pb</w:t>
            </w:r>
          </w:p>
        </w:tc>
        <w:tc>
          <w:tcPr>
            <w:tcW w:w="4898" w:type="dxa"/>
            <w:vAlign w:val="center"/>
          </w:tcPr>
          <w:p>
            <w:pPr>
              <w:snapToGrid w:val="0"/>
              <w:jc w:val="center"/>
              <w:rPr>
                <w:szCs w:val="21"/>
              </w:rPr>
            </w:pPr>
            <w:r>
              <w:rPr>
                <w:rFonts w:hint="eastAsia"/>
                <w:szCs w:val="21"/>
              </w:rPr>
              <w:t>0.71~52.0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snapToGrid w:val="0"/>
              <w:jc w:val="center"/>
              <w:rPr>
                <w:szCs w:val="21"/>
              </w:rPr>
            </w:pPr>
            <w:r>
              <w:rPr>
                <w:rFonts w:hint="eastAsia"/>
                <w:szCs w:val="21"/>
              </w:rPr>
              <w:t>Zn</w:t>
            </w:r>
          </w:p>
        </w:tc>
        <w:tc>
          <w:tcPr>
            <w:tcW w:w="4898" w:type="dxa"/>
            <w:vAlign w:val="center"/>
          </w:tcPr>
          <w:p>
            <w:pPr>
              <w:snapToGrid w:val="0"/>
              <w:jc w:val="center"/>
              <w:rPr>
                <w:szCs w:val="21"/>
              </w:rPr>
            </w:pPr>
            <w:r>
              <w:rPr>
                <w:rFonts w:hint="eastAsia"/>
                <w:szCs w:val="21"/>
              </w:rPr>
              <w:t>0.50~25.0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snapToGrid w:val="0"/>
              <w:jc w:val="center"/>
              <w:rPr>
                <w:szCs w:val="21"/>
              </w:rPr>
            </w:pPr>
            <w:r>
              <w:rPr>
                <w:rFonts w:hint="eastAsia"/>
                <w:szCs w:val="21"/>
              </w:rPr>
              <w:t>Cd</w:t>
            </w:r>
          </w:p>
        </w:tc>
        <w:tc>
          <w:tcPr>
            <w:tcW w:w="4898" w:type="dxa"/>
            <w:vAlign w:val="center"/>
          </w:tcPr>
          <w:p>
            <w:pPr>
              <w:snapToGrid w:val="0"/>
              <w:jc w:val="center"/>
              <w:rPr>
                <w:szCs w:val="21"/>
              </w:rPr>
            </w:pPr>
            <w:r>
              <w:rPr>
                <w:rFonts w:hint="eastAsia"/>
                <w:szCs w:val="21"/>
              </w:rPr>
              <w:t>0.05~16.0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snapToGrid w:val="0"/>
              <w:jc w:val="center"/>
              <w:rPr>
                <w:szCs w:val="21"/>
              </w:rPr>
            </w:pPr>
            <w:r>
              <w:rPr>
                <w:rFonts w:hint="eastAsia"/>
                <w:szCs w:val="21"/>
              </w:rPr>
              <w:t>In</w:t>
            </w:r>
          </w:p>
        </w:tc>
        <w:tc>
          <w:tcPr>
            <w:tcW w:w="4898" w:type="dxa"/>
            <w:vAlign w:val="center"/>
          </w:tcPr>
          <w:p>
            <w:pPr>
              <w:snapToGrid w:val="0"/>
              <w:jc w:val="center"/>
              <w:rPr>
                <w:szCs w:val="21"/>
              </w:rPr>
            </w:pPr>
            <w:r>
              <w:rPr>
                <w:rFonts w:hint="eastAsia"/>
                <w:szCs w:val="21"/>
              </w:rPr>
              <w:t>0.0095~0.1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snapToGrid w:val="0"/>
              <w:jc w:val="center"/>
              <w:rPr>
                <w:szCs w:val="21"/>
              </w:rPr>
            </w:pPr>
            <w:r>
              <w:rPr>
                <w:rFonts w:hint="eastAsia"/>
                <w:szCs w:val="21"/>
              </w:rPr>
              <w:t>Sb</w:t>
            </w:r>
          </w:p>
        </w:tc>
        <w:tc>
          <w:tcPr>
            <w:tcW w:w="4898" w:type="dxa"/>
            <w:vAlign w:val="center"/>
          </w:tcPr>
          <w:p>
            <w:pPr>
              <w:snapToGrid w:val="0"/>
              <w:jc w:val="center"/>
              <w:rPr>
                <w:szCs w:val="21"/>
              </w:rPr>
            </w:pPr>
            <w:r>
              <w:rPr>
                <w:rFonts w:hint="eastAsia"/>
                <w:szCs w:val="21"/>
              </w:rPr>
              <w:t>0.046~2.5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snapToGrid w:val="0"/>
              <w:jc w:val="center"/>
              <w:rPr>
                <w:szCs w:val="21"/>
              </w:rPr>
            </w:pPr>
            <w:r>
              <w:rPr>
                <w:rFonts w:hint="eastAsia"/>
                <w:szCs w:val="21"/>
              </w:rPr>
              <w:t>Cu</w:t>
            </w:r>
          </w:p>
        </w:tc>
        <w:tc>
          <w:tcPr>
            <w:tcW w:w="4898" w:type="dxa"/>
            <w:vAlign w:val="center"/>
          </w:tcPr>
          <w:p>
            <w:pPr>
              <w:snapToGrid w:val="0"/>
              <w:jc w:val="center"/>
              <w:rPr>
                <w:szCs w:val="21"/>
              </w:rPr>
            </w:pPr>
            <w:r>
              <w:rPr>
                <w:rFonts w:hint="eastAsia"/>
                <w:szCs w:val="21"/>
              </w:rPr>
              <w:t>0.86~65.0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snapToGrid w:val="0"/>
              <w:jc w:val="center"/>
              <w:rPr>
                <w:szCs w:val="21"/>
              </w:rPr>
            </w:pPr>
            <w:r>
              <w:rPr>
                <w:rFonts w:hint="eastAsia"/>
                <w:szCs w:val="21"/>
              </w:rPr>
              <w:t>As</w:t>
            </w:r>
          </w:p>
        </w:tc>
        <w:tc>
          <w:tcPr>
            <w:tcW w:w="4898" w:type="dxa"/>
            <w:vAlign w:val="center"/>
          </w:tcPr>
          <w:p>
            <w:pPr>
              <w:snapToGrid w:val="0"/>
              <w:jc w:val="center"/>
              <w:rPr>
                <w:szCs w:val="21"/>
              </w:rPr>
            </w:pPr>
            <w:r>
              <w:rPr>
                <w:rFonts w:hint="eastAsia"/>
                <w:szCs w:val="21"/>
              </w:rPr>
              <w:t>0.25~28.1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snapToGrid w:val="0"/>
              <w:jc w:val="center"/>
              <w:rPr>
                <w:szCs w:val="21"/>
              </w:rPr>
            </w:pPr>
            <w:r>
              <w:rPr>
                <w:rFonts w:hint="eastAsia"/>
                <w:szCs w:val="21"/>
              </w:rPr>
              <w:t>Fe</w:t>
            </w:r>
          </w:p>
        </w:tc>
        <w:tc>
          <w:tcPr>
            <w:tcW w:w="4898" w:type="dxa"/>
            <w:vAlign w:val="center"/>
          </w:tcPr>
          <w:p>
            <w:pPr>
              <w:snapToGrid w:val="0"/>
              <w:jc w:val="center"/>
              <w:rPr>
                <w:szCs w:val="21"/>
              </w:rPr>
            </w:pPr>
            <w:r>
              <w:rPr>
                <w:rFonts w:hint="eastAsia"/>
                <w:szCs w:val="21"/>
              </w:rPr>
              <w:t>0.3~3.2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snapToGrid w:val="0"/>
              <w:jc w:val="center"/>
              <w:rPr>
                <w:szCs w:val="21"/>
              </w:rPr>
            </w:pPr>
            <w:r>
              <w:rPr>
                <w:rFonts w:hint="eastAsia"/>
                <w:szCs w:val="21"/>
              </w:rPr>
              <w:t>Al</w:t>
            </w:r>
          </w:p>
        </w:tc>
        <w:tc>
          <w:tcPr>
            <w:tcW w:w="4898" w:type="dxa"/>
            <w:vAlign w:val="center"/>
          </w:tcPr>
          <w:p>
            <w:pPr>
              <w:snapToGrid w:val="0"/>
              <w:jc w:val="center"/>
              <w:rPr>
                <w:szCs w:val="21"/>
              </w:rPr>
            </w:pPr>
            <w:r>
              <w:rPr>
                <w:rFonts w:hint="eastAsia"/>
                <w:szCs w:val="21"/>
              </w:rPr>
              <w:t>5.1~12.7</w:t>
            </w:r>
          </w:p>
        </w:tc>
      </w:tr>
    </w:tbl>
    <w:p>
      <w:pPr>
        <w:adjustRightInd w:val="0"/>
        <w:snapToGrid w:val="0"/>
        <w:spacing w:before="50" w:after="50"/>
        <w:rPr>
          <w:rFonts w:hint="eastAsia"/>
          <w:b/>
          <w:bCs/>
          <w:szCs w:val="21"/>
          <w:lang w:val="en-US" w:eastAsia="zh-CN"/>
        </w:rPr>
      </w:pPr>
      <w:r>
        <w:rPr>
          <w:rFonts w:hint="eastAsia"/>
          <w:b/>
          <w:bCs/>
          <w:szCs w:val="21"/>
          <w:lang w:val="en-US" w:eastAsia="zh-CN"/>
        </w:rPr>
        <w:t>3.3.1.2 铅的影响</w:t>
      </w:r>
    </w:p>
    <w:p>
      <w:pPr>
        <w:ind w:firstLine="420" w:firstLineChars="200"/>
        <w:outlineLvl w:val="0"/>
        <w:rPr>
          <w:rFonts w:hint="default" w:ascii="Times New Roman" w:hAnsi="Times New Roman" w:cs="Times New Roman"/>
        </w:rPr>
      </w:pPr>
      <w:r>
        <w:rPr>
          <w:rFonts w:hint="default" w:ascii="Times New Roman" w:hAnsi="Times New Roman" w:cs="Times New Roman"/>
        </w:rPr>
        <w:t>铅在pH值5~6时与EDTA 络合稳定，与二甲酚橙也生成稳定络合物，干扰镉的测定。</w:t>
      </w:r>
    </w:p>
    <w:p>
      <w:pPr>
        <w:ind w:firstLine="420" w:firstLineChars="200"/>
        <w:rPr>
          <w:rFonts w:hint="default" w:ascii="Times New Roman" w:hAnsi="Times New Roman" w:cs="Times New Roman"/>
        </w:rPr>
      </w:pPr>
      <w:r>
        <w:rPr>
          <w:rFonts w:hint="default" w:ascii="Times New Roman" w:hAnsi="Times New Roman" w:cs="Times New Roman"/>
        </w:rPr>
        <w:t>移取10.00mL镉标准溶液，加入不同量铅，按不分离铅实验步骤进行测定，结果见表</w:t>
      </w:r>
      <w:r>
        <w:rPr>
          <w:rFonts w:hint="default" w:ascii="Times New Roman" w:hAnsi="Times New Roman" w:cs="Times New Roman"/>
          <w:lang w:val="en-US" w:eastAsia="zh-CN"/>
        </w:rPr>
        <w:t>4</w:t>
      </w:r>
      <w:r>
        <w:rPr>
          <w:rFonts w:hint="default" w:ascii="Times New Roman" w:hAnsi="Times New Roman" w:cs="Times New Roman"/>
        </w:rPr>
        <w:t>。</w:t>
      </w:r>
    </w:p>
    <w:p>
      <w:pPr>
        <w:spacing w:line="600" w:lineRule="auto"/>
        <w:ind w:firstLine="480"/>
        <w:jc w:val="center"/>
        <w:rPr>
          <w:rFonts w:hint="eastAsia" w:eastAsia="黑体"/>
          <w:sz w:val="21"/>
        </w:rPr>
      </w:pPr>
      <w:r>
        <w:rPr>
          <w:rFonts w:hint="eastAsia" w:eastAsia="黑体"/>
          <w:sz w:val="21"/>
        </w:rPr>
        <w:t>表</w:t>
      </w:r>
      <w:r>
        <w:rPr>
          <w:rFonts w:hint="eastAsia" w:eastAsia="黑体"/>
          <w:sz w:val="21"/>
          <w:lang w:val="en-US" w:eastAsia="zh-CN"/>
        </w:rPr>
        <w:t>4</w:t>
      </w:r>
      <w:r>
        <w:rPr>
          <w:rFonts w:hint="eastAsia" w:eastAsia="黑体"/>
          <w:sz w:val="21"/>
        </w:rPr>
        <w:t xml:space="preserve"> 铅对镉测定的影响</w:t>
      </w:r>
    </w:p>
    <w:tbl>
      <w:tblPr>
        <w:tblStyle w:val="2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89"/>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center"/>
            </w:pPr>
            <w:r>
              <w:rPr>
                <w:rFonts w:hint="eastAsia" w:hAnsi="宋体"/>
              </w:rPr>
              <w:t>镉</w:t>
            </w:r>
            <w:r>
              <w:rPr>
                <w:rFonts w:hAnsi="宋体"/>
              </w:rPr>
              <w:t>量</w:t>
            </w:r>
            <w:r>
              <w:t>/mg</w:t>
            </w:r>
          </w:p>
        </w:tc>
        <w:tc>
          <w:tcPr>
            <w:tcW w:w="3189" w:type="dxa"/>
          </w:tcPr>
          <w:p>
            <w:pPr>
              <w:jc w:val="center"/>
            </w:pPr>
            <w:r>
              <w:rPr>
                <w:rFonts w:hAnsi="宋体"/>
              </w:rPr>
              <w:t>铅量</w:t>
            </w:r>
            <w:r>
              <w:t>/mg</w:t>
            </w:r>
          </w:p>
        </w:tc>
        <w:tc>
          <w:tcPr>
            <w:tcW w:w="3192" w:type="dxa"/>
          </w:tcPr>
          <w:p>
            <w:pPr>
              <w:jc w:val="center"/>
            </w:pPr>
            <w:r>
              <w:rPr>
                <w:rFonts w:hAnsi="宋体"/>
              </w:rPr>
              <w:t>测得</w:t>
            </w:r>
            <w:r>
              <w:rPr>
                <w:rFonts w:hint="eastAsia" w:hAnsi="宋体"/>
              </w:rPr>
              <w:t>镉</w:t>
            </w:r>
            <w:r>
              <w:rPr>
                <w:rFonts w:hAnsi="宋体"/>
              </w:rPr>
              <w:t>量</w:t>
            </w:r>
            <w: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vAlign w:val="center"/>
          </w:tcPr>
          <w:p>
            <w:pPr>
              <w:jc w:val="center"/>
            </w:pPr>
            <w:r>
              <w:rPr>
                <w:rFonts w:hint="eastAsia"/>
              </w:rPr>
              <w:t>20.00</w:t>
            </w:r>
          </w:p>
        </w:tc>
        <w:tc>
          <w:tcPr>
            <w:tcW w:w="3189" w:type="dxa"/>
          </w:tcPr>
          <w:p>
            <w:pPr>
              <w:jc w:val="center"/>
            </w:pPr>
            <w:r>
              <w:t>6</w:t>
            </w:r>
          </w:p>
        </w:tc>
        <w:tc>
          <w:tcPr>
            <w:tcW w:w="3192" w:type="dxa"/>
          </w:tcPr>
          <w:p>
            <w:pPr>
              <w:jc w:val="center"/>
            </w:pPr>
            <w:r>
              <w:rPr>
                <w:rFonts w:hint="eastAsia"/>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pPr>
              <w:jc w:val="center"/>
            </w:pPr>
          </w:p>
        </w:tc>
        <w:tc>
          <w:tcPr>
            <w:tcW w:w="3189" w:type="dxa"/>
          </w:tcPr>
          <w:p>
            <w:pPr>
              <w:jc w:val="center"/>
            </w:pPr>
            <w:r>
              <w:t>8</w:t>
            </w:r>
          </w:p>
        </w:tc>
        <w:tc>
          <w:tcPr>
            <w:tcW w:w="3192" w:type="dxa"/>
          </w:tcPr>
          <w:p>
            <w:pPr>
              <w:jc w:val="center"/>
            </w:pPr>
            <w:r>
              <w:rPr>
                <w:rFonts w:hint="eastAsia"/>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pPr>
              <w:jc w:val="center"/>
            </w:pPr>
          </w:p>
        </w:tc>
        <w:tc>
          <w:tcPr>
            <w:tcW w:w="3189" w:type="dxa"/>
          </w:tcPr>
          <w:p>
            <w:pPr>
              <w:jc w:val="center"/>
            </w:pPr>
            <w:r>
              <w:t>10</w:t>
            </w:r>
          </w:p>
        </w:tc>
        <w:tc>
          <w:tcPr>
            <w:tcW w:w="3192" w:type="dxa"/>
          </w:tcPr>
          <w:p>
            <w:pPr>
              <w:jc w:val="center"/>
            </w:pPr>
            <w:r>
              <w:rPr>
                <w:rFonts w:hint="eastAsia"/>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pPr>
              <w:jc w:val="center"/>
            </w:pPr>
          </w:p>
        </w:tc>
        <w:tc>
          <w:tcPr>
            <w:tcW w:w="3189" w:type="dxa"/>
          </w:tcPr>
          <w:p>
            <w:pPr>
              <w:jc w:val="center"/>
            </w:pPr>
            <w:r>
              <w:t>12</w:t>
            </w:r>
          </w:p>
        </w:tc>
        <w:tc>
          <w:tcPr>
            <w:tcW w:w="3192" w:type="dxa"/>
          </w:tcPr>
          <w:p>
            <w:pPr>
              <w:jc w:val="center"/>
            </w:pPr>
            <w:r>
              <w:rPr>
                <w:rFonts w:hint="eastAsia"/>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pPr>
              <w:jc w:val="center"/>
            </w:pPr>
          </w:p>
        </w:tc>
        <w:tc>
          <w:tcPr>
            <w:tcW w:w="3189" w:type="dxa"/>
          </w:tcPr>
          <w:p>
            <w:pPr>
              <w:jc w:val="center"/>
            </w:pPr>
            <w:r>
              <w:t>14</w:t>
            </w:r>
          </w:p>
        </w:tc>
        <w:tc>
          <w:tcPr>
            <w:tcW w:w="3192" w:type="dxa"/>
          </w:tcPr>
          <w:p>
            <w:pPr>
              <w:jc w:val="center"/>
            </w:pP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pPr>
              <w:jc w:val="center"/>
            </w:pPr>
          </w:p>
        </w:tc>
        <w:tc>
          <w:tcPr>
            <w:tcW w:w="3189" w:type="dxa"/>
          </w:tcPr>
          <w:p>
            <w:pPr>
              <w:jc w:val="center"/>
            </w:pPr>
            <w:r>
              <w:t>16</w:t>
            </w:r>
          </w:p>
        </w:tc>
        <w:tc>
          <w:tcPr>
            <w:tcW w:w="3192" w:type="dxa"/>
          </w:tcPr>
          <w:p>
            <w:pPr>
              <w:jc w:val="center"/>
            </w:pPr>
            <w:r>
              <w:rPr>
                <w:rFonts w:hint="eastAsia"/>
              </w:rPr>
              <w:t>20.15</w:t>
            </w:r>
          </w:p>
        </w:tc>
      </w:tr>
    </w:tbl>
    <w:p>
      <w:pPr>
        <w:ind w:firstLine="420" w:firstLineChars="200"/>
        <w:rPr>
          <w:rFonts w:hAnsi="宋体"/>
        </w:rPr>
      </w:pPr>
      <w:r>
        <w:rPr>
          <w:rFonts w:hint="eastAsia" w:hAnsi="宋体"/>
        </w:rPr>
        <w:t>结果</w:t>
      </w:r>
      <w:r>
        <w:rPr>
          <w:rFonts w:hAnsi="宋体"/>
        </w:rPr>
        <w:t>表明</w:t>
      </w:r>
      <w:r>
        <w:rPr>
          <w:rFonts w:hint="eastAsia" w:hAnsi="宋体"/>
        </w:rPr>
        <w:t>，</w:t>
      </w:r>
      <w:r>
        <w:rPr>
          <w:rFonts w:hAnsi="宋体"/>
        </w:rPr>
        <w:t>当试样中含铅</w:t>
      </w:r>
      <w:r>
        <w:rPr>
          <w:rFonts w:hint="eastAsia" w:hAnsi="宋体"/>
        </w:rPr>
        <w:t>量</w:t>
      </w:r>
      <w:r>
        <w:rPr>
          <w:rFonts w:hAnsi="宋体"/>
        </w:rPr>
        <w:t>小于</w:t>
      </w:r>
      <w:r>
        <w:t>12mg</w:t>
      </w:r>
      <w:r>
        <w:rPr>
          <w:rFonts w:hAnsi="宋体"/>
        </w:rPr>
        <w:t>（称样量为</w:t>
      </w:r>
      <w:r>
        <w:t>0.2000g</w:t>
      </w:r>
      <w:r>
        <w:rPr>
          <w:rFonts w:hAnsi="宋体"/>
        </w:rPr>
        <w:t>时，相当于</w:t>
      </w:r>
      <w:r>
        <w:t>6%</w:t>
      </w:r>
      <w:r>
        <w:rPr>
          <w:rFonts w:hAnsi="宋体"/>
        </w:rPr>
        <w:t>的</w:t>
      </w:r>
      <w:r>
        <w:rPr>
          <w:rFonts w:hint="eastAsia" w:hAnsi="宋体"/>
        </w:rPr>
        <w:t>铅</w:t>
      </w:r>
      <w:r>
        <w:rPr>
          <w:rFonts w:hAnsi="宋体"/>
        </w:rPr>
        <w:t>含量）时，</w:t>
      </w:r>
      <w:r>
        <w:rPr>
          <w:rFonts w:hint="eastAsia" w:hAnsi="宋体"/>
        </w:rPr>
        <w:t>经氨水沉淀过滤基本上能分离掉铅，</w:t>
      </w:r>
      <w:r>
        <w:rPr>
          <w:rFonts w:hAnsi="宋体"/>
        </w:rPr>
        <w:t>当铅</w:t>
      </w:r>
      <w:r>
        <w:rPr>
          <w:rFonts w:hint="eastAsia" w:ascii="宋体" w:hAnsi="宋体" w:cs="宋体"/>
        </w:rPr>
        <w:t>≥</w:t>
      </w:r>
      <w:r>
        <w:rPr>
          <w:rFonts w:hint="eastAsia"/>
        </w:rPr>
        <w:t>12mg</w:t>
      </w:r>
      <w:r>
        <w:rPr>
          <w:rFonts w:hAnsi="宋体"/>
        </w:rPr>
        <w:t>时，分离效果不佳。</w:t>
      </w:r>
      <w:r>
        <w:rPr>
          <w:rFonts w:hint="eastAsia" w:hAnsi="宋体"/>
        </w:rPr>
        <w:t>拟</w:t>
      </w:r>
      <w:r>
        <w:rPr>
          <w:rFonts w:hAnsi="宋体"/>
        </w:rPr>
        <w:t>采用硫酸铅沉淀分离消除</w:t>
      </w:r>
      <w:r>
        <w:rPr>
          <w:rFonts w:hint="eastAsia" w:hAnsi="宋体"/>
        </w:rPr>
        <w:t>高含量铅的</w:t>
      </w:r>
      <w:r>
        <w:rPr>
          <w:rFonts w:hAnsi="宋体"/>
        </w:rPr>
        <w:t>干扰。</w:t>
      </w:r>
      <w:r>
        <w:rPr>
          <w:rFonts w:hint="eastAsia" w:hAnsi="宋体"/>
        </w:rPr>
        <w:t>并研究了分离硫酸铅沉淀对镉测定的影响。移</w:t>
      </w:r>
      <w:r>
        <w:rPr>
          <w:rFonts w:hAnsi="宋体"/>
        </w:rPr>
        <w:t>取</w:t>
      </w:r>
      <w:r>
        <w:rPr>
          <w:rFonts w:hint="eastAsia"/>
        </w:rPr>
        <w:t>10.00</w:t>
      </w:r>
      <w:r>
        <w:t>mL</w:t>
      </w:r>
      <w:r>
        <w:rPr>
          <w:rFonts w:hint="eastAsia" w:hAnsi="宋体"/>
        </w:rPr>
        <w:t>镉</w:t>
      </w:r>
      <w:r>
        <w:rPr>
          <w:rFonts w:hAnsi="宋体"/>
        </w:rPr>
        <w:t>标准溶液，加入不同</w:t>
      </w:r>
      <w:r>
        <w:rPr>
          <w:rFonts w:hint="eastAsia" w:hAnsi="宋体"/>
        </w:rPr>
        <w:t>量</w:t>
      </w:r>
      <w:r>
        <w:rPr>
          <w:rFonts w:hAnsi="宋体"/>
        </w:rPr>
        <w:t>的铅标准溶液，以下</w:t>
      </w:r>
      <w:r>
        <w:rPr>
          <w:rFonts w:hint="eastAsia" w:hAnsi="宋体"/>
        </w:rPr>
        <w:t>按</w:t>
      </w:r>
      <w:r>
        <w:rPr>
          <w:rFonts w:hint="eastAsia" w:hAnsi="宋体"/>
          <w:lang w:eastAsia="zh-CN"/>
        </w:rPr>
        <w:t>实验报告中</w:t>
      </w:r>
      <w:r>
        <w:rPr>
          <w:rFonts w:hint="eastAsia" w:hAnsi="宋体"/>
        </w:rPr>
        <w:t>1.2.4.3进行</w:t>
      </w:r>
      <w:r>
        <w:rPr>
          <w:rFonts w:hAnsi="宋体"/>
        </w:rPr>
        <w:t>，</w:t>
      </w:r>
      <w:r>
        <w:rPr>
          <w:rFonts w:hAnsi="宋体"/>
          <w:szCs w:val="21"/>
        </w:rPr>
        <w:t>结果见表</w:t>
      </w:r>
      <w:r>
        <w:rPr>
          <w:rFonts w:hint="eastAsia" w:hAnsi="宋体"/>
          <w:szCs w:val="21"/>
          <w:lang w:val="en-US" w:eastAsia="zh-CN"/>
        </w:rPr>
        <w:t>5</w:t>
      </w:r>
      <w:r>
        <w:rPr>
          <w:rFonts w:hAnsi="宋体"/>
          <w:szCs w:val="21"/>
        </w:rPr>
        <w:t>。</w:t>
      </w:r>
    </w:p>
    <w:p>
      <w:pPr>
        <w:jc w:val="center"/>
      </w:pPr>
      <w:r>
        <w:rPr>
          <w:rFonts w:hAnsi="宋体"/>
        </w:rPr>
        <w:t>表</w:t>
      </w:r>
      <w:r>
        <w:rPr>
          <w:rFonts w:hint="eastAsia"/>
          <w:lang w:val="en-US" w:eastAsia="zh-CN"/>
        </w:rPr>
        <w:t>5</w:t>
      </w:r>
      <w:r>
        <w:rPr>
          <w:rFonts w:hAnsi="宋体"/>
        </w:rPr>
        <w:t>分离铅对</w:t>
      </w:r>
      <w:r>
        <w:rPr>
          <w:rFonts w:hint="eastAsia" w:hAnsi="宋体"/>
        </w:rPr>
        <w:t>镉</w:t>
      </w:r>
      <w:r>
        <w:rPr>
          <w:rFonts w:hAnsi="宋体"/>
        </w:rPr>
        <w:t>测定的影响</w:t>
      </w:r>
    </w:p>
    <w:tbl>
      <w:tblPr>
        <w:tblStyle w:val="2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89"/>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pPr>
              <w:jc w:val="center"/>
            </w:pPr>
            <w:r>
              <w:rPr>
                <w:rFonts w:hint="eastAsia" w:hAnsi="宋体"/>
              </w:rPr>
              <w:t>镉</w:t>
            </w:r>
            <w:r>
              <w:rPr>
                <w:rFonts w:hAnsi="宋体"/>
              </w:rPr>
              <w:t>量</w:t>
            </w:r>
            <w:r>
              <w:t>/mg</w:t>
            </w:r>
          </w:p>
        </w:tc>
        <w:tc>
          <w:tcPr>
            <w:tcW w:w="3189" w:type="dxa"/>
            <w:vAlign w:val="center"/>
          </w:tcPr>
          <w:p>
            <w:pPr>
              <w:jc w:val="center"/>
            </w:pPr>
            <w:r>
              <w:rPr>
                <w:rFonts w:hAnsi="宋体"/>
              </w:rPr>
              <w:t>铅量</w:t>
            </w:r>
            <w:r>
              <w:t>/mg</w:t>
            </w:r>
          </w:p>
        </w:tc>
        <w:tc>
          <w:tcPr>
            <w:tcW w:w="3192" w:type="dxa"/>
            <w:vAlign w:val="center"/>
          </w:tcPr>
          <w:p>
            <w:pPr>
              <w:jc w:val="center"/>
            </w:pPr>
            <w:r>
              <w:rPr>
                <w:rFonts w:hAnsi="宋体"/>
              </w:rPr>
              <w:t>测得</w:t>
            </w:r>
            <w:r>
              <w:rPr>
                <w:rFonts w:hint="eastAsia" w:hAnsi="宋体"/>
              </w:rPr>
              <w:t>镉</w:t>
            </w:r>
            <w:r>
              <w:rPr>
                <w:rFonts w:hAnsi="宋体"/>
              </w:rPr>
              <w:t>量</w:t>
            </w:r>
            <w: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vAlign w:val="center"/>
          </w:tcPr>
          <w:p>
            <w:pPr>
              <w:jc w:val="center"/>
            </w:pPr>
            <w:r>
              <w:rPr>
                <w:rFonts w:hint="eastAsia"/>
              </w:rPr>
              <w:t>20.00</w:t>
            </w:r>
          </w:p>
        </w:tc>
        <w:tc>
          <w:tcPr>
            <w:tcW w:w="3189" w:type="dxa"/>
            <w:vAlign w:val="center"/>
          </w:tcPr>
          <w:p>
            <w:pPr>
              <w:jc w:val="center"/>
            </w:pPr>
            <w:r>
              <w:t>6</w:t>
            </w:r>
          </w:p>
        </w:tc>
        <w:tc>
          <w:tcPr>
            <w:tcW w:w="3192" w:type="dxa"/>
            <w:vAlign w:val="center"/>
          </w:tcPr>
          <w:p>
            <w:pPr>
              <w:jc w:val="center"/>
            </w:pPr>
            <w:r>
              <w:rPr>
                <w:rFonts w:hint="eastAsia"/>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vAlign w:val="center"/>
          </w:tcPr>
          <w:p>
            <w:pPr>
              <w:jc w:val="center"/>
            </w:pPr>
          </w:p>
        </w:tc>
        <w:tc>
          <w:tcPr>
            <w:tcW w:w="3189" w:type="dxa"/>
            <w:vAlign w:val="center"/>
          </w:tcPr>
          <w:p>
            <w:pPr>
              <w:jc w:val="center"/>
            </w:pPr>
            <w:r>
              <w:t>8</w:t>
            </w:r>
          </w:p>
        </w:tc>
        <w:tc>
          <w:tcPr>
            <w:tcW w:w="3192" w:type="dxa"/>
            <w:vAlign w:val="center"/>
          </w:tcPr>
          <w:p>
            <w:pPr>
              <w:jc w:val="center"/>
            </w:pPr>
            <w:r>
              <w:rPr>
                <w:rFonts w:hint="eastAsia"/>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vAlign w:val="center"/>
          </w:tcPr>
          <w:p>
            <w:pPr>
              <w:jc w:val="center"/>
            </w:pPr>
          </w:p>
        </w:tc>
        <w:tc>
          <w:tcPr>
            <w:tcW w:w="3189" w:type="dxa"/>
            <w:vAlign w:val="center"/>
          </w:tcPr>
          <w:p>
            <w:pPr>
              <w:jc w:val="center"/>
            </w:pPr>
            <w:r>
              <w:t>10</w:t>
            </w:r>
          </w:p>
        </w:tc>
        <w:tc>
          <w:tcPr>
            <w:tcW w:w="3192" w:type="dxa"/>
            <w:vAlign w:val="center"/>
          </w:tcPr>
          <w:p>
            <w:pPr>
              <w:jc w:val="center"/>
            </w:pPr>
            <w:r>
              <w:rPr>
                <w:rFonts w:hint="eastAsi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vAlign w:val="center"/>
          </w:tcPr>
          <w:p>
            <w:pPr>
              <w:jc w:val="center"/>
            </w:pPr>
          </w:p>
        </w:tc>
        <w:tc>
          <w:tcPr>
            <w:tcW w:w="3189" w:type="dxa"/>
            <w:vAlign w:val="center"/>
          </w:tcPr>
          <w:p>
            <w:pPr>
              <w:jc w:val="center"/>
            </w:pPr>
            <w:r>
              <w:rPr>
                <w:rFonts w:hint="eastAsia"/>
              </w:rPr>
              <w:t>20</w:t>
            </w:r>
          </w:p>
        </w:tc>
        <w:tc>
          <w:tcPr>
            <w:tcW w:w="3192" w:type="dxa"/>
            <w:vAlign w:val="center"/>
          </w:tcPr>
          <w:p>
            <w:pPr>
              <w:jc w:val="center"/>
            </w:pPr>
            <w:r>
              <w:rPr>
                <w:rFonts w:hint="eastAsi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vAlign w:val="center"/>
          </w:tcPr>
          <w:p>
            <w:pPr>
              <w:jc w:val="center"/>
            </w:pPr>
          </w:p>
        </w:tc>
        <w:tc>
          <w:tcPr>
            <w:tcW w:w="3189" w:type="dxa"/>
            <w:vAlign w:val="center"/>
          </w:tcPr>
          <w:p>
            <w:pPr>
              <w:jc w:val="center"/>
            </w:pPr>
            <w:r>
              <w:rPr>
                <w:rFonts w:hint="eastAsia"/>
              </w:rPr>
              <w:t>50</w:t>
            </w:r>
          </w:p>
        </w:tc>
        <w:tc>
          <w:tcPr>
            <w:tcW w:w="3192" w:type="dxa"/>
            <w:vAlign w:val="center"/>
          </w:tcPr>
          <w:p>
            <w:pPr>
              <w:jc w:val="center"/>
            </w:pPr>
            <w:r>
              <w:rPr>
                <w:rFonts w:hint="eastAsia"/>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vAlign w:val="center"/>
          </w:tcPr>
          <w:p>
            <w:pPr>
              <w:jc w:val="center"/>
            </w:pPr>
          </w:p>
        </w:tc>
        <w:tc>
          <w:tcPr>
            <w:tcW w:w="3189" w:type="dxa"/>
            <w:vAlign w:val="center"/>
          </w:tcPr>
          <w:p>
            <w:pPr>
              <w:jc w:val="center"/>
            </w:pPr>
            <w:r>
              <w:rPr>
                <w:rFonts w:hint="eastAsia"/>
              </w:rPr>
              <w:t>80</w:t>
            </w:r>
          </w:p>
        </w:tc>
        <w:tc>
          <w:tcPr>
            <w:tcW w:w="3192" w:type="dxa"/>
            <w:vAlign w:val="center"/>
          </w:tcPr>
          <w:p>
            <w:pPr>
              <w:jc w:val="center"/>
            </w:pPr>
            <w:r>
              <w:rPr>
                <w:rFonts w:hint="eastAsia"/>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vAlign w:val="center"/>
          </w:tcPr>
          <w:p>
            <w:pPr>
              <w:jc w:val="center"/>
            </w:pPr>
          </w:p>
        </w:tc>
        <w:tc>
          <w:tcPr>
            <w:tcW w:w="3189" w:type="dxa"/>
            <w:vAlign w:val="center"/>
          </w:tcPr>
          <w:p>
            <w:pPr>
              <w:jc w:val="center"/>
            </w:pPr>
            <w:r>
              <w:rPr>
                <w:rFonts w:hint="eastAsia"/>
              </w:rPr>
              <w:t>100</w:t>
            </w:r>
          </w:p>
        </w:tc>
        <w:tc>
          <w:tcPr>
            <w:tcW w:w="3192" w:type="dxa"/>
            <w:vAlign w:val="center"/>
          </w:tcPr>
          <w:p>
            <w:pPr>
              <w:jc w:val="center"/>
            </w:pPr>
            <w:r>
              <w:rPr>
                <w:rFonts w:hint="eastAsia"/>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vAlign w:val="center"/>
          </w:tcPr>
          <w:p>
            <w:pPr>
              <w:jc w:val="center"/>
            </w:pPr>
          </w:p>
        </w:tc>
        <w:tc>
          <w:tcPr>
            <w:tcW w:w="3189" w:type="dxa"/>
            <w:vAlign w:val="center"/>
          </w:tcPr>
          <w:p>
            <w:pPr>
              <w:jc w:val="center"/>
            </w:pPr>
            <w:r>
              <w:rPr>
                <w:rFonts w:hint="eastAsia"/>
              </w:rPr>
              <w:t>110</w:t>
            </w:r>
          </w:p>
        </w:tc>
        <w:tc>
          <w:tcPr>
            <w:tcW w:w="3192" w:type="dxa"/>
            <w:vAlign w:val="center"/>
          </w:tcPr>
          <w:p>
            <w:pPr>
              <w:jc w:val="center"/>
            </w:pPr>
            <w:r>
              <w:rPr>
                <w:rFonts w:hint="eastAsia"/>
              </w:rPr>
              <w:t>19.96</w:t>
            </w:r>
          </w:p>
        </w:tc>
      </w:tr>
    </w:tbl>
    <w:p>
      <w:pPr>
        <w:ind w:firstLine="420" w:firstLineChars="200"/>
        <w:rPr>
          <w:rFonts w:hAnsi="宋体"/>
        </w:rPr>
      </w:pPr>
      <w:r>
        <w:rPr>
          <w:rFonts w:hAnsi="宋体"/>
        </w:rPr>
        <w:t>试验表明：当铅</w:t>
      </w:r>
      <w:r>
        <w:rPr>
          <w:rFonts w:hint="eastAsia" w:ascii="宋体" w:hAnsi="宋体" w:cs="宋体"/>
        </w:rPr>
        <w:t>≥</w:t>
      </w:r>
      <w:r>
        <w:rPr>
          <w:rFonts w:hint="eastAsia"/>
        </w:rPr>
        <w:t>12mg</w:t>
      </w:r>
      <w:r>
        <w:rPr>
          <w:rFonts w:hAnsi="宋体"/>
        </w:rPr>
        <w:t>时，采用硫酸铅沉淀分离可消除铅的干扰。</w:t>
      </w:r>
      <w:r>
        <w:rPr>
          <w:rFonts w:hint="eastAsia" w:hAnsi="宋体"/>
        </w:rPr>
        <w:t xml:space="preserve">且铅低于12mg时，硫酸铅沉淀分离也基本不影响镉的测定。    </w:t>
      </w:r>
    </w:p>
    <w:p>
      <w:pPr>
        <w:adjustRightInd w:val="0"/>
        <w:snapToGrid w:val="0"/>
        <w:spacing w:before="50" w:after="50"/>
        <w:rPr>
          <w:rFonts w:hint="eastAsia"/>
          <w:b/>
          <w:bCs/>
          <w:szCs w:val="21"/>
          <w:lang w:val="en-US" w:eastAsia="zh-CN"/>
        </w:rPr>
      </w:pPr>
      <w:r>
        <w:rPr>
          <w:rFonts w:hint="eastAsia"/>
          <w:b/>
          <w:bCs/>
          <w:szCs w:val="21"/>
          <w:lang w:val="en-US" w:eastAsia="zh-CN"/>
        </w:rPr>
        <w:t>3.3.1.3 铁铋的影响</w:t>
      </w:r>
    </w:p>
    <w:p>
      <w:pPr>
        <w:ind w:firstLine="420" w:firstLineChars="200"/>
        <w:rPr>
          <w:bCs/>
          <w:szCs w:val="21"/>
        </w:rPr>
      </w:pPr>
      <w:r>
        <w:rPr>
          <w:rFonts w:hint="eastAsia"/>
          <w:bCs/>
          <w:szCs w:val="21"/>
        </w:rPr>
        <w:t>铁和铋在测定镉的pH范围内也能和Na</w:t>
      </w:r>
      <w:r>
        <w:rPr>
          <w:rFonts w:hint="eastAsia"/>
          <w:bCs/>
          <w:szCs w:val="21"/>
          <w:vertAlign w:val="subscript"/>
        </w:rPr>
        <w:t>2</w:t>
      </w:r>
      <w:r>
        <w:rPr>
          <w:rFonts w:hint="eastAsia"/>
          <w:bCs/>
          <w:szCs w:val="21"/>
        </w:rPr>
        <w:t>EDTA部分络合，使测定结果偏高。</w:t>
      </w:r>
      <w:r>
        <w:rPr>
          <w:rFonts w:hint="eastAsia" w:hAnsi="宋体"/>
        </w:rPr>
        <w:t>移</w:t>
      </w:r>
      <w:r>
        <w:rPr>
          <w:rFonts w:hAnsi="宋体"/>
        </w:rPr>
        <w:t>取</w:t>
      </w:r>
      <w:r>
        <w:rPr>
          <w:rFonts w:hint="eastAsia"/>
        </w:rPr>
        <w:t>1</w:t>
      </w:r>
      <w:r>
        <w:t>0</w:t>
      </w:r>
      <w:r>
        <w:rPr>
          <w:rFonts w:hint="eastAsia"/>
        </w:rPr>
        <w:t>.00</w:t>
      </w:r>
      <w:r>
        <w:t>mL</w:t>
      </w:r>
      <w:r>
        <w:rPr>
          <w:rFonts w:hint="eastAsia" w:hAnsi="宋体"/>
        </w:rPr>
        <w:t>镉</w:t>
      </w:r>
      <w:r>
        <w:rPr>
          <w:rFonts w:hAnsi="宋体"/>
        </w:rPr>
        <w:t>标准溶液，</w:t>
      </w:r>
      <w:r>
        <w:rPr>
          <w:rFonts w:hint="eastAsia" w:hAnsi="宋体"/>
        </w:rPr>
        <w:t>分别</w:t>
      </w:r>
      <w:r>
        <w:rPr>
          <w:rFonts w:hAnsi="宋体"/>
        </w:rPr>
        <w:t>加入</w:t>
      </w:r>
      <w:r>
        <w:rPr>
          <w:rFonts w:hint="eastAsia" w:hAnsi="宋体"/>
        </w:rPr>
        <w:t>0.6mgFe（按所提供样品的含铁最低量0.3%计）、10mgFe和3mgBi</w:t>
      </w:r>
      <w:r>
        <w:rPr>
          <w:rFonts w:hAnsi="宋体"/>
        </w:rPr>
        <w:t>，按</w:t>
      </w:r>
      <w:r>
        <w:rPr>
          <w:rFonts w:hint="eastAsia" w:hAnsi="宋体"/>
        </w:rPr>
        <w:t>不分离和氨水沉淀分离</w:t>
      </w:r>
      <w:r>
        <w:rPr>
          <w:rFonts w:hAnsi="宋体"/>
        </w:rPr>
        <w:t>实验步骤进行测定</w:t>
      </w:r>
      <w:r>
        <w:rPr>
          <w:rFonts w:hint="eastAsia" w:hAnsi="宋体"/>
        </w:rPr>
        <w:t>。0.6mgFe使镉的测定结果明显偏高，</w:t>
      </w:r>
      <w:r>
        <w:rPr>
          <w:rFonts w:hint="eastAsia"/>
          <w:bCs/>
          <w:szCs w:val="21"/>
        </w:rPr>
        <w:t>采用氨水沉淀分离能同时消除铁和铋的影响，结果见表</w:t>
      </w:r>
      <w:r>
        <w:rPr>
          <w:rFonts w:hint="eastAsia"/>
          <w:bCs/>
          <w:szCs w:val="21"/>
          <w:lang w:val="en-US" w:eastAsia="zh-CN"/>
        </w:rPr>
        <w:t>6</w:t>
      </w:r>
      <w:r>
        <w:rPr>
          <w:rFonts w:hint="eastAsia"/>
          <w:bCs/>
          <w:szCs w:val="21"/>
        </w:rPr>
        <w:t>。</w:t>
      </w:r>
    </w:p>
    <w:p>
      <w:pPr>
        <w:ind w:firstLine="420" w:firstLineChars="200"/>
        <w:jc w:val="center"/>
        <w:rPr>
          <w:bCs/>
          <w:szCs w:val="21"/>
        </w:rPr>
      </w:pPr>
      <w:r>
        <w:rPr>
          <w:rFonts w:hint="eastAsia"/>
          <w:bCs/>
          <w:szCs w:val="21"/>
        </w:rPr>
        <w:t>表</w:t>
      </w:r>
      <w:r>
        <w:rPr>
          <w:rFonts w:hint="eastAsia"/>
          <w:bCs/>
          <w:szCs w:val="21"/>
          <w:lang w:val="en-US" w:eastAsia="zh-CN"/>
        </w:rPr>
        <w:t>6</w:t>
      </w:r>
      <w:r>
        <w:rPr>
          <w:rFonts w:hint="eastAsia"/>
          <w:bCs/>
          <w:szCs w:val="21"/>
        </w:rPr>
        <w:t xml:space="preserve"> 铁和铋对镉测定的影响及消除</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726"/>
        <w:gridCol w:w="1726"/>
        <w:gridCol w:w="1527"/>
        <w:gridCol w:w="1843"/>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Ansi="宋体"/>
              </w:rPr>
            </w:pPr>
            <w:r>
              <w:rPr>
                <w:rFonts w:hint="eastAsia" w:hAnsi="宋体"/>
              </w:rPr>
              <w:t>镉量/mg</w:t>
            </w:r>
          </w:p>
        </w:tc>
        <w:tc>
          <w:tcPr>
            <w:tcW w:w="1726" w:type="dxa"/>
          </w:tcPr>
          <w:p>
            <w:pPr>
              <w:jc w:val="center"/>
              <w:rPr>
                <w:rFonts w:hAnsi="宋体"/>
              </w:rPr>
            </w:pPr>
            <w:r>
              <w:rPr>
                <w:rFonts w:hint="eastAsia" w:hAnsi="宋体"/>
              </w:rPr>
              <w:t>0.6mgFe</w:t>
            </w:r>
          </w:p>
          <w:p>
            <w:pPr>
              <w:jc w:val="center"/>
              <w:rPr>
                <w:rFonts w:hAnsi="宋体"/>
              </w:rPr>
            </w:pPr>
            <w:r>
              <w:rPr>
                <w:rFonts w:hint="eastAsia" w:hAnsi="宋体"/>
              </w:rPr>
              <w:t>（不分离）</w:t>
            </w:r>
          </w:p>
        </w:tc>
        <w:tc>
          <w:tcPr>
            <w:tcW w:w="1726" w:type="dxa"/>
            <w:vAlign w:val="center"/>
          </w:tcPr>
          <w:p>
            <w:pPr>
              <w:jc w:val="center"/>
              <w:rPr>
                <w:rFonts w:hAnsi="宋体"/>
              </w:rPr>
            </w:pPr>
            <w:r>
              <w:rPr>
                <w:rFonts w:hint="eastAsia" w:hAnsi="宋体"/>
              </w:rPr>
              <w:t>10mgFe</w:t>
            </w:r>
          </w:p>
          <w:p>
            <w:pPr>
              <w:jc w:val="center"/>
              <w:rPr>
                <w:rFonts w:hAnsi="宋体"/>
              </w:rPr>
            </w:pPr>
            <w:r>
              <w:rPr>
                <w:rFonts w:hint="eastAsia" w:hAnsi="宋体"/>
              </w:rPr>
              <w:t>（不分离）</w:t>
            </w:r>
          </w:p>
        </w:tc>
        <w:tc>
          <w:tcPr>
            <w:tcW w:w="1527" w:type="dxa"/>
            <w:vAlign w:val="center"/>
          </w:tcPr>
          <w:p>
            <w:pPr>
              <w:jc w:val="center"/>
              <w:rPr>
                <w:rFonts w:hAnsi="宋体"/>
              </w:rPr>
            </w:pPr>
            <w:r>
              <w:rPr>
                <w:rFonts w:hint="eastAsia" w:hAnsi="宋体"/>
              </w:rPr>
              <w:t>3mgBi</w:t>
            </w:r>
          </w:p>
          <w:p>
            <w:pPr>
              <w:jc w:val="center"/>
              <w:rPr>
                <w:rFonts w:hAnsi="宋体"/>
              </w:rPr>
            </w:pPr>
            <w:r>
              <w:rPr>
                <w:rFonts w:hint="eastAsia" w:hAnsi="宋体"/>
              </w:rPr>
              <w:t>（不分离）</w:t>
            </w:r>
          </w:p>
        </w:tc>
        <w:tc>
          <w:tcPr>
            <w:tcW w:w="1843" w:type="dxa"/>
            <w:vAlign w:val="center"/>
          </w:tcPr>
          <w:p>
            <w:pPr>
              <w:jc w:val="center"/>
              <w:rPr>
                <w:rFonts w:hAnsi="宋体"/>
              </w:rPr>
            </w:pPr>
            <w:r>
              <w:rPr>
                <w:rFonts w:hint="eastAsia" w:hAnsi="宋体"/>
              </w:rPr>
              <w:t>10mgFe</w:t>
            </w:r>
          </w:p>
          <w:p>
            <w:pPr>
              <w:jc w:val="center"/>
              <w:rPr>
                <w:rFonts w:hAnsi="宋体"/>
              </w:rPr>
            </w:pPr>
            <w:r>
              <w:rPr>
                <w:rFonts w:hint="eastAsia" w:hAnsi="宋体"/>
              </w:rPr>
              <w:t>（氨水沉淀分离）</w:t>
            </w:r>
          </w:p>
        </w:tc>
        <w:tc>
          <w:tcPr>
            <w:tcW w:w="1808" w:type="dxa"/>
            <w:vAlign w:val="center"/>
          </w:tcPr>
          <w:p>
            <w:pPr>
              <w:jc w:val="center"/>
              <w:rPr>
                <w:rFonts w:hAnsi="宋体"/>
              </w:rPr>
            </w:pPr>
            <w:r>
              <w:rPr>
                <w:rFonts w:hint="eastAsia" w:hAnsi="宋体"/>
              </w:rPr>
              <w:t>3mgBi</w:t>
            </w:r>
          </w:p>
          <w:p>
            <w:pPr>
              <w:jc w:val="center"/>
              <w:rPr>
                <w:rFonts w:hAnsi="宋体"/>
              </w:rPr>
            </w:pPr>
            <w:r>
              <w:rPr>
                <w:rFonts w:hint="eastAsia" w:hAnsi="宋体"/>
              </w:rPr>
              <w:t>（氨水沉淀分离）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Ansi="宋体"/>
              </w:rPr>
            </w:pPr>
            <w:r>
              <w:rPr>
                <w:rFonts w:hint="eastAsia" w:hAnsi="宋体"/>
              </w:rPr>
              <w:t>20.00</w:t>
            </w:r>
          </w:p>
        </w:tc>
        <w:tc>
          <w:tcPr>
            <w:tcW w:w="1726" w:type="dxa"/>
          </w:tcPr>
          <w:p>
            <w:pPr>
              <w:jc w:val="center"/>
              <w:rPr>
                <w:rFonts w:hAnsi="宋体"/>
              </w:rPr>
            </w:pPr>
            <w:r>
              <w:rPr>
                <w:rFonts w:hint="eastAsia" w:hAnsi="宋体"/>
              </w:rPr>
              <w:t>21.82</w:t>
            </w:r>
          </w:p>
        </w:tc>
        <w:tc>
          <w:tcPr>
            <w:tcW w:w="1726" w:type="dxa"/>
            <w:vAlign w:val="center"/>
          </w:tcPr>
          <w:p>
            <w:pPr>
              <w:jc w:val="center"/>
              <w:rPr>
                <w:rFonts w:hAnsi="宋体"/>
              </w:rPr>
            </w:pPr>
            <w:r>
              <w:rPr>
                <w:rFonts w:hint="eastAsia" w:hAnsi="宋体"/>
              </w:rPr>
              <w:t>27.68</w:t>
            </w:r>
          </w:p>
        </w:tc>
        <w:tc>
          <w:tcPr>
            <w:tcW w:w="1527" w:type="dxa"/>
            <w:vAlign w:val="center"/>
          </w:tcPr>
          <w:p>
            <w:pPr>
              <w:jc w:val="center"/>
              <w:rPr>
                <w:rFonts w:hAnsi="宋体"/>
              </w:rPr>
            </w:pPr>
            <w:r>
              <w:rPr>
                <w:rFonts w:hint="eastAsia" w:hAnsi="宋体"/>
              </w:rPr>
              <w:t>21.60</w:t>
            </w:r>
          </w:p>
        </w:tc>
        <w:tc>
          <w:tcPr>
            <w:tcW w:w="1843" w:type="dxa"/>
            <w:vAlign w:val="center"/>
          </w:tcPr>
          <w:p>
            <w:pPr>
              <w:jc w:val="center"/>
              <w:rPr>
                <w:rFonts w:hAnsi="宋体"/>
              </w:rPr>
            </w:pPr>
            <w:r>
              <w:rPr>
                <w:rFonts w:hint="eastAsia" w:hAnsi="宋体"/>
              </w:rPr>
              <w:t>19.96</w:t>
            </w:r>
          </w:p>
        </w:tc>
        <w:tc>
          <w:tcPr>
            <w:tcW w:w="1808" w:type="dxa"/>
            <w:vAlign w:val="center"/>
          </w:tcPr>
          <w:p>
            <w:pPr>
              <w:jc w:val="center"/>
              <w:rPr>
                <w:rFonts w:hAnsi="宋体"/>
              </w:rPr>
            </w:pPr>
            <w:r>
              <w:rPr>
                <w:rFonts w:hint="eastAsia" w:hAnsi="宋体"/>
              </w:rPr>
              <w:t xml:space="preserve">20.02 </w:t>
            </w:r>
          </w:p>
        </w:tc>
      </w:tr>
    </w:tbl>
    <w:p>
      <w:pPr>
        <w:adjustRightInd w:val="0"/>
        <w:snapToGrid w:val="0"/>
        <w:spacing w:before="50" w:after="50"/>
        <w:rPr>
          <w:rFonts w:hint="eastAsia"/>
          <w:b/>
          <w:bCs/>
          <w:szCs w:val="21"/>
          <w:lang w:val="en-US" w:eastAsia="zh-CN"/>
        </w:rPr>
      </w:pPr>
      <w:r>
        <w:rPr>
          <w:rFonts w:hint="eastAsia"/>
          <w:b/>
          <w:bCs/>
          <w:szCs w:val="21"/>
          <w:lang w:val="en-US" w:eastAsia="zh-CN"/>
        </w:rPr>
        <w:t>3.3.1.4铜的影响</w:t>
      </w:r>
    </w:p>
    <w:p>
      <w:pPr>
        <w:ind w:firstLine="420" w:firstLineChars="200"/>
        <w:outlineLvl w:val="0"/>
        <w:rPr>
          <w:rFonts w:hAnsi="宋体"/>
        </w:rPr>
      </w:pPr>
      <w:r>
        <w:rPr>
          <w:rFonts w:hint="eastAsia"/>
          <w:bCs/>
        </w:rPr>
        <w:t xml:space="preserve"> 由于本试验方法测的是锌镉合量，Na</w:t>
      </w:r>
      <w:r>
        <w:rPr>
          <w:rFonts w:hint="eastAsia"/>
          <w:bCs/>
          <w:vertAlign w:val="subscript"/>
        </w:rPr>
        <w:t>2</w:t>
      </w:r>
      <w:r>
        <w:rPr>
          <w:rFonts w:hint="eastAsia"/>
          <w:bCs/>
        </w:rPr>
        <w:t>EDTA和锌镉的络合速度差异较大，直接滴定终点变化不敏锐，因此试验采用返滴定的方式。在过量的Na</w:t>
      </w:r>
      <w:r>
        <w:rPr>
          <w:rFonts w:hint="eastAsia"/>
          <w:bCs/>
          <w:vertAlign w:val="subscript"/>
        </w:rPr>
        <w:t>2</w:t>
      </w:r>
      <w:r>
        <w:rPr>
          <w:rFonts w:hint="eastAsia"/>
          <w:bCs/>
        </w:rPr>
        <w:t>EDTA溶液存在的条件下，硫代硫酸钠不能将铜完全掩蔽掉，使镉的测定结果偏高。本试验采用在稀硫酸介质中加入硫代硫酸钠，使</w:t>
      </w:r>
      <w:r>
        <w:rPr>
          <w:rFonts w:hint="eastAsia" w:hAnsi="宋体"/>
        </w:rPr>
        <w:t>铜离子生产硫化亚铜沉淀与锌镉元素分离的方法，</w:t>
      </w:r>
      <w:r>
        <w:rPr>
          <w:rFonts w:hAnsi="宋体"/>
        </w:rPr>
        <w:t>以下</w:t>
      </w:r>
      <w:r>
        <w:rPr>
          <w:rFonts w:hint="eastAsia" w:hAnsi="宋体"/>
        </w:rPr>
        <w:t>按</w:t>
      </w:r>
      <w:r>
        <w:rPr>
          <w:rFonts w:hint="eastAsia" w:hAnsi="宋体"/>
          <w:lang w:eastAsia="zh-CN"/>
        </w:rPr>
        <w:t>实验报告</w:t>
      </w:r>
      <w:r>
        <w:rPr>
          <w:rFonts w:hint="eastAsia" w:hAnsi="宋体"/>
        </w:rPr>
        <w:t>1.2.4.5进行</w:t>
      </w:r>
      <w:r>
        <w:rPr>
          <w:rFonts w:hAnsi="宋体"/>
        </w:rPr>
        <w:t>，</w:t>
      </w:r>
      <w:r>
        <w:rPr>
          <w:rFonts w:hint="eastAsia" w:hAnsi="宋体"/>
        </w:rPr>
        <w:t>分离结果见表</w:t>
      </w:r>
      <w:r>
        <w:rPr>
          <w:rFonts w:hint="eastAsia" w:hAnsi="宋体"/>
          <w:lang w:val="en-US" w:eastAsia="zh-CN"/>
        </w:rPr>
        <w:t>7</w:t>
      </w:r>
      <w:r>
        <w:rPr>
          <w:rFonts w:hint="eastAsia" w:hAnsi="宋体"/>
        </w:rPr>
        <w:t>。根据表</w:t>
      </w:r>
      <w:r>
        <w:rPr>
          <w:rFonts w:hint="eastAsia" w:hAnsi="宋体"/>
          <w:lang w:val="en-US" w:eastAsia="zh-CN"/>
        </w:rPr>
        <w:t>7</w:t>
      </w:r>
      <w:r>
        <w:rPr>
          <w:rFonts w:hint="eastAsia" w:hAnsi="宋体"/>
        </w:rPr>
        <w:t>可知，硫代硫酸钠沉淀分离可消除铜对镉测定的影响。</w:t>
      </w:r>
    </w:p>
    <w:p>
      <w:pPr>
        <w:ind w:firstLine="420" w:firstLineChars="200"/>
        <w:jc w:val="center"/>
        <w:outlineLvl w:val="0"/>
        <w:rPr>
          <w:rFonts w:hAnsi="宋体"/>
        </w:rPr>
      </w:pPr>
      <w:r>
        <w:rPr>
          <w:rFonts w:hint="eastAsia" w:hAnsi="宋体"/>
        </w:rPr>
        <w:t>表</w:t>
      </w:r>
      <w:r>
        <w:rPr>
          <w:rFonts w:hint="eastAsia" w:hAnsi="宋体"/>
          <w:lang w:val="en-US" w:eastAsia="zh-CN"/>
        </w:rPr>
        <w:t>7</w:t>
      </w:r>
      <w:r>
        <w:rPr>
          <w:rFonts w:hint="eastAsia" w:hAnsi="宋体"/>
        </w:rPr>
        <w:t xml:space="preserve"> 分离铜对镉测定的影响</w:t>
      </w:r>
    </w:p>
    <w:tbl>
      <w:tblPr>
        <w:tblStyle w:val="2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3191"/>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Align w:val="center"/>
          </w:tcPr>
          <w:p>
            <w:pPr>
              <w:jc w:val="center"/>
            </w:pPr>
            <w:r>
              <w:rPr>
                <w:rFonts w:hint="eastAsia" w:hAnsi="宋体"/>
              </w:rPr>
              <w:t>镉</w:t>
            </w:r>
            <w:r>
              <w:rPr>
                <w:rFonts w:hAnsi="宋体"/>
              </w:rPr>
              <w:t>量</w:t>
            </w:r>
            <w:r>
              <w:t>/mg</w:t>
            </w:r>
          </w:p>
        </w:tc>
        <w:tc>
          <w:tcPr>
            <w:tcW w:w="3191" w:type="dxa"/>
          </w:tcPr>
          <w:p>
            <w:pPr>
              <w:jc w:val="center"/>
              <w:rPr>
                <w:rFonts w:hAnsi="宋体"/>
              </w:rPr>
            </w:pPr>
            <w:r>
              <w:rPr>
                <w:rFonts w:hint="eastAsia" w:hAnsi="宋体"/>
              </w:rPr>
              <w:t>铜的加入量/mg</w:t>
            </w:r>
          </w:p>
        </w:tc>
        <w:tc>
          <w:tcPr>
            <w:tcW w:w="3191" w:type="dxa"/>
            <w:vAlign w:val="center"/>
          </w:tcPr>
          <w:p>
            <w:pPr>
              <w:jc w:val="center"/>
            </w:pPr>
            <w:r>
              <w:rPr>
                <w:rFonts w:hint="eastAsia" w:hAnsi="宋体"/>
              </w:rPr>
              <w:t>测得</w:t>
            </w:r>
            <w:r>
              <w:rPr>
                <w:rFonts w:hint="eastAsia"/>
              </w:rPr>
              <w:t>镉量</w:t>
            </w:r>
            <w: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restart"/>
            <w:vAlign w:val="center"/>
          </w:tcPr>
          <w:p>
            <w:pPr>
              <w:jc w:val="center"/>
            </w:pPr>
            <w:r>
              <w:rPr>
                <w:rFonts w:hint="eastAsia"/>
              </w:rPr>
              <w:t>20.00</w:t>
            </w:r>
          </w:p>
        </w:tc>
        <w:tc>
          <w:tcPr>
            <w:tcW w:w="3191" w:type="dxa"/>
          </w:tcPr>
          <w:p>
            <w:pPr>
              <w:jc w:val="center"/>
            </w:pPr>
            <w:r>
              <w:rPr>
                <w:rFonts w:hint="eastAsia"/>
              </w:rPr>
              <w:t>20</w:t>
            </w:r>
          </w:p>
        </w:tc>
        <w:tc>
          <w:tcPr>
            <w:tcW w:w="3191" w:type="dxa"/>
            <w:vAlign w:val="center"/>
          </w:tcPr>
          <w:p>
            <w:pPr>
              <w:jc w:val="center"/>
            </w:pPr>
            <w:r>
              <w:rPr>
                <w:rFonts w:hint="eastAsia"/>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vAlign w:val="center"/>
          </w:tcPr>
          <w:p>
            <w:pPr>
              <w:jc w:val="center"/>
            </w:pPr>
          </w:p>
        </w:tc>
        <w:tc>
          <w:tcPr>
            <w:tcW w:w="3191" w:type="dxa"/>
          </w:tcPr>
          <w:p>
            <w:pPr>
              <w:jc w:val="center"/>
            </w:pPr>
            <w:r>
              <w:rPr>
                <w:rFonts w:hint="eastAsia"/>
              </w:rPr>
              <w:t>40</w:t>
            </w:r>
          </w:p>
        </w:tc>
        <w:tc>
          <w:tcPr>
            <w:tcW w:w="3191" w:type="dxa"/>
            <w:vAlign w:val="center"/>
          </w:tcPr>
          <w:p>
            <w:pPr>
              <w:jc w:val="center"/>
            </w:pPr>
            <w:r>
              <w:rPr>
                <w:rFonts w:hint="eastAsia"/>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vAlign w:val="center"/>
          </w:tcPr>
          <w:p>
            <w:pPr>
              <w:jc w:val="center"/>
            </w:pPr>
          </w:p>
        </w:tc>
        <w:tc>
          <w:tcPr>
            <w:tcW w:w="3191" w:type="dxa"/>
          </w:tcPr>
          <w:p>
            <w:pPr>
              <w:jc w:val="center"/>
            </w:pPr>
            <w:r>
              <w:rPr>
                <w:rFonts w:hint="eastAsia"/>
              </w:rPr>
              <w:t>60</w:t>
            </w:r>
          </w:p>
        </w:tc>
        <w:tc>
          <w:tcPr>
            <w:tcW w:w="3191" w:type="dxa"/>
            <w:vAlign w:val="center"/>
          </w:tcPr>
          <w:p>
            <w:pPr>
              <w:jc w:val="center"/>
            </w:pPr>
            <w:r>
              <w:rPr>
                <w:rFonts w:hint="eastAsi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vAlign w:val="center"/>
          </w:tcPr>
          <w:p>
            <w:pPr>
              <w:jc w:val="center"/>
            </w:pPr>
          </w:p>
        </w:tc>
        <w:tc>
          <w:tcPr>
            <w:tcW w:w="3191" w:type="dxa"/>
          </w:tcPr>
          <w:p>
            <w:pPr>
              <w:jc w:val="center"/>
            </w:pPr>
            <w:r>
              <w:rPr>
                <w:rFonts w:hint="eastAsia"/>
              </w:rPr>
              <w:t>80</w:t>
            </w:r>
          </w:p>
        </w:tc>
        <w:tc>
          <w:tcPr>
            <w:tcW w:w="3191" w:type="dxa"/>
            <w:vAlign w:val="center"/>
          </w:tcPr>
          <w:p>
            <w:pPr>
              <w:jc w:val="center"/>
            </w:pPr>
            <w:r>
              <w:rPr>
                <w:rFonts w:hint="eastAsia"/>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vAlign w:val="center"/>
          </w:tcPr>
          <w:p>
            <w:pPr>
              <w:jc w:val="center"/>
            </w:pPr>
          </w:p>
        </w:tc>
        <w:tc>
          <w:tcPr>
            <w:tcW w:w="3191" w:type="dxa"/>
          </w:tcPr>
          <w:p>
            <w:pPr>
              <w:jc w:val="center"/>
            </w:pPr>
            <w:r>
              <w:rPr>
                <w:rFonts w:hint="eastAsia"/>
              </w:rPr>
              <w:t>100</w:t>
            </w:r>
          </w:p>
        </w:tc>
        <w:tc>
          <w:tcPr>
            <w:tcW w:w="3191" w:type="dxa"/>
            <w:vAlign w:val="center"/>
          </w:tcPr>
          <w:p>
            <w:pPr>
              <w:jc w:val="center"/>
            </w:pPr>
            <w:r>
              <w:rPr>
                <w:rFonts w:hint="eastAsia"/>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189" w:type="dxa"/>
            <w:vMerge w:val="continue"/>
            <w:vAlign w:val="center"/>
          </w:tcPr>
          <w:p>
            <w:pPr>
              <w:jc w:val="center"/>
            </w:pPr>
          </w:p>
        </w:tc>
        <w:tc>
          <w:tcPr>
            <w:tcW w:w="3191" w:type="dxa"/>
          </w:tcPr>
          <w:p>
            <w:pPr>
              <w:jc w:val="center"/>
            </w:pPr>
            <w:r>
              <w:rPr>
                <w:rFonts w:hint="eastAsia"/>
              </w:rPr>
              <w:t>130</w:t>
            </w:r>
          </w:p>
        </w:tc>
        <w:tc>
          <w:tcPr>
            <w:tcW w:w="3191" w:type="dxa"/>
            <w:vAlign w:val="center"/>
          </w:tcPr>
          <w:p>
            <w:pPr>
              <w:jc w:val="center"/>
            </w:pPr>
            <w:r>
              <w:rPr>
                <w:rFonts w:hint="eastAsia"/>
              </w:rPr>
              <w:t>20.00</w:t>
            </w:r>
          </w:p>
        </w:tc>
      </w:tr>
    </w:tbl>
    <w:p>
      <w:pPr>
        <w:adjustRightInd w:val="0"/>
        <w:snapToGrid w:val="0"/>
        <w:spacing w:before="50" w:after="50"/>
        <w:rPr>
          <w:rFonts w:hint="eastAsia"/>
          <w:b/>
          <w:bCs/>
          <w:szCs w:val="21"/>
          <w:lang w:val="en-US" w:eastAsia="zh-CN"/>
        </w:rPr>
      </w:pPr>
      <w:r>
        <w:rPr>
          <w:rFonts w:hint="eastAsia"/>
          <w:b/>
          <w:bCs/>
          <w:szCs w:val="21"/>
          <w:lang w:val="en-US" w:eastAsia="zh-CN"/>
        </w:rPr>
        <w:t>3.3.1.5混合干扰元素对镉测定的影响</w:t>
      </w:r>
    </w:p>
    <w:p>
      <w:pPr>
        <w:ind w:firstLine="435"/>
        <w:rPr>
          <w:szCs w:val="21"/>
        </w:rPr>
      </w:pPr>
      <w:r>
        <w:rPr>
          <w:rFonts w:hAnsi="宋体"/>
          <w:szCs w:val="21"/>
        </w:rPr>
        <w:t>本</w:t>
      </w:r>
      <w:r>
        <w:rPr>
          <w:rFonts w:hint="eastAsia" w:hAnsi="宋体"/>
          <w:szCs w:val="21"/>
        </w:rPr>
        <w:t>试验</w:t>
      </w:r>
      <w:r>
        <w:rPr>
          <w:rFonts w:hAnsi="宋体"/>
          <w:szCs w:val="21"/>
        </w:rPr>
        <w:t>也进行了混合共存元素对</w:t>
      </w:r>
      <w:r>
        <w:rPr>
          <w:rFonts w:hint="eastAsia"/>
          <w:szCs w:val="21"/>
        </w:rPr>
        <w:t>20mg镉</w:t>
      </w:r>
      <w:r>
        <w:rPr>
          <w:rFonts w:hAnsi="宋体"/>
          <w:szCs w:val="21"/>
        </w:rPr>
        <w:t>的测定影响，实验结果见表</w:t>
      </w:r>
      <w:r>
        <w:rPr>
          <w:rFonts w:hint="eastAsia"/>
          <w:szCs w:val="21"/>
          <w:lang w:val="en-US" w:eastAsia="zh-CN"/>
        </w:rPr>
        <w:t>8</w:t>
      </w:r>
      <w:r>
        <w:rPr>
          <w:rFonts w:hAnsi="宋体"/>
          <w:szCs w:val="21"/>
        </w:rPr>
        <w:t>。</w:t>
      </w:r>
    </w:p>
    <w:p>
      <w:pPr>
        <w:adjustRightInd w:val="0"/>
        <w:snapToGrid w:val="0"/>
        <w:spacing w:before="50" w:after="50"/>
        <w:ind w:firstLine="444" w:firstLineChars="200"/>
        <w:jc w:val="center"/>
        <w:rPr>
          <w:rFonts w:hAnsi="宋体"/>
          <w:spacing w:val="6"/>
        </w:rPr>
      </w:pPr>
      <w:r>
        <w:rPr>
          <w:rFonts w:hAnsi="宋体"/>
          <w:spacing w:val="6"/>
        </w:rPr>
        <w:t>表</w:t>
      </w:r>
      <w:r>
        <w:rPr>
          <w:rFonts w:hint="eastAsia"/>
          <w:spacing w:val="6"/>
          <w:lang w:val="en-US" w:eastAsia="zh-CN"/>
        </w:rPr>
        <w:t>8</w:t>
      </w:r>
      <w:r>
        <w:rPr>
          <w:rFonts w:hAnsi="宋体"/>
          <w:spacing w:val="6"/>
        </w:rPr>
        <w:t>混合干扰试验</w:t>
      </w:r>
    </w:p>
    <w:tbl>
      <w:tblPr>
        <w:tblStyle w:val="20"/>
        <w:tblW w:w="95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3"/>
        <w:gridCol w:w="6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2793" w:type="dxa"/>
            <w:vAlign w:val="center"/>
          </w:tcPr>
          <w:p>
            <w:pPr>
              <w:adjustRightInd w:val="0"/>
              <w:snapToGrid w:val="0"/>
              <w:spacing w:before="50" w:after="50"/>
              <w:jc w:val="center"/>
              <w:rPr>
                <w:spacing w:val="6"/>
              </w:rPr>
            </w:pPr>
            <w:r>
              <w:rPr>
                <w:rFonts w:hAnsi="宋体"/>
                <w:spacing w:val="6"/>
              </w:rPr>
              <w:t>共存元素混合加入量</w:t>
            </w:r>
            <w:r>
              <w:rPr>
                <w:spacing w:val="6"/>
              </w:rPr>
              <w:t>/mg</w:t>
            </w:r>
          </w:p>
        </w:tc>
        <w:tc>
          <w:tcPr>
            <w:tcW w:w="6778" w:type="dxa"/>
            <w:vAlign w:val="center"/>
          </w:tcPr>
          <w:p>
            <w:pPr>
              <w:adjustRightInd w:val="0"/>
              <w:snapToGrid w:val="0"/>
              <w:spacing w:before="50" w:after="50"/>
              <w:jc w:val="left"/>
              <w:rPr>
                <w:spacing w:val="6"/>
              </w:rPr>
            </w:pPr>
            <w:r>
              <w:rPr>
                <w:rFonts w:hint="eastAsia"/>
                <w:spacing w:val="6"/>
              </w:rPr>
              <w:t>Zn20、</w:t>
            </w:r>
            <w:r>
              <w:rPr>
                <w:spacing w:val="6"/>
              </w:rPr>
              <w:t>Pb</w:t>
            </w:r>
            <w:r>
              <w:rPr>
                <w:rFonts w:hint="eastAsia"/>
                <w:spacing w:val="6"/>
              </w:rPr>
              <w:t>110</w:t>
            </w:r>
            <w:r>
              <w:rPr>
                <w:rFonts w:hAnsi="宋体"/>
                <w:spacing w:val="6"/>
              </w:rPr>
              <w:t>、</w:t>
            </w:r>
            <w:r>
              <w:rPr>
                <w:spacing w:val="6"/>
              </w:rPr>
              <w:t>Fe</w:t>
            </w:r>
            <w:r>
              <w:rPr>
                <w:rFonts w:hint="eastAsia"/>
                <w:spacing w:val="6"/>
              </w:rPr>
              <w:t>10</w:t>
            </w:r>
            <w:r>
              <w:rPr>
                <w:rFonts w:hAnsi="宋体"/>
                <w:spacing w:val="6"/>
              </w:rPr>
              <w:t>、</w:t>
            </w:r>
            <w:r>
              <w:rPr>
                <w:spacing w:val="6"/>
              </w:rPr>
              <w:t>Al</w:t>
            </w:r>
            <w:r>
              <w:rPr>
                <w:rFonts w:hint="eastAsia"/>
                <w:spacing w:val="6"/>
              </w:rPr>
              <w:t>30</w:t>
            </w:r>
            <w:r>
              <w:rPr>
                <w:rFonts w:hAnsi="宋体"/>
                <w:spacing w:val="6"/>
              </w:rPr>
              <w:t>、</w:t>
            </w:r>
            <w:r>
              <w:rPr>
                <w:spacing w:val="6"/>
              </w:rPr>
              <w:t>Cu</w:t>
            </w:r>
            <w:r>
              <w:rPr>
                <w:rFonts w:hint="eastAsia"/>
                <w:spacing w:val="6"/>
              </w:rPr>
              <w:t>130</w:t>
            </w:r>
            <w:r>
              <w:rPr>
                <w:rFonts w:hAnsi="宋体"/>
                <w:spacing w:val="6"/>
              </w:rPr>
              <w:t>、</w:t>
            </w:r>
            <w:r>
              <w:rPr>
                <w:spacing w:val="6"/>
              </w:rPr>
              <w:t>As</w:t>
            </w:r>
            <w:r>
              <w:rPr>
                <w:rFonts w:hint="eastAsia"/>
                <w:spacing w:val="6"/>
              </w:rPr>
              <w:t>60</w:t>
            </w:r>
            <w:r>
              <w:rPr>
                <w:rFonts w:hAnsi="宋体"/>
                <w:spacing w:val="6"/>
              </w:rPr>
              <w:t>、</w:t>
            </w:r>
            <w:r>
              <w:rPr>
                <w:spacing w:val="6"/>
              </w:rPr>
              <w:t>Sb1</w:t>
            </w:r>
            <w:r>
              <w:rPr>
                <w:rFonts w:hint="eastAsia"/>
                <w:spacing w:val="6"/>
              </w:rPr>
              <w:t>0、Bi5、In0.5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2793" w:type="dxa"/>
            <w:vAlign w:val="center"/>
          </w:tcPr>
          <w:p>
            <w:pPr>
              <w:adjustRightInd w:val="0"/>
              <w:snapToGrid w:val="0"/>
              <w:spacing w:before="50" w:after="50"/>
              <w:jc w:val="center"/>
              <w:rPr>
                <w:szCs w:val="21"/>
              </w:rPr>
            </w:pPr>
            <w:r>
              <w:rPr>
                <w:rFonts w:hint="eastAsia" w:hAnsi="宋体"/>
                <w:spacing w:val="6"/>
              </w:rPr>
              <w:t>Cd</w:t>
            </w:r>
            <w:r>
              <w:rPr>
                <w:rFonts w:hAnsi="宋体"/>
                <w:spacing w:val="6"/>
              </w:rPr>
              <w:t>测定值</w:t>
            </w:r>
            <w:r>
              <w:rPr>
                <w:spacing w:val="6"/>
              </w:rPr>
              <w:t>/</w:t>
            </w:r>
            <w:r>
              <w:rPr>
                <w:rFonts w:hint="eastAsia"/>
                <w:szCs w:val="21"/>
              </w:rPr>
              <w:t>mg</w:t>
            </w:r>
          </w:p>
        </w:tc>
        <w:tc>
          <w:tcPr>
            <w:tcW w:w="6778" w:type="dxa"/>
            <w:vAlign w:val="center"/>
          </w:tcPr>
          <w:p>
            <w:pPr>
              <w:adjustRightInd w:val="0"/>
              <w:snapToGrid w:val="0"/>
              <w:spacing w:before="50" w:after="50"/>
              <w:ind w:firstLine="444" w:firstLineChars="200"/>
              <w:jc w:val="center"/>
              <w:rPr>
                <w:spacing w:val="6"/>
              </w:rPr>
            </w:pPr>
            <w:r>
              <w:rPr>
                <w:rFonts w:hint="eastAsia"/>
                <w:spacing w:val="6"/>
              </w:rPr>
              <w:t>19.98、20.03、20.05、19.95</w:t>
            </w:r>
          </w:p>
        </w:tc>
      </w:tr>
    </w:tbl>
    <w:p>
      <w:pPr>
        <w:ind w:firstLine="435"/>
        <w:rPr>
          <w:szCs w:val="21"/>
        </w:rPr>
      </w:pPr>
      <w:r>
        <w:rPr>
          <w:rFonts w:hAnsi="宋体"/>
          <w:szCs w:val="21"/>
        </w:rPr>
        <w:t>结果表明，上述共存元素在选定分析步骤下对</w:t>
      </w:r>
      <w:r>
        <w:rPr>
          <w:rFonts w:hint="eastAsia" w:hAnsi="宋体"/>
          <w:szCs w:val="21"/>
        </w:rPr>
        <w:t>镉</w:t>
      </w:r>
      <w:r>
        <w:rPr>
          <w:rFonts w:hAnsi="宋体"/>
          <w:szCs w:val="21"/>
        </w:rPr>
        <w:t>的测定基本没有影响。</w:t>
      </w:r>
    </w:p>
    <w:p>
      <w:pPr>
        <w:adjustRightInd w:val="0"/>
        <w:snapToGrid w:val="0"/>
        <w:spacing w:before="50" w:after="50"/>
        <w:rPr>
          <w:rFonts w:hint="eastAsia"/>
          <w:b/>
          <w:bCs/>
          <w:szCs w:val="21"/>
          <w:lang w:val="en-US" w:eastAsia="zh-CN"/>
        </w:rPr>
      </w:pPr>
      <w:r>
        <w:rPr>
          <w:rFonts w:hint="eastAsia"/>
          <w:b/>
          <w:bCs/>
          <w:szCs w:val="21"/>
          <w:lang w:val="en-US" w:eastAsia="zh-CN"/>
        </w:rPr>
        <w:t>3.4 重复性及再现性</w:t>
      </w:r>
    </w:p>
    <w:p>
      <w:pPr>
        <w:numPr>
          <w:ilvl w:val="0"/>
          <w:numId w:val="0"/>
        </w:numPr>
        <w:ind w:firstLine="420" w:firstLineChars="200"/>
        <w:rPr>
          <w:rFonts w:hint="eastAsia" w:ascii="Times New Roman" w:hAnsi="Times New Roman" w:cs="Times New Roman"/>
          <w:color w:val="0000FF"/>
          <w:sz w:val="21"/>
          <w:szCs w:val="21"/>
          <w:lang w:val="en-US" w:eastAsia="zh-CN"/>
        </w:rPr>
      </w:pPr>
      <w:r>
        <w:rPr>
          <w:rFonts w:hint="eastAsia" w:ascii="Times New Roman" w:hAnsi="Times New Roman" w:eastAsia="宋体" w:cs="Times New Roman"/>
          <w:sz w:val="21"/>
          <w:szCs w:val="21"/>
          <w:lang w:val="en-US" w:eastAsia="zh-CN"/>
        </w:rPr>
        <w:t>高铋铅中铜量测定的原始数据及原始数据统计检验过程见《实验数据及处理》第1部分至第3部分。剔除离群值后，重复性、再现性计算结果</w:t>
      </w:r>
      <w:r>
        <w:rPr>
          <w:rFonts w:hint="eastAsia" w:ascii="Times New Roman" w:hAnsi="Times New Roman" w:cs="Times New Roman"/>
          <w:sz w:val="21"/>
          <w:szCs w:val="21"/>
          <w:lang w:val="en-US" w:eastAsia="zh-CN"/>
        </w:rPr>
        <w:t>方法1原子吸收光谱法</w:t>
      </w:r>
      <w:r>
        <w:rPr>
          <w:rFonts w:hint="eastAsia" w:ascii="Times New Roman" w:hAnsi="Times New Roman" w:eastAsia="宋体" w:cs="Times New Roman"/>
          <w:sz w:val="21"/>
          <w:szCs w:val="21"/>
          <w:lang w:val="en-US" w:eastAsia="zh-CN"/>
        </w:rPr>
        <w:t>见表</w:t>
      </w:r>
      <w:r>
        <w:rPr>
          <w:rFonts w:hint="eastAsia" w:ascii="Times New Roman" w:hAnsi="Times New Roman" w:cs="Times New Roman"/>
          <w:sz w:val="21"/>
          <w:szCs w:val="21"/>
          <w:lang w:val="en-US" w:eastAsia="zh-CN"/>
        </w:rPr>
        <w:t>9、</w:t>
      </w:r>
      <w:r>
        <w:rPr>
          <w:rFonts w:hint="eastAsia" w:ascii="Times New Roman" w:hAnsi="Times New Roman" w:cs="Times New Roman"/>
          <w:color w:val="0000FF"/>
          <w:sz w:val="21"/>
          <w:szCs w:val="21"/>
          <w:lang w:val="en-US" w:eastAsia="zh-CN"/>
        </w:rPr>
        <w:t>方法2 容量法见表10。</w:t>
      </w:r>
    </w:p>
    <w:p>
      <w:pPr>
        <w:adjustRightInd w:val="0"/>
        <w:snapToGrid w:val="0"/>
        <w:spacing w:before="50" w:after="50"/>
        <w:ind w:firstLine="444" w:firstLineChars="200"/>
        <w:jc w:val="center"/>
        <w:rPr>
          <w:rFonts w:hint="default" w:hAnsi="宋体"/>
          <w:spacing w:val="6"/>
          <w:lang w:val="en-US" w:eastAsia="zh-CN"/>
        </w:rPr>
      </w:pPr>
      <w:r>
        <w:rPr>
          <w:rFonts w:hint="eastAsia" w:hAnsi="宋体"/>
          <w:spacing w:val="6"/>
          <w:lang w:val="en-US" w:eastAsia="zh-CN"/>
        </w:rPr>
        <w:t>表9 再现性和重现性计算</w:t>
      </w:r>
    </w:p>
    <w:tbl>
      <w:tblPr>
        <w:tblStyle w:val="20"/>
        <w:tblW w:w="85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1416"/>
        <w:gridCol w:w="1470"/>
        <w:gridCol w:w="1635"/>
        <w:gridCol w:w="1605"/>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水平j</w:t>
            </w:r>
          </w:p>
        </w:tc>
        <w:tc>
          <w:tcPr>
            <w:tcW w:w="1416" w:type="dxa"/>
            <w:vAlign w:val="top"/>
          </w:tcPr>
          <w:p>
            <w:pPr>
              <w:jc w:val="center"/>
              <w:rPr>
                <w:rFonts w:hint="eastAsia" w:cs="宋体"/>
                <w:kern w:val="0"/>
                <w:sz w:val="18"/>
                <w:szCs w:val="18"/>
              </w:rPr>
            </w:pPr>
            <w:r>
              <w:rPr>
                <w:rFonts w:hint="eastAsia" w:cs="宋体"/>
                <w:kern w:val="0"/>
                <w:sz w:val="18"/>
                <w:szCs w:val="18"/>
              </w:rPr>
              <w:t>水平1</w:t>
            </w:r>
          </w:p>
          <w:p>
            <w:pPr>
              <w:jc w:val="center"/>
              <w:rPr>
                <w:rFonts w:ascii="宋体" w:hAnsi="宋体"/>
                <w:kern w:val="0"/>
                <w:sz w:val="18"/>
                <w:szCs w:val="18"/>
              </w:rPr>
            </w:pPr>
            <w:r>
              <w:rPr>
                <w:rFonts w:hint="eastAsia" w:cs="宋体"/>
                <w:kern w:val="0"/>
                <w:sz w:val="18"/>
                <w:szCs w:val="18"/>
                <w:lang w:val="en-US" w:eastAsia="zh-CN"/>
              </w:rPr>
              <w:t>（p=11）</w:t>
            </w:r>
          </w:p>
        </w:tc>
        <w:tc>
          <w:tcPr>
            <w:tcW w:w="1470" w:type="dxa"/>
            <w:vAlign w:val="top"/>
          </w:tcPr>
          <w:p>
            <w:pPr>
              <w:jc w:val="center"/>
              <w:rPr>
                <w:rFonts w:hint="eastAsia" w:cs="宋体"/>
                <w:kern w:val="0"/>
                <w:sz w:val="18"/>
                <w:szCs w:val="18"/>
              </w:rPr>
            </w:pPr>
            <w:r>
              <w:rPr>
                <w:rFonts w:hint="eastAsia" w:cs="宋体"/>
                <w:kern w:val="0"/>
                <w:sz w:val="18"/>
                <w:szCs w:val="18"/>
              </w:rPr>
              <w:t>水平2</w:t>
            </w:r>
          </w:p>
          <w:p>
            <w:pPr>
              <w:jc w:val="center"/>
              <w:rPr>
                <w:rFonts w:ascii="宋体" w:hAnsi="宋体"/>
                <w:kern w:val="0"/>
                <w:sz w:val="18"/>
                <w:szCs w:val="18"/>
              </w:rPr>
            </w:pPr>
            <w:r>
              <w:rPr>
                <w:rFonts w:hint="eastAsia" w:cs="宋体"/>
                <w:kern w:val="0"/>
                <w:sz w:val="18"/>
                <w:szCs w:val="18"/>
                <w:lang w:val="en-US" w:eastAsia="zh-CN"/>
              </w:rPr>
              <w:t>（p=11）</w:t>
            </w:r>
          </w:p>
        </w:tc>
        <w:tc>
          <w:tcPr>
            <w:tcW w:w="1635" w:type="dxa"/>
            <w:vAlign w:val="top"/>
          </w:tcPr>
          <w:p>
            <w:pPr>
              <w:jc w:val="center"/>
              <w:rPr>
                <w:rFonts w:hint="eastAsia" w:cs="宋体"/>
                <w:kern w:val="0"/>
                <w:sz w:val="18"/>
                <w:szCs w:val="18"/>
              </w:rPr>
            </w:pPr>
            <w:r>
              <w:rPr>
                <w:rFonts w:hint="eastAsia" w:cs="宋体"/>
                <w:kern w:val="0"/>
                <w:sz w:val="18"/>
                <w:szCs w:val="18"/>
              </w:rPr>
              <w:t>水平3</w:t>
            </w:r>
          </w:p>
          <w:p>
            <w:pPr>
              <w:jc w:val="center"/>
              <w:rPr>
                <w:rFonts w:ascii="宋体" w:hAnsi="宋体"/>
                <w:kern w:val="0"/>
                <w:sz w:val="18"/>
                <w:szCs w:val="18"/>
              </w:rPr>
            </w:pPr>
            <w:r>
              <w:rPr>
                <w:rFonts w:hint="eastAsia" w:cs="宋体"/>
                <w:kern w:val="0"/>
                <w:sz w:val="18"/>
                <w:szCs w:val="18"/>
                <w:lang w:val="en-US" w:eastAsia="zh-CN"/>
              </w:rPr>
              <w:t>（p=11）</w:t>
            </w:r>
          </w:p>
        </w:tc>
        <w:tc>
          <w:tcPr>
            <w:tcW w:w="1605" w:type="dxa"/>
            <w:vAlign w:val="top"/>
          </w:tcPr>
          <w:p>
            <w:pPr>
              <w:jc w:val="center"/>
              <w:rPr>
                <w:rFonts w:hint="eastAsia" w:cs="宋体"/>
                <w:kern w:val="0"/>
                <w:sz w:val="18"/>
                <w:szCs w:val="18"/>
              </w:rPr>
            </w:pPr>
            <w:r>
              <w:rPr>
                <w:rFonts w:hint="eastAsia" w:cs="宋体"/>
                <w:kern w:val="0"/>
                <w:sz w:val="18"/>
                <w:szCs w:val="18"/>
              </w:rPr>
              <w:t>水平4</w:t>
            </w:r>
          </w:p>
          <w:p>
            <w:pPr>
              <w:jc w:val="center"/>
              <w:rPr>
                <w:rFonts w:ascii="宋体" w:hAnsi="宋体"/>
                <w:kern w:val="0"/>
                <w:sz w:val="18"/>
                <w:szCs w:val="18"/>
              </w:rPr>
            </w:pPr>
            <w:r>
              <w:rPr>
                <w:rFonts w:hint="eastAsia" w:cs="宋体"/>
                <w:kern w:val="0"/>
                <w:sz w:val="18"/>
                <w:szCs w:val="18"/>
                <w:lang w:val="en-US" w:eastAsia="zh-CN"/>
              </w:rPr>
              <w:t>（p=11）</w:t>
            </w:r>
          </w:p>
        </w:tc>
        <w:tc>
          <w:tcPr>
            <w:tcW w:w="1515" w:type="dxa"/>
            <w:vAlign w:val="top"/>
          </w:tcPr>
          <w:p>
            <w:pPr>
              <w:jc w:val="center"/>
              <w:rPr>
                <w:rFonts w:hint="eastAsia" w:cs="宋体"/>
                <w:kern w:val="0"/>
                <w:sz w:val="18"/>
                <w:szCs w:val="18"/>
              </w:rPr>
            </w:pPr>
            <w:r>
              <w:rPr>
                <w:rFonts w:hint="eastAsia" w:cs="宋体"/>
                <w:kern w:val="0"/>
                <w:sz w:val="18"/>
                <w:szCs w:val="18"/>
              </w:rPr>
              <w:t>水平5</w:t>
            </w:r>
          </w:p>
          <w:p>
            <w:pPr>
              <w:jc w:val="center"/>
              <w:rPr>
                <w:rFonts w:ascii="宋体" w:hAnsi="宋体"/>
                <w:kern w:val="0"/>
                <w:sz w:val="18"/>
                <w:szCs w:val="18"/>
              </w:rPr>
            </w:pPr>
            <w:r>
              <w:rPr>
                <w:rFonts w:hint="eastAsia" w:cs="宋体"/>
                <w:kern w:val="0"/>
                <w:sz w:val="18"/>
                <w:szCs w:val="18"/>
                <w:lang w:val="en-US" w:eastAsia="zh-CN"/>
              </w:rPr>
              <w:t>（p=10）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T1</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3.148300014</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16.9566</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123.0686003</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293.611</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499.6407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T2</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0.084883863</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2.461268936</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129.5138147</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737.0157007</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2355.895617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T3</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117</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117</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117</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117</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T4</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1259</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1259</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1259</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1259</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T5</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0.00002530 </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0.00079153 </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0.02923505 </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0.06803729 </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0.17143796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S</w:t>
            </w:r>
            <w:r>
              <w:rPr>
                <w:rFonts w:ascii="宋体" w:hAnsi="宋体"/>
                <w:kern w:val="0"/>
                <w:sz w:val="18"/>
                <w:szCs w:val="18"/>
                <w:vertAlign w:val="subscript"/>
              </w:rPr>
              <w:t>r</w:t>
            </w:r>
            <w:r>
              <w:rPr>
                <w:rFonts w:ascii="宋体" w:hAnsi="宋体"/>
                <w:kern w:val="0"/>
                <w:sz w:val="18"/>
                <w:szCs w:val="18"/>
                <w:vertAlign w:val="superscript"/>
              </w:rPr>
              <w:t>2</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0.00000024 </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0.00000747 </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0.00027580 </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0.00064186 </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0.00178581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S</w:t>
            </w:r>
            <w:r>
              <w:rPr>
                <w:rFonts w:ascii="宋体" w:hAnsi="宋体"/>
                <w:kern w:val="0"/>
                <w:sz w:val="18"/>
                <w:szCs w:val="18"/>
                <w:vertAlign w:val="subscript"/>
              </w:rPr>
              <w:t>L</w:t>
            </w:r>
            <w:r>
              <w:rPr>
                <w:rFonts w:ascii="宋体" w:hAnsi="宋体"/>
                <w:kern w:val="0"/>
                <w:sz w:val="18"/>
                <w:szCs w:val="18"/>
                <w:vertAlign w:val="superscript"/>
              </w:rPr>
              <w:t>2</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0.00000156 </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0.00003487 </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0.00055617 </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0.00182355 </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0.00816029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S</w:t>
            </w:r>
            <w:r>
              <w:rPr>
                <w:rFonts w:ascii="宋体" w:hAnsi="宋体"/>
                <w:kern w:val="0"/>
                <w:sz w:val="18"/>
                <w:szCs w:val="18"/>
                <w:vertAlign w:val="subscript"/>
              </w:rPr>
              <w:t>R</w:t>
            </w:r>
            <w:r>
              <w:rPr>
                <w:rFonts w:ascii="宋体" w:hAnsi="宋体"/>
                <w:kern w:val="0"/>
                <w:sz w:val="18"/>
                <w:szCs w:val="18"/>
                <w:vertAlign w:val="superscript"/>
              </w:rPr>
              <w:t>2</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0.00000179 </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0.00004234 </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0.00083198 </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0.00246541 </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 xml:space="preserve">0.00994611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S</w:t>
            </w:r>
            <w:r>
              <w:rPr>
                <w:rFonts w:ascii="宋体" w:hAnsi="宋体"/>
                <w:kern w:val="0"/>
                <w:sz w:val="18"/>
                <w:szCs w:val="18"/>
                <w:vertAlign w:val="subscript"/>
              </w:rPr>
              <w:t>r</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0.000488594</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0.00273263</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0.016607297</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0.025334981</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0.04225887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S</w:t>
            </w:r>
            <w:r>
              <w:rPr>
                <w:rFonts w:ascii="宋体" w:hAnsi="宋体"/>
                <w:kern w:val="0"/>
                <w:sz w:val="18"/>
                <w:szCs w:val="18"/>
                <w:vertAlign w:val="subscript"/>
              </w:rPr>
              <w:t>R</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0.001339633</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0.006506779</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0.02884401</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0.049652867</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0.099730161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61" w:type="dxa"/>
            <w:vAlign w:val="center"/>
          </w:tcPr>
          <w:p>
            <w:pPr>
              <w:widowControl/>
              <w:jc w:val="center"/>
              <w:rPr>
                <w:rFonts w:ascii="宋体" w:hAnsi="宋体"/>
                <w:kern w:val="0"/>
                <w:sz w:val="18"/>
                <w:szCs w:val="18"/>
              </w:rPr>
            </w:pPr>
            <w:r>
              <w:rPr>
                <w:rFonts w:hint="eastAsia" w:ascii="宋体" w:hAnsi="宋体"/>
                <w:kern w:val="0"/>
                <w:sz w:val="18"/>
                <w:szCs w:val="18"/>
              </w:rPr>
              <w:t>m</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0.026908547</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0.144928205</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1.051868379</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2.509495727</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4.71359151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r</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0.001368064</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0.007651365</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0.046500433</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0.070937947</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0.118324836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861" w:type="dxa"/>
            <w:vAlign w:val="center"/>
          </w:tcPr>
          <w:p>
            <w:pPr>
              <w:widowControl/>
              <w:jc w:val="center"/>
              <w:rPr>
                <w:rFonts w:ascii="宋体" w:hAnsi="宋体"/>
                <w:kern w:val="0"/>
                <w:sz w:val="18"/>
                <w:szCs w:val="18"/>
              </w:rPr>
            </w:pPr>
            <w:r>
              <w:rPr>
                <w:rFonts w:ascii="宋体" w:hAnsi="宋体"/>
                <w:kern w:val="0"/>
                <w:sz w:val="18"/>
                <w:szCs w:val="18"/>
              </w:rPr>
              <w:t>R</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0.003750973</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0.01821898</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0.080763228</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0.139028027</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0.279244451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861" w:type="dxa"/>
            <w:vAlign w:val="center"/>
          </w:tcPr>
          <w:p>
            <w:pPr>
              <w:widowControl/>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r(调整后）</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cs="Times New Roman"/>
                <w:b w:val="0"/>
                <w:bCs w:val="0"/>
                <w:i w:val="0"/>
                <w:color w:val="000000"/>
                <w:kern w:val="0"/>
                <w:sz w:val="18"/>
                <w:szCs w:val="18"/>
                <w:u w:val="none"/>
                <w:lang w:val="en-US" w:eastAsia="zh-CN" w:bidi="ar"/>
              </w:rPr>
              <w:t>0.002</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cs="Times New Roman"/>
                <w:b w:val="0"/>
                <w:bCs w:val="0"/>
                <w:i w:val="0"/>
                <w:color w:val="000000"/>
                <w:kern w:val="0"/>
                <w:sz w:val="18"/>
                <w:szCs w:val="18"/>
                <w:u w:val="none"/>
                <w:lang w:val="en-US" w:eastAsia="zh-CN" w:bidi="ar"/>
              </w:rPr>
              <w:t>0.008</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cs="Times New Roman"/>
                <w:b w:val="0"/>
                <w:bCs w:val="0"/>
                <w:i w:val="0"/>
                <w:color w:val="000000"/>
                <w:kern w:val="0"/>
                <w:sz w:val="18"/>
                <w:szCs w:val="18"/>
                <w:u w:val="none"/>
                <w:lang w:val="en-US" w:eastAsia="zh-CN" w:bidi="ar"/>
              </w:rPr>
              <w:t>0.05</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cs="Times New Roman"/>
                <w:b w:val="0"/>
                <w:bCs w:val="0"/>
                <w:i w:val="0"/>
                <w:color w:val="000000"/>
                <w:kern w:val="0"/>
                <w:sz w:val="18"/>
                <w:szCs w:val="18"/>
                <w:u w:val="none"/>
                <w:lang w:val="en-US" w:eastAsia="zh-CN" w:bidi="ar"/>
              </w:rPr>
              <w:t>0.07</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cs="Times New Roman"/>
                <w:b w:val="0"/>
                <w:bCs w:val="0"/>
                <w:i w:val="0"/>
                <w:color w:val="000000"/>
                <w:kern w:val="0"/>
                <w:sz w:val="18"/>
                <w:szCs w:val="18"/>
                <w:u w:val="none"/>
                <w:lang w:val="en-US" w:eastAsia="zh-CN" w:bidi="ar"/>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861" w:type="dxa"/>
            <w:vAlign w:val="center"/>
          </w:tcPr>
          <w:p>
            <w:pPr>
              <w:widowControl/>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R（调整后）</w:t>
            </w:r>
          </w:p>
        </w:tc>
        <w:tc>
          <w:tcPr>
            <w:tcW w:w="141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cs="Times New Roman"/>
                <w:b w:val="0"/>
                <w:bCs w:val="0"/>
                <w:i w:val="0"/>
                <w:color w:val="000000"/>
                <w:kern w:val="0"/>
                <w:sz w:val="18"/>
                <w:szCs w:val="18"/>
                <w:u w:val="none"/>
                <w:lang w:val="en-US" w:eastAsia="zh-CN" w:bidi="ar"/>
              </w:rPr>
              <w:t>0.004</w:t>
            </w:r>
          </w:p>
        </w:tc>
        <w:tc>
          <w:tcPr>
            <w:tcW w:w="147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cs="Times New Roman"/>
                <w:b w:val="0"/>
                <w:bCs w:val="0"/>
                <w:i w:val="0"/>
                <w:color w:val="000000"/>
                <w:kern w:val="0"/>
                <w:sz w:val="18"/>
                <w:szCs w:val="18"/>
                <w:u w:val="none"/>
                <w:lang w:val="en-US" w:eastAsia="zh-CN" w:bidi="ar"/>
              </w:rPr>
              <w:t>0.018</w:t>
            </w:r>
          </w:p>
        </w:tc>
        <w:tc>
          <w:tcPr>
            <w:tcW w:w="163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cs="Times New Roman"/>
                <w:b w:val="0"/>
                <w:bCs w:val="0"/>
                <w:i w:val="0"/>
                <w:color w:val="000000"/>
                <w:kern w:val="0"/>
                <w:sz w:val="18"/>
                <w:szCs w:val="18"/>
                <w:u w:val="none"/>
                <w:lang w:val="en-US" w:eastAsia="zh-CN" w:bidi="ar"/>
              </w:rPr>
              <w:t>0.08</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cs="Times New Roman"/>
                <w:b w:val="0"/>
                <w:bCs w:val="0"/>
                <w:i w:val="0"/>
                <w:color w:val="000000"/>
                <w:kern w:val="0"/>
                <w:sz w:val="18"/>
                <w:szCs w:val="18"/>
                <w:u w:val="none"/>
                <w:lang w:val="en-US" w:eastAsia="zh-CN" w:bidi="ar"/>
              </w:rPr>
              <w:t>0.14</w:t>
            </w:r>
          </w:p>
        </w:tc>
        <w:tc>
          <w:tcPr>
            <w:tcW w:w="15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eastAsia" w:ascii="Times New Roman" w:hAnsi="Times New Roman" w:cs="Times New Roman"/>
                <w:b w:val="0"/>
                <w:bCs w:val="0"/>
                <w:i w:val="0"/>
                <w:color w:val="000000"/>
                <w:kern w:val="0"/>
                <w:sz w:val="18"/>
                <w:szCs w:val="18"/>
                <w:u w:val="none"/>
                <w:lang w:val="en-US" w:eastAsia="zh-CN" w:bidi="ar"/>
              </w:rPr>
              <w:t>0.28</w:t>
            </w:r>
          </w:p>
        </w:tc>
      </w:tr>
    </w:tbl>
    <w:p>
      <w:pPr>
        <w:adjustRightInd w:val="0"/>
        <w:snapToGrid w:val="0"/>
        <w:spacing w:before="50" w:after="50"/>
        <w:rPr>
          <w:rFonts w:hint="eastAsia"/>
          <w:b/>
          <w:bCs/>
          <w:szCs w:val="21"/>
          <w:lang w:val="en-US" w:eastAsia="zh-CN"/>
        </w:rPr>
      </w:pPr>
    </w:p>
    <w:p>
      <w:pPr>
        <w:adjustRightInd w:val="0"/>
        <w:snapToGrid w:val="0"/>
        <w:spacing w:before="50" w:after="50"/>
        <w:rPr>
          <w:rFonts w:hint="eastAsia"/>
          <w:b/>
          <w:bCs/>
          <w:szCs w:val="21"/>
          <w:lang w:val="en-US" w:eastAsia="zh-CN"/>
        </w:rPr>
      </w:pPr>
    </w:p>
    <w:p>
      <w:pPr>
        <w:adjustRightInd w:val="0"/>
        <w:snapToGrid w:val="0"/>
        <w:spacing w:before="50" w:after="50"/>
        <w:rPr>
          <w:rFonts w:hint="eastAsia"/>
          <w:b/>
          <w:bCs/>
          <w:szCs w:val="21"/>
          <w:lang w:val="en-US" w:eastAsia="zh-CN"/>
        </w:rPr>
      </w:pPr>
    </w:p>
    <w:p>
      <w:pPr>
        <w:adjustRightInd w:val="0"/>
        <w:snapToGrid w:val="0"/>
        <w:spacing w:before="50" w:after="50"/>
        <w:rPr>
          <w:rFonts w:hint="eastAsia"/>
          <w:b/>
          <w:bCs/>
          <w:szCs w:val="21"/>
          <w:lang w:val="en-US" w:eastAsia="zh-CN"/>
        </w:rPr>
      </w:pPr>
    </w:p>
    <w:p>
      <w:pPr>
        <w:adjustRightInd w:val="0"/>
        <w:snapToGrid w:val="0"/>
        <w:spacing w:before="50" w:after="50"/>
        <w:rPr>
          <w:rFonts w:hint="eastAsia"/>
          <w:b/>
          <w:bCs/>
          <w:szCs w:val="21"/>
          <w:lang w:val="en-US" w:eastAsia="zh-CN"/>
        </w:rPr>
      </w:pPr>
    </w:p>
    <w:p>
      <w:pPr>
        <w:adjustRightInd w:val="0"/>
        <w:snapToGrid w:val="0"/>
        <w:spacing w:before="50" w:after="50"/>
        <w:rPr>
          <w:rFonts w:hint="eastAsia"/>
          <w:b/>
          <w:bCs/>
          <w:szCs w:val="21"/>
          <w:lang w:val="en-US" w:eastAsia="zh-CN"/>
        </w:rPr>
      </w:pPr>
      <w:r>
        <w:rPr>
          <w:rFonts w:hint="eastAsia"/>
          <w:b/>
          <w:bCs/>
          <w:szCs w:val="21"/>
          <w:lang w:val="en-US" w:eastAsia="zh-CN"/>
        </w:rPr>
        <w:t>3.5 样品回收率试验</w:t>
      </w:r>
    </w:p>
    <w:p>
      <w:pPr>
        <w:adjustRightInd w:val="0"/>
        <w:snapToGrid w:val="0"/>
        <w:spacing w:before="50" w:after="50"/>
        <w:rPr>
          <w:rFonts w:hint="default"/>
          <w:b/>
          <w:bCs/>
          <w:szCs w:val="21"/>
          <w:lang w:val="en-US" w:eastAsia="zh-CN"/>
        </w:rPr>
      </w:pPr>
      <w:r>
        <w:rPr>
          <w:rFonts w:hint="eastAsia"/>
          <w:b/>
          <w:bCs/>
          <w:szCs w:val="21"/>
          <w:lang w:val="en-US" w:eastAsia="zh-CN"/>
        </w:rPr>
        <w:t>3.5.1 方法1 火焰原子吸收光谱法</w:t>
      </w:r>
    </w:p>
    <w:p>
      <w:pPr>
        <w:numPr>
          <w:ilvl w:val="0"/>
          <w:numId w:val="0"/>
        </w:numPr>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为了考察本法的准确度，选取3批铜冶炼烟尘样品，加入不同的镉量，按拟订的分析步骤进行回收率实验，测定结果列于表</w:t>
      </w:r>
      <w:r>
        <w:rPr>
          <w:rFonts w:hint="eastAsia" w:ascii="Times New Roman" w:hAnsi="Times New Roman" w:cs="Times New Roman"/>
          <w:sz w:val="21"/>
          <w:szCs w:val="21"/>
          <w:lang w:val="en-US" w:eastAsia="zh-CN"/>
        </w:rPr>
        <w:t>11</w:t>
      </w:r>
      <w:r>
        <w:rPr>
          <w:rFonts w:hint="eastAsia" w:ascii="Times New Roman" w:hAnsi="Times New Roman" w:eastAsia="宋体" w:cs="Times New Roman"/>
          <w:sz w:val="21"/>
          <w:szCs w:val="21"/>
          <w:lang w:val="en-US" w:eastAsia="zh-CN"/>
        </w:rPr>
        <w:t>。</w:t>
      </w:r>
    </w:p>
    <w:p>
      <w:pPr>
        <w:widowControl w:val="0"/>
        <w:spacing w:line="360" w:lineRule="auto"/>
        <w:jc w:val="center"/>
        <w:rPr>
          <w:rFonts w:hint="default" w:ascii="Times New Roman" w:hAnsi="Times New Roman" w:eastAsia="黑体" w:cs="Times New Roman"/>
          <w:sz w:val="21"/>
        </w:rPr>
      </w:pPr>
      <w:bookmarkStart w:id="1" w:name="_GoBack"/>
      <w:bookmarkEnd w:id="1"/>
      <w:r>
        <w:rPr>
          <w:rFonts w:hint="default" w:ascii="Times New Roman" w:hAnsi="Times New Roman" w:eastAsia="黑体" w:cs="Times New Roman"/>
          <w:sz w:val="21"/>
        </w:rPr>
        <w:t>表</w:t>
      </w:r>
      <w:r>
        <w:rPr>
          <w:rFonts w:hint="default" w:ascii="Times New Roman" w:hAnsi="Times New Roman" w:eastAsia="黑体" w:cs="Times New Roman"/>
          <w:sz w:val="21"/>
          <w:lang w:val="en-US" w:eastAsia="zh-CN"/>
        </w:rPr>
        <w:t>11</w:t>
      </w:r>
      <w:r>
        <w:rPr>
          <w:rFonts w:hint="default" w:ascii="Times New Roman" w:hAnsi="Times New Roman" w:eastAsia="黑体" w:cs="Times New Roman"/>
          <w:sz w:val="21"/>
        </w:rPr>
        <w:t xml:space="preserve">  样品加标回收实验</w:t>
      </w:r>
    </w:p>
    <w:tbl>
      <w:tblPr>
        <w:tblStyle w:val="20"/>
        <w:tblW w:w="7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39"/>
        <w:gridCol w:w="1775"/>
        <w:gridCol w:w="163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样品</w:t>
            </w:r>
          </w:p>
        </w:tc>
        <w:tc>
          <w:tcPr>
            <w:tcW w:w="1539" w:type="dxa"/>
            <w:noWrap w:val="0"/>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样品量，</w:t>
            </w:r>
            <w:r>
              <w:rPr>
                <w:rFonts w:hint="default" w:ascii="Times New Roman" w:hAnsi="Times New Roman" w:eastAsia="黑体" w:cs="Times New Roman"/>
                <w:spacing w:val="6"/>
                <w:sz w:val="21"/>
                <w:szCs w:val="21"/>
              </w:rPr>
              <w:t>µg</w:t>
            </w:r>
          </w:p>
        </w:tc>
        <w:tc>
          <w:tcPr>
            <w:tcW w:w="1775" w:type="dxa"/>
            <w:noWrap w:val="0"/>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加入量，</w:t>
            </w:r>
            <w:r>
              <w:rPr>
                <w:rFonts w:hint="default" w:ascii="Times New Roman" w:hAnsi="Times New Roman" w:eastAsia="黑体" w:cs="Times New Roman"/>
                <w:spacing w:val="6"/>
                <w:sz w:val="21"/>
                <w:szCs w:val="21"/>
              </w:rPr>
              <w:t>µg</w:t>
            </w:r>
          </w:p>
        </w:tc>
        <w:tc>
          <w:tcPr>
            <w:tcW w:w="1633" w:type="dxa"/>
            <w:noWrap w:val="0"/>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测得值，</w:t>
            </w:r>
            <w:r>
              <w:rPr>
                <w:rFonts w:hint="default" w:ascii="Times New Roman" w:hAnsi="Times New Roman" w:eastAsia="黑体" w:cs="Times New Roman"/>
                <w:spacing w:val="6"/>
                <w:sz w:val="21"/>
                <w:szCs w:val="21"/>
              </w:rPr>
              <w:t>µg</w:t>
            </w:r>
          </w:p>
        </w:tc>
        <w:tc>
          <w:tcPr>
            <w:tcW w:w="1584" w:type="dxa"/>
            <w:noWrap w:val="0"/>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539"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28.94</w:t>
            </w:r>
          </w:p>
        </w:tc>
        <w:tc>
          <w:tcPr>
            <w:tcW w:w="1775" w:type="dxa"/>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30</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60</w:t>
            </w:r>
          </w:p>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100</w:t>
            </w:r>
          </w:p>
        </w:tc>
        <w:tc>
          <w:tcPr>
            <w:tcW w:w="1633" w:type="dxa"/>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58.63</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88.37</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131.60</w:t>
            </w:r>
          </w:p>
        </w:tc>
        <w:tc>
          <w:tcPr>
            <w:tcW w:w="1584" w:type="dxa"/>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96.47</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99.05</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1539"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149.9</w:t>
            </w:r>
          </w:p>
        </w:tc>
        <w:tc>
          <w:tcPr>
            <w:tcW w:w="1775"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100</w:t>
            </w:r>
          </w:p>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150</w:t>
            </w:r>
          </w:p>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300</w:t>
            </w:r>
          </w:p>
        </w:tc>
        <w:tc>
          <w:tcPr>
            <w:tcW w:w="1633" w:type="dxa"/>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251.7</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301.2</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455.0</w:t>
            </w:r>
          </w:p>
        </w:tc>
        <w:tc>
          <w:tcPr>
            <w:tcW w:w="1584" w:type="dxa"/>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101.8</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100.9</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1539"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2589</w:t>
            </w:r>
          </w:p>
        </w:tc>
        <w:tc>
          <w:tcPr>
            <w:tcW w:w="1775" w:type="dxa"/>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1000</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2000</w:t>
            </w:r>
          </w:p>
        </w:tc>
        <w:tc>
          <w:tcPr>
            <w:tcW w:w="1633" w:type="dxa"/>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3083</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3567</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4508</w:t>
            </w:r>
          </w:p>
        </w:tc>
        <w:tc>
          <w:tcPr>
            <w:tcW w:w="1584" w:type="dxa"/>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98.80</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97.80</w:t>
            </w:r>
          </w:p>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95.95</w:t>
            </w:r>
          </w:p>
        </w:tc>
      </w:tr>
    </w:tbl>
    <w:p>
      <w:pPr>
        <w:rPr>
          <w:rFonts w:hint="default" w:ascii="Times New Roman" w:hAnsi="Times New Roman" w:eastAsia="宋体" w:cs="Times New Roman"/>
          <w:sz w:val="21"/>
          <w:szCs w:val="21"/>
          <w:lang w:val="en-US" w:eastAsia="zh-CN"/>
        </w:rPr>
      </w:pPr>
      <w:r>
        <w:rPr>
          <w:rFonts w:hint="eastAsia"/>
        </w:rPr>
        <w:t xml:space="preserve"> </w:t>
      </w:r>
      <w:r>
        <w:rPr>
          <w:rFonts w:hint="eastAsia"/>
          <w:lang w:val="en-US" w:eastAsia="zh-CN"/>
        </w:rPr>
        <w:t xml:space="preserve">  </w:t>
      </w:r>
      <w:r>
        <w:rPr>
          <w:rFonts w:hint="eastAsia" w:ascii="Times New Roman" w:hAnsi="Times New Roman" w:eastAsia="宋体" w:cs="Times New Roman"/>
          <w:sz w:val="21"/>
          <w:szCs w:val="21"/>
          <w:lang w:val="en-US" w:eastAsia="zh-CN"/>
        </w:rPr>
        <w:t>从上述加标实验可知，本实验选择的3批铜冶炼烟尘中镉的回收率为95.95 %~102.7 %，可以满足铜冶炼烟尘样品中镉的测定</w:t>
      </w:r>
      <w:r>
        <w:rPr>
          <w:rFonts w:hint="eastAsia" w:ascii="Times New Roman" w:hAnsi="Times New Roman" w:cs="Times New Roman"/>
          <w:sz w:val="21"/>
          <w:szCs w:val="21"/>
          <w:lang w:val="en-US" w:eastAsia="zh-CN"/>
        </w:rPr>
        <w:t>。</w:t>
      </w:r>
    </w:p>
    <w:p>
      <w:pPr>
        <w:adjustRightInd w:val="0"/>
        <w:snapToGrid w:val="0"/>
        <w:spacing w:before="50" w:after="50"/>
        <w:rPr>
          <w:rFonts w:hint="default" w:ascii="Times New Roman" w:hAnsi="Times New Roman" w:cs="Times New Roman"/>
          <w:b/>
          <w:bCs/>
          <w:szCs w:val="21"/>
          <w:lang w:val="en-US" w:eastAsia="zh-CN"/>
        </w:rPr>
      </w:pPr>
      <w:r>
        <w:rPr>
          <w:rFonts w:hint="default" w:ascii="Times New Roman" w:hAnsi="Times New Roman" w:cs="Times New Roman"/>
          <w:b/>
          <w:bCs/>
          <w:szCs w:val="21"/>
          <w:lang w:val="en-US" w:eastAsia="zh-CN"/>
        </w:rPr>
        <w:t>3.5.2</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lang w:val="en-US" w:eastAsia="zh-CN"/>
        </w:rPr>
        <w:t>方法2 容量法</w:t>
      </w:r>
    </w:p>
    <w:p>
      <w:pPr>
        <w:adjustRightInd w:val="0"/>
        <w:snapToGrid w:val="0"/>
        <w:spacing w:before="50" w:after="50"/>
        <w:ind w:firstLine="444" w:firstLineChars="200"/>
        <w:rPr>
          <w:rFonts w:hint="default" w:ascii="Times New Roman" w:hAnsi="Times New Roman" w:cs="Times New Roman"/>
          <w:szCs w:val="21"/>
        </w:rPr>
      </w:pPr>
      <w:r>
        <w:rPr>
          <w:rFonts w:hint="default" w:ascii="Times New Roman" w:hAnsi="Times New Roman" w:cs="Times New Roman"/>
          <w:spacing w:val="6"/>
        </w:rPr>
        <w:t>在样品1#</w:t>
      </w:r>
      <w:r>
        <w:rPr>
          <w:rFonts w:hint="eastAsia" w:ascii="Times New Roman" w:hAnsi="Times New Roman" w:cs="Times New Roman"/>
          <w:spacing w:val="6"/>
          <w:lang w:val="en-US" w:eastAsia="zh-CN"/>
        </w:rPr>
        <w:t xml:space="preserve"> </w:t>
      </w:r>
      <w:r>
        <w:rPr>
          <w:rFonts w:hint="default" w:ascii="Times New Roman" w:hAnsi="Times New Roman" w:cs="Times New Roman"/>
          <w:spacing w:val="6"/>
        </w:rPr>
        <w:t>和3#</w:t>
      </w:r>
      <w:r>
        <w:rPr>
          <w:rFonts w:hint="eastAsia" w:ascii="Times New Roman" w:hAnsi="Times New Roman" w:cs="Times New Roman"/>
          <w:spacing w:val="6"/>
          <w:lang w:val="en-US" w:eastAsia="zh-CN"/>
        </w:rPr>
        <w:t xml:space="preserve"> </w:t>
      </w:r>
      <w:r>
        <w:rPr>
          <w:rFonts w:hint="default" w:ascii="Times New Roman" w:hAnsi="Times New Roman" w:cs="Times New Roman"/>
          <w:spacing w:val="6"/>
        </w:rPr>
        <w:t>中分别加入镉标准溶液进行加标回收试验，结果见表</w:t>
      </w:r>
      <w:r>
        <w:rPr>
          <w:rFonts w:hint="default" w:ascii="Times New Roman" w:hAnsi="Times New Roman" w:cs="Times New Roman"/>
          <w:spacing w:val="6"/>
          <w:lang w:val="en-US" w:eastAsia="zh-CN"/>
        </w:rPr>
        <w:t>12</w:t>
      </w:r>
      <w:r>
        <w:rPr>
          <w:rFonts w:hint="default" w:ascii="Times New Roman" w:hAnsi="Times New Roman" w:cs="Times New Roman"/>
          <w:spacing w:val="6"/>
        </w:rPr>
        <w:t>，</w:t>
      </w:r>
      <w:r>
        <w:rPr>
          <w:rFonts w:hint="default" w:ascii="Times New Roman" w:hAnsi="Times New Roman" w:cs="Times New Roman"/>
          <w:szCs w:val="21"/>
        </w:rPr>
        <w:t>样品加标回收率在</w:t>
      </w:r>
      <w:r>
        <w:rPr>
          <w:rFonts w:hint="default" w:ascii="Times New Roman" w:hAnsi="Times New Roman" w:cs="Times New Roman"/>
          <w:szCs w:val="21"/>
        </w:rPr>
        <w:t>99.6%</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100.2%之间。</w:t>
      </w:r>
    </w:p>
    <w:p>
      <w:pPr>
        <w:widowControl w:val="0"/>
        <w:spacing w:line="360" w:lineRule="auto"/>
        <w:jc w:val="center"/>
        <w:rPr>
          <w:rFonts w:hint="default" w:ascii="Times New Roman" w:hAnsi="Times New Roman" w:eastAsia="黑体" w:cs="Times New Roman"/>
          <w:sz w:val="21"/>
        </w:rPr>
      </w:pPr>
      <w:r>
        <w:rPr>
          <w:rFonts w:hint="eastAsia" w:ascii="Times New Roman" w:hAnsi="Times New Roman" w:eastAsia="黑体" w:cs="Times New Roman"/>
          <w:sz w:val="21"/>
        </w:rPr>
        <w:t>表</w:t>
      </w:r>
      <w:r>
        <w:rPr>
          <w:rFonts w:hint="eastAsia" w:ascii="Times New Roman" w:hAnsi="Times New Roman" w:eastAsia="黑体" w:cs="Times New Roman"/>
          <w:sz w:val="21"/>
          <w:lang w:val="en-US" w:eastAsia="zh-CN"/>
        </w:rPr>
        <w:t>12</w:t>
      </w:r>
      <w:r>
        <w:rPr>
          <w:rFonts w:hint="eastAsia" w:ascii="Times New Roman" w:hAnsi="Times New Roman" w:eastAsia="黑体" w:cs="Times New Roman"/>
          <w:sz w:val="21"/>
        </w:rPr>
        <w:t xml:space="preserve"> 回收率试验</w:t>
      </w:r>
    </w:p>
    <w:tbl>
      <w:tblPr>
        <w:tblStyle w:val="2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14"/>
        <w:gridCol w:w="1918"/>
        <w:gridCol w:w="1916"/>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pPr>
              <w:adjustRightInd w:val="0"/>
              <w:snapToGrid w:val="0"/>
              <w:spacing w:before="50" w:after="50"/>
              <w:ind w:firstLine="222" w:firstLineChars="100"/>
              <w:jc w:val="center"/>
              <w:rPr>
                <w:rFonts w:hint="default" w:ascii="Times New Roman" w:hAnsi="Times New Roman" w:eastAsia="宋体" w:cs="Times New Roman"/>
              </w:rPr>
            </w:pPr>
            <w:r>
              <w:rPr>
                <w:rFonts w:hint="default" w:ascii="Times New Roman" w:hAnsi="Times New Roman" w:eastAsia="宋体" w:cs="Times New Roman"/>
                <w:spacing w:val="6"/>
              </w:rPr>
              <w:t>样品编号</w:t>
            </w:r>
          </w:p>
        </w:tc>
        <w:tc>
          <w:tcPr>
            <w:tcW w:w="1914" w:type="dxa"/>
            <w:vAlign w:val="center"/>
          </w:tcPr>
          <w:p>
            <w:pPr>
              <w:adjustRightInd w:val="0"/>
              <w:snapToGrid w:val="0"/>
              <w:spacing w:before="50" w:after="50"/>
              <w:jc w:val="center"/>
              <w:rPr>
                <w:rFonts w:hint="default" w:ascii="Times New Roman" w:hAnsi="Times New Roman" w:eastAsia="宋体" w:cs="Times New Roman"/>
              </w:rPr>
            </w:pPr>
            <w:r>
              <w:rPr>
                <w:rFonts w:hint="default" w:ascii="Times New Roman" w:hAnsi="Times New Roman" w:eastAsia="宋体" w:cs="Times New Roman"/>
                <w:spacing w:val="6"/>
              </w:rPr>
              <w:t>样品含镉量/mg</w:t>
            </w:r>
          </w:p>
        </w:tc>
        <w:tc>
          <w:tcPr>
            <w:tcW w:w="1918" w:type="dxa"/>
            <w:vAlign w:val="center"/>
          </w:tcPr>
          <w:p>
            <w:pPr>
              <w:adjustRightInd w:val="0"/>
              <w:snapToGrid w:val="0"/>
              <w:spacing w:before="50" w:after="50"/>
              <w:jc w:val="center"/>
              <w:rPr>
                <w:rFonts w:hint="default" w:ascii="Times New Roman" w:hAnsi="Times New Roman" w:eastAsia="宋体" w:cs="Times New Roman"/>
              </w:rPr>
            </w:pPr>
            <w:r>
              <w:rPr>
                <w:rFonts w:hint="default" w:ascii="Times New Roman" w:hAnsi="Times New Roman" w:eastAsia="宋体" w:cs="Times New Roman"/>
                <w:spacing w:val="6"/>
              </w:rPr>
              <w:t>加入镉量/mg</w:t>
            </w:r>
          </w:p>
        </w:tc>
        <w:tc>
          <w:tcPr>
            <w:tcW w:w="1916" w:type="dxa"/>
            <w:vAlign w:val="center"/>
          </w:tcPr>
          <w:p>
            <w:pPr>
              <w:adjustRightInd w:val="0"/>
              <w:snapToGrid w:val="0"/>
              <w:spacing w:before="50" w:after="50"/>
              <w:jc w:val="center"/>
              <w:rPr>
                <w:rFonts w:hint="default" w:ascii="Times New Roman" w:hAnsi="Times New Roman" w:eastAsia="宋体" w:cs="Times New Roman"/>
              </w:rPr>
            </w:pPr>
            <w:r>
              <w:rPr>
                <w:rFonts w:hint="default" w:ascii="Times New Roman" w:hAnsi="Times New Roman" w:eastAsia="宋体" w:cs="Times New Roman"/>
                <w:spacing w:val="6"/>
              </w:rPr>
              <w:t>测得镉量/mg</w:t>
            </w:r>
          </w:p>
        </w:tc>
        <w:tc>
          <w:tcPr>
            <w:tcW w:w="1907" w:type="dxa"/>
            <w:vAlign w:val="center"/>
          </w:tcPr>
          <w:p>
            <w:pPr>
              <w:adjustRightInd w:val="0"/>
              <w:snapToGrid w:val="0"/>
              <w:spacing w:before="50" w:after="50"/>
              <w:ind w:firstLine="222" w:firstLineChars="100"/>
              <w:jc w:val="center"/>
              <w:rPr>
                <w:rFonts w:hint="default" w:ascii="Times New Roman" w:hAnsi="Times New Roman" w:eastAsia="宋体" w:cs="Times New Roman"/>
              </w:rPr>
            </w:pPr>
            <w:r>
              <w:rPr>
                <w:rFonts w:hint="default" w:ascii="Times New Roman" w:hAnsi="Times New Roman" w:eastAsia="宋体" w:cs="Times New Roman"/>
                <w:spacing w:val="6"/>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914"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10.63</w:t>
            </w:r>
          </w:p>
        </w:tc>
        <w:tc>
          <w:tcPr>
            <w:tcW w:w="19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20.00</w:t>
            </w:r>
          </w:p>
        </w:tc>
        <w:tc>
          <w:tcPr>
            <w:tcW w:w="1916"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30.57</w:t>
            </w:r>
          </w:p>
        </w:tc>
        <w:tc>
          <w:tcPr>
            <w:tcW w:w="1907" w:type="dxa"/>
            <w:vAlign w:val="center"/>
          </w:tcPr>
          <w:p>
            <w:pPr>
              <w:ind w:firstLine="630" w:firstLineChars="300"/>
              <w:rPr>
                <w:rFonts w:hint="default" w:ascii="Times New Roman" w:hAnsi="Times New Roman" w:eastAsia="宋体" w:cs="Times New Roman"/>
              </w:rPr>
            </w:pPr>
            <w:r>
              <w:rPr>
                <w:rFonts w:hint="default" w:ascii="Times New Roman" w:hAnsi="Times New Roman" w:eastAsia="宋体" w:cs="Times New Roman"/>
              </w:rPr>
              <w:t>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914"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10.76</w:t>
            </w:r>
          </w:p>
        </w:tc>
        <w:tc>
          <w:tcPr>
            <w:tcW w:w="19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20.00</w:t>
            </w:r>
          </w:p>
        </w:tc>
        <w:tc>
          <w:tcPr>
            <w:tcW w:w="1916"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30.65</w:t>
            </w:r>
          </w:p>
        </w:tc>
        <w:tc>
          <w:tcPr>
            <w:tcW w:w="1907" w:type="dxa"/>
            <w:vAlign w:val="center"/>
          </w:tcPr>
          <w:p>
            <w:pPr>
              <w:ind w:firstLine="630" w:firstLineChars="300"/>
              <w:rPr>
                <w:rFonts w:hint="default" w:ascii="Times New Roman" w:hAnsi="Times New Roman" w:eastAsia="宋体" w:cs="Times New Roman"/>
              </w:rPr>
            </w:pPr>
            <w:r>
              <w:rPr>
                <w:rFonts w:hint="default" w:ascii="Times New Roman" w:hAnsi="Times New Roman" w:eastAsia="宋体" w:cs="Times New Roman"/>
              </w:rPr>
              <w:t>99.64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1914"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27.76</w:t>
            </w:r>
          </w:p>
        </w:tc>
        <w:tc>
          <w:tcPr>
            <w:tcW w:w="19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20.00</w:t>
            </w:r>
          </w:p>
        </w:tc>
        <w:tc>
          <w:tcPr>
            <w:tcW w:w="1916"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47.86</w:t>
            </w:r>
          </w:p>
        </w:tc>
        <w:tc>
          <w:tcPr>
            <w:tcW w:w="1907" w:type="dxa"/>
            <w:vAlign w:val="center"/>
          </w:tcPr>
          <w:p>
            <w:pPr>
              <w:ind w:firstLine="630" w:firstLineChars="300"/>
              <w:rPr>
                <w:rFonts w:hint="default" w:ascii="Times New Roman" w:hAnsi="Times New Roman" w:eastAsia="宋体" w:cs="Times New Roman"/>
              </w:rPr>
            </w:pPr>
            <w:r>
              <w:rPr>
                <w:rFonts w:hint="default" w:ascii="Times New Roman" w:hAnsi="Times New Roman" w:eastAsia="宋体" w:cs="Times New Roman"/>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1914"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27.29</w:t>
            </w:r>
          </w:p>
        </w:tc>
        <w:tc>
          <w:tcPr>
            <w:tcW w:w="19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20.00</w:t>
            </w:r>
          </w:p>
        </w:tc>
        <w:tc>
          <w:tcPr>
            <w:tcW w:w="1916"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47.21</w:t>
            </w:r>
          </w:p>
        </w:tc>
        <w:tc>
          <w:tcPr>
            <w:tcW w:w="1907" w:type="dxa"/>
            <w:vAlign w:val="center"/>
          </w:tcPr>
          <w:p>
            <w:pPr>
              <w:ind w:firstLine="630" w:firstLineChars="300"/>
              <w:rPr>
                <w:rFonts w:hint="default" w:ascii="Times New Roman" w:hAnsi="Times New Roman" w:eastAsia="宋体" w:cs="Times New Roman"/>
              </w:rPr>
            </w:pPr>
            <w:r>
              <w:rPr>
                <w:rFonts w:hint="default" w:ascii="Times New Roman" w:hAnsi="Times New Roman" w:eastAsia="宋体" w:cs="Times New Roman"/>
              </w:rPr>
              <w:t>99.83</w:t>
            </w:r>
          </w:p>
        </w:tc>
      </w:tr>
    </w:tbl>
    <w:p>
      <w:pPr>
        <w:ind w:firstLine="420" w:firstLineChars="200"/>
        <w:rPr>
          <w:rFonts w:hint="eastAsia" w:ascii="Times New Roman" w:hAnsi="Times New Roman"/>
          <w:szCs w:val="21"/>
          <w:lang w:val="en-US" w:eastAsia="zh-CN"/>
        </w:rPr>
      </w:pPr>
    </w:p>
    <w:p>
      <w:pPr>
        <w:numPr>
          <w:ilvl w:val="0"/>
          <w:numId w:val="0"/>
        </w:numPr>
        <w:spacing w:line="240" w:lineRule="auto"/>
        <w:rPr>
          <w:rFonts w:hint="eastAsia"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4</w:t>
      </w:r>
      <w:r>
        <w:rPr>
          <w:rFonts w:hint="eastAsia" w:ascii="Times New Roman" w:hAnsi="Times New Roman" w:eastAsia="宋体" w:cs="Times New Roman"/>
          <w:b/>
          <w:bCs/>
          <w:sz w:val="21"/>
          <w:szCs w:val="21"/>
          <w:lang w:val="en-US" w:eastAsia="zh-CN"/>
        </w:rPr>
        <w:t>、 标准水平</w:t>
      </w:r>
    </w:p>
    <w:p>
      <w:pPr>
        <w:pStyle w:val="8"/>
        <w:spacing w:line="240" w:lineRule="auto"/>
        <w:ind w:firstLine="315" w:firstLineChars="15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该标准技术先进、可操作性强，结构合理、文字简练、条理清晰。该标准没有相关的国家或行业标准，也没有相关的国际标准，建议作为推荐性行业标准推广使用。</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5</w:t>
      </w:r>
      <w:r>
        <w:rPr>
          <w:rFonts w:hint="eastAsia" w:ascii="Times New Roman" w:hAnsi="Times New Roman" w:eastAsia="宋体" w:cs="Times New Roman"/>
          <w:b/>
          <w:bCs/>
          <w:color w:val="auto"/>
          <w:kern w:val="2"/>
          <w:sz w:val="21"/>
          <w:szCs w:val="21"/>
          <w:lang w:val="en-US" w:eastAsia="zh-CN" w:bidi="ar-SA"/>
        </w:rPr>
        <w:t>、与有关的现行法律、法规和强制性国家标准的关系</w:t>
      </w:r>
    </w:p>
    <w:p>
      <w:pPr>
        <w:spacing w:line="240" w:lineRule="auto"/>
        <w:ind w:left="120" w:hanging="105" w:hangingChars="5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6</w:t>
      </w:r>
      <w:r>
        <w:rPr>
          <w:rFonts w:hint="eastAsia" w:ascii="Times New Roman" w:hAnsi="Times New Roman" w:eastAsia="宋体" w:cs="Times New Roman"/>
          <w:b/>
          <w:bCs/>
          <w:color w:val="auto"/>
          <w:kern w:val="2"/>
          <w:sz w:val="21"/>
          <w:szCs w:val="21"/>
          <w:lang w:val="en-US" w:eastAsia="zh-CN" w:bidi="ar-SA"/>
        </w:rPr>
        <w:t>、重大分歧意见的处理经过和依据</w:t>
      </w:r>
    </w:p>
    <w:p>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7</w:t>
      </w:r>
      <w:r>
        <w:rPr>
          <w:rFonts w:hint="eastAsia" w:ascii="Times New Roman" w:hAnsi="Times New Roman" w:eastAsia="宋体" w:cs="Times New Roman"/>
          <w:b/>
          <w:bCs/>
          <w:color w:val="auto"/>
          <w:kern w:val="2"/>
          <w:sz w:val="21"/>
          <w:szCs w:val="21"/>
          <w:lang w:val="en-US" w:eastAsia="zh-CN" w:bidi="ar-SA"/>
        </w:rPr>
        <w:t>、标准实施的建议</w:t>
      </w:r>
    </w:p>
    <w:p>
      <w:pPr>
        <w:autoSpaceDE w:val="0"/>
        <w:autoSpaceDN w:val="0"/>
        <w:adjustRightInd w:val="0"/>
        <w:spacing w:line="240" w:lineRule="auto"/>
        <w:ind w:firstLine="315" w:firstLineChars="15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建议该标准作为推荐性行业标准。</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8</w:t>
      </w:r>
      <w:r>
        <w:rPr>
          <w:rFonts w:hint="eastAsia" w:ascii="Times New Roman" w:hAnsi="Times New Roman" w:eastAsia="宋体" w:cs="Times New Roman"/>
          <w:b/>
          <w:bCs/>
          <w:color w:val="auto"/>
          <w:kern w:val="2"/>
          <w:sz w:val="21"/>
          <w:szCs w:val="21"/>
          <w:lang w:val="en-US" w:eastAsia="zh-CN" w:bidi="ar-SA"/>
        </w:rPr>
        <w:t>、贯彻标准的要求和措施建议</w:t>
      </w:r>
    </w:p>
    <w:p>
      <w:pPr>
        <w:spacing w:line="240" w:lineRule="auto"/>
        <w:ind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生产企业和相关部门、单位应按照产品质量控制及分析检验的要求，认真贯彻实施本标准内容。</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9</w:t>
      </w:r>
      <w:r>
        <w:rPr>
          <w:rFonts w:hint="eastAsia" w:ascii="Times New Roman" w:hAnsi="Times New Roman" w:eastAsia="宋体" w:cs="Times New Roman"/>
          <w:b/>
          <w:bCs/>
          <w:color w:val="auto"/>
          <w:kern w:val="2"/>
          <w:sz w:val="21"/>
          <w:szCs w:val="21"/>
          <w:lang w:val="en-US" w:eastAsia="zh-CN" w:bidi="ar-SA"/>
        </w:rPr>
        <w:t>、废止现行有关标准的建议</w:t>
      </w:r>
    </w:p>
    <w:p>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10</w:t>
      </w:r>
      <w:r>
        <w:rPr>
          <w:rFonts w:hint="eastAsia" w:ascii="Times New Roman" w:hAnsi="Times New Roman" w:eastAsia="宋体" w:cs="Times New Roman"/>
          <w:b/>
          <w:bCs/>
          <w:color w:val="auto"/>
          <w:kern w:val="2"/>
          <w:sz w:val="21"/>
          <w:szCs w:val="21"/>
          <w:lang w:val="en-US" w:eastAsia="zh-CN" w:bidi="ar-SA"/>
        </w:rPr>
        <w:t>、其它应予说明的事项</w:t>
      </w:r>
    </w:p>
    <w:p>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11</w:t>
      </w:r>
      <w:r>
        <w:rPr>
          <w:rFonts w:hint="eastAsia" w:ascii="Times New Roman" w:hAnsi="Times New Roman" w:eastAsia="宋体" w:cs="Times New Roman"/>
          <w:b/>
          <w:bCs/>
          <w:color w:val="auto"/>
          <w:kern w:val="2"/>
          <w:sz w:val="21"/>
          <w:szCs w:val="21"/>
          <w:lang w:val="en-US" w:eastAsia="zh-CN" w:bidi="ar-SA"/>
        </w:rPr>
        <w:t>、预期效果</w:t>
      </w:r>
    </w:p>
    <w:p>
      <w:pPr>
        <w:pStyle w:val="40"/>
        <w:ind w:firstLine="440"/>
        <w:rPr>
          <w:rFonts w:ascii="宋体" w:hAnsi="Times New Roman" w:cs="宋体"/>
          <w:color w:val="000000"/>
          <w:kern w:val="0"/>
          <w:sz w:val="23"/>
          <w:szCs w:val="23"/>
        </w:rPr>
      </w:pPr>
      <w:r>
        <w:rPr>
          <w:rFonts w:hint="default"/>
          <w:lang w:val="en-US" w:eastAsia="zh-CN"/>
        </w:rPr>
        <w:t>从废弃物当中回收镉不仅可满足市场的供求关系，同时具有重大的战略意义。制定铜冶炼烟尘中镉量测定方法，不但给冶炼厂带来良好的经济效益，对资源再生利用提供技术支撑，也规范了实验室检验过程，满足市场的需求</w:t>
      </w:r>
      <w:r>
        <w:rPr>
          <w:rFonts w:hint="eastAsia"/>
          <w:lang w:val="en-US" w:eastAsia="zh-CN"/>
        </w:rPr>
        <w:t>，同时</w:t>
      </w:r>
      <w:r>
        <w:rPr>
          <w:rFonts w:hint="default"/>
          <w:lang w:val="en-US" w:eastAsia="zh-CN"/>
        </w:rPr>
        <w:t>对企业确定回收工艺、提高烟尘的综合利用率并减轻对环境的污染及进行贸易的双方都有着巨大的推动作用。</w:t>
      </w:r>
      <w:r>
        <w:rPr>
          <w:rFonts w:hint="eastAsia" w:ascii="Times New Roman" w:hAnsi="Times New Roman" w:eastAsia="宋体" w:cs="Times New Roman"/>
          <w:color w:val="auto"/>
          <w:kern w:val="2"/>
          <w:sz w:val="21"/>
          <w:szCs w:val="21"/>
          <w:lang w:val="en-US" w:eastAsia="zh-CN" w:bidi="ar-SA"/>
        </w:rPr>
        <w:t>本标准发布和实施能有效规范我国铜冶炼烟尘中锑量的检测，对生产和贸易有重要的意义。</w:t>
      </w:r>
    </w:p>
    <w:sectPr>
      <w:headerReference r:id="rId3" w:type="default"/>
      <w:pgSz w:w="11906" w:h="16838"/>
      <w:pgMar w:top="1134" w:right="1080" w:bottom="1134"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43"/>
      <w:suff w:val="nothing"/>
      <w:lvlText w:val="%1　"/>
      <w:lvlJc w:val="left"/>
      <w:rPr>
        <w:rFonts w:hint="eastAsia" w:ascii="宋体" w:hAnsi="宋体" w:eastAsia="宋体" w:cs="Times New Roman"/>
        <w:b w:val="0"/>
        <w:bCs w:val="0"/>
        <w:i w:val="0"/>
        <w:iCs w:val="0"/>
        <w:sz w:val="21"/>
        <w:szCs w:val="21"/>
      </w:rPr>
    </w:lvl>
    <w:lvl w:ilvl="1" w:tentative="0">
      <w:start w:val="1"/>
      <w:numFmt w:val="decimal"/>
      <w:pStyle w:val="42"/>
      <w:suff w:val="nothing"/>
      <w:lvlText w:val="%1.%2　"/>
      <w:lvlJc w:val="left"/>
      <w:pPr>
        <w:ind w:left="36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4"/>
      <w:suff w:val="nothing"/>
      <w:lvlText w:val="%1.%2.%3　"/>
      <w:lvlJc w:val="left"/>
      <w:pPr>
        <w:ind w:left="2160"/>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45"/>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46"/>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0082E"/>
    <w:rsid w:val="0004091A"/>
    <w:rsid w:val="00047529"/>
    <w:rsid w:val="00070567"/>
    <w:rsid w:val="00087FD5"/>
    <w:rsid w:val="000914DB"/>
    <w:rsid w:val="00094C8A"/>
    <w:rsid w:val="000E1806"/>
    <w:rsid w:val="000E3DA1"/>
    <w:rsid w:val="00105428"/>
    <w:rsid w:val="00106D46"/>
    <w:rsid w:val="00127423"/>
    <w:rsid w:val="001372B9"/>
    <w:rsid w:val="0014528D"/>
    <w:rsid w:val="001561F6"/>
    <w:rsid w:val="00161342"/>
    <w:rsid w:val="001B3112"/>
    <w:rsid w:val="001E30A7"/>
    <w:rsid w:val="001F14F2"/>
    <w:rsid w:val="00216F7D"/>
    <w:rsid w:val="00233E4E"/>
    <w:rsid w:val="00244C10"/>
    <w:rsid w:val="002939AE"/>
    <w:rsid w:val="002E2D60"/>
    <w:rsid w:val="0030341A"/>
    <w:rsid w:val="003064E1"/>
    <w:rsid w:val="00331610"/>
    <w:rsid w:val="00332F9E"/>
    <w:rsid w:val="0034505A"/>
    <w:rsid w:val="003916D9"/>
    <w:rsid w:val="003A4482"/>
    <w:rsid w:val="003A76E8"/>
    <w:rsid w:val="003C527C"/>
    <w:rsid w:val="003C6859"/>
    <w:rsid w:val="00402B47"/>
    <w:rsid w:val="004432FD"/>
    <w:rsid w:val="0047475E"/>
    <w:rsid w:val="004B42C4"/>
    <w:rsid w:val="004C4214"/>
    <w:rsid w:val="004C456E"/>
    <w:rsid w:val="004E1F09"/>
    <w:rsid w:val="004E745B"/>
    <w:rsid w:val="004F17E8"/>
    <w:rsid w:val="00521E05"/>
    <w:rsid w:val="0053419C"/>
    <w:rsid w:val="005413B2"/>
    <w:rsid w:val="00550B93"/>
    <w:rsid w:val="00553D01"/>
    <w:rsid w:val="00570F55"/>
    <w:rsid w:val="00580692"/>
    <w:rsid w:val="005A22F9"/>
    <w:rsid w:val="005A407A"/>
    <w:rsid w:val="005C6A90"/>
    <w:rsid w:val="005F7044"/>
    <w:rsid w:val="00620142"/>
    <w:rsid w:val="006367E3"/>
    <w:rsid w:val="00663EC6"/>
    <w:rsid w:val="00682EAA"/>
    <w:rsid w:val="00686F59"/>
    <w:rsid w:val="00691A3B"/>
    <w:rsid w:val="006C5964"/>
    <w:rsid w:val="00713E29"/>
    <w:rsid w:val="007223A9"/>
    <w:rsid w:val="0072579B"/>
    <w:rsid w:val="00740EA8"/>
    <w:rsid w:val="007A0546"/>
    <w:rsid w:val="007A5776"/>
    <w:rsid w:val="007B0534"/>
    <w:rsid w:val="007B5DF8"/>
    <w:rsid w:val="007E3809"/>
    <w:rsid w:val="007F4651"/>
    <w:rsid w:val="00847840"/>
    <w:rsid w:val="008817D0"/>
    <w:rsid w:val="008926E4"/>
    <w:rsid w:val="008B3FDB"/>
    <w:rsid w:val="008E70CB"/>
    <w:rsid w:val="0091258F"/>
    <w:rsid w:val="00925662"/>
    <w:rsid w:val="00995A63"/>
    <w:rsid w:val="00996B25"/>
    <w:rsid w:val="009B030A"/>
    <w:rsid w:val="009B2D33"/>
    <w:rsid w:val="009C114A"/>
    <w:rsid w:val="009F39E0"/>
    <w:rsid w:val="00A124F4"/>
    <w:rsid w:val="00A23804"/>
    <w:rsid w:val="00A3482A"/>
    <w:rsid w:val="00A73998"/>
    <w:rsid w:val="00A86C20"/>
    <w:rsid w:val="00AB2CEC"/>
    <w:rsid w:val="00AD06DA"/>
    <w:rsid w:val="00AD0748"/>
    <w:rsid w:val="00AE62DF"/>
    <w:rsid w:val="00AF1CF5"/>
    <w:rsid w:val="00B53F39"/>
    <w:rsid w:val="00B54F61"/>
    <w:rsid w:val="00B624A3"/>
    <w:rsid w:val="00BD2FF6"/>
    <w:rsid w:val="00BE0314"/>
    <w:rsid w:val="00C00EA3"/>
    <w:rsid w:val="00C04C61"/>
    <w:rsid w:val="00C22773"/>
    <w:rsid w:val="00C45B66"/>
    <w:rsid w:val="00C67BC1"/>
    <w:rsid w:val="00C95617"/>
    <w:rsid w:val="00CB467B"/>
    <w:rsid w:val="00CE3117"/>
    <w:rsid w:val="00CE56F3"/>
    <w:rsid w:val="00CF452B"/>
    <w:rsid w:val="00D033C5"/>
    <w:rsid w:val="00D15A3D"/>
    <w:rsid w:val="00D215A3"/>
    <w:rsid w:val="00D2732B"/>
    <w:rsid w:val="00D67AEB"/>
    <w:rsid w:val="00D9292C"/>
    <w:rsid w:val="00DA5886"/>
    <w:rsid w:val="00DE7B61"/>
    <w:rsid w:val="00DF0525"/>
    <w:rsid w:val="00E17C57"/>
    <w:rsid w:val="00EB0279"/>
    <w:rsid w:val="00EB0B5B"/>
    <w:rsid w:val="00EB76C2"/>
    <w:rsid w:val="00EC09A1"/>
    <w:rsid w:val="00EF464E"/>
    <w:rsid w:val="00F8069D"/>
    <w:rsid w:val="00F83B92"/>
    <w:rsid w:val="00FF21C7"/>
    <w:rsid w:val="01817B7D"/>
    <w:rsid w:val="02BE48A0"/>
    <w:rsid w:val="038A4226"/>
    <w:rsid w:val="04E23E32"/>
    <w:rsid w:val="04FD6C72"/>
    <w:rsid w:val="05D05187"/>
    <w:rsid w:val="06415C3A"/>
    <w:rsid w:val="07DF41A1"/>
    <w:rsid w:val="07F72306"/>
    <w:rsid w:val="081C0A22"/>
    <w:rsid w:val="0875553E"/>
    <w:rsid w:val="0935648C"/>
    <w:rsid w:val="09871475"/>
    <w:rsid w:val="09C05E83"/>
    <w:rsid w:val="0A450535"/>
    <w:rsid w:val="0B043420"/>
    <w:rsid w:val="0B9E4F8A"/>
    <w:rsid w:val="0BD968D6"/>
    <w:rsid w:val="0C644B44"/>
    <w:rsid w:val="0C71470C"/>
    <w:rsid w:val="0CDB2762"/>
    <w:rsid w:val="105F1526"/>
    <w:rsid w:val="131703F8"/>
    <w:rsid w:val="13E705FB"/>
    <w:rsid w:val="158F0062"/>
    <w:rsid w:val="160417F3"/>
    <w:rsid w:val="16E310DD"/>
    <w:rsid w:val="17712258"/>
    <w:rsid w:val="19170CFC"/>
    <w:rsid w:val="1B356DC5"/>
    <w:rsid w:val="1BCD09EE"/>
    <w:rsid w:val="1BE8234E"/>
    <w:rsid w:val="1C6A64FE"/>
    <w:rsid w:val="1C926641"/>
    <w:rsid w:val="1CE27664"/>
    <w:rsid w:val="1E771313"/>
    <w:rsid w:val="1EFC69AA"/>
    <w:rsid w:val="1F410F90"/>
    <w:rsid w:val="22301F9E"/>
    <w:rsid w:val="22D0082E"/>
    <w:rsid w:val="22F0326E"/>
    <w:rsid w:val="24491D46"/>
    <w:rsid w:val="271B5E02"/>
    <w:rsid w:val="28452EE8"/>
    <w:rsid w:val="28EB38A7"/>
    <w:rsid w:val="29D53C63"/>
    <w:rsid w:val="2B2A4547"/>
    <w:rsid w:val="2BD06C0F"/>
    <w:rsid w:val="2DE43FCF"/>
    <w:rsid w:val="303B3F4F"/>
    <w:rsid w:val="30660271"/>
    <w:rsid w:val="32913EAA"/>
    <w:rsid w:val="32C047FA"/>
    <w:rsid w:val="34444A6F"/>
    <w:rsid w:val="34B2591E"/>
    <w:rsid w:val="353532AF"/>
    <w:rsid w:val="35A04305"/>
    <w:rsid w:val="35B8353C"/>
    <w:rsid w:val="35FF175D"/>
    <w:rsid w:val="36680F40"/>
    <w:rsid w:val="37172400"/>
    <w:rsid w:val="372C0357"/>
    <w:rsid w:val="377A09B7"/>
    <w:rsid w:val="377E6783"/>
    <w:rsid w:val="37C36747"/>
    <w:rsid w:val="37FC1C70"/>
    <w:rsid w:val="3885447C"/>
    <w:rsid w:val="38FA6AA4"/>
    <w:rsid w:val="3A126344"/>
    <w:rsid w:val="3AC67C22"/>
    <w:rsid w:val="3AF36D10"/>
    <w:rsid w:val="3B352D18"/>
    <w:rsid w:val="3BF760E7"/>
    <w:rsid w:val="3D681B20"/>
    <w:rsid w:val="3DDD777B"/>
    <w:rsid w:val="3DF937C4"/>
    <w:rsid w:val="3EFC0F8E"/>
    <w:rsid w:val="40061F87"/>
    <w:rsid w:val="42C22855"/>
    <w:rsid w:val="45911E73"/>
    <w:rsid w:val="493A43D3"/>
    <w:rsid w:val="49F80FEA"/>
    <w:rsid w:val="4A6B4416"/>
    <w:rsid w:val="4AF93F4A"/>
    <w:rsid w:val="4BF67577"/>
    <w:rsid w:val="4C0E27B3"/>
    <w:rsid w:val="4CB551A6"/>
    <w:rsid w:val="4D740385"/>
    <w:rsid w:val="4D865FF4"/>
    <w:rsid w:val="4D984AB8"/>
    <w:rsid w:val="4E3A76A9"/>
    <w:rsid w:val="4E426D1E"/>
    <w:rsid w:val="4F6110F0"/>
    <w:rsid w:val="4F8555EB"/>
    <w:rsid w:val="500A025A"/>
    <w:rsid w:val="5066317D"/>
    <w:rsid w:val="52351EA6"/>
    <w:rsid w:val="53B31449"/>
    <w:rsid w:val="53B63CEC"/>
    <w:rsid w:val="54A3652D"/>
    <w:rsid w:val="55034B89"/>
    <w:rsid w:val="55C715AE"/>
    <w:rsid w:val="55D00164"/>
    <w:rsid w:val="56796A1D"/>
    <w:rsid w:val="58215EA9"/>
    <w:rsid w:val="5972528C"/>
    <w:rsid w:val="5C6B24A6"/>
    <w:rsid w:val="5DC23DC5"/>
    <w:rsid w:val="5F9F3FAB"/>
    <w:rsid w:val="60F338BA"/>
    <w:rsid w:val="6188014B"/>
    <w:rsid w:val="61A4251D"/>
    <w:rsid w:val="61B81403"/>
    <w:rsid w:val="61ED0985"/>
    <w:rsid w:val="62D0700A"/>
    <w:rsid w:val="637E306A"/>
    <w:rsid w:val="639D111C"/>
    <w:rsid w:val="64434380"/>
    <w:rsid w:val="688F3C18"/>
    <w:rsid w:val="68CD202D"/>
    <w:rsid w:val="69A2760E"/>
    <w:rsid w:val="6CE04249"/>
    <w:rsid w:val="6FB32394"/>
    <w:rsid w:val="70786505"/>
    <w:rsid w:val="71791D2C"/>
    <w:rsid w:val="725E7F4F"/>
    <w:rsid w:val="72C15645"/>
    <w:rsid w:val="72FD3C12"/>
    <w:rsid w:val="73366015"/>
    <w:rsid w:val="746B27EC"/>
    <w:rsid w:val="766A4881"/>
    <w:rsid w:val="77263000"/>
    <w:rsid w:val="77675539"/>
    <w:rsid w:val="77D53FAB"/>
    <w:rsid w:val="77F55D57"/>
    <w:rsid w:val="79317A9A"/>
    <w:rsid w:val="7AE31DAF"/>
    <w:rsid w:val="7AE86602"/>
    <w:rsid w:val="7BD5003E"/>
    <w:rsid w:val="7BFF529F"/>
    <w:rsid w:val="7C174C44"/>
    <w:rsid w:val="7D3E3439"/>
    <w:rsid w:val="7DC76BA4"/>
    <w:rsid w:val="7ECE4E2C"/>
    <w:rsid w:val="7F9529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67"/>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8"/>
    <w:qFormat/>
    <w:uiPriority w:val="99"/>
    <w:pPr>
      <w:keepNext/>
      <w:keepLines/>
      <w:widowControl/>
      <w:adjustRightInd w:val="0"/>
      <w:snapToGrid w:val="0"/>
      <w:spacing w:before="260" w:after="260" w:line="416" w:lineRule="auto"/>
      <w:jc w:val="left"/>
      <w:outlineLvl w:val="2"/>
    </w:pPr>
    <w:rPr>
      <w:rFonts w:ascii="Times New Roman" w:hAnsi="Times New Roman" w:eastAsia="黑体"/>
      <w:kern w:val="0"/>
      <w:sz w:val="24"/>
      <w:szCs w:val="24"/>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rFonts w:ascii="Times New Roman" w:hAnsi="Times New Roman"/>
      <w:szCs w:val="21"/>
    </w:rPr>
  </w:style>
  <w:style w:type="paragraph" w:styleId="5">
    <w:name w:val="caption"/>
    <w:basedOn w:val="1"/>
    <w:next w:val="1"/>
    <w:qFormat/>
    <w:uiPriority w:val="99"/>
    <w:pPr>
      <w:widowControl/>
      <w:adjustRightInd w:val="0"/>
      <w:snapToGrid w:val="0"/>
      <w:spacing w:after="200"/>
      <w:jc w:val="left"/>
    </w:pPr>
    <w:rPr>
      <w:rFonts w:ascii="Arial" w:hAnsi="Arial" w:eastAsia="黑体" w:cs="Arial"/>
      <w:kern w:val="0"/>
      <w:sz w:val="20"/>
      <w:szCs w:val="20"/>
    </w:rPr>
  </w:style>
  <w:style w:type="paragraph" w:styleId="6">
    <w:name w:val="annotation text"/>
    <w:basedOn w:val="1"/>
    <w:link w:val="59"/>
    <w:qFormat/>
    <w:locked/>
    <w:uiPriority w:val="99"/>
    <w:pPr>
      <w:jc w:val="left"/>
    </w:pPr>
    <w:rPr>
      <w:rFonts w:ascii="Times New Roman" w:hAnsi="Times New Roman" w:eastAsiaTheme="minorEastAsia"/>
      <w:szCs w:val="24"/>
    </w:rPr>
  </w:style>
  <w:style w:type="paragraph" w:styleId="7">
    <w:name w:val="Body Text"/>
    <w:basedOn w:val="1"/>
    <w:link w:val="29"/>
    <w:qFormat/>
    <w:uiPriority w:val="99"/>
    <w:pPr>
      <w:spacing w:after="120"/>
    </w:pPr>
  </w:style>
  <w:style w:type="paragraph" w:styleId="8">
    <w:name w:val="Body Text Indent"/>
    <w:basedOn w:val="1"/>
    <w:link w:val="31"/>
    <w:qFormat/>
    <w:uiPriority w:val="99"/>
    <w:pPr>
      <w:spacing w:after="120"/>
      <w:ind w:left="420" w:leftChars="200"/>
    </w:pPr>
    <w:rPr>
      <w:rFonts w:ascii="Times New Roman" w:hAnsi="Times New Roman"/>
      <w:szCs w:val="21"/>
    </w:rPr>
  </w:style>
  <w:style w:type="paragraph" w:styleId="9">
    <w:name w:val="Plain Text"/>
    <w:basedOn w:val="1"/>
    <w:link w:val="32"/>
    <w:qFormat/>
    <w:uiPriority w:val="99"/>
    <w:rPr>
      <w:rFonts w:ascii="宋体" w:hAnsi="Courier New" w:cs="宋体"/>
      <w:szCs w:val="21"/>
    </w:rPr>
  </w:style>
  <w:style w:type="paragraph" w:styleId="10">
    <w:name w:val="Date"/>
    <w:basedOn w:val="1"/>
    <w:next w:val="1"/>
    <w:link w:val="33"/>
    <w:qFormat/>
    <w:uiPriority w:val="99"/>
    <w:rPr>
      <w:rFonts w:ascii="Times New Roman" w:hAnsi="Times New Roman" w:eastAsia="黑体"/>
      <w:sz w:val="28"/>
      <w:szCs w:val="28"/>
    </w:rPr>
  </w:style>
  <w:style w:type="paragraph" w:styleId="11">
    <w:name w:val="Body Text Indent 2"/>
    <w:basedOn w:val="1"/>
    <w:link w:val="34"/>
    <w:qFormat/>
    <w:uiPriority w:val="99"/>
    <w:pPr>
      <w:spacing w:after="120" w:line="480" w:lineRule="auto"/>
      <w:ind w:left="420" w:leftChars="200"/>
    </w:pPr>
    <w:rPr>
      <w:rFonts w:ascii="Times New Roman" w:hAnsi="Times New Roman"/>
      <w:szCs w:val="21"/>
    </w:rPr>
  </w:style>
  <w:style w:type="paragraph" w:styleId="12">
    <w:name w:val="Balloon Text"/>
    <w:basedOn w:val="1"/>
    <w:link w:val="35"/>
    <w:qFormat/>
    <w:uiPriority w:val="99"/>
    <w:pPr>
      <w:widowControl/>
      <w:adjustRightInd w:val="0"/>
      <w:snapToGrid w:val="0"/>
      <w:jc w:val="left"/>
    </w:pPr>
    <w:rPr>
      <w:rFonts w:ascii="Tahoma" w:hAnsi="Tahoma" w:eastAsia="微软雅黑" w:cs="Tahoma"/>
      <w:kern w:val="0"/>
      <w:sz w:val="18"/>
      <w:szCs w:val="18"/>
    </w:rPr>
  </w:style>
  <w:style w:type="paragraph" w:styleId="13">
    <w:name w:val="footer"/>
    <w:basedOn w:val="1"/>
    <w:link w:val="36"/>
    <w:qFormat/>
    <w:uiPriority w:val="99"/>
    <w:pPr>
      <w:tabs>
        <w:tab w:val="center" w:pos="4153"/>
        <w:tab w:val="right" w:pos="8306"/>
      </w:tabs>
      <w:snapToGrid w:val="0"/>
      <w:jc w:val="left"/>
    </w:pPr>
    <w:rPr>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65"/>
    <w:qFormat/>
    <w:locked/>
    <w:uiPriority w:val="99"/>
    <w:pPr>
      <w:spacing w:after="120"/>
      <w:ind w:left="420" w:leftChars="200"/>
    </w:pPr>
    <w:rPr>
      <w:rFonts w:ascii="Times New Roman" w:hAnsi="Times New Roman" w:eastAsiaTheme="minorEastAsia"/>
      <w:sz w:val="16"/>
      <w:szCs w:val="16"/>
    </w:rPr>
  </w:style>
  <w:style w:type="paragraph" w:styleId="16">
    <w:name w:val="Normal (Web)"/>
    <w:basedOn w:val="1"/>
    <w:unhideWhenUsed/>
    <w:qFormat/>
    <w:locked/>
    <w:uiPriority w:val="99"/>
    <w:pPr>
      <w:widowControl/>
      <w:jc w:val="left"/>
    </w:pPr>
    <w:rPr>
      <w:rFonts w:ascii="宋体" w:hAnsi="宋体" w:cs="宋体"/>
      <w:kern w:val="0"/>
      <w:sz w:val="24"/>
      <w:szCs w:val="24"/>
    </w:rPr>
  </w:style>
  <w:style w:type="paragraph" w:styleId="17">
    <w:name w:val="annotation subject"/>
    <w:basedOn w:val="6"/>
    <w:next w:val="6"/>
    <w:link w:val="60"/>
    <w:qFormat/>
    <w:locked/>
    <w:uiPriority w:val="99"/>
    <w:rPr>
      <w:b/>
      <w:bCs/>
    </w:rPr>
  </w:style>
  <w:style w:type="paragraph" w:styleId="18">
    <w:name w:val="Body Text First Indent"/>
    <w:basedOn w:val="7"/>
    <w:link w:val="30"/>
    <w:qFormat/>
    <w:uiPriority w:val="99"/>
    <w:pPr>
      <w:ind w:firstLine="420" w:firstLineChars="100"/>
    </w:pPr>
    <w:rPr>
      <w:rFonts w:ascii="Times New Roman" w:hAnsi="Times New Roman"/>
      <w:szCs w:val="21"/>
    </w:rPr>
  </w:style>
  <w:style w:type="paragraph" w:styleId="19">
    <w:name w:val="Body Text First Indent 2"/>
    <w:basedOn w:val="8"/>
    <w:link w:val="37"/>
    <w:qFormat/>
    <w:uiPriority w:val="99"/>
    <w:pPr>
      <w:ind w:firstLine="420" w:firstLineChars="200"/>
    </w:p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locked/>
    <w:uiPriority w:val="22"/>
    <w:rPr>
      <w:color w:val="CC0000"/>
    </w:rPr>
  </w:style>
  <w:style w:type="character" w:styleId="24">
    <w:name w:val="page number"/>
    <w:basedOn w:val="22"/>
    <w:qFormat/>
    <w:uiPriority w:val="99"/>
    <w:rPr>
      <w:rFonts w:cs="Times New Roman"/>
    </w:rPr>
  </w:style>
  <w:style w:type="character" w:styleId="25">
    <w:name w:val="FollowedHyperlink"/>
    <w:basedOn w:val="22"/>
    <w:qFormat/>
    <w:uiPriority w:val="99"/>
    <w:rPr>
      <w:rFonts w:cs="Times New Roman"/>
      <w:color w:val="000000"/>
      <w:u w:val="none"/>
    </w:rPr>
  </w:style>
  <w:style w:type="character" w:styleId="26">
    <w:name w:val="Hyperlink"/>
    <w:basedOn w:val="22"/>
    <w:qFormat/>
    <w:uiPriority w:val="99"/>
    <w:rPr>
      <w:rFonts w:cs="Times New Roman"/>
      <w:color w:val="000000"/>
      <w:u w:val="none"/>
    </w:rPr>
  </w:style>
  <w:style w:type="character" w:styleId="27">
    <w:name w:val="annotation reference"/>
    <w:basedOn w:val="22"/>
    <w:qFormat/>
    <w:locked/>
    <w:uiPriority w:val="99"/>
    <w:rPr>
      <w:rFonts w:cs="Times New Roman"/>
      <w:sz w:val="21"/>
    </w:rPr>
  </w:style>
  <w:style w:type="character" w:customStyle="1" w:styleId="28">
    <w:name w:val="标题 3 Char"/>
    <w:basedOn w:val="22"/>
    <w:link w:val="3"/>
    <w:qFormat/>
    <w:locked/>
    <w:uiPriority w:val="99"/>
    <w:rPr>
      <w:rFonts w:ascii="Times New Roman" w:hAnsi="Times New Roman" w:eastAsia="黑体" w:cs="Times New Roman"/>
      <w:sz w:val="24"/>
      <w:szCs w:val="24"/>
    </w:rPr>
  </w:style>
  <w:style w:type="character" w:customStyle="1" w:styleId="29">
    <w:name w:val="正文文本 Char"/>
    <w:basedOn w:val="22"/>
    <w:link w:val="7"/>
    <w:qFormat/>
    <w:locked/>
    <w:uiPriority w:val="99"/>
    <w:rPr>
      <w:rFonts w:cs="Times New Roman"/>
      <w:kern w:val="2"/>
      <w:sz w:val="22"/>
      <w:szCs w:val="22"/>
    </w:rPr>
  </w:style>
  <w:style w:type="character" w:customStyle="1" w:styleId="30">
    <w:name w:val="正文首行缩进 Char"/>
    <w:basedOn w:val="29"/>
    <w:link w:val="18"/>
    <w:qFormat/>
    <w:locked/>
    <w:uiPriority w:val="99"/>
    <w:rPr>
      <w:rFonts w:ascii="Times New Roman" w:hAnsi="Times New Roman" w:eastAsia="宋体"/>
      <w:sz w:val="21"/>
      <w:szCs w:val="21"/>
    </w:rPr>
  </w:style>
  <w:style w:type="character" w:customStyle="1" w:styleId="31">
    <w:name w:val="正文文本缩进 Char"/>
    <w:basedOn w:val="22"/>
    <w:link w:val="8"/>
    <w:qFormat/>
    <w:locked/>
    <w:uiPriority w:val="99"/>
    <w:rPr>
      <w:rFonts w:ascii="Times New Roman" w:hAnsi="Times New Roman" w:eastAsia="宋体" w:cs="Times New Roman"/>
      <w:kern w:val="2"/>
      <w:sz w:val="21"/>
      <w:szCs w:val="21"/>
    </w:rPr>
  </w:style>
  <w:style w:type="character" w:customStyle="1" w:styleId="32">
    <w:name w:val="纯文本 Char"/>
    <w:basedOn w:val="22"/>
    <w:link w:val="9"/>
    <w:qFormat/>
    <w:locked/>
    <w:uiPriority w:val="99"/>
    <w:rPr>
      <w:rFonts w:ascii="宋体" w:hAnsi="Courier New" w:eastAsia="宋体" w:cs="宋体"/>
      <w:kern w:val="2"/>
      <w:sz w:val="21"/>
      <w:szCs w:val="21"/>
    </w:rPr>
  </w:style>
  <w:style w:type="character" w:customStyle="1" w:styleId="33">
    <w:name w:val="日期 Char"/>
    <w:basedOn w:val="22"/>
    <w:link w:val="10"/>
    <w:qFormat/>
    <w:locked/>
    <w:uiPriority w:val="99"/>
    <w:rPr>
      <w:rFonts w:ascii="Times New Roman" w:hAnsi="Times New Roman" w:eastAsia="黑体" w:cs="Times New Roman"/>
      <w:kern w:val="2"/>
      <w:sz w:val="28"/>
      <w:szCs w:val="28"/>
    </w:rPr>
  </w:style>
  <w:style w:type="character" w:customStyle="1" w:styleId="34">
    <w:name w:val="正文文本缩进 2 Char"/>
    <w:basedOn w:val="22"/>
    <w:link w:val="11"/>
    <w:qFormat/>
    <w:locked/>
    <w:uiPriority w:val="99"/>
    <w:rPr>
      <w:rFonts w:ascii="Times New Roman" w:hAnsi="Times New Roman" w:eastAsia="宋体" w:cs="Times New Roman"/>
      <w:kern w:val="2"/>
      <w:sz w:val="21"/>
      <w:szCs w:val="21"/>
    </w:rPr>
  </w:style>
  <w:style w:type="character" w:customStyle="1" w:styleId="35">
    <w:name w:val="批注框文本 Char"/>
    <w:basedOn w:val="22"/>
    <w:link w:val="12"/>
    <w:qFormat/>
    <w:locked/>
    <w:uiPriority w:val="99"/>
    <w:rPr>
      <w:rFonts w:ascii="Tahoma" w:hAnsi="Tahoma" w:eastAsia="微软雅黑" w:cs="Tahoma"/>
      <w:sz w:val="18"/>
      <w:szCs w:val="18"/>
    </w:rPr>
  </w:style>
  <w:style w:type="character" w:customStyle="1" w:styleId="36">
    <w:name w:val="页脚 Char"/>
    <w:basedOn w:val="22"/>
    <w:link w:val="13"/>
    <w:qFormat/>
    <w:locked/>
    <w:uiPriority w:val="99"/>
    <w:rPr>
      <w:rFonts w:cs="Times New Roman"/>
      <w:kern w:val="2"/>
      <w:sz w:val="18"/>
      <w:szCs w:val="18"/>
    </w:rPr>
  </w:style>
  <w:style w:type="character" w:customStyle="1" w:styleId="37">
    <w:name w:val="正文首行缩进 2 Char"/>
    <w:basedOn w:val="31"/>
    <w:link w:val="19"/>
    <w:qFormat/>
    <w:locked/>
    <w:uiPriority w:val="99"/>
  </w:style>
  <w:style w:type="character" w:customStyle="1" w:styleId="38">
    <w:name w:val="页眉 Char"/>
    <w:basedOn w:val="22"/>
    <w:link w:val="14"/>
    <w:qFormat/>
    <w:locked/>
    <w:uiPriority w:val="99"/>
    <w:rPr>
      <w:rFonts w:cs="Times New Roman"/>
      <w:kern w:val="2"/>
      <w:sz w:val="18"/>
      <w:szCs w:val="18"/>
    </w:rPr>
  </w:style>
  <w:style w:type="character" w:customStyle="1" w:styleId="39">
    <w:name w:val="段 Char"/>
    <w:link w:val="40"/>
    <w:qFormat/>
    <w:locked/>
    <w:uiPriority w:val="99"/>
    <w:rPr>
      <w:rFonts w:ascii="宋体"/>
      <w:kern w:val="2"/>
      <w:sz w:val="22"/>
      <w:lang w:val="en-US" w:eastAsia="zh-CN"/>
    </w:rPr>
  </w:style>
  <w:style w:type="paragraph" w:customStyle="1" w:styleId="40">
    <w:name w:val="段"/>
    <w:link w:val="39"/>
    <w:qFormat/>
    <w:uiPriority w:val="99"/>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customStyle="1" w:styleId="41">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rPr>
  </w:style>
  <w:style w:type="paragraph" w:customStyle="1" w:styleId="42">
    <w:name w:val="一级条标题"/>
    <w:next w:val="40"/>
    <w:link w:val="61"/>
    <w:qFormat/>
    <w:uiPriority w:val="99"/>
    <w:pPr>
      <w:numPr>
        <w:ilvl w:val="1"/>
        <w:numId w:val="1"/>
      </w:numPr>
      <w:spacing w:beforeLines="50" w:afterLines="50"/>
      <w:outlineLvl w:val="2"/>
    </w:pPr>
    <w:rPr>
      <w:rFonts w:ascii="黑体" w:hAnsi="Times New Roman" w:eastAsia="黑体" w:cs="黑体"/>
      <w:sz w:val="21"/>
      <w:szCs w:val="21"/>
      <w:lang w:val="en-US" w:eastAsia="zh-CN" w:bidi="ar-SA"/>
    </w:rPr>
  </w:style>
  <w:style w:type="paragraph" w:customStyle="1" w:styleId="43">
    <w:name w:val="章标题"/>
    <w:next w:val="40"/>
    <w:link w:val="62"/>
    <w:qFormat/>
    <w:uiPriority w:val="99"/>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44">
    <w:name w:val="二级条标题"/>
    <w:basedOn w:val="42"/>
    <w:next w:val="40"/>
    <w:qFormat/>
    <w:uiPriority w:val="99"/>
    <w:pPr>
      <w:numPr>
        <w:ilvl w:val="2"/>
      </w:numPr>
      <w:spacing w:before="50" w:after="50"/>
      <w:outlineLvl w:val="3"/>
    </w:pPr>
  </w:style>
  <w:style w:type="paragraph" w:customStyle="1" w:styleId="45">
    <w:name w:val="四级条标题"/>
    <w:basedOn w:val="1"/>
    <w:next w:val="40"/>
    <w:qFormat/>
    <w:uiPriority w:val="99"/>
    <w:pPr>
      <w:widowControl/>
      <w:numPr>
        <w:ilvl w:val="4"/>
        <w:numId w:val="1"/>
      </w:numPr>
      <w:spacing w:beforeLines="50" w:afterLines="50"/>
      <w:jc w:val="left"/>
      <w:outlineLvl w:val="5"/>
    </w:pPr>
    <w:rPr>
      <w:rFonts w:ascii="黑体" w:hAnsi="Times New Roman" w:eastAsia="黑体" w:cs="黑体"/>
      <w:kern w:val="0"/>
      <w:szCs w:val="21"/>
    </w:rPr>
  </w:style>
  <w:style w:type="paragraph" w:customStyle="1" w:styleId="46">
    <w:name w:val="五级条标题"/>
    <w:basedOn w:val="45"/>
    <w:next w:val="40"/>
    <w:qFormat/>
    <w:uiPriority w:val="99"/>
    <w:pPr>
      <w:numPr>
        <w:ilvl w:val="5"/>
      </w:numPr>
      <w:outlineLvl w:val="6"/>
    </w:pPr>
  </w:style>
  <w:style w:type="paragraph" w:customStyle="1" w:styleId="47">
    <w:name w:val="Char Char Char Char"/>
    <w:basedOn w:val="1"/>
    <w:qFormat/>
    <w:uiPriority w:val="99"/>
    <w:pPr>
      <w:spacing w:line="360" w:lineRule="auto"/>
      <w:ind w:firstLine="200" w:firstLineChars="200"/>
    </w:pPr>
    <w:rPr>
      <w:rFonts w:ascii="宋体" w:hAnsi="宋体" w:cs="宋体"/>
      <w:sz w:val="24"/>
      <w:szCs w:val="24"/>
    </w:rPr>
  </w:style>
  <w:style w:type="paragraph" w:customStyle="1" w:styleId="48">
    <w:name w:val="封面标准英文名称"/>
    <w:qFormat/>
    <w:uiPriority w:val="99"/>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49">
    <w:name w:val="Char Char Char Char1"/>
    <w:basedOn w:val="1"/>
    <w:qFormat/>
    <w:uiPriority w:val="99"/>
    <w:pPr>
      <w:spacing w:line="360" w:lineRule="auto"/>
      <w:ind w:firstLine="200" w:firstLineChars="200"/>
    </w:pPr>
    <w:rPr>
      <w:rFonts w:ascii="宋体" w:hAnsi="宋体" w:cs="宋体"/>
      <w:sz w:val="24"/>
      <w:szCs w:val="24"/>
    </w:rPr>
  </w:style>
  <w:style w:type="paragraph" w:customStyle="1" w:styleId="50">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1">
    <w:name w:val="目次、标准名称标题"/>
    <w:basedOn w:val="1"/>
    <w:next w:val="40"/>
    <w:qFormat/>
    <w:uiPriority w:val="99"/>
    <w:pPr>
      <w:widowControl/>
      <w:shd w:val="clear" w:color="auto" w:fill="FFFFFF"/>
      <w:spacing w:before="640" w:after="560" w:line="460" w:lineRule="exact"/>
      <w:jc w:val="center"/>
      <w:outlineLvl w:val="0"/>
    </w:pPr>
    <w:rPr>
      <w:rFonts w:ascii="黑体" w:hAnsi="Times New Roman" w:eastAsia="黑体" w:cs="黑体"/>
      <w:kern w:val="0"/>
      <w:sz w:val="32"/>
      <w:szCs w:val="32"/>
    </w:rPr>
  </w:style>
  <w:style w:type="paragraph" w:customStyle="1" w:styleId="52">
    <w:name w:val="编号列项（三级）"/>
    <w:qFormat/>
    <w:uiPriority w:val="99"/>
    <w:pPr>
      <w:tabs>
        <w:tab w:val="left" w:pos="360"/>
      </w:tabs>
      <w:ind w:left="800" w:leftChars="600" w:hanging="200" w:hangingChars="200"/>
    </w:pPr>
    <w:rPr>
      <w:rFonts w:ascii="宋体" w:hAnsi="Times New Roman" w:eastAsia="宋体" w:cs="宋体"/>
      <w:sz w:val="21"/>
      <w:szCs w:val="21"/>
      <w:lang w:val="en-US" w:eastAsia="zh-CN" w:bidi="ar-SA"/>
    </w:rPr>
  </w:style>
  <w:style w:type="paragraph" w:customStyle="1" w:styleId="53">
    <w:name w:val="一级无"/>
    <w:basedOn w:val="42"/>
    <w:qFormat/>
    <w:uiPriority w:val="99"/>
    <w:pPr>
      <w:numPr>
        <w:ilvl w:val="0"/>
        <w:numId w:val="0"/>
      </w:numPr>
      <w:tabs>
        <w:tab w:val="left" w:pos="1440"/>
      </w:tabs>
      <w:spacing w:beforeLines="0" w:afterLines="0"/>
      <w:ind w:left="1440" w:hanging="720"/>
    </w:pPr>
    <w:rPr>
      <w:rFonts w:ascii="宋体" w:eastAsia="宋体" w:cs="宋体"/>
    </w:rPr>
  </w:style>
  <w:style w:type="paragraph" w:customStyle="1" w:styleId="54">
    <w:name w:val="字母编号列项（一级）"/>
    <w:basedOn w:val="1"/>
    <w:qFormat/>
    <w:uiPriority w:val="99"/>
    <w:pPr>
      <w:widowControl/>
      <w:spacing w:before="100" w:beforeAutospacing="1" w:after="100" w:afterAutospacing="1"/>
      <w:ind w:left="200" w:leftChars="200" w:hanging="420" w:hangingChars="200"/>
    </w:pPr>
    <w:rPr>
      <w:rFonts w:ascii="宋体" w:hAnsi="宋体" w:cs="宋体"/>
      <w:kern w:val="0"/>
      <w:szCs w:val="21"/>
    </w:rPr>
  </w:style>
  <w:style w:type="paragraph" w:customStyle="1" w:styleId="55">
    <w:name w:val="列出段落2"/>
    <w:basedOn w:val="1"/>
    <w:qFormat/>
    <w:uiPriority w:val="99"/>
    <w:pPr>
      <w:ind w:firstLine="420" w:firstLineChars="200"/>
    </w:pPr>
    <w:rPr>
      <w:rFonts w:ascii="Times New Roman" w:hAnsi="Times New Roman"/>
      <w:szCs w:val="24"/>
    </w:rPr>
  </w:style>
  <w:style w:type="paragraph" w:customStyle="1" w:styleId="56">
    <w:name w:val="二级无"/>
    <w:basedOn w:val="44"/>
    <w:qFormat/>
    <w:uiPriority w:val="99"/>
    <w:rPr>
      <w:rFonts w:ascii="宋体" w:eastAsia="宋体"/>
    </w:rPr>
  </w:style>
  <w:style w:type="paragraph" w:customStyle="1" w:styleId="57">
    <w:name w:val="列出段落3"/>
    <w:basedOn w:val="1"/>
    <w:qFormat/>
    <w:uiPriority w:val="34"/>
    <w:pPr>
      <w:ind w:firstLine="420" w:firstLineChars="200"/>
    </w:pPr>
  </w:style>
  <w:style w:type="paragraph" w:customStyle="1" w:styleId="58">
    <w:name w:val="样式1"/>
    <w:basedOn w:val="1"/>
    <w:qFormat/>
    <w:uiPriority w:val="0"/>
    <w:pPr>
      <w:tabs>
        <w:tab w:val="left" w:pos="525"/>
      </w:tabs>
    </w:pPr>
    <w:rPr>
      <w:rFonts w:ascii="宋体" w:hAnsi="宋体"/>
      <w:szCs w:val="21"/>
    </w:rPr>
  </w:style>
  <w:style w:type="character" w:customStyle="1" w:styleId="59">
    <w:name w:val="批注文字 Char"/>
    <w:basedOn w:val="22"/>
    <w:link w:val="6"/>
    <w:qFormat/>
    <w:uiPriority w:val="99"/>
    <w:rPr>
      <w:rFonts w:eastAsiaTheme="minorEastAsia"/>
      <w:kern w:val="2"/>
      <w:sz w:val="21"/>
      <w:szCs w:val="24"/>
    </w:rPr>
  </w:style>
  <w:style w:type="character" w:customStyle="1" w:styleId="60">
    <w:name w:val="批注主题 Char"/>
    <w:basedOn w:val="59"/>
    <w:link w:val="17"/>
    <w:qFormat/>
    <w:uiPriority w:val="99"/>
    <w:rPr>
      <w:b/>
      <w:bCs/>
    </w:rPr>
  </w:style>
  <w:style w:type="character" w:customStyle="1" w:styleId="61">
    <w:name w:val="一级条标题[858D7CFB-ED40-4347-BF05-701D383B685F]"/>
    <w:link w:val="42"/>
    <w:qFormat/>
    <w:locked/>
    <w:uiPriority w:val="99"/>
    <w:rPr>
      <w:rFonts w:ascii="黑体" w:eastAsia="黑体" w:cs="黑体"/>
      <w:sz w:val="21"/>
      <w:szCs w:val="21"/>
    </w:rPr>
  </w:style>
  <w:style w:type="character" w:customStyle="1" w:styleId="62">
    <w:name w:val="章标题 Char"/>
    <w:link w:val="43"/>
    <w:qFormat/>
    <w:locked/>
    <w:uiPriority w:val="99"/>
    <w:rPr>
      <w:rFonts w:ascii="黑体" w:eastAsia="黑体" w:cs="黑体"/>
      <w:sz w:val="21"/>
      <w:szCs w:val="21"/>
    </w:rPr>
  </w:style>
  <w:style w:type="paragraph" w:customStyle="1" w:styleId="63">
    <w:name w:val="列出段落4"/>
    <w:basedOn w:val="1"/>
    <w:qFormat/>
    <w:uiPriority w:val="34"/>
    <w:pPr>
      <w:ind w:firstLine="420" w:firstLineChars="200"/>
    </w:pPr>
    <w:rPr>
      <w:rFonts w:ascii="Times New Roman" w:hAnsi="Times New Roman" w:eastAsiaTheme="minorEastAsia"/>
      <w:szCs w:val="24"/>
    </w:rPr>
  </w:style>
  <w:style w:type="paragraph" w:customStyle="1" w:styleId="64">
    <w:name w:val="p0"/>
    <w:basedOn w:val="1"/>
    <w:qFormat/>
    <w:uiPriority w:val="99"/>
    <w:pPr>
      <w:widowControl/>
    </w:pPr>
    <w:rPr>
      <w:rFonts w:cs="宋体" w:eastAsiaTheme="minorEastAsia"/>
      <w:kern w:val="0"/>
      <w:szCs w:val="21"/>
    </w:rPr>
  </w:style>
  <w:style w:type="character" w:customStyle="1" w:styleId="65">
    <w:name w:val="正文文本缩进 3 Char"/>
    <w:basedOn w:val="22"/>
    <w:link w:val="15"/>
    <w:qFormat/>
    <w:uiPriority w:val="99"/>
    <w:rPr>
      <w:rFonts w:eastAsiaTheme="minorEastAsia"/>
      <w:kern w:val="2"/>
      <w:sz w:val="16"/>
      <w:szCs w:val="16"/>
    </w:rPr>
  </w:style>
  <w:style w:type="paragraph" w:customStyle="1" w:styleId="6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7">
    <w:name w:val="标题 2 Char"/>
    <w:basedOn w:val="22"/>
    <w:link w:val="2"/>
    <w:qFormat/>
    <w:uiPriority w:val="9"/>
    <w:rPr>
      <w:rFonts w:asciiTheme="majorHAnsi" w:hAnsiTheme="majorHAnsi" w:eastAsiaTheme="majorEastAsia" w:cstheme="majorBidi"/>
      <w:b/>
      <w:bCs/>
      <w:kern w:val="2"/>
      <w:sz w:val="32"/>
      <w:szCs w:val="32"/>
    </w:rPr>
  </w:style>
  <w:style w:type="character" w:customStyle="1" w:styleId="68">
    <w:name w:val="font31"/>
    <w:basedOn w:val="22"/>
    <w:qFormat/>
    <w:uiPriority w:val="0"/>
    <w:rPr>
      <w:rFonts w:hint="default" w:ascii="Times New Roman" w:hAnsi="Times New Roman" w:cs="Times New Roman"/>
      <w:b/>
      <w:color w:val="000000"/>
      <w:sz w:val="21"/>
      <w:szCs w:val="21"/>
      <w:u w:val="none"/>
    </w:rPr>
  </w:style>
  <w:style w:type="character" w:customStyle="1" w:styleId="69">
    <w:name w:val="font5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BF93F-6416-4F7F-9729-E118E49BAC93}">
  <ds:schemaRefs/>
</ds:datastoreItem>
</file>

<file path=docProps/app.xml><?xml version="1.0" encoding="utf-8"?>
<Properties xmlns="http://schemas.openxmlformats.org/officeDocument/2006/extended-properties" xmlns:vt="http://schemas.openxmlformats.org/officeDocument/2006/docPropsVTypes">
  <Template>Normal</Template>
  <Pages>29</Pages>
  <Words>18036</Words>
  <Characters>17597</Characters>
  <Lines>146</Lines>
  <Paragraphs>71</Paragraphs>
  <TotalTime>0</TotalTime>
  <ScaleCrop>false</ScaleCrop>
  <LinksUpToDate>false</LinksUpToDate>
  <CharactersWithSpaces>35562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2017-10-23T07:08:00Z</dcterms:created>
  <dc:creator>Administrator</dc:creator>
  <cp:lastModifiedBy>小蜗牛</cp:lastModifiedBy>
  <cp:lastPrinted>2017-09-15T08:00:00Z</cp:lastPrinted>
  <dcterms:modified xsi:type="dcterms:W3CDTF">2019-11-21T04:41:08Z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