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1"/>
      </w:pPr>
      <w:bookmarkStart w:id="0" w:name="SectionMark0"/>
      <w:r>
        <mc:AlternateContent>
          <mc:Choice Requires="wps">
            <w:drawing>
              <wp:anchor distT="0" distB="0" distL="114300" distR="114300" simplePos="0" relativeHeight="251662336" behindDoc="0" locked="1" layoutInCell="1" allowOverlap="1">
                <wp:simplePos x="0" y="0"/>
                <wp:positionH relativeFrom="margin">
                  <wp:posOffset>-133350</wp:posOffset>
                </wp:positionH>
                <wp:positionV relativeFrom="margin">
                  <wp:posOffset>0</wp:posOffset>
                </wp:positionV>
                <wp:extent cx="2540000" cy="308610"/>
                <wp:effectExtent l="0" t="0" r="0" b="0"/>
                <wp:wrapNone/>
                <wp:docPr id="10"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308610"/>
                        </a:xfrm>
                        <a:prstGeom prst="rect">
                          <a:avLst/>
                        </a:prstGeom>
                        <a:solidFill>
                          <a:srgbClr val="FFFFFF"/>
                        </a:solidFill>
                        <a:ln>
                          <a:noFill/>
                        </a:ln>
                      </wps:spPr>
                      <wps:txbx>
                        <w:txbxContent>
                          <w:p>
                            <w:pPr>
                              <w:pStyle w:val="54"/>
                              <w:rPr>
                                <w:b/>
                              </w:rPr>
                            </w:pPr>
                            <w:r>
                              <w:rPr>
                                <w:rFonts w:hint="eastAsia"/>
                                <w:b/>
                              </w:rPr>
                              <w:t>ICS</w:t>
                            </w:r>
                          </w:p>
                          <w:p>
                            <w:pPr>
                              <w:pStyle w:val="54"/>
                              <w:rPr>
                                <w:szCs w:val="21"/>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10.5pt;margin-top:0pt;height:24.3pt;width:200pt;mso-position-horizontal-relative:margin;mso-position-vertical-relative:margin;z-index:251662336;mso-width-relative:page;mso-height-relative:page;" fillcolor="#FFFFFF" filled="t" stroked="f" coordsize="21600,21600" o:gfxdata="UEsDBAoAAAAAAIdO4kAAAAAAAAAAAAAAAAAEAAAAZHJzL1BLAwQUAAAACACHTuJAFNP2TdcAAAAH&#10;AQAADwAAAGRycy9kb3ducmV2LnhtbE2PQU/DMAyF70j8h8hIXNCWtkxllKaT2OAGh41pZ68JbUXj&#10;VEm6bv8ecxoX61nPeu9zuTrbXpyMD50jBek8AWGodrqjRsH+6322BBEiksbekVFwMQFW1e1NiYV2&#10;E23NaRcbwSEUClTQxjgUUoa6NRbD3A2G2Pt23mLk1TdSe5w43PYyS5JcWuyIG1oczLo19c9utAry&#10;jR+nLa0fNvu3D/wcmuzwejkodX+XJi8gojnH6zH84TM6VMx0dCPpIHoFsyzlX6ICnmw/Pj2zOCpY&#10;LHOQVSn/81e/UEsDBBQAAAAIAIdO4kAp7mcw8QEAAN4DAAAOAAAAZHJzL2Uyb0RvYy54bWytU8GO&#10;0zAQvSPxD5bvNGmB1Spqulq6KkJaYKWFD3AcJ7GwPWbsNilfz9hpy8LeVuRgje2Z5/feTNY3kzXs&#10;oDBocDVfLkrOlJPQatfX/Pu33ZtrzkIUrhUGnKr5UQV+s3n9aj36Sq1gANMqZATiQjX6mg8x+qoo&#10;ghyUFWEBXjm67ACtiLTFvmhRjIRuTbEqy6tiBGw9glQh0OndfMk3Gb/rlIxfuy6oyEzNiVvMK+a1&#10;SWuxWYuqR+EHLU80xAtYWKEdPXqBuhNRsD3qZ1BWS4QAXVxIsAV0nZYqayA1y/IfNY+D8CprIXOC&#10;v9gU/h+s/HJ4QKZb6h3Z44SlHnV2hxQskzmjDxXlPHrKitMHmCgxCw3+HuSPwBxsB+F6dYsI46BE&#10;S+RyZfGkdMYJCaQZP0NLj4h9hAw0dWiTc+QFI3Ricbw0Rk2RSTpcvX9X0seZpLu35fUVkSVyhajO&#10;1R5D/KjAshTUHKnxGV0c7kOcU88p6bEARrc7bUzeYN9sDbKDoCHZ5e+E/leacSnZQSqbEdNJlpmU&#10;zRrj1Ewn2xpojyQYYR46+kkoGAB/cTbSwNU8/NwLVJyZT45MS9N5DvAcNOdAOEmlNY+czeE2zlO8&#10;96j7gZDntji4JWM7nTWnDswsTjxpiLJrp4FPU/p0n7P+/Ja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TT9k3XAAAABwEAAA8AAAAAAAAAAQAgAAAAIgAAAGRycy9kb3ducmV2LnhtbFBLAQIUABQA&#10;AAAIAIdO4kAp7mcw8QEAAN4DAAAOAAAAAAAAAAEAIAAAACYBAABkcnMvZTJvRG9jLnhtbFBLBQYA&#10;AAAABgAGAFkBAACJBQAAAAA=&#10;">
                <v:fill on="t" focussize="0,0"/>
                <v:stroke on="f"/>
                <v:imagedata o:title=""/>
                <o:lock v:ext="edit" aspectratio="f"/>
                <v:textbox inset="0mm,0mm,0mm,0mm">
                  <w:txbxContent>
                    <w:p>
                      <w:pPr>
                        <w:pStyle w:val="54"/>
                        <w:rPr>
                          <w:b/>
                        </w:rPr>
                      </w:pPr>
                      <w:r>
                        <w:rPr>
                          <w:rFonts w:hint="eastAsia"/>
                          <w:b/>
                        </w:rPr>
                        <w:t>ICS</w:t>
                      </w:r>
                    </w:p>
                    <w:p>
                      <w:pPr>
                        <w:pStyle w:val="54"/>
                        <w:rPr>
                          <w:szCs w:val="21"/>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8126730</wp:posOffset>
                </wp:positionV>
                <wp:extent cx="6120130" cy="550545"/>
                <wp:effectExtent l="0" t="0" r="0" b="254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50545"/>
                        </a:xfrm>
                        <a:prstGeom prst="rect">
                          <a:avLst/>
                        </a:prstGeom>
                        <a:solidFill>
                          <a:srgbClr val="FFFFFF"/>
                        </a:solidFill>
                        <a:ln>
                          <a:noFill/>
                        </a:ln>
                      </wps:spPr>
                      <wps:txbx>
                        <w:txbxContent>
                          <w:p>
                            <w:pPr>
                              <w:pStyle w:val="56"/>
                              <w:spacing w:line="340" w:lineRule="exact"/>
                              <w:ind w:firstLine="2299" w:firstLineChars="550"/>
                              <w:jc w:val="both"/>
                              <w:rPr>
                                <w:rFonts w:ascii="黑体" w:eastAsia="黑体"/>
                                <w:b w:val="0"/>
                                <w:bCs/>
                                <w:sz w:val="28"/>
                              </w:rPr>
                            </w:pPr>
                          </w:p>
                          <w:p>
                            <w:pPr>
                              <w:pStyle w:val="56"/>
                              <w:spacing w:line="340" w:lineRule="exact"/>
                              <w:rPr>
                                <w:rFonts w:ascii="黑体" w:eastAsia="黑体"/>
                                <w:b w:val="0"/>
                                <w:bCs/>
                                <w:sz w:val="28"/>
                              </w:rPr>
                            </w:pPr>
                            <w:r>
                              <w:rPr>
                                <w:rFonts w:hint="eastAsia" w:ascii="黑体" w:eastAsia="黑体"/>
                                <w:b w:val="0"/>
                                <w:bCs/>
                                <w:sz w:val="28"/>
                              </w:rPr>
                              <w:t>　中华人民共和国工业和信息化部 发布</w:t>
                            </w:r>
                          </w:p>
                          <w:p>
                            <w:pPr>
                              <w:pStyle w:val="70"/>
                              <w:ind w:firstLine="420"/>
                            </w:pPr>
                          </w:p>
                          <w:p>
                            <w:pPr>
                              <w:pStyle w:val="70"/>
                              <w:ind w:firstLine="420"/>
                            </w:pPr>
                          </w:p>
                          <w:p>
                            <w:pPr>
                              <w:pStyle w:val="70"/>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639.9pt;height:43.35pt;width:481.9pt;mso-position-horizontal-relative:margin;mso-position-vertical-relative:margin;z-index:251659264;mso-width-relative:page;mso-height-relative:page;" fillcolor="#FFFFFF" filled="t" stroked="f" coordsize="21600,21600" o:gfxdata="UEsDBAoAAAAAAIdO4kAAAAAAAAAAAAAAAAAEAAAAZHJzL1BLAwQUAAAACACHTuJAHZ5tF9gAAAAK&#10;AQAADwAAAGRycy9kb3ducmV2LnhtbE2PQU/DMAyF70j8h8hIXBBL14nAStNJbHCDw8a0s9eEtqJx&#10;qiRdt3+POcHNfs96/l65OrtenGyInScN81kGwlLtTUeNhv3n2/0TiJiQDPaerIaLjbCqrq9KLIyf&#10;aGtPu9QIDqFYoIY2paGQMtatdRhnfrDE3pcPDhOvoZEm4MThrpd5linpsCP+0OJg162tv3ej06A2&#10;YZy2tL7b7F/f8WNo8sPL5aD17c08ewaR7Dn9HcMvPqNDxUxHP5KJotfARRKr+eOSG7C/VAsejiwt&#10;lHoAWZXyf4XqB1BLAwQUAAAACACHTuJAYvWJ9PQBAADdAwAADgAAAGRycy9lMm9Eb2MueG1srVNR&#10;j9MwDH5H4j9EeWfdDnZAte507DSEdBxIBz8gTZM2Io2Dk60dvx4n7cYBb4g+RE5sf/b32d3cjL1l&#10;R4XBgKv4arHkTDkJjXFtxb9+2b94w1mIwjXCglMVP6nAb7bPn20GX6or6MA2ChmBuFAOvuJdjL4s&#10;iiA71YuwAK8cOTVgLyJdsS0aFAOh97a4Wi6viwGw8QhShUCvd5OTbzO+1krGT1oHFZmtOPUW84n5&#10;rNNZbDeibFH4zsi5DfEPXfTCOCp6gboTUbADmr+geiMRAui4kNAXoLWRKnMgNqvlH2weO+FV5kLi&#10;BH+RKfw/WPlw/IzMNBV/y5kTPY1I93sk43XSZvChpJBHT0FxfAcjzTjzDP4e5LfAHOw64Vp1iwhD&#10;p0RDva1SZvEkdcIJCaQePkJDRcQhQgYaNfZJOJKCETrN6HSZixojk/R4vSJxXpJLkm+9Xq5frXMJ&#10;UZ6zPYb4XkHPklFxpLlndHG8DzF1I8pzSCoWwJpmb6zNF2zrnUV2FLQj+/zN6L+FWZeCHaS0CTG9&#10;ZJqJ2cQxjvU4y1ZDcyLCCNPO0T9CRgf4g7OB9q3i4ftBoOLMfnAkWlrOs4Fnoz4bwklKrXjkbDJ3&#10;cVrig0fTdoQ8jcXBLQmrTeacJjB1MfdJO5SlmPc9LenTe4769Vd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nm0X2AAAAAoBAAAPAAAAAAAAAAEAIAAAACIAAABkcnMvZG93bnJldi54bWxQSwEC&#10;FAAUAAAACACHTuJAYvWJ9PQBAADdAwAADgAAAAAAAAABACAAAAAnAQAAZHJzL2Uyb0RvYy54bWxQ&#10;SwUGAAAAAAYABgBZAQAAjQUAAAAA&#10;">
                <v:fill on="t" focussize="0,0"/>
                <v:stroke on="f"/>
                <v:imagedata o:title=""/>
                <o:lock v:ext="edit" aspectratio="f"/>
                <v:textbox inset="0mm,0mm,0mm,0mm">
                  <w:txbxContent>
                    <w:p>
                      <w:pPr>
                        <w:pStyle w:val="56"/>
                        <w:spacing w:line="340" w:lineRule="exact"/>
                        <w:ind w:firstLine="2299" w:firstLineChars="550"/>
                        <w:jc w:val="both"/>
                        <w:rPr>
                          <w:rFonts w:ascii="黑体" w:eastAsia="黑体"/>
                          <w:b w:val="0"/>
                          <w:bCs/>
                          <w:sz w:val="28"/>
                        </w:rPr>
                      </w:pPr>
                    </w:p>
                    <w:p>
                      <w:pPr>
                        <w:pStyle w:val="56"/>
                        <w:spacing w:line="340" w:lineRule="exact"/>
                        <w:rPr>
                          <w:rFonts w:ascii="黑体" w:eastAsia="黑体"/>
                          <w:b w:val="0"/>
                          <w:bCs/>
                          <w:sz w:val="28"/>
                        </w:rPr>
                      </w:pPr>
                      <w:r>
                        <w:rPr>
                          <w:rFonts w:hint="eastAsia" w:ascii="黑体" w:eastAsia="黑体"/>
                          <w:b w:val="0"/>
                          <w:bCs/>
                          <w:sz w:val="28"/>
                        </w:rPr>
                        <w:t>　中华人民共和国工业和信息化部 发布</w:t>
                      </w:r>
                    </w:p>
                    <w:p>
                      <w:pPr>
                        <w:pStyle w:val="70"/>
                        <w:ind w:firstLine="420"/>
                      </w:pPr>
                    </w:p>
                    <w:p>
                      <w:pPr>
                        <w:pStyle w:val="70"/>
                        <w:ind w:firstLine="420"/>
                      </w:pPr>
                    </w:p>
                    <w:p>
                      <w:pPr>
                        <w:pStyle w:val="70"/>
                        <w:ind w:firstLine="420"/>
                      </w:pP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3467100</wp:posOffset>
                </wp:positionH>
                <wp:positionV relativeFrom="margin">
                  <wp:posOffset>7339965</wp:posOffset>
                </wp:positionV>
                <wp:extent cx="2667000" cy="312420"/>
                <wp:effectExtent l="0" t="3175" r="4445"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wps:spPr>
                      <wps:txbx>
                        <w:txbxContent>
                          <w:p>
                            <w:pPr>
                              <w:pStyle w:val="68"/>
                              <w:ind w:firstLine="1120" w:firstLineChars="400"/>
                              <w:jc w:val="both"/>
                            </w:pPr>
                            <w:r>
                              <w:rPr>
                                <w:rFonts w:hint="eastAsia"/>
                              </w:rPr>
                              <w:t xml:space="preserve">××××-××-××实施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73pt;margin-top:577.95pt;height:24.6pt;width:210pt;mso-position-horizontal-relative:margin;mso-position-vertical-relative:margin;z-index:251658240;mso-width-relative:page;mso-height-relative:page;" fillcolor="#FFFFFF" filled="t" stroked="f" coordsize="21600,21600" o:gfxdata="UEsDBAoAAAAAAIdO4kAAAAAAAAAAAAAAAAAEAAAAZHJzL1BLAwQUAAAACACHTuJAqZFpR9oAAAAN&#10;AQAADwAAAGRycy9kb3ducmV2LnhtbE2PwU7DMBBE70j8g7VIXBC1E5GIhjiVaOEGh5aqZzdZkoh4&#10;HdlO0/492xMcd2Y0+6Zcne0gTuhD70hDslAgkGrX9NRq2H+9Pz6DCNFQYwZHqOGCAVbV7U1pisbN&#10;tMXTLraCSygURkMX41hIGeoOrQkLNyKx9+28NZFP38rGm5nL7SBTpXJpTU/8oTMjrjusf3aT1ZBv&#10;/DRvaf2w2b99mM+xTQ+vl4PW93eJegER8Rz/wnDFZ3SomOnoJmqCGDRkTzlviWwkWbYEwZFlfpWO&#10;LKUqS0BWpfy/ovoFUEsDBBQAAAAIAIdO4kDsL6di9AEAAN0DAAAOAAAAZHJzL2Uyb0RvYy54bWyt&#10;U9uO0zAQfUfiHyy/06QFFRQ1XS1dFSEtF2nhAxzHTiwcjxm7TcrXM3bastp9W5EHa2zPHM85Z7K5&#10;mQbLjgqDAVfz5aLkTDkJrXFdzX/+2L/5wFmIwrXCglM1P6nAb7avX21GX6kV9GBbhYxAXKhGX/M+&#10;Rl8VRZC9GkRYgFeOLjXgICJtsStaFCOhD7ZYleW6GAFbjyBVCHR6N1/ybcbXWsn4TeugIrM1p95i&#10;XjGvTVqL7UZUHQrfG3luQ7ygi0EYR49eoe5EFOyA5hnUYCRCAB0XEoYCtDZSZQ7EZlk+YfPQC68y&#10;FxIn+KtM4f/Byq/H78hMW3MyyomBLNLDHilYJ21GHypKefCUFKePMJHHmWfw9yB/BeZg1wvXqVtE&#10;GHslWuptmSqLR6UzTkggzfgFWnpEHCJkoEnjkIQjKRihk0enqy9qikzS4Wq9fl+WdCXp7u1y9W6V&#10;jStEdan2GOInBQNLQc2RfM/o4ngfYupGVJeU9FgAa9q9sTZvsGt2FtlR0Izs85cJPEmzLiU7SGUz&#10;YjrJNBOzmWOcmuksWwPtiQgjzDNH/wgFPeAfzkaat5qH3weBijP72ZFoaTgvAV6C5hIIJ6m05pGz&#10;OdzFeYgPHk3XE/Jsi4NbElabzDk5MHdx7pNmKEtxnvc0pI/3OevfX7n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mRaUfaAAAADQEAAA8AAAAAAAAAAQAgAAAAIgAAAGRycy9kb3ducmV2LnhtbFBL&#10;AQIUABQAAAAIAIdO4kDsL6di9AEAAN0DAAAOAAAAAAAAAAEAIAAAACkBAABkcnMvZTJvRG9jLnht&#10;bFBLBQYAAAAABgAGAFkBAACPBQAAAAA=&#10;">
                <v:fill on="t" focussize="0,0"/>
                <v:stroke on="f"/>
                <v:imagedata o:title=""/>
                <o:lock v:ext="edit" aspectratio="f"/>
                <v:textbox inset="0mm,0mm,0mm,0mm">
                  <w:txbxContent>
                    <w:p>
                      <w:pPr>
                        <w:pStyle w:val="68"/>
                        <w:ind w:firstLine="1120" w:firstLineChars="400"/>
                        <w:jc w:val="both"/>
                      </w:pPr>
                      <w:r>
                        <w:rPr>
                          <w:rFonts w:hint="eastAsia"/>
                        </w:rPr>
                        <w:t xml:space="preserve">××××-××-××实施        </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7406640</wp:posOffset>
                </wp:positionV>
                <wp:extent cx="2019300" cy="312420"/>
                <wp:effectExtent l="0" t="3175" r="4445"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8"/>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583.2pt;height:24.6pt;width:159pt;mso-position-horizontal-relative:margin;mso-position-vertical-relative:margin;z-index:251657216;mso-width-relative:page;mso-height-relative:page;" fillcolor="#FFFFFF" filled="t" stroked="f" coordsize="21600,21600"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BfSK8T8wEAAN0DAAAOAAAAZHJzL2Uyb0RvYy54bWytU9uO&#10;2yAQfa/Uf0C8N06yvVpxVtusUlXaXqRtPwBjsFGBoQOJvf36DjhJV9u3qn5AA8wc5pw53lxPzrKj&#10;wmjAN3y1WHKmvITO+L7h37/tX7zlLCbhO2HBq4Y/qMivt8+fbcZQqzUMYDuFjEB8rMfQ8CGlUFdV&#10;lINyIi4gKE+XGtCJRFvsqw7FSOjOVuvl8nU1AnYBQaoY6fR2vuTbgq+1kumL1lElZhtOvaWyYlnb&#10;vFbbjah7FGEw8tSG+IcunDCeHr1A3Yok2AHNX1DOSIQIOi0kuAq0NlIVDsRmtXzC5n4QQRUuJE4M&#10;F5ni/4OVn49fkZmu4W8488LRiLTbIwWvsjZjiDWl3AdKStN7mGjGhWcMdyB/ROZhNwjfqxtEGAcl&#10;OuptlSurR6UzTswg7fgJOnpEHBIUoEmjy8KRFIzQaUYPl7moKTFJhyTNu6slXUm6u1qtX67L4CpR&#10;n6sDxvRBgWM5aDjS3Au6ON7FlLsR9TklPxbBmm5vrC0b7NudRXYU5JF9+QqBJ2nW52QPuWxGzCeF&#10;ZmY2c0xTO51ka6F7IMIIs+foH6FgAPzF2Uh+a3j8eRCoOLMfPYmWzXkO8By050B4SaUNT5zN4S7N&#10;Jj4ENP1AyPNYPNyQsNoUznkCcxenPslDRYqT37NJH+9L1p+/cv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v5z9cAAAAKAQAADwAAAAAAAAABACAAAAAiAAAAZHJzL2Rvd25yZXYueG1sUEsBAhQA&#10;FAAAAAgAh07iQF9IrxPzAQAA3QMAAA4AAAAAAAAAAQAgAAAAJgEAAGRycy9lMm9Eb2MueG1sUEsF&#10;BgAAAAAGAAYAWQEAAIsFAAAAAA==&#10;">
                <v:fill on="t" focussize="0,0"/>
                <v:stroke on="f"/>
                <v:imagedata o:title=""/>
                <o:lock v:ext="edit" aspectratio="f"/>
                <v:textbox inset="0mm,0mm,0mm,0mm">
                  <w:txbxContent>
                    <w:p>
                      <w:pPr>
                        <w:pStyle w:val="58"/>
                      </w:pPr>
                      <w:r>
                        <w:rPr>
                          <w:rFonts w:hint="eastAsia"/>
                        </w:rPr>
                        <w:t>××××-××-××发布</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2777490</wp:posOffset>
                </wp:positionV>
                <wp:extent cx="5969000" cy="3703320"/>
                <wp:effectExtent l="0" t="3175" r="0"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703320"/>
                        </a:xfrm>
                        <a:prstGeom prst="rect">
                          <a:avLst/>
                        </a:prstGeom>
                        <a:solidFill>
                          <a:srgbClr val="FFFFFF"/>
                        </a:solidFill>
                        <a:ln>
                          <a:noFill/>
                        </a:ln>
                      </wps:spPr>
                      <wps:txbx>
                        <w:txbxContent>
                          <w:p>
                            <w:pPr>
                              <w:pStyle w:val="73"/>
                              <w:spacing w:before="0" w:line="0" w:lineRule="atLeast"/>
                              <w:rPr>
                                <w:rFonts w:eastAsia="黑体"/>
                                <w:bCs/>
                                <w:kern w:val="2"/>
                                <w:sz w:val="52"/>
                                <w:szCs w:val="72"/>
                              </w:rPr>
                            </w:pPr>
                            <w:r>
                              <w:rPr>
                                <w:rFonts w:hint="eastAsia" w:eastAsia="黑体"/>
                                <w:bCs/>
                                <w:kern w:val="2"/>
                                <w:sz w:val="52"/>
                                <w:szCs w:val="72"/>
                              </w:rPr>
                              <w:t>铜冶炼烟尘化学分析方法</w:t>
                            </w:r>
                          </w:p>
                          <w:p>
                            <w:pPr>
                              <w:jc w:val="center"/>
                              <w:rPr>
                                <w:rFonts w:eastAsia="黑体"/>
                                <w:bCs/>
                                <w:sz w:val="52"/>
                                <w:szCs w:val="72"/>
                              </w:rPr>
                            </w:pPr>
                            <w:r>
                              <w:rPr>
                                <w:rFonts w:hint="eastAsia" w:eastAsia="黑体"/>
                                <w:bCs/>
                                <w:sz w:val="52"/>
                                <w:szCs w:val="72"/>
                              </w:rPr>
                              <w:t>第</w:t>
                            </w:r>
                            <w:r>
                              <w:rPr>
                                <w:rFonts w:eastAsia="黑体"/>
                                <w:bCs/>
                                <w:sz w:val="52"/>
                                <w:szCs w:val="72"/>
                              </w:rPr>
                              <w:t>5</w:t>
                            </w:r>
                            <w:r>
                              <w:rPr>
                                <w:rFonts w:hint="eastAsia" w:eastAsia="黑体"/>
                                <w:bCs/>
                                <w:sz w:val="52"/>
                                <w:szCs w:val="72"/>
                              </w:rPr>
                              <w:t>部分：砷量的测定</w:t>
                            </w:r>
                          </w:p>
                          <w:p>
                            <w:pPr>
                              <w:jc w:val="center"/>
                              <w:rPr>
                                <w:rFonts w:eastAsia="黑体"/>
                                <w:bCs/>
                                <w:sz w:val="52"/>
                                <w:szCs w:val="72"/>
                              </w:rPr>
                            </w:pPr>
                            <w:r>
                              <w:rPr>
                                <w:rFonts w:hint="eastAsia" w:eastAsia="黑体"/>
                                <w:bCs/>
                                <w:sz w:val="52"/>
                                <w:szCs w:val="72"/>
                              </w:rPr>
                              <w:t>硫酸亚铁铵滴定法</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 xml:space="preserve">Methods for chemical analysis of </w:t>
                            </w:r>
                            <w:r>
                              <w:rPr>
                                <w:rFonts w:hint="eastAsia" w:eastAsia="黑体"/>
                                <w:color w:val="000000"/>
                                <w:kern w:val="0"/>
                                <w:sz w:val="28"/>
                                <w:szCs w:val="28"/>
                              </w:rPr>
                              <w:t>copper smelting soot</w:t>
                            </w:r>
                            <w:r>
                              <w:rPr>
                                <w:rFonts w:hint="eastAsia" w:ascii="Times New Roman" w:hAnsi="Times New Roman" w:eastAsia="黑体" w:cs="Times New Roman"/>
                                <w:color w:val="000000"/>
                                <w:kern w:val="0"/>
                                <w:sz w:val="28"/>
                                <w:szCs w:val="28"/>
                              </w:rPr>
                              <w:t xml:space="preserve"> —</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Part5：Determination of arsenic content —</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Ferrous ammonium sulfate titration</w:t>
                            </w:r>
                          </w:p>
                          <w:p>
                            <w:pPr>
                              <w:tabs>
                                <w:tab w:val="left" w:pos="3822"/>
                                <w:tab w:val="left" w:pos="5400"/>
                              </w:tabs>
                              <w:spacing w:before="50" w:after="50"/>
                              <w:jc w:val="center"/>
                              <w:rPr>
                                <w:b/>
                                <w:color w:val="000000"/>
                                <w:sz w:val="28"/>
                              </w:rPr>
                            </w:pPr>
                            <w:r>
                              <w:rPr>
                                <w:rFonts w:hint="eastAsia"/>
                                <w:b/>
                                <w:color w:val="000000"/>
                                <w:sz w:val="28"/>
                              </w:rPr>
                              <w:t>（</w:t>
                            </w:r>
                            <w:r>
                              <w:rPr>
                                <w:rFonts w:hint="eastAsia"/>
                                <w:b/>
                                <w:color w:val="000000"/>
                                <w:sz w:val="28"/>
                                <w:lang w:val="en-US" w:eastAsia="zh-CN"/>
                              </w:rPr>
                              <w:t>预审稿</w:t>
                            </w:r>
                            <w:r>
                              <w:rPr>
                                <w:rFonts w:hint="eastAsia"/>
                                <w:b/>
                                <w:color w:val="000000"/>
                                <w:sz w:val="28"/>
                              </w:rPr>
                              <w:t>）</w:t>
                            </w:r>
                          </w:p>
                          <w:p>
                            <w:pPr>
                              <w:rPr>
                                <w:b/>
                                <w:color w:val="000000"/>
                                <w:sz w:val="28"/>
                              </w:rPr>
                            </w:pPr>
                            <w:r>
                              <w:rPr>
                                <w:rFonts w:hint="eastAsia"/>
                                <w:b/>
                                <w:color w:val="000000"/>
                                <w:sz w:val="28"/>
                              </w:rPr>
                              <w:br w:type="textWrapping"/>
                            </w:r>
                          </w:p>
                          <w:p>
                            <w:pPr>
                              <w:pStyle w:val="73"/>
                              <w:tabs>
                                <w:tab w:val="left" w:pos="7155"/>
                              </w:tabs>
                              <w:spacing w:before="0" w:line="240" w:lineRule="auto"/>
                              <w:rPr>
                                <w:rFonts w:eastAsia="黑体"/>
                                <w:szCs w:val="28"/>
                                <w:shd w:val="clear" w:color="auto" w:fill="FFFFFF"/>
                              </w:rPr>
                            </w:pPr>
                            <w:r>
                              <w:rPr>
                                <w:rFonts w:hint="eastAsia" w:eastAsia="黑体"/>
                                <w:szCs w:val="28"/>
                                <w:shd w:val="clear" w:color="auto" w:fill="FFFFFF"/>
                              </w:rPr>
                              <w:t>Chemical analysis for</w:t>
                            </w:r>
                            <w:r>
                              <w:rPr>
                                <w:rFonts w:eastAsia="黑体"/>
                                <w:szCs w:val="28"/>
                                <w:shd w:val="clear" w:color="auto" w:fill="FFFFFF"/>
                              </w:rPr>
                              <w:t xml:space="preserve"> alloy</w:t>
                            </w:r>
                            <w:r>
                              <w:rPr>
                                <w:rFonts w:hint="eastAsia" w:eastAsia="黑体"/>
                                <w:szCs w:val="28"/>
                                <w:shd w:val="clear" w:color="auto" w:fill="FFFFFF"/>
                              </w:rPr>
                              <w:t>s——Determination of  content</w:t>
                            </w:r>
                          </w:p>
                          <w:p>
                            <w:pPr>
                              <w:spacing w:line="380" w:lineRule="exact"/>
                              <w:ind w:left="1400"/>
                              <w:rPr>
                                <w:rFonts w:eastAsia="黑体"/>
                                <w:sz w:val="28"/>
                                <w:szCs w:val="28"/>
                                <w:shd w:val="clear" w:color="auto" w:fill="FFFFFF"/>
                              </w:rPr>
                            </w:pPr>
                            <w:r>
                              <w:rPr>
                                <w:rFonts w:hint="eastAsia" w:eastAsia="黑体"/>
                                <w:sz w:val="28"/>
                                <w:szCs w:val="28"/>
                                <w:shd w:val="clear" w:color="auto" w:fill="FFFFFF"/>
                              </w:rPr>
                              <w:t>第 部分：电感耦合等离子体发射光谱法</w:t>
                            </w:r>
                          </w:p>
                          <w:p>
                            <w:pPr>
                              <w:spacing w:line="380" w:lineRule="exact"/>
                              <w:ind w:firstLine="1400" w:firstLineChars="500"/>
                              <w:rPr>
                                <w:rFonts w:eastAsia="黑体"/>
                                <w:sz w:val="28"/>
                                <w:szCs w:val="28"/>
                                <w:shd w:val="clear" w:color="auto" w:fill="FFFFFF"/>
                              </w:rPr>
                            </w:pPr>
                            <w:r>
                              <w:rPr>
                                <w:rFonts w:hint="eastAsia" w:eastAsia="黑体"/>
                                <w:sz w:val="28"/>
                                <w:szCs w:val="28"/>
                                <w:shd w:val="clear" w:color="auto" w:fill="FFFFFF"/>
                              </w:rPr>
                              <w:t>Part ：Inductively coupled plasma atomic emission spectrometry</w:t>
                            </w:r>
                          </w:p>
                          <w:p>
                            <w:pPr>
                              <w:tabs>
                                <w:tab w:val="left" w:pos="3822"/>
                                <w:tab w:val="left" w:pos="5400"/>
                              </w:tabs>
                              <w:spacing w:before="50" w:after="50"/>
                              <w:jc w:val="center"/>
                              <w:rPr>
                                <w:b/>
                                <w:sz w:val="28"/>
                              </w:rPr>
                            </w:pPr>
                          </w:p>
                          <w:p>
                            <w:pPr>
                              <w:pStyle w:val="73"/>
                              <w:spacing w:before="0" w:line="240" w:lineRule="auto"/>
                              <w:ind w:left="2864" w:leftChars="1364" w:firstLine="260" w:firstLineChars="50"/>
                              <w:jc w:val="both"/>
                              <w:rPr>
                                <w:rFonts w:eastAsia="黑体"/>
                                <w:sz w:val="52"/>
                              </w:rPr>
                            </w:pPr>
                            <w:r>
                              <w:rPr>
                                <w:rFonts w:hint="eastAsia" w:eastAsia="黑体"/>
                                <w:sz w:val="52"/>
                              </w:rPr>
                              <w:t xml:space="preserve">      </w:t>
                            </w:r>
                          </w:p>
                          <w:p>
                            <w:pPr>
                              <w:pStyle w:val="73"/>
                              <w:spacing w:before="0" w:line="240" w:lineRule="auto"/>
                              <w:ind w:left="740" w:leftChars="124" w:hanging="480" w:hangingChars="150"/>
                              <w:jc w:val="both"/>
                              <w:rPr>
                                <w:sz w:val="32"/>
                              </w:rPr>
                            </w:pPr>
                            <w:r>
                              <w:rPr>
                                <w:rFonts w:hint="eastAsia"/>
                                <w:sz w:val="32"/>
                              </w:rPr>
                              <w:t xml:space="preserve">                            </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18.7pt;height:291.6pt;width:470pt;mso-position-horizontal-relative:margin;mso-position-vertical-relative:margin;z-index:251656192;mso-width-relative:page;mso-height-relative:page;" fillcolor="#FFFFFF" filled="t" stroked="f" coordsize="21600,21600" o:gfxdata="UEsDBAoAAAAAAIdO4kAAAAAAAAAAAAAAAAAEAAAAZHJzL1BLAwQUAAAACACHTuJAFZu/mdgAAAAJ&#10;AQAADwAAAGRycy9kb3ducmV2LnhtbE2PwU7DMBBE70j8g7VIXBC1G6LQhjiVaOEGh5aq521skoh4&#10;HcVO0/49y4ked2Y0+6ZYnV0nTnYIrScN85kCYanypqVaw/7r/XEBIkQkg50nq+FiA6zK25sCc+Mn&#10;2trTLtaCSyjkqKGJsc+lDFVjHYaZ7y2x9+0Hh5HPoZZmwInLXScTpTLpsCX+0GBv142tfnaj05Bt&#10;hnHa0vphs3/7wM++Tg6vl4PW93dz9QIi2nP8D8MfPqNDyUxHP5IJotPAQ6KG9Ok5BcH2MlWsHDmn&#10;EpWBLAt5vaD8BVBLAwQUAAAACACHTuJAXRPlafYBAADeAwAADgAAAGRycy9lMm9Eb2MueG1srVPb&#10;jtMwEH1H4h8sv9OkLRQ2arpauipCWi7Swgc4jp1YJB4zdpuUr2fsNGW1vCHyYI3tmeM5Z062t2Pf&#10;sZNCb8CWfLnIOVNWQm1sU/Lv3w6v3nHmg7C16MCqkp+V57e7ly+2gyvUClroaoWMQKwvBlfyNgRX&#10;ZJmXreqFX4BTli41YC8CbbHJahQDofddtsrzTTYA1g5BKu/p9H665LuEr7WS4YvWXgXWlZx6C2nF&#10;tFZxzXZbUTQoXGvkpQ3xD130wlh69Ap1L4JgRzR/QfVGInjQYSGhz0BrI1XiQGyW+TM2j61wKnEh&#10;cby7yuT/H6z8fPqKzNQl33BmRU8j0v0BKXgdtRmcLyjl0VFSGN/DSDNOPL17APnDMwv7VthG3SHC&#10;0CpRU2/LWJk9KZ1wfASphk9Q0yPiGCABjRr7KBxJwQidZnS+zkWNgUk6fHOzuclzupJ0t36br9er&#10;NLlMFHO5Qx8+KOhZDEqONPgEL04PPsR2RDGnxNc8dKY+mK5LG2yqfYfsJMgkh/QlBs/SOhuTLcSy&#10;CTGeJJ6R2kQyjNV40a2C+kyMESbT0U9CQQv4i7OBDFdy//MoUHHWfbSkWnTnHOAcVHMgrKTSkgfO&#10;pnAfJhcfHZqmJeRpLhbuSFltEuc4gqmLS59koiTFxfDRpU/3KevPb7n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bv5nYAAAACQEAAA8AAAAAAAAAAQAgAAAAIgAAAGRycy9kb3ducmV2LnhtbFBL&#10;AQIUABQAAAAIAIdO4kBdE+Vp9gEAAN4DAAAOAAAAAAAAAAEAIAAAACcBAABkcnMvZTJvRG9jLnht&#10;bFBLBQYAAAAABgAGAFkBAACPBQAAAAA=&#10;">
                <v:fill on="t" focussize="0,0"/>
                <v:stroke on="f"/>
                <v:imagedata o:title=""/>
                <o:lock v:ext="edit" aspectratio="f"/>
                <v:textbox inset="0mm,0mm,0mm,0mm">
                  <w:txbxContent>
                    <w:p>
                      <w:pPr>
                        <w:pStyle w:val="73"/>
                        <w:spacing w:before="0" w:line="0" w:lineRule="atLeast"/>
                        <w:rPr>
                          <w:rFonts w:eastAsia="黑体"/>
                          <w:bCs/>
                          <w:kern w:val="2"/>
                          <w:sz w:val="52"/>
                          <w:szCs w:val="72"/>
                        </w:rPr>
                      </w:pPr>
                      <w:r>
                        <w:rPr>
                          <w:rFonts w:hint="eastAsia" w:eastAsia="黑体"/>
                          <w:bCs/>
                          <w:kern w:val="2"/>
                          <w:sz w:val="52"/>
                          <w:szCs w:val="72"/>
                        </w:rPr>
                        <w:t>铜冶炼烟尘化学分析方法</w:t>
                      </w:r>
                    </w:p>
                    <w:p>
                      <w:pPr>
                        <w:jc w:val="center"/>
                        <w:rPr>
                          <w:rFonts w:eastAsia="黑体"/>
                          <w:bCs/>
                          <w:sz w:val="52"/>
                          <w:szCs w:val="72"/>
                        </w:rPr>
                      </w:pPr>
                      <w:r>
                        <w:rPr>
                          <w:rFonts w:hint="eastAsia" w:eastAsia="黑体"/>
                          <w:bCs/>
                          <w:sz w:val="52"/>
                          <w:szCs w:val="72"/>
                        </w:rPr>
                        <w:t>第</w:t>
                      </w:r>
                      <w:r>
                        <w:rPr>
                          <w:rFonts w:eastAsia="黑体"/>
                          <w:bCs/>
                          <w:sz w:val="52"/>
                          <w:szCs w:val="72"/>
                        </w:rPr>
                        <w:t>5</w:t>
                      </w:r>
                      <w:r>
                        <w:rPr>
                          <w:rFonts w:hint="eastAsia" w:eastAsia="黑体"/>
                          <w:bCs/>
                          <w:sz w:val="52"/>
                          <w:szCs w:val="72"/>
                        </w:rPr>
                        <w:t>部分：砷量的测定</w:t>
                      </w:r>
                    </w:p>
                    <w:p>
                      <w:pPr>
                        <w:jc w:val="center"/>
                        <w:rPr>
                          <w:rFonts w:eastAsia="黑体"/>
                          <w:bCs/>
                          <w:sz w:val="52"/>
                          <w:szCs w:val="72"/>
                        </w:rPr>
                      </w:pPr>
                      <w:r>
                        <w:rPr>
                          <w:rFonts w:hint="eastAsia" w:eastAsia="黑体"/>
                          <w:bCs/>
                          <w:sz w:val="52"/>
                          <w:szCs w:val="72"/>
                        </w:rPr>
                        <w:t>硫酸亚铁铵滴定法</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 xml:space="preserve">Methods for chemical analysis of </w:t>
                      </w:r>
                      <w:r>
                        <w:rPr>
                          <w:rFonts w:hint="eastAsia" w:eastAsia="黑体"/>
                          <w:color w:val="000000"/>
                          <w:kern w:val="0"/>
                          <w:sz w:val="28"/>
                          <w:szCs w:val="28"/>
                        </w:rPr>
                        <w:t>copper smelting soot</w:t>
                      </w:r>
                      <w:r>
                        <w:rPr>
                          <w:rFonts w:hint="eastAsia" w:ascii="Times New Roman" w:hAnsi="Times New Roman" w:eastAsia="黑体" w:cs="Times New Roman"/>
                          <w:color w:val="000000"/>
                          <w:kern w:val="0"/>
                          <w:sz w:val="28"/>
                          <w:szCs w:val="28"/>
                        </w:rPr>
                        <w:t xml:space="preserve"> —</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Part5：Determination of arsenic content —</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Ferrous ammonium sulfate titration</w:t>
                      </w:r>
                    </w:p>
                    <w:p>
                      <w:pPr>
                        <w:tabs>
                          <w:tab w:val="left" w:pos="3822"/>
                          <w:tab w:val="left" w:pos="5400"/>
                        </w:tabs>
                        <w:spacing w:before="50" w:after="50"/>
                        <w:jc w:val="center"/>
                        <w:rPr>
                          <w:b/>
                          <w:color w:val="000000"/>
                          <w:sz w:val="28"/>
                        </w:rPr>
                      </w:pPr>
                      <w:r>
                        <w:rPr>
                          <w:rFonts w:hint="eastAsia"/>
                          <w:b/>
                          <w:color w:val="000000"/>
                          <w:sz w:val="28"/>
                        </w:rPr>
                        <w:t>（</w:t>
                      </w:r>
                      <w:r>
                        <w:rPr>
                          <w:rFonts w:hint="eastAsia"/>
                          <w:b/>
                          <w:color w:val="000000"/>
                          <w:sz w:val="28"/>
                          <w:lang w:val="en-US" w:eastAsia="zh-CN"/>
                        </w:rPr>
                        <w:t>预审稿</w:t>
                      </w:r>
                      <w:r>
                        <w:rPr>
                          <w:rFonts w:hint="eastAsia"/>
                          <w:b/>
                          <w:color w:val="000000"/>
                          <w:sz w:val="28"/>
                        </w:rPr>
                        <w:t>）</w:t>
                      </w:r>
                    </w:p>
                    <w:p>
                      <w:pPr>
                        <w:rPr>
                          <w:b/>
                          <w:color w:val="000000"/>
                          <w:sz w:val="28"/>
                        </w:rPr>
                      </w:pPr>
                      <w:r>
                        <w:rPr>
                          <w:rFonts w:hint="eastAsia"/>
                          <w:b/>
                          <w:color w:val="000000"/>
                          <w:sz w:val="28"/>
                        </w:rPr>
                        <w:br w:type="textWrapping"/>
                      </w:r>
                    </w:p>
                    <w:p>
                      <w:pPr>
                        <w:pStyle w:val="73"/>
                        <w:tabs>
                          <w:tab w:val="left" w:pos="7155"/>
                        </w:tabs>
                        <w:spacing w:before="0" w:line="240" w:lineRule="auto"/>
                        <w:rPr>
                          <w:rFonts w:eastAsia="黑体"/>
                          <w:szCs w:val="28"/>
                          <w:shd w:val="clear" w:color="auto" w:fill="FFFFFF"/>
                        </w:rPr>
                      </w:pPr>
                      <w:r>
                        <w:rPr>
                          <w:rFonts w:hint="eastAsia" w:eastAsia="黑体"/>
                          <w:szCs w:val="28"/>
                          <w:shd w:val="clear" w:color="auto" w:fill="FFFFFF"/>
                        </w:rPr>
                        <w:t>Chemical analysis for</w:t>
                      </w:r>
                      <w:r>
                        <w:rPr>
                          <w:rFonts w:eastAsia="黑体"/>
                          <w:szCs w:val="28"/>
                          <w:shd w:val="clear" w:color="auto" w:fill="FFFFFF"/>
                        </w:rPr>
                        <w:t xml:space="preserve"> alloy</w:t>
                      </w:r>
                      <w:r>
                        <w:rPr>
                          <w:rFonts w:hint="eastAsia" w:eastAsia="黑体"/>
                          <w:szCs w:val="28"/>
                          <w:shd w:val="clear" w:color="auto" w:fill="FFFFFF"/>
                        </w:rPr>
                        <w:t>s——Determination of  content</w:t>
                      </w:r>
                    </w:p>
                    <w:p>
                      <w:pPr>
                        <w:spacing w:line="380" w:lineRule="exact"/>
                        <w:ind w:left="1400"/>
                        <w:rPr>
                          <w:rFonts w:eastAsia="黑体"/>
                          <w:sz w:val="28"/>
                          <w:szCs w:val="28"/>
                          <w:shd w:val="clear" w:color="auto" w:fill="FFFFFF"/>
                        </w:rPr>
                      </w:pPr>
                      <w:r>
                        <w:rPr>
                          <w:rFonts w:hint="eastAsia" w:eastAsia="黑体"/>
                          <w:sz w:val="28"/>
                          <w:szCs w:val="28"/>
                          <w:shd w:val="clear" w:color="auto" w:fill="FFFFFF"/>
                        </w:rPr>
                        <w:t>第 部分：电感耦合等离子体发射光谱法</w:t>
                      </w:r>
                    </w:p>
                    <w:p>
                      <w:pPr>
                        <w:spacing w:line="380" w:lineRule="exact"/>
                        <w:ind w:firstLine="1400" w:firstLineChars="500"/>
                        <w:rPr>
                          <w:rFonts w:eastAsia="黑体"/>
                          <w:sz w:val="28"/>
                          <w:szCs w:val="28"/>
                          <w:shd w:val="clear" w:color="auto" w:fill="FFFFFF"/>
                        </w:rPr>
                      </w:pPr>
                      <w:r>
                        <w:rPr>
                          <w:rFonts w:hint="eastAsia" w:eastAsia="黑体"/>
                          <w:sz w:val="28"/>
                          <w:szCs w:val="28"/>
                          <w:shd w:val="clear" w:color="auto" w:fill="FFFFFF"/>
                        </w:rPr>
                        <w:t>Part ：Inductively coupled plasma atomic emission spectrometry</w:t>
                      </w:r>
                    </w:p>
                    <w:p>
                      <w:pPr>
                        <w:tabs>
                          <w:tab w:val="left" w:pos="3822"/>
                          <w:tab w:val="left" w:pos="5400"/>
                        </w:tabs>
                        <w:spacing w:before="50" w:after="50"/>
                        <w:jc w:val="center"/>
                        <w:rPr>
                          <w:b/>
                          <w:sz w:val="28"/>
                        </w:rPr>
                      </w:pPr>
                    </w:p>
                    <w:p>
                      <w:pPr>
                        <w:pStyle w:val="73"/>
                        <w:spacing w:before="0" w:line="240" w:lineRule="auto"/>
                        <w:ind w:left="2864" w:leftChars="1364" w:firstLine="260" w:firstLineChars="50"/>
                        <w:jc w:val="both"/>
                        <w:rPr>
                          <w:rFonts w:eastAsia="黑体"/>
                          <w:sz w:val="52"/>
                        </w:rPr>
                      </w:pPr>
                      <w:r>
                        <w:rPr>
                          <w:rFonts w:hint="eastAsia" w:eastAsia="黑体"/>
                          <w:sz w:val="52"/>
                        </w:rPr>
                        <w:t xml:space="preserve">      </w:t>
                      </w:r>
                    </w:p>
                    <w:p>
                      <w:pPr>
                        <w:pStyle w:val="73"/>
                        <w:spacing w:before="0" w:line="240" w:lineRule="auto"/>
                        <w:ind w:left="740" w:leftChars="124" w:hanging="480" w:hangingChars="150"/>
                        <w:jc w:val="both"/>
                        <w:rPr>
                          <w:sz w:val="32"/>
                        </w:rPr>
                      </w:pPr>
                      <w:r>
                        <w:rPr>
                          <w:rFonts w:hint="eastAsia"/>
                          <w:sz w:val="32"/>
                        </w:rPr>
                        <w:t xml:space="preserve">                            </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166370</wp:posOffset>
                </wp:positionH>
                <wp:positionV relativeFrom="margin">
                  <wp:posOffset>1505585</wp:posOffset>
                </wp:positionV>
                <wp:extent cx="5802630" cy="72707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727075"/>
                        </a:xfrm>
                        <a:prstGeom prst="rect">
                          <a:avLst/>
                        </a:prstGeom>
                        <a:solidFill>
                          <a:srgbClr val="FFFFFF"/>
                        </a:solidFill>
                        <a:ln>
                          <a:noFill/>
                        </a:ln>
                      </wps:spPr>
                      <wps:txbx>
                        <w:txbxContent>
                          <w:p>
                            <w:pPr>
                              <w:pStyle w:val="81"/>
                              <w:spacing w:before="120"/>
                              <w:rPr>
                                <w:lang w:val="de-DE"/>
                              </w:rPr>
                            </w:pPr>
                            <w:r>
                              <w:rPr>
                                <w:rFonts w:hint="eastAsia"/>
                                <w:lang w:val="de-DE"/>
                              </w:rPr>
                              <w:t>YS</w:t>
                            </w:r>
                            <w:r>
                              <w:rPr>
                                <w:lang w:val="de-DE"/>
                              </w:rPr>
                              <w:t>/T</w:t>
                            </w:r>
                            <w:r>
                              <w:rPr>
                                <w:rFonts w:hint="eastAsia"/>
                                <w:lang w:val="de-DE"/>
                              </w:rPr>
                              <w:t xml:space="preserve"> XXXX</w:t>
                            </w:r>
                            <w:r>
                              <w:rPr>
                                <w:lang w:val="de-DE"/>
                              </w:rPr>
                              <w:t>.5</w:t>
                            </w:r>
                            <w:r>
                              <w:rPr>
                                <w:rFonts w:hint="eastAsia"/>
                                <w:lang w:val="de-DE"/>
                              </w:rPr>
                              <w:t>—201×</w:t>
                            </w:r>
                          </w:p>
                          <w:p>
                            <w:pPr>
                              <w:pStyle w:val="81"/>
                              <w:spacing w:before="120"/>
                              <w:rPr>
                                <w:lang w:val="de-DE"/>
                              </w:rPr>
                            </w:pPr>
                            <w:r>
                              <w:rPr>
                                <w:rFonts w:hint="eastAsia"/>
                                <w:lang w:val="de-DE"/>
                              </w:rPr>
                              <w:t xml:space="preserve">                           </w:t>
                            </w:r>
                          </w:p>
                          <w:p>
                            <w:pPr>
                              <w:pStyle w:val="80"/>
                              <w:ind w:right="420"/>
                              <w:jc w:val="center"/>
                              <w:rPr>
                                <w:lang w:val="de-DE"/>
                              </w:rPr>
                            </w:pPr>
                            <w:r>
                              <w:rPr>
                                <w:rFonts w:hint="eastAsia"/>
                                <w:lang w:val="de-DE"/>
                              </w:rPr>
                              <w:t xml:space="preserve">                                    </w:t>
                            </w:r>
                          </w:p>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1pt;margin-top:118.55pt;height:57.25pt;width:456.9pt;mso-position-horizontal-relative:margin;mso-position-vertical-relative:margin;z-index:251655168;mso-width-relative:page;mso-height-relative:page;" fillcolor="#FFFFFF" filled="t" stroked="f" coordsize="21600,21600" o:gfxdata="UEsDBAoAAAAAAIdO4kAAAAAAAAAAAAAAAAAEAAAAZHJzL1BLAwQUAAAACACHTuJA8ctVzNkAAAAK&#10;AQAADwAAAGRycy9kb3ducmV2LnhtbE2PwU7DMAyG70i8Q2QkLogl7aBspekkNrjBYWPa2WtCW9E4&#10;VZOu29tjTnCyLH/6/f3F6uw6cbJDaD1pSGYKhKXKm5ZqDfvPt/sFiBCRDHaerIaLDbAqr68KzI2f&#10;aGtPu1gLDqGQo4Ymxj6XMlSNdRhmvrfEty8/OIy8DrU0A04c7jqZKpVJhy3xhwZ7u25s9b0bnYZs&#10;M4zTltZ3m/3rO370dXp4uRy0vr1J1DOIaM/xD4ZffVaHkp2OfiQTRKchzVImec6fEhAMLB8Ulztq&#10;mD8mGciykP8rlD9QSwMEFAAAAAgAh07iQLMK99/1AQAA3QMAAA4AAABkcnMvZTJvRG9jLnhtbK1T&#10;227bMAx9H7B/EPS+2EmRpjDiFF2KDAO6C9DtA2RZsoXZokYpsbOvHyU7Wbe9DfODQInkIc8hvb0f&#10;+46dFHoDtuTLRc6ZshJqY5uSf/1yeHPHmQ/C1qIDq0p+Vp7f716/2g6uUCtooasVMgKxvhhcydsQ&#10;XJFlXraqF34BTllyasBeBLpik9UoBkLvu2yV57fZAFg7BKm8p9fHycl3CV9rJcMnrb0KrCs59RbS&#10;iems4pnttqJoULjWyLkN8Q9d9MJYKnqFehRBsCOav6B6IxE86LCQ0GegtZEqcSA2y/wPNs+tcCpx&#10;IXG8u8rk/x+s/Hj6jMzUJV9zZkVPI9L9Acm4idoMzhcU8uwoKIxvYaQZJ57ePYH85pmFfStsox4Q&#10;YWiVqKm3ZczMXqROOD6CVMMHqKmIOAZIQKPGPgpHUjBCpxmdr3NRY2CSHtd3+er2hlySfJvVJt+s&#10;UwlRXLId+vBOQc+iUXKkuSd0cXryIXYjiktILOahM/XBdF26YFPtO2QnQTtySN+M/ltYZ2OwhZg2&#10;IcaXRDMymziGsRpn2Sqoz0QYYdo5+kfIaAF/cDbQvpXcfz8KVJx17y2JFpfzYuDFqC6GsJJSSx44&#10;m8x9mJb46NA0LSFPY7HwQMJqkzjHCUxdzH3SDiUp5n2PS/rynqJ+/ZW7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HLVczZAAAACgEAAA8AAAAAAAAAAQAgAAAAIgAAAGRycy9kb3ducmV2LnhtbFBL&#10;AQIUABQAAAAIAIdO4kCzCvff9QEAAN0DAAAOAAAAAAAAAAEAIAAAACgBAABkcnMvZTJvRG9jLnht&#10;bFBLBQYAAAAABgAGAFkBAACPBQAAAAA=&#10;">
                <v:fill on="t" focussize="0,0"/>
                <v:stroke on="f"/>
                <v:imagedata o:title=""/>
                <o:lock v:ext="edit" aspectratio="f"/>
                <v:textbox inset="0mm,0mm,0mm,0mm">
                  <w:txbxContent>
                    <w:p>
                      <w:pPr>
                        <w:pStyle w:val="81"/>
                        <w:spacing w:before="120"/>
                        <w:rPr>
                          <w:lang w:val="de-DE"/>
                        </w:rPr>
                      </w:pPr>
                      <w:r>
                        <w:rPr>
                          <w:rFonts w:hint="eastAsia"/>
                          <w:lang w:val="de-DE"/>
                        </w:rPr>
                        <w:t>YS</w:t>
                      </w:r>
                      <w:r>
                        <w:rPr>
                          <w:lang w:val="de-DE"/>
                        </w:rPr>
                        <w:t>/T</w:t>
                      </w:r>
                      <w:r>
                        <w:rPr>
                          <w:rFonts w:hint="eastAsia"/>
                          <w:lang w:val="de-DE"/>
                        </w:rPr>
                        <w:t xml:space="preserve"> XXXX</w:t>
                      </w:r>
                      <w:r>
                        <w:rPr>
                          <w:lang w:val="de-DE"/>
                        </w:rPr>
                        <w:t>.5</w:t>
                      </w:r>
                      <w:r>
                        <w:rPr>
                          <w:rFonts w:hint="eastAsia"/>
                          <w:lang w:val="de-DE"/>
                        </w:rPr>
                        <w:t>—201×</w:t>
                      </w:r>
                    </w:p>
                    <w:p>
                      <w:pPr>
                        <w:pStyle w:val="81"/>
                        <w:spacing w:before="120"/>
                        <w:rPr>
                          <w:lang w:val="de-DE"/>
                        </w:rPr>
                      </w:pPr>
                      <w:r>
                        <w:rPr>
                          <w:rFonts w:hint="eastAsia"/>
                          <w:lang w:val="de-DE"/>
                        </w:rPr>
                        <w:t xml:space="preserve">                           </w:t>
                      </w:r>
                    </w:p>
                    <w:p>
                      <w:pPr>
                        <w:pStyle w:val="80"/>
                        <w:ind w:right="420"/>
                        <w:jc w:val="center"/>
                        <w:rPr>
                          <w:lang w:val="de-DE"/>
                        </w:rPr>
                      </w:pPr>
                      <w:r>
                        <w:rPr>
                          <w:rFonts w:hint="eastAsia"/>
                          <w:lang w:val="de-DE"/>
                        </w:rPr>
                        <w:t xml:space="preserve">                                    </w:t>
                      </w:r>
                    </w:p>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2549525</wp:posOffset>
                </wp:positionH>
                <wp:positionV relativeFrom="margin">
                  <wp:posOffset>107315</wp:posOffset>
                </wp:positionV>
                <wp:extent cx="3175000" cy="720090"/>
                <wp:effectExtent l="1905" t="0" r="4445" b="3810"/>
                <wp:wrapNone/>
                <wp:docPr id="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79"/>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5414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JLnlP/UBAADdAwAADgAAAGRycy9lMm9Eb2MueG1srVPL&#10;btswELwX6D8QvNeS00dSwXKQOnBRIE0LJP0AiiIlohSXXdKW3K/vkrLdILkV1YFYkrvDnZnV6noa&#10;LNsrDAZczZeLkjPlJLTGdTX/8bh9c8VZiMK1woJTNT+owK/Xr1+tRl+pC+jBtgoZgbhQjb7mfYy+&#10;KoogezWIsACvHF1qwEFE2mJXtChGQh9scVGWH4oRsPUIUoVAp7fzJV9nfK2VjN+0DioyW3PqLeYV&#10;89qktVivRNWh8L2RxzbEP3QxCOPo0TPUrYiC7dC8gBqMRAig40LCUIDWRqrMgdgsy2dsHnrhVeZC&#10;4gR/lin8P1h5v/+OzLQ1f8eZEwNZpIctUnCVtBl9qCjlwVNSnD7BRB5nnsHfgfwZmINNL1ynbhBh&#10;7JVoqbdlqiyelM44IYE041do6RGxi5CBJo1DEo6kYIROHh3OvqgpMkmHb5eX78uSriTdXZLtH7Nx&#10;hahO1R5D/KxgYCmoOZLvGV3s70JM3YjqlJIeC2BNuzXW5g12zcYi2wuakW3+MoFnadalZAepbEZM&#10;J5lmYjZzjFMzHWVroD0QYYR55ugfoaAH/M3ZSPNW8/BrJ1BxZr84Ei0N5ynAU9CcAuEkldY8cjaH&#10;mzgP8c6j6XpCnm1xcEPCapM5JwfmLo590gxlKY7znob06T5n/f0r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k7PNgAAAAKAQAADwAAAAAAAAABACAAAAAiAAAAZHJzL2Rvd25yZXYueG1sUEsB&#10;AhQAFAAAAAgAh07iQCS55T/1AQAA3QMAAA4AAAAAAAAAAQAgAAAAJwEAAGRycy9lMm9Eb2MueG1s&#10;UEsFBgAAAAAGAAYAWQEAAI4FAAAAAA==&#10;">
                <v:fill on="t" focussize="0,0"/>
                <v:stroke on="f"/>
                <v:imagedata o:title=""/>
                <o:lock v:ext="edit" aspectratio="f"/>
                <v:textbox inset="0mm,0mm,0mm,0mm">
                  <w:txbxContent>
                    <w:p>
                      <w:pPr>
                        <w:pStyle w:val="79"/>
                      </w:pPr>
                      <w:r>
                        <w:rPr>
                          <w:rFonts w:hint="eastAsia"/>
                        </w:rPr>
                        <w:t>YS</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0" b="635"/>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9"/>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SVNl68wEAAN0DAAAOAAAAZHJzL2Uyb0RvYy54bWytU9uO&#10;2yAQfa/Uf0C8N44TKWqtOKttVqkqbS/Sth+AMdiomKEDiZ1+fQecpKvtW1U/oAFmDnPOHG/vpsGy&#10;k8JgwNW8XCw5U05Ca1xX8+/fDm/echaicK2w4FTNzyrwu93rV9vRV2oFPdhWISMQF6rR17yP0VdF&#10;EWSvBhEW4JWjSw04iEhb7IoWxUjogy1Wy+WmGAFbjyBVCHT6MF/yXcbXWsn4ReugIrM1p95iXjGv&#10;TVqL3VZUHQrfG3lpQ/xDF4Mwjh69QT2IKNgRzV9Qg5EIAXRcSBgK0NpIlTkQm3L5gs1TL7zKXEic&#10;4G8yhf8HKz+fviIzbc3XnDkx0Ij0cEAKVkmb0YeKUp48JcXpPUw048wz+EeQPwJzsO+F69Q9Ioy9&#10;Ei31VqbK4lnpjBMSSDN+gpYeEccIGWjSOCThSApG6DSj820uaopM0uGmJHHWdCXpbv2uLDd5cIWo&#10;rtUeQ/ygYGApqDnS3DO6OD2GmLoR1TUlPRbAmvZgrM0b7Jq9RXYS5JFD/jKBF2nWpWQHqWxGTCeZ&#10;ZmI2c4xTM11ka6A9E2GE2XP0j1DQA/7ibCS/1Tz8PApUnNmPjkRL5rwGeA2aayCcpNKaR87mcB9n&#10;Ex89mq4n5HksDu5JWG0y5zSBuYtLn+ShLMXF78mkz/c5689fuf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JJU2XrzAQAA3QMAAA4AAAAAAAAAAQAgAAAAJgEAAGRycy9lMm9Eb2MueG1sUEsF&#10;BgAAAAAGAAYAWQEAAIsFAAAAAA==&#10;">
                <v:fill on="t" focussize="0,0"/>
                <v:stroke on="f"/>
                <v:imagedata o:title=""/>
                <o:lock v:ext="edit" aspectratio="f"/>
                <v:textbox inset="0mm,0mm,0mm,0mm">
                  <w:txbxContent>
                    <w:p>
                      <w:pPr>
                        <w:pStyle w:val="59"/>
                      </w:pPr>
                      <w:r>
                        <w:rPr>
                          <w:rFonts w:hint="eastAsia"/>
                        </w:rPr>
                        <w:t>中华人民共和国有色金属行业标准</w:t>
                      </w:r>
                    </w:p>
                  </w:txbxContent>
                </v:textbox>
                <w10:anchorlock/>
              </v:shape>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6121400" cy="0"/>
                <wp:effectExtent l="14605" t="6985" r="7620" b="12065"/>
                <wp:wrapNone/>
                <wp:docPr id="2" name="直线 9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91" o:spid="_x0000_s1026" o:spt="20" style="position:absolute;left:0pt;margin-left:0pt;margin-top:6pt;height:0pt;width:482pt;z-index:251660288;mso-width-relative:page;mso-height-relative:page;" filled="f" stroked="t" coordsize="21600,21600" o:gfxdata="UEsDBAoAAAAAAIdO4kAAAAAAAAAAAAAAAAAEAAAAZHJzL1BLAwQUAAAACACHTuJAq/J3KNMAAAAG&#10;AQAADwAAAGRycy9kb3ducmV2LnhtbE2PQWvDMAyF74P9B6NBL2OVW7qypnEKLRR2XVcYu7mxmoTG&#10;cojdpPv309hhO0l6Tzx9yjc336qB+tgENjCbalDEZXANVwaO7/unF1AxWXa2DUwGvijCpri/y23m&#10;wshvNBxSpSSEY2YN1Cl1GWIsa/I2TkNHLN459N4mGfsKXW9HCfctzrVeorcNy4XadrSrqbwcrt7A&#10;+PGK5efqUfvn4ZjwrBdb7YMxk4eZXoNKdEt/y/CDL+hQCNMpXNlF1RqQR5Koc6nirpYLaU6/AhY5&#10;/scvvgFQSwMEFAAAAAgAh07iQJCyL1e9AQAAVQMAAA4AAABkcnMvZTJvRG9jLnhtbK1TS44TMRDd&#10;I3EHy3vSH6EhtNKZRUbDZoBIM3MAx59uC9tl2U66cxauwYoNx5lrUHYmgYEdohelrnpVz1Wv7NX1&#10;bA05yBA1uJ42i5oS6TgI7YaePj7cvllSEhNzghlwsqdHGen1+vWr1eQ72cIIRshAkMTFbvI9HVPy&#10;XVVFPkrL4gK8dAgqCJYldMNQicAmZLemauv6qpogCB+AyxgxenMC6brwKyV5+qxUlImYnmJvqdhQ&#10;7C7bar1i3RCYHzV/boP9QxeWaYeHXqhuWGJkH/RfVFbzABFUWnCwFSiluSwz4DRN/cc09yPzssyC&#10;4kR/kSn+P1r+6bANRIuetpQ4ZnFFT1+/PX3/Qd43WZzJxw5zNm4b8nh8dvf+DviXSBxsRuYGWZp8&#10;OHqsLBXVi5LsRI9H7KaPIDCH7RMUpWYVbKZEDchcFnK8LETOiXAMXjVt87bGvfEzVrHuXOhDTB8k&#10;WJJ/emq0y1qxjh3uYsLWMfWcksMObrUxZd/GkQm7bd8hdYYiGC0yWpww7DYmkAPDK7Os8VtmIZDt&#10;RVqAvROnuHEInwc9SbYDcdyGDOc47q4QPN+zfDl+90vWr9ew/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r8nco0wAAAAYBAAAPAAAAAAAAAAEAIAAAACIAAABkcnMvZG93bnJldi54bWxQSwECFAAU&#10;AAAACACHTuJAkLIvV70BAABVAwAADgAAAAAAAAABACAAAAAiAQAAZHJzL2Uyb0RvYy54bWxQSwUG&#10;AAAAAAYABgBZAQAAUQUAAAAA&#10;">
                <v:fill on="f" focussize="0,0"/>
                <v:stroke weight="1pt" color="#800008" joinstyle="round"/>
                <v:imagedata o:title=""/>
                <o:lock v:ext="edit" aspectratio="f"/>
              </v:line>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1411605</wp:posOffset>
                </wp:positionV>
                <wp:extent cx="6121400" cy="0"/>
                <wp:effectExtent l="14605" t="14605" r="7620" b="13970"/>
                <wp:wrapNone/>
                <wp:docPr id="1" name="直线 9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92" o:spid="_x0000_s1026" o:spt="20" style="position:absolute;left:0pt;margin-left:0pt;margin-top:111.15pt;height:0pt;width:482pt;z-index:251661312;mso-width-relative:page;mso-height-relative:page;" filled="f" stroked="t" coordsize="21600,21600" o:gfxdata="UEsDBAoAAAAAAIdO4kAAAAAAAAAAAAAAAAAEAAAAZHJzL1BLAwQUAAAACACHTuJAap7EhNQAAAAI&#10;AQAADwAAAGRycy9kb3ducmV2LnhtbE2PQUvDQBCF74L/YRnBi9jZxlraNJuCguDVtiDettlpEszO&#10;huw2qf/eEQQ9znuPN98rthffqZGG2AY2MJ9pUMRVcC3XBg77l/sVqJgsO9sFJgNfFGFbXl8VNndh&#10;4jcad6lWUsIxtwaalPocMVYNeRtnoScW7xQGb5OcQ41usJOU+w4zrZfobcvyobE9PTdUfe7O3sD0&#10;/orVx/pO+8fxkPCkF0/aB2Nub+Z6AyrRJf2F4Qdf0KEUpmM4s4uqMyBDkoEsyx5Aib1eLkQ5/ipY&#10;Fvh/QPkNUEsDBBQAAAAIAIdO4kAp+KRKvAEAAFUDAAAOAAAAZHJzL2Uyb0RvYy54bWytU0tu2zAQ&#10;3RfoHQjua31QpK5gOQsH6SZtDSQ5wJiiJKIkhyBpyz5Lr9FVNz1OrtEh/Wmb7oJoQWg4M4/vvSEX&#10;13uj2U76oNC2vJqVnEkrsFN2aPnjw+27OWchgu1Ao5UtP8jAr5dv3ywm18gaR9Sd9IxAbGgm1/Ix&#10;RtcURRCjNBBm6KSlZI/eQKTQD0XnYSJ0o4u6LK+KCX3nPAoZAu3eHJN8mfH7Xor4te+DjEy3nLjF&#10;vPq8btJaLBfQDB7cqMSJBryAhQFl6dAL1A1EYFuv/oMySngM2MeZQFNg3yshswZSU5XP1NyP4GTW&#10;QuYEd7EpvB6s+LJbe6Y6mh1nFgyN6On7j6efv9jHOpkzudBQzcqufZIn9vbe3aH4FpjF1Qh2kJnk&#10;w8FRZ5U6in9aUhAcHbGZPmNHNbCNmJ3a994kSPKA7fNADpeByH1kgjavqrp6X9LcxDlXQHNudD7E&#10;TxINSz8t18omr6CB3V2IiQg055K0bfFWaZ3nrS2biG39gaBTKqBWXcrmwA+blfZsB3Rl5iV98yzr&#10;WZnHre2Op2h7Up2EHi3bYHdY+7MbNLtM53TP0uX4O87df1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nsSE1AAAAAgBAAAPAAAAAAAAAAEAIAAAACIAAABkcnMvZG93bnJldi54bWxQSwECFAAU&#10;AAAACACHTuJAKfikSrwBAABVAwAADgAAAAAAAAABACAAAAAjAQAAZHJzL2Uyb0RvYy54bWxQSwUG&#10;AAAAAAYABgBZAQAAUQUAAAAA&#10;">
                <v:fill on="f" focussize="0,0"/>
                <v:stroke weight="1pt" color="#800008" joinstyle="round"/>
                <v:imagedata o:title=""/>
                <o:lock v:ext="edit" aspectratio="f"/>
              </v:line>
            </w:pict>
          </mc:Fallback>
        </mc:AlternateContent>
      </w:r>
    </w:p>
    <w:p>
      <w:pPr>
        <w:rPr>
          <w:rFonts w:ascii="Times New Roman" w:hAnsi="Times New Roman"/>
        </w:rPr>
        <w:sectPr>
          <w:headerReference r:id="rId5" w:type="first"/>
          <w:headerReference r:id="rId3" w:type="default"/>
          <w:footerReference r:id="rId6" w:type="default"/>
          <w:headerReference r:id="rId4" w:type="even"/>
          <w:footerReference r:id="rId7" w:type="even"/>
          <w:pgSz w:w="11907" w:h="16840"/>
          <w:pgMar w:top="1361" w:right="851" w:bottom="1701" w:left="1418" w:header="851" w:footer="851" w:gutter="0"/>
          <w:pgNumType w:fmt="upperRoman" w:start="1"/>
          <w:cols w:space="720" w:num="1"/>
          <w:titlePg/>
          <w:docGrid w:type="lines" w:linePitch="312" w:charSpace="0"/>
        </w:sectPr>
      </w:pPr>
    </w:p>
    <w:bookmarkEnd w:id="0"/>
    <w:p>
      <w:pPr>
        <w:pStyle w:val="57"/>
        <w:shd w:val="clear" w:color="FFFFFF" w:fill="FFFFFF"/>
        <w:tabs>
          <w:tab w:val="left" w:pos="720"/>
        </w:tabs>
        <w:spacing w:line="340" w:lineRule="exact"/>
        <w:ind w:left="720" w:hanging="720"/>
        <w:rPr>
          <w:rFonts w:hint="eastAsia" w:ascii="Times New Roman" w:cs="Times New Roman"/>
          <w:szCs w:val="22"/>
        </w:rPr>
      </w:pPr>
      <w:bookmarkStart w:id="1" w:name="_Toc64356030"/>
      <w:bookmarkStart w:id="2" w:name="_Toc66237951"/>
      <w:bookmarkStart w:id="3" w:name="_Toc66238155"/>
      <w:bookmarkStart w:id="4" w:name="_Toc64356952"/>
      <w:bookmarkStart w:id="5" w:name="_Toc64357459"/>
      <w:bookmarkStart w:id="6" w:name="_Toc64356673"/>
      <w:bookmarkStart w:id="7" w:name="SectionMark2"/>
      <w:bookmarkStart w:id="8" w:name="_Toc64690969"/>
      <w:bookmarkStart w:id="9" w:name="_Toc66237718"/>
      <w:r>
        <w:rPr>
          <w:rFonts w:hint="eastAsia" w:ascii="Times New Roman" w:cs="Times New Roman"/>
          <w:szCs w:val="22"/>
        </w:rPr>
        <w:t>前    言</w:t>
      </w:r>
    </w:p>
    <w:p>
      <w:pPr>
        <w:spacing w:line="480" w:lineRule="exact"/>
        <w:ind w:firstLine="420" w:firstLineChars="200"/>
        <w:rPr>
          <w:rFonts w:ascii="Times New Roman" w:hAnsi="Times New Roman"/>
        </w:rPr>
      </w:pPr>
      <w:r>
        <w:rPr>
          <w:rFonts w:ascii="Times New Roman" w:hAnsi="Times New Roman"/>
        </w:rPr>
        <w:t>YS/T XXXX-201X 《铜冶炼烟尘化学分析方法》分为 9个部分：</w:t>
      </w:r>
    </w:p>
    <w:p>
      <w:pPr>
        <w:spacing w:line="480" w:lineRule="exact"/>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480" w:lineRule="exact"/>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480" w:lineRule="exact"/>
        <w:ind w:firstLine="630" w:firstLineChars="300"/>
        <w:rPr>
          <w:rFonts w:ascii="Times New Roman" w:hAnsi="Times New Roman"/>
        </w:rPr>
      </w:pPr>
      <w:r>
        <w:rPr>
          <w:rFonts w:ascii="Times New Roman" w:hAnsi="Times New Roman"/>
        </w:rPr>
        <w:t>——第3部分：锌含量的测定 火焰原子吸收光谱法和容量法；</w:t>
      </w:r>
    </w:p>
    <w:p>
      <w:pPr>
        <w:spacing w:line="480" w:lineRule="exact"/>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480" w:lineRule="exact"/>
        <w:ind w:firstLine="630" w:firstLineChars="300"/>
        <w:rPr>
          <w:rFonts w:ascii="Times New Roman" w:hAnsi="Times New Roman"/>
        </w:rPr>
      </w:pPr>
      <w:r>
        <w:rPr>
          <w:rFonts w:ascii="Times New Roman" w:hAnsi="Times New Roman"/>
        </w:rPr>
        <w:t>——第5部分：砷含量的测定 硫酸亚铁铵滴定法；</w:t>
      </w:r>
    </w:p>
    <w:p>
      <w:pPr>
        <w:spacing w:line="480" w:lineRule="exact"/>
        <w:ind w:firstLine="630" w:firstLineChars="300"/>
        <w:rPr>
          <w:rFonts w:ascii="Times New Roman" w:hAnsi="Times New Roman"/>
        </w:rPr>
      </w:pPr>
      <w:r>
        <w:rPr>
          <w:rFonts w:ascii="Times New Roman" w:hAnsi="Times New Roman"/>
        </w:rPr>
        <w:t>——第6部分：铟含量的测定 火焰原子吸收光谱法；</w:t>
      </w:r>
    </w:p>
    <w:p>
      <w:pPr>
        <w:spacing w:line="480" w:lineRule="exact"/>
        <w:ind w:firstLine="630" w:firstLineChars="300"/>
        <w:rPr>
          <w:rFonts w:ascii="Times New Roman" w:hAnsi="Times New Roman"/>
        </w:rPr>
      </w:pPr>
      <w:r>
        <w:rPr>
          <w:rFonts w:ascii="Times New Roman" w:hAnsi="Times New Roman"/>
        </w:rPr>
        <w:t>——第7部分：镉含量的测定 火焰原子吸收光谱法和容量法；</w:t>
      </w:r>
    </w:p>
    <w:p>
      <w:pPr>
        <w:spacing w:line="480" w:lineRule="exact"/>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480" w:lineRule="exact"/>
        <w:ind w:firstLine="630" w:firstLineChars="300"/>
        <w:rPr>
          <w:rFonts w:ascii="Times New Roman" w:hAnsi="Times New Roman"/>
        </w:rPr>
      </w:pPr>
      <w:r>
        <w:rPr>
          <w:rFonts w:ascii="Times New Roman" w:hAnsi="Times New Roman"/>
        </w:rPr>
        <w:t>——第9部分：锑含量的测定 火焰原子吸收光谱法；</w:t>
      </w:r>
    </w:p>
    <w:p>
      <w:pPr>
        <w:spacing w:line="480" w:lineRule="exact"/>
        <w:ind w:firstLine="420" w:firstLineChars="200"/>
        <w:rPr>
          <w:rFonts w:ascii="Times New Roman" w:hAnsi="Times New Roman"/>
        </w:rPr>
      </w:pPr>
      <w:r>
        <w:rPr>
          <w:rFonts w:ascii="Times New Roman" w:hAnsi="Times New Roman"/>
        </w:rPr>
        <w:t>本部分为YS/T XXXX-201X的第5部分。</w:t>
      </w:r>
    </w:p>
    <w:p>
      <w:pPr>
        <w:spacing w:line="480" w:lineRule="exact"/>
        <w:ind w:firstLine="420" w:firstLineChars="200"/>
        <w:rPr>
          <w:rFonts w:ascii="Times New Roman" w:hAnsi="Times New Roman"/>
        </w:rPr>
      </w:pPr>
      <w:r>
        <w:rPr>
          <w:rFonts w:ascii="Times New Roman" w:hAnsi="Times New Roman"/>
        </w:rPr>
        <w:t>本部分按照GB/T 1.1-2009给出的规则起草。</w:t>
      </w:r>
    </w:p>
    <w:p>
      <w:pPr>
        <w:spacing w:line="480" w:lineRule="exact"/>
        <w:ind w:firstLine="420" w:firstLineChars="200"/>
        <w:rPr>
          <w:rFonts w:hint="eastAsia" w:ascii="Times New Roman" w:hAnsi="Times New Roman"/>
        </w:rPr>
      </w:pPr>
      <w:r>
        <w:rPr>
          <w:rFonts w:hint="eastAsia" w:ascii="Times New Roman" w:hAnsi="Times New Roman"/>
        </w:rPr>
        <w:t>本</w:t>
      </w:r>
      <w:r>
        <w:rPr>
          <w:rFonts w:hint="eastAsia" w:ascii="Times New Roman" w:hAnsi="Times New Roman"/>
          <w:lang w:val="en-US" w:eastAsia="zh-CN"/>
        </w:rPr>
        <w:t>部分</w:t>
      </w:r>
      <w:r>
        <w:rPr>
          <w:rFonts w:hint="eastAsia" w:ascii="Times New Roman" w:hAnsi="Times New Roman"/>
        </w:rPr>
        <w:t>由全国有色金属标准化技术委员会（SAC/TC 243）提出并归口。</w:t>
      </w:r>
    </w:p>
    <w:p>
      <w:pPr>
        <w:spacing w:line="480" w:lineRule="exact"/>
        <w:ind w:firstLine="420" w:firstLineChars="200"/>
        <w:rPr>
          <w:rFonts w:hint="default" w:ascii="Times New Roman" w:hAnsi="Times New Roman" w:eastAsia="宋体"/>
          <w:lang w:val="en-US" w:eastAsia="zh-CN"/>
        </w:rPr>
      </w:pPr>
      <w:r>
        <w:rPr>
          <w:rFonts w:ascii="Times New Roman" w:hAnsi="Times New Roman"/>
        </w:rPr>
        <w:t>本</w:t>
      </w:r>
      <w:r>
        <w:rPr>
          <w:rFonts w:hint="eastAsia" w:ascii="Times New Roman" w:hAnsi="Times New Roman"/>
          <w:lang w:val="en-US" w:eastAsia="zh-CN"/>
        </w:rPr>
        <w:t>标准</w:t>
      </w:r>
      <w:r>
        <w:rPr>
          <w:rFonts w:ascii="Times New Roman" w:hAnsi="Times New Roman"/>
        </w:rPr>
        <w:t>负责起草单位：</w:t>
      </w:r>
      <w:r>
        <w:rPr>
          <w:rFonts w:hint="eastAsia" w:ascii="Times New Roman" w:hAnsi="Times New Roman"/>
          <w:lang w:val="en-US" w:eastAsia="zh-CN"/>
        </w:rPr>
        <w:t xml:space="preserve">  </w:t>
      </w:r>
    </w:p>
    <w:p>
      <w:pPr>
        <w:spacing w:line="480" w:lineRule="exact"/>
        <w:ind w:firstLine="420" w:firstLineChars="200"/>
        <w:rPr>
          <w:rFonts w:ascii="Times New Roman" w:hAnsi="Times New Roman"/>
        </w:rPr>
      </w:pPr>
      <w:r>
        <w:rPr>
          <w:rFonts w:ascii="Times New Roman" w:hAnsi="Times New Roman"/>
        </w:rPr>
        <w:t>本部分起草单位：广东省工业分析检测中心，北矿检测技术有限公司。</w:t>
      </w:r>
    </w:p>
    <w:p>
      <w:pPr>
        <w:spacing w:line="480" w:lineRule="exact"/>
        <w:ind w:firstLine="420" w:firstLineChars="200"/>
        <w:rPr>
          <w:rFonts w:ascii="Times New Roman" w:hAnsi="Times New Roman"/>
        </w:rPr>
      </w:pPr>
      <w:r>
        <w:rPr>
          <w:rFonts w:ascii="Times New Roman" w:hAnsi="Times New Roman"/>
        </w:rPr>
        <w:t xml:space="preserve">本部分参加起草单位： </w:t>
      </w:r>
    </w:p>
    <w:p>
      <w:pPr>
        <w:spacing w:line="480" w:lineRule="exact"/>
        <w:ind w:firstLine="420" w:firstLineChars="200"/>
        <w:rPr>
          <w:rFonts w:ascii="Times New Roman" w:hAnsi="Times New Roman"/>
        </w:rPr>
      </w:pPr>
      <w:r>
        <w:rPr>
          <w:rFonts w:ascii="Times New Roman" w:hAnsi="Times New Roman"/>
        </w:rPr>
        <w:t xml:space="preserve">本部分主要起草人： </w:t>
      </w:r>
    </w:p>
    <w:bookmarkEnd w:id="1"/>
    <w:bookmarkEnd w:id="2"/>
    <w:bookmarkEnd w:id="3"/>
    <w:bookmarkEnd w:id="4"/>
    <w:bookmarkEnd w:id="5"/>
    <w:bookmarkEnd w:id="6"/>
    <w:bookmarkEnd w:id="7"/>
    <w:bookmarkEnd w:id="8"/>
    <w:bookmarkEnd w:id="9"/>
    <w:p>
      <w:pPr>
        <w:ind w:firstLine="3150"/>
        <w:rPr>
          <w:rFonts w:ascii="Times New Roman" w:hAnsi="Times New Roman" w:eastAsia="黑体"/>
          <w:bCs/>
          <w:sz w:val="32"/>
          <w:szCs w:val="32"/>
        </w:rPr>
      </w:pPr>
    </w:p>
    <w:p>
      <w:pPr>
        <w:ind w:firstLine="3150"/>
        <w:rPr>
          <w:rFonts w:ascii="Times New Roman" w:hAnsi="Times New Roman" w:eastAsia="黑体"/>
          <w:bCs/>
          <w:sz w:val="32"/>
          <w:szCs w:val="32"/>
        </w:rPr>
      </w:pPr>
    </w:p>
    <w:p>
      <w:pPr>
        <w:ind w:firstLine="3150"/>
        <w:rPr>
          <w:rFonts w:ascii="Times New Roman" w:hAnsi="Times New Roman" w:eastAsia="黑体"/>
          <w:bCs/>
          <w:sz w:val="32"/>
          <w:szCs w:val="32"/>
        </w:rPr>
      </w:pPr>
    </w:p>
    <w:p>
      <w:pPr>
        <w:ind w:firstLine="3150"/>
        <w:rPr>
          <w:rFonts w:ascii="Times New Roman" w:hAnsi="Times New Roman" w:eastAsia="黑体"/>
          <w:bCs/>
          <w:sz w:val="32"/>
          <w:szCs w:val="32"/>
        </w:rPr>
      </w:pPr>
    </w:p>
    <w:p>
      <w:pPr>
        <w:ind w:firstLine="3150"/>
        <w:rPr>
          <w:rFonts w:ascii="Times New Roman" w:hAnsi="Times New Roman" w:eastAsia="黑体"/>
          <w:bCs/>
          <w:sz w:val="32"/>
          <w:szCs w:val="32"/>
        </w:rPr>
      </w:pPr>
    </w:p>
    <w:p>
      <w:pPr>
        <w:ind w:firstLine="3150"/>
        <w:rPr>
          <w:rFonts w:ascii="Times New Roman" w:hAnsi="Times New Roman" w:eastAsia="黑体"/>
          <w:bCs/>
          <w:sz w:val="32"/>
          <w:szCs w:val="32"/>
        </w:rPr>
      </w:pPr>
    </w:p>
    <w:p>
      <w:pPr>
        <w:jc w:val="center"/>
        <w:rPr>
          <w:rFonts w:ascii="Times New Roman" w:hAnsi="Times New Roman" w:eastAsia="黑体"/>
          <w:bCs/>
          <w:color w:val="000000"/>
          <w:sz w:val="32"/>
          <w:szCs w:val="32"/>
        </w:rPr>
      </w:pPr>
      <w:bookmarkStart w:id="10" w:name="SectionMark4"/>
      <w:r>
        <w:rPr>
          <w:rFonts w:ascii="Times New Roman" w:hAnsi="Times New Roman" w:eastAsia="黑体"/>
          <w:bCs/>
          <w:color w:val="000000"/>
          <w:sz w:val="32"/>
          <w:szCs w:val="32"/>
        </w:rPr>
        <w:t>铜冶炼烟尘化学分析方法</w:t>
      </w:r>
    </w:p>
    <w:p>
      <w:pPr>
        <w:jc w:val="center"/>
        <w:rPr>
          <w:rFonts w:ascii="Times New Roman" w:hAnsi="Times New Roman" w:eastAsia="黑体"/>
          <w:bCs/>
          <w:sz w:val="32"/>
          <w:szCs w:val="32"/>
        </w:rPr>
      </w:pPr>
      <w:r>
        <w:rPr>
          <w:rFonts w:ascii="Times New Roman" w:hAnsi="Times New Roman" w:eastAsia="黑体"/>
          <w:bCs/>
          <w:sz w:val="32"/>
          <w:szCs w:val="32"/>
        </w:rPr>
        <w:t>第5部分：砷含量的测定</w:t>
      </w:r>
    </w:p>
    <w:p>
      <w:pPr>
        <w:jc w:val="center"/>
        <w:rPr>
          <w:rFonts w:ascii="Times New Roman" w:hAnsi="Times New Roman"/>
          <w:bCs/>
          <w:szCs w:val="21"/>
        </w:rPr>
      </w:pPr>
      <w:r>
        <w:rPr>
          <w:rFonts w:ascii="Times New Roman" w:hAnsi="Times New Roman" w:eastAsia="黑体"/>
          <w:bCs/>
          <w:kern w:val="0"/>
          <w:sz w:val="32"/>
          <w:szCs w:val="32"/>
        </w:rPr>
        <w:t>硫酸亚铁铵滴定法</w:t>
      </w:r>
      <w:bookmarkEnd w:id="10"/>
    </w:p>
    <w:p>
      <w:pPr>
        <w:spacing w:line="480" w:lineRule="auto"/>
        <w:rPr>
          <w:rFonts w:ascii="Times New Roman" w:hAnsi="Times New Roman" w:eastAsia="黑体"/>
          <w:bCs/>
          <w:szCs w:val="21"/>
        </w:rPr>
      </w:pPr>
      <w:r>
        <w:rPr>
          <w:rFonts w:ascii="Times New Roman" w:hAnsi="Times New Roman" w:eastAsia="黑体"/>
          <w:bCs/>
          <w:szCs w:val="21"/>
        </w:rPr>
        <w:t>1  范围</w:t>
      </w:r>
    </w:p>
    <w:p>
      <w:pPr>
        <w:spacing w:line="440" w:lineRule="exact"/>
        <w:ind w:firstLine="420" w:firstLineChars="200"/>
        <w:rPr>
          <w:rFonts w:ascii="Times New Roman" w:hAnsi="Times New Roman"/>
          <w:szCs w:val="21"/>
        </w:rPr>
      </w:pPr>
      <w:r>
        <w:rPr>
          <w:rFonts w:ascii="Times New Roman" w:hAnsi="Times New Roman"/>
          <w:szCs w:val="21"/>
        </w:rPr>
        <w:t>本部分规定了铜冶炼烟尘中砷含量的测定方法。</w:t>
      </w:r>
    </w:p>
    <w:p>
      <w:pPr>
        <w:spacing w:line="440" w:lineRule="exact"/>
        <w:ind w:firstLine="420" w:firstLineChars="200"/>
        <w:rPr>
          <w:rFonts w:ascii="Times New Roman" w:hAnsi="Times New Roman"/>
          <w:szCs w:val="21"/>
        </w:rPr>
      </w:pPr>
      <w:r>
        <w:rPr>
          <w:rFonts w:ascii="Times New Roman" w:hAnsi="Times New Roman"/>
          <w:szCs w:val="21"/>
        </w:rPr>
        <w:t>本部分适用于铜冶炼烟尘中砷含量的测定。测定范围：0.50%～50.00%。</w:t>
      </w:r>
    </w:p>
    <w:p>
      <w:pPr>
        <w:spacing w:line="480" w:lineRule="auto"/>
        <w:rPr>
          <w:rFonts w:ascii="Times New Roman" w:hAnsi="Times New Roman" w:eastAsia="黑体"/>
          <w:bCs/>
          <w:szCs w:val="21"/>
        </w:rPr>
      </w:pPr>
      <w:r>
        <w:rPr>
          <w:rFonts w:ascii="Times New Roman" w:hAnsi="Times New Roman" w:eastAsia="黑体"/>
          <w:bCs/>
          <w:szCs w:val="21"/>
        </w:rPr>
        <w:t>2  方法提要</w:t>
      </w:r>
    </w:p>
    <w:p>
      <w:pPr>
        <w:spacing w:line="440" w:lineRule="exact"/>
        <w:ind w:firstLine="420" w:firstLineChars="200"/>
        <w:rPr>
          <w:rFonts w:ascii="Times New Roman" w:hAnsi="Times New Roman"/>
        </w:rPr>
      </w:pPr>
      <w:r>
        <w:rPr>
          <w:rFonts w:ascii="Times New Roman" w:hAnsi="Times New Roman"/>
        </w:rPr>
        <w:t>试料用硝酸-氯酸钾饱和溶液和氟化铵分解，再用硫酸驱除硝酸后，在盐酸介质中以硫酸铜为催化剂，用次亚磷酸钠把</w:t>
      </w:r>
      <w:r>
        <w:rPr>
          <w:rFonts w:hint="eastAsia" w:ascii="Times New Roman" w:hAnsi="Times New Roman"/>
        </w:rPr>
        <w:t>溶液中的</w:t>
      </w:r>
      <w:r>
        <w:rPr>
          <w:rFonts w:ascii="Times New Roman" w:hAnsi="Times New Roman"/>
        </w:rPr>
        <w:t>砷</w:t>
      </w:r>
      <w:r>
        <w:rPr>
          <w:rFonts w:hint="eastAsia" w:ascii="Times New Roman" w:hAnsi="Times New Roman"/>
        </w:rPr>
        <w:t>离子</w:t>
      </w:r>
      <w:r>
        <w:rPr>
          <w:rFonts w:ascii="Times New Roman" w:hAnsi="Times New Roman"/>
        </w:rPr>
        <w:t>还原为单质砷，过滤分离其他杂质。以过量的重铬酸钾标准滴定溶液溶解单质砷，用硫酸亚铁铵标准滴定溶液滴定过量的重铬酸钾标准滴定溶液，间接测定砷的含量。</w:t>
      </w:r>
    </w:p>
    <w:p>
      <w:pPr>
        <w:spacing w:line="480" w:lineRule="auto"/>
        <w:rPr>
          <w:rFonts w:ascii="Times New Roman" w:hAnsi="Times New Roman" w:eastAsia="黑体"/>
          <w:bCs/>
          <w:szCs w:val="21"/>
        </w:rPr>
      </w:pPr>
      <w:r>
        <w:rPr>
          <w:rFonts w:ascii="Times New Roman" w:hAnsi="Times New Roman" w:eastAsia="黑体"/>
          <w:bCs/>
          <w:szCs w:val="21"/>
        </w:rPr>
        <w:t>3  试剂</w:t>
      </w:r>
    </w:p>
    <w:p>
      <w:pPr>
        <w:spacing w:line="440" w:lineRule="exact"/>
        <w:ind w:firstLine="420" w:firstLineChars="200"/>
        <w:rPr>
          <w:rFonts w:ascii="Times New Roman" w:hAnsi="Times New Roman"/>
          <w:szCs w:val="21"/>
        </w:rPr>
      </w:pPr>
      <w:r>
        <w:rPr>
          <w:rFonts w:ascii="Times New Roman" w:hAnsi="Times New Roman"/>
          <w:szCs w:val="21"/>
        </w:rPr>
        <w:t>除非另有说明，在分析中仅使用确认为分析纯的试剂和蒸馏水或去离子水或相当纯度的水。</w:t>
      </w:r>
    </w:p>
    <w:p>
      <w:pPr>
        <w:spacing w:line="440" w:lineRule="exact"/>
        <w:rPr>
          <w:rFonts w:ascii="Times New Roman" w:hAnsi="Times New Roman"/>
          <w:szCs w:val="21"/>
        </w:rPr>
      </w:pPr>
      <w:r>
        <w:rPr>
          <w:rFonts w:ascii="Times New Roman" w:hAnsi="Times New Roman"/>
          <w:szCs w:val="21"/>
        </w:rPr>
        <w:t>3.1  次亚磷酸钠（NaH</w:t>
      </w:r>
      <w:r>
        <w:rPr>
          <w:rFonts w:ascii="Times New Roman" w:hAnsi="Times New Roman"/>
          <w:szCs w:val="21"/>
          <w:vertAlign w:val="subscript"/>
        </w:rPr>
        <w:t>2</w:t>
      </w:r>
      <w:r>
        <w:rPr>
          <w:rFonts w:ascii="Times New Roman" w:hAnsi="Times New Roman"/>
          <w:szCs w:val="21"/>
        </w:rPr>
        <w:t>PO</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p>
      <w:pPr>
        <w:spacing w:line="440" w:lineRule="exact"/>
        <w:rPr>
          <w:rFonts w:ascii="Times New Roman" w:hAnsi="Times New Roman"/>
          <w:szCs w:val="21"/>
        </w:rPr>
      </w:pPr>
      <w:r>
        <w:rPr>
          <w:rFonts w:ascii="Times New Roman" w:hAnsi="Times New Roman"/>
          <w:szCs w:val="21"/>
        </w:rPr>
        <w:t>3.2  硝酸（ρ 1.42g/mL）。</w:t>
      </w:r>
    </w:p>
    <w:p>
      <w:pPr>
        <w:spacing w:line="440" w:lineRule="exact"/>
        <w:rPr>
          <w:rFonts w:ascii="Times New Roman" w:hAnsi="Times New Roman"/>
          <w:szCs w:val="21"/>
        </w:rPr>
      </w:pPr>
      <w:r>
        <w:rPr>
          <w:rFonts w:ascii="Times New Roman" w:hAnsi="Times New Roman"/>
          <w:szCs w:val="21"/>
        </w:rPr>
        <w:t>3.3  盐酸（ρ 1.19g/mL）。</w:t>
      </w:r>
    </w:p>
    <w:p>
      <w:pPr>
        <w:spacing w:line="440" w:lineRule="exact"/>
        <w:rPr>
          <w:rFonts w:ascii="Times New Roman" w:hAnsi="Times New Roman"/>
          <w:szCs w:val="21"/>
        </w:rPr>
      </w:pPr>
      <w:r>
        <w:rPr>
          <w:rFonts w:ascii="Times New Roman" w:hAnsi="Times New Roman"/>
          <w:szCs w:val="21"/>
        </w:rPr>
        <w:t xml:space="preserve">3.4  </w:t>
      </w:r>
      <w:r>
        <w:rPr>
          <w:rFonts w:ascii="Times New Roman" w:hAnsi="Times New Roman"/>
        </w:rPr>
        <w:t>硝酸-氯酸钾饱和溶液：将氯酸钾溶解于硝酸（3.2）中，直至饱和。</w:t>
      </w:r>
    </w:p>
    <w:p>
      <w:pPr>
        <w:spacing w:line="440" w:lineRule="exact"/>
        <w:rPr>
          <w:rFonts w:ascii="Times New Roman" w:hAnsi="Times New Roman"/>
        </w:rPr>
      </w:pPr>
      <w:r>
        <w:rPr>
          <w:rFonts w:ascii="Times New Roman" w:hAnsi="Times New Roman"/>
        </w:rPr>
        <w:t>3.5  氟化铵溶液（250 g/L）。</w:t>
      </w:r>
    </w:p>
    <w:p>
      <w:pPr>
        <w:spacing w:line="440" w:lineRule="exact"/>
        <w:rPr>
          <w:rFonts w:ascii="Times New Roman" w:hAnsi="Times New Roman"/>
        </w:rPr>
      </w:pPr>
      <w:r>
        <w:rPr>
          <w:rFonts w:ascii="Times New Roman" w:hAnsi="Times New Roman"/>
        </w:rPr>
        <w:t>3.6  硫酸（1+1）</w:t>
      </w:r>
      <w:r>
        <w:rPr>
          <w:rFonts w:ascii="Times New Roman" w:hAnsi="Times New Roman"/>
          <w:kern w:val="1"/>
        </w:rPr>
        <w:t>。</w:t>
      </w:r>
    </w:p>
    <w:p>
      <w:pPr>
        <w:spacing w:line="440" w:lineRule="exact"/>
        <w:rPr>
          <w:rFonts w:ascii="Times New Roman" w:hAnsi="Times New Roman"/>
        </w:rPr>
      </w:pPr>
      <w:r>
        <w:rPr>
          <w:rFonts w:ascii="Times New Roman" w:hAnsi="Times New Roman"/>
        </w:rPr>
        <w:t>3.7  五水合硫酸铜溶液（50 g/L）。</w:t>
      </w:r>
    </w:p>
    <w:p>
      <w:pPr>
        <w:spacing w:line="440" w:lineRule="exact"/>
        <w:rPr>
          <w:rFonts w:ascii="Times New Roman" w:hAnsi="Times New Roman"/>
        </w:rPr>
      </w:pPr>
      <w:r>
        <w:rPr>
          <w:rFonts w:ascii="Times New Roman" w:hAnsi="Times New Roman"/>
        </w:rPr>
        <w:t>3.8  次亚磷酸钠洗液（5 g/ L）：用盐酸（1＋3）配制。</w:t>
      </w:r>
    </w:p>
    <w:p>
      <w:pPr>
        <w:spacing w:line="440" w:lineRule="exact"/>
        <w:rPr>
          <w:rFonts w:ascii="Times New Roman" w:hAnsi="Times New Roman"/>
        </w:rPr>
      </w:pPr>
      <w:r>
        <w:rPr>
          <w:rFonts w:ascii="Times New Roman" w:hAnsi="Times New Roman"/>
        </w:rPr>
        <w:t>3.9  氯化铵洗液（50 g/L）</w:t>
      </w:r>
    </w:p>
    <w:p>
      <w:pPr>
        <w:spacing w:line="440" w:lineRule="exact"/>
        <w:rPr>
          <w:rFonts w:ascii="Times New Roman" w:hAnsi="Times New Roman"/>
        </w:rPr>
      </w:pPr>
      <w:r>
        <w:rPr>
          <w:rFonts w:ascii="Times New Roman" w:hAnsi="Times New Roman"/>
        </w:rPr>
        <w:t>3.10 硫-磷混酸：于1000 mL烧杯中，先加入700 mL水，然后缓慢加入150 mL硫酸和150 mL磷酸，混匀，冷却备用。</w:t>
      </w:r>
    </w:p>
    <w:p>
      <w:pPr>
        <w:spacing w:line="440" w:lineRule="exact"/>
        <w:rPr>
          <w:rFonts w:ascii="Times New Roman" w:hAnsi="Times New Roman"/>
        </w:rPr>
      </w:pPr>
      <w:r>
        <w:rPr>
          <w:rFonts w:ascii="Times New Roman" w:hAnsi="Times New Roman"/>
        </w:rPr>
        <w:t>3.11 重铬酸钾标准滴定溶液A（</w:t>
      </w:r>
      <w:r>
        <w:rPr>
          <w:rFonts w:ascii="Times New Roman" w:hAnsi="Times New Roman"/>
          <w:i/>
        </w:rPr>
        <w:t>C</w:t>
      </w:r>
      <w:r>
        <w:rPr>
          <w:rFonts w:ascii="Times New Roman" w:hAnsi="Times New Roman"/>
          <w:vertAlign w:val="subscript"/>
        </w:rPr>
        <w:t>K</w:t>
      </w:r>
      <w:r>
        <w:rPr>
          <w:rFonts w:ascii="Times New Roman" w:hAnsi="Times New Roman"/>
          <w:position w:val="-6"/>
          <w:vertAlign w:val="subscript"/>
        </w:rPr>
        <w:t>2</w:t>
      </w:r>
      <w:r>
        <w:rPr>
          <w:rFonts w:ascii="Times New Roman" w:hAnsi="Times New Roman"/>
          <w:vertAlign w:val="subscript"/>
        </w:rPr>
        <w:t>Cr</w:t>
      </w:r>
      <w:r>
        <w:rPr>
          <w:rFonts w:ascii="Times New Roman" w:hAnsi="Times New Roman"/>
          <w:position w:val="-6"/>
          <w:vertAlign w:val="subscript"/>
        </w:rPr>
        <w:t>2</w:t>
      </w:r>
      <w:r>
        <w:rPr>
          <w:rFonts w:ascii="Times New Roman" w:hAnsi="Times New Roman"/>
          <w:vertAlign w:val="subscript"/>
        </w:rPr>
        <w:t>O</w:t>
      </w:r>
      <w:r>
        <w:rPr>
          <w:rFonts w:ascii="Times New Roman" w:hAnsi="Times New Roman"/>
          <w:position w:val="-6"/>
          <w:vertAlign w:val="subscript"/>
        </w:rPr>
        <w:t>7</w:t>
      </w:r>
      <w:r>
        <w:rPr>
          <w:rFonts w:ascii="Times New Roman" w:hAnsi="Times New Roman"/>
          <w:position w:val="-6"/>
        </w:rPr>
        <w:t xml:space="preserve"> </w:t>
      </w:r>
      <w:r>
        <w:rPr>
          <w:rFonts w:ascii="Times New Roman" w:hAnsi="Times New Roman"/>
        </w:rPr>
        <w:t xml:space="preserve">=0.005560 mol/L）：称取1.6357 g预先在150 </w:t>
      </w:r>
      <w:r>
        <w:rPr>
          <w:rFonts w:hint="eastAsia" w:ascii="宋体" w:hAnsi="宋体" w:cs="宋体"/>
        </w:rPr>
        <w:t>℃</w:t>
      </w:r>
      <w:r>
        <w:rPr>
          <w:rFonts w:ascii="Times New Roman" w:hAnsi="Times New Roman"/>
        </w:rPr>
        <w:t>烘干至恒重的重铬酸钾（基准试剂）于500 mL烧杯中，加300 mL水溶解完全后移入1000mL容量瓶中，以水稀释至刻度，混匀。</w:t>
      </w:r>
    </w:p>
    <w:p>
      <w:pPr>
        <w:spacing w:line="440" w:lineRule="exact"/>
        <w:rPr>
          <w:rFonts w:ascii="Times New Roman" w:hAnsi="Times New Roman"/>
        </w:rPr>
      </w:pPr>
      <w:r>
        <w:rPr>
          <w:rFonts w:ascii="Times New Roman" w:hAnsi="Times New Roman"/>
        </w:rPr>
        <w:t>3.12 重铬酸钾标准滴定溶液B（</w:t>
      </w:r>
      <w:r>
        <w:rPr>
          <w:rFonts w:ascii="Times New Roman" w:hAnsi="Times New Roman"/>
          <w:i/>
        </w:rPr>
        <w:t>C</w:t>
      </w:r>
      <w:r>
        <w:rPr>
          <w:rFonts w:ascii="Times New Roman" w:hAnsi="Times New Roman"/>
          <w:vertAlign w:val="subscript"/>
        </w:rPr>
        <w:t>K</w:t>
      </w:r>
      <w:r>
        <w:rPr>
          <w:rFonts w:ascii="Times New Roman" w:hAnsi="Times New Roman"/>
          <w:position w:val="-6"/>
          <w:vertAlign w:val="subscript"/>
        </w:rPr>
        <w:t>2</w:t>
      </w:r>
      <w:r>
        <w:rPr>
          <w:rFonts w:ascii="Times New Roman" w:hAnsi="Times New Roman"/>
          <w:vertAlign w:val="subscript"/>
        </w:rPr>
        <w:t>Cr</w:t>
      </w:r>
      <w:r>
        <w:rPr>
          <w:rFonts w:ascii="Times New Roman" w:hAnsi="Times New Roman"/>
          <w:position w:val="-6"/>
          <w:vertAlign w:val="subscript"/>
        </w:rPr>
        <w:t>2</w:t>
      </w:r>
      <w:r>
        <w:rPr>
          <w:rFonts w:ascii="Times New Roman" w:hAnsi="Times New Roman"/>
          <w:vertAlign w:val="subscript"/>
        </w:rPr>
        <w:t>O</w:t>
      </w:r>
      <w:r>
        <w:rPr>
          <w:rFonts w:ascii="Times New Roman" w:hAnsi="Times New Roman"/>
          <w:position w:val="-6"/>
          <w:vertAlign w:val="subscript"/>
        </w:rPr>
        <w:t>7</w:t>
      </w:r>
      <w:r>
        <w:rPr>
          <w:rFonts w:ascii="Times New Roman" w:hAnsi="Times New Roman"/>
          <w:position w:val="-6"/>
        </w:rPr>
        <w:t xml:space="preserve"> </w:t>
      </w:r>
      <w:r>
        <w:rPr>
          <w:rFonts w:ascii="Times New Roman" w:hAnsi="Times New Roman"/>
        </w:rPr>
        <w:t xml:space="preserve">=0.01645 mol/L）：称取4.8388 g预先在150 </w:t>
      </w:r>
      <w:r>
        <w:rPr>
          <w:rFonts w:hint="eastAsia" w:ascii="宋体" w:hAnsi="宋体" w:cs="宋体"/>
        </w:rPr>
        <w:t>℃</w:t>
      </w:r>
      <w:r>
        <w:rPr>
          <w:rFonts w:ascii="Times New Roman" w:hAnsi="Times New Roman"/>
        </w:rPr>
        <w:t>烘干至恒重的重铬酸钾（基准试剂）于500 mL烧杯中，加300 mL水溶解完全后移入1000mL容量瓶中，以水稀释至刻度，混匀。</w:t>
      </w:r>
    </w:p>
    <w:p>
      <w:pPr>
        <w:spacing w:line="440" w:lineRule="exact"/>
        <w:rPr>
          <w:rFonts w:ascii="Times New Roman" w:hAnsi="Times New Roman"/>
        </w:rPr>
      </w:pPr>
      <w:r>
        <w:rPr>
          <w:rFonts w:ascii="Times New Roman" w:hAnsi="Times New Roman"/>
        </w:rPr>
        <w:t>3.13 硫酸亚铁铵标准滴定溶液A：称取5 g硫酸亚铁铵于500 mL烧杯中，加入300 mL水，缓慢加入50 mL硫酸，边加边搅拌溶解完全，冷却，移入1000 mL容量瓶中，混匀。</w:t>
      </w:r>
    </w:p>
    <w:p>
      <w:pPr>
        <w:spacing w:line="440" w:lineRule="exact"/>
        <w:rPr>
          <w:rFonts w:ascii="Times New Roman" w:hAnsi="Times New Roman"/>
        </w:rPr>
      </w:pPr>
      <w:r>
        <w:rPr>
          <w:rFonts w:ascii="Times New Roman" w:hAnsi="Times New Roman"/>
        </w:rPr>
        <w:t>3.14 硫酸亚铁铵标准滴定溶液B：称取15 g硫酸亚铁铵于500 mL烧杯中，加入300 mL水，缓慢加入50 mL硫酸，边加边搅拌溶解完全，冷却，移入1000 mL容量瓶中，混匀。</w:t>
      </w:r>
    </w:p>
    <w:p>
      <w:pPr>
        <w:spacing w:line="440" w:lineRule="exact"/>
        <w:rPr>
          <w:rFonts w:ascii="Times New Roman" w:hAnsi="Times New Roman"/>
        </w:rPr>
      </w:pPr>
      <w:r>
        <w:rPr>
          <w:rFonts w:ascii="Times New Roman" w:hAnsi="Times New Roman"/>
        </w:rPr>
        <w:t>3.15 N-苯代邻铵基苯甲酸溶液（2 g/L）：称取0.2 g N-苯代邻铵基苯甲酸溶于100 mL碳酸钠溶液（2 g/L）中，混匀。</w:t>
      </w:r>
    </w:p>
    <w:p>
      <w:pPr>
        <w:spacing w:before="156" w:beforeLines="50" w:line="276" w:lineRule="auto"/>
        <w:rPr>
          <w:rFonts w:ascii="Times New Roman" w:hAnsi="Times New Roman" w:eastAsia="黑体"/>
        </w:rPr>
      </w:pPr>
      <w:r>
        <w:rPr>
          <w:rFonts w:ascii="Times New Roman" w:hAnsi="Times New Roman" w:eastAsia="黑体"/>
        </w:rPr>
        <w:t>4  试样</w:t>
      </w:r>
    </w:p>
    <w:p>
      <w:pPr>
        <w:spacing w:line="440" w:lineRule="exact"/>
        <w:rPr>
          <w:rFonts w:ascii="Times New Roman" w:hAnsi="Times New Roman" w:eastAsia="黑体"/>
        </w:rPr>
      </w:pPr>
      <w:r>
        <w:rPr>
          <w:rFonts w:ascii="Times New Roman" w:hAnsi="Times New Roman" w:eastAsia="黑体"/>
          <w:szCs w:val="21"/>
        </w:rPr>
        <w:t>4.1</w:t>
      </w:r>
      <w:r>
        <w:rPr>
          <w:rFonts w:ascii="Times New Roman" w:hAnsi="Times New Roman"/>
          <w:szCs w:val="21"/>
        </w:rPr>
        <w:t xml:space="preserve">  试样粒度应不大于</w:t>
      </w:r>
      <w:r>
        <w:rPr>
          <w:rFonts w:hint="eastAsia" w:ascii="Times New Roman" w:hAnsi="Times New Roman"/>
          <w:szCs w:val="21"/>
          <w:lang w:val="en-US" w:eastAsia="zh-CN"/>
        </w:rPr>
        <w:t>100 u</w:t>
      </w:r>
      <w:bookmarkStart w:id="12" w:name="_GoBack"/>
      <w:bookmarkEnd w:id="12"/>
      <w:r>
        <w:rPr>
          <w:rFonts w:ascii="Times New Roman" w:hAnsi="Times New Roman"/>
          <w:szCs w:val="21"/>
        </w:rPr>
        <w:t>m。</w:t>
      </w:r>
    </w:p>
    <w:p>
      <w:pPr>
        <w:spacing w:line="440" w:lineRule="exact"/>
        <w:rPr>
          <w:rFonts w:ascii="Times New Roman" w:hAnsi="Times New Roman" w:eastAsia="黑体"/>
        </w:rPr>
      </w:pPr>
      <w:r>
        <w:rPr>
          <w:rFonts w:ascii="Times New Roman" w:hAnsi="Times New Roman" w:eastAsia="黑体"/>
          <w:szCs w:val="21"/>
        </w:rPr>
        <w:t>4.2</w:t>
      </w:r>
      <w:r>
        <w:rPr>
          <w:rFonts w:ascii="Times New Roman" w:hAnsi="Times New Roman"/>
          <w:szCs w:val="21"/>
        </w:rPr>
        <w:t xml:space="preserve">  试样应在105</w:t>
      </w:r>
      <w:r>
        <w:rPr>
          <w:rFonts w:hint="eastAsia" w:ascii="宋体" w:hAnsi="宋体" w:cs="宋体"/>
          <w:szCs w:val="21"/>
        </w:rPr>
        <w:t>℃</w:t>
      </w:r>
      <w:r>
        <w:rPr>
          <w:rFonts w:ascii="Times New Roman" w:hAnsi="Times New Roman"/>
          <w:szCs w:val="21"/>
        </w:rPr>
        <w:t>±5</w:t>
      </w:r>
      <w:r>
        <w:rPr>
          <w:rFonts w:hint="eastAsia" w:ascii="宋体" w:hAnsi="宋体" w:cs="宋体"/>
          <w:szCs w:val="21"/>
        </w:rPr>
        <w:t>℃</w:t>
      </w:r>
      <w:r>
        <w:rPr>
          <w:rFonts w:ascii="Times New Roman" w:hAnsi="Times New Roman"/>
          <w:szCs w:val="21"/>
        </w:rPr>
        <w:t>烘箱中烘2 h，并置于干燥器中冷却至室温备用。</w:t>
      </w:r>
    </w:p>
    <w:p>
      <w:pPr>
        <w:spacing w:line="480" w:lineRule="auto"/>
        <w:rPr>
          <w:rFonts w:ascii="Times New Roman" w:hAnsi="Times New Roman" w:eastAsia="黑体"/>
          <w:szCs w:val="21"/>
        </w:rPr>
      </w:pPr>
      <w:r>
        <w:rPr>
          <w:rFonts w:ascii="Times New Roman" w:hAnsi="Times New Roman" w:eastAsia="黑体"/>
          <w:szCs w:val="21"/>
        </w:rPr>
        <w:t>5  分析步骤</w:t>
      </w:r>
    </w:p>
    <w:p>
      <w:pPr>
        <w:spacing w:line="360" w:lineRule="auto"/>
        <w:rPr>
          <w:rFonts w:ascii="Times New Roman" w:hAnsi="Times New Roman" w:eastAsia="黑体"/>
          <w:szCs w:val="21"/>
        </w:rPr>
      </w:pPr>
      <w:r>
        <w:rPr>
          <w:rFonts w:ascii="Times New Roman" w:hAnsi="Times New Roman" w:eastAsia="黑体"/>
          <w:szCs w:val="21"/>
        </w:rPr>
        <w:t>5.1  试料</w:t>
      </w:r>
    </w:p>
    <w:p>
      <w:pPr>
        <w:spacing w:line="360" w:lineRule="auto"/>
        <w:ind w:firstLine="435"/>
        <w:rPr>
          <w:rFonts w:ascii="Times New Roman" w:hAnsi="Times New Roman"/>
        </w:rPr>
      </w:pPr>
      <w:r>
        <w:rPr>
          <w:rFonts w:ascii="Times New Roman" w:hAnsi="Times New Roman"/>
          <w:szCs w:val="21"/>
        </w:rPr>
        <w:t>按表1称取试料量</w:t>
      </w:r>
      <w:r>
        <w:rPr>
          <w:rFonts w:ascii="Times New Roman" w:hAnsi="Times New Roman" w:eastAsia="黑体"/>
          <w:szCs w:val="21"/>
        </w:rPr>
        <w:t>，</w:t>
      </w:r>
      <w:r>
        <w:rPr>
          <w:rFonts w:ascii="Times New Roman" w:hAnsi="Times New Roman"/>
        </w:rPr>
        <w:t>精确至0.0001 g。</w:t>
      </w:r>
    </w:p>
    <w:p>
      <w:pPr>
        <w:pStyle w:val="70"/>
        <w:ind w:firstLine="105" w:firstLineChars="50"/>
        <w:jc w:val="center"/>
        <w:rPr>
          <w:rFonts w:ascii="Times New Roman" w:eastAsia="黑体"/>
          <w:szCs w:val="21"/>
        </w:rPr>
      </w:pPr>
      <w:r>
        <w:rPr>
          <w:rFonts w:ascii="Times New Roman" w:eastAsia="黑体"/>
          <w:szCs w:val="21"/>
        </w:rPr>
        <w:t>表1 试料量</w:t>
      </w:r>
    </w:p>
    <w:tbl>
      <w:tblPr>
        <w:tblStyle w:val="17"/>
        <w:tblW w:w="5000"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12" w:space="0"/>
              <w:lef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i/>
              </w:rPr>
              <w:t>w</w:t>
            </w:r>
            <w:r>
              <w:rPr>
                <w:rFonts w:ascii="Times New Roman" w:hAnsi="Times New Roman"/>
                <w:i/>
                <w:vertAlign w:val="subscript"/>
              </w:rPr>
              <w:t>As</w:t>
            </w:r>
            <w:r>
              <w:rPr>
                <w:rFonts w:ascii="Times New Roman" w:hAnsi="Times New Roman"/>
                <w:sz w:val="18"/>
                <w:szCs w:val="18"/>
              </w:rPr>
              <w:t xml:space="preserve"> /%</w:t>
            </w:r>
          </w:p>
        </w:tc>
        <w:tc>
          <w:tcPr>
            <w:tcW w:w="2500" w:type="pct"/>
            <w:tcBorders>
              <w:top w:val="single" w:color="auto" w:sz="12" w:space="0"/>
              <w:righ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试料量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0.50～2.00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＞2.00～25.00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＞25.00～50.00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18"/>
                <w:szCs w:val="18"/>
              </w:rPr>
            </w:pPr>
            <w:r>
              <w:rPr>
                <w:rFonts w:ascii="Times New Roman" w:hAnsi="Times New Roman"/>
                <w:sz w:val="18"/>
                <w:szCs w:val="18"/>
              </w:rPr>
              <w:t>0.10</w:t>
            </w:r>
          </w:p>
        </w:tc>
      </w:tr>
    </w:tbl>
    <w:p>
      <w:pPr>
        <w:spacing w:before="156" w:beforeLines="50" w:line="360" w:lineRule="auto"/>
        <w:rPr>
          <w:rFonts w:ascii="Times New Roman" w:hAnsi="Times New Roman" w:eastAsia="黑体"/>
          <w:szCs w:val="21"/>
        </w:rPr>
      </w:pPr>
      <w:r>
        <w:rPr>
          <w:rFonts w:ascii="Times New Roman" w:hAnsi="Times New Roman" w:eastAsia="黑体"/>
          <w:szCs w:val="21"/>
        </w:rPr>
        <w:t>5.2  平行试验</w:t>
      </w:r>
    </w:p>
    <w:p>
      <w:pPr>
        <w:ind w:firstLine="420" w:firstLineChars="200"/>
        <w:rPr>
          <w:rFonts w:ascii="Times New Roman" w:hAnsi="Times New Roman"/>
          <w:szCs w:val="21"/>
        </w:rPr>
      </w:pPr>
      <w:r>
        <w:rPr>
          <w:rFonts w:ascii="Times New Roman" w:hAnsi="Times New Roman"/>
          <w:szCs w:val="21"/>
        </w:rPr>
        <w:t>平行做两份试验。</w:t>
      </w:r>
    </w:p>
    <w:p>
      <w:pPr>
        <w:spacing w:line="360" w:lineRule="auto"/>
        <w:rPr>
          <w:rFonts w:ascii="Times New Roman" w:hAnsi="Times New Roman" w:eastAsia="黑体"/>
          <w:szCs w:val="21"/>
        </w:rPr>
      </w:pPr>
      <w:r>
        <w:rPr>
          <w:rFonts w:ascii="Times New Roman" w:hAnsi="Times New Roman" w:eastAsia="黑体"/>
          <w:szCs w:val="21"/>
        </w:rPr>
        <w:t>5.3  空白试验</w:t>
      </w:r>
    </w:p>
    <w:p>
      <w:pPr>
        <w:spacing w:line="360" w:lineRule="auto"/>
        <w:ind w:firstLine="420" w:firstLineChars="200"/>
        <w:rPr>
          <w:rFonts w:ascii="Times New Roman" w:hAnsi="Times New Roman"/>
          <w:sz w:val="18"/>
          <w:szCs w:val="18"/>
        </w:rPr>
      </w:pPr>
      <w:r>
        <w:rPr>
          <w:rFonts w:ascii="Times New Roman" w:hAnsi="Times New Roman"/>
          <w:szCs w:val="21"/>
        </w:rPr>
        <w:t>随同试料做空白试验。</w:t>
      </w:r>
    </w:p>
    <w:p>
      <w:pPr>
        <w:spacing w:line="360" w:lineRule="auto"/>
        <w:rPr>
          <w:rFonts w:ascii="Times New Roman" w:hAnsi="Times New Roman" w:eastAsia="黑体"/>
          <w:szCs w:val="21"/>
        </w:rPr>
      </w:pPr>
      <w:r>
        <w:rPr>
          <w:rFonts w:ascii="Times New Roman" w:hAnsi="Times New Roman" w:eastAsia="黑体"/>
          <w:szCs w:val="21"/>
        </w:rPr>
        <w:t>5.4  测定</w:t>
      </w:r>
    </w:p>
    <w:p>
      <w:pPr>
        <w:autoSpaceDE w:val="0"/>
        <w:autoSpaceDN w:val="0"/>
        <w:adjustRightInd w:val="0"/>
        <w:spacing w:line="440" w:lineRule="exact"/>
        <w:rPr>
          <w:rFonts w:ascii="Times New Roman" w:hAnsi="Times New Roman"/>
          <w:szCs w:val="21"/>
          <w:shd w:val="clear" w:color="auto" w:fill="FFFFFF"/>
        </w:rPr>
      </w:pPr>
      <w:r>
        <w:rPr>
          <w:rFonts w:ascii="Times New Roman" w:hAnsi="Times New Roman"/>
        </w:rPr>
        <w:t>5.4.1 称取试料（5.1）至于300 mL锥形瓶中，加入30 mL硝酸-氯酸钾饱和溶液（3.4），置于电热板上加热微沸5 min，取下，加入2 mL氟化铵溶液（3.5），置于电热板上继续加热蒸发试液至约15 mL，取下，稍冷，加入20 mL硫酸（3.6），置于电热板上加热至冒浓三氧化硫白烟，取下，冷却，加入20 mL水清洗瓶壁，继续置于电热板上加热至冒浓三氧化硫白烟并保持5 min，取下，冷却。</w:t>
      </w:r>
    </w:p>
    <w:p>
      <w:pPr>
        <w:autoSpaceDE w:val="0"/>
        <w:autoSpaceDN w:val="0"/>
        <w:adjustRightInd w:val="0"/>
        <w:spacing w:line="440" w:lineRule="exact"/>
        <w:rPr>
          <w:rFonts w:ascii="Times New Roman" w:hAnsi="Times New Roman"/>
        </w:rPr>
      </w:pPr>
      <w:r>
        <w:rPr>
          <w:rFonts w:ascii="Times New Roman" w:hAnsi="Times New Roman"/>
        </w:rPr>
        <w:t>5.4.2 加入40 mL水，置于电热板上加热溶解可溶解盐类完全，取下稍冷，加入40 mL盐酸（3.3），2 mL五水硫酸铜溶液（3.7），在不断摇动下，分次加入次亚磷酸钠（3.1）至溶液黄绿色褪去，再过量2 g，混匀。</w:t>
      </w:r>
    </w:p>
    <w:p>
      <w:pPr>
        <w:spacing w:line="440" w:lineRule="exact"/>
        <w:rPr>
          <w:rFonts w:ascii="Times New Roman" w:hAnsi="Times New Roman"/>
        </w:rPr>
      </w:pPr>
      <w:r>
        <w:rPr>
          <w:rFonts w:ascii="Times New Roman" w:hAnsi="Times New Roman"/>
        </w:rPr>
        <w:t>5.4.3 在锥形瓶口上放置一个漏斗（漏斗下口不能接触试液面）。置于</w:t>
      </w:r>
      <w:r>
        <w:rPr>
          <w:rFonts w:ascii="Times New Roman" w:hAnsi="Times New Roman"/>
          <w:spacing w:val="6"/>
          <w:sz w:val="24"/>
        </w:rPr>
        <w:t>沸水浴中保温30 min，再置于电炉板上微沸15min后关掉电炉板并在电炉板上余热保温15min，</w:t>
      </w:r>
      <w:r>
        <w:rPr>
          <w:rFonts w:ascii="Times New Roman" w:hAnsi="Times New Roman"/>
        </w:rPr>
        <w:t>取下，冷却。</w:t>
      </w:r>
    </w:p>
    <w:p>
      <w:pPr>
        <w:spacing w:line="440" w:lineRule="exact"/>
        <w:rPr>
          <w:rFonts w:ascii="Times New Roman" w:hAnsi="Times New Roman"/>
        </w:rPr>
      </w:pPr>
      <w:r>
        <w:rPr>
          <w:rFonts w:ascii="Times New Roman" w:hAnsi="Times New Roman"/>
        </w:rPr>
        <w:t>5.4.4 用5 mL~10 mL次亚磷酸钠洗液（3.8）洗涤漏斗喇叭口及漏斗伸入锥形瓶部分。用脱脂棉加滤纸浆在洗涤后的漏斗上做水柱，用2 mL次亚磷酸钠洗液（3.8）润洗滤纸浆后过滤试液及沉淀，用10 mL次亚磷酸钠洗液（3.8）洗涤锥形瓶3次，5 mL次亚磷酸钠洗液（3.8）洗涤沉淀1次。再用氯化铵洗液（3.9）洗涤沉淀至滤液呈中性。</w:t>
      </w:r>
    </w:p>
    <w:p>
      <w:pPr>
        <w:spacing w:line="440" w:lineRule="exact"/>
        <w:rPr>
          <w:rFonts w:ascii="Times New Roman" w:hAnsi="Times New Roman"/>
        </w:rPr>
      </w:pPr>
      <w:r>
        <w:rPr>
          <w:rFonts w:ascii="Times New Roman" w:hAnsi="Times New Roman"/>
        </w:rPr>
        <w:t>5.4.5 将沉淀连同脱脂棉加滤纸浆移入原锥形瓶中，用小片滤纸小心擦净漏斗，放入原锥形瓶中。用滴定管放10 mL重铬酸钾标准滴定溶液（</w:t>
      </w:r>
      <w:r>
        <w:rPr>
          <w:rFonts w:ascii="Times New Roman" w:hAnsi="Times New Roman"/>
          <w:i/>
        </w:rPr>
        <w:t>w</w:t>
      </w:r>
      <w:r>
        <w:rPr>
          <w:rFonts w:ascii="Times New Roman" w:hAnsi="Times New Roman"/>
          <w:i/>
          <w:vertAlign w:val="subscript"/>
        </w:rPr>
        <w:t xml:space="preserve">As </w:t>
      </w:r>
      <w:r>
        <w:rPr>
          <w:rFonts w:ascii="Times New Roman" w:hAnsi="Times New Roman"/>
        </w:rPr>
        <w:t>=0.50 %～10.00 %，使用重铬酸钾标准滴定溶液A（3.11）；</w:t>
      </w:r>
      <w:r>
        <w:rPr>
          <w:rFonts w:ascii="Times New Roman" w:hAnsi="Times New Roman"/>
          <w:i/>
        </w:rPr>
        <w:t xml:space="preserve"> w</w:t>
      </w:r>
      <w:r>
        <w:rPr>
          <w:rFonts w:ascii="Times New Roman" w:hAnsi="Times New Roman"/>
          <w:i/>
          <w:vertAlign w:val="subscript"/>
        </w:rPr>
        <w:t>As</w:t>
      </w:r>
      <w:r>
        <w:rPr>
          <w:rFonts w:ascii="Times New Roman" w:hAnsi="Times New Roman"/>
          <w:sz w:val="18"/>
          <w:szCs w:val="18"/>
        </w:rPr>
        <w:t xml:space="preserve"> </w:t>
      </w:r>
      <w:r>
        <w:rPr>
          <w:rFonts w:ascii="Times New Roman" w:hAnsi="Times New Roman"/>
        </w:rPr>
        <w:t>&gt; 10.00 %～50.00 %，使用重铬酸钾标准滴定溶液B（3.12））洗涤漏斗，洗涤液用锥形瓶承接，用氯化铵洗液（3.9）洗涤漏斗至漏斗上重铬酸钾标准滴定溶液全部进入锥形瓶。加入20 mL硫-磷混酸（3.10），在不断摇动下用滴定管继续加入相应浓度的重铬酸钾标准滴定溶液至单质砷溶解完全，并过量15 mL~20 mL毫升，此时溶液呈黄色。加入70 mL氯化铵洗液（3.9）清洗瓶壁，放置5 min。用硫酸亚铁铵标准滴定溶液滴定至试液微呈浅绿色，加入5滴N-苯代邻铵基苯甲酸溶液（3.15），用硫酸亚铁铵标准滴定溶液（</w:t>
      </w:r>
      <w:r>
        <w:rPr>
          <w:rFonts w:ascii="Times New Roman" w:hAnsi="Times New Roman"/>
          <w:i/>
        </w:rPr>
        <w:t>w</w:t>
      </w:r>
      <w:r>
        <w:rPr>
          <w:rFonts w:ascii="Times New Roman" w:hAnsi="Times New Roman"/>
          <w:i/>
          <w:vertAlign w:val="subscript"/>
        </w:rPr>
        <w:t xml:space="preserve">As </w:t>
      </w:r>
      <w:r>
        <w:rPr>
          <w:rFonts w:ascii="Times New Roman" w:hAnsi="Times New Roman"/>
        </w:rPr>
        <w:t>=0.50 %～10.00 %，使用硫酸亚铁铵标准滴定溶液A（3.13）；</w:t>
      </w:r>
      <w:r>
        <w:rPr>
          <w:rFonts w:ascii="Times New Roman" w:hAnsi="Times New Roman"/>
          <w:i/>
        </w:rPr>
        <w:t xml:space="preserve"> w</w:t>
      </w:r>
      <w:r>
        <w:rPr>
          <w:rFonts w:ascii="Times New Roman" w:hAnsi="Times New Roman"/>
          <w:i/>
          <w:vertAlign w:val="subscript"/>
        </w:rPr>
        <w:t>As</w:t>
      </w:r>
      <w:r>
        <w:rPr>
          <w:rFonts w:ascii="Times New Roman" w:hAnsi="Times New Roman"/>
          <w:sz w:val="18"/>
          <w:szCs w:val="18"/>
        </w:rPr>
        <w:t xml:space="preserve"> </w:t>
      </w:r>
      <w:r>
        <w:rPr>
          <w:rFonts w:ascii="Times New Roman" w:hAnsi="Times New Roman"/>
        </w:rPr>
        <w:t>&gt; 10.00 %～50.00 %，使用硫酸亚铁铵标准滴定溶液B（3.14））继续滴定至试液由紫红色刚好变为绿色为终点。</w:t>
      </w:r>
    </w:p>
    <w:p>
      <w:pPr>
        <w:spacing w:before="156" w:beforeLines="50" w:line="440" w:lineRule="exact"/>
        <w:rPr>
          <w:rFonts w:ascii="Times New Roman" w:hAnsi="Times New Roman" w:eastAsia="黑体"/>
          <w:szCs w:val="21"/>
        </w:rPr>
      </w:pPr>
      <w:r>
        <w:rPr>
          <w:rFonts w:ascii="Times New Roman" w:hAnsi="Times New Roman" w:eastAsia="黑体"/>
          <w:szCs w:val="21"/>
        </w:rPr>
        <w:t>6  分析结果的计算</w:t>
      </w:r>
    </w:p>
    <w:p>
      <w:pPr>
        <w:spacing w:line="440" w:lineRule="exact"/>
        <w:rPr>
          <w:rFonts w:ascii="Times New Roman" w:hAnsi="Times New Roman"/>
          <w:szCs w:val="21"/>
        </w:rPr>
      </w:pPr>
      <w:r>
        <w:rPr>
          <w:rFonts w:ascii="Times New Roman" w:hAnsi="Times New Roman" w:eastAsia="黑体"/>
          <w:szCs w:val="21"/>
        </w:rPr>
        <w:t xml:space="preserve">6.1 </w:t>
      </w:r>
      <w:r>
        <w:rPr>
          <w:rFonts w:ascii="Times New Roman" w:hAnsi="Times New Roman"/>
          <w:szCs w:val="21"/>
        </w:rPr>
        <w:t>重铬酸钾标准滴定溶液与硫酸亚铁铵标准滴定溶液体积比</w:t>
      </w:r>
      <w:r>
        <w:rPr>
          <w:rFonts w:ascii="Times New Roman" w:hAnsi="Times New Roman"/>
          <w:i/>
          <w:szCs w:val="21"/>
        </w:rPr>
        <w:t>K</w:t>
      </w:r>
      <w:r>
        <w:rPr>
          <w:rFonts w:ascii="Times New Roman" w:hAnsi="Times New Roman"/>
          <w:szCs w:val="21"/>
        </w:rPr>
        <w:t>。</w:t>
      </w:r>
    </w:p>
    <w:p>
      <w:pPr>
        <w:spacing w:line="440" w:lineRule="exact"/>
        <w:ind w:firstLine="437"/>
        <w:rPr>
          <w:rFonts w:ascii="Times New Roman" w:hAnsi="Times New Roman"/>
        </w:rPr>
      </w:pPr>
      <w:r>
        <w:rPr>
          <w:rFonts w:ascii="Times New Roman" w:hAnsi="Times New Roman" w:eastAsia="黑体"/>
          <w:szCs w:val="21"/>
        </w:rPr>
        <w:t>分别</w:t>
      </w:r>
      <w:r>
        <w:rPr>
          <w:rFonts w:ascii="Times New Roman" w:hAnsi="Times New Roman"/>
          <w:szCs w:val="21"/>
        </w:rPr>
        <w:t>移取</w:t>
      </w:r>
      <w:r>
        <w:rPr>
          <w:rFonts w:ascii="Times New Roman" w:hAnsi="Times New Roman" w:eastAsia="黑体"/>
          <w:szCs w:val="21"/>
        </w:rPr>
        <w:t>20.00 mL</w:t>
      </w:r>
      <w:r>
        <w:rPr>
          <w:rFonts w:ascii="Times New Roman" w:hAnsi="Times New Roman"/>
        </w:rPr>
        <w:t>重铬酸钾标准滴定溶液A（3.11）和15.00 mL重铬酸钾标准滴定溶液B（3.12）于300 mL烧杯中，用水稀释至150 mL，加入20 mL硫-磷混酸（3.10），混匀，分别用硫酸亚铁铵标准滴定溶液A（3.13）和硫酸亚铁铵标准滴定溶液B（3.14）滴定至试液微呈浅绿色，加入5滴N-苯代邻铵基苯甲酸溶液（3.15），用硫酸亚铁铵标准滴定溶液继续滴定至试液由紫红色刚好变为绿色为终点。</w:t>
      </w:r>
    </w:p>
    <w:p>
      <w:pPr>
        <w:spacing w:line="440" w:lineRule="exact"/>
        <w:ind w:firstLine="437"/>
        <w:rPr>
          <w:rFonts w:ascii="Times New Roman" w:hAnsi="Times New Roman"/>
        </w:rPr>
      </w:pPr>
      <w:r>
        <w:rPr>
          <w:rFonts w:ascii="Times New Roman" w:hAnsi="Times New Roman"/>
          <w:szCs w:val="21"/>
        </w:rPr>
        <w:t>体积比</w:t>
      </w:r>
      <w:r>
        <w:rPr>
          <w:rFonts w:ascii="Times New Roman" w:hAnsi="Times New Roman"/>
          <w:i/>
          <w:szCs w:val="21"/>
        </w:rPr>
        <w:t>K</w:t>
      </w:r>
      <w:r>
        <w:rPr>
          <w:rFonts w:ascii="Times New Roman" w:hAnsi="Times New Roman"/>
          <w:szCs w:val="21"/>
        </w:rPr>
        <w:t>按式（1）计算：</w:t>
      </w:r>
    </w:p>
    <w:p>
      <w:pPr>
        <w:spacing w:line="360" w:lineRule="auto"/>
        <w:ind w:firstLine="437"/>
        <w:jc w:val="right"/>
        <w:rPr>
          <w:rFonts w:ascii="Times New Roman" w:hAnsi="Times New Roman" w:eastAsia="黑体"/>
          <w:szCs w:val="21"/>
        </w:rPr>
      </w:pPr>
      <w:r>
        <w:rPr>
          <w:rFonts w:ascii="Times New Roman" w:hAnsi="Times New Roman" w:eastAsia="黑体"/>
          <w:position w:val="-30"/>
          <w:sz w:val="16"/>
          <w:szCs w:val="21"/>
        </w:rPr>
        <w:object>
          <v:shape id="_x0000_i1025" o:spt="75" type="#_x0000_t75" style="height:33.5pt;width:38.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黑体"/>
          <w:sz w:val="16"/>
          <w:szCs w:val="21"/>
        </w:rPr>
        <w:t xml:space="preserve">                 </w:t>
      </w:r>
      <w:r>
        <w:rPr>
          <w:rFonts w:ascii="Times New Roman" w:hAnsi="Times New Roman"/>
        </w:rPr>
        <w:t>∙∙∙∙∙∙∙∙∙∙∙∙∙∙∙∙∙∙∙∙∙∙∙∙∙∙∙∙∙∙∙∙∙∙∙∙∙∙∙∙∙∙∙∙∙∙∙∙∙∙∙∙∙∙∙∙∙∙∙∙（1）</w:t>
      </w:r>
    </w:p>
    <w:p>
      <w:pPr>
        <w:spacing w:line="720" w:lineRule="exact"/>
        <w:ind w:firstLine="437"/>
        <w:rPr>
          <w:rFonts w:ascii="Times New Roman" w:hAnsi="Times New Roman" w:eastAsia="黑体"/>
          <w:szCs w:val="21"/>
        </w:rPr>
      </w:pPr>
      <w:r>
        <w:rPr>
          <w:rFonts w:ascii="Times New Roman" w:hAnsi="Times New Roman" w:eastAsia="黑体"/>
          <w:i/>
          <w:szCs w:val="21"/>
        </w:rPr>
        <w:t>V</w:t>
      </w:r>
      <w:r>
        <w:rPr>
          <w:rFonts w:ascii="Times New Roman" w:hAnsi="Times New Roman" w:eastAsia="黑体"/>
          <w:i/>
          <w:szCs w:val="21"/>
          <w:vertAlign w:val="subscript"/>
        </w:rPr>
        <w:t xml:space="preserve">1 </w:t>
      </w:r>
      <w:r>
        <w:rPr>
          <w:rFonts w:ascii="Times New Roman" w:hAnsi="Times New Roman"/>
        </w:rPr>
        <w:t>—— 移取重铬酸钾标准滴定溶液体积，单位为毫升（mL）；</w:t>
      </w:r>
    </w:p>
    <w:p>
      <w:pPr>
        <w:spacing w:line="440" w:lineRule="exact"/>
        <w:ind w:firstLine="435"/>
        <w:rPr>
          <w:rFonts w:ascii="Times New Roman" w:hAnsi="Times New Roman" w:eastAsia="黑体"/>
          <w:szCs w:val="21"/>
        </w:rPr>
      </w:pPr>
      <w:r>
        <w:rPr>
          <w:rFonts w:ascii="Times New Roman" w:hAnsi="Times New Roman" w:eastAsia="黑体"/>
          <w:i/>
          <w:szCs w:val="21"/>
        </w:rPr>
        <w:t>V</w:t>
      </w:r>
      <w:r>
        <w:rPr>
          <w:rFonts w:ascii="Times New Roman" w:hAnsi="Times New Roman" w:eastAsia="黑体"/>
          <w:i/>
          <w:szCs w:val="21"/>
          <w:vertAlign w:val="subscript"/>
        </w:rPr>
        <w:t xml:space="preserve">2 </w:t>
      </w:r>
      <w:r>
        <w:rPr>
          <w:rFonts w:ascii="Times New Roman" w:hAnsi="Times New Roman"/>
        </w:rPr>
        <w:t xml:space="preserve">—— </w:t>
      </w:r>
      <w:r>
        <w:rPr>
          <w:rFonts w:hint="eastAsia" w:ascii="Times New Roman" w:hAnsi="Times New Roman"/>
        </w:rPr>
        <w:t>消耗</w:t>
      </w:r>
      <w:r>
        <w:rPr>
          <w:rFonts w:ascii="Times New Roman" w:hAnsi="Times New Roman"/>
        </w:rPr>
        <w:t>硫酸亚铁铵标准滴定溶液体积，单位为毫升（mL）；</w:t>
      </w:r>
    </w:p>
    <w:p>
      <w:pPr>
        <w:spacing w:line="440" w:lineRule="exact"/>
        <w:rPr>
          <w:rFonts w:ascii="Times New Roman" w:hAnsi="Times New Roman" w:eastAsia="黑体"/>
          <w:szCs w:val="21"/>
        </w:rPr>
      </w:pPr>
      <w:r>
        <w:rPr>
          <w:rFonts w:ascii="Times New Roman" w:hAnsi="Times New Roman" w:eastAsia="黑体"/>
          <w:szCs w:val="21"/>
        </w:rPr>
        <w:t xml:space="preserve">6.2  </w:t>
      </w:r>
      <w:r>
        <w:rPr>
          <w:rFonts w:ascii="Times New Roman" w:hAnsi="Times New Roman"/>
        </w:rPr>
        <w:t>砷含量的计算</w:t>
      </w:r>
    </w:p>
    <w:p>
      <w:pPr>
        <w:spacing w:line="440" w:lineRule="exact"/>
        <w:ind w:firstLine="420" w:firstLineChars="200"/>
        <w:rPr>
          <w:rFonts w:ascii="Times New Roman" w:hAnsi="Times New Roman"/>
        </w:rPr>
      </w:pPr>
      <w:r>
        <w:rPr>
          <w:rFonts w:ascii="Times New Roman" w:hAnsi="Times New Roman"/>
        </w:rPr>
        <w:t>砷含量以质量分数</w:t>
      </w:r>
      <w:r>
        <w:rPr>
          <w:rFonts w:ascii="Times New Roman" w:hAnsi="Times New Roman"/>
          <w:i/>
        </w:rPr>
        <w:t>w</w:t>
      </w:r>
      <w:r>
        <w:rPr>
          <w:rFonts w:ascii="Times New Roman" w:hAnsi="Times New Roman"/>
          <w:vertAlign w:val="subscript"/>
        </w:rPr>
        <w:t>As</w:t>
      </w:r>
      <w:r>
        <w:rPr>
          <w:rFonts w:ascii="Times New Roman" w:hAnsi="Times New Roman"/>
        </w:rPr>
        <w:t>计，数值以%表示，按公式（2）计算：：</w:t>
      </w:r>
    </w:p>
    <w:p>
      <w:pPr>
        <w:rPr>
          <w:rFonts w:ascii="Times New Roman" w:hAnsi="Times New Roman"/>
        </w:rPr>
      </w:pPr>
      <w:r>
        <w:rPr>
          <w:rFonts w:ascii="Times New Roman" w:hAnsi="Times New Roman"/>
        </w:rPr>
        <w:t xml:space="preserve">                    </w:t>
      </w:r>
      <w:bookmarkStart w:id="11" w:name="MTBlankEqn"/>
      <w:r>
        <w:rPr>
          <w:rFonts w:ascii="Times New Roman" w:hAnsi="Times New Roman"/>
          <w:position w:val="-24"/>
        </w:rPr>
        <w:object>
          <v:shape id="_x0000_i1026" o:spt="75" type="#_x0000_t75" style="height:33.5pt;width:241.9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bookmarkEnd w:id="11"/>
      <w:r>
        <w:rPr>
          <w:rFonts w:ascii="Times New Roman" w:hAnsi="Times New Roman"/>
        </w:rPr>
        <w:t xml:space="preserve"> ∙∙∙∙∙∙∙∙∙∙∙∙∙∙∙∙∙∙∙∙∙∙∙∙∙∙∙∙∙∙∙∙∙∙∙∙（2）</w:t>
      </w:r>
    </w:p>
    <w:p>
      <w:pPr>
        <w:spacing w:line="360" w:lineRule="auto"/>
        <w:ind w:firstLine="420" w:firstLineChars="200"/>
        <w:rPr>
          <w:rFonts w:ascii="Times New Roman" w:hAnsi="Times New Roman"/>
        </w:rPr>
      </w:pPr>
      <w:r>
        <w:rPr>
          <w:rFonts w:ascii="Times New Roman" w:hAnsi="Times New Roman"/>
        </w:rPr>
        <w:t>式中：</w:t>
      </w:r>
    </w:p>
    <w:p>
      <w:pPr>
        <w:spacing w:line="360" w:lineRule="auto"/>
        <w:ind w:left="420" w:leftChars="200"/>
        <w:rPr>
          <w:rFonts w:ascii="Times New Roman" w:hAnsi="Times New Roman"/>
        </w:rPr>
      </w:pPr>
      <w:r>
        <w:rPr>
          <w:rFonts w:ascii="Times New Roman" w:hAnsi="Times New Roman"/>
          <w:i/>
          <w:iCs/>
          <w:szCs w:val="21"/>
        </w:rPr>
        <w:t xml:space="preserve">C </w:t>
      </w:r>
      <w:r>
        <w:rPr>
          <w:rFonts w:ascii="Times New Roman" w:hAnsi="Times New Roman"/>
        </w:rPr>
        <w:t>—— 重铬酸钾标准滴定溶液的浓度，单位为摩尔每升（mol/L）；</w:t>
      </w:r>
    </w:p>
    <w:p>
      <w:pPr>
        <w:spacing w:line="360" w:lineRule="auto"/>
        <w:ind w:left="420" w:leftChars="200"/>
        <w:rPr>
          <w:rFonts w:ascii="Times New Roman" w:hAnsi="Times New Roman"/>
        </w:rPr>
      </w:pPr>
      <w:r>
        <w:rPr>
          <w:rFonts w:ascii="Times New Roman" w:hAnsi="Times New Roman"/>
          <w:i/>
          <w:iCs/>
        </w:rPr>
        <w:t>V</w:t>
      </w:r>
      <w:r>
        <w:rPr>
          <w:rFonts w:ascii="Times New Roman" w:hAnsi="Times New Roman"/>
          <w:vertAlign w:val="subscript"/>
        </w:rPr>
        <w:t xml:space="preserve">3 </w:t>
      </w:r>
      <w:r>
        <w:rPr>
          <w:rFonts w:ascii="Times New Roman" w:hAnsi="Times New Roman"/>
        </w:rPr>
        <w:t>—— 加入重铬酸钾标准滴定溶液体积，单位为毫升（mL）；</w:t>
      </w:r>
    </w:p>
    <w:p>
      <w:pPr>
        <w:spacing w:line="360" w:lineRule="auto"/>
        <w:ind w:left="420" w:leftChars="200"/>
        <w:rPr>
          <w:rFonts w:ascii="Times New Roman" w:hAnsi="Times New Roman"/>
        </w:rPr>
      </w:pPr>
      <w:r>
        <w:rPr>
          <w:rFonts w:ascii="Times New Roman" w:hAnsi="Times New Roman"/>
          <w:i/>
          <w:iCs/>
        </w:rPr>
        <w:t xml:space="preserve">K </w:t>
      </w:r>
      <w:r>
        <w:rPr>
          <w:rFonts w:ascii="Times New Roman" w:hAnsi="Times New Roman"/>
        </w:rPr>
        <w:t xml:space="preserve">—— </w:t>
      </w:r>
      <w:r>
        <w:rPr>
          <w:rFonts w:ascii="Times New Roman" w:hAnsi="Times New Roman"/>
          <w:szCs w:val="21"/>
        </w:rPr>
        <w:t>重铬酸钾标准滴定溶液与硫酸亚铁铵标准滴定溶液体积比；</w:t>
      </w:r>
    </w:p>
    <w:p>
      <w:pPr>
        <w:spacing w:line="360" w:lineRule="auto"/>
        <w:ind w:left="420" w:leftChars="200"/>
        <w:rPr>
          <w:rFonts w:ascii="Times New Roman" w:hAnsi="Times New Roman"/>
        </w:rPr>
      </w:pPr>
      <w:r>
        <w:rPr>
          <w:rFonts w:ascii="Times New Roman" w:hAnsi="Times New Roman"/>
          <w:i/>
          <w:iCs/>
        </w:rPr>
        <w:t>V</w:t>
      </w:r>
      <w:r>
        <w:rPr>
          <w:rFonts w:ascii="Times New Roman" w:hAnsi="Times New Roman"/>
          <w:i/>
          <w:vertAlign w:val="subscript"/>
        </w:rPr>
        <w:t>4</w:t>
      </w:r>
      <w:r>
        <w:rPr>
          <w:rFonts w:ascii="Times New Roman" w:hAnsi="Times New Roman"/>
          <w:vertAlign w:val="subscript"/>
        </w:rPr>
        <w:t xml:space="preserve"> </w:t>
      </w:r>
      <w:r>
        <w:rPr>
          <w:rFonts w:ascii="Times New Roman" w:hAnsi="Times New Roman"/>
        </w:rPr>
        <w:t>—— 硫酸亚铁铵标准滴定溶液滴定试液所耗体积，单位为毫升（mL）；</w:t>
      </w:r>
    </w:p>
    <w:p>
      <w:pPr>
        <w:spacing w:line="360" w:lineRule="auto"/>
        <w:ind w:left="420" w:leftChars="200"/>
        <w:rPr>
          <w:rFonts w:ascii="Times New Roman" w:hAnsi="Times New Roman"/>
        </w:rPr>
      </w:pPr>
      <w:r>
        <w:rPr>
          <w:rFonts w:ascii="Times New Roman" w:hAnsi="Times New Roman"/>
          <w:i/>
          <w:iCs/>
        </w:rPr>
        <w:t>1</w:t>
      </w:r>
      <w:r>
        <w:rPr>
          <w:rFonts w:ascii="Times New Roman" w:hAnsi="Times New Roman"/>
        </w:rPr>
        <w:t>.2 —— 单质砷和重铬酸钾反应的摩尔数倍数；</w:t>
      </w:r>
    </w:p>
    <w:p>
      <w:pPr>
        <w:spacing w:line="360" w:lineRule="auto"/>
        <w:ind w:left="420" w:leftChars="200"/>
        <w:rPr>
          <w:rFonts w:ascii="Times New Roman" w:hAnsi="Times New Roman"/>
        </w:rPr>
      </w:pPr>
      <w:r>
        <w:rPr>
          <w:rFonts w:ascii="Times New Roman" w:hAnsi="Times New Roman"/>
          <w:iCs/>
        </w:rPr>
        <w:t>74.92</w:t>
      </w:r>
      <w:r>
        <w:rPr>
          <w:rFonts w:ascii="Times New Roman" w:hAnsi="Times New Roman"/>
          <w:i/>
          <w:iCs/>
        </w:rPr>
        <w:t xml:space="preserve"> </w:t>
      </w:r>
      <w:r>
        <w:rPr>
          <w:rFonts w:ascii="Times New Roman" w:hAnsi="Times New Roman"/>
        </w:rPr>
        <w:t>—— 砷的摩尔质量，单位为克每摩尔（g/mol）；</w:t>
      </w:r>
    </w:p>
    <w:p>
      <w:pPr>
        <w:spacing w:line="360" w:lineRule="auto"/>
        <w:ind w:left="420" w:leftChars="200"/>
        <w:rPr>
          <w:rFonts w:ascii="Times New Roman" w:hAnsi="Times New Roman"/>
        </w:rPr>
      </w:pPr>
      <w:r>
        <w:rPr>
          <w:rFonts w:ascii="Times New Roman" w:hAnsi="Times New Roman"/>
          <w:i/>
          <w:iCs/>
        </w:rPr>
        <w:t>m</w:t>
      </w:r>
      <w:r>
        <w:rPr>
          <w:rFonts w:ascii="Times New Roman" w:hAnsi="Times New Roman"/>
          <w:vertAlign w:val="subscript"/>
        </w:rPr>
        <w:t xml:space="preserve">0 </w:t>
      </w:r>
      <w:r>
        <w:rPr>
          <w:rFonts w:ascii="Times New Roman" w:hAnsi="Times New Roman"/>
        </w:rPr>
        <w:t>—— 空白砷量，单位为克（g）；</w:t>
      </w:r>
    </w:p>
    <w:p>
      <w:pPr>
        <w:spacing w:line="360" w:lineRule="auto"/>
        <w:ind w:left="420" w:leftChars="200"/>
        <w:rPr>
          <w:rFonts w:ascii="Times New Roman" w:hAnsi="Times New Roman"/>
        </w:rPr>
      </w:pPr>
      <w:r>
        <w:rPr>
          <w:rFonts w:ascii="Times New Roman" w:hAnsi="Times New Roman"/>
          <w:i/>
          <w:iCs/>
        </w:rPr>
        <w:t>m</w:t>
      </w:r>
      <w:r>
        <w:rPr>
          <w:rFonts w:ascii="Times New Roman" w:hAnsi="Times New Roman"/>
          <w:vertAlign w:val="subscript"/>
        </w:rPr>
        <w:t xml:space="preserve"> </w:t>
      </w:r>
      <w:r>
        <w:rPr>
          <w:rFonts w:ascii="Times New Roman" w:hAnsi="Times New Roman"/>
        </w:rPr>
        <w:t>—— 试料的质量，单位为克（g）。</w:t>
      </w:r>
    </w:p>
    <w:p>
      <w:pPr>
        <w:spacing w:line="480" w:lineRule="auto"/>
        <w:ind w:firstLine="420" w:firstLineChars="200"/>
        <w:rPr>
          <w:rFonts w:ascii="Times New Roman" w:hAnsi="Times New Roman"/>
        </w:rPr>
      </w:pPr>
      <w:r>
        <w:rPr>
          <w:rFonts w:ascii="Times New Roman" w:hAnsi="Times New Roman"/>
        </w:rPr>
        <w:t>计算结果保留至小数点后两位。</w:t>
      </w:r>
    </w:p>
    <w:p>
      <w:pPr>
        <w:spacing w:line="480" w:lineRule="auto"/>
        <w:rPr>
          <w:rFonts w:ascii="Times New Roman" w:hAnsi="Times New Roman" w:eastAsia="黑体"/>
          <w:szCs w:val="21"/>
        </w:rPr>
      </w:pPr>
      <w:r>
        <w:rPr>
          <w:rFonts w:ascii="Times New Roman" w:hAnsi="Times New Roman" w:eastAsia="黑体"/>
          <w:szCs w:val="21"/>
        </w:rPr>
        <w:t>7  精密度</w:t>
      </w:r>
      <w:r>
        <w:rPr>
          <w:rFonts w:ascii="Times New Roman" w:hAnsi="Times New Roman" w:eastAsia="黑体"/>
          <w:szCs w:val="21"/>
        </w:rPr>
        <w:tab/>
      </w:r>
    </w:p>
    <w:p>
      <w:pPr>
        <w:spacing w:line="360" w:lineRule="auto"/>
        <w:rPr>
          <w:rFonts w:ascii="Times New Roman" w:hAnsi="Times New Roman" w:eastAsia="黑体"/>
          <w:szCs w:val="21"/>
        </w:rPr>
      </w:pPr>
      <w:r>
        <w:rPr>
          <w:rFonts w:ascii="Times New Roman" w:hAnsi="Times New Roman" w:eastAsia="黑体"/>
          <w:szCs w:val="21"/>
        </w:rPr>
        <w:t>7.1  重复性</w:t>
      </w:r>
    </w:p>
    <w:p>
      <w:pPr>
        <w:spacing w:line="360" w:lineRule="auto"/>
        <w:ind w:firstLine="435"/>
        <w:rPr>
          <w:rFonts w:ascii="Times New Roman" w:hAnsi="Times New Roman"/>
          <w:bCs/>
          <w:szCs w:val="21"/>
        </w:rPr>
      </w:pPr>
      <w:r>
        <w:rPr>
          <w:rFonts w:ascii="Times New Roman" w:hAnsi="Times New Roman"/>
          <w:bCs/>
          <w:szCs w:val="21"/>
        </w:rPr>
        <w:t>在重复性条件下获得的两次独立测试结果的测定值，在以下给出的平均值范围内，这两个测试结果的绝对差值不超过重复性限（</w:t>
      </w:r>
      <w:r>
        <w:rPr>
          <w:rFonts w:ascii="Times New Roman" w:hAnsi="Times New Roman"/>
          <w:bCs/>
          <w:i/>
          <w:szCs w:val="21"/>
        </w:rPr>
        <w:t>r</w:t>
      </w:r>
      <w:r>
        <w:rPr>
          <w:rFonts w:ascii="Times New Roman" w:hAnsi="Times New Roman"/>
          <w:bCs/>
          <w:szCs w:val="21"/>
        </w:rPr>
        <w:t>），超过重复性限（</w:t>
      </w:r>
      <w:r>
        <w:rPr>
          <w:rFonts w:ascii="Times New Roman" w:hAnsi="Times New Roman"/>
          <w:bCs/>
          <w:i/>
          <w:szCs w:val="21"/>
        </w:rPr>
        <w:t>r</w:t>
      </w:r>
      <w:r>
        <w:rPr>
          <w:rFonts w:ascii="Times New Roman" w:hAnsi="Times New Roman"/>
          <w:bCs/>
          <w:szCs w:val="21"/>
        </w:rPr>
        <w:t>）的情况不超过5%，重复性限（</w:t>
      </w:r>
      <w:r>
        <w:rPr>
          <w:rFonts w:ascii="Times New Roman" w:hAnsi="Times New Roman"/>
          <w:bCs/>
          <w:i/>
          <w:szCs w:val="21"/>
        </w:rPr>
        <w:t>r</w:t>
      </w:r>
      <w:r>
        <w:rPr>
          <w:rFonts w:ascii="Times New Roman" w:hAnsi="Times New Roman"/>
          <w:bCs/>
          <w:szCs w:val="21"/>
        </w:rPr>
        <w:t>）按表2数据采用线性内插法或外延法求得。</w:t>
      </w:r>
    </w:p>
    <w:p>
      <w:pPr>
        <w:jc w:val="center"/>
        <w:rPr>
          <w:rFonts w:ascii="Times New Roman" w:hAnsi="Times New Roman" w:eastAsia="黑体"/>
          <w:sz w:val="20"/>
          <w:szCs w:val="24"/>
        </w:rPr>
      </w:pPr>
      <w:r>
        <w:rPr>
          <w:rFonts w:ascii="Times New Roman" w:hAnsi="Times New Roman" w:eastAsia="黑体"/>
          <w:sz w:val="20"/>
          <w:szCs w:val="24"/>
        </w:rPr>
        <w:t>表2  重复性限</w:t>
      </w:r>
    </w:p>
    <w:tbl>
      <w:tblPr>
        <w:tblStyle w:val="17"/>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338"/>
        <w:gridCol w:w="1338"/>
        <w:gridCol w:w="1338"/>
        <w:gridCol w:w="1338"/>
        <w:gridCol w:w="13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Align w:val="center"/>
          </w:tcPr>
          <w:p>
            <w:pPr>
              <w:jc w:val="center"/>
              <w:rPr>
                <w:rFonts w:ascii="Times New Roman" w:hAnsi="Times New Roman"/>
                <w:bCs/>
                <w:sz w:val="18"/>
                <w:szCs w:val="18"/>
              </w:rPr>
            </w:pPr>
            <w:r>
              <w:rPr>
                <w:rFonts w:ascii="Times New Roman" w:hAnsi="Times New Roman"/>
                <w:i/>
                <w:sz w:val="18"/>
                <w:szCs w:val="18"/>
              </w:rPr>
              <w:t>w</w:t>
            </w:r>
            <w:r>
              <w:rPr>
                <w:rFonts w:ascii="Times New Roman" w:hAnsi="Times New Roman"/>
                <w:i/>
                <w:sz w:val="18"/>
                <w:szCs w:val="18"/>
                <w:vertAlign w:val="subscript"/>
              </w:rPr>
              <w:t>As</w:t>
            </w:r>
            <w:r>
              <w:rPr>
                <w:rFonts w:ascii="Times New Roman" w:hAnsi="Times New Roman"/>
                <w:sz w:val="18"/>
                <w:szCs w:val="18"/>
              </w:rPr>
              <w:t>/ %</w:t>
            </w: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Align w:val="center"/>
          </w:tcPr>
          <w:p>
            <w:pPr>
              <w:jc w:val="center"/>
              <w:rPr>
                <w:rFonts w:ascii="Times New Roman" w:hAnsi="Times New Roman"/>
                <w:bCs/>
                <w:sz w:val="18"/>
                <w:szCs w:val="18"/>
              </w:rPr>
            </w:pPr>
            <w:r>
              <w:rPr>
                <w:rFonts w:ascii="Times New Roman" w:hAnsi="Times New Roman"/>
                <w:bCs/>
                <w:sz w:val="18"/>
                <w:szCs w:val="18"/>
              </w:rPr>
              <w:t>r / %</w:t>
            </w: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c>
          <w:tcPr>
            <w:tcW w:w="1338" w:type="dxa"/>
          </w:tcPr>
          <w:p>
            <w:pPr>
              <w:jc w:val="center"/>
              <w:rPr>
                <w:rFonts w:ascii="Times New Roman" w:hAnsi="Times New Roman"/>
                <w:sz w:val="18"/>
                <w:szCs w:val="18"/>
              </w:rPr>
            </w:pPr>
          </w:p>
        </w:tc>
        <w:tc>
          <w:tcPr>
            <w:tcW w:w="1338" w:type="dxa"/>
            <w:vAlign w:val="center"/>
          </w:tcPr>
          <w:p>
            <w:pPr>
              <w:jc w:val="center"/>
              <w:rPr>
                <w:rFonts w:ascii="Times New Roman" w:hAnsi="Times New Roman"/>
                <w:sz w:val="18"/>
                <w:szCs w:val="18"/>
              </w:rPr>
            </w:pPr>
          </w:p>
        </w:tc>
      </w:tr>
    </w:tbl>
    <w:p>
      <w:pPr>
        <w:spacing w:line="360" w:lineRule="auto"/>
        <w:rPr>
          <w:rFonts w:ascii="Times New Roman" w:hAnsi="Times New Roman" w:eastAsia="黑体"/>
          <w:szCs w:val="21"/>
        </w:rPr>
      </w:pPr>
      <w:r>
        <w:rPr>
          <w:rFonts w:ascii="Times New Roman" w:hAnsi="Times New Roman" w:eastAsia="黑体"/>
          <w:szCs w:val="21"/>
        </w:rPr>
        <w:t>7.2  再现性</w:t>
      </w:r>
    </w:p>
    <w:p>
      <w:pPr>
        <w:spacing w:line="360" w:lineRule="auto"/>
        <w:ind w:firstLine="435"/>
        <w:rPr>
          <w:rFonts w:ascii="Times New Roman" w:hAnsi="Times New Roman" w:eastAsia="黑体"/>
        </w:rPr>
      </w:pPr>
      <w:r>
        <w:rPr>
          <w:rFonts w:ascii="Times New Roman" w:hAnsi="Times New Roman"/>
          <w:bCs/>
          <w:szCs w:val="21"/>
        </w:rPr>
        <w:t>在再现性条件下获得的两次独立测试结果的测定值，在以下给出的平均值范围内，这两个测试结果的绝对差值不超过再现性限（</w:t>
      </w:r>
      <w:r>
        <w:rPr>
          <w:rFonts w:ascii="Times New Roman" w:hAnsi="Times New Roman"/>
          <w:bCs/>
          <w:i/>
          <w:szCs w:val="21"/>
        </w:rPr>
        <w:t>R</w:t>
      </w:r>
      <w:r>
        <w:rPr>
          <w:rFonts w:ascii="Times New Roman" w:hAnsi="Times New Roman"/>
          <w:bCs/>
          <w:szCs w:val="21"/>
        </w:rPr>
        <w:t>），超过再现性限（</w:t>
      </w:r>
      <w:r>
        <w:rPr>
          <w:rFonts w:ascii="Times New Roman" w:hAnsi="Times New Roman"/>
          <w:bCs/>
          <w:i/>
          <w:szCs w:val="21"/>
        </w:rPr>
        <w:t>R</w:t>
      </w:r>
      <w:r>
        <w:rPr>
          <w:rFonts w:ascii="Times New Roman" w:hAnsi="Times New Roman"/>
          <w:bCs/>
          <w:szCs w:val="21"/>
        </w:rPr>
        <w:t>）的情况不超过5%，再现性限（</w:t>
      </w:r>
      <w:r>
        <w:rPr>
          <w:rFonts w:ascii="Times New Roman" w:hAnsi="Times New Roman"/>
          <w:bCs/>
          <w:i/>
          <w:szCs w:val="21"/>
        </w:rPr>
        <w:t>R</w:t>
      </w:r>
      <w:r>
        <w:rPr>
          <w:rFonts w:ascii="Times New Roman" w:hAnsi="Times New Roman"/>
          <w:bCs/>
          <w:szCs w:val="21"/>
        </w:rPr>
        <w:t>）按表3数据采用线性内插法或外延法求得。</w:t>
      </w:r>
    </w:p>
    <w:p>
      <w:pPr>
        <w:jc w:val="center"/>
        <w:rPr>
          <w:rFonts w:ascii="Times New Roman" w:hAnsi="Times New Roman" w:eastAsia="黑体"/>
          <w:sz w:val="20"/>
          <w:szCs w:val="24"/>
        </w:rPr>
      </w:pPr>
      <w:r>
        <w:rPr>
          <w:rFonts w:ascii="Times New Roman" w:hAnsi="Times New Roman" w:eastAsia="黑体"/>
          <w:sz w:val="20"/>
          <w:szCs w:val="24"/>
        </w:rPr>
        <w:t>表3  再现性限</w:t>
      </w:r>
    </w:p>
    <w:tbl>
      <w:tblPr>
        <w:tblStyle w:val="1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349"/>
        <w:gridCol w:w="1349"/>
        <w:gridCol w:w="1349"/>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49" w:type="dxa"/>
          </w:tcPr>
          <w:p>
            <w:pPr>
              <w:jc w:val="center"/>
              <w:rPr>
                <w:rFonts w:ascii="Times New Roman" w:hAnsi="Times New Roman"/>
                <w:bCs/>
                <w:sz w:val="18"/>
                <w:szCs w:val="18"/>
              </w:rPr>
            </w:pPr>
            <w:r>
              <w:rPr>
                <w:rFonts w:ascii="Times New Roman" w:hAnsi="Times New Roman"/>
                <w:i/>
                <w:sz w:val="18"/>
                <w:szCs w:val="18"/>
              </w:rPr>
              <w:t>w</w:t>
            </w:r>
            <w:r>
              <w:rPr>
                <w:rFonts w:ascii="Times New Roman" w:hAnsi="Times New Roman"/>
                <w:i/>
                <w:sz w:val="18"/>
                <w:szCs w:val="18"/>
                <w:vertAlign w:val="subscript"/>
              </w:rPr>
              <w:t>As</w:t>
            </w:r>
            <w:r>
              <w:rPr>
                <w:rFonts w:ascii="Times New Roman" w:hAnsi="Times New Roman"/>
                <w:sz w:val="18"/>
                <w:szCs w:val="18"/>
              </w:rPr>
              <w:t>/ %</w:t>
            </w: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tcPr>
          <w:p>
            <w:pPr>
              <w:jc w:val="center"/>
              <w:rPr>
                <w:rFonts w:ascii="Times New Roman" w:hAnsi="Times New Roman"/>
                <w:sz w:val="18"/>
                <w:szCs w:val="18"/>
              </w:rPr>
            </w:pPr>
          </w:p>
        </w:tc>
        <w:tc>
          <w:tcPr>
            <w:tcW w:w="1350"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349" w:type="dxa"/>
          </w:tcPr>
          <w:p>
            <w:pPr>
              <w:jc w:val="center"/>
              <w:rPr>
                <w:rFonts w:ascii="Times New Roman" w:hAnsi="Times New Roman"/>
                <w:bCs/>
                <w:sz w:val="18"/>
                <w:szCs w:val="18"/>
              </w:rPr>
            </w:pPr>
            <w:r>
              <w:rPr>
                <w:rFonts w:ascii="Times New Roman" w:hAnsi="Times New Roman"/>
                <w:bCs/>
                <w:sz w:val="18"/>
                <w:szCs w:val="18"/>
              </w:rPr>
              <w:t>R / %</w:t>
            </w: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vAlign w:val="center"/>
          </w:tcPr>
          <w:p>
            <w:pPr>
              <w:jc w:val="center"/>
              <w:rPr>
                <w:rFonts w:ascii="Times New Roman" w:hAnsi="Times New Roman"/>
                <w:sz w:val="18"/>
                <w:szCs w:val="18"/>
              </w:rPr>
            </w:pPr>
          </w:p>
        </w:tc>
        <w:tc>
          <w:tcPr>
            <w:tcW w:w="1349" w:type="dxa"/>
          </w:tcPr>
          <w:p>
            <w:pPr>
              <w:jc w:val="center"/>
              <w:rPr>
                <w:rFonts w:ascii="Times New Roman" w:hAnsi="Times New Roman"/>
                <w:sz w:val="18"/>
                <w:szCs w:val="18"/>
              </w:rPr>
            </w:pPr>
          </w:p>
        </w:tc>
        <w:tc>
          <w:tcPr>
            <w:tcW w:w="1350" w:type="dxa"/>
            <w:vAlign w:val="center"/>
          </w:tcPr>
          <w:p>
            <w:pPr>
              <w:jc w:val="center"/>
              <w:rPr>
                <w:rFonts w:ascii="Times New Roman" w:hAnsi="Times New Roman"/>
                <w:sz w:val="18"/>
                <w:szCs w:val="18"/>
              </w:rPr>
            </w:pPr>
          </w:p>
        </w:tc>
      </w:tr>
    </w:tbl>
    <w:p>
      <w:pPr>
        <w:spacing w:line="480" w:lineRule="auto"/>
        <w:rPr>
          <w:rFonts w:ascii="Times New Roman" w:hAnsi="Times New Roman" w:eastAsia="黑体"/>
          <w:szCs w:val="21"/>
        </w:rPr>
      </w:pPr>
      <w:r>
        <w:rPr>
          <w:rFonts w:ascii="Times New Roman" w:hAnsi="Times New Roman" w:eastAsia="黑体"/>
          <w:szCs w:val="21"/>
        </w:rPr>
        <w:t>8  试验报告</w:t>
      </w:r>
    </w:p>
    <w:p>
      <w:pPr>
        <w:pStyle w:val="70"/>
        <w:widowControl w:val="0"/>
        <w:autoSpaceDE/>
        <w:autoSpaceDN/>
        <w:spacing w:line="360" w:lineRule="auto"/>
        <w:ind w:firstLine="420"/>
        <w:rPr>
          <w:rFonts w:ascii="Times New Roman"/>
          <w:szCs w:val="21"/>
        </w:rPr>
      </w:pPr>
      <w:r>
        <w:rPr>
          <w:rFonts w:ascii="Times New Roman"/>
          <w:szCs w:val="21"/>
        </w:rPr>
        <w:t>试验报告至少应包括以下几个方面的内容：</w:t>
      </w:r>
    </w:p>
    <w:p>
      <w:pPr>
        <w:pStyle w:val="70"/>
        <w:widowControl w:val="0"/>
        <w:autoSpaceDE/>
        <w:autoSpaceDN/>
        <w:spacing w:line="360" w:lineRule="auto"/>
        <w:ind w:firstLine="420"/>
        <w:rPr>
          <w:rFonts w:ascii="Times New Roman"/>
          <w:szCs w:val="21"/>
        </w:rPr>
      </w:pPr>
      <w:r>
        <w:rPr>
          <w:rFonts w:ascii="Times New Roman"/>
          <w:szCs w:val="21"/>
        </w:rPr>
        <w:t>——试样；</w:t>
      </w:r>
    </w:p>
    <w:p>
      <w:pPr>
        <w:pStyle w:val="70"/>
        <w:widowControl w:val="0"/>
        <w:autoSpaceDE/>
        <w:autoSpaceDN/>
        <w:spacing w:line="360" w:lineRule="auto"/>
        <w:ind w:firstLine="420"/>
        <w:rPr>
          <w:rFonts w:ascii="Times New Roman"/>
          <w:szCs w:val="21"/>
        </w:rPr>
      </w:pPr>
      <w:r>
        <w:rPr>
          <w:rFonts w:ascii="Times New Roman"/>
          <w:szCs w:val="21"/>
        </w:rPr>
        <w:t>——使用的标准（YS/T XXXX.5—201X）；</w:t>
      </w:r>
    </w:p>
    <w:p>
      <w:pPr>
        <w:pStyle w:val="70"/>
        <w:widowControl w:val="0"/>
        <w:autoSpaceDE/>
        <w:autoSpaceDN/>
        <w:spacing w:line="360" w:lineRule="auto"/>
        <w:ind w:firstLine="420"/>
        <w:rPr>
          <w:rFonts w:ascii="Times New Roman"/>
          <w:szCs w:val="21"/>
        </w:rPr>
      </w:pPr>
      <w:r>
        <w:rPr>
          <w:rFonts w:ascii="Times New Roman"/>
          <w:szCs w:val="21"/>
        </w:rPr>
        <w:t>——分析结果及其表示；</w:t>
      </w:r>
    </w:p>
    <w:p>
      <w:pPr>
        <w:pStyle w:val="70"/>
        <w:widowControl w:val="0"/>
        <w:autoSpaceDE/>
        <w:autoSpaceDN/>
        <w:spacing w:line="360" w:lineRule="auto"/>
        <w:ind w:firstLine="420"/>
        <w:rPr>
          <w:rFonts w:ascii="Times New Roman"/>
          <w:szCs w:val="21"/>
        </w:rPr>
      </w:pPr>
      <w:r>
        <w:rPr>
          <w:rFonts w:ascii="Times New Roman"/>
          <w:szCs w:val="21"/>
        </w:rPr>
        <w:t>——与基本分析步骤的差异；</w:t>
      </w:r>
    </w:p>
    <w:p>
      <w:pPr>
        <w:pStyle w:val="70"/>
        <w:widowControl w:val="0"/>
        <w:autoSpaceDE/>
        <w:autoSpaceDN/>
        <w:spacing w:line="360" w:lineRule="auto"/>
        <w:ind w:firstLine="420"/>
        <w:rPr>
          <w:rFonts w:ascii="Times New Roman"/>
          <w:szCs w:val="21"/>
        </w:rPr>
      </w:pPr>
      <w:r>
        <w:rPr>
          <w:rFonts w:ascii="Times New Roman"/>
          <w:szCs w:val="21"/>
        </w:rPr>
        <w:t>——测定中观察到的异常现象；</w:t>
      </w:r>
    </w:p>
    <w:p>
      <w:pPr>
        <w:pStyle w:val="70"/>
        <w:widowControl w:val="0"/>
        <w:autoSpaceDE/>
        <w:autoSpaceDN/>
        <w:spacing w:line="360" w:lineRule="auto"/>
        <w:ind w:firstLine="420"/>
        <w:rPr>
          <w:rFonts w:ascii="Times New Roman"/>
        </w:rPr>
      </w:pPr>
      <w:r>
        <w:rPr>
          <w:rFonts w:ascii="Times New Roman"/>
          <w:szCs w:val="21"/>
        </w:rPr>
        <w:t>——试验日期。</w:t>
      </w:r>
      <w:r>
        <w:rPr>
          <w:rFonts w:ascii="Times New Roman"/>
          <w:sz w:val="28"/>
          <w:szCs w:val="28"/>
        </w:rPr>
        <w:t xml:space="preserve">                    </w:t>
      </w:r>
      <w:r>
        <w:rPr>
          <w:rFonts w:ascii="Times New Roman"/>
          <w:sz w:val="28"/>
          <w:szCs w:val="28"/>
          <w:u w:val="single"/>
        </w:rPr>
        <w:t xml:space="preserve">               </w:t>
      </w:r>
    </w:p>
    <w:sectPr>
      <w:footerReference r:id="rId8" w:type="default"/>
      <w:pgSz w:w="11906" w:h="16838"/>
      <w:pgMar w:top="1440" w:right="1361" w:bottom="1440"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76"/>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 PAGE   \* MERGEFORMAT </w:instrText>
    </w:r>
    <w:r>
      <w:fldChar w:fldCharType="separate"/>
    </w:r>
    <w:r>
      <w:rPr>
        <w:lang w:val="zh-CN"/>
      </w:rPr>
      <w:t>5</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YS/T </w:t>
    </w:r>
    <w:r>
      <w:rPr>
        <w:rFonts w:hint="eastAsia"/>
      </w:rPr>
      <w:t>XXXX</w:t>
    </w:r>
    <w:r>
      <w:t>.5</w:t>
    </w:r>
    <w:r>
      <w:rPr>
        <w:rFonts w:hint="eastAsia"/>
      </w:rPr>
      <w:t>-201</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i/>
      </w:rPr>
    </w:pPr>
    <w:r>
      <w:rPr>
        <w:i/>
      </w:rPr>
      <w:t xml:space="preserve"> </w:t>
    </w:r>
    <w:r>
      <w:rPr>
        <w:rFonts w:hint="eastAsia"/>
        <w:i/>
      </w:rPr>
      <w:t xml:space="preserve">                                                                         </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5719"/>
    <w:multiLevelType w:val="multilevel"/>
    <w:tmpl w:val="5A025719"/>
    <w:lvl w:ilvl="0" w:tentative="0">
      <w:start w:val="1"/>
      <w:numFmt w:val="decimal"/>
      <w:pStyle w:val="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57"/>
      <w:suff w:val="nothing"/>
      <w:lvlText w:val="%1"/>
      <w:lvlJc w:val="left"/>
      <w:pPr>
        <w:ind w:left="0" w:firstLine="0"/>
      </w:pPr>
      <w:rPr>
        <w:rFonts w:hint="default" w:ascii="Times New Roman" w:hAnsi="Times New Roman" w:cs="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6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6933334"/>
    <w:multiLevelType w:val="multilevel"/>
    <w:tmpl w:val="76933334"/>
    <w:lvl w:ilvl="0" w:tentative="0">
      <w:start w:val="1"/>
      <w:numFmt w:val="none"/>
      <w:pStyle w:val="3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5B"/>
    <w:rsid w:val="000015FD"/>
    <w:rsid w:val="00013E10"/>
    <w:rsid w:val="00015266"/>
    <w:rsid w:val="00015EB2"/>
    <w:rsid w:val="000232B5"/>
    <w:rsid w:val="00035F7B"/>
    <w:rsid w:val="00036403"/>
    <w:rsid w:val="00036CD2"/>
    <w:rsid w:val="00043615"/>
    <w:rsid w:val="000437D7"/>
    <w:rsid w:val="0004424A"/>
    <w:rsid w:val="0004634C"/>
    <w:rsid w:val="00046A7E"/>
    <w:rsid w:val="00047DD1"/>
    <w:rsid w:val="00047F49"/>
    <w:rsid w:val="00050568"/>
    <w:rsid w:val="00053942"/>
    <w:rsid w:val="00053CB2"/>
    <w:rsid w:val="00055F5E"/>
    <w:rsid w:val="00057243"/>
    <w:rsid w:val="00057304"/>
    <w:rsid w:val="00060E03"/>
    <w:rsid w:val="00061F19"/>
    <w:rsid w:val="00062622"/>
    <w:rsid w:val="00062E13"/>
    <w:rsid w:val="00066528"/>
    <w:rsid w:val="00066822"/>
    <w:rsid w:val="00066A08"/>
    <w:rsid w:val="00066A1A"/>
    <w:rsid w:val="000676F0"/>
    <w:rsid w:val="000676FF"/>
    <w:rsid w:val="00070DF6"/>
    <w:rsid w:val="00082F76"/>
    <w:rsid w:val="000866D5"/>
    <w:rsid w:val="0009031E"/>
    <w:rsid w:val="00090BE1"/>
    <w:rsid w:val="000957D6"/>
    <w:rsid w:val="000A12AD"/>
    <w:rsid w:val="000A2012"/>
    <w:rsid w:val="000B1196"/>
    <w:rsid w:val="000B13BB"/>
    <w:rsid w:val="000B498C"/>
    <w:rsid w:val="000B4991"/>
    <w:rsid w:val="000B7797"/>
    <w:rsid w:val="000C1A94"/>
    <w:rsid w:val="000C39AC"/>
    <w:rsid w:val="000C4661"/>
    <w:rsid w:val="000D055E"/>
    <w:rsid w:val="000D1CBD"/>
    <w:rsid w:val="000D7423"/>
    <w:rsid w:val="000E59D0"/>
    <w:rsid w:val="000E70DD"/>
    <w:rsid w:val="000E7BD4"/>
    <w:rsid w:val="000F0D1F"/>
    <w:rsid w:val="000F276D"/>
    <w:rsid w:val="000F63D6"/>
    <w:rsid w:val="00102EB5"/>
    <w:rsid w:val="00105D14"/>
    <w:rsid w:val="00110934"/>
    <w:rsid w:val="001124D7"/>
    <w:rsid w:val="0012272A"/>
    <w:rsid w:val="001320FF"/>
    <w:rsid w:val="0013280C"/>
    <w:rsid w:val="001411B6"/>
    <w:rsid w:val="00142F6E"/>
    <w:rsid w:val="0014600C"/>
    <w:rsid w:val="00150142"/>
    <w:rsid w:val="001507A8"/>
    <w:rsid w:val="00155C03"/>
    <w:rsid w:val="001672C8"/>
    <w:rsid w:val="001679FE"/>
    <w:rsid w:val="00167EB7"/>
    <w:rsid w:val="001717E7"/>
    <w:rsid w:val="001746BE"/>
    <w:rsid w:val="00175E7F"/>
    <w:rsid w:val="001807AA"/>
    <w:rsid w:val="001807EF"/>
    <w:rsid w:val="0018095C"/>
    <w:rsid w:val="00181F8B"/>
    <w:rsid w:val="00182A27"/>
    <w:rsid w:val="00183DDD"/>
    <w:rsid w:val="00185DB8"/>
    <w:rsid w:val="001860E9"/>
    <w:rsid w:val="001A0C5E"/>
    <w:rsid w:val="001A6AB7"/>
    <w:rsid w:val="001A6B64"/>
    <w:rsid w:val="001B0BC4"/>
    <w:rsid w:val="001B1C01"/>
    <w:rsid w:val="001B5416"/>
    <w:rsid w:val="001B6DAA"/>
    <w:rsid w:val="001B79CB"/>
    <w:rsid w:val="001C7B2A"/>
    <w:rsid w:val="001D47D0"/>
    <w:rsid w:val="001D63DD"/>
    <w:rsid w:val="001E0B1E"/>
    <w:rsid w:val="001E4118"/>
    <w:rsid w:val="001E5EC1"/>
    <w:rsid w:val="001E6934"/>
    <w:rsid w:val="001E7467"/>
    <w:rsid w:val="001F01E1"/>
    <w:rsid w:val="001F3090"/>
    <w:rsid w:val="001F5791"/>
    <w:rsid w:val="001F63F3"/>
    <w:rsid w:val="001F7FA1"/>
    <w:rsid w:val="0020341D"/>
    <w:rsid w:val="00207CD4"/>
    <w:rsid w:val="00211643"/>
    <w:rsid w:val="00211909"/>
    <w:rsid w:val="002131FF"/>
    <w:rsid w:val="00215048"/>
    <w:rsid w:val="002157AE"/>
    <w:rsid w:val="002254E3"/>
    <w:rsid w:val="002341E9"/>
    <w:rsid w:val="00236C7E"/>
    <w:rsid w:val="00240907"/>
    <w:rsid w:val="00241654"/>
    <w:rsid w:val="00245418"/>
    <w:rsid w:val="002505C8"/>
    <w:rsid w:val="0025096E"/>
    <w:rsid w:val="002510AE"/>
    <w:rsid w:val="002541AE"/>
    <w:rsid w:val="00270F76"/>
    <w:rsid w:val="002719AD"/>
    <w:rsid w:val="00273BF3"/>
    <w:rsid w:val="00275A20"/>
    <w:rsid w:val="00275D92"/>
    <w:rsid w:val="002820B8"/>
    <w:rsid w:val="002826D4"/>
    <w:rsid w:val="002828C6"/>
    <w:rsid w:val="00290C3B"/>
    <w:rsid w:val="00293AEC"/>
    <w:rsid w:val="002A41B2"/>
    <w:rsid w:val="002A5BCA"/>
    <w:rsid w:val="002A5E93"/>
    <w:rsid w:val="002B21F8"/>
    <w:rsid w:val="002B228D"/>
    <w:rsid w:val="002B3F8F"/>
    <w:rsid w:val="002B6A97"/>
    <w:rsid w:val="002C2504"/>
    <w:rsid w:val="002C532F"/>
    <w:rsid w:val="002D10B0"/>
    <w:rsid w:val="002D1EEA"/>
    <w:rsid w:val="002D2EC9"/>
    <w:rsid w:val="002D399A"/>
    <w:rsid w:val="002D3C70"/>
    <w:rsid w:val="002D3E11"/>
    <w:rsid w:val="002D72BA"/>
    <w:rsid w:val="002D74C9"/>
    <w:rsid w:val="002E0EFD"/>
    <w:rsid w:val="002E3575"/>
    <w:rsid w:val="002E79D2"/>
    <w:rsid w:val="002F1CDD"/>
    <w:rsid w:val="002F1E88"/>
    <w:rsid w:val="002F2190"/>
    <w:rsid w:val="002F39F1"/>
    <w:rsid w:val="002F4B6C"/>
    <w:rsid w:val="002F7B81"/>
    <w:rsid w:val="003008F1"/>
    <w:rsid w:val="0030533F"/>
    <w:rsid w:val="003068DF"/>
    <w:rsid w:val="00313337"/>
    <w:rsid w:val="0031455E"/>
    <w:rsid w:val="003152A5"/>
    <w:rsid w:val="0031570E"/>
    <w:rsid w:val="00324EB8"/>
    <w:rsid w:val="00325E88"/>
    <w:rsid w:val="00337588"/>
    <w:rsid w:val="00343398"/>
    <w:rsid w:val="003477DD"/>
    <w:rsid w:val="00352327"/>
    <w:rsid w:val="00364423"/>
    <w:rsid w:val="0036446F"/>
    <w:rsid w:val="00365694"/>
    <w:rsid w:val="003718C1"/>
    <w:rsid w:val="00371931"/>
    <w:rsid w:val="00373D65"/>
    <w:rsid w:val="00375532"/>
    <w:rsid w:val="00380660"/>
    <w:rsid w:val="00385511"/>
    <w:rsid w:val="003965D8"/>
    <w:rsid w:val="003A5CA9"/>
    <w:rsid w:val="003A64B7"/>
    <w:rsid w:val="003B60C5"/>
    <w:rsid w:val="003C52EE"/>
    <w:rsid w:val="003C6B33"/>
    <w:rsid w:val="003D1827"/>
    <w:rsid w:val="003D236D"/>
    <w:rsid w:val="003D48C7"/>
    <w:rsid w:val="003D55E1"/>
    <w:rsid w:val="003D5847"/>
    <w:rsid w:val="003E018A"/>
    <w:rsid w:val="003E313B"/>
    <w:rsid w:val="003E45CD"/>
    <w:rsid w:val="003E5117"/>
    <w:rsid w:val="003E7147"/>
    <w:rsid w:val="003F24C6"/>
    <w:rsid w:val="003F485B"/>
    <w:rsid w:val="00401541"/>
    <w:rsid w:val="004029ED"/>
    <w:rsid w:val="00404150"/>
    <w:rsid w:val="00417393"/>
    <w:rsid w:val="004174CE"/>
    <w:rsid w:val="00424E0E"/>
    <w:rsid w:val="00424F3A"/>
    <w:rsid w:val="00430115"/>
    <w:rsid w:val="00435A78"/>
    <w:rsid w:val="00436AB2"/>
    <w:rsid w:val="00444350"/>
    <w:rsid w:val="004457A4"/>
    <w:rsid w:val="00445C5D"/>
    <w:rsid w:val="00447BFC"/>
    <w:rsid w:val="00447D02"/>
    <w:rsid w:val="004502A5"/>
    <w:rsid w:val="004506D8"/>
    <w:rsid w:val="004514BB"/>
    <w:rsid w:val="0045192E"/>
    <w:rsid w:val="00472CCA"/>
    <w:rsid w:val="00473FFC"/>
    <w:rsid w:val="00475187"/>
    <w:rsid w:val="0048244F"/>
    <w:rsid w:val="0048531F"/>
    <w:rsid w:val="004924A5"/>
    <w:rsid w:val="00494064"/>
    <w:rsid w:val="0049488C"/>
    <w:rsid w:val="00496F38"/>
    <w:rsid w:val="00497EB7"/>
    <w:rsid w:val="004A10C8"/>
    <w:rsid w:val="004A113E"/>
    <w:rsid w:val="004A63B0"/>
    <w:rsid w:val="004A6BE4"/>
    <w:rsid w:val="004A7AA8"/>
    <w:rsid w:val="004B0BEC"/>
    <w:rsid w:val="004B400C"/>
    <w:rsid w:val="004B41A9"/>
    <w:rsid w:val="004C339A"/>
    <w:rsid w:val="004D383C"/>
    <w:rsid w:val="004D5CD4"/>
    <w:rsid w:val="004D7A6F"/>
    <w:rsid w:val="00502DD6"/>
    <w:rsid w:val="00505BD0"/>
    <w:rsid w:val="00507189"/>
    <w:rsid w:val="00514FEF"/>
    <w:rsid w:val="0051646C"/>
    <w:rsid w:val="00524B5B"/>
    <w:rsid w:val="00525A81"/>
    <w:rsid w:val="0053019B"/>
    <w:rsid w:val="00534B5C"/>
    <w:rsid w:val="0055333A"/>
    <w:rsid w:val="00555DDA"/>
    <w:rsid w:val="0055751C"/>
    <w:rsid w:val="005577A8"/>
    <w:rsid w:val="00561239"/>
    <w:rsid w:val="00561B3A"/>
    <w:rsid w:val="00562AB4"/>
    <w:rsid w:val="00564207"/>
    <w:rsid w:val="00565943"/>
    <w:rsid w:val="00565F2C"/>
    <w:rsid w:val="00567BBB"/>
    <w:rsid w:val="00570011"/>
    <w:rsid w:val="00570077"/>
    <w:rsid w:val="00571C99"/>
    <w:rsid w:val="00573ED9"/>
    <w:rsid w:val="0057535C"/>
    <w:rsid w:val="00575972"/>
    <w:rsid w:val="00580010"/>
    <w:rsid w:val="005860D4"/>
    <w:rsid w:val="00594B40"/>
    <w:rsid w:val="005A0F66"/>
    <w:rsid w:val="005A4EE9"/>
    <w:rsid w:val="005A7882"/>
    <w:rsid w:val="005B4BDA"/>
    <w:rsid w:val="005C33D6"/>
    <w:rsid w:val="005C4D37"/>
    <w:rsid w:val="005C63F9"/>
    <w:rsid w:val="005D219F"/>
    <w:rsid w:val="005D2341"/>
    <w:rsid w:val="005E03FE"/>
    <w:rsid w:val="005E061C"/>
    <w:rsid w:val="005E2FB6"/>
    <w:rsid w:val="005E69C5"/>
    <w:rsid w:val="005E70CC"/>
    <w:rsid w:val="005F5FDD"/>
    <w:rsid w:val="005F726A"/>
    <w:rsid w:val="00603D79"/>
    <w:rsid w:val="00616B40"/>
    <w:rsid w:val="006175AE"/>
    <w:rsid w:val="00617F42"/>
    <w:rsid w:val="006225CB"/>
    <w:rsid w:val="00622886"/>
    <w:rsid w:val="00627255"/>
    <w:rsid w:val="006317E6"/>
    <w:rsid w:val="0063393A"/>
    <w:rsid w:val="00635733"/>
    <w:rsid w:val="00635DCF"/>
    <w:rsid w:val="00637803"/>
    <w:rsid w:val="006464D4"/>
    <w:rsid w:val="006538EA"/>
    <w:rsid w:val="00656247"/>
    <w:rsid w:val="00663F75"/>
    <w:rsid w:val="006641F5"/>
    <w:rsid w:val="006735F4"/>
    <w:rsid w:val="00673C2B"/>
    <w:rsid w:val="0067651C"/>
    <w:rsid w:val="00676BA8"/>
    <w:rsid w:val="00676BE9"/>
    <w:rsid w:val="0068512D"/>
    <w:rsid w:val="006874CC"/>
    <w:rsid w:val="00690036"/>
    <w:rsid w:val="0069234A"/>
    <w:rsid w:val="00692966"/>
    <w:rsid w:val="00693DFD"/>
    <w:rsid w:val="00697727"/>
    <w:rsid w:val="006A2D5B"/>
    <w:rsid w:val="006A45C6"/>
    <w:rsid w:val="006A6705"/>
    <w:rsid w:val="006A7661"/>
    <w:rsid w:val="006B0BA8"/>
    <w:rsid w:val="006B23E7"/>
    <w:rsid w:val="006B4226"/>
    <w:rsid w:val="006B526C"/>
    <w:rsid w:val="006C1E30"/>
    <w:rsid w:val="006C23DB"/>
    <w:rsid w:val="006C2634"/>
    <w:rsid w:val="006C42AE"/>
    <w:rsid w:val="006D5174"/>
    <w:rsid w:val="006E03C4"/>
    <w:rsid w:val="006E404B"/>
    <w:rsid w:val="006E410A"/>
    <w:rsid w:val="006E4964"/>
    <w:rsid w:val="006E68FD"/>
    <w:rsid w:val="006F677E"/>
    <w:rsid w:val="00701370"/>
    <w:rsid w:val="00711CEB"/>
    <w:rsid w:val="00715B82"/>
    <w:rsid w:val="00721826"/>
    <w:rsid w:val="00724485"/>
    <w:rsid w:val="00724987"/>
    <w:rsid w:val="00725828"/>
    <w:rsid w:val="00731CFF"/>
    <w:rsid w:val="00735F29"/>
    <w:rsid w:val="00742040"/>
    <w:rsid w:val="0074562F"/>
    <w:rsid w:val="0074699C"/>
    <w:rsid w:val="00751FCB"/>
    <w:rsid w:val="00752389"/>
    <w:rsid w:val="00753E30"/>
    <w:rsid w:val="00755E36"/>
    <w:rsid w:val="007576C5"/>
    <w:rsid w:val="00760702"/>
    <w:rsid w:val="00761AEF"/>
    <w:rsid w:val="00762330"/>
    <w:rsid w:val="00783F26"/>
    <w:rsid w:val="00785445"/>
    <w:rsid w:val="0078736F"/>
    <w:rsid w:val="00787682"/>
    <w:rsid w:val="00790379"/>
    <w:rsid w:val="00794354"/>
    <w:rsid w:val="00794958"/>
    <w:rsid w:val="00794BA2"/>
    <w:rsid w:val="0079667A"/>
    <w:rsid w:val="007A097A"/>
    <w:rsid w:val="007A33C9"/>
    <w:rsid w:val="007D117D"/>
    <w:rsid w:val="007D1767"/>
    <w:rsid w:val="007D3037"/>
    <w:rsid w:val="007D6095"/>
    <w:rsid w:val="007E35FD"/>
    <w:rsid w:val="007E69F4"/>
    <w:rsid w:val="007E6F38"/>
    <w:rsid w:val="007E786F"/>
    <w:rsid w:val="007F343D"/>
    <w:rsid w:val="00802C85"/>
    <w:rsid w:val="00812BAE"/>
    <w:rsid w:val="008160EC"/>
    <w:rsid w:val="0082155E"/>
    <w:rsid w:val="008276E8"/>
    <w:rsid w:val="008337F3"/>
    <w:rsid w:val="008343E0"/>
    <w:rsid w:val="00835F5B"/>
    <w:rsid w:val="00837BD0"/>
    <w:rsid w:val="00841D96"/>
    <w:rsid w:val="0084294C"/>
    <w:rsid w:val="0084372F"/>
    <w:rsid w:val="008464D9"/>
    <w:rsid w:val="00846835"/>
    <w:rsid w:val="008632CE"/>
    <w:rsid w:val="00865593"/>
    <w:rsid w:val="008705E9"/>
    <w:rsid w:val="00871006"/>
    <w:rsid w:val="00875593"/>
    <w:rsid w:val="00876C72"/>
    <w:rsid w:val="008862AB"/>
    <w:rsid w:val="00886F5E"/>
    <w:rsid w:val="00887E5C"/>
    <w:rsid w:val="00894179"/>
    <w:rsid w:val="00897D0D"/>
    <w:rsid w:val="008A349E"/>
    <w:rsid w:val="008B029B"/>
    <w:rsid w:val="008B3AFA"/>
    <w:rsid w:val="008B4A8D"/>
    <w:rsid w:val="008B4EF9"/>
    <w:rsid w:val="008C3BA2"/>
    <w:rsid w:val="008C412F"/>
    <w:rsid w:val="008C532D"/>
    <w:rsid w:val="008C655C"/>
    <w:rsid w:val="008C6CF0"/>
    <w:rsid w:val="008D2762"/>
    <w:rsid w:val="008D4BA0"/>
    <w:rsid w:val="008D5F22"/>
    <w:rsid w:val="008F3217"/>
    <w:rsid w:val="008F55F7"/>
    <w:rsid w:val="008F5E6A"/>
    <w:rsid w:val="008F756A"/>
    <w:rsid w:val="009005C4"/>
    <w:rsid w:val="00901915"/>
    <w:rsid w:val="00903135"/>
    <w:rsid w:val="009077BD"/>
    <w:rsid w:val="00907DB7"/>
    <w:rsid w:val="00907FCB"/>
    <w:rsid w:val="009126D7"/>
    <w:rsid w:val="00912FD3"/>
    <w:rsid w:val="00921014"/>
    <w:rsid w:val="0092107E"/>
    <w:rsid w:val="009227DF"/>
    <w:rsid w:val="009234DF"/>
    <w:rsid w:val="0092456D"/>
    <w:rsid w:val="0092475D"/>
    <w:rsid w:val="00925A38"/>
    <w:rsid w:val="009264FC"/>
    <w:rsid w:val="00926761"/>
    <w:rsid w:val="00927AD5"/>
    <w:rsid w:val="00931461"/>
    <w:rsid w:val="00932695"/>
    <w:rsid w:val="00932C3F"/>
    <w:rsid w:val="009355B2"/>
    <w:rsid w:val="0093602E"/>
    <w:rsid w:val="009361BC"/>
    <w:rsid w:val="0094027A"/>
    <w:rsid w:val="0094091D"/>
    <w:rsid w:val="00941402"/>
    <w:rsid w:val="00942BEF"/>
    <w:rsid w:val="00944746"/>
    <w:rsid w:val="009448B7"/>
    <w:rsid w:val="00946CEB"/>
    <w:rsid w:val="00952EF7"/>
    <w:rsid w:val="00953CBE"/>
    <w:rsid w:val="00954B61"/>
    <w:rsid w:val="0095579D"/>
    <w:rsid w:val="00957907"/>
    <w:rsid w:val="009636CB"/>
    <w:rsid w:val="00964813"/>
    <w:rsid w:val="00971999"/>
    <w:rsid w:val="00976928"/>
    <w:rsid w:val="00977C92"/>
    <w:rsid w:val="0099107C"/>
    <w:rsid w:val="009916B5"/>
    <w:rsid w:val="009916DA"/>
    <w:rsid w:val="00992B59"/>
    <w:rsid w:val="0099323C"/>
    <w:rsid w:val="0099522E"/>
    <w:rsid w:val="009A05B2"/>
    <w:rsid w:val="009A0823"/>
    <w:rsid w:val="009A4374"/>
    <w:rsid w:val="009A5F3B"/>
    <w:rsid w:val="009A6D17"/>
    <w:rsid w:val="009A7A90"/>
    <w:rsid w:val="009B0930"/>
    <w:rsid w:val="009B116B"/>
    <w:rsid w:val="009B7DB0"/>
    <w:rsid w:val="009C168D"/>
    <w:rsid w:val="009C2365"/>
    <w:rsid w:val="009C4B80"/>
    <w:rsid w:val="009D00B9"/>
    <w:rsid w:val="009D00DD"/>
    <w:rsid w:val="009D27B4"/>
    <w:rsid w:val="009D2870"/>
    <w:rsid w:val="009D415D"/>
    <w:rsid w:val="009D6CFD"/>
    <w:rsid w:val="009E1112"/>
    <w:rsid w:val="009E1C84"/>
    <w:rsid w:val="009E3224"/>
    <w:rsid w:val="009F0D5E"/>
    <w:rsid w:val="009F136E"/>
    <w:rsid w:val="009F5203"/>
    <w:rsid w:val="00A0097F"/>
    <w:rsid w:val="00A03239"/>
    <w:rsid w:val="00A044B4"/>
    <w:rsid w:val="00A0564F"/>
    <w:rsid w:val="00A06D20"/>
    <w:rsid w:val="00A1074F"/>
    <w:rsid w:val="00A12BA0"/>
    <w:rsid w:val="00A1390E"/>
    <w:rsid w:val="00A13E1C"/>
    <w:rsid w:val="00A20934"/>
    <w:rsid w:val="00A25111"/>
    <w:rsid w:val="00A274F4"/>
    <w:rsid w:val="00A31ABE"/>
    <w:rsid w:val="00A32A6B"/>
    <w:rsid w:val="00A36A8C"/>
    <w:rsid w:val="00A37E4C"/>
    <w:rsid w:val="00A408FE"/>
    <w:rsid w:val="00A412AF"/>
    <w:rsid w:val="00A4172D"/>
    <w:rsid w:val="00A41CBE"/>
    <w:rsid w:val="00A41FE1"/>
    <w:rsid w:val="00A46784"/>
    <w:rsid w:val="00A47E0B"/>
    <w:rsid w:val="00A47EF3"/>
    <w:rsid w:val="00A5004C"/>
    <w:rsid w:val="00A523FC"/>
    <w:rsid w:val="00A56AF5"/>
    <w:rsid w:val="00A6228C"/>
    <w:rsid w:val="00A645DA"/>
    <w:rsid w:val="00A65516"/>
    <w:rsid w:val="00A658A6"/>
    <w:rsid w:val="00A707AF"/>
    <w:rsid w:val="00A709EE"/>
    <w:rsid w:val="00A75A17"/>
    <w:rsid w:val="00A856B4"/>
    <w:rsid w:val="00A8718B"/>
    <w:rsid w:val="00A904FB"/>
    <w:rsid w:val="00A914D5"/>
    <w:rsid w:val="00A92AAA"/>
    <w:rsid w:val="00A9527A"/>
    <w:rsid w:val="00A95CF4"/>
    <w:rsid w:val="00AA6056"/>
    <w:rsid w:val="00AA7D17"/>
    <w:rsid w:val="00AB040D"/>
    <w:rsid w:val="00AB2D53"/>
    <w:rsid w:val="00AB578D"/>
    <w:rsid w:val="00AB65EF"/>
    <w:rsid w:val="00AD0118"/>
    <w:rsid w:val="00AD2E80"/>
    <w:rsid w:val="00AD2EBE"/>
    <w:rsid w:val="00AD4277"/>
    <w:rsid w:val="00AD4F68"/>
    <w:rsid w:val="00AE39C2"/>
    <w:rsid w:val="00AE4A66"/>
    <w:rsid w:val="00AE52E2"/>
    <w:rsid w:val="00AE5DC2"/>
    <w:rsid w:val="00AE7427"/>
    <w:rsid w:val="00AF046D"/>
    <w:rsid w:val="00AF1563"/>
    <w:rsid w:val="00B04801"/>
    <w:rsid w:val="00B07AB1"/>
    <w:rsid w:val="00B10E34"/>
    <w:rsid w:val="00B1797C"/>
    <w:rsid w:val="00B20AB3"/>
    <w:rsid w:val="00B2265D"/>
    <w:rsid w:val="00B24893"/>
    <w:rsid w:val="00B27BAE"/>
    <w:rsid w:val="00B31444"/>
    <w:rsid w:val="00B3376F"/>
    <w:rsid w:val="00B45A00"/>
    <w:rsid w:val="00B45A49"/>
    <w:rsid w:val="00B47B02"/>
    <w:rsid w:val="00B547B7"/>
    <w:rsid w:val="00B56A0A"/>
    <w:rsid w:val="00B6178F"/>
    <w:rsid w:val="00B62D52"/>
    <w:rsid w:val="00B6488F"/>
    <w:rsid w:val="00B64B6F"/>
    <w:rsid w:val="00B6572E"/>
    <w:rsid w:val="00B66EA6"/>
    <w:rsid w:val="00B67603"/>
    <w:rsid w:val="00B701A8"/>
    <w:rsid w:val="00B8236E"/>
    <w:rsid w:val="00B84539"/>
    <w:rsid w:val="00B84E94"/>
    <w:rsid w:val="00B863D0"/>
    <w:rsid w:val="00B90204"/>
    <w:rsid w:val="00BA283E"/>
    <w:rsid w:val="00BA62D3"/>
    <w:rsid w:val="00BA706E"/>
    <w:rsid w:val="00BB1031"/>
    <w:rsid w:val="00BB2395"/>
    <w:rsid w:val="00BB30D4"/>
    <w:rsid w:val="00BB4861"/>
    <w:rsid w:val="00BB53E3"/>
    <w:rsid w:val="00BC3FBA"/>
    <w:rsid w:val="00BC61AE"/>
    <w:rsid w:val="00BC69CC"/>
    <w:rsid w:val="00BD0618"/>
    <w:rsid w:val="00BD22C8"/>
    <w:rsid w:val="00BD42F9"/>
    <w:rsid w:val="00BD63BA"/>
    <w:rsid w:val="00BE598F"/>
    <w:rsid w:val="00BF016B"/>
    <w:rsid w:val="00BF0381"/>
    <w:rsid w:val="00BF0DBC"/>
    <w:rsid w:val="00BF1CE0"/>
    <w:rsid w:val="00BF226A"/>
    <w:rsid w:val="00BF2CA9"/>
    <w:rsid w:val="00BF5305"/>
    <w:rsid w:val="00BF53C4"/>
    <w:rsid w:val="00BF7BBD"/>
    <w:rsid w:val="00C035A1"/>
    <w:rsid w:val="00C04310"/>
    <w:rsid w:val="00C1174D"/>
    <w:rsid w:val="00C12A35"/>
    <w:rsid w:val="00C144C6"/>
    <w:rsid w:val="00C16C6D"/>
    <w:rsid w:val="00C21049"/>
    <w:rsid w:val="00C21290"/>
    <w:rsid w:val="00C222AC"/>
    <w:rsid w:val="00C2230A"/>
    <w:rsid w:val="00C22739"/>
    <w:rsid w:val="00C274F9"/>
    <w:rsid w:val="00C3148A"/>
    <w:rsid w:val="00C345FF"/>
    <w:rsid w:val="00C378BC"/>
    <w:rsid w:val="00C40FE8"/>
    <w:rsid w:val="00C44E36"/>
    <w:rsid w:val="00C450E3"/>
    <w:rsid w:val="00C53A4D"/>
    <w:rsid w:val="00C54231"/>
    <w:rsid w:val="00C63CC5"/>
    <w:rsid w:val="00C64DD2"/>
    <w:rsid w:val="00C661CA"/>
    <w:rsid w:val="00C66E35"/>
    <w:rsid w:val="00C748C3"/>
    <w:rsid w:val="00C74DB4"/>
    <w:rsid w:val="00C86577"/>
    <w:rsid w:val="00C874AE"/>
    <w:rsid w:val="00C938BC"/>
    <w:rsid w:val="00C9468B"/>
    <w:rsid w:val="00C949C4"/>
    <w:rsid w:val="00C96AD3"/>
    <w:rsid w:val="00C975E0"/>
    <w:rsid w:val="00CA108F"/>
    <w:rsid w:val="00CA4082"/>
    <w:rsid w:val="00CA4A46"/>
    <w:rsid w:val="00CA7C8D"/>
    <w:rsid w:val="00CB0B03"/>
    <w:rsid w:val="00CB1072"/>
    <w:rsid w:val="00CB1705"/>
    <w:rsid w:val="00CB67D8"/>
    <w:rsid w:val="00CB6816"/>
    <w:rsid w:val="00CC17AD"/>
    <w:rsid w:val="00CC302A"/>
    <w:rsid w:val="00CC5A7F"/>
    <w:rsid w:val="00CD17A7"/>
    <w:rsid w:val="00CD199D"/>
    <w:rsid w:val="00CD26D5"/>
    <w:rsid w:val="00CD7C35"/>
    <w:rsid w:val="00CE27B3"/>
    <w:rsid w:val="00CE3219"/>
    <w:rsid w:val="00CE4D0C"/>
    <w:rsid w:val="00D040F4"/>
    <w:rsid w:val="00D04623"/>
    <w:rsid w:val="00D06DAB"/>
    <w:rsid w:val="00D12879"/>
    <w:rsid w:val="00D14133"/>
    <w:rsid w:val="00D16133"/>
    <w:rsid w:val="00D21318"/>
    <w:rsid w:val="00D24C94"/>
    <w:rsid w:val="00D250D0"/>
    <w:rsid w:val="00D27132"/>
    <w:rsid w:val="00D27D4C"/>
    <w:rsid w:val="00D341C5"/>
    <w:rsid w:val="00D47CD1"/>
    <w:rsid w:val="00D47FCF"/>
    <w:rsid w:val="00D507D8"/>
    <w:rsid w:val="00D51BC8"/>
    <w:rsid w:val="00D520BC"/>
    <w:rsid w:val="00D5309F"/>
    <w:rsid w:val="00D53605"/>
    <w:rsid w:val="00D5596A"/>
    <w:rsid w:val="00D600C2"/>
    <w:rsid w:val="00D666DC"/>
    <w:rsid w:val="00D6711D"/>
    <w:rsid w:val="00D70F20"/>
    <w:rsid w:val="00D71E29"/>
    <w:rsid w:val="00D733A7"/>
    <w:rsid w:val="00D75781"/>
    <w:rsid w:val="00D7598E"/>
    <w:rsid w:val="00D77A9B"/>
    <w:rsid w:val="00D77D99"/>
    <w:rsid w:val="00D80169"/>
    <w:rsid w:val="00D84E03"/>
    <w:rsid w:val="00D85A4C"/>
    <w:rsid w:val="00D85D82"/>
    <w:rsid w:val="00D909D1"/>
    <w:rsid w:val="00D96EE8"/>
    <w:rsid w:val="00DA0A81"/>
    <w:rsid w:val="00DA2F46"/>
    <w:rsid w:val="00DA3B13"/>
    <w:rsid w:val="00DA513F"/>
    <w:rsid w:val="00DB0578"/>
    <w:rsid w:val="00DB2846"/>
    <w:rsid w:val="00DC09E2"/>
    <w:rsid w:val="00DC24F0"/>
    <w:rsid w:val="00DC4780"/>
    <w:rsid w:val="00DC651A"/>
    <w:rsid w:val="00DD0E17"/>
    <w:rsid w:val="00DD3C6A"/>
    <w:rsid w:val="00DD59B7"/>
    <w:rsid w:val="00DE10F3"/>
    <w:rsid w:val="00DF0BCB"/>
    <w:rsid w:val="00DF1D93"/>
    <w:rsid w:val="00DF5EBE"/>
    <w:rsid w:val="00E004FF"/>
    <w:rsid w:val="00E00D56"/>
    <w:rsid w:val="00E051A3"/>
    <w:rsid w:val="00E0688B"/>
    <w:rsid w:val="00E07601"/>
    <w:rsid w:val="00E07DBB"/>
    <w:rsid w:val="00E10A32"/>
    <w:rsid w:val="00E15150"/>
    <w:rsid w:val="00E21B11"/>
    <w:rsid w:val="00E22A97"/>
    <w:rsid w:val="00E3073B"/>
    <w:rsid w:val="00E32BFC"/>
    <w:rsid w:val="00E33FAD"/>
    <w:rsid w:val="00E34D1B"/>
    <w:rsid w:val="00E377DB"/>
    <w:rsid w:val="00E40FF2"/>
    <w:rsid w:val="00E424C6"/>
    <w:rsid w:val="00E44189"/>
    <w:rsid w:val="00E45FF4"/>
    <w:rsid w:val="00E5018B"/>
    <w:rsid w:val="00E52519"/>
    <w:rsid w:val="00E52C33"/>
    <w:rsid w:val="00E5439C"/>
    <w:rsid w:val="00E546BA"/>
    <w:rsid w:val="00E549C7"/>
    <w:rsid w:val="00E54AC4"/>
    <w:rsid w:val="00E56664"/>
    <w:rsid w:val="00E574F6"/>
    <w:rsid w:val="00E6131F"/>
    <w:rsid w:val="00E717F2"/>
    <w:rsid w:val="00E752BE"/>
    <w:rsid w:val="00E8087F"/>
    <w:rsid w:val="00E81102"/>
    <w:rsid w:val="00E83A74"/>
    <w:rsid w:val="00E85237"/>
    <w:rsid w:val="00E91F0B"/>
    <w:rsid w:val="00E96EAD"/>
    <w:rsid w:val="00EA0D0D"/>
    <w:rsid w:val="00EA42F2"/>
    <w:rsid w:val="00EB1AF6"/>
    <w:rsid w:val="00EB3734"/>
    <w:rsid w:val="00EB7BC0"/>
    <w:rsid w:val="00EC19E5"/>
    <w:rsid w:val="00EC4F0F"/>
    <w:rsid w:val="00ED0D6B"/>
    <w:rsid w:val="00ED4452"/>
    <w:rsid w:val="00ED4AAD"/>
    <w:rsid w:val="00ED79AC"/>
    <w:rsid w:val="00EE16F7"/>
    <w:rsid w:val="00EE384D"/>
    <w:rsid w:val="00EE42A9"/>
    <w:rsid w:val="00EE52AD"/>
    <w:rsid w:val="00EF016D"/>
    <w:rsid w:val="00EF1493"/>
    <w:rsid w:val="00EF3709"/>
    <w:rsid w:val="00EF750C"/>
    <w:rsid w:val="00F0076C"/>
    <w:rsid w:val="00F01AF4"/>
    <w:rsid w:val="00F05F83"/>
    <w:rsid w:val="00F06415"/>
    <w:rsid w:val="00F066FB"/>
    <w:rsid w:val="00F0764E"/>
    <w:rsid w:val="00F076AA"/>
    <w:rsid w:val="00F07EA4"/>
    <w:rsid w:val="00F14F5B"/>
    <w:rsid w:val="00F1522C"/>
    <w:rsid w:val="00F16DAF"/>
    <w:rsid w:val="00F201A4"/>
    <w:rsid w:val="00F223BF"/>
    <w:rsid w:val="00F23667"/>
    <w:rsid w:val="00F23C10"/>
    <w:rsid w:val="00F2492B"/>
    <w:rsid w:val="00F30668"/>
    <w:rsid w:val="00F30DDA"/>
    <w:rsid w:val="00F31F97"/>
    <w:rsid w:val="00F343C0"/>
    <w:rsid w:val="00F42839"/>
    <w:rsid w:val="00F44885"/>
    <w:rsid w:val="00F45559"/>
    <w:rsid w:val="00F455D4"/>
    <w:rsid w:val="00F45741"/>
    <w:rsid w:val="00F45E92"/>
    <w:rsid w:val="00F52E60"/>
    <w:rsid w:val="00F543AB"/>
    <w:rsid w:val="00F54AE9"/>
    <w:rsid w:val="00F54F99"/>
    <w:rsid w:val="00F60DAA"/>
    <w:rsid w:val="00F61032"/>
    <w:rsid w:val="00F62C7B"/>
    <w:rsid w:val="00F65947"/>
    <w:rsid w:val="00F6641E"/>
    <w:rsid w:val="00F733AA"/>
    <w:rsid w:val="00F74E41"/>
    <w:rsid w:val="00F754E1"/>
    <w:rsid w:val="00F76830"/>
    <w:rsid w:val="00F827F3"/>
    <w:rsid w:val="00F91036"/>
    <w:rsid w:val="00F922C5"/>
    <w:rsid w:val="00F9393C"/>
    <w:rsid w:val="00F93A60"/>
    <w:rsid w:val="00F9516F"/>
    <w:rsid w:val="00F95305"/>
    <w:rsid w:val="00FA2280"/>
    <w:rsid w:val="00FA30FB"/>
    <w:rsid w:val="00FA4FC5"/>
    <w:rsid w:val="00FA6635"/>
    <w:rsid w:val="00FA7E7B"/>
    <w:rsid w:val="00FB0D64"/>
    <w:rsid w:val="00FC12A7"/>
    <w:rsid w:val="00FC757E"/>
    <w:rsid w:val="00FD062E"/>
    <w:rsid w:val="00FD3CEA"/>
    <w:rsid w:val="00FD51B6"/>
    <w:rsid w:val="00FD694F"/>
    <w:rsid w:val="00FE0680"/>
    <w:rsid w:val="00FE15A8"/>
    <w:rsid w:val="00FE26CC"/>
    <w:rsid w:val="00FE2B0D"/>
    <w:rsid w:val="00FE77A5"/>
    <w:rsid w:val="00FF021D"/>
    <w:rsid w:val="00FF76E7"/>
    <w:rsid w:val="09372C50"/>
    <w:rsid w:val="0E066805"/>
    <w:rsid w:val="0E33434E"/>
    <w:rsid w:val="13967CA1"/>
    <w:rsid w:val="199C029C"/>
    <w:rsid w:val="1A1A6E75"/>
    <w:rsid w:val="1D4E3B34"/>
    <w:rsid w:val="1FEF209F"/>
    <w:rsid w:val="217234F3"/>
    <w:rsid w:val="21A67792"/>
    <w:rsid w:val="27466FEA"/>
    <w:rsid w:val="28EB10B1"/>
    <w:rsid w:val="2F5669E9"/>
    <w:rsid w:val="31012AAD"/>
    <w:rsid w:val="33AF2B98"/>
    <w:rsid w:val="39547E31"/>
    <w:rsid w:val="3B0F3E19"/>
    <w:rsid w:val="41EC6C5B"/>
    <w:rsid w:val="43F538A2"/>
    <w:rsid w:val="4A9D7CC8"/>
    <w:rsid w:val="4E88055E"/>
    <w:rsid w:val="4F4964AA"/>
    <w:rsid w:val="50C26F50"/>
    <w:rsid w:val="56802B7A"/>
    <w:rsid w:val="57752372"/>
    <w:rsid w:val="61275F83"/>
    <w:rsid w:val="64061450"/>
    <w:rsid w:val="642B3CCA"/>
    <w:rsid w:val="6C344860"/>
    <w:rsid w:val="72511091"/>
    <w:rsid w:val="79C40850"/>
    <w:rsid w:val="7D6E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jc w:val="center"/>
      <w:outlineLvl w:val="0"/>
    </w:pPr>
    <w:rPr>
      <w:rFonts w:ascii="Times New Roman" w:hAnsi="Times New Roman"/>
      <w:b/>
      <w:bCs/>
      <w:sz w:val="32"/>
      <w:szCs w:val="24"/>
    </w:rPr>
  </w:style>
  <w:style w:type="paragraph" w:styleId="3">
    <w:name w:val="heading 2"/>
    <w:basedOn w:val="1"/>
    <w:next w:val="1"/>
    <w:link w:val="30"/>
    <w:qFormat/>
    <w:uiPriority w:val="9"/>
    <w:pPr>
      <w:keepNext/>
      <w:keepLines/>
      <w:spacing w:line="416" w:lineRule="auto"/>
      <w:outlineLvl w:val="1"/>
    </w:pPr>
    <w:rPr>
      <w:rFonts w:ascii="Cambria" w:hAnsi="Cambria"/>
      <w:b/>
      <w:bCs/>
      <w:szCs w:val="32"/>
    </w:rPr>
  </w:style>
  <w:style w:type="paragraph" w:styleId="4">
    <w:name w:val="heading 3"/>
    <w:basedOn w:val="1"/>
    <w:next w:val="1"/>
    <w:link w:val="27"/>
    <w:qFormat/>
    <w:uiPriority w:val="9"/>
    <w:pPr>
      <w:keepNext/>
      <w:keepLines/>
      <w:spacing w:line="416" w:lineRule="auto"/>
      <w:outlineLvl w:val="2"/>
    </w:pPr>
    <w:rPr>
      <w:b/>
      <w:bCs/>
      <w:szCs w:val="32"/>
    </w:rPr>
  </w:style>
  <w:style w:type="paragraph" w:styleId="5">
    <w:name w:val="heading 4"/>
    <w:basedOn w:val="1"/>
    <w:next w:val="6"/>
    <w:qFormat/>
    <w:uiPriority w:val="0"/>
    <w:pPr>
      <w:keepNext/>
      <w:jc w:val="center"/>
      <w:outlineLvl w:val="3"/>
    </w:pPr>
    <w:rPr>
      <w:rFonts w:ascii="Times New Roman" w:hAnsi="Times New Roman"/>
      <w:sz w:val="4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szCs w:val="20"/>
    </w:rPr>
  </w:style>
  <w:style w:type="paragraph" w:styleId="7">
    <w:name w:val="Body Text"/>
    <w:basedOn w:val="1"/>
    <w:link w:val="43"/>
    <w:qFormat/>
    <w:uiPriority w:val="0"/>
    <w:pPr>
      <w:tabs>
        <w:tab w:val="left" w:pos="5040"/>
      </w:tabs>
    </w:pPr>
    <w:rPr>
      <w:rFonts w:ascii="宋体" w:hAnsi="宋体"/>
      <w:sz w:val="24"/>
      <w:szCs w:val="24"/>
    </w:rPr>
  </w:style>
  <w:style w:type="paragraph" w:styleId="8">
    <w:name w:val="Body Text Indent"/>
    <w:basedOn w:val="1"/>
    <w:link w:val="38"/>
    <w:qFormat/>
    <w:uiPriority w:val="0"/>
    <w:pPr>
      <w:ind w:firstLine="472" w:firstLineChars="200"/>
    </w:pPr>
    <w:rPr>
      <w:rFonts w:ascii="Times New Roman" w:hAnsi="Times New Roman"/>
      <w:spacing w:val="-2"/>
      <w:sz w:val="24"/>
      <w:szCs w:val="24"/>
    </w:rPr>
  </w:style>
  <w:style w:type="paragraph" w:styleId="9">
    <w:name w:val="Plain Text"/>
    <w:basedOn w:val="1"/>
    <w:link w:val="47"/>
    <w:qFormat/>
    <w:uiPriority w:val="0"/>
    <w:rPr>
      <w:rFonts w:ascii="宋体" w:hAnsi="Courier New"/>
      <w:szCs w:val="21"/>
    </w:rPr>
  </w:style>
  <w:style w:type="paragraph" w:styleId="10">
    <w:name w:val="Date"/>
    <w:basedOn w:val="1"/>
    <w:next w:val="1"/>
    <w:link w:val="23"/>
    <w:unhideWhenUsed/>
    <w:qFormat/>
    <w:uiPriority w:val="0"/>
    <w:pPr>
      <w:ind w:left="100" w:leftChars="2500"/>
    </w:pPr>
  </w:style>
  <w:style w:type="paragraph" w:styleId="11">
    <w:name w:val="Body Text Indent 2"/>
    <w:basedOn w:val="1"/>
    <w:link w:val="44"/>
    <w:qFormat/>
    <w:uiPriority w:val="0"/>
    <w:pPr>
      <w:ind w:firstLine="508" w:firstLineChars="242"/>
    </w:pPr>
    <w:rPr>
      <w:rFonts w:ascii="Times New Roman" w:hAnsi="Times New Roman"/>
      <w:szCs w:val="24"/>
    </w:rPr>
  </w:style>
  <w:style w:type="paragraph" w:styleId="12">
    <w:name w:val="Balloon Text"/>
    <w:basedOn w:val="1"/>
    <w:link w:val="42"/>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4"/>
    <w:qFormat/>
    <w:uiPriority w:val="0"/>
    <w:pPr>
      <w:ind w:firstLine="405" w:firstLineChars="193"/>
    </w:pPr>
    <w:rPr>
      <w:rFonts w:ascii="Times New Roman" w:hAnsi="Times New Roman"/>
      <w:szCs w:val="24"/>
    </w:rPr>
  </w:style>
  <w:style w:type="paragraph" w:styleId="16">
    <w:name w:val="Body Text 2"/>
    <w:basedOn w:val="1"/>
    <w:qFormat/>
    <w:uiPriority w:val="0"/>
    <w:pPr>
      <w:spacing w:line="480" w:lineRule="exact"/>
      <w:jc w:val="left"/>
    </w:pPr>
    <w:rPr>
      <w:rFonts w:ascii="Times New Roman" w:hAnsi="Times New Roman"/>
      <w:spacing w:val="-10"/>
      <w:kern w:val="0"/>
      <w:sz w:val="24"/>
      <w:szCs w:val="24"/>
    </w:r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qFormat/>
    <w:uiPriority w:val="0"/>
    <w:rPr>
      <w:color w:val="800080"/>
      <w:u w:val="single"/>
    </w:rPr>
  </w:style>
  <w:style w:type="character" w:styleId="22">
    <w:name w:val="Hyperlink"/>
    <w:unhideWhenUsed/>
    <w:qFormat/>
    <w:uiPriority w:val="99"/>
    <w:rPr>
      <w:color w:val="0000FF"/>
      <w:u w:val="single"/>
    </w:rPr>
  </w:style>
  <w:style w:type="character" w:customStyle="1" w:styleId="23">
    <w:name w:val="日期 字符"/>
    <w:basedOn w:val="19"/>
    <w:link w:val="10"/>
    <w:semiHidden/>
    <w:qFormat/>
    <w:uiPriority w:val="99"/>
  </w:style>
  <w:style w:type="character" w:customStyle="1" w:styleId="24">
    <w:name w:val="正文文本缩进 3 字符"/>
    <w:link w:val="15"/>
    <w:qFormat/>
    <w:uiPriority w:val="0"/>
    <w:rPr>
      <w:rFonts w:ascii="Times New Roman" w:hAnsi="Times New Roman" w:eastAsia="宋体" w:cs="Times New Roman"/>
      <w:szCs w:val="24"/>
      <w:lang w:val="en-US" w:eastAsia="zh-CN"/>
    </w:rPr>
  </w:style>
  <w:style w:type="character" w:customStyle="1" w:styleId="25">
    <w:name w:val="页眉 字符"/>
    <w:link w:val="14"/>
    <w:qFormat/>
    <w:uiPriority w:val="0"/>
    <w:rPr>
      <w:sz w:val="18"/>
      <w:szCs w:val="18"/>
    </w:rPr>
  </w:style>
  <w:style w:type="character" w:customStyle="1" w:styleId="26">
    <w:name w:val="Char Char1"/>
    <w:qFormat/>
    <w:locked/>
    <w:uiPriority w:val="0"/>
    <w:rPr>
      <w:rFonts w:ascii="宋体" w:hAnsi="宋体" w:eastAsia="宋体"/>
      <w:kern w:val="2"/>
      <w:sz w:val="21"/>
      <w:szCs w:val="24"/>
      <w:lang w:val="en-US" w:eastAsia="zh-CN" w:bidi="ar-SA"/>
    </w:rPr>
  </w:style>
  <w:style w:type="character" w:customStyle="1" w:styleId="27">
    <w:name w:val="标题 3 字符"/>
    <w:link w:val="4"/>
    <w:qFormat/>
    <w:uiPriority w:val="9"/>
    <w:rPr>
      <w:b/>
      <w:bCs/>
      <w:szCs w:val="32"/>
    </w:rPr>
  </w:style>
  <w:style w:type="character" w:customStyle="1" w:styleId="28">
    <w:name w:val="页脚 字符"/>
    <w:link w:val="13"/>
    <w:qFormat/>
    <w:uiPriority w:val="99"/>
    <w:rPr>
      <w:sz w:val="18"/>
      <w:szCs w:val="18"/>
    </w:rPr>
  </w:style>
  <w:style w:type="character" w:customStyle="1" w:styleId="29">
    <w:name w:val="Char Char2"/>
    <w:qFormat/>
    <w:locked/>
    <w:uiPriority w:val="0"/>
    <w:rPr>
      <w:rFonts w:ascii="宋体" w:hAnsi="宋体" w:eastAsia="宋体"/>
      <w:kern w:val="2"/>
      <w:sz w:val="24"/>
      <w:szCs w:val="24"/>
      <w:lang w:val="en-US" w:eastAsia="zh-CN" w:bidi="ar-SA"/>
    </w:rPr>
  </w:style>
  <w:style w:type="character" w:customStyle="1" w:styleId="30">
    <w:name w:val="标题 2 字符"/>
    <w:link w:val="3"/>
    <w:qFormat/>
    <w:uiPriority w:val="9"/>
    <w:rPr>
      <w:rFonts w:ascii="Cambria" w:hAnsi="Cambria" w:eastAsia="宋体" w:cs="Times New Roman"/>
      <w:b/>
      <w:bCs/>
      <w:szCs w:val="32"/>
    </w:rPr>
  </w:style>
  <w:style w:type="character" w:customStyle="1" w:styleId="31">
    <w:name w:val="Char Char12"/>
    <w:qFormat/>
    <w:uiPriority w:val="0"/>
    <w:rPr>
      <w:rFonts w:hint="default" w:ascii="Arial" w:hAnsi="Arial" w:eastAsia="黑体" w:cs="Arial"/>
      <w:b/>
      <w:kern w:val="2"/>
      <w:sz w:val="32"/>
      <w:szCs w:val="24"/>
      <w:lang w:val="en-US" w:eastAsia="zh-CN" w:bidi="ar-SA"/>
    </w:rPr>
  </w:style>
  <w:style w:type="character" w:customStyle="1" w:styleId="32">
    <w:name w:val="Char Char13"/>
    <w:qFormat/>
    <w:uiPriority w:val="0"/>
    <w:rPr>
      <w:rFonts w:hint="eastAsia" w:ascii="宋体" w:hAnsi="宋体" w:eastAsia="宋体"/>
      <w:b/>
      <w:kern w:val="44"/>
      <w:sz w:val="44"/>
      <w:szCs w:val="24"/>
      <w:lang w:val="en-US" w:eastAsia="zh-CN" w:bidi="ar-SA"/>
    </w:rPr>
  </w:style>
  <w:style w:type="character" w:customStyle="1" w:styleId="33">
    <w:name w:val="Char Char3"/>
    <w:qFormat/>
    <w:locked/>
    <w:uiPriority w:val="0"/>
    <w:rPr>
      <w:rFonts w:ascii="宋体" w:hAnsi="宋体" w:eastAsia="宋体"/>
      <w:spacing w:val="-2"/>
      <w:kern w:val="2"/>
      <w:sz w:val="24"/>
      <w:szCs w:val="24"/>
      <w:lang w:val="en-US" w:eastAsia="zh-CN" w:bidi="ar-SA"/>
    </w:rPr>
  </w:style>
  <w:style w:type="character" w:customStyle="1" w:styleId="34">
    <w:name w:val="Char Char4"/>
    <w:qFormat/>
    <w:locked/>
    <w:uiPriority w:val="0"/>
    <w:rPr>
      <w:rFonts w:ascii="宋体" w:hAnsi="Courier New" w:eastAsia="宋体"/>
      <w:kern w:val="2"/>
      <w:sz w:val="21"/>
      <w:szCs w:val="21"/>
      <w:lang w:val="en-US" w:eastAsia="zh-CN" w:bidi="ar-SA"/>
    </w:rPr>
  </w:style>
  <w:style w:type="character" w:customStyle="1" w:styleId="35">
    <w:name w:val="列项——（一级） Char"/>
    <w:link w:val="36"/>
    <w:qFormat/>
    <w:locked/>
    <w:uiPriority w:val="0"/>
    <w:rPr>
      <w:rFonts w:ascii="宋体"/>
      <w:sz w:val="21"/>
      <w:lang w:val="en-US" w:eastAsia="zh-CN" w:bidi="ar-SA"/>
    </w:rPr>
  </w:style>
  <w:style w:type="paragraph" w:customStyle="1" w:styleId="36">
    <w:name w:val="列项——（一级）"/>
    <w:link w:val="35"/>
    <w:qFormat/>
    <w:uiPriority w:val="0"/>
    <w:pPr>
      <w:widowControl w:val="0"/>
      <w:numPr>
        <w:ilvl w:val="0"/>
        <w:numId w:val="1"/>
      </w:numPr>
      <w:tabs>
        <w:tab w:val="left" w:pos="854"/>
        <w:tab w:val="clear" w:pos="1140"/>
      </w:tabs>
      <w:ind w:left="200" w:leftChars="200" w:hanging="200" w:hangingChars="200"/>
      <w:jc w:val="both"/>
    </w:pPr>
    <w:rPr>
      <w:rFonts w:ascii="宋体" w:hAnsi="Calibri" w:eastAsia="宋体" w:cs="Times New Roman"/>
      <w:sz w:val="21"/>
      <w:lang w:val="en-US" w:eastAsia="zh-CN" w:bidi="ar-SA"/>
    </w:rPr>
  </w:style>
  <w:style w:type="character" w:customStyle="1" w:styleId="37">
    <w:name w:val="Char Char11"/>
    <w:qFormat/>
    <w:locked/>
    <w:uiPriority w:val="0"/>
    <w:rPr>
      <w:rFonts w:eastAsia="宋体"/>
      <w:b/>
      <w:bCs/>
      <w:kern w:val="2"/>
      <w:sz w:val="32"/>
      <w:szCs w:val="24"/>
      <w:lang w:val="en-US" w:eastAsia="zh-CN" w:bidi="ar-SA"/>
    </w:rPr>
  </w:style>
  <w:style w:type="character" w:customStyle="1" w:styleId="38">
    <w:name w:val="正文文本缩进 字符"/>
    <w:link w:val="8"/>
    <w:qFormat/>
    <w:uiPriority w:val="0"/>
    <w:rPr>
      <w:rFonts w:ascii="Times New Roman" w:hAnsi="Times New Roman" w:eastAsia="宋体" w:cs="Times New Roman"/>
      <w:spacing w:val="-2"/>
      <w:sz w:val="24"/>
      <w:szCs w:val="24"/>
    </w:rPr>
  </w:style>
  <w:style w:type="character" w:customStyle="1" w:styleId="39">
    <w:name w:val="Char Char7"/>
    <w:qFormat/>
    <w:locked/>
    <w:uiPriority w:val="0"/>
    <w:rPr>
      <w:rFonts w:ascii="Calibri" w:hAnsi="Calibri" w:eastAsia="宋体"/>
      <w:kern w:val="2"/>
      <w:sz w:val="18"/>
      <w:szCs w:val="18"/>
      <w:lang w:val="en-US" w:eastAsia="zh-CN" w:bidi="ar-SA"/>
    </w:rPr>
  </w:style>
  <w:style w:type="character" w:customStyle="1" w:styleId="40">
    <w:name w:val="Char Char10"/>
    <w:qFormat/>
    <w:locked/>
    <w:uiPriority w:val="0"/>
    <w:rPr>
      <w:rFonts w:ascii="Cambria" w:hAnsi="Cambria" w:eastAsia="宋体" w:cs="宋体"/>
      <w:b/>
      <w:bCs/>
      <w:kern w:val="2"/>
      <w:sz w:val="21"/>
      <w:szCs w:val="32"/>
      <w:lang w:val="en-US" w:eastAsia="zh-CN" w:bidi="ar-SA"/>
    </w:rPr>
  </w:style>
  <w:style w:type="character" w:customStyle="1" w:styleId="41">
    <w:name w:val="标题 1 字符"/>
    <w:link w:val="2"/>
    <w:qFormat/>
    <w:uiPriority w:val="0"/>
    <w:rPr>
      <w:rFonts w:ascii="Times New Roman" w:hAnsi="Times New Roman" w:eastAsia="宋体" w:cs="Times New Roman"/>
      <w:b/>
      <w:bCs/>
      <w:sz w:val="32"/>
      <w:szCs w:val="24"/>
    </w:rPr>
  </w:style>
  <w:style w:type="character" w:customStyle="1" w:styleId="42">
    <w:name w:val="批注框文本 字符"/>
    <w:link w:val="12"/>
    <w:semiHidden/>
    <w:qFormat/>
    <w:uiPriority w:val="99"/>
    <w:rPr>
      <w:sz w:val="18"/>
      <w:szCs w:val="18"/>
    </w:rPr>
  </w:style>
  <w:style w:type="character" w:customStyle="1" w:styleId="43">
    <w:name w:val="正文文本 字符"/>
    <w:link w:val="7"/>
    <w:qFormat/>
    <w:uiPriority w:val="0"/>
    <w:rPr>
      <w:rFonts w:ascii="宋体" w:hAnsi="宋体" w:eastAsia="宋体" w:cs="Times New Roman"/>
      <w:sz w:val="24"/>
      <w:szCs w:val="24"/>
    </w:rPr>
  </w:style>
  <w:style w:type="character" w:customStyle="1" w:styleId="44">
    <w:name w:val="正文文本缩进 2 字符"/>
    <w:link w:val="11"/>
    <w:qFormat/>
    <w:uiPriority w:val="0"/>
    <w:rPr>
      <w:rFonts w:ascii="Times New Roman" w:hAnsi="Times New Roman" w:eastAsia="宋体" w:cs="Times New Roman"/>
      <w:szCs w:val="24"/>
    </w:rPr>
  </w:style>
  <w:style w:type="character" w:customStyle="1" w:styleId="45">
    <w:name w:val="Char Char"/>
    <w:qFormat/>
    <w:locked/>
    <w:uiPriority w:val="0"/>
    <w:rPr>
      <w:rFonts w:ascii="宋体" w:hAnsi="宋体" w:eastAsia="宋体"/>
      <w:kern w:val="2"/>
      <w:sz w:val="21"/>
      <w:szCs w:val="24"/>
      <w:lang w:val="en-US" w:eastAsia="zh-CN" w:bidi="ar-SA"/>
    </w:rPr>
  </w:style>
  <w:style w:type="character" w:customStyle="1" w:styleId="46">
    <w:name w:val="发布"/>
    <w:qFormat/>
    <w:uiPriority w:val="0"/>
    <w:rPr>
      <w:rFonts w:hint="eastAsia" w:ascii="黑体" w:eastAsia="黑体"/>
      <w:spacing w:val="22"/>
      <w:w w:val="100"/>
      <w:position w:val="3"/>
      <w:sz w:val="28"/>
    </w:rPr>
  </w:style>
  <w:style w:type="character" w:customStyle="1" w:styleId="47">
    <w:name w:val="纯文本 字符"/>
    <w:link w:val="9"/>
    <w:qFormat/>
    <w:uiPriority w:val="0"/>
    <w:rPr>
      <w:rFonts w:ascii="宋体" w:hAnsi="Courier New" w:eastAsia="宋体" w:cs="Times New Roman"/>
      <w:szCs w:val="21"/>
    </w:rPr>
  </w:style>
  <w:style w:type="character" w:customStyle="1" w:styleId="48">
    <w:name w:val="Char Char8"/>
    <w:qFormat/>
    <w:locked/>
    <w:uiPriority w:val="0"/>
    <w:rPr>
      <w:rFonts w:ascii="Calibri" w:hAnsi="Calibri" w:eastAsia="宋体"/>
      <w:kern w:val="2"/>
      <w:sz w:val="18"/>
      <w:szCs w:val="18"/>
      <w:lang w:val="en-US" w:eastAsia="zh-CN" w:bidi="ar-SA"/>
    </w:rPr>
  </w:style>
  <w:style w:type="character" w:customStyle="1" w:styleId="49">
    <w:name w:val="Char Char9"/>
    <w:qFormat/>
    <w:locked/>
    <w:uiPriority w:val="0"/>
    <w:rPr>
      <w:rFonts w:ascii="Calibri" w:hAnsi="Calibri" w:eastAsia="宋体" w:cs="宋体"/>
      <w:b/>
      <w:bCs/>
      <w:kern w:val="2"/>
      <w:sz w:val="21"/>
      <w:szCs w:val="32"/>
      <w:lang w:val="en-US" w:eastAsia="zh-CN" w:bidi="ar-SA"/>
    </w:rPr>
  </w:style>
  <w:style w:type="paragraph" w:customStyle="1" w:styleId="50">
    <w:name w:val="目录 31"/>
    <w:basedOn w:val="1"/>
    <w:next w:val="1"/>
    <w:unhideWhenUsed/>
    <w:qFormat/>
    <w:uiPriority w:val="39"/>
    <w:pPr>
      <w:widowControl/>
      <w:spacing w:after="100" w:line="276" w:lineRule="auto"/>
      <w:ind w:left="440"/>
      <w:jc w:val="left"/>
    </w:pPr>
    <w:rPr>
      <w:kern w:val="0"/>
      <w:sz w:val="22"/>
    </w:rPr>
  </w:style>
  <w:style w:type="paragraph" w:customStyle="1" w:styleId="51">
    <w:name w:val="目录 21"/>
    <w:basedOn w:val="1"/>
    <w:next w:val="1"/>
    <w:unhideWhenUsed/>
    <w:qFormat/>
    <w:uiPriority w:val="39"/>
    <w:pPr>
      <w:widowControl/>
      <w:spacing w:after="100" w:line="276" w:lineRule="auto"/>
      <w:ind w:left="220"/>
      <w:jc w:val="left"/>
    </w:pPr>
    <w:rPr>
      <w:kern w:val="0"/>
      <w:sz w:val="22"/>
    </w:rPr>
  </w:style>
  <w:style w:type="paragraph" w:customStyle="1" w:styleId="52">
    <w:name w:val="正文首行缩进 21"/>
    <w:basedOn w:val="8"/>
    <w:qFormat/>
    <w:uiPriority w:val="0"/>
    <w:pPr>
      <w:spacing w:after="120"/>
      <w:ind w:left="420" w:firstLine="210" w:firstLineChars="0"/>
    </w:pPr>
    <w:rPr>
      <w:rFonts w:hint="eastAsia" w:ascii="宋体" w:hAnsi="宋体"/>
      <w:spacing w:val="0"/>
      <w:sz w:val="21"/>
      <w:szCs w:val="20"/>
    </w:rPr>
  </w:style>
  <w:style w:type="paragraph" w:customStyle="1" w:styleId="53">
    <w:name w:val="目录 11"/>
    <w:basedOn w:val="1"/>
    <w:next w:val="1"/>
    <w:unhideWhenUsed/>
    <w:qFormat/>
    <w:uiPriority w:val="39"/>
  </w:style>
  <w:style w:type="paragraph" w:customStyle="1" w:styleId="54">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55">
    <w:name w:val="列出段落"/>
    <w:basedOn w:val="1"/>
    <w:qFormat/>
    <w:uiPriority w:val="34"/>
    <w:pPr>
      <w:ind w:firstLine="420" w:firstLineChars="200"/>
    </w:pPr>
  </w:style>
  <w:style w:type="paragraph" w:customStyle="1" w:styleId="56">
    <w:name w:val="发布部门"/>
    <w:next w:val="1"/>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0">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三级条标题"/>
    <w:basedOn w:val="63"/>
    <w:next w:val="1"/>
    <w:qFormat/>
    <w:uiPriority w:val="0"/>
    <w:pPr>
      <w:numPr>
        <w:ilvl w:val="4"/>
      </w:numPr>
      <w:outlineLvl w:val="4"/>
    </w:pPr>
  </w:style>
  <w:style w:type="paragraph" w:customStyle="1" w:styleId="63">
    <w:name w:val="二级条标题"/>
    <w:basedOn w:val="64"/>
    <w:next w:val="1"/>
    <w:qFormat/>
    <w:uiPriority w:val="0"/>
    <w:pPr>
      <w:numPr>
        <w:ilvl w:val="3"/>
      </w:numPr>
      <w:outlineLvl w:val="3"/>
    </w:pPr>
  </w:style>
  <w:style w:type="paragraph" w:customStyle="1" w:styleId="64">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5">
    <w:name w:val="五级条标题"/>
    <w:basedOn w:val="66"/>
    <w:next w:val="1"/>
    <w:qFormat/>
    <w:uiPriority w:val="0"/>
    <w:pPr>
      <w:numPr>
        <w:ilvl w:val="6"/>
      </w:numPr>
      <w:outlineLvl w:val="6"/>
    </w:pPr>
  </w:style>
  <w:style w:type="paragraph" w:customStyle="1" w:styleId="66">
    <w:name w:val="四级条标题"/>
    <w:basedOn w:val="62"/>
    <w:next w:val="1"/>
    <w:qFormat/>
    <w:uiPriority w:val="0"/>
    <w:pPr>
      <w:numPr>
        <w:ilvl w:val="5"/>
      </w:numPr>
      <w:outlineLvl w:val="5"/>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实施日期"/>
    <w:basedOn w:val="58"/>
    <w:qFormat/>
    <w:uiPriority w:val="0"/>
    <w:pPr>
      <w:framePr w:hSpace="0" w:xAlign="right"/>
      <w:jc w:val="right"/>
    </w:pPr>
  </w:style>
  <w:style w:type="paragraph" w:customStyle="1" w:styleId="69">
    <w:name w:val="正文表标题"/>
    <w:next w:val="7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0">
    <w:name w:val="段"/>
    <w:link w:val="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封面正文"/>
    <w:qFormat/>
    <w:uiPriority w:val="0"/>
    <w:pPr>
      <w:jc w:val="both"/>
    </w:pPr>
    <w:rPr>
      <w:rFonts w:ascii="Times New Roman" w:hAnsi="Times New Roman" w:eastAsia="宋体" w:cs="Times New Roman"/>
      <w:lang w:val="en-US" w:eastAsia="zh-CN" w:bidi="ar-SA"/>
    </w:rPr>
  </w:style>
  <w:style w:type="paragraph" w:customStyle="1" w:styleId="72">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TOC Heading"/>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7">
    <w:name w:val="1"/>
    <w:basedOn w:val="1"/>
    <w:qFormat/>
    <w:uiPriority w:val="0"/>
    <w:pPr>
      <w:widowControl/>
      <w:spacing w:after="160" w:line="240" w:lineRule="exact"/>
      <w:jc w:val="left"/>
    </w:pPr>
    <w:rPr>
      <w:rFonts w:ascii="Verdana" w:hAnsi="Verdana"/>
      <w:kern w:val="0"/>
      <w:sz w:val="18"/>
      <w:szCs w:val="20"/>
      <w:lang w:eastAsia="en-US"/>
    </w:rPr>
  </w:style>
  <w:style w:type="paragraph" w:customStyle="1" w:styleId="7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0">
    <w:name w:val="封面标准代替信息"/>
    <w:basedOn w:val="81"/>
    <w:qFormat/>
    <w:uiPriority w:val="0"/>
    <w:pPr>
      <w:framePr w:h="1244" w:hRule="exact"/>
      <w:spacing w:before="57"/>
      <w:textAlignment w:val="center"/>
    </w:pPr>
    <w:rPr>
      <w:rFonts w:ascii="宋体"/>
      <w:sz w:val="21"/>
    </w:rPr>
  </w:style>
  <w:style w:type="paragraph" w:customStyle="1" w:styleId="81">
    <w:name w:val="封面标准号2"/>
    <w:basedOn w:val="1"/>
    <w:qFormat/>
    <w:uiPriority w:val="0"/>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hAnsi="Times New Roman"/>
      <w:kern w:val="0"/>
      <w:sz w:val="28"/>
      <w:szCs w:val="20"/>
    </w:rPr>
  </w:style>
  <w:style w:type="paragraph" w:customStyle="1" w:styleId="82">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83">
    <w:name w:val="图表脚注"/>
    <w:next w:val="7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4">
    <w:name w:val="样式1"/>
    <w:basedOn w:val="1"/>
    <w:qFormat/>
    <w:uiPriority w:val="0"/>
    <w:pPr>
      <w:tabs>
        <w:tab w:val="left" w:pos="525"/>
      </w:tabs>
    </w:pPr>
    <w:rPr>
      <w:rFonts w:ascii="宋体" w:hAnsi="宋体"/>
      <w:szCs w:val="21"/>
    </w:rPr>
  </w:style>
  <w:style w:type="paragraph" w:customStyle="1" w:styleId="85">
    <w:name w:val="目次、标准名称标题"/>
    <w:basedOn w:val="57"/>
    <w:next w:val="1"/>
    <w:qFormat/>
    <w:uiPriority w:val="0"/>
    <w:pPr>
      <w:spacing w:line="460" w:lineRule="exact"/>
    </w:pPr>
  </w:style>
  <w:style w:type="character" w:customStyle="1" w:styleId="86">
    <w:name w:val="段 Char"/>
    <w:link w:val="7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7</Pages>
  <Words>615</Words>
  <Characters>3511</Characters>
  <Lines>29</Lines>
  <Paragraphs>8</Paragraphs>
  <TotalTime>0</TotalTime>
  <ScaleCrop>false</ScaleCrop>
  <LinksUpToDate>false</LinksUpToDate>
  <CharactersWithSpaces>4118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2019-07-15T00:31:00Z</dcterms:created>
  <dc:creator>王巨平</dc:creator>
  <cp:lastModifiedBy>小蜗牛</cp:lastModifiedBy>
  <cp:lastPrinted>2015-11-09T07:06:00Z</cp:lastPrinted>
  <dcterms:modified xsi:type="dcterms:W3CDTF">2019-11-22T02:51:50Z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MTWinEqns">
    <vt:bool>true</vt:bool>
  </property>
  <property fmtid="{D5CDD505-2E9C-101B-9397-08002B2CF9AE}" pid="4" name="MTUseMTPrefs">
    <vt:lpwstr>1</vt:lpwstr>
  </property>
  <property fmtid="{D5CDD505-2E9C-101B-9397-08002B2CF9AE}" pid="5" name="MTEqnNumsOnRight">
    <vt:bool>false</vt:bool>
  </property>
  <property fmtid="{D5CDD505-2E9C-101B-9397-08002B2CF9AE}" pid="6" name="MTEquationNumber2">
    <vt:lpwstr>(#S1.#E1)</vt:lpwstr>
  </property>
</Properties>
</file>