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52"/>
          <w:szCs w:val="52"/>
        </w:rPr>
      </w:pPr>
      <w:r>
        <w:rPr>
          <w:rFonts w:hint="eastAsia" w:ascii="Times New Roman" w:hAnsi="Times New Roman"/>
          <w:b/>
          <w:sz w:val="52"/>
          <w:szCs w:val="52"/>
        </w:rPr>
        <w:t>铜冶炼烟尘</w:t>
      </w:r>
      <w:r>
        <w:rPr>
          <w:rFonts w:ascii="Times New Roman" w:hAnsi="Times New Roman"/>
          <w:b/>
          <w:sz w:val="52"/>
          <w:szCs w:val="52"/>
        </w:rPr>
        <w:t>化学分析方法</w:t>
      </w:r>
    </w:p>
    <w:p>
      <w:pPr>
        <w:rPr>
          <w:rFonts w:ascii="Times New Roman" w:hAnsi="Times New Roman"/>
        </w:rPr>
      </w:pPr>
    </w:p>
    <w:p>
      <w:pPr>
        <w:jc w:val="center"/>
        <w:rPr>
          <w:rFonts w:ascii="Times New Roman" w:hAnsi="Times New Roman"/>
          <w:b/>
          <w:sz w:val="48"/>
          <w:szCs w:val="48"/>
        </w:rPr>
      </w:pPr>
      <w:r>
        <w:rPr>
          <w:rFonts w:hint="eastAsia" w:ascii="Times New Roman" w:hAnsi="Times New Roman"/>
          <w:b/>
          <w:sz w:val="48"/>
          <w:szCs w:val="48"/>
        </w:rPr>
        <w:t>第1部分</w:t>
      </w:r>
      <w:r>
        <w:rPr>
          <w:rFonts w:hint="eastAsia" w:ascii="Times New Roman" w:hAnsi="Times New Roman"/>
          <w:b/>
          <w:sz w:val="48"/>
          <w:szCs w:val="48"/>
          <w:lang w:val="en-US" w:eastAsia="zh-CN"/>
        </w:rPr>
        <w:t xml:space="preserve"> </w:t>
      </w:r>
      <w:r>
        <w:rPr>
          <w:rFonts w:hint="eastAsia" w:ascii="Times New Roman" w:hAnsi="Times New Roman"/>
          <w:b/>
          <w:sz w:val="48"/>
          <w:szCs w:val="48"/>
        </w:rPr>
        <w:t>铜</w:t>
      </w:r>
      <w:r>
        <w:rPr>
          <w:rFonts w:ascii="Times New Roman" w:hAnsi="Times New Roman"/>
          <w:b/>
          <w:sz w:val="48"/>
          <w:szCs w:val="48"/>
        </w:rPr>
        <w:t>含量的测定</w:t>
      </w:r>
    </w:p>
    <w:p>
      <w:pPr>
        <w:jc w:val="center"/>
        <w:rPr>
          <w:rFonts w:ascii="Times New Roman" w:hAnsi="Times New Roman"/>
          <w:b/>
          <w:sz w:val="48"/>
          <w:szCs w:val="48"/>
        </w:rPr>
      </w:pPr>
    </w:p>
    <w:p>
      <w:pPr>
        <w:jc w:val="center"/>
        <w:rPr>
          <w:rFonts w:ascii="Times New Roman" w:hAnsi="Times New Roman"/>
          <w:b/>
          <w:sz w:val="48"/>
          <w:szCs w:val="48"/>
        </w:rPr>
      </w:pPr>
      <w:r>
        <w:rPr>
          <w:rFonts w:hint="eastAsia" w:ascii="Times New Roman" w:hAnsi="Times New Roman"/>
          <w:b/>
          <w:sz w:val="48"/>
          <w:szCs w:val="48"/>
        </w:rPr>
        <w:t>火焰原子吸收光谱法和碘量</w:t>
      </w:r>
      <w:r>
        <w:rPr>
          <w:rFonts w:ascii="Times New Roman" w:hAnsi="Times New Roman"/>
          <w:b/>
          <w:sz w:val="48"/>
          <w:szCs w:val="48"/>
        </w:rPr>
        <w:t>法</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b/>
          <w:sz w:val="52"/>
          <w:szCs w:val="52"/>
        </w:rPr>
      </w:pPr>
      <w:r>
        <w:rPr>
          <w:rFonts w:ascii="Times New Roman" w:hAnsi="Times New Roman"/>
          <w:b/>
          <w:sz w:val="52"/>
          <w:szCs w:val="52"/>
        </w:rPr>
        <w:t>编制说明</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b/>
          <w:sz w:val="28"/>
          <w:szCs w:val="28"/>
        </w:rPr>
      </w:pPr>
      <w:r>
        <w:rPr>
          <w:rFonts w:hint="eastAsia" w:ascii="Times New Roman" w:hAnsi="Times New Roman"/>
          <w:b/>
          <w:bCs/>
          <w:sz w:val="28"/>
          <w:szCs w:val="28"/>
        </w:rPr>
        <w:t>北矿检测技术有限公司</w:t>
      </w:r>
      <w:r>
        <w:rPr>
          <w:rFonts w:hint="eastAsia" w:ascii="Times New Roman" w:hAnsi="Times New Roman"/>
          <w:b/>
          <w:bCs/>
          <w:sz w:val="28"/>
          <w:szCs w:val="28"/>
          <w:lang w:eastAsia="zh-CN"/>
        </w:rPr>
        <w:t>、</w:t>
      </w:r>
      <w:r>
        <w:rPr>
          <w:rFonts w:hint="eastAsia" w:ascii="Times New Roman" w:hAnsi="Times New Roman"/>
          <w:b/>
          <w:sz w:val="28"/>
          <w:szCs w:val="28"/>
        </w:rPr>
        <w:t>富民薪冶工贸有限公司</w:t>
      </w:r>
    </w:p>
    <w:p>
      <w:pPr>
        <w:jc w:val="center"/>
        <w:rPr>
          <w:rFonts w:ascii="Times New Roman" w:hAnsi="Times New Roman"/>
          <w:b/>
          <w:sz w:val="28"/>
          <w:szCs w:val="28"/>
        </w:rPr>
      </w:pPr>
      <w:r>
        <w:rPr>
          <w:rFonts w:ascii="Times New Roman" w:hAnsi="Times New Roman"/>
          <w:b/>
          <w:sz w:val="28"/>
          <w:szCs w:val="28"/>
        </w:rPr>
        <w:t>2019年</w:t>
      </w:r>
      <w:r>
        <w:rPr>
          <w:rFonts w:hint="eastAsia" w:ascii="Times New Roman" w:hAnsi="Times New Roman"/>
          <w:b/>
          <w:sz w:val="28"/>
          <w:szCs w:val="28"/>
        </w:rPr>
        <w:t>11</w:t>
      </w:r>
      <w:r>
        <w:rPr>
          <w:rFonts w:ascii="Times New Roman" w:hAnsi="Times New Roman"/>
          <w:b/>
          <w:sz w:val="28"/>
          <w:szCs w:val="28"/>
        </w:rPr>
        <w:t>月</w:t>
      </w: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sz w:val="28"/>
          <w:szCs w:val="28"/>
        </w:rPr>
      </w:pPr>
      <w:r>
        <w:rPr>
          <w:rFonts w:hint="eastAsia" w:ascii="Times New Roman" w:hAnsi="Times New Roman"/>
          <w:sz w:val="28"/>
          <w:szCs w:val="28"/>
        </w:rPr>
        <w:t>中华人民共和国有色金属行业标准</w:t>
      </w:r>
    </w:p>
    <w:p>
      <w:pPr>
        <w:jc w:val="center"/>
        <w:rPr>
          <w:rFonts w:ascii="宋体" w:hAnsi="宋体"/>
          <w:b/>
          <w:sz w:val="32"/>
          <w:szCs w:val="32"/>
        </w:rPr>
      </w:pPr>
      <w:r>
        <w:rPr>
          <w:rFonts w:hint="eastAsia" w:ascii="宋体" w:hAnsi="宋体"/>
          <w:b/>
          <w:sz w:val="32"/>
          <w:szCs w:val="32"/>
        </w:rPr>
        <w:t>铜冶炼烟尘</w:t>
      </w:r>
      <w:r>
        <w:rPr>
          <w:rFonts w:ascii="宋体" w:hAnsi="宋体"/>
          <w:b/>
          <w:sz w:val="32"/>
          <w:szCs w:val="32"/>
        </w:rPr>
        <w:t>化学分析方法</w:t>
      </w:r>
    </w:p>
    <w:p>
      <w:pPr>
        <w:jc w:val="center"/>
        <w:rPr>
          <w:rFonts w:hint="eastAsia" w:ascii="宋体" w:hAnsi="宋体"/>
          <w:b/>
          <w:bCs/>
          <w:sz w:val="32"/>
          <w:szCs w:val="32"/>
        </w:rPr>
      </w:pPr>
      <w:r>
        <w:rPr>
          <w:rFonts w:ascii="宋体" w:hAnsi="宋体"/>
          <w:b/>
          <w:bCs/>
          <w:sz w:val="32"/>
          <w:szCs w:val="32"/>
        </w:rPr>
        <w:t>第</w:t>
      </w:r>
      <w:r>
        <w:rPr>
          <w:rFonts w:hint="eastAsia" w:ascii="宋体" w:hAnsi="宋体"/>
          <w:b/>
          <w:bCs/>
          <w:sz w:val="32"/>
          <w:szCs w:val="32"/>
        </w:rPr>
        <w:t>1</w:t>
      </w:r>
      <w:r>
        <w:rPr>
          <w:rFonts w:ascii="宋体" w:hAnsi="宋体"/>
          <w:b/>
          <w:bCs/>
          <w:sz w:val="32"/>
          <w:szCs w:val="32"/>
        </w:rPr>
        <w:t>部分：</w:t>
      </w:r>
      <w:r>
        <w:rPr>
          <w:rFonts w:hint="eastAsia" w:ascii="宋体" w:hAnsi="宋体"/>
          <w:b/>
          <w:bCs/>
          <w:sz w:val="32"/>
          <w:szCs w:val="32"/>
        </w:rPr>
        <w:t>铜</w:t>
      </w:r>
      <w:r>
        <w:rPr>
          <w:rFonts w:ascii="宋体" w:hAnsi="宋体"/>
          <w:b/>
          <w:bCs/>
          <w:sz w:val="32"/>
          <w:szCs w:val="32"/>
        </w:rPr>
        <w:t>含量的测定</w:t>
      </w:r>
      <w:r>
        <w:rPr>
          <w:rFonts w:hint="eastAsia" w:ascii="宋体" w:hAnsi="宋体"/>
          <w:b/>
          <w:bCs/>
          <w:sz w:val="32"/>
          <w:szCs w:val="32"/>
          <w:lang w:val="en-US" w:eastAsia="zh-CN"/>
        </w:rPr>
        <w:t xml:space="preserve"> </w:t>
      </w:r>
      <w:r>
        <w:rPr>
          <w:rFonts w:ascii="宋体" w:hAnsi="宋体"/>
          <w:b/>
          <w:bCs/>
          <w:sz w:val="32"/>
          <w:szCs w:val="32"/>
        </w:rPr>
        <w:t>火焰原子吸收光谱法和</w:t>
      </w:r>
      <w:r>
        <w:rPr>
          <w:rFonts w:hint="eastAsia" w:ascii="宋体" w:hAnsi="宋体"/>
          <w:b/>
          <w:bCs/>
          <w:sz w:val="32"/>
          <w:szCs w:val="32"/>
        </w:rPr>
        <w:t>碘量法</w:t>
      </w:r>
    </w:p>
    <w:p>
      <w:pPr>
        <w:jc w:val="center"/>
        <w:rPr>
          <w:rFonts w:ascii="Times New Roman" w:hAnsi="Times New Roman"/>
          <w:sz w:val="28"/>
          <w:szCs w:val="28"/>
        </w:rPr>
      </w:pPr>
      <w:r>
        <w:rPr>
          <w:rFonts w:hint="eastAsia" w:ascii="Times New Roman" w:hAnsi="Times New Roman"/>
          <w:sz w:val="28"/>
          <w:szCs w:val="28"/>
        </w:rPr>
        <w:t>编制说明</w:t>
      </w:r>
    </w:p>
    <w:p>
      <w:pPr>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工信厅科【2018】31号2018-05</w:t>
      </w:r>
      <w:r>
        <w:rPr>
          <w:rFonts w:hint="eastAsia" w:ascii="Times New Roman" w:hAnsi="Times New Roman" w:eastAsia="宋体" w:cs="Times New Roman"/>
          <w:sz w:val="21"/>
          <w:szCs w:val="21"/>
          <w:lang w:val="en-US" w:eastAsia="zh-CN"/>
        </w:rPr>
        <w:t>2</w:t>
      </w: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numPr>
          <w:ilvl w:val="0"/>
          <w:numId w:val="4"/>
        </w:numPr>
        <w:spacing w:line="360" w:lineRule="auto"/>
        <w:ind w:firstLine="0"/>
        <w:rPr>
          <w:rFonts w:ascii="Times New Roman" w:hAnsi="Times New Roman"/>
          <w:b/>
          <w:sz w:val="24"/>
        </w:rPr>
      </w:pPr>
      <w:r>
        <w:rPr>
          <w:rFonts w:ascii="Times New Roman" w:hAnsi="Times New Roman"/>
          <w:b/>
          <w:sz w:val="24"/>
        </w:rPr>
        <w:t>工作简况</w:t>
      </w:r>
    </w:p>
    <w:p>
      <w:pPr>
        <w:spacing w:line="360" w:lineRule="auto"/>
        <w:rPr>
          <w:rFonts w:ascii="Times New Roman" w:hAnsi="Times New Roman" w:eastAsia="黑体"/>
          <w:szCs w:val="21"/>
        </w:rPr>
      </w:pPr>
      <w:r>
        <w:rPr>
          <w:rFonts w:hint="eastAsia" w:ascii="Times New Roman" w:hAnsi="Times New Roman" w:eastAsia="黑体"/>
          <w:szCs w:val="21"/>
        </w:rPr>
        <w:t xml:space="preserve">1  </w:t>
      </w:r>
      <w:r>
        <w:rPr>
          <w:rFonts w:ascii="宋体" w:hAnsi="宋体"/>
          <w:b/>
          <w:szCs w:val="21"/>
        </w:rPr>
        <w:t>方法概况</w:t>
      </w:r>
    </w:p>
    <w:p>
      <w:pPr>
        <w:spacing w:line="360" w:lineRule="auto"/>
        <w:rPr>
          <w:rFonts w:ascii="宋体" w:hAnsi="宋体"/>
          <w:b/>
          <w:szCs w:val="21"/>
        </w:rPr>
      </w:pPr>
      <w:r>
        <w:rPr>
          <w:rFonts w:hint="eastAsia" w:ascii="Times New Roman" w:hAnsi="Times New Roman" w:eastAsia="黑体"/>
          <w:szCs w:val="21"/>
        </w:rPr>
        <w:t xml:space="preserve">1.1  </w:t>
      </w:r>
      <w:r>
        <w:rPr>
          <w:rFonts w:ascii="宋体" w:hAnsi="宋体"/>
          <w:b/>
          <w:szCs w:val="21"/>
        </w:rPr>
        <w:t>项目的必要性</w:t>
      </w:r>
    </w:p>
    <w:p>
      <w:pPr>
        <w:pStyle w:val="57"/>
        <w:spacing w:line="360" w:lineRule="auto"/>
        <w:ind w:left="214" w:leftChars="102"/>
        <w:rPr>
          <w:rFonts w:ascii="宋体" w:hAnsi="宋体" w:cs="宋体"/>
          <w:szCs w:val="21"/>
        </w:rPr>
      </w:pPr>
      <w:r>
        <w:rPr>
          <w:rFonts w:hint="eastAsia" w:ascii="宋体" w:hAnsi="宋体" w:cs="宋体"/>
          <w:szCs w:val="21"/>
        </w:rPr>
        <w:t>在铜的火法冶炼过程中，精矿中</w:t>
      </w:r>
      <w:r>
        <w:rPr>
          <w:rFonts w:hint="eastAsia" w:ascii="宋体" w:hAnsi="宋体" w:cs="宋体"/>
          <w:szCs w:val="21"/>
          <w:highlight w:val="none"/>
        </w:rPr>
        <w:t>杂质成分的开路方向主要有炉渣和烟尘。由于烟尘的性质和价值，决定了烟尘成为铜冶炼过程的一个重要综合回收点，</w:t>
      </w:r>
      <w:r>
        <w:rPr>
          <w:rFonts w:hint="eastAsia" w:ascii="宋体" w:hAnsi="宋体" w:cs="宋体"/>
          <w:szCs w:val="21"/>
          <w:highlight w:val="none"/>
          <w:lang w:val="en-US" w:eastAsia="zh-CN"/>
        </w:rPr>
        <w:t>同时</w:t>
      </w:r>
      <w:r>
        <w:rPr>
          <w:rFonts w:hint="eastAsia" w:ascii="宋体" w:hAnsi="宋体" w:cs="宋体"/>
          <w:szCs w:val="21"/>
          <w:highlight w:val="none"/>
        </w:rPr>
        <w:t>成为铜冶炼过程有毒有害元素的一个集中处置点。通过对烟尘的物相分析，发现各元素在烟尘</w:t>
      </w:r>
      <w:r>
        <w:rPr>
          <w:rFonts w:hint="eastAsia" w:ascii="宋体" w:hAnsi="宋体" w:cs="宋体"/>
          <w:szCs w:val="21"/>
        </w:rPr>
        <w:t>中主要以硫酸盐、氧化物、硫化物三种形态存在。</w:t>
      </w:r>
    </w:p>
    <w:p>
      <w:pPr>
        <w:pStyle w:val="57"/>
        <w:spacing w:line="360" w:lineRule="auto"/>
        <w:ind w:left="214" w:leftChars="102"/>
        <w:rPr>
          <w:rFonts w:ascii="宋体" w:hAnsi="宋体" w:cs="宋体"/>
          <w:szCs w:val="21"/>
        </w:rPr>
      </w:pPr>
      <w:r>
        <w:rPr>
          <w:rFonts w:hint="eastAsia" w:ascii="宋体" w:hAnsi="宋体" w:cs="宋体"/>
          <w:szCs w:val="21"/>
        </w:rPr>
        <w:t>铜冶炼烟尘作为冶炼过程中易挥发杂质的富集物，含有大量铅、砷等有毒有害元素，而被定为危险废物。根据烟尘中各元素的含量及其市场的价格，推算各元素潜在的价值。按其潜在的价值的大小，大致可将烟尘中的元素分为四个梯队，其中第一梯队即为铜、铅、铋。</w:t>
      </w:r>
    </w:p>
    <w:p>
      <w:pPr>
        <w:pStyle w:val="57"/>
        <w:spacing w:line="360" w:lineRule="auto"/>
        <w:ind w:left="214" w:leftChars="102"/>
        <w:rPr>
          <w:rFonts w:ascii="宋体" w:hAnsi="宋体" w:cs="宋体"/>
          <w:szCs w:val="21"/>
        </w:rPr>
      </w:pPr>
      <w:r>
        <w:rPr>
          <w:rFonts w:ascii="宋体" w:hAnsi="宋体" w:cs="宋体"/>
          <w:szCs w:val="21"/>
        </w:rPr>
        <w:t>铜冶炼烟尘中</w:t>
      </w:r>
      <w:r>
        <w:rPr>
          <w:rFonts w:hint="eastAsia" w:ascii="宋体" w:hAnsi="宋体" w:cs="宋体"/>
          <w:szCs w:val="21"/>
        </w:rPr>
        <w:t>含有大量的铜、铅、铋、锌、银、铟等有价金属，若不处理直接弃置浪费或者处理不恰当，将会造成资源的大量浪费，而且铜烟尘中还含有砷、镉等有害元素，还会造成严重的环境污染；如果直接返回冶炼系统进行处理，会导致炉内反应条件恶化、杂质成分的恶性积累，严重影响生产，同时造成炉料中有害成分增多，有害杂质的积累会直接影响电铜或粗铜的质量。</w:t>
      </w:r>
    </w:p>
    <w:p>
      <w:pPr>
        <w:pStyle w:val="57"/>
        <w:spacing w:line="360" w:lineRule="auto"/>
        <w:ind w:left="214" w:leftChars="102"/>
        <w:rPr>
          <w:rFonts w:ascii="宋体" w:hAnsi="宋体" w:cs="宋体"/>
          <w:szCs w:val="21"/>
        </w:rPr>
      </w:pPr>
      <w:r>
        <w:rPr>
          <w:rFonts w:hint="eastAsia" w:ascii="宋体" w:hAnsi="宋体" w:cs="宋体"/>
          <w:szCs w:val="21"/>
        </w:rPr>
        <w:t>目前国内铜冶炼企业烟尘的年产量在</w:t>
      </w:r>
      <w:r>
        <w:rPr>
          <w:rFonts w:ascii="宋体" w:hAnsi="宋体" w:cs="宋体"/>
          <w:szCs w:val="21"/>
        </w:rPr>
        <w:t>20</w:t>
      </w:r>
      <w:r>
        <w:rPr>
          <w:rFonts w:hint="eastAsia" w:ascii="宋体" w:hAnsi="宋体" w:cs="宋体"/>
          <w:szCs w:val="21"/>
        </w:rPr>
        <w:t>万吨以上。在精矿资源紧张的环境下，各铜冶炼企业纷纷把烟尘作为新的原料提取其中有价金属。做到既增加经济效益，又保护环境的“双赢”局面。伴随着铜冶炼烟尘的综合回收工艺越来越成熟与相关</w:t>
      </w:r>
      <w:r>
        <w:rPr>
          <w:rFonts w:ascii="宋体" w:hAnsi="宋体" w:cs="宋体"/>
          <w:szCs w:val="21"/>
        </w:rPr>
        <w:t>市场需求</w:t>
      </w:r>
      <w:r>
        <w:rPr>
          <w:rFonts w:hint="eastAsia" w:ascii="宋体" w:hAnsi="宋体" w:cs="宋体"/>
          <w:szCs w:val="21"/>
        </w:rPr>
        <w:t>，铜冶炼烟尘的贸易也越来越频繁。</w:t>
      </w:r>
    </w:p>
    <w:p>
      <w:pPr>
        <w:pStyle w:val="57"/>
        <w:spacing w:line="360" w:lineRule="auto"/>
        <w:ind w:left="214" w:leftChars="102"/>
        <w:rPr>
          <w:rFonts w:ascii="宋体" w:hAnsi="宋体" w:cs="宋体"/>
          <w:szCs w:val="21"/>
        </w:rPr>
      </w:pPr>
      <w:r>
        <w:rPr>
          <w:rFonts w:ascii="宋体" w:hAnsi="宋体" w:cs="宋体"/>
          <w:szCs w:val="21"/>
        </w:rPr>
        <w:t>因此</w:t>
      </w:r>
      <w:r>
        <w:rPr>
          <w:rFonts w:hint="eastAsia" w:ascii="宋体" w:hAnsi="宋体" w:cs="宋体"/>
          <w:szCs w:val="21"/>
        </w:rPr>
        <w:t>，</w:t>
      </w:r>
      <w:r>
        <w:rPr>
          <w:rFonts w:ascii="宋体" w:hAnsi="宋体" w:cs="宋体"/>
          <w:szCs w:val="21"/>
        </w:rPr>
        <w:t>准确</w:t>
      </w:r>
      <w:r>
        <w:rPr>
          <w:rFonts w:hint="eastAsia" w:ascii="宋体" w:hAnsi="宋体" w:cs="宋体"/>
          <w:szCs w:val="21"/>
        </w:rPr>
        <w:t>、快速测定</w:t>
      </w:r>
      <w:r>
        <w:rPr>
          <w:rFonts w:ascii="宋体" w:hAnsi="宋体" w:cs="宋体"/>
          <w:szCs w:val="21"/>
        </w:rPr>
        <w:t>出铜冶炼烟尘中</w:t>
      </w:r>
      <w:r>
        <w:rPr>
          <w:rFonts w:hint="eastAsia" w:ascii="宋体" w:hAnsi="宋体" w:cs="宋体"/>
          <w:szCs w:val="21"/>
        </w:rPr>
        <w:t>各</w:t>
      </w:r>
      <w:r>
        <w:rPr>
          <w:rFonts w:ascii="宋体" w:hAnsi="宋体" w:cs="宋体"/>
          <w:szCs w:val="21"/>
        </w:rPr>
        <w:t>元素的含量</w:t>
      </w:r>
      <w:r>
        <w:rPr>
          <w:rFonts w:hint="eastAsia" w:ascii="宋体" w:hAnsi="宋体" w:cs="宋体"/>
          <w:szCs w:val="21"/>
        </w:rPr>
        <w:t>，对企业</w:t>
      </w:r>
      <w:r>
        <w:rPr>
          <w:rFonts w:ascii="宋体" w:hAnsi="宋体" w:cs="宋体"/>
          <w:szCs w:val="21"/>
        </w:rPr>
        <w:t>确定回收工艺</w:t>
      </w:r>
      <w:r>
        <w:rPr>
          <w:rFonts w:hint="eastAsia" w:ascii="宋体" w:hAnsi="宋体" w:cs="宋体"/>
          <w:szCs w:val="21"/>
        </w:rPr>
        <w:t>、</w:t>
      </w:r>
      <w:r>
        <w:rPr>
          <w:rFonts w:ascii="宋体" w:hAnsi="宋体" w:cs="宋体"/>
          <w:szCs w:val="21"/>
        </w:rPr>
        <w:t>提高</w:t>
      </w:r>
      <w:r>
        <w:rPr>
          <w:rFonts w:hint="eastAsia" w:ascii="宋体" w:hAnsi="宋体" w:cs="宋体"/>
          <w:szCs w:val="21"/>
        </w:rPr>
        <w:t>烟尘</w:t>
      </w:r>
      <w:r>
        <w:rPr>
          <w:rFonts w:ascii="宋体" w:hAnsi="宋体" w:cs="宋体"/>
          <w:szCs w:val="21"/>
        </w:rPr>
        <w:t>的综合利用率并减轻对环境的污染</w:t>
      </w:r>
      <w:r>
        <w:rPr>
          <w:rFonts w:hint="eastAsia" w:ascii="宋体" w:hAnsi="宋体" w:cs="宋体"/>
          <w:szCs w:val="21"/>
        </w:rPr>
        <w:t>及进行</w:t>
      </w:r>
      <w:r>
        <w:rPr>
          <w:rFonts w:ascii="宋体" w:hAnsi="宋体" w:cs="宋体"/>
          <w:szCs w:val="21"/>
        </w:rPr>
        <w:t>贸易的双方</w:t>
      </w:r>
      <w:r>
        <w:rPr>
          <w:rFonts w:hint="eastAsia" w:ascii="宋体" w:hAnsi="宋体" w:cs="宋体"/>
          <w:szCs w:val="21"/>
        </w:rPr>
        <w:t>都</w:t>
      </w:r>
      <w:r>
        <w:rPr>
          <w:rFonts w:ascii="宋体" w:hAnsi="宋体" w:cs="宋体"/>
          <w:szCs w:val="21"/>
        </w:rPr>
        <w:t>有着</w:t>
      </w:r>
      <w:r>
        <w:rPr>
          <w:rFonts w:hint="eastAsia" w:ascii="宋体" w:hAnsi="宋体" w:cs="宋体"/>
          <w:szCs w:val="21"/>
        </w:rPr>
        <w:t>很重要的现实性和必要性。</w:t>
      </w:r>
    </w:p>
    <w:p>
      <w:pPr>
        <w:pStyle w:val="57"/>
        <w:numPr>
          <w:ilvl w:val="1"/>
          <w:numId w:val="5"/>
        </w:numPr>
        <w:spacing w:line="360" w:lineRule="auto"/>
        <w:ind w:firstLineChars="0"/>
        <w:rPr>
          <w:rFonts w:ascii="宋体" w:hAnsi="宋体"/>
          <w:b/>
          <w:szCs w:val="21"/>
        </w:rPr>
      </w:pPr>
      <w:r>
        <w:rPr>
          <w:rFonts w:ascii="宋体" w:hAnsi="宋体"/>
          <w:b/>
          <w:szCs w:val="21"/>
        </w:rPr>
        <w:t>适用范围</w:t>
      </w: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本</w:t>
      </w:r>
      <w:r>
        <w:rPr>
          <w:rFonts w:hint="eastAsia" w:ascii="Times New Roman" w:hAnsi="Times New Roman" w:cs="Times New Roman"/>
          <w:color w:val="000000"/>
          <w:szCs w:val="21"/>
          <w:lang w:val="en-US" w:eastAsia="zh-CN"/>
        </w:rPr>
        <w:t>部分</w:t>
      </w:r>
      <w:r>
        <w:rPr>
          <w:rFonts w:hint="default" w:ascii="Times New Roman" w:hAnsi="Times New Roman" w:cs="Times New Roman"/>
          <w:color w:val="000000"/>
          <w:szCs w:val="21"/>
        </w:rPr>
        <w:t>适用于铜冶炼烟尘中铜含量的测定。</w:t>
      </w:r>
      <w:r>
        <w:rPr>
          <w:rFonts w:hint="default" w:ascii="Times New Roman" w:hAnsi="Times New Roman" w:cs="Times New Roman"/>
          <w:color w:val="000000"/>
          <w:szCs w:val="21"/>
          <w:lang w:val="en-US" w:eastAsia="zh-CN"/>
        </w:rPr>
        <w:t xml:space="preserve">方法1原子吸收光谱法 </w:t>
      </w:r>
      <w:r>
        <w:rPr>
          <w:rFonts w:hint="default" w:ascii="Times New Roman" w:hAnsi="Times New Roman" w:cs="Times New Roman"/>
          <w:color w:val="000000"/>
          <w:szCs w:val="21"/>
        </w:rPr>
        <w:t>测定范围：</w:t>
      </w:r>
      <w:r>
        <w:rPr>
          <w:rFonts w:hint="default" w:ascii="Times New Roman" w:hAnsi="Times New Roman" w:cs="Times New Roman"/>
          <w:color w:val="000000" w:themeColor="text1"/>
          <w:szCs w:val="21"/>
          <w14:textFill>
            <w14:solidFill>
              <w14:schemeClr w14:val="tx1"/>
            </w14:solidFill>
          </w14:textFill>
        </w:rPr>
        <w:t>0.80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%～5.00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 xml:space="preserve">方法2 </w:t>
      </w:r>
      <w:r>
        <w:rPr>
          <w:rFonts w:hint="eastAsia" w:ascii="Times New Roman" w:hAnsi="Times New Roman" w:cs="Times New Roman"/>
          <w:color w:val="000000" w:themeColor="text1"/>
          <w:szCs w:val="21"/>
          <w:lang w:val="en-US" w:eastAsia="zh-CN"/>
          <w14:textFill>
            <w14:solidFill>
              <w14:schemeClr w14:val="tx1"/>
            </w14:solidFill>
          </w14:textFill>
        </w:rPr>
        <w:t>碘量法</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szCs w:val="21"/>
        </w:rPr>
        <w:t>测定范围：</w:t>
      </w:r>
      <w:r>
        <w:rPr>
          <w:rFonts w:hint="default" w:ascii="Times New Roman" w:hAnsi="Times New Roman" w:cs="Times New Roman"/>
          <w:color w:val="000000" w:themeColor="text1"/>
          <w:szCs w:val="21"/>
          <w14:textFill>
            <w14:solidFill>
              <w14:schemeClr w14:val="tx1"/>
            </w14:solidFill>
          </w14:textFill>
        </w:rPr>
        <w:t>5.00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%～65.00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szCs w:val="21"/>
        </w:rPr>
        <w:t>。</w:t>
      </w:r>
    </w:p>
    <w:p>
      <w:pPr>
        <w:pStyle w:val="57"/>
        <w:numPr>
          <w:ilvl w:val="1"/>
          <w:numId w:val="5"/>
        </w:numPr>
        <w:spacing w:line="360" w:lineRule="auto"/>
        <w:ind w:firstLineChars="0"/>
        <w:rPr>
          <w:rFonts w:ascii="宋体" w:hAnsi="宋体"/>
          <w:b/>
          <w:szCs w:val="21"/>
        </w:rPr>
      </w:pPr>
      <w:r>
        <w:rPr>
          <w:rFonts w:ascii="宋体" w:hAnsi="宋体"/>
          <w:b/>
          <w:szCs w:val="21"/>
        </w:rPr>
        <w:t>可行性</w:t>
      </w:r>
    </w:p>
    <w:p>
      <w:pPr>
        <w:spacing w:line="360" w:lineRule="auto"/>
        <w:ind w:firstLine="420" w:firstLineChars="200"/>
        <w:rPr>
          <w:rFonts w:hint="eastAsia" w:ascii="宋体" w:hAnsi="宋体" w:cs="宋体"/>
          <w:szCs w:val="21"/>
        </w:rPr>
      </w:pPr>
      <w:r>
        <w:rPr>
          <w:rFonts w:hint="eastAsia" w:ascii="宋体" w:hAnsi="宋体" w:cs="宋体"/>
          <w:szCs w:val="21"/>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原子吸收光谱仪，具备项目研究所需的仪器设备。标准起草人员主起草国家行业标准多项，参与国家行业标准几十项，具有丰富的方法研究经验。</w:t>
      </w:r>
    </w:p>
    <w:p>
      <w:pPr>
        <w:spacing w:line="360" w:lineRule="auto"/>
        <w:ind w:firstLine="420" w:firstLineChars="200"/>
        <w:rPr>
          <w:rFonts w:hint="eastAsia" w:ascii="宋体" w:hAnsi="宋体" w:cs="宋体"/>
          <w:szCs w:val="21"/>
        </w:rPr>
      </w:pPr>
      <w:r>
        <w:rPr>
          <w:rFonts w:hint="eastAsia" w:ascii="宋体" w:hAnsi="宋体" w:cs="宋体"/>
          <w:szCs w:val="21"/>
        </w:rPr>
        <w:t>富明薪冶工贸有限公司（简称云铜薪冶工贸）原昆明西科工贸有限公司是云南铜业股份有限公司的全资子公司，是云南省首批取得《云南省危险经营许可证》的企业。公司自主开发的“云铜西科法高砷铜冶炼烟尘处理新工艺”，实现了对云铜艾萨炉高砷铜冶炼烟尘的全流程有效处理，彻底解决了高砷烟尘环保治理的难题；同时，新工艺也对高砷烟尘中多种有价金属元素进行了高效的综合回收与利用，属于国家支持鼓励的发展循环经济及清洁生产的范畴，环保效益非常显著。</w:t>
      </w:r>
      <w:r>
        <w:rPr>
          <w:rFonts w:hint="eastAsia" w:ascii="宋体" w:hAnsi="宋体" w:cs="宋体"/>
          <w:kern w:val="0"/>
          <w:szCs w:val="21"/>
        </w:rPr>
        <w:t>公司主产品是1#电铅，同时有冰铜、富锡渣、铅阳极泥、亚硫酸铵溶液等副产品。</w:t>
      </w:r>
    </w:p>
    <w:p>
      <w:pPr>
        <w:spacing w:line="360" w:lineRule="auto"/>
        <w:ind w:firstLine="420" w:firstLineChars="200"/>
        <w:rPr>
          <w:rFonts w:hAnsi="宋体"/>
          <w:kern w:val="0"/>
          <w:szCs w:val="21"/>
        </w:rPr>
      </w:pPr>
      <w:r>
        <w:rPr>
          <w:rFonts w:hint="eastAsia" w:hAnsi="宋体"/>
          <w:kern w:val="0"/>
          <w:szCs w:val="21"/>
        </w:rPr>
        <w:t>目前国内市场上</w:t>
      </w:r>
      <w:r>
        <w:rPr>
          <w:rFonts w:hint="eastAsia" w:ascii="宋体" w:hAnsi="宋体" w:cs="宋体"/>
          <w:szCs w:val="21"/>
        </w:rPr>
        <w:t>铜冶炼企业烟尘的年产量在</w:t>
      </w:r>
      <w:r>
        <w:rPr>
          <w:rFonts w:ascii="宋体" w:hAnsi="宋体" w:cs="宋体"/>
          <w:szCs w:val="21"/>
        </w:rPr>
        <w:t>20</w:t>
      </w:r>
      <w:r>
        <w:rPr>
          <w:rFonts w:hint="eastAsia" w:ascii="宋体" w:hAnsi="宋体" w:cs="宋体"/>
          <w:szCs w:val="21"/>
        </w:rPr>
        <w:t>万吨以上</w:t>
      </w:r>
      <w:r>
        <w:rPr>
          <w:rFonts w:hint="eastAsia" w:hAnsi="宋体"/>
          <w:kern w:val="0"/>
          <w:szCs w:val="21"/>
        </w:rPr>
        <w:t>，本标准的建立对企业在后续生产及市场交易提供有力的指导。本标准在起草、调研中得到了江西铜业股份有限公司、湖南有色金属研究院、中国有色桂林矿产地质研究院有限公司、大冶有色金属有限责任公司、中金岭南韶关冶炼厂等公司的积极响应。</w:t>
      </w:r>
    </w:p>
    <w:p>
      <w:pPr>
        <w:pStyle w:val="57"/>
        <w:numPr>
          <w:ilvl w:val="1"/>
          <w:numId w:val="5"/>
        </w:numPr>
        <w:spacing w:line="360" w:lineRule="auto"/>
        <w:ind w:firstLineChars="0"/>
        <w:rPr>
          <w:rFonts w:ascii="宋体" w:hAnsi="宋体"/>
          <w:b/>
          <w:szCs w:val="21"/>
        </w:rPr>
      </w:pPr>
      <w:r>
        <w:rPr>
          <w:rFonts w:ascii="宋体" w:hAnsi="宋体"/>
          <w:b/>
          <w:szCs w:val="21"/>
        </w:rPr>
        <w:t>要解决的主要问题</w:t>
      </w:r>
    </w:p>
    <w:p>
      <w:pPr>
        <w:spacing w:line="360" w:lineRule="auto"/>
        <w:ind w:firstLine="420" w:firstLineChars="200"/>
        <w:rPr>
          <w:rFonts w:hAnsi="宋体"/>
          <w:kern w:val="0"/>
          <w:szCs w:val="21"/>
        </w:rPr>
      </w:pPr>
      <w:r>
        <w:rPr>
          <w:rFonts w:hint="eastAsia" w:ascii="宋体" w:hAnsi="宋体" w:cs="宋体"/>
          <w:szCs w:val="21"/>
        </w:rPr>
        <w:t>目前国内对铜冶炼烟尘的检验方法无统一标准，导致贸易市场有争议。铜冶炼烟尘中含有较高含量的铜，因此建立铜冶炼烟尘中铜的分析方法，准确的测定铜冶炼烟尘中铜的含量，不但能给冶炼厂带来良好的经济效益，同时有利于有价金属的回收利用，对资源再生利用提供技术支撑，</w:t>
      </w:r>
      <w:r>
        <w:rPr>
          <w:rFonts w:hint="eastAsia" w:hAnsi="宋体"/>
          <w:kern w:val="0"/>
          <w:szCs w:val="21"/>
        </w:rPr>
        <w:t>为后续生产和市场交易提供依据。</w:t>
      </w:r>
    </w:p>
    <w:p>
      <w:pPr>
        <w:spacing w:line="360" w:lineRule="auto"/>
        <w:rPr>
          <w:rFonts w:ascii="宋体" w:hAnsi="宋体"/>
          <w:b/>
          <w:szCs w:val="21"/>
        </w:rPr>
      </w:pPr>
      <w:r>
        <w:rPr>
          <w:rFonts w:ascii="Times New Roman" w:hAnsi="Times New Roman" w:eastAsia="黑体"/>
          <w:szCs w:val="21"/>
        </w:rPr>
        <w:t xml:space="preserve">2  </w:t>
      </w:r>
      <w:r>
        <w:rPr>
          <w:rFonts w:ascii="宋体" w:hAnsi="宋体"/>
          <w:b/>
          <w:szCs w:val="21"/>
        </w:rPr>
        <w:t>任务来源</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根据</w:t>
      </w:r>
      <w:r>
        <w:rPr>
          <w:rFonts w:hint="eastAsia" w:ascii="Times New Roman" w:hAnsi="Times New Roman"/>
          <w:color w:val="000000"/>
          <w:szCs w:val="21"/>
        </w:rPr>
        <w:t>工业和信息化部标准计划项目的安排要求，全国有色金属标准化技术委员会于2018年7月26~27日于黑龙江省哈尔滨市召开有色金属标准工作会议。根据（有色标秘[2018]41号）的文件精神，对《铜冶炼烟尘化学分析方法》（共9个部分）、《粗锡化学分析方法》（共5个部分）、《铅冰铜》等25项行业标准进行了任务落实。会议确定了《铜冶炼烟尘化学分析方法第1部分：铜含量的测定》，方法1由</w:t>
      </w:r>
      <w:r>
        <w:rPr>
          <w:rFonts w:hint="eastAsia" w:ascii="宋体" w:hAnsi="宋体" w:cs="宋体"/>
          <w:szCs w:val="21"/>
        </w:rPr>
        <w:t>北矿检测技术有限公司</w:t>
      </w:r>
      <w:r>
        <w:rPr>
          <w:rFonts w:hint="eastAsia" w:ascii="Times New Roman" w:hAnsi="Times New Roman"/>
          <w:color w:val="000000"/>
          <w:szCs w:val="21"/>
        </w:rPr>
        <w:t>和方法2由富民薪冶工贸</w:t>
      </w:r>
      <w:r>
        <w:rPr>
          <w:rFonts w:ascii="Times New Roman" w:hAnsi="Times New Roman"/>
          <w:color w:val="000000"/>
          <w:szCs w:val="21"/>
        </w:rPr>
        <w:t>有限公司</w:t>
      </w:r>
      <w:r>
        <w:rPr>
          <w:rFonts w:hint="eastAsia" w:ascii="Times New Roman" w:hAnsi="Times New Roman"/>
          <w:color w:val="000000"/>
          <w:szCs w:val="21"/>
        </w:rPr>
        <w:t>负责起草，落实了验证单位，明确了样品的制备单位及各项工作时间进度要求。</w:t>
      </w:r>
    </w:p>
    <w:p>
      <w:pPr>
        <w:spacing w:line="360" w:lineRule="auto"/>
        <w:rPr>
          <w:rFonts w:ascii="宋体" w:hAnsi="宋体"/>
          <w:b/>
          <w:color w:val="000000"/>
          <w:szCs w:val="21"/>
        </w:rPr>
      </w:pPr>
      <w:r>
        <w:rPr>
          <w:rFonts w:ascii="Times New Roman" w:hAnsi="Times New Roman" w:eastAsia="黑体"/>
          <w:color w:val="000000"/>
          <w:szCs w:val="21"/>
        </w:rPr>
        <w:t xml:space="preserve">3 </w:t>
      </w:r>
      <w:r>
        <w:rPr>
          <w:rFonts w:ascii="宋体" w:hAnsi="宋体"/>
          <w:b/>
          <w:color w:val="000000"/>
          <w:szCs w:val="21"/>
        </w:rPr>
        <w:t>本标准编制单位、起草人及所做工作</w:t>
      </w:r>
    </w:p>
    <w:p>
      <w:pPr>
        <w:spacing w:line="360" w:lineRule="auto"/>
        <w:ind w:firstLine="422" w:firstLineChars="200"/>
        <w:rPr>
          <w:rFonts w:ascii="Times New Roman" w:hAnsi="Times New Roman"/>
          <w:color w:val="000000"/>
          <w:szCs w:val="21"/>
        </w:rPr>
      </w:pPr>
      <w:r>
        <w:rPr>
          <w:rFonts w:hint="eastAsia" w:ascii="Times New Roman" w:hAnsi="Times New Roman"/>
          <w:b/>
          <w:bCs/>
          <w:color w:val="000000"/>
          <w:szCs w:val="21"/>
          <w:lang w:val="en-US" w:eastAsia="zh-CN"/>
        </w:rPr>
        <w:t>本部分方法1 火焰原子吸收光谱法</w:t>
      </w:r>
      <w:r>
        <w:rPr>
          <w:rFonts w:hint="eastAsia" w:ascii="Times New Roman" w:hAnsi="Times New Roman"/>
          <w:color w:val="000000"/>
          <w:szCs w:val="21"/>
          <w:lang w:val="en-US" w:eastAsia="zh-CN"/>
        </w:rPr>
        <w:t xml:space="preserve"> </w:t>
      </w:r>
      <w:r>
        <w:rPr>
          <w:rFonts w:ascii="Times New Roman" w:hAnsi="Times New Roman"/>
          <w:color w:val="000000"/>
          <w:szCs w:val="21"/>
        </w:rPr>
        <w:t>由</w:t>
      </w:r>
      <w:r>
        <w:rPr>
          <w:rFonts w:hint="eastAsia" w:ascii="Times New Roman" w:hAnsi="Times New Roman"/>
          <w:color w:val="000000"/>
          <w:szCs w:val="21"/>
        </w:rPr>
        <w:t>北矿检测技术有限</w:t>
      </w:r>
      <w:r>
        <w:rPr>
          <w:rFonts w:ascii="Times New Roman" w:hAnsi="Times New Roman"/>
          <w:color w:val="000000"/>
          <w:szCs w:val="21"/>
        </w:rPr>
        <w:t>公司负责起草，</w:t>
      </w:r>
      <w:r>
        <w:rPr>
          <w:rFonts w:hint="eastAsia" w:ascii="Times New Roman" w:hAnsi="Times New Roman"/>
          <w:szCs w:val="21"/>
        </w:rPr>
        <w:t>主要起草人为马丽、阮桂色</w:t>
      </w:r>
      <w:r>
        <w:rPr>
          <w:rFonts w:hint="eastAsia" w:ascii="Times New Roman" w:hAnsi="Times New Roman"/>
          <w:szCs w:val="21"/>
          <w:lang w:val="en-US" w:eastAsia="zh-CN"/>
        </w:rPr>
        <w:t xml:space="preserve">     </w:t>
      </w:r>
      <w:r>
        <w:rPr>
          <w:rFonts w:ascii="Times New Roman" w:hAnsi="Times New Roman"/>
          <w:color w:val="000000"/>
          <w:szCs w:val="21"/>
        </w:rPr>
        <w:t>。主要负责本标准的方法制定、资料收集、技术参数的确定及标准条款的编写工作。</w:t>
      </w:r>
    </w:p>
    <w:p>
      <w:pPr>
        <w:spacing w:line="360" w:lineRule="auto"/>
        <w:ind w:firstLine="422" w:firstLineChars="200"/>
        <w:rPr>
          <w:rFonts w:ascii="Times New Roman" w:hAnsi="Times New Roman"/>
          <w:color w:val="000000"/>
          <w:szCs w:val="21"/>
        </w:rPr>
      </w:pPr>
      <w:r>
        <w:rPr>
          <w:rFonts w:hint="eastAsia" w:ascii="Times New Roman" w:hAnsi="Times New Roman"/>
          <w:b/>
          <w:bCs/>
          <w:color w:val="000000"/>
          <w:szCs w:val="21"/>
        </w:rPr>
        <w:t>本部分</w:t>
      </w:r>
      <w:r>
        <w:rPr>
          <w:rFonts w:hint="eastAsia" w:ascii="Times New Roman" w:hAnsi="Times New Roman"/>
          <w:b/>
          <w:bCs/>
          <w:color w:val="000000"/>
          <w:szCs w:val="21"/>
          <w:lang w:val="en-US" w:eastAsia="zh-CN"/>
        </w:rPr>
        <w:t xml:space="preserve">方法1 火焰原子吸收光谱法 </w:t>
      </w:r>
      <w:r>
        <w:rPr>
          <w:rFonts w:ascii="Times New Roman" w:hAnsi="Times New Roman"/>
          <w:color w:val="000000"/>
          <w:szCs w:val="21"/>
        </w:rPr>
        <w:t>参与起草单位包括</w:t>
      </w:r>
      <w:r>
        <w:rPr>
          <w:rFonts w:hint="eastAsia" w:ascii="宋体" w:hAnsi="宋体"/>
        </w:rPr>
        <w:t>湖南有色金属研究院、中国有色桂林矿产地质研究院有限公司、云锡股份铜业公司、北方铜业股份有限公司、江西铜业股份有限公司、河南豫光金铅股份有限公司、大冶有色设计研究院有限公司、深圳市中金岭南有色金属股份有限公司、山东恒邦冶炼股份有限公司、铜陵有色金属集团控股有限公司、紫金矿业集团股份有限公司、阳谷祥光铜业有限公司</w:t>
      </w:r>
      <w:r>
        <w:rPr>
          <w:rFonts w:hint="eastAsia" w:ascii="Times New Roman" w:hAnsi="Times New Roman"/>
          <w:szCs w:val="21"/>
        </w:rPr>
        <w:t>。</w:t>
      </w:r>
      <w:r>
        <w:rPr>
          <w:rFonts w:ascii="Times New Roman" w:hAnsi="Times New Roman"/>
          <w:color w:val="000000"/>
          <w:szCs w:val="21"/>
        </w:rPr>
        <w:t>参与起草人：</w:t>
      </w:r>
      <w:r>
        <w:rPr>
          <w:rFonts w:hint="eastAsia" w:ascii="Times New Roman" w:hAnsi="Times New Roman"/>
          <w:color w:val="000000"/>
          <w:szCs w:val="21"/>
          <w:lang w:val="en-US" w:eastAsia="zh-CN"/>
        </w:rPr>
        <w:t xml:space="preserve">        。</w:t>
      </w:r>
      <w:r>
        <w:rPr>
          <w:rFonts w:ascii="Times New Roman" w:hAnsi="Times New Roman"/>
          <w:color w:val="000000"/>
          <w:szCs w:val="21"/>
        </w:rPr>
        <w:t>主要负责本标准的验证工作。</w:t>
      </w:r>
    </w:p>
    <w:p>
      <w:pPr>
        <w:spacing w:line="360" w:lineRule="auto"/>
        <w:ind w:firstLine="422" w:firstLineChars="200"/>
        <w:rPr>
          <w:rFonts w:ascii="Times New Roman" w:hAnsi="Times New Roman"/>
          <w:color w:val="000000"/>
          <w:szCs w:val="21"/>
        </w:rPr>
      </w:pPr>
      <w:r>
        <w:rPr>
          <w:rFonts w:ascii="Times New Roman" w:hAnsi="Times New Roman"/>
          <w:b/>
          <w:bCs/>
          <w:color w:val="000000"/>
          <w:szCs w:val="21"/>
        </w:rPr>
        <w:t>本</w:t>
      </w:r>
      <w:r>
        <w:rPr>
          <w:rFonts w:hint="eastAsia" w:ascii="Times New Roman" w:hAnsi="Times New Roman"/>
          <w:b/>
          <w:bCs/>
          <w:color w:val="000000"/>
          <w:szCs w:val="21"/>
          <w:lang w:val="en-US" w:eastAsia="zh-CN"/>
        </w:rPr>
        <w:t>部分方法2 碘量法</w:t>
      </w:r>
      <w:r>
        <w:rPr>
          <w:rFonts w:hint="eastAsia" w:ascii="Times New Roman" w:hAnsi="Times New Roman"/>
          <w:color w:val="000000"/>
          <w:szCs w:val="21"/>
          <w:lang w:val="en-US" w:eastAsia="zh-CN"/>
        </w:rPr>
        <w:t xml:space="preserve"> </w:t>
      </w:r>
      <w:r>
        <w:rPr>
          <w:rFonts w:ascii="Times New Roman" w:hAnsi="Times New Roman"/>
          <w:color w:val="000000"/>
          <w:szCs w:val="21"/>
        </w:rPr>
        <w:t>由</w:t>
      </w:r>
      <w:r>
        <w:rPr>
          <w:rFonts w:hint="eastAsia" w:ascii="Times New Roman" w:hAnsi="Times New Roman"/>
          <w:color w:val="000000"/>
          <w:szCs w:val="21"/>
        </w:rPr>
        <w:t>富民薪冶工贸</w:t>
      </w:r>
      <w:r>
        <w:rPr>
          <w:rFonts w:ascii="Times New Roman" w:hAnsi="Times New Roman"/>
          <w:color w:val="000000"/>
          <w:szCs w:val="21"/>
        </w:rPr>
        <w:t>有限公司负责起草，</w:t>
      </w:r>
      <w:r>
        <w:rPr>
          <w:rFonts w:hint="eastAsia" w:ascii="Times New Roman" w:hAnsi="Times New Roman"/>
          <w:szCs w:val="21"/>
        </w:rPr>
        <w:t>主要起草人为孔凡丽、袁梦梅、杨欣</w:t>
      </w:r>
      <w:r>
        <w:rPr>
          <w:rFonts w:ascii="Times New Roman" w:hAnsi="Times New Roman"/>
          <w:color w:val="000000"/>
          <w:szCs w:val="21"/>
        </w:rPr>
        <w:t>。主要负责本标准的方法制定、资料收集、技术参数的确定及标准条款的编写工作。</w:t>
      </w:r>
    </w:p>
    <w:p>
      <w:pPr>
        <w:spacing w:line="360" w:lineRule="auto"/>
        <w:ind w:firstLine="422" w:firstLineChars="200"/>
        <w:rPr>
          <w:rFonts w:ascii="Times New Roman" w:hAnsi="Times New Roman"/>
          <w:color w:val="000000"/>
          <w:szCs w:val="21"/>
        </w:rPr>
      </w:pPr>
      <w:r>
        <w:rPr>
          <w:rFonts w:hint="eastAsia" w:ascii="Times New Roman" w:hAnsi="Times New Roman"/>
          <w:b/>
          <w:bCs/>
          <w:color w:val="000000"/>
          <w:szCs w:val="21"/>
        </w:rPr>
        <w:t>本部分</w:t>
      </w:r>
      <w:r>
        <w:rPr>
          <w:rFonts w:hint="eastAsia" w:ascii="Times New Roman" w:hAnsi="Times New Roman"/>
          <w:b/>
          <w:bCs/>
          <w:color w:val="000000"/>
          <w:szCs w:val="21"/>
          <w:lang w:val="en-US" w:eastAsia="zh-CN"/>
        </w:rPr>
        <w:t>方法2 碘量法</w:t>
      </w:r>
      <w:r>
        <w:rPr>
          <w:rFonts w:hint="eastAsia" w:ascii="Times New Roman" w:hAnsi="Times New Roman"/>
          <w:color w:val="000000"/>
          <w:szCs w:val="21"/>
          <w:lang w:val="en-US" w:eastAsia="zh-CN"/>
        </w:rPr>
        <w:t xml:space="preserve"> </w:t>
      </w:r>
      <w:r>
        <w:rPr>
          <w:rFonts w:ascii="Times New Roman" w:hAnsi="Times New Roman"/>
          <w:color w:val="000000"/>
          <w:szCs w:val="21"/>
        </w:rPr>
        <w:t>参与起草单位包括</w:t>
      </w:r>
      <w:r>
        <w:rPr>
          <w:rFonts w:hint="eastAsia" w:ascii="Times New Roman" w:hAnsi="Times New Roman"/>
          <w:kern w:val="0"/>
          <w:szCs w:val="21"/>
        </w:rPr>
        <w:t>西北有色金属研究院、湖南有色金属研究研究、五矿铜业（湖南）有限公司、大冶有色金属有限公司、江西铜业</w:t>
      </w:r>
      <w:r>
        <w:rPr>
          <w:rFonts w:ascii="Times New Roman" w:hAnsi="Times New Roman"/>
          <w:kern w:val="0"/>
          <w:szCs w:val="21"/>
        </w:rPr>
        <w:t>股份有限公司、</w:t>
      </w:r>
      <w:r>
        <w:rPr>
          <w:rFonts w:hint="eastAsia" w:ascii="Times New Roman" w:hAnsi="Times New Roman"/>
          <w:kern w:val="0"/>
          <w:szCs w:val="21"/>
        </w:rPr>
        <w:t>中条山有色金属集团有限公司</w:t>
      </w:r>
      <w:r>
        <w:rPr>
          <w:rFonts w:ascii="Times New Roman" w:hAnsi="Times New Roman"/>
          <w:szCs w:val="21"/>
        </w:rPr>
        <w:t>、</w:t>
      </w:r>
      <w:r>
        <w:rPr>
          <w:rFonts w:hint="eastAsia" w:ascii="Times New Roman" w:hAnsi="Times New Roman"/>
          <w:szCs w:val="21"/>
        </w:rPr>
        <w:t>福建紫金矿冶测试技术有限公司、中国检验认证集团有限公司、铜陵有色金属集团控股有限公司、</w:t>
      </w:r>
      <w:r>
        <w:rPr>
          <w:rFonts w:hint="eastAsia" w:ascii="Times New Roman" w:hAnsi="Times New Roman"/>
          <w:kern w:val="0"/>
          <w:szCs w:val="21"/>
        </w:rPr>
        <w:t>云南锡业股份</w:t>
      </w:r>
      <w:r>
        <w:rPr>
          <w:rFonts w:ascii="Times New Roman" w:hAnsi="Times New Roman"/>
          <w:kern w:val="0"/>
          <w:szCs w:val="21"/>
        </w:rPr>
        <w:t>有限公司</w:t>
      </w:r>
      <w:r>
        <w:rPr>
          <w:rFonts w:ascii="Times New Roman" w:hAnsi="Times New Roman"/>
          <w:szCs w:val="21"/>
        </w:rPr>
        <w:t>、</w:t>
      </w:r>
      <w:r>
        <w:rPr>
          <w:rFonts w:hint="eastAsia" w:ascii="Times New Roman" w:hAnsi="Times New Roman"/>
          <w:szCs w:val="21"/>
        </w:rPr>
        <w:t>湖南省有色地质勘查研究院、</w:t>
      </w:r>
      <w:r>
        <w:rPr>
          <w:rFonts w:hint="eastAsia" w:ascii="Times New Roman" w:hAnsi="Times New Roman"/>
          <w:kern w:val="0"/>
          <w:szCs w:val="21"/>
        </w:rPr>
        <w:t>河南豫光金铅股份</w:t>
      </w:r>
      <w:r>
        <w:rPr>
          <w:rFonts w:ascii="Times New Roman" w:hAnsi="Times New Roman"/>
          <w:kern w:val="0"/>
          <w:szCs w:val="21"/>
        </w:rPr>
        <w:t>有限公司</w:t>
      </w:r>
      <w:r>
        <w:rPr>
          <w:rFonts w:ascii="Times New Roman" w:hAnsi="Times New Roman"/>
          <w:szCs w:val="21"/>
        </w:rPr>
        <w:t>、</w:t>
      </w:r>
      <w:r>
        <w:rPr>
          <w:rFonts w:hint="eastAsia" w:ascii="Times New Roman" w:hAnsi="Times New Roman"/>
          <w:szCs w:val="21"/>
        </w:rPr>
        <w:t>紫金铜业有限公司。</w:t>
      </w:r>
      <w:r>
        <w:rPr>
          <w:rFonts w:ascii="Times New Roman" w:hAnsi="Times New Roman"/>
          <w:color w:val="000000"/>
          <w:szCs w:val="21"/>
        </w:rPr>
        <w:t>参与起草人：</w:t>
      </w:r>
      <w:r>
        <w:rPr>
          <w:rFonts w:hint="eastAsia" w:ascii="Times New Roman" w:hAnsi="Times New Roman"/>
          <w:color w:val="000000"/>
          <w:szCs w:val="21"/>
          <w:lang w:val="en-US" w:eastAsia="zh-CN"/>
        </w:rPr>
        <w:t xml:space="preserve">        。</w:t>
      </w:r>
      <w:r>
        <w:rPr>
          <w:rFonts w:ascii="Times New Roman" w:hAnsi="Times New Roman"/>
          <w:color w:val="000000"/>
          <w:szCs w:val="21"/>
        </w:rPr>
        <w:t>主要负责本标准的验证工作。</w:t>
      </w:r>
    </w:p>
    <w:p>
      <w:pPr>
        <w:spacing w:line="360" w:lineRule="auto"/>
        <w:rPr>
          <w:rFonts w:ascii="宋体" w:hAnsi="宋体"/>
          <w:b/>
          <w:szCs w:val="21"/>
        </w:rPr>
      </w:pPr>
      <w:r>
        <w:rPr>
          <w:rFonts w:hint="eastAsia" w:ascii="宋体" w:hAnsi="宋体"/>
          <w:b/>
          <w:szCs w:val="21"/>
        </w:rPr>
        <w:t>4</w:t>
      </w:r>
      <w:r>
        <w:rPr>
          <w:rFonts w:ascii="宋体" w:hAnsi="宋体"/>
          <w:b/>
          <w:szCs w:val="21"/>
        </w:rPr>
        <w:t>主要工作过程</w:t>
      </w:r>
    </w:p>
    <w:p>
      <w:pPr>
        <w:adjustRightInd w:val="0"/>
        <w:snapToGrid w:val="0"/>
        <w:spacing w:beforeLines="50" w:afterLines="50" w:line="300" w:lineRule="auto"/>
        <w:ind w:firstLine="420" w:firstLineChars="200"/>
        <w:jc w:val="left"/>
        <w:rPr>
          <w:rFonts w:ascii="Times New Roman" w:hAnsi="Times New Roman"/>
          <w:szCs w:val="21"/>
        </w:rPr>
      </w:pPr>
      <w:r>
        <w:rPr>
          <w:rFonts w:ascii="Times New Roman" w:hAnsi="Times New Roman"/>
          <w:szCs w:val="21"/>
        </w:rPr>
        <w:t>2018年7月2</w:t>
      </w:r>
      <w:r>
        <w:rPr>
          <w:rFonts w:hint="eastAsia" w:ascii="Times New Roman" w:hAnsi="Times New Roman"/>
          <w:szCs w:val="21"/>
        </w:rPr>
        <w:t>6</w:t>
      </w:r>
      <w:r>
        <w:rPr>
          <w:rFonts w:ascii="Times New Roman" w:hAnsi="Times New Roman"/>
          <w:szCs w:val="21"/>
        </w:rPr>
        <w:t>日～27日，在黑龙江省哈尔滨市召开有色金属标准工作会议。会议确定了标准制定的起草单位和参与验证单位，落实了标准计划项目的进度安排和分工。具体工作安排如下：</w:t>
      </w:r>
    </w:p>
    <w:p>
      <w:pPr>
        <w:adjustRightInd w:val="0"/>
        <w:snapToGrid w:val="0"/>
        <w:spacing w:beforeLines="50" w:afterLines="50" w:line="300" w:lineRule="auto"/>
        <w:ind w:firstLine="420" w:firstLineChars="200"/>
        <w:jc w:val="left"/>
        <w:rPr>
          <w:rFonts w:ascii="Times New Roman" w:hAnsi="Times New Roman"/>
          <w:szCs w:val="21"/>
        </w:rPr>
      </w:pPr>
      <w:r>
        <w:rPr>
          <w:rFonts w:ascii="Times New Roman" w:hAnsi="Times New Roman"/>
          <w:szCs w:val="21"/>
        </w:rPr>
        <w:t>1、2018年1</w:t>
      </w:r>
      <w:r>
        <w:rPr>
          <w:rFonts w:hint="eastAsia" w:ascii="Times New Roman" w:hAnsi="Times New Roman"/>
          <w:szCs w:val="21"/>
        </w:rPr>
        <w:t>2</w:t>
      </w:r>
      <w:r>
        <w:rPr>
          <w:rFonts w:ascii="Times New Roman" w:hAnsi="Times New Roman"/>
          <w:szCs w:val="21"/>
        </w:rPr>
        <w:t>月底——</w:t>
      </w:r>
      <w:r>
        <w:rPr>
          <w:rFonts w:hint="eastAsia" w:ascii="Times New Roman" w:hAnsi="Times New Roman"/>
          <w:szCs w:val="21"/>
        </w:rPr>
        <w:t>起草</w:t>
      </w:r>
      <w:r>
        <w:rPr>
          <w:rFonts w:ascii="Times New Roman" w:hAnsi="Times New Roman"/>
          <w:szCs w:val="21"/>
        </w:rPr>
        <w:t>单位完成样品采集；</w:t>
      </w:r>
    </w:p>
    <w:p>
      <w:pPr>
        <w:adjustRightInd w:val="0"/>
        <w:snapToGrid w:val="0"/>
        <w:spacing w:beforeLines="50" w:afterLines="50" w:line="300" w:lineRule="auto"/>
        <w:ind w:firstLine="420" w:firstLineChars="200"/>
        <w:jc w:val="left"/>
        <w:rPr>
          <w:rFonts w:ascii="Times New Roman" w:hAnsi="Times New Roman"/>
          <w:szCs w:val="21"/>
        </w:rPr>
      </w:pPr>
      <w:r>
        <w:rPr>
          <w:rFonts w:ascii="Times New Roman" w:hAnsi="Times New Roman"/>
          <w:szCs w:val="21"/>
        </w:rPr>
        <w:t>2、201</w:t>
      </w:r>
      <w:r>
        <w:rPr>
          <w:rFonts w:hint="eastAsia" w:ascii="Times New Roman" w:hAnsi="Times New Roman"/>
          <w:szCs w:val="21"/>
        </w:rPr>
        <w:t>9</w:t>
      </w:r>
      <w:r>
        <w:rPr>
          <w:rFonts w:ascii="Times New Roman" w:hAnsi="Times New Roman"/>
          <w:szCs w:val="21"/>
        </w:rPr>
        <w:t>年</w:t>
      </w:r>
      <w:r>
        <w:rPr>
          <w:rFonts w:hint="eastAsia" w:ascii="Times New Roman" w:hAnsi="Times New Roman"/>
          <w:szCs w:val="21"/>
        </w:rPr>
        <w:t>1—5</w:t>
      </w:r>
      <w:r>
        <w:rPr>
          <w:rFonts w:ascii="Times New Roman" w:hAnsi="Times New Roman"/>
          <w:szCs w:val="21"/>
        </w:rPr>
        <w:t>月——</w:t>
      </w:r>
      <w:r>
        <w:rPr>
          <w:rFonts w:hint="eastAsia" w:ascii="Times New Roman" w:hAnsi="Times New Roman"/>
          <w:szCs w:val="21"/>
        </w:rPr>
        <w:t>起草单位实验室完成试验报告、标准草案、验证方案的编写和验证样品的分发工作</w:t>
      </w:r>
      <w:r>
        <w:rPr>
          <w:rFonts w:ascii="Times New Roman" w:hAnsi="Times New Roman"/>
          <w:szCs w:val="21"/>
        </w:rPr>
        <w:t>；</w:t>
      </w:r>
    </w:p>
    <w:p>
      <w:pPr>
        <w:adjustRightInd w:val="0"/>
        <w:snapToGrid w:val="0"/>
        <w:spacing w:beforeLines="50" w:afterLines="50" w:line="300" w:lineRule="auto"/>
        <w:ind w:firstLine="420" w:firstLineChars="200"/>
        <w:jc w:val="left"/>
        <w:rPr>
          <w:rFonts w:ascii="Times New Roman" w:hAnsi="Times New Roman"/>
          <w:szCs w:val="21"/>
        </w:rPr>
      </w:pPr>
      <w:r>
        <w:rPr>
          <w:rFonts w:ascii="Times New Roman" w:hAnsi="Times New Roman"/>
          <w:szCs w:val="21"/>
        </w:rPr>
        <w:t>3、2019年</w:t>
      </w:r>
      <w:r>
        <w:rPr>
          <w:rFonts w:hint="eastAsia" w:ascii="Times New Roman" w:hAnsi="Times New Roman"/>
          <w:szCs w:val="21"/>
        </w:rPr>
        <w:t>6—11</w:t>
      </w:r>
      <w:r>
        <w:rPr>
          <w:rFonts w:ascii="Times New Roman" w:hAnsi="Times New Roman"/>
          <w:szCs w:val="21"/>
        </w:rPr>
        <w:t>月——</w:t>
      </w:r>
      <w:r>
        <w:rPr>
          <w:rFonts w:hint="eastAsia" w:ascii="Times New Roman" w:hAnsi="Times New Roman"/>
          <w:szCs w:val="21"/>
        </w:rPr>
        <w:t>完成验证报告</w:t>
      </w:r>
      <w:r>
        <w:rPr>
          <w:rFonts w:ascii="Times New Roman" w:hAnsi="Times New Roman"/>
          <w:szCs w:val="21"/>
        </w:rPr>
        <w:t>；</w:t>
      </w:r>
    </w:p>
    <w:p>
      <w:pPr>
        <w:adjustRightInd w:val="0"/>
        <w:snapToGrid w:val="0"/>
        <w:spacing w:beforeLines="50" w:afterLines="50" w:line="300" w:lineRule="auto"/>
        <w:ind w:firstLine="420" w:firstLineChars="200"/>
        <w:jc w:val="left"/>
        <w:rPr>
          <w:rFonts w:ascii="Times New Roman" w:hAnsi="Times New Roman"/>
          <w:szCs w:val="21"/>
        </w:rPr>
      </w:pPr>
      <w:r>
        <w:rPr>
          <w:rFonts w:hint="eastAsia" w:ascii="Times New Roman" w:hAnsi="Times New Roman"/>
          <w:szCs w:val="21"/>
        </w:rPr>
        <w:t>4、</w:t>
      </w:r>
      <w:r>
        <w:rPr>
          <w:rFonts w:ascii="Times New Roman" w:hAnsi="Times New Roman"/>
          <w:szCs w:val="21"/>
        </w:rPr>
        <w:t>2019年</w:t>
      </w:r>
      <w:r>
        <w:rPr>
          <w:rFonts w:hint="eastAsia" w:ascii="Times New Roman" w:hAnsi="Times New Roman"/>
          <w:szCs w:val="21"/>
        </w:rPr>
        <w:t>11</w:t>
      </w:r>
      <w:r>
        <w:rPr>
          <w:rFonts w:ascii="Times New Roman" w:hAnsi="Times New Roman"/>
          <w:szCs w:val="21"/>
        </w:rPr>
        <w:t>月——主起草单位汇总各验证单位报告并进行数据处理形成报告</w:t>
      </w:r>
      <w:r>
        <w:rPr>
          <w:rFonts w:hint="eastAsia" w:ascii="Times New Roman" w:hAnsi="Times New Roman"/>
          <w:szCs w:val="21"/>
        </w:rPr>
        <w:t>，</w:t>
      </w:r>
      <w:r>
        <w:rPr>
          <w:rFonts w:ascii="Times New Roman" w:hAnsi="Times New Roman"/>
          <w:szCs w:val="21"/>
        </w:rPr>
        <w:t>同时撰写编制说明和标准预审稿报预审会</w:t>
      </w:r>
      <w:r>
        <w:rPr>
          <w:rFonts w:hint="eastAsia" w:ascii="Times New Roman" w:hAnsi="Times New Roman"/>
          <w:szCs w:val="21"/>
        </w:rPr>
        <w:t>；</w:t>
      </w:r>
    </w:p>
    <w:p>
      <w:pPr>
        <w:adjustRightInd w:val="0"/>
        <w:snapToGrid w:val="0"/>
        <w:spacing w:beforeLines="50" w:afterLines="50" w:line="300" w:lineRule="auto"/>
        <w:ind w:firstLine="420" w:firstLineChars="200"/>
        <w:jc w:val="left"/>
        <w:rPr>
          <w:rFonts w:ascii="Times New Roman" w:hAnsi="Times New Roman"/>
          <w:szCs w:val="21"/>
        </w:rPr>
      </w:pPr>
      <w:r>
        <w:rPr>
          <w:rFonts w:hint="eastAsia" w:ascii="Times New Roman" w:hAnsi="Times New Roman"/>
          <w:szCs w:val="21"/>
        </w:rPr>
        <w:t>5</w:t>
      </w:r>
      <w:r>
        <w:rPr>
          <w:rFonts w:ascii="Times New Roman" w:hAnsi="Times New Roman"/>
          <w:szCs w:val="21"/>
        </w:rPr>
        <w:t>、2019年</w:t>
      </w:r>
      <w:r>
        <w:rPr>
          <w:rFonts w:hint="eastAsia" w:ascii="Times New Roman" w:hAnsi="Times New Roman"/>
          <w:szCs w:val="21"/>
        </w:rPr>
        <w:t>11</w:t>
      </w:r>
      <w:r>
        <w:rPr>
          <w:rFonts w:ascii="Times New Roman" w:hAnsi="Times New Roman"/>
          <w:szCs w:val="21"/>
        </w:rPr>
        <w:t>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预审。</w:t>
      </w:r>
    </w:p>
    <w:p>
      <w:pPr>
        <w:adjustRightInd w:val="0"/>
        <w:snapToGrid w:val="0"/>
        <w:spacing w:beforeLines="50" w:afterLines="50" w:line="300" w:lineRule="auto"/>
        <w:jc w:val="left"/>
        <w:rPr>
          <w:rFonts w:hint="default" w:ascii="Times New Roman" w:hAnsi="Times New Roman"/>
          <w:b/>
          <w:bCs/>
          <w:szCs w:val="21"/>
          <w:lang w:val="en-US" w:eastAsia="zh-CN"/>
        </w:rPr>
      </w:pPr>
      <w:r>
        <w:rPr>
          <w:rFonts w:hint="eastAsia" w:ascii="Times New Roman" w:hAnsi="Times New Roman"/>
          <w:b/>
          <w:bCs/>
          <w:szCs w:val="21"/>
          <w:lang w:val="en-US" w:eastAsia="zh-CN"/>
        </w:rPr>
        <w:t>方法1 火焰原子吸收光谱法</w:t>
      </w:r>
    </w:p>
    <w:p>
      <w:pPr>
        <w:adjustRightInd w:val="0"/>
        <w:snapToGrid w:val="0"/>
        <w:spacing w:beforeLines="50" w:afterLines="50" w:line="300" w:lineRule="auto"/>
        <w:ind w:firstLine="420" w:firstLineChars="200"/>
        <w:jc w:val="left"/>
        <w:rPr>
          <w:rFonts w:ascii="Times New Roman" w:hAnsi="Times New Roman"/>
          <w:szCs w:val="21"/>
        </w:rPr>
      </w:pPr>
      <w:r>
        <w:rPr>
          <w:rFonts w:hint="eastAsia" w:ascii="Times New Roman" w:hAnsi="Times New Roman"/>
          <w:szCs w:val="21"/>
        </w:rPr>
        <w:t>各验证单位在验证过程中，对本标准的主要修改意见如下：</w:t>
      </w:r>
    </w:p>
    <w:p>
      <w:pPr>
        <w:pStyle w:val="57"/>
        <w:numPr>
          <w:ilvl w:val="0"/>
          <w:numId w:val="6"/>
        </w:numPr>
        <w:snapToGrid w:val="0"/>
        <w:spacing w:line="360" w:lineRule="auto"/>
        <w:ind w:firstLineChars="0"/>
        <w:rPr>
          <w:rFonts w:hAnsi="宋体"/>
        </w:rPr>
      </w:pPr>
      <w:r>
        <w:rPr>
          <w:rFonts w:hint="eastAsia" w:hAnsi="宋体"/>
        </w:rPr>
        <w:t>试验表明贫焰有利于提高测定铜时的灵敏度，鉴于不同型号的仪器采用的空气流量可能不同，建议采用燃助比进行描述。</w:t>
      </w:r>
      <w:r>
        <w:rPr>
          <w:rFonts w:hint="eastAsia"/>
          <w:szCs w:val="20"/>
        </w:rPr>
        <w:t>（湖南有色金属研究院）。不采纳（理由：灵敏度太高不利于高含量铜测定的稳定性）。</w:t>
      </w:r>
    </w:p>
    <w:p>
      <w:pPr>
        <w:numPr>
          <w:ilvl w:val="0"/>
          <w:numId w:val="6"/>
        </w:numPr>
        <w:spacing w:line="360" w:lineRule="auto"/>
        <w:rPr>
          <w:rFonts w:hAnsi="宋体"/>
        </w:rPr>
      </w:pPr>
      <w:r>
        <w:rPr>
          <w:rFonts w:hint="eastAsia" w:hAnsi="宋体"/>
        </w:rPr>
        <w:t>起草报告是否要提供仪器工作条件以供参考。</w:t>
      </w:r>
      <w:r>
        <w:rPr>
          <w:rFonts w:hint="eastAsia"/>
          <w:szCs w:val="20"/>
        </w:rPr>
        <w:t>（湖南有色金属研究院）。不采纳（理由：鉴于不同仪器工作条件和参数存在差异，以及原子吸收法测定铜的现行标准中并未作此要求，故不采纳）。</w:t>
      </w:r>
    </w:p>
    <w:p>
      <w:pPr>
        <w:pStyle w:val="57"/>
        <w:numPr>
          <w:ilvl w:val="0"/>
          <w:numId w:val="6"/>
        </w:numPr>
        <w:spacing w:line="360" w:lineRule="auto"/>
        <w:ind w:firstLineChars="0"/>
        <w:rPr>
          <w:rFonts w:hAnsi="宋体"/>
        </w:rPr>
      </w:pPr>
      <w:r>
        <w:rPr>
          <w:rFonts w:hint="eastAsia" w:hAnsi="宋体"/>
        </w:rPr>
        <w:t>在我们的仪器上测定的</w:t>
      </w:r>
      <w:r>
        <w:rPr>
          <w:rFonts w:hAnsi="宋体"/>
        </w:rPr>
        <w:t>结果表明：</w:t>
      </w:r>
      <w:r>
        <w:rPr>
          <w:rFonts w:hint="eastAsia" w:hAnsi="宋体"/>
        </w:rPr>
        <w:t>在</w:t>
      </w:r>
      <w:r>
        <w:rPr>
          <w:rFonts w:hint="eastAsia"/>
        </w:rPr>
        <w:t>3</w:t>
      </w:r>
      <w:r>
        <w:t>%</w:t>
      </w:r>
      <w:r>
        <w:rPr>
          <w:rFonts w:hint="eastAsia"/>
        </w:rPr>
        <w:t>～15%</w:t>
      </w:r>
      <w:r>
        <w:rPr>
          <w:rFonts w:hAnsi="宋体"/>
        </w:rPr>
        <w:t>（</w:t>
      </w:r>
      <w:r>
        <w:t>V/V</w:t>
      </w:r>
      <w:r>
        <w:rPr>
          <w:rFonts w:hAnsi="宋体"/>
        </w:rPr>
        <w:t>）以内的盐酸</w:t>
      </w:r>
      <w:r>
        <w:rPr>
          <w:rFonts w:hint="eastAsia" w:hAnsi="宋体"/>
        </w:rPr>
        <w:t>介质中，随着盐酸浓度的增大，测定铜的吸光度是递减的。是不是特殊情况？</w:t>
      </w:r>
      <w:r>
        <w:rPr>
          <w:rFonts w:hint="eastAsia"/>
          <w:szCs w:val="20"/>
        </w:rPr>
        <w:t>（湖南有色金属研究院）。不采纳（理由：实验中为出现此现象，其他4家一验也未出现此现象）。</w:t>
      </w:r>
    </w:p>
    <w:p>
      <w:pPr>
        <w:pStyle w:val="57"/>
        <w:numPr>
          <w:ilvl w:val="0"/>
          <w:numId w:val="6"/>
        </w:numPr>
        <w:spacing w:line="360" w:lineRule="auto"/>
        <w:ind w:firstLineChars="0"/>
        <w:rPr>
          <w:rFonts w:ascii="宋体" w:hAnsi="宋体" w:cs="宋体"/>
        </w:rPr>
      </w:pPr>
      <w:r>
        <w:rPr>
          <w:rFonts w:hint="eastAsia" w:ascii="宋体" w:hAnsi="宋体" w:cs="宋体"/>
        </w:rPr>
        <w:t>由于朗伯比尔定律的偏离，当待测溶液的浓度接近最高点标准溶液的浓度时，有可能使测得值偏离真实值较多，若采用二次标准曲线是否能改善？</w:t>
      </w:r>
      <w:r>
        <w:rPr>
          <w:rFonts w:hint="eastAsia"/>
        </w:rPr>
        <w:t>（</w:t>
      </w:r>
      <w:r>
        <w:rPr>
          <w:rFonts w:hint="eastAsia"/>
          <w:szCs w:val="20"/>
        </w:rPr>
        <w:t>湖南有色金属研究院</w:t>
      </w:r>
      <w:r>
        <w:rPr>
          <w:rFonts w:hint="eastAsia"/>
        </w:rPr>
        <w:t>）。不采纳（理由：待测溶液的浓度过高或者过低才会偏离朗伯-比尔定律，本方法全部待测溶液均为稀释后的溶液。一般情况下，待测物质溶液浓度的吸光度在0</w:t>
      </w:r>
      <w:r>
        <w:t>.1</w:t>
      </w:r>
      <w:r>
        <w:rPr>
          <w:rFonts w:hint="eastAsia"/>
        </w:rPr>
        <w:t>-</w:t>
      </w:r>
      <w:r>
        <w:t>0.8</w:t>
      </w:r>
      <w:r>
        <w:rPr>
          <w:rFonts w:hint="eastAsia"/>
        </w:rPr>
        <w:t>之间最符合光吸收定律）。</w:t>
      </w:r>
    </w:p>
    <w:p>
      <w:pPr>
        <w:numPr>
          <w:ilvl w:val="0"/>
          <w:numId w:val="6"/>
        </w:numPr>
        <w:spacing w:line="360" w:lineRule="auto"/>
        <w:rPr>
          <w:rFonts w:ascii="宋体" w:hAnsi="宋体"/>
          <w:szCs w:val="21"/>
        </w:rPr>
      </w:pPr>
      <w:r>
        <w:rPr>
          <w:rFonts w:hint="eastAsia" w:hAnsi="宋体"/>
        </w:rPr>
        <w:t>原实验报告1.2</w:t>
      </w:r>
      <w:r>
        <w:rPr>
          <w:rFonts w:hint="eastAsia" w:ascii="宋体" w:hAnsi="宋体"/>
          <w:szCs w:val="21"/>
        </w:rPr>
        <w:t>加入10</w:t>
      </w:r>
      <w:r>
        <w:rPr>
          <w:rFonts w:ascii="宋体" w:hAnsi="宋体"/>
          <w:szCs w:val="21"/>
        </w:rPr>
        <w:t>mL</w:t>
      </w:r>
      <w:r>
        <w:rPr>
          <w:rFonts w:hint="eastAsia" w:ascii="宋体" w:hAnsi="宋体"/>
          <w:szCs w:val="21"/>
        </w:rPr>
        <w:t>盐酸（1.1</w:t>
      </w:r>
      <w:r>
        <w:rPr>
          <w:rFonts w:ascii="宋体" w:hAnsi="宋体"/>
          <w:szCs w:val="21"/>
        </w:rPr>
        <w:t>.</w:t>
      </w:r>
      <w:r>
        <w:rPr>
          <w:rFonts w:hint="eastAsia" w:ascii="宋体" w:hAnsi="宋体"/>
          <w:szCs w:val="21"/>
        </w:rPr>
        <w:t>2）应改为加入10</w:t>
      </w:r>
      <w:r>
        <w:rPr>
          <w:rFonts w:ascii="宋体" w:hAnsi="宋体"/>
          <w:szCs w:val="21"/>
        </w:rPr>
        <w:t>mL</w:t>
      </w:r>
      <w:r>
        <w:rPr>
          <w:rFonts w:hint="eastAsia" w:ascii="宋体" w:hAnsi="宋体"/>
          <w:szCs w:val="21"/>
        </w:rPr>
        <w:t>盐酸（1.1</w:t>
      </w:r>
      <w:r>
        <w:rPr>
          <w:rFonts w:ascii="宋体" w:hAnsi="宋体"/>
          <w:szCs w:val="21"/>
        </w:rPr>
        <w:t>.</w:t>
      </w:r>
      <w:r>
        <w:rPr>
          <w:rFonts w:hint="eastAsia" w:ascii="宋体" w:hAnsi="宋体"/>
          <w:szCs w:val="21"/>
        </w:rPr>
        <w:t>6），溶液的酸度为5%，本次验证实验控制酸度为5%。</w:t>
      </w:r>
      <w:r>
        <w:rPr>
          <w:rFonts w:hint="eastAsia"/>
        </w:rPr>
        <w:t>（中色桂林矿产地质研究院有限公司）。不采纳（理由：浸取样品时酸度为1</w:t>
      </w:r>
      <w:r>
        <w:t>0</w:t>
      </w:r>
      <w:r>
        <w:rPr>
          <w:rFonts w:hint="eastAsia"/>
        </w:rPr>
        <w:t>%是防止样品中Sb、Bi、Sn、Ag等水解或沉淀对测定带来影响）。</w:t>
      </w:r>
    </w:p>
    <w:p>
      <w:pPr>
        <w:numPr>
          <w:ilvl w:val="0"/>
          <w:numId w:val="6"/>
        </w:numPr>
        <w:spacing w:line="360" w:lineRule="auto"/>
        <w:rPr>
          <w:rFonts w:ascii="宋体" w:hAnsi="宋体"/>
          <w:szCs w:val="21"/>
        </w:rPr>
      </w:pPr>
      <w:r>
        <w:rPr>
          <w:rFonts w:hint="eastAsia" w:hAnsi="宋体"/>
        </w:rPr>
        <w:t>原实验报告1.2中表1</w:t>
      </w:r>
      <w:r>
        <w:rPr>
          <w:rFonts w:hint="eastAsia" w:ascii="宋体" w:hAnsi="宋体"/>
          <w:szCs w:val="21"/>
        </w:rPr>
        <w:t>盐酸（3.2）补加量，盐酸（3.2）描写不清楚，实验报告里面没有。</w:t>
      </w:r>
      <w:r>
        <w:rPr>
          <w:rFonts w:hint="eastAsia"/>
        </w:rPr>
        <w:t>（中色桂林矿产地质研究院有限公司）。采纳。实验报告1</w:t>
      </w:r>
      <w:r>
        <w:t>.2</w:t>
      </w:r>
      <w:r>
        <w:rPr>
          <w:rFonts w:hint="eastAsia"/>
        </w:rPr>
        <w:t>中盐酸（3</w:t>
      </w:r>
      <w:r>
        <w:t>.2</w:t>
      </w:r>
      <w:r>
        <w:rPr>
          <w:rFonts w:hint="eastAsia"/>
        </w:rPr>
        <w:t>）改为盐酸（1</w:t>
      </w:r>
      <w:r>
        <w:t>.1.2</w:t>
      </w:r>
      <w:r>
        <w:rPr>
          <w:rFonts w:hint="eastAsia"/>
        </w:rPr>
        <w:t>）。</w:t>
      </w:r>
    </w:p>
    <w:p>
      <w:pPr>
        <w:pStyle w:val="57"/>
        <w:numPr>
          <w:ilvl w:val="0"/>
          <w:numId w:val="6"/>
        </w:numPr>
        <w:spacing w:line="360" w:lineRule="auto"/>
        <w:ind w:firstLineChars="0"/>
        <w:rPr>
          <w:rFonts w:ascii="宋体" w:hAnsi="宋体"/>
          <w:bCs/>
          <w:color w:val="000000"/>
          <w:szCs w:val="21"/>
        </w:rPr>
      </w:pPr>
      <w:r>
        <w:rPr>
          <w:rFonts w:hint="eastAsia" w:ascii="宋体" w:hAnsi="宋体"/>
          <w:bCs/>
          <w:color w:val="000000"/>
          <w:szCs w:val="21"/>
        </w:rPr>
        <w:t>样品溶解完全后仍有少量残渣，建议试验报告1.2分析步骤第一段后增加静置，干过滤。</w:t>
      </w:r>
    </w:p>
    <w:p>
      <w:pPr>
        <w:spacing w:line="360" w:lineRule="auto"/>
      </w:pPr>
      <w:r>
        <w:rPr>
          <w:rFonts w:hint="eastAsia"/>
        </w:rPr>
        <w:t>（北方铜业股份有限公司）。采纳，文本中已增加“静置澄清或干过滤”。</w:t>
      </w:r>
    </w:p>
    <w:p>
      <w:pPr>
        <w:pStyle w:val="57"/>
        <w:numPr>
          <w:ilvl w:val="0"/>
          <w:numId w:val="6"/>
        </w:numPr>
        <w:spacing w:line="360" w:lineRule="auto"/>
        <w:ind w:firstLineChars="0"/>
        <w:rPr>
          <w:color w:val="000000"/>
          <w:szCs w:val="21"/>
        </w:rPr>
      </w:pPr>
      <w:r>
        <w:rPr>
          <w:rFonts w:hint="eastAsia" w:ascii="宋体" w:hAnsi="宋体"/>
          <w:bCs/>
          <w:color w:val="000000"/>
          <w:szCs w:val="21"/>
        </w:rPr>
        <w:t>试验报告2.4溶样方式的选择中方案一与其它方案结果无明显差异。</w:t>
      </w:r>
      <w:r>
        <w:rPr>
          <w:rFonts w:hint="eastAsia"/>
        </w:rPr>
        <w:t>（北方铜业股份有限公司）。不采纳，测定结果无明显差异，考虑到样品溶解状况和对测定仪器的维护方面，选择溶样残渣更少的方法。</w:t>
      </w:r>
    </w:p>
    <w:p>
      <w:pPr>
        <w:numPr>
          <w:ilvl w:val="0"/>
          <w:numId w:val="6"/>
        </w:numPr>
        <w:spacing w:line="360" w:lineRule="auto"/>
        <w:rPr>
          <w:rFonts w:hAnsi="宋体"/>
        </w:rPr>
      </w:pPr>
      <w:r>
        <w:rPr>
          <w:rFonts w:hint="eastAsia"/>
        </w:rPr>
        <w:t>样品称样量是否太少，冶炼烟尘这样的渣样均匀性较差，建议称样量要大一些。（</w:t>
      </w:r>
      <w:r>
        <w:rPr>
          <w:rFonts w:hint="eastAsia" w:ascii="宋体" w:hAnsi="宋体"/>
        </w:rPr>
        <w:t>深圳市中金岭南有色金属股份有限公司</w:t>
      </w:r>
      <w:r>
        <w:rPr>
          <w:rFonts w:hint="eastAsia"/>
        </w:rPr>
        <w:t>）。不采纳（考虑到铜冶炼烟尘基体复杂，称样量增大会加大样品分解难度，样品均匀性问题可通过样品制备过程解决）。</w:t>
      </w:r>
    </w:p>
    <w:p>
      <w:pPr>
        <w:spacing w:line="360" w:lineRule="auto"/>
      </w:pPr>
      <w:r>
        <w:rPr>
          <w:rFonts w:hint="eastAsia"/>
        </w:rPr>
        <w:t>1</w:t>
      </w:r>
      <w:r>
        <w:t>0</w:t>
      </w:r>
      <w:r>
        <w:rPr>
          <w:rFonts w:hint="eastAsia"/>
        </w:rPr>
        <w:t>）样品分解完全，加盐酸浸取时，3#和5#样品不够清亮，似有水解现象，建议盐酸浸取时补加少量酒石酸溶液，防止其中易水解元素发生水解。样品分解时，高氯酸冒烟，是否需要补加氢溴酸除砷、锑、锡等杂质元素（</w:t>
      </w:r>
      <w:r>
        <w:rPr>
          <w:rFonts w:hint="eastAsia" w:ascii="宋体" w:hAnsi="宋体"/>
        </w:rPr>
        <w:t>深圳市中金岭南有色金属股份有限公司</w:t>
      </w:r>
      <w:r>
        <w:rPr>
          <w:rFonts w:hint="eastAsia"/>
        </w:rPr>
        <w:t>）。不采纳（理由：以上加酒石酸和补加补加氢溴酸的方法在方法选择过程中都有试过，结果并没有差异，另外本实验方法结果已与碱熔的结果进行比对，铜的结果正常）。</w:t>
      </w:r>
    </w:p>
    <w:p>
      <w:pPr>
        <w:spacing w:line="360" w:lineRule="auto"/>
        <w:rPr>
          <w:rFonts w:hint="eastAsia"/>
        </w:rPr>
      </w:pPr>
      <w:r>
        <w:rPr>
          <w:rFonts w:hint="eastAsia" w:hAnsi="宋体"/>
        </w:rPr>
        <w:t>1</w:t>
      </w:r>
      <w:r>
        <w:rPr>
          <w:rFonts w:hAnsi="宋体"/>
        </w:rPr>
        <w:t>1</w:t>
      </w:r>
      <w:r>
        <w:rPr>
          <w:rFonts w:hint="eastAsia" w:hAnsi="宋体"/>
        </w:rPr>
        <w:t>）</w:t>
      </w:r>
      <w:r>
        <w:rPr>
          <w:rFonts w:hint="eastAsia" w:ascii="宋体" w:hAnsi="宋体"/>
          <w:kern w:val="0"/>
          <w:szCs w:val="21"/>
        </w:rPr>
        <w:t>D1113-1#</w:t>
      </w:r>
      <w:r>
        <w:rPr>
          <w:rFonts w:hint="eastAsia"/>
          <w:sz w:val="24"/>
        </w:rPr>
        <w:t>试验样品测定读数超出方法标准曲线系列最高点（2</w:t>
      </w:r>
      <w:r>
        <w:rPr>
          <w:sz w:val="24"/>
        </w:rPr>
        <w:t>.50</w:t>
      </w:r>
      <w:r>
        <w:rPr>
          <w:rFonts w:hint="eastAsia" w:ascii="宋体" w:hAnsi="宋体"/>
          <w:sz w:val="24"/>
        </w:rPr>
        <w:t>μ</w:t>
      </w:r>
      <w:r>
        <w:rPr>
          <w:rFonts w:hint="eastAsia"/>
          <w:sz w:val="24"/>
        </w:rPr>
        <w:t>g</w:t>
      </w:r>
      <w:r>
        <w:rPr>
          <w:sz w:val="24"/>
        </w:rPr>
        <w:t>/m</w:t>
      </w:r>
      <w:r>
        <w:rPr>
          <w:rFonts w:hint="eastAsia"/>
          <w:sz w:val="24"/>
        </w:rPr>
        <w:t>L），考虑实际样品可能稍微超出方法测定范围上限5.00%，建议标准曲线系列最高点调整至3</w:t>
      </w:r>
      <w:r>
        <w:rPr>
          <w:sz w:val="24"/>
        </w:rPr>
        <w:t>.00</w:t>
      </w:r>
      <w:r>
        <w:rPr>
          <w:rFonts w:hint="eastAsia" w:ascii="宋体" w:hAnsi="宋体"/>
          <w:sz w:val="24"/>
        </w:rPr>
        <w:t>μ</w:t>
      </w:r>
      <w:r>
        <w:rPr>
          <w:rFonts w:hint="eastAsia"/>
          <w:sz w:val="24"/>
        </w:rPr>
        <w:t>g</w:t>
      </w:r>
      <w:r>
        <w:rPr>
          <w:sz w:val="24"/>
        </w:rPr>
        <w:t>/mL</w:t>
      </w:r>
      <w:r>
        <w:rPr>
          <w:rFonts w:hint="eastAsia"/>
          <w:sz w:val="24"/>
        </w:rPr>
        <w:t>。</w:t>
      </w:r>
      <w:r>
        <w:rPr>
          <w:rFonts w:hint="eastAsia"/>
        </w:rPr>
        <w:t>（紫金矿业集团股份</w:t>
      </w:r>
      <w:r>
        <w:rPr>
          <w:rFonts w:hint="eastAsia" w:ascii="宋体" w:hAnsi="宋体"/>
        </w:rPr>
        <w:t>有限公司</w:t>
      </w:r>
      <w:r>
        <w:rPr>
          <w:rFonts w:hint="eastAsia"/>
        </w:rPr>
        <w:t>）。不采纳（理由：部分仪器标准点调整到</w:t>
      </w:r>
      <w:r>
        <w:rPr>
          <w:rFonts w:hint="eastAsia"/>
          <w:sz w:val="24"/>
        </w:rPr>
        <w:t>3</w:t>
      </w:r>
      <w:r>
        <w:rPr>
          <w:sz w:val="24"/>
        </w:rPr>
        <w:t>.00</w:t>
      </w:r>
      <w:r>
        <w:rPr>
          <w:rFonts w:hint="eastAsia" w:ascii="宋体" w:hAnsi="宋体"/>
          <w:sz w:val="24"/>
        </w:rPr>
        <w:t>μ</w:t>
      </w:r>
      <w:r>
        <w:rPr>
          <w:rFonts w:hint="eastAsia"/>
          <w:sz w:val="24"/>
        </w:rPr>
        <w:t>g</w:t>
      </w:r>
      <w:r>
        <w:rPr>
          <w:sz w:val="24"/>
        </w:rPr>
        <w:t>/mL</w:t>
      </w:r>
      <w:r>
        <w:rPr>
          <w:rFonts w:hint="eastAsia"/>
          <w:sz w:val="24"/>
        </w:rPr>
        <w:t>会出现线性不好的情况，另外标准上限是到5</w:t>
      </w:r>
      <w:r>
        <w:rPr>
          <w:sz w:val="24"/>
        </w:rPr>
        <w:t>.00</w:t>
      </w:r>
      <w:r>
        <w:rPr>
          <w:rFonts w:hint="eastAsia"/>
          <w:sz w:val="24"/>
        </w:rPr>
        <w:t>%</w:t>
      </w:r>
      <w:r>
        <w:rPr>
          <w:rFonts w:hint="eastAsia"/>
        </w:rPr>
        <w:t>）。</w:t>
      </w:r>
    </w:p>
    <w:p>
      <w:pPr>
        <w:adjustRightInd w:val="0"/>
        <w:snapToGrid w:val="0"/>
        <w:spacing w:beforeLines="50" w:afterLines="50" w:line="300" w:lineRule="auto"/>
        <w:jc w:val="left"/>
        <w:rPr>
          <w:rFonts w:hint="eastAsia" w:ascii="Times New Roman" w:hAnsi="Times New Roman"/>
          <w:b/>
          <w:bCs/>
          <w:color w:val="000000" w:themeColor="text1"/>
          <w:szCs w:val="21"/>
          <w:lang w:val="en-US" w:eastAsia="zh-CN"/>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方法2 容量法</w:t>
      </w:r>
    </w:p>
    <w:p>
      <w:pPr>
        <w:adjustRightInd w:val="0"/>
        <w:snapToGrid w:val="0"/>
        <w:spacing w:beforeLines="50" w:afterLines="50" w:line="300" w:lineRule="auto"/>
        <w:ind w:firstLine="420" w:firstLineChars="200"/>
        <w:jc w:val="left"/>
        <w:rPr>
          <w:rFonts w:ascii="Times New Roman" w:hAnsi="Times New Roman"/>
          <w:szCs w:val="21"/>
        </w:rPr>
      </w:pPr>
      <w:r>
        <w:rPr>
          <w:rFonts w:hint="eastAsia" w:ascii="Times New Roman" w:hAnsi="Times New Roman"/>
          <w:szCs w:val="21"/>
        </w:rPr>
        <w:t>各验证单位在验证过程中，对本标准的主要修改意见如下：</w:t>
      </w:r>
    </w:p>
    <w:p>
      <w:pPr>
        <w:numPr>
          <w:ilvl w:val="0"/>
          <w:numId w:val="7"/>
        </w:numPr>
        <w:spacing w:line="360" w:lineRule="auto"/>
        <w:ind w:left="425" w:leftChars="0" w:hanging="425" w:firstLineChars="0"/>
        <w:outlineLvl w:val="0"/>
        <w:rPr>
          <w:rFonts w:hint="eastAsia"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正文5.4.1加热至尽干还是近干？建议增加试样加热蒸干程度。（北方铜业股份有限公司）。采纳。已增加试验，试验表明</w:t>
      </w:r>
      <w:r>
        <w:rPr>
          <w:rFonts w:hint="eastAsia"/>
          <w:b w:val="0"/>
          <w:bCs w:val="0"/>
          <w:color w:val="000000" w:themeColor="text1"/>
          <w:sz w:val="21"/>
          <w:szCs w:val="21"/>
          <w:lang w:val="en-US" w:eastAsia="zh-CN"/>
          <w14:textFill>
            <w14:solidFill>
              <w14:schemeClr w14:val="tx1"/>
            </w14:solidFill>
          </w14:textFill>
        </w:rPr>
        <w:t>当硫酸蒸至尽干时，因有少量盐类粘瓶底，铜的测定结果略偏低；当硫酸蒸至近干时，因酸剩余比较多消耗乙酸铵溶液比较多，滴定体积偏大，铜的测定结果无影响；当硫酸蒸至</w:t>
      </w:r>
      <w:r>
        <w:rPr>
          <w:rFonts w:hint="eastAsia"/>
          <w:b w:val="0"/>
          <w:bCs w:val="0"/>
          <w:color w:val="000000" w:themeColor="text1"/>
          <w:sz w:val="21"/>
          <w:szCs w:val="21"/>
          <w:lang w:eastAsia="zh-CN"/>
          <w14:textFill>
            <w14:solidFill>
              <w14:schemeClr w14:val="tx1"/>
            </w14:solidFill>
          </w14:textFill>
        </w:rPr>
        <w:t>剩余少量可见硫酸烟时，盐类不会粘瓶底，</w:t>
      </w:r>
      <w:r>
        <w:rPr>
          <w:rFonts w:hint="eastAsia"/>
          <w:b w:val="0"/>
          <w:bCs w:val="0"/>
          <w:color w:val="000000" w:themeColor="text1"/>
          <w:sz w:val="21"/>
          <w:szCs w:val="21"/>
          <w14:textFill>
            <w14:solidFill>
              <w14:schemeClr w14:val="tx1"/>
            </w14:solidFill>
          </w14:textFill>
        </w:rPr>
        <w:t>溶解盐类效果</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铜的测定结果无影响，综合考虑硫酸剩余量选择</w:t>
      </w:r>
      <w:r>
        <w:rPr>
          <w:rFonts w:hint="eastAsia"/>
          <w:b w:val="0"/>
          <w:bCs w:val="0"/>
          <w:color w:val="000000" w:themeColor="text1"/>
          <w:sz w:val="21"/>
          <w:szCs w:val="21"/>
          <w:lang w:eastAsia="zh-CN"/>
          <w14:textFill>
            <w14:solidFill>
              <w14:schemeClr w14:val="tx1"/>
            </w14:solidFill>
          </w14:textFill>
        </w:rPr>
        <w:t>剩余少量可见硫酸烟。</w:t>
      </w:r>
    </w:p>
    <w:p>
      <w:pPr>
        <w:numPr>
          <w:ilvl w:val="0"/>
          <w:numId w:val="7"/>
        </w:numPr>
        <w:spacing w:line="360" w:lineRule="auto"/>
        <w:ind w:left="425" w:leftChars="0" w:hanging="425" w:firstLineChars="0"/>
        <w:outlineLvl w:val="0"/>
        <w:rPr>
          <w:rFonts w:hint="eastAsia"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样品称样量分的太细，可操作性不强，建议整合，最好为</w:t>
      </w:r>
      <w:r>
        <w:rPr>
          <w:rFonts w:hint="eastAsia"/>
          <w:b w:val="0"/>
          <w:bCs w:val="0"/>
          <w:color w:val="000000" w:themeColor="text1"/>
          <w:sz w:val="21"/>
          <w:szCs w:val="21"/>
          <w:lang w:val="en-US" w:eastAsia="zh-CN"/>
          <w14:textFill>
            <w14:solidFill>
              <w14:schemeClr w14:val="tx1"/>
            </w14:solidFill>
          </w14:textFill>
        </w:rPr>
        <w:t>2-3段。（中国检验认证集团广西有限公司）。不采纳（理由：实际工作中，样品大概含量基本清楚，为保证结果的准确性还是称取不同的样品量）。</w:t>
      </w:r>
    </w:p>
    <w:p>
      <w:pPr>
        <w:numPr>
          <w:ilvl w:val="0"/>
          <w:numId w:val="7"/>
        </w:numPr>
        <w:spacing w:line="360" w:lineRule="auto"/>
        <w:ind w:left="425" w:leftChars="0" w:hanging="425" w:firstLineChars="0"/>
        <w:outlineLvl w:val="0"/>
        <w:rPr>
          <w:rFonts w:hint="eastAsia" w:hAnsi="宋体"/>
        </w:rPr>
      </w:pPr>
      <w:r>
        <w:rPr>
          <w:rFonts w:hint="eastAsia" w:hAnsi="宋体"/>
        </w:rPr>
        <w:t>溶样时，建议用300</w:t>
      </w:r>
      <w:r>
        <w:rPr>
          <w:rFonts w:hint="eastAsia" w:hAnsi="宋体"/>
          <w:lang w:val="en-US" w:eastAsia="zh-CN"/>
        </w:rPr>
        <w:t xml:space="preserve"> </w:t>
      </w:r>
      <w:r>
        <w:rPr>
          <w:rFonts w:hint="eastAsia" w:hAnsi="宋体"/>
        </w:rPr>
        <w:t>mL锥形瓶，因为加入的酸体积少，烧杯太大，溶样效果可能不太好。</w:t>
      </w:r>
      <w:r>
        <w:rPr>
          <w:rFonts w:hint="eastAsia"/>
          <w:b w:val="0"/>
          <w:bCs w:val="0"/>
          <w:color w:val="000000" w:themeColor="text1"/>
          <w:sz w:val="21"/>
          <w:szCs w:val="21"/>
          <w:lang w:val="en-US" w:eastAsia="zh-CN"/>
          <w14:textFill>
            <w14:solidFill>
              <w14:schemeClr w14:val="tx1"/>
            </w14:solidFill>
          </w14:textFill>
        </w:rPr>
        <w:t>（中国检验认证集团广西有限公司）。部分采纳，锥形瓶瓶口太小，不利于后续操作，仍使用三角烧杯，将500 mL三角烧杯改为300 mL 三角烧杯。</w:t>
      </w:r>
    </w:p>
    <w:p>
      <w:pPr>
        <w:numPr>
          <w:ilvl w:val="0"/>
          <w:numId w:val="7"/>
        </w:numPr>
        <w:spacing w:line="360" w:lineRule="auto"/>
        <w:ind w:left="425" w:leftChars="0" w:hanging="425" w:firstLineChars="0"/>
        <w:outlineLvl w:val="0"/>
        <w:rPr>
          <w:rFonts w:hint="eastAsia" w:hAnsi="宋体"/>
        </w:rPr>
      </w:pPr>
      <w:r>
        <w:rPr>
          <w:rFonts w:hint="eastAsia" w:hAnsi="宋体"/>
        </w:rPr>
        <w:t>溶完样之后，加水30mL, 建议加水40mL, 加水体积多一些，滴定时颜色变化比较明显；另外，目前ISO 10258:2015 (E)中是</w:t>
      </w:r>
      <w:r>
        <w:rPr>
          <w:rFonts w:hint="eastAsia"/>
        </w:rPr>
        <w:t>加入40 mL硫酸（1+999），加热溶解盐类，用这种方法，盐类不会粘瓶底，溶解盐类效果比加水效果好，所以建议加入40mL硫酸（1+999）。</w:t>
      </w:r>
      <w:r>
        <w:rPr>
          <w:rFonts w:hint="eastAsia"/>
          <w:b w:val="0"/>
          <w:bCs w:val="0"/>
          <w:color w:val="000000" w:themeColor="text1"/>
          <w:sz w:val="21"/>
          <w:szCs w:val="21"/>
          <w:lang w:val="en-US" w:eastAsia="zh-CN"/>
          <w14:textFill>
            <w14:solidFill>
              <w14:schemeClr w14:val="tx1"/>
            </w14:solidFill>
          </w14:textFill>
        </w:rPr>
        <w:t>（中国检验认证集团广西有限公司）。不采纳。（理由：500 mL三角烧杯改为300 mL三角烧杯，加水多，不利后续操作； 操作过程中</w:t>
      </w:r>
      <w:r>
        <w:rPr>
          <w:rFonts w:hint="eastAsia"/>
          <w:b w:val="0"/>
          <w:bCs w:val="0"/>
          <w:color w:val="000000" w:themeColor="text1"/>
          <w:sz w:val="21"/>
          <w:szCs w:val="21"/>
          <w:lang w:eastAsia="zh-CN"/>
          <w14:textFill>
            <w14:solidFill>
              <w14:schemeClr w14:val="tx1"/>
            </w14:solidFill>
          </w14:textFill>
        </w:rPr>
        <w:t>剩余少量可见硫酸烟，已有一定硫酸，盐类不会粘瓶底，</w:t>
      </w:r>
      <w:r>
        <w:rPr>
          <w:rFonts w:hint="eastAsia"/>
          <w:b w:val="0"/>
          <w:bCs w:val="0"/>
          <w:color w:val="000000" w:themeColor="text1"/>
          <w:sz w:val="21"/>
          <w:szCs w:val="21"/>
          <w14:textFill>
            <w14:solidFill>
              <w14:schemeClr w14:val="tx1"/>
            </w14:solidFill>
          </w14:textFill>
        </w:rPr>
        <w:t>溶解盐类效果</w:t>
      </w:r>
      <w:r>
        <w:rPr>
          <w:rFonts w:hint="eastAsia"/>
          <w:b w:val="0"/>
          <w:bCs w:val="0"/>
          <w:color w:val="000000" w:themeColor="text1"/>
          <w:sz w:val="21"/>
          <w:szCs w:val="21"/>
          <w:lang w:val="en-US" w:eastAsia="zh-CN"/>
          <w14:textFill>
            <w14:solidFill>
              <w14:schemeClr w14:val="tx1"/>
            </w14:solidFill>
          </w14:textFill>
        </w:rPr>
        <w:t>）。</w:t>
      </w:r>
    </w:p>
    <w:p>
      <w:pPr>
        <w:numPr>
          <w:ilvl w:val="0"/>
          <w:numId w:val="4"/>
        </w:numPr>
        <w:spacing w:line="360" w:lineRule="auto"/>
        <w:ind w:firstLine="0"/>
        <w:rPr>
          <w:rFonts w:ascii="Times New Roman" w:hAnsi="Times New Roman"/>
          <w:b/>
          <w:sz w:val="24"/>
        </w:rPr>
      </w:pPr>
      <w:bookmarkStart w:id="0" w:name="_GoBack"/>
      <w:bookmarkEnd w:id="0"/>
      <w:r>
        <w:rPr>
          <w:rFonts w:ascii="Times New Roman" w:hAnsi="Times New Roman"/>
          <w:b/>
          <w:sz w:val="24"/>
        </w:rPr>
        <w:t>标准编制原则</w:t>
      </w:r>
    </w:p>
    <w:p>
      <w:pPr>
        <w:spacing w:line="440" w:lineRule="exact"/>
        <w:ind w:firstLine="420" w:firstLineChars="200"/>
        <w:rPr>
          <w:rFonts w:ascii="Times New Roman" w:hAnsi="Times New Roman"/>
          <w:szCs w:val="21"/>
        </w:rPr>
      </w:pPr>
      <w:r>
        <w:rPr>
          <w:rFonts w:ascii="Times New Roman" w:hAnsi="Times New Roman" w:eastAsia="黑体"/>
          <w:szCs w:val="21"/>
        </w:rPr>
        <w:t>1、</w:t>
      </w:r>
      <w:r>
        <w:rPr>
          <w:rFonts w:ascii="Times New Roman" w:hAnsi="Times New Roman"/>
          <w:szCs w:val="21"/>
        </w:rPr>
        <w:t>符合性：该标准按照GB/T 1.1—2009《标准化工作导则第1部分：标准的结构和编写》、GB/T 20001.4-2015《标准编写规则第4部分：试验方法标准》的要求对本部分进行了编写。</w:t>
      </w:r>
    </w:p>
    <w:p>
      <w:pPr>
        <w:spacing w:line="440" w:lineRule="exact"/>
        <w:ind w:firstLine="420" w:firstLineChars="200"/>
        <w:rPr>
          <w:rFonts w:ascii="Times New Roman" w:hAnsi="Times New Roman"/>
          <w:szCs w:val="21"/>
        </w:rPr>
      </w:pPr>
      <w:r>
        <w:rPr>
          <w:rFonts w:ascii="Times New Roman" w:hAnsi="Times New Roman" w:eastAsia="黑体"/>
          <w:szCs w:val="21"/>
        </w:rPr>
        <w:t>2、</w:t>
      </w:r>
      <w:r>
        <w:rPr>
          <w:rFonts w:ascii="Times New Roman" w:hAnsi="Times New Roman"/>
          <w:szCs w:val="21"/>
        </w:rPr>
        <w:t>合理性：以满足我国</w:t>
      </w:r>
      <w:r>
        <w:rPr>
          <w:rFonts w:hint="eastAsia" w:ascii="Times New Roman" w:hAnsi="Times New Roman"/>
          <w:szCs w:val="21"/>
        </w:rPr>
        <w:t>铜冶炼烟尘</w:t>
      </w:r>
      <w:r>
        <w:rPr>
          <w:rFonts w:ascii="Times New Roman" w:hAnsi="Times New Roman"/>
          <w:szCs w:val="21"/>
        </w:rPr>
        <w:t>实际生产和</w:t>
      </w:r>
      <w:r>
        <w:rPr>
          <w:rFonts w:hint="eastAsia" w:ascii="Times New Roman" w:hAnsi="Times New Roman"/>
          <w:szCs w:val="21"/>
        </w:rPr>
        <w:t>综合回收利用</w:t>
      </w:r>
      <w:r>
        <w:rPr>
          <w:rFonts w:ascii="Times New Roman" w:hAnsi="Times New Roman"/>
          <w:szCs w:val="21"/>
        </w:rPr>
        <w:t>的需要为原则，与实际相结合，提高标准的适用性。反映当前国内各生产企业的技术水平，宜于应用，经济上合理，兼顾现有资源的合理配置，提高了标准的可操作性。</w:t>
      </w:r>
    </w:p>
    <w:p>
      <w:pPr>
        <w:spacing w:line="440" w:lineRule="exact"/>
        <w:ind w:firstLine="420" w:firstLineChars="200"/>
        <w:rPr>
          <w:rFonts w:ascii="Times New Roman" w:hAnsi="Times New Roman"/>
          <w:szCs w:val="21"/>
        </w:rPr>
      </w:pPr>
      <w:r>
        <w:rPr>
          <w:rFonts w:ascii="Times New Roman" w:hAnsi="Times New Roman" w:eastAsia="黑体"/>
          <w:szCs w:val="21"/>
        </w:rPr>
        <w:t>3、</w:t>
      </w:r>
      <w:r>
        <w:rPr>
          <w:rFonts w:ascii="Times New Roman" w:hAnsi="Times New Roman"/>
          <w:szCs w:val="21"/>
        </w:rPr>
        <w:t>先进性：该方法操作简便，系统稳定，工作效率高，精密度和准确度好，能很好地满足产品的需要</w:t>
      </w:r>
      <w:r>
        <w:rPr>
          <w:rFonts w:ascii="Times New Roman" w:hAnsi="Times New Roman"/>
          <w:kern w:val="1"/>
          <w:szCs w:val="21"/>
        </w:rPr>
        <w:t>。</w:t>
      </w:r>
    </w:p>
    <w:p>
      <w:pPr>
        <w:numPr>
          <w:ilvl w:val="0"/>
          <w:numId w:val="4"/>
        </w:numPr>
        <w:spacing w:line="360" w:lineRule="auto"/>
        <w:ind w:firstLine="0"/>
        <w:rPr>
          <w:rFonts w:ascii="Times New Roman" w:hAnsi="Times New Roman"/>
          <w:b/>
          <w:sz w:val="24"/>
        </w:rPr>
      </w:pPr>
      <w:r>
        <w:rPr>
          <w:rFonts w:ascii="Times New Roman" w:hAnsi="Times New Roman"/>
          <w:b/>
          <w:sz w:val="24"/>
        </w:rPr>
        <w:t>标准主要内容的确定依据</w:t>
      </w:r>
    </w:p>
    <w:p>
      <w:pPr>
        <w:numPr>
          <w:ilvl w:val="0"/>
          <w:numId w:val="8"/>
        </w:numPr>
        <w:rPr>
          <w:rFonts w:ascii="宋体" w:hAnsi="宋体"/>
          <w:b/>
          <w:szCs w:val="21"/>
        </w:rPr>
      </w:pPr>
      <w:r>
        <w:rPr>
          <w:rFonts w:hint="eastAsia" w:ascii="宋体" w:hAnsi="宋体"/>
          <w:b/>
          <w:bCs/>
          <w:color w:val="000000"/>
          <w:szCs w:val="21"/>
        </w:rPr>
        <w:t>铜</w:t>
      </w:r>
      <w:r>
        <w:rPr>
          <w:rFonts w:ascii="宋体" w:hAnsi="宋体"/>
          <w:b/>
          <w:bCs/>
          <w:color w:val="000000"/>
          <w:szCs w:val="21"/>
        </w:rPr>
        <w:t>含量范围确定及使用检测手段确定</w:t>
      </w:r>
    </w:p>
    <w:p>
      <w:pPr>
        <w:spacing w:line="360" w:lineRule="auto"/>
        <w:ind w:firstLine="420" w:firstLineChars="200"/>
        <w:rPr>
          <w:rFonts w:ascii="Times New Roman" w:hAnsi="Times New Roman"/>
          <w:szCs w:val="21"/>
        </w:rPr>
      </w:pPr>
      <w:r>
        <w:rPr>
          <w:rFonts w:ascii="Times New Roman" w:hAnsi="Times New Roman"/>
          <w:szCs w:val="21"/>
        </w:rPr>
        <w:t>根据</w:t>
      </w:r>
      <w:r>
        <w:rPr>
          <w:rFonts w:hint="eastAsia" w:ascii="Times New Roman" w:hAnsi="Times New Roman"/>
          <w:szCs w:val="21"/>
        </w:rPr>
        <w:t>铜陵有色金属集团控股</w:t>
      </w:r>
      <w:r>
        <w:rPr>
          <w:rFonts w:ascii="Times New Roman" w:hAnsi="Times New Roman"/>
          <w:szCs w:val="21"/>
        </w:rPr>
        <w:t>有限公司</w:t>
      </w:r>
      <w:r>
        <w:rPr>
          <w:rFonts w:hint="eastAsia" w:ascii="Times New Roman" w:hAnsi="Times New Roman"/>
          <w:szCs w:val="21"/>
        </w:rPr>
        <w:t>、北矿检测技术有限公司</w:t>
      </w:r>
      <w:r>
        <w:rPr>
          <w:rFonts w:ascii="Times New Roman" w:hAnsi="Times New Roman"/>
          <w:szCs w:val="21"/>
        </w:rPr>
        <w:t>等单位提供的</w:t>
      </w:r>
      <w:r>
        <w:rPr>
          <w:rFonts w:hint="eastAsia" w:ascii="Times New Roman" w:hAnsi="Times New Roman"/>
          <w:szCs w:val="21"/>
        </w:rPr>
        <w:t>铜冶炼烟尘</w:t>
      </w:r>
      <w:r>
        <w:rPr>
          <w:rFonts w:ascii="Times New Roman" w:hAnsi="Times New Roman"/>
          <w:szCs w:val="21"/>
        </w:rPr>
        <w:t>试样以及在实际生产中遇到的样品，确定</w:t>
      </w:r>
      <w:r>
        <w:rPr>
          <w:rFonts w:hint="eastAsia" w:ascii="Times New Roman" w:hAnsi="Times New Roman"/>
          <w:szCs w:val="21"/>
        </w:rPr>
        <w:t>铜冶炼烟尘中铜含</w:t>
      </w:r>
      <w:r>
        <w:rPr>
          <w:rFonts w:ascii="Times New Roman" w:hAnsi="Times New Roman"/>
          <w:szCs w:val="21"/>
        </w:rPr>
        <w:t>量的测定范围为</w:t>
      </w:r>
      <w:r>
        <w:rPr>
          <w:rFonts w:ascii="Times New Roman" w:hAnsi="Times New Roman"/>
          <w:color w:val="000000" w:themeColor="text1"/>
          <w:szCs w:val="21"/>
          <w14:textFill>
            <w14:solidFill>
              <w14:schemeClr w14:val="tx1"/>
            </w14:solidFill>
          </w14:textFill>
        </w:rPr>
        <w:t>0.050</w:t>
      </w:r>
      <w:r>
        <w:rPr>
          <w:rFonts w:ascii="Times New Roman" w:hAnsi="Times New Roman"/>
          <w:szCs w:val="21"/>
        </w:rPr>
        <w:t>%~</w:t>
      </w:r>
      <w:r>
        <w:rPr>
          <w:rFonts w:hint="eastAsia" w:ascii="Times New Roman" w:hAnsi="Times New Roman"/>
          <w:szCs w:val="21"/>
        </w:rPr>
        <w:t>65</w:t>
      </w:r>
      <w:r>
        <w:rPr>
          <w:rFonts w:ascii="Times New Roman" w:hAnsi="Times New Roman"/>
          <w:szCs w:val="21"/>
        </w:rPr>
        <w:t>.00%。</w:t>
      </w:r>
    </w:p>
    <w:p>
      <w:pPr>
        <w:spacing w:line="360" w:lineRule="auto"/>
        <w:ind w:firstLine="420" w:firstLineChars="200"/>
        <w:rPr>
          <w:rFonts w:ascii="Times New Roman" w:hAnsi="Times New Roman"/>
          <w:szCs w:val="21"/>
        </w:rPr>
      </w:pPr>
      <w:r>
        <w:rPr>
          <w:rFonts w:ascii="Times New Roman" w:hAnsi="Times New Roman"/>
          <w:szCs w:val="21"/>
        </w:rPr>
        <w:t>对于试样中0.80%~5.00%</w:t>
      </w:r>
      <w:r>
        <w:rPr>
          <w:rFonts w:hint="eastAsia" w:ascii="Times New Roman" w:hAnsi="Times New Roman"/>
          <w:szCs w:val="21"/>
        </w:rPr>
        <w:t>铜含</w:t>
      </w:r>
      <w:r>
        <w:rPr>
          <w:rFonts w:ascii="Times New Roman" w:hAnsi="Times New Roman"/>
          <w:szCs w:val="21"/>
        </w:rPr>
        <w:t>量的检测，</w:t>
      </w:r>
      <w:r>
        <w:rPr>
          <w:rFonts w:hint="eastAsia" w:hAnsi="宋体"/>
        </w:rPr>
        <w:t>从测定结果准确性和易操作性方面考虑，选择了原子吸收光谱法。</w:t>
      </w:r>
      <w:r>
        <w:rPr>
          <w:rFonts w:ascii="Times New Roman" w:hAnsi="Times New Roman"/>
          <w:szCs w:val="21"/>
        </w:rPr>
        <w:t>通过对</w:t>
      </w:r>
      <w:r>
        <w:rPr>
          <w:rFonts w:hint="eastAsia" w:ascii="Times New Roman" w:hAnsi="Times New Roman"/>
          <w:szCs w:val="21"/>
        </w:rPr>
        <w:t>原子吸收光谱仪</w:t>
      </w:r>
      <w:r>
        <w:rPr>
          <w:rFonts w:ascii="Times New Roman" w:hAnsi="Times New Roman"/>
          <w:szCs w:val="21"/>
        </w:rPr>
        <w:t>测定</w:t>
      </w:r>
      <w:r>
        <w:rPr>
          <w:rFonts w:hint="eastAsia" w:ascii="Times New Roman" w:hAnsi="Times New Roman"/>
          <w:szCs w:val="21"/>
        </w:rPr>
        <w:t>铜冶炼烟尘</w:t>
      </w:r>
      <w:r>
        <w:rPr>
          <w:rFonts w:ascii="Times New Roman" w:hAnsi="Times New Roman"/>
          <w:szCs w:val="21"/>
        </w:rPr>
        <w:t>中铜含量方法的测定条件和测定方法进行系统研究，并确定方法的准确度及精密度，最终形成了行业标准。</w:t>
      </w:r>
    </w:p>
    <w:p>
      <w:pPr>
        <w:adjustRightInd w:val="0"/>
        <w:snapToGrid w:val="0"/>
        <w:spacing w:beforeLines="50" w:afterLines="50" w:line="360" w:lineRule="auto"/>
        <w:ind w:firstLine="420" w:firstLineChars="200"/>
        <w:jc w:val="left"/>
        <w:rPr>
          <w:rFonts w:ascii="Times New Roman" w:hAnsi="Times New Roman"/>
          <w:szCs w:val="21"/>
        </w:rPr>
      </w:pPr>
      <w:r>
        <w:rPr>
          <w:rFonts w:ascii="Times New Roman" w:hAnsi="Times New Roman"/>
          <w:szCs w:val="21"/>
        </w:rPr>
        <w:t>对于试样中</w:t>
      </w:r>
      <w:r>
        <w:rPr>
          <w:rFonts w:hint="eastAsia" w:ascii="Times New Roman" w:hAnsi="Times New Roman"/>
          <w:szCs w:val="21"/>
        </w:rPr>
        <w:t>5.00</w:t>
      </w:r>
      <w:r>
        <w:rPr>
          <w:rFonts w:ascii="Times New Roman" w:hAnsi="Times New Roman"/>
          <w:szCs w:val="21"/>
        </w:rPr>
        <w:t>%~</w:t>
      </w:r>
      <w:r>
        <w:rPr>
          <w:rFonts w:hint="eastAsia" w:ascii="Times New Roman" w:hAnsi="Times New Roman"/>
          <w:szCs w:val="21"/>
        </w:rPr>
        <w:t>6</w:t>
      </w:r>
      <w:r>
        <w:rPr>
          <w:rFonts w:ascii="Times New Roman" w:hAnsi="Times New Roman"/>
          <w:szCs w:val="21"/>
        </w:rPr>
        <w:t>5.00%</w:t>
      </w:r>
      <w:r>
        <w:rPr>
          <w:rFonts w:hint="eastAsia" w:ascii="Times New Roman" w:hAnsi="Times New Roman"/>
          <w:szCs w:val="21"/>
        </w:rPr>
        <w:t>铜含</w:t>
      </w:r>
      <w:r>
        <w:rPr>
          <w:rFonts w:ascii="Times New Roman" w:hAnsi="Times New Roman"/>
          <w:szCs w:val="21"/>
        </w:rPr>
        <w:t>量的检测，从普及程度及成本方面考虑，最终选择了</w:t>
      </w:r>
      <w:r>
        <w:rPr>
          <w:rFonts w:hint="eastAsia" w:ascii="Times New Roman" w:hAnsi="Times New Roman"/>
          <w:szCs w:val="21"/>
        </w:rPr>
        <w:t>碘量</w:t>
      </w:r>
      <w:r>
        <w:rPr>
          <w:rFonts w:ascii="Times New Roman" w:hAnsi="Times New Roman"/>
          <w:szCs w:val="21"/>
        </w:rPr>
        <w:t>法。碘量法具有测定结果准确度高、操作简便、无需昂贵的分析仪器等特点，目前被国内外实验室广泛采用。通过对碘量法测定</w:t>
      </w:r>
      <w:r>
        <w:rPr>
          <w:rFonts w:hint="eastAsia" w:ascii="Times New Roman" w:hAnsi="Times New Roman"/>
          <w:szCs w:val="21"/>
        </w:rPr>
        <w:t>铜冶炼烟尘</w:t>
      </w:r>
      <w:r>
        <w:rPr>
          <w:rFonts w:ascii="Times New Roman" w:hAnsi="Times New Roman"/>
          <w:szCs w:val="21"/>
        </w:rPr>
        <w:t>中铜含量方法的测定条件和测定方法进行系统研究，并确定方法的准确度及精密度，最终形成了行业标准。</w:t>
      </w:r>
    </w:p>
    <w:p>
      <w:pPr>
        <w:pStyle w:val="57"/>
        <w:numPr>
          <w:ilvl w:val="0"/>
          <w:numId w:val="8"/>
        </w:numPr>
        <w:adjustRightInd w:val="0"/>
        <w:snapToGrid w:val="0"/>
        <w:spacing w:beforeLines="50" w:afterLines="50" w:line="300" w:lineRule="auto"/>
        <w:ind w:firstLineChars="0"/>
        <w:jc w:val="left"/>
        <w:rPr>
          <w:rFonts w:ascii="Times New Roman" w:hAnsi="Times New Roman" w:eastAsia="黑体"/>
          <w:szCs w:val="21"/>
        </w:rPr>
      </w:pPr>
      <w:r>
        <w:rPr>
          <w:rFonts w:hint="eastAsia" w:ascii="宋体" w:hAnsi="宋体"/>
          <w:b/>
          <w:szCs w:val="21"/>
        </w:rPr>
        <w:t>干扰及消除</w:t>
      </w:r>
    </w:p>
    <w:p>
      <w:pPr>
        <w:snapToGrid w:val="0"/>
        <w:spacing w:line="360" w:lineRule="auto"/>
        <w:rPr>
          <w:rFonts w:hint="eastAsia" w:ascii="宋体" w:hAnsi="宋体" w:cs="宋体"/>
          <w:b/>
          <w:bCs/>
          <w:szCs w:val="21"/>
          <w:lang w:val="en-US" w:eastAsia="zh-CN"/>
        </w:rPr>
      </w:pPr>
      <w:r>
        <w:rPr>
          <w:rFonts w:hint="eastAsia" w:ascii="宋体" w:hAnsi="宋体" w:cs="宋体"/>
          <w:b/>
          <w:bCs/>
          <w:szCs w:val="21"/>
          <w:lang w:val="en-US" w:eastAsia="zh-CN"/>
        </w:rPr>
        <w:t>方法1 火焰原子吸收光谱法</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根据</w:t>
      </w:r>
      <w:r>
        <w:rPr>
          <w:rFonts w:hint="default" w:ascii="Times New Roman" w:hAnsi="Times New Roman" w:cs="Times New Roman"/>
        </w:rPr>
        <w:t>十几家有色金属相关检测实验室和企业提供的代表样品</w:t>
      </w:r>
      <w:r>
        <w:rPr>
          <w:rFonts w:hint="default" w:ascii="Times New Roman" w:hAnsi="Times New Roman" w:cs="Times New Roman"/>
          <w:szCs w:val="21"/>
        </w:rPr>
        <w:t>进行半定量分析发现，铜冶炼烟尘基体复杂，主要存在元素有Cu、Pb、Zn、As、Sb、Bi、Cd、Sn、S、Fe、Au、Ag等。其中Pb含量最高31.46</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%、Zn含量最高15.76</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%、As含量最高28.11</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%、Sb含量最高1.57</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%、Bi含量最高20.55</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%、Cd含量最高15.95</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%、Sn含量最高3.04</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%、S含量最高17.81</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%、Fe含量最高7.81</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%、Au含量最高35.09</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g/t、Ag含量最高579.39</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g/t。</w:t>
      </w:r>
    </w:p>
    <w:p>
      <w:pPr>
        <w:spacing w:line="360" w:lineRule="auto"/>
        <w:ind w:firstLine="420" w:firstLineChars="200"/>
        <w:rPr>
          <w:rFonts w:hint="eastAsia" w:hAnsi="宋体"/>
        </w:rPr>
      </w:pPr>
      <w:r>
        <w:rPr>
          <w:rFonts w:hint="eastAsia" w:ascii="宋体" w:hAnsi="宋体" w:cs="宋体"/>
          <w:szCs w:val="21"/>
        </w:rPr>
        <w:t>对铜冶炼烟尘样品溶解方法的选择、仪器工作条件的选择、测定介质及酸度的影响</w:t>
      </w:r>
      <w:r>
        <w:rPr>
          <w:rFonts w:hint="eastAsia" w:hAnsi="宋体"/>
        </w:rPr>
        <w:t>和复杂基体中各共存离子的干扰情况排除。具体结果见试验报告</w:t>
      </w:r>
      <w:r>
        <w:rPr>
          <w:rFonts w:hint="eastAsia" w:hAnsi="宋体"/>
          <w:lang w:eastAsia="zh-CN"/>
        </w:rPr>
        <w:t>（</w:t>
      </w:r>
      <w:r>
        <w:rPr>
          <w:rFonts w:hint="eastAsia" w:hAnsi="宋体"/>
          <w:lang w:val="en-US" w:eastAsia="zh-CN"/>
        </w:rPr>
        <w:t>附件1</w:t>
      </w:r>
      <w:r>
        <w:rPr>
          <w:rFonts w:hint="eastAsia" w:hAnsi="宋体"/>
          <w:lang w:eastAsia="zh-CN"/>
        </w:rPr>
        <w:t>）</w:t>
      </w:r>
      <w:r>
        <w:rPr>
          <w:rFonts w:hint="eastAsia" w:hAnsi="宋体"/>
        </w:rPr>
        <w:t>。</w:t>
      </w:r>
    </w:p>
    <w:p>
      <w:pPr>
        <w:snapToGrid w:val="0"/>
        <w:spacing w:line="360" w:lineRule="auto"/>
        <w:rPr>
          <w:rFonts w:hint="default" w:ascii="宋体" w:hAnsi="宋体" w:cs="宋体"/>
          <w:b/>
          <w:bCs/>
          <w:szCs w:val="21"/>
          <w:lang w:val="en-US" w:eastAsia="zh-CN"/>
        </w:rPr>
      </w:pPr>
      <w:r>
        <w:rPr>
          <w:rFonts w:hint="eastAsia" w:ascii="宋体" w:hAnsi="宋体" w:cs="宋体"/>
          <w:b/>
          <w:bCs/>
          <w:szCs w:val="21"/>
          <w:lang w:val="en-US" w:eastAsia="zh-CN"/>
        </w:rPr>
        <w:t>方法2 容量法</w:t>
      </w:r>
    </w:p>
    <w:p>
      <w:pPr>
        <w:pStyle w:val="57"/>
        <w:adjustRightInd w:val="0"/>
        <w:snapToGrid w:val="0"/>
        <w:spacing w:beforeLines="50" w:afterLines="50" w:line="30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通过XRD检测，铜冶炼烟尘的主要成分有PbSO</w:t>
      </w:r>
      <w:r>
        <w:rPr>
          <w:rFonts w:hint="default" w:ascii="Times New Roman" w:hAnsi="Times New Roman" w:eastAsia="宋体" w:cs="Times New Roman"/>
          <w:szCs w:val="21"/>
          <w:vertAlign w:val="subscript"/>
        </w:rPr>
        <w:t>4</w:t>
      </w:r>
      <w:r>
        <w:rPr>
          <w:rFonts w:hint="default" w:ascii="Times New Roman" w:hAnsi="Times New Roman" w:eastAsia="宋体" w:cs="Times New Roman"/>
          <w:szCs w:val="21"/>
        </w:rPr>
        <w:t>，CuSO</w:t>
      </w:r>
      <w:r>
        <w:rPr>
          <w:rFonts w:hint="default" w:ascii="Times New Roman" w:hAnsi="Times New Roman" w:eastAsia="宋体" w:cs="Times New Roman"/>
          <w:szCs w:val="21"/>
          <w:vertAlign w:val="subscript"/>
        </w:rPr>
        <w:t>4</w:t>
      </w:r>
      <w:r>
        <w:rPr>
          <w:rFonts w:hint="default" w:ascii="Times New Roman" w:hAnsi="Times New Roman" w:eastAsia="宋体" w:cs="Times New Roman"/>
          <w:szCs w:val="21"/>
        </w:rPr>
        <w:t>.H</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O，ZnSO</w:t>
      </w:r>
      <w:r>
        <w:rPr>
          <w:rFonts w:hint="default" w:ascii="Times New Roman" w:hAnsi="Times New Roman" w:eastAsia="宋体" w:cs="Times New Roman"/>
          <w:szCs w:val="21"/>
          <w:vertAlign w:val="subscript"/>
        </w:rPr>
        <w:t>4</w:t>
      </w:r>
      <w:r>
        <w:rPr>
          <w:rFonts w:hint="default" w:ascii="Times New Roman" w:hAnsi="Times New Roman" w:eastAsia="宋体" w:cs="Times New Roman"/>
          <w:szCs w:val="21"/>
        </w:rPr>
        <w:t>.H</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O ，Bi</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O</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，As</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O</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和Sb、Fe、Sn、Si、Al的化合物等，铜冶炼烟尘试样中各元素含量上限为</w:t>
      </w:r>
      <w:r>
        <w:rPr>
          <w:rFonts w:hint="default" w:ascii="Times New Roman" w:hAnsi="Times New Roman" w:eastAsia="宋体" w:cs="Times New Roman"/>
          <w:bCs/>
          <w:sz w:val="18"/>
          <w:szCs w:val="18"/>
        </w:rPr>
        <w:t>Cu</w:t>
      </w:r>
      <w:r>
        <w:rPr>
          <w:rFonts w:hint="default" w:ascii="Times New Roman" w:hAnsi="Times New Roman" w:eastAsia="宋体" w:cs="Times New Roman"/>
          <w:szCs w:val="21"/>
        </w:rPr>
        <w:t xml:space="preserve"> 65 %，</w:t>
      </w:r>
      <w:r>
        <w:rPr>
          <w:rFonts w:hint="default" w:ascii="Times New Roman" w:hAnsi="Times New Roman" w:eastAsia="宋体" w:cs="Times New Roman"/>
          <w:bCs/>
          <w:sz w:val="18"/>
          <w:szCs w:val="18"/>
        </w:rPr>
        <w:t>Pb</w:t>
      </w:r>
      <w:r>
        <w:rPr>
          <w:rFonts w:hint="default" w:ascii="Times New Roman" w:hAnsi="Times New Roman" w:eastAsia="宋体" w:cs="Times New Roman"/>
          <w:szCs w:val="21"/>
        </w:rPr>
        <w:t xml:space="preserve"> 50 %,</w:t>
      </w:r>
      <w:r>
        <w:rPr>
          <w:rFonts w:hint="default" w:ascii="Times New Roman" w:hAnsi="Times New Roman" w:eastAsia="宋体" w:cs="Times New Roman"/>
          <w:bCs/>
          <w:sz w:val="18"/>
          <w:szCs w:val="18"/>
        </w:rPr>
        <w:t>，Bi</w:t>
      </w:r>
      <w:r>
        <w:rPr>
          <w:rFonts w:hint="default" w:ascii="Times New Roman" w:hAnsi="Times New Roman" w:eastAsia="宋体" w:cs="Times New Roman"/>
          <w:szCs w:val="21"/>
        </w:rPr>
        <w:t xml:space="preserve"> 16 %，</w:t>
      </w:r>
      <w:r>
        <w:rPr>
          <w:rFonts w:hint="default" w:ascii="Times New Roman" w:hAnsi="Times New Roman" w:eastAsia="宋体" w:cs="Times New Roman"/>
          <w:bCs/>
          <w:sz w:val="18"/>
          <w:szCs w:val="18"/>
        </w:rPr>
        <w:t xml:space="preserve"> Au</w:t>
      </w:r>
      <w:r>
        <w:rPr>
          <w:rFonts w:hint="default" w:ascii="Times New Roman" w:hAnsi="Times New Roman" w:eastAsia="宋体" w:cs="Times New Roman"/>
          <w:szCs w:val="21"/>
        </w:rPr>
        <w:t xml:space="preserve"> 50 g/t，</w:t>
      </w:r>
      <w:r>
        <w:rPr>
          <w:rFonts w:hint="default" w:ascii="Times New Roman" w:hAnsi="Times New Roman" w:eastAsia="宋体" w:cs="Times New Roman"/>
          <w:bCs/>
          <w:sz w:val="18"/>
          <w:szCs w:val="18"/>
        </w:rPr>
        <w:t>Ag</w:t>
      </w:r>
      <w:r>
        <w:rPr>
          <w:rFonts w:hint="default" w:ascii="Times New Roman" w:hAnsi="Times New Roman" w:eastAsia="宋体" w:cs="Times New Roman"/>
          <w:szCs w:val="21"/>
        </w:rPr>
        <w:t xml:space="preserve"> 1500 g/t,</w:t>
      </w:r>
      <w:r>
        <w:rPr>
          <w:rFonts w:hint="default" w:ascii="Times New Roman" w:hAnsi="Times New Roman" w:eastAsia="宋体" w:cs="Times New Roman"/>
          <w:bCs/>
          <w:sz w:val="18"/>
          <w:szCs w:val="18"/>
        </w:rPr>
        <w:t>，Sb</w:t>
      </w:r>
      <w:r>
        <w:rPr>
          <w:rFonts w:hint="default" w:ascii="Times New Roman" w:hAnsi="Times New Roman" w:eastAsia="宋体" w:cs="Times New Roman"/>
          <w:szCs w:val="21"/>
        </w:rPr>
        <w:t xml:space="preserve"> 7%，</w:t>
      </w:r>
      <w:r>
        <w:rPr>
          <w:rFonts w:hint="default" w:ascii="Times New Roman" w:hAnsi="Times New Roman" w:eastAsia="宋体" w:cs="Times New Roman"/>
          <w:bCs/>
          <w:sz w:val="18"/>
          <w:szCs w:val="18"/>
        </w:rPr>
        <w:t>Sn</w:t>
      </w:r>
      <w:r>
        <w:rPr>
          <w:rFonts w:hint="default" w:ascii="Times New Roman" w:hAnsi="Times New Roman" w:eastAsia="宋体" w:cs="Times New Roman"/>
          <w:szCs w:val="21"/>
        </w:rPr>
        <w:t xml:space="preserve"> 3 %，</w:t>
      </w:r>
      <w:r>
        <w:rPr>
          <w:rFonts w:hint="default" w:ascii="Times New Roman" w:hAnsi="Times New Roman" w:eastAsia="宋体" w:cs="Times New Roman"/>
          <w:bCs/>
          <w:sz w:val="18"/>
          <w:szCs w:val="18"/>
        </w:rPr>
        <w:t>Cd</w:t>
      </w:r>
      <w:r>
        <w:rPr>
          <w:rFonts w:hint="default" w:ascii="Times New Roman" w:hAnsi="Times New Roman" w:eastAsia="宋体" w:cs="Times New Roman"/>
          <w:szCs w:val="21"/>
        </w:rPr>
        <w:t>16%，</w:t>
      </w:r>
      <w:r>
        <w:rPr>
          <w:rFonts w:hint="default" w:ascii="Times New Roman" w:hAnsi="Times New Roman" w:eastAsia="宋体" w:cs="Times New Roman"/>
          <w:bCs/>
          <w:sz w:val="18"/>
          <w:szCs w:val="18"/>
        </w:rPr>
        <w:t xml:space="preserve"> Fe22</w:t>
      </w:r>
      <w:r>
        <w:rPr>
          <w:rFonts w:hint="default" w:ascii="Times New Roman" w:hAnsi="Times New Roman" w:eastAsia="宋体" w:cs="Times New Roman"/>
          <w:szCs w:val="21"/>
        </w:rPr>
        <w:t>%，</w:t>
      </w:r>
      <w:r>
        <w:rPr>
          <w:rFonts w:hint="default" w:ascii="Times New Roman" w:hAnsi="Times New Roman" w:eastAsia="宋体" w:cs="Times New Roman"/>
          <w:bCs/>
          <w:sz w:val="18"/>
          <w:szCs w:val="18"/>
        </w:rPr>
        <w:t xml:space="preserve"> Al</w:t>
      </w:r>
      <w:r>
        <w:rPr>
          <w:rFonts w:hint="default" w:ascii="Times New Roman" w:hAnsi="Times New Roman" w:eastAsia="宋体" w:cs="Times New Roman"/>
          <w:bCs/>
          <w:sz w:val="18"/>
          <w:szCs w:val="18"/>
          <w:vertAlign w:val="subscript"/>
        </w:rPr>
        <w:t>2</w:t>
      </w:r>
      <w:r>
        <w:rPr>
          <w:rFonts w:hint="default" w:ascii="Times New Roman" w:hAnsi="Times New Roman" w:eastAsia="宋体" w:cs="Times New Roman"/>
          <w:bCs/>
          <w:sz w:val="18"/>
          <w:szCs w:val="18"/>
        </w:rPr>
        <w:t>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 xml:space="preserve">3 </w:t>
      </w:r>
      <w:r>
        <w:rPr>
          <w:rFonts w:hint="default" w:ascii="Times New Roman" w:hAnsi="Times New Roman" w:eastAsia="宋体" w:cs="Times New Roman"/>
          <w:szCs w:val="21"/>
        </w:rPr>
        <w:t>%,</w:t>
      </w:r>
      <w:r>
        <w:rPr>
          <w:rFonts w:hint="default" w:ascii="Times New Roman" w:hAnsi="Times New Roman" w:eastAsia="宋体" w:cs="Times New Roman"/>
          <w:bCs/>
          <w:sz w:val="18"/>
          <w:szCs w:val="18"/>
        </w:rPr>
        <w:t xml:space="preserve"> Ca</w:t>
      </w:r>
      <w:r>
        <w:rPr>
          <w:rFonts w:hint="default" w:ascii="Times New Roman" w:hAnsi="Times New Roman" w:eastAsia="宋体" w:cs="Times New Roman"/>
          <w:szCs w:val="21"/>
        </w:rPr>
        <w:t xml:space="preserve"> 1.5%，</w:t>
      </w:r>
      <w:r>
        <w:rPr>
          <w:rFonts w:hint="default" w:ascii="Times New Roman" w:hAnsi="Times New Roman" w:eastAsia="宋体" w:cs="Times New Roman"/>
          <w:bCs/>
          <w:sz w:val="18"/>
          <w:szCs w:val="18"/>
        </w:rPr>
        <w:t xml:space="preserve"> Mg1</w:t>
      </w:r>
      <w:r>
        <w:rPr>
          <w:rFonts w:hint="default" w:ascii="Times New Roman" w:hAnsi="Times New Roman" w:eastAsia="宋体" w:cs="Times New Roman"/>
          <w:szCs w:val="21"/>
        </w:rPr>
        <w:t xml:space="preserve"> %</w:t>
      </w:r>
      <w:r>
        <w:rPr>
          <w:rFonts w:hint="default" w:ascii="Times New Roman" w:hAnsi="Times New Roman" w:eastAsia="宋体" w:cs="Times New Roman"/>
          <w:bCs/>
          <w:sz w:val="18"/>
          <w:szCs w:val="18"/>
        </w:rPr>
        <w:t>，Se</w:t>
      </w:r>
      <w:r>
        <w:rPr>
          <w:rFonts w:hint="default" w:ascii="Times New Roman" w:hAnsi="Times New Roman" w:eastAsia="宋体" w:cs="Times New Roman"/>
          <w:szCs w:val="21"/>
        </w:rPr>
        <w:t xml:space="preserve"> 1%,，</w:t>
      </w:r>
      <w:r>
        <w:rPr>
          <w:rFonts w:hint="default" w:ascii="Times New Roman" w:hAnsi="Times New Roman" w:eastAsia="宋体" w:cs="Times New Roman"/>
          <w:bCs/>
          <w:sz w:val="18"/>
          <w:szCs w:val="18"/>
        </w:rPr>
        <w:t>Te</w:t>
      </w:r>
      <w:r>
        <w:rPr>
          <w:rFonts w:hint="default" w:ascii="Times New Roman" w:hAnsi="Times New Roman" w:eastAsia="宋体" w:cs="Times New Roman"/>
          <w:szCs w:val="21"/>
        </w:rPr>
        <w:t xml:space="preserve"> 0.1%,</w:t>
      </w:r>
      <w:r>
        <w:rPr>
          <w:rFonts w:hint="default" w:ascii="Times New Roman" w:hAnsi="Times New Roman" w:eastAsia="宋体" w:cs="Times New Roman"/>
          <w:bCs/>
          <w:sz w:val="18"/>
          <w:szCs w:val="18"/>
        </w:rPr>
        <w:t>，As</w:t>
      </w:r>
      <w:r>
        <w:rPr>
          <w:rFonts w:hint="default" w:ascii="Times New Roman" w:hAnsi="Times New Roman" w:eastAsia="宋体" w:cs="Times New Roman"/>
          <w:szCs w:val="21"/>
        </w:rPr>
        <w:t>30%。根据拟定的各元素的上限进行干扰及消除试验，见附件试验报告</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附件2</w:t>
      </w:r>
      <w:r>
        <w:rPr>
          <w:rFonts w:hint="eastAsia" w:ascii="Times New Roman" w:hAnsi="Times New Roman" w:cs="Times New Roman"/>
          <w:szCs w:val="21"/>
          <w:lang w:eastAsia="zh-CN"/>
        </w:rPr>
        <w:t>）</w:t>
      </w:r>
      <w:r>
        <w:rPr>
          <w:rFonts w:hint="default" w:ascii="Times New Roman" w:hAnsi="Times New Roman" w:eastAsia="宋体" w:cs="Times New Roman"/>
          <w:szCs w:val="21"/>
        </w:rPr>
        <w:t>。</w:t>
      </w:r>
    </w:p>
    <w:p>
      <w:pPr>
        <w:pStyle w:val="57"/>
        <w:numPr>
          <w:ilvl w:val="0"/>
          <w:numId w:val="8"/>
        </w:numPr>
        <w:adjustRightInd w:val="0"/>
        <w:snapToGrid w:val="0"/>
        <w:spacing w:beforeLines="50" w:afterLines="50" w:line="300" w:lineRule="auto"/>
        <w:ind w:firstLineChars="0"/>
        <w:jc w:val="left"/>
        <w:rPr>
          <w:rFonts w:ascii="宋体" w:hAnsi="宋体" w:cs="宋体"/>
          <w:b/>
          <w:bCs/>
          <w:szCs w:val="21"/>
        </w:rPr>
      </w:pPr>
      <w:r>
        <w:rPr>
          <w:rFonts w:hint="eastAsia" w:ascii="宋体" w:hAnsi="宋体" w:cs="宋体"/>
          <w:b/>
          <w:bCs/>
          <w:szCs w:val="21"/>
        </w:rPr>
        <w:t>重复性及再现性</w:t>
      </w:r>
    </w:p>
    <w:p>
      <w:pPr>
        <w:tabs>
          <w:tab w:val="left" w:pos="100"/>
        </w:tabs>
        <w:spacing w:line="360" w:lineRule="auto"/>
        <w:jc w:val="left"/>
        <w:rPr>
          <w:rFonts w:hint="default" w:eastAsia="宋体"/>
          <w:b/>
          <w:bCs w:val="0"/>
          <w:szCs w:val="21"/>
          <w:lang w:val="en-US" w:eastAsia="zh-CN"/>
        </w:rPr>
      </w:pPr>
      <w:r>
        <w:rPr>
          <w:rFonts w:hint="eastAsia"/>
          <w:b/>
          <w:bCs w:val="0"/>
          <w:szCs w:val="21"/>
          <w:lang w:val="en-US" w:eastAsia="zh-CN"/>
        </w:rPr>
        <w:t>方法1 火焰原子吸收光谱法</w:t>
      </w:r>
    </w:p>
    <w:p>
      <w:pPr>
        <w:tabs>
          <w:tab w:val="left" w:pos="100"/>
        </w:tabs>
        <w:spacing w:line="360" w:lineRule="auto"/>
        <w:ind w:firstLine="420" w:firstLineChars="200"/>
        <w:jc w:val="left"/>
        <w:rPr>
          <w:rFonts w:hAnsi="宋体"/>
          <w:kern w:val="0"/>
          <w:szCs w:val="21"/>
        </w:rPr>
      </w:pPr>
      <w:r>
        <w:rPr>
          <w:rFonts w:hint="eastAsia"/>
          <w:bCs/>
          <w:szCs w:val="21"/>
        </w:rPr>
        <w:t>为了确定</w:t>
      </w:r>
      <w:r>
        <w:rPr>
          <w:rFonts w:hint="eastAsia"/>
          <w:b/>
          <w:bCs w:val="0"/>
          <w:szCs w:val="21"/>
        </w:rPr>
        <w:t>《铜冶炼烟尘化学分析方法第1部分</w:t>
      </w:r>
      <w:r>
        <w:rPr>
          <w:rFonts w:hint="eastAsia"/>
          <w:b/>
          <w:bCs w:val="0"/>
          <w:szCs w:val="21"/>
          <w:lang w:val="en-US" w:eastAsia="zh-CN"/>
        </w:rPr>
        <w:t xml:space="preserve"> </w:t>
      </w:r>
      <w:r>
        <w:rPr>
          <w:rFonts w:hint="eastAsia"/>
          <w:b/>
          <w:bCs w:val="0"/>
          <w:szCs w:val="21"/>
        </w:rPr>
        <w:t>铜含量的测定》</w:t>
      </w:r>
      <w:r>
        <w:rPr>
          <w:rFonts w:hint="eastAsia"/>
          <w:b/>
          <w:bCs w:val="0"/>
          <w:szCs w:val="21"/>
          <w:lang w:val="en-US" w:eastAsia="zh-CN"/>
        </w:rPr>
        <w:t>方法1 火焰原子吸收光谱法</w:t>
      </w:r>
      <w:r>
        <w:rPr>
          <w:rFonts w:hint="eastAsia"/>
          <w:bCs/>
          <w:szCs w:val="21"/>
          <w:lang w:val="en-US" w:eastAsia="zh-CN"/>
        </w:rPr>
        <w:t xml:space="preserve"> </w:t>
      </w:r>
      <w:r>
        <w:rPr>
          <w:rFonts w:hint="eastAsia"/>
          <w:bCs/>
          <w:szCs w:val="21"/>
        </w:rPr>
        <w:t>测定方法的重复性和再现性，1</w:t>
      </w:r>
      <w:r>
        <w:rPr>
          <w:bCs/>
          <w:szCs w:val="21"/>
        </w:rPr>
        <w:t>3</w:t>
      </w:r>
      <w:r>
        <w:rPr>
          <w:rFonts w:hint="eastAsia"/>
          <w:bCs/>
          <w:szCs w:val="21"/>
        </w:rPr>
        <w:t>个实验室对5个水平的铜冶炼烟尘样品进行了协同试验。根据国家标准GB/T6379.2-2004确定标准测量方法的重复性和再现性的基本方法（ISO 5725-2：1994，ITD）的规定，对收到的全部数据进行了统计分析。</w:t>
      </w:r>
      <w:r>
        <w:rPr>
          <w:rFonts w:hint="eastAsia" w:ascii="Times New Roman" w:hAnsi="Times New Roman"/>
          <w:szCs w:val="21"/>
        </w:rPr>
        <w:t>铜冶炼烟尘中铜含</w:t>
      </w:r>
      <w:r>
        <w:rPr>
          <w:rFonts w:ascii="Times New Roman" w:hAnsi="Times New Roman"/>
          <w:szCs w:val="21"/>
        </w:rPr>
        <w:t>量测定的原始数据及原始数据统计检验过程</w:t>
      </w:r>
      <w:r>
        <w:rPr>
          <w:rFonts w:hint="eastAsia" w:ascii="Times New Roman" w:hAnsi="Times New Roman"/>
          <w:szCs w:val="21"/>
        </w:rPr>
        <w:t>见</w:t>
      </w:r>
      <w:r>
        <w:rPr>
          <w:rFonts w:hint="eastAsia"/>
          <w:bCs/>
          <w:szCs w:val="21"/>
        </w:rPr>
        <w:t>试验报告中</w:t>
      </w:r>
      <w:r>
        <w:rPr>
          <w:szCs w:val="21"/>
        </w:rPr>
        <w:t>实验数据</w:t>
      </w:r>
      <w:r>
        <w:rPr>
          <w:rFonts w:hint="eastAsia"/>
          <w:szCs w:val="21"/>
        </w:rPr>
        <w:t>及</w:t>
      </w:r>
      <w:r>
        <w:rPr>
          <w:szCs w:val="21"/>
        </w:rPr>
        <w:t>处理</w:t>
      </w:r>
      <w:r>
        <w:rPr>
          <w:rFonts w:hint="eastAsia"/>
          <w:bCs/>
          <w:szCs w:val="21"/>
        </w:rPr>
        <w:t>。</w:t>
      </w:r>
      <w:r>
        <w:rPr>
          <w:bCs/>
          <w:szCs w:val="21"/>
        </w:rPr>
        <w:t>剔除离群值后，重复性、再现性计算结果见表</w:t>
      </w:r>
      <w:r>
        <w:rPr>
          <w:rFonts w:hint="eastAsia"/>
          <w:bCs/>
          <w:szCs w:val="21"/>
        </w:rPr>
        <w:t>1</w:t>
      </w:r>
      <w:r>
        <w:rPr>
          <w:bCs/>
          <w:szCs w:val="21"/>
        </w:rPr>
        <w:t>。</w:t>
      </w:r>
    </w:p>
    <w:p>
      <w:pPr>
        <w:spacing w:line="360" w:lineRule="auto"/>
        <w:ind w:firstLine="420" w:firstLineChars="200"/>
        <w:jc w:val="center"/>
        <w:rPr>
          <w:rFonts w:hint="eastAsia" w:ascii="黑体" w:hAnsi="黑体" w:eastAsia="黑体" w:cs="黑体"/>
          <w:szCs w:val="21"/>
        </w:rPr>
      </w:pPr>
      <w:r>
        <w:rPr>
          <w:rFonts w:hint="eastAsia" w:ascii="黑体" w:hAnsi="黑体" w:eastAsia="黑体" w:cs="黑体"/>
          <w:szCs w:val="21"/>
        </w:rPr>
        <w:t>表1 重复性和再现性</w:t>
      </w:r>
    </w:p>
    <w:tbl>
      <w:tblPr>
        <w:tblStyle w:val="15"/>
        <w:tblW w:w="499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37"/>
        <w:gridCol w:w="1484"/>
        <w:gridCol w:w="1345"/>
        <w:gridCol w:w="1371"/>
        <w:gridCol w:w="1389"/>
        <w:gridCol w:w="13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p>
        </w:tc>
        <w:tc>
          <w:tcPr>
            <w:tcW w:w="893"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水平1</w:t>
            </w:r>
          </w:p>
        </w:tc>
        <w:tc>
          <w:tcPr>
            <w:tcW w:w="809"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水平2</w:t>
            </w:r>
          </w:p>
        </w:tc>
        <w:tc>
          <w:tcPr>
            <w:tcW w:w="82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水平3</w:t>
            </w:r>
          </w:p>
        </w:tc>
        <w:tc>
          <w:tcPr>
            <w:tcW w:w="835"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水平4</w:t>
            </w:r>
          </w:p>
        </w:tc>
        <w:tc>
          <w:tcPr>
            <w:tcW w:w="832"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水平5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7" w:hRule="atLeas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总平均值</w:t>
            </w:r>
          </w:p>
        </w:tc>
        <w:tc>
          <w:tcPr>
            <w:tcW w:w="8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0.927</w:t>
            </w:r>
          </w:p>
        </w:tc>
        <w:tc>
          <w:tcPr>
            <w:tcW w:w="80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1.666</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2.264</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3.994</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T1</w:t>
            </w:r>
          </w:p>
        </w:tc>
        <w:tc>
          <w:tcPr>
            <w:tcW w:w="893"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78.762</w:t>
            </w:r>
          </w:p>
        </w:tc>
        <w:tc>
          <w:tcPr>
            <w:tcW w:w="809"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159.9807</w:t>
            </w:r>
          </w:p>
        </w:tc>
        <w:tc>
          <w:tcPr>
            <w:tcW w:w="824"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199.2248</w:t>
            </w:r>
          </w:p>
        </w:tc>
        <w:tc>
          <w:tcPr>
            <w:tcW w:w="835"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383.4098</w:t>
            </w:r>
          </w:p>
        </w:tc>
        <w:tc>
          <w:tcPr>
            <w:tcW w:w="832"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449.6262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T2</w:t>
            </w:r>
          </w:p>
        </w:tc>
        <w:tc>
          <w:tcPr>
            <w:tcW w:w="8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73.0001047</w:t>
            </w:r>
          </w:p>
        </w:tc>
        <w:tc>
          <w:tcPr>
            <w:tcW w:w="80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266.668591</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451.149889</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1531.48693</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2272.02961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T3</w:t>
            </w:r>
          </w:p>
        </w:tc>
        <w:tc>
          <w:tcPr>
            <w:tcW w:w="8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80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88</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T4</w:t>
            </w:r>
          </w:p>
        </w:tc>
        <w:tc>
          <w:tcPr>
            <w:tcW w:w="8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603</w:t>
            </w:r>
          </w:p>
        </w:tc>
        <w:tc>
          <w:tcPr>
            <w:tcW w:w="80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724</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662</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724</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T5</w:t>
            </w:r>
          </w:p>
        </w:tc>
        <w:tc>
          <w:tcPr>
            <w:tcW w:w="8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0.01227928</w:t>
            </w:r>
          </w:p>
        </w:tc>
        <w:tc>
          <w:tcPr>
            <w:tcW w:w="80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0.03714877</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0.03409117</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0.13907211</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0.13272801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s</w:t>
            </w:r>
            <w:r>
              <w:rPr>
                <w:rFonts w:hint="default" w:ascii="Times New Roman" w:hAnsi="Times New Roman" w:eastAsia="黑体" w:cs="Times New Roman"/>
                <w:color w:val="000000"/>
                <w:kern w:val="0"/>
                <w:sz w:val="21"/>
                <w:szCs w:val="21"/>
                <w:vertAlign w:val="subscript"/>
              </w:rPr>
              <w:t>r</w:t>
            </w:r>
            <w:r>
              <w:rPr>
                <w:rFonts w:hint="default" w:ascii="Times New Roman" w:hAnsi="Times New Roman" w:eastAsia="黑体" w:cs="Times New Roman"/>
                <w:color w:val="000000"/>
                <w:kern w:val="0"/>
                <w:sz w:val="21"/>
                <w:szCs w:val="21"/>
                <w:vertAlign w:val="superscript"/>
              </w:rPr>
              <w:t>2</w:t>
            </w:r>
          </w:p>
        </w:tc>
        <w:tc>
          <w:tcPr>
            <w:tcW w:w="893"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0.00016821</w:t>
            </w:r>
          </w:p>
        </w:tc>
        <w:tc>
          <w:tcPr>
            <w:tcW w:w="809"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0.00044758</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0.00044857</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0.00167557</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0.00172374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s</w:t>
            </w:r>
            <w:r>
              <w:rPr>
                <w:rFonts w:hint="default" w:ascii="Times New Roman" w:hAnsi="Times New Roman" w:eastAsia="黑体" w:cs="Times New Roman"/>
                <w:color w:val="000000"/>
                <w:kern w:val="0"/>
                <w:sz w:val="21"/>
                <w:szCs w:val="21"/>
                <w:vertAlign w:val="subscript"/>
              </w:rPr>
              <w:t>L</w:t>
            </w:r>
            <w:r>
              <w:rPr>
                <w:rFonts w:hint="default" w:ascii="Times New Roman" w:hAnsi="Times New Roman" w:eastAsia="黑体" w:cs="Times New Roman"/>
                <w:color w:val="000000"/>
                <w:kern w:val="0"/>
                <w:sz w:val="21"/>
                <w:szCs w:val="21"/>
                <w:vertAlign w:val="superscript"/>
              </w:rPr>
              <w:t>2</w:t>
            </w:r>
          </w:p>
        </w:tc>
        <w:tc>
          <w:tcPr>
            <w:tcW w:w="893"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0.00021126</w:t>
            </w:r>
          </w:p>
        </w:tc>
        <w:tc>
          <w:tcPr>
            <w:tcW w:w="809"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0.00068827</w:t>
            </w:r>
          </w:p>
        </w:tc>
        <w:tc>
          <w:tcPr>
            <w:tcW w:w="824"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0.00144523</w:t>
            </w:r>
          </w:p>
        </w:tc>
        <w:tc>
          <w:tcPr>
            <w:tcW w:w="835"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0.00208911</w:t>
            </w:r>
          </w:p>
        </w:tc>
        <w:tc>
          <w:tcPr>
            <w:tcW w:w="832"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0.00624182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s</w:t>
            </w:r>
            <w:r>
              <w:rPr>
                <w:rFonts w:hint="default" w:ascii="Times New Roman" w:hAnsi="Times New Roman" w:eastAsia="黑体" w:cs="Times New Roman"/>
                <w:color w:val="000000"/>
                <w:kern w:val="0"/>
                <w:sz w:val="21"/>
                <w:szCs w:val="21"/>
                <w:vertAlign w:val="subscript"/>
              </w:rPr>
              <w:t>R</w:t>
            </w:r>
            <w:r>
              <w:rPr>
                <w:rFonts w:hint="default" w:ascii="Times New Roman" w:hAnsi="Times New Roman" w:eastAsia="黑体" w:cs="Times New Roman"/>
                <w:color w:val="000000"/>
                <w:kern w:val="0"/>
                <w:sz w:val="21"/>
                <w:szCs w:val="21"/>
                <w:vertAlign w:val="superscript"/>
              </w:rPr>
              <w:t>2</w:t>
            </w:r>
          </w:p>
        </w:tc>
        <w:tc>
          <w:tcPr>
            <w:tcW w:w="8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0.00037947</w:t>
            </w:r>
          </w:p>
        </w:tc>
        <w:tc>
          <w:tcPr>
            <w:tcW w:w="80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0.00113585</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0.00189379</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0.00376468</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0.00796556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s</w:t>
            </w:r>
            <w:r>
              <w:rPr>
                <w:rFonts w:hint="default" w:ascii="Times New Roman" w:hAnsi="Times New Roman" w:eastAsia="黑体" w:cs="Times New Roman"/>
                <w:color w:val="000000"/>
                <w:kern w:val="0"/>
                <w:sz w:val="21"/>
                <w:szCs w:val="21"/>
                <w:vertAlign w:val="subscript"/>
              </w:rPr>
              <w:t>r</w:t>
            </w:r>
          </w:p>
        </w:tc>
        <w:tc>
          <w:tcPr>
            <w:tcW w:w="893"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0.01296956</w:t>
            </w:r>
          </w:p>
        </w:tc>
        <w:tc>
          <w:tcPr>
            <w:tcW w:w="809"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0.02115598</w:t>
            </w:r>
          </w:p>
        </w:tc>
        <w:tc>
          <w:tcPr>
            <w:tcW w:w="824"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0.02117942</w:t>
            </w:r>
          </w:p>
        </w:tc>
        <w:tc>
          <w:tcPr>
            <w:tcW w:w="835"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0.0409337</w:t>
            </w:r>
          </w:p>
        </w:tc>
        <w:tc>
          <w:tcPr>
            <w:tcW w:w="832"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0.04151795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s</w:t>
            </w:r>
            <w:r>
              <w:rPr>
                <w:rFonts w:hint="default" w:ascii="Times New Roman" w:hAnsi="Times New Roman" w:eastAsia="黑体" w:cs="Times New Roman"/>
                <w:color w:val="000000"/>
                <w:kern w:val="0"/>
                <w:sz w:val="21"/>
                <w:szCs w:val="21"/>
                <w:vertAlign w:val="subscript"/>
              </w:rPr>
              <w:t>R</w:t>
            </w:r>
          </w:p>
        </w:tc>
        <w:tc>
          <w:tcPr>
            <w:tcW w:w="893"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0.01948003</w:t>
            </w:r>
          </w:p>
        </w:tc>
        <w:tc>
          <w:tcPr>
            <w:tcW w:w="809"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0.03370231</w:t>
            </w:r>
          </w:p>
        </w:tc>
        <w:tc>
          <w:tcPr>
            <w:tcW w:w="824"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0.04351773</w:t>
            </w:r>
          </w:p>
        </w:tc>
        <w:tc>
          <w:tcPr>
            <w:tcW w:w="835"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0.06135699</w:t>
            </w:r>
          </w:p>
        </w:tc>
        <w:tc>
          <w:tcPr>
            <w:tcW w:w="832" w:type="pct"/>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0.08925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r</w:t>
            </w:r>
          </w:p>
        </w:tc>
        <w:tc>
          <w:tcPr>
            <w:tcW w:w="8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0.03670384</w:t>
            </w:r>
          </w:p>
        </w:tc>
        <w:tc>
          <w:tcPr>
            <w:tcW w:w="80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0.05987142</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0.05993777</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0.11584237</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0.11749581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804" w:type="pct"/>
            <w:vAlign w:val="center"/>
          </w:tcPr>
          <w:p>
            <w:pPr>
              <w:autoSpaceDE w:val="0"/>
              <w:autoSpaceDN w:val="0"/>
              <w:adjustRightInd w:val="0"/>
              <w:jc w:val="center"/>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R</w:t>
            </w:r>
          </w:p>
        </w:tc>
        <w:tc>
          <w:tcPr>
            <w:tcW w:w="89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0.0551285</w:t>
            </w:r>
          </w:p>
        </w:tc>
        <w:tc>
          <w:tcPr>
            <w:tcW w:w="80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0.09537753</w:t>
            </w:r>
          </w:p>
        </w:tc>
        <w:tc>
          <w:tcPr>
            <w:tcW w:w="824"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0.12315519</w:t>
            </w:r>
          </w:p>
        </w:tc>
        <w:tc>
          <w:tcPr>
            <w:tcW w:w="835"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0.17364028</w:t>
            </w:r>
          </w:p>
        </w:tc>
        <w:tc>
          <w:tcPr>
            <w:tcW w:w="832"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0.25257749</w:t>
            </w:r>
          </w:p>
        </w:tc>
      </w:tr>
    </w:tbl>
    <w:p>
      <w:pPr>
        <w:spacing w:line="360" w:lineRule="auto"/>
        <w:jc w:val="left"/>
        <w:rPr>
          <w:rFonts w:hint="default" w:ascii="Times New Roman" w:hAnsi="Times New Roman"/>
          <w:szCs w:val="21"/>
          <w:lang w:val="en-US" w:eastAsia="zh-CN"/>
        </w:rPr>
      </w:pPr>
      <w:r>
        <w:rPr>
          <w:rFonts w:hint="eastAsia" w:ascii="Times New Roman" w:hAnsi="Times New Roman"/>
          <w:szCs w:val="21"/>
          <w:lang w:val="en-US" w:eastAsia="zh-CN"/>
        </w:rPr>
        <w:t>方法2 碘量法</w:t>
      </w:r>
    </w:p>
    <w:p>
      <w:pPr>
        <w:spacing w:line="360" w:lineRule="auto"/>
        <w:ind w:firstLine="420" w:firstLineChars="200"/>
        <w:rPr>
          <w:rFonts w:ascii="Times New Roman" w:hAnsi="Times New Roman"/>
          <w:szCs w:val="21"/>
        </w:rPr>
      </w:pPr>
      <w:r>
        <w:rPr>
          <w:rFonts w:hint="eastAsia"/>
          <w:bCs/>
          <w:szCs w:val="21"/>
        </w:rPr>
        <w:t>为了确定</w:t>
      </w:r>
      <w:r>
        <w:rPr>
          <w:rFonts w:hint="eastAsia"/>
          <w:b/>
          <w:bCs w:val="0"/>
          <w:szCs w:val="21"/>
        </w:rPr>
        <w:t>《铜冶炼烟尘化学分析方法第1部分铜含量的测定》</w:t>
      </w:r>
      <w:r>
        <w:rPr>
          <w:rFonts w:hint="eastAsia"/>
          <w:b/>
          <w:bCs w:val="0"/>
          <w:szCs w:val="21"/>
          <w:lang w:val="en-US" w:eastAsia="zh-CN"/>
        </w:rPr>
        <w:t>方法2碘量法</w:t>
      </w:r>
      <w:r>
        <w:rPr>
          <w:rFonts w:hint="eastAsia"/>
          <w:bCs/>
          <w:szCs w:val="21"/>
          <w:lang w:val="en-US" w:eastAsia="zh-CN"/>
        </w:rPr>
        <w:t xml:space="preserve"> </w:t>
      </w:r>
      <w:r>
        <w:rPr>
          <w:rFonts w:hint="eastAsia"/>
          <w:bCs/>
          <w:szCs w:val="21"/>
        </w:rPr>
        <w:t>测定方法的重复性和再现性，14个实验室对6个水平的铜冶炼烟尘样品进行了协同试验。根据国家标准GB/T6379.2-2004确定标准测量方法的重复性和再现性的基本方法（ISO 5725-2：1994，ITD）的规定，对收到的全部数据进行了统计分析。</w:t>
      </w:r>
      <w:r>
        <w:rPr>
          <w:rFonts w:hint="eastAsia" w:ascii="Times New Roman" w:hAnsi="Times New Roman"/>
          <w:szCs w:val="21"/>
        </w:rPr>
        <w:t>铜冶炼烟尘中铜含</w:t>
      </w:r>
      <w:r>
        <w:rPr>
          <w:rFonts w:ascii="Times New Roman" w:hAnsi="Times New Roman"/>
          <w:szCs w:val="21"/>
        </w:rPr>
        <w:t>量测定的原始数据及原始数据统计检验过程见</w:t>
      </w:r>
      <w:r>
        <w:rPr>
          <w:rFonts w:hint="eastAsia" w:ascii="Times New Roman" w:hAnsi="Times New Roman"/>
          <w:szCs w:val="21"/>
        </w:rPr>
        <w:t>附件2</w:t>
      </w:r>
      <w:r>
        <w:rPr>
          <w:rFonts w:ascii="Times New Roman" w:hAnsi="Times New Roman"/>
          <w:szCs w:val="21"/>
        </w:rPr>
        <w:t>。剔除离群值后，重复性、再现性计算结果见表</w:t>
      </w:r>
      <w:r>
        <w:rPr>
          <w:rFonts w:hint="eastAsia" w:ascii="Times New Roman" w:hAnsi="Times New Roman"/>
          <w:szCs w:val="21"/>
          <w:lang w:val="en-US" w:eastAsia="zh-CN"/>
        </w:rPr>
        <w:t>2</w:t>
      </w:r>
      <w:r>
        <w:rPr>
          <w:rFonts w:ascii="Times New Roman" w:hAnsi="Times New Roman"/>
          <w:szCs w:val="21"/>
        </w:rPr>
        <w:t>。</w:t>
      </w:r>
    </w:p>
    <w:p>
      <w:pPr>
        <w:spacing w:line="360" w:lineRule="auto"/>
        <w:ind w:firstLine="420" w:firstLineChars="200"/>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2</w:t>
      </w:r>
      <w:r>
        <w:rPr>
          <w:rFonts w:hint="eastAsia" w:ascii="黑体" w:hAnsi="黑体" w:eastAsia="黑体" w:cs="黑体"/>
          <w:szCs w:val="21"/>
        </w:rPr>
        <w:t>重复性和再现性</w:t>
      </w:r>
    </w:p>
    <w:tbl>
      <w:tblPr>
        <w:tblStyle w:val="15"/>
        <w:tblpPr w:leftFromText="180" w:rightFromText="180" w:vertAnchor="text" w:horzAnchor="page" w:tblpX="909" w:tblpY="286"/>
        <w:tblOverlap w:val="never"/>
        <w:tblW w:w="10805" w:type="dxa"/>
        <w:tblInd w:w="0" w:type="dxa"/>
        <w:tblLayout w:type="fixed"/>
        <w:tblCellMar>
          <w:top w:w="0" w:type="dxa"/>
          <w:left w:w="0" w:type="dxa"/>
          <w:bottom w:w="0" w:type="dxa"/>
          <w:right w:w="0" w:type="dxa"/>
        </w:tblCellMar>
      </w:tblPr>
      <w:tblGrid>
        <w:gridCol w:w="1080"/>
        <w:gridCol w:w="1650"/>
        <w:gridCol w:w="1650"/>
        <w:gridCol w:w="1650"/>
        <w:gridCol w:w="1650"/>
        <w:gridCol w:w="1650"/>
        <w:gridCol w:w="1475"/>
      </w:tblGrid>
      <w:tr>
        <w:tblPrEx>
          <w:tblCellMar>
            <w:top w:w="0" w:type="dxa"/>
            <w:left w:w="0" w:type="dxa"/>
            <w:bottom w:w="0" w:type="dxa"/>
            <w:right w:w="0"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default" w:ascii="Times New Roman" w:hAnsi="Times New Roman" w:eastAsia="宋体" w:cs="Times New Roman"/>
                <w:color w:val="000000"/>
                <w:sz w:val="21"/>
                <w:szCs w:val="21"/>
              </w:rPr>
            </w:pP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水平1</w:t>
            </w: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水平2</w:t>
            </w: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水平3</w:t>
            </w: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水平4</w:t>
            </w: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水平5</w:t>
            </w:r>
          </w:p>
        </w:tc>
        <w:tc>
          <w:tcPr>
            <w:tcW w:w="14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水平6</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总平均值</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5.562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14.239</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27.773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38.735</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50.040</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61.543</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T1</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795.37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2036.18</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3971.22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5500.48</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7155.15</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8799.88</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T2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4424.14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28994.04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110302.20</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213067.84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358070.46</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541627.39</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T3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143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143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143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142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143</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143</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T4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1573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1573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1573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1552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1573</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1573</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T5</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0.2556</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0.8626</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0.5798</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1.0214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1.9370</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2.2993</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s</w:t>
            </w:r>
            <w:r>
              <w:rPr>
                <w:rFonts w:hint="default" w:ascii="Times New Roman" w:hAnsi="Times New Roman" w:eastAsia="宋体" w:cs="Times New Roman"/>
                <w:color w:val="000000"/>
                <w:kern w:val="0"/>
                <w:sz w:val="21"/>
                <w:szCs w:val="21"/>
                <w:vertAlign w:val="subscript"/>
              </w:rPr>
              <w:t>r</w:t>
            </w:r>
            <w:r>
              <w:rPr>
                <w:rFonts w:hint="default" w:ascii="Times New Roman" w:hAnsi="Times New Roman" w:eastAsia="宋体" w:cs="Times New Roman"/>
                <w:color w:val="000000"/>
                <w:kern w:val="0"/>
                <w:sz w:val="21"/>
                <w:szCs w:val="21"/>
                <w:vertAlign w:val="superscript"/>
              </w:rPr>
              <w:t>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0.0020</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0.0066</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0.0045</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0.0079</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0.015</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0.018</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s</w:t>
            </w:r>
            <w:r>
              <w:rPr>
                <w:rFonts w:hint="default" w:ascii="Times New Roman" w:hAnsi="Times New Roman" w:eastAsia="宋体" w:cs="Times New Roman"/>
                <w:color w:val="000000"/>
                <w:kern w:val="0"/>
                <w:sz w:val="21"/>
                <w:szCs w:val="21"/>
                <w:vertAlign w:val="subscript"/>
              </w:rPr>
              <w:t>L</w:t>
            </w:r>
            <w:r>
              <w:rPr>
                <w:rFonts w:hint="default" w:ascii="Times New Roman" w:hAnsi="Times New Roman" w:eastAsia="宋体" w:cs="Times New Roman"/>
                <w:color w:val="000000"/>
                <w:kern w:val="0"/>
                <w:sz w:val="21"/>
                <w:szCs w:val="21"/>
                <w:vertAlign w:val="superscript"/>
              </w:rPr>
              <w:t>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0.0017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0.0043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0.024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0.017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0.0030</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0.016</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s</w:t>
            </w:r>
            <w:r>
              <w:rPr>
                <w:rFonts w:hint="default" w:ascii="Times New Roman" w:hAnsi="Times New Roman" w:eastAsia="宋体" w:cs="Times New Roman"/>
                <w:color w:val="000000"/>
                <w:kern w:val="0"/>
                <w:sz w:val="21"/>
                <w:szCs w:val="21"/>
                <w:vertAlign w:val="subscript"/>
              </w:rPr>
              <w:t>R</w:t>
            </w:r>
            <w:r>
              <w:rPr>
                <w:rFonts w:hint="default" w:ascii="Times New Roman" w:hAnsi="Times New Roman" w:eastAsia="宋体" w:cs="Times New Roman"/>
                <w:color w:val="000000"/>
                <w:kern w:val="0"/>
                <w:sz w:val="21"/>
                <w:szCs w:val="21"/>
                <w:vertAlign w:val="superscript"/>
              </w:rPr>
              <w:t>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0.0037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0.011</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0.028</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0.025</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0.018</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0.034</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s</w:t>
            </w:r>
            <w:r>
              <w:rPr>
                <w:rFonts w:hint="default" w:ascii="Times New Roman" w:hAnsi="Times New Roman" w:eastAsia="宋体" w:cs="Times New Roman"/>
                <w:color w:val="000000"/>
                <w:kern w:val="0"/>
                <w:sz w:val="21"/>
                <w:szCs w:val="21"/>
                <w:vertAlign w:val="subscript"/>
              </w:rPr>
              <w:t>r</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0.044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0.081</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0.067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0.089</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0.12</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0.18</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s</w:t>
            </w:r>
            <w:r>
              <w:rPr>
                <w:rFonts w:hint="default" w:ascii="Times New Roman" w:hAnsi="Times New Roman" w:eastAsia="宋体" w:cs="Times New Roman"/>
                <w:color w:val="000000"/>
                <w:kern w:val="0"/>
                <w:sz w:val="21"/>
                <w:szCs w:val="21"/>
                <w:vertAlign w:val="subscript"/>
              </w:rPr>
              <w:t>R</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0.061</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0.10</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0.017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0.16</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0.13</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0.37</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r</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0.12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0.23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0.19</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0.25</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0.34</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0.37</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R</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0.17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0.29</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0.47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0.44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0.37</w:t>
            </w:r>
          </w:p>
        </w:tc>
        <w:tc>
          <w:tcPr>
            <w:tcW w:w="1475"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0.52</w:t>
            </w:r>
          </w:p>
        </w:tc>
      </w:tr>
    </w:tbl>
    <w:p>
      <w:pPr>
        <w:tabs>
          <w:tab w:val="left" w:pos="100"/>
        </w:tabs>
        <w:spacing w:line="360" w:lineRule="auto"/>
        <w:jc w:val="left"/>
        <w:rPr>
          <w:rFonts w:hint="eastAsia"/>
          <w:b/>
          <w:bCs w:val="0"/>
          <w:szCs w:val="21"/>
          <w:lang w:val="en-US" w:eastAsia="zh-CN"/>
        </w:rPr>
      </w:pPr>
      <w:r>
        <w:rPr>
          <w:rFonts w:hint="eastAsia"/>
          <w:b/>
          <w:bCs w:val="0"/>
          <w:szCs w:val="21"/>
          <w:lang w:val="en-US" w:eastAsia="zh-CN"/>
        </w:rPr>
        <w:t>4、标准水平分析</w:t>
      </w:r>
    </w:p>
    <w:p>
      <w:pPr>
        <w:adjustRightInd w:val="0"/>
        <w:snapToGrid w:val="0"/>
        <w:spacing w:beforeLines="50" w:afterLines="50" w:line="300" w:lineRule="auto"/>
        <w:ind w:firstLine="420" w:firstLineChars="200"/>
        <w:jc w:val="left"/>
        <w:rPr>
          <w:rFonts w:ascii="Times New Roman" w:hAnsi="Times New Roman"/>
          <w:szCs w:val="21"/>
        </w:rPr>
      </w:pPr>
      <w:r>
        <w:rPr>
          <w:rFonts w:ascii="Times New Roman" w:hAnsi="Times New Roman"/>
          <w:szCs w:val="21"/>
        </w:rPr>
        <w:t>经过资料搜索，均无与</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铜</w:t>
      </w:r>
      <w:r>
        <w:rPr>
          <w:rFonts w:ascii="Times New Roman" w:hAnsi="Times New Roman"/>
          <w:szCs w:val="21"/>
        </w:rPr>
        <w:t>含量测定相关的分析标准。本标准是首次制订，填补了国际、国内</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铜</w:t>
      </w:r>
      <w:r>
        <w:rPr>
          <w:rFonts w:ascii="Times New Roman" w:hAnsi="Times New Roman"/>
          <w:szCs w:val="21"/>
        </w:rPr>
        <w:t>含量测定标准的空白。《</w:t>
      </w:r>
      <w:r>
        <w:rPr>
          <w:rFonts w:hint="eastAsia" w:ascii="Times New Roman" w:hAnsi="Times New Roman"/>
          <w:szCs w:val="21"/>
        </w:rPr>
        <w:t>铜冶炼烟尘</w:t>
      </w:r>
      <w:r>
        <w:rPr>
          <w:rFonts w:ascii="Times New Roman" w:hAnsi="Times New Roman"/>
          <w:szCs w:val="21"/>
        </w:rPr>
        <w:t>化学分析方法</w:t>
      </w:r>
      <w:r>
        <w:rPr>
          <w:rFonts w:hint="eastAsia" w:ascii="Times New Roman" w:hAnsi="Times New Roman"/>
          <w:szCs w:val="21"/>
          <w:lang w:val="en-US" w:eastAsia="zh-CN"/>
        </w:rPr>
        <w:t xml:space="preserve"> </w:t>
      </w:r>
      <w:r>
        <w:rPr>
          <w:rFonts w:ascii="Times New Roman" w:hAnsi="Times New Roman"/>
          <w:szCs w:val="21"/>
        </w:rPr>
        <w:t>第</w:t>
      </w:r>
      <w:r>
        <w:rPr>
          <w:rFonts w:hint="eastAsia" w:ascii="Times New Roman" w:hAnsi="Times New Roman"/>
          <w:szCs w:val="21"/>
        </w:rPr>
        <w:t>1</w:t>
      </w:r>
      <w:r>
        <w:rPr>
          <w:rFonts w:ascii="Times New Roman" w:hAnsi="Times New Roman"/>
          <w:szCs w:val="21"/>
        </w:rPr>
        <w:t>部分：</w:t>
      </w:r>
      <w:r>
        <w:rPr>
          <w:rFonts w:hint="eastAsia" w:ascii="Times New Roman" w:hAnsi="Times New Roman"/>
          <w:szCs w:val="21"/>
        </w:rPr>
        <w:t>铜</w:t>
      </w:r>
      <w:r>
        <w:rPr>
          <w:rFonts w:ascii="Times New Roman" w:hAnsi="Times New Roman"/>
          <w:szCs w:val="21"/>
        </w:rPr>
        <w:t>含量的测定》标准的编写符合GB/T 1.1-2009《标准化工作导则》的编制要求。该标准技术先进、可操作性强，结构合理、文字简练、条理清晰。</w:t>
      </w:r>
    </w:p>
    <w:p>
      <w:pPr>
        <w:numPr>
          <w:ilvl w:val="0"/>
          <w:numId w:val="4"/>
        </w:numPr>
        <w:spacing w:line="360" w:lineRule="auto"/>
        <w:ind w:firstLine="0"/>
        <w:rPr>
          <w:rFonts w:ascii="Times New Roman" w:hAnsi="Times New Roman"/>
          <w:b/>
          <w:sz w:val="24"/>
        </w:rPr>
      </w:pPr>
      <w:r>
        <w:rPr>
          <w:rFonts w:ascii="Times New Roman" w:hAnsi="Times New Roman"/>
          <w:b/>
          <w:sz w:val="24"/>
        </w:rPr>
        <w:t>与现行法律、法规、强制性国家标准及相关标准协调配套的情况</w:t>
      </w:r>
    </w:p>
    <w:p>
      <w:pPr>
        <w:autoSpaceDE w:val="0"/>
        <w:autoSpaceDN w:val="0"/>
        <w:adjustRightInd w:val="0"/>
        <w:spacing w:line="360" w:lineRule="auto"/>
        <w:ind w:firstLine="420" w:firstLineChars="200"/>
        <w:jc w:val="left"/>
        <w:rPr>
          <w:rFonts w:ascii="Times New Roman" w:hAnsi="Times New Roman"/>
        </w:rPr>
      </w:pPr>
      <w:r>
        <w:rPr>
          <w:rFonts w:ascii="Times New Roman" w:hAnsi="Times New Roman"/>
        </w:rPr>
        <w:t>本标准完全满足</w:t>
      </w:r>
      <w:r>
        <w:rPr>
          <w:rFonts w:ascii="Times New Roman" w:hAnsi="Times New Roman"/>
          <w:szCs w:val="21"/>
        </w:rPr>
        <w:t>现行法律、法规等的</w:t>
      </w:r>
      <w:r>
        <w:rPr>
          <w:rFonts w:ascii="Times New Roman" w:hAnsi="Times New Roman"/>
        </w:rPr>
        <w:t>要求，标准格式规范。</w:t>
      </w:r>
    </w:p>
    <w:p>
      <w:pPr>
        <w:numPr>
          <w:ilvl w:val="0"/>
          <w:numId w:val="4"/>
        </w:numPr>
        <w:spacing w:line="360" w:lineRule="auto"/>
        <w:ind w:firstLine="0"/>
        <w:rPr>
          <w:rFonts w:ascii="Times New Roman" w:hAnsi="Times New Roman"/>
          <w:b/>
          <w:sz w:val="24"/>
        </w:rPr>
      </w:pPr>
      <w:r>
        <w:rPr>
          <w:rFonts w:ascii="Times New Roman" w:hAnsi="Times New Roman"/>
          <w:b/>
          <w:sz w:val="24"/>
        </w:rPr>
        <w:t>标准中涉及到的专利</w:t>
      </w:r>
    </w:p>
    <w:p>
      <w:pPr>
        <w:spacing w:line="360" w:lineRule="auto"/>
        <w:ind w:firstLine="495"/>
        <w:rPr>
          <w:rFonts w:ascii="Times New Roman" w:hAnsi="Times New Roman"/>
        </w:rPr>
      </w:pPr>
      <w:r>
        <w:rPr>
          <w:rFonts w:ascii="Times New Roman" w:hAnsi="Times New Roman"/>
        </w:rPr>
        <w:t>无</w:t>
      </w:r>
    </w:p>
    <w:p>
      <w:pPr>
        <w:numPr>
          <w:ilvl w:val="0"/>
          <w:numId w:val="4"/>
        </w:numPr>
        <w:spacing w:line="360" w:lineRule="auto"/>
        <w:ind w:firstLine="0"/>
        <w:rPr>
          <w:rFonts w:ascii="Times New Roman" w:hAnsi="Times New Roman"/>
          <w:b/>
          <w:sz w:val="24"/>
        </w:rPr>
      </w:pPr>
      <w:r>
        <w:rPr>
          <w:rFonts w:ascii="Times New Roman" w:hAnsi="Times New Roman"/>
          <w:b/>
          <w:sz w:val="24"/>
        </w:rPr>
        <w:t>重大分歧意见的处理经过和依据</w:t>
      </w:r>
    </w:p>
    <w:p>
      <w:pPr>
        <w:spacing w:line="360" w:lineRule="auto"/>
        <w:rPr>
          <w:rFonts w:ascii="Times New Roman" w:hAnsi="Times New Roman"/>
          <w:sz w:val="24"/>
        </w:rPr>
      </w:pPr>
      <w:r>
        <w:rPr>
          <w:rFonts w:ascii="Times New Roman" w:hAnsi="Times New Roman"/>
          <w:sz w:val="24"/>
        </w:rPr>
        <w:t>无</w:t>
      </w:r>
    </w:p>
    <w:p>
      <w:pPr>
        <w:numPr>
          <w:ilvl w:val="0"/>
          <w:numId w:val="4"/>
        </w:numPr>
        <w:spacing w:line="360" w:lineRule="auto"/>
        <w:ind w:firstLine="0"/>
        <w:rPr>
          <w:rFonts w:ascii="Times New Roman" w:hAnsi="Times New Roman"/>
          <w:b/>
          <w:sz w:val="24"/>
        </w:rPr>
      </w:pPr>
      <w:r>
        <w:rPr>
          <w:rFonts w:ascii="Times New Roman" w:hAnsi="Times New Roman"/>
          <w:b/>
          <w:sz w:val="24"/>
        </w:rPr>
        <w:t>标准作为强制性或推荐性国家（或行业）标准的建议</w:t>
      </w:r>
    </w:p>
    <w:p>
      <w:pPr>
        <w:spacing w:line="360" w:lineRule="auto"/>
        <w:ind w:firstLine="525" w:firstLineChars="250"/>
        <w:rPr>
          <w:rFonts w:ascii="Times New Roman" w:hAnsi="Times New Roman"/>
        </w:rPr>
      </w:pPr>
    </w:p>
    <w:p>
      <w:pPr>
        <w:numPr>
          <w:ilvl w:val="0"/>
          <w:numId w:val="4"/>
        </w:numPr>
        <w:spacing w:line="360" w:lineRule="auto"/>
        <w:ind w:firstLine="0"/>
        <w:rPr>
          <w:rFonts w:ascii="Times New Roman" w:hAnsi="Times New Roman"/>
          <w:b/>
          <w:sz w:val="24"/>
        </w:rPr>
      </w:pPr>
      <w:r>
        <w:rPr>
          <w:rFonts w:ascii="Times New Roman" w:hAnsi="Times New Roman"/>
          <w:b/>
          <w:sz w:val="24"/>
        </w:rPr>
        <w:t>贯彻标准的要求和措施建议</w:t>
      </w:r>
    </w:p>
    <w:p>
      <w:pPr>
        <w:spacing w:line="360" w:lineRule="auto"/>
        <w:ind w:firstLine="525" w:firstLineChars="250"/>
        <w:rPr>
          <w:rFonts w:ascii="Times New Roman" w:hAnsi="Times New Roman"/>
          <w:b/>
          <w:sz w:val="24"/>
        </w:rPr>
      </w:pPr>
      <w:r>
        <w:rPr>
          <w:rFonts w:ascii="Times New Roman" w:hAnsi="Times New Roman"/>
        </w:rPr>
        <w:t>无</w:t>
      </w:r>
    </w:p>
    <w:p>
      <w:pPr>
        <w:numPr>
          <w:ilvl w:val="0"/>
          <w:numId w:val="4"/>
        </w:numPr>
        <w:spacing w:line="360" w:lineRule="auto"/>
        <w:ind w:firstLine="0"/>
        <w:rPr>
          <w:rFonts w:ascii="Times New Roman" w:hAnsi="Times New Roman"/>
          <w:b/>
          <w:sz w:val="24"/>
        </w:rPr>
      </w:pPr>
      <w:r>
        <w:rPr>
          <w:rFonts w:ascii="Times New Roman" w:hAnsi="Times New Roman"/>
          <w:b/>
          <w:sz w:val="24"/>
        </w:rPr>
        <w:t>废止现行有关标准的建议</w:t>
      </w:r>
    </w:p>
    <w:p>
      <w:pPr>
        <w:spacing w:line="360" w:lineRule="auto"/>
        <w:ind w:firstLine="495"/>
        <w:rPr>
          <w:rFonts w:ascii="Times New Roman" w:hAnsi="Times New Roman"/>
        </w:rPr>
      </w:pPr>
      <w:r>
        <w:rPr>
          <w:rFonts w:ascii="Times New Roman" w:hAnsi="Times New Roman"/>
        </w:rPr>
        <w:t>本标准为首次起草，无废止/替代现行有关标准。</w:t>
      </w:r>
    </w:p>
    <w:p>
      <w:pPr>
        <w:numPr>
          <w:ilvl w:val="0"/>
          <w:numId w:val="4"/>
        </w:numPr>
        <w:spacing w:line="360" w:lineRule="auto"/>
        <w:ind w:firstLine="0"/>
        <w:rPr>
          <w:rFonts w:ascii="Times New Roman" w:hAnsi="Times New Roman"/>
          <w:b/>
          <w:sz w:val="24"/>
        </w:rPr>
      </w:pPr>
      <w:r>
        <w:rPr>
          <w:rFonts w:ascii="Times New Roman" w:hAnsi="Times New Roman"/>
          <w:b/>
          <w:sz w:val="24"/>
        </w:rPr>
        <w:t>其他应予说明的事项</w:t>
      </w:r>
    </w:p>
    <w:p>
      <w:pPr>
        <w:adjustRightInd w:val="0"/>
        <w:snapToGrid w:val="0"/>
        <w:spacing w:beforeLines="50" w:afterLines="50" w:line="300" w:lineRule="auto"/>
        <w:ind w:left="420" w:leftChars="200" w:firstLine="520" w:firstLineChars="248"/>
        <w:jc w:val="left"/>
        <w:rPr>
          <w:rFonts w:ascii="Times New Roman" w:hAnsi="Times New Roman"/>
          <w:szCs w:val="21"/>
        </w:rPr>
      </w:pPr>
      <w:r>
        <w:rPr>
          <w:rFonts w:ascii="Times New Roman" w:hAnsi="Times New Roman"/>
          <w:szCs w:val="21"/>
        </w:rPr>
        <w:t>本标准首次规定了</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铜</w:t>
      </w:r>
      <w:r>
        <w:rPr>
          <w:rFonts w:ascii="Times New Roman" w:hAnsi="Times New Roman"/>
          <w:szCs w:val="21"/>
        </w:rPr>
        <w:t>含量的测定方法。本标准在制定过程中，调研了国内多家冶炼企业，标准技术先进，具有充分的可操作性、适用性，完全能够满足国内外用户、市场的需求。本标准为</w:t>
      </w:r>
      <w:r>
        <w:rPr>
          <w:rFonts w:hint="eastAsia" w:ascii="Times New Roman" w:hAnsi="Times New Roman"/>
          <w:szCs w:val="21"/>
        </w:rPr>
        <w:t>铜冶炼烟尘</w:t>
      </w:r>
      <w:r>
        <w:rPr>
          <w:rFonts w:ascii="Times New Roman" w:hAnsi="Times New Roman"/>
          <w:szCs w:val="21"/>
        </w:rPr>
        <w:t>中</w:t>
      </w:r>
      <w:r>
        <w:rPr>
          <w:rFonts w:hint="eastAsia" w:ascii="Times New Roman" w:hAnsi="Times New Roman"/>
          <w:szCs w:val="21"/>
        </w:rPr>
        <w:t>铜</w:t>
      </w:r>
      <w:r>
        <w:rPr>
          <w:rFonts w:ascii="Times New Roman" w:hAnsi="Times New Roman"/>
          <w:szCs w:val="21"/>
        </w:rPr>
        <w:t>含量的测定提供依据，有利于企业提高对</w:t>
      </w:r>
      <w:r>
        <w:rPr>
          <w:rFonts w:hint="eastAsia" w:ascii="Times New Roman" w:hAnsi="Times New Roman"/>
          <w:szCs w:val="21"/>
        </w:rPr>
        <w:t>铜冶炼烟尘</w:t>
      </w:r>
      <w:r>
        <w:rPr>
          <w:rFonts w:ascii="Times New Roman" w:hAnsi="Times New Roman"/>
          <w:szCs w:val="21"/>
        </w:rPr>
        <w:t>的综合利用，减少能耗，最大化地回收利用</w:t>
      </w:r>
      <w:r>
        <w:rPr>
          <w:rFonts w:hint="eastAsia" w:ascii="Times New Roman" w:hAnsi="Times New Roman"/>
          <w:szCs w:val="21"/>
        </w:rPr>
        <w:t>铜</w:t>
      </w:r>
      <w:r>
        <w:rPr>
          <w:rFonts w:ascii="Times New Roman" w:hAnsi="Times New Roman"/>
          <w:szCs w:val="21"/>
        </w:rPr>
        <w:t>，实现资源循环利用及有价金属材料生产。</w:t>
      </w:r>
    </w:p>
    <w:p>
      <w:pPr>
        <w:adjustRightInd w:val="0"/>
        <w:snapToGrid w:val="0"/>
        <w:spacing w:beforeLines="50" w:afterLines="50" w:line="300" w:lineRule="auto"/>
        <w:ind w:left="420" w:leftChars="200" w:firstLine="520" w:firstLineChars="248"/>
        <w:jc w:val="left"/>
        <w:rPr>
          <w:rFonts w:ascii="Times New Roman" w:hAnsi="Times New Roman"/>
          <w:szCs w:val="21"/>
        </w:rPr>
      </w:pPr>
    </w:p>
    <w:p>
      <w:pPr>
        <w:adjustRightInd w:val="0"/>
        <w:snapToGrid w:val="0"/>
        <w:spacing w:beforeLines="50" w:afterLines="50" w:line="300" w:lineRule="auto"/>
        <w:ind w:left="420" w:leftChars="200" w:firstLine="520" w:firstLineChars="248"/>
        <w:jc w:val="left"/>
        <w:rPr>
          <w:rFonts w:ascii="Times New Roman" w:hAnsi="Times New Roman"/>
          <w:szCs w:val="21"/>
        </w:rPr>
      </w:pPr>
    </w:p>
    <w:p>
      <w:pPr>
        <w:spacing w:line="440" w:lineRule="exact"/>
        <w:ind w:right="840" w:firstLine="420" w:firstLineChars="200"/>
        <w:jc w:val="right"/>
        <w:rPr>
          <w:rFonts w:ascii="Times New Roman" w:hAnsi="Times New Roman"/>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AF1A2"/>
    <w:multiLevelType w:val="singleLevel"/>
    <w:tmpl w:val="827AF1A2"/>
    <w:lvl w:ilvl="0" w:tentative="0">
      <w:start w:val="1"/>
      <w:numFmt w:val="chineseCounting"/>
      <w:suff w:val="nothing"/>
      <w:lvlText w:val="%1、"/>
      <w:lvlJc w:val="left"/>
      <w:pPr>
        <w:ind w:left="0" w:firstLine="420"/>
      </w:pPr>
      <w:rPr>
        <w:rFonts w:hint="eastAsia"/>
      </w:rPr>
    </w:lvl>
  </w:abstractNum>
  <w:abstractNum w:abstractNumId="1">
    <w:nsid w:val="BA56BC7E"/>
    <w:multiLevelType w:val="multilevel"/>
    <w:tmpl w:val="BA56BC7E"/>
    <w:lvl w:ilvl="0" w:tentative="0">
      <w:start w:val="1"/>
      <w:numFmt w:val="decimal"/>
      <w:lvlText w:val="%1."/>
      <w:lvlJc w:val="left"/>
      <w:pPr>
        <w:ind w:left="425" w:hanging="425"/>
      </w:pPr>
      <w:rPr>
        <w:rFonts w:hint="default" w:ascii="宋体" w:hAnsi="宋体" w:eastAsia="宋体"/>
        <w:b/>
      </w:rPr>
    </w:lvl>
    <w:lvl w:ilvl="1" w:tentative="0">
      <w:start w:val="1"/>
      <w:numFmt w:val="decimal"/>
      <w:isLgl/>
      <w:lvlText w:val="%1.%2"/>
      <w:lvlJc w:val="left"/>
      <w:pPr>
        <w:ind w:left="460" w:hanging="460"/>
      </w:pPr>
      <w:rPr>
        <w:rFonts w:hint="default" w:ascii="宋体" w:hAnsi="宋体" w:eastAsia="宋体"/>
        <w:b/>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114A066B"/>
    <w:multiLevelType w:val="multilevel"/>
    <w:tmpl w:val="114A066B"/>
    <w:lvl w:ilvl="0" w:tentative="0">
      <w:start w:val="2"/>
      <w:numFmt w:val="decimal"/>
      <w:pStyle w:val="46"/>
      <w:lvlText w:val="%1"/>
      <w:lvlJc w:val="left"/>
      <w:pPr>
        <w:tabs>
          <w:tab w:val="left" w:pos="420"/>
        </w:tabs>
        <w:ind w:left="420" w:hanging="420"/>
      </w:pPr>
      <w:rPr>
        <w:rFonts w:hint="default"/>
      </w:rPr>
    </w:lvl>
    <w:lvl w:ilvl="1" w:tentative="0">
      <w:start w:val="1"/>
      <w:numFmt w:val="lowerLetter"/>
      <w:pStyle w:val="3"/>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D2A6FAF"/>
    <w:multiLevelType w:val="multilevel"/>
    <w:tmpl w:val="2D2A6F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FCFEB9"/>
    <w:multiLevelType w:val="singleLevel"/>
    <w:tmpl w:val="34FCFEB9"/>
    <w:lvl w:ilvl="0" w:tentative="0">
      <w:start w:val="1"/>
      <w:numFmt w:val="decimal"/>
      <w:lvlText w:val="%1)"/>
      <w:lvlJc w:val="left"/>
      <w:pPr>
        <w:ind w:left="425" w:hanging="425"/>
      </w:pPr>
      <w:rPr>
        <w:rFonts w:hint="default"/>
      </w:rPr>
    </w:lvl>
  </w:abstractNum>
  <w:abstractNum w:abstractNumId="5">
    <w:nsid w:val="47C16E3B"/>
    <w:multiLevelType w:val="multilevel"/>
    <w:tmpl w:val="47C16E3B"/>
    <w:lvl w:ilvl="0" w:tentative="0">
      <w:start w:val="1"/>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6CEA2025"/>
    <w:multiLevelType w:val="multilevel"/>
    <w:tmpl w:val="6CEA2025"/>
    <w:lvl w:ilvl="0" w:tentative="0">
      <w:start w:val="1"/>
      <w:numFmt w:val="none"/>
      <w:pStyle w:val="43"/>
      <w:suff w:val="nothing"/>
      <w:lvlText w:val="%1"/>
      <w:lvlJc w:val="left"/>
      <w:rPr>
        <w:rFonts w:hint="default" w:ascii="Times New Roman" w:hAnsi="Times New Roman" w:cs="Times New Roman"/>
        <w:b/>
        <w:bCs/>
        <w:i w:val="0"/>
        <w:iCs w:val="0"/>
        <w:sz w:val="21"/>
        <w:szCs w:val="21"/>
      </w:rPr>
    </w:lvl>
    <w:lvl w:ilvl="1" w:tentative="0">
      <w:start w:val="1"/>
      <w:numFmt w:val="decimal"/>
      <w:pStyle w:val="42"/>
      <w:suff w:val="nothing"/>
      <w:lvlText w:val="%1%2　"/>
      <w:lvlJc w:val="left"/>
      <w:rPr>
        <w:rFonts w:hint="eastAsia" w:ascii="黑体" w:hAnsi="Times New Roman" w:eastAsia="黑体"/>
        <w:b w:val="0"/>
        <w:bCs w:val="0"/>
        <w:i w:val="0"/>
        <w:iCs w:val="0"/>
        <w:sz w:val="21"/>
        <w:szCs w:val="21"/>
      </w:rPr>
    </w:lvl>
    <w:lvl w:ilvl="2" w:tentative="0">
      <w:start w:val="1"/>
      <w:numFmt w:val="decimal"/>
      <w:pStyle w:val="41"/>
      <w:suff w:val="nothing"/>
      <w:lvlText w:val="%1%2.%3　"/>
      <w:lvlJc w:val="left"/>
      <w:rPr>
        <w:rFonts w:hint="eastAsia" w:ascii="黑体" w:hAnsi="Times New Roman" w:eastAsia="黑体"/>
        <w:b w:val="0"/>
        <w:bCs w:val="0"/>
        <w:i w:val="0"/>
        <w:iCs w:val="0"/>
        <w:sz w:val="21"/>
        <w:szCs w:val="21"/>
      </w:rPr>
    </w:lvl>
    <w:lvl w:ilvl="3" w:tentative="0">
      <w:start w:val="1"/>
      <w:numFmt w:val="decimal"/>
      <w:pStyle w:val="5"/>
      <w:suff w:val="nothing"/>
      <w:lvlText w:val="%1%2.%3.%4　"/>
      <w:lvlJc w:val="left"/>
      <w:rPr>
        <w:rFonts w:hint="eastAsia" w:ascii="黑体" w:hAnsi="Times New Roman" w:eastAsia="黑体"/>
        <w:b w:val="0"/>
        <w:bCs w:val="0"/>
        <w:i w:val="0"/>
        <w:iCs w:val="0"/>
        <w:sz w:val="21"/>
        <w:szCs w:val="21"/>
      </w:rPr>
    </w:lvl>
    <w:lvl w:ilvl="4" w:tentative="0">
      <w:start w:val="1"/>
      <w:numFmt w:val="decimal"/>
      <w:pStyle w:val="39"/>
      <w:suff w:val="nothing"/>
      <w:lvlText w:val="%1%2.%3.%4.%5　"/>
      <w:lvlJc w:val="left"/>
      <w:rPr>
        <w:rFonts w:hint="eastAsia" w:ascii="黑体" w:hAnsi="Times New Roman" w:eastAsia="黑体"/>
        <w:b w:val="0"/>
        <w:bCs w:val="0"/>
        <w:i w:val="0"/>
        <w:iCs w:val="0"/>
        <w:sz w:val="21"/>
        <w:szCs w:val="21"/>
      </w:rPr>
    </w:lvl>
    <w:lvl w:ilvl="5" w:tentative="0">
      <w:start w:val="1"/>
      <w:numFmt w:val="decimal"/>
      <w:pStyle w:val="38"/>
      <w:suff w:val="nothing"/>
      <w:lvlText w:val="%1%2.%3.%4.%5.%6　"/>
      <w:lvlJc w:val="left"/>
      <w:rPr>
        <w:rFonts w:hint="eastAsia" w:ascii="黑体" w:hAnsi="Times New Roman" w:eastAsia="黑体"/>
        <w:b w:val="0"/>
        <w:bCs w:val="0"/>
        <w:i w:val="0"/>
        <w:iCs w:val="0"/>
        <w:sz w:val="21"/>
        <w:szCs w:val="21"/>
      </w:rPr>
    </w:lvl>
    <w:lvl w:ilvl="6" w:tentative="0">
      <w:start w:val="1"/>
      <w:numFmt w:val="decimal"/>
      <w:pStyle w:val="4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Times New Roman" w:hAnsi="Times New Roman" w:cs="Times New Roman"/>
      </w:rPr>
    </w:lvl>
    <w:lvl w:ilvl="8" w:tentative="0">
      <w:start w:val="1"/>
      <w:numFmt w:val="decimal"/>
      <w:lvlText w:val="%1.%2.%3.%4.%5.%6.%7.%8.%9"/>
      <w:lvlJc w:val="left"/>
      <w:pPr>
        <w:tabs>
          <w:tab w:val="left" w:pos="4777"/>
        </w:tabs>
        <w:ind w:left="4677" w:hanging="1700"/>
      </w:pPr>
      <w:rPr>
        <w:rFonts w:hint="eastAsia" w:ascii="Times New Roman" w:hAnsi="Times New Roman" w:cs="Times New Roman"/>
      </w:rPr>
    </w:lvl>
  </w:abstractNum>
  <w:abstractNum w:abstractNumId="7">
    <w:nsid w:val="7F0541D2"/>
    <w:multiLevelType w:val="multilevel"/>
    <w:tmpl w:val="7F0541D2"/>
    <w:lvl w:ilvl="0" w:tentative="0">
      <w:start w:val="11"/>
      <w:numFmt w:val="decimal"/>
      <w:pStyle w:val="51"/>
      <w:lvlText w:val="%1"/>
      <w:lvlJc w:val="left"/>
      <w:pPr>
        <w:tabs>
          <w:tab w:val="left" w:pos="630"/>
        </w:tabs>
        <w:ind w:left="630" w:hanging="630"/>
      </w:pPr>
      <w:rPr>
        <w:rFonts w:hint="eastAsia"/>
      </w:rPr>
    </w:lvl>
    <w:lvl w:ilvl="1" w:tentative="0">
      <w:start w:val="2"/>
      <w:numFmt w:val="decimal"/>
      <w:lvlText w:val="%1.%2"/>
      <w:lvlJc w:val="left"/>
      <w:pPr>
        <w:tabs>
          <w:tab w:val="left" w:pos="630"/>
        </w:tabs>
        <w:ind w:left="630" w:hanging="63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2"/>
  </w:num>
  <w:num w:numId="2">
    <w:abstractNumId w:val="6"/>
  </w:num>
  <w:num w:numId="3">
    <w:abstractNumId w:val="7"/>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17"/>
    <w:rsid w:val="000031D7"/>
    <w:rsid w:val="000051E7"/>
    <w:rsid w:val="000052F3"/>
    <w:rsid w:val="00005342"/>
    <w:rsid w:val="00011CE2"/>
    <w:rsid w:val="0002425A"/>
    <w:rsid w:val="0003208D"/>
    <w:rsid w:val="000366EB"/>
    <w:rsid w:val="00036F5C"/>
    <w:rsid w:val="00045BD6"/>
    <w:rsid w:val="00045E48"/>
    <w:rsid w:val="00053E78"/>
    <w:rsid w:val="00060B45"/>
    <w:rsid w:val="00064F93"/>
    <w:rsid w:val="00067DA7"/>
    <w:rsid w:val="000829D3"/>
    <w:rsid w:val="00086A9B"/>
    <w:rsid w:val="000A198E"/>
    <w:rsid w:val="000B12B4"/>
    <w:rsid w:val="000C0618"/>
    <w:rsid w:val="000C273D"/>
    <w:rsid w:val="000C3256"/>
    <w:rsid w:val="000C3A15"/>
    <w:rsid w:val="000C6400"/>
    <w:rsid w:val="000D0F3A"/>
    <w:rsid w:val="000D38C9"/>
    <w:rsid w:val="000D435C"/>
    <w:rsid w:val="000E4E5C"/>
    <w:rsid w:val="000E637D"/>
    <w:rsid w:val="000E769D"/>
    <w:rsid w:val="000F3B44"/>
    <w:rsid w:val="000F72F3"/>
    <w:rsid w:val="000F76C4"/>
    <w:rsid w:val="00101F90"/>
    <w:rsid w:val="001033AB"/>
    <w:rsid w:val="00104ED7"/>
    <w:rsid w:val="00113CC5"/>
    <w:rsid w:val="0011405E"/>
    <w:rsid w:val="001140DD"/>
    <w:rsid w:val="001178C5"/>
    <w:rsid w:val="001222FF"/>
    <w:rsid w:val="001228F3"/>
    <w:rsid w:val="001254FB"/>
    <w:rsid w:val="001329D6"/>
    <w:rsid w:val="001340A9"/>
    <w:rsid w:val="00137E37"/>
    <w:rsid w:val="00151DD2"/>
    <w:rsid w:val="0015387D"/>
    <w:rsid w:val="00154BA8"/>
    <w:rsid w:val="0016197A"/>
    <w:rsid w:val="00163F10"/>
    <w:rsid w:val="00166461"/>
    <w:rsid w:val="00173F0C"/>
    <w:rsid w:val="00175695"/>
    <w:rsid w:val="001A4334"/>
    <w:rsid w:val="001A69BD"/>
    <w:rsid w:val="001B7739"/>
    <w:rsid w:val="001B7742"/>
    <w:rsid w:val="001C041A"/>
    <w:rsid w:val="001C0B9B"/>
    <w:rsid w:val="001C3D1F"/>
    <w:rsid w:val="001C3DD1"/>
    <w:rsid w:val="001C5F93"/>
    <w:rsid w:val="001D2C1D"/>
    <w:rsid w:val="001D62B1"/>
    <w:rsid w:val="001E0D7F"/>
    <w:rsid w:val="001E3DB1"/>
    <w:rsid w:val="001E73D9"/>
    <w:rsid w:val="001F493A"/>
    <w:rsid w:val="001F4A49"/>
    <w:rsid w:val="001F4AA3"/>
    <w:rsid w:val="0020447F"/>
    <w:rsid w:val="002140B8"/>
    <w:rsid w:val="00221C2A"/>
    <w:rsid w:val="00226BD3"/>
    <w:rsid w:val="00231237"/>
    <w:rsid w:val="0024798F"/>
    <w:rsid w:val="002551A2"/>
    <w:rsid w:val="00260452"/>
    <w:rsid w:val="00262F04"/>
    <w:rsid w:val="00271F43"/>
    <w:rsid w:val="00276AF1"/>
    <w:rsid w:val="002829C3"/>
    <w:rsid w:val="002A3B81"/>
    <w:rsid w:val="002A71F2"/>
    <w:rsid w:val="002A7E99"/>
    <w:rsid w:val="002B2CBC"/>
    <w:rsid w:val="002B3DC7"/>
    <w:rsid w:val="002B4591"/>
    <w:rsid w:val="002C3A02"/>
    <w:rsid w:val="002D1597"/>
    <w:rsid w:val="002D2B01"/>
    <w:rsid w:val="002D7838"/>
    <w:rsid w:val="002E30FD"/>
    <w:rsid w:val="002E542B"/>
    <w:rsid w:val="002F2C50"/>
    <w:rsid w:val="002F45D2"/>
    <w:rsid w:val="002F63CF"/>
    <w:rsid w:val="00301A40"/>
    <w:rsid w:val="00303D78"/>
    <w:rsid w:val="00304849"/>
    <w:rsid w:val="00307FD8"/>
    <w:rsid w:val="003131D1"/>
    <w:rsid w:val="0031443E"/>
    <w:rsid w:val="00316F1A"/>
    <w:rsid w:val="00321D7E"/>
    <w:rsid w:val="00324A11"/>
    <w:rsid w:val="00335324"/>
    <w:rsid w:val="00335B6C"/>
    <w:rsid w:val="00336146"/>
    <w:rsid w:val="00342FFE"/>
    <w:rsid w:val="00355DCA"/>
    <w:rsid w:val="0036140D"/>
    <w:rsid w:val="00361520"/>
    <w:rsid w:val="0036254E"/>
    <w:rsid w:val="00364FA3"/>
    <w:rsid w:val="00365210"/>
    <w:rsid w:val="003700EE"/>
    <w:rsid w:val="00381A0C"/>
    <w:rsid w:val="003966EB"/>
    <w:rsid w:val="003A08B2"/>
    <w:rsid w:val="003A1209"/>
    <w:rsid w:val="003A2416"/>
    <w:rsid w:val="003A3F3A"/>
    <w:rsid w:val="003A7E22"/>
    <w:rsid w:val="003B6204"/>
    <w:rsid w:val="003D72E9"/>
    <w:rsid w:val="003E087C"/>
    <w:rsid w:val="003E341A"/>
    <w:rsid w:val="003E5580"/>
    <w:rsid w:val="003E7399"/>
    <w:rsid w:val="003E74D7"/>
    <w:rsid w:val="003F038B"/>
    <w:rsid w:val="003F0817"/>
    <w:rsid w:val="003F09B6"/>
    <w:rsid w:val="003F7978"/>
    <w:rsid w:val="0040780B"/>
    <w:rsid w:val="00412CF2"/>
    <w:rsid w:val="00413D8E"/>
    <w:rsid w:val="004160A4"/>
    <w:rsid w:val="004160ED"/>
    <w:rsid w:val="004242AA"/>
    <w:rsid w:val="00431D6F"/>
    <w:rsid w:val="004423C0"/>
    <w:rsid w:val="004446F1"/>
    <w:rsid w:val="00444713"/>
    <w:rsid w:val="00445532"/>
    <w:rsid w:val="004501C5"/>
    <w:rsid w:val="00450A2A"/>
    <w:rsid w:val="004517D6"/>
    <w:rsid w:val="00452B8C"/>
    <w:rsid w:val="004530C4"/>
    <w:rsid w:val="00453D80"/>
    <w:rsid w:val="004576E8"/>
    <w:rsid w:val="0046268C"/>
    <w:rsid w:val="00465C5C"/>
    <w:rsid w:val="00466016"/>
    <w:rsid w:val="00471656"/>
    <w:rsid w:val="0047250E"/>
    <w:rsid w:val="00482DD7"/>
    <w:rsid w:val="00483BE9"/>
    <w:rsid w:val="00486AA8"/>
    <w:rsid w:val="00492780"/>
    <w:rsid w:val="00494EAB"/>
    <w:rsid w:val="004954C3"/>
    <w:rsid w:val="00496A94"/>
    <w:rsid w:val="004B355C"/>
    <w:rsid w:val="004B4AD7"/>
    <w:rsid w:val="004B51F0"/>
    <w:rsid w:val="004D10CA"/>
    <w:rsid w:val="004D2952"/>
    <w:rsid w:val="004D3C48"/>
    <w:rsid w:val="004D4AD6"/>
    <w:rsid w:val="004D5047"/>
    <w:rsid w:val="004F09F6"/>
    <w:rsid w:val="004F12DC"/>
    <w:rsid w:val="004F1926"/>
    <w:rsid w:val="00506342"/>
    <w:rsid w:val="005078E8"/>
    <w:rsid w:val="00515A68"/>
    <w:rsid w:val="00517866"/>
    <w:rsid w:val="005206CD"/>
    <w:rsid w:val="00524B47"/>
    <w:rsid w:val="00526721"/>
    <w:rsid w:val="005313F4"/>
    <w:rsid w:val="00532BD4"/>
    <w:rsid w:val="00534FA7"/>
    <w:rsid w:val="0053696B"/>
    <w:rsid w:val="00545622"/>
    <w:rsid w:val="00554B07"/>
    <w:rsid w:val="00557187"/>
    <w:rsid w:val="00580B9A"/>
    <w:rsid w:val="005810DE"/>
    <w:rsid w:val="00587136"/>
    <w:rsid w:val="0059091B"/>
    <w:rsid w:val="00591D14"/>
    <w:rsid w:val="005947C4"/>
    <w:rsid w:val="00594D4D"/>
    <w:rsid w:val="00596752"/>
    <w:rsid w:val="005A3BAE"/>
    <w:rsid w:val="005A4594"/>
    <w:rsid w:val="005A7B75"/>
    <w:rsid w:val="005B017A"/>
    <w:rsid w:val="005B2B36"/>
    <w:rsid w:val="005B58D4"/>
    <w:rsid w:val="005C2083"/>
    <w:rsid w:val="005E0A2A"/>
    <w:rsid w:val="005E2140"/>
    <w:rsid w:val="005F05DC"/>
    <w:rsid w:val="005F1F87"/>
    <w:rsid w:val="005F3504"/>
    <w:rsid w:val="005F608F"/>
    <w:rsid w:val="005F79FB"/>
    <w:rsid w:val="005F7E81"/>
    <w:rsid w:val="006010E5"/>
    <w:rsid w:val="00601C50"/>
    <w:rsid w:val="00606655"/>
    <w:rsid w:val="0061769A"/>
    <w:rsid w:val="00617957"/>
    <w:rsid w:val="00626D8B"/>
    <w:rsid w:val="00630959"/>
    <w:rsid w:val="0063185C"/>
    <w:rsid w:val="00647F35"/>
    <w:rsid w:val="00653410"/>
    <w:rsid w:val="006566AB"/>
    <w:rsid w:val="006668B4"/>
    <w:rsid w:val="00676C5A"/>
    <w:rsid w:val="00686E2F"/>
    <w:rsid w:val="00690B30"/>
    <w:rsid w:val="006921E1"/>
    <w:rsid w:val="006A1EC3"/>
    <w:rsid w:val="006A2CAF"/>
    <w:rsid w:val="006B0522"/>
    <w:rsid w:val="006B1976"/>
    <w:rsid w:val="006B5357"/>
    <w:rsid w:val="006C0D17"/>
    <w:rsid w:val="006C4318"/>
    <w:rsid w:val="006C457F"/>
    <w:rsid w:val="006C5B2F"/>
    <w:rsid w:val="006D5442"/>
    <w:rsid w:val="006E0D9B"/>
    <w:rsid w:val="006E57FE"/>
    <w:rsid w:val="006F3626"/>
    <w:rsid w:val="006F5C7F"/>
    <w:rsid w:val="006F6C1A"/>
    <w:rsid w:val="0070068A"/>
    <w:rsid w:val="00701BAB"/>
    <w:rsid w:val="00704F0E"/>
    <w:rsid w:val="00705D13"/>
    <w:rsid w:val="00707A54"/>
    <w:rsid w:val="00723150"/>
    <w:rsid w:val="007266A5"/>
    <w:rsid w:val="00730551"/>
    <w:rsid w:val="00732F41"/>
    <w:rsid w:val="0073355C"/>
    <w:rsid w:val="00735640"/>
    <w:rsid w:val="00744637"/>
    <w:rsid w:val="00756B3A"/>
    <w:rsid w:val="00757AA2"/>
    <w:rsid w:val="00767364"/>
    <w:rsid w:val="00773580"/>
    <w:rsid w:val="00780FD1"/>
    <w:rsid w:val="0078114A"/>
    <w:rsid w:val="00784B0B"/>
    <w:rsid w:val="00797522"/>
    <w:rsid w:val="007A0445"/>
    <w:rsid w:val="007A0BB5"/>
    <w:rsid w:val="007A2D03"/>
    <w:rsid w:val="007B0FFA"/>
    <w:rsid w:val="007B1AD3"/>
    <w:rsid w:val="007B20F5"/>
    <w:rsid w:val="007C2630"/>
    <w:rsid w:val="007D5D88"/>
    <w:rsid w:val="007D5FBC"/>
    <w:rsid w:val="007D7A3C"/>
    <w:rsid w:val="007E0C14"/>
    <w:rsid w:val="007E3007"/>
    <w:rsid w:val="007E4965"/>
    <w:rsid w:val="007F2881"/>
    <w:rsid w:val="008019DD"/>
    <w:rsid w:val="00813331"/>
    <w:rsid w:val="0081647A"/>
    <w:rsid w:val="00823576"/>
    <w:rsid w:val="008265E7"/>
    <w:rsid w:val="00827820"/>
    <w:rsid w:val="008354E6"/>
    <w:rsid w:val="008376D4"/>
    <w:rsid w:val="00843A45"/>
    <w:rsid w:val="00850E15"/>
    <w:rsid w:val="00854091"/>
    <w:rsid w:val="00860DB5"/>
    <w:rsid w:val="0086517B"/>
    <w:rsid w:val="00870081"/>
    <w:rsid w:val="00875645"/>
    <w:rsid w:val="00875831"/>
    <w:rsid w:val="00893083"/>
    <w:rsid w:val="00897880"/>
    <w:rsid w:val="008B51AA"/>
    <w:rsid w:val="008C1881"/>
    <w:rsid w:val="008C383E"/>
    <w:rsid w:val="008C3F99"/>
    <w:rsid w:val="008D158B"/>
    <w:rsid w:val="008D1E37"/>
    <w:rsid w:val="008D2892"/>
    <w:rsid w:val="008D3272"/>
    <w:rsid w:val="008E3C2D"/>
    <w:rsid w:val="008F0C96"/>
    <w:rsid w:val="008F1337"/>
    <w:rsid w:val="008F540D"/>
    <w:rsid w:val="008F60CE"/>
    <w:rsid w:val="008F7EAB"/>
    <w:rsid w:val="009032BC"/>
    <w:rsid w:val="00904ABE"/>
    <w:rsid w:val="00905CF5"/>
    <w:rsid w:val="009105D4"/>
    <w:rsid w:val="009106ED"/>
    <w:rsid w:val="00911B92"/>
    <w:rsid w:val="0092079F"/>
    <w:rsid w:val="00941B74"/>
    <w:rsid w:val="00942936"/>
    <w:rsid w:val="009432E9"/>
    <w:rsid w:val="00943F0A"/>
    <w:rsid w:val="00951132"/>
    <w:rsid w:val="00966265"/>
    <w:rsid w:val="00967E88"/>
    <w:rsid w:val="00973A35"/>
    <w:rsid w:val="00973C75"/>
    <w:rsid w:val="00975253"/>
    <w:rsid w:val="00976697"/>
    <w:rsid w:val="009818FD"/>
    <w:rsid w:val="00986693"/>
    <w:rsid w:val="00987428"/>
    <w:rsid w:val="00993D99"/>
    <w:rsid w:val="00993EE6"/>
    <w:rsid w:val="00996377"/>
    <w:rsid w:val="009A3DCD"/>
    <w:rsid w:val="009A68B3"/>
    <w:rsid w:val="009A6A54"/>
    <w:rsid w:val="009B50A4"/>
    <w:rsid w:val="009B7EAB"/>
    <w:rsid w:val="009C1F20"/>
    <w:rsid w:val="009C6627"/>
    <w:rsid w:val="009D218E"/>
    <w:rsid w:val="009D6D4A"/>
    <w:rsid w:val="009E2671"/>
    <w:rsid w:val="009E3605"/>
    <w:rsid w:val="009F7E5A"/>
    <w:rsid w:val="00A00991"/>
    <w:rsid w:val="00A01CF0"/>
    <w:rsid w:val="00A0282D"/>
    <w:rsid w:val="00A057DF"/>
    <w:rsid w:val="00A068F5"/>
    <w:rsid w:val="00A10DE4"/>
    <w:rsid w:val="00A127AB"/>
    <w:rsid w:val="00A246ED"/>
    <w:rsid w:val="00A249FA"/>
    <w:rsid w:val="00A30D73"/>
    <w:rsid w:val="00A30E3F"/>
    <w:rsid w:val="00A363D6"/>
    <w:rsid w:val="00A41F66"/>
    <w:rsid w:val="00A446AC"/>
    <w:rsid w:val="00A47F14"/>
    <w:rsid w:val="00A50EA8"/>
    <w:rsid w:val="00A5276E"/>
    <w:rsid w:val="00A55DEC"/>
    <w:rsid w:val="00A6156A"/>
    <w:rsid w:val="00A62446"/>
    <w:rsid w:val="00A63ED5"/>
    <w:rsid w:val="00A64506"/>
    <w:rsid w:val="00A65316"/>
    <w:rsid w:val="00A6746C"/>
    <w:rsid w:val="00A67CDF"/>
    <w:rsid w:val="00A73970"/>
    <w:rsid w:val="00A741FA"/>
    <w:rsid w:val="00A81D22"/>
    <w:rsid w:val="00A908C2"/>
    <w:rsid w:val="00A9332F"/>
    <w:rsid w:val="00A96AAF"/>
    <w:rsid w:val="00A9706D"/>
    <w:rsid w:val="00AA074D"/>
    <w:rsid w:val="00AA2736"/>
    <w:rsid w:val="00AA424C"/>
    <w:rsid w:val="00AA520D"/>
    <w:rsid w:val="00AB194F"/>
    <w:rsid w:val="00AB78E4"/>
    <w:rsid w:val="00AC0965"/>
    <w:rsid w:val="00AC1B70"/>
    <w:rsid w:val="00AC441D"/>
    <w:rsid w:val="00AD2D91"/>
    <w:rsid w:val="00AD43B7"/>
    <w:rsid w:val="00AE2811"/>
    <w:rsid w:val="00AE4A76"/>
    <w:rsid w:val="00AE5F41"/>
    <w:rsid w:val="00AF1706"/>
    <w:rsid w:val="00AF19D6"/>
    <w:rsid w:val="00AF63E9"/>
    <w:rsid w:val="00B016F6"/>
    <w:rsid w:val="00B108BE"/>
    <w:rsid w:val="00B11C93"/>
    <w:rsid w:val="00B16748"/>
    <w:rsid w:val="00B248C4"/>
    <w:rsid w:val="00B24D32"/>
    <w:rsid w:val="00B30BFF"/>
    <w:rsid w:val="00B3163B"/>
    <w:rsid w:val="00B3261D"/>
    <w:rsid w:val="00B46635"/>
    <w:rsid w:val="00B47336"/>
    <w:rsid w:val="00B479D3"/>
    <w:rsid w:val="00B502F2"/>
    <w:rsid w:val="00B56A04"/>
    <w:rsid w:val="00B60C9B"/>
    <w:rsid w:val="00B65E17"/>
    <w:rsid w:val="00B76366"/>
    <w:rsid w:val="00B804D5"/>
    <w:rsid w:val="00B83C4E"/>
    <w:rsid w:val="00B840B1"/>
    <w:rsid w:val="00B91167"/>
    <w:rsid w:val="00B9778D"/>
    <w:rsid w:val="00BA2E1E"/>
    <w:rsid w:val="00BC1D0B"/>
    <w:rsid w:val="00BC2F12"/>
    <w:rsid w:val="00BC3215"/>
    <w:rsid w:val="00BD26A4"/>
    <w:rsid w:val="00BD2CA7"/>
    <w:rsid w:val="00BD2D15"/>
    <w:rsid w:val="00BD324B"/>
    <w:rsid w:val="00BD7444"/>
    <w:rsid w:val="00BE0C44"/>
    <w:rsid w:val="00BE3B7E"/>
    <w:rsid w:val="00BE6755"/>
    <w:rsid w:val="00BF33EF"/>
    <w:rsid w:val="00BF5430"/>
    <w:rsid w:val="00BF5F2F"/>
    <w:rsid w:val="00BF795D"/>
    <w:rsid w:val="00C020F7"/>
    <w:rsid w:val="00C047DE"/>
    <w:rsid w:val="00C07C33"/>
    <w:rsid w:val="00C07CDB"/>
    <w:rsid w:val="00C103CA"/>
    <w:rsid w:val="00C1219A"/>
    <w:rsid w:val="00C1494E"/>
    <w:rsid w:val="00C16375"/>
    <w:rsid w:val="00C22E17"/>
    <w:rsid w:val="00C262D0"/>
    <w:rsid w:val="00C304AE"/>
    <w:rsid w:val="00C329A5"/>
    <w:rsid w:val="00C51DEC"/>
    <w:rsid w:val="00C5243D"/>
    <w:rsid w:val="00C53A0A"/>
    <w:rsid w:val="00C57C29"/>
    <w:rsid w:val="00C6369B"/>
    <w:rsid w:val="00C673B8"/>
    <w:rsid w:val="00C729A0"/>
    <w:rsid w:val="00C80D51"/>
    <w:rsid w:val="00C81E07"/>
    <w:rsid w:val="00C8272E"/>
    <w:rsid w:val="00C857CB"/>
    <w:rsid w:val="00C90A45"/>
    <w:rsid w:val="00C90DBF"/>
    <w:rsid w:val="00C9276E"/>
    <w:rsid w:val="00CB000F"/>
    <w:rsid w:val="00CB0FB6"/>
    <w:rsid w:val="00CB1B6D"/>
    <w:rsid w:val="00CB31F1"/>
    <w:rsid w:val="00CC3ACC"/>
    <w:rsid w:val="00CC4A24"/>
    <w:rsid w:val="00CC4C1D"/>
    <w:rsid w:val="00CC4CC2"/>
    <w:rsid w:val="00CC5B4E"/>
    <w:rsid w:val="00CC7DDF"/>
    <w:rsid w:val="00CD1518"/>
    <w:rsid w:val="00CD4E01"/>
    <w:rsid w:val="00CD577B"/>
    <w:rsid w:val="00CF4A88"/>
    <w:rsid w:val="00D048AB"/>
    <w:rsid w:val="00D059EA"/>
    <w:rsid w:val="00D1489A"/>
    <w:rsid w:val="00D14A6D"/>
    <w:rsid w:val="00D15664"/>
    <w:rsid w:val="00D260F4"/>
    <w:rsid w:val="00D31636"/>
    <w:rsid w:val="00D32355"/>
    <w:rsid w:val="00D32E2A"/>
    <w:rsid w:val="00D56509"/>
    <w:rsid w:val="00D56542"/>
    <w:rsid w:val="00D56BA9"/>
    <w:rsid w:val="00D57E66"/>
    <w:rsid w:val="00D60635"/>
    <w:rsid w:val="00D63E35"/>
    <w:rsid w:val="00D643B6"/>
    <w:rsid w:val="00D71440"/>
    <w:rsid w:val="00D734AC"/>
    <w:rsid w:val="00D74C39"/>
    <w:rsid w:val="00D86008"/>
    <w:rsid w:val="00D862EB"/>
    <w:rsid w:val="00D87121"/>
    <w:rsid w:val="00D91159"/>
    <w:rsid w:val="00D944B7"/>
    <w:rsid w:val="00DA0446"/>
    <w:rsid w:val="00DB36AB"/>
    <w:rsid w:val="00DC219C"/>
    <w:rsid w:val="00DC2C6A"/>
    <w:rsid w:val="00DC3A7D"/>
    <w:rsid w:val="00DC4B8D"/>
    <w:rsid w:val="00DC62FF"/>
    <w:rsid w:val="00DD49EA"/>
    <w:rsid w:val="00DF22FD"/>
    <w:rsid w:val="00DF288D"/>
    <w:rsid w:val="00DF3F1E"/>
    <w:rsid w:val="00DF670B"/>
    <w:rsid w:val="00DF7F03"/>
    <w:rsid w:val="00E02370"/>
    <w:rsid w:val="00E030D9"/>
    <w:rsid w:val="00E0427D"/>
    <w:rsid w:val="00E04925"/>
    <w:rsid w:val="00E05C02"/>
    <w:rsid w:val="00E10F5D"/>
    <w:rsid w:val="00E11553"/>
    <w:rsid w:val="00E11771"/>
    <w:rsid w:val="00E133A1"/>
    <w:rsid w:val="00E21887"/>
    <w:rsid w:val="00E315BD"/>
    <w:rsid w:val="00E36892"/>
    <w:rsid w:val="00E36C09"/>
    <w:rsid w:val="00E374DB"/>
    <w:rsid w:val="00E37F03"/>
    <w:rsid w:val="00E451A8"/>
    <w:rsid w:val="00E47FD5"/>
    <w:rsid w:val="00E52C9B"/>
    <w:rsid w:val="00E579F7"/>
    <w:rsid w:val="00E600D3"/>
    <w:rsid w:val="00E62A46"/>
    <w:rsid w:val="00E66765"/>
    <w:rsid w:val="00E70DBD"/>
    <w:rsid w:val="00E72AC8"/>
    <w:rsid w:val="00E739E8"/>
    <w:rsid w:val="00E75150"/>
    <w:rsid w:val="00E82C06"/>
    <w:rsid w:val="00E86E3C"/>
    <w:rsid w:val="00E95E4B"/>
    <w:rsid w:val="00EA12DF"/>
    <w:rsid w:val="00EB033F"/>
    <w:rsid w:val="00EB1421"/>
    <w:rsid w:val="00EB3A94"/>
    <w:rsid w:val="00EB458C"/>
    <w:rsid w:val="00EB5020"/>
    <w:rsid w:val="00EC42C6"/>
    <w:rsid w:val="00EC4948"/>
    <w:rsid w:val="00EC719C"/>
    <w:rsid w:val="00ED1381"/>
    <w:rsid w:val="00ED221A"/>
    <w:rsid w:val="00ED2D68"/>
    <w:rsid w:val="00ED2FDB"/>
    <w:rsid w:val="00ED30B1"/>
    <w:rsid w:val="00EE3AA1"/>
    <w:rsid w:val="00EF061B"/>
    <w:rsid w:val="00F00136"/>
    <w:rsid w:val="00F0121E"/>
    <w:rsid w:val="00F06FB1"/>
    <w:rsid w:val="00F15D82"/>
    <w:rsid w:val="00F17346"/>
    <w:rsid w:val="00F2344C"/>
    <w:rsid w:val="00F23B0B"/>
    <w:rsid w:val="00F23DA5"/>
    <w:rsid w:val="00F30F1C"/>
    <w:rsid w:val="00F355D6"/>
    <w:rsid w:val="00F40BC5"/>
    <w:rsid w:val="00F40C9A"/>
    <w:rsid w:val="00F43D61"/>
    <w:rsid w:val="00F5244A"/>
    <w:rsid w:val="00F54D20"/>
    <w:rsid w:val="00F56CB3"/>
    <w:rsid w:val="00F6222A"/>
    <w:rsid w:val="00F66681"/>
    <w:rsid w:val="00F66D45"/>
    <w:rsid w:val="00F746A0"/>
    <w:rsid w:val="00F747DA"/>
    <w:rsid w:val="00F74F1B"/>
    <w:rsid w:val="00F77E5E"/>
    <w:rsid w:val="00F82B78"/>
    <w:rsid w:val="00FA0022"/>
    <w:rsid w:val="00FA66AC"/>
    <w:rsid w:val="00FB6A7E"/>
    <w:rsid w:val="00FC1025"/>
    <w:rsid w:val="00FC1D86"/>
    <w:rsid w:val="00FC53B5"/>
    <w:rsid w:val="00FC65D0"/>
    <w:rsid w:val="00FD1554"/>
    <w:rsid w:val="00FD3253"/>
    <w:rsid w:val="00FD6080"/>
    <w:rsid w:val="00FF0F8E"/>
    <w:rsid w:val="00FF3BEE"/>
    <w:rsid w:val="00FF3D9B"/>
    <w:rsid w:val="020E7B6E"/>
    <w:rsid w:val="038844CC"/>
    <w:rsid w:val="052C1C1A"/>
    <w:rsid w:val="06FD4B72"/>
    <w:rsid w:val="08904B30"/>
    <w:rsid w:val="08C051D6"/>
    <w:rsid w:val="09826588"/>
    <w:rsid w:val="09877907"/>
    <w:rsid w:val="0B7218D4"/>
    <w:rsid w:val="0D987584"/>
    <w:rsid w:val="0E6B2BD4"/>
    <w:rsid w:val="0F160711"/>
    <w:rsid w:val="0F3D06F9"/>
    <w:rsid w:val="0FA56244"/>
    <w:rsid w:val="10566F1A"/>
    <w:rsid w:val="10716F1C"/>
    <w:rsid w:val="107A3003"/>
    <w:rsid w:val="11270E13"/>
    <w:rsid w:val="11F72C05"/>
    <w:rsid w:val="122117EB"/>
    <w:rsid w:val="12CA622F"/>
    <w:rsid w:val="13764211"/>
    <w:rsid w:val="13C6337B"/>
    <w:rsid w:val="164C2D4F"/>
    <w:rsid w:val="1691757F"/>
    <w:rsid w:val="174E792B"/>
    <w:rsid w:val="17741D80"/>
    <w:rsid w:val="177B14D0"/>
    <w:rsid w:val="17D01526"/>
    <w:rsid w:val="17F20DA1"/>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414B44"/>
    <w:rsid w:val="319E1B30"/>
    <w:rsid w:val="31F00D37"/>
    <w:rsid w:val="32705B18"/>
    <w:rsid w:val="32A64C56"/>
    <w:rsid w:val="338E3221"/>
    <w:rsid w:val="33CB5B84"/>
    <w:rsid w:val="34CB12E1"/>
    <w:rsid w:val="360132F6"/>
    <w:rsid w:val="376A579F"/>
    <w:rsid w:val="37FA0B26"/>
    <w:rsid w:val="38506AE7"/>
    <w:rsid w:val="3CD21D3B"/>
    <w:rsid w:val="3CFB7798"/>
    <w:rsid w:val="3E4E1366"/>
    <w:rsid w:val="3FD62285"/>
    <w:rsid w:val="40CB6636"/>
    <w:rsid w:val="412D77A1"/>
    <w:rsid w:val="42B527EF"/>
    <w:rsid w:val="44A924BD"/>
    <w:rsid w:val="44B34663"/>
    <w:rsid w:val="45794FD5"/>
    <w:rsid w:val="46393B26"/>
    <w:rsid w:val="476211C1"/>
    <w:rsid w:val="479C13EB"/>
    <w:rsid w:val="485E0BA4"/>
    <w:rsid w:val="49961A50"/>
    <w:rsid w:val="49E041CD"/>
    <w:rsid w:val="4A647F3B"/>
    <w:rsid w:val="4AEA22A4"/>
    <w:rsid w:val="4D335281"/>
    <w:rsid w:val="4D8705A3"/>
    <w:rsid w:val="50535940"/>
    <w:rsid w:val="54180C15"/>
    <w:rsid w:val="548B0752"/>
    <w:rsid w:val="56802BD4"/>
    <w:rsid w:val="56B04C8A"/>
    <w:rsid w:val="58BE49BD"/>
    <w:rsid w:val="59943542"/>
    <w:rsid w:val="5AD23149"/>
    <w:rsid w:val="5B76595D"/>
    <w:rsid w:val="5B8B0E1F"/>
    <w:rsid w:val="5C8674A7"/>
    <w:rsid w:val="5CDF727B"/>
    <w:rsid w:val="5D2539AD"/>
    <w:rsid w:val="5E197684"/>
    <w:rsid w:val="5EAC14C3"/>
    <w:rsid w:val="5F7E37A9"/>
    <w:rsid w:val="609F46EF"/>
    <w:rsid w:val="60A27C9E"/>
    <w:rsid w:val="624D00E9"/>
    <w:rsid w:val="644C0B5F"/>
    <w:rsid w:val="680C5E40"/>
    <w:rsid w:val="683D34CB"/>
    <w:rsid w:val="68E940F6"/>
    <w:rsid w:val="697E45AC"/>
    <w:rsid w:val="69CC64D0"/>
    <w:rsid w:val="69E41FF1"/>
    <w:rsid w:val="6AEF59BA"/>
    <w:rsid w:val="6C0B4C53"/>
    <w:rsid w:val="6CD7022A"/>
    <w:rsid w:val="6D69111C"/>
    <w:rsid w:val="6DAA6832"/>
    <w:rsid w:val="6DF87E85"/>
    <w:rsid w:val="6EE55AD3"/>
    <w:rsid w:val="70942F6F"/>
    <w:rsid w:val="75DD731B"/>
    <w:rsid w:val="77C1487D"/>
    <w:rsid w:val="77F1344E"/>
    <w:rsid w:val="79F32E8B"/>
    <w:rsid w:val="7A9A046D"/>
    <w:rsid w:val="7BD5382E"/>
    <w:rsid w:val="7C1A06DA"/>
    <w:rsid w:val="7C943BBF"/>
    <w:rsid w:val="7CEC4630"/>
    <w:rsid w:val="7D7A17CE"/>
    <w:rsid w:val="7DD90B39"/>
    <w:rsid w:val="7F006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0"/>
    <w:pPr>
      <w:spacing w:line="360" w:lineRule="auto"/>
      <w:jc w:val="left"/>
      <w:outlineLvl w:val="0"/>
    </w:pPr>
    <w:rPr>
      <w:rFonts w:ascii="Times New Roman" w:hAnsi="Times New Roman"/>
      <w:b/>
      <w:bCs/>
      <w:kern w:val="44"/>
      <w:sz w:val="28"/>
      <w:szCs w:val="44"/>
    </w:rPr>
  </w:style>
  <w:style w:type="paragraph" w:styleId="3">
    <w:name w:val="heading 2"/>
    <w:basedOn w:val="1"/>
    <w:next w:val="1"/>
    <w:link w:val="34"/>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numPr>
        <w:ilvl w:val="2"/>
        <w:numId w:val="1"/>
      </w:numPr>
      <w:spacing w:before="260" w:after="260" w:line="413" w:lineRule="auto"/>
      <w:outlineLvl w:val="2"/>
    </w:pPr>
    <w:rPr>
      <w:rFonts w:ascii="Times New Roman" w:hAnsi="Times New Roman"/>
      <w:b/>
      <w:bCs/>
      <w:sz w:val="32"/>
      <w:szCs w:val="32"/>
    </w:rPr>
  </w:style>
  <w:style w:type="paragraph" w:styleId="5">
    <w:name w:val="heading 4"/>
    <w:basedOn w:val="1"/>
    <w:next w:val="1"/>
    <w:link w:val="27"/>
    <w:qFormat/>
    <w:uiPriority w:val="0"/>
    <w:pPr>
      <w:widowControl/>
      <w:numPr>
        <w:ilvl w:val="3"/>
        <w:numId w:val="2"/>
      </w:numPr>
      <w:spacing w:line="312" w:lineRule="auto"/>
      <w:jc w:val="left"/>
      <w:outlineLvl w:val="3"/>
    </w:pPr>
    <w:rPr>
      <w:rFonts w:ascii="Times New Roman" w:hAnsi="Times New Roman"/>
      <w:b/>
      <w:kern w:val="28"/>
      <w:sz w:val="24"/>
      <w:szCs w:val="2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ascii="Times New Roman" w:hAnsi="Times New Roman"/>
      <w:kern w:val="0"/>
      <w:sz w:val="24"/>
      <w:szCs w:val="20"/>
    </w:rPr>
  </w:style>
  <w:style w:type="paragraph" w:styleId="7">
    <w:name w:val="annotation text"/>
    <w:basedOn w:val="1"/>
    <w:link w:val="25"/>
    <w:qFormat/>
    <w:uiPriority w:val="0"/>
    <w:pPr>
      <w:jc w:val="left"/>
    </w:pPr>
  </w:style>
  <w:style w:type="paragraph" w:styleId="8">
    <w:name w:val="Body Text"/>
    <w:basedOn w:val="1"/>
    <w:link w:val="26"/>
    <w:qFormat/>
    <w:uiPriority w:val="0"/>
    <w:pPr>
      <w:widowControl/>
      <w:spacing w:after="220" w:line="180" w:lineRule="atLeast"/>
      <w:ind w:firstLine="476"/>
      <w:jc w:val="center"/>
    </w:pPr>
    <w:rPr>
      <w:rFonts w:ascii="Times New Roman" w:hAnsi="Times New Roman"/>
      <w:spacing w:val="-5"/>
      <w:kern w:val="0"/>
      <w:sz w:val="30"/>
      <w:szCs w:val="20"/>
    </w:rPr>
  </w:style>
  <w:style w:type="paragraph" w:styleId="9">
    <w:name w:val="Plain Text"/>
    <w:basedOn w:val="1"/>
    <w:link w:val="36"/>
    <w:qFormat/>
    <w:uiPriority w:val="0"/>
    <w:rPr>
      <w:rFonts w:ascii="宋体" w:hAnsi="Courier New" w:cs="宋体"/>
      <w:szCs w:val="21"/>
    </w:rPr>
  </w:style>
  <w:style w:type="paragraph" w:styleId="10">
    <w:name w:val="Date"/>
    <w:basedOn w:val="1"/>
    <w:next w:val="1"/>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33"/>
    <w:qFormat/>
    <w:uiPriority w:val="0"/>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customStyle="1" w:styleId="20">
    <w:name w:val="font01"/>
    <w:qFormat/>
    <w:uiPriority w:val="0"/>
    <w:rPr>
      <w:rFonts w:hint="eastAsia" w:ascii="宋体" w:hAnsi="宋体" w:eastAsia="宋体" w:cs="宋体"/>
      <w:color w:val="000000"/>
      <w:sz w:val="15"/>
      <w:szCs w:val="15"/>
      <w:u w:val="none"/>
    </w:rPr>
  </w:style>
  <w:style w:type="character" w:customStyle="1" w:styleId="21">
    <w:name w:val="font71"/>
    <w:qFormat/>
    <w:uiPriority w:val="0"/>
    <w:rPr>
      <w:rFonts w:hint="default" w:ascii="Times New Roman" w:hAnsi="Times New Roman" w:cs="Times New Roman"/>
      <w:color w:val="000000"/>
      <w:sz w:val="18"/>
      <w:szCs w:val="18"/>
      <w:u w:val="none"/>
    </w:rPr>
  </w:style>
  <w:style w:type="character" w:customStyle="1" w:styleId="22">
    <w:name w:val="段 Char"/>
    <w:link w:val="23"/>
    <w:qFormat/>
    <w:uiPriority w:val="99"/>
    <w:rPr>
      <w:rFonts w:ascii="宋体" w:cs="宋体"/>
      <w:sz w:val="21"/>
      <w:szCs w:val="21"/>
    </w:rPr>
  </w:style>
  <w:style w:type="paragraph" w:customStyle="1" w:styleId="23">
    <w:name w:val="段"/>
    <w:link w:val="22"/>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4">
    <w:name w:val="页眉 Char"/>
    <w:link w:val="13"/>
    <w:qFormat/>
    <w:uiPriority w:val="99"/>
    <w:rPr>
      <w:rFonts w:ascii="Calibri" w:hAnsi="Calibri"/>
      <w:kern w:val="2"/>
      <w:sz w:val="18"/>
      <w:szCs w:val="18"/>
    </w:rPr>
  </w:style>
  <w:style w:type="character" w:customStyle="1" w:styleId="25">
    <w:name w:val="批注文字 Char"/>
    <w:link w:val="7"/>
    <w:qFormat/>
    <w:uiPriority w:val="0"/>
    <w:rPr>
      <w:rFonts w:ascii="Calibri" w:hAnsi="Calibri"/>
      <w:kern w:val="2"/>
      <w:sz w:val="21"/>
      <w:szCs w:val="22"/>
    </w:rPr>
  </w:style>
  <w:style w:type="character" w:customStyle="1" w:styleId="26">
    <w:name w:val="正文文本 Char"/>
    <w:link w:val="8"/>
    <w:qFormat/>
    <w:uiPriority w:val="0"/>
    <w:rPr>
      <w:spacing w:val="-5"/>
      <w:sz w:val="30"/>
    </w:rPr>
  </w:style>
  <w:style w:type="character" w:customStyle="1" w:styleId="27">
    <w:name w:val="标题 4 Char"/>
    <w:link w:val="5"/>
    <w:qFormat/>
    <w:uiPriority w:val="0"/>
    <w:rPr>
      <w:b/>
      <w:kern w:val="28"/>
      <w:sz w:val="24"/>
    </w:rPr>
  </w:style>
  <w:style w:type="character" w:customStyle="1" w:styleId="28">
    <w:name w:val="批注框文本 Char"/>
    <w:link w:val="11"/>
    <w:qFormat/>
    <w:uiPriority w:val="0"/>
    <w:rPr>
      <w:rFonts w:ascii="Calibri" w:hAnsi="Calibri"/>
      <w:kern w:val="2"/>
      <w:sz w:val="18"/>
      <w:szCs w:val="18"/>
    </w:rPr>
  </w:style>
  <w:style w:type="character" w:customStyle="1" w:styleId="29">
    <w:name w:val="标题 1 Char"/>
    <w:link w:val="2"/>
    <w:qFormat/>
    <w:locked/>
    <w:uiPriority w:val="0"/>
    <w:rPr>
      <w:rFonts w:eastAsia="宋体"/>
      <w:b/>
      <w:bCs/>
      <w:kern w:val="44"/>
      <w:sz w:val="28"/>
      <w:szCs w:val="44"/>
      <w:lang w:val="en-US" w:eastAsia="zh-CN" w:bidi="ar-SA"/>
    </w:rPr>
  </w:style>
  <w:style w:type="character" w:customStyle="1" w:styleId="30">
    <w:name w:val="标题 3 Char"/>
    <w:link w:val="4"/>
    <w:qFormat/>
    <w:uiPriority w:val="0"/>
    <w:rPr>
      <w:b/>
      <w:bCs/>
      <w:kern w:val="2"/>
      <w:sz w:val="32"/>
      <w:szCs w:val="32"/>
    </w:rPr>
  </w:style>
  <w:style w:type="character" w:customStyle="1" w:styleId="31">
    <w:name w:val="font51"/>
    <w:qFormat/>
    <w:uiPriority w:val="0"/>
    <w:rPr>
      <w:rFonts w:hint="default" w:ascii="Times New Roman" w:hAnsi="Times New Roman" w:cs="Times New Roman"/>
      <w:color w:val="000000"/>
      <w:sz w:val="18"/>
      <w:szCs w:val="18"/>
      <w:u w:val="none"/>
    </w:rPr>
  </w:style>
  <w:style w:type="character" w:customStyle="1" w:styleId="32">
    <w:name w:val="font31"/>
    <w:qFormat/>
    <w:uiPriority w:val="0"/>
    <w:rPr>
      <w:rFonts w:hint="eastAsia" w:ascii="宋体" w:hAnsi="宋体" w:eastAsia="宋体" w:cs="宋体"/>
      <w:color w:val="000000"/>
      <w:sz w:val="15"/>
      <w:szCs w:val="15"/>
      <w:u w:val="none"/>
    </w:rPr>
  </w:style>
  <w:style w:type="character" w:customStyle="1" w:styleId="33">
    <w:name w:val="页脚 Char"/>
    <w:link w:val="12"/>
    <w:qFormat/>
    <w:uiPriority w:val="0"/>
    <w:rPr>
      <w:rFonts w:ascii="Calibri" w:hAnsi="Calibri"/>
      <w:kern w:val="2"/>
      <w:sz w:val="18"/>
      <w:szCs w:val="18"/>
    </w:rPr>
  </w:style>
  <w:style w:type="character" w:customStyle="1" w:styleId="34">
    <w:name w:val="标题 2 Char1"/>
    <w:link w:val="3"/>
    <w:qFormat/>
    <w:uiPriority w:val="0"/>
    <w:rPr>
      <w:rFonts w:ascii="Arial" w:hAnsi="Arial" w:eastAsia="黑体"/>
      <w:b/>
      <w:bCs/>
      <w:kern w:val="2"/>
      <w:sz w:val="32"/>
      <w:szCs w:val="32"/>
    </w:rPr>
  </w:style>
  <w:style w:type="character" w:customStyle="1" w:styleId="35">
    <w:name w:val="apple-converted-space"/>
    <w:basedOn w:val="17"/>
    <w:qFormat/>
    <w:uiPriority w:val="0"/>
  </w:style>
  <w:style w:type="character" w:customStyle="1" w:styleId="36">
    <w:name w:val="纯文本 Char"/>
    <w:link w:val="9"/>
    <w:qFormat/>
    <w:uiPriority w:val="0"/>
    <w:rPr>
      <w:rFonts w:ascii="宋体" w:hAnsi="Courier New" w:cs="宋体"/>
      <w:kern w:val="2"/>
      <w:sz w:val="21"/>
      <w:szCs w:val="21"/>
    </w:rPr>
  </w:style>
  <w:style w:type="paragraph" w:customStyle="1" w:styleId="37">
    <w:name w:val="列表段落1"/>
    <w:basedOn w:val="1"/>
    <w:qFormat/>
    <w:uiPriority w:val="99"/>
    <w:pPr>
      <w:ind w:firstLine="420" w:firstLineChars="200"/>
    </w:pPr>
  </w:style>
  <w:style w:type="paragraph" w:customStyle="1" w:styleId="38">
    <w:name w:val="四级条标题"/>
    <w:basedOn w:val="39"/>
    <w:next w:val="23"/>
    <w:qFormat/>
    <w:uiPriority w:val="0"/>
    <w:pPr>
      <w:numPr>
        <w:ilvl w:val="5"/>
      </w:numPr>
      <w:outlineLvl w:val="5"/>
    </w:pPr>
  </w:style>
  <w:style w:type="paragraph" w:customStyle="1" w:styleId="39">
    <w:name w:val="三级条标题"/>
    <w:basedOn w:val="40"/>
    <w:next w:val="23"/>
    <w:qFormat/>
    <w:uiPriority w:val="0"/>
    <w:pPr>
      <w:numPr>
        <w:ilvl w:val="4"/>
        <w:numId w:val="2"/>
      </w:numPr>
      <w:outlineLvl w:val="4"/>
    </w:pPr>
  </w:style>
  <w:style w:type="paragraph" w:customStyle="1" w:styleId="40">
    <w:name w:val="二级条标题"/>
    <w:basedOn w:val="41"/>
    <w:next w:val="23"/>
    <w:qFormat/>
    <w:uiPriority w:val="0"/>
    <w:pPr>
      <w:numPr>
        <w:ilvl w:val="0"/>
        <w:numId w:val="0"/>
      </w:numPr>
      <w:outlineLvl w:val="3"/>
    </w:pPr>
  </w:style>
  <w:style w:type="paragraph" w:customStyle="1" w:styleId="41">
    <w:name w:val="一级条标题"/>
    <w:basedOn w:val="42"/>
    <w:next w:val="23"/>
    <w:qFormat/>
    <w:uiPriority w:val="0"/>
    <w:pPr>
      <w:numPr>
        <w:ilvl w:val="2"/>
      </w:numPr>
      <w:spacing w:beforeLines="0" w:afterLines="0"/>
      <w:outlineLvl w:val="2"/>
    </w:pPr>
  </w:style>
  <w:style w:type="paragraph" w:customStyle="1" w:styleId="42">
    <w:name w:val="章标题"/>
    <w:next w:val="23"/>
    <w:qFormat/>
    <w:uiPriority w:val="0"/>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44">
    <w:name w:val="样式1"/>
    <w:basedOn w:val="1"/>
    <w:qFormat/>
    <w:uiPriority w:val="0"/>
    <w:pPr>
      <w:tabs>
        <w:tab w:val="left" w:pos="525"/>
      </w:tabs>
    </w:pPr>
    <w:rPr>
      <w:rFonts w:ascii="宋体" w:hAnsi="宋体" w:cs="宋体"/>
      <w:szCs w:val="21"/>
    </w:rPr>
  </w:style>
  <w:style w:type="paragraph" w:styleId="45">
    <w:name w:val="No Spacing"/>
    <w:qFormat/>
    <w:uiPriority w:val="99"/>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6">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47">
    <w:name w:val="Char Char Char1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4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49">
    <w:name w:val="五级条标题"/>
    <w:basedOn w:val="38"/>
    <w:next w:val="23"/>
    <w:qFormat/>
    <w:uiPriority w:val="0"/>
    <w:pPr>
      <w:numPr>
        <w:ilvl w:val="6"/>
      </w:numPr>
      <w:outlineLvl w:val="6"/>
    </w:pPr>
  </w:style>
  <w:style w:type="paragraph" w:customStyle="1" w:styleId="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
    <w:name w:val="正文表标题"/>
    <w:next w:val="23"/>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2">
    <w:name w:val="基准页眉样式"/>
    <w:basedOn w:val="8"/>
    <w:qFormat/>
    <w:uiPriority w:val="0"/>
    <w:pPr>
      <w:keepLines/>
      <w:tabs>
        <w:tab w:val="center" w:pos="4320"/>
        <w:tab w:val="right" w:pos="8640"/>
      </w:tabs>
      <w:spacing w:after="0"/>
    </w:pPr>
  </w:style>
  <w:style w:type="paragraph" w:customStyle="1" w:styleId="53">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4">
    <w:name w:val="封面标准号2"/>
    <w:basedOn w:val="1"/>
    <w:qFormat/>
    <w:uiPriority w:val="0"/>
  </w:style>
  <w:style w:type="character" w:customStyle="1" w:styleId="55">
    <w:name w:val="标题 2 Char"/>
    <w:qFormat/>
    <w:uiPriority w:val="9"/>
    <w:rPr>
      <w:rFonts w:ascii="Cambria" w:hAnsi="Cambria" w:eastAsia="宋体" w:cs="Times New Roman"/>
      <w:b/>
      <w:bCs/>
      <w:kern w:val="2"/>
      <w:sz w:val="32"/>
      <w:szCs w:val="32"/>
    </w:rPr>
  </w:style>
  <w:style w:type="paragraph" w:customStyle="1" w:styleId="56">
    <w:name w:val="列出段落1"/>
    <w:basedOn w:val="1"/>
    <w:qFormat/>
    <w:uiPriority w:val="34"/>
    <w:pPr>
      <w:ind w:firstLine="420" w:firstLineChars="200"/>
    </w:pPr>
    <w:rPr>
      <w:rFonts w:ascii="Times New Roman" w:hAnsi="Times New Roman"/>
      <w:szCs w:val="24"/>
    </w:rPr>
  </w:style>
  <w:style w:type="paragraph" w:styleId="5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E4E79-E888-4711-A8EE-2B7397BFEF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1499</Words>
  <Characters>8545</Characters>
  <Lines>71</Lines>
  <Paragraphs>20</Paragraphs>
  <TotalTime>2</TotalTime>
  <ScaleCrop>false</ScaleCrop>
  <LinksUpToDate>false</LinksUpToDate>
  <CharactersWithSpaces>10024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2019-11-10T01:40:00Z</dcterms:created>
  <dc:creator>ThinkPad</dc:creator>
  <cp:lastModifiedBy>小蜗牛</cp:lastModifiedBy>
  <cp:lastPrinted>2017-05-17T08:26:00Z</cp:lastPrinted>
  <dcterms:modified xsi:type="dcterms:W3CDTF">2019-11-22T07:27:29Z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