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8717817"/>
      <w:bookmarkStart w:id="1" w:name="_Toc49776953"/>
      <w:bookmarkStart w:id="2" w:name="SectionMark0"/>
    </w:p>
    <w:p>
      <w:pPr>
        <w:pStyle w:val="9"/>
        <w:rPr>
          <w:rFonts w:ascii="Times New Roman"/>
        </w:rPr>
      </w:pPr>
    </w:p>
    <w:p>
      <w:pPr>
        <w:pStyle w:val="9"/>
        <w:rPr>
          <w:rFonts w:ascii="Times New Roman"/>
        </w:rPr>
      </w:pPr>
    </w:p>
    <w:p>
      <w:pPr>
        <w:pStyle w:val="9"/>
        <w:rPr>
          <w:rFonts w:asci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w:rPr>
          <w:rFonts w:ascii="Times New Roman"/>
        </w:rPr>
        <w:pict>
          <v:line id="Line 68" o:spid="_x0000_s2054" o:spt="20" style="position:absolute;left:0pt;margin-left:-7.9pt;margin-top:652.6pt;height:0pt;width:477pt;z-index:251664384;mso-width-relative:page;mso-height-relative:page;" coordsize="21600,21600">
            <v:path arrowok="t"/>
            <v:fill focussize="0,0"/>
            <v:stroke/>
            <v:imagedata o:title=""/>
            <o:lock v:ext="edit"/>
          </v:line>
        </w:pict>
      </w:r>
      <w:r>
        <w:rPr>
          <w:sz w:val="24"/>
        </w:rPr>
        <w:pict>
          <v:shape id="fmFrame3" o:spid="_x0000_s2057" o:spt="202" type="#_x0000_t202" style="position:absolute;left:0pt;margin-left:12.2pt;margin-top:158.55pt;height:67.75pt;width:456.9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pPr>
                    <w:pStyle w:val="70"/>
                    <w:ind w:right="140"/>
                    <w:rPr>
                      <w:rFonts w:ascii="黑体" w:eastAsia="黑体"/>
                      <w:lang w:val="de-DE"/>
                    </w:rPr>
                  </w:pPr>
                  <w:r>
                    <w:rPr>
                      <w:rFonts w:hint="eastAsia" w:ascii="黑体" w:eastAsia="黑体"/>
                      <w:lang w:val="de-DE"/>
                    </w:rPr>
                    <w:t>YS/T XXXX.1—201X</w:t>
                  </w:r>
                  <w:r>
                    <w:rPr>
                      <w:rFonts w:hint="eastAsia" w:ascii="黑体" w:eastAsia="黑体"/>
                    </w:rPr>
                    <w:drawing>
                      <wp:inline distT="0" distB="0" distL="0" distR="0">
                        <wp:extent cx="5802630" cy="158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
                                <a:srcRect/>
                                <a:stretch>
                                  <a:fillRect/>
                                </a:stretch>
                              </pic:blipFill>
                              <pic:spPr>
                                <a:xfrm>
                                  <a:off x="0" y="0"/>
                                  <a:ext cx="5802630" cy="16220"/>
                                </a:xfrm>
                                <a:prstGeom prst="rect">
                                  <a:avLst/>
                                </a:prstGeom>
                                <a:noFill/>
                                <a:ln w="9525">
                                  <a:noFill/>
                                  <a:miter lim="800000"/>
                                  <a:headEnd/>
                                  <a:tailEnd/>
                                </a:ln>
                              </pic:spPr>
                            </pic:pic>
                          </a:graphicData>
                        </a:graphic>
                      </wp:inline>
                    </w:drawing>
                  </w:r>
                </w:p>
                <w:p>
                  <w:pPr>
                    <w:pStyle w:val="71"/>
                    <w:ind w:right="420"/>
                    <w:jc w:val="center"/>
                    <w:rPr>
                      <w:lang w:val="de-DE"/>
                    </w:rPr>
                  </w:pPr>
                </w:p>
              </w:txbxContent>
            </v:textbox>
            <w10:anchorlock/>
          </v:shape>
        </w:pict>
      </w:r>
      <w:r>
        <w:rPr>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4" cstate="print"/>
                    <a:srcRect/>
                    <a:stretch>
                      <a:fillRect/>
                    </a:stretch>
                  </pic:blipFill>
                  <pic:spPr>
                    <a:xfrm>
                      <a:off x="0" y="0"/>
                      <a:ext cx="5926455" cy="1285240"/>
                    </a:xfrm>
                    <a:prstGeom prst="rect">
                      <a:avLst/>
                    </a:prstGeom>
                    <a:noFill/>
                    <a:ln w="9525">
                      <a:noFill/>
                      <a:miter lim="800000"/>
                      <a:headEnd/>
                      <a:tailEnd/>
                    </a:ln>
                  </pic:spPr>
                </pic:pic>
              </a:graphicData>
            </a:graphic>
          </wp:inline>
        </w:drawing>
      </w:r>
      <w:r>
        <w:rPr>
          <w:rFonts w:ascii="Times New Roman"/>
        </w:rPr>
        <w:pict>
          <v:shape id="fmFrame1" o:spid="_x0000_s2056" o:spt="202" type="#_x0000_t202" style="position:absolute;left:0pt;margin-left:0pt;margin-top:36.95pt;height:40.5pt;width:189.5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pPr>
                    <w:pStyle w:val="33"/>
                    <w:rPr>
                      <w:rFonts w:ascii="黑体" w:hAnsi="黑体"/>
                      <w:szCs w:val="21"/>
                    </w:rPr>
                  </w:pPr>
                  <w:r>
                    <w:rPr>
                      <w:rFonts w:hint="eastAsia" w:ascii="黑体" w:hAnsi="黑体"/>
                      <w:szCs w:val="21"/>
                    </w:rPr>
                    <w:t>ICS 73.060</w:t>
                  </w:r>
                </w:p>
                <w:p>
                  <w:pPr>
                    <w:pStyle w:val="33"/>
                    <w:rPr>
                      <w:rFonts w:ascii="黑体" w:hAnsi="黑体"/>
                      <w:szCs w:val="21"/>
                    </w:rPr>
                  </w:pPr>
                  <w:r>
                    <w:rPr>
                      <w:rFonts w:hint="eastAsia" w:ascii="黑体" w:hAnsi="黑体"/>
                      <w:szCs w:val="21"/>
                    </w:rPr>
                    <w:t>D 42</w:t>
                  </w:r>
                </w:p>
                <w:p>
                  <w:pPr>
                    <w:pStyle w:val="33"/>
                    <w:rPr>
                      <w:szCs w:val="21"/>
                    </w:rPr>
                  </w:pPr>
                </w:p>
              </w:txbxContent>
            </v:textbox>
            <w10:anchorlock/>
          </v:shape>
        </w:pict>
      </w:r>
      <w:r>
        <w:rPr>
          <w:rFonts w:ascii="Times New Roman"/>
        </w:rPr>
        <w:pict>
          <v:shape id="fmFrame7" o:spid="_x0000_s2053" o:spt="202" type="#_x0000_t202" style="position:absolute;left:0pt;margin-left:-12.8pt;margin-top:695pt;height:62.5pt;width:481.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42"/>
                    <w:spacing w:line="340" w:lineRule="exact"/>
                    <w:ind w:firstLine="2299" w:firstLineChars="550"/>
                    <w:jc w:val="both"/>
                    <w:rPr>
                      <w:rFonts w:ascii="黑体" w:eastAsia="黑体"/>
                      <w:b w:val="0"/>
                      <w:bCs/>
                      <w:sz w:val="28"/>
                    </w:rPr>
                  </w:pPr>
                </w:p>
                <w:p>
                  <w:pPr>
                    <w:pStyle w:val="42"/>
                    <w:spacing w:line="340" w:lineRule="exact"/>
                    <w:rPr>
                      <w:rFonts w:ascii="黑体" w:eastAsia="黑体"/>
                      <w:b w:val="0"/>
                      <w:bCs/>
                      <w:sz w:val="28"/>
                    </w:rPr>
                  </w:pPr>
                </w:p>
                <w:p>
                  <w:pPr>
                    <w:pStyle w:val="42"/>
                    <w:spacing w:line="340" w:lineRule="exact"/>
                    <w:rPr>
                      <w:rFonts w:ascii="黑体" w:eastAsia="黑体"/>
                      <w:bCs/>
                      <w:sz w:val="28"/>
                    </w:rPr>
                  </w:pPr>
                  <w:r>
                    <w:rPr>
                      <w:rFonts w:hint="eastAsia" w:ascii="黑体" w:eastAsia="黑体"/>
                      <w:bCs/>
                      <w:sz w:val="28"/>
                    </w:rPr>
                    <w:t>中华人民共和国工业和信息化部　发布</w:t>
                  </w:r>
                </w:p>
                <w:p>
                  <w:pPr>
                    <w:pStyle w:val="27"/>
                    <w:ind w:firstLine="420"/>
                  </w:pPr>
                </w:p>
                <w:p>
                  <w:pPr>
                    <w:pStyle w:val="27"/>
                    <w:ind w:firstLine="420"/>
                  </w:pPr>
                </w:p>
                <w:p>
                  <w:pPr>
                    <w:pStyle w:val="27"/>
                    <w:ind w:firstLine="420"/>
                  </w:pPr>
                </w:p>
              </w:txbxContent>
            </v:textbox>
            <w10:anchorlock/>
          </v:shape>
        </w:pict>
      </w:r>
      <w:r>
        <w:rPr>
          <w:rFonts w:ascii="Times New Roman"/>
        </w:rPr>
        <w:pict>
          <v:shape id="fmFrame6" o:spid="_x0000_s2052" o:spt="202" type="#_x0000_t202" style="position:absolute;left:0pt;margin-left:301.1pt;margin-top:670.4pt;height:24.6pt;width:15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w:r>
      <w:r>
        <w:rPr>
          <w:rFonts w:ascii="Times New Roman"/>
        </w:rPr>
        <w:pict>
          <v:shape id="fmFrame5" o:spid="_x0000_s2051" o:spt="202" type="#_x0000_t202" style="position:absolute;left:0pt;margin-left:0pt;margin-top:670.6pt;height:24.6pt;width:15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58"/>
                    <w:rPr>
                      <w:rFonts w:ascii="黑体"/>
                    </w:rPr>
                  </w:pPr>
                  <w:r>
                    <w:rPr>
                      <w:rFonts w:hint="eastAsia" w:ascii="黑体"/>
                    </w:rPr>
                    <w:t>XXXX-XX-XX发布</w:t>
                  </w:r>
                </w:p>
                <w:p/>
              </w:txbxContent>
            </v:textbox>
            <w10:anchorlock/>
          </v:shape>
        </w:pict>
      </w:r>
      <w:r>
        <w:rPr>
          <w:rFonts w:ascii="Times New Roman"/>
        </w:rPr>
        <w:pict>
          <v:shape id="fmFrame4" o:spid="_x0000_s2050" o:spt="202" type="#_x0000_t202" style="position:absolute;left:0pt;margin-left:-0.9pt;margin-top:218.8pt;height:361.15pt;width:470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jc w:val="center"/>
                    <w:rPr>
                      <w:rFonts w:ascii="黑体" w:eastAsia="黑体"/>
                      <w:sz w:val="52"/>
                    </w:rPr>
                  </w:pPr>
                </w:p>
                <w:p>
                  <w:pPr>
                    <w:jc w:val="center"/>
                    <w:rPr>
                      <w:rFonts w:eastAsia="黑体"/>
                      <w:bCs/>
                      <w:sz w:val="52"/>
                      <w:szCs w:val="72"/>
                    </w:rPr>
                  </w:pPr>
                  <w:r>
                    <w:rPr>
                      <w:rFonts w:hint="eastAsia" w:eastAsia="黑体"/>
                      <w:bCs/>
                      <w:sz w:val="52"/>
                      <w:szCs w:val="72"/>
                    </w:rPr>
                    <w:t>铜冶炼烟尘化学分析方法</w:t>
                  </w:r>
                </w:p>
                <w:p>
                  <w:pPr>
                    <w:jc w:val="center"/>
                    <w:rPr>
                      <w:b/>
                      <w:sz w:val="72"/>
                      <w:szCs w:val="72"/>
                    </w:rPr>
                  </w:pPr>
                  <w:r>
                    <w:rPr>
                      <w:rFonts w:hint="eastAsia" w:eastAsia="黑体"/>
                      <w:bCs/>
                      <w:sz w:val="52"/>
                      <w:szCs w:val="72"/>
                    </w:rPr>
                    <w:t>第</w:t>
                  </w:r>
                  <w:r>
                    <w:rPr>
                      <w:rFonts w:hint="eastAsia" w:ascii="黑体" w:hAnsi="黑体" w:eastAsia="黑体"/>
                      <w:bCs/>
                      <w:sz w:val="52"/>
                      <w:szCs w:val="72"/>
                    </w:rPr>
                    <w:t>1</w:t>
                  </w:r>
                  <w:r>
                    <w:rPr>
                      <w:rFonts w:hint="eastAsia" w:eastAsia="黑体"/>
                      <w:bCs/>
                      <w:sz w:val="52"/>
                      <w:szCs w:val="72"/>
                    </w:rPr>
                    <w:t>部分：铜含量的测定</w:t>
                  </w:r>
                </w:p>
                <w:p>
                  <w:pPr>
                    <w:jc w:val="center"/>
                    <w:rPr>
                      <w:rFonts w:eastAsia="黑体"/>
                      <w:sz w:val="52"/>
                    </w:rPr>
                  </w:pPr>
                  <w:r>
                    <w:rPr>
                      <w:rFonts w:hint="eastAsia" w:eastAsia="黑体"/>
                      <w:sz w:val="52"/>
                    </w:rPr>
                    <w:t>火焰原子吸收光谱法和碘量法</w:t>
                  </w:r>
                </w:p>
                <w:p>
                  <w:pPr>
                    <w:jc w:val="center"/>
                    <w:rPr>
                      <w:rFonts w:hint="eastAsia" w:eastAsia="黑体"/>
                      <w:color w:val="000000"/>
                      <w:kern w:val="0"/>
                      <w:sz w:val="28"/>
                      <w:szCs w:val="28"/>
                    </w:rPr>
                  </w:pPr>
                  <w:r>
                    <w:rPr>
                      <w:rFonts w:hint="eastAsia" w:eastAsia="黑体"/>
                      <w:color w:val="000000"/>
                      <w:kern w:val="0"/>
                      <w:sz w:val="28"/>
                      <w:szCs w:val="28"/>
                    </w:rPr>
                    <w:t>Methods for chemical analysis of copper smelting soot—</w:t>
                  </w:r>
                </w:p>
                <w:p>
                  <w:pPr>
                    <w:jc w:val="center"/>
                    <w:rPr>
                      <w:rFonts w:hint="eastAsia" w:eastAsia="黑体"/>
                      <w:color w:val="000000"/>
                      <w:kern w:val="0"/>
                      <w:sz w:val="28"/>
                      <w:szCs w:val="28"/>
                    </w:rPr>
                  </w:pPr>
                  <w:r>
                    <w:rPr>
                      <w:rFonts w:hint="eastAsia" w:eastAsia="黑体"/>
                      <w:color w:val="000000"/>
                      <w:kern w:val="0"/>
                      <w:sz w:val="28"/>
                      <w:szCs w:val="28"/>
                    </w:rPr>
                    <w:t>Part 1：Determination of copper content—</w:t>
                  </w:r>
                </w:p>
                <w:p>
                  <w:pPr>
                    <w:jc w:val="center"/>
                    <w:rPr>
                      <w:b/>
                      <w:color w:val="000000"/>
                      <w:sz w:val="28"/>
                      <w:szCs w:val="22"/>
                    </w:rPr>
                  </w:pPr>
                  <w:r>
                    <w:rPr>
                      <w:rFonts w:hint="eastAsia" w:eastAsia="黑体"/>
                      <w:color w:val="000000"/>
                      <w:kern w:val="0"/>
                      <w:sz w:val="28"/>
                      <w:szCs w:val="28"/>
                    </w:rPr>
                    <w:t>Flame atomic absorption spectrometric method and Iodine titration method</w:t>
                  </w:r>
                </w:p>
                <w:p>
                  <w:pPr>
                    <w:tabs>
                      <w:tab w:val="left" w:pos="3822"/>
                      <w:tab w:val="left" w:pos="5400"/>
                    </w:tabs>
                    <w:spacing w:before="50" w:after="50"/>
                    <w:jc w:val="center"/>
                    <w:rPr>
                      <w:rFonts w:ascii="Calibri" w:hAnsi="Calibri"/>
                      <w:b/>
                      <w:color w:val="000000"/>
                      <w:sz w:val="28"/>
                      <w:szCs w:val="22"/>
                    </w:rPr>
                  </w:pPr>
                  <w:r>
                    <w:rPr>
                      <w:rFonts w:hint="eastAsia" w:ascii="Calibri" w:hAnsi="Calibri"/>
                      <w:b/>
                      <w:color w:val="000000"/>
                      <w:sz w:val="28"/>
                      <w:szCs w:val="22"/>
                    </w:rPr>
                    <w:t>(预审稿)</w:t>
                  </w:r>
                </w:p>
                <w:p>
                  <w:pPr>
                    <w:pStyle w:val="54"/>
                    <w:spacing w:before="0"/>
                    <w:rPr>
                      <w:b/>
                      <w:sz w:val="28"/>
                    </w:rPr>
                  </w:pPr>
                </w:p>
                <w:p>
                  <w:pPr>
                    <w:pStyle w:val="54"/>
                    <w:rPr>
                      <w:b/>
                      <w:sz w:val="30"/>
                    </w:rPr>
                  </w:pPr>
                </w:p>
                <w:p>
                  <w:pPr>
                    <w:pStyle w:val="41"/>
                  </w:pPr>
                </w:p>
              </w:txbxContent>
            </v:textbox>
            <w10:anchorlock/>
          </v:shape>
        </w:pict>
      </w:r>
      <w:bookmarkEnd w:id="0"/>
      <w:bookmarkEnd w:id="1"/>
    </w:p>
    <w:bookmarkEnd w:id="2"/>
    <w:p>
      <w:pPr>
        <w:pStyle w:val="30"/>
        <w:tabs>
          <w:tab w:val="clear" w:pos="720"/>
        </w:tabs>
        <w:spacing w:line="340" w:lineRule="exact"/>
        <w:ind w:left="0" w:firstLine="0"/>
      </w:pPr>
      <w:r>
        <w:rPr>
          <w:rFonts w:hint="eastAsia"/>
        </w:rPr>
        <w:t>前    言</w:t>
      </w:r>
    </w:p>
    <w:p>
      <w:pPr>
        <w:spacing w:line="360" w:lineRule="auto"/>
        <w:ind w:left="420" w:leftChars="200"/>
        <w:rPr>
          <w:rFonts w:ascii="宋体" w:hAnsi="宋体"/>
        </w:rPr>
      </w:pPr>
      <w:r>
        <w:rPr>
          <w:rFonts w:hint="eastAsia" w:ascii="宋体" w:hAnsi="宋体"/>
        </w:rPr>
        <w:t>YS/T XXXX-201X 《铜冶炼烟尘化学分析方法》分为 9个部分：</w:t>
      </w:r>
    </w:p>
    <w:p>
      <w:pPr>
        <w:spacing w:line="480" w:lineRule="exact"/>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480" w:lineRule="exact"/>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480" w:lineRule="exact"/>
        <w:ind w:firstLine="630" w:firstLineChars="300"/>
        <w:rPr>
          <w:rFonts w:ascii="Times New Roman" w:hAnsi="Times New Roman"/>
        </w:rPr>
      </w:pPr>
      <w:r>
        <w:rPr>
          <w:rFonts w:ascii="Times New Roman" w:hAnsi="Times New Roman"/>
        </w:rPr>
        <w:t>——第3部分：锌含量的测定 火焰原子吸收光谱法和容量法；</w:t>
      </w:r>
    </w:p>
    <w:p>
      <w:pPr>
        <w:spacing w:line="480" w:lineRule="exact"/>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480" w:lineRule="exact"/>
        <w:ind w:firstLine="630" w:firstLineChars="300"/>
        <w:rPr>
          <w:rFonts w:ascii="Times New Roman" w:hAnsi="Times New Roman"/>
        </w:rPr>
      </w:pPr>
      <w:r>
        <w:rPr>
          <w:rFonts w:ascii="Times New Roman" w:hAnsi="Times New Roman"/>
        </w:rPr>
        <w:t>——第5部分：砷含量的测定 硫酸亚铁铵滴定法；</w:t>
      </w:r>
    </w:p>
    <w:p>
      <w:pPr>
        <w:spacing w:line="480" w:lineRule="exact"/>
        <w:ind w:firstLine="630" w:firstLineChars="300"/>
        <w:rPr>
          <w:rFonts w:ascii="Times New Roman" w:hAnsi="Times New Roman"/>
        </w:rPr>
      </w:pPr>
      <w:r>
        <w:rPr>
          <w:rFonts w:ascii="Times New Roman" w:hAnsi="Times New Roman"/>
        </w:rPr>
        <w:t>——第6部分：铟含量的测定 火焰原子吸收光谱法；</w:t>
      </w:r>
    </w:p>
    <w:p>
      <w:pPr>
        <w:spacing w:line="480" w:lineRule="exact"/>
        <w:ind w:firstLine="630" w:firstLineChars="300"/>
        <w:rPr>
          <w:rFonts w:ascii="Times New Roman" w:hAnsi="Times New Roman"/>
        </w:rPr>
      </w:pPr>
      <w:r>
        <w:rPr>
          <w:rFonts w:ascii="Times New Roman" w:hAnsi="Times New Roman"/>
        </w:rPr>
        <w:t>——第7部分：镉含量的测定 火焰原子吸收光谱法和容量法；</w:t>
      </w:r>
    </w:p>
    <w:p>
      <w:pPr>
        <w:spacing w:line="480" w:lineRule="exact"/>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480" w:lineRule="exact"/>
        <w:ind w:firstLine="630" w:firstLineChars="300"/>
        <w:rPr>
          <w:rFonts w:ascii="Times New Roman" w:hAnsi="Times New Roman"/>
        </w:rPr>
      </w:pPr>
      <w:r>
        <w:rPr>
          <w:rFonts w:ascii="Times New Roman" w:hAnsi="Times New Roman"/>
        </w:rPr>
        <w:t>——第9部分：锑含量的测定 火焰原子吸收光谱法；</w:t>
      </w:r>
    </w:p>
    <w:p>
      <w:pPr>
        <w:spacing w:line="360" w:lineRule="auto"/>
        <w:ind w:firstLine="630" w:firstLineChars="300"/>
        <w:rPr>
          <w:rFonts w:ascii="Times New Roman" w:hAnsi="Times New Roman"/>
        </w:rPr>
      </w:pPr>
      <w:r>
        <w:rPr>
          <w:rFonts w:hint="eastAsia" w:ascii="Times New Roman" w:hAnsi="Times New Roman"/>
        </w:rPr>
        <w:t>本部分为</w:t>
      </w:r>
      <w:r>
        <w:rPr>
          <w:rFonts w:ascii="Times New Roman" w:hAnsi="Times New Roman"/>
        </w:rPr>
        <w:t>YS/TXXXX-201X</w:t>
      </w:r>
      <w:r>
        <w:rPr>
          <w:rFonts w:hint="eastAsia" w:ascii="Times New Roman" w:hAnsi="Times New Roman"/>
        </w:rPr>
        <w:t>的第1部分。</w:t>
      </w:r>
    </w:p>
    <w:p>
      <w:pPr>
        <w:spacing w:line="360" w:lineRule="auto"/>
        <w:ind w:firstLine="630" w:firstLineChars="300"/>
        <w:rPr>
          <w:rFonts w:ascii="Times New Roman" w:hAnsi="Times New Roman"/>
        </w:rPr>
      </w:pPr>
      <w:r>
        <w:rPr>
          <w:rFonts w:hint="eastAsia" w:ascii="Times New Roman" w:hAnsi="Times New Roman"/>
        </w:rPr>
        <w:t>本部分按照GB/T1.1-2009给出的规则起草。</w:t>
      </w:r>
    </w:p>
    <w:p>
      <w:pPr>
        <w:spacing w:line="360" w:lineRule="auto"/>
        <w:ind w:firstLine="630" w:firstLineChars="300"/>
        <w:rPr>
          <w:rFonts w:hint="eastAsia" w:ascii="Times New Roman" w:hAnsi="Times New Roman"/>
        </w:rPr>
      </w:pPr>
      <w:r>
        <w:rPr>
          <w:rFonts w:hint="eastAsia" w:ascii="Times New Roman" w:hAnsi="Times New Roman"/>
        </w:rPr>
        <w:t>本</w:t>
      </w:r>
      <w:r>
        <w:rPr>
          <w:rFonts w:hint="eastAsia" w:ascii="Times New Roman" w:hAnsi="Times New Roman"/>
          <w:lang w:val="en-US" w:eastAsia="zh-CN"/>
        </w:rPr>
        <w:t>部分</w:t>
      </w:r>
      <w:r>
        <w:rPr>
          <w:rFonts w:hint="eastAsia" w:ascii="Times New Roman" w:hAnsi="Times New Roman"/>
        </w:rPr>
        <w:t>由全国有色金属标准化技术委员会（SAC/TC 243）提出并归口。</w:t>
      </w:r>
    </w:p>
    <w:p>
      <w:pPr>
        <w:spacing w:line="360" w:lineRule="auto"/>
        <w:ind w:firstLine="630" w:firstLineChars="300"/>
        <w:rPr>
          <w:rFonts w:ascii="Times New Roman" w:hAnsi="Times New Roman"/>
        </w:rPr>
      </w:pPr>
      <w:r>
        <w:rPr>
          <w:rFonts w:ascii="Times New Roman" w:hAnsi="Times New Roman"/>
        </w:rPr>
        <w:t>本</w:t>
      </w:r>
      <w:r>
        <w:rPr>
          <w:rFonts w:hint="eastAsia" w:ascii="Times New Roman" w:hAnsi="Times New Roman"/>
        </w:rPr>
        <w:t>部分负责起草单位：</w:t>
      </w:r>
    </w:p>
    <w:p>
      <w:pPr>
        <w:spacing w:line="360" w:lineRule="auto"/>
        <w:ind w:firstLine="630" w:firstLineChars="300"/>
        <w:rPr>
          <w:rFonts w:ascii="Times New Roman" w:hAnsi="Times New Roman"/>
        </w:rPr>
      </w:pPr>
      <w:r>
        <w:rPr>
          <w:rFonts w:hint="eastAsia" w:ascii="Times New Roman" w:hAnsi="Times New Roman"/>
        </w:rPr>
        <w:t>本部分方法1起草单位：北矿检测技术有限公司</w:t>
      </w:r>
    </w:p>
    <w:p>
      <w:pPr>
        <w:spacing w:line="360" w:lineRule="auto"/>
        <w:ind w:firstLine="630" w:firstLineChars="300"/>
        <w:rPr>
          <w:rFonts w:ascii="Times New Roman" w:hAnsi="Times New Roman"/>
        </w:rPr>
      </w:pPr>
      <w:r>
        <w:rPr>
          <w:rFonts w:hint="eastAsia" w:ascii="Times New Roman" w:hAnsi="Times New Roman"/>
        </w:rPr>
        <w:t>本部分方法1参加起草单位：湖南有色金属研究院、中色桂林矿产地质研究院有限公司、云南锡业股份有限公司、中条山有色金属集团有限公司、江西铜业股份有限公司、河南豫光金铅股份有限公司、大冶有色金属有限责任公司、深圳市中金岭南有色金属股份有限公司、山东恒邦冶炼股份有限公司、铜陵有色金属集团控股有限公司、福建紫金矿冶测试技术有限公司、山东祥光铜业有限公司。</w:t>
      </w:r>
    </w:p>
    <w:p>
      <w:pPr>
        <w:spacing w:line="360" w:lineRule="auto"/>
        <w:ind w:firstLine="630" w:firstLineChars="300"/>
        <w:rPr>
          <w:rFonts w:ascii="Times New Roman" w:hAnsi="Times New Roman"/>
        </w:rPr>
      </w:pPr>
      <w:r>
        <w:rPr>
          <w:rFonts w:hint="eastAsia" w:ascii="Times New Roman" w:hAnsi="Times New Roman"/>
        </w:rPr>
        <w:t>本部分方法1主要起草人：马丽、阮桂色。</w:t>
      </w:r>
    </w:p>
    <w:p>
      <w:pPr>
        <w:spacing w:line="360" w:lineRule="auto"/>
        <w:ind w:firstLine="630" w:firstLineChars="300"/>
        <w:rPr>
          <w:rFonts w:ascii="Times New Roman" w:hAnsi="Times New Roman"/>
        </w:rPr>
      </w:pPr>
    </w:p>
    <w:p>
      <w:pPr>
        <w:spacing w:line="360" w:lineRule="auto"/>
        <w:ind w:firstLine="630" w:firstLineChars="300"/>
        <w:rPr>
          <w:rFonts w:ascii="Times New Roman" w:hAnsi="Times New Roman"/>
        </w:rPr>
      </w:pPr>
      <w:bookmarkStart w:id="3" w:name="_Hlk15418859"/>
      <w:r>
        <w:rPr>
          <w:rFonts w:hint="eastAsia" w:ascii="Times New Roman" w:hAnsi="Times New Roman"/>
        </w:rPr>
        <w:t>本部分方法2起草单位：富民鑫冶工贸有限公司</w:t>
      </w:r>
      <w:r>
        <w:rPr>
          <w:rFonts w:ascii="Times New Roman" w:hAnsi="Times New Roman"/>
        </w:rPr>
        <w:t>。</w:t>
      </w:r>
    </w:p>
    <w:p>
      <w:pPr>
        <w:spacing w:line="360" w:lineRule="auto"/>
        <w:ind w:firstLine="630" w:firstLineChars="300"/>
        <w:rPr>
          <w:rFonts w:ascii="Times New Roman" w:hAnsi="Times New Roman"/>
        </w:rPr>
      </w:pPr>
      <w:r>
        <w:rPr>
          <w:rFonts w:hint="eastAsia" w:ascii="Times New Roman" w:hAnsi="Times New Roman"/>
        </w:rPr>
        <w:t>本部分方法2参加起草单位：</w:t>
      </w:r>
      <w:bookmarkEnd w:id="3"/>
      <w:r>
        <w:rPr>
          <w:rFonts w:hint="eastAsia" w:ascii="Times New Roman" w:hAnsi="Times New Roman"/>
        </w:rPr>
        <w:t>西北有色金属研究院、湖南有色金属研究院、五矿铜业（湖南）有限公司、大冶有色设计研究院有限公司、江西铜业股份有限公司、中条山有色金属集团有限公司、福建紫金矿冶测试技术有限公司、中国检验认证集团广西有限公司、铜陵有色金属集团控股有限公司、云南锡业股份有限公司、湖南省有色地质勘查研究院、河南豫光金铅股份有限公司、紫金铜业有限公司。</w:t>
      </w:r>
    </w:p>
    <w:p>
      <w:pPr>
        <w:spacing w:line="360" w:lineRule="auto"/>
        <w:ind w:firstLine="630" w:firstLineChars="300"/>
        <w:rPr>
          <w:rFonts w:ascii="Times New Roman" w:hAnsi="Times New Roman"/>
        </w:rPr>
      </w:pPr>
      <w:r>
        <w:rPr>
          <w:rFonts w:hint="eastAsia" w:ascii="Times New Roman" w:hAnsi="Times New Roman"/>
        </w:rPr>
        <w:t>本部分方法2主要起草人：孔凡丽、袁梦梅、杨欣、华宏全、毛云娟、邹文、杨平平、周恺、刘娟、庞文林、夏兵伟、谢昆良、胡晓帅、陈红、胡续一、李鸿英、张彩枝、（紫金）、韦伟平、张璐、江荆、（铜陵）、黄芸、孙云超、唐玉霜、王九菊、吴梅梅、赖秋祥、李文英。</w:t>
      </w:r>
      <w:r>
        <w:rPr>
          <w:rFonts w:ascii="Times New Roman" w:hAnsi="Times New Roman"/>
        </w:rPr>
        <w:t xml:space="preserve"> </w:t>
      </w:r>
    </w:p>
    <w:p>
      <w:pPr>
        <w:pStyle w:val="27"/>
        <w:ind w:firstLine="420"/>
        <w:rPr>
          <w:rFonts w:hAnsi="宋体"/>
          <w:color w:val="000000" w:themeColor="text1"/>
        </w:rPr>
      </w:pPr>
    </w:p>
    <w:p>
      <w:pPr>
        <w:ind w:firstLine="435"/>
        <w:rPr>
          <w:rFonts w:ascii="宋体" w:hAnsi="宋体"/>
          <w:szCs w:val="21"/>
        </w:rPr>
      </w:pPr>
    </w:p>
    <w:p>
      <w:pPr>
        <w:rPr>
          <w:sz w:val="24"/>
        </w:rPr>
      </w:pPr>
    </w:p>
    <w:p>
      <w:pPr>
        <w:rPr>
          <w:sz w:val="24"/>
        </w:rPr>
        <w:sectPr>
          <w:footerReference r:id="rId9" w:type="default"/>
          <w:footerReference r:id="rId10" w:type="even"/>
          <w:pgSz w:w="11906" w:h="16838"/>
          <w:pgMar w:top="1418" w:right="1134" w:bottom="1440" w:left="1418" w:header="851" w:footer="992" w:gutter="0"/>
          <w:pgNumType w:fmt="upperRoman" w:start="1"/>
          <w:cols w:space="720" w:num="1"/>
          <w:docGrid w:type="linesAndChars" w:linePitch="312" w:charSpace="0"/>
        </w:sectPr>
      </w:pPr>
    </w:p>
    <w:p>
      <w:pPr>
        <w:jc w:val="center"/>
        <w:rPr>
          <w:rFonts w:ascii="黑体" w:eastAsia="黑体"/>
          <w:bCs/>
          <w:color w:val="000000"/>
          <w:sz w:val="32"/>
          <w:szCs w:val="32"/>
        </w:rPr>
      </w:pPr>
      <w:bookmarkStart w:id="4" w:name="SectionMark4"/>
      <w:r>
        <w:rPr>
          <w:rFonts w:hint="eastAsia" w:ascii="黑体" w:eastAsia="黑体"/>
          <w:bCs/>
          <w:color w:val="000000"/>
          <w:sz w:val="32"/>
          <w:szCs w:val="32"/>
        </w:rPr>
        <w:t>铜冶炼烟尘化学分析方法</w:t>
      </w:r>
    </w:p>
    <w:p>
      <w:pPr>
        <w:jc w:val="center"/>
        <w:rPr>
          <w:rFonts w:hint="eastAsia" w:ascii="黑体" w:eastAsia="黑体"/>
          <w:bCs/>
          <w:sz w:val="32"/>
          <w:szCs w:val="32"/>
        </w:rPr>
      </w:pPr>
      <w:r>
        <w:rPr>
          <w:rFonts w:hint="eastAsia" w:ascii="黑体" w:eastAsia="黑体"/>
          <w:bCs/>
          <w:sz w:val="32"/>
          <w:szCs w:val="32"/>
        </w:rPr>
        <w:t xml:space="preserve">第1部分：铜含量的测定 </w:t>
      </w:r>
    </w:p>
    <w:p>
      <w:pPr>
        <w:jc w:val="center"/>
        <w:rPr>
          <w:rFonts w:hint="eastAsia" w:ascii="黑体" w:eastAsia="黑体"/>
          <w:bCs/>
          <w:color w:val="000000"/>
          <w:sz w:val="32"/>
          <w:szCs w:val="32"/>
        </w:rPr>
      </w:pPr>
      <w:r>
        <w:rPr>
          <w:rFonts w:hint="eastAsia" w:ascii="黑体" w:eastAsia="黑体"/>
          <w:bCs/>
          <w:color w:val="000000"/>
          <w:sz w:val="32"/>
          <w:szCs w:val="32"/>
        </w:rPr>
        <w:t>火焰原子吸收光谱法和碘量法</w:t>
      </w:r>
    </w:p>
    <w:bookmarkEnd w:id="4"/>
    <w:p>
      <w:pPr>
        <w:spacing w:line="360" w:lineRule="auto"/>
        <w:rPr>
          <w:rFonts w:eastAsia="黑体"/>
          <w:bCs/>
          <w:color w:val="000000"/>
          <w:szCs w:val="21"/>
        </w:rPr>
      </w:pPr>
      <w:bookmarkStart w:id="5" w:name="_Toc64356674"/>
      <w:bookmarkStart w:id="6" w:name="_Toc64356031"/>
      <w:bookmarkStart w:id="7" w:name="_Toc66238156"/>
      <w:bookmarkStart w:id="8" w:name="_Toc66237719"/>
      <w:bookmarkStart w:id="9" w:name="_Toc64357460"/>
      <w:bookmarkStart w:id="10" w:name="_Toc66237952"/>
      <w:bookmarkStart w:id="11" w:name="_Toc64690970"/>
      <w:bookmarkStart w:id="12" w:name="_Toc64356953"/>
      <w:r>
        <w:rPr>
          <w:rFonts w:hint="eastAsia" w:eastAsia="黑体"/>
          <w:bCs/>
          <w:color w:val="000000"/>
          <w:szCs w:val="21"/>
        </w:rPr>
        <w:t>1  范围</w:t>
      </w:r>
      <w:bookmarkEnd w:id="5"/>
      <w:bookmarkEnd w:id="6"/>
      <w:bookmarkEnd w:id="7"/>
      <w:bookmarkEnd w:id="8"/>
      <w:bookmarkEnd w:id="9"/>
      <w:bookmarkEnd w:id="10"/>
      <w:bookmarkEnd w:id="11"/>
      <w:bookmarkEnd w:id="12"/>
    </w:p>
    <w:p>
      <w:pPr>
        <w:adjustRightInd w:val="0"/>
        <w:snapToGrid w:val="0"/>
        <w:spacing w:before="50" w:after="50"/>
        <w:ind w:firstLine="444" w:firstLineChars="200"/>
        <w:rPr>
          <w:spacing w:val="6"/>
        </w:rPr>
      </w:pPr>
      <w:r>
        <w:rPr>
          <w:rFonts w:hint="eastAsia"/>
          <w:spacing w:val="6"/>
        </w:rPr>
        <w:t>本部分规定了铜冶炼烟尘中铜含量的测定方法。</w:t>
      </w:r>
    </w:p>
    <w:p>
      <w:pPr>
        <w:spacing w:line="360" w:lineRule="auto"/>
        <w:ind w:firstLine="444" w:firstLineChars="200"/>
        <w:rPr>
          <w:szCs w:val="21"/>
        </w:rPr>
      </w:pPr>
      <w:r>
        <w:rPr>
          <w:rFonts w:hint="eastAsia"/>
          <w:spacing w:val="6"/>
        </w:rPr>
        <w:t>本部分适用于铜冶炼烟尘中铜量的测定。方法1测定范围：</w:t>
      </w:r>
      <w:r>
        <w:rPr>
          <w:spacing w:val="6"/>
        </w:rPr>
        <w:t>0.80%～5.00%</w:t>
      </w:r>
      <w:r>
        <w:rPr>
          <w:rFonts w:hint="eastAsia"/>
          <w:spacing w:val="6"/>
        </w:rPr>
        <w:t>；方法2</w:t>
      </w:r>
      <w:r>
        <w:rPr>
          <w:rFonts w:hint="eastAsia"/>
          <w:szCs w:val="21"/>
        </w:rPr>
        <w:t>测定范围：</w:t>
      </w:r>
      <w:r>
        <w:rPr>
          <w:szCs w:val="21"/>
        </w:rPr>
        <w:t>5.00 %</w:t>
      </w:r>
      <w:r>
        <w:rPr>
          <w:rFonts w:hint="eastAsia"/>
          <w:szCs w:val="21"/>
        </w:rPr>
        <w:t>～</w:t>
      </w:r>
      <w:r>
        <w:rPr>
          <w:szCs w:val="21"/>
        </w:rPr>
        <w:t>65.00 %</w:t>
      </w:r>
      <w:r>
        <w:rPr>
          <w:rFonts w:hint="eastAsia"/>
          <w:szCs w:val="21"/>
        </w:rPr>
        <w:t>。</w:t>
      </w:r>
    </w:p>
    <w:p>
      <w:pPr>
        <w:spacing w:line="360" w:lineRule="auto"/>
        <w:rPr>
          <w:rFonts w:eastAsia="黑体"/>
          <w:bCs/>
          <w:color w:val="000000"/>
          <w:szCs w:val="21"/>
        </w:rPr>
      </w:pPr>
      <w:r>
        <w:rPr>
          <w:rFonts w:hint="eastAsia" w:eastAsia="黑体"/>
          <w:bCs/>
          <w:color w:val="000000"/>
          <w:szCs w:val="21"/>
        </w:rPr>
        <w:t>方法1火焰原子吸收光谱法</w:t>
      </w:r>
    </w:p>
    <w:p>
      <w:pPr>
        <w:spacing w:line="360" w:lineRule="auto"/>
        <w:rPr>
          <w:rFonts w:eastAsia="黑体"/>
          <w:bCs/>
          <w:color w:val="000000"/>
          <w:szCs w:val="21"/>
        </w:rPr>
      </w:pPr>
      <w:r>
        <w:rPr>
          <w:rFonts w:hint="eastAsia" w:eastAsia="黑体"/>
          <w:bCs/>
          <w:color w:val="000000"/>
          <w:szCs w:val="21"/>
        </w:rPr>
        <w:t>2</w:t>
      </w:r>
      <w:r>
        <w:rPr>
          <w:rFonts w:eastAsia="黑体"/>
          <w:bCs/>
          <w:color w:val="000000"/>
          <w:szCs w:val="21"/>
        </w:rPr>
        <w:t>.1</w:t>
      </w:r>
      <w:r>
        <w:rPr>
          <w:rFonts w:hint="eastAsia" w:eastAsia="黑体"/>
          <w:bCs/>
          <w:color w:val="000000"/>
          <w:szCs w:val="21"/>
        </w:rPr>
        <w:t xml:space="preserve">  方法提要</w:t>
      </w:r>
    </w:p>
    <w:p>
      <w:pPr>
        <w:ind w:firstLine="420"/>
      </w:pPr>
      <w:r>
        <w:rPr>
          <w:rFonts w:hint="eastAsia"/>
          <w:szCs w:val="21"/>
        </w:rPr>
        <w:t>试料用</w:t>
      </w:r>
      <w:r>
        <w:rPr>
          <w:rFonts w:hint="eastAsia"/>
        </w:rPr>
        <w:t>硝酸、盐酸、氢氟酸和高氯酸分解。</w:t>
      </w:r>
      <w:r>
        <w:rPr>
          <w:rFonts w:hint="eastAsia"/>
          <w:szCs w:val="21"/>
        </w:rPr>
        <w:t>盐酸溶解盐类，</w:t>
      </w:r>
      <w:r>
        <w:rPr>
          <w:rFonts w:hint="eastAsia"/>
          <w:color w:val="000000" w:themeColor="text1"/>
          <w:szCs w:val="21"/>
        </w:rPr>
        <w:t>在</w:t>
      </w:r>
      <w:r>
        <w:rPr>
          <w:rFonts w:hint="eastAsia"/>
          <w:color w:val="000000" w:themeColor="text1"/>
        </w:rPr>
        <w:t>稀</w:t>
      </w:r>
      <w:r>
        <w:rPr>
          <w:rFonts w:hint="eastAsia"/>
          <w:color w:val="000000" w:themeColor="text1"/>
          <w:szCs w:val="21"/>
        </w:rPr>
        <w:t>盐酸介质中</w:t>
      </w:r>
      <w:r>
        <w:rPr>
          <w:rFonts w:hint="eastAsia"/>
          <w:szCs w:val="21"/>
        </w:rPr>
        <w:t>，</w:t>
      </w:r>
      <w:r>
        <w:rPr>
          <w:rFonts w:hint="eastAsia"/>
        </w:rPr>
        <w:t>于原子吸收光谱仪波长324.7</w:t>
      </w:r>
      <w:r>
        <w:t>nm</w:t>
      </w:r>
      <w:r>
        <w:rPr>
          <w:rFonts w:hint="eastAsia"/>
        </w:rPr>
        <w:t>处，使</w:t>
      </w:r>
      <w:r>
        <w:rPr>
          <w:rFonts w:hint="eastAsia"/>
          <w:szCs w:val="21"/>
        </w:rPr>
        <w:t>用空气</w:t>
      </w:r>
      <w:r>
        <w:rPr>
          <w:rFonts w:hint="eastAsia"/>
          <w:spacing w:val="6"/>
        </w:rPr>
        <w:t>-</w:t>
      </w:r>
      <w:r>
        <w:rPr>
          <w:rFonts w:hint="eastAsia"/>
          <w:szCs w:val="21"/>
        </w:rPr>
        <w:t>乙炔火焰，</w:t>
      </w:r>
      <w:r>
        <w:rPr>
          <w:rFonts w:hint="eastAsia"/>
        </w:rPr>
        <w:t>测量铜的吸光度</w:t>
      </w:r>
      <w:r>
        <w:rPr>
          <w:rFonts w:hint="eastAsia"/>
          <w:spacing w:val="6"/>
        </w:rPr>
        <w:t>，用工作曲线法计算铜量</w:t>
      </w:r>
      <w:r>
        <w:rPr>
          <w:rFonts w:hint="eastAsia"/>
        </w:rPr>
        <w:t>。</w:t>
      </w:r>
    </w:p>
    <w:p>
      <w:pPr>
        <w:rPr>
          <w:rFonts w:eastAsia="黑体"/>
          <w:bCs/>
          <w:color w:val="000000"/>
          <w:szCs w:val="21"/>
        </w:rPr>
      </w:pPr>
      <w:r>
        <w:rPr>
          <w:rFonts w:eastAsia="黑体"/>
          <w:bCs/>
          <w:color w:val="000000"/>
          <w:szCs w:val="21"/>
        </w:rPr>
        <w:t>2.2</w:t>
      </w:r>
      <w:r>
        <w:rPr>
          <w:rFonts w:hint="eastAsia" w:eastAsia="黑体"/>
          <w:bCs/>
          <w:color w:val="000000"/>
          <w:szCs w:val="21"/>
        </w:rPr>
        <w:t xml:space="preserve">  试剂</w:t>
      </w:r>
    </w:p>
    <w:p>
      <w:pPr>
        <w:ind w:firstLine="420" w:firstLineChars="200"/>
        <w:rPr>
          <w:rFonts w:eastAsiaTheme="minorEastAsia"/>
          <w:szCs w:val="21"/>
        </w:rPr>
      </w:pPr>
      <w:r>
        <w:rPr>
          <w:rFonts w:eastAsiaTheme="minorEastAsia"/>
        </w:rPr>
        <w:t>除非另有说明，在</w:t>
      </w:r>
      <w:r>
        <w:rPr>
          <w:rFonts w:eastAsiaTheme="minorEastAsia"/>
          <w:szCs w:val="21"/>
        </w:rPr>
        <w:t>分析中仅使用确认为分析纯的试剂</w:t>
      </w:r>
      <w:r>
        <w:rPr>
          <w:rFonts w:eastAsiaTheme="minorEastAsia"/>
          <w:spacing w:val="6"/>
        </w:rPr>
        <w:t>和</w:t>
      </w:r>
      <w:r>
        <w:rPr>
          <w:rFonts w:eastAsiaTheme="minorEastAsia"/>
          <w:szCs w:val="21"/>
        </w:rPr>
        <w:t>蒸馏水或去离子水或相当纯度的水。</w:t>
      </w:r>
    </w:p>
    <w:p>
      <w:pPr>
        <w:rPr>
          <w:rFonts w:eastAsiaTheme="minorEastAsia"/>
          <w:bCs/>
          <w:szCs w:val="21"/>
        </w:rPr>
      </w:pPr>
      <w:r>
        <w:rPr>
          <w:rFonts w:eastAsiaTheme="minorEastAsia"/>
        </w:rPr>
        <w:t>2.2.1 硝酸（</w:t>
      </w:r>
      <w:r>
        <w:rPr>
          <w:rFonts w:eastAsiaTheme="minorEastAsia"/>
          <w:szCs w:val="21"/>
        </w:rPr>
        <w:t>ρ 1.42g/mL）</w:t>
      </w:r>
      <w:r>
        <w:rPr>
          <w:rFonts w:eastAsiaTheme="minorEastAsia"/>
        </w:rPr>
        <w:t>。</w:t>
      </w:r>
    </w:p>
    <w:p>
      <w:pPr>
        <w:rPr>
          <w:rFonts w:eastAsiaTheme="minorEastAsia"/>
          <w:szCs w:val="21"/>
        </w:rPr>
      </w:pPr>
      <w:r>
        <w:rPr>
          <w:rFonts w:eastAsiaTheme="minorEastAsia"/>
        </w:rPr>
        <w:t>2.2.2</w:t>
      </w:r>
      <w:r>
        <w:rPr>
          <w:rFonts w:hint="eastAsia" w:eastAsiaTheme="minorEastAsia"/>
        </w:rPr>
        <w:t xml:space="preserve"> </w:t>
      </w:r>
      <w:r>
        <w:rPr>
          <w:rFonts w:eastAsiaTheme="minorEastAsia"/>
          <w:szCs w:val="21"/>
        </w:rPr>
        <w:t>盐酸</w:t>
      </w:r>
      <w:r>
        <w:rPr>
          <w:rFonts w:eastAsiaTheme="minorEastAsia"/>
        </w:rPr>
        <w:t>（</w:t>
      </w:r>
      <w:r>
        <w:rPr>
          <w:rFonts w:eastAsiaTheme="minorEastAsia"/>
          <w:szCs w:val="21"/>
        </w:rPr>
        <w:t>ρ 1.19g/mL）。</w:t>
      </w:r>
    </w:p>
    <w:p>
      <w:pPr>
        <w:rPr>
          <w:rFonts w:eastAsiaTheme="minorEastAsia"/>
        </w:rPr>
      </w:pPr>
      <w:r>
        <w:rPr>
          <w:rFonts w:eastAsiaTheme="minorEastAsia"/>
        </w:rPr>
        <w:t>2.2.3</w:t>
      </w:r>
      <w:r>
        <w:rPr>
          <w:rFonts w:hint="eastAsia" w:eastAsiaTheme="minorEastAsia"/>
        </w:rPr>
        <w:t xml:space="preserve"> </w:t>
      </w:r>
      <w:r>
        <w:rPr>
          <w:rFonts w:eastAsiaTheme="minorEastAsia"/>
          <w:bCs/>
          <w:szCs w:val="21"/>
        </w:rPr>
        <w:t>氢氟酸</w:t>
      </w:r>
      <w:r>
        <w:rPr>
          <w:rFonts w:eastAsiaTheme="minorEastAsia"/>
        </w:rPr>
        <w:t>（</w:t>
      </w:r>
      <w:r>
        <w:rPr>
          <w:rFonts w:eastAsiaTheme="minorEastAsia"/>
          <w:szCs w:val="21"/>
        </w:rPr>
        <w:t>ρ 1.15g/mL）</w:t>
      </w:r>
      <w:r>
        <w:rPr>
          <w:rFonts w:eastAsiaTheme="minorEastAsia"/>
          <w:bCs/>
          <w:szCs w:val="21"/>
        </w:rPr>
        <w:t>。</w:t>
      </w:r>
    </w:p>
    <w:p>
      <w:pPr>
        <w:rPr>
          <w:rFonts w:eastAsiaTheme="minorEastAsia"/>
        </w:rPr>
      </w:pPr>
      <w:r>
        <w:rPr>
          <w:rFonts w:eastAsiaTheme="minorEastAsia"/>
        </w:rPr>
        <w:t>2.2.4 高氯酸（</w:t>
      </w:r>
      <w:r>
        <w:rPr>
          <w:rFonts w:eastAsiaTheme="minorEastAsia"/>
          <w:szCs w:val="21"/>
        </w:rPr>
        <w:t>ρ 1.67g/mL）</w:t>
      </w:r>
      <w:r>
        <w:rPr>
          <w:rFonts w:eastAsiaTheme="minorEastAsia"/>
        </w:rPr>
        <w:t>。</w:t>
      </w:r>
    </w:p>
    <w:p>
      <w:pPr>
        <w:rPr>
          <w:rFonts w:eastAsiaTheme="minorEastAsia"/>
        </w:rPr>
      </w:pPr>
      <w:r>
        <w:rPr>
          <w:rFonts w:eastAsiaTheme="minorEastAsia"/>
        </w:rPr>
        <w:t>2.2.5</w:t>
      </w:r>
      <w:r>
        <w:rPr>
          <w:rFonts w:hint="eastAsia" w:eastAsiaTheme="minorEastAsia"/>
        </w:rPr>
        <w:t xml:space="preserve"> </w:t>
      </w:r>
      <w:r>
        <w:rPr>
          <w:rFonts w:eastAsiaTheme="minorEastAsia"/>
          <w:szCs w:val="21"/>
        </w:rPr>
        <w:t>硝酸</w:t>
      </w:r>
      <w:r>
        <w:rPr>
          <w:rFonts w:eastAsiaTheme="minorEastAsia"/>
        </w:rPr>
        <w:t>（</w:t>
      </w:r>
      <w:r>
        <w:rPr>
          <w:rFonts w:eastAsiaTheme="minorEastAsia"/>
          <w:szCs w:val="21"/>
        </w:rPr>
        <w:t>1+1</w:t>
      </w:r>
      <w:r>
        <w:rPr>
          <w:rFonts w:eastAsiaTheme="minorEastAsia"/>
        </w:rPr>
        <w:t>）。</w:t>
      </w:r>
    </w:p>
    <w:p>
      <w:pPr>
        <w:rPr>
          <w:rFonts w:eastAsiaTheme="minorEastAsia"/>
        </w:rPr>
      </w:pPr>
      <w:r>
        <w:rPr>
          <w:rFonts w:eastAsiaTheme="minorEastAsia"/>
        </w:rPr>
        <w:t>2.2.6 盐酸（</w:t>
      </w:r>
      <w:r>
        <w:rPr>
          <w:rFonts w:eastAsiaTheme="minorEastAsia"/>
          <w:szCs w:val="21"/>
        </w:rPr>
        <w:t>1+1</w:t>
      </w:r>
      <w:r>
        <w:rPr>
          <w:rFonts w:eastAsiaTheme="minorEastAsia"/>
        </w:rPr>
        <w:t>）。</w:t>
      </w:r>
    </w:p>
    <w:p>
      <w:pPr>
        <w:rPr>
          <w:rFonts w:eastAsiaTheme="minorEastAsia"/>
          <w:szCs w:val="21"/>
        </w:rPr>
      </w:pPr>
      <w:r>
        <w:rPr>
          <w:rFonts w:eastAsiaTheme="minorEastAsia"/>
          <w:szCs w:val="21"/>
        </w:rPr>
        <w:t>2.2.7 铜标准贮存溶液：称取1.0000g金属铜（</w:t>
      </w:r>
      <w:r>
        <w:rPr>
          <w:rFonts w:eastAsiaTheme="minorEastAsia"/>
          <w:i/>
          <w:szCs w:val="21"/>
        </w:rPr>
        <w:t>w</w:t>
      </w:r>
      <w:r>
        <w:rPr>
          <w:rFonts w:eastAsiaTheme="minorEastAsia"/>
          <w:szCs w:val="21"/>
          <w:vertAlign w:val="subscript"/>
        </w:rPr>
        <w:t>Cu</w:t>
      </w:r>
      <w:r>
        <w:rPr>
          <w:rFonts w:eastAsiaTheme="minorEastAsia"/>
          <w:szCs w:val="21"/>
        </w:rPr>
        <w:t>≥99.99%）置于400mL烧</w:t>
      </w:r>
      <w:r>
        <w:rPr>
          <w:rFonts w:eastAsiaTheme="minorEastAsia"/>
          <w:color w:val="000000" w:themeColor="text1"/>
          <w:szCs w:val="21"/>
        </w:rPr>
        <w:t>杯中，</w:t>
      </w:r>
      <w:r>
        <w:rPr>
          <w:rFonts w:eastAsiaTheme="minorEastAsia"/>
          <w:color w:val="000000" w:themeColor="text1"/>
        </w:rPr>
        <w:t>加入</w:t>
      </w:r>
      <w:r>
        <w:rPr>
          <w:rFonts w:eastAsiaTheme="minorEastAsia"/>
          <w:color w:val="000000" w:themeColor="text1"/>
          <w:szCs w:val="21"/>
        </w:rPr>
        <w:t>50mL硝酸（2.2.5），</w:t>
      </w:r>
      <w:r>
        <w:rPr>
          <w:rFonts w:hint="eastAsia"/>
          <w:color w:val="000000" w:themeColor="text1"/>
        </w:rPr>
        <w:t>盖上表面皿</w:t>
      </w:r>
      <w:r>
        <w:rPr>
          <w:color w:val="000000" w:themeColor="text1"/>
        </w:rPr>
        <w:t>，低温加热</w:t>
      </w:r>
      <w:r>
        <w:rPr>
          <w:rFonts w:hint="eastAsia"/>
          <w:color w:val="000000" w:themeColor="text1"/>
        </w:rPr>
        <w:t>至完全</w:t>
      </w:r>
      <w:r>
        <w:rPr>
          <w:color w:val="000000" w:themeColor="text1"/>
        </w:rPr>
        <w:t>溶解，</w:t>
      </w:r>
      <w:r>
        <w:rPr>
          <w:rFonts w:eastAsiaTheme="minorEastAsia"/>
          <w:color w:val="000000" w:themeColor="text1"/>
          <w:szCs w:val="21"/>
        </w:rPr>
        <w:t>加热煮沸驱除氮的氧化物，取下冷却至室温，移入1000mL容量瓶中，补加50mL硝酸（2.2.5），用水稀释至刻度，混匀。此溶液1mL含1mg铜。</w:t>
      </w:r>
    </w:p>
    <w:p>
      <w:pPr>
        <w:rPr>
          <w:rFonts w:eastAsiaTheme="minorEastAsia"/>
          <w:szCs w:val="21"/>
        </w:rPr>
      </w:pPr>
      <w:r>
        <w:rPr>
          <w:rFonts w:eastAsiaTheme="minorEastAsia"/>
          <w:szCs w:val="21"/>
        </w:rPr>
        <w:t>2.2.8</w:t>
      </w:r>
      <w:r>
        <w:rPr>
          <w:rFonts w:hint="eastAsia" w:eastAsiaTheme="minorEastAsia"/>
          <w:szCs w:val="21"/>
        </w:rPr>
        <w:t xml:space="preserve"> </w:t>
      </w:r>
      <w:r>
        <w:rPr>
          <w:rFonts w:eastAsiaTheme="minorEastAsia"/>
        </w:rPr>
        <w:t>铜标准溶液：移取10.00mL铜标准贮存溶液（2.2.7）置于200mL容量瓶中，加入20mL盐酸（2.2.6），用水稀释至刻度，混匀。</w:t>
      </w:r>
      <w:r>
        <w:rPr>
          <w:rFonts w:eastAsiaTheme="minorEastAsia"/>
          <w:szCs w:val="21"/>
        </w:rPr>
        <w:t>此溶液1mL含50μg铜</w:t>
      </w:r>
      <w:r>
        <w:rPr>
          <w:rFonts w:eastAsiaTheme="minorEastAsia"/>
        </w:rPr>
        <w:t>。</w:t>
      </w:r>
    </w:p>
    <w:p>
      <w:pPr>
        <w:spacing w:line="360" w:lineRule="auto"/>
        <w:rPr>
          <w:rFonts w:eastAsia="黑体"/>
          <w:bCs/>
          <w:color w:val="000000"/>
          <w:szCs w:val="21"/>
        </w:rPr>
      </w:pPr>
      <w:r>
        <w:rPr>
          <w:rFonts w:eastAsia="黑体"/>
          <w:bCs/>
          <w:color w:val="000000"/>
          <w:szCs w:val="21"/>
        </w:rPr>
        <w:t>2.3</w:t>
      </w:r>
      <w:r>
        <w:rPr>
          <w:rFonts w:hint="eastAsia" w:eastAsia="黑体"/>
          <w:bCs/>
          <w:color w:val="000000"/>
          <w:szCs w:val="21"/>
        </w:rPr>
        <w:t xml:space="preserve">  仪器设备</w:t>
      </w:r>
    </w:p>
    <w:p>
      <w:pPr>
        <w:adjustRightInd w:val="0"/>
        <w:snapToGrid w:val="0"/>
        <w:spacing w:before="50" w:after="50"/>
        <w:ind w:firstLine="444" w:firstLineChars="200"/>
        <w:rPr>
          <w:spacing w:val="6"/>
        </w:rPr>
      </w:pPr>
      <w:r>
        <w:rPr>
          <w:spacing w:val="6"/>
        </w:rPr>
        <w:t>原子吸收光谱仪，附铜空心阴极灯。</w:t>
      </w:r>
    </w:p>
    <w:p>
      <w:pPr>
        <w:adjustRightInd w:val="0"/>
        <w:snapToGrid w:val="0"/>
        <w:spacing w:before="50" w:after="50"/>
        <w:ind w:firstLine="444" w:firstLineChars="200"/>
        <w:rPr>
          <w:spacing w:val="6"/>
        </w:rPr>
      </w:pPr>
      <w:r>
        <w:rPr>
          <w:spacing w:val="6"/>
        </w:rPr>
        <w:t>在仪器工作条件下，凡能达到下列指标的原子吸收光谱仪均可使用：</w:t>
      </w:r>
    </w:p>
    <w:p>
      <w:pPr>
        <w:adjustRightInd w:val="0"/>
        <w:snapToGrid w:val="0"/>
        <w:spacing w:before="50" w:after="50"/>
        <w:ind w:firstLine="420" w:firstLineChars="200"/>
        <w:rPr>
          <w:color w:val="FF0000"/>
          <w:spacing w:val="6"/>
        </w:rPr>
      </w:pPr>
      <w:r>
        <w:t>——</w:t>
      </w:r>
      <w:r>
        <w:rPr>
          <w:spacing w:val="6"/>
        </w:rPr>
        <w:t>特征浓度：在与测量试液基本一致的溶液中，铜的特征浓度应不大于0.050μg/mL；</w:t>
      </w:r>
    </w:p>
    <w:p>
      <w:pPr>
        <w:adjustRightInd w:val="0"/>
        <w:snapToGrid w:val="0"/>
        <w:spacing w:before="50" w:after="50"/>
        <w:ind w:firstLine="420" w:firstLineChars="200"/>
        <w:rPr>
          <w:spacing w:val="6"/>
        </w:rPr>
      </w:pPr>
      <w:r>
        <w:t>——</w:t>
      </w:r>
      <w:r>
        <w:rPr>
          <w:spacing w:val="6"/>
        </w:rPr>
        <w:t>精密度：用最高浓度的标准溶液测量10次吸光度，其标准偏差应不超过平均吸光度的1.0%；用最低浓度的标准溶液（不是“零”标准溶液）测量10次吸光度，其标准偏差应不超过最高浓度标准溶液平均吸光度的0.5%；</w:t>
      </w:r>
    </w:p>
    <w:p>
      <w:pPr>
        <w:adjustRightInd w:val="0"/>
        <w:snapToGrid w:val="0"/>
        <w:spacing w:before="50" w:after="50"/>
        <w:ind w:firstLine="420" w:firstLineChars="200"/>
        <w:rPr>
          <w:spacing w:val="6"/>
        </w:rPr>
      </w:pPr>
      <w:r>
        <w:t>——</w:t>
      </w:r>
      <w:r>
        <w:rPr>
          <w:spacing w:val="6"/>
        </w:rPr>
        <w:t>工作曲线的线性：将工作曲线按浓度等分为五段，最高段的吸光度差值与最低段的吸光度差值之比应不小于0.80。</w:t>
      </w:r>
    </w:p>
    <w:p>
      <w:pPr>
        <w:spacing w:line="360" w:lineRule="auto"/>
        <w:rPr>
          <w:rFonts w:eastAsia="黑体"/>
          <w:bCs/>
          <w:color w:val="000000"/>
          <w:szCs w:val="21"/>
        </w:rPr>
      </w:pPr>
      <w:r>
        <w:rPr>
          <w:rFonts w:eastAsia="黑体"/>
          <w:bCs/>
          <w:color w:val="000000"/>
          <w:szCs w:val="21"/>
        </w:rPr>
        <w:t>2.4</w:t>
      </w:r>
      <w:r>
        <w:rPr>
          <w:rFonts w:hint="eastAsia" w:eastAsia="黑体"/>
          <w:bCs/>
          <w:color w:val="000000"/>
          <w:szCs w:val="21"/>
        </w:rPr>
        <w:t xml:space="preserve">  试样</w:t>
      </w:r>
    </w:p>
    <w:p>
      <w:pPr>
        <w:autoSpaceDE w:val="0"/>
        <w:autoSpaceDN w:val="0"/>
        <w:ind w:right="159"/>
        <w:rPr>
          <w:szCs w:val="21"/>
        </w:rPr>
      </w:pPr>
      <w:r>
        <w:rPr>
          <w:rFonts w:eastAsia="黑体"/>
          <w:bCs/>
          <w:color w:val="000000"/>
          <w:szCs w:val="21"/>
        </w:rPr>
        <w:t>2.3.1</w:t>
      </w:r>
      <w:r>
        <w:rPr>
          <w:rFonts w:hint="eastAsia" w:eastAsia="黑体"/>
          <w:bCs/>
          <w:color w:val="000000"/>
          <w:szCs w:val="21"/>
        </w:rPr>
        <w:t xml:space="preserve"> </w:t>
      </w:r>
      <w:r>
        <w:rPr>
          <w:szCs w:val="21"/>
        </w:rPr>
        <w:t>试样粒度应不大于</w:t>
      </w:r>
      <w:r>
        <w:rPr>
          <w:rFonts w:hint="eastAsia"/>
          <w:szCs w:val="21"/>
          <w:lang w:val="en-US" w:eastAsia="zh-CN"/>
        </w:rPr>
        <w:t xml:space="preserve">100 </w:t>
      </w:r>
      <w:r>
        <w:rPr>
          <w:szCs w:val="21"/>
        </w:rPr>
        <w:t>μm。</w:t>
      </w:r>
    </w:p>
    <w:p>
      <w:pPr>
        <w:rPr>
          <w:szCs w:val="21"/>
        </w:rPr>
      </w:pPr>
      <w:r>
        <w:rPr>
          <w:rFonts w:eastAsia="黑体"/>
          <w:bCs/>
          <w:color w:val="000000"/>
          <w:szCs w:val="21"/>
        </w:rPr>
        <w:t>2.3.2</w:t>
      </w:r>
      <w:r>
        <w:rPr>
          <w:szCs w:val="21"/>
        </w:rPr>
        <w:t>试样应在100℃～105℃烘干2 h，并置于干燥器中冷却至室温备用。</w:t>
      </w:r>
    </w:p>
    <w:p>
      <w:pPr>
        <w:spacing w:line="360" w:lineRule="auto"/>
        <w:rPr>
          <w:rFonts w:eastAsia="黑体"/>
          <w:bCs/>
          <w:color w:val="000000"/>
          <w:szCs w:val="21"/>
        </w:rPr>
      </w:pPr>
      <w:r>
        <w:rPr>
          <w:rFonts w:eastAsia="黑体"/>
          <w:bCs/>
          <w:color w:val="000000"/>
          <w:szCs w:val="21"/>
        </w:rPr>
        <w:t>2.5</w:t>
      </w:r>
      <w:r>
        <w:rPr>
          <w:rFonts w:hint="eastAsia" w:eastAsia="黑体"/>
          <w:bCs/>
          <w:color w:val="000000"/>
          <w:szCs w:val="21"/>
        </w:rPr>
        <w:t xml:space="preserve">  试验步骤</w:t>
      </w:r>
    </w:p>
    <w:p>
      <w:pPr>
        <w:spacing w:line="360" w:lineRule="auto"/>
        <w:rPr>
          <w:rFonts w:eastAsia="黑体"/>
          <w:bCs/>
          <w:color w:val="000000"/>
          <w:szCs w:val="21"/>
        </w:rPr>
      </w:pPr>
      <w:r>
        <w:rPr>
          <w:rFonts w:eastAsia="黑体"/>
          <w:bCs/>
          <w:color w:val="000000"/>
          <w:szCs w:val="21"/>
        </w:rPr>
        <w:t>2.5</w:t>
      </w:r>
      <w:r>
        <w:rPr>
          <w:rFonts w:hint="eastAsia" w:eastAsia="黑体"/>
          <w:bCs/>
          <w:color w:val="000000"/>
          <w:szCs w:val="21"/>
        </w:rPr>
        <w:t>.1  试料</w:t>
      </w:r>
    </w:p>
    <w:p>
      <w:pPr>
        <w:ind w:firstLine="420" w:firstLineChars="200"/>
        <w:rPr>
          <w:szCs w:val="21"/>
        </w:rPr>
      </w:pPr>
      <w:r>
        <w:rPr>
          <w:rFonts w:hint="eastAsia"/>
          <w:szCs w:val="21"/>
        </w:rPr>
        <w:t>称取0.10g试样，精确至0.0001g。</w:t>
      </w:r>
    </w:p>
    <w:p>
      <w:pPr>
        <w:spacing w:line="360" w:lineRule="auto"/>
        <w:rPr>
          <w:rFonts w:eastAsia="黑体"/>
          <w:bCs/>
          <w:color w:val="000000"/>
          <w:szCs w:val="21"/>
        </w:rPr>
      </w:pPr>
      <w:r>
        <w:rPr>
          <w:rFonts w:eastAsia="黑体"/>
          <w:bCs/>
          <w:color w:val="000000"/>
          <w:szCs w:val="21"/>
        </w:rPr>
        <w:t>2.5</w:t>
      </w:r>
      <w:r>
        <w:rPr>
          <w:rFonts w:hint="eastAsia" w:eastAsia="黑体"/>
          <w:bCs/>
          <w:color w:val="000000"/>
          <w:szCs w:val="21"/>
        </w:rPr>
        <w:t>.2  平行试验</w:t>
      </w:r>
    </w:p>
    <w:p>
      <w:pPr>
        <w:rPr>
          <w:rFonts w:eastAsia="黑体"/>
          <w:b/>
        </w:rPr>
      </w:pPr>
      <w:r>
        <w:rPr>
          <w:rFonts w:hint="eastAsia"/>
          <w:szCs w:val="21"/>
        </w:rPr>
        <w:t xml:space="preserve">    平行做两份试验。</w:t>
      </w:r>
    </w:p>
    <w:p>
      <w:pPr>
        <w:spacing w:line="360" w:lineRule="auto"/>
        <w:rPr>
          <w:rFonts w:eastAsia="黑体"/>
          <w:bCs/>
          <w:color w:val="000000"/>
          <w:szCs w:val="21"/>
        </w:rPr>
      </w:pPr>
      <w:r>
        <w:rPr>
          <w:rFonts w:eastAsia="黑体"/>
          <w:bCs/>
          <w:color w:val="000000"/>
          <w:szCs w:val="21"/>
        </w:rPr>
        <w:t>2.5</w:t>
      </w:r>
      <w:r>
        <w:rPr>
          <w:rFonts w:hint="eastAsia" w:eastAsia="黑体"/>
          <w:bCs/>
          <w:color w:val="000000"/>
          <w:szCs w:val="21"/>
        </w:rPr>
        <w:t>.3  空白试验</w:t>
      </w:r>
    </w:p>
    <w:p>
      <w:pPr>
        <w:ind w:firstLine="420" w:firstLineChars="200"/>
        <w:rPr>
          <w:szCs w:val="21"/>
        </w:rPr>
      </w:pPr>
      <w:r>
        <w:rPr>
          <w:rFonts w:hint="eastAsia"/>
          <w:szCs w:val="21"/>
        </w:rPr>
        <w:t>随同试料做空白试验。</w:t>
      </w:r>
    </w:p>
    <w:p>
      <w:pPr>
        <w:spacing w:line="360" w:lineRule="auto"/>
        <w:rPr>
          <w:rFonts w:eastAsia="黑体"/>
          <w:bCs/>
          <w:color w:val="000000"/>
          <w:szCs w:val="21"/>
        </w:rPr>
      </w:pPr>
      <w:r>
        <w:rPr>
          <w:rFonts w:eastAsia="黑体"/>
          <w:bCs/>
          <w:color w:val="000000"/>
          <w:szCs w:val="21"/>
        </w:rPr>
        <w:t>2.5</w:t>
      </w:r>
      <w:r>
        <w:rPr>
          <w:rFonts w:hint="eastAsia" w:eastAsia="黑体"/>
          <w:bCs/>
          <w:color w:val="000000"/>
          <w:szCs w:val="21"/>
        </w:rPr>
        <w:t>.</w:t>
      </w:r>
      <w:r>
        <w:rPr>
          <w:rFonts w:eastAsia="黑体"/>
          <w:bCs/>
          <w:color w:val="000000"/>
          <w:szCs w:val="21"/>
        </w:rPr>
        <w:t>4</w:t>
      </w:r>
      <w:r>
        <w:rPr>
          <w:rFonts w:hint="eastAsia" w:eastAsia="黑体"/>
          <w:bCs/>
          <w:color w:val="000000"/>
          <w:szCs w:val="21"/>
        </w:rPr>
        <w:t>测定</w:t>
      </w:r>
    </w:p>
    <w:p>
      <w:pPr>
        <w:adjustRightInd w:val="0"/>
        <w:snapToGrid w:val="0"/>
        <w:rPr>
          <w:spacing w:val="6"/>
        </w:rPr>
      </w:pPr>
      <w:r>
        <w:rPr>
          <w:rFonts w:eastAsia="黑体"/>
          <w:spacing w:val="6"/>
        </w:rPr>
        <w:t>2.5</w:t>
      </w:r>
      <w:r>
        <w:rPr>
          <w:rFonts w:hint="eastAsia" w:eastAsia="黑体"/>
          <w:spacing w:val="6"/>
        </w:rPr>
        <w:t>.</w:t>
      </w:r>
      <w:r>
        <w:rPr>
          <w:rFonts w:eastAsia="黑体"/>
          <w:spacing w:val="6"/>
        </w:rPr>
        <w:t>4.1</w:t>
      </w:r>
      <w:r>
        <w:rPr>
          <w:spacing w:val="6"/>
        </w:rPr>
        <w:t>将试料（2.5.1）置于300mL聚四氟乙烯烧杯中，以少许水润湿，</w:t>
      </w:r>
      <w:r>
        <w:t>加入5mL硝酸（2.2.1）、10mL盐酸（2.2.2）、2mL氢氟酸（2.2.3）、1mL高氯酸（2.2.4），低温</w:t>
      </w:r>
      <w:r>
        <w:rPr>
          <w:spacing w:val="6"/>
        </w:rPr>
        <w:t>加热冒白烟至近干</w:t>
      </w:r>
      <w:r>
        <w:t>，取下稍冷。加入10mL盐酸（2.2.2），用水冲洗杯壁，加热至盐类溶解，取下冷至室温，移入100mL容量瓶，用水稀释至刻度，混匀。</w:t>
      </w:r>
      <w:r>
        <w:rPr>
          <w:rFonts w:hint="eastAsia"/>
        </w:rPr>
        <w:t>静置澄清或干过滤。</w:t>
      </w:r>
    </w:p>
    <w:p>
      <w:pPr>
        <w:jc w:val="left"/>
        <w:rPr>
          <w:szCs w:val="21"/>
        </w:rPr>
      </w:pPr>
      <w:r>
        <w:rPr>
          <w:rFonts w:eastAsia="黑体"/>
          <w:bCs/>
          <w:szCs w:val="21"/>
        </w:rPr>
        <w:t>2.5</w:t>
      </w:r>
      <w:r>
        <w:rPr>
          <w:rFonts w:hint="eastAsia" w:eastAsia="黑体"/>
          <w:bCs/>
          <w:szCs w:val="21"/>
        </w:rPr>
        <w:t>.</w:t>
      </w:r>
      <w:r>
        <w:rPr>
          <w:rFonts w:eastAsia="黑体"/>
          <w:bCs/>
          <w:szCs w:val="21"/>
        </w:rPr>
        <w:t>4,2</w:t>
      </w:r>
      <w:r>
        <w:rPr>
          <w:rFonts w:hint="eastAsia"/>
          <w:bCs/>
          <w:szCs w:val="21"/>
        </w:rPr>
        <w:t>按表1分取试液并补加盐酸（</w:t>
      </w:r>
      <w:r>
        <w:rPr>
          <w:bCs/>
          <w:szCs w:val="21"/>
        </w:rPr>
        <w:t>2.2</w:t>
      </w:r>
      <w:r>
        <w:rPr>
          <w:rFonts w:hint="eastAsia"/>
          <w:bCs/>
          <w:szCs w:val="21"/>
        </w:rPr>
        <w:t>.2）于相应容量瓶中，用水稀释至刻度，混匀。</w:t>
      </w:r>
    </w:p>
    <w:p>
      <w:pPr>
        <w:spacing w:line="360" w:lineRule="auto"/>
        <w:jc w:val="center"/>
        <w:rPr>
          <w:spacing w:val="6"/>
        </w:rPr>
      </w:pPr>
      <w:r>
        <w:rPr>
          <w:spacing w:val="6"/>
        </w:rPr>
        <w:t>表1</w:t>
      </w:r>
      <w:r>
        <w:rPr>
          <w:rFonts w:hint="eastAsia"/>
          <w:spacing w:val="6"/>
        </w:rPr>
        <w:t>试液</w:t>
      </w:r>
      <w:r>
        <w:rPr>
          <w:spacing w:val="6"/>
        </w:rPr>
        <w:t>分取体积及</w:t>
      </w:r>
      <w:r>
        <w:rPr>
          <w:rFonts w:hint="eastAsia"/>
          <w:spacing w:val="6"/>
        </w:rPr>
        <w:t>盐酸</w:t>
      </w:r>
      <w:r>
        <w:rPr>
          <w:spacing w:val="6"/>
        </w:rPr>
        <w:t>补加量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1717"/>
        <w:gridCol w:w="1784"/>
        <w:gridCol w:w="166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vAlign w:val="center"/>
          </w:tcPr>
          <w:p>
            <w:pPr>
              <w:jc w:val="center"/>
              <w:rPr>
                <w:spacing w:val="6"/>
              </w:rPr>
            </w:pPr>
            <w:r>
              <w:rPr>
                <w:rFonts w:hint="eastAsia"/>
                <w:spacing w:val="6"/>
              </w:rPr>
              <w:t>铜</w:t>
            </w:r>
            <w:r>
              <w:rPr>
                <w:spacing w:val="6"/>
              </w:rPr>
              <w:t>含量/%</w:t>
            </w:r>
          </w:p>
        </w:tc>
        <w:tc>
          <w:tcPr>
            <w:tcW w:w="897" w:type="pct"/>
            <w:vAlign w:val="center"/>
          </w:tcPr>
          <w:p>
            <w:pPr>
              <w:jc w:val="center"/>
              <w:rPr>
                <w:spacing w:val="6"/>
              </w:rPr>
            </w:pPr>
            <w:r>
              <w:rPr>
                <w:rFonts w:hint="eastAsia"/>
                <w:spacing w:val="6"/>
              </w:rPr>
              <w:t>试液总</w:t>
            </w:r>
            <w:r>
              <w:rPr>
                <w:spacing w:val="6"/>
              </w:rPr>
              <w:t>体积/mL</w:t>
            </w:r>
          </w:p>
        </w:tc>
        <w:tc>
          <w:tcPr>
            <w:tcW w:w="932" w:type="pct"/>
            <w:vAlign w:val="center"/>
          </w:tcPr>
          <w:p>
            <w:pPr>
              <w:jc w:val="center"/>
              <w:rPr>
                <w:spacing w:val="6"/>
              </w:rPr>
            </w:pPr>
            <w:r>
              <w:rPr>
                <w:spacing w:val="6"/>
              </w:rPr>
              <w:t>分取试液体积/mL</w:t>
            </w:r>
          </w:p>
        </w:tc>
        <w:tc>
          <w:tcPr>
            <w:tcW w:w="870" w:type="pct"/>
            <w:vAlign w:val="center"/>
          </w:tcPr>
          <w:p>
            <w:pPr>
              <w:jc w:val="center"/>
              <w:rPr>
                <w:spacing w:val="6"/>
              </w:rPr>
            </w:pPr>
            <w:r>
              <w:rPr>
                <w:spacing w:val="6"/>
              </w:rPr>
              <w:t>测定试液体积/mL</w:t>
            </w:r>
          </w:p>
        </w:tc>
        <w:tc>
          <w:tcPr>
            <w:tcW w:w="1219" w:type="pct"/>
            <w:vAlign w:val="center"/>
          </w:tcPr>
          <w:p>
            <w:pPr>
              <w:jc w:val="center"/>
              <w:rPr>
                <w:spacing w:val="6"/>
              </w:rPr>
            </w:pPr>
            <w:r>
              <w:rPr>
                <w:rFonts w:hint="eastAsia"/>
                <w:spacing w:val="6"/>
              </w:rPr>
              <w:t>盐酸（3.2）</w:t>
            </w:r>
          </w:p>
          <w:p>
            <w:pPr>
              <w:jc w:val="center"/>
              <w:rPr>
                <w:spacing w:val="6"/>
              </w:rPr>
            </w:pPr>
            <w:r>
              <w:rPr>
                <w:rFonts w:hint="eastAsia"/>
                <w:spacing w:val="6"/>
              </w:rPr>
              <w:t>补加量</w:t>
            </w:r>
            <w:r>
              <w:rPr>
                <w:spacing w:val="6"/>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vAlign w:val="center"/>
          </w:tcPr>
          <w:p>
            <w:pPr>
              <w:jc w:val="center"/>
              <w:rPr>
                <w:spacing w:val="6"/>
              </w:rPr>
            </w:pPr>
            <w:r>
              <w:rPr>
                <w:rFonts w:hint="eastAsia"/>
                <w:spacing w:val="6"/>
              </w:rPr>
              <w:t>0</w:t>
            </w:r>
            <w:r>
              <w:rPr>
                <w:spacing w:val="6"/>
              </w:rPr>
              <w:t>.</w:t>
            </w:r>
            <w:r>
              <w:rPr>
                <w:rFonts w:hint="eastAsia"/>
                <w:spacing w:val="6"/>
              </w:rPr>
              <w:t>80≤</w:t>
            </w:r>
            <w:r>
              <w:rPr>
                <w:i/>
                <w:sz w:val="18"/>
                <w:szCs w:val="18"/>
              </w:rPr>
              <w:t>w</w:t>
            </w:r>
            <w:r>
              <w:rPr>
                <w:sz w:val="18"/>
                <w:szCs w:val="18"/>
                <w:vertAlign w:val="subscript"/>
              </w:rPr>
              <w:t>Cu</w:t>
            </w:r>
            <w:r>
              <w:rPr>
                <w:rFonts w:hint="eastAsia"/>
                <w:spacing w:val="6"/>
              </w:rPr>
              <w:t>≤</w:t>
            </w:r>
            <w:r>
              <w:rPr>
                <w:spacing w:val="6"/>
              </w:rPr>
              <w:t>2.50</w:t>
            </w:r>
          </w:p>
        </w:tc>
        <w:tc>
          <w:tcPr>
            <w:tcW w:w="897" w:type="pct"/>
            <w:vMerge w:val="restart"/>
            <w:vAlign w:val="center"/>
          </w:tcPr>
          <w:p>
            <w:pPr>
              <w:jc w:val="center"/>
              <w:rPr>
                <w:color w:val="000000" w:themeColor="text1"/>
                <w:spacing w:val="6"/>
              </w:rPr>
            </w:pPr>
            <w:r>
              <w:rPr>
                <w:color w:val="000000" w:themeColor="text1"/>
                <w:spacing w:val="6"/>
              </w:rPr>
              <w:t>100</w:t>
            </w:r>
          </w:p>
        </w:tc>
        <w:tc>
          <w:tcPr>
            <w:tcW w:w="932" w:type="pct"/>
            <w:vAlign w:val="center"/>
          </w:tcPr>
          <w:p>
            <w:pPr>
              <w:jc w:val="center"/>
              <w:rPr>
                <w:spacing w:val="6"/>
              </w:rPr>
            </w:pPr>
            <w:r>
              <w:rPr>
                <w:spacing w:val="6"/>
              </w:rPr>
              <w:t>10</w:t>
            </w:r>
          </w:p>
        </w:tc>
        <w:tc>
          <w:tcPr>
            <w:tcW w:w="870" w:type="pct"/>
            <w:vAlign w:val="center"/>
          </w:tcPr>
          <w:p>
            <w:pPr>
              <w:jc w:val="center"/>
              <w:rPr>
                <w:spacing w:val="6"/>
              </w:rPr>
            </w:pPr>
            <w:r>
              <w:rPr>
                <w:spacing w:val="6"/>
              </w:rPr>
              <w:t>100</w:t>
            </w:r>
          </w:p>
        </w:tc>
        <w:tc>
          <w:tcPr>
            <w:tcW w:w="1219" w:type="pct"/>
            <w:vAlign w:val="center"/>
          </w:tcPr>
          <w:p>
            <w:pPr>
              <w:jc w:val="center"/>
              <w:rPr>
                <w:spacing w:val="6"/>
              </w:rPr>
            </w:pPr>
            <w:r>
              <w:rPr>
                <w:rFonts w:hint="eastAsia"/>
                <w:spacing w:val="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vAlign w:val="center"/>
          </w:tcPr>
          <w:p>
            <w:pPr>
              <w:jc w:val="center"/>
              <w:rPr>
                <w:spacing w:val="6"/>
              </w:rPr>
            </w:pPr>
            <w:r>
              <w:rPr>
                <w:spacing w:val="6"/>
              </w:rPr>
              <w:t>2.50</w:t>
            </w:r>
            <w:r>
              <w:rPr>
                <w:rFonts w:hint="eastAsia"/>
                <w:spacing w:val="6"/>
              </w:rPr>
              <w:t>&lt;</w:t>
            </w:r>
            <w:r>
              <w:rPr>
                <w:i/>
                <w:sz w:val="18"/>
                <w:szCs w:val="18"/>
              </w:rPr>
              <w:t>w</w:t>
            </w:r>
            <w:r>
              <w:rPr>
                <w:sz w:val="18"/>
                <w:szCs w:val="18"/>
                <w:vertAlign w:val="subscript"/>
              </w:rPr>
              <w:t>Cu</w:t>
            </w:r>
            <w:r>
              <w:rPr>
                <w:rFonts w:hint="eastAsia"/>
                <w:spacing w:val="6"/>
              </w:rPr>
              <w:t>≤5.00</w:t>
            </w:r>
          </w:p>
        </w:tc>
        <w:tc>
          <w:tcPr>
            <w:tcW w:w="897" w:type="pct"/>
            <w:vMerge w:val="continue"/>
            <w:vAlign w:val="center"/>
          </w:tcPr>
          <w:p>
            <w:pPr>
              <w:jc w:val="center"/>
              <w:rPr>
                <w:spacing w:val="6"/>
              </w:rPr>
            </w:pPr>
          </w:p>
        </w:tc>
        <w:tc>
          <w:tcPr>
            <w:tcW w:w="932" w:type="pct"/>
            <w:vAlign w:val="center"/>
          </w:tcPr>
          <w:p>
            <w:pPr>
              <w:jc w:val="center"/>
              <w:rPr>
                <w:spacing w:val="6"/>
              </w:rPr>
            </w:pPr>
            <w:r>
              <w:rPr>
                <w:spacing w:val="6"/>
              </w:rPr>
              <w:t>5</w:t>
            </w:r>
          </w:p>
        </w:tc>
        <w:tc>
          <w:tcPr>
            <w:tcW w:w="870" w:type="pct"/>
            <w:vAlign w:val="center"/>
          </w:tcPr>
          <w:p>
            <w:pPr>
              <w:jc w:val="center"/>
              <w:rPr>
                <w:spacing w:val="6"/>
              </w:rPr>
            </w:pPr>
            <w:r>
              <w:rPr>
                <w:rFonts w:hint="eastAsia"/>
                <w:spacing w:val="6"/>
              </w:rPr>
              <w:t>1</w:t>
            </w:r>
            <w:r>
              <w:rPr>
                <w:spacing w:val="6"/>
              </w:rPr>
              <w:t>00</w:t>
            </w:r>
          </w:p>
        </w:tc>
        <w:tc>
          <w:tcPr>
            <w:tcW w:w="1219" w:type="pct"/>
            <w:vAlign w:val="center"/>
          </w:tcPr>
          <w:p>
            <w:pPr>
              <w:jc w:val="center"/>
              <w:rPr>
                <w:spacing w:val="6"/>
              </w:rPr>
            </w:pPr>
            <w:r>
              <w:rPr>
                <w:rFonts w:hint="eastAsia"/>
                <w:spacing w:val="6"/>
              </w:rPr>
              <w:t>4.5</w:t>
            </w:r>
          </w:p>
        </w:tc>
      </w:tr>
    </w:tbl>
    <w:p>
      <w:pPr>
        <w:rPr>
          <w:spacing w:val="6"/>
        </w:rPr>
      </w:pPr>
      <w:r>
        <w:rPr>
          <w:rFonts w:eastAsia="黑体"/>
          <w:spacing w:val="6"/>
        </w:rPr>
        <w:t>2.5</w:t>
      </w:r>
      <w:r>
        <w:rPr>
          <w:rFonts w:hint="eastAsia" w:eastAsia="黑体"/>
          <w:spacing w:val="6"/>
        </w:rPr>
        <w:t>.</w:t>
      </w:r>
      <w:r>
        <w:rPr>
          <w:rFonts w:eastAsia="黑体"/>
          <w:spacing w:val="6"/>
        </w:rPr>
        <w:t>4,3</w:t>
      </w:r>
      <w:r>
        <w:rPr>
          <w:spacing w:val="6"/>
        </w:rPr>
        <w:t>于原子吸收光谱仪波长324.7nm处</w:t>
      </w:r>
      <w:r>
        <w:rPr>
          <w:color w:val="000000" w:themeColor="text1"/>
          <w:spacing w:val="6"/>
        </w:rPr>
        <w:t>，</w:t>
      </w:r>
      <w:r>
        <w:rPr>
          <w:rFonts w:hint="eastAsia"/>
          <w:color w:val="000000" w:themeColor="text1"/>
          <w:spacing w:val="6"/>
        </w:rPr>
        <w:t>使</w:t>
      </w:r>
      <w:r>
        <w:rPr>
          <w:color w:val="000000" w:themeColor="text1"/>
          <w:spacing w:val="6"/>
        </w:rPr>
        <w:t>用空气-乙炔火焰，以水调零，测量试液（2.5.4.2）</w:t>
      </w:r>
      <w:r>
        <w:rPr>
          <w:spacing w:val="6"/>
        </w:rPr>
        <w:t>及随同试料空白溶液的吸光度。从工作曲线上查得相应铜的质量浓度。</w:t>
      </w:r>
    </w:p>
    <w:p>
      <w:pPr>
        <w:spacing w:line="360" w:lineRule="auto"/>
        <w:rPr>
          <w:rFonts w:eastAsia="黑体"/>
          <w:bCs/>
          <w:color w:val="000000"/>
          <w:szCs w:val="21"/>
        </w:rPr>
      </w:pPr>
      <w:r>
        <w:rPr>
          <w:rFonts w:eastAsia="黑体"/>
          <w:bCs/>
          <w:color w:val="000000"/>
          <w:szCs w:val="21"/>
        </w:rPr>
        <w:t>2.5.4.4</w:t>
      </w:r>
      <w:r>
        <w:rPr>
          <w:rFonts w:hint="eastAsia" w:eastAsia="黑体"/>
          <w:bCs/>
          <w:color w:val="000000"/>
          <w:szCs w:val="21"/>
        </w:rPr>
        <w:t xml:space="preserve">  工作曲线的绘制</w:t>
      </w:r>
    </w:p>
    <w:p>
      <w:pPr>
        <w:adjustRightInd w:val="0"/>
        <w:snapToGrid w:val="0"/>
        <w:spacing w:before="50" w:after="50"/>
        <w:ind w:firstLine="444" w:firstLineChars="200"/>
        <w:rPr>
          <w:spacing w:val="6"/>
        </w:rPr>
      </w:pPr>
      <w:r>
        <w:rPr>
          <w:spacing w:val="6"/>
        </w:rPr>
        <w:t>移取0mL、</w:t>
      </w:r>
      <w:bookmarkStart w:id="13" w:name="OLE_LINK1"/>
      <w:r>
        <w:rPr>
          <w:spacing w:val="6"/>
        </w:rPr>
        <w:t>1.00</w:t>
      </w:r>
      <w:bookmarkEnd w:id="13"/>
      <w:r>
        <w:rPr>
          <w:spacing w:val="6"/>
        </w:rPr>
        <w:t>mL、2.00mL、3.00mL L、4.00mL、5.00mL铜标准溶液（2.2.8）于一组100mL容量瓶中，加入5mL盐酸（2.2.2），用水稀释至刻度，混匀。</w:t>
      </w:r>
    </w:p>
    <w:p>
      <w:pPr>
        <w:adjustRightInd w:val="0"/>
        <w:snapToGrid w:val="0"/>
        <w:spacing w:before="50" w:after="50"/>
        <w:ind w:firstLine="444" w:firstLineChars="200"/>
        <w:rPr>
          <w:szCs w:val="21"/>
        </w:rPr>
      </w:pPr>
      <w:r>
        <w:rPr>
          <w:spacing w:val="6"/>
        </w:rPr>
        <w:t>使用空气-乙炔火焰，于原子吸收光谱仪波长324.7nm处，以水调零，测量铜系列标准溶液的吸光度，减去系列标准溶液中“零浓度”溶液的吸光度，以铜的质量浓度为横坐标，吸光度为纵坐标，绘制工作曲线。</w:t>
      </w:r>
    </w:p>
    <w:p>
      <w:pPr>
        <w:spacing w:line="360" w:lineRule="auto"/>
        <w:rPr>
          <w:rFonts w:eastAsia="黑体"/>
          <w:bCs/>
          <w:color w:val="000000" w:themeColor="text1"/>
          <w:szCs w:val="21"/>
        </w:rPr>
      </w:pPr>
      <w:r>
        <w:rPr>
          <w:rFonts w:eastAsia="黑体"/>
          <w:bCs/>
          <w:color w:val="000000" w:themeColor="text1"/>
          <w:szCs w:val="21"/>
        </w:rPr>
        <w:t>2.6</w:t>
      </w:r>
      <w:r>
        <w:rPr>
          <w:rFonts w:hint="eastAsia" w:eastAsia="黑体"/>
          <w:bCs/>
          <w:color w:val="000000" w:themeColor="text1"/>
          <w:szCs w:val="21"/>
        </w:rPr>
        <w:t xml:space="preserve">  试验数据处理</w:t>
      </w:r>
    </w:p>
    <w:p>
      <w:pPr>
        <w:rPr>
          <w:szCs w:val="21"/>
        </w:rPr>
      </w:pPr>
      <w:r>
        <w:rPr>
          <w:rFonts w:hint="eastAsia"/>
          <w:szCs w:val="21"/>
        </w:rPr>
        <w:t xml:space="preserve">    铜含量以铜的</w:t>
      </w:r>
      <w:r>
        <w:rPr>
          <w:szCs w:val="21"/>
        </w:rPr>
        <w:t>质量分数</w:t>
      </w:r>
      <w:r>
        <w:rPr>
          <w:i/>
          <w:szCs w:val="21"/>
        </w:rPr>
        <w:t>w</w:t>
      </w:r>
      <w:r>
        <w:rPr>
          <w:szCs w:val="21"/>
          <w:vertAlign w:val="subscript"/>
        </w:rPr>
        <w:t>Cu</w:t>
      </w:r>
      <w:r>
        <w:rPr>
          <w:rFonts w:hint="eastAsia"/>
          <w:szCs w:val="21"/>
        </w:rPr>
        <w:t>计，</w:t>
      </w:r>
      <w:r>
        <w:rPr>
          <w:szCs w:val="21"/>
        </w:rPr>
        <w:t>按</w:t>
      </w:r>
      <w:r>
        <w:rPr>
          <w:rFonts w:hint="eastAsia"/>
          <w:szCs w:val="21"/>
        </w:rPr>
        <w:t>公</w:t>
      </w:r>
      <w:r>
        <w:rPr>
          <w:szCs w:val="21"/>
        </w:rPr>
        <w:t>式（1）计算</w:t>
      </w:r>
      <w:r>
        <w:rPr>
          <w:rFonts w:hint="eastAsia"/>
        </w:rPr>
        <w:t>：</w:t>
      </w:r>
    </w:p>
    <w:p>
      <w:pPr>
        <w:jc w:val="center"/>
        <w:rPr>
          <w:szCs w:val="21"/>
        </w:rPr>
      </w:pPr>
      <w:r>
        <w:rPr>
          <w:position w:val="-30"/>
          <w:szCs w:val="21"/>
        </w:rPr>
        <w:object>
          <v:shape id="_x0000_i1025" o:spt="75" type="#_x0000_t75" style="height:36.4pt;width:174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szCs w:val="21"/>
        </w:rPr>
        <w:t>………………………………（1）</w:t>
      </w:r>
    </w:p>
    <w:p>
      <w:pPr>
        <w:adjustRightInd w:val="0"/>
        <w:snapToGrid w:val="0"/>
        <w:spacing w:before="50" w:after="50"/>
        <w:ind w:firstLine="444" w:firstLineChars="200"/>
        <w:rPr>
          <w:spacing w:val="6"/>
        </w:rPr>
      </w:pPr>
      <w:r>
        <w:rPr>
          <w:rFonts w:hint="eastAsia"/>
          <w:spacing w:val="6"/>
        </w:rPr>
        <w:t>式中：</w:t>
      </w:r>
    </w:p>
    <w:p>
      <w:pPr>
        <w:adjustRightInd w:val="0"/>
        <w:snapToGrid w:val="0"/>
        <w:spacing w:before="50" w:after="50"/>
        <w:ind w:firstLine="444" w:firstLineChars="200"/>
        <w:rPr>
          <w:spacing w:val="6"/>
        </w:rPr>
      </w:pPr>
      <m:oMath>
        <m:sSub>
          <m:sSubPr>
            <m:ctrlPr>
              <w:rPr>
                <w:rFonts w:ascii="Cambria Math" w:hAnsi="Cambria Math"/>
                <w:i/>
                <w:spacing w:val="6"/>
              </w:rPr>
            </m:ctrlPr>
          </m:sSubPr>
          <m:e>
            <m:r>
              <w:rPr>
                <w:rFonts w:ascii="Cambria Math" w:hAnsi="Cambria Math"/>
                <w:spacing w:val="6"/>
              </w:rPr>
              <m:t>ρ</m:t>
            </m:r>
            <m:ctrlPr>
              <w:rPr>
                <w:rFonts w:ascii="Cambria Math" w:hAnsi="Cambria Math"/>
                <w:i/>
                <w:spacing w:val="6"/>
              </w:rPr>
            </m:ctrlPr>
          </m:e>
          <m:sub>
            <m:r>
              <w:rPr>
                <w:rFonts w:ascii="Cambria Math" w:hAnsi="Cambria Math"/>
                <w:spacing w:val="6"/>
              </w:rPr>
              <m:t>0</m:t>
            </m:r>
            <m:ctrlPr>
              <w:rPr>
                <w:rFonts w:ascii="Cambria Math" w:hAnsi="Cambria Math"/>
                <w:i/>
                <w:spacing w:val="6"/>
              </w:rPr>
            </m:ctrlPr>
          </m:sub>
        </m:sSub>
      </m:oMath>
      <w:r>
        <w:rPr>
          <w:spacing w:val="6"/>
        </w:rPr>
        <w:t>——自工作曲线上查得的空白溶液中铜的质量浓度，单位为微克每毫升（µg/mL）；</w:t>
      </w:r>
    </w:p>
    <w:p>
      <w:pPr>
        <w:adjustRightInd w:val="0"/>
        <w:snapToGrid w:val="0"/>
        <w:spacing w:before="50" w:after="50"/>
        <w:ind w:firstLine="444" w:firstLineChars="200"/>
        <w:rPr>
          <w:spacing w:val="6"/>
        </w:rPr>
      </w:pPr>
      <w:r>
        <w:rPr>
          <w:i/>
          <w:spacing w:val="6"/>
        </w:rPr>
        <w:t>ρ</w:t>
      </w:r>
      <w:r>
        <w:rPr>
          <w:spacing w:val="6"/>
        </w:rPr>
        <w:t>——自工作曲线上查得的测定试液中铜的质量浓度，单位为微克每毫升（µg/mL）；</w:t>
      </w:r>
    </w:p>
    <w:p>
      <w:pPr>
        <w:adjustRightInd w:val="0"/>
        <w:snapToGrid w:val="0"/>
        <w:spacing w:before="50" w:after="50"/>
        <w:ind w:firstLine="444" w:firstLineChars="200"/>
        <w:rPr>
          <w:spacing w:val="6"/>
        </w:rPr>
      </w:pPr>
      <w:r>
        <w:rPr>
          <w:i/>
          <w:spacing w:val="6"/>
        </w:rPr>
        <w:t>V</w:t>
      </w:r>
      <w:r>
        <w:rPr>
          <w:spacing w:val="6"/>
        </w:rPr>
        <w:t>——试液总体积，单位为毫升（mL）；</w:t>
      </w:r>
    </w:p>
    <w:p>
      <w:pPr>
        <w:adjustRightInd w:val="0"/>
        <w:snapToGrid w:val="0"/>
        <w:spacing w:before="50" w:after="50"/>
        <w:ind w:firstLine="444" w:firstLineChars="200"/>
        <w:rPr>
          <w:spacing w:val="6"/>
        </w:rPr>
      </w:pPr>
      <w:r>
        <w:rPr>
          <w:i/>
          <w:spacing w:val="6"/>
        </w:rPr>
        <w:t>V</w:t>
      </w:r>
      <w:r>
        <w:rPr>
          <w:spacing w:val="6"/>
          <w:vertAlign w:val="subscript"/>
        </w:rPr>
        <w:t>1</w:t>
      </w:r>
      <w:r>
        <w:rPr>
          <w:spacing w:val="6"/>
        </w:rPr>
        <w:t>——分取试液体积，单位为毫升（mL）；</w:t>
      </w:r>
    </w:p>
    <w:p>
      <w:pPr>
        <w:adjustRightInd w:val="0"/>
        <w:snapToGrid w:val="0"/>
        <w:spacing w:before="50" w:after="50"/>
        <w:ind w:firstLine="444" w:firstLineChars="200"/>
        <w:rPr>
          <w:spacing w:val="6"/>
        </w:rPr>
      </w:pPr>
      <w:r>
        <w:rPr>
          <w:i/>
          <w:spacing w:val="6"/>
        </w:rPr>
        <w:t>V</w:t>
      </w:r>
      <w:r>
        <w:rPr>
          <w:spacing w:val="6"/>
          <w:vertAlign w:val="subscript"/>
        </w:rPr>
        <w:t>2</w:t>
      </w:r>
      <w:r>
        <w:rPr>
          <w:spacing w:val="6"/>
        </w:rPr>
        <w:t>——测定试液的体积，单位为毫升（mL）；</w:t>
      </w:r>
    </w:p>
    <w:p>
      <w:pPr>
        <w:adjustRightInd w:val="0"/>
        <w:snapToGrid w:val="0"/>
        <w:spacing w:before="50" w:after="50"/>
        <w:ind w:firstLine="444" w:firstLineChars="200"/>
        <w:rPr>
          <w:spacing w:val="6"/>
        </w:rPr>
      </w:pPr>
      <w:r>
        <w:rPr>
          <w:i/>
          <w:spacing w:val="6"/>
        </w:rPr>
        <w:t>m</w:t>
      </w:r>
      <w:r>
        <w:rPr>
          <w:spacing w:val="6"/>
        </w:rPr>
        <w:t>——试料的质量，单位为克（g）。</w:t>
      </w:r>
    </w:p>
    <w:p>
      <w:pPr>
        <w:adjustRightInd w:val="0"/>
        <w:snapToGrid w:val="0"/>
        <w:ind w:firstLine="444" w:firstLineChars="200"/>
      </w:pPr>
      <w:r>
        <w:rPr>
          <w:spacing w:val="6"/>
        </w:rPr>
        <w:t>计算结果表示到小数点后两位。</w:t>
      </w:r>
    </w:p>
    <w:p>
      <w:pPr>
        <w:spacing w:line="360" w:lineRule="auto"/>
        <w:rPr>
          <w:rFonts w:eastAsia="黑体"/>
          <w:b/>
          <w:szCs w:val="21"/>
        </w:rPr>
      </w:pPr>
      <w:r>
        <w:rPr>
          <w:rFonts w:eastAsia="黑体"/>
          <w:bCs/>
          <w:color w:val="000000"/>
          <w:szCs w:val="21"/>
        </w:rPr>
        <w:t>2.7</w:t>
      </w:r>
      <w:r>
        <w:rPr>
          <w:rFonts w:hint="eastAsia" w:eastAsia="黑体"/>
          <w:bCs/>
          <w:color w:val="000000"/>
          <w:szCs w:val="21"/>
        </w:rPr>
        <w:t xml:space="preserve">  精密度</w:t>
      </w:r>
    </w:p>
    <w:p>
      <w:pPr>
        <w:spacing w:line="360" w:lineRule="auto"/>
        <w:rPr>
          <w:rFonts w:eastAsia="黑体"/>
          <w:bCs/>
          <w:color w:val="000000"/>
          <w:szCs w:val="21"/>
        </w:rPr>
      </w:pPr>
      <w:r>
        <w:rPr>
          <w:rFonts w:eastAsia="黑体"/>
          <w:bCs/>
          <w:color w:val="000000"/>
          <w:szCs w:val="21"/>
        </w:rPr>
        <w:t>2.7</w:t>
      </w:r>
      <w:r>
        <w:rPr>
          <w:rFonts w:hint="eastAsia" w:eastAsia="黑体"/>
          <w:bCs/>
          <w:color w:val="000000"/>
          <w:szCs w:val="21"/>
        </w:rPr>
        <w:t>.1重复性</w:t>
      </w:r>
    </w:p>
    <w:p>
      <w:pPr>
        <w:adjustRightInd w:val="0"/>
        <w:snapToGrid w:val="0"/>
        <w:spacing w:before="50" w:after="50"/>
        <w:ind w:firstLine="444" w:firstLineChars="200"/>
      </w:pPr>
      <w:r>
        <w:rPr>
          <w:rFonts w:hint="eastAsia"/>
          <w:spacing w:val="6"/>
        </w:rPr>
        <w:t>在重复性条件下获得的两次独立测试结果的测定值，在以下给出的平均值范围内，这两个测试结果的绝对差值不超过重复性限（</w:t>
      </w:r>
      <w:r>
        <w:rPr>
          <w:i/>
          <w:spacing w:val="6"/>
        </w:rPr>
        <w:t>r</w:t>
      </w:r>
      <w:r>
        <w:rPr>
          <w:rFonts w:hint="eastAsia"/>
          <w:spacing w:val="6"/>
        </w:rPr>
        <w:t>），超过重复性限（</w:t>
      </w:r>
      <w:r>
        <w:rPr>
          <w:i/>
          <w:spacing w:val="6"/>
        </w:rPr>
        <w:t>r</w:t>
      </w:r>
      <w:r>
        <w:rPr>
          <w:rFonts w:hint="eastAsia"/>
          <w:spacing w:val="6"/>
        </w:rPr>
        <w:t>）的情况不超过5</w:t>
      </w:r>
      <w:r>
        <w:rPr>
          <w:spacing w:val="6"/>
        </w:rPr>
        <w:t>%</w:t>
      </w:r>
      <w:r>
        <w:rPr>
          <w:rFonts w:hint="eastAsia"/>
          <w:spacing w:val="6"/>
        </w:rPr>
        <w:t>，重复性限（</w:t>
      </w:r>
      <w:r>
        <w:rPr>
          <w:i/>
          <w:spacing w:val="6"/>
        </w:rPr>
        <w:t>r</w:t>
      </w:r>
      <w:r>
        <w:rPr>
          <w:rFonts w:hint="eastAsia"/>
          <w:spacing w:val="6"/>
        </w:rPr>
        <w:t>）按表2数据采用线性内插法或外延法求得：</w:t>
      </w:r>
    </w:p>
    <w:p>
      <w:pPr>
        <w:pStyle w:val="4"/>
        <w:ind w:firstLine="0" w:firstLineChars="0"/>
        <w:jc w:val="center"/>
        <w:rPr>
          <w:rFonts w:eastAsia="黑体"/>
          <w:bCs/>
          <w:color w:val="000000"/>
          <w:szCs w:val="21"/>
        </w:rPr>
      </w:pPr>
    </w:p>
    <w:p>
      <w:pPr>
        <w:pStyle w:val="4"/>
        <w:ind w:firstLine="0" w:firstLineChars="0"/>
        <w:jc w:val="center"/>
        <w:rPr>
          <w:rFonts w:eastAsia="黑体"/>
          <w:bCs/>
          <w:color w:val="000000"/>
          <w:szCs w:val="21"/>
        </w:rPr>
      </w:pPr>
    </w:p>
    <w:p>
      <w:pPr>
        <w:pStyle w:val="4"/>
        <w:ind w:firstLine="0" w:firstLineChars="0"/>
        <w:jc w:val="center"/>
        <w:rPr>
          <w:rFonts w:eastAsia="黑体"/>
          <w:bCs/>
          <w:color w:val="000000"/>
          <w:szCs w:val="21"/>
        </w:rPr>
      </w:pPr>
      <w:r>
        <w:rPr>
          <w:rFonts w:hint="eastAsia" w:eastAsia="黑体"/>
          <w:bCs/>
          <w:color w:val="000000"/>
          <w:szCs w:val="21"/>
        </w:rPr>
        <w:t>表2 重复性限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4"/>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Align w:val="center"/>
          </w:tcPr>
          <w:p>
            <w:pPr>
              <w:pStyle w:val="4"/>
              <w:spacing w:line="300" w:lineRule="auto"/>
              <w:ind w:firstLine="0" w:firstLineChars="0"/>
              <w:jc w:val="center"/>
              <w:rPr>
                <w:sz w:val="18"/>
                <w:szCs w:val="18"/>
              </w:rPr>
            </w:pPr>
            <w:r>
              <w:rPr>
                <w:i/>
                <w:sz w:val="18"/>
                <w:szCs w:val="18"/>
              </w:rPr>
              <w:t>w</w:t>
            </w:r>
            <w:r>
              <w:rPr>
                <w:sz w:val="18"/>
                <w:szCs w:val="18"/>
                <w:vertAlign w:val="subscript"/>
              </w:rPr>
              <w:t>Cu</w:t>
            </w:r>
            <w:r>
              <w:rPr>
                <w:sz w:val="18"/>
                <w:szCs w:val="18"/>
              </w:rPr>
              <w:t>/%</w:t>
            </w:r>
          </w:p>
        </w:tc>
        <w:tc>
          <w:tcPr>
            <w:tcW w:w="833" w:type="pct"/>
            <w:vAlign w:val="center"/>
          </w:tcPr>
          <w:p>
            <w:pPr>
              <w:jc w:val="center"/>
              <w:rPr>
                <w:rFonts w:cs="宋体"/>
                <w:sz w:val="24"/>
              </w:rPr>
            </w:pPr>
            <w:r>
              <w:t>0.93</w:t>
            </w:r>
          </w:p>
        </w:tc>
        <w:tc>
          <w:tcPr>
            <w:tcW w:w="833" w:type="pct"/>
            <w:vAlign w:val="center"/>
          </w:tcPr>
          <w:p>
            <w:pPr>
              <w:jc w:val="center"/>
            </w:pPr>
            <w:r>
              <w:t>1.67</w:t>
            </w:r>
          </w:p>
        </w:tc>
        <w:tc>
          <w:tcPr>
            <w:tcW w:w="833" w:type="pct"/>
            <w:vAlign w:val="center"/>
          </w:tcPr>
          <w:p>
            <w:pPr>
              <w:jc w:val="center"/>
            </w:pPr>
            <w:r>
              <w:rPr>
                <w:rFonts w:hint="eastAsia"/>
              </w:rPr>
              <w:t>2.</w:t>
            </w:r>
            <w:r>
              <w:t>26</w:t>
            </w:r>
          </w:p>
        </w:tc>
        <w:tc>
          <w:tcPr>
            <w:tcW w:w="833" w:type="pct"/>
            <w:vAlign w:val="center"/>
          </w:tcPr>
          <w:p>
            <w:pPr>
              <w:jc w:val="center"/>
            </w:pPr>
            <w:r>
              <w:t>3.99</w:t>
            </w:r>
          </w:p>
        </w:tc>
        <w:tc>
          <w:tcPr>
            <w:tcW w:w="833" w:type="pct"/>
            <w:vAlign w:val="center"/>
          </w:tcPr>
          <w:p>
            <w:pPr>
              <w:jc w:val="center"/>
            </w:pPr>
            <w: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Align w:val="center"/>
          </w:tcPr>
          <w:p>
            <w:pPr>
              <w:pStyle w:val="4"/>
              <w:spacing w:line="300" w:lineRule="auto"/>
              <w:ind w:firstLine="0" w:firstLineChars="0"/>
              <w:jc w:val="center"/>
              <w:rPr>
                <w:sz w:val="18"/>
                <w:szCs w:val="18"/>
              </w:rPr>
            </w:pPr>
            <w:r>
              <w:rPr>
                <w:i/>
                <w:sz w:val="18"/>
                <w:szCs w:val="18"/>
              </w:rPr>
              <w:t>r</w:t>
            </w:r>
            <w:r>
              <w:rPr>
                <w:sz w:val="18"/>
                <w:szCs w:val="18"/>
              </w:rPr>
              <w:t>/%</w:t>
            </w:r>
          </w:p>
        </w:tc>
        <w:tc>
          <w:tcPr>
            <w:tcW w:w="833" w:type="pct"/>
            <w:vAlign w:val="center"/>
          </w:tcPr>
          <w:p>
            <w:pPr>
              <w:jc w:val="center"/>
            </w:pPr>
            <w:r>
              <w:rPr>
                <w:rFonts w:hint="eastAsia"/>
              </w:rPr>
              <w:t>0.03</w:t>
            </w:r>
            <w:r>
              <w:t>7</w:t>
            </w:r>
          </w:p>
        </w:tc>
        <w:tc>
          <w:tcPr>
            <w:tcW w:w="833" w:type="pct"/>
            <w:vAlign w:val="center"/>
          </w:tcPr>
          <w:p>
            <w:pPr>
              <w:jc w:val="center"/>
            </w:pPr>
            <w:r>
              <w:rPr>
                <w:rFonts w:hint="eastAsia"/>
              </w:rPr>
              <w:t>0.0</w:t>
            </w:r>
            <w:r>
              <w:t>60</w:t>
            </w:r>
          </w:p>
        </w:tc>
        <w:tc>
          <w:tcPr>
            <w:tcW w:w="833" w:type="pct"/>
            <w:vAlign w:val="center"/>
          </w:tcPr>
          <w:p>
            <w:pPr>
              <w:jc w:val="center"/>
            </w:pPr>
            <w:r>
              <w:rPr>
                <w:rFonts w:hint="eastAsia"/>
              </w:rPr>
              <w:t>0.0</w:t>
            </w:r>
            <w:r>
              <w:t>60</w:t>
            </w:r>
          </w:p>
        </w:tc>
        <w:tc>
          <w:tcPr>
            <w:tcW w:w="833" w:type="pct"/>
            <w:vAlign w:val="center"/>
          </w:tcPr>
          <w:p>
            <w:pPr>
              <w:jc w:val="center"/>
            </w:pPr>
            <w:r>
              <w:rPr>
                <w:rFonts w:hint="eastAsia"/>
              </w:rPr>
              <w:t>0.1</w:t>
            </w:r>
            <w:r>
              <w:t>2</w:t>
            </w:r>
          </w:p>
        </w:tc>
        <w:tc>
          <w:tcPr>
            <w:tcW w:w="833" w:type="pct"/>
            <w:vAlign w:val="center"/>
          </w:tcPr>
          <w:p>
            <w:pPr>
              <w:jc w:val="center"/>
            </w:pPr>
            <w:r>
              <w:rPr>
                <w:rFonts w:hint="eastAsia"/>
              </w:rPr>
              <w:t>0.1</w:t>
            </w:r>
            <w:r>
              <w:t>2</w:t>
            </w:r>
          </w:p>
        </w:tc>
      </w:tr>
    </w:tbl>
    <w:p>
      <w:pPr>
        <w:spacing w:before="156" w:beforeLines="50" w:line="360" w:lineRule="auto"/>
        <w:rPr>
          <w:rFonts w:eastAsia="黑体"/>
          <w:bCs/>
          <w:color w:val="000000"/>
          <w:szCs w:val="21"/>
        </w:rPr>
      </w:pPr>
      <w:r>
        <w:rPr>
          <w:rFonts w:eastAsia="黑体"/>
          <w:bCs/>
          <w:color w:val="000000"/>
          <w:szCs w:val="21"/>
        </w:rPr>
        <w:t>2.7</w:t>
      </w:r>
      <w:r>
        <w:rPr>
          <w:rFonts w:hint="eastAsia" w:eastAsia="黑体"/>
          <w:bCs/>
          <w:color w:val="000000"/>
          <w:szCs w:val="21"/>
        </w:rPr>
        <w:t>.2再现性</w:t>
      </w:r>
    </w:p>
    <w:p>
      <w:pPr>
        <w:adjustRightInd w:val="0"/>
        <w:snapToGrid w:val="0"/>
        <w:spacing w:before="50" w:after="50"/>
        <w:ind w:firstLine="444" w:firstLineChars="200"/>
        <w:rPr>
          <w:spacing w:val="6"/>
        </w:rPr>
      </w:pPr>
      <w:r>
        <w:rPr>
          <w:rFonts w:hint="eastAsia"/>
          <w:spacing w:val="6"/>
        </w:rPr>
        <w:t>在再现性条件下获得的两次独立测试结果的测定值，在以下给出的平均值范围内，这两个测试结果的绝对差值不超过再现性限（</w:t>
      </w:r>
      <w:r>
        <w:rPr>
          <w:i/>
          <w:spacing w:val="6"/>
        </w:rPr>
        <w:t>R</w:t>
      </w:r>
      <w:r>
        <w:rPr>
          <w:rFonts w:hint="eastAsia"/>
          <w:spacing w:val="6"/>
        </w:rPr>
        <w:t>），超过再现性限（</w:t>
      </w:r>
      <w:r>
        <w:rPr>
          <w:i/>
          <w:spacing w:val="6"/>
        </w:rPr>
        <w:t>R</w:t>
      </w:r>
      <w:r>
        <w:rPr>
          <w:rFonts w:hint="eastAsia"/>
          <w:spacing w:val="6"/>
        </w:rPr>
        <w:t>）的情况不超过5</w:t>
      </w:r>
      <w:r>
        <w:rPr>
          <w:spacing w:val="6"/>
        </w:rPr>
        <w:t>%</w:t>
      </w:r>
      <w:r>
        <w:rPr>
          <w:rFonts w:hint="eastAsia"/>
          <w:spacing w:val="6"/>
        </w:rPr>
        <w:t>，再现性限（</w:t>
      </w:r>
      <w:r>
        <w:rPr>
          <w:i/>
          <w:spacing w:val="6"/>
        </w:rPr>
        <w:t>R</w:t>
      </w:r>
      <w:r>
        <w:rPr>
          <w:rFonts w:hint="eastAsia"/>
          <w:spacing w:val="6"/>
        </w:rPr>
        <w:t>）按表3数据采用线性内插法或外延法求得：</w:t>
      </w:r>
    </w:p>
    <w:p>
      <w:pPr>
        <w:pStyle w:val="4"/>
        <w:ind w:firstLine="0" w:firstLineChars="0"/>
        <w:jc w:val="center"/>
        <w:rPr>
          <w:rFonts w:eastAsia="黑体"/>
          <w:bCs/>
          <w:color w:val="000000"/>
          <w:szCs w:val="21"/>
        </w:rPr>
      </w:pPr>
      <w:r>
        <w:rPr>
          <w:rFonts w:hint="eastAsia" w:eastAsia="黑体"/>
          <w:bCs/>
          <w:color w:val="000000"/>
          <w:szCs w:val="21"/>
        </w:rPr>
        <w:t>表3 再现性限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4"/>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Align w:val="center"/>
          </w:tcPr>
          <w:p>
            <w:pPr>
              <w:pStyle w:val="4"/>
              <w:spacing w:line="300" w:lineRule="auto"/>
              <w:ind w:firstLine="0" w:firstLineChars="0"/>
              <w:jc w:val="center"/>
              <w:rPr>
                <w:sz w:val="18"/>
                <w:szCs w:val="18"/>
              </w:rPr>
            </w:pPr>
            <w:bookmarkStart w:id="14" w:name="_Toc204923136"/>
            <w:r>
              <w:rPr>
                <w:i/>
                <w:sz w:val="18"/>
                <w:szCs w:val="18"/>
              </w:rPr>
              <w:t>w</w:t>
            </w:r>
            <w:r>
              <w:rPr>
                <w:sz w:val="18"/>
                <w:szCs w:val="18"/>
                <w:vertAlign w:val="subscript"/>
              </w:rPr>
              <w:t>Cu</w:t>
            </w:r>
            <w:r>
              <w:rPr>
                <w:sz w:val="18"/>
                <w:szCs w:val="18"/>
              </w:rPr>
              <w:t>/%</w:t>
            </w:r>
          </w:p>
        </w:tc>
        <w:tc>
          <w:tcPr>
            <w:tcW w:w="833" w:type="pct"/>
            <w:vAlign w:val="center"/>
          </w:tcPr>
          <w:p>
            <w:pPr>
              <w:jc w:val="center"/>
              <w:rPr>
                <w:rFonts w:cs="宋体"/>
                <w:sz w:val="24"/>
              </w:rPr>
            </w:pPr>
            <w:r>
              <w:t>0.93</w:t>
            </w:r>
          </w:p>
        </w:tc>
        <w:tc>
          <w:tcPr>
            <w:tcW w:w="833" w:type="pct"/>
            <w:vAlign w:val="center"/>
          </w:tcPr>
          <w:p>
            <w:pPr>
              <w:jc w:val="center"/>
            </w:pPr>
            <w:r>
              <w:t>1.67</w:t>
            </w:r>
          </w:p>
        </w:tc>
        <w:tc>
          <w:tcPr>
            <w:tcW w:w="833" w:type="pct"/>
            <w:vAlign w:val="center"/>
          </w:tcPr>
          <w:p>
            <w:pPr>
              <w:jc w:val="center"/>
            </w:pPr>
            <w:r>
              <w:rPr>
                <w:rFonts w:hint="eastAsia"/>
              </w:rPr>
              <w:t>2.</w:t>
            </w:r>
            <w:r>
              <w:t>26</w:t>
            </w:r>
          </w:p>
        </w:tc>
        <w:tc>
          <w:tcPr>
            <w:tcW w:w="833" w:type="pct"/>
            <w:vAlign w:val="center"/>
          </w:tcPr>
          <w:p>
            <w:pPr>
              <w:jc w:val="center"/>
            </w:pPr>
            <w:r>
              <w:t>3.99</w:t>
            </w:r>
          </w:p>
        </w:tc>
        <w:tc>
          <w:tcPr>
            <w:tcW w:w="833" w:type="pct"/>
            <w:vAlign w:val="center"/>
          </w:tcPr>
          <w:p>
            <w:pPr>
              <w:jc w:val="center"/>
            </w:pPr>
            <w: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Align w:val="center"/>
          </w:tcPr>
          <w:p>
            <w:pPr>
              <w:pStyle w:val="4"/>
              <w:spacing w:line="300" w:lineRule="auto"/>
              <w:ind w:firstLine="0" w:firstLineChars="0"/>
              <w:jc w:val="center"/>
              <w:rPr>
                <w:sz w:val="18"/>
                <w:szCs w:val="18"/>
              </w:rPr>
            </w:pPr>
            <w:r>
              <w:rPr>
                <w:i/>
                <w:sz w:val="18"/>
                <w:szCs w:val="18"/>
              </w:rPr>
              <w:t>R</w:t>
            </w:r>
            <w:r>
              <w:rPr>
                <w:sz w:val="18"/>
                <w:szCs w:val="18"/>
              </w:rPr>
              <w:t>/%</w:t>
            </w:r>
          </w:p>
        </w:tc>
        <w:tc>
          <w:tcPr>
            <w:tcW w:w="833" w:type="pct"/>
            <w:vAlign w:val="center"/>
          </w:tcPr>
          <w:p>
            <w:pPr>
              <w:jc w:val="center"/>
            </w:pPr>
            <w:r>
              <w:rPr>
                <w:rFonts w:hint="eastAsia"/>
              </w:rPr>
              <w:t>0.055</w:t>
            </w:r>
          </w:p>
        </w:tc>
        <w:tc>
          <w:tcPr>
            <w:tcW w:w="833" w:type="pct"/>
            <w:vAlign w:val="center"/>
          </w:tcPr>
          <w:p>
            <w:pPr>
              <w:jc w:val="center"/>
            </w:pPr>
            <w:r>
              <w:rPr>
                <w:rFonts w:hint="eastAsia"/>
              </w:rPr>
              <w:t>0.095</w:t>
            </w:r>
          </w:p>
        </w:tc>
        <w:tc>
          <w:tcPr>
            <w:tcW w:w="833" w:type="pct"/>
            <w:vAlign w:val="center"/>
          </w:tcPr>
          <w:p>
            <w:pPr>
              <w:jc w:val="center"/>
            </w:pPr>
            <w:r>
              <w:rPr>
                <w:rFonts w:hint="eastAsia"/>
              </w:rPr>
              <w:t>0.12</w:t>
            </w:r>
          </w:p>
        </w:tc>
        <w:tc>
          <w:tcPr>
            <w:tcW w:w="833" w:type="pct"/>
            <w:vAlign w:val="center"/>
          </w:tcPr>
          <w:p>
            <w:pPr>
              <w:jc w:val="center"/>
            </w:pPr>
            <w:r>
              <w:rPr>
                <w:rFonts w:hint="eastAsia"/>
              </w:rPr>
              <w:t>0.17</w:t>
            </w:r>
          </w:p>
        </w:tc>
        <w:tc>
          <w:tcPr>
            <w:tcW w:w="833" w:type="pct"/>
            <w:vAlign w:val="center"/>
          </w:tcPr>
          <w:p>
            <w:pPr>
              <w:jc w:val="center"/>
            </w:pPr>
            <w:r>
              <w:rPr>
                <w:rFonts w:hint="eastAsia"/>
              </w:rPr>
              <w:t>0.25</w:t>
            </w:r>
          </w:p>
        </w:tc>
      </w:tr>
      <w:bookmarkEnd w:id="14"/>
    </w:tbl>
    <w:p>
      <w:pPr>
        <w:spacing w:before="156" w:beforeLines="50" w:after="156" w:afterLines="50" w:line="360" w:lineRule="auto"/>
        <w:rPr>
          <w:rFonts w:eastAsia="黑体"/>
        </w:rPr>
      </w:pPr>
      <w:r>
        <w:rPr>
          <w:rFonts w:hint="eastAsia" w:eastAsia="黑体"/>
        </w:rPr>
        <w:t>方法2 碘量法</w:t>
      </w:r>
    </w:p>
    <w:p>
      <w:pPr>
        <w:tabs>
          <w:tab w:val="left" w:pos="360"/>
        </w:tabs>
        <w:spacing w:line="360" w:lineRule="auto"/>
        <w:outlineLvl w:val="0"/>
        <w:rPr>
          <w:rFonts w:eastAsia="黑体"/>
        </w:rPr>
      </w:pPr>
      <w:r>
        <w:rPr>
          <w:rFonts w:eastAsia="黑体"/>
        </w:rPr>
        <w:t xml:space="preserve">3.1 </w:t>
      </w:r>
      <w:r>
        <w:rPr>
          <w:rFonts w:hint="eastAsia" w:eastAsia="黑体"/>
        </w:rPr>
        <w:t>方法提要</w:t>
      </w:r>
    </w:p>
    <w:p>
      <w:pPr>
        <w:spacing w:line="360" w:lineRule="auto"/>
        <w:ind w:firstLine="420" w:firstLineChars="200"/>
      </w:pPr>
      <w:r>
        <w:rPr>
          <w:rFonts w:hint="eastAsia"/>
        </w:rPr>
        <w:t>试料用盐酸、氢氟酸、硝酸、高氯酸及</w:t>
      </w:r>
      <w:bookmarkStart w:id="15" w:name="OLE_LINK2"/>
      <w:r>
        <w:rPr>
          <w:rFonts w:hint="eastAsia"/>
        </w:rPr>
        <w:t>硫酸</w:t>
      </w:r>
      <w:bookmarkEnd w:id="15"/>
      <w:r>
        <w:rPr>
          <w:rFonts w:hint="eastAsia"/>
        </w:rPr>
        <w:t>分解，氢溴酸除去砷、锑、锡，硫酸除去硒干扰。用乙酸铵调节溶液</w:t>
      </w:r>
      <w:r>
        <w:t>pH</w:t>
      </w:r>
      <w:r>
        <w:rPr>
          <w:rFonts w:hint="eastAsia"/>
        </w:rPr>
        <w:t>值为</w:t>
      </w:r>
      <w:r>
        <w:t>3~4</w:t>
      </w:r>
      <w:r>
        <w:rPr>
          <w:rFonts w:hint="eastAsia"/>
        </w:rPr>
        <w:t>，用氟化氢铵掩蔽铁，加入碘化钾与二价铜作用，析出的碘以淀粉为指示剂，用硫代硫酸钠标准滴定溶液滴定。</w:t>
      </w:r>
    </w:p>
    <w:p>
      <w:pPr>
        <w:spacing w:line="360" w:lineRule="auto"/>
        <w:rPr>
          <w:rFonts w:eastAsia="黑体"/>
          <w:szCs w:val="21"/>
        </w:rPr>
      </w:pPr>
      <w:r>
        <w:rPr>
          <w:rFonts w:eastAsia="黑体"/>
          <w:szCs w:val="21"/>
        </w:rPr>
        <w:t xml:space="preserve">3.2  </w:t>
      </w:r>
      <w:r>
        <w:rPr>
          <w:rFonts w:hint="eastAsia" w:eastAsia="黑体"/>
          <w:szCs w:val="21"/>
        </w:rPr>
        <w:t>试剂</w:t>
      </w:r>
    </w:p>
    <w:p>
      <w:pPr>
        <w:ind w:firstLine="420" w:firstLineChars="200"/>
      </w:pPr>
      <w:r>
        <w:rPr>
          <w:rFonts w:hint="eastAsia"/>
        </w:rPr>
        <w:t>除非另有说明，在分析中仅使用确认为分析纯的试剂和蒸馏水或去离子水或相当纯度的水。</w:t>
      </w:r>
    </w:p>
    <w:p>
      <w:pPr>
        <w:rPr>
          <w:kern w:val="1"/>
        </w:rPr>
      </w:pPr>
      <w:r>
        <w:rPr>
          <w:kern w:val="1"/>
        </w:rPr>
        <w:t xml:space="preserve">3.2.1  </w:t>
      </w:r>
      <w:r>
        <w:rPr>
          <w:rFonts w:hint="eastAsia"/>
          <w:kern w:val="1"/>
        </w:rPr>
        <w:t>纯铜（</w:t>
      </w:r>
      <w:r>
        <w:rPr>
          <w:i/>
        </w:rPr>
        <w:t>W</w:t>
      </w:r>
      <w:r>
        <w:rPr>
          <w:i/>
          <w:vertAlign w:val="subscript"/>
        </w:rPr>
        <w:t>Cu</w:t>
      </w:r>
      <w:r>
        <w:rPr>
          <w:i/>
          <w:sz w:val="18"/>
          <w:szCs w:val="18"/>
        </w:rPr>
        <w:t>≥</w:t>
      </w:r>
      <w:r>
        <w:t>99.99 %</w:t>
      </w:r>
      <w:r>
        <w:rPr>
          <w:rFonts w:hint="eastAsia"/>
          <w:kern w:val="1"/>
        </w:rPr>
        <w:t>）：将纯铜放入适量乙酸（</w:t>
      </w:r>
      <w:r>
        <w:rPr>
          <w:kern w:val="1"/>
        </w:rPr>
        <w:t>3.2.</w:t>
      </w:r>
      <w:r>
        <w:rPr>
          <w:rFonts w:hint="eastAsia"/>
          <w:kern w:val="1"/>
        </w:rPr>
        <w:t>5）中，微沸</w:t>
      </w:r>
      <w:r>
        <w:rPr>
          <w:kern w:val="1"/>
        </w:rPr>
        <w:t>1min</w:t>
      </w:r>
      <w:r>
        <w:rPr>
          <w:rFonts w:hint="eastAsia"/>
          <w:kern w:val="1"/>
        </w:rPr>
        <w:t>，取下，冷却，将纯铜从乙酸（</w:t>
      </w:r>
      <w:r>
        <w:rPr>
          <w:kern w:val="1"/>
        </w:rPr>
        <w:t>3.2.</w:t>
      </w:r>
      <w:r>
        <w:rPr>
          <w:rFonts w:hint="eastAsia"/>
          <w:kern w:val="1"/>
        </w:rPr>
        <w:t>5）中取出，用煮沸并冷却的去离子水冲洗</w:t>
      </w:r>
      <w:r>
        <w:rPr>
          <w:kern w:val="1"/>
        </w:rPr>
        <w:t>2</w:t>
      </w:r>
      <w:r>
        <w:rPr>
          <w:rFonts w:hint="eastAsia"/>
          <w:kern w:val="1"/>
        </w:rPr>
        <w:t>次以上，再用无水乙醇（</w:t>
      </w:r>
      <w:r>
        <w:rPr>
          <w:kern w:val="1"/>
        </w:rPr>
        <w:t>3.2.</w:t>
      </w:r>
      <w:r>
        <w:rPr>
          <w:rFonts w:hint="eastAsia"/>
          <w:kern w:val="1"/>
        </w:rPr>
        <w:t>4）冲洗</w:t>
      </w:r>
      <w:r>
        <w:rPr>
          <w:kern w:val="1"/>
        </w:rPr>
        <w:t>2</w:t>
      </w:r>
      <w:r>
        <w:rPr>
          <w:rFonts w:hint="eastAsia"/>
          <w:kern w:val="1"/>
        </w:rPr>
        <w:t>次，在升温至10</w:t>
      </w:r>
      <w:r>
        <w:rPr>
          <w:kern w:val="1"/>
        </w:rPr>
        <w:t>0</w:t>
      </w:r>
      <w:r>
        <w:rPr>
          <w:rFonts w:hint="eastAsia"/>
          <w:kern w:val="1"/>
        </w:rPr>
        <w:t>℃±</w:t>
      </w:r>
      <w:r>
        <w:rPr>
          <w:kern w:val="1"/>
        </w:rPr>
        <w:t>5</w:t>
      </w:r>
      <w:r>
        <w:rPr>
          <w:rFonts w:hint="eastAsia"/>
          <w:kern w:val="1"/>
        </w:rPr>
        <w:t>℃的烘箱中烘</w:t>
      </w:r>
      <w:r>
        <w:rPr>
          <w:kern w:val="1"/>
        </w:rPr>
        <w:t>4min</w:t>
      </w:r>
      <w:r>
        <w:rPr>
          <w:rFonts w:hint="eastAsia"/>
          <w:kern w:val="1"/>
        </w:rPr>
        <w:t>，取出，冷却，置于磨口瓶中备用。</w:t>
      </w:r>
    </w:p>
    <w:p>
      <w:r>
        <w:rPr>
          <w:kern w:val="1"/>
        </w:rPr>
        <w:t>3.2.2</w:t>
      </w:r>
      <w:r>
        <w:rPr>
          <w:rFonts w:hint="eastAsia"/>
        </w:rPr>
        <w:t>碘化钾。</w:t>
      </w:r>
    </w:p>
    <w:p>
      <w:r>
        <w:t xml:space="preserve">3.2.3 </w:t>
      </w:r>
      <w:r>
        <w:rPr>
          <w:rFonts w:hint="eastAsia"/>
        </w:rPr>
        <w:t>无水碳酸钠。</w:t>
      </w:r>
    </w:p>
    <w:p>
      <w:pPr>
        <w:rPr>
          <w:kern w:val="1"/>
        </w:rPr>
      </w:pPr>
      <w:r>
        <w:t xml:space="preserve">3.2.4 </w:t>
      </w:r>
      <w:r>
        <w:rPr>
          <w:rFonts w:hint="eastAsia"/>
        </w:rPr>
        <w:t>无水乙醇（</w:t>
      </w:r>
      <w:r>
        <w:rPr>
          <w:kern w:val="1"/>
        </w:rPr>
        <w:t>ρ0.79 g/mL</w:t>
      </w:r>
      <w:r>
        <w:rPr>
          <w:rFonts w:hint="eastAsia"/>
        </w:rPr>
        <w:t>）。</w:t>
      </w:r>
    </w:p>
    <w:p>
      <w:r>
        <w:t xml:space="preserve">3.2.5 </w:t>
      </w:r>
      <w:r>
        <w:rPr>
          <w:rFonts w:hint="eastAsia"/>
        </w:rPr>
        <w:t>冰乙酸（</w:t>
      </w:r>
      <w:r>
        <w:rPr>
          <w:kern w:val="1"/>
        </w:rPr>
        <w:t>ρ1.05 g/mL</w:t>
      </w:r>
      <w:r>
        <w:rPr>
          <w:rFonts w:hint="eastAsia"/>
        </w:rPr>
        <w:t>）。</w:t>
      </w:r>
    </w:p>
    <w:p>
      <w:r>
        <w:t xml:space="preserve">3.2.6 </w:t>
      </w:r>
      <w:r>
        <w:rPr>
          <w:rFonts w:hint="eastAsia"/>
        </w:rPr>
        <w:t>盐酸（</w:t>
      </w:r>
      <w:r>
        <w:t>ρ1.19 g</w:t>
      </w:r>
      <w:r>
        <w:rPr>
          <w:rFonts w:hint="eastAsia"/>
        </w:rPr>
        <w:t>／</w:t>
      </w:r>
      <w:r>
        <w:t>mL</w:t>
      </w:r>
      <w:r>
        <w:rPr>
          <w:rFonts w:hint="eastAsia"/>
        </w:rPr>
        <w:t>）。</w:t>
      </w:r>
    </w:p>
    <w:p>
      <w:r>
        <w:t>3.2.</w:t>
      </w:r>
      <w:r>
        <w:rPr>
          <w:rFonts w:hint="eastAsia"/>
        </w:rPr>
        <w:t>7氢氟酸（</w:t>
      </w:r>
      <w:r>
        <w:rPr>
          <w:kern w:val="1"/>
        </w:rPr>
        <w:t>ρ1.15 g/mL</w:t>
      </w:r>
      <w:r>
        <w:rPr>
          <w:rFonts w:hint="eastAsia"/>
        </w:rPr>
        <w:t>）</w:t>
      </w:r>
    </w:p>
    <w:p>
      <w:r>
        <w:t>3.2.</w:t>
      </w:r>
      <w:r>
        <w:rPr>
          <w:rFonts w:hint="eastAsia"/>
        </w:rPr>
        <w:t>8硝酸（</w:t>
      </w:r>
      <w:r>
        <w:t>ρ1.42 g</w:t>
      </w:r>
      <w:r>
        <w:rPr>
          <w:rFonts w:hint="eastAsia"/>
        </w:rPr>
        <w:t>／</w:t>
      </w:r>
      <w:r>
        <w:t>mL</w:t>
      </w:r>
      <w:r>
        <w:rPr>
          <w:rFonts w:hint="eastAsia"/>
        </w:rPr>
        <w:t>）。</w:t>
      </w:r>
    </w:p>
    <w:p>
      <w:r>
        <w:t>3.2.</w:t>
      </w:r>
      <w:r>
        <w:rPr>
          <w:rFonts w:hint="eastAsia"/>
        </w:rPr>
        <w:t>9氢溴酸（</w:t>
      </w:r>
      <w:r>
        <w:rPr>
          <w:kern w:val="1"/>
        </w:rPr>
        <w:t>ρ1.49 g/mL</w:t>
      </w:r>
      <w:r>
        <w:rPr>
          <w:rFonts w:hint="eastAsia"/>
        </w:rPr>
        <w:t>）。</w:t>
      </w:r>
    </w:p>
    <w:p>
      <w:r>
        <w:t>3.2.</w:t>
      </w:r>
      <w:r>
        <w:rPr>
          <w:rFonts w:hint="eastAsia"/>
        </w:rPr>
        <w:t>10高氯酸（</w:t>
      </w:r>
      <w:r>
        <w:rPr>
          <w:kern w:val="1"/>
        </w:rPr>
        <w:t>ρ1.</w:t>
      </w:r>
      <w:r>
        <w:rPr>
          <w:rFonts w:hint="eastAsia"/>
          <w:kern w:val="1"/>
        </w:rPr>
        <w:t>67</w:t>
      </w:r>
      <w:r>
        <w:rPr>
          <w:kern w:val="1"/>
        </w:rPr>
        <w:t xml:space="preserve"> g/mL</w:t>
      </w:r>
      <w:r>
        <w:rPr>
          <w:rFonts w:hint="eastAsia"/>
        </w:rPr>
        <w:t>）。</w:t>
      </w:r>
    </w:p>
    <w:p>
      <w:r>
        <w:t>3.2.1</w:t>
      </w:r>
      <w:r>
        <w:rPr>
          <w:rFonts w:hint="eastAsia"/>
        </w:rPr>
        <w:t>1硫酸（</w:t>
      </w:r>
      <w:r>
        <w:rPr>
          <w:kern w:val="1"/>
        </w:rPr>
        <w:t>ρ1.84 g/mL</w:t>
      </w:r>
      <w:r>
        <w:rPr>
          <w:rFonts w:hint="eastAsia"/>
        </w:rPr>
        <w:t>）。</w:t>
      </w:r>
    </w:p>
    <w:p>
      <w:r>
        <w:t>3.2</w:t>
      </w:r>
      <w:r>
        <w:rPr>
          <w:rFonts w:hint="eastAsia"/>
        </w:rPr>
        <w:t>.12 硝酸（</w:t>
      </w:r>
      <w:r>
        <w:t>1+1</w:t>
      </w:r>
      <w:r>
        <w:rPr>
          <w:rFonts w:hint="eastAsia"/>
        </w:rPr>
        <w:t>）。</w:t>
      </w:r>
    </w:p>
    <w:p>
      <w:r>
        <w:t>3.2</w:t>
      </w:r>
      <w:r>
        <w:rPr>
          <w:rFonts w:hint="eastAsia"/>
        </w:rPr>
        <w:t>.</w:t>
      </w:r>
      <w:r>
        <w:t>1</w:t>
      </w:r>
      <w:r>
        <w:rPr>
          <w:rFonts w:hint="eastAsia"/>
        </w:rPr>
        <w:t>3硫酸（1+1）。</w:t>
      </w:r>
    </w:p>
    <w:p>
      <w:r>
        <w:t>3.2.14</w:t>
      </w:r>
      <w:r>
        <w:rPr>
          <w:rFonts w:hint="eastAsia"/>
        </w:rPr>
        <w:t>三氯化铁溶液（</w:t>
      </w:r>
      <w:r>
        <w:t>100g/L</w:t>
      </w:r>
      <w:r>
        <w:rPr>
          <w:rFonts w:hint="eastAsia"/>
        </w:rPr>
        <w:t>）。</w:t>
      </w:r>
    </w:p>
    <w:p>
      <w:r>
        <w:t xml:space="preserve">3.2.15 </w:t>
      </w:r>
      <w:r>
        <w:rPr>
          <w:rFonts w:hint="eastAsia"/>
        </w:rPr>
        <w:t>乙酸铵溶液（</w:t>
      </w:r>
      <w:r>
        <w:t>300g/L</w:t>
      </w:r>
      <w:r>
        <w:rPr>
          <w:rFonts w:hint="eastAsia"/>
        </w:rPr>
        <w:t>）：称取</w:t>
      </w:r>
      <w:r>
        <w:t>90g</w:t>
      </w:r>
      <w:r>
        <w:rPr>
          <w:rFonts w:hint="eastAsia"/>
        </w:rPr>
        <w:t>乙酸铵，置于</w:t>
      </w:r>
      <w:r>
        <w:t>400mL</w:t>
      </w:r>
      <w:r>
        <w:rPr>
          <w:rFonts w:hint="eastAsia"/>
        </w:rPr>
        <w:t>烧杯中，加入</w:t>
      </w:r>
      <w:r>
        <w:t>150mL</w:t>
      </w:r>
      <w:r>
        <w:rPr>
          <w:rFonts w:hint="eastAsia"/>
        </w:rPr>
        <w:t>水和</w:t>
      </w:r>
      <w:r>
        <w:t>100mL</w:t>
      </w:r>
      <w:r>
        <w:rPr>
          <w:rFonts w:hint="eastAsia"/>
        </w:rPr>
        <w:t>冰乙酸（</w:t>
      </w:r>
      <w:r>
        <w:t>3.2.</w:t>
      </w:r>
      <w:r>
        <w:rPr>
          <w:rFonts w:hint="eastAsia"/>
        </w:rPr>
        <w:t>5），溶解后，用水稀释至</w:t>
      </w:r>
      <w:r>
        <w:t>300mL ,</w:t>
      </w:r>
      <w:r>
        <w:rPr>
          <w:rFonts w:hint="eastAsia"/>
        </w:rPr>
        <w:t>混匀，此溶液</w:t>
      </w:r>
      <w:r>
        <w:t>pH</w:t>
      </w:r>
      <w:r>
        <w:rPr>
          <w:rFonts w:hint="eastAsia"/>
        </w:rPr>
        <w:t>值为</w:t>
      </w:r>
      <w:r>
        <w:t>5</w:t>
      </w:r>
      <w:r>
        <w:rPr>
          <w:rFonts w:hint="eastAsia"/>
        </w:rPr>
        <w:t>。</w:t>
      </w:r>
    </w:p>
    <w:p>
      <w:r>
        <w:t xml:space="preserve">3.2.16 </w:t>
      </w:r>
      <w:r>
        <w:rPr>
          <w:rFonts w:hint="eastAsia"/>
        </w:rPr>
        <w:t>氟化氢铵饱和溶液。</w:t>
      </w:r>
    </w:p>
    <w:p>
      <w:r>
        <w:t xml:space="preserve">3.2.17 </w:t>
      </w:r>
      <w:r>
        <w:rPr>
          <w:rFonts w:hint="eastAsia"/>
        </w:rPr>
        <w:t>碘溶液（</w:t>
      </w:r>
      <w:r>
        <w:t>0.04mol/L</w:t>
      </w:r>
      <w:r>
        <w:rPr>
          <w:rFonts w:hint="eastAsia"/>
        </w:rPr>
        <w:t>）。</w:t>
      </w:r>
    </w:p>
    <w:p>
      <w:r>
        <w:t xml:space="preserve">3.2.18 </w:t>
      </w:r>
      <w:r>
        <w:rPr>
          <w:rFonts w:hint="eastAsia"/>
        </w:rPr>
        <w:t>淀粉溶液（</w:t>
      </w:r>
      <w:r>
        <w:t>5g/L</w:t>
      </w:r>
      <w:r>
        <w:rPr>
          <w:rFonts w:hint="eastAsia"/>
        </w:rPr>
        <w:t>）。</w:t>
      </w:r>
    </w:p>
    <w:p>
      <w:r>
        <w:t xml:space="preserve">3.2.19 </w:t>
      </w:r>
      <w:r>
        <w:rPr>
          <w:rFonts w:hint="eastAsia"/>
        </w:rPr>
        <w:t>硫氰酸钾溶液（</w:t>
      </w:r>
      <w:r>
        <w:t>100g/L</w:t>
      </w:r>
      <w:r>
        <w:rPr>
          <w:rFonts w:hint="eastAsia"/>
        </w:rPr>
        <w:t>）：称取</w:t>
      </w:r>
      <w:r>
        <w:t>10g</w:t>
      </w:r>
      <w:r>
        <w:rPr>
          <w:rFonts w:hint="eastAsia"/>
        </w:rPr>
        <w:t>硫氰酸钾于</w:t>
      </w:r>
      <w:r>
        <w:t>400mL</w:t>
      </w:r>
      <w:r>
        <w:rPr>
          <w:rFonts w:hint="eastAsia"/>
        </w:rPr>
        <w:t>烧杯中，加入</w:t>
      </w:r>
      <w:r>
        <w:t>100mL</w:t>
      </w:r>
      <w:r>
        <w:rPr>
          <w:rFonts w:hint="eastAsia"/>
        </w:rPr>
        <w:t>水溶解，加入</w:t>
      </w:r>
      <w:r>
        <w:t>2g</w:t>
      </w:r>
      <w:r>
        <w:rPr>
          <w:rFonts w:hint="eastAsia"/>
        </w:rPr>
        <w:t>碘化钾（</w:t>
      </w:r>
      <w:r>
        <w:t>3.2.2</w:t>
      </w:r>
      <w:r>
        <w:rPr>
          <w:rFonts w:hint="eastAsia"/>
        </w:rPr>
        <w:t>），溶解后加入</w:t>
      </w:r>
      <w:r>
        <w:t>2mL</w:t>
      </w:r>
      <w:r>
        <w:rPr>
          <w:rFonts w:hint="eastAsia"/>
        </w:rPr>
        <w:t>淀粉溶液（</w:t>
      </w:r>
      <w:r>
        <w:t>3.2.1</w:t>
      </w:r>
      <w:r>
        <w:rPr>
          <w:rFonts w:hint="eastAsia"/>
        </w:rPr>
        <w:t>8），滴加碘溶液（</w:t>
      </w:r>
      <w:r>
        <w:t>3.2.1</w:t>
      </w:r>
      <w:r>
        <w:rPr>
          <w:rFonts w:hint="eastAsia"/>
        </w:rPr>
        <w:t>7）至恰好呈蓝色，用硫代硫酸钠标准滴定溶液（</w:t>
      </w:r>
      <w:r>
        <w:t>3.2.</w:t>
      </w:r>
      <w:r>
        <w:rPr>
          <w:rFonts w:hint="eastAsia"/>
        </w:rPr>
        <w:t>20）滴定至蓝色刚好消失。</w:t>
      </w:r>
    </w:p>
    <w:p>
      <w:r>
        <w:t xml:space="preserve">3.2.20 </w:t>
      </w:r>
      <w:r>
        <w:rPr>
          <w:rFonts w:hint="eastAsia"/>
        </w:rPr>
        <w:t>硫代硫酸钠标准滴定溶液</w:t>
      </w:r>
      <w:r>
        <w:t>[C</w:t>
      </w:r>
      <w:r>
        <w:rPr>
          <w:rFonts w:hint="eastAsia"/>
        </w:rPr>
        <w:t>（</w:t>
      </w:r>
      <w:r>
        <w:t>Na</w:t>
      </w:r>
      <w:r>
        <w:rPr>
          <w:vertAlign w:val="subscript"/>
        </w:rPr>
        <w:t>2</w:t>
      </w:r>
      <w:r>
        <w:t>S</w:t>
      </w:r>
      <w:r>
        <w:rPr>
          <w:vertAlign w:val="subscript"/>
        </w:rPr>
        <w:t>2</w:t>
      </w:r>
      <w:r>
        <w:t>O</w:t>
      </w:r>
      <w:r>
        <w:rPr>
          <w:vertAlign w:val="subscript"/>
        </w:rPr>
        <w:t>3</w:t>
      </w:r>
      <w:r>
        <w:rPr>
          <w:rFonts w:hint="eastAsia"/>
        </w:rPr>
        <w:t>·</w:t>
      </w:r>
      <w:r>
        <w:t>5H</w:t>
      </w:r>
      <w:r>
        <w:rPr>
          <w:vertAlign w:val="subscript"/>
        </w:rPr>
        <w:t>2</w:t>
      </w:r>
      <w:r>
        <w:t>O</w:t>
      </w:r>
      <w:r>
        <w:rPr>
          <w:rFonts w:hint="eastAsia"/>
        </w:rPr>
        <w:t>）≈</w:t>
      </w:r>
      <w:r>
        <w:t>0.030mol/L]</w:t>
      </w:r>
      <w:r>
        <w:rPr>
          <w:rFonts w:hint="eastAsia"/>
        </w:rPr>
        <w:t>。</w:t>
      </w:r>
    </w:p>
    <w:p>
      <w:r>
        <w:t xml:space="preserve">3.2.20.1 </w:t>
      </w:r>
      <w:r>
        <w:rPr>
          <w:rFonts w:hint="eastAsia"/>
        </w:rPr>
        <w:t>制备</w:t>
      </w:r>
    </w:p>
    <w:p>
      <w:pPr>
        <w:ind w:firstLine="420" w:firstLineChars="200"/>
      </w:pPr>
      <w:r>
        <w:rPr>
          <w:rFonts w:hint="eastAsia"/>
        </w:rPr>
        <w:t>称取</w:t>
      </w:r>
      <w:r>
        <w:t>75g</w:t>
      </w:r>
      <w:r>
        <w:rPr>
          <w:rFonts w:hint="eastAsia"/>
        </w:rPr>
        <w:t>硫代硫酸钠（</w:t>
      </w:r>
      <w:r>
        <w:t>Na</w:t>
      </w:r>
      <w:r>
        <w:rPr>
          <w:vertAlign w:val="subscript"/>
        </w:rPr>
        <w:t>2</w:t>
      </w:r>
      <w:r>
        <w:t>S</w:t>
      </w:r>
      <w:r>
        <w:rPr>
          <w:vertAlign w:val="subscript"/>
        </w:rPr>
        <w:t>2</w:t>
      </w:r>
      <w:r>
        <w:t>O</w:t>
      </w:r>
      <w:r>
        <w:rPr>
          <w:vertAlign w:val="subscript"/>
        </w:rPr>
        <w:t>3</w:t>
      </w:r>
      <w:r>
        <w:rPr>
          <w:rFonts w:hint="eastAsia"/>
        </w:rPr>
        <w:t>·</w:t>
      </w:r>
      <w:r>
        <w:t>5H</w:t>
      </w:r>
      <w:r>
        <w:rPr>
          <w:vertAlign w:val="subscript"/>
        </w:rPr>
        <w:t>2</w:t>
      </w:r>
      <w:r>
        <w:t>O</w:t>
      </w:r>
      <w:r>
        <w:rPr>
          <w:rFonts w:hint="eastAsia"/>
        </w:rPr>
        <w:t>）于</w:t>
      </w:r>
      <w:r>
        <w:t>2000mL</w:t>
      </w:r>
      <w:r>
        <w:rPr>
          <w:rFonts w:hint="eastAsia"/>
        </w:rPr>
        <w:t>烧杯中，加入</w:t>
      </w:r>
      <w:r>
        <w:t>2g</w:t>
      </w:r>
      <w:r>
        <w:rPr>
          <w:rFonts w:hint="eastAsia"/>
        </w:rPr>
        <w:t>无水碳酸钠（</w:t>
      </w:r>
      <w:r>
        <w:t>3.2.3</w:t>
      </w:r>
      <w:r>
        <w:rPr>
          <w:rFonts w:hint="eastAsia"/>
        </w:rPr>
        <w:t>），加入</w:t>
      </w:r>
      <w:r>
        <w:t>1000mL</w:t>
      </w:r>
      <w:r>
        <w:rPr>
          <w:rFonts w:hint="eastAsia"/>
        </w:rPr>
        <w:t>煮沸过并冷却至室温的去离子水溶解完全后，移入</w:t>
      </w:r>
      <w:r>
        <w:t>10L</w:t>
      </w:r>
      <w:r>
        <w:rPr>
          <w:rFonts w:hint="eastAsia"/>
        </w:rPr>
        <w:t>棕色试剂瓶中，用煮沸并冷却至室温的去离子水稀释至约</w:t>
      </w:r>
      <w:r>
        <w:t>10L</w:t>
      </w:r>
      <w:r>
        <w:rPr>
          <w:rFonts w:hint="eastAsia"/>
        </w:rPr>
        <w:t>，摇匀，静置两周。使用时过滤。</w:t>
      </w:r>
    </w:p>
    <w:p>
      <w:r>
        <w:t xml:space="preserve">3.2.20.2 </w:t>
      </w:r>
      <w:r>
        <w:rPr>
          <w:rFonts w:hint="eastAsia"/>
        </w:rPr>
        <w:t>标定</w:t>
      </w:r>
    </w:p>
    <w:p>
      <w:pPr>
        <w:ind w:firstLine="420" w:firstLineChars="200"/>
      </w:pPr>
      <w:r>
        <w:rPr>
          <w:rFonts w:hint="eastAsia"/>
        </w:rPr>
        <w:t>称取</w:t>
      </w:r>
      <w:r>
        <w:t>0.0</w:t>
      </w:r>
      <w:r>
        <w:rPr>
          <w:rFonts w:hint="eastAsia"/>
        </w:rPr>
        <w:t>6</w:t>
      </w:r>
      <w:r>
        <w:t>0 g</w:t>
      </w:r>
      <w:r>
        <w:rPr>
          <w:rFonts w:hint="eastAsia"/>
        </w:rPr>
        <w:t>（</w:t>
      </w:r>
      <w:r>
        <w:rPr>
          <w:rFonts w:hint="eastAsia"/>
          <w:szCs w:val="21"/>
        </w:rPr>
        <w:t>精确至</w:t>
      </w:r>
      <w:r>
        <w:rPr>
          <w:szCs w:val="21"/>
        </w:rPr>
        <w:t>0.0001 g</w:t>
      </w:r>
      <w:r>
        <w:rPr>
          <w:rFonts w:hint="eastAsia"/>
        </w:rPr>
        <w:t>）纯铜（</w:t>
      </w:r>
      <w:r>
        <w:t>3.2.1</w:t>
      </w:r>
      <w:r>
        <w:rPr>
          <w:rFonts w:hint="eastAsia"/>
        </w:rPr>
        <w:t>）于3</w:t>
      </w:r>
      <w:r>
        <w:t>00 ml</w:t>
      </w:r>
      <w:r>
        <w:rPr>
          <w:rFonts w:hint="eastAsia"/>
        </w:rPr>
        <w:t>三角烧杯中，加入</w:t>
      </w:r>
      <w:r>
        <w:t>10 mL</w:t>
      </w:r>
      <w:r>
        <w:rPr>
          <w:rFonts w:hint="eastAsia"/>
        </w:rPr>
        <w:t>硝酸（</w:t>
      </w:r>
      <w:r>
        <w:t>3.2.</w:t>
      </w:r>
      <w:r>
        <w:rPr>
          <w:rFonts w:hint="eastAsia"/>
        </w:rPr>
        <w:t>12），盖上表面皿，于低温电热板上加热至完全溶解，取下，用水吹洗表面及杯壁，加入5mL硫酸（</w:t>
      </w:r>
      <w:r>
        <w:t>3.2</w:t>
      </w:r>
      <w:r>
        <w:rPr>
          <w:rFonts w:hint="eastAsia"/>
        </w:rPr>
        <w:t>.13），继续加热蒸至近干，取下稍冷，用40 mL水吹洗杯壁，加热煮沸，使盐类完全溶解，取下，冷却至室温。加</w:t>
      </w:r>
      <w:r>
        <w:t>1 mL</w:t>
      </w:r>
      <w:r>
        <w:rPr>
          <w:rFonts w:hint="eastAsia"/>
        </w:rPr>
        <w:t>三氯化铁溶液（</w:t>
      </w:r>
      <w:r>
        <w:t>3.2.14</w:t>
      </w:r>
      <w:r>
        <w:rPr>
          <w:rFonts w:hint="eastAsia"/>
        </w:rPr>
        <w:t>），滴加乙酸铵溶液（</w:t>
      </w:r>
      <w:r>
        <w:t>3.2.15</w:t>
      </w:r>
      <w:r>
        <w:rPr>
          <w:rFonts w:hint="eastAsia"/>
        </w:rPr>
        <w:t>）至红色不再加深并过量</w:t>
      </w:r>
      <w:r>
        <w:t>4 mL</w:t>
      </w:r>
      <w:r>
        <w:rPr>
          <w:rFonts w:hint="eastAsia"/>
        </w:rPr>
        <w:t>，然后滴加氟化氢铵饱和溶液（</w:t>
      </w:r>
      <w:r>
        <w:t>3.2.16</w:t>
      </w:r>
      <w:r>
        <w:rPr>
          <w:rFonts w:hint="eastAsia"/>
        </w:rPr>
        <w:t>）至红色消失并过量</w:t>
      </w:r>
      <w:r>
        <w:t>1 mL,</w:t>
      </w:r>
      <w:r>
        <w:rPr>
          <w:rFonts w:hint="eastAsia"/>
        </w:rPr>
        <w:t>混匀。加入</w:t>
      </w:r>
      <w:r>
        <w:t>2~3g</w:t>
      </w:r>
      <w:r>
        <w:rPr>
          <w:rFonts w:hint="eastAsia"/>
        </w:rPr>
        <w:t>碘化钾（</w:t>
      </w:r>
      <w:r>
        <w:t>3.2.2</w:t>
      </w:r>
      <w:r>
        <w:rPr>
          <w:rFonts w:hint="eastAsia"/>
        </w:rPr>
        <w:t>），摇动溶解，立即用硫代硫酸钠标准滴定溶液（</w:t>
      </w:r>
      <w:r>
        <w:t>12.20</w:t>
      </w:r>
      <w:r>
        <w:rPr>
          <w:rFonts w:hint="eastAsia"/>
        </w:rPr>
        <w:t>）滴定至浅黄色，加入</w:t>
      </w:r>
      <w:r>
        <w:t>2mL</w:t>
      </w:r>
      <w:r>
        <w:rPr>
          <w:rFonts w:hint="eastAsia"/>
        </w:rPr>
        <w:t>淀粉溶液（</w:t>
      </w:r>
      <w:r>
        <w:t>3.2.18</w:t>
      </w:r>
      <w:r>
        <w:rPr>
          <w:rFonts w:hint="eastAsia"/>
        </w:rPr>
        <w:t>），继续滴定至浅蓝色，加入</w:t>
      </w:r>
      <w:r>
        <w:t>5mL</w:t>
      </w:r>
      <w:r>
        <w:rPr>
          <w:rFonts w:hint="eastAsia"/>
        </w:rPr>
        <w:t>硫氰酸钾溶液（</w:t>
      </w:r>
      <w:r>
        <w:t>3.2.19</w:t>
      </w:r>
      <w:r>
        <w:rPr>
          <w:rFonts w:hint="eastAsia"/>
        </w:rPr>
        <w:t>），激烈摇振至蓝色加深，继续滴定至蓝色刚好消失为终点。</w:t>
      </w:r>
    </w:p>
    <w:p>
      <w:pPr>
        <w:ind w:firstLine="420" w:firstLineChars="200"/>
      </w:pPr>
      <w:r>
        <w:rPr>
          <w:rFonts w:hint="eastAsia"/>
        </w:rPr>
        <w:t>随同标定做空白试验。</w:t>
      </w:r>
    </w:p>
    <w:p>
      <w:pPr>
        <w:ind w:firstLine="420" w:firstLineChars="200"/>
        <w:rPr>
          <w:rFonts w:hint="eastAsia"/>
        </w:rPr>
      </w:pPr>
      <w:r>
        <w:rPr>
          <w:rFonts w:hint="eastAsia"/>
        </w:rPr>
        <w:t>按式（</w:t>
      </w:r>
      <w:r>
        <w:rPr>
          <w:rFonts w:hint="eastAsia"/>
          <w:lang w:val="en-US" w:eastAsia="zh-CN"/>
        </w:rPr>
        <w:t>2</w:t>
      </w:r>
      <w:r>
        <w:rPr>
          <w:rFonts w:hint="eastAsia"/>
        </w:rPr>
        <w:t>）计算硫代硫酸钠标准滴定溶液的实际浓度（</w:t>
      </w:r>
      <w:r>
        <w:t>mol/L</w:t>
      </w:r>
      <w:r>
        <w:rPr>
          <w:rFonts w:hint="eastAsia"/>
        </w:rPr>
        <w:t>）：</w:t>
      </w:r>
      <w:r>
        <w:t xml:space="preserve">      </w:t>
      </w:r>
    </w:p>
    <w:p>
      <w:pPr>
        <w:ind w:firstLine="3360" w:firstLineChars="1600"/>
        <w:rPr>
          <w:rFonts w:hint="eastAsia" w:eastAsia="宋体"/>
          <w:lang w:eastAsia="zh-CN"/>
        </w:rPr>
      </w:pPr>
      <w:r>
        <w:rPr>
          <w:rFonts w:hint="eastAsia" w:eastAsia="宋体"/>
          <w:position w:val="-30"/>
          <w:lang w:eastAsia="zh-CN"/>
        </w:rPr>
        <w:object>
          <v:shape id="_x0000_i1026" o:spt="75" type="#_x0000_t75" style="height:34pt;width:80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r>
        <w:t xml:space="preserve"> ………………………………..</w:t>
      </w:r>
      <w:r>
        <w:rPr>
          <w:rFonts w:hint="eastAsia"/>
        </w:rPr>
        <w:t>（</w:t>
      </w:r>
      <w:r>
        <w:t>2</w:t>
      </w:r>
      <w:r>
        <w:rPr>
          <w:rFonts w:hint="eastAsia"/>
        </w:rPr>
        <w:t>）</w:t>
      </w:r>
    </w:p>
    <w:p>
      <w:pPr>
        <w:jc w:val="left"/>
      </w:pPr>
      <w:r>
        <w:rPr>
          <w:rFonts w:hint="eastAsia"/>
        </w:rPr>
        <w:t>式中：</w:t>
      </w:r>
    </w:p>
    <w:p>
      <w:pPr>
        <w:pStyle w:val="27"/>
        <w:widowControl w:val="0"/>
        <w:autoSpaceDE/>
        <w:autoSpaceDN/>
        <w:ind w:firstLine="420"/>
        <w:rPr>
          <w:rFonts w:ascii="Times New Roman" w:hAnsi="Times New Roman"/>
        </w:rPr>
      </w:pPr>
      <w:r>
        <w:rPr>
          <w:rFonts w:hint="eastAsia" w:ascii="Times New Roman" w:hAnsi="Times New Roman" w:cs="Times New Roman"/>
          <w:i/>
        </w:rPr>
        <w:t>c</w:t>
      </w:r>
      <w:r>
        <w:rPr>
          <w:rFonts w:ascii="Times New Roman" w:hAnsi="Times New Roman"/>
        </w:rPr>
        <w:t>—</w:t>
      </w:r>
      <w:r>
        <w:rPr>
          <w:rFonts w:hint="eastAsia" w:ascii="Times New Roman" w:hAnsi="Times New Roman"/>
        </w:rPr>
        <w:t>硫代硫酸钠标准滴定溶液的实际浓度，单位为摩尔每升（</w:t>
      </w:r>
      <w:r>
        <w:rPr>
          <w:rFonts w:ascii="Times New Roman" w:hAnsi="Times New Roman"/>
        </w:rPr>
        <w:t>mol/L</w:t>
      </w:r>
      <w:r>
        <w:rPr>
          <w:rFonts w:hint="eastAsia" w:ascii="Times New Roman" w:hAnsi="Times New Roman"/>
        </w:rPr>
        <w:t>）；</w:t>
      </w:r>
    </w:p>
    <w:p>
      <w:pPr>
        <w:pStyle w:val="27"/>
        <w:widowControl w:val="0"/>
        <w:autoSpaceDE/>
        <w:autoSpaceDN/>
        <w:ind w:firstLine="420"/>
        <w:rPr>
          <w:rFonts w:ascii="Times New Roman" w:hAnsi="Times New Roman"/>
        </w:rPr>
      </w:pPr>
      <w:r>
        <w:rPr>
          <w:rFonts w:ascii="Times New Roman" w:hAnsi="Times New Roman"/>
          <w:i/>
          <w:iCs/>
        </w:rPr>
        <w:t>m</w:t>
      </w:r>
      <w:r>
        <w:rPr>
          <w:rFonts w:ascii="Times New Roman" w:hAnsi="Times New Roman"/>
          <w:vertAlign w:val="subscript"/>
        </w:rPr>
        <w:t>0</w:t>
      </w:r>
      <w:r>
        <w:rPr>
          <w:rFonts w:ascii="Times New Roman" w:hAnsi="Times New Roman"/>
        </w:rPr>
        <w:t>—</w:t>
      </w:r>
      <w:r>
        <w:rPr>
          <w:rFonts w:hint="eastAsia" w:ascii="Times New Roman" w:hAnsi="Times New Roman"/>
        </w:rPr>
        <w:t>纯铜的质量，单位为克（</w:t>
      </w:r>
      <w:r>
        <w:rPr>
          <w:rFonts w:ascii="Times New Roman" w:hAnsi="Times New Roman"/>
        </w:rPr>
        <w:t>g</w:t>
      </w:r>
      <w:r>
        <w:rPr>
          <w:rFonts w:hint="eastAsia" w:ascii="Times New Roman" w:hAnsi="Times New Roman"/>
        </w:rPr>
        <w:t>）；</w:t>
      </w:r>
    </w:p>
    <w:p>
      <w:pPr>
        <w:pStyle w:val="27"/>
        <w:widowControl w:val="0"/>
        <w:autoSpaceDE/>
        <w:autoSpaceDN/>
        <w:ind w:firstLine="420"/>
        <w:rPr>
          <w:rFonts w:ascii="Times New Roman" w:hAnsi="Times New Roman"/>
        </w:rPr>
      </w:pPr>
      <w:r>
        <w:rPr>
          <w:rFonts w:ascii="Times New Roman" w:hAnsi="Times New Roman"/>
          <w:i/>
        </w:rPr>
        <w:t>V</w:t>
      </w:r>
      <w:r>
        <w:rPr>
          <w:rFonts w:ascii="Times New Roman" w:hAnsi="Times New Roman"/>
          <w:i w:val="0"/>
          <w:iCs/>
          <w:vertAlign w:val="subscript"/>
        </w:rPr>
        <w:t>4</w:t>
      </w:r>
      <w:r>
        <w:rPr>
          <w:rFonts w:ascii="Times New Roman" w:hAnsi="Times New Roman"/>
        </w:rPr>
        <w:t>—</w:t>
      </w:r>
      <w:r>
        <w:rPr>
          <w:rFonts w:hint="eastAsia" w:ascii="Times New Roman" w:hAnsi="Times New Roman"/>
        </w:rPr>
        <w:t>标定时消耗硫代硫酸钠标准溶液的体积，单位为毫升（</w:t>
      </w:r>
      <w:r>
        <w:rPr>
          <w:rFonts w:ascii="Times New Roman" w:hAnsi="Times New Roman"/>
        </w:rPr>
        <w:t>mL</w:t>
      </w:r>
      <w:r>
        <w:rPr>
          <w:rFonts w:hint="eastAsia" w:ascii="Times New Roman" w:hAnsi="Times New Roman"/>
        </w:rPr>
        <w:t>）；</w:t>
      </w:r>
    </w:p>
    <w:p>
      <w:pPr>
        <w:pStyle w:val="27"/>
        <w:widowControl w:val="0"/>
        <w:autoSpaceDE/>
        <w:autoSpaceDN/>
        <w:ind w:firstLine="420"/>
        <w:rPr>
          <w:rFonts w:ascii="Times New Roman" w:hAnsi="Times New Roman"/>
        </w:rPr>
      </w:pPr>
      <w:r>
        <w:rPr>
          <w:rFonts w:ascii="Times New Roman" w:hAnsi="Times New Roman"/>
          <w:i/>
        </w:rPr>
        <w:t>V</w:t>
      </w:r>
      <w:r>
        <w:rPr>
          <w:rFonts w:ascii="Times New Roman" w:hAnsi="Times New Roman"/>
          <w:i w:val="0"/>
          <w:iCs/>
          <w:vertAlign w:val="subscript"/>
        </w:rPr>
        <w:t>3</w:t>
      </w:r>
      <w:r>
        <w:rPr>
          <w:rFonts w:ascii="Times New Roman" w:hAnsi="Times New Roman"/>
        </w:rPr>
        <w:t>—</w:t>
      </w:r>
      <w:r>
        <w:rPr>
          <w:rFonts w:hint="eastAsia" w:ascii="Times New Roman" w:hAnsi="Times New Roman"/>
        </w:rPr>
        <w:t>空白试验消耗的硫代硫酸钠标准溶液的体积，单位为毫升（</w:t>
      </w:r>
      <w:r>
        <w:rPr>
          <w:rFonts w:ascii="Times New Roman" w:hAnsi="Times New Roman"/>
        </w:rPr>
        <w:t>mL</w:t>
      </w:r>
      <w:r>
        <w:rPr>
          <w:rFonts w:hint="eastAsia" w:ascii="Times New Roman" w:hAnsi="Times New Roman"/>
        </w:rPr>
        <w:t>）；</w:t>
      </w:r>
    </w:p>
    <w:p>
      <w:pPr>
        <w:snapToGrid w:val="0"/>
        <w:ind w:firstLine="420" w:firstLineChars="200"/>
      </w:pPr>
      <w:r>
        <w:t>M —</w:t>
      </w:r>
      <w:r>
        <w:rPr>
          <w:rFonts w:hint="eastAsia"/>
        </w:rPr>
        <w:t>铜的摩尔质量，单位为克每摩尔（</w:t>
      </w:r>
      <w:r>
        <w:t>g/mol</w:t>
      </w:r>
      <w:r>
        <w:rPr>
          <w:rFonts w:hint="eastAsia"/>
        </w:rPr>
        <w:t>）</w:t>
      </w:r>
      <w:r>
        <w:t>,[M</w:t>
      </w:r>
      <w:r>
        <w:rPr>
          <w:rFonts w:hint="eastAsia"/>
        </w:rPr>
        <w:t>（</w:t>
      </w:r>
      <w:r>
        <w:t>Cu</w:t>
      </w:r>
      <w:r>
        <w:rPr>
          <w:rFonts w:hint="eastAsia"/>
        </w:rPr>
        <w:t>）</w:t>
      </w:r>
      <w:r>
        <w:t>=63.55]</w:t>
      </w:r>
      <w:r>
        <w:rPr>
          <w:rFonts w:hint="eastAsia"/>
        </w:rPr>
        <w:t>。</w:t>
      </w:r>
    </w:p>
    <w:p>
      <w:pPr>
        <w:pStyle w:val="27"/>
        <w:widowControl w:val="0"/>
        <w:autoSpaceDE/>
        <w:autoSpaceDN/>
        <w:ind w:firstLine="420"/>
        <w:rPr>
          <w:rFonts w:ascii="Times New Roman" w:hAnsi="Times New Roman"/>
        </w:rPr>
      </w:pPr>
      <w:r>
        <w:rPr>
          <w:rFonts w:hint="eastAsia" w:ascii="Times New Roman" w:hAnsi="Times New Roman"/>
        </w:rPr>
        <w:t>平行标定四份，所得结果保留四位有效数字，其极差应不大于</w:t>
      </w:r>
      <w:r>
        <w:rPr>
          <w:rFonts w:ascii="Times New Roman" w:hAnsi="Times New Roman"/>
        </w:rPr>
        <w:t>6×10</w:t>
      </w:r>
      <w:r>
        <w:rPr>
          <w:rFonts w:ascii="Times New Roman" w:hAnsi="Times New Roman"/>
          <w:vertAlign w:val="superscript"/>
        </w:rPr>
        <w:t>-5</w:t>
      </w:r>
      <w:r>
        <w:rPr>
          <w:rFonts w:ascii="Times New Roman" w:hAnsi="Times New Roman"/>
        </w:rPr>
        <w:t>mol/L</w:t>
      </w:r>
      <w:r>
        <w:rPr>
          <w:rFonts w:hint="eastAsia" w:ascii="Times New Roman" w:hAnsi="Times New Roman"/>
        </w:rPr>
        <w:t>，取其平均值，否则重新标定。</w:t>
      </w:r>
    </w:p>
    <w:p>
      <w:pPr>
        <w:pStyle w:val="27"/>
        <w:widowControl w:val="0"/>
        <w:autoSpaceDE/>
        <w:autoSpaceDN/>
        <w:ind w:firstLine="420" w:firstLineChars="0"/>
        <w:rPr>
          <w:rFonts w:ascii="Times New Roman" w:hAnsi="Times New Roman"/>
        </w:rPr>
      </w:pPr>
      <w:r>
        <w:rPr>
          <w:rFonts w:hint="eastAsia" w:ascii="Times New Roman" w:hAnsi="Times New Roman"/>
        </w:rPr>
        <w:t>注：硫代硫酸钠标准滴定溶液每隔一周必须重新标定一次。</w:t>
      </w:r>
    </w:p>
    <w:p>
      <w:pPr>
        <w:spacing w:line="360" w:lineRule="auto"/>
        <w:ind w:right="182" w:rightChars="87"/>
      </w:pPr>
      <w:r>
        <w:t xml:space="preserve">3.3 </w:t>
      </w:r>
      <w:r>
        <w:rPr>
          <w:rFonts w:hint="eastAsia" w:eastAsia="黑体"/>
        </w:rPr>
        <w:t>试样</w:t>
      </w:r>
    </w:p>
    <w:p>
      <w:pPr>
        <w:ind w:right="182" w:rightChars="87"/>
        <w:rPr>
          <w:rFonts w:eastAsia="黑体"/>
        </w:rPr>
      </w:pPr>
      <w:r>
        <w:rPr>
          <w:rFonts w:eastAsia="黑体"/>
          <w:szCs w:val="21"/>
        </w:rPr>
        <w:t>3.1</w:t>
      </w:r>
      <w:r>
        <w:rPr>
          <w:rFonts w:hint="eastAsia"/>
          <w:szCs w:val="21"/>
        </w:rPr>
        <w:t>试样粒度应不大于</w:t>
      </w:r>
      <w:r>
        <w:rPr>
          <w:rFonts w:hint="eastAsia"/>
          <w:szCs w:val="21"/>
          <w:lang w:val="en-US" w:eastAsia="zh-CN"/>
        </w:rPr>
        <w:t>100</w:t>
      </w:r>
      <w:r>
        <w:rPr>
          <w:sz w:val="24"/>
        </w:rPr>
        <w:t xml:space="preserve"> </w:t>
      </w:r>
      <w:r>
        <w:rPr>
          <w:rFonts w:eastAsia="黑体"/>
          <w:color w:val="222222"/>
          <w:sz w:val="24"/>
        </w:rPr>
        <w:t>μm</w:t>
      </w:r>
      <w:r>
        <w:rPr>
          <w:rFonts w:hint="eastAsia"/>
          <w:szCs w:val="21"/>
        </w:rPr>
        <w:t>。</w:t>
      </w:r>
    </w:p>
    <w:p>
      <w:pPr>
        <w:ind w:right="182" w:rightChars="87"/>
        <w:rPr>
          <w:rFonts w:eastAsia="黑体"/>
        </w:rPr>
      </w:pPr>
      <w:r>
        <w:rPr>
          <w:rFonts w:eastAsia="黑体"/>
          <w:szCs w:val="21"/>
        </w:rPr>
        <w:t>3.2</w:t>
      </w:r>
      <w:r>
        <w:rPr>
          <w:rFonts w:hint="eastAsia"/>
          <w:szCs w:val="21"/>
        </w:rPr>
        <w:t>试样应在</w:t>
      </w:r>
      <w:r>
        <w:rPr>
          <w:szCs w:val="21"/>
        </w:rPr>
        <w:t xml:space="preserve">100 </w:t>
      </w:r>
      <w:r>
        <w:rPr>
          <w:rFonts w:hint="eastAsia" w:cs="宋体"/>
          <w:szCs w:val="21"/>
        </w:rPr>
        <w:t>℃</w:t>
      </w:r>
      <w:r>
        <w:rPr>
          <w:szCs w:val="21"/>
        </w:rPr>
        <w:t xml:space="preserve">~105 </w:t>
      </w:r>
      <w:r>
        <w:rPr>
          <w:rFonts w:hint="eastAsia" w:cs="宋体"/>
          <w:szCs w:val="21"/>
        </w:rPr>
        <w:t>℃</w:t>
      </w:r>
      <w:r>
        <w:rPr>
          <w:rFonts w:hint="eastAsia"/>
          <w:szCs w:val="21"/>
        </w:rPr>
        <w:t>烘2</w:t>
      </w:r>
      <w:bookmarkStart w:id="16" w:name="_GoBack"/>
      <w:bookmarkEnd w:id="16"/>
      <w:r>
        <w:rPr>
          <w:szCs w:val="21"/>
        </w:rPr>
        <w:t xml:space="preserve"> h</w:t>
      </w:r>
      <w:r>
        <w:rPr>
          <w:rFonts w:hint="eastAsia"/>
          <w:szCs w:val="21"/>
        </w:rPr>
        <w:t>后置于干燥器中，冷却至室温备用。</w:t>
      </w:r>
    </w:p>
    <w:p>
      <w:pPr>
        <w:spacing w:line="360" w:lineRule="auto"/>
        <w:ind w:right="182" w:rightChars="87"/>
        <w:rPr>
          <w:rFonts w:eastAsia="黑体"/>
          <w:szCs w:val="21"/>
        </w:rPr>
      </w:pPr>
      <w:r>
        <w:rPr>
          <w:rFonts w:eastAsia="黑体"/>
          <w:szCs w:val="21"/>
        </w:rPr>
        <w:t xml:space="preserve">3.4 </w:t>
      </w:r>
      <w:r>
        <w:rPr>
          <w:rFonts w:hint="eastAsia" w:eastAsia="黑体"/>
          <w:szCs w:val="21"/>
        </w:rPr>
        <w:t>分析步骤</w:t>
      </w:r>
    </w:p>
    <w:p>
      <w:pPr>
        <w:spacing w:line="360" w:lineRule="auto"/>
        <w:ind w:right="182" w:rightChars="87"/>
        <w:rPr>
          <w:rFonts w:eastAsia="黑体"/>
          <w:szCs w:val="21"/>
        </w:rPr>
      </w:pPr>
      <w:r>
        <w:rPr>
          <w:rFonts w:eastAsia="黑体"/>
          <w:szCs w:val="21"/>
        </w:rPr>
        <w:t xml:space="preserve">3.4.1 </w:t>
      </w:r>
      <w:r>
        <w:rPr>
          <w:rFonts w:hint="eastAsia" w:eastAsia="黑体"/>
          <w:szCs w:val="21"/>
        </w:rPr>
        <w:t>试料</w:t>
      </w:r>
    </w:p>
    <w:p>
      <w:pPr>
        <w:spacing w:line="360" w:lineRule="auto"/>
        <w:ind w:right="87" w:firstLine="420" w:firstLineChars="200"/>
        <w:rPr>
          <w:szCs w:val="21"/>
        </w:rPr>
      </w:pPr>
      <w:r>
        <w:rPr>
          <w:rFonts w:hint="eastAsia"/>
          <w:szCs w:val="21"/>
        </w:rPr>
        <w:t>按表</w:t>
      </w:r>
      <w:r>
        <w:rPr>
          <w:szCs w:val="21"/>
        </w:rPr>
        <w:t>4</w:t>
      </w:r>
      <w:r>
        <w:rPr>
          <w:rFonts w:hint="eastAsia"/>
          <w:szCs w:val="21"/>
        </w:rPr>
        <w:t>称取试料量，精确至</w:t>
      </w:r>
      <w:r>
        <w:rPr>
          <w:szCs w:val="21"/>
        </w:rPr>
        <w:t>0.0001 g</w:t>
      </w:r>
      <w:r>
        <w:rPr>
          <w:rFonts w:hint="eastAsia"/>
          <w:szCs w:val="21"/>
        </w:rPr>
        <w:t>。</w:t>
      </w:r>
    </w:p>
    <w:p>
      <w:pPr>
        <w:tabs>
          <w:tab w:val="left" w:pos="3767"/>
          <w:tab w:val="center" w:pos="4313"/>
        </w:tabs>
        <w:spacing w:line="400" w:lineRule="exact"/>
        <w:ind w:right="87"/>
        <w:rPr>
          <w:szCs w:val="21"/>
        </w:rPr>
      </w:pPr>
      <w:r>
        <w:rPr>
          <w:szCs w:val="21"/>
        </w:rPr>
        <w:tab/>
      </w:r>
    </w:p>
    <w:p>
      <w:pPr>
        <w:tabs>
          <w:tab w:val="left" w:pos="3767"/>
          <w:tab w:val="center" w:pos="4313"/>
        </w:tabs>
        <w:spacing w:line="400" w:lineRule="exact"/>
        <w:ind w:right="87"/>
        <w:rPr>
          <w:szCs w:val="21"/>
        </w:rPr>
      </w:pPr>
      <w:r>
        <w:rPr>
          <w:szCs w:val="21"/>
        </w:rPr>
        <w:tab/>
      </w:r>
      <w:r>
        <w:rPr>
          <w:rFonts w:hint="eastAsia"/>
          <w:szCs w:val="21"/>
        </w:rPr>
        <w:t>表</w:t>
      </w:r>
      <w:r>
        <w:rPr>
          <w:szCs w:val="21"/>
        </w:rPr>
        <w:t>4</w:t>
      </w:r>
      <w:r>
        <w:rPr>
          <w:rFonts w:hint="eastAsia"/>
          <w:szCs w:val="21"/>
        </w:rPr>
        <w:t>试料量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autoSpaceDE w:val="0"/>
              <w:autoSpaceDN w:val="0"/>
              <w:spacing w:line="400" w:lineRule="exact"/>
              <w:jc w:val="center"/>
              <w:rPr>
                <w:szCs w:val="21"/>
              </w:rPr>
            </w:pPr>
            <w:r>
              <w:rPr>
                <w:i/>
              </w:rPr>
              <w:t>W</w:t>
            </w:r>
            <w:r>
              <w:rPr>
                <w:i/>
                <w:vertAlign w:val="subscript"/>
              </w:rPr>
              <w:t>Cu</w:t>
            </w:r>
            <w:r>
              <w:rPr>
                <w:szCs w:val="21"/>
              </w:rPr>
              <w:t>/%</w:t>
            </w:r>
          </w:p>
        </w:tc>
        <w:tc>
          <w:tcPr>
            <w:tcW w:w="4261" w:type="dxa"/>
            <w:vAlign w:val="center"/>
          </w:tcPr>
          <w:p>
            <w:pPr>
              <w:autoSpaceDE w:val="0"/>
              <w:autoSpaceDN w:val="0"/>
              <w:spacing w:line="400" w:lineRule="exact"/>
              <w:jc w:val="center"/>
              <w:rPr>
                <w:szCs w:val="21"/>
              </w:rPr>
            </w:pPr>
            <w:r>
              <w:rPr>
                <w:rFonts w:hint="eastAsia"/>
                <w:szCs w:val="21"/>
              </w:rPr>
              <w:t>试料量</w:t>
            </w:r>
            <w:r>
              <w:rPr>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autoSpaceDE w:val="0"/>
              <w:autoSpaceDN w:val="0"/>
              <w:spacing w:line="400" w:lineRule="exact"/>
              <w:jc w:val="center"/>
              <w:rPr>
                <w:szCs w:val="21"/>
              </w:rPr>
            </w:pPr>
            <w:r>
              <w:rPr>
                <w:szCs w:val="21"/>
              </w:rPr>
              <w:t>5.00</w:t>
            </w:r>
            <w:r>
              <w:rPr>
                <w:rFonts w:hint="eastAsia"/>
              </w:rPr>
              <w:t>～</w:t>
            </w:r>
            <w:r>
              <w:t>10.00</w:t>
            </w:r>
          </w:p>
        </w:tc>
        <w:tc>
          <w:tcPr>
            <w:tcW w:w="4261" w:type="dxa"/>
            <w:vAlign w:val="center"/>
          </w:tcPr>
          <w:p>
            <w:pPr>
              <w:autoSpaceDE w:val="0"/>
              <w:autoSpaceDN w:val="0"/>
              <w:spacing w:line="400" w:lineRule="exact"/>
              <w:jc w:val="center"/>
              <w:rPr>
                <w:szCs w:val="21"/>
              </w:rPr>
            </w:pPr>
            <w:r>
              <w:rPr>
                <w:szCs w:val="21"/>
              </w:rPr>
              <w:t>0.</w:t>
            </w:r>
            <w:r>
              <w:rPr>
                <w:rFonts w:hint="eastAsia"/>
                <w:szCs w:val="21"/>
              </w:rPr>
              <w:t>4</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autoSpaceDE w:val="0"/>
              <w:autoSpaceDN w:val="0"/>
              <w:spacing w:line="400" w:lineRule="exact"/>
              <w:jc w:val="center"/>
              <w:rPr>
                <w:szCs w:val="21"/>
              </w:rPr>
            </w:pPr>
            <w:r>
              <w:rPr>
                <w:rFonts w:hint="eastAsia"/>
                <w:szCs w:val="21"/>
              </w:rPr>
              <w:t>＞</w:t>
            </w:r>
            <w:r>
              <w:rPr>
                <w:szCs w:val="21"/>
              </w:rPr>
              <w:t>10.00</w:t>
            </w:r>
            <w:r>
              <w:rPr>
                <w:rFonts w:hint="eastAsia"/>
              </w:rPr>
              <w:t>～</w:t>
            </w:r>
            <w:r>
              <w:t>20.</w:t>
            </w:r>
            <w:r>
              <w:rPr>
                <w:szCs w:val="21"/>
              </w:rPr>
              <w:t>00</w:t>
            </w:r>
          </w:p>
        </w:tc>
        <w:tc>
          <w:tcPr>
            <w:tcW w:w="4261" w:type="dxa"/>
            <w:vAlign w:val="center"/>
          </w:tcPr>
          <w:p>
            <w:pPr>
              <w:autoSpaceDE w:val="0"/>
              <w:autoSpaceDN w:val="0"/>
              <w:spacing w:line="400" w:lineRule="exact"/>
              <w:jc w:val="center"/>
              <w:rPr>
                <w:szCs w:val="21"/>
              </w:rPr>
            </w:pPr>
            <w:r>
              <w:rPr>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autoSpaceDE w:val="0"/>
              <w:autoSpaceDN w:val="0"/>
              <w:spacing w:line="400" w:lineRule="exact"/>
              <w:jc w:val="center"/>
              <w:rPr>
                <w:szCs w:val="21"/>
              </w:rPr>
            </w:pPr>
            <w:r>
              <w:rPr>
                <w:rFonts w:hint="eastAsia"/>
                <w:szCs w:val="21"/>
              </w:rPr>
              <w:t>＞</w:t>
            </w:r>
            <w:r>
              <w:rPr>
                <w:szCs w:val="21"/>
              </w:rPr>
              <w:t>20.00</w:t>
            </w:r>
            <w:r>
              <w:rPr>
                <w:rFonts w:hint="eastAsia"/>
              </w:rPr>
              <w:t>～</w:t>
            </w:r>
            <w:r>
              <w:t>30.</w:t>
            </w:r>
            <w:r>
              <w:rPr>
                <w:szCs w:val="21"/>
              </w:rPr>
              <w:t>00</w:t>
            </w:r>
          </w:p>
        </w:tc>
        <w:tc>
          <w:tcPr>
            <w:tcW w:w="4261" w:type="dxa"/>
            <w:vAlign w:val="center"/>
          </w:tcPr>
          <w:p>
            <w:pPr>
              <w:autoSpaceDE w:val="0"/>
              <w:autoSpaceDN w:val="0"/>
              <w:spacing w:line="400" w:lineRule="exact"/>
              <w:jc w:val="center"/>
              <w:rPr>
                <w:szCs w:val="21"/>
              </w:rPr>
            </w:pPr>
            <w:r>
              <w:rPr>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autoSpaceDE w:val="0"/>
              <w:autoSpaceDN w:val="0"/>
              <w:spacing w:line="400" w:lineRule="exact"/>
              <w:jc w:val="center"/>
              <w:rPr>
                <w:szCs w:val="21"/>
              </w:rPr>
            </w:pPr>
            <w:r>
              <w:rPr>
                <w:rFonts w:hint="eastAsia"/>
                <w:szCs w:val="21"/>
              </w:rPr>
              <w:t>＞</w:t>
            </w:r>
            <w:r>
              <w:rPr>
                <w:szCs w:val="21"/>
              </w:rPr>
              <w:t>30.00</w:t>
            </w:r>
            <w:r>
              <w:rPr>
                <w:rFonts w:hint="eastAsia"/>
              </w:rPr>
              <w:t>～</w:t>
            </w:r>
            <w:r>
              <w:t>40.</w:t>
            </w:r>
            <w:r>
              <w:rPr>
                <w:szCs w:val="21"/>
              </w:rPr>
              <w:t>00</w:t>
            </w:r>
          </w:p>
        </w:tc>
        <w:tc>
          <w:tcPr>
            <w:tcW w:w="4261" w:type="dxa"/>
            <w:vAlign w:val="center"/>
          </w:tcPr>
          <w:p>
            <w:pPr>
              <w:autoSpaceDE w:val="0"/>
              <w:autoSpaceDN w:val="0"/>
              <w:spacing w:line="400" w:lineRule="exact"/>
              <w:jc w:val="center"/>
              <w:rPr>
                <w:szCs w:val="21"/>
              </w:rPr>
            </w:pPr>
            <w:r>
              <w:rPr>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autoSpaceDE w:val="0"/>
              <w:autoSpaceDN w:val="0"/>
              <w:spacing w:line="400" w:lineRule="exact"/>
              <w:jc w:val="center"/>
              <w:rPr>
                <w:szCs w:val="21"/>
              </w:rPr>
            </w:pPr>
            <w:r>
              <w:rPr>
                <w:rFonts w:hint="eastAsia"/>
                <w:szCs w:val="21"/>
              </w:rPr>
              <w:t>＞</w:t>
            </w:r>
            <w:r>
              <w:rPr>
                <w:szCs w:val="21"/>
              </w:rPr>
              <w:t>40.00</w:t>
            </w:r>
            <w:r>
              <w:rPr>
                <w:rFonts w:hint="eastAsia"/>
              </w:rPr>
              <w:t>～</w:t>
            </w:r>
            <w:r>
              <w:t>65.</w:t>
            </w:r>
            <w:r>
              <w:rPr>
                <w:szCs w:val="21"/>
              </w:rPr>
              <w:t>00</w:t>
            </w:r>
          </w:p>
        </w:tc>
        <w:tc>
          <w:tcPr>
            <w:tcW w:w="4261" w:type="dxa"/>
            <w:vAlign w:val="center"/>
          </w:tcPr>
          <w:p>
            <w:pPr>
              <w:autoSpaceDE w:val="0"/>
              <w:autoSpaceDN w:val="0"/>
              <w:spacing w:line="400" w:lineRule="exact"/>
              <w:jc w:val="center"/>
              <w:rPr>
                <w:szCs w:val="21"/>
              </w:rPr>
            </w:pPr>
            <w:r>
              <w:rPr>
                <w:szCs w:val="21"/>
              </w:rPr>
              <w:t>0.10</w:t>
            </w:r>
          </w:p>
        </w:tc>
      </w:tr>
    </w:tbl>
    <w:p>
      <w:pPr>
        <w:autoSpaceDE w:val="0"/>
        <w:autoSpaceDN w:val="0"/>
        <w:spacing w:line="360" w:lineRule="auto"/>
        <w:jc w:val="left"/>
        <w:rPr>
          <w:szCs w:val="21"/>
        </w:rPr>
      </w:pPr>
      <w:r>
        <w:rPr>
          <w:szCs w:val="21"/>
        </w:rPr>
        <w:t xml:space="preserve">3.4.2  </w:t>
      </w:r>
      <w:r>
        <w:rPr>
          <w:rFonts w:hint="eastAsia" w:eastAsia="黑体"/>
          <w:szCs w:val="21"/>
        </w:rPr>
        <w:t>平行试验</w:t>
      </w:r>
    </w:p>
    <w:p>
      <w:pPr>
        <w:autoSpaceDE w:val="0"/>
        <w:autoSpaceDN w:val="0"/>
        <w:spacing w:line="360" w:lineRule="auto"/>
        <w:ind w:firstLine="420" w:firstLineChars="200"/>
        <w:jc w:val="left"/>
        <w:rPr>
          <w:szCs w:val="21"/>
        </w:rPr>
      </w:pPr>
      <w:r>
        <w:rPr>
          <w:rFonts w:hint="eastAsia"/>
          <w:szCs w:val="21"/>
        </w:rPr>
        <w:t>独立地进行两次测定，取其平均值。</w:t>
      </w:r>
    </w:p>
    <w:p>
      <w:pPr>
        <w:autoSpaceDE w:val="0"/>
        <w:autoSpaceDN w:val="0"/>
        <w:spacing w:line="360" w:lineRule="auto"/>
        <w:jc w:val="left"/>
        <w:rPr>
          <w:szCs w:val="21"/>
        </w:rPr>
      </w:pPr>
      <w:r>
        <w:rPr>
          <w:szCs w:val="21"/>
        </w:rPr>
        <w:t xml:space="preserve">3.4.3  </w:t>
      </w:r>
      <w:r>
        <w:rPr>
          <w:rFonts w:hint="eastAsia" w:eastAsia="黑体"/>
          <w:szCs w:val="21"/>
        </w:rPr>
        <w:t>空白试验</w:t>
      </w:r>
    </w:p>
    <w:p>
      <w:pPr>
        <w:autoSpaceDE w:val="0"/>
        <w:autoSpaceDN w:val="0"/>
        <w:spacing w:line="360" w:lineRule="auto"/>
        <w:ind w:firstLine="420" w:firstLineChars="200"/>
        <w:jc w:val="left"/>
        <w:rPr>
          <w:rFonts w:eastAsia="黑体"/>
          <w:szCs w:val="21"/>
        </w:rPr>
      </w:pPr>
      <w:r>
        <w:rPr>
          <w:rFonts w:hint="eastAsia"/>
          <w:szCs w:val="21"/>
        </w:rPr>
        <w:t>随同试料做空白试验。</w:t>
      </w:r>
    </w:p>
    <w:p>
      <w:pPr>
        <w:autoSpaceDE w:val="0"/>
        <w:autoSpaceDN w:val="0"/>
        <w:spacing w:line="360" w:lineRule="auto"/>
        <w:jc w:val="left"/>
        <w:rPr>
          <w:rFonts w:eastAsia="黑体"/>
          <w:szCs w:val="21"/>
        </w:rPr>
      </w:pPr>
      <w:r>
        <w:rPr>
          <w:rFonts w:eastAsia="黑体"/>
          <w:szCs w:val="21"/>
        </w:rPr>
        <w:t xml:space="preserve">3.4.4  </w:t>
      </w:r>
      <w:r>
        <w:rPr>
          <w:rFonts w:hint="eastAsia" w:eastAsia="黑体"/>
          <w:szCs w:val="21"/>
        </w:rPr>
        <w:t>测定</w:t>
      </w:r>
    </w:p>
    <w:p>
      <w:pPr>
        <w:autoSpaceDE w:val="0"/>
        <w:autoSpaceDN w:val="0"/>
      </w:pPr>
      <w:r>
        <w:t xml:space="preserve">3.4.4.1 </w:t>
      </w:r>
      <w:r>
        <w:rPr>
          <w:rFonts w:hint="eastAsia"/>
        </w:rPr>
        <w:t>将试料（</w:t>
      </w:r>
      <w:r>
        <w:rPr>
          <w:rFonts w:hint="eastAsia"/>
          <w:lang w:val="en-US" w:eastAsia="zh-CN"/>
        </w:rPr>
        <w:t>3.4.1</w:t>
      </w:r>
      <w:r>
        <w:rPr>
          <w:rFonts w:hint="eastAsia"/>
        </w:rPr>
        <w:t>）置于3</w:t>
      </w:r>
      <w:r>
        <w:t>00 mL</w:t>
      </w:r>
      <w:r>
        <w:rPr>
          <w:rFonts w:hint="eastAsia"/>
        </w:rPr>
        <w:t>三角烧杯中，用少许水润湿，加入</w:t>
      </w:r>
      <w:r>
        <w:t>10 mL</w:t>
      </w:r>
      <w:r>
        <w:rPr>
          <w:rFonts w:hint="eastAsia"/>
        </w:rPr>
        <w:t>盐酸（</w:t>
      </w:r>
      <w:r>
        <w:t>3.2.6</w:t>
      </w:r>
      <w:r>
        <w:rPr>
          <w:rFonts w:hint="eastAsia"/>
        </w:rPr>
        <w:t>），</w:t>
      </w:r>
      <w:r>
        <w:t>4-6</w:t>
      </w:r>
      <w:r>
        <w:rPr>
          <w:rFonts w:hint="eastAsia"/>
        </w:rPr>
        <w:t>滴氢氟酸（</w:t>
      </w:r>
      <w:r>
        <w:t>3.2.</w:t>
      </w:r>
      <w:r>
        <w:rPr>
          <w:rFonts w:hint="eastAsia"/>
        </w:rPr>
        <w:t>7），于电热板上低温溶解至体积剩约</w:t>
      </w:r>
      <w:r>
        <w:t>5mL</w:t>
      </w:r>
      <w:r>
        <w:rPr>
          <w:rFonts w:hint="eastAsia"/>
        </w:rPr>
        <w:t>，取下，稍冷。加入</w:t>
      </w:r>
      <w:r>
        <w:t>5 mL</w:t>
      </w:r>
      <w:r>
        <w:rPr>
          <w:rFonts w:hint="eastAsia"/>
        </w:rPr>
        <w:t>硝酸（</w:t>
      </w:r>
      <w:r>
        <w:t>3.2.</w:t>
      </w:r>
      <w:r>
        <w:rPr>
          <w:rFonts w:hint="eastAsia"/>
        </w:rPr>
        <w:t>8），于电热板上继续低温溶解至体积剩约</w:t>
      </w:r>
      <w:r>
        <w:t>2mL</w:t>
      </w:r>
      <w:r>
        <w:rPr>
          <w:rFonts w:hint="eastAsia"/>
        </w:rPr>
        <w:t>，取下，稍冷。加入</w:t>
      </w:r>
      <w:r>
        <w:t>5mL</w:t>
      </w:r>
      <w:r>
        <w:rPr>
          <w:rFonts w:hint="eastAsia"/>
        </w:rPr>
        <w:t>高氯酸（</w:t>
      </w:r>
      <w:r>
        <w:t>3.2.</w:t>
      </w:r>
      <w:r>
        <w:rPr>
          <w:rFonts w:hint="eastAsia"/>
        </w:rPr>
        <w:t xml:space="preserve">10），1 </w:t>
      </w:r>
      <w:r>
        <w:t>mL</w:t>
      </w:r>
      <w:r>
        <w:rPr>
          <w:rFonts w:hint="eastAsia"/>
        </w:rPr>
        <w:t>硫酸（</w:t>
      </w:r>
      <w:r>
        <w:t>3.2.1</w:t>
      </w:r>
      <w:r>
        <w:rPr>
          <w:rFonts w:hint="eastAsia"/>
        </w:rPr>
        <w:t>1），于电热板上加热至冒浓白烟，取下，稍冷。加入</w:t>
      </w:r>
      <w:r>
        <w:t>2mL</w:t>
      </w:r>
      <w:r>
        <w:rPr>
          <w:rFonts w:hint="eastAsia"/>
        </w:rPr>
        <w:t>盐酸（</w:t>
      </w:r>
      <w:r>
        <w:t>3.2.6</w:t>
      </w:r>
      <w:r>
        <w:rPr>
          <w:rFonts w:hint="eastAsia"/>
        </w:rPr>
        <w:t>），</w:t>
      </w:r>
      <w:r>
        <w:t>2 mL</w:t>
      </w:r>
      <w:r>
        <w:rPr>
          <w:rFonts w:hint="eastAsia"/>
        </w:rPr>
        <w:t>氢溴酸（</w:t>
      </w:r>
      <w:r>
        <w:t>3.2.</w:t>
      </w:r>
      <w:r>
        <w:rPr>
          <w:rFonts w:hint="eastAsia"/>
        </w:rPr>
        <w:t>9）于电热板上低温加热至冒浓白烟，取下，稍冷。再加入</w:t>
      </w:r>
      <w:r>
        <w:t>2mL</w:t>
      </w:r>
      <w:r>
        <w:rPr>
          <w:rFonts w:hint="eastAsia"/>
        </w:rPr>
        <w:t>盐酸（</w:t>
      </w:r>
      <w:r>
        <w:t>3.2.6</w:t>
      </w:r>
      <w:r>
        <w:rPr>
          <w:rFonts w:hint="eastAsia"/>
        </w:rPr>
        <w:t>），</w:t>
      </w:r>
      <w:r>
        <w:t>2 mL</w:t>
      </w:r>
      <w:r>
        <w:rPr>
          <w:rFonts w:hint="eastAsia"/>
        </w:rPr>
        <w:t>氢溴酸（</w:t>
      </w:r>
      <w:r>
        <w:t>3.2.</w:t>
      </w:r>
      <w:r>
        <w:rPr>
          <w:rFonts w:hint="eastAsia"/>
        </w:rPr>
        <w:t>9），于电热板上低温加热至冒浓白烟，继续加热蒸至剩余少量可见硫酸烟，取下，冷却至室温。</w:t>
      </w:r>
    </w:p>
    <w:p>
      <w:pPr>
        <w:autoSpaceDE w:val="0"/>
        <w:autoSpaceDN w:val="0"/>
      </w:pPr>
      <w:r>
        <w:t>3.4</w:t>
      </w:r>
      <w:r>
        <w:rPr>
          <w:rFonts w:hint="eastAsia"/>
        </w:rPr>
        <w:t>.</w:t>
      </w:r>
      <w:r>
        <w:t>4.2</w:t>
      </w:r>
      <w:r>
        <w:rPr>
          <w:rFonts w:hint="eastAsia"/>
        </w:rPr>
        <w:t xml:space="preserve"> 用</w:t>
      </w:r>
      <w:r>
        <w:t>30 mL</w:t>
      </w:r>
      <w:r>
        <w:rPr>
          <w:rFonts w:hint="eastAsia"/>
        </w:rPr>
        <w:t>水吹洗杯壁，置于电热板上加热煮沸，使可溶性盐类完全溶解，取下冷至室温</w:t>
      </w:r>
      <w:r>
        <w:rPr>
          <w:rFonts w:hint="eastAsia"/>
          <w:vertAlign w:val="superscript"/>
        </w:rPr>
        <w:t>注</w:t>
      </w:r>
      <w:r>
        <w:rPr>
          <w:vertAlign w:val="superscript"/>
        </w:rPr>
        <w:t>1</w:t>
      </w:r>
      <w:r>
        <w:rPr>
          <w:rFonts w:hint="eastAsia"/>
        </w:rPr>
        <w:t>。滴加乙酸铵溶液（</w:t>
      </w:r>
      <w:r>
        <w:t>3.2.15</w:t>
      </w:r>
      <w:r>
        <w:rPr>
          <w:rFonts w:hint="eastAsia"/>
        </w:rPr>
        <w:t>）至红色不再加深并过量</w:t>
      </w:r>
      <w:r>
        <w:t>4 mL</w:t>
      </w:r>
      <w:r>
        <w:rPr>
          <w:rFonts w:hint="eastAsia"/>
        </w:rPr>
        <w:t>，然后滴加氟化氢铵饱和溶液（</w:t>
      </w:r>
      <w:r>
        <w:t>3.2.16</w:t>
      </w:r>
      <w:r>
        <w:rPr>
          <w:rFonts w:hint="eastAsia"/>
        </w:rPr>
        <w:t>）至红色消失并过量</w:t>
      </w:r>
      <w:r>
        <w:t>1 mL,</w:t>
      </w:r>
      <w:r>
        <w:rPr>
          <w:rFonts w:hint="eastAsia"/>
        </w:rPr>
        <w:t>混匀。加入</w:t>
      </w:r>
      <w:r>
        <w:t>2~3 g</w:t>
      </w:r>
      <w:r>
        <w:rPr>
          <w:rFonts w:hint="eastAsia"/>
        </w:rPr>
        <w:t>碘化钾（</w:t>
      </w:r>
      <w:r>
        <w:t>3.2.2</w:t>
      </w:r>
      <w:r>
        <w:rPr>
          <w:rFonts w:hint="eastAsia"/>
        </w:rPr>
        <w:t>），轻轻摇动溶解，立即用硫代硫酸钠标准滴定溶液（</w:t>
      </w:r>
      <w:r>
        <w:t>3.2.20</w:t>
      </w:r>
      <w:r>
        <w:rPr>
          <w:rFonts w:hint="eastAsia"/>
        </w:rPr>
        <w:t>）滴定至浅黄色</w:t>
      </w:r>
      <w:r>
        <w:rPr>
          <w:rFonts w:hint="eastAsia"/>
          <w:vertAlign w:val="superscript"/>
        </w:rPr>
        <w:t>注</w:t>
      </w:r>
      <w:r>
        <w:rPr>
          <w:vertAlign w:val="superscript"/>
        </w:rPr>
        <w:t>2</w:t>
      </w:r>
      <w:r>
        <w:rPr>
          <w:rFonts w:hint="eastAsia"/>
        </w:rPr>
        <w:t>，加入</w:t>
      </w:r>
      <w:r>
        <w:t>2 mL</w:t>
      </w:r>
      <w:r>
        <w:rPr>
          <w:rFonts w:hint="eastAsia"/>
        </w:rPr>
        <w:t>淀粉溶液（</w:t>
      </w:r>
      <w:r>
        <w:t>3.2.18</w:t>
      </w:r>
      <w:r>
        <w:rPr>
          <w:rFonts w:hint="eastAsia"/>
        </w:rPr>
        <w:t>），继续滴定至浅蓝色，加入</w:t>
      </w:r>
      <w:r>
        <w:t>5mL</w:t>
      </w:r>
      <w:r>
        <w:rPr>
          <w:rFonts w:hint="eastAsia"/>
        </w:rPr>
        <w:t>硫氰酸钾溶液（</w:t>
      </w:r>
      <w:r>
        <w:t>3.2.19</w:t>
      </w:r>
      <w:r>
        <w:rPr>
          <w:rFonts w:hint="eastAsia"/>
        </w:rPr>
        <w:t>），激烈摇振至蓝色加深，继续滴定至蓝色刚好消失为终点。</w:t>
      </w:r>
    </w:p>
    <w:p>
      <w:pPr>
        <w:autoSpaceDE w:val="0"/>
        <w:autoSpaceDN w:val="0"/>
        <w:ind w:firstLine="420"/>
      </w:pPr>
      <w:r>
        <w:rPr>
          <w:rFonts w:hint="eastAsia"/>
        </w:rPr>
        <w:t>注</w:t>
      </w:r>
      <w:r>
        <w:t>1</w:t>
      </w:r>
      <w:r>
        <w:rPr>
          <w:rFonts w:hint="eastAsia"/>
        </w:rPr>
        <w:t>：若铁含量极少时，需补加</w:t>
      </w:r>
      <w:r>
        <w:t>1 mL</w:t>
      </w:r>
      <w:r>
        <w:rPr>
          <w:rFonts w:hint="eastAsia"/>
        </w:rPr>
        <w:t>三氯化铁溶液（</w:t>
      </w:r>
      <w:r>
        <w:t>3.2.14</w:t>
      </w:r>
      <w:r>
        <w:rPr>
          <w:rFonts w:hint="eastAsia"/>
        </w:rPr>
        <w:t>）。</w:t>
      </w:r>
    </w:p>
    <w:p>
      <w:pPr>
        <w:autoSpaceDE w:val="0"/>
        <w:autoSpaceDN w:val="0"/>
        <w:ind w:firstLine="420"/>
      </w:pPr>
      <w:r>
        <w:rPr>
          <w:rFonts w:hint="eastAsia"/>
        </w:rPr>
        <w:t>注</w:t>
      </w:r>
      <w:r>
        <w:t>2</w:t>
      </w:r>
      <w:r>
        <w:rPr>
          <w:rFonts w:hint="eastAsia"/>
        </w:rPr>
        <w:t>：若铅、铋含量较高时，需提前加入</w:t>
      </w:r>
      <w:r>
        <w:t xml:space="preserve"> 2mL</w:t>
      </w:r>
      <w:r>
        <w:rPr>
          <w:rFonts w:hint="eastAsia"/>
        </w:rPr>
        <w:t>淀粉溶液（</w:t>
      </w:r>
      <w:r>
        <w:t>3.2.18</w:t>
      </w:r>
      <w:r>
        <w:rPr>
          <w:rFonts w:hint="eastAsia"/>
        </w:rPr>
        <w:t>）。</w:t>
      </w:r>
    </w:p>
    <w:p>
      <w:pPr>
        <w:autoSpaceDE w:val="0"/>
        <w:autoSpaceDN w:val="0"/>
        <w:spacing w:line="360" w:lineRule="auto"/>
        <w:jc w:val="left"/>
        <w:rPr>
          <w:rFonts w:hint="eastAsia" w:ascii="黑体" w:hAnsi="黑体" w:eastAsia="黑体" w:cs="黑体"/>
          <w:b w:val="0"/>
          <w:bCs w:val="0"/>
          <w:szCs w:val="21"/>
        </w:rPr>
      </w:pPr>
      <w:r>
        <w:rPr>
          <w:rFonts w:hint="eastAsia" w:ascii="黑体" w:hAnsi="黑体" w:eastAsia="黑体" w:cs="黑体"/>
          <w:b w:val="0"/>
          <w:bCs w:val="0"/>
          <w:szCs w:val="21"/>
        </w:rPr>
        <w:t>3.5  试验数据处理</w:t>
      </w:r>
    </w:p>
    <w:p>
      <w:pPr>
        <w:autoSpaceDE w:val="0"/>
        <w:autoSpaceDN w:val="0"/>
        <w:spacing w:line="360" w:lineRule="auto"/>
        <w:jc w:val="left"/>
        <w:rPr>
          <w:rFonts w:cs="黑体" w:eastAsiaTheme="minorEastAsia"/>
          <w:szCs w:val="21"/>
        </w:rPr>
      </w:pPr>
      <w:r>
        <w:rPr>
          <w:rFonts w:hint="eastAsia" w:cs="黑体" w:eastAsiaTheme="minorEastAsia"/>
          <w:szCs w:val="21"/>
        </w:rPr>
        <w:t>铜的含量以质量分数</w:t>
      </w:r>
      <w:r>
        <w:rPr>
          <w:i/>
          <w:szCs w:val="21"/>
        </w:rPr>
        <w:t>w</w:t>
      </w:r>
      <w:r>
        <w:rPr>
          <w:szCs w:val="21"/>
          <w:vertAlign w:val="subscript"/>
        </w:rPr>
        <w:t>Cu</w:t>
      </w:r>
      <w:r>
        <w:rPr>
          <w:rFonts w:hint="eastAsia" w:cs="黑体" w:eastAsiaTheme="minorEastAsia"/>
          <w:szCs w:val="21"/>
        </w:rPr>
        <w:t>计,数值以%表示，按（</w:t>
      </w:r>
      <w:r>
        <w:rPr>
          <w:rFonts w:hint="eastAsia" w:cs="黑体" w:eastAsiaTheme="minorEastAsia"/>
          <w:szCs w:val="21"/>
          <w:lang w:val="en-US" w:eastAsia="zh-CN"/>
        </w:rPr>
        <w:t>3</w:t>
      </w:r>
      <w:r>
        <w:rPr>
          <w:rFonts w:hint="eastAsia" w:cs="黑体" w:eastAsiaTheme="minorEastAsia"/>
          <w:szCs w:val="21"/>
        </w:rPr>
        <w:t>）计算：</w:t>
      </w:r>
    </w:p>
    <w:p>
      <w:pPr>
        <w:spacing w:line="360" w:lineRule="auto"/>
        <w:rPr>
          <w:rFonts w:hint="eastAsia"/>
        </w:rPr>
      </w:pPr>
      <w:r>
        <w:rPr>
          <w:rFonts w:eastAsia="黑体" w:cs="黑体"/>
          <w:position w:val="-10"/>
        </w:rPr>
        <w:object>
          <v:shape id="_x0000_i1027" o:spt="75" type="#_x0000_t75" style="height:17.65pt;width:72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eastAsia="宋体"/>
          <w:position w:val="-30"/>
          <w:lang w:eastAsia="zh-CN"/>
        </w:rPr>
        <w:object>
          <v:shape id="_x0000_i1028" o:spt="75" type="#_x0000_t75" style="height:36pt;width:135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t>………………………………….…….…….…….</w:t>
      </w:r>
      <w:r>
        <w:rPr>
          <w:rFonts w:hint="eastAsia"/>
        </w:rPr>
        <w:t>（</w:t>
      </w:r>
      <w:r>
        <w:t>3</w:t>
      </w:r>
      <w:r>
        <w:rPr>
          <w:rFonts w:hint="eastAsia"/>
        </w:rPr>
        <w:t>）</w:t>
      </w:r>
    </w:p>
    <w:p>
      <w:pPr>
        <w:ind w:firstLine="435"/>
        <w:jc w:val="left"/>
      </w:pPr>
      <w:r>
        <w:rPr>
          <w:rFonts w:hint="eastAsia"/>
        </w:rPr>
        <w:t>上式中：</w:t>
      </w:r>
    </w:p>
    <w:p>
      <w:pPr>
        <w:pStyle w:val="27"/>
        <w:widowControl w:val="0"/>
        <w:autoSpaceDE/>
        <w:autoSpaceDN/>
        <w:ind w:firstLine="420"/>
        <w:rPr>
          <w:rFonts w:ascii="Times New Roman" w:hAnsi="Times New Roman"/>
        </w:rPr>
      </w:pPr>
      <w:r>
        <w:rPr>
          <w:rFonts w:hint="eastAsia" w:ascii="Times New Roman" w:hAnsi="Times New Roman"/>
          <w:i/>
          <w:lang w:val="en-US" w:eastAsia="zh-CN"/>
        </w:rPr>
        <w:t>c</w:t>
      </w:r>
      <w:r>
        <w:rPr>
          <w:rFonts w:hint="eastAsia" w:ascii="Times New Roman" w:hAnsi="Times New Roman"/>
          <w:i w:val="0"/>
          <w:iCs/>
          <w:vertAlign w:val="subscript"/>
          <w:lang w:val="en-US" w:eastAsia="zh-CN"/>
        </w:rPr>
        <w:t>1</w:t>
      </w:r>
      <w:r>
        <w:rPr>
          <w:rFonts w:ascii="Times New Roman" w:hAnsi="Times New Roman"/>
        </w:rPr>
        <w:t>—</w:t>
      </w:r>
      <w:r>
        <w:rPr>
          <w:rFonts w:hint="eastAsia" w:ascii="Times New Roman" w:hAnsi="Times New Roman"/>
        </w:rPr>
        <w:t>硫代硫酸钠标准滴定溶液的实际浓度，单位为摩尔每升（</w:t>
      </w:r>
      <w:r>
        <w:rPr>
          <w:rFonts w:ascii="Times New Roman" w:hAnsi="Times New Roman"/>
        </w:rPr>
        <w:t>mol/L</w:t>
      </w:r>
      <w:r>
        <w:rPr>
          <w:rFonts w:hint="eastAsia" w:ascii="Times New Roman" w:hAnsi="Times New Roman"/>
        </w:rPr>
        <w:t>）；</w:t>
      </w:r>
    </w:p>
    <w:p>
      <w:pPr>
        <w:pStyle w:val="27"/>
        <w:widowControl w:val="0"/>
        <w:autoSpaceDE/>
        <w:autoSpaceDN/>
        <w:ind w:firstLine="409" w:firstLineChars="195"/>
        <w:rPr>
          <w:rFonts w:ascii="Times New Roman" w:hAnsi="Times New Roman"/>
        </w:rPr>
      </w:pPr>
      <w:r>
        <w:rPr>
          <w:rFonts w:ascii="Times New Roman" w:hAnsi="Times New Roman"/>
          <w:i/>
        </w:rPr>
        <w:t>V</w:t>
      </w:r>
      <w:r>
        <w:rPr>
          <w:rFonts w:ascii="Times New Roman" w:hAnsi="Times New Roman"/>
          <w:i/>
          <w:vertAlign w:val="subscript"/>
        </w:rPr>
        <w:t xml:space="preserve">6 </w:t>
      </w:r>
      <w:r>
        <w:rPr>
          <w:rFonts w:ascii="Times New Roman" w:hAnsi="Times New Roman"/>
        </w:rPr>
        <w:t>—</w:t>
      </w:r>
      <w:r>
        <w:rPr>
          <w:rFonts w:hint="eastAsia" w:ascii="Times New Roman" w:hAnsi="Times New Roman"/>
        </w:rPr>
        <w:t>滴定时消耗硫代硫酸钠标准滴定溶液的体积，单位为毫升（</w:t>
      </w:r>
      <w:r>
        <w:rPr>
          <w:rFonts w:ascii="Times New Roman" w:hAnsi="Times New Roman"/>
        </w:rPr>
        <w:t>mL</w:t>
      </w:r>
      <w:r>
        <w:rPr>
          <w:rFonts w:hint="eastAsia" w:ascii="Times New Roman" w:hAnsi="Times New Roman"/>
        </w:rPr>
        <w:t>）；</w:t>
      </w:r>
    </w:p>
    <w:p>
      <w:pPr>
        <w:pStyle w:val="27"/>
        <w:widowControl w:val="0"/>
        <w:autoSpaceDE/>
        <w:autoSpaceDN/>
        <w:ind w:firstLine="420"/>
        <w:rPr>
          <w:rFonts w:ascii="Times New Roman" w:hAnsi="Times New Roman"/>
        </w:rPr>
      </w:pPr>
      <w:r>
        <w:rPr>
          <w:rFonts w:ascii="Times New Roman" w:hAnsi="Times New Roman"/>
          <w:i/>
        </w:rPr>
        <w:t>V</w:t>
      </w:r>
      <w:r>
        <w:rPr>
          <w:rFonts w:ascii="Times New Roman" w:hAnsi="Times New Roman"/>
          <w:i/>
          <w:vertAlign w:val="subscript"/>
        </w:rPr>
        <w:t>5</w:t>
      </w:r>
      <w:r>
        <w:rPr>
          <w:rFonts w:ascii="Times New Roman" w:hAnsi="Times New Roman"/>
        </w:rPr>
        <w:t>—</w:t>
      </w:r>
      <w:r>
        <w:rPr>
          <w:rFonts w:hint="eastAsia" w:ascii="Times New Roman" w:hAnsi="Times New Roman"/>
        </w:rPr>
        <w:t>滴定空白试验消耗的硫代硫酸钠标准滴定溶液的体积，单位为毫升（</w:t>
      </w:r>
      <w:r>
        <w:rPr>
          <w:rFonts w:ascii="Times New Roman" w:hAnsi="Times New Roman"/>
        </w:rPr>
        <w:t>mL</w:t>
      </w:r>
      <w:r>
        <w:rPr>
          <w:rFonts w:hint="eastAsia" w:ascii="Times New Roman" w:hAnsi="Times New Roman"/>
        </w:rPr>
        <w:t>）；</w:t>
      </w:r>
    </w:p>
    <w:p>
      <w:pPr>
        <w:snapToGrid w:val="0"/>
        <w:ind w:firstLine="420" w:firstLineChars="200"/>
      </w:pPr>
      <w:r>
        <w:rPr>
          <w:i/>
        </w:rPr>
        <w:t xml:space="preserve">M </w:t>
      </w:r>
      <w:r>
        <w:t xml:space="preserve">— </w:t>
      </w:r>
      <w:r>
        <w:rPr>
          <w:rFonts w:hint="eastAsia"/>
        </w:rPr>
        <w:t>铜的摩尔质量，单位为克每摩尔（</w:t>
      </w:r>
      <w:r>
        <w:t>g/mol</w:t>
      </w:r>
      <w:r>
        <w:rPr>
          <w:rFonts w:hint="eastAsia"/>
        </w:rPr>
        <w:t>）</w:t>
      </w:r>
      <w:r>
        <w:t>,[M</w:t>
      </w:r>
      <w:r>
        <w:rPr>
          <w:rFonts w:hint="eastAsia"/>
        </w:rPr>
        <w:t>（</w:t>
      </w:r>
      <w:r>
        <w:t>Cu</w:t>
      </w:r>
      <w:r>
        <w:rPr>
          <w:rFonts w:hint="eastAsia"/>
        </w:rPr>
        <w:t>）</w:t>
      </w:r>
      <w:r>
        <w:t>=63.55]</w:t>
      </w:r>
      <w:r>
        <w:rPr>
          <w:rFonts w:hint="eastAsia"/>
        </w:rPr>
        <w:t>。</w:t>
      </w:r>
    </w:p>
    <w:p>
      <w:pPr>
        <w:pStyle w:val="27"/>
        <w:widowControl w:val="0"/>
        <w:autoSpaceDE/>
        <w:autoSpaceDN/>
        <w:ind w:firstLine="420"/>
        <w:rPr>
          <w:rFonts w:ascii="Times New Roman" w:hAnsi="Times New Roman"/>
        </w:rPr>
      </w:pPr>
      <w:r>
        <w:rPr>
          <w:rFonts w:ascii="Times New Roman" w:hAnsi="Times New Roman"/>
          <w:i/>
        </w:rPr>
        <w:t>m</w:t>
      </w:r>
      <w:r>
        <w:rPr>
          <w:rFonts w:ascii="Times New Roman" w:hAnsi="Times New Roman"/>
          <w:i/>
          <w:vertAlign w:val="subscript"/>
        </w:rPr>
        <w:t xml:space="preserve">1 </w:t>
      </w:r>
      <w:r>
        <w:rPr>
          <w:rFonts w:ascii="Times New Roman" w:hAnsi="Times New Roman"/>
        </w:rPr>
        <w:t>—</w:t>
      </w:r>
      <w:r>
        <w:rPr>
          <w:rFonts w:hint="eastAsia" w:ascii="Times New Roman" w:hAnsi="Times New Roman"/>
        </w:rPr>
        <w:t>试料的质量，单位为克（</w:t>
      </w:r>
      <w:r>
        <w:rPr>
          <w:rFonts w:ascii="Times New Roman" w:hAnsi="Times New Roman"/>
        </w:rPr>
        <w:t>g</w:t>
      </w:r>
      <w:r>
        <w:rPr>
          <w:rFonts w:hint="eastAsia" w:ascii="Times New Roman" w:hAnsi="Times New Roman"/>
        </w:rPr>
        <w:t>）；</w:t>
      </w:r>
    </w:p>
    <w:p>
      <w:pPr>
        <w:tabs>
          <w:tab w:val="left" w:pos="1350"/>
        </w:tabs>
        <w:ind w:firstLine="435"/>
      </w:pPr>
      <w:r>
        <w:rPr>
          <w:rFonts w:hint="eastAsia"/>
        </w:rPr>
        <w:t>计算结果保留至小数点后二位。</w:t>
      </w:r>
    </w:p>
    <w:p>
      <w:pPr>
        <w:spacing w:line="360" w:lineRule="auto"/>
        <w:rPr>
          <w:rFonts w:hint="eastAsia" w:ascii="黑体" w:hAnsi="黑体" w:eastAsia="黑体" w:cs="黑体"/>
          <w:b w:val="0"/>
          <w:bCs w:val="0"/>
          <w:szCs w:val="21"/>
        </w:rPr>
      </w:pPr>
      <w:r>
        <w:rPr>
          <w:rFonts w:hint="eastAsia" w:ascii="黑体" w:hAnsi="黑体" w:eastAsia="黑体" w:cs="黑体"/>
          <w:b w:val="0"/>
          <w:bCs w:val="0"/>
          <w:szCs w:val="21"/>
        </w:rPr>
        <w:t>3.6 精密度</w:t>
      </w:r>
      <w:r>
        <w:rPr>
          <w:rFonts w:hint="eastAsia" w:ascii="黑体" w:hAnsi="黑体" w:eastAsia="黑体" w:cs="黑体"/>
          <w:b w:val="0"/>
          <w:bCs w:val="0"/>
          <w:szCs w:val="21"/>
        </w:rPr>
        <w:tab/>
      </w:r>
    </w:p>
    <w:p>
      <w:pPr>
        <w:spacing w:line="360" w:lineRule="auto"/>
        <w:rPr>
          <w:rFonts w:eastAsia="黑体"/>
          <w:szCs w:val="21"/>
        </w:rPr>
      </w:pPr>
      <w:r>
        <w:rPr>
          <w:rFonts w:eastAsia="黑体"/>
          <w:szCs w:val="21"/>
        </w:rPr>
        <w:t xml:space="preserve">3.6.1  </w:t>
      </w:r>
      <w:r>
        <w:rPr>
          <w:rFonts w:hint="eastAsia" w:eastAsia="黑体"/>
          <w:szCs w:val="21"/>
        </w:rPr>
        <w:t>重复性</w:t>
      </w:r>
    </w:p>
    <w:p>
      <w:pPr>
        <w:ind w:firstLine="437"/>
        <w:rPr>
          <w:bCs/>
          <w:szCs w:val="21"/>
        </w:rPr>
      </w:pPr>
      <w:r>
        <w:rPr>
          <w:rFonts w:hint="eastAsia"/>
          <w:bCs/>
          <w:szCs w:val="21"/>
        </w:rPr>
        <w:t>在重复性条件下获得的两次独立测试结果的测定值，在以下给出的平均值范围内，这两个测试结果的绝对值不超过重复性限（</w:t>
      </w:r>
      <w:r>
        <w:rPr>
          <w:bCs/>
          <w:i/>
          <w:szCs w:val="21"/>
        </w:rPr>
        <w:t>r</w:t>
      </w:r>
      <w:r>
        <w:rPr>
          <w:rFonts w:hint="eastAsia"/>
          <w:bCs/>
          <w:szCs w:val="21"/>
        </w:rPr>
        <w:t>），超过重复性限（</w:t>
      </w:r>
      <w:r>
        <w:rPr>
          <w:bCs/>
          <w:i/>
          <w:szCs w:val="21"/>
        </w:rPr>
        <w:t>r</w:t>
      </w:r>
      <w:r>
        <w:rPr>
          <w:rFonts w:hint="eastAsia"/>
          <w:bCs/>
          <w:szCs w:val="21"/>
        </w:rPr>
        <w:t>）的情况不超过</w:t>
      </w:r>
      <w:r>
        <w:rPr>
          <w:bCs/>
          <w:szCs w:val="21"/>
        </w:rPr>
        <w:t>5%</w:t>
      </w:r>
      <w:r>
        <w:rPr>
          <w:rFonts w:hint="eastAsia"/>
          <w:bCs/>
          <w:szCs w:val="21"/>
        </w:rPr>
        <w:t>，重复性限（</w:t>
      </w:r>
      <w:r>
        <w:rPr>
          <w:bCs/>
          <w:i/>
          <w:szCs w:val="21"/>
        </w:rPr>
        <w:t>r</w:t>
      </w:r>
      <w:r>
        <w:rPr>
          <w:rFonts w:hint="eastAsia"/>
          <w:bCs/>
          <w:szCs w:val="21"/>
        </w:rPr>
        <w:t>）按表</w:t>
      </w:r>
      <w:r>
        <w:rPr>
          <w:bCs/>
          <w:szCs w:val="21"/>
        </w:rPr>
        <w:t>5</w:t>
      </w:r>
      <w:r>
        <w:rPr>
          <w:rFonts w:hint="eastAsia"/>
          <w:bCs/>
          <w:szCs w:val="21"/>
        </w:rPr>
        <w:t>数据采用线性内插法或外延法求得。</w:t>
      </w:r>
    </w:p>
    <w:p>
      <w:pPr>
        <w:spacing w:line="360" w:lineRule="auto"/>
        <w:jc w:val="center"/>
        <w:rPr>
          <w:rFonts w:eastAsia="黑体"/>
          <w:sz w:val="18"/>
          <w:szCs w:val="24"/>
        </w:rPr>
      </w:pPr>
    </w:p>
    <w:p>
      <w:pPr>
        <w:spacing w:line="360" w:lineRule="auto"/>
        <w:jc w:val="center"/>
        <w:rPr>
          <w:rFonts w:eastAsia="黑体"/>
          <w:sz w:val="18"/>
          <w:szCs w:val="24"/>
        </w:rPr>
      </w:pPr>
      <w:r>
        <w:rPr>
          <w:rFonts w:hint="eastAsia" w:eastAsia="黑体"/>
          <w:sz w:val="18"/>
          <w:szCs w:val="24"/>
        </w:rPr>
        <w:t>表</w:t>
      </w:r>
      <w:r>
        <w:rPr>
          <w:rFonts w:eastAsia="黑体"/>
          <w:sz w:val="18"/>
          <w:szCs w:val="24"/>
        </w:rPr>
        <w:t xml:space="preserve">5 </w:t>
      </w:r>
      <w:r>
        <w:rPr>
          <w:rFonts w:hint="eastAsia" w:eastAsia="黑体"/>
          <w:sz w:val="18"/>
          <w:szCs w:val="24"/>
        </w:rPr>
        <w:t>重复性限</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8"/>
        <w:gridCol w:w="1368"/>
        <w:gridCol w:w="1368"/>
        <w:gridCol w:w="1366"/>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jc w:val="center"/>
              <w:rPr>
                <w:bCs/>
                <w:sz w:val="18"/>
                <w:szCs w:val="18"/>
              </w:rPr>
            </w:pPr>
            <w:r>
              <w:rPr>
                <w:i/>
                <w:sz w:val="18"/>
                <w:szCs w:val="18"/>
              </w:rPr>
              <w:t xml:space="preserve">W </w:t>
            </w:r>
            <w:r>
              <w:rPr>
                <w:i/>
                <w:sz w:val="18"/>
                <w:szCs w:val="18"/>
                <w:vertAlign w:val="subscript"/>
              </w:rPr>
              <w:t>Cu</w:t>
            </w:r>
            <w:r>
              <w:rPr>
                <w:sz w:val="18"/>
                <w:szCs w:val="18"/>
              </w:rPr>
              <w:t>/ %</w:t>
            </w:r>
          </w:p>
        </w:tc>
        <w:tc>
          <w:tcPr>
            <w:tcW w:w="715" w:type="pct"/>
            <w:vAlign w:val="center"/>
          </w:tcPr>
          <w:p>
            <w:pPr>
              <w:jc w:val="center"/>
              <w:rPr>
                <w:sz w:val="18"/>
                <w:szCs w:val="18"/>
              </w:rPr>
            </w:pPr>
            <w:r>
              <w:rPr>
                <w:rFonts w:hint="eastAsia"/>
                <w:sz w:val="18"/>
                <w:szCs w:val="18"/>
              </w:rPr>
              <w:t>5.56</w:t>
            </w:r>
          </w:p>
        </w:tc>
        <w:tc>
          <w:tcPr>
            <w:tcW w:w="715" w:type="pct"/>
            <w:vAlign w:val="center"/>
          </w:tcPr>
          <w:p>
            <w:pPr>
              <w:jc w:val="center"/>
              <w:rPr>
                <w:sz w:val="18"/>
                <w:szCs w:val="18"/>
              </w:rPr>
            </w:pPr>
            <w:r>
              <w:rPr>
                <w:rFonts w:hint="eastAsia"/>
                <w:sz w:val="18"/>
                <w:szCs w:val="18"/>
              </w:rPr>
              <w:t>14.24</w:t>
            </w:r>
          </w:p>
        </w:tc>
        <w:tc>
          <w:tcPr>
            <w:tcW w:w="715" w:type="pct"/>
            <w:vAlign w:val="center"/>
          </w:tcPr>
          <w:p>
            <w:pPr>
              <w:jc w:val="center"/>
              <w:rPr>
                <w:sz w:val="18"/>
                <w:szCs w:val="18"/>
              </w:rPr>
            </w:pPr>
            <w:r>
              <w:rPr>
                <w:rFonts w:hint="eastAsia"/>
                <w:sz w:val="18"/>
                <w:szCs w:val="18"/>
              </w:rPr>
              <w:t>27.77</w:t>
            </w:r>
          </w:p>
        </w:tc>
        <w:tc>
          <w:tcPr>
            <w:tcW w:w="714" w:type="pct"/>
            <w:vAlign w:val="center"/>
          </w:tcPr>
          <w:p>
            <w:pPr>
              <w:jc w:val="center"/>
              <w:rPr>
                <w:sz w:val="18"/>
                <w:szCs w:val="18"/>
              </w:rPr>
            </w:pPr>
            <w:r>
              <w:rPr>
                <w:rFonts w:hint="eastAsia"/>
                <w:sz w:val="18"/>
                <w:szCs w:val="18"/>
              </w:rPr>
              <w:t>38.74</w:t>
            </w:r>
          </w:p>
        </w:tc>
        <w:tc>
          <w:tcPr>
            <w:tcW w:w="712" w:type="pct"/>
            <w:vAlign w:val="center"/>
          </w:tcPr>
          <w:p>
            <w:pPr>
              <w:jc w:val="center"/>
              <w:rPr>
                <w:sz w:val="18"/>
                <w:szCs w:val="18"/>
              </w:rPr>
            </w:pPr>
            <w:r>
              <w:rPr>
                <w:rFonts w:hint="eastAsia"/>
                <w:sz w:val="18"/>
                <w:szCs w:val="18"/>
              </w:rPr>
              <w:t>50.04</w:t>
            </w:r>
          </w:p>
        </w:tc>
        <w:tc>
          <w:tcPr>
            <w:tcW w:w="712" w:type="pct"/>
            <w:vAlign w:val="center"/>
          </w:tcPr>
          <w:p>
            <w:pPr>
              <w:jc w:val="center"/>
              <w:rPr>
                <w:sz w:val="18"/>
                <w:szCs w:val="18"/>
              </w:rPr>
            </w:pPr>
            <w:r>
              <w:rPr>
                <w:rFonts w:hint="eastAsia"/>
                <w:sz w:val="18"/>
                <w:szCs w:val="18"/>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jc w:val="center"/>
              <w:rPr>
                <w:bCs/>
                <w:sz w:val="18"/>
                <w:szCs w:val="18"/>
              </w:rPr>
            </w:pPr>
            <w:r>
              <w:rPr>
                <w:bCs/>
                <w:i/>
                <w:sz w:val="18"/>
                <w:szCs w:val="18"/>
              </w:rPr>
              <w:t xml:space="preserve">r </w:t>
            </w:r>
            <w:r>
              <w:rPr>
                <w:bCs/>
                <w:sz w:val="18"/>
                <w:szCs w:val="18"/>
              </w:rPr>
              <w:t>/ %</w:t>
            </w:r>
          </w:p>
        </w:tc>
        <w:tc>
          <w:tcPr>
            <w:tcW w:w="715" w:type="pct"/>
            <w:vAlign w:val="center"/>
          </w:tcPr>
          <w:p>
            <w:pPr>
              <w:jc w:val="center"/>
              <w:rPr>
                <w:sz w:val="18"/>
                <w:szCs w:val="18"/>
              </w:rPr>
            </w:pPr>
            <w:r>
              <w:rPr>
                <w:rFonts w:hint="eastAsia"/>
                <w:sz w:val="18"/>
                <w:szCs w:val="18"/>
              </w:rPr>
              <w:t>0.12</w:t>
            </w:r>
          </w:p>
        </w:tc>
        <w:tc>
          <w:tcPr>
            <w:tcW w:w="715" w:type="pct"/>
            <w:vAlign w:val="center"/>
          </w:tcPr>
          <w:p>
            <w:pPr>
              <w:jc w:val="center"/>
              <w:rPr>
                <w:sz w:val="18"/>
                <w:szCs w:val="18"/>
              </w:rPr>
            </w:pPr>
            <w:r>
              <w:rPr>
                <w:rFonts w:hint="eastAsia"/>
                <w:sz w:val="18"/>
                <w:szCs w:val="18"/>
              </w:rPr>
              <w:t>0.23</w:t>
            </w:r>
          </w:p>
        </w:tc>
        <w:tc>
          <w:tcPr>
            <w:tcW w:w="715" w:type="pct"/>
            <w:vAlign w:val="center"/>
          </w:tcPr>
          <w:p>
            <w:pPr>
              <w:jc w:val="center"/>
              <w:rPr>
                <w:sz w:val="18"/>
                <w:szCs w:val="18"/>
              </w:rPr>
            </w:pPr>
            <w:r>
              <w:rPr>
                <w:rFonts w:hint="eastAsia"/>
                <w:sz w:val="18"/>
                <w:szCs w:val="18"/>
              </w:rPr>
              <w:t>0.19</w:t>
            </w:r>
          </w:p>
        </w:tc>
        <w:tc>
          <w:tcPr>
            <w:tcW w:w="714" w:type="pct"/>
            <w:vAlign w:val="center"/>
          </w:tcPr>
          <w:p>
            <w:pPr>
              <w:jc w:val="center"/>
              <w:rPr>
                <w:sz w:val="18"/>
                <w:szCs w:val="18"/>
              </w:rPr>
            </w:pPr>
            <w:r>
              <w:rPr>
                <w:rFonts w:hint="eastAsia"/>
                <w:sz w:val="18"/>
                <w:szCs w:val="18"/>
              </w:rPr>
              <w:t>0.25</w:t>
            </w:r>
          </w:p>
        </w:tc>
        <w:tc>
          <w:tcPr>
            <w:tcW w:w="712" w:type="pct"/>
            <w:vAlign w:val="center"/>
          </w:tcPr>
          <w:p>
            <w:pPr>
              <w:jc w:val="center"/>
              <w:rPr>
                <w:sz w:val="18"/>
                <w:szCs w:val="18"/>
              </w:rPr>
            </w:pPr>
            <w:r>
              <w:rPr>
                <w:rFonts w:hint="eastAsia"/>
                <w:sz w:val="18"/>
                <w:szCs w:val="18"/>
              </w:rPr>
              <w:t>0.34</w:t>
            </w:r>
          </w:p>
        </w:tc>
        <w:tc>
          <w:tcPr>
            <w:tcW w:w="712" w:type="pct"/>
            <w:vAlign w:val="center"/>
          </w:tcPr>
          <w:p>
            <w:pPr>
              <w:jc w:val="center"/>
              <w:rPr>
                <w:sz w:val="18"/>
                <w:szCs w:val="18"/>
              </w:rPr>
            </w:pPr>
            <w:r>
              <w:rPr>
                <w:rFonts w:hint="eastAsia"/>
                <w:sz w:val="18"/>
                <w:szCs w:val="18"/>
              </w:rPr>
              <w:t>0.37</w:t>
            </w:r>
          </w:p>
        </w:tc>
      </w:tr>
    </w:tbl>
    <w:p>
      <w:pPr>
        <w:spacing w:line="360" w:lineRule="auto"/>
        <w:rPr>
          <w:rFonts w:eastAsia="黑体"/>
          <w:szCs w:val="21"/>
        </w:rPr>
      </w:pPr>
      <w:r>
        <w:rPr>
          <w:rFonts w:eastAsia="黑体"/>
          <w:szCs w:val="21"/>
        </w:rPr>
        <w:t xml:space="preserve">3.6.2  </w:t>
      </w:r>
      <w:r>
        <w:rPr>
          <w:rFonts w:hint="eastAsia" w:eastAsia="黑体"/>
          <w:szCs w:val="21"/>
        </w:rPr>
        <w:t>再现性</w:t>
      </w:r>
    </w:p>
    <w:p>
      <w:pPr>
        <w:ind w:firstLine="420" w:firstLineChars="200"/>
        <w:rPr>
          <w:bCs/>
          <w:szCs w:val="21"/>
        </w:rPr>
      </w:pPr>
      <w:r>
        <w:rPr>
          <w:rFonts w:hint="eastAsia"/>
          <w:bCs/>
          <w:szCs w:val="21"/>
        </w:rPr>
        <w:t>在再现性条件下获得的两次独立测试结果的测定值，在以下给出的平均值范围内，这两个测试结果的绝对差不超过再现性限（</w:t>
      </w:r>
      <w:r>
        <w:rPr>
          <w:bCs/>
          <w:i/>
          <w:szCs w:val="21"/>
        </w:rPr>
        <w:t>R</w:t>
      </w:r>
      <w:r>
        <w:rPr>
          <w:rFonts w:hint="eastAsia"/>
          <w:bCs/>
          <w:szCs w:val="21"/>
        </w:rPr>
        <w:t>），超过再现性限（</w:t>
      </w:r>
      <w:r>
        <w:rPr>
          <w:bCs/>
          <w:i/>
          <w:szCs w:val="21"/>
        </w:rPr>
        <w:t>R</w:t>
      </w:r>
      <w:r>
        <w:rPr>
          <w:rFonts w:hint="eastAsia"/>
          <w:bCs/>
          <w:szCs w:val="21"/>
        </w:rPr>
        <w:t>）的情况不超过</w:t>
      </w:r>
      <w:r>
        <w:rPr>
          <w:bCs/>
          <w:szCs w:val="21"/>
        </w:rPr>
        <w:t>5%</w:t>
      </w:r>
      <w:r>
        <w:rPr>
          <w:rFonts w:hint="eastAsia"/>
          <w:bCs/>
          <w:szCs w:val="21"/>
        </w:rPr>
        <w:t>，再现性限（</w:t>
      </w:r>
      <w:r>
        <w:rPr>
          <w:bCs/>
          <w:i/>
          <w:szCs w:val="21"/>
        </w:rPr>
        <w:t>R</w:t>
      </w:r>
      <w:r>
        <w:rPr>
          <w:rFonts w:hint="eastAsia"/>
          <w:bCs/>
          <w:szCs w:val="21"/>
        </w:rPr>
        <w:t>）按表</w:t>
      </w:r>
      <w:r>
        <w:rPr>
          <w:bCs/>
          <w:szCs w:val="21"/>
        </w:rPr>
        <w:t>6</w:t>
      </w:r>
      <w:r>
        <w:rPr>
          <w:rFonts w:hint="eastAsia"/>
          <w:bCs/>
          <w:szCs w:val="21"/>
        </w:rPr>
        <w:t>数据采用线性内插法或外延法求得。</w:t>
      </w:r>
    </w:p>
    <w:p>
      <w:pPr>
        <w:jc w:val="center"/>
        <w:rPr>
          <w:rFonts w:eastAsia="黑体"/>
          <w:sz w:val="18"/>
          <w:szCs w:val="24"/>
        </w:rPr>
      </w:pPr>
      <w:r>
        <w:rPr>
          <w:rFonts w:hint="eastAsia" w:eastAsia="黑体"/>
          <w:sz w:val="18"/>
          <w:szCs w:val="24"/>
        </w:rPr>
        <w:t>表</w:t>
      </w:r>
      <w:r>
        <w:rPr>
          <w:rFonts w:eastAsia="黑体"/>
          <w:sz w:val="18"/>
          <w:szCs w:val="24"/>
        </w:rPr>
        <w:t xml:space="preserve">6  </w:t>
      </w:r>
      <w:r>
        <w:rPr>
          <w:rFonts w:hint="eastAsia" w:eastAsia="黑体"/>
          <w:sz w:val="18"/>
          <w:szCs w:val="24"/>
        </w:rPr>
        <w:t>再现性限</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8"/>
        <w:gridCol w:w="1368"/>
        <w:gridCol w:w="1368"/>
        <w:gridCol w:w="1366"/>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5" w:type="pct"/>
          </w:tcPr>
          <w:p>
            <w:pPr>
              <w:jc w:val="center"/>
              <w:rPr>
                <w:bCs/>
                <w:sz w:val="18"/>
                <w:szCs w:val="18"/>
              </w:rPr>
            </w:pPr>
            <w:r>
              <w:rPr>
                <w:i/>
                <w:sz w:val="18"/>
                <w:szCs w:val="18"/>
              </w:rPr>
              <w:t xml:space="preserve">W </w:t>
            </w:r>
            <w:r>
              <w:rPr>
                <w:i/>
                <w:sz w:val="18"/>
                <w:szCs w:val="18"/>
                <w:vertAlign w:val="subscript"/>
              </w:rPr>
              <w:t>Cu</w:t>
            </w:r>
            <w:r>
              <w:rPr>
                <w:sz w:val="18"/>
                <w:szCs w:val="18"/>
              </w:rPr>
              <w:t>/%</w:t>
            </w:r>
          </w:p>
        </w:tc>
        <w:tc>
          <w:tcPr>
            <w:tcW w:w="715" w:type="pct"/>
            <w:vAlign w:val="center"/>
          </w:tcPr>
          <w:p>
            <w:pPr>
              <w:jc w:val="center"/>
              <w:rPr>
                <w:sz w:val="18"/>
                <w:szCs w:val="18"/>
              </w:rPr>
            </w:pPr>
            <w:r>
              <w:rPr>
                <w:rFonts w:hint="eastAsia"/>
                <w:sz w:val="18"/>
                <w:szCs w:val="18"/>
              </w:rPr>
              <w:t>5.56</w:t>
            </w:r>
          </w:p>
        </w:tc>
        <w:tc>
          <w:tcPr>
            <w:tcW w:w="715" w:type="pct"/>
            <w:vAlign w:val="center"/>
          </w:tcPr>
          <w:p>
            <w:pPr>
              <w:jc w:val="center"/>
              <w:rPr>
                <w:sz w:val="18"/>
                <w:szCs w:val="18"/>
              </w:rPr>
            </w:pPr>
            <w:r>
              <w:rPr>
                <w:rFonts w:hint="eastAsia"/>
                <w:sz w:val="18"/>
                <w:szCs w:val="18"/>
              </w:rPr>
              <w:t>14.24</w:t>
            </w:r>
          </w:p>
        </w:tc>
        <w:tc>
          <w:tcPr>
            <w:tcW w:w="715" w:type="pct"/>
            <w:vAlign w:val="center"/>
          </w:tcPr>
          <w:p>
            <w:pPr>
              <w:jc w:val="center"/>
              <w:rPr>
                <w:sz w:val="18"/>
                <w:szCs w:val="18"/>
              </w:rPr>
            </w:pPr>
            <w:r>
              <w:rPr>
                <w:rFonts w:hint="eastAsia"/>
                <w:sz w:val="18"/>
                <w:szCs w:val="18"/>
              </w:rPr>
              <w:t>27.77</w:t>
            </w:r>
          </w:p>
        </w:tc>
        <w:tc>
          <w:tcPr>
            <w:tcW w:w="714" w:type="pct"/>
            <w:vAlign w:val="center"/>
          </w:tcPr>
          <w:p>
            <w:pPr>
              <w:jc w:val="center"/>
              <w:rPr>
                <w:sz w:val="18"/>
                <w:szCs w:val="18"/>
              </w:rPr>
            </w:pPr>
            <w:r>
              <w:rPr>
                <w:rFonts w:hint="eastAsia"/>
                <w:sz w:val="18"/>
                <w:szCs w:val="18"/>
              </w:rPr>
              <w:t>38.74</w:t>
            </w:r>
          </w:p>
        </w:tc>
        <w:tc>
          <w:tcPr>
            <w:tcW w:w="712" w:type="pct"/>
            <w:vAlign w:val="center"/>
          </w:tcPr>
          <w:p>
            <w:pPr>
              <w:jc w:val="center"/>
              <w:rPr>
                <w:sz w:val="18"/>
                <w:szCs w:val="18"/>
              </w:rPr>
            </w:pPr>
            <w:r>
              <w:rPr>
                <w:rFonts w:hint="eastAsia"/>
                <w:sz w:val="18"/>
                <w:szCs w:val="18"/>
              </w:rPr>
              <w:t>50.04</w:t>
            </w:r>
          </w:p>
        </w:tc>
        <w:tc>
          <w:tcPr>
            <w:tcW w:w="712" w:type="pct"/>
            <w:vAlign w:val="center"/>
          </w:tcPr>
          <w:p>
            <w:pPr>
              <w:jc w:val="center"/>
              <w:rPr>
                <w:sz w:val="18"/>
                <w:szCs w:val="18"/>
              </w:rPr>
            </w:pPr>
            <w:r>
              <w:rPr>
                <w:rFonts w:hint="eastAsia"/>
                <w:sz w:val="18"/>
                <w:szCs w:val="18"/>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15" w:type="pct"/>
          </w:tcPr>
          <w:p>
            <w:pPr>
              <w:jc w:val="center"/>
              <w:rPr>
                <w:bCs/>
                <w:sz w:val="18"/>
                <w:szCs w:val="18"/>
              </w:rPr>
            </w:pPr>
            <w:r>
              <w:rPr>
                <w:bCs/>
                <w:i/>
                <w:sz w:val="18"/>
                <w:szCs w:val="18"/>
              </w:rPr>
              <w:t>R</w:t>
            </w:r>
            <w:r>
              <w:rPr>
                <w:bCs/>
                <w:sz w:val="18"/>
                <w:szCs w:val="18"/>
              </w:rPr>
              <w:t xml:space="preserve"> / %</w:t>
            </w:r>
          </w:p>
        </w:tc>
        <w:tc>
          <w:tcPr>
            <w:tcW w:w="715" w:type="pct"/>
            <w:vAlign w:val="center"/>
          </w:tcPr>
          <w:p>
            <w:pPr>
              <w:jc w:val="center"/>
              <w:rPr>
                <w:sz w:val="18"/>
                <w:szCs w:val="18"/>
              </w:rPr>
            </w:pPr>
            <w:r>
              <w:rPr>
                <w:rFonts w:hint="eastAsia"/>
                <w:sz w:val="18"/>
                <w:szCs w:val="18"/>
              </w:rPr>
              <w:t>0.17</w:t>
            </w:r>
          </w:p>
        </w:tc>
        <w:tc>
          <w:tcPr>
            <w:tcW w:w="715" w:type="pct"/>
            <w:vAlign w:val="center"/>
          </w:tcPr>
          <w:p>
            <w:pPr>
              <w:jc w:val="center"/>
              <w:rPr>
                <w:sz w:val="18"/>
                <w:szCs w:val="18"/>
              </w:rPr>
            </w:pPr>
            <w:r>
              <w:rPr>
                <w:rFonts w:hint="eastAsia"/>
                <w:sz w:val="18"/>
                <w:szCs w:val="18"/>
              </w:rPr>
              <w:t>0.29</w:t>
            </w:r>
          </w:p>
        </w:tc>
        <w:tc>
          <w:tcPr>
            <w:tcW w:w="715" w:type="pct"/>
            <w:vAlign w:val="center"/>
          </w:tcPr>
          <w:p>
            <w:pPr>
              <w:jc w:val="center"/>
              <w:rPr>
                <w:sz w:val="18"/>
                <w:szCs w:val="18"/>
              </w:rPr>
            </w:pPr>
            <w:r>
              <w:rPr>
                <w:rFonts w:hint="eastAsia"/>
                <w:sz w:val="18"/>
                <w:szCs w:val="18"/>
              </w:rPr>
              <w:t>0.47</w:t>
            </w:r>
          </w:p>
        </w:tc>
        <w:tc>
          <w:tcPr>
            <w:tcW w:w="714" w:type="pct"/>
            <w:vAlign w:val="center"/>
          </w:tcPr>
          <w:p>
            <w:pPr>
              <w:jc w:val="center"/>
              <w:rPr>
                <w:sz w:val="18"/>
                <w:szCs w:val="18"/>
              </w:rPr>
            </w:pPr>
            <w:r>
              <w:rPr>
                <w:rFonts w:hint="eastAsia"/>
                <w:sz w:val="18"/>
                <w:szCs w:val="18"/>
              </w:rPr>
              <w:t>0.44</w:t>
            </w:r>
          </w:p>
        </w:tc>
        <w:tc>
          <w:tcPr>
            <w:tcW w:w="712" w:type="pct"/>
            <w:vAlign w:val="center"/>
          </w:tcPr>
          <w:p>
            <w:pPr>
              <w:jc w:val="center"/>
              <w:rPr>
                <w:sz w:val="18"/>
                <w:szCs w:val="18"/>
              </w:rPr>
            </w:pPr>
            <w:r>
              <w:rPr>
                <w:rFonts w:hint="eastAsia"/>
                <w:sz w:val="18"/>
                <w:szCs w:val="18"/>
              </w:rPr>
              <w:t>0.38</w:t>
            </w:r>
          </w:p>
        </w:tc>
        <w:tc>
          <w:tcPr>
            <w:tcW w:w="712" w:type="pct"/>
            <w:vAlign w:val="center"/>
          </w:tcPr>
          <w:p>
            <w:pPr>
              <w:jc w:val="center"/>
              <w:rPr>
                <w:sz w:val="18"/>
                <w:szCs w:val="18"/>
              </w:rPr>
            </w:pPr>
            <w:r>
              <w:rPr>
                <w:rFonts w:hint="eastAsia"/>
                <w:sz w:val="18"/>
                <w:szCs w:val="18"/>
              </w:rPr>
              <w:t>0.52</w:t>
            </w:r>
          </w:p>
        </w:tc>
      </w:tr>
    </w:tbl>
    <w:p>
      <w:pPr>
        <w:spacing w:line="360" w:lineRule="auto"/>
        <w:rPr>
          <w:rFonts w:eastAsia="黑体" w:cs="黑体"/>
          <w:b/>
          <w:bCs/>
          <w:szCs w:val="21"/>
        </w:rPr>
      </w:pPr>
      <w:r>
        <w:rPr>
          <w:rFonts w:eastAsia="黑体" w:cs="黑体"/>
          <w:b/>
          <w:bCs/>
          <w:szCs w:val="21"/>
        </w:rPr>
        <w:t xml:space="preserve">4  </w:t>
      </w:r>
      <w:r>
        <w:rPr>
          <w:rFonts w:hint="eastAsia" w:eastAsia="黑体" w:cs="黑体"/>
          <w:b/>
          <w:bCs/>
          <w:szCs w:val="21"/>
        </w:rPr>
        <w:t>试验报告</w:t>
      </w:r>
    </w:p>
    <w:p>
      <w:pPr>
        <w:pStyle w:val="27"/>
        <w:widowControl w:val="0"/>
        <w:autoSpaceDE/>
        <w:autoSpaceDN/>
        <w:ind w:firstLine="420"/>
        <w:rPr>
          <w:rFonts w:ascii="Times New Roman" w:hAnsi="Times New Roman"/>
          <w:szCs w:val="21"/>
        </w:rPr>
      </w:pPr>
      <w:r>
        <w:rPr>
          <w:rFonts w:hint="eastAsia" w:ascii="Times New Roman" w:hAnsi="Times New Roman"/>
          <w:szCs w:val="21"/>
        </w:rPr>
        <w:t>试验报告至少应包括以下几个方面的内容：</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rPr>
        <w:t>试样；</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rPr>
        <w:t>使用的标准（</w:t>
      </w:r>
      <w:r>
        <w:rPr>
          <w:rFonts w:ascii="Times New Roman" w:hAnsi="Times New Roman"/>
          <w:szCs w:val="21"/>
        </w:rPr>
        <w:t>YS/T XXX.3—201X</w:t>
      </w:r>
      <w:r>
        <w:rPr>
          <w:rFonts w:hint="eastAsia" w:ascii="Times New Roman" w:hAnsi="Times New Roman"/>
          <w:szCs w:val="21"/>
        </w:rPr>
        <w:t>）；</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lang w:val="en-US" w:eastAsia="zh-CN"/>
        </w:rPr>
        <w:t>使用的方法；</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rPr>
        <w:t>分析结果及其表示；</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rPr>
        <w:t>与基本分析步骤的差异；</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rPr>
        <w:t>测定中观察到的异常现象；</w:t>
      </w:r>
    </w:p>
    <w:p>
      <w:pPr>
        <w:pStyle w:val="27"/>
        <w:widowControl w:val="0"/>
        <w:numPr>
          <w:ilvl w:val="0"/>
          <w:numId w:val="1"/>
        </w:numPr>
        <w:autoSpaceDE/>
        <w:autoSpaceDN/>
        <w:ind w:firstLineChars="0"/>
        <w:rPr>
          <w:rFonts w:ascii="Times New Roman" w:hAnsi="Times New Roman"/>
          <w:szCs w:val="21"/>
        </w:rPr>
      </w:pPr>
      <w:r>
        <w:rPr>
          <w:rFonts w:hint="eastAsia" w:ascii="Times New Roman" w:hAnsi="Times New Roman"/>
          <w:szCs w:val="21"/>
        </w:rPr>
        <w:t>试验日期。</w:t>
      </w:r>
    </w:p>
    <w:p>
      <w:pPr>
        <w:ind w:firstLine="420" w:firstLineChars="200"/>
        <w:rPr>
          <w:rFonts w:eastAsia="黑体" w:cs="黑体"/>
          <w:b/>
          <w:bCs/>
        </w:rPr>
      </w:pPr>
    </w:p>
    <w:p>
      <w:r>
        <w:rPr>
          <w:sz w:val="21"/>
        </w:rPr>
        <w:pict>
          <v:line id="_x0000_s2060" o:spid="_x0000_s2060" o:spt="20" style="position:absolute;left:0pt;margin-left:113.9pt;margin-top:24.95pt;height:0.05pt;width:210pt;z-index:251668480;mso-width-relative:page;mso-height-relative:page;" fillcolor="#FFFFFF" filled="t" stroked="t" coordsize="21600,21600">
            <v:path arrowok="t"/>
            <v:fill on="t" color2="#FFFFFF" focussize="0,0"/>
            <v:stroke color="#000000"/>
            <v:imagedata o:title=""/>
            <o:lock v:ext="edit" aspectratio="f"/>
          </v:line>
        </w:pict>
      </w:r>
    </w:p>
    <w:sectPr>
      <w:headerReference r:id="rId11"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Style w:val="19"/>
      </w:rPr>
    </w:pPr>
    <w:r>
      <w:fldChar w:fldCharType="begin"/>
    </w:r>
    <w:r>
      <w:rPr>
        <w:rStyle w:val="19"/>
      </w:rPr>
      <w:instrText xml:space="preserve">PAGE  </w:instrText>
    </w:r>
    <w:r>
      <w:fldChar w:fldCharType="separate"/>
    </w:r>
    <w:r>
      <w:rPr>
        <w:rStyle w:val="1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5760" w:right="360" w:hanging="5760" w:hangingChars="3200"/>
      <w:jc w:val="right"/>
    </w:pPr>
    <w:r>
      <w:fldChar w:fldCharType="begin"/>
    </w:r>
    <w:r>
      <w:rPr>
        <w:rStyle w:val="19"/>
      </w:rPr>
      <w:instrText xml:space="preserve"> PAGE </w:instrText>
    </w:r>
    <w:r>
      <w:fldChar w:fldCharType="separate"/>
    </w:r>
    <w:r>
      <w:rPr>
        <w:rStyle w:val="19"/>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080" w:firstLine="360" w:firstLineChars="200"/>
    </w:pPr>
    <w:r>
      <w:fldChar w:fldCharType="begin"/>
    </w:r>
    <w:r>
      <w:rPr>
        <w:rStyle w:val="19"/>
      </w:rPr>
      <w:instrText xml:space="preserve"> PAGE </w:instrText>
    </w:r>
    <w:r>
      <w:fldChar w:fldCharType="separate"/>
    </w:r>
    <w:r>
      <w:rPr>
        <w:rStyle w:val="19"/>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rPr>
        <w:rFonts w:ascii="黑体" w:eastAsia="黑体"/>
        <w:szCs w:val="21"/>
      </w:rPr>
    </w:pPr>
    <w:r>
      <w:rPr>
        <w:rFonts w:hint="eastAsia" w:ascii="黑体" w:eastAsia="黑体"/>
        <w:szCs w:val="21"/>
      </w:rPr>
      <w:t>YS/T XXXX.1—201X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rPr>
        <w:rFonts w:ascii="黑体" w:eastAsia="黑体"/>
      </w:rPr>
    </w:pPr>
  </w:p>
  <w:p>
    <w:pPr>
      <w:pStyle w:val="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rPr>
        <w:rFonts w:ascii="黑体" w:eastAsia="黑体"/>
        <w:szCs w:val="21"/>
      </w:rPr>
    </w:pPr>
    <w:r>
      <w:rPr>
        <w:rFonts w:hint="eastAsia" w:ascii="黑体" w:eastAsia="黑体"/>
        <w:szCs w:val="21"/>
      </w:rPr>
      <w:t>YS/T XXXX.1—201X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1325"/>
    <w:multiLevelType w:val="multilevel"/>
    <w:tmpl w:val="334B1325"/>
    <w:lvl w:ilvl="0" w:tentative="0">
      <w:start w:val="8"/>
      <w:numFmt w:val="bullet"/>
      <w:lvlText w:val="—"/>
      <w:lvlJc w:val="left"/>
      <w:pPr>
        <w:ind w:left="840" w:hanging="420"/>
      </w:pPr>
      <w:rPr>
        <w:rFonts w:hint="default" w:ascii="Times New Roman" w:hAnsi="Times New Roman"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E08"/>
    <w:rsid w:val="00014B6F"/>
    <w:rsid w:val="00027703"/>
    <w:rsid w:val="00040599"/>
    <w:rsid w:val="00051C37"/>
    <w:rsid w:val="00056FF1"/>
    <w:rsid w:val="0006521B"/>
    <w:rsid w:val="00084D82"/>
    <w:rsid w:val="000929CC"/>
    <w:rsid w:val="00097334"/>
    <w:rsid w:val="000B49A5"/>
    <w:rsid w:val="000F1E08"/>
    <w:rsid w:val="000F3FB9"/>
    <w:rsid w:val="00106436"/>
    <w:rsid w:val="001201C7"/>
    <w:rsid w:val="00122BAB"/>
    <w:rsid w:val="00123222"/>
    <w:rsid w:val="00127257"/>
    <w:rsid w:val="00132043"/>
    <w:rsid w:val="00141170"/>
    <w:rsid w:val="00156351"/>
    <w:rsid w:val="0016012C"/>
    <w:rsid w:val="00165311"/>
    <w:rsid w:val="00170A6D"/>
    <w:rsid w:val="00172234"/>
    <w:rsid w:val="00174FEA"/>
    <w:rsid w:val="001A05FF"/>
    <w:rsid w:val="001A064E"/>
    <w:rsid w:val="001A28AF"/>
    <w:rsid w:val="001B25AC"/>
    <w:rsid w:val="001B3499"/>
    <w:rsid w:val="001B46B1"/>
    <w:rsid w:val="001B4CFC"/>
    <w:rsid w:val="001D739C"/>
    <w:rsid w:val="001E3E71"/>
    <w:rsid w:val="001E44FD"/>
    <w:rsid w:val="001E6A14"/>
    <w:rsid w:val="001F236B"/>
    <w:rsid w:val="00200E9A"/>
    <w:rsid w:val="00213F16"/>
    <w:rsid w:val="00217F9C"/>
    <w:rsid w:val="002263AD"/>
    <w:rsid w:val="00227021"/>
    <w:rsid w:val="00233467"/>
    <w:rsid w:val="0025503A"/>
    <w:rsid w:val="00267C2D"/>
    <w:rsid w:val="00277873"/>
    <w:rsid w:val="00297592"/>
    <w:rsid w:val="002A57F5"/>
    <w:rsid w:val="002B7603"/>
    <w:rsid w:val="002C1F9F"/>
    <w:rsid w:val="002D1EC5"/>
    <w:rsid w:val="002E135A"/>
    <w:rsid w:val="002F3A62"/>
    <w:rsid w:val="002F62D3"/>
    <w:rsid w:val="00304CAE"/>
    <w:rsid w:val="003200E0"/>
    <w:rsid w:val="00344D62"/>
    <w:rsid w:val="00373167"/>
    <w:rsid w:val="003A01DF"/>
    <w:rsid w:val="003C251C"/>
    <w:rsid w:val="003E218B"/>
    <w:rsid w:val="003F79BA"/>
    <w:rsid w:val="0040344B"/>
    <w:rsid w:val="004112E1"/>
    <w:rsid w:val="00427E37"/>
    <w:rsid w:val="004470A4"/>
    <w:rsid w:val="00461C5F"/>
    <w:rsid w:val="00480028"/>
    <w:rsid w:val="0048547E"/>
    <w:rsid w:val="00487831"/>
    <w:rsid w:val="004976C4"/>
    <w:rsid w:val="004B38F6"/>
    <w:rsid w:val="004C3A60"/>
    <w:rsid w:val="005123F2"/>
    <w:rsid w:val="00551AE0"/>
    <w:rsid w:val="00561823"/>
    <w:rsid w:val="00571311"/>
    <w:rsid w:val="005858DF"/>
    <w:rsid w:val="005A6101"/>
    <w:rsid w:val="005D437E"/>
    <w:rsid w:val="005E6494"/>
    <w:rsid w:val="005F3CF5"/>
    <w:rsid w:val="00610C50"/>
    <w:rsid w:val="006135FE"/>
    <w:rsid w:val="00624059"/>
    <w:rsid w:val="00646FFF"/>
    <w:rsid w:val="00651042"/>
    <w:rsid w:val="00665605"/>
    <w:rsid w:val="00694EF1"/>
    <w:rsid w:val="006A2350"/>
    <w:rsid w:val="006C2E5C"/>
    <w:rsid w:val="006F0DB3"/>
    <w:rsid w:val="006F6EC4"/>
    <w:rsid w:val="006F747A"/>
    <w:rsid w:val="0070453F"/>
    <w:rsid w:val="00707D19"/>
    <w:rsid w:val="007239B8"/>
    <w:rsid w:val="0073407F"/>
    <w:rsid w:val="007342CA"/>
    <w:rsid w:val="00741BAF"/>
    <w:rsid w:val="00741EDD"/>
    <w:rsid w:val="00743941"/>
    <w:rsid w:val="00752B56"/>
    <w:rsid w:val="007567C2"/>
    <w:rsid w:val="00765ED4"/>
    <w:rsid w:val="00770B08"/>
    <w:rsid w:val="00771282"/>
    <w:rsid w:val="0077538A"/>
    <w:rsid w:val="00795676"/>
    <w:rsid w:val="007B0B9D"/>
    <w:rsid w:val="007B3E56"/>
    <w:rsid w:val="007B52A5"/>
    <w:rsid w:val="007C111C"/>
    <w:rsid w:val="007F4A69"/>
    <w:rsid w:val="007F631A"/>
    <w:rsid w:val="00813488"/>
    <w:rsid w:val="00822A72"/>
    <w:rsid w:val="008260E0"/>
    <w:rsid w:val="00832339"/>
    <w:rsid w:val="00837021"/>
    <w:rsid w:val="00860B61"/>
    <w:rsid w:val="00874B46"/>
    <w:rsid w:val="008874B2"/>
    <w:rsid w:val="008B7ACB"/>
    <w:rsid w:val="008D266B"/>
    <w:rsid w:val="008D3A74"/>
    <w:rsid w:val="00905FAC"/>
    <w:rsid w:val="009105DB"/>
    <w:rsid w:val="00926F1B"/>
    <w:rsid w:val="00941140"/>
    <w:rsid w:val="009519A7"/>
    <w:rsid w:val="00970ABA"/>
    <w:rsid w:val="009827B3"/>
    <w:rsid w:val="00984073"/>
    <w:rsid w:val="00986485"/>
    <w:rsid w:val="00986C64"/>
    <w:rsid w:val="00994674"/>
    <w:rsid w:val="009953DC"/>
    <w:rsid w:val="009B2A65"/>
    <w:rsid w:val="009B5E5C"/>
    <w:rsid w:val="009C6558"/>
    <w:rsid w:val="00A539ED"/>
    <w:rsid w:val="00A72F4D"/>
    <w:rsid w:val="00A7601E"/>
    <w:rsid w:val="00AC32D6"/>
    <w:rsid w:val="00AF1EBF"/>
    <w:rsid w:val="00AF201B"/>
    <w:rsid w:val="00B06E4D"/>
    <w:rsid w:val="00B07450"/>
    <w:rsid w:val="00B128A5"/>
    <w:rsid w:val="00B256B8"/>
    <w:rsid w:val="00B30DE2"/>
    <w:rsid w:val="00B40FDC"/>
    <w:rsid w:val="00B42EDF"/>
    <w:rsid w:val="00B57889"/>
    <w:rsid w:val="00B7224B"/>
    <w:rsid w:val="00B80EAF"/>
    <w:rsid w:val="00B90437"/>
    <w:rsid w:val="00B96904"/>
    <w:rsid w:val="00BA0183"/>
    <w:rsid w:val="00BC4F7A"/>
    <w:rsid w:val="00BD008F"/>
    <w:rsid w:val="00BE679B"/>
    <w:rsid w:val="00BE760A"/>
    <w:rsid w:val="00BF096B"/>
    <w:rsid w:val="00C10BBD"/>
    <w:rsid w:val="00C120FC"/>
    <w:rsid w:val="00C127D3"/>
    <w:rsid w:val="00C31F6C"/>
    <w:rsid w:val="00C44672"/>
    <w:rsid w:val="00C45EC7"/>
    <w:rsid w:val="00C54A72"/>
    <w:rsid w:val="00C7126D"/>
    <w:rsid w:val="00C77099"/>
    <w:rsid w:val="00C834CB"/>
    <w:rsid w:val="00C91227"/>
    <w:rsid w:val="00CB6D81"/>
    <w:rsid w:val="00CC476C"/>
    <w:rsid w:val="00CE1CD1"/>
    <w:rsid w:val="00CF741C"/>
    <w:rsid w:val="00D11CDC"/>
    <w:rsid w:val="00D52A2D"/>
    <w:rsid w:val="00D575F2"/>
    <w:rsid w:val="00D57637"/>
    <w:rsid w:val="00D740BF"/>
    <w:rsid w:val="00D82C3E"/>
    <w:rsid w:val="00D95856"/>
    <w:rsid w:val="00DB7F1C"/>
    <w:rsid w:val="00DC120B"/>
    <w:rsid w:val="00DC7B26"/>
    <w:rsid w:val="00DC7DFE"/>
    <w:rsid w:val="00DD6D56"/>
    <w:rsid w:val="00DE3335"/>
    <w:rsid w:val="00DF146F"/>
    <w:rsid w:val="00DF39D9"/>
    <w:rsid w:val="00E01BEB"/>
    <w:rsid w:val="00E66B42"/>
    <w:rsid w:val="00EA32DB"/>
    <w:rsid w:val="00EB24CD"/>
    <w:rsid w:val="00ED35ED"/>
    <w:rsid w:val="00ED7A5C"/>
    <w:rsid w:val="00F3324B"/>
    <w:rsid w:val="00F6363D"/>
    <w:rsid w:val="00F67749"/>
    <w:rsid w:val="00F772C0"/>
    <w:rsid w:val="00F82EA4"/>
    <w:rsid w:val="00F8769F"/>
    <w:rsid w:val="00FA102F"/>
    <w:rsid w:val="00FB1F8B"/>
    <w:rsid w:val="00FB445F"/>
    <w:rsid w:val="00FD0C93"/>
    <w:rsid w:val="00FE09D4"/>
    <w:rsid w:val="00FE2FD8"/>
    <w:rsid w:val="56850060"/>
    <w:rsid w:val="56F27E53"/>
    <w:rsid w:val="58B953D0"/>
    <w:rsid w:val="669B3685"/>
    <w:rsid w:val="6FCD7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25"/>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uiPriority w:val="0"/>
    <w:pPr>
      <w:ind w:firstLine="420" w:firstLineChars="200"/>
    </w:pPr>
    <w:rPr>
      <w:szCs w:val="24"/>
    </w:rPr>
  </w:style>
  <w:style w:type="paragraph" w:styleId="5">
    <w:name w:val="Document Map"/>
    <w:basedOn w:val="1"/>
    <w:link w:val="46"/>
    <w:qFormat/>
    <w:uiPriority w:val="0"/>
    <w:pPr>
      <w:shd w:val="clear" w:color="auto" w:fill="000080"/>
    </w:pPr>
  </w:style>
  <w:style w:type="paragraph" w:styleId="6">
    <w:name w:val="annotation text"/>
    <w:basedOn w:val="1"/>
    <w:link w:val="66"/>
    <w:qFormat/>
    <w:uiPriority w:val="0"/>
    <w:pPr>
      <w:jc w:val="left"/>
    </w:pPr>
  </w:style>
  <w:style w:type="paragraph" w:styleId="7">
    <w:name w:val="Body Text Indent"/>
    <w:basedOn w:val="1"/>
    <w:link w:val="45"/>
    <w:qFormat/>
    <w:uiPriority w:val="0"/>
    <w:pPr>
      <w:ind w:firstLine="480" w:firstLineChars="200"/>
    </w:pPr>
    <w:rPr>
      <w:sz w:val="24"/>
    </w:rPr>
  </w:style>
  <w:style w:type="paragraph" w:styleId="8">
    <w:name w:val="Plain Text"/>
    <w:basedOn w:val="1"/>
    <w:link w:val="64"/>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69"/>
    <w:qFormat/>
    <w:uiPriority w:val="0"/>
    <w:pPr>
      <w:ind w:left="100" w:leftChars="2500"/>
    </w:pPr>
  </w:style>
  <w:style w:type="paragraph" w:styleId="11">
    <w:name w:val="Balloon Text"/>
    <w:basedOn w:val="1"/>
    <w:link w:val="47"/>
    <w:qFormat/>
    <w:uiPriority w:val="0"/>
    <w:rPr>
      <w:sz w:val="18"/>
    </w:rPr>
  </w:style>
  <w:style w:type="paragraph" w:styleId="12">
    <w:name w:val="footer"/>
    <w:basedOn w:val="1"/>
    <w:link w:val="24"/>
    <w:unhideWhenUsed/>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44"/>
    <w:qFormat/>
    <w:uiPriority w:val="0"/>
    <w:pPr>
      <w:snapToGrid w:val="0"/>
      <w:jc w:val="left"/>
    </w:pPr>
    <w:rPr>
      <w:sz w:val="18"/>
    </w:rPr>
  </w:style>
  <w:style w:type="paragraph" w:styleId="15">
    <w:name w:val="annotation subject"/>
    <w:basedOn w:val="6"/>
    <w:next w:val="6"/>
    <w:link w:val="67"/>
    <w:qFormat/>
    <w:uiPriority w:val="0"/>
    <w:rPr>
      <w:b/>
      <w:bCs/>
    </w:rPr>
  </w:style>
  <w:style w:type="table" w:styleId="17">
    <w:name w:val="Table Grid"/>
    <w:basedOn w:val="16"/>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Hyperlink"/>
    <w:basedOn w:val="18"/>
    <w:qFormat/>
    <w:uiPriority w:val="0"/>
    <w:rPr>
      <w:color w:val="261CDC"/>
      <w:u w:val="single"/>
    </w:rPr>
  </w:style>
  <w:style w:type="character" w:styleId="21">
    <w:name w:val="annotation reference"/>
    <w:basedOn w:val="18"/>
    <w:qFormat/>
    <w:uiPriority w:val="0"/>
    <w:rPr>
      <w:sz w:val="21"/>
      <w:szCs w:val="21"/>
    </w:rPr>
  </w:style>
  <w:style w:type="character" w:styleId="22">
    <w:name w:val="footnote reference"/>
    <w:basedOn w:val="18"/>
    <w:qFormat/>
    <w:uiPriority w:val="0"/>
    <w:rPr>
      <w:vertAlign w:val="superscript"/>
    </w:rPr>
  </w:style>
  <w:style w:type="character" w:customStyle="1" w:styleId="23">
    <w:name w:val="页眉 字符"/>
    <w:basedOn w:val="18"/>
    <w:link w:val="13"/>
    <w:qFormat/>
    <w:uiPriority w:val="0"/>
    <w:rPr>
      <w:sz w:val="18"/>
      <w:szCs w:val="18"/>
    </w:rPr>
  </w:style>
  <w:style w:type="character" w:customStyle="1" w:styleId="24">
    <w:name w:val="页脚 字符"/>
    <w:basedOn w:val="18"/>
    <w:link w:val="12"/>
    <w:qFormat/>
    <w:uiPriority w:val="0"/>
    <w:rPr>
      <w:sz w:val="18"/>
      <w:szCs w:val="18"/>
    </w:rPr>
  </w:style>
  <w:style w:type="character" w:customStyle="1" w:styleId="25">
    <w:name w:val="标题 2 字符"/>
    <w:basedOn w:val="18"/>
    <w:link w:val="2"/>
    <w:qFormat/>
    <w:uiPriority w:val="0"/>
    <w:rPr>
      <w:rFonts w:ascii="Arial" w:hAnsi="Arial" w:eastAsia="黑体" w:cs="Times New Roman"/>
      <w:b/>
      <w:sz w:val="32"/>
      <w:szCs w:val="20"/>
    </w:rPr>
  </w:style>
  <w:style w:type="character" w:customStyle="1" w:styleId="26">
    <w:name w:val="段 Char"/>
    <w:link w:val="27"/>
    <w:qFormat/>
    <w:uiPriority w:val="0"/>
    <w:rPr>
      <w:rFonts w:ascii="宋体"/>
    </w:rPr>
  </w:style>
  <w:style w:type="paragraph" w:customStyle="1" w:styleId="27">
    <w:name w:val="段"/>
    <w:link w:val="26"/>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0">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kern w:val="0"/>
      <w:sz w:val="32"/>
      <w:szCs w:val="20"/>
      <w:lang w:val="en-US" w:eastAsia="zh-CN" w:bidi="ar-SA"/>
    </w:rPr>
  </w:style>
  <w:style w:type="paragraph" w:customStyle="1" w:styleId="31">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kern w:val="0"/>
      <w:sz w:val="52"/>
      <w:szCs w:val="20"/>
      <w:lang w:val="en-US" w:eastAsia="zh-CN" w:bidi="ar-SA"/>
    </w:rPr>
  </w:style>
  <w:style w:type="paragraph" w:customStyle="1" w:styleId="33">
    <w:name w:val="文献分类号"/>
    <w:qFormat/>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34">
    <w:name w:val="附录三级条标题"/>
    <w:basedOn w:val="35"/>
    <w:next w:val="27"/>
    <w:qFormat/>
    <w:uiPriority w:val="0"/>
    <w:pPr>
      <w:outlineLvl w:val="4"/>
    </w:pPr>
  </w:style>
  <w:style w:type="paragraph" w:customStyle="1" w:styleId="35">
    <w:name w:val="附录二级条标题"/>
    <w:basedOn w:val="36"/>
    <w:next w:val="27"/>
    <w:qFormat/>
    <w:uiPriority w:val="0"/>
    <w:pPr>
      <w:outlineLvl w:val="3"/>
    </w:pPr>
  </w:style>
  <w:style w:type="paragraph" w:customStyle="1" w:styleId="36">
    <w:name w:val="附录一级条标题"/>
    <w:basedOn w:val="1"/>
    <w:next w:val="27"/>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7">
    <w:name w:val="附录标识"/>
    <w:basedOn w:val="30"/>
    <w:qFormat/>
    <w:uiPriority w:val="0"/>
    <w:pPr>
      <w:tabs>
        <w:tab w:val="left" w:pos="6405"/>
      </w:tabs>
      <w:spacing w:after="200"/>
    </w:pPr>
    <w:rPr>
      <w:sz w:val="21"/>
    </w:rPr>
  </w:style>
  <w:style w:type="paragraph" w:customStyle="1" w:styleId="38">
    <w:name w:val="二级条标题"/>
    <w:basedOn w:val="39"/>
    <w:next w:val="27"/>
    <w:qFormat/>
    <w:uiPriority w:val="0"/>
  </w:style>
  <w:style w:type="paragraph" w:customStyle="1" w:styleId="39">
    <w:name w:val="一级条标题"/>
    <w:basedOn w:val="40"/>
    <w:next w:val="27"/>
    <w:qFormat/>
    <w:uiPriority w:val="0"/>
    <w:pPr>
      <w:spacing w:beforeLines="0" w:afterLines="0"/>
      <w:outlineLvl w:val="2"/>
    </w:pPr>
  </w:style>
  <w:style w:type="paragraph" w:customStyle="1" w:styleId="40">
    <w:name w:val="章标题"/>
    <w:next w:val="27"/>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1">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
    <w:name w:val="发布部门"/>
    <w:next w:val="27"/>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43">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character" w:customStyle="1" w:styleId="44">
    <w:name w:val="脚注文本 字符"/>
    <w:basedOn w:val="18"/>
    <w:link w:val="14"/>
    <w:qFormat/>
    <w:uiPriority w:val="0"/>
    <w:rPr>
      <w:rFonts w:ascii="Times New Roman" w:hAnsi="Times New Roman" w:eastAsia="宋体" w:cs="Times New Roman"/>
      <w:sz w:val="18"/>
      <w:szCs w:val="20"/>
    </w:rPr>
  </w:style>
  <w:style w:type="character" w:customStyle="1" w:styleId="45">
    <w:name w:val="正文文本缩进 字符"/>
    <w:basedOn w:val="18"/>
    <w:link w:val="7"/>
    <w:qFormat/>
    <w:uiPriority w:val="0"/>
    <w:rPr>
      <w:rFonts w:ascii="Times New Roman" w:hAnsi="Times New Roman" w:eastAsia="宋体" w:cs="Times New Roman"/>
      <w:sz w:val="24"/>
      <w:szCs w:val="20"/>
    </w:rPr>
  </w:style>
  <w:style w:type="character" w:customStyle="1" w:styleId="46">
    <w:name w:val="文档结构图 字符"/>
    <w:basedOn w:val="18"/>
    <w:link w:val="5"/>
    <w:qFormat/>
    <w:uiPriority w:val="0"/>
    <w:rPr>
      <w:rFonts w:ascii="Times New Roman" w:hAnsi="Times New Roman" w:eastAsia="宋体" w:cs="Times New Roman"/>
      <w:szCs w:val="20"/>
      <w:shd w:val="clear" w:color="auto" w:fill="000080"/>
    </w:rPr>
  </w:style>
  <w:style w:type="character" w:customStyle="1" w:styleId="47">
    <w:name w:val="批注框文本 字符"/>
    <w:basedOn w:val="18"/>
    <w:link w:val="11"/>
    <w:qFormat/>
    <w:uiPriority w:val="0"/>
    <w:rPr>
      <w:rFonts w:ascii="Times New Roman" w:hAnsi="Times New Roman" w:eastAsia="宋体" w:cs="Times New Roman"/>
      <w:sz w:val="18"/>
      <w:szCs w:val="20"/>
    </w:rPr>
  </w:style>
  <w:style w:type="paragraph" w:customStyle="1" w:styleId="48">
    <w:name w:val="标准书眉_偶数页"/>
    <w:basedOn w:val="31"/>
    <w:next w:val="1"/>
    <w:qFormat/>
    <w:uiPriority w:val="0"/>
    <w:pPr>
      <w:jc w:val="left"/>
    </w:pPr>
  </w:style>
  <w:style w:type="paragraph" w:customStyle="1" w:styleId="49">
    <w:name w:val="三级条标题"/>
    <w:basedOn w:val="1"/>
    <w:next w:val="27"/>
    <w:qFormat/>
    <w:uiPriority w:val="0"/>
    <w:pPr>
      <w:widowControl/>
      <w:outlineLvl w:val="4"/>
    </w:pPr>
    <w:rPr>
      <w:rFonts w:ascii="黑体" w:hAnsi="宋体" w:eastAsia="黑体"/>
      <w:kern w:val="0"/>
    </w:rPr>
  </w:style>
  <w:style w:type="paragraph" w:customStyle="1" w:styleId="50">
    <w:name w:val="四级条标题"/>
    <w:basedOn w:val="49"/>
    <w:next w:val="27"/>
    <w:qFormat/>
    <w:uiPriority w:val="0"/>
    <w:pPr>
      <w:outlineLvl w:val="5"/>
    </w:pPr>
  </w:style>
  <w:style w:type="paragraph" w:customStyle="1" w:styleId="51">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2">
    <w:name w:val="附录图标题"/>
    <w:next w:val="27"/>
    <w:qFormat/>
    <w:uiPriority w:val="0"/>
    <w:pPr>
      <w:tabs>
        <w:tab w:val="left" w:pos="360"/>
      </w:tabs>
      <w:jc w:val="center"/>
    </w:pPr>
    <w:rPr>
      <w:rFonts w:ascii="黑体" w:hAnsi="Times New Roman" w:eastAsia="黑体" w:cs="Times New Roman"/>
      <w:kern w:val="0"/>
      <w:sz w:val="21"/>
      <w:szCs w:val="20"/>
      <w:lang w:val="en-US" w:eastAsia="zh-CN" w:bidi="ar-SA"/>
    </w:rPr>
  </w:style>
  <w:style w:type="paragraph" w:customStyle="1" w:styleId="53">
    <w:name w:val="图表脚注"/>
    <w:next w:val="27"/>
    <w:qFormat/>
    <w:uiPriority w:val="0"/>
    <w:pPr>
      <w:ind w:left="200" w:leftChars="200" w:hanging="100" w:hangingChars="100"/>
      <w:jc w:val="both"/>
    </w:pPr>
    <w:rPr>
      <w:rFonts w:ascii="宋体" w:hAnsi="Times New Roman" w:eastAsia="宋体" w:cs="Times New Roman"/>
      <w:kern w:val="0"/>
      <w:sz w:val="18"/>
      <w:szCs w:val="20"/>
      <w:lang w:val="en-US" w:eastAsia="zh-CN" w:bidi="ar-SA"/>
    </w:rPr>
  </w:style>
  <w:style w:type="paragraph" w:customStyle="1" w:styleId="54">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55">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56">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7">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58">
    <w:name w:val="发布日期"/>
    <w:qFormat/>
    <w:uiPriority w:val="0"/>
    <w:rPr>
      <w:rFonts w:ascii="Times New Roman" w:hAnsi="Times New Roman" w:eastAsia="黑体" w:cs="Times New Roman"/>
      <w:kern w:val="0"/>
      <w:sz w:val="28"/>
      <w:szCs w:val="20"/>
      <w:lang w:val="en-US" w:eastAsia="zh-CN" w:bidi="ar-SA"/>
    </w:rPr>
  </w:style>
  <w:style w:type="paragraph" w:customStyle="1" w:styleId="59">
    <w:name w:val="五级条标题"/>
    <w:basedOn w:val="50"/>
    <w:next w:val="27"/>
    <w:qFormat/>
    <w:uiPriority w:val="0"/>
    <w:pPr>
      <w:outlineLvl w:val="6"/>
    </w:pPr>
  </w:style>
  <w:style w:type="paragraph" w:customStyle="1" w:styleId="60">
    <w:name w:val="附录四级条标题"/>
    <w:basedOn w:val="34"/>
    <w:next w:val="27"/>
    <w:qFormat/>
    <w:uiPriority w:val="0"/>
    <w:pPr>
      <w:outlineLvl w:val="5"/>
    </w:pPr>
  </w:style>
  <w:style w:type="paragraph" w:customStyle="1" w:styleId="61">
    <w:name w:val="附录表标题"/>
    <w:next w:val="27"/>
    <w:qFormat/>
    <w:uiPriority w:val="0"/>
    <w:pPr>
      <w:tabs>
        <w:tab w:val="left" w:pos="360"/>
      </w:tabs>
      <w:jc w:val="center"/>
      <w:textAlignment w:val="baseline"/>
    </w:pPr>
    <w:rPr>
      <w:rFonts w:ascii="黑体" w:hAnsi="Times New Roman" w:eastAsia="黑体" w:cs="Times New Roman"/>
      <w:kern w:val="21"/>
      <w:sz w:val="21"/>
      <w:szCs w:val="20"/>
      <w:lang w:val="en-US" w:eastAsia="zh-CN" w:bidi="ar-SA"/>
    </w:rPr>
  </w:style>
  <w:style w:type="paragraph" w:customStyle="1" w:styleId="62">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63">
    <w:name w:val="实施日期"/>
    <w:basedOn w:val="58"/>
    <w:qFormat/>
    <w:uiPriority w:val="0"/>
    <w:pPr>
      <w:jc w:val="right"/>
    </w:pPr>
  </w:style>
  <w:style w:type="character" w:customStyle="1" w:styleId="64">
    <w:name w:val="纯文本 字符"/>
    <w:basedOn w:val="18"/>
    <w:link w:val="8"/>
    <w:qFormat/>
    <w:uiPriority w:val="0"/>
    <w:rPr>
      <w:rFonts w:ascii="宋体" w:hAnsi="Courier New" w:eastAsia="宋体" w:cs="Courier New"/>
      <w:szCs w:val="21"/>
    </w:rPr>
  </w:style>
  <w:style w:type="paragraph" w:styleId="65">
    <w:name w:val="List Paragraph"/>
    <w:basedOn w:val="1"/>
    <w:qFormat/>
    <w:uiPriority w:val="34"/>
    <w:pPr>
      <w:ind w:firstLine="420" w:firstLineChars="200"/>
    </w:pPr>
  </w:style>
  <w:style w:type="character" w:customStyle="1" w:styleId="66">
    <w:name w:val="批注文字 字符"/>
    <w:basedOn w:val="18"/>
    <w:link w:val="6"/>
    <w:qFormat/>
    <w:uiPriority w:val="0"/>
    <w:rPr>
      <w:rFonts w:ascii="Times New Roman" w:hAnsi="Times New Roman" w:eastAsia="宋体" w:cs="Times New Roman"/>
      <w:szCs w:val="20"/>
    </w:rPr>
  </w:style>
  <w:style w:type="character" w:customStyle="1" w:styleId="67">
    <w:name w:val="批注主题 字符"/>
    <w:basedOn w:val="66"/>
    <w:link w:val="15"/>
    <w:qFormat/>
    <w:uiPriority w:val="0"/>
    <w:rPr>
      <w:rFonts w:ascii="Times New Roman" w:hAnsi="Times New Roman" w:eastAsia="宋体" w:cs="Times New Roman"/>
      <w:b/>
      <w:bCs/>
      <w:szCs w:val="20"/>
    </w:rPr>
  </w:style>
  <w:style w:type="character" w:customStyle="1" w:styleId="68">
    <w:name w:val="sh141"/>
    <w:basedOn w:val="18"/>
    <w:qFormat/>
    <w:uiPriority w:val="0"/>
    <w:rPr>
      <w:color w:val="2B2B2B"/>
      <w:sz w:val="18"/>
      <w:szCs w:val="18"/>
    </w:rPr>
  </w:style>
  <w:style w:type="character" w:customStyle="1" w:styleId="69">
    <w:name w:val="日期 字符"/>
    <w:basedOn w:val="18"/>
    <w:link w:val="10"/>
    <w:qFormat/>
    <w:uiPriority w:val="0"/>
    <w:rPr>
      <w:rFonts w:ascii="Times New Roman" w:hAnsi="Times New Roman" w:eastAsia="宋体" w:cs="Times New Roman"/>
      <w:szCs w:val="20"/>
    </w:rPr>
  </w:style>
  <w:style w:type="paragraph" w:customStyle="1" w:styleId="70">
    <w:name w:val="封面标准号2"/>
    <w:basedOn w:val="29"/>
    <w:qFormat/>
    <w:uiPriority w:val="0"/>
    <w:pPr>
      <w:framePr w:w="9138" w:h="1244" w:hRule="exact" w:wrap="around" w:vAnchor="page" w:hAnchor="margin" w:y="2908" w:anchorLock="1"/>
      <w:adjustRightInd w:val="0"/>
      <w:spacing w:before="357" w:line="280" w:lineRule="exact"/>
    </w:pPr>
  </w:style>
  <w:style w:type="paragraph" w:customStyle="1" w:styleId="71">
    <w:name w:val="封面标准代替信息"/>
    <w:basedOn w:val="70"/>
    <w:qFormat/>
    <w:uiPriority w:val="0"/>
    <w:pPr>
      <w:spacing w:before="57"/>
    </w:pPr>
    <w:rPr>
      <w:rFonts w:ascii="宋体"/>
      <w:sz w:val="21"/>
    </w:rPr>
  </w:style>
  <w:style w:type="character" w:styleId="72">
    <w:name w:val="Placeholder Text"/>
    <w:basedOn w:val="1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7"/>
    <customShpInfo spid="_x0000_s2056"/>
    <customShpInfo spid="_x0000_s2053"/>
    <customShpInfo spid="_x0000_s2052"/>
    <customShpInfo spid="_x0000_s2051"/>
    <customShpInfo spid="_x0000_s2050"/>
    <customShpInfo spid="_x0000_s2060"/>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E373F-A571-4898-9B03-9786C03ACF6B}">
  <ds:schemaRefs/>
</ds:datastoreItem>
</file>

<file path=customXml/itemProps3.xml><?xml version="1.0" encoding="utf-8"?>
<ds:datastoreItem xmlns:ds="http://schemas.openxmlformats.org/officeDocument/2006/customXml" ds:itemID="{5A7DBFB1-FF2E-4772-AD6F-05E9537BBDA2}">
  <ds:schemaRefs/>
</ds:datastoreItem>
</file>

<file path=customXml/itemProps4.xml><?xml version="1.0" encoding="utf-8"?>
<ds:datastoreItem xmlns:ds="http://schemas.openxmlformats.org/officeDocument/2006/customXml" ds:itemID="{77402B57-7852-4B2D-87AE-2A703FB2C7E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1025</Words>
  <Characters>5846</Characters>
  <Lines>48</Lines>
  <Paragraphs>13</Paragraphs>
  <TotalTime>1</TotalTime>
  <ScaleCrop>false</ScaleCrop>
  <LinksUpToDate>false</LinksUpToDate>
  <CharactersWithSpaces>6858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2018-12-20T00:29:00Z</dcterms:created>
  <dc:creator>俞金生</dc:creator>
  <cp:lastModifiedBy>小蜗牛</cp:lastModifiedBy>
  <cp:lastPrinted>2015-07-22T07:26:00Z</cp:lastPrinted>
  <dcterms:modified xsi:type="dcterms:W3CDTF">2019-11-22T02:50:08Z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