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黑体"/>
          <w:b w:val="0"/>
          <w:bCs w:val="0"/>
          <w:sz w:val="44"/>
          <w:szCs w:val="44"/>
          <w:lang w:eastAsia="zh-CN"/>
        </w:rPr>
      </w:pPr>
    </w:p>
    <w:p>
      <w:pPr>
        <w:spacing w:line="72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铜冶炼烟尘</w:t>
      </w:r>
      <w:r>
        <w:rPr>
          <w:rFonts w:hint="eastAsia" w:ascii="黑体" w:hAnsi="黑体" w:eastAsia="黑体" w:cs="黑体"/>
          <w:b w:val="0"/>
          <w:bCs w:val="0"/>
          <w:sz w:val="44"/>
          <w:szCs w:val="44"/>
        </w:rPr>
        <w:t>化学分析方法</w:t>
      </w:r>
    </w:p>
    <w:p>
      <w:pPr>
        <w:spacing w:line="720" w:lineRule="auto"/>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第</w:t>
      </w:r>
      <w:r>
        <w:rPr>
          <w:rFonts w:hint="eastAsia" w:ascii="黑体" w:hAnsi="黑体" w:eastAsia="黑体" w:cs="黑体"/>
          <w:b w:val="0"/>
          <w:bCs w:val="0"/>
          <w:sz w:val="44"/>
          <w:szCs w:val="44"/>
          <w:lang w:val="en-US" w:eastAsia="zh-CN"/>
        </w:rPr>
        <w:t>3</w:t>
      </w:r>
      <w:r>
        <w:rPr>
          <w:rFonts w:hint="eastAsia" w:ascii="黑体" w:hAnsi="黑体" w:eastAsia="黑体" w:cs="黑体"/>
          <w:b w:val="0"/>
          <w:bCs w:val="0"/>
          <w:sz w:val="44"/>
          <w:szCs w:val="44"/>
        </w:rPr>
        <w:t>部分：</w:t>
      </w:r>
      <w:r>
        <w:rPr>
          <w:rFonts w:hint="eastAsia" w:ascii="黑体" w:hAnsi="黑体" w:eastAsia="黑体" w:cs="黑体"/>
          <w:b w:val="0"/>
          <w:bCs w:val="0"/>
          <w:sz w:val="44"/>
          <w:szCs w:val="44"/>
          <w:lang w:eastAsia="zh-CN"/>
        </w:rPr>
        <w:t>锌</w:t>
      </w:r>
      <w:r>
        <w:rPr>
          <w:rFonts w:hint="eastAsia" w:ascii="黑体" w:hAnsi="黑体" w:eastAsia="黑体" w:cs="黑体"/>
          <w:b w:val="0"/>
          <w:bCs w:val="0"/>
          <w:sz w:val="44"/>
          <w:szCs w:val="44"/>
        </w:rPr>
        <w:t>含量的测定</w:t>
      </w:r>
    </w:p>
    <w:p>
      <w:pPr>
        <w:spacing w:line="720" w:lineRule="auto"/>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火焰原子吸收光谱法和容量法</w:t>
      </w: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rFonts w:hint="eastAsia"/>
          <w:b/>
          <w:bCs/>
          <w:color w:val="000000"/>
          <w:sz w:val="28"/>
          <w:szCs w:val="28"/>
        </w:rPr>
      </w:pPr>
    </w:p>
    <w:p>
      <w:pPr>
        <w:spacing w:line="360" w:lineRule="auto"/>
        <w:rPr>
          <w:b/>
          <w:bCs/>
          <w:color w:val="000000"/>
          <w:sz w:val="28"/>
          <w:szCs w:val="28"/>
        </w:rPr>
      </w:pPr>
    </w:p>
    <w:p>
      <w:pPr>
        <w:spacing w:line="360" w:lineRule="auto"/>
        <w:jc w:val="center"/>
        <w:rPr>
          <w:b/>
          <w:bCs/>
          <w:sz w:val="36"/>
          <w:szCs w:val="36"/>
        </w:rPr>
      </w:pPr>
      <w:r>
        <w:rPr>
          <w:b/>
          <w:bCs/>
          <w:sz w:val="36"/>
          <w:szCs w:val="36"/>
        </w:rPr>
        <w:t>编制说明</w:t>
      </w: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spacing w:line="360" w:lineRule="auto"/>
        <w:rPr>
          <w:bCs/>
          <w:color w:val="000000"/>
          <w:sz w:val="28"/>
          <w:szCs w:val="28"/>
        </w:rPr>
      </w:pPr>
    </w:p>
    <w:p>
      <w:pPr>
        <w:numPr>
          <w:ilvl w:val="0"/>
          <w:numId w:val="0"/>
        </w:numPr>
        <w:jc w:val="center"/>
        <w:rPr>
          <w:rFonts w:hint="eastAsia" w:eastAsia="宋体"/>
          <w:b/>
          <w:bCs/>
          <w:color w:val="000000"/>
          <w:sz w:val="32"/>
          <w:szCs w:val="32"/>
          <w:lang w:eastAsia="zh-CN"/>
        </w:rPr>
      </w:pPr>
    </w:p>
    <w:p>
      <w:pPr>
        <w:numPr>
          <w:ilvl w:val="0"/>
          <w:numId w:val="0"/>
        </w:numPr>
        <w:jc w:val="center"/>
        <w:rPr>
          <w:rFonts w:hint="eastAsia" w:eastAsia="宋体"/>
          <w:b/>
          <w:bCs/>
          <w:color w:val="000000"/>
          <w:sz w:val="32"/>
          <w:szCs w:val="32"/>
          <w:lang w:eastAsia="zh-CN"/>
        </w:rPr>
      </w:pPr>
      <w:r>
        <w:rPr>
          <w:rFonts w:hint="eastAsia" w:eastAsia="宋体"/>
          <w:b/>
          <w:bCs/>
          <w:color w:val="000000"/>
          <w:sz w:val="32"/>
          <w:szCs w:val="32"/>
          <w:lang w:eastAsia="zh-CN"/>
        </w:rPr>
        <w:t>铜陵有色金属集团控股有限公司、</w:t>
      </w:r>
    </w:p>
    <w:p>
      <w:pPr>
        <w:numPr>
          <w:ilvl w:val="0"/>
          <w:numId w:val="0"/>
        </w:numPr>
        <w:jc w:val="center"/>
        <w:rPr>
          <w:rFonts w:hint="eastAsia" w:eastAsia="宋体"/>
          <w:b/>
          <w:bCs/>
          <w:color w:val="000000"/>
          <w:sz w:val="32"/>
          <w:szCs w:val="32"/>
          <w:lang w:eastAsia="zh-CN"/>
        </w:rPr>
      </w:pPr>
      <w:r>
        <w:rPr>
          <w:rFonts w:hint="eastAsia" w:eastAsia="宋体"/>
          <w:b/>
          <w:bCs/>
          <w:color w:val="000000"/>
          <w:sz w:val="32"/>
          <w:szCs w:val="32"/>
          <w:lang w:val="en-US" w:eastAsia="zh-CN"/>
        </w:rPr>
        <w:t>浙江富冶集团有限公司</w:t>
      </w:r>
    </w:p>
    <w:p>
      <w:pPr>
        <w:numPr>
          <w:ilvl w:val="0"/>
          <w:numId w:val="0"/>
        </w:numPr>
        <w:jc w:val="cente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2019.11</w:t>
      </w:r>
    </w:p>
    <w:p>
      <w:pPr>
        <w:numPr>
          <w:ilvl w:val="0"/>
          <w:numId w:val="0"/>
        </w:numPr>
        <w:jc w:val="center"/>
        <w:rPr>
          <w:rFonts w:hint="default" w:ascii="Times New Roman" w:hAnsi="Times New Roman" w:eastAsia="宋体" w:cs="Times New Roman"/>
          <w:sz w:val="32"/>
          <w:szCs w:val="32"/>
          <w:lang w:val="en-US" w:eastAsia="zh-CN"/>
        </w:rPr>
      </w:pP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jc w:val="center"/>
        <w:rPr>
          <w:rFonts w:hint="default" w:ascii="Times New Roman" w:hAnsi="Times New Roman" w:eastAsia="黑体"/>
          <w:sz w:val="32"/>
          <w:szCs w:val="32"/>
          <w:lang w:val="en-US" w:eastAsia="zh-CN"/>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3</w:t>
      </w:r>
      <w:r>
        <w:rPr>
          <w:rFonts w:hint="eastAsia" w:ascii="Times New Roman" w:hAnsi="Times New Roman" w:eastAsia="黑体"/>
          <w:sz w:val="32"/>
          <w:szCs w:val="32"/>
        </w:rPr>
        <w:t>部分：</w:t>
      </w:r>
      <w:r>
        <w:rPr>
          <w:rFonts w:hint="eastAsia" w:ascii="Times New Roman" w:hAnsi="Times New Roman" w:eastAsia="黑体"/>
          <w:sz w:val="32"/>
          <w:szCs w:val="32"/>
          <w:lang w:eastAsia="zh-CN"/>
        </w:rPr>
        <w:t>锌含</w:t>
      </w:r>
      <w:r>
        <w:rPr>
          <w:rFonts w:hint="eastAsia" w:ascii="Times New Roman" w:hAnsi="Times New Roman" w:eastAsia="黑体"/>
          <w:sz w:val="32"/>
          <w:szCs w:val="32"/>
        </w:rPr>
        <w:t>量的测定</w:t>
      </w:r>
      <w:r>
        <w:rPr>
          <w:rFonts w:hint="eastAsia" w:ascii="Times New Roman" w:hAnsi="Times New Roman" w:eastAsia="黑体"/>
          <w:sz w:val="32"/>
          <w:szCs w:val="32"/>
          <w:lang w:val="en-US" w:eastAsia="zh-CN"/>
        </w:rPr>
        <w:t xml:space="preserve"> 火焰原子吸收光谱法和容量法</w:t>
      </w:r>
    </w:p>
    <w:p>
      <w:pPr>
        <w:jc w:val="center"/>
        <w:rPr>
          <w:rFonts w:ascii="Times New Roman" w:hAnsi="Times New Roman"/>
          <w:sz w:val="28"/>
          <w:szCs w:val="28"/>
        </w:rPr>
      </w:pPr>
      <w:r>
        <w:rPr>
          <w:rFonts w:hint="eastAsia" w:ascii="Times New Roman" w:hAnsi="Times New Roman"/>
          <w:sz w:val="28"/>
          <w:szCs w:val="28"/>
        </w:rPr>
        <w:t>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ascii="Times New Roman" w:hAnsi="Times New Roman" w:eastAsia="宋体" w:cs="Times New Roman"/>
          <w:sz w:val="21"/>
          <w:szCs w:val="21"/>
          <w:lang w:val="en-US" w:eastAsia="zh-CN"/>
        </w:rPr>
        <w:t>29</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numPr>
          <w:ilvl w:val="0"/>
          <w:numId w:val="0"/>
        </w:numPr>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：工作简况</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 方法概况</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项目的必要性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近年来，随着中国经济的快速发展，有色金属消耗量一直在增加且增长速度很快。按经济发展推测，中国的铜、铅、锌的资源仅仅能够满足十年需要。因此，提高铜冶炼烟尘综合利用效率，对我国建设节约型社会，实现可持续发展具有重要意义。</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目前，国内铜冶炼企业烟尘的年产量在20万吨以上，其中仅铜陵有色金属集团控股有限公司就年产2万吨。若不对其进行有效的处理，其产生的环境危害要远大于其带来的经济效益；同时，面对越来越紧缺的矿产资源，各铜冶炼企业纷纷把烟尘作为新的原料提取其中有价金属。部分</w:t>
      </w:r>
      <w:r>
        <w:rPr>
          <w:rFonts w:hint="eastAsia" w:ascii="Times New Roman" w:hAnsi="Times New Roman" w:eastAsia="宋体" w:cs="Times New Roman"/>
          <w:sz w:val="21"/>
          <w:szCs w:val="21"/>
          <w:lang w:val="en-US" w:eastAsia="zh-CN"/>
        </w:rPr>
        <w:t>铜冶炼烟尘</w:t>
      </w:r>
      <w:r>
        <w:rPr>
          <w:rFonts w:hint="default" w:ascii="Times New Roman" w:hAnsi="Times New Roman" w:eastAsia="宋体" w:cs="Times New Roman"/>
          <w:sz w:val="21"/>
          <w:szCs w:val="21"/>
          <w:lang w:val="en-US" w:eastAsia="zh-CN"/>
        </w:rPr>
        <w:t>由各冶炼厂直接入炉冶炼，部分已经开始作为二次原料进入贸易市场。随着环境压力和环保要求的提高，对回收利用单位资质要求越来越严，没有资质的公司纷纷将其出售，铜冶炼烟尘的贸易越来越频繁，仅广东一地的交易量一年就上万吨。准确检测出铜冶炼烟尘中锌的含量，对企业确定回收工艺、提高烟尘的综合利用率及进行贸易的双方都有着巨大的推动作用。</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铜冶炼烟尘化学性质不稳定，成分复杂，不同工艺、不同冶炼厂的铜冶炼烟尘，分析结果也不一样，这就需要制定统一的分析方法，便于贸易结算和回收利用，满足市场需求。</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因此，制定《铜冶炼烟尘中锌量测定方法》，可给冶炼厂带来良好的经济效益，有利于有价金属的回收利用，对资源再生利用提供技术支撑。</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1.1.2适用范围</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本部分适用于</w:t>
      </w:r>
      <w:r>
        <w:rPr>
          <w:rFonts w:hint="eastAsia" w:ascii="Times New Roman" w:hAnsi="Times New Roman" w:eastAsia="宋体" w:cs="Times New Roman"/>
          <w:sz w:val="21"/>
          <w:szCs w:val="21"/>
          <w:lang w:val="en-US" w:eastAsia="zh-CN"/>
        </w:rPr>
        <w:t>铜冶炼烟尘</w:t>
      </w:r>
      <w:r>
        <w:rPr>
          <w:rFonts w:hint="default" w:ascii="Times New Roman" w:hAnsi="Times New Roman" w:eastAsia="宋体" w:cs="Times New Roman"/>
          <w:sz w:val="21"/>
          <w:szCs w:val="21"/>
          <w:lang w:val="en-US" w:eastAsia="zh-CN"/>
        </w:rPr>
        <w:t>中</w:t>
      </w:r>
      <w:r>
        <w:rPr>
          <w:rFonts w:hint="eastAsia" w:ascii="Times New Roman" w:hAnsi="Times New Roman" w:eastAsia="宋体" w:cs="Times New Roman"/>
          <w:sz w:val="21"/>
          <w:szCs w:val="21"/>
          <w:lang w:val="en-US" w:eastAsia="zh-CN"/>
        </w:rPr>
        <w:t>锌含</w:t>
      </w:r>
      <w:r>
        <w:rPr>
          <w:rFonts w:hint="default" w:ascii="Times New Roman" w:hAnsi="Times New Roman" w:eastAsia="宋体" w:cs="Times New Roman"/>
          <w:sz w:val="21"/>
          <w:szCs w:val="21"/>
          <w:lang w:val="en-US" w:eastAsia="zh-CN"/>
        </w:rPr>
        <w:t>量的测定。</w:t>
      </w:r>
      <w:r>
        <w:rPr>
          <w:rFonts w:hint="eastAsia" w:ascii="Times New Roman" w:hAnsi="Times New Roman" w:eastAsia="宋体" w:cs="Times New Roman"/>
          <w:sz w:val="21"/>
          <w:szCs w:val="21"/>
          <w:lang w:val="en-US" w:eastAsia="zh-CN"/>
        </w:rPr>
        <w:t>方法1</w:t>
      </w:r>
      <w:r>
        <w:rPr>
          <w:rFonts w:hint="default" w:ascii="Times New Roman" w:hAnsi="Times New Roman" w:eastAsia="宋体" w:cs="Times New Roman"/>
          <w:sz w:val="21"/>
          <w:szCs w:val="21"/>
          <w:lang w:val="en-US" w:eastAsia="zh-CN"/>
        </w:rPr>
        <w:t>测定范围</w:t>
      </w:r>
      <w:r>
        <w:rPr>
          <w:rFonts w:hint="eastAsia" w:ascii="Times New Roman" w:hAnsi="Times New Roman" w:eastAsia="宋体" w:cs="Times New Roman"/>
          <w:sz w:val="21"/>
          <w:szCs w:val="21"/>
          <w:lang w:val="en-US" w:eastAsia="zh-CN"/>
        </w:rPr>
        <w:t xml:space="preserve">：0.30%~5.00%；方法2 测定范围：  </w:t>
      </w:r>
    </w:p>
    <w:p>
      <w:pPr>
        <w:numPr>
          <w:ilvl w:val="0"/>
          <w:numId w:val="0"/>
        </w:numPr>
        <w:ind w:leftChars="0"/>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1.1.3可行性</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铜陵有色金属集团控股有限公司下属检测研究中心拥有CMA、CAL省级资质认定和CNAS国家实验室认可三个资质，属于面向社会服务第三方专业检测机构；主持和参与100多项国家、行业标准的起草工作，拥有丰富工作经验的技术人员和科研团队，具有较强的检测分析操作经验和深入的标准研究能力，拥有制定该方法必需的环境、设备；标准研制人员已参加过国家和行业标准制定的培训，熟料掌握标准制定规则，有利于资料整理、归纳及标准编制。</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浙江富冶集团有限公司位于杭州市富阳区，前身为杭州富春江冶炼厂，建厂于1958年8月，是浙江省最早建立的铜有色冶炼企业。60年以来，企业始终以实业为本的发展思路。多年以来，在罗忠平董事长带领下，浙江富冶集团有限公司通过倡导和推行“责任创造价值”的核心理念，开拓创新，快速发展，形成具有较大规模的矿产铜和再生铜生产经营两大板块。2017年，企业新增13.5万吨电解铜技术升级改造二期项目，目前集团已达到年产电解铜45万吨、黄金15吨、白银500吨，其中还包括硫酸铜、硫酸、硫酸镍、氧化锌、铜材、银制品等生产副产品。工业销售产值350亿元的规模，同时公司进入全国铜有色冶炼行业前6强。</w:t>
      </w:r>
    </w:p>
    <w:p>
      <w:pPr>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准确检测出铜冶炼烟尘中</w:t>
      </w:r>
      <w:r>
        <w:rPr>
          <w:rFonts w:hint="eastAsia" w:ascii="Times New Roman" w:hAnsi="Times New Roman" w:eastAsia="宋体" w:cs="Times New Roman"/>
          <w:sz w:val="21"/>
          <w:szCs w:val="21"/>
          <w:lang w:val="en-US" w:eastAsia="zh-CN"/>
        </w:rPr>
        <w:t>锌</w:t>
      </w:r>
      <w:r>
        <w:rPr>
          <w:rFonts w:hint="default" w:ascii="Times New Roman" w:hAnsi="Times New Roman" w:eastAsia="宋体" w:cs="Times New Roman"/>
          <w:sz w:val="21"/>
          <w:szCs w:val="21"/>
          <w:lang w:val="en-US" w:eastAsia="zh-CN"/>
        </w:rPr>
        <w:t>的含量，对企业确定回收工艺、提高烟尘的综合利用率并减轻对环境的污染及进行贸易的双方都有着巨大的推动作用。</w:t>
      </w:r>
    </w:p>
    <w:p>
      <w:p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1.1.4要解决的主要问题</w:t>
      </w:r>
    </w:p>
    <w:p>
      <w:pPr>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经查，</w:t>
      </w:r>
      <w:r>
        <w:rPr>
          <w:rFonts w:hint="default" w:ascii="Times New Roman" w:hAnsi="Times New Roman" w:eastAsia="宋体" w:cs="Times New Roman"/>
          <w:sz w:val="21"/>
          <w:szCs w:val="21"/>
          <w:lang w:val="en-US" w:eastAsia="zh-CN"/>
        </w:rPr>
        <w:t>国内外目前</w:t>
      </w:r>
      <w:r>
        <w:rPr>
          <w:rFonts w:hint="eastAsia" w:ascii="Times New Roman" w:hAnsi="Times New Roman" w:eastAsia="宋体" w:cs="Times New Roman"/>
          <w:sz w:val="21"/>
          <w:szCs w:val="21"/>
          <w:lang w:val="en-US" w:eastAsia="zh-CN"/>
        </w:rPr>
        <w:t>均</w:t>
      </w:r>
      <w:r>
        <w:rPr>
          <w:rFonts w:hint="default" w:ascii="Times New Roman" w:hAnsi="Times New Roman" w:eastAsia="宋体" w:cs="Times New Roman"/>
          <w:sz w:val="21"/>
          <w:szCs w:val="21"/>
          <w:lang w:val="en-US" w:eastAsia="zh-CN"/>
        </w:rPr>
        <w:t>没有铜冶炼烟灰中锌量测定的国家或行业标准。国内测定</w:t>
      </w:r>
      <w:r>
        <w:rPr>
          <w:rFonts w:hint="eastAsia" w:ascii="Times New Roman" w:hAnsi="Times New Roman" w:eastAsia="宋体" w:cs="Times New Roman"/>
          <w:sz w:val="21"/>
          <w:szCs w:val="21"/>
          <w:lang w:val="en-US" w:eastAsia="zh-CN"/>
        </w:rPr>
        <w:t>锌</w:t>
      </w:r>
      <w:r>
        <w:rPr>
          <w:rFonts w:hint="default" w:ascii="Times New Roman" w:hAnsi="Times New Roman" w:eastAsia="宋体" w:cs="Times New Roman"/>
          <w:sz w:val="21"/>
          <w:szCs w:val="21"/>
          <w:lang w:val="en-US" w:eastAsia="zh-CN"/>
        </w:rPr>
        <w:t>含量的国家标准有GB/T 8151.1-2012《锌精矿化学分析方法 锌量的测定》（方法1沉淀分离EDTA滴定法 测定范围 30.00 % - 60.00 %和方法2 萃取分离EDTA滴定法 测定范围 11.00% - 62.00%）、GB/T 3884.6-2012《铜精矿化学分析方法 铅、锌、镉和镍量的测定 火焰原子吸收光谱法》、GB/T 3884.8-2012《铜精矿化学分析方法 锌量的测定 EDTA滴定法》等。行业标准有YS/T 248.8-2007《粗铅化学分析方法 锌量的测定 火焰原子吸收光谱法》（测定范围 0.05 % - 2.0 %）、YS/T 990.14-2014《冰铜化学分析方法 锌量的测定 火焰原子吸收光谱法和EDTA滴定法》等。而铜冶炼烟尘中锌含量和组成成分与上述产品完全不同，无法直接使用上述标准。</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1.2任务来源</w:t>
      </w:r>
    </w:p>
    <w:p>
      <w:pPr>
        <w:numPr>
          <w:ilvl w:val="0"/>
          <w:numId w:val="0"/>
        </w:num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根据国家标准化管理委员会及工业和信息化部标准计划项目的安排要求，全国有色金属标准化技术委员会“关于印发《铜冶炼烟尘化学分析方法》等25项行业标准任务落实会会议纪要的通知”（有色标秘[2018]41号）及相关会议纪要的文件精神，确定《铜冶炼烟尘化学分析方法 第</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部分：</w:t>
      </w:r>
      <w:r>
        <w:rPr>
          <w:rFonts w:hint="eastAsia" w:ascii="Times New Roman" w:hAnsi="Times New Roman" w:eastAsia="宋体" w:cs="Times New Roman"/>
          <w:sz w:val="21"/>
          <w:szCs w:val="21"/>
          <w:lang w:val="en-US" w:eastAsia="zh-CN"/>
        </w:rPr>
        <w:t>锌</w:t>
      </w:r>
      <w:r>
        <w:rPr>
          <w:rFonts w:hint="default" w:ascii="Times New Roman" w:hAnsi="Times New Roman" w:eastAsia="宋体" w:cs="Times New Roman"/>
          <w:sz w:val="21"/>
          <w:szCs w:val="21"/>
          <w:lang w:val="en-US" w:eastAsia="zh-CN"/>
        </w:rPr>
        <w:t>含量的测定》</w:t>
      </w:r>
      <w:r>
        <w:rPr>
          <w:rFonts w:hint="eastAsia" w:ascii="Times New Roman" w:hAnsi="Times New Roman" w:eastAsia="宋体" w:cs="Times New Roman"/>
          <w:sz w:val="21"/>
          <w:szCs w:val="21"/>
          <w:lang w:val="en-US" w:eastAsia="zh-CN"/>
        </w:rPr>
        <w:t>方法1火焰原子吸收光谱法</w:t>
      </w:r>
      <w:r>
        <w:rPr>
          <w:rFonts w:hint="default" w:ascii="Times New Roman" w:hAnsi="Times New Roman" w:eastAsia="宋体" w:cs="Times New Roman"/>
          <w:sz w:val="21"/>
          <w:szCs w:val="21"/>
          <w:lang w:val="en-US" w:eastAsia="zh-CN"/>
        </w:rPr>
        <w:t>由铜陵有色金属集团控股有限公司负责</w:t>
      </w:r>
      <w:r>
        <w:rPr>
          <w:rFonts w:hint="eastAsia" w:ascii="Times New Roman" w:hAnsi="Times New Roman" w:eastAsia="宋体" w:cs="Times New Roman"/>
          <w:sz w:val="21"/>
          <w:szCs w:val="21"/>
          <w:lang w:val="en-US" w:eastAsia="zh-CN"/>
        </w:rPr>
        <w:t>起草、方法2容量法由浙江富冶集团有限公司负责</w:t>
      </w:r>
      <w:r>
        <w:rPr>
          <w:rFonts w:hint="default" w:ascii="Times New Roman" w:hAnsi="Times New Roman" w:eastAsia="宋体" w:cs="Times New Roman"/>
          <w:sz w:val="21"/>
          <w:szCs w:val="21"/>
          <w:lang w:val="en-US" w:eastAsia="zh-CN"/>
        </w:rPr>
        <w:t>起草。项目计划编号为工信厅科【2018】31号2018-0535T-YS。</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1.3 本标准编制单位、起草人及所做工作</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b/>
          <w:bCs/>
          <w:sz w:val="21"/>
          <w:szCs w:val="21"/>
          <w:lang w:val="en-US" w:eastAsia="zh-CN"/>
        </w:rPr>
        <w:t>本</w:t>
      </w:r>
      <w:r>
        <w:rPr>
          <w:rFonts w:hint="eastAsia" w:ascii="Times New Roman" w:hAnsi="Times New Roman" w:eastAsia="宋体" w:cs="Times New Roman"/>
          <w:b/>
          <w:bCs/>
          <w:sz w:val="21"/>
          <w:szCs w:val="21"/>
          <w:lang w:val="en-US" w:eastAsia="zh-CN"/>
        </w:rPr>
        <w:t>部分方法1火焰原子吸收光谱法</w:t>
      </w:r>
      <w:r>
        <w:rPr>
          <w:rFonts w:hint="default" w:ascii="Times New Roman" w:hAnsi="Times New Roman" w:eastAsia="宋体" w:cs="Times New Roman"/>
          <w:sz w:val="21"/>
          <w:szCs w:val="21"/>
          <w:lang w:val="en-US" w:eastAsia="zh-CN"/>
        </w:rPr>
        <w:t>由铜陵有色金属集团控股有限公司负责起草，主要起草人为        ，主要负责</w:t>
      </w:r>
      <w:r>
        <w:rPr>
          <w:rFonts w:hint="eastAsia" w:ascii="Times New Roman" w:hAnsi="Times New Roman" w:eastAsia="宋体" w:cs="Times New Roman"/>
          <w:sz w:val="21"/>
          <w:szCs w:val="21"/>
          <w:lang w:val="en-US" w:eastAsia="zh-CN"/>
        </w:rPr>
        <w:t>方法1</w:t>
      </w:r>
      <w:r>
        <w:rPr>
          <w:rFonts w:hint="default" w:ascii="Times New Roman" w:hAnsi="Times New Roman" w:eastAsia="宋体" w:cs="Times New Roman"/>
          <w:sz w:val="21"/>
          <w:szCs w:val="21"/>
          <w:lang w:val="en-US" w:eastAsia="zh-CN"/>
        </w:rPr>
        <w:t>的方法制定、资料收集、技术参数的确定及标准条款的编写工作。</w:t>
      </w:r>
    </w:p>
    <w:p>
      <w:pPr>
        <w:numPr>
          <w:ilvl w:val="0"/>
          <w:numId w:val="0"/>
        </w:numPr>
        <w:ind w:firstLine="422" w:firstLineChars="2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本</w:t>
      </w:r>
      <w:r>
        <w:rPr>
          <w:rFonts w:hint="eastAsia" w:ascii="Times New Roman" w:hAnsi="Times New Roman" w:eastAsia="宋体" w:cs="Times New Roman"/>
          <w:b/>
          <w:bCs/>
          <w:sz w:val="21"/>
          <w:szCs w:val="21"/>
          <w:lang w:val="en-US" w:eastAsia="zh-CN"/>
        </w:rPr>
        <w:t>部分方法1火焰原子吸收光谱法</w:t>
      </w:r>
      <w:r>
        <w:rPr>
          <w:rFonts w:hint="default" w:ascii="Times New Roman" w:hAnsi="Times New Roman" w:eastAsia="宋体" w:cs="Times New Roman"/>
          <w:sz w:val="21"/>
          <w:szCs w:val="21"/>
          <w:lang w:val="en-US" w:eastAsia="zh-CN"/>
        </w:rPr>
        <w:t>参与起草单位包括</w:t>
      </w:r>
      <w:r>
        <w:rPr>
          <w:rFonts w:hint="default" w:ascii="Times New Roman" w:hAnsi="Times New Roman" w:eastAsia="宋体" w:cs="Times New Roman"/>
          <w:kern w:val="0"/>
          <w:sz w:val="21"/>
          <w:szCs w:val="21"/>
        </w:rPr>
        <w:t>河南豫光金铅</w:t>
      </w:r>
      <w:r>
        <w:rPr>
          <w:rFonts w:hint="default" w:ascii="Times New Roman" w:hAnsi="Times New Roman" w:eastAsia="宋体" w:cs="Times New Roman"/>
          <w:sz w:val="21"/>
          <w:szCs w:val="21"/>
        </w:rPr>
        <w:t>股份有限公司、云南锡业股份有限公司、福建紫金矿冶测试技术有限公司、广东先导稀材股份有限公司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中国检验认证集团广西有限公司、紫金铜业有限公司、中条山有色金属集团有限公司、江西铜业股份有限公司、北矿检测技术有限公司、山东祥光集团有限公司、山东恒邦冶炼股份有限公司</w:t>
      </w:r>
      <w:r>
        <w:rPr>
          <w:rFonts w:hint="default" w:ascii="Times New Roman" w:hAnsi="Times New Roman" w:eastAsia="宋体" w:cs="Times New Roman"/>
          <w:sz w:val="21"/>
          <w:szCs w:val="21"/>
          <w:lang w:eastAsia="zh-CN"/>
        </w:rPr>
        <w:t>。参与起草人：</w:t>
      </w:r>
      <w:r>
        <w:rPr>
          <w:rFonts w:hint="default" w:ascii="Times New Roman" w:hAnsi="Times New Roman" w:eastAsia="宋体" w:cs="Times New Roman"/>
          <w:sz w:val="21"/>
          <w:szCs w:val="21"/>
          <w:lang w:val="en-US" w:eastAsia="zh-CN"/>
        </w:rPr>
        <w:t xml:space="preserve">      。主要负责</w:t>
      </w:r>
      <w:r>
        <w:rPr>
          <w:rFonts w:hint="eastAsia" w:ascii="Times New Roman" w:hAnsi="Times New Roman" w:eastAsia="宋体" w:cs="Times New Roman"/>
          <w:sz w:val="21"/>
          <w:szCs w:val="21"/>
          <w:lang w:val="en-US" w:eastAsia="zh-CN"/>
        </w:rPr>
        <w:t>方法1</w:t>
      </w:r>
      <w:r>
        <w:rPr>
          <w:rFonts w:hint="default" w:ascii="Times New Roman" w:hAnsi="Times New Roman" w:eastAsia="宋体" w:cs="Times New Roman"/>
          <w:sz w:val="21"/>
          <w:szCs w:val="21"/>
          <w:lang w:val="en-US" w:eastAsia="zh-CN"/>
        </w:rPr>
        <w:t>的验证工作。</w:t>
      </w:r>
    </w:p>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b/>
          <w:bCs/>
          <w:sz w:val="21"/>
          <w:szCs w:val="21"/>
          <w:lang w:val="en-US" w:eastAsia="zh-CN"/>
        </w:rPr>
        <w:t xml:space="preserve"> 本部分方法2容量法</w:t>
      </w:r>
      <w:r>
        <w:rPr>
          <w:rFonts w:hint="eastAsia" w:ascii="Times New Roman" w:hAnsi="Times New Roman" w:eastAsia="宋体" w:cs="Times New Roman"/>
          <w:sz w:val="21"/>
          <w:szCs w:val="21"/>
          <w:lang w:val="en-US" w:eastAsia="zh-CN"/>
        </w:rPr>
        <w:t xml:space="preserve"> 由浙江富冶集团有限公司负责起草，主要起草人为       ，</w:t>
      </w:r>
      <w:r>
        <w:rPr>
          <w:rFonts w:hint="default" w:ascii="Times New Roman" w:hAnsi="Times New Roman" w:eastAsia="宋体" w:cs="Times New Roman"/>
          <w:sz w:val="21"/>
          <w:szCs w:val="21"/>
          <w:lang w:val="en-US" w:eastAsia="zh-CN"/>
        </w:rPr>
        <w:t>主要负责</w:t>
      </w:r>
      <w:r>
        <w:rPr>
          <w:rFonts w:hint="eastAsia" w:ascii="Times New Roman" w:hAnsi="Times New Roman" w:eastAsia="宋体" w:cs="Times New Roman"/>
          <w:sz w:val="21"/>
          <w:szCs w:val="21"/>
          <w:lang w:val="en-US" w:eastAsia="zh-CN"/>
        </w:rPr>
        <w:t>方法2</w:t>
      </w:r>
      <w:r>
        <w:rPr>
          <w:rFonts w:hint="default" w:ascii="Times New Roman" w:hAnsi="Times New Roman" w:eastAsia="宋体" w:cs="Times New Roman"/>
          <w:sz w:val="21"/>
          <w:szCs w:val="21"/>
          <w:lang w:val="en-US" w:eastAsia="zh-CN"/>
        </w:rPr>
        <w:t>的方法制定、资料收集、技术参数的确定及标准条款的编写工作。</w:t>
      </w:r>
    </w:p>
    <w:p>
      <w:pPr>
        <w:numPr>
          <w:ilvl w:val="0"/>
          <w:numId w:val="0"/>
        </w:numPr>
        <w:ind w:firstLine="422"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 xml:space="preserve"> 本部分方法2容量法 </w:t>
      </w:r>
      <w:r>
        <w:rPr>
          <w:rFonts w:hint="default" w:ascii="Times New Roman" w:hAnsi="Times New Roman" w:eastAsia="宋体" w:cs="Times New Roman"/>
          <w:sz w:val="21"/>
          <w:szCs w:val="21"/>
          <w:lang w:val="en-US" w:eastAsia="zh-CN"/>
        </w:rPr>
        <w:t>参与起草单位</w:t>
      </w:r>
      <w:r>
        <w:rPr>
          <w:rFonts w:hint="eastAsia" w:ascii="Times New Roman" w:hAnsi="Times New Roman" w:eastAsia="宋体" w:cs="Times New Roman"/>
          <w:sz w:val="21"/>
          <w:szCs w:val="21"/>
          <w:lang w:val="en-US" w:eastAsia="zh-CN"/>
        </w:rPr>
        <w:t>部分包括河南豫光金铅股份有限公司、深圳市中金岭南有色金属股份有限公司、五矿铜业（湖南）有限公司、北方铜业股份有限公司、江西铜业股份有限公司、山东恒邦冶炼股份有限公司、铜陵有色金属集团控股有限公司、山东祥光铜业有限公司、湖南有色金属研究院、郴州市金贵银业股份有限公司、紫金铜业有限公司。</w:t>
      </w:r>
      <w:r>
        <w:rPr>
          <w:rFonts w:hint="default" w:ascii="Times New Roman" w:hAnsi="Times New Roman" w:eastAsia="宋体" w:cs="Times New Roman"/>
          <w:sz w:val="21"/>
          <w:szCs w:val="21"/>
          <w:lang w:eastAsia="zh-CN"/>
        </w:rPr>
        <w:t>参与起草人：</w:t>
      </w:r>
      <w:r>
        <w:rPr>
          <w:rFonts w:hint="default" w:ascii="Times New Roman" w:hAnsi="Times New Roman" w:eastAsia="宋体" w:cs="Times New Roman"/>
          <w:sz w:val="21"/>
          <w:szCs w:val="21"/>
          <w:lang w:val="en-US" w:eastAsia="zh-CN"/>
        </w:rPr>
        <w:t xml:space="preserve">      。主要负责</w:t>
      </w:r>
      <w:r>
        <w:rPr>
          <w:rFonts w:hint="eastAsia" w:ascii="Times New Roman" w:hAnsi="Times New Roman" w:eastAsia="宋体" w:cs="Times New Roman"/>
          <w:sz w:val="21"/>
          <w:szCs w:val="21"/>
          <w:lang w:val="en-US" w:eastAsia="zh-CN"/>
        </w:rPr>
        <w:t>方法2</w:t>
      </w:r>
      <w:r>
        <w:rPr>
          <w:rFonts w:hint="default" w:ascii="Times New Roman" w:hAnsi="Times New Roman" w:eastAsia="宋体" w:cs="Times New Roman"/>
          <w:sz w:val="21"/>
          <w:szCs w:val="21"/>
          <w:lang w:val="en-US" w:eastAsia="zh-CN"/>
        </w:rPr>
        <w:t>的验证工作。</w:t>
      </w:r>
    </w:p>
    <w:p>
      <w:pPr>
        <w:numPr>
          <w:ilvl w:val="0"/>
          <w:numId w:val="0"/>
        </w:numP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1.4主要工作过程</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2018年5月在接到标准制定任务后，成立了标准编制工作组，确定了各成员的工作职能和任务，制订了工作计划和进度安排。</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2018年7月26～7月27日，在黑龙江省哈尔滨市召开全国有色标准会议进行落实任务。</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2018年12月</w:t>
      </w:r>
      <w:r>
        <w:rPr>
          <w:rFonts w:hint="default" w:ascii="Times New Roman" w:hAnsi="Times New Roman" w:eastAsia="宋体" w:cs="Times New Roman"/>
          <w:sz w:val="21"/>
          <w:szCs w:val="21"/>
          <w:lang w:eastAsia="zh-CN"/>
        </w:rPr>
        <w:t>底</w:t>
      </w:r>
      <w:r>
        <w:rPr>
          <w:rFonts w:hint="default" w:ascii="Times New Roman" w:hAnsi="Times New Roman" w:eastAsia="宋体" w:cs="Times New Roman"/>
          <w:sz w:val="21"/>
          <w:szCs w:val="21"/>
        </w:rPr>
        <w:t>前，收集、制备实验样品发给起草单位。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eastAsia="zh-CN"/>
        </w:rPr>
        <w:t>底前</w:t>
      </w:r>
      <w:r>
        <w:rPr>
          <w:rFonts w:hint="default" w:ascii="Times New Roman" w:hAnsi="Times New Roman" w:eastAsia="宋体" w:cs="Times New Roman"/>
          <w:sz w:val="21"/>
          <w:szCs w:val="21"/>
        </w:rPr>
        <w:t>，实验样品及试验报告寄至各验证单位。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2019年10月底～11月，验证报告返回。</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2019年11月27日～29日，全国有色金属标准化技术委员会在</w:t>
      </w:r>
      <w:bookmarkStart w:id="0" w:name="_Hlk4446392"/>
      <w:r>
        <w:rPr>
          <w:rFonts w:hint="default" w:ascii="Times New Roman" w:hAnsi="Times New Roman" w:eastAsia="宋体" w:cs="Times New Roman"/>
          <w:sz w:val="21"/>
          <w:szCs w:val="21"/>
        </w:rPr>
        <w:t>深圳市召开</w:t>
      </w:r>
      <w:bookmarkEnd w:id="0"/>
      <w:r>
        <w:rPr>
          <w:rFonts w:hint="default" w:ascii="Times New Roman" w:hAnsi="Times New Roman" w:eastAsia="宋体" w:cs="Times New Roman"/>
          <w:sz w:val="21"/>
          <w:szCs w:val="21"/>
        </w:rPr>
        <w:t>《铜冶炼烟尘化学分析方法》行业标准讨论会。</w:t>
      </w:r>
    </w:p>
    <w:p>
      <w:pPr>
        <w:numPr>
          <w:ilvl w:val="0"/>
          <w:numId w:val="0"/>
        </w:numP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lang w:val="en-US" w:eastAsia="zh-CN"/>
        </w:rPr>
        <w:t>标准编制原则</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本标准是根据GB/T1.1-2009《标准化工作导则 第1部分：标准的结构和编写规则》和GB/T20001.4-2001《标准编写规则 第4部分：化学分析方法》的要求进行编写的。</w:t>
      </w:r>
    </w:p>
    <w:p>
      <w:pPr>
        <w:numPr>
          <w:ilvl w:val="0"/>
          <w:numId w:val="0"/>
        </w:numPr>
        <w:ind w:firstLine="420" w:firstLineChars="200"/>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编制本标准的目的是以能满足</w:t>
      </w:r>
      <w:r>
        <w:rPr>
          <w:rFonts w:hint="default" w:ascii="Times New Roman" w:hAnsi="Times New Roman" w:eastAsia="宋体" w:cs="Times New Roman"/>
          <w:sz w:val="21"/>
          <w:szCs w:val="21"/>
          <w:lang w:eastAsia="zh-CN"/>
        </w:rPr>
        <w:t>铜冶炼烟尘中</w:t>
      </w:r>
      <w:r>
        <w:rPr>
          <w:rFonts w:hint="eastAsia" w:ascii="Times New Roman" w:hAnsi="Times New Roman" w:eastAsia="宋体" w:cs="Times New Roman"/>
          <w:sz w:val="21"/>
          <w:szCs w:val="21"/>
          <w:lang w:val="en-US" w:eastAsia="zh-CN"/>
        </w:rPr>
        <w:t>锌</w:t>
      </w:r>
      <w:r>
        <w:rPr>
          <w:rFonts w:hint="default" w:ascii="Times New Roman" w:hAnsi="Times New Roman" w:eastAsia="宋体" w:cs="Times New Roman"/>
          <w:sz w:val="21"/>
          <w:szCs w:val="21"/>
        </w:rPr>
        <w:t>含量的准确快速测定要求为基础。编制本标准的原则是准确、具有一定的先进性和操作简单性。根据国情制订技术规范并力求与国外先进技术接轨。</w:t>
      </w:r>
    </w:p>
    <w:p>
      <w:pPr>
        <w:numPr>
          <w:ilvl w:val="0"/>
          <w:numId w:val="0"/>
        </w:numP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3、标准主要内容的确定依据</w:t>
      </w:r>
    </w:p>
    <w:p>
      <w:pPr>
        <w:numPr>
          <w:ilvl w:val="0"/>
          <w:numId w:val="0"/>
        </w:numPr>
        <w:rPr>
          <w:rFonts w:hint="eastAsia" w:ascii="宋体" w:hAnsi="宋体" w:eastAsia="宋体"/>
          <w:b/>
          <w:bCs/>
          <w:color w:val="FF0000"/>
          <w:szCs w:val="21"/>
          <w:lang w:val="en-US" w:eastAsia="zh-CN"/>
        </w:rPr>
      </w:pPr>
      <w:r>
        <w:rPr>
          <w:rFonts w:hint="eastAsia" w:ascii="Times New Roman" w:hAnsi="Times New Roman" w:eastAsia="宋体" w:cs="Times New Roman"/>
          <w:b/>
          <w:bCs/>
          <w:sz w:val="21"/>
          <w:szCs w:val="21"/>
          <w:lang w:val="en-US" w:eastAsia="zh-CN"/>
        </w:rPr>
        <w:t>3.1 锌含量范围确定及使用检测手段确定</w:t>
      </w:r>
    </w:p>
    <w:p>
      <w:pPr>
        <w:numPr>
          <w:ilvl w:val="0"/>
          <w:numId w:val="0"/>
        </w:numPr>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w:t>
      </w:r>
      <w:r>
        <w:rPr>
          <w:rFonts w:hint="default" w:ascii="Times New Roman" w:hAnsi="Times New Roman" w:eastAsia="宋体" w:cs="Times New Roman"/>
          <w:sz w:val="21"/>
          <w:szCs w:val="21"/>
        </w:rPr>
        <w:t>我们收集了</w:t>
      </w:r>
      <w:r>
        <w:rPr>
          <w:rFonts w:hint="default" w:ascii="Times New Roman" w:hAnsi="Times New Roman" w:eastAsia="宋体" w:cs="Times New Roman"/>
          <w:sz w:val="21"/>
          <w:szCs w:val="21"/>
          <w:lang w:val="en-US" w:eastAsia="zh-CN"/>
        </w:rPr>
        <w:t>铜陵有色金属集团控股有限公司（</w:t>
      </w:r>
      <w:r>
        <w:rPr>
          <w:rFonts w:hint="default" w:ascii="Times New Roman" w:hAnsi="Times New Roman" w:eastAsia="宋体" w:cs="Times New Roman"/>
          <w:sz w:val="21"/>
          <w:szCs w:val="21"/>
        </w:rPr>
        <w:t>金冠铜业有限公司、金隆铜业有限公司、</w:t>
      </w:r>
      <w:r>
        <w:rPr>
          <w:rFonts w:hint="default" w:ascii="Times New Roman" w:hAnsi="Times New Roman" w:eastAsia="宋体" w:cs="Times New Roman"/>
          <w:sz w:val="21"/>
          <w:szCs w:val="21"/>
          <w:lang w:val="en-US" w:eastAsia="zh-CN"/>
        </w:rPr>
        <w:t>张家港联合铜业）、</w:t>
      </w:r>
      <w:r>
        <w:rPr>
          <w:rFonts w:hint="default" w:ascii="Times New Roman" w:hAnsi="Times New Roman" w:eastAsia="宋体" w:cs="Times New Roman"/>
          <w:sz w:val="21"/>
          <w:szCs w:val="21"/>
        </w:rPr>
        <w:t>福建紫金铜业有限公司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富民薪冶工贸有限公司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金川集团股份有限公司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山东祥光铜业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大冶有色设计研究院有限公司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昆明西科工贸有限公司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杭州富春江冶炼有限公司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江西铜业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中条山有色金属集团有限公司等</w:t>
      </w:r>
      <w:r>
        <w:rPr>
          <w:rFonts w:hint="eastAsia" w:ascii="Times New Roman" w:hAnsi="Times New Roman" w:eastAsia="宋体" w:cs="Times New Roman"/>
          <w:sz w:val="21"/>
          <w:szCs w:val="21"/>
          <w:lang w:val="en-US" w:eastAsia="zh-CN"/>
        </w:rPr>
        <w:t>单位</w:t>
      </w:r>
      <w:r>
        <w:rPr>
          <w:rFonts w:hint="default" w:ascii="Times New Roman" w:hAnsi="Times New Roman" w:eastAsia="宋体" w:cs="Times New Roman"/>
          <w:sz w:val="21"/>
          <w:szCs w:val="21"/>
        </w:rPr>
        <w:t>提供的样品</w:t>
      </w:r>
      <w:r>
        <w:rPr>
          <w:rFonts w:hint="eastAsia" w:ascii="Times New Roman" w:hAnsi="Times New Roman" w:eastAsia="宋体" w:cs="Times New Roman"/>
          <w:sz w:val="21"/>
          <w:szCs w:val="21"/>
          <w:lang w:val="en-US" w:eastAsia="zh-CN"/>
        </w:rPr>
        <w:t>及</w:t>
      </w:r>
      <w:r>
        <w:rPr>
          <w:rFonts w:hint="default" w:ascii="Times New Roman" w:hAnsi="Times New Roman" w:eastAsia="宋体" w:cs="Times New Roman"/>
          <w:color w:val="auto"/>
          <w:szCs w:val="21"/>
          <w:lang w:eastAsia="zh-CN"/>
        </w:rPr>
        <w:t>在实际生产中遇到的样品，</w:t>
      </w:r>
      <w:r>
        <w:rPr>
          <w:rFonts w:hint="default" w:ascii="Times New Roman" w:hAnsi="Times New Roman" w:eastAsia="宋体" w:cs="Times New Roman"/>
          <w:sz w:val="21"/>
          <w:szCs w:val="21"/>
        </w:rPr>
        <w:t>确定</w:t>
      </w:r>
      <w:r>
        <w:rPr>
          <w:rFonts w:hint="default" w:ascii="Times New Roman" w:hAnsi="Times New Roman" w:eastAsia="宋体" w:cs="Times New Roman"/>
          <w:sz w:val="21"/>
          <w:szCs w:val="21"/>
          <w:lang w:eastAsia="zh-CN"/>
        </w:rPr>
        <w:t>铜冶炼烟尘</w:t>
      </w:r>
      <w:r>
        <w:rPr>
          <w:rFonts w:hint="default" w:ascii="Times New Roman" w:hAnsi="Times New Roman" w:eastAsia="宋体" w:cs="Times New Roman"/>
          <w:sz w:val="21"/>
          <w:szCs w:val="21"/>
        </w:rPr>
        <w:t>中</w:t>
      </w:r>
      <w:r>
        <w:rPr>
          <w:rFonts w:hint="default" w:ascii="Times New Roman" w:hAnsi="Times New Roman" w:eastAsia="宋体" w:cs="Times New Roman"/>
          <w:sz w:val="21"/>
          <w:szCs w:val="21"/>
          <w:lang w:val="en-US" w:eastAsia="zh-CN"/>
        </w:rPr>
        <w:t>锌</w:t>
      </w:r>
      <w:r>
        <w:rPr>
          <w:rFonts w:hint="default" w:ascii="Times New Roman" w:hAnsi="Times New Roman" w:eastAsia="宋体" w:cs="Times New Roman"/>
          <w:sz w:val="21"/>
          <w:szCs w:val="21"/>
        </w:rPr>
        <w:t>测定范围为0.</w:t>
      </w:r>
      <w:r>
        <w:rPr>
          <w:rFonts w:hint="default"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25</w:t>
      </w:r>
      <w:r>
        <w:rPr>
          <w:rFonts w:hint="default" w:ascii="Times New Roman" w:hAnsi="Times New Roman" w:eastAsia="宋体" w:cs="Times New Roman"/>
          <w:sz w:val="21"/>
          <w:szCs w:val="21"/>
          <w:lang w:val="en-US" w:eastAsia="zh-CN"/>
        </w:rPr>
        <w:t>.00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方法1锌含量范围为</w:t>
      </w:r>
      <w:r>
        <w:rPr>
          <w:rFonts w:hint="default" w:ascii="Times New Roman" w:hAnsi="Times New Roman" w:eastAsia="宋体" w:cs="Times New Roman"/>
          <w:sz w:val="21"/>
          <w:szCs w:val="21"/>
          <w:lang w:val="en-US" w:eastAsia="zh-CN"/>
        </w:rPr>
        <w:t>0.30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%~5.00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，用</w:t>
      </w:r>
      <w:r>
        <w:rPr>
          <w:rFonts w:hint="default" w:ascii="Times New Roman" w:hAnsi="Times New Roman" w:eastAsia="宋体" w:cs="Times New Roman"/>
          <w:sz w:val="21"/>
          <w:szCs w:val="21"/>
          <w:lang w:val="en-US" w:eastAsia="zh-CN"/>
        </w:rPr>
        <w:t>原子吸收</w:t>
      </w:r>
      <w:r>
        <w:rPr>
          <w:rFonts w:hint="default" w:ascii="Times New Roman" w:hAnsi="Times New Roman" w:eastAsia="宋体" w:cs="Times New Roman"/>
          <w:sz w:val="21"/>
          <w:szCs w:val="21"/>
        </w:rPr>
        <w:t>光谱法</w:t>
      </w:r>
      <w:r>
        <w:rPr>
          <w:rFonts w:hint="eastAsia" w:ascii="Times New Roman" w:hAnsi="Times New Roman" w:eastAsia="宋体" w:cs="Times New Roman"/>
          <w:sz w:val="21"/>
          <w:szCs w:val="21"/>
          <w:lang w:val="en-US" w:eastAsia="zh-CN"/>
        </w:rPr>
        <w:t>测定</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方法2锌含量范围为5.00 %-25.00 %，用容量法测定。</w:t>
      </w:r>
    </w:p>
    <w:p>
      <w:pPr>
        <w:tabs>
          <w:tab w:val="left" w:pos="3306"/>
        </w:tabs>
        <w:rPr>
          <w:rFonts w:hint="eastAsia" w:ascii="宋体" w:hAnsi="宋体" w:eastAsia="宋体"/>
          <w:b/>
          <w:bCs/>
          <w:szCs w:val="21"/>
          <w:lang w:val="en-US" w:eastAsia="zh-CN"/>
        </w:rPr>
      </w:pPr>
      <w:r>
        <w:rPr>
          <w:rFonts w:hint="eastAsia" w:ascii="宋体" w:hAnsi="宋体" w:eastAsia="宋体"/>
          <w:b/>
          <w:bCs/>
          <w:szCs w:val="21"/>
          <w:lang w:val="en-US" w:eastAsia="zh-CN"/>
        </w:rPr>
        <w:t>3.2 干扰及消除</w:t>
      </w:r>
      <w:r>
        <w:rPr>
          <w:rFonts w:hint="eastAsia" w:ascii="宋体" w:hAnsi="宋体" w:eastAsia="宋体"/>
          <w:b/>
          <w:bCs/>
          <w:szCs w:val="21"/>
          <w:lang w:val="en-US" w:eastAsia="zh-CN"/>
        </w:rPr>
        <w:tab/>
      </w:r>
    </w:p>
    <w:p>
      <w:pPr>
        <w:numPr>
          <w:ilvl w:val="0"/>
          <w:numId w:val="0"/>
        </w:numP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方法1 火焰原子吸收光谱法</w:t>
      </w:r>
    </w:p>
    <w:p>
      <w:pPr>
        <w:numPr>
          <w:ilvl w:val="0"/>
          <w:numId w:val="0"/>
        </w:numP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3.2.1 </w:t>
      </w:r>
      <w:r>
        <w:rPr>
          <w:rFonts w:hint="default" w:ascii="Times New Roman" w:hAnsi="Times New Roman" w:eastAsia="宋体" w:cs="Times New Roman"/>
          <w:sz w:val="21"/>
          <w:szCs w:val="21"/>
        </w:rPr>
        <w:t>铜冶炼烟尘中除了锌外，主要含有铜、铅、铋、砷、镉、锑、铁、铝、钙、镁、锡、硒等，硅在溶样过程中以SiF</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的形式挥散除去。为了准确测定铜冶炼烟尘中的锌，进行了共存单元素及多元素对不同浓度锌标准溶液的测定影响实验。</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按照本实验方案，将0.1g样品定容到200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mL容量瓶中，最小稀释倍数为1计算，测定液中最大干扰量见表</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w:t>
      </w:r>
    </w:p>
    <w:p>
      <w:pPr>
        <w:snapToGrid w:val="0"/>
        <w:spacing w:line="48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default" w:ascii="Times New Roman" w:hAnsi="Times New Roman" w:eastAsia="黑体" w:cs="Times New Roman"/>
          <w:szCs w:val="21"/>
          <w:lang w:val="en-US" w:eastAsia="zh-CN"/>
        </w:rPr>
        <w:t>1</w:t>
      </w:r>
      <w:r>
        <w:rPr>
          <w:rFonts w:hint="eastAsia" w:ascii="Times New Roman" w:hAnsi="Times New Roman" w:eastAsia="黑体" w:cs="Times New Roman"/>
          <w:szCs w:val="21"/>
          <w:lang w:val="en-US" w:eastAsia="zh-CN"/>
        </w:rPr>
        <w:t xml:space="preserve"> </w:t>
      </w:r>
      <w:r>
        <w:rPr>
          <w:rFonts w:hint="default" w:ascii="Times New Roman" w:hAnsi="Times New Roman" w:eastAsia="黑体" w:cs="Times New Roman"/>
          <w:szCs w:val="21"/>
        </w:rPr>
        <w:t>干扰元素上限及测定液中最大干扰量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542"/>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507" w:type="dxa"/>
            <w:noWrap w:val="0"/>
            <w:vAlign w:val="center"/>
          </w:tcPr>
          <w:p>
            <w:pPr>
              <w:snapToGrid w:val="0"/>
              <w:spacing w:line="360" w:lineRule="auto"/>
              <w:jc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干扰元素</w:t>
            </w:r>
          </w:p>
        </w:tc>
        <w:tc>
          <w:tcPr>
            <w:tcW w:w="2542" w:type="dxa"/>
            <w:noWrap w:val="0"/>
            <w:vAlign w:val="center"/>
          </w:tcPr>
          <w:p>
            <w:pPr>
              <w:snapToGrid w:val="0"/>
              <w:spacing w:line="360" w:lineRule="auto"/>
              <w:jc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拟定干扰上限</w:t>
            </w:r>
          </w:p>
        </w:tc>
        <w:tc>
          <w:tcPr>
            <w:tcW w:w="2899" w:type="dxa"/>
            <w:noWrap w:val="0"/>
            <w:vAlign w:val="center"/>
          </w:tcPr>
          <w:p>
            <w:pPr>
              <w:snapToGrid w:val="0"/>
              <w:spacing w:line="360" w:lineRule="auto"/>
              <w:jc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测定液中最大干扰量/mg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Cu</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65%</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Pb</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50%</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Bi</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15%</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As</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30%</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Cd</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16%</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Sb</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5%</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Fe</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22%</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Al</w:t>
            </w:r>
            <w:r>
              <w:rPr>
                <w:rFonts w:hint="default" w:ascii="Times New Roman" w:hAnsi="Times New Roman" w:eastAsia="宋体" w:cs="Times New Roman"/>
                <w:color w:val="000000"/>
                <w:kern w:val="0"/>
                <w:sz w:val="21"/>
                <w:szCs w:val="21"/>
                <w:vertAlign w:val="subscript"/>
                <w:lang w:bidi="ar"/>
              </w:rPr>
              <w:t>2</w:t>
            </w:r>
            <w:r>
              <w:rPr>
                <w:rFonts w:hint="default" w:ascii="Times New Roman" w:hAnsi="Times New Roman" w:eastAsia="宋体" w:cs="Times New Roman"/>
                <w:color w:val="000000"/>
                <w:kern w:val="0"/>
                <w:sz w:val="21"/>
                <w:szCs w:val="21"/>
                <w:lang w:bidi="ar"/>
              </w:rPr>
              <w:t>O</w:t>
            </w:r>
            <w:r>
              <w:rPr>
                <w:rFonts w:hint="default" w:ascii="Times New Roman" w:hAnsi="Times New Roman" w:eastAsia="宋体" w:cs="Times New Roman"/>
                <w:color w:val="000000"/>
                <w:kern w:val="0"/>
                <w:sz w:val="21"/>
                <w:szCs w:val="21"/>
                <w:vertAlign w:val="subscript"/>
                <w:lang w:bidi="ar"/>
              </w:rPr>
              <w:t>3</w:t>
            </w:r>
            <w:r>
              <w:rPr>
                <w:rFonts w:hint="default" w:ascii="Times New Roman" w:hAnsi="Times New Roman" w:eastAsia="宋体" w:cs="Times New Roman"/>
                <w:color w:val="000000"/>
                <w:kern w:val="0"/>
                <w:sz w:val="21"/>
                <w:szCs w:val="21"/>
                <w:lang w:bidi="ar"/>
              </w:rPr>
              <w:t xml:space="preserve"> </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Ca</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1.50%</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Mg</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Sn</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Se</w:t>
            </w:r>
          </w:p>
        </w:tc>
        <w:tc>
          <w:tcPr>
            <w:tcW w:w="2542"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w:t>
            </w:r>
          </w:p>
        </w:tc>
        <w:tc>
          <w:tcPr>
            <w:tcW w:w="2899" w:type="dxa"/>
            <w:noWrap w:val="0"/>
            <w:vAlign w:val="center"/>
          </w:tcPr>
          <w:p>
            <w:pPr>
              <w:widowControl/>
              <w:jc w:val="center"/>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lang w:bidi="ar"/>
              </w:rPr>
              <w:t>1</w:t>
            </w:r>
          </w:p>
        </w:tc>
      </w:tr>
    </w:tbl>
    <w:p>
      <w:pPr>
        <w:snapToGrid w:val="0"/>
        <w:spacing w:line="300" w:lineRule="auto"/>
        <w:ind w:firstLine="420" w:firstLineChars="200"/>
        <w:rPr>
          <w:rFonts w:ascii="Times New Roman" w:hAnsi="Times New Roman" w:eastAsia="黑体"/>
          <w:szCs w:val="21"/>
        </w:rPr>
      </w:pP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分别往一系列1.0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μg/mL、5.0 μg/mL锌标准溶液中加入下列干扰元素，定容到100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mL容量瓶中，进行锌的吸光度值测定，实验结果见表</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w:t>
      </w:r>
    </w:p>
    <w:p>
      <w:pPr>
        <w:snapToGrid w:val="0"/>
        <w:spacing w:line="360" w:lineRule="auto"/>
        <w:jc w:val="center"/>
        <w:rPr>
          <w:rFonts w:hint="default" w:ascii="Times New Roman" w:hAnsi="Times New Roman" w:eastAsia="黑体" w:cs="Times New Roman"/>
          <w:szCs w:val="21"/>
        </w:rPr>
      </w:pPr>
    </w:p>
    <w:p>
      <w:pPr>
        <w:snapToGrid w:val="0"/>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2</w:t>
      </w:r>
      <w:r>
        <w:rPr>
          <w:rFonts w:hint="default" w:ascii="Times New Roman" w:hAnsi="Times New Roman" w:eastAsia="黑体" w:cs="Times New Roman"/>
          <w:szCs w:val="21"/>
        </w:rPr>
        <w:t xml:space="preserve"> 各共存元素对锌的干扰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79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hint="default" w:ascii="Times New Roman" w:hAnsi="Times New Roman" w:eastAsia="黑体" w:cs="Times New Roman"/>
                <w:kern w:val="0"/>
                <w:sz w:val="21"/>
                <w:szCs w:val="21"/>
              </w:rPr>
            </w:pPr>
            <w:r>
              <w:rPr>
                <w:rFonts w:hint="default" w:ascii="Times New Roman" w:hAnsi="Times New Roman" w:eastAsia="黑体" w:cs="Times New Roman"/>
                <w:kern w:val="0"/>
                <w:sz w:val="21"/>
                <w:szCs w:val="21"/>
              </w:rPr>
              <w:t>干扰元素加入量</w:t>
            </w:r>
          </w:p>
        </w:tc>
        <w:tc>
          <w:tcPr>
            <w:tcW w:w="2794" w:type="dxa"/>
            <w:noWrap w:val="0"/>
            <w:vAlign w:val="center"/>
          </w:tcPr>
          <w:p>
            <w:pPr>
              <w:snapToGrid w:val="0"/>
              <w:jc w:val="center"/>
              <w:rPr>
                <w:rFonts w:hint="default" w:ascii="Times New Roman" w:hAnsi="Times New Roman" w:eastAsia="黑体" w:cs="Times New Roman"/>
                <w:kern w:val="0"/>
                <w:sz w:val="21"/>
                <w:szCs w:val="21"/>
              </w:rPr>
            </w:pPr>
            <w:r>
              <w:rPr>
                <w:rFonts w:hint="default" w:ascii="Times New Roman" w:hAnsi="Times New Roman" w:eastAsia="黑体" w:cs="Times New Roman"/>
                <w:sz w:val="21"/>
                <w:szCs w:val="21"/>
              </w:rPr>
              <w:t>1.0 μg/mL锌溶液测定值，A</w:t>
            </w:r>
          </w:p>
        </w:tc>
        <w:tc>
          <w:tcPr>
            <w:tcW w:w="2895" w:type="dxa"/>
            <w:noWrap w:val="0"/>
            <w:vAlign w:val="center"/>
          </w:tcPr>
          <w:p>
            <w:pPr>
              <w:snapToGrid w:val="0"/>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5.0 μg/mL锌溶液测定值，A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0.1079</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Cu 65mg</w:t>
            </w:r>
          </w:p>
        </w:tc>
        <w:tc>
          <w:tcPr>
            <w:tcW w:w="2794"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0.1084</w:t>
            </w:r>
          </w:p>
        </w:tc>
        <w:tc>
          <w:tcPr>
            <w:tcW w:w="2895"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0.4451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Pb 50mg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0.1076</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Bi 15mg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0.1064</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As 30mg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0.1080</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Cd 20mg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0.1085</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Sb 5mg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0.1108</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Fe 25mg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0.1088</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Al</w:t>
            </w:r>
            <w:r>
              <w:rPr>
                <w:rFonts w:ascii="Times New Roman" w:hAnsi="Times New Roman"/>
                <w:kern w:val="0"/>
                <w:sz w:val="24"/>
                <w:szCs w:val="20"/>
                <w:vertAlign w:val="subscript"/>
              </w:rPr>
              <w:t>2</w:t>
            </w:r>
            <w:r>
              <w:rPr>
                <w:rFonts w:ascii="Times New Roman" w:hAnsi="Times New Roman"/>
                <w:kern w:val="0"/>
                <w:sz w:val="24"/>
                <w:szCs w:val="20"/>
              </w:rPr>
              <w:t>O</w:t>
            </w:r>
            <w:r>
              <w:rPr>
                <w:rFonts w:ascii="Times New Roman" w:hAnsi="Times New Roman"/>
                <w:kern w:val="0"/>
                <w:sz w:val="24"/>
                <w:szCs w:val="20"/>
                <w:vertAlign w:val="subscript"/>
              </w:rPr>
              <w:t>3</w:t>
            </w:r>
            <w:r>
              <w:rPr>
                <w:rFonts w:ascii="Times New Roman" w:hAnsi="Times New Roman"/>
                <w:kern w:val="0"/>
                <w:sz w:val="24"/>
                <w:szCs w:val="20"/>
              </w:rPr>
              <w:t xml:space="preserve"> 3mg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0.1121</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Ca 2mg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0.1061</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Mg 1mg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0.1099</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Sn 3mg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0.1073</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Se 1mg</w:t>
            </w:r>
          </w:p>
        </w:tc>
        <w:tc>
          <w:tcPr>
            <w:tcW w:w="2794"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0.1084</w:t>
            </w:r>
          </w:p>
        </w:tc>
        <w:tc>
          <w:tcPr>
            <w:tcW w:w="2895"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0.4469</w:t>
            </w:r>
          </w:p>
        </w:tc>
      </w:tr>
    </w:tbl>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结果表明，上述拟测定液中最高浓度的共存元素对1.00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μg/mL及5.00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μg/mL锌的测定基本没有影响。</w:t>
      </w:r>
    </w:p>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本实验也进行了拟测定液中最高浓度共存元素混合基体对1.00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μg/mL 和5.00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μg/mL的锌标准溶液的测定影响，定容到200</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mL容量瓶，实验结果见表</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w:t>
      </w:r>
    </w:p>
    <w:p>
      <w:pPr>
        <w:snapToGrid w:val="0"/>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w:t>
      </w:r>
      <w:r>
        <w:rPr>
          <w:rFonts w:hint="eastAsia" w:ascii="Times New Roman" w:hAnsi="Times New Roman" w:eastAsia="黑体" w:cs="Times New Roman"/>
          <w:szCs w:val="21"/>
          <w:lang w:val="en-US" w:eastAsia="zh-CN"/>
        </w:rPr>
        <w:t>3</w:t>
      </w:r>
      <w:r>
        <w:rPr>
          <w:rFonts w:hint="default" w:ascii="Times New Roman" w:hAnsi="Times New Roman" w:eastAsia="黑体" w:cs="Times New Roman"/>
          <w:szCs w:val="21"/>
        </w:rPr>
        <w:t xml:space="preserve"> 混合干扰试验</w:t>
      </w:r>
    </w:p>
    <w:tbl>
      <w:tblPr>
        <w:tblStyle w:val="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72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128" w:type="dxa"/>
            <w:noWrap w:val="0"/>
            <w:vAlign w:val="center"/>
          </w:tcPr>
          <w:p>
            <w:pPr>
              <w:ind w:left="34" w:leftChars="16"/>
              <w:jc w:val="center"/>
              <w:rPr>
                <w:rFonts w:ascii="Times New Roman" w:hAnsi="Times New Roman"/>
                <w:kern w:val="0"/>
                <w:sz w:val="24"/>
                <w:szCs w:val="20"/>
              </w:rPr>
            </w:pPr>
            <w:r>
              <w:rPr>
                <w:rFonts w:ascii="Times New Roman" w:hAnsi="Times New Roman"/>
                <w:szCs w:val="21"/>
              </w:rPr>
              <w:t>干扰元素及加入量</w:t>
            </w:r>
          </w:p>
        </w:tc>
        <w:tc>
          <w:tcPr>
            <w:tcW w:w="2721" w:type="dxa"/>
            <w:noWrap w:val="0"/>
            <w:vAlign w:val="center"/>
          </w:tcPr>
          <w:p>
            <w:pPr>
              <w:snapToGrid w:val="0"/>
              <w:jc w:val="center"/>
              <w:rPr>
                <w:rFonts w:ascii="Times New Roman" w:hAnsi="Times New Roman"/>
                <w:szCs w:val="21"/>
              </w:rPr>
            </w:pPr>
            <w:r>
              <w:rPr>
                <w:rFonts w:ascii="Times New Roman" w:hAnsi="Times New Roman"/>
                <w:szCs w:val="21"/>
              </w:rPr>
              <w:t>1.0 μg/mL锌溶液测定值，A</w:t>
            </w:r>
          </w:p>
        </w:tc>
        <w:tc>
          <w:tcPr>
            <w:tcW w:w="2956" w:type="dxa"/>
            <w:noWrap w:val="0"/>
            <w:vAlign w:val="center"/>
          </w:tcPr>
          <w:p>
            <w:pPr>
              <w:snapToGrid w:val="0"/>
              <w:jc w:val="center"/>
              <w:rPr>
                <w:rFonts w:ascii="Times New Roman" w:hAnsi="Times New Roman"/>
                <w:szCs w:val="21"/>
              </w:rPr>
            </w:pPr>
            <w:r>
              <w:rPr>
                <w:rFonts w:ascii="Times New Roman" w:hAnsi="Times New Roman"/>
                <w:szCs w:val="21"/>
              </w:rPr>
              <w:t>5.0 μg/mL锌溶液测定值，A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noWrap w:val="0"/>
            <w:vAlign w:val="center"/>
          </w:tcPr>
          <w:p>
            <w:pPr>
              <w:widowControl/>
              <w:ind w:firstLine="960" w:firstLineChars="400"/>
              <w:textAlignment w:val="center"/>
              <w:rPr>
                <w:rFonts w:ascii="Times New Roman" w:hAnsi="Times New Roman"/>
                <w:kern w:val="0"/>
                <w:sz w:val="24"/>
                <w:szCs w:val="20"/>
              </w:rPr>
            </w:pPr>
            <w:r>
              <w:rPr>
                <w:rFonts w:ascii="Times New Roman" w:hAnsi="Times New Roman"/>
                <w:kern w:val="0"/>
                <w:sz w:val="24"/>
                <w:szCs w:val="20"/>
              </w:rPr>
              <w:t>0</w:t>
            </w:r>
          </w:p>
        </w:tc>
        <w:tc>
          <w:tcPr>
            <w:tcW w:w="2721"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0.1079</w:t>
            </w:r>
          </w:p>
        </w:tc>
        <w:tc>
          <w:tcPr>
            <w:tcW w:w="2956" w:type="dxa"/>
            <w:noWrap w:val="0"/>
            <w:vAlign w:val="center"/>
          </w:tcPr>
          <w:p>
            <w:pPr>
              <w:widowControl/>
              <w:jc w:val="center"/>
              <w:textAlignment w:val="center"/>
              <w:rPr>
                <w:rFonts w:ascii="Times New Roman" w:hAnsi="Times New Roman"/>
                <w:kern w:val="0"/>
                <w:sz w:val="24"/>
                <w:szCs w:val="20"/>
              </w:rPr>
            </w:pPr>
            <w:r>
              <w:rPr>
                <w:rFonts w:ascii="Times New Roman" w:hAnsi="Times New Roman"/>
                <w:kern w:val="0"/>
                <w:sz w:val="24"/>
                <w:szCs w:val="20"/>
              </w:rPr>
              <w:t>0.4489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kern w:val="0"/>
                <w:sz w:val="24"/>
                <w:szCs w:val="20"/>
              </w:rPr>
            </w:pPr>
            <w:r>
              <w:rPr>
                <w:rFonts w:ascii="Times New Roman" w:hAnsi="Times New Roman"/>
                <w:kern w:val="0"/>
                <w:sz w:val="24"/>
                <w:szCs w:val="20"/>
              </w:rPr>
              <w:t>Cu 65</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mg、Pb 50</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mg、Bi 15</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mg、As 30</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mg、Cd 16</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mg、Sb 5</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mg、Fe 25</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mg、Al</w:t>
            </w:r>
            <w:r>
              <w:rPr>
                <w:rFonts w:ascii="Times New Roman" w:hAnsi="Times New Roman"/>
                <w:kern w:val="0"/>
                <w:sz w:val="24"/>
                <w:szCs w:val="20"/>
                <w:vertAlign w:val="subscript"/>
              </w:rPr>
              <w:t>2</w:t>
            </w:r>
            <w:r>
              <w:rPr>
                <w:rFonts w:ascii="Times New Roman" w:hAnsi="Times New Roman"/>
                <w:kern w:val="0"/>
                <w:sz w:val="24"/>
                <w:szCs w:val="20"/>
              </w:rPr>
              <w:t>O</w:t>
            </w:r>
            <w:r>
              <w:rPr>
                <w:rFonts w:ascii="Times New Roman" w:hAnsi="Times New Roman"/>
                <w:kern w:val="0"/>
                <w:sz w:val="24"/>
                <w:szCs w:val="20"/>
                <w:vertAlign w:val="subscript"/>
              </w:rPr>
              <w:t>3</w:t>
            </w:r>
            <w:r>
              <w:rPr>
                <w:rFonts w:ascii="Times New Roman" w:hAnsi="Times New Roman"/>
                <w:kern w:val="0"/>
                <w:sz w:val="24"/>
                <w:szCs w:val="20"/>
              </w:rPr>
              <w:t xml:space="preserve"> 3</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mg、Ca 2</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mg、Mg 1</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mg、Sn 3</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mg、Se 1</w:t>
            </w:r>
            <w:r>
              <w:rPr>
                <w:rFonts w:hint="eastAsia" w:ascii="Times New Roman" w:hAnsi="Times New Roman"/>
                <w:kern w:val="0"/>
                <w:sz w:val="24"/>
                <w:szCs w:val="20"/>
                <w:lang w:val="en-US" w:eastAsia="zh-CN"/>
              </w:rPr>
              <w:t xml:space="preserve"> </w:t>
            </w:r>
            <w:r>
              <w:rPr>
                <w:rFonts w:ascii="Times New Roman" w:hAnsi="Times New Roman"/>
                <w:kern w:val="0"/>
                <w:sz w:val="24"/>
                <w:szCs w:val="20"/>
              </w:rPr>
              <w:t>mg</w:t>
            </w:r>
          </w:p>
        </w:tc>
        <w:tc>
          <w:tcPr>
            <w:tcW w:w="2721" w:type="dxa"/>
            <w:noWrap w:val="0"/>
            <w:vAlign w:val="center"/>
          </w:tcPr>
          <w:p>
            <w:pPr>
              <w:snapToGrid w:val="0"/>
              <w:spacing w:line="360" w:lineRule="auto"/>
              <w:jc w:val="center"/>
              <w:rPr>
                <w:rFonts w:ascii="Times New Roman" w:hAnsi="Times New Roman"/>
                <w:kern w:val="0"/>
                <w:sz w:val="24"/>
                <w:szCs w:val="20"/>
              </w:rPr>
            </w:pPr>
            <w:r>
              <w:rPr>
                <w:rFonts w:ascii="Times New Roman" w:hAnsi="Times New Roman"/>
                <w:kern w:val="0"/>
                <w:sz w:val="24"/>
                <w:szCs w:val="20"/>
              </w:rPr>
              <w:t>0.1044</w:t>
            </w:r>
          </w:p>
        </w:tc>
        <w:tc>
          <w:tcPr>
            <w:tcW w:w="2956" w:type="dxa"/>
            <w:noWrap w:val="0"/>
            <w:vAlign w:val="center"/>
          </w:tcPr>
          <w:p>
            <w:pPr>
              <w:snapToGrid w:val="0"/>
              <w:spacing w:line="360" w:lineRule="auto"/>
              <w:jc w:val="center"/>
              <w:rPr>
                <w:rFonts w:ascii="Times New Roman" w:hAnsi="Times New Roman"/>
                <w:kern w:val="0"/>
                <w:sz w:val="24"/>
                <w:szCs w:val="20"/>
              </w:rPr>
            </w:pPr>
            <w:r>
              <w:rPr>
                <w:rFonts w:ascii="Times New Roman" w:hAnsi="Times New Roman"/>
                <w:kern w:val="0"/>
                <w:sz w:val="24"/>
                <w:szCs w:val="20"/>
              </w:rPr>
              <w:t>0.4469</w:t>
            </w:r>
          </w:p>
        </w:tc>
      </w:tr>
    </w:tbl>
    <w:p>
      <w:pPr>
        <w:numPr>
          <w:ilvl w:val="0"/>
          <w:numId w:val="0"/>
        </w:num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结果表明，拟测定液中最高浓度共存元素混合基体对1.00μg/mL和5.00μg/mL锌的测定基本没有影响。</w:t>
      </w:r>
    </w:p>
    <w:p>
      <w:pP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方法2 容量法</w:t>
      </w:r>
    </w:p>
    <w:p>
      <w:pPr>
        <w:spacing w:line="264"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3.2.2干扰实验</w:t>
      </w:r>
    </w:p>
    <w:p>
      <w:pPr>
        <w:spacing w:line="264" w:lineRule="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3.2.2</w:t>
      </w:r>
      <w:r>
        <w:rPr>
          <w:rFonts w:hint="default" w:ascii="Times New Roman" w:hAnsi="Times New Roman" w:eastAsia="宋体" w:cs="Times New Roman"/>
          <w:color w:val="auto"/>
          <w:szCs w:val="21"/>
        </w:rPr>
        <w:t>.1镉干扰试验</w:t>
      </w:r>
    </w:p>
    <w:p>
      <w:pPr>
        <w:spacing w:line="264"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在缓冲溶液中，Cd</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与过量的KI在指示剂</w:t>
      </w:r>
      <w:r>
        <w:rPr>
          <w:rFonts w:hint="default" w:ascii="Times New Roman" w:hAnsi="Times New Roman" w:eastAsia="宋体" w:cs="Times New Roman"/>
          <w:color w:val="auto"/>
          <w:szCs w:val="21"/>
          <w:lang w:val="en-US" w:eastAsia="zh-CN"/>
        </w:rPr>
        <w:t>二甲酚橙（3.25）</w:t>
      </w:r>
      <w:r>
        <w:rPr>
          <w:rFonts w:hint="default" w:ascii="Times New Roman" w:hAnsi="Times New Roman" w:eastAsia="宋体" w:cs="Times New Roman"/>
          <w:color w:val="auto"/>
          <w:szCs w:val="21"/>
        </w:rPr>
        <w:t>的条件下促生产稳定的离子碲合物，同时消除Cd对锌滴定的影响。在铜冶炼烟尘中以镉含量5%和21%来确定加入碘化钾（3.20）的毫升数和移取液体积，测定结果见表</w:t>
      </w:r>
      <w:r>
        <w:rPr>
          <w:rFonts w:hint="eastAsia"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p>
    <w:p>
      <w:pPr>
        <w:spacing w:line="264" w:lineRule="auto"/>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4</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486"/>
        <w:gridCol w:w="1104"/>
        <w:gridCol w:w="1610"/>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17" w:type="dxa"/>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样品编号</w:t>
            </w: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加入碘化钾</w:t>
            </w:r>
          </w:p>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含量mL</w:t>
            </w:r>
          </w:p>
        </w:tc>
        <w:tc>
          <w:tcPr>
            <w:tcW w:w="1104" w:type="dxa"/>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总Cd含量（%）</w:t>
            </w:r>
          </w:p>
        </w:tc>
        <w:tc>
          <w:tcPr>
            <w:tcW w:w="1610" w:type="dxa"/>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移取</w:t>
            </w:r>
            <w:r>
              <w:rPr>
                <w:rFonts w:hint="default" w:ascii="Times New Roman" w:hAnsi="Times New Roman" w:eastAsia="宋体" w:cs="Times New Roman"/>
                <w:color w:val="auto"/>
                <w:szCs w:val="21"/>
                <w:lang w:val="en-US" w:eastAsia="zh-CN"/>
              </w:rPr>
              <w:t>液</w:t>
            </w:r>
            <w:r>
              <w:rPr>
                <w:rFonts w:hint="default" w:ascii="Times New Roman" w:hAnsi="Times New Roman" w:eastAsia="宋体" w:cs="Times New Roman"/>
                <w:color w:val="auto"/>
                <w:szCs w:val="21"/>
              </w:rPr>
              <w:t>体积mL</w:t>
            </w:r>
          </w:p>
        </w:tc>
        <w:tc>
          <w:tcPr>
            <w:tcW w:w="3500" w:type="dxa"/>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试验现象及结果（%）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D1108+</w:t>
            </w:r>
          </w:p>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Cd标</w:t>
            </w: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104"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终点颜色难看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终点颜色难看 </w:t>
            </w:r>
            <w:r>
              <w:rPr>
                <w:rFonts w:hint="default" w:ascii="Times New Roman" w:hAnsi="Times New Roman" w:eastAsia="宋体" w:cs="Times New Roman"/>
                <w:strike/>
                <w:color w:val="auto"/>
                <w:szCs w:val="21"/>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strike/>
                <w:color w:val="auto"/>
                <w:szCs w:val="21"/>
              </w:rPr>
            </w:pPr>
            <w:r>
              <w:rPr>
                <w:rFonts w:hint="default" w:ascii="Times New Roman" w:hAnsi="Times New Roman" w:eastAsia="宋体" w:cs="Times New Roman"/>
                <w:color w:val="auto"/>
                <w:szCs w:val="21"/>
              </w:rPr>
              <w:t xml:space="preserve">终点颜色不清晰 </w:t>
            </w:r>
            <w:r>
              <w:rPr>
                <w:rFonts w:hint="default" w:ascii="Times New Roman" w:hAnsi="Times New Roman" w:eastAsia="宋体" w:cs="Times New Roman"/>
                <w:strike/>
                <w:color w:val="auto"/>
                <w:szCs w:val="21"/>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终点颜色不清晰 </w:t>
            </w:r>
            <w:r>
              <w:rPr>
                <w:rFonts w:hint="default" w:ascii="Times New Roman" w:hAnsi="Times New Roman" w:eastAsia="宋体" w:cs="Times New Roman"/>
                <w:strike/>
                <w:color w:val="auto"/>
                <w:szCs w:val="21"/>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终点颜色有点发红 </w:t>
            </w:r>
            <w:r>
              <w:rPr>
                <w:rFonts w:hint="default" w:ascii="Times New Roman" w:hAnsi="Times New Roman" w:eastAsia="宋体" w:cs="Times New Roman"/>
                <w:strike/>
                <w:color w:val="auto"/>
                <w:szCs w:val="21"/>
              </w:rPr>
              <w:t>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lang w:val="zh-CN"/>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1104"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21%</w:t>
            </w: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终点颜色难看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终点颜色难看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终点颜色有点发红 </w:t>
            </w:r>
            <w:r>
              <w:rPr>
                <w:rFonts w:hint="default" w:ascii="Times New Roman" w:hAnsi="Times New Roman" w:eastAsia="宋体" w:cs="Times New Roman"/>
                <w:strike/>
                <w:color w:val="auto"/>
                <w:szCs w:val="21"/>
              </w:rPr>
              <w:t>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35</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17"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48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w:t>
            </w:r>
          </w:p>
        </w:tc>
        <w:tc>
          <w:tcPr>
            <w:tcW w:w="1104"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161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35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15.33</w:t>
            </w:r>
          </w:p>
        </w:tc>
      </w:tr>
    </w:tbl>
    <w:p>
      <w:pPr>
        <w:autoSpaceDE w:val="0"/>
        <w:autoSpaceDN w:val="0"/>
        <w:adjustRightInd w:val="0"/>
        <w:spacing w:line="264" w:lineRule="auto"/>
        <w:ind w:firstLine="420" w:firstLineChars="200"/>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zh-CN"/>
        </w:rPr>
        <w:t>由</w:t>
      </w: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lang w:val="zh-CN"/>
        </w:rPr>
        <w:t>可</w:t>
      </w:r>
      <w:r>
        <w:rPr>
          <w:rFonts w:hint="default" w:ascii="Times New Roman" w:hAnsi="Times New Roman" w:eastAsia="宋体" w:cs="Times New Roman"/>
          <w:color w:val="auto"/>
          <w:szCs w:val="21"/>
        </w:rPr>
        <w:t>见</w:t>
      </w:r>
      <w:r>
        <w:rPr>
          <w:rFonts w:hint="default" w:ascii="Times New Roman" w:hAnsi="Times New Roman" w:eastAsia="宋体" w:cs="Times New Roman"/>
          <w:color w:val="auto"/>
          <w:szCs w:val="21"/>
          <w:lang w:val="zh-CN"/>
        </w:rPr>
        <w:t>，</w:t>
      </w:r>
      <w:r>
        <w:rPr>
          <w:rFonts w:hint="default" w:ascii="Times New Roman" w:hAnsi="Times New Roman" w:eastAsia="宋体" w:cs="Times New Roman"/>
          <w:color w:val="auto"/>
          <w:szCs w:val="21"/>
        </w:rPr>
        <w:t>加适量的碘化钾（3.20）掩蔽镉时，滴定终点容易判断且不返色，消除了镉干扰。详细见表</w:t>
      </w:r>
      <w:r>
        <w:rPr>
          <w:rFonts w:hint="eastAsia" w:ascii="Times New Roman" w:hAnsi="Times New Roman" w:eastAsia="宋体" w:cs="Times New Roman"/>
          <w:color w:val="auto"/>
          <w:szCs w:val="21"/>
          <w:lang w:val="en-US" w:eastAsia="zh-CN"/>
        </w:rPr>
        <w:t>5</w:t>
      </w:r>
    </w:p>
    <w:p>
      <w:pPr>
        <w:autoSpaceDE w:val="0"/>
        <w:autoSpaceDN w:val="0"/>
        <w:adjustRightInd w:val="0"/>
        <w:spacing w:line="264" w:lineRule="auto"/>
        <w:ind w:firstLine="420" w:firstLineChars="20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5</w:t>
      </w:r>
    </w:p>
    <w:tbl>
      <w:tblPr>
        <w:tblStyle w:val="5"/>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365"/>
        <w:gridCol w:w="1755"/>
        <w:gridCol w:w="178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Cd含量</w:t>
            </w:r>
          </w:p>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36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移取液体积（mL）</w:t>
            </w:r>
          </w:p>
        </w:tc>
        <w:tc>
          <w:tcPr>
            <w:tcW w:w="175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碱式滴定管量程（mL）</w:t>
            </w:r>
          </w:p>
        </w:tc>
        <w:tc>
          <w:tcPr>
            <w:tcW w:w="178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加入碘化钾含量</w:t>
            </w:r>
          </w:p>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（mL）</w:t>
            </w:r>
          </w:p>
        </w:tc>
        <w:tc>
          <w:tcPr>
            <w:tcW w:w="2955" w:type="dxa"/>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9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0.02-5</w:t>
            </w:r>
          </w:p>
        </w:tc>
        <w:tc>
          <w:tcPr>
            <w:tcW w:w="136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25.00</w:t>
            </w:r>
          </w:p>
        </w:tc>
        <w:tc>
          <w:tcPr>
            <w:tcW w:w="175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50.00</w:t>
            </w:r>
          </w:p>
        </w:tc>
        <w:tc>
          <w:tcPr>
            <w:tcW w:w="178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295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终点颜色清晰，精密度良好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99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5-21</w:t>
            </w:r>
          </w:p>
        </w:tc>
        <w:tc>
          <w:tcPr>
            <w:tcW w:w="136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10.00</w:t>
            </w:r>
          </w:p>
        </w:tc>
        <w:tc>
          <w:tcPr>
            <w:tcW w:w="175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10.00</w:t>
            </w:r>
          </w:p>
        </w:tc>
        <w:tc>
          <w:tcPr>
            <w:tcW w:w="178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w:t>
            </w:r>
          </w:p>
        </w:tc>
        <w:tc>
          <w:tcPr>
            <w:tcW w:w="2955"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终点颜色清晰，精密度良好</w:t>
            </w:r>
          </w:p>
        </w:tc>
      </w:tr>
    </w:tbl>
    <w:p>
      <w:pPr>
        <w:autoSpaceDE w:val="0"/>
        <w:autoSpaceDN w:val="0"/>
        <w:adjustRightInd w:val="0"/>
        <w:spacing w:line="264" w:lineRule="auto"/>
        <w:rPr>
          <w:rFonts w:hint="default" w:ascii="Times New Roman" w:hAnsi="Times New Roman" w:eastAsia="宋体" w:cs="Times New Roman"/>
          <w:color w:val="auto"/>
          <w:szCs w:val="21"/>
        </w:rPr>
      </w:pPr>
    </w:p>
    <w:p>
      <w:pPr>
        <w:autoSpaceDE w:val="0"/>
        <w:autoSpaceDN w:val="0"/>
        <w:adjustRightInd w:val="0"/>
        <w:spacing w:line="264" w:lineRule="auto"/>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3.2.2</w:t>
      </w:r>
      <w:r>
        <w:rPr>
          <w:rFonts w:hint="default" w:ascii="Times New Roman" w:hAnsi="Times New Roman" w:eastAsia="宋体" w:cs="Times New Roman"/>
          <w:color w:val="auto"/>
          <w:szCs w:val="21"/>
        </w:rPr>
        <w:t>.2 共存元素干扰试验</w:t>
      </w:r>
    </w:p>
    <w:p>
      <w:pPr>
        <w:autoSpaceDE w:val="0"/>
        <w:autoSpaceDN w:val="0"/>
        <w:adjustRightInd w:val="0"/>
        <w:spacing w:line="264"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在D1108样品中加入最高杂质含量（Cu0.320g、Pb0.1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0g、Bi0.066g、Sb0.040g、Fe0.11</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g、Si0.10</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g、As0.16</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g、Ca</w:t>
      </w:r>
      <w:r>
        <w:rPr>
          <w:rFonts w:hint="default" w:ascii="Times New Roman" w:hAnsi="Times New Roman" w:eastAsia="宋体" w:cs="Times New Roman"/>
          <w:color w:val="auto"/>
          <w:szCs w:val="21"/>
          <w:lang w:val="en-US" w:eastAsia="zh-CN"/>
        </w:rPr>
        <w:t>0.008</w:t>
      </w:r>
      <w:r>
        <w:rPr>
          <w:rFonts w:hint="default" w:ascii="Times New Roman" w:hAnsi="Times New Roman" w:eastAsia="宋体" w:cs="Times New Roman"/>
          <w:color w:val="auto"/>
          <w:szCs w:val="21"/>
        </w:rPr>
        <w:t>g）来验证各种试剂用量对结果的影响。</w:t>
      </w:r>
    </w:p>
    <w:p>
      <w:pPr>
        <w:autoSpaceDE w:val="0"/>
        <w:autoSpaceDN w:val="0"/>
        <w:adjustRightInd w:val="0"/>
        <w:spacing w:line="264"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抗坏血酸用量对锌滴定的影响，测定结果如表</w:t>
      </w:r>
      <w:r>
        <w:rPr>
          <w:rFonts w:hint="eastAsia" w:ascii="Times New Roman" w:hAnsi="Times New Roman" w:eastAsia="宋体" w:cs="Times New Roman"/>
          <w:color w:val="auto"/>
          <w:szCs w:val="21"/>
          <w:lang w:val="en-US" w:eastAsia="zh-CN"/>
        </w:rPr>
        <w:t>6</w:t>
      </w:r>
    </w:p>
    <w:p>
      <w:pPr>
        <w:autoSpaceDE w:val="0"/>
        <w:autoSpaceDN w:val="0"/>
        <w:adjustRightInd w:val="0"/>
        <w:spacing w:line="264" w:lineRule="auto"/>
        <w:ind w:firstLine="525" w:firstLineChars="25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6</w:t>
      </w:r>
    </w:p>
    <w:tbl>
      <w:tblPr>
        <w:tblStyle w:val="5"/>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181"/>
        <w:gridCol w:w="4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样品编号</w:t>
            </w: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加入抗坏血酸量（g）</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D1108+共存元素</w:t>
            </w: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在滴定溶液时溶液变浑浊，终点不清晰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0.2</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终点不清晰，发红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0.5</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终点颜色有点发红15.52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2460"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4194"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终点颜色清晰15.32</w:t>
            </w:r>
          </w:p>
        </w:tc>
      </w:tr>
    </w:tbl>
    <w:p>
      <w:pPr>
        <w:autoSpaceDE w:val="0"/>
        <w:autoSpaceDN w:val="0"/>
        <w:adjustRightInd w:val="0"/>
        <w:spacing w:line="264" w:lineRule="auto"/>
        <w:ind w:firstLine="525" w:firstLineChars="25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由表</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可见，在烟尘最高杂质含量的情况下，加入1.0g抗坏血酸足够掩蔽杂质对锌滴定的影响。</w:t>
      </w:r>
    </w:p>
    <w:p>
      <w:pPr>
        <w:autoSpaceDE w:val="0"/>
        <w:autoSpaceDN w:val="0"/>
        <w:adjustRightInd w:val="0"/>
        <w:spacing w:line="264" w:lineRule="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硝硫混酸的用量对锌滴定的影响：测定结果见表</w:t>
      </w:r>
      <w:r>
        <w:rPr>
          <w:rFonts w:hint="eastAsia" w:ascii="Times New Roman" w:hAnsi="Times New Roman" w:eastAsia="宋体" w:cs="Times New Roman"/>
          <w:color w:val="auto"/>
          <w:szCs w:val="21"/>
          <w:lang w:val="en-US" w:eastAsia="zh-CN"/>
        </w:rPr>
        <w:t>7</w:t>
      </w:r>
    </w:p>
    <w:p>
      <w:pPr>
        <w:autoSpaceDE w:val="0"/>
        <w:autoSpaceDN w:val="0"/>
        <w:adjustRightInd w:val="0"/>
        <w:spacing w:line="264" w:lineRule="auto"/>
        <w:ind w:firstLine="525" w:firstLineChars="25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7</w:t>
      </w:r>
    </w:p>
    <w:tbl>
      <w:tblPr>
        <w:tblStyle w:val="5"/>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2400"/>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79"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样品编号</w:t>
            </w:r>
          </w:p>
        </w:tc>
        <w:tc>
          <w:tcPr>
            <w:tcW w:w="24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硝硫混酸加入量（mL）</w:t>
            </w:r>
          </w:p>
        </w:tc>
        <w:tc>
          <w:tcPr>
            <w:tcW w:w="447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79"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D1108+共存元素</w:t>
            </w:r>
          </w:p>
        </w:tc>
        <w:tc>
          <w:tcPr>
            <w:tcW w:w="24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447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实验结果偏低，样品没完全处理干净15.20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79"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4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447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实验结果满足精密度，样品处理干净15.36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79"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400"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447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实验结果满足精密度，样品处理干净15.34</w:t>
            </w:r>
          </w:p>
        </w:tc>
      </w:tr>
    </w:tbl>
    <w:p>
      <w:pPr>
        <w:autoSpaceDE w:val="0"/>
        <w:autoSpaceDN w:val="0"/>
        <w:adjustRightInd w:val="0"/>
        <w:spacing w:line="264"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由表</w:t>
      </w:r>
      <w:r>
        <w:rPr>
          <w:rFonts w:hint="eastAsia" w:ascii="Times New Roman" w:hAnsi="Times New Roman" w:eastAsia="宋体" w:cs="Times New Roman"/>
          <w:color w:val="auto"/>
          <w:szCs w:val="21"/>
          <w:lang w:val="en-US" w:eastAsia="zh-CN"/>
        </w:rPr>
        <w:t>7</w:t>
      </w:r>
      <w:r>
        <w:rPr>
          <w:rFonts w:hint="default" w:ascii="Times New Roman" w:hAnsi="Times New Roman" w:eastAsia="宋体" w:cs="Times New Roman"/>
          <w:color w:val="auto"/>
          <w:szCs w:val="21"/>
        </w:rPr>
        <w:t>可见，加入15mL硝硫混酸即能够完全分解完样品，又能够满足该方法的精密度。</w:t>
      </w:r>
    </w:p>
    <w:p>
      <w:pPr>
        <w:autoSpaceDE w:val="0"/>
        <w:autoSpaceDN w:val="0"/>
        <w:adjustRightInd w:val="0"/>
        <w:spacing w:line="264" w:lineRule="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3</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过硫酸铵用对锌滴定的影响：测定结果见表</w:t>
      </w:r>
      <w:r>
        <w:rPr>
          <w:rFonts w:hint="eastAsia" w:ascii="Times New Roman" w:hAnsi="Times New Roman" w:eastAsia="宋体" w:cs="Times New Roman"/>
          <w:color w:val="auto"/>
          <w:szCs w:val="21"/>
          <w:lang w:val="en-US" w:eastAsia="zh-CN"/>
        </w:rPr>
        <w:t>8</w:t>
      </w:r>
    </w:p>
    <w:p>
      <w:pPr>
        <w:autoSpaceDE w:val="0"/>
        <w:autoSpaceDN w:val="0"/>
        <w:adjustRightInd w:val="0"/>
        <w:spacing w:line="264" w:lineRule="auto"/>
        <w:ind w:firstLine="525" w:firstLineChars="250"/>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 xml:space="preserve"> 8</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181"/>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136"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样品编号</w:t>
            </w: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加入过硫酸铵（mL）</w:t>
            </w:r>
          </w:p>
        </w:tc>
        <w:tc>
          <w:tcPr>
            <w:tcW w:w="2718"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136"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D1108+共存元素</w:t>
            </w: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2718"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终点颜色不清晰 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136"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2718"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终点颜色不清晰 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136"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2718"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136"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181"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2718"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终点颜色清晰 15.33</w:t>
            </w:r>
          </w:p>
        </w:tc>
      </w:tr>
    </w:tbl>
    <w:p>
      <w:pPr>
        <w:autoSpaceDE w:val="0"/>
        <w:autoSpaceDN w:val="0"/>
        <w:adjustRightInd w:val="0"/>
        <w:spacing w:line="264"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由表</w:t>
      </w:r>
      <w:r>
        <w:rPr>
          <w:rFonts w:hint="eastAsia"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可见，加入10mL过硫酸铵能够掩蔽杂质对锌滴定的影响。</w:t>
      </w:r>
    </w:p>
    <w:p>
      <w:pPr>
        <w:autoSpaceDE w:val="0"/>
        <w:autoSpaceDN w:val="0"/>
        <w:adjustRightInd w:val="0"/>
        <w:rPr>
          <w:rFonts w:hint="default" w:ascii="Times New Roman" w:hAnsi="Times New Roman" w:eastAsia="宋体" w:cs="Times New Roman"/>
          <w:bCs/>
          <w:color w:val="auto"/>
          <w:szCs w:val="21"/>
          <w:lang w:eastAsia="zh-CN"/>
        </w:rPr>
      </w:pPr>
      <w:r>
        <w:rPr>
          <w:rFonts w:hint="eastAsia" w:ascii="Times New Roman" w:hAnsi="Times New Roman" w:eastAsia="宋体" w:cs="Times New Roman"/>
          <w:bCs/>
          <w:color w:val="auto"/>
          <w:szCs w:val="21"/>
          <w:lang w:eastAsia="zh-CN"/>
        </w:rPr>
        <w:t>（</w:t>
      </w:r>
      <w:r>
        <w:rPr>
          <w:rFonts w:hint="eastAsia" w:ascii="Times New Roman" w:hAnsi="Times New Roman" w:eastAsia="宋体" w:cs="Times New Roman"/>
          <w:bCs/>
          <w:color w:val="auto"/>
          <w:szCs w:val="21"/>
          <w:lang w:val="en-US" w:eastAsia="zh-CN"/>
        </w:rPr>
        <w:t>4</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氟化钾用量对锌滴定的影响，测定结果见表</w:t>
      </w:r>
      <w:r>
        <w:rPr>
          <w:rFonts w:hint="eastAsia" w:ascii="Times New Roman" w:hAnsi="Times New Roman" w:eastAsia="宋体" w:cs="Times New Roman"/>
          <w:bCs/>
          <w:color w:val="auto"/>
          <w:szCs w:val="21"/>
          <w:lang w:val="en-US" w:eastAsia="zh-CN"/>
        </w:rPr>
        <w:t>9</w:t>
      </w:r>
    </w:p>
    <w:p>
      <w:pPr>
        <w:autoSpaceDE w:val="0"/>
        <w:autoSpaceDN w:val="0"/>
        <w:adjustRightInd w:val="0"/>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表</w:t>
      </w:r>
      <w:r>
        <w:rPr>
          <w:rFonts w:hint="eastAsia" w:ascii="Times New Roman" w:hAnsi="Times New Roman" w:eastAsia="宋体" w:cs="Times New Roman"/>
          <w:bCs/>
          <w:color w:val="auto"/>
          <w:szCs w:val="21"/>
          <w:lang w:val="en-US" w:eastAsia="zh-CN"/>
        </w:rPr>
        <w:t xml:space="preserve"> 9</w:t>
      </w:r>
    </w:p>
    <w:tbl>
      <w:tblPr>
        <w:tblStyle w:val="5"/>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989"/>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06"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样品编号</w:t>
            </w:r>
          </w:p>
        </w:tc>
        <w:tc>
          <w:tcPr>
            <w:tcW w:w="2989"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加入氟化钾的毫升数（mL）</w:t>
            </w:r>
          </w:p>
        </w:tc>
        <w:tc>
          <w:tcPr>
            <w:tcW w:w="4270"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试验结果及现象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06" w:type="dxa"/>
            <w:vMerge w:val="restart"/>
            <w:noWrap w:val="0"/>
            <w:vAlign w:val="center"/>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D1108</w:t>
            </w:r>
            <w:r>
              <w:rPr>
                <w:rFonts w:hint="default" w:ascii="Times New Roman" w:hAnsi="Times New Roman" w:eastAsia="宋体" w:cs="Times New Roman"/>
                <w:color w:val="auto"/>
                <w:szCs w:val="21"/>
              </w:rPr>
              <w:t>+共存元素</w:t>
            </w:r>
          </w:p>
        </w:tc>
        <w:tc>
          <w:tcPr>
            <w:tcW w:w="2989"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w:t>
            </w:r>
          </w:p>
        </w:tc>
        <w:tc>
          <w:tcPr>
            <w:tcW w:w="4270" w:type="dxa"/>
            <w:noWrap w:val="0"/>
            <w:vAlign w:val="top"/>
          </w:tcPr>
          <w:p>
            <w:pPr>
              <w:autoSpaceDE w:val="0"/>
              <w:autoSpaceDN w:val="0"/>
              <w:adjustRightInd w:val="0"/>
              <w:spacing w:line="264"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终点颜色不清晰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06" w:type="dxa"/>
            <w:vMerge w:val="continue"/>
            <w:noWrap w:val="0"/>
            <w:vAlign w:val="top"/>
          </w:tcPr>
          <w:p>
            <w:pPr>
              <w:autoSpaceDE w:val="0"/>
              <w:autoSpaceDN w:val="0"/>
              <w:adjustRightInd w:val="0"/>
              <w:jc w:val="center"/>
              <w:rPr>
                <w:rFonts w:hint="default" w:ascii="Times New Roman" w:hAnsi="Times New Roman" w:eastAsia="宋体" w:cs="Times New Roman"/>
                <w:bCs/>
                <w:color w:val="auto"/>
                <w:szCs w:val="21"/>
              </w:rPr>
            </w:pPr>
          </w:p>
        </w:tc>
        <w:tc>
          <w:tcPr>
            <w:tcW w:w="2989"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w:t>
            </w:r>
          </w:p>
        </w:tc>
        <w:tc>
          <w:tcPr>
            <w:tcW w:w="4270" w:type="dxa"/>
            <w:noWrap w:val="0"/>
            <w:vAlign w:val="top"/>
          </w:tcPr>
          <w:p>
            <w:pPr>
              <w:autoSpaceDE w:val="0"/>
              <w:autoSpaceDN w:val="0"/>
              <w:adjustRightInd w:val="0"/>
              <w:spacing w:line="264"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终点颜色比较明显 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06" w:type="dxa"/>
            <w:vMerge w:val="continue"/>
            <w:noWrap w:val="0"/>
            <w:vAlign w:val="top"/>
          </w:tcPr>
          <w:p>
            <w:pPr>
              <w:autoSpaceDE w:val="0"/>
              <w:autoSpaceDN w:val="0"/>
              <w:adjustRightInd w:val="0"/>
              <w:jc w:val="center"/>
              <w:rPr>
                <w:rFonts w:hint="default" w:ascii="Times New Roman" w:hAnsi="Times New Roman" w:eastAsia="宋体" w:cs="Times New Roman"/>
                <w:bCs/>
                <w:color w:val="auto"/>
                <w:szCs w:val="21"/>
              </w:rPr>
            </w:pPr>
          </w:p>
        </w:tc>
        <w:tc>
          <w:tcPr>
            <w:tcW w:w="2989"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10</w:t>
            </w:r>
          </w:p>
        </w:tc>
        <w:tc>
          <w:tcPr>
            <w:tcW w:w="4270" w:type="dxa"/>
            <w:noWrap w:val="0"/>
            <w:vAlign w:val="top"/>
          </w:tcPr>
          <w:p>
            <w:pPr>
              <w:autoSpaceDE w:val="0"/>
              <w:autoSpaceDN w:val="0"/>
              <w:adjustRightInd w:val="0"/>
              <w:spacing w:line="264"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终点颜色明显 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06" w:type="dxa"/>
            <w:vMerge w:val="continue"/>
            <w:noWrap w:val="0"/>
            <w:vAlign w:val="top"/>
          </w:tcPr>
          <w:p>
            <w:pPr>
              <w:autoSpaceDE w:val="0"/>
              <w:autoSpaceDN w:val="0"/>
              <w:adjustRightInd w:val="0"/>
              <w:jc w:val="center"/>
              <w:rPr>
                <w:rFonts w:hint="default" w:ascii="Times New Roman" w:hAnsi="Times New Roman" w:eastAsia="宋体" w:cs="Times New Roman"/>
                <w:bCs/>
                <w:color w:val="auto"/>
                <w:szCs w:val="21"/>
              </w:rPr>
            </w:pPr>
          </w:p>
        </w:tc>
        <w:tc>
          <w:tcPr>
            <w:tcW w:w="2989"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15</w:t>
            </w:r>
          </w:p>
        </w:tc>
        <w:tc>
          <w:tcPr>
            <w:tcW w:w="4270" w:type="dxa"/>
            <w:noWrap w:val="0"/>
            <w:vAlign w:val="top"/>
          </w:tcPr>
          <w:p>
            <w:pPr>
              <w:autoSpaceDE w:val="0"/>
              <w:autoSpaceDN w:val="0"/>
              <w:adjustRightInd w:val="0"/>
              <w:spacing w:line="264" w:lineRule="auto"/>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rPr>
              <w:t>终点颜色明显 15.34</w:t>
            </w:r>
          </w:p>
        </w:tc>
      </w:tr>
    </w:tbl>
    <w:p>
      <w:pPr>
        <w:autoSpaceDE w:val="0"/>
        <w:autoSpaceDN w:val="0"/>
        <w:adjustRightInd w:val="0"/>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由表</w:t>
      </w:r>
      <w:r>
        <w:rPr>
          <w:rFonts w:hint="eastAsia" w:ascii="Times New Roman" w:hAnsi="Times New Roman" w:eastAsia="宋体" w:cs="Times New Roman"/>
          <w:bCs/>
          <w:color w:val="auto"/>
          <w:szCs w:val="21"/>
          <w:lang w:val="en-US" w:eastAsia="zh-CN"/>
        </w:rPr>
        <w:t>9</w:t>
      </w:r>
      <w:r>
        <w:rPr>
          <w:rFonts w:hint="default" w:ascii="Times New Roman" w:hAnsi="Times New Roman" w:eastAsia="宋体" w:cs="Times New Roman"/>
          <w:bCs/>
          <w:color w:val="auto"/>
          <w:szCs w:val="21"/>
        </w:rPr>
        <w:t>可见，加入10mL氟化钾能够掩蔽杂质元素对锌滴定的影响。</w:t>
      </w:r>
    </w:p>
    <w:p>
      <w:pPr>
        <w:autoSpaceDE w:val="0"/>
        <w:autoSpaceDN w:val="0"/>
        <w:adjustRightInd w:val="0"/>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eastAsia="zh-CN"/>
        </w:rPr>
        <w:t>（</w:t>
      </w:r>
      <w:r>
        <w:rPr>
          <w:rFonts w:hint="eastAsia" w:ascii="Times New Roman" w:hAnsi="Times New Roman" w:eastAsia="宋体" w:cs="Times New Roman"/>
          <w:bCs/>
          <w:color w:val="auto"/>
          <w:szCs w:val="21"/>
          <w:lang w:val="en-US" w:eastAsia="zh-CN"/>
        </w:rPr>
        <w:t>5</w:t>
      </w:r>
      <w:r>
        <w:rPr>
          <w:rFonts w:hint="eastAsia"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氟化氢铵对锌滴定的影响，测定结果见表</w:t>
      </w:r>
      <w:r>
        <w:rPr>
          <w:rFonts w:hint="eastAsia" w:ascii="Times New Roman" w:hAnsi="Times New Roman" w:eastAsia="宋体" w:cs="Times New Roman"/>
          <w:bCs/>
          <w:color w:val="auto"/>
          <w:szCs w:val="21"/>
          <w:lang w:val="en-US" w:eastAsia="zh-CN"/>
        </w:rPr>
        <w:t>10</w:t>
      </w:r>
    </w:p>
    <w:p>
      <w:pPr>
        <w:autoSpaceDE w:val="0"/>
        <w:autoSpaceDN w:val="0"/>
        <w:adjustRightIn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表</w:t>
      </w:r>
      <w:r>
        <w:rPr>
          <w:rFonts w:hint="eastAsia" w:ascii="Times New Roman" w:hAnsi="Times New Roman" w:eastAsia="宋体" w:cs="Times New Roman"/>
          <w:bCs/>
          <w:color w:val="auto"/>
          <w:szCs w:val="21"/>
          <w:lang w:val="en-US" w:eastAsia="zh-CN"/>
        </w:rPr>
        <w:t xml:space="preserve"> 10</w:t>
      </w:r>
    </w:p>
    <w:tbl>
      <w:tblPr>
        <w:tblStyle w:val="5"/>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3"/>
        <w:gridCol w:w="2988"/>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33"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样品编号</w:t>
            </w:r>
          </w:p>
        </w:tc>
        <w:tc>
          <w:tcPr>
            <w:tcW w:w="2988"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加入氟化氢铵的量（g）</w:t>
            </w:r>
          </w:p>
        </w:tc>
        <w:tc>
          <w:tcPr>
            <w:tcW w:w="4274"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试验结果及现象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33" w:type="dxa"/>
            <w:vMerge w:val="restart"/>
            <w:noWrap w:val="0"/>
            <w:vAlign w:val="center"/>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D1108</w:t>
            </w:r>
            <w:r>
              <w:rPr>
                <w:rFonts w:hint="default" w:ascii="Times New Roman" w:hAnsi="Times New Roman" w:eastAsia="宋体" w:cs="Times New Roman"/>
                <w:color w:val="auto"/>
                <w:szCs w:val="21"/>
              </w:rPr>
              <w:t>+共存元素</w:t>
            </w:r>
          </w:p>
        </w:tc>
        <w:tc>
          <w:tcPr>
            <w:tcW w:w="2988"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w:t>
            </w:r>
          </w:p>
        </w:tc>
        <w:tc>
          <w:tcPr>
            <w:tcW w:w="4274"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样品未完全溶解干净15.13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33" w:type="dxa"/>
            <w:vMerge w:val="continue"/>
            <w:noWrap w:val="0"/>
            <w:vAlign w:val="top"/>
          </w:tcPr>
          <w:p>
            <w:pPr>
              <w:autoSpaceDE w:val="0"/>
              <w:autoSpaceDN w:val="0"/>
              <w:adjustRightInd w:val="0"/>
              <w:jc w:val="center"/>
              <w:rPr>
                <w:rFonts w:hint="default" w:ascii="Times New Roman" w:hAnsi="Times New Roman" w:eastAsia="宋体" w:cs="Times New Roman"/>
                <w:bCs/>
                <w:color w:val="auto"/>
                <w:szCs w:val="21"/>
              </w:rPr>
            </w:pPr>
          </w:p>
        </w:tc>
        <w:tc>
          <w:tcPr>
            <w:tcW w:w="2988"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0.5</w:t>
            </w:r>
          </w:p>
        </w:tc>
        <w:tc>
          <w:tcPr>
            <w:tcW w:w="4274"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样品溶解干净15.33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33" w:type="dxa"/>
            <w:vMerge w:val="continue"/>
            <w:noWrap w:val="0"/>
            <w:vAlign w:val="top"/>
          </w:tcPr>
          <w:p>
            <w:pPr>
              <w:autoSpaceDE w:val="0"/>
              <w:autoSpaceDN w:val="0"/>
              <w:adjustRightInd w:val="0"/>
              <w:jc w:val="center"/>
              <w:rPr>
                <w:rFonts w:hint="default" w:ascii="Times New Roman" w:hAnsi="Times New Roman" w:eastAsia="宋体" w:cs="Times New Roman"/>
                <w:bCs/>
                <w:color w:val="auto"/>
                <w:szCs w:val="21"/>
              </w:rPr>
            </w:pPr>
          </w:p>
        </w:tc>
        <w:tc>
          <w:tcPr>
            <w:tcW w:w="2988"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w:t>
            </w:r>
          </w:p>
        </w:tc>
        <w:tc>
          <w:tcPr>
            <w:tcW w:w="4274" w:type="dxa"/>
            <w:noWrap w:val="0"/>
            <w:vAlign w:val="top"/>
          </w:tcPr>
          <w:p>
            <w:pPr>
              <w:autoSpaceDE w:val="0"/>
              <w:autoSpaceDN w:val="0"/>
              <w:adjustRightIn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样品溶解干净15.34</w:t>
            </w:r>
          </w:p>
        </w:tc>
      </w:tr>
    </w:tbl>
    <w:p>
      <w:pPr>
        <w:autoSpaceDE w:val="0"/>
        <w:autoSpaceDN w:val="0"/>
        <w:adjustRightInd w:val="0"/>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由表</w:t>
      </w:r>
      <w:r>
        <w:rPr>
          <w:rFonts w:hint="eastAsia" w:ascii="Times New Roman" w:hAnsi="Times New Roman" w:eastAsia="宋体" w:cs="Times New Roman"/>
          <w:bCs/>
          <w:color w:val="auto"/>
          <w:szCs w:val="21"/>
          <w:lang w:val="en-US" w:eastAsia="zh-CN"/>
        </w:rPr>
        <w:t>10</w:t>
      </w:r>
      <w:r>
        <w:rPr>
          <w:rFonts w:hint="default" w:ascii="Times New Roman" w:hAnsi="Times New Roman" w:eastAsia="宋体" w:cs="Times New Roman"/>
          <w:bCs/>
          <w:color w:val="auto"/>
          <w:szCs w:val="21"/>
        </w:rPr>
        <w:t>可见，加入0.5g氟化氢铵能够去除二氧化硅对锌的滴定影响。</w:t>
      </w:r>
    </w:p>
    <w:p>
      <w:pPr>
        <w:autoSpaceDE w:val="0"/>
        <w:autoSpaceDN w:val="0"/>
        <w:adjustRightInd w:val="0"/>
        <w:spacing w:line="264"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6</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饱和硫脲的用量对锌滴定的影响，测定结果见表</w:t>
      </w:r>
      <w:r>
        <w:rPr>
          <w:rFonts w:hint="eastAsia" w:ascii="Times New Roman" w:hAnsi="Times New Roman" w:eastAsia="宋体" w:cs="Times New Roman"/>
          <w:color w:val="auto"/>
          <w:szCs w:val="21"/>
          <w:lang w:val="en-US" w:eastAsia="zh-CN"/>
        </w:rPr>
        <w:t>11</w:t>
      </w:r>
    </w:p>
    <w:p>
      <w:pPr>
        <w:autoSpaceDE w:val="0"/>
        <w:autoSpaceDN w:val="0"/>
        <w:adjustRightInd w:val="0"/>
        <w:spacing w:line="264" w:lineRule="auto"/>
        <w:ind w:firstLine="525" w:firstLineChars="2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表</w:t>
      </w:r>
      <w:r>
        <w:rPr>
          <w:rFonts w:hint="eastAsia" w:ascii="Times New Roman" w:hAnsi="Times New Roman" w:eastAsia="宋体" w:cs="Times New Roman"/>
          <w:color w:val="auto"/>
          <w:szCs w:val="21"/>
          <w:lang w:val="en-US" w:eastAsia="zh-CN"/>
        </w:rPr>
        <w:t>11</w:t>
      </w:r>
    </w:p>
    <w:tbl>
      <w:tblPr>
        <w:tblStyle w:val="5"/>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303"/>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29"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样品编号</w:t>
            </w:r>
          </w:p>
        </w:tc>
        <w:tc>
          <w:tcPr>
            <w:tcW w:w="230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加入硫脲的毫升数mL</w:t>
            </w:r>
          </w:p>
        </w:tc>
        <w:tc>
          <w:tcPr>
            <w:tcW w:w="499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29" w:type="dxa"/>
            <w:vMerge w:val="restart"/>
            <w:noWrap w:val="0"/>
            <w:vAlign w:val="center"/>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D1108</w:t>
            </w:r>
            <w:r>
              <w:rPr>
                <w:rFonts w:hint="default" w:ascii="Times New Roman" w:hAnsi="Times New Roman" w:eastAsia="宋体" w:cs="Times New Roman"/>
                <w:color w:val="auto"/>
                <w:szCs w:val="21"/>
              </w:rPr>
              <w:t>+共存元素</w:t>
            </w:r>
          </w:p>
        </w:tc>
        <w:tc>
          <w:tcPr>
            <w:tcW w:w="230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499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29"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30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w:t>
            </w:r>
          </w:p>
        </w:tc>
        <w:tc>
          <w:tcPr>
            <w:tcW w:w="499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终点颜色比较明显 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29"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30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499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终点颜色明显 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629" w:type="dxa"/>
            <w:vMerge w:val="continue"/>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p>
        </w:tc>
        <w:tc>
          <w:tcPr>
            <w:tcW w:w="230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w:t>
            </w:r>
          </w:p>
        </w:tc>
        <w:tc>
          <w:tcPr>
            <w:tcW w:w="4993" w:type="dxa"/>
            <w:noWrap w:val="0"/>
            <w:vAlign w:val="top"/>
          </w:tcPr>
          <w:p>
            <w:pPr>
              <w:autoSpaceDE w:val="0"/>
              <w:autoSpaceDN w:val="0"/>
              <w:adjustRightInd w:val="0"/>
              <w:spacing w:line="264"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终点颜色明显 15.35</w:t>
            </w:r>
          </w:p>
        </w:tc>
      </w:tr>
    </w:tbl>
    <w:p>
      <w:pPr>
        <w:autoSpaceDE w:val="0"/>
        <w:autoSpaceDN w:val="0"/>
        <w:adjustRightInd w:val="0"/>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由表</w:t>
      </w:r>
      <w:r>
        <w:rPr>
          <w:rFonts w:hint="eastAsia" w:ascii="Times New Roman" w:hAnsi="Times New Roman" w:eastAsia="宋体" w:cs="Times New Roman"/>
          <w:bCs/>
          <w:color w:val="auto"/>
          <w:szCs w:val="21"/>
          <w:lang w:val="en-US" w:eastAsia="zh-CN"/>
        </w:rPr>
        <w:t>11</w:t>
      </w:r>
      <w:r>
        <w:rPr>
          <w:rFonts w:hint="default" w:ascii="Times New Roman" w:hAnsi="Times New Roman" w:eastAsia="宋体" w:cs="Times New Roman"/>
          <w:bCs/>
          <w:color w:val="auto"/>
          <w:szCs w:val="21"/>
        </w:rPr>
        <w:t>可见，10mL饱和硫脲能够掩蔽杂质元素对锌滴定的影响。</w:t>
      </w:r>
    </w:p>
    <w:p>
      <w:pPr>
        <w:autoSpaceDE w:val="0"/>
        <w:autoSpaceDN w:val="0"/>
        <w:adjustRightInd w:val="0"/>
        <w:rPr>
          <w:rFonts w:hint="default" w:ascii="Times New Roman" w:hAnsi="Times New Roman" w:eastAsia="宋体" w:cs="Times New Roman"/>
          <w:bCs/>
          <w:color w:val="auto"/>
          <w:szCs w:val="21"/>
          <w:lang w:val="zh-CN"/>
        </w:rPr>
      </w:pPr>
      <w:r>
        <w:rPr>
          <w:rFonts w:hint="eastAsia" w:ascii="Times New Roman" w:hAnsi="Times New Roman" w:eastAsia="宋体" w:cs="Times New Roman"/>
          <w:bCs/>
          <w:color w:val="auto"/>
          <w:szCs w:val="21"/>
          <w:lang w:val="zh-CN"/>
        </w:rPr>
        <w:t>（</w:t>
      </w:r>
      <w:r>
        <w:rPr>
          <w:rFonts w:hint="eastAsia" w:ascii="Times New Roman" w:hAnsi="Times New Roman" w:eastAsia="宋体" w:cs="Times New Roman"/>
          <w:bCs/>
          <w:color w:val="auto"/>
          <w:szCs w:val="21"/>
          <w:lang w:val="en-US" w:eastAsia="zh-CN"/>
        </w:rPr>
        <w:t>7</w:t>
      </w:r>
      <w:r>
        <w:rPr>
          <w:rFonts w:hint="eastAsia" w:ascii="Times New Roman" w:hAnsi="Times New Roman" w:eastAsia="宋体" w:cs="Times New Roman"/>
          <w:bCs/>
          <w:color w:val="auto"/>
          <w:szCs w:val="21"/>
          <w:lang w:val="zh-CN"/>
        </w:rPr>
        <w:t>）</w:t>
      </w:r>
      <w:r>
        <w:rPr>
          <w:rFonts w:hint="default" w:ascii="Times New Roman" w:hAnsi="Times New Roman" w:eastAsia="宋体" w:cs="Times New Roman"/>
          <w:bCs/>
          <w:color w:val="auto"/>
          <w:szCs w:val="21"/>
          <w:lang w:val="zh-CN"/>
        </w:rPr>
        <w:t>干扰</w:t>
      </w:r>
      <w:r>
        <w:rPr>
          <w:rFonts w:hint="default" w:ascii="Times New Roman" w:hAnsi="Times New Roman" w:eastAsia="宋体" w:cs="Times New Roman"/>
          <w:bCs/>
          <w:color w:val="auto"/>
          <w:szCs w:val="21"/>
        </w:rPr>
        <w:t>元素总量</w:t>
      </w:r>
      <w:r>
        <w:rPr>
          <w:rFonts w:hint="default" w:ascii="Times New Roman" w:hAnsi="Times New Roman" w:eastAsia="宋体" w:cs="Times New Roman"/>
          <w:bCs/>
          <w:color w:val="auto"/>
          <w:szCs w:val="21"/>
          <w:lang w:val="zh-CN"/>
        </w:rPr>
        <w:t>试验</w:t>
      </w:r>
    </w:p>
    <w:p>
      <w:pPr>
        <w:autoSpaceDE w:val="0"/>
        <w:autoSpaceDN w:val="0"/>
        <w:adjustRightInd w:val="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在D1108烟尘中，</w:t>
      </w:r>
      <w:r>
        <w:rPr>
          <w:rFonts w:hint="default" w:ascii="Times New Roman" w:hAnsi="Times New Roman" w:eastAsia="宋体" w:cs="Times New Roman"/>
          <w:color w:val="auto"/>
          <w:szCs w:val="21"/>
          <w:lang w:val="zh-CN"/>
        </w:rPr>
        <w:t>按照</w:t>
      </w:r>
      <w:r>
        <w:rPr>
          <w:rFonts w:hint="default" w:ascii="Times New Roman" w:hAnsi="Times New Roman" w:eastAsia="宋体" w:cs="Times New Roman"/>
          <w:color w:val="auto"/>
          <w:szCs w:val="21"/>
        </w:rPr>
        <w:t>铜冶炼烟尘中</w:t>
      </w:r>
      <w:r>
        <w:rPr>
          <w:rFonts w:hint="default" w:ascii="Times New Roman" w:hAnsi="Times New Roman" w:eastAsia="宋体" w:cs="Times New Roman"/>
          <w:color w:val="auto"/>
          <w:szCs w:val="21"/>
          <w:lang w:val="zh-CN"/>
        </w:rPr>
        <w:t>元素的含量情况，取最大量的共存元素标准进行混合加入，测试结果如表</w:t>
      </w:r>
      <w:r>
        <w:rPr>
          <w:rFonts w:hint="eastAsia" w:ascii="Times New Roman" w:hAnsi="Times New Roman" w:eastAsia="宋体" w:cs="Times New Roman"/>
          <w:color w:val="auto"/>
          <w:szCs w:val="21"/>
          <w:lang w:val="en-US" w:eastAsia="zh-CN"/>
        </w:rPr>
        <w:t>12</w:t>
      </w:r>
    </w:p>
    <w:p>
      <w:pPr>
        <w:autoSpaceDE w:val="0"/>
        <w:autoSpaceDN w:val="0"/>
        <w:adjustRightInd w:val="0"/>
        <w:ind w:firstLine="315" w:firstLineChars="1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zh-CN"/>
        </w:rPr>
        <w:t>表</w:t>
      </w:r>
      <w:r>
        <w:rPr>
          <w:rFonts w:hint="eastAsia" w:ascii="Times New Roman" w:hAnsi="Times New Roman" w:eastAsia="宋体" w:cs="Times New Roman"/>
          <w:color w:val="auto"/>
          <w:szCs w:val="21"/>
          <w:lang w:val="en-US" w:eastAsia="zh-CN"/>
        </w:rPr>
        <w:t>12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55"/>
        <w:gridCol w:w="586"/>
        <w:gridCol w:w="655"/>
        <w:gridCol w:w="654"/>
        <w:gridCol w:w="696"/>
        <w:gridCol w:w="722"/>
        <w:gridCol w:w="668"/>
        <w:gridCol w:w="669"/>
        <w:gridCol w:w="64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8" w:type="dxa"/>
            <w:noWrap w:val="0"/>
            <w:vAlign w:val="center"/>
          </w:tcPr>
          <w:p>
            <w:pPr>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混合元素</w:t>
            </w:r>
          </w:p>
        </w:tc>
        <w:tc>
          <w:tcPr>
            <w:tcW w:w="655" w:type="dxa"/>
            <w:noWrap w:val="0"/>
            <w:vAlign w:val="center"/>
          </w:tcPr>
          <w:p>
            <w:pPr>
              <w:autoSpaceDE w:val="0"/>
              <w:autoSpaceDN w:val="0"/>
              <w:adjustRightInd w:val="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Cu</w:t>
            </w:r>
          </w:p>
        </w:tc>
        <w:tc>
          <w:tcPr>
            <w:tcW w:w="586" w:type="dxa"/>
            <w:noWrap w:val="0"/>
            <w:vAlign w:val="center"/>
          </w:tcPr>
          <w:p>
            <w:pPr>
              <w:autoSpaceDE w:val="0"/>
              <w:autoSpaceDN w:val="0"/>
              <w:adjustRightIn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Pb</w:t>
            </w:r>
          </w:p>
        </w:tc>
        <w:tc>
          <w:tcPr>
            <w:tcW w:w="655" w:type="dxa"/>
            <w:noWrap w:val="0"/>
            <w:vAlign w:val="center"/>
          </w:tcPr>
          <w:p>
            <w:pPr>
              <w:autoSpaceDE w:val="0"/>
              <w:autoSpaceDN w:val="0"/>
              <w:adjustRightIn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Bi</w:t>
            </w:r>
          </w:p>
        </w:tc>
        <w:tc>
          <w:tcPr>
            <w:tcW w:w="654" w:type="dxa"/>
            <w:noWrap w:val="0"/>
            <w:vAlign w:val="center"/>
          </w:tcPr>
          <w:p>
            <w:pPr>
              <w:autoSpaceDE w:val="0"/>
              <w:autoSpaceDN w:val="0"/>
              <w:adjustRightIn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Sb</w:t>
            </w:r>
          </w:p>
        </w:tc>
        <w:tc>
          <w:tcPr>
            <w:tcW w:w="696" w:type="dxa"/>
            <w:noWrap w:val="0"/>
            <w:vAlign w:val="center"/>
          </w:tcPr>
          <w:p>
            <w:pPr>
              <w:autoSpaceDE w:val="0"/>
              <w:autoSpaceDN w:val="0"/>
              <w:adjustRightInd w:val="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Fe</w:t>
            </w:r>
          </w:p>
        </w:tc>
        <w:tc>
          <w:tcPr>
            <w:tcW w:w="722" w:type="dxa"/>
            <w:noWrap w:val="0"/>
            <w:vAlign w:val="center"/>
          </w:tcPr>
          <w:p>
            <w:pPr>
              <w:autoSpaceDE w:val="0"/>
              <w:autoSpaceDN w:val="0"/>
              <w:adjustRightInd w:val="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As</w:t>
            </w:r>
          </w:p>
        </w:tc>
        <w:tc>
          <w:tcPr>
            <w:tcW w:w="668" w:type="dxa"/>
            <w:noWrap w:val="0"/>
            <w:vAlign w:val="center"/>
          </w:tcPr>
          <w:p>
            <w:pPr>
              <w:autoSpaceDE w:val="0"/>
              <w:autoSpaceDN w:val="0"/>
              <w:adjustRightIn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Si</w:t>
            </w:r>
          </w:p>
        </w:tc>
        <w:tc>
          <w:tcPr>
            <w:tcW w:w="669" w:type="dxa"/>
            <w:noWrap w:val="0"/>
            <w:vAlign w:val="center"/>
          </w:tcPr>
          <w:p>
            <w:pPr>
              <w:autoSpaceDE w:val="0"/>
              <w:autoSpaceDN w:val="0"/>
              <w:adjustRightIn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Zn</w:t>
            </w:r>
          </w:p>
        </w:tc>
        <w:tc>
          <w:tcPr>
            <w:tcW w:w="641" w:type="dxa"/>
            <w:noWrap w:val="0"/>
            <w:vAlign w:val="center"/>
          </w:tcPr>
          <w:p>
            <w:pPr>
              <w:autoSpaceDE w:val="0"/>
              <w:autoSpaceDN w:val="0"/>
              <w:adjustRightInd w:val="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Ca</w:t>
            </w:r>
          </w:p>
        </w:tc>
        <w:tc>
          <w:tcPr>
            <w:tcW w:w="599" w:type="dxa"/>
            <w:noWrap w:val="0"/>
            <w:vAlign w:val="center"/>
          </w:tcPr>
          <w:p>
            <w:pPr>
              <w:autoSpaceDE w:val="0"/>
              <w:autoSpaceDN w:val="0"/>
              <w:adjustRightInd w:val="0"/>
              <w:jc w:val="center"/>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378"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加入量（mg）</w:t>
            </w:r>
          </w:p>
        </w:tc>
        <w:tc>
          <w:tcPr>
            <w:tcW w:w="655"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320</w:t>
            </w:r>
          </w:p>
        </w:tc>
        <w:tc>
          <w:tcPr>
            <w:tcW w:w="586"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655"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w:t>
            </w:r>
          </w:p>
        </w:tc>
        <w:tc>
          <w:tcPr>
            <w:tcW w:w="654"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35</w:t>
            </w:r>
          </w:p>
        </w:tc>
        <w:tc>
          <w:tcPr>
            <w:tcW w:w="696"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110</w:t>
            </w:r>
          </w:p>
        </w:tc>
        <w:tc>
          <w:tcPr>
            <w:tcW w:w="722"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140</w:t>
            </w:r>
          </w:p>
        </w:tc>
        <w:tc>
          <w:tcPr>
            <w:tcW w:w="668"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c>
          <w:tcPr>
            <w:tcW w:w="669"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76.6</w:t>
            </w:r>
          </w:p>
        </w:tc>
        <w:tc>
          <w:tcPr>
            <w:tcW w:w="641"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599" w:type="dxa"/>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378" w:type="dxa"/>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测试结果（%）</w:t>
            </w:r>
          </w:p>
        </w:tc>
        <w:tc>
          <w:tcPr>
            <w:tcW w:w="6545" w:type="dxa"/>
            <w:gridSpan w:val="10"/>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15.38</w:t>
            </w:r>
          </w:p>
        </w:tc>
      </w:tr>
    </w:tbl>
    <w:p>
      <w:pPr>
        <w:spacing w:line="360" w:lineRule="auto"/>
        <w:ind w:firstLine="420" w:firstLineChars="200"/>
        <w:rPr>
          <w:rFonts w:hint="default" w:ascii="Times New Roman" w:hAnsi="Times New Roman" w:eastAsia="宋体" w:cs="Times New Roman"/>
          <w:color w:val="auto"/>
          <w:szCs w:val="21"/>
          <w:lang w:val="zh-CN"/>
        </w:rPr>
      </w:pPr>
      <w:r>
        <w:rPr>
          <w:rFonts w:hint="default" w:ascii="Times New Roman" w:hAnsi="Times New Roman" w:eastAsia="宋体" w:cs="Times New Roman"/>
          <w:color w:val="auto"/>
          <w:szCs w:val="21"/>
          <w:lang w:val="zh-CN"/>
        </w:rPr>
        <w:t>由表</w:t>
      </w:r>
      <w:r>
        <w:rPr>
          <w:rFonts w:hint="eastAsia" w:ascii="Times New Roman" w:hAnsi="Times New Roman" w:eastAsia="宋体" w:cs="Times New Roman"/>
          <w:color w:val="auto"/>
          <w:szCs w:val="21"/>
          <w:lang w:val="en-US" w:eastAsia="zh-CN"/>
        </w:rPr>
        <w:t>12</w:t>
      </w:r>
      <w:r>
        <w:rPr>
          <w:rFonts w:hint="default" w:ascii="Times New Roman" w:hAnsi="Times New Roman" w:eastAsia="宋体" w:cs="Times New Roman"/>
          <w:color w:val="auto"/>
          <w:szCs w:val="21"/>
          <w:lang w:val="zh-CN"/>
        </w:rPr>
        <w:t>可见，混合元素不干扰</w:t>
      </w:r>
      <w:r>
        <w:rPr>
          <w:rFonts w:hint="default" w:ascii="Times New Roman" w:hAnsi="Times New Roman" w:eastAsia="宋体" w:cs="Times New Roman"/>
          <w:color w:val="auto"/>
          <w:szCs w:val="21"/>
        </w:rPr>
        <w:t>锌</w:t>
      </w:r>
      <w:r>
        <w:rPr>
          <w:rFonts w:hint="default" w:ascii="Times New Roman" w:hAnsi="Times New Roman" w:eastAsia="宋体" w:cs="Times New Roman"/>
          <w:color w:val="auto"/>
          <w:szCs w:val="21"/>
          <w:lang w:val="zh-CN"/>
        </w:rPr>
        <w:t>的测定。</w:t>
      </w:r>
    </w:p>
    <w:p>
      <w:pPr>
        <w:rPr>
          <w:rFonts w:hint="eastAsia" w:ascii="宋体" w:hAnsi="宋体" w:eastAsia="宋体"/>
          <w:b/>
          <w:bCs/>
          <w:szCs w:val="21"/>
          <w:lang w:val="en-US" w:eastAsia="zh-CN"/>
        </w:rPr>
      </w:pPr>
      <w:r>
        <w:rPr>
          <w:rFonts w:hint="eastAsia" w:ascii="宋体" w:hAnsi="宋体" w:eastAsia="宋体"/>
          <w:b/>
          <w:bCs/>
          <w:szCs w:val="21"/>
          <w:lang w:val="en-US" w:eastAsia="zh-CN"/>
        </w:rPr>
        <w:t>3.3 重复性及再现性</w:t>
      </w:r>
    </w:p>
    <w:p>
      <w:pPr>
        <w:ind w:firstLine="420" w:firstLineChars="200"/>
        <w:rPr>
          <w:rFonts w:hint="default" w:ascii="Times New Roman" w:hAnsi="Times New Roman" w:eastAsia="宋体" w:cs="Times New Roman"/>
          <w:b w:val="0"/>
          <w:bCs w:val="0"/>
          <w:color w:val="auto"/>
          <w:szCs w:val="21"/>
          <w:lang w:val="en-US" w:eastAsia="zh-CN"/>
        </w:rPr>
      </w:pPr>
      <w:r>
        <w:rPr>
          <w:rFonts w:hint="eastAsia" w:ascii="Times New Roman" w:hAnsi="Times New Roman" w:eastAsia="宋体" w:cs="Times New Roman"/>
          <w:color w:val="auto"/>
          <w:szCs w:val="21"/>
          <w:lang w:val="en-US" w:eastAsia="zh-CN"/>
        </w:rPr>
        <w:t>高铋铅中铜量测定的原始数据及原始数据统计检验过程见《实验数据及处理》第1部分至第3部分。剔除离群值后，重复性、再现性计算结果，</w:t>
      </w:r>
      <w:r>
        <w:rPr>
          <w:rFonts w:hint="default" w:ascii="Times New Roman" w:hAnsi="Times New Roman" w:eastAsia="宋体" w:cs="Times New Roman"/>
          <w:b w:val="0"/>
          <w:bCs w:val="0"/>
          <w:color w:val="auto"/>
          <w:szCs w:val="21"/>
          <w:lang w:val="en-US" w:eastAsia="zh-CN"/>
        </w:rPr>
        <w:t>方法1火焰原子吸收光谱法见表1</w:t>
      </w:r>
      <w:r>
        <w:rPr>
          <w:rFonts w:hint="eastAsia" w:ascii="Times New Roman" w:hAnsi="Times New Roman" w:eastAsia="宋体" w:cs="Times New Roman"/>
          <w:b w:val="0"/>
          <w:bCs w:val="0"/>
          <w:color w:val="auto"/>
          <w:szCs w:val="21"/>
          <w:lang w:val="en-US" w:eastAsia="zh-CN"/>
        </w:rPr>
        <w:t>3</w:t>
      </w:r>
      <w:r>
        <w:rPr>
          <w:rFonts w:hint="default" w:ascii="Times New Roman" w:hAnsi="Times New Roman" w:eastAsia="宋体" w:cs="Times New Roman"/>
          <w:b w:val="0"/>
          <w:bCs w:val="0"/>
          <w:color w:val="auto"/>
          <w:szCs w:val="21"/>
          <w:lang w:val="en-US" w:eastAsia="zh-CN"/>
        </w:rPr>
        <w:t>、方法2</w:t>
      </w:r>
      <w:r>
        <w:rPr>
          <w:rFonts w:hint="eastAsia" w:ascii="Times New Roman" w:hAnsi="Times New Roman" w:eastAsia="宋体" w:cs="Times New Roman"/>
          <w:b w:val="0"/>
          <w:bCs w:val="0"/>
          <w:color w:val="auto"/>
          <w:szCs w:val="21"/>
          <w:lang w:val="en-US" w:eastAsia="zh-CN"/>
        </w:rPr>
        <w:t xml:space="preserve"> </w:t>
      </w:r>
      <w:r>
        <w:rPr>
          <w:rFonts w:hint="default" w:ascii="Times New Roman" w:hAnsi="Times New Roman" w:eastAsia="宋体" w:cs="Times New Roman"/>
          <w:b w:val="0"/>
          <w:bCs w:val="0"/>
          <w:szCs w:val="22"/>
        </w:rPr>
        <w:t>滴定法</w:t>
      </w:r>
      <w:r>
        <w:rPr>
          <w:rFonts w:hint="default" w:ascii="Times New Roman" w:hAnsi="Times New Roman" w:eastAsia="宋体" w:cs="Times New Roman"/>
          <w:b w:val="0"/>
          <w:bCs w:val="0"/>
          <w:color w:val="auto"/>
          <w:szCs w:val="21"/>
          <w:lang w:val="en-US" w:eastAsia="zh-CN"/>
        </w:rPr>
        <w:t>见表1</w:t>
      </w:r>
      <w:r>
        <w:rPr>
          <w:rFonts w:hint="eastAsia" w:ascii="Times New Roman" w:hAnsi="Times New Roman" w:eastAsia="宋体" w:cs="Times New Roman"/>
          <w:b w:val="0"/>
          <w:bCs w:val="0"/>
          <w:color w:val="auto"/>
          <w:szCs w:val="21"/>
          <w:lang w:val="en-US" w:eastAsia="zh-CN"/>
        </w:rPr>
        <w:t>4</w:t>
      </w:r>
      <w:r>
        <w:rPr>
          <w:rFonts w:hint="default" w:ascii="Times New Roman" w:hAnsi="Times New Roman" w:eastAsia="宋体" w:cs="Times New Roman"/>
          <w:b w:val="0"/>
          <w:bCs w:val="0"/>
          <w:color w:val="auto"/>
          <w:szCs w:val="21"/>
          <w:lang w:val="en-US" w:eastAsia="zh-CN"/>
        </w:rPr>
        <w:t>。</w:t>
      </w:r>
    </w:p>
    <w:p>
      <w:pPr>
        <w:ind w:firstLine="420" w:firstLineChars="200"/>
        <w:jc w:val="center"/>
        <w:rPr>
          <w:rFonts w:hint="default" w:ascii="宋体" w:hAnsi="宋体" w:eastAsia="宋体"/>
          <w:szCs w:val="21"/>
          <w:lang w:val="en-US" w:eastAsia="zh-CN"/>
        </w:rPr>
      </w:pPr>
      <w:r>
        <w:rPr>
          <w:rFonts w:hint="eastAsia" w:ascii="宋体" w:hAnsi="宋体" w:eastAsia="宋体"/>
          <w:szCs w:val="21"/>
          <w:lang w:val="en-US" w:eastAsia="zh-CN"/>
        </w:rPr>
        <w:t>表13 方法1 火焰原子吸收光谱法数据</w:t>
      </w:r>
    </w:p>
    <w:tbl>
      <w:tblPr>
        <w:tblStyle w:val="5"/>
        <w:tblW w:w="8796" w:type="dxa"/>
        <w:jc w:val="center"/>
        <w:tblLayout w:type="fixed"/>
        <w:tblCellMar>
          <w:top w:w="0" w:type="dxa"/>
          <w:left w:w="0" w:type="dxa"/>
          <w:bottom w:w="0" w:type="dxa"/>
          <w:right w:w="0" w:type="dxa"/>
        </w:tblCellMar>
      </w:tblPr>
      <w:tblGrid>
        <w:gridCol w:w="1476"/>
        <w:gridCol w:w="1464"/>
        <w:gridCol w:w="1464"/>
        <w:gridCol w:w="1464"/>
        <w:gridCol w:w="1464"/>
        <w:gridCol w:w="1464"/>
      </w:tblGrid>
      <w:tr>
        <w:tblPrEx>
          <w:tblCellMar>
            <w:top w:w="0" w:type="dxa"/>
            <w:left w:w="0" w:type="dxa"/>
            <w:bottom w:w="0" w:type="dxa"/>
            <w:right w:w="0" w:type="dxa"/>
          </w:tblCellMar>
        </w:tblPrEx>
        <w:trPr>
          <w:trHeight w:val="420"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实验室p</w:t>
            </w:r>
          </w:p>
        </w:tc>
        <w:tc>
          <w:tcPr>
            <w:tcW w:w="73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水平j</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Style w:val="15"/>
                <w:rFonts w:hint="default" w:ascii="Times New Roman" w:hAnsi="Times New Roman" w:cs="Times New Roman"/>
                <w:sz w:val="21"/>
                <w:szCs w:val="21"/>
                <w:lang w:val="en-US" w:eastAsia="zh-CN" w:bidi="ar"/>
              </w:rPr>
              <w:t>水平</w:t>
            </w:r>
            <w:r>
              <w:rPr>
                <w:rFonts w:hint="default" w:ascii="Times New Roman" w:hAnsi="Times New Roman" w:eastAsia="宋体" w:cs="Times New Roman"/>
                <w:i w:val="0"/>
                <w:color w:val="000000"/>
                <w:kern w:val="0"/>
                <w:sz w:val="21"/>
                <w:szCs w:val="21"/>
                <w:u w:val="none"/>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Style w:val="15"/>
                <w:rFonts w:hint="default" w:ascii="Times New Roman" w:hAnsi="Times New Roman" w:cs="Times New Roman"/>
                <w:sz w:val="21"/>
                <w:szCs w:val="21"/>
                <w:lang w:val="en-US" w:eastAsia="zh-CN" w:bidi="ar"/>
              </w:rPr>
              <w:t>水平</w:t>
            </w:r>
            <w:r>
              <w:rPr>
                <w:rFonts w:hint="default" w:ascii="Times New Roman" w:hAnsi="Times New Roman" w:eastAsia="宋体" w:cs="Times New Roman"/>
                <w:i w:val="0"/>
                <w:color w:val="000000"/>
                <w:kern w:val="0"/>
                <w:sz w:val="21"/>
                <w:szCs w:val="21"/>
                <w:u w:val="none"/>
                <w:lang w:val="en-US" w:eastAsia="zh-CN" w:bidi="ar"/>
              </w:rPr>
              <w:t>2</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Style w:val="15"/>
                <w:rFonts w:hint="default" w:ascii="Times New Roman" w:hAnsi="Times New Roman" w:cs="Times New Roman"/>
                <w:sz w:val="21"/>
                <w:szCs w:val="21"/>
                <w:lang w:val="en-US" w:eastAsia="zh-CN" w:bidi="ar"/>
              </w:rPr>
              <w:t>水平</w:t>
            </w:r>
            <w:r>
              <w:rPr>
                <w:rFonts w:hint="default" w:ascii="Times New Roman" w:hAnsi="Times New Roman" w:eastAsia="宋体" w:cs="Times New Roman"/>
                <w:i w:val="0"/>
                <w:color w:val="000000"/>
                <w:kern w:val="0"/>
                <w:sz w:val="21"/>
                <w:szCs w:val="21"/>
                <w:u w:val="none"/>
                <w:lang w:val="en-US" w:eastAsia="zh-CN" w:bidi="ar"/>
              </w:rPr>
              <w:t>3</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Style w:val="15"/>
                <w:rFonts w:hint="default" w:ascii="Times New Roman" w:hAnsi="Times New Roman" w:cs="Times New Roman"/>
                <w:sz w:val="21"/>
                <w:szCs w:val="21"/>
                <w:lang w:val="en-US" w:eastAsia="zh-CN" w:bidi="ar"/>
              </w:rPr>
              <w:t>水平</w:t>
            </w:r>
            <w:r>
              <w:rPr>
                <w:rFonts w:hint="default" w:ascii="Times New Roman" w:hAnsi="Times New Roman" w:eastAsia="宋体" w:cs="Times New Roman"/>
                <w:i w:val="0"/>
                <w:color w:val="000000"/>
                <w:kern w:val="0"/>
                <w:sz w:val="21"/>
                <w:szCs w:val="21"/>
                <w:u w:val="none"/>
                <w:lang w:val="en-US" w:eastAsia="zh-CN" w:bidi="ar"/>
              </w:rPr>
              <w:t>4</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Style w:val="15"/>
                <w:rFonts w:hint="default" w:ascii="Times New Roman" w:hAnsi="Times New Roman" w:cs="Times New Roman"/>
                <w:sz w:val="21"/>
                <w:szCs w:val="21"/>
                <w:lang w:val="en-US" w:eastAsia="zh-CN" w:bidi="ar"/>
              </w:rPr>
              <w:t>水平</w:t>
            </w:r>
            <w:r>
              <w:rPr>
                <w:rFonts w:hint="default" w:ascii="Times New Roman" w:hAnsi="Times New Roman" w:eastAsia="宋体" w:cs="Times New Roman"/>
                <w:i w:val="0"/>
                <w:color w:val="000000"/>
                <w:kern w:val="0"/>
                <w:sz w:val="21"/>
                <w:szCs w:val="21"/>
                <w:u w:val="none"/>
                <w:lang w:val="en-US" w:eastAsia="zh-CN" w:bidi="ar"/>
              </w:rPr>
              <w:t>5</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铜陵有色金属集团</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0.3071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4.352 </w:t>
            </w:r>
          </w:p>
        </w:tc>
      </w:tr>
      <w:tr>
        <w:tblPrEx>
          <w:tblCellMar>
            <w:top w:w="0" w:type="dxa"/>
            <w:left w:w="0" w:type="dxa"/>
            <w:bottom w:w="0" w:type="dxa"/>
            <w:right w:w="0" w:type="dxa"/>
          </w:tblCellMar>
        </w:tblPrEx>
        <w:trPr>
          <w:trHeight w:val="90"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0.9302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4.371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0.9510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4.260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4.403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0.9522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4.462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0.3146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4.414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0.9404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4.392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0.3191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0.9306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1.5895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3.5735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4.3975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0.0295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0.0385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0.0622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西北有色金属研究院</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br w:type="textWrapping"/>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中条山有色金属集团</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4.408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0.3419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0.9259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4.417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0.9207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0.3326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0.9190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0.3282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4.475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0.3282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0.9253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1.5928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3.5759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4.4583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0.0037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0.0353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山东祥光铜业</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3.545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0.9178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4.299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0.3395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0.9079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0.9043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4.353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0.8755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4.389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0.3411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0.9209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4.208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0.3348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0.9056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0.3401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0.8899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4.387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0.3388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0.9118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1.529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4.370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0.8989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4.361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0.3375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0.9074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1.5849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3.5584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4.3665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0.0663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河南豫光金铅股份有限公司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3.607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0.9257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4.261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0.3256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0.9455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4.398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4.352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4.299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0.3250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0.9277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1.6013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3.5833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4.3913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0.0057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0.0107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0.0195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0.0489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0.0722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湖南有色金属研究院</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4.419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0.3192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4.462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0.9407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0.9436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0.3176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0.3253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3.537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4.395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0.9507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3.546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0.9326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4.438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0.3196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0.9353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1.6076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3.5502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4.4216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0.0048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0.0225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0.0352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0.0444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北矿检测技术有限公司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0.9204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4.412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0.9191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0.9330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4.398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0.9362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3.604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4.408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0.9142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4.354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4.378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0.3102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4.389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0.3206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0.9238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1.5905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3.5915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4.3896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0.0257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0.0357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江西铜业股份有限公司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0.9189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3.542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3.488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4.412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0.3243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3.544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0.3303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0.3272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0.9214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3.587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0.9412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3.708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4.466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0.3431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3.825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4.523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0.3247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0.9270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1.5940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3.5764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4.4689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0.0130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0.0150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0.1031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keepNext w:val="0"/>
              <w:keepLines w:val="0"/>
              <w:widowControl/>
              <w:suppressLineNumbers w:val="0"/>
              <w:kinsoku/>
              <w:wordWrap/>
              <w:overflowPunct/>
              <w:topLinePunct w:val="0"/>
              <w:bidi w:val="0"/>
              <w:spacing w:line="360" w:lineRule="auto"/>
              <w:jc w:val="center"/>
              <w:textAlignment w:val="bottom"/>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0.0361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福建紫金矿冶测试技术有限公司</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0.3248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0.9423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4.476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0.3080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0.9332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0.9473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0.3299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0.3345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0.9315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4.453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0.9401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3.565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4.507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0.3249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0.9324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4.522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0.3383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0.9383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0.3251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0.9469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4.466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0.3351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0.9383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3.644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4.512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0.3277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0.9368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1.6294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3.5930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4.4860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0.0084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0.0122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0.0298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0.0239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中色桂林矿产地质研究院有限公司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0.3290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0.8990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1.536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0.9060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3.448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0.3225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0.9010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4.312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3.468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0.9100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3.482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4.292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4.336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3.448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1.544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4.336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0.9200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4.320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0.3145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0.9090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3.476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4.344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0.3190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0.9135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1.5487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3.4664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4.3251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0.0043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0.0097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0.0078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0.0147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五矿铜业有限公司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0.9075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4.363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0.9146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3.673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4.384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3.661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4.429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0.3130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0.9020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4.463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0.8974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3.642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0.3196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1.632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3.677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4.554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0.3154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0.8955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3.664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4.584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0.3233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0.9004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3.639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4.564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4.540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0.3209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0.9074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3.641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4.503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0.3123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0.9298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3.669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4.531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0.3180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0.9113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1.6186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3.6487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4.4905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0.0040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0.0127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0.0159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0.0231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0.0739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大冶有色金属有限责任公司</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0.3259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0.8915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1.585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3.651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4.485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0.3324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0.9158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1.577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3.628 </w:t>
            </w:r>
          </w:p>
        </w:tc>
        <w:tc>
          <w:tcPr>
            <w:tcW w:w="14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4.521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0.3380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0.9113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0.9114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1.595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0.3325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0.9483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1.560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3.468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4.306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0.9291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3.556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4.282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0.3297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0.9263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3.492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4.348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0.3312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0.9186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3.446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4.444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0.3264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0.9508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4.490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0.3303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0.9412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3.631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4.389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0.3299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0.9446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3.600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4.438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0.3308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0.9263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1.5919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3.5717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4.4215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0.0032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0.0186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0.0226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0.0719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0.0801 </w:t>
            </w:r>
          </w:p>
        </w:tc>
      </w:tr>
      <w:tr>
        <w:tblPrEx>
          <w:tblCellMar>
            <w:top w:w="0" w:type="dxa"/>
            <w:left w:w="0" w:type="dxa"/>
            <w:bottom w:w="0" w:type="dxa"/>
            <w:right w:w="0" w:type="dxa"/>
          </w:tblCellMar>
        </w:tblPrEx>
        <w:trPr>
          <w:trHeight w:val="312"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w:t>
            </w:r>
          </w:p>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深圳市中金岭南有色金属股份有限公司</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0.3270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0.9370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3.766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4.543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0.2780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0.9450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1.644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3.694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4.521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0.2970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0.9390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4.628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0.3110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0.9760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3.637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4.672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0.3270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0.9660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1.604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3.618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4.516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0.3040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0.9660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1.577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3.695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4.448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0.3160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0.9540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3.778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4.632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0.2940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0.9420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1.585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3.621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4.609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0.3050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0.9540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1.612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3.644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4.403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0.3190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0.9430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1.624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3.573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4.512 </w:t>
            </w:r>
          </w:p>
        </w:tc>
      </w:tr>
      <w:tr>
        <w:tblPrEx>
          <w:tblCellMar>
            <w:top w:w="0" w:type="dxa"/>
            <w:left w:w="0" w:type="dxa"/>
            <w:bottom w:w="0" w:type="dxa"/>
            <w:right w:w="0" w:type="dxa"/>
          </w:tblCellMar>
        </w:tblPrEx>
        <w:trPr>
          <w:trHeight w:val="31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kinsoku/>
              <w:wordWrap/>
              <w:overflowPunct/>
              <w:topLinePunct w:val="0"/>
              <w:bidi w:val="0"/>
              <w:spacing w:line="360" w:lineRule="auto"/>
              <w:jc w:val="center"/>
              <w:rPr>
                <w:rFonts w:hint="default" w:ascii="Times New Roman" w:hAnsi="Times New Roman" w:eastAsia="宋体" w:cs="Times New Roman"/>
                <w:i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0.3210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0.9580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1.638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3.609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4.614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平均值</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0.3090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0.9527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1.6087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3.6604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4.5544 </w:t>
            </w:r>
          </w:p>
        </w:tc>
      </w:tr>
      <w:tr>
        <w:tblPrEx>
          <w:tblCellMar>
            <w:top w:w="0" w:type="dxa"/>
            <w:left w:w="0" w:type="dxa"/>
            <w:bottom w:w="0" w:type="dxa"/>
            <w:right w:w="0" w:type="dxa"/>
          </w:tblCellMar>
        </w:tblPrEx>
        <w:trPr>
          <w:trHeight w:val="3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0.0152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0.0128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0.0243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0.0654 </w:t>
            </w:r>
          </w:p>
        </w:tc>
        <w:tc>
          <w:tcPr>
            <w:tcW w:w="14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kinsoku/>
              <w:wordWrap/>
              <w:overflowPunct/>
              <w:topLinePunct w:val="0"/>
              <w:bidi w:val="0"/>
              <w:spacing w:line="360" w:lineRule="auto"/>
              <w:jc w:val="center"/>
              <w:textAlignment w:val="top"/>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 xml:space="preserve">0.0840 </w:t>
            </w:r>
          </w:p>
        </w:tc>
      </w:tr>
    </w:tbl>
    <w:p>
      <w:pPr>
        <w:ind w:firstLine="420" w:firstLineChars="200"/>
        <w:rPr>
          <w:rFonts w:hint="eastAsia" w:ascii="宋体" w:hAnsi="宋体" w:eastAsia="宋体"/>
          <w:szCs w:val="21"/>
          <w:lang w:val="en-US" w:eastAsia="zh-CN"/>
        </w:rPr>
      </w:pPr>
    </w:p>
    <w:p>
      <w:pPr>
        <w:rPr>
          <w:rFonts w:hint="eastAsia" w:ascii="宋体" w:hAnsi="宋体" w:eastAsia="宋体"/>
          <w:b/>
          <w:bCs/>
          <w:szCs w:val="21"/>
          <w:lang w:val="en-US" w:eastAsia="zh-CN"/>
        </w:rPr>
      </w:pPr>
      <w:r>
        <w:rPr>
          <w:rFonts w:hint="eastAsia" w:ascii="宋体" w:hAnsi="宋体" w:eastAsia="宋体"/>
          <w:b/>
          <w:bCs/>
          <w:szCs w:val="21"/>
          <w:lang w:val="en-US" w:eastAsia="zh-CN"/>
        </w:rPr>
        <w:t>3.4 样品回收率实验</w:t>
      </w:r>
    </w:p>
    <w:p>
      <w:pPr>
        <w:numPr>
          <w:ilvl w:val="0"/>
          <w:numId w:val="0"/>
        </w:numP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方法1 火焰原子吸收光谱法</w:t>
      </w:r>
    </w:p>
    <w:p>
      <w:pPr>
        <w:adjustRightInd w:val="0"/>
        <w:snapToGrid w:val="0"/>
        <w:spacing w:before="50" w:after="50"/>
        <w:ind w:firstLine="420" w:firstLineChars="200"/>
        <w:rPr>
          <w:rFonts w:ascii="Times New Roman" w:hAnsi="Times New Roman"/>
          <w:color w:val="000000"/>
          <w:spacing w:val="6"/>
        </w:rPr>
      </w:pPr>
      <w:r>
        <w:rPr>
          <w:rFonts w:hint="eastAsia" w:ascii="Times New Roman" w:hAnsi="Times New Roman" w:eastAsia="宋体" w:cs="Times New Roman"/>
          <w:color w:val="auto"/>
          <w:szCs w:val="21"/>
          <w:lang w:val="en-US" w:eastAsia="zh-CN"/>
        </w:rPr>
        <w:t>在1#、2#和3#三个样品中分别加入锌标准溶液进行标准回收，见表15。</w:t>
      </w:r>
      <w:bookmarkStart w:id="1" w:name="_GoBack"/>
      <w:bookmarkEnd w:id="1"/>
    </w:p>
    <w:p>
      <w:pPr>
        <w:snapToGrid w:val="0"/>
        <w:spacing w:line="360" w:lineRule="auto"/>
        <w:jc w:val="center"/>
        <w:rPr>
          <w:rFonts w:hint="default" w:ascii="Times New Roman" w:hAnsi="Times New Roman" w:eastAsia="黑体" w:cs="Times New Roman"/>
          <w:szCs w:val="21"/>
        </w:rPr>
      </w:pPr>
      <w:r>
        <w:rPr>
          <w:rFonts w:hint="default" w:ascii="Times New Roman" w:hAnsi="Times New Roman" w:eastAsia="黑体" w:cs="Times New Roman"/>
          <w:szCs w:val="21"/>
        </w:rPr>
        <w:t>表1</w:t>
      </w:r>
      <w:r>
        <w:rPr>
          <w:rFonts w:hint="eastAsia" w:ascii="Times New Roman" w:hAnsi="Times New Roman" w:eastAsia="黑体" w:cs="Times New Roman"/>
          <w:szCs w:val="21"/>
          <w:lang w:val="en-US" w:eastAsia="zh-CN"/>
        </w:rPr>
        <w:t>5</w:t>
      </w:r>
      <w:r>
        <w:rPr>
          <w:rFonts w:hint="default" w:ascii="Times New Roman" w:hAnsi="Times New Roman" w:eastAsia="黑体" w:cs="Times New Roman"/>
          <w:szCs w:val="21"/>
        </w:rPr>
        <w:t xml:space="preserve"> 加标回收试验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980"/>
        <w:gridCol w:w="2097"/>
        <w:gridCol w:w="1573"/>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00" w:type="dxa"/>
            <w:noWrap w:val="0"/>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编号</w:t>
            </w:r>
          </w:p>
        </w:tc>
        <w:tc>
          <w:tcPr>
            <w:tcW w:w="1980" w:type="dxa"/>
            <w:noWrap w:val="0"/>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样品含锌量/mg</w:t>
            </w:r>
          </w:p>
        </w:tc>
        <w:tc>
          <w:tcPr>
            <w:tcW w:w="2097" w:type="dxa"/>
            <w:noWrap w:val="0"/>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加入锌量/mg</w:t>
            </w:r>
          </w:p>
        </w:tc>
        <w:tc>
          <w:tcPr>
            <w:tcW w:w="1573" w:type="dxa"/>
            <w:noWrap w:val="0"/>
            <w:vAlign w:val="center"/>
          </w:tcPr>
          <w:p>
            <w:pPr>
              <w:adjustRightInd w:val="0"/>
              <w:snapToGrid w:val="0"/>
              <w:spacing w:before="50" w:after="50"/>
              <w:rPr>
                <w:rFonts w:ascii="Times New Roman" w:hAnsi="Times New Roman"/>
                <w:color w:val="000000"/>
                <w:spacing w:val="6"/>
              </w:rPr>
            </w:pPr>
            <w:r>
              <w:rPr>
                <w:rFonts w:ascii="Times New Roman" w:hAnsi="Times New Roman"/>
                <w:color w:val="000000"/>
                <w:spacing w:val="6"/>
              </w:rPr>
              <w:t>测得锌量/mg</w:t>
            </w:r>
          </w:p>
        </w:tc>
        <w:tc>
          <w:tcPr>
            <w:tcW w:w="1633" w:type="dxa"/>
            <w:noWrap w:val="0"/>
            <w:vAlign w:val="center"/>
          </w:tcPr>
          <w:p>
            <w:pPr>
              <w:adjustRightInd w:val="0"/>
              <w:snapToGrid w:val="0"/>
              <w:spacing w:before="50" w:after="50"/>
              <w:ind w:firstLine="222" w:firstLineChars="100"/>
              <w:rPr>
                <w:rFonts w:ascii="Times New Roman" w:hAnsi="Times New Roman"/>
                <w:color w:val="000000"/>
                <w:spacing w:val="6"/>
              </w:rPr>
            </w:pPr>
            <w:r>
              <w:rPr>
                <w:rFonts w:ascii="Times New Roman" w:hAnsi="Times New Roman"/>
                <w:color w:val="000000"/>
                <w:spacing w:val="6"/>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noWrap w:val="0"/>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1#</w:t>
            </w:r>
          </w:p>
        </w:tc>
        <w:tc>
          <w:tcPr>
            <w:tcW w:w="1980" w:type="dxa"/>
            <w:vMerge w:val="restart"/>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0.307</w:t>
            </w:r>
          </w:p>
        </w:tc>
        <w:tc>
          <w:tcPr>
            <w:tcW w:w="2097"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0.2</w:t>
            </w:r>
          </w:p>
        </w:tc>
        <w:tc>
          <w:tcPr>
            <w:tcW w:w="157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0.508</w:t>
            </w:r>
          </w:p>
        </w:tc>
        <w:tc>
          <w:tcPr>
            <w:tcW w:w="163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noWrap w:val="0"/>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noWrap w:val="0"/>
            <w:vAlign w:val="center"/>
          </w:tcPr>
          <w:p>
            <w:pPr>
              <w:widowControl/>
              <w:jc w:val="center"/>
              <w:textAlignment w:val="center"/>
              <w:rPr>
                <w:rFonts w:ascii="Times New Roman" w:hAnsi="Times New Roman"/>
                <w:color w:val="000000"/>
                <w:kern w:val="0"/>
                <w:sz w:val="24"/>
                <w:lang w:bidi="ar"/>
              </w:rPr>
            </w:pPr>
          </w:p>
        </w:tc>
        <w:tc>
          <w:tcPr>
            <w:tcW w:w="2097"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0.5</w:t>
            </w:r>
          </w:p>
        </w:tc>
        <w:tc>
          <w:tcPr>
            <w:tcW w:w="157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0.813</w:t>
            </w:r>
          </w:p>
        </w:tc>
        <w:tc>
          <w:tcPr>
            <w:tcW w:w="163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noWrap w:val="0"/>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2#</w:t>
            </w:r>
          </w:p>
        </w:tc>
        <w:tc>
          <w:tcPr>
            <w:tcW w:w="1980" w:type="dxa"/>
            <w:vMerge w:val="restart"/>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0.951</w:t>
            </w:r>
          </w:p>
        </w:tc>
        <w:tc>
          <w:tcPr>
            <w:tcW w:w="2097"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0.5</w:t>
            </w:r>
          </w:p>
        </w:tc>
        <w:tc>
          <w:tcPr>
            <w:tcW w:w="157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1.46</w:t>
            </w:r>
          </w:p>
        </w:tc>
        <w:tc>
          <w:tcPr>
            <w:tcW w:w="163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noWrap w:val="0"/>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noWrap w:val="0"/>
            <w:vAlign w:val="center"/>
          </w:tcPr>
          <w:p>
            <w:pPr>
              <w:widowControl/>
              <w:jc w:val="center"/>
              <w:textAlignment w:val="center"/>
              <w:rPr>
                <w:rFonts w:ascii="Times New Roman" w:hAnsi="Times New Roman"/>
                <w:color w:val="000000"/>
                <w:kern w:val="0"/>
                <w:sz w:val="24"/>
                <w:lang w:bidi="ar"/>
              </w:rPr>
            </w:pPr>
          </w:p>
        </w:tc>
        <w:tc>
          <w:tcPr>
            <w:tcW w:w="2097"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w:t>
            </w:r>
          </w:p>
        </w:tc>
        <w:tc>
          <w:tcPr>
            <w:tcW w:w="157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1.99</w:t>
            </w:r>
          </w:p>
        </w:tc>
        <w:tc>
          <w:tcPr>
            <w:tcW w:w="1633" w:type="dxa"/>
            <w:noWrap w:val="0"/>
            <w:vAlign w:val="center"/>
          </w:tcPr>
          <w:p>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restart"/>
            <w:noWrap w:val="0"/>
            <w:vAlign w:val="center"/>
          </w:tcPr>
          <w:p>
            <w:pPr>
              <w:adjustRightInd w:val="0"/>
              <w:snapToGrid w:val="0"/>
              <w:spacing w:before="50" w:after="50"/>
              <w:jc w:val="center"/>
              <w:rPr>
                <w:rFonts w:ascii="Times New Roman" w:hAnsi="Times New Roman"/>
                <w:color w:val="FF0000"/>
                <w:spacing w:val="6"/>
              </w:rPr>
            </w:pPr>
            <w:r>
              <w:rPr>
                <w:rFonts w:ascii="Times New Roman" w:hAnsi="Times New Roman"/>
                <w:color w:val="000000"/>
                <w:spacing w:val="6"/>
              </w:rPr>
              <w:t>3#</w:t>
            </w:r>
          </w:p>
        </w:tc>
        <w:tc>
          <w:tcPr>
            <w:tcW w:w="1980" w:type="dxa"/>
            <w:vMerge w:val="restart"/>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1.66</w:t>
            </w:r>
          </w:p>
        </w:tc>
        <w:tc>
          <w:tcPr>
            <w:tcW w:w="2097"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1.0</w:t>
            </w:r>
          </w:p>
        </w:tc>
        <w:tc>
          <w:tcPr>
            <w:tcW w:w="1573"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2.71</w:t>
            </w:r>
          </w:p>
        </w:tc>
        <w:tc>
          <w:tcPr>
            <w:tcW w:w="1633"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300" w:type="dxa"/>
            <w:vMerge w:val="continue"/>
            <w:noWrap w:val="0"/>
            <w:vAlign w:val="center"/>
          </w:tcPr>
          <w:p>
            <w:pPr>
              <w:adjustRightInd w:val="0"/>
              <w:snapToGrid w:val="0"/>
              <w:spacing w:before="50" w:after="50"/>
              <w:ind w:firstLine="444" w:firstLineChars="200"/>
              <w:rPr>
                <w:rFonts w:ascii="Times New Roman" w:hAnsi="Times New Roman"/>
                <w:color w:val="FF0000"/>
                <w:spacing w:val="6"/>
              </w:rPr>
            </w:pPr>
          </w:p>
        </w:tc>
        <w:tc>
          <w:tcPr>
            <w:tcW w:w="1980" w:type="dxa"/>
            <w:vMerge w:val="continue"/>
            <w:noWrap w:val="0"/>
            <w:vAlign w:val="center"/>
          </w:tcPr>
          <w:p>
            <w:pPr>
              <w:widowControl/>
              <w:jc w:val="center"/>
              <w:textAlignment w:val="center"/>
              <w:rPr>
                <w:rFonts w:ascii="Times New Roman" w:hAnsi="Times New Roman"/>
                <w:color w:val="FF0000"/>
                <w:kern w:val="0"/>
                <w:sz w:val="24"/>
                <w:lang w:bidi="ar"/>
              </w:rPr>
            </w:pPr>
          </w:p>
        </w:tc>
        <w:tc>
          <w:tcPr>
            <w:tcW w:w="2097"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2.0</w:t>
            </w:r>
          </w:p>
        </w:tc>
        <w:tc>
          <w:tcPr>
            <w:tcW w:w="1573"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3.61</w:t>
            </w:r>
          </w:p>
        </w:tc>
        <w:tc>
          <w:tcPr>
            <w:tcW w:w="1633" w:type="dxa"/>
            <w:noWrap w:val="0"/>
            <w:vAlign w:val="center"/>
          </w:tcPr>
          <w:p>
            <w:pPr>
              <w:widowControl/>
              <w:jc w:val="center"/>
              <w:textAlignment w:val="center"/>
              <w:rPr>
                <w:rFonts w:ascii="Times New Roman" w:hAnsi="Times New Roman"/>
                <w:color w:val="FF0000"/>
                <w:kern w:val="0"/>
                <w:sz w:val="24"/>
                <w:lang w:bidi="ar"/>
              </w:rPr>
            </w:pPr>
            <w:r>
              <w:rPr>
                <w:rFonts w:ascii="Times New Roman" w:hAnsi="Times New Roman"/>
                <w:color w:val="000000"/>
                <w:kern w:val="0"/>
                <w:sz w:val="24"/>
                <w:lang w:bidi="ar"/>
              </w:rPr>
              <w:t>97.5</w:t>
            </w:r>
          </w:p>
        </w:tc>
      </w:tr>
    </w:tbl>
    <w:p>
      <w:pPr>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从表1</w:t>
      </w: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lang w:val="en-US" w:eastAsia="zh-CN"/>
        </w:rPr>
        <w:t>中可以看出，方法的回收率在97.5</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~105.0</w:t>
      </w:r>
      <w:r>
        <w:rPr>
          <w:rFonts w:hint="eastAsia" w:ascii="Times New Roman" w:hAnsi="Times New Roman"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之间，能满足测定要求。</w:t>
      </w:r>
    </w:p>
    <w:p>
      <w:pP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方法2 容量法</w:t>
      </w:r>
    </w:p>
    <w:p>
      <w:pPr>
        <w:ind w:firstLine="420" w:firstLineChars="200"/>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根据D1108和D1111样品锌含量，加入一定的金属锌，并按照样品分析步骤分解样品，进行加标回收试验，其结果见表1</w:t>
      </w:r>
      <w:r>
        <w:rPr>
          <w:rFonts w:hint="eastAsia" w:ascii="Times New Roman" w:hAnsi="Times New Roman" w:eastAsia="宋体" w:cs="Times New Roman"/>
          <w:color w:val="auto"/>
          <w:szCs w:val="21"/>
          <w:lang w:val="en-US" w:eastAsia="zh-CN"/>
        </w:rPr>
        <w:t>6</w:t>
      </w:r>
    </w:p>
    <w:p>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表1</w:t>
      </w:r>
      <w:r>
        <w:rPr>
          <w:rFonts w:hint="eastAsia" w:ascii="Times New Roman" w:hAnsi="Times New Roman" w:eastAsia="宋体" w:cs="Times New Roman"/>
          <w:color w:val="auto"/>
          <w:szCs w:val="21"/>
          <w:lang w:val="en-US" w:eastAsia="zh-CN"/>
        </w:rPr>
        <w:t>6</w:t>
      </w:r>
    </w:p>
    <w:tbl>
      <w:tblPr>
        <w:tblStyle w:val="5"/>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453"/>
        <w:gridCol w:w="1730"/>
        <w:gridCol w:w="1558"/>
        <w:gridCol w:w="175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试样</w:t>
            </w:r>
          </w:p>
        </w:tc>
        <w:tc>
          <w:tcPr>
            <w:tcW w:w="1453" w:type="dxa"/>
            <w:noWrap w:val="0"/>
            <w:vAlign w:val="center"/>
          </w:tcPr>
          <w:p>
            <w:pPr>
              <w:keepNext w:val="0"/>
              <w:keepLines w:val="0"/>
              <w:widowControl/>
              <w:suppressLineNumbers w:val="0"/>
              <w:jc w:val="both"/>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称样量（g</w:t>
            </w:r>
            <w:r>
              <w:rPr>
                <w:rStyle w:val="16"/>
                <w:rFonts w:hint="default" w:ascii="Times New Roman" w:hAnsi="Times New Roman" w:eastAsia="宋体" w:cs="Times New Roman"/>
                <w:color w:val="auto"/>
                <w:lang w:val="en-US" w:eastAsia="zh-CN" w:bidi="ar"/>
              </w:rPr>
              <w:t>）</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试样含锌量（g</w:t>
            </w:r>
            <w:r>
              <w:rPr>
                <w:rStyle w:val="16"/>
                <w:rFonts w:hint="default" w:ascii="Times New Roman" w:hAnsi="Times New Roman" w:eastAsia="宋体" w:cs="Times New Roman"/>
                <w:color w:val="auto"/>
                <w:lang w:val="en-US" w:eastAsia="zh-CN" w:bidi="ar"/>
              </w:rPr>
              <w:t>）</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加入锌量（g</w:t>
            </w:r>
            <w:r>
              <w:rPr>
                <w:rStyle w:val="16"/>
                <w:rFonts w:hint="default" w:ascii="Times New Roman" w:hAnsi="Times New Roman" w:eastAsia="宋体" w:cs="Times New Roman"/>
                <w:color w:val="auto"/>
                <w:lang w:val="en-US" w:eastAsia="zh-CN" w:bidi="ar"/>
              </w:rPr>
              <w:t>）</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测得的锌量(g)</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回收率（%</w:t>
            </w:r>
            <w:r>
              <w:rPr>
                <w:rStyle w:val="16"/>
                <w:rFonts w:hint="default" w:ascii="Times New Roman" w:hAnsi="Times New Roman" w:eastAsia="宋体" w:cs="Times New Roman"/>
                <w:color w:va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D1108</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0.4998</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 xml:space="preserve">0.0768 </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0.0804</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0.1581</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D1108</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0.5001</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 xml:space="preserve">0.0768 </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0.0794</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 xml:space="preserve">0.1560 </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D1111</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0.5004</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 xml:space="preserve">0.0935 </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0.0725</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0.1662</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D1111</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0.5003</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 xml:space="preserve">0.0935 </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0.0911</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0.1849</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color w:val="auto"/>
                <w:kern w:val="0"/>
                <w:sz w:val="21"/>
                <w:szCs w:val="21"/>
                <w:u w:val="none"/>
                <w:lang w:val="en-US" w:eastAsia="zh-CN" w:bidi="ar"/>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D1102</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0.4998</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0.0344</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0.0350</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0.0688</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101.74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08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D1102</w:t>
            </w:r>
          </w:p>
        </w:tc>
        <w:tc>
          <w:tcPr>
            <w:tcW w:w="14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0.5003</w:t>
            </w:r>
          </w:p>
        </w:tc>
        <w:tc>
          <w:tcPr>
            <w:tcW w:w="173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0.0344</w:t>
            </w:r>
          </w:p>
        </w:tc>
        <w:tc>
          <w:tcPr>
            <w:tcW w:w="15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0.0320</w:t>
            </w:r>
          </w:p>
        </w:tc>
        <w:tc>
          <w:tcPr>
            <w:tcW w:w="175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0.0668</w:t>
            </w:r>
          </w:p>
        </w:tc>
        <w:tc>
          <w:tcPr>
            <w:tcW w:w="152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98.77</w:t>
            </w:r>
          </w:p>
        </w:tc>
      </w:tr>
    </w:tbl>
    <w:p>
      <w:pPr>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由表1</w:t>
      </w: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可见，回收率好，方法满足测定的要求。</w:t>
      </w:r>
    </w:p>
    <w:p>
      <w:pPr>
        <w:numPr>
          <w:ilvl w:val="0"/>
          <w:numId w:val="0"/>
        </w:numPr>
        <w:spacing w:line="240" w:lineRule="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 标准水平</w:t>
      </w:r>
    </w:p>
    <w:p>
      <w:pPr>
        <w:pStyle w:val="2"/>
        <w:spacing w:line="240" w:lineRule="auto"/>
        <w:ind w:firstLine="315" w:firstLineChars="15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该标准技术先进、可操作性强，结构合理、文字简练、条理清晰。该标准没有相关的国家或行业标准，也没有相关的国际标准，建议作为推荐性行业标准推广使用。</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5、与有关的现行法律、法规和强制性国家标准的关系</w:t>
      </w:r>
    </w:p>
    <w:p>
      <w:pPr>
        <w:spacing w:line="240" w:lineRule="auto"/>
        <w:ind w:left="120" w:hanging="105" w:hangingChars="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6、重大分歧意见的处理经过和依据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7、标准实施的建议</w:t>
      </w:r>
    </w:p>
    <w:p>
      <w:pPr>
        <w:autoSpaceDE w:val="0"/>
        <w:autoSpaceDN w:val="0"/>
        <w:adjustRightInd w:val="0"/>
        <w:spacing w:line="240" w:lineRule="auto"/>
        <w:ind w:firstLine="315" w:firstLineChars="15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建议该标准作为推荐性行业标准。</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8、贯彻标准的要求和措施建议</w:t>
      </w:r>
    </w:p>
    <w:p>
      <w:pPr>
        <w:spacing w:line="24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生产企业和相关部门、单位应按照产品质量控制及分析检验的要求，认真贯彻实施本标准内容。</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9、废止现行有关标准的建议</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10、其它应予说明的事项</w:t>
      </w:r>
    </w:p>
    <w:p>
      <w:pPr>
        <w:spacing w:line="240" w:lineRule="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   无</w:t>
      </w:r>
    </w:p>
    <w:p>
      <w:pPr>
        <w:spacing w:line="240" w:lineRule="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11、预期效果</w:t>
      </w:r>
    </w:p>
    <w:p>
      <w:pPr>
        <w:spacing w:line="240" w:lineRule="auto"/>
        <w:ind w:firstLine="420" w:firstLineChars="20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本标准发布和实施能有效规范我国铜冶炼烟尘中锌量的检测，对生产和贸易有重要的意义。</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62"/>
    <w:rsid w:val="00007756"/>
    <w:rsid w:val="003A45AF"/>
    <w:rsid w:val="00515F7F"/>
    <w:rsid w:val="006F03AA"/>
    <w:rsid w:val="007358F1"/>
    <w:rsid w:val="007377A1"/>
    <w:rsid w:val="007E7762"/>
    <w:rsid w:val="00961560"/>
    <w:rsid w:val="00B2361B"/>
    <w:rsid w:val="00B80DB8"/>
    <w:rsid w:val="00D12D17"/>
    <w:rsid w:val="00D17B47"/>
    <w:rsid w:val="00E33226"/>
    <w:rsid w:val="00E42D75"/>
    <w:rsid w:val="00E6356D"/>
    <w:rsid w:val="00E73D3B"/>
    <w:rsid w:val="06F476F4"/>
    <w:rsid w:val="0DB94B3B"/>
    <w:rsid w:val="22542CC4"/>
    <w:rsid w:val="28CA1453"/>
    <w:rsid w:val="3AF45091"/>
    <w:rsid w:val="3B5C2987"/>
    <w:rsid w:val="4DF86810"/>
    <w:rsid w:val="5E762577"/>
    <w:rsid w:val="5EBA0C2B"/>
    <w:rsid w:val="6B8A3222"/>
    <w:rsid w:val="754A02CA"/>
    <w:rsid w:val="7AC47E3A"/>
    <w:rsid w:val="7B05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adjustRightInd w:val="0"/>
      <w:spacing w:line="300" w:lineRule="exact"/>
      <w:ind w:firstLine="420" w:firstLineChars="200"/>
      <w:textAlignment w:val="baseline"/>
    </w:pPr>
    <w:rPr>
      <w:rFonts w:ascii="Calibri" w:hAnsi="Calibri" w:eastAsia="微软雅黑" w:cs="Calibri"/>
      <w:kern w:val="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rPr>
  </w:style>
  <w:style w:type="paragraph" w:customStyle="1" w:styleId="12">
    <w:name w:val="样式1"/>
    <w:basedOn w:val="1"/>
    <w:qFormat/>
    <w:uiPriority w:val="0"/>
    <w:pPr>
      <w:tabs>
        <w:tab w:val="left" w:pos="525"/>
      </w:tabs>
    </w:pPr>
    <w:rPr>
      <w:rFonts w:ascii="宋体" w:hAnsi="宋体" w:eastAsia="宋体" w:cs="Times New Roman"/>
      <w:szCs w:val="21"/>
    </w:rPr>
  </w:style>
  <w:style w:type="character" w:customStyle="1" w:styleId="13">
    <w:name w:val="段 Char"/>
    <w:link w:val="14"/>
    <w:qFormat/>
    <w:locked/>
    <w:uiPriority w:val="99"/>
    <w:rPr>
      <w:rFonts w:ascii="宋体"/>
      <w:sz w:val="22"/>
    </w:rPr>
  </w:style>
  <w:style w:type="paragraph" w:customStyle="1" w:styleId="14">
    <w:name w:val="段"/>
    <w:link w:val="13"/>
    <w:qFormat/>
    <w:uiPriority w:val="99"/>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5">
    <w:name w:val="font01"/>
    <w:basedOn w:val="7"/>
    <w:uiPriority w:val="0"/>
    <w:rPr>
      <w:rFonts w:hint="eastAsia" w:ascii="宋体" w:hAnsi="宋体" w:eastAsia="宋体" w:cs="宋体"/>
      <w:color w:val="000000"/>
      <w:sz w:val="24"/>
      <w:szCs w:val="24"/>
      <w:u w:val="none"/>
    </w:rPr>
  </w:style>
  <w:style w:type="character" w:customStyle="1" w:styleId="16">
    <w:name w:val="font1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1873</Words>
  <Characters>10682</Characters>
  <Lines>89</Lines>
  <Paragraphs>25</Paragraphs>
  <TotalTime>7</TotalTime>
  <ScaleCrop>false</ScaleCrop>
  <LinksUpToDate>false</LinksUpToDate>
  <CharactersWithSpaces>12530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2019-11-12T00:57:00Z</dcterms:created>
  <dc:creator>Qi Zhang</dc:creator>
  <cp:lastModifiedBy>小蜗牛</cp:lastModifiedBy>
  <dcterms:modified xsi:type="dcterms:W3CDTF">2019-11-22T07:45:06Z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