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color w:val="auto"/>
          <w:sz w:val="30"/>
          <w:szCs w:val="30"/>
        </w:rPr>
      </w:pPr>
    </w:p>
    <w:p>
      <w:pPr>
        <w:rPr>
          <w:rFonts w:hint="eastAsia" w:ascii="宋体" w:hAnsi="宋体" w:eastAsia="宋体" w:cs="宋体"/>
          <w:b/>
          <w:bCs w:val="0"/>
          <w:color w:val="auto"/>
          <w:sz w:val="30"/>
          <w:szCs w:val="30"/>
        </w:rPr>
      </w:pPr>
    </w:p>
    <w:p>
      <w:pPr>
        <w:rPr>
          <w:rFonts w:hint="eastAsia" w:ascii="宋体" w:hAnsi="宋体" w:eastAsia="宋体" w:cs="宋体"/>
          <w:b/>
          <w:bCs w:val="0"/>
          <w:color w:val="auto"/>
          <w:sz w:val="30"/>
          <w:szCs w:val="30"/>
        </w:rPr>
      </w:pPr>
    </w:p>
    <w:p>
      <w:pPr>
        <w:jc w:val="center"/>
        <w:rPr>
          <w:rFonts w:hint="eastAsia" w:ascii="宋体" w:hAnsi="宋体" w:eastAsia="宋体" w:cs="宋体"/>
          <w:b/>
          <w:bCs w:val="0"/>
          <w:color w:val="auto"/>
          <w:sz w:val="48"/>
          <w:szCs w:val="48"/>
        </w:rPr>
      </w:pPr>
      <w:r>
        <w:rPr>
          <w:rFonts w:hint="eastAsia" w:ascii="宋体" w:hAnsi="宋体" w:eastAsia="宋体" w:cs="宋体"/>
          <w:b/>
          <w:bCs w:val="0"/>
          <w:color w:val="auto"/>
          <w:sz w:val="48"/>
          <w:szCs w:val="48"/>
          <w:lang w:eastAsia="zh-CN"/>
        </w:rPr>
        <w:t>铅</w:t>
      </w:r>
      <w:r>
        <w:rPr>
          <w:rFonts w:hint="eastAsia" w:ascii="宋体" w:hAnsi="宋体" w:eastAsia="宋体" w:cs="宋体"/>
          <w:b/>
          <w:bCs w:val="0"/>
          <w:color w:val="auto"/>
          <w:sz w:val="48"/>
          <w:szCs w:val="48"/>
        </w:rPr>
        <w:t>冶炼业绿色工厂评价要求</w:t>
      </w:r>
    </w:p>
    <w:p>
      <w:pPr>
        <w:jc w:val="center"/>
        <w:rPr>
          <w:rFonts w:hint="eastAsia" w:ascii="宋体" w:hAnsi="宋体" w:eastAsia="宋体" w:cs="宋体"/>
          <w:b/>
          <w:bCs w:val="0"/>
          <w:color w:val="auto"/>
          <w:sz w:val="48"/>
          <w:szCs w:val="48"/>
        </w:rPr>
      </w:pPr>
      <w:r>
        <w:rPr>
          <w:rFonts w:hint="eastAsia" w:ascii="宋体" w:hAnsi="宋体" w:eastAsia="宋体" w:cs="宋体"/>
          <w:b/>
          <w:bCs w:val="0"/>
          <w:color w:val="auto"/>
          <w:sz w:val="48"/>
          <w:szCs w:val="48"/>
        </w:rPr>
        <w:t>编制说明</w:t>
      </w:r>
    </w:p>
    <w:p>
      <w:pPr>
        <w:jc w:val="center"/>
        <w:rPr>
          <w:rFonts w:hint="eastAsia" w:ascii="宋体" w:hAnsi="宋体" w:eastAsia="宋体" w:cs="宋体"/>
          <w:b/>
          <w:bCs w:val="0"/>
          <w:color w:val="auto"/>
          <w:sz w:val="48"/>
          <w:szCs w:val="48"/>
        </w:rPr>
      </w:pPr>
    </w:p>
    <w:p>
      <w:pPr>
        <w:jc w:val="center"/>
        <w:rPr>
          <w:rFonts w:hint="eastAsia" w:ascii="宋体" w:hAnsi="宋体" w:eastAsia="宋体" w:cs="宋体"/>
          <w:b/>
          <w:bCs w:val="0"/>
          <w:color w:val="auto"/>
          <w:sz w:val="48"/>
          <w:szCs w:val="48"/>
        </w:rPr>
      </w:pPr>
    </w:p>
    <w:p>
      <w:pPr>
        <w:jc w:val="center"/>
        <w:rPr>
          <w:rFonts w:hint="eastAsia" w:ascii="宋体" w:hAnsi="宋体" w:eastAsia="宋体" w:cs="宋体"/>
          <w:b/>
          <w:bCs w:val="0"/>
          <w:color w:val="auto"/>
          <w:sz w:val="48"/>
          <w:szCs w:val="48"/>
        </w:rPr>
      </w:pPr>
    </w:p>
    <w:p>
      <w:pPr>
        <w:jc w:val="center"/>
        <w:rPr>
          <w:rFonts w:hint="eastAsia" w:ascii="宋体" w:hAnsi="宋体" w:eastAsia="宋体" w:cs="宋体"/>
          <w:b/>
          <w:bCs w:val="0"/>
          <w:color w:val="auto"/>
          <w:sz w:val="48"/>
          <w:szCs w:val="48"/>
          <w:lang w:eastAsia="zh-CN"/>
        </w:rPr>
      </w:pPr>
      <w:r>
        <w:rPr>
          <w:rFonts w:hint="eastAsia" w:ascii="宋体" w:hAnsi="宋体" w:eastAsia="宋体" w:cs="宋体"/>
          <w:b/>
          <w:bCs w:val="0"/>
          <w:color w:val="auto"/>
          <w:sz w:val="48"/>
          <w:szCs w:val="48"/>
          <w:lang w:eastAsia="zh-CN"/>
        </w:rPr>
        <w:t>（审定稿）</w:t>
      </w: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32"/>
          <w:szCs w:val="32"/>
        </w:rPr>
      </w:pPr>
    </w:p>
    <w:p>
      <w:pPr>
        <w:jc w:val="center"/>
        <w:rPr>
          <w:rFonts w:hint="eastAsia" w:ascii="黑体" w:hAnsi="黑体" w:eastAsia="黑体" w:cs="黑体"/>
          <w:b/>
          <w:bCs w:val="0"/>
          <w:color w:val="auto"/>
          <w:sz w:val="32"/>
          <w:szCs w:val="32"/>
          <w:lang w:eastAsia="zh-CN"/>
        </w:rPr>
      </w:pPr>
      <w:r>
        <w:rPr>
          <w:rFonts w:hint="eastAsia" w:ascii="黑体" w:hAnsi="黑体" w:eastAsia="黑体" w:cs="黑体"/>
          <w:b/>
          <w:bCs w:val="0"/>
          <w:color w:val="auto"/>
          <w:sz w:val="32"/>
          <w:szCs w:val="32"/>
          <w:lang w:eastAsia="zh-CN"/>
        </w:rPr>
        <w:t>主编单位：河南豫光金铅股份有限公司</w:t>
      </w:r>
    </w:p>
    <w:p>
      <w:pPr>
        <w:jc w:val="center"/>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2019年10月</w:t>
      </w:r>
      <w:bookmarkStart w:id="21" w:name="_GoBack"/>
      <w:bookmarkEnd w:id="21"/>
    </w:p>
    <w:p>
      <w:pPr>
        <w:rPr>
          <w:rFonts w:hint="eastAsia" w:ascii="黑体" w:hAnsi="黑体" w:eastAsia="黑体" w:cs="黑体"/>
          <w:b/>
          <w:bCs w:val="0"/>
          <w:color w:val="auto"/>
          <w:sz w:val="48"/>
          <w:szCs w:val="48"/>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lang w:val="en-US" w:eastAsia="zh-CN" w:bidi="ar-SA"/>
        </w:rPr>
        <w:id w:val="147464107"/>
        <w:docPartObj>
          <w:docPartGallery w:val="Table of Contents"/>
          <w:docPartUnique/>
        </w:docPartObj>
      </w:sdtPr>
      <w:sdtEndPr>
        <w:rPr>
          <w:rFonts w:hint="eastAsia" w:ascii="宋体" w:hAnsi="宋体" w:eastAsia="宋体" w:cstheme="minorBidi"/>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0"/>
            <w:tabs>
              <w:tab w:val="right" w:leader="dot" w:pos="8306"/>
            </w:tabs>
            <w:rPr>
              <w:color w:val="auto"/>
            </w:rPr>
          </w:pPr>
          <w:r>
            <w:rPr>
              <w:rFonts w:hint="eastAsia"/>
              <w:b/>
              <w:bCs/>
              <w:color w:val="auto"/>
            </w:rPr>
            <w:fldChar w:fldCharType="begin"/>
          </w:r>
          <w:r>
            <w:rPr>
              <w:rFonts w:hint="eastAsia"/>
              <w:b/>
              <w:bCs/>
              <w:color w:val="auto"/>
            </w:rPr>
            <w:instrText xml:space="preserve">TOC \o "1-3" \h \u </w:instrText>
          </w:r>
          <w:r>
            <w:rPr>
              <w:rFonts w:hint="eastAsia"/>
              <w:b/>
              <w:bCs/>
              <w:color w:val="auto"/>
            </w:rPr>
            <w:fldChar w:fldCharType="separate"/>
          </w:r>
          <w:r>
            <w:rPr>
              <w:rFonts w:hint="eastAsia"/>
              <w:b/>
              <w:bCs/>
              <w:color w:val="auto"/>
            </w:rPr>
            <w:fldChar w:fldCharType="begin"/>
          </w:r>
          <w:r>
            <w:rPr>
              <w:rFonts w:hint="eastAsia"/>
              <w:b/>
              <w:bCs/>
              <w:color w:val="auto"/>
            </w:rPr>
            <w:instrText xml:space="preserve"> HYPERLINK \l _Toc1237 </w:instrText>
          </w:r>
          <w:r>
            <w:rPr>
              <w:rFonts w:hint="eastAsia"/>
              <w:b/>
              <w:bCs/>
              <w:color w:val="auto"/>
            </w:rPr>
            <w:fldChar w:fldCharType="separate"/>
          </w:r>
          <w:r>
            <w:rPr>
              <w:rFonts w:hint="eastAsia"/>
              <w:b/>
              <w:bCs/>
              <w:color w:val="auto"/>
            </w:rPr>
            <w:t>一、工作简况</w:t>
          </w:r>
          <w:r>
            <w:rPr>
              <w:b/>
              <w:bCs/>
              <w:color w:val="auto"/>
            </w:rPr>
            <w:tab/>
          </w:r>
          <w:r>
            <w:rPr>
              <w:b/>
              <w:bCs/>
              <w:color w:val="auto"/>
            </w:rPr>
            <w:fldChar w:fldCharType="begin"/>
          </w:r>
          <w:r>
            <w:rPr>
              <w:b/>
              <w:bCs/>
              <w:color w:val="auto"/>
            </w:rPr>
            <w:instrText xml:space="preserve"> PAGEREF _Toc1237 </w:instrText>
          </w:r>
          <w:r>
            <w:rPr>
              <w:b/>
              <w:bCs/>
              <w:color w:val="auto"/>
            </w:rPr>
            <w:fldChar w:fldCharType="separate"/>
          </w:r>
          <w:r>
            <w:rPr>
              <w:b/>
              <w:bCs/>
              <w:color w:val="auto"/>
            </w:rPr>
            <w:t>1</w:t>
          </w:r>
          <w:r>
            <w:rPr>
              <w:b/>
              <w:bCs/>
              <w:color w:val="auto"/>
            </w:rPr>
            <w:fldChar w:fldCharType="end"/>
          </w:r>
          <w:r>
            <w:rPr>
              <w:rFonts w:hint="eastAsia"/>
              <w:b/>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_Toc12683 </w:instrText>
          </w:r>
          <w:r>
            <w:rPr>
              <w:rFonts w:hint="eastAsia"/>
              <w:bCs/>
              <w:color w:val="auto"/>
            </w:rPr>
            <w:fldChar w:fldCharType="separate"/>
          </w:r>
          <w:r>
            <w:rPr>
              <w:rFonts w:hint="eastAsia" w:cs="宋体"/>
              <w:bCs w:val="0"/>
              <w:color w:val="auto"/>
              <w:szCs w:val="21"/>
            </w:rPr>
            <w:t>1、任务来源</w:t>
          </w:r>
          <w:r>
            <w:rPr>
              <w:color w:val="auto"/>
            </w:rPr>
            <w:tab/>
          </w:r>
          <w:r>
            <w:rPr>
              <w:color w:val="auto"/>
            </w:rPr>
            <w:fldChar w:fldCharType="begin"/>
          </w:r>
          <w:r>
            <w:rPr>
              <w:color w:val="auto"/>
            </w:rPr>
            <w:instrText xml:space="preserve"> PAGEREF _Toc12683 </w:instrText>
          </w:r>
          <w:r>
            <w:rPr>
              <w:color w:val="auto"/>
            </w:rPr>
            <w:fldChar w:fldCharType="separate"/>
          </w:r>
          <w:r>
            <w:rPr>
              <w:color w:val="auto"/>
            </w:rPr>
            <w:t>1</w:t>
          </w:r>
          <w:r>
            <w:rPr>
              <w:color w:val="auto"/>
            </w:rPr>
            <w:fldChar w:fldCharType="end"/>
          </w:r>
          <w:r>
            <w:rPr>
              <w:rFonts w:hint="eastAsia"/>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_Toc27185 </w:instrText>
          </w:r>
          <w:r>
            <w:rPr>
              <w:rFonts w:hint="eastAsia"/>
              <w:bCs/>
              <w:color w:val="auto"/>
            </w:rPr>
            <w:fldChar w:fldCharType="separate"/>
          </w:r>
          <w:r>
            <w:rPr>
              <w:rFonts w:hint="eastAsia" w:cs="宋体"/>
              <w:bCs w:val="0"/>
              <w:color w:val="auto"/>
              <w:szCs w:val="21"/>
            </w:rPr>
            <w:t>2、标准起草单位</w:t>
          </w:r>
          <w:r>
            <w:rPr>
              <w:color w:val="auto"/>
            </w:rPr>
            <w:tab/>
          </w:r>
          <w:r>
            <w:rPr>
              <w:color w:val="auto"/>
            </w:rPr>
            <w:fldChar w:fldCharType="begin"/>
          </w:r>
          <w:r>
            <w:rPr>
              <w:color w:val="auto"/>
            </w:rPr>
            <w:instrText xml:space="preserve"> PAGEREF _Toc27185 </w:instrText>
          </w:r>
          <w:r>
            <w:rPr>
              <w:color w:val="auto"/>
            </w:rPr>
            <w:fldChar w:fldCharType="separate"/>
          </w:r>
          <w:r>
            <w:rPr>
              <w:color w:val="auto"/>
            </w:rPr>
            <w:t>2</w:t>
          </w:r>
          <w:r>
            <w:rPr>
              <w:color w:val="auto"/>
            </w:rPr>
            <w:fldChar w:fldCharType="end"/>
          </w:r>
          <w:r>
            <w:rPr>
              <w:rFonts w:hint="eastAsia"/>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_Toc11864 </w:instrText>
          </w:r>
          <w:r>
            <w:rPr>
              <w:rFonts w:hint="eastAsia"/>
              <w:bCs/>
              <w:color w:val="auto"/>
            </w:rPr>
            <w:fldChar w:fldCharType="separate"/>
          </w:r>
          <w:r>
            <w:rPr>
              <w:rFonts w:hint="eastAsia" w:cs="宋体"/>
              <w:bCs w:val="0"/>
              <w:color w:val="auto"/>
              <w:szCs w:val="21"/>
            </w:rPr>
            <w:t>3、主要工作过程</w:t>
          </w:r>
          <w:r>
            <w:rPr>
              <w:color w:val="auto"/>
            </w:rPr>
            <w:tab/>
          </w:r>
          <w:r>
            <w:rPr>
              <w:color w:val="auto"/>
            </w:rPr>
            <w:fldChar w:fldCharType="begin"/>
          </w:r>
          <w:r>
            <w:rPr>
              <w:color w:val="auto"/>
            </w:rPr>
            <w:instrText xml:space="preserve"> PAGEREF _Toc11864 </w:instrText>
          </w:r>
          <w:r>
            <w:rPr>
              <w:color w:val="auto"/>
            </w:rPr>
            <w:fldChar w:fldCharType="separate"/>
          </w:r>
          <w:r>
            <w:rPr>
              <w:color w:val="auto"/>
            </w:rPr>
            <w:t>2</w:t>
          </w:r>
          <w:r>
            <w:rPr>
              <w:color w:val="auto"/>
            </w:rPr>
            <w:fldChar w:fldCharType="end"/>
          </w:r>
          <w:r>
            <w:rPr>
              <w:rFonts w:hint="eastAsia"/>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_Toc22603 </w:instrText>
          </w:r>
          <w:r>
            <w:rPr>
              <w:rFonts w:hint="eastAsia"/>
              <w:bCs/>
              <w:color w:val="auto"/>
            </w:rPr>
            <w:fldChar w:fldCharType="separate"/>
          </w:r>
          <w:r>
            <w:rPr>
              <w:rFonts w:cs="宋体"/>
              <w:bCs w:val="0"/>
              <w:color w:val="auto"/>
            </w:rPr>
            <w:t>4、标准主要</w:t>
          </w:r>
          <w:r>
            <w:rPr>
              <w:rFonts w:hint="eastAsia" w:cs="宋体"/>
              <w:bCs w:val="0"/>
              <w:color w:val="auto"/>
              <w:lang w:eastAsia="zh-CN"/>
            </w:rPr>
            <w:t>编制人员</w:t>
          </w:r>
          <w:r>
            <w:rPr>
              <w:bCs w:val="0"/>
              <w:color w:val="auto"/>
            </w:rPr>
            <w:t>及其所做的工作</w:t>
          </w:r>
          <w:r>
            <w:rPr>
              <w:color w:val="auto"/>
            </w:rPr>
            <w:tab/>
          </w:r>
          <w:r>
            <w:rPr>
              <w:color w:val="auto"/>
            </w:rPr>
            <w:fldChar w:fldCharType="begin"/>
          </w:r>
          <w:r>
            <w:rPr>
              <w:color w:val="auto"/>
            </w:rPr>
            <w:instrText xml:space="preserve"> PAGEREF _Toc22603 </w:instrText>
          </w:r>
          <w:r>
            <w:rPr>
              <w:color w:val="auto"/>
            </w:rPr>
            <w:fldChar w:fldCharType="separate"/>
          </w:r>
          <w:r>
            <w:rPr>
              <w:color w:val="auto"/>
            </w:rPr>
            <w:t>3</w:t>
          </w:r>
          <w:r>
            <w:rPr>
              <w:color w:val="auto"/>
            </w:rPr>
            <w:fldChar w:fldCharType="end"/>
          </w:r>
          <w:r>
            <w:rPr>
              <w:rFonts w:hint="eastAsia"/>
              <w:bCs/>
              <w:color w:val="auto"/>
            </w:rPr>
            <w:fldChar w:fldCharType="end"/>
          </w:r>
        </w:p>
        <w:p>
          <w:pPr>
            <w:pStyle w:val="10"/>
            <w:tabs>
              <w:tab w:val="right" w:leader="dot" w:pos="8306"/>
            </w:tabs>
            <w:rPr>
              <w:color w:val="auto"/>
            </w:rPr>
          </w:pPr>
          <w:r>
            <w:rPr>
              <w:rFonts w:hint="eastAsia"/>
              <w:b/>
              <w:bCs/>
              <w:color w:val="auto"/>
            </w:rPr>
            <w:fldChar w:fldCharType="begin"/>
          </w:r>
          <w:r>
            <w:rPr>
              <w:rFonts w:hint="eastAsia"/>
              <w:b/>
              <w:bCs/>
              <w:color w:val="auto"/>
            </w:rPr>
            <w:instrText xml:space="preserve"> HYPERLINK \l _Toc29998 </w:instrText>
          </w:r>
          <w:r>
            <w:rPr>
              <w:rFonts w:hint="eastAsia"/>
              <w:b/>
              <w:bCs/>
              <w:color w:val="auto"/>
            </w:rPr>
            <w:fldChar w:fldCharType="separate"/>
          </w:r>
          <w:r>
            <w:rPr>
              <w:rFonts w:hint="eastAsia" w:ascii="宋体" w:hAnsi="宋体" w:eastAsia="宋体" w:cs="宋体"/>
              <w:b/>
              <w:bCs/>
              <w:color w:val="auto"/>
            </w:rPr>
            <w:t>二、 标准编制原则和确定标准主要内容</w:t>
          </w:r>
          <w:r>
            <w:rPr>
              <w:b/>
              <w:bCs/>
              <w:color w:val="auto"/>
            </w:rPr>
            <w:tab/>
          </w:r>
          <w:r>
            <w:rPr>
              <w:b/>
              <w:bCs/>
              <w:color w:val="auto"/>
            </w:rPr>
            <w:fldChar w:fldCharType="begin"/>
          </w:r>
          <w:r>
            <w:rPr>
              <w:b/>
              <w:bCs/>
              <w:color w:val="auto"/>
            </w:rPr>
            <w:instrText xml:space="preserve"> PAGEREF _Toc29998 </w:instrText>
          </w:r>
          <w:r>
            <w:rPr>
              <w:b/>
              <w:bCs/>
              <w:color w:val="auto"/>
            </w:rPr>
            <w:fldChar w:fldCharType="separate"/>
          </w:r>
          <w:r>
            <w:rPr>
              <w:b/>
              <w:bCs/>
              <w:color w:val="auto"/>
            </w:rPr>
            <w:t>3</w:t>
          </w:r>
          <w:r>
            <w:rPr>
              <w:b/>
              <w:bCs/>
              <w:color w:val="auto"/>
            </w:rPr>
            <w:fldChar w:fldCharType="end"/>
          </w:r>
          <w:r>
            <w:rPr>
              <w:rFonts w:hint="eastAsia"/>
              <w:b/>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_Toc5250 </w:instrText>
          </w:r>
          <w:r>
            <w:rPr>
              <w:rFonts w:hint="eastAsia"/>
              <w:bCs/>
              <w:color w:val="auto"/>
            </w:rPr>
            <w:fldChar w:fldCharType="separate"/>
          </w:r>
          <w:r>
            <w:rPr>
              <w:rFonts w:cs="宋体"/>
              <w:bCs w:val="0"/>
              <w:color w:val="auto"/>
            </w:rPr>
            <w:t>1、</w:t>
          </w:r>
          <w:r>
            <w:rPr>
              <w:rFonts w:hint="eastAsia" w:cs="宋体"/>
              <w:bCs w:val="0"/>
              <w:color w:val="auto"/>
            </w:rPr>
            <w:t>编制原则</w:t>
          </w:r>
          <w:r>
            <w:rPr>
              <w:color w:val="auto"/>
            </w:rPr>
            <w:tab/>
          </w:r>
          <w:r>
            <w:rPr>
              <w:color w:val="auto"/>
            </w:rPr>
            <w:fldChar w:fldCharType="begin"/>
          </w:r>
          <w:r>
            <w:rPr>
              <w:color w:val="auto"/>
            </w:rPr>
            <w:instrText xml:space="preserve"> PAGEREF _Toc5250 </w:instrText>
          </w:r>
          <w:r>
            <w:rPr>
              <w:color w:val="auto"/>
            </w:rPr>
            <w:fldChar w:fldCharType="separate"/>
          </w:r>
          <w:r>
            <w:rPr>
              <w:color w:val="auto"/>
            </w:rPr>
            <w:t>3</w:t>
          </w:r>
          <w:r>
            <w:rPr>
              <w:color w:val="auto"/>
            </w:rPr>
            <w:fldChar w:fldCharType="end"/>
          </w:r>
          <w:r>
            <w:rPr>
              <w:rFonts w:hint="eastAsia"/>
              <w:bCs/>
              <w:color w:val="auto"/>
            </w:rPr>
            <w:fldChar w:fldCharType="end"/>
          </w:r>
        </w:p>
        <w:p>
          <w:pPr>
            <w:pStyle w:val="12"/>
            <w:tabs>
              <w:tab w:val="right" w:leader="dot" w:pos="8306"/>
            </w:tabs>
            <w:rPr>
              <w:color w:val="auto"/>
            </w:rPr>
          </w:pPr>
          <w:r>
            <w:rPr>
              <w:rFonts w:hint="eastAsia"/>
              <w:bCs/>
              <w:color w:val="auto"/>
            </w:rPr>
            <w:fldChar w:fldCharType="begin"/>
          </w:r>
          <w:r>
            <w:rPr>
              <w:rFonts w:hint="eastAsia"/>
              <w:bCs/>
              <w:color w:val="auto"/>
            </w:rPr>
            <w:instrText xml:space="preserve"> HYPERLINK \l _Toc16895 </w:instrText>
          </w:r>
          <w:r>
            <w:rPr>
              <w:rFonts w:hint="eastAsia"/>
              <w:bCs/>
              <w:color w:val="auto"/>
            </w:rPr>
            <w:fldChar w:fldCharType="separate"/>
          </w:r>
          <w:r>
            <w:rPr>
              <w:rFonts w:cs="宋体"/>
              <w:bCs w:val="0"/>
              <w:color w:val="auto"/>
            </w:rPr>
            <w:t>2、标准主要内容</w:t>
          </w:r>
          <w:r>
            <w:rPr>
              <w:color w:val="auto"/>
            </w:rPr>
            <w:tab/>
          </w:r>
          <w:r>
            <w:rPr>
              <w:color w:val="auto"/>
            </w:rPr>
            <w:fldChar w:fldCharType="begin"/>
          </w:r>
          <w:r>
            <w:rPr>
              <w:color w:val="auto"/>
            </w:rPr>
            <w:instrText xml:space="preserve"> PAGEREF _Toc16895 </w:instrText>
          </w:r>
          <w:r>
            <w:rPr>
              <w:color w:val="auto"/>
            </w:rPr>
            <w:fldChar w:fldCharType="separate"/>
          </w:r>
          <w:r>
            <w:rPr>
              <w:color w:val="auto"/>
            </w:rPr>
            <w:t>4</w:t>
          </w:r>
          <w:r>
            <w:rPr>
              <w:color w:val="auto"/>
            </w:rPr>
            <w:fldChar w:fldCharType="end"/>
          </w:r>
          <w:r>
            <w:rPr>
              <w:rFonts w:hint="eastAsia"/>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_Toc3786 </w:instrText>
          </w:r>
          <w:r>
            <w:rPr>
              <w:rFonts w:hint="eastAsia"/>
              <w:b/>
              <w:bCs/>
              <w:color w:val="auto"/>
            </w:rPr>
            <w:fldChar w:fldCharType="separate"/>
          </w:r>
          <w:r>
            <w:rPr>
              <w:rFonts w:hint="eastAsia"/>
              <w:b/>
              <w:bCs/>
              <w:color w:val="auto"/>
            </w:rPr>
            <w:t>三、标准中如涉及专利，应有明确的知识产权说明。</w:t>
          </w:r>
          <w:r>
            <w:rPr>
              <w:b/>
              <w:bCs/>
              <w:color w:val="auto"/>
            </w:rPr>
            <w:tab/>
          </w:r>
          <w:r>
            <w:rPr>
              <w:b/>
              <w:bCs/>
              <w:color w:val="auto"/>
            </w:rPr>
            <w:fldChar w:fldCharType="begin"/>
          </w:r>
          <w:r>
            <w:rPr>
              <w:b/>
              <w:bCs/>
              <w:color w:val="auto"/>
            </w:rPr>
            <w:instrText xml:space="preserve"> PAGEREF _Toc3786 </w:instrText>
          </w:r>
          <w:r>
            <w:rPr>
              <w:b/>
              <w:bCs/>
              <w:color w:val="auto"/>
            </w:rPr>
            <w:fldChar w:fldCharType="separate"/>
          </w:r>
          <w:r>
            <w:rPr>
              <w:b/>
              <w:bCs/>
              <w:color w:val="auto"/>
            </w:rPr>
            <w:t>14</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_Toc406 </w:instrText>
          </w:r>
          <w:r>
            <w:rPr>
              <w:rFonts w:hint="eastAsia"/>
              <w:b/>
              <w:bCs/>
              <w:color w:val="auto"/>
            </w:rPr>
            <w:fldChar w:fldCharType="separate"/>
          </w:r>
          <w:r>
            <w:rPr>
              <w:rFonts w:hint="eastAsia"/>
              <w:b/>
              <w:bCs/>
              <w:color w:val="auto"/>
            </w:rPr>
            <w:t>四、主要试验或验证的分析、综述报告、技术经济论证，预期的经济效果。</w:t>
          </w:r>
          <w:r>
            <w:rPr>
              <w:b/>
              <w:bCs/>
              <w:color w:val="auto"/>
            </w:rPr>
            <w:tab/>
          </w:r>
          <w:r>
            <w:rPr>
              <w:b/>
              <w:bCs/>
              <w:color w:val="auto"/>
            </w:rPr>
            <w:fldChar w:fldCharType="begin"/>
          </w:r>
          <w:r>
            <w:rPr>
              <w:b/>
              <w:bCs/>
              <w:color w:val="auto"/>
            </w:rPr>
            <w:instrText xml:space="preserve"> PAGEREF _Toc406 </w:instrText>
          </w:r>
          <w:r>
            <w:rPr>
              <w:b/>
              <w:bCs/>
              <w:color w:val="auto"/>
            </w:rPr>
            <w:fldChar w:fldCharType="separate"/>
          </w:r>
          <w:r>
            <w:rPr>
              <w:b/>
              <w:bCs/>
              <w:color w:val="auto"/>
            </w:rPr>
            <w:t>15</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_Toc21214 </w:instrText>
          </w:r>
          <w:r>
            <w:rPr>
              <w:rFonts w:hint="eastAsia"/>
              <w:b/>
              <w:bCs/>
              <w:color w:val="auto"/>
            </w:rPr>
            <w:fldChar w:fldCharType="separate"/>
          </w:r>
          <w:r>
            <w:rPr>
              <w:rFonts w:hint="eastAsia"/>
              <w:b/>
              <w:bCs/>
              <w:color w:val="auto"/>
            </w:rPr>
            <w:t>五、采用国际标准或国外先进标准的目的、意义和一致性程度；我国标准与被采用标准的主要差异及其原因；以及与国际、国外同类标准水平的对比情况。</w:t>
          </w:r>
          <w:r>
            <w:rPr>
              <w:b/>
              <w:bCs/>
              <w:color w:val="auto"/>
            </w:rPr>
            <w:tab/>
          </w:r>
          <w:r>
            <w:rPr>
              <w:b/>
              <w:bCs/>
              <w:color w:val="auto"/>
            </w:rPr>
            <w:fldChar w:fldCharType="begin"/>
          </w:r>
          <w:r>
            <w:rPr>
              <w:b/>
              <w:bCs/>
              <w:color w:val="auto"/>
            </w:rPr>
            <w:instrText xml:space="preserve"> PAGEREF _Toc21214 </w:instrText>
          </w:r>
          <w:r>
            <w:rPr>
              <w:b/>
              <w:bCs/>
              <w:color w:val="auto"/>
            </w:rPr>
            <w:fldChar w:fldCharType="separate"/>
          </w:r>
          <w:r>
            <w:rPr>
              <w:b/>
              <w:bCs/>
              <w:color w:val="auto"/>
            </w:rPr>
            <w:t>15</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_Toc622 </w:instrText>
          </w:r>
          <w:r>
            <w:rPr>
              <w:rFonts w:hint="eastAsia"/>
              <w:b/>
              <w:bCs/>
              <w:color w:val="auto"/>
            </w:rPr>
            <w:fldChar w:fldCharType="separate"/>
          </w:r>
          <w:r>
            <w:rPr>
              <w:rFonts w:hint="eastAsia"/>
              <w:b/>
              <w:bCs/>
              <w:color w:val="auto"/>
            </w:rPr>
            <w:t>六、与现行法律、法规、强制性国家标准及相关标准协调配套情况</w:t>
          </w:r>
          <w:r>
            <w:rPr>
              <w:rFonts w:hint="eastAsia"/>
              <w:b/>
              <w:bCs/>
              <w:color w:val="auto"/>
              <w:lang w:eastAsia="zh-CN"/>
            </w:rPr>
            <w:t>。</w:t>
          </w:r>
          <w:r>
            <w:rPr>
              <w:b/>
              <w:bCs/>
              <w:color w:val="auto"/>
            </w:rPr>
            <w:tab/>
          </w:r>
          <w:r>
            <w:rPr>
              <w:b/>
              <w:bCs/>
              <w:color w:val="auto"/>
            </w:rPr>
            <w:fldChar w:fldCharType="begin"/>
          </w:r>
          <w:r>
            <w:rPr>
              <w:b/>
              <w:bCs/>
              <w:color w:val="auto"/>
            </w:rPr>
            <w:instrText xml:space="preserve"> PAGEREF _Toc622 </w:instrText>
          </w:r>
          <w:r>
            <w:rPr>
              <w:b/>
              <w:bCs/>
              <w:color w:val="auto"/>
            </w:rPr>
            <w:fldChar w:fldCharType="separate"/>
          </w:r>
          <w:r>
            <w:rPr>
              <w:b/>
              <w:bCs/>
              <w:color w:val="auto"/>
            </w:rPr>
            <w:t>15</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_Toc26678 </w:instrText>
          </w:r>
          <w:r>
            <w:rPr>
              <w:rFonts w:hint="eastAsia"/>
              <w:b/>
              <w:bCs/>
              <w:color w:val="auto"/>
            </w:rPr>
            <w:fldChar w:fldCharType="separate"/>
          </w:r>
          <w:r>
            <w:rPr>
              <w:rFonts w:hint="eastAsia"/>
              <w:b/>
              <w:bCs/>
              <w:color w:val="auto"/>
            </w:rPr>
            <w:t>七、国外相关法律、法规和标准情况的说明。（只适用于强制性标准）</w:t>
          </w:r>
          <w:r>
            <w:rPr>
              <w:b/>
              <w:bCs/>
              <w:color w:val="auto"/>
            </w:rPr>
            <w:tab/>
          </w:r>
          <w:r>
            <w:rPr>
              <w:b/>
              <w:bCs/>
              <w:color w:val="auto"/>
            </w:rPr>
            <w:fldChar w:fldCharType="begin"/>
          </w:r>
          <w:r>
            <w:rPr>
              <w:b/>
              <w:bCs/>
              <w:color w:val="auto"/>
            </w:rPr>
            <w:instrText xml:space="preserve"> PAGEREF _Toc26678 </w:instrText>
          </w:r>
          <w:r>
            <w:rPr>
              <w:b/>
              <w:bCs/>
              <w:color w:val="auto"/>
            </w:rPr>
            <w:fldChar w:fldCharType="separate"/>
          </w:r>
          <w:r>
            <w:rPr>
              <w:b/>
              <w:bCs/>
              <w:color w:val="auto"/>
            </w:rPr>
            <w:t>19</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_Toc32100 </w:instrText>
          </w:r>
          <w:r>
            <w:rPr>
              <w:rFonts w:hint="eastAsia"/>
              <w:b/>
              <w:bCs/>
              <w:color w:val="auto"/>
            </w:rPr>
            <w:fldChar w:fldCharType="separate"/>
          </w:r>
          <w:r>
            <w:rPr>
              <w:rFonts w:hint="eastAsia"/>
              <w:b/>
              <w:bCs/>
              <w:color w:val="auto"/>
            </w:rPr>
            <w:t>八、重大分歧意见的处理经过和依据</w:t>
          </w:r>
          <w:r>
            <w:rPr>
              <w:b/>
              <w:bCs/>
              <w:color w:val="auto"/>
            </w:rPr>
            <w:tab/>
          </w:r>
          <w:r>
            <w:rPr>
              <w:b/>
              <w:bCs/>
              <w:color w:val="auto"/>
            </w:rPr>
            <w:fldChar w:fldCharType="begin"/>
          </w:r>
          <w:r>
            <w:rPr>
              <w:b/>
              <w:bCs/>
              <w:color w:val="auto"/>
            </w:rPr>
            <w:instrText xml:space="preserve"> PAGEREF _Toc32100 </w:instrText>
          </w:r>
          <w:r>
            <w:rPr>
              <w:b/>
              <w:bCs/>
              <w:color w:val="auto"/>
            </w:rPr>
            <w:fldChar w:fldCharType="separate"/>
          </w:r>
          <w:r>
            <w:rPr>
              <w:b/>
              <w:bCs/>
              <w:color w:val="auto"/>
            </w:rPr>
            <w:t>19</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_Toc15989 </w:instrText>
          </w:r>
          <w:r>
            <w:rPr>
              <w:rFonts w:hint="eastAsia"/>
              <w:b/>
              <w:bCs/>
              <w:color w:val="auto"/>
            </w:rPr>
            <w:fldChar w:fldCharType="separate"/>
          </w:r>
          <w:r>
            <w:rPr>
              <w:rFonts w:hint="eastAsia"/>
              <w:b/>
              <w:bCs/>
              <w:color w:val="auto"/>
            </w:rPr>
            <w:t>九、标准作为强制性或推荐性国家（或行业）标准的建议</w:t>
          </w:r>
          <w:r>
            <w:rPr>
              <w:b/>
              <w:bCs/>
              <w:color w:val="auto"/>
            </w:rPr>
            <w:tab/>
          </w:r>
          <w:r>
            <w:rPr>
              <w:b/>
              <w:bCs/>
              <w:color w:val="auto"/>
            </w:rPr>
            <w:fldChar w:fldCharType="begin"/>
          </w:r>
          <w:r>
            <w:rPr>
              <w:b/>
              <w:bCs/>
              <w:color w:val="auto"/>
            </w:rPr>
            <w:instrText xml:space="preserve"> PAGEREF _Toc15989 </w:instrText>
          </w:r>
          <w:r>
            <w:rPr>
              <w:b/>
              <w:bCs/>
              <w:color w:val="auto"/>
            </w:rPr>
            <w:fldChar w:fldCharType="separate"/>
          </w:r>
          <w:r>
            <w:rPr>
              <w:b/>
              <w:bCs/>
              <w:color w:val="auto"/>
            </w:rPr>
            <w:t>20</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_Toc15588 </w:instrText>
          </w:r>
          <w:r>
            <w:rPr>
              <w:rFonts w:hint="eastAsia"/>
              <w:b/>
              <w:bCs/>
              <w:color w:val="auto"/>
            </w:rPr>
            <w:fldChar w:fldCharType="separate"/>
          </w:r>
          <w:r>
            <w:rPr>
              <w:rFonts w:hint="eastAsia"/>
              <w:b/>
              <w:bCs/>
              <w:color w:val="auto"/>
            </w:rPr>
            <w:t>十、贯彻标准的要求和措施建议，包括：</w:t>
          </w:r>
          <w:r>
            <w:rPr>
              <w:b/>
              <w:bCs/>
              <w:color w:val="auto"/>
            </w:rPr>
            <w:tab/>
          </w:r>
          <w:r>
            <w:rPr>
              <w:b/>
              <w:bCs/>
              <w:color w:val="auto"/>
            </w:rPr>
            <w:fldChar w:fldCharType="begin"/>
          </w:r>
          <w:r>
            <w:rPr>
              <w:b/>
              <w:bCs/>
              <w:color w:val="auto"/>
            </w:rPr>
            <w:instrText xml:space="preserve"> PAGEREF _Toc15588 </w:instrText>
          </w:r>
          <w:r>
            <w:rPr>
              <w:b/>
              <w:bCs/>
              <w:color w:val="auto"/>
            </w:rPr>
            <w:fldChar w:fldCharType="separate"/>
          </w:r>
          <w:r>
            <w:rPr>
              <w:b/>
              <w:bCs/>
              <w:color w:val="auto"/>
            </w:rPr>
            <w:t>20</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_Toc29281 </w:instrText>
          </w:r>
          <w:r>
            <w:rPr>
              <w:rFonts w:hint="eastAsia"/>
              <w:b/>
              <w:bCs/>
              <w:color w:val="auto"/>
            </w:rPr>
            <w:fldChar w:fldCharType="separate"/>
          </w:r>
          <w:r>
            <w:rPr>
              <w:rFonts w:hint="eastAsia"/>
              <w:b/>
              <w:bCs/>
              <w:color w:val="auto"/>
            </w:rPr>
            <w:t>十一、设立标准实施过渡期的理由：根据国家经济、技术政策需要和该强制性标准涉及的产品的技术改造难度等因素，提出标准的实施日期的建议。（仅适用于强制性标准）</w:t>
          </w:r>
          <w:r>
            <w:rPr>
              <w:b/>
              <w:bCs/>
              <w:color w:val="auto"/>
            </w:rPr>
            <w:tab/>
          </w:r>
          <w:r>
            <w:rPr>
              <w:b/>
              <w:bCs/>
              <w:color w:val="auto"/>
            </w:rPr>
            <w:fldChar w:fldCharType="begin"/>
          </w:r>
          <w:r>
            <w:rPr>
              <w:b/>
              <w:bCs/>
              <w:color w:val="auto"/>
            </w:rPr>
            <w:instrText xml:space="preserve"> PAGEREF _Toc29281 </w:instrText>
          </w:r>
          <w:r>
            <w:rPr>
              <w:b/>
              <w:bCs/>
              <w:color w:val="auto"/>
            </w:rPr>
            <w:fldChar w:fldCharType="separate"/>
          </w:r>
          <w:r>
            <w:rPr>
              <w:b/>
              <w:bCs/>
              <w:color w:val="auto"/>
            </w:rPr>
            <w:t>20</w:t>
          </w:r>
          <w:r>
            <w:rPr>
              <w:b/>
              <w:bCs/>
              <w:color w:val="auto"/>
            </w:rPr>
            <w:fldChar w:fldCharType="end"/>
          </w:r>
          <w:r>
            <w:rPr>
              <w:rFonts w:hint="eastAsia"/>
              <w:b/>
              <w:bCs/>
              <w:color w:val="auto"/>
            </w:rPr>
            <w:fldChar w:fldCharType="end"/>
          </w:r>
        </w:p>
        <w:p>
          <w:pPr>
            <w:pStyle w:val="10"/>
            <w:tabs>
              <w:tab w:val="right" w:leader="dot" w:pos="8306"/>
            </w:tabs>
            <w:rPr>
              <w:b/>
              <w:bCs/>
              <w:color w:val="auto"/>
            </w:rPr>
          </w:pPr>
          <w:r>
            <w:rPr>
              <w:rFonts w:hint="eastAsia"/>
              <w:b/>
              <w:bCs/>
              <w:color w:val="auto"/>
            </w:rPr>
            <w:fldChar w:fldCharType="begin"/>
          </w:r>
          <w:r>
            <w:rPr>
              <w:rFonts w:hint="eastAsia"/>
              <w:b/>
              <w:bCs/>
              <w:color w:val="auto"/>
            </w:rPr>
            <w:instrText xml:space="preserve"> HYPERLINK \l _Toc7802 </w:instrText>
          </w:r>
          <w:r>
            <w:rPr>
              <w:rFonts w:hint="eastAsia"/>
              <w:b/>
              <w:bCs/>
              <w:color w:val="auto"/>
            </w:rPr>
            <w:fldChar w:fldCharType="separate"/>
          </w:r>
          <w:r>
            <w:rPr>
              <w:rFonts w:hint="eastAsia"/>
              <w:b/>
              <w:bCs/>
              <w:color w:val="auto"/>
            </w:rPr>
            <w:t>十二、废止现行有关标准的建议</w:t>
          </w:r>
          <w:r>
            <w:rPr>
              <w:b/>
              <w:bCs/>
              <w:color w:val="auto"/>
            </w:rPr>
            <w:tab/>
          </w:r>
          <w:r>
            <w:rPr>
              <w:b/>
              <w:bCs/>
              <w:color w:val="auto"/>
            </w:rPr>
            <w:fldChar w:fldCharType="begin"/>
          </w:r>
          <w:r>
            <w:rPr>
              <w:b/>
              <w:bCs/>
              <w:color w:val="auto"/>
            </w:rPr>
            <w:instrText xml:space="preserve"> PAGEREF _Toc7802 </w:instrText>
          </w:r>
          <w:r>
            <w:rPr>
              <w:b/>
              <w:bCs/>
              <w:color w:val="auto"/>
            </w:rPr>
            <w:fldChar w:fldCharType="separate"/>
          </w:r>
          <w:r>
            <w:rPr>
              <w:b/>
              <w:bCs/>
              <w:color w:val="auto"/>
            </w:rPr>
            <w:t>20</w:t>
          </w:r>
          <w:r>
            <w:rPr>
              <w:b/>
              <w:bCs/>
              <w:color w:val="auto"/>
            </w:rPr>
            <w:fldChar w:fldCharType="end"/>
          </w:r>
          <w:r>
            <w:rPr>
              <w:rFonts w:hint="eastAsia"/>
              <w:b/>
              <w:bCs/>
              <w:color w:val="auto"/>
            </w:rPr>
            <w:fldChar w:fldCharType="end"/>
          </w:r>
        </w:p>
        <w:p>
          <w:pPr>
            <w:pStyle w:val="10"/>
            <w:tabs>
              <w:tab w:val="right" w:leader="dot" w:pos="8306"/>
            </w:tabs>
            <w:rPr>
              <w:color w:val="auto"/>
            </w:rPr>
          </w:pPr>
          <w:r>
            <w:rPr>
              <w:rFonts w:hint="eastAsia"/>
              <w:b/>
              <w:bCs/>
              <w:color w:val="auto"/>
            </w:rPr>
            <w:fldChar w:fldCharType="begin"/>
          </w:r>
          <w:r>
            <w:rPr>
              <w:rFonts w:hint="eastAsia"/>
              <w:b/>
              <w:bCs/>
              <w:color w:val="auto"/>
            </w:rPr>
            <w:instrText xml:space="preserve"> HYPERLINK \l _Toc22451 </w:instrText>
          </w:r>
          <w:r>
            <w:rPr>
              <w:rFonts w:hint="eastAsia"/>
              <w:b/>
              <w:bCs/>
              <w:color w:val="auto"/>
            </w:rPr>
            <w:fldChar w:fldCharType="separate"/>
          </w:r>
          <w:r>
            <w:rPr>
              <w:rFonts w:hint="eastAsia"/>
              <w:b/>
              <w:bCs/>
              <w:color w:val="auto"/>
            </w:rPr>
            <w:t>十三、其他主要内容的解释和其他需要说明的事项。如系列标准或划分部分制定的标准的编号建议，参考文献目录等。</w:t>
          </w:r>
          <w:r>
            <w:rPr>
              <w:b/>
              <w:bCs/>
              <w:color w:val="auto"/>
            </w:rPr>
            <w:tab/>
          </w:r>
          <w:r>
            <w:rPr>
              <w:b/>
              <w:bCs/>
              <w:color w:val="auto"/>
            </w:rPr>
            <w:fldChar w:fldCharType="begin"/>
          </w:r>
          <w:r>
            <w:rPr>
              <w:b/>
              <w:bCs/>
              <w:color w:val="auto"/>
            </w:rPr>
            <w:instrText xml:space="preserve"> PAGEREF _Toc22451 </w:instrText>
          </w:r>
          <w:r>
            <w:rPr>
              <w:b/>
              <w:bCs/>
              <w:color w:val="auto"/>
            </w:rPr>
            <w:fldChar w:fldCharType="separate"/>
          </w:r>
          <w:r>
            <w:rPr>
              <w:b/>
              <w:bCs/>
              <w:color w:val="auto"/>
            </w:rPr>
            <w:t>21</w:t>
          </w:r>
          <w:r>
            <w:rPr>
              <w:b/>
              <w:bCs/>
              <w:color w:val="auto"/>
            </w:rPr>
            <w:fldChar w:fldCharType="end"/>
          </w:r>
          <w:r>
            <w:rPr>
              <w:rFonts w:hint="eastAsia"/>
              <w:b/>
              <w:bCs/>
              <w:color w:val="auto"/>
            </w:rPr>
            <w:fldChar w:fldCharType="end"/>
          </w:r>
        </w:p>
        <w:p>
          <w:pPr>
            <w:rPr>
              <w:rFonts w:hint="eastAsia"/>
              <w:color w:val="auto"/>
            </w:rPr>
          </w:pPr>
          <w:r>
            <w:rPr>
              <w:rFonts w:hint="eastAsia"/>
              <w:color w:val="auto"/>
            </w:rPr>
            <w:fldChar w:fldCharType="end"/>
          </w:r>
        </w:p>
      </w:sdtContent>
    </w:sdt>
    <w:p>
      <w:pPr>
        <w:pStyle w:val="2"/>
        <w:spacing w:line="360" w:lineRule="auto"/>
        <w:rPr>
          <w:rFonts w:hint="eastAsia"/>
          <w:color w:val="auto"/>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237"/>
    </w:p>
    <w:p>
      <w:pPr>
        <w:pStyle w:val="2"/>
        <w:spacing w:line="360" w:lineRule="auto"/>
        <w:rPr>
          <w:color w:val="auto"/>
        </w:rPr>
      </w:pPr>
      <w:r>
        <w:rPr>
          <w:rFonts w:hint="eastAsia"/>
          <w:color w:val="auto"/>
        </w:rPr>
        <w:t>一、工作简况</w:t>
      </w:r>
      <w:bookmarkEnd w:id="0"/>
    </w:p>
    <w:p>
      <w:pPr>
        <w:pStyle w:val="3"/>
        <w:spacing w:before="312" w:after="312" w:line="360" w:lineRule="auto"/>
        <w:rPr>
          <w:rFonts w:cs="宋体"/>
          <w:b/>
          <w:bCs w:val="0"/>
          <w:color w:val="auto"/>
          <w:sz w:val="21"/>
          <w:szCs w:val="21"/>
        </w:rPr>
      </w:pPr>
      <w:bookmarkStart w:id="1" w:name="_Toc12683"/>
      <w:r>
        <w:rPr>
          <w:rFonts w:hint="eastAsia" w:cs="宋体"/>
          <w:b/>
          <w:bCs w:val="0"/>
          <w:color w:val="auto"/>
          <w:sz w:val="21"/>
          <w:szCs w:val="21"/>
        </w:rPr>
        <w:t>1、任务来源</w:t>
      </w:r>
      <w:bookmarkEnd w:id="1"/>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十三五”是我国有色金属工业转型升级、提质增效，迈入世界有色金属工业强国行列的关键时期，经济增速放缓和需求结构的变化将使有色金属行业发展迎来重大转折，推进供给侧结构性改革、提质增效任务艰巨。《中华人民共和国国民经济和社会发展第十三个五年规划纲要》、《中国制造2025》、《国务院办公厅关于营造良好市场环境促进有色金属工业调结构促转型增效益的指导意见》（国办发〔2016〕42号）、《有色金属工业发展规划（2016-2020年）》等，提出要促进有色金属工业转型升级，创造竞争新优势</w:t>
      </w:r>
      <w:r>
        <w:rPr>
          <w:rFonts w:hint="eastAsia" w:ascii="宋体" w:hAnsi="宋体" w:eastAsia="宋体" w:cs="宋体"/>
          <w:color w:val="auto"/>
          <w:szCs w:val="21"/>
          <w:lang w:eastAsia="zh-CN"/>
        </w:rPr>
        <w:t>。</w:t>
      </w:r>
      <w:r>
        <w:rPr>
          <w:rFonts w:hint="eastAsia" w:ascii="宋体" w:hAnsi="宋体" w:eastAsia="宋体" w:cs="宋体"/>
          <w:color w:val="auto"/>
          <w:szCs w:val="21"/>
        </w:rPr>
        <w:t>坚持创新、协调、绿色、开放、共享发展理念，着力构建以“高端、智能、绿色、服务”为方向的新型制造业。实施绿色制造工程是实现产业转型升级的重要任务，也是有色金属冶炼行业实现绿色发展的有效途径，同时也是企业主动承担社会责任的必然选择。</w:t>
      </w:r>
    </w:p>
    <w:p>
      <w:pPr>
        <w:ind w:firstLine="420" w:firstLineChars="200"/>
        <w:rPr>
          <w:rFonts w:hint="eastAsia" w:ascii="宋体" w:hAnsi="宋体" w:eastAsia="宋体" w:cs="宋体"/>
          <w:bCs/>
          <w:color w:val="auto"/>
          <w:szCs w:val="21"/>
        </w:rPr>
      </w:pPr>
      <w:r>
        <w:rPr>
          <w:rFonts w:hint="eastAsia" w:ascii="宋体" w:hAnsi="宋体" w:eastAsia="宋体" w:cs="宋体"/>
          <w:color w:val="auto"/>
        </w:rPr>
        <w:t>近年来，工信部坚决贯彻落实党中央国务院的决策部署，从源头减少污染物的产生和排放。加大重点行业去产能力度，实现总量减排；大力推进传统制造业绿色智能化改造，强化源头减排；加快发展新兴产业，推动新旧动能转换。</w:t>
      </w:r>
      <w:r>
        <w:rPr>
          <w:rFonts w:hint="eastAsia" w:ascii="宋体" w:hAnsi="宋体" w:eastAsia="宋体" w:cs="宋体"/>
          <w:color w:val="auto"/>
          <w:szCs w:val="21"/>
        </w:rPr>
        <w:t>《中国制造2025》将“全面推动绿色制造”作为九大战略重点和任务之一，明确提出要“建设绿色工厂，实现厂房集约化、原料无害化、生产洁净化、废物资源化、能源低碳化”。</w:t>
      </w:r>
      <w:r>
        <w:rPr>
          <w:rFonts w:hint="eastAsia" w:ascii="宋体" w:hAnsi="宋体" w:eastAsia="宋体" w:cs="宋体"/>
          <w:bCs/>
          <w:color w:val="auto"/>
          <w:szCs w:val="21"/>
        </w:rPr>
        <w:t>有色金属是国民经济的重要基础原材料，在经济建设、国防建设和社会发展中发挥着重要作用。有色金属冶炼业属于节能减排重点行业</w:t>
      </w:r>
      <w:r>
        <w:rPr>
          <w:rFonts w:hint="eastAsia" w:ascii="宋体" w:hAnsi="宋体" w:eastAsia="宋体" w:cs="宋体"/>
          <w:bCs/>
          <w:color w:val="auto"/>
          <w:szCs w:val="21"/>
          <w:lang w:eastAsia="zh-CN"/>
        </w:rPr>
        <w:t>，</w:t>
      </w:r>
      <w:r>
        <w:rPr>
          <w:rFonts w:hint="eastAsia" w:ascii="宋体" w:hAnsi="宋体" w:eastAsia="宋体" w:cs="宋体"/>
          <w:color w:val="auto"/>
        </w:rPr>
        <w:t>绿色低碳循环发展，是有色金属冶炼业高质量发展的重要内容,</w:t>
      </w:r>
      <w:r>
        <w:rPr>
          <w:rFonts w:hint="eastAsia" w:ascii="宋体" w:hAnsi="宋体" w:eastAsia="宋体" w:cs="宋体"/>
          <w:bCs/>
          <w:color w:val="auto"/>
          <w:szCs w:val="21"/>
        </w:rPr>
        <w:t>引导有色金属冶炼业实现绿色发展是一项意义重大且十分迫切的任务。为此，有必要建立一套适合我国有色金属冶炼业发展特点的绿色工厂评价体系，制定并实施统一、规范的评价标准，树立行业绿色发展标杆，引导和规范有色金属冶炼工厂实施绿色制造。</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目前，国家标准《绿色工厂评价通则》</w:t>
      </w:r>
      <w:r>
        <w:rPr>
          <w:rFonts w:hint="eastAsia" w:ascii="宋体" w:hAnsi="宋体" w:eastAsia="宋体" w:cs="宋体"/>
          <w:color w:val="auto"/>
          <w:szCs w:val="21"/>
          <w:lang w:val="en-US" w:eastAsia="zh-CN"/>
        </w:rPr>
        <w:t>GB/T 36132-2018</w:t>
      </w:r>
      <w:r>
        <w:rPr>
          <w:rFonts w:hint="eastAsia" w:ascii="宋体" w:hAnsi="宋体" w:eastAsia="宋体" w:cs="宋体"/>
          <w:color w:val="auto"/>
          <w:szCs w:val="21"/>
        </w:rPr>
        <w:t>已经正式发布，由于各行业</w:t>
      </w:r>
      <w:r>
        <w:rPr>
          <w:rFonts w:hint="eastAsia" w:ascii="宋体" w:hAnsi="宋体" w:eastAsia="宋体" w:cs="宋体"/>
          <w:color w:val="auto"/>
          <w:szCs w:val="21"/>
          <w:lang w:eastAsia="zh-CN"/>
        </w:rPr>
        <w:t>差异较大</w:t>
      </w:r>
      <w:r>
        <w:rPr>
          <w:rFonts w:hint="eastAsia" w:ascii="宋体" w:hAnsi="宋体" w:eastAsia="宋体" w:cs="宋体"/>
          <w:color w:val="auto"/>
          <w:szCs w:val="21"/>
        </w:rPr>
        <w:t>，工业和信息化部决定在评价通则下设各重点行业评价导则，为贯彻落实《中国制造2025》、《绿色制造工程实施指南（2016-2020年）》，加快推进绿色制造，充分发挥工业节能与绿色标准的规范和引领作用，促进工业企业能效提升和绿色发展，依据《国务院关于印发深化标准化工作改革方案的通知》（国发〔2015〕13号）和《国务院办公厅关于加强节能标准化工作的意见》（国办发〔2015〕16号）精神，制定本标准。</w:t>
      </w:r>
    </w:p>
    <w:p>
      <w:pPr>
        <w:ind w:firstLine="420" w:firstLineChars="200"/>
        <w:rPr>
          <w:rFonts w:hint="eastAsia" w:ascii="宋体" w:hAnsi="宋体" w:eastAsia="宋体" w:cs="宋体"/>
          <w:color w:val="auto"/>
          <w:szCs w:val="21"/>
        </w:rPr>
      </w:pPr>
      <w:r>
        <w:rPr>
          <w:color w:val="auto"/>
          <w:lang w:val="zh-CN" w:bidi="zh-CN"/>
        </w:rPr>
        <w:t>根据工信部《工业和信息化部办公厅关于印发2018年第</w:t>
      </w:r>
      <w:r>
        <w:rPr>
          <w:rFonts w:hint="eastAsia"/>
          <w:color w:val="auto"/>
          <w:lang w:val="zh-CN" w:bidi="zh-CN"/>
        </w:rPr>
        <w:t>四</w:t>
      </w:r>
      <w:r>
        <w:rPr>
          <w:color w:val="auto"/>
          <w:lang w:val="zh-CN" w:bidi="zh-CN"/>
        </w:rPr>
        <w:t>批行业标准制修订计划的通知》（工信厅科[2018]</w:t>
      </w:r>
      <w:r>
        <w:rPr>
          <w:rFonts w:hint="eastAsia"/>
          <w:color w:val="auto"/>
          <w:lang w:val="en-US" w:bidi="zh-CN"/>
        </w:rPr>
        <w:t>73</w:t>
      </w:r>
      <w:r>
        <w:rPr>
          <w:color w:val="auto"/>
          <w:lang w:val="zh-CN" w:bidi="zh-CN"/>
        </w:rPr>
        <w:t>号）</w:t>
      </w:r>
      <w:r>
        <w:rPr>
          <w:rFonts w:hint="eastAsia" w:ascii="宋体" w:hAnsi="宋体" w:eastAsia="宋体" w:cs="宋体"/>
          <w:color w:val="auto"/>
          <w:szCs w:val="21"/>
          <w:lang w:eastAsia="zh-CN"/>
        </w:rPr>
        <w:t>、</w:t>
      </w:r>
      <w:r>
        <w:rPr>
          <w:rFonts w:hint="eastAsia" w:ascii="宋体" w:hAnsi="宋体" w:eastAsia="宋体" w:cs="宋体"/>
          <w:color w:val="auto"/>
          <w:szCs w:val="21"/>
        </w:rPr>
        <w:t>中国有色金属工业协会《关于下达2017年第二批协会标准制修订计划的通知》（中色协科字〔2017〕76 号）的计划安排以及《研究制定有色金属行业绿色制造体系建设实施方案委托合同》，由中国恩菲工程技术有限公司主编</w:t>
      </w:r>
      <w:r>
        <w:rPr>
          <w:rFonts w:hint="eastAsia" w:ascii="宋体" w:hAnsi="宋体" w:eastAsia="宋体" w:cs="宋体"/>
          <w:color w:val="auto"/>
          <w:szCs w:val="21"/>
          <w:lang w:eastAsia="zh-CN"/>
        </w:rPr>
        <w:t>、</w:t>
      </w:r>
      <w:r>
        <w:rPr>
          <w:rFonts w:hint="eastAsia"/>
          <w:color w:val="auto"/>
        </w:rPr>
        <w:t>大冶有色金属集团控股有限公司</w:t>
      </w:r>
      <w:r>
        <w:rPr>
          <w:rFonts w:hint="eastAsia"/>
          <w:color w:val="auto"/>
          <w:lang w:eastAsia="zh-CN"/>
        </w:rPr>
        <w:t>和</w:t>
      </w:r>
      <w:r>
        <w:rPr>
          <w:rFonts w:hint="eastAsia"/>
          <w:color w:val="auto"/>
        </w:rPr>
        <w:t>紫金铜业有限公司</w:t>
      </w:r>
      <w:r>
        <w:rPr>
          <w:rFonts w:hint="eastAsia" w:ascii="宋体" w:hAnsi="宋体" w:eastAsia="宋体" w:cs="宋体"/>
          <w:color w:val="auto"/>
          <w:szCs w:val="21"/>
        </w:rPr>
        <w:t>参编，共同组成《有色金属冶炼业绿色工厂评价导则》</w:t>
      </w:r>
      <w:r>
        <w:rPr>
          <w:rFonts w:hint="eastAsia" w:ascii="宋体" w:hAnsi="宋体" w:eastAsia="宋体" w:cs="宋体"/>
          <w:color w:val="auto"/>
          <w:szCs w:val="21"/>
          <w:lang w:eastAsia="zh-CN"/>
        </w:rPr>
        <w:t>编制</w:t>
      </w:r>
      <w:r>
        <w:rPr>
          <w:rFonts w:hint="eastAsia" w:ascii="宋体" w:hAnsi="宋体" w:eastAsia="宋体" w:cs="宋体"/>
          <w:color w:val="auto"/>
          <w:szCs w:val="21"/>
        </w:rPr>
        <w:t>组，进行标准</w:t>
      </w:r>
      <w:r>
        <w:rPr>
          <w:rFonts w:hint="eastAsia" w:ascii="宋体" w:hAnsi="宋体" w:eastAsia="宋体" w:cs="宋体"/>
          <w:color w:val="auto"/>
          <w:szCs w:val="21"/>
          <w:lang w:eastAsia="zh-CN"/>
        </w:rPr>
        <w:t>编制</w:t>
      </w:r>
      <w:r>
        <w:rPr>
          <w:rFonts w:hint="eastAsia" w:ascii="宋体" w:hAnsi="宋体" w:eastAsia="宋体" w:cs="宋体"/>
          <w:color w:val="auto"/>
          <w:szCs w:val="21"/>
        </w:rPr>
        <w:t>工作。</w:t>
      </w:r>
    </w:p>
    <w:p>
      <w:pPr>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有色金属冶炼业包含金属种类众多，各类有色金属冶炼厂在能耗指标限额、资源利用、环境排放、清洁生产指标等方面要求虽有不同，但从总体上考虑都有共同遵守的原则和要求。因此，制定一个有色</w:t>
      </w:r>
      <w:r>
        <w:rPr>
          <w:rFonts w:hint="eastAsia" w:ascii="宋体" w:hAnsi="宋体" w:eastAsia="宋体" w:cs="宋体"/>
          <w:bCs/>
          <w:color w:val="auto"/>
          <w:szCs w:val="21"/>
          <w:lang w:eastAsia="zh-CN"/>
        </w:rPr>
        <w:t>金属</w:t>
      </w:r>
      <w:r>
        <w:rPr>
          <w:rFonts w:hint="eastAsia" w:ascii="宋体" w:hAnsi="宋体" w:eastAsia="宋体" w:cs="宋体"/>
          <w:bCs/>
          <w:color w:val="auto"/>
          <w:szCs w:val="21"/>
        </w:rPr>
        <w:t>冶炼业共性的规定是有必要的。本标准规定了有色</w:t>
      </w:r>
      <w:r>
        <w:rPr>
          <w:rFonts w:hint="eastAsia" w:ascii="宋体" w:hAnsi="宋体" w:eastAsia="宋体" w:cs="宋体"/>
          <w:bCs/>
          <w:color w:val="auto"/>
          <w:szCs w:val="21"/>
          <w:lang w:eastAsia="zh-CN"/>
        </w:rPr>
        <w:t>金属</w:t>
      </w:r>
      <w:r>
        <w:rPr>
          <w:rFonts w:hint="eastAsia" w:ascii="宋体" w:hAnsi="宋体" w:eastAsia="宋体" w:cs="宋体"/>
          <w:bCs/>
          <w:color w:val="auto"/>
          <w:szCs w:val="21"/>
        </w:rPr>
        <w:t>冶炼业各金属种类需要达到的共性要求。</w:t>
      </w:r>
    </w:p>
    <w:p>
      <w:pPr>
        <w:pStyle w:val="27"/>
        <w:numPr>
          <w:ilvl w:val="0"/>
          <w:numId w:val="0"/>
        </w:num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本标准着眼于规范有色金属冶炼厂实现厂房集约化、原料无害化、生产洁净化、废物资源化、能源低碳化。有色</w:t>
      </w:r>
      <w:r>
        <w:rPr>
          <w:rFonts w:hint="eastAsia" w:ascii="宋体" w:hAnsi="宋体" w:eastAsia="宋体" w:cs="宋体"/>
          <w:color w:val="auto"/>
          <w:szCs w:val="21"/>
          <w:lang w:eastAsia="zh-CN"/>
        </w:rPr>
        <w:t>金属</w:t>
      </w:r>
      <w:r>
        <w:rPr>
          <w:rFonts w:hint="eastAsia" w:ascii="宋体" w:hAnsi="宋体" w:eastAsia="宋体" w:cs="宋体"/>
          <w:color w:val="auto"/>
          <w:szCs w:val="21"/>
        </w:rPr>
        <w:t>冶炼业绿色工厂应在保证产品功能、质量以及制造过程中人的职业健康安全的前提下，引入生命周期思想，优先选用绿色工艺、技术和设备，满足绿色工厂基本要求、基础设施、管理体系、能源与资源投入、产品、环境排放、绩效的综合评价要求。</w:t>
      </w:r>
    </w:p>
    <w:p>
      <w:pPr>
        <w:pStyle w:val="3"/>
        <w:spacing w:before="312" w:after="312" w:line="360" w:lineRule="auto"/>
        <w:rPr>
          <w:rFonts w:cs="宋体"/>
          <w:b/>
          <w:bCs w:val="0"/>
          <w:color w:val="auto"/>
          <w:sz w:val="21"/>
          <w:szCs w:val="21"/>
        </w:rPr>
      </w:pPr>
      <w:bookmarkStart w:id="2" w:name="_Toc27185"/>
      <w:r>
        <w:rPr>
          <w:rFonts w:hint="eastAsia" w:cs="宋体"/>
          <w:b/>
          <w:bCs w:val="0"/>
          <w:color w:val="auto"/>
          <w:sz w:val="21"/>
          <w:szCs w:val="21"/>
        </w:rPr>
        <w:t>2、标准起草单位</w:t>
      </w:r>
      <w:bookmarkEnd w:id="2"/>
    </w:p>
    <w:p>
      <w:pPr>
        <w:ind w:firstLine="424" w:firstLineChars="20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本标准由河南豫光金铅股份有限公司牵头，北京矿冶科技集团有限公司、国合通用测试评价认证股份公司、云南驰宏锌锗股份有限公司、白银有色集团股份有限公司等共同编制。</w:t>
      </w:r>
    </w:p>
    <w:p>
      <w:pPr>
        <w:pStyle w:val="3"/>
        <w:numPr>
          <w:ilvl w:val="1"/>
          <w:numId w:val="0"/>
        </w:numPr>
        <w:spacing w:before="312" w:after="312" w:line="360" w:lineRule="auto"/>
        <w:rPr>
          <w:rFonts w:cs="宋体"/>
          <w:color w:val="auto"/>
          <w:szCs w:val="21"/>
        </w:rPr>
      </w:pPr>
      <w:bookmarkStart w:id="3" w:name="_Toc11864"/>
      <w:r>
        <w:rPr>
          <w:rFonts w:hint="eastAsia" w:cs="宋体"/>
          <w:b/>
          <w:bCs w:val="0"/>
          <w:color w:val="auto"/>
          <w:sz w:val="21"/>
          <w:szCs w:val="21"/>
        </w:rPr>
        <w:t>3、主要工作过程</w:t>
      </w:r>
      <w:bookmarkEnd w:id="3"/>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2018年4月</w:t>
      </w:r>
      <w:r>
        <w:rPr>
          <w:rFonts w:hint="eastAsia" w:ascii="宋体" w:hAnsi="宋体" w:eastAsia="宋体" w:cs="宋体"/>
          <w:bCs/>
          <w:color w:val="auto"/>
          <w:szCs w:val="21"/>
          <w:lang w:eastAsia="zh-CN"/>
        </w:rPr>
        <w:t>，该标准通过</w:t>
      </w:r>
      <w:r>
        <w:rPr>
          <w:rFonts w:hint="eastAsia" w:ascii="宋体" w:hAnsi="宋体" w:eastAsia="宋体" w:cs="宋体"/>
          <w:bCs/>
          <w:color w:val="auto"/>
          <w:szCs w:val="21"/>
          <w:lang w:val="en-US" w:eastAsia="zh-CN"/>
        </w:rPr>
        <w:t>标委会列入标准计划，由河南豫光金铅股份有限公司牵头实施，5月份公司编写并提交了立项报告，包括标准编制的可行性、主要内容范围、公司概况、进度安排、资金筹措等方面内容。完成前期准备阶段工作。</w:t>
      </w:r>
    </w:p>
    <w:p>
      <w:pPr>
        <w:ind w:firstLine="420" w:firstLineChars="200"/>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2019年2月，标委会组织标准立项启动会，确认各项目任务、负责人、联系人及经费使用和管理办法，保证项目能按进度安排完成。</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2019年4月，公司</w:t>
      </w:r>
      <w:r>
        <w:rPr>
          <w:rFonts w:hint="eastAsia" w:ascii="宋体" w:hAnsi="宋体" w:eastAsia="宋体" w:cs="宋体"/>
          <w:bCs/>
          <w:color w:val="auto"/>
          <w:szCs w:val="21"/>
          <w:lang w:eastAsia="zh-CN"/>
        </w:rPr>
        <w:t>相关单位编制</w:t>
      </w:r>
      <w:r>
        <w:rPr>
          <w:rFonts w:hint="eastAsia" w:ascii="宋体" w:hAnsi="宋体" w:eastAsia="宋体" w:cs="宋体"/>
          <w:bCs/>
          <w:color w:val="auto"/>
          <w:szCs w:val="21"/>
        </w:rPr>
        <w:t>组经查阅相关文献资料，</w:t>
      </w:r>
      <w:r>
        <w:rPr>
          <w:rFonts w:hint="eastAsia" w:ascii="宋体" w:hAnsi="宋体" w:eastAsia="宋体" w:cs="宋体"/>
          <w:bCs/>
          <w:color w:val="auto"/>
          <w:szCs w:val="21"/>
          <w:lang w:eastAsia="zh-CN"/>
        </w:rPr>
        <w:t>与相关单位沟通，</w:t>
      </w:r>
      <w:r>
        <w:rPr>
          <w:rFonts w:hint="eastAsia" w:ascii="宋体" w:hAnsi="宋体" w:eastAsia="宋体" w:cs="宋体"/>
          <w:bCs/>
          <w:color w:val="auto"/>
          <w:szCs w:val="21"/>
        </w:rPr>
        <w:t>并根据《绿色工厂评价通则》要求，</w:t>
      </w:r>
      <w:r>
        <w:rPr>
          <w:rFonts w:hint="eastAsia" w:ascii="宋体" w:hAnsi="宋体" w:eastAsia="宋体" w:cs="宋体"/>
          <w:bCs/>
          <w:color w:val="auto"/>
          <w:szCs w:val="21"/>
          <w:lang w:eastAsia="zh-CN"/>
        </w:rPr>
        <w:t>以及恩菲公司正在编写的</w:t>
      </w:r>
      <w:r>
        <w:rPr>
          <w:rFonts w:hint="eastAsia" w:ascii="宋体" w:hAnsi="宋体" w:eastAsia="宋体" w:cs="宋体"/>
          <w:bCs/>
          <w:color w:val="auto"/>
          <w:szCs w:val="21"/>
        </w:rPr>
        <w:t>《有色金属冶炼业绿色工厂评价导则》</w:t>
      </w:r>
      <w:r>
        <w:rPr>
          <w:rFonts w:hint="eastAsia" w:ascii="宋体" w:hAnsi="宋体" w:eastAsia="宋体" w:cs="宋体"/>
          <w:bCs/>
          <w:color w:val="auto"/>
          <w:szCs w:val="21"/>
          <w:lang w:eastAsia="zh-CN"/>
        </w:rPr>
        <w:t>，</w:t>
      </w:r>
      <w:r>
        <w:rPr>
          <w:rFonts w:hint="eastAsia" w:ascii="宋体" w:hAnsi="宋体" w:eastAsia="宋体" w:cs="宋体"/>
          <w:bCs/>
          <w:color w:val="auto"/>
          <w:szCs w:val="21"/>
        </w:rPr>
        <w:t>将各成员的编写内容汇总成</w:t>
      </w:r>
      <w:r>
        <w:rPr>
          <w:rFonts w:hint="eastAsia" w:ascii="宋体" w:hAnsi="宋体" w:eastAsia="宋体" w:cs="宋体"/>
          <w:bCs/>
          <w:color w:val="auto"/>
          <w:szCs w:val="21"/>
          <w:lang w:eastAsia="zh-CN"/>
        </w:rPr>
        <w:t>草</w:t>
      </w:r>
      <w:r>
        <w:rPr>
          <w:rFonts w:hint="eastAsia" w:ascii="宋体" w:hAnsi="宋体" w:eastAsia="宋体" w:cs="宋体"/>
          <w:bCs/>
          <w:color w:val="auto"/>
          <w:szCs w:val="21"/>
        </w:rPr>
        <w:t>稿，并进行了内部</w:t>
      </w:r>
      <w:r>
        <w:rPr>
          <w:rFonts w:hint="eastAsia" w:ascii="宋体" w:hAnsi="宋体" w:eastAsia="宋体" w:cs="宋体"/>
          <w:bCs/>
          <w:color w:val="auto"/>
          <w:szCs w:val="21"/>
          <w:lang w:eastAsia="zh-CN"/>
        </w:rPr>
        <w:t>公司内部讨论</w:t>
      </w:r>
      <w:r>
        <w:rPr>
          <w:rFonts w:hint="eastAsia" w:ascii="宋体" w:hAnsi="宋体" w:eastAsia="宋体" w:cs="宋体"/>
          <w:bCs/>
          <w:color w:val="auto"/>
          <w:szCs w:val="21"/>
        </w:rPr>
        <w:t>、修改。</w:t>
      </w:r>
    </w:p>
    <w:p>
      <w:pPr>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201</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月，</w:t>
      </w:r>
      <w:r>
        <w:rPr>
          <w:rFonts w:hint="eastAsia" w:ascii="宋体" w:hAnsi="宋体" w:eastAsia="宋体" w:cs="宋体"/>
          <w:bCs/>
          <w:color w:val="auto"/>
          <w:szCs w:val="21"/>
          <w:lang w:eastAsia="zh-CN"/>
        </w:rPr>
        <w:t>公司</w:t>
      </w:r>
      <w:r>
        <w:rPr>
          <w:rFonts w:hint="eastAsia" w:ascii="宋体" w:hAnsi="宋体" w:eastAsia="宋体" w:cs="宋体"/>
          <w:bCs/>
          <w:color w:val="auto"/>
          <w:szCs w:val="21"/>
        </w:rPr>
        <w:t>完</w:t>
      </w:r>
      <w:r>
        <w:rPr>
          <w:rFonts w:hint="eastAsia" w:ascii="宋体" w:hAnsi="宋体" w:eastAsia="宋体" w:cs="宋体"/>
          <w:bCs/>
          <w:color w:val="auto"/>
          <w:szCs w:val="21"/>
          <w:lang w:eastAsia="zh-CN"/>
        </w:rPr>
        <w:t>成《铅冶炼业绿色工厂评价要求》（征求</w:t>
      </w:r>
      <w:r>
        <w:rPr>
          <w:rFonts w:hint="eastAsia" w:ascii="宋体" w:hAnsi="宋体" w:eastAsia="宋体" w:cs="宋体"/>
          <w:bCs/>
          <w:color w:val="auto"/>
          <w:szCs w:val="21"/>
        </w:rPr>
        <w:t>意见稿）</w:t>
      </w:r>
      <w:r>
        <w:rPr>
          <w:rFonts w:hint="eastAsia" w:ascii="宋体" w:hAnsi="宋体" w:eastAsia="宋体" w:cs="宋体"/>
          <w:bCs/>
          <w:color w:val="auto"/>
          <w:szCs w:val="21"/>
          <w:lang w:eastAsia="zh-CN"/>
        </w:rPr>
        <w:t>的编制</w:t>
      </w:r>
      <w:r>
        <w:rPr>
          <w:rFonts w:hint="eastAsia" w:ascii="宋体" w:hAnsi="宋体" w:eastAsia="宋体" w:cs="宋体"/>
          <w:bCs/>
          <w:color w:val="auto"/>
          <w:szCs w:val="21"/>
        </w:rPr>
        <w:t>，并将征求意见稿发给</w:t>
      </w:r>
      <w:r>
        <w:rPr>
          <w:rFonts w:hint="eastAsia" w:ascii="宋体" w:hAnsi="宋体" w:eastAsia="宋体" w:cs="宋体"/>
          <w:bCs/>
          <w:color w:val="auto"/>
          <w:szCs w:val="21"/>
          <w:lang w:val="en-US" w:eastAsia="zh-CN"/>
        </w:rPr>
        <w:t>11</w:t>
      </w:r>
      <w:r>
        <w:rPr>
          <w:rFonts w:hint="eastAsia" w:ascii="宋体" w:hAnsi="宋体" w:eastAsia="宋体" w:cs="宋体"/>
          <w:bCs/>
          <w:color w:val="auto"/>
          <w:szCs w:val="21"/>
        </w:rPr>
        <w:t>家有色金属冶炼</w:t>
      </w:r>
      <w:r>
        <w:rPr>
          <w:rFonts w:hint="eastAsia" w:ascii="宋体" w:hAnsi="宋体" w:eastAsia="宋体" w:cs="宋体"/>
          <w:bCs/>
          <w:color w:val="auto"/>
          <w:szCs w:val="21"/>
          <w:lang w:eastAsia="zh-CN"/>
        </w:rPr>
        <w:t>企业或绿色工厂评价标准</w:t>
      </w:r>
      <w:r>
        <w:rPr>
          <w:rFonts w:hint="eastAsia" w:ascii="宋体" w:hAnsi="宋体" w:eastAsia="宋体" w:cs="宋体"/>
          <w:bCs/>
          <w:color w:val="auto"/>
          <w:szCs w:val="21"/>
        </w:rPr>
        <w:t xml:space="preserve">相关企业征求意见。 </w:t>
      </w:r>
    </w:p>
    <w:p>
      <w:pPr>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201</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月</w:t>
      </w:r>
      <w:r>
        <w:rPr>
          <w:rFonts w:hint="eastAsia" w:ascii="宋体" w:hAnsi="宋体" w:eastAsia="宋体" w:cs="宋体"/>
          <w:bCs/>
          <w:color w:val="auto"/>
          <w:szCs w:val="21"/>
          <w:lang w:eastAsia="zh-CN"/>
        </w:rPr>
        <w:t>由标委会牵头，江西铜业组织对国内</w:t>
      </w:r>
      <w:r>
        <w:rPr>
          <w:rFonts w:hint="eastAsia" w:ascii="宋体" w:hAnsi="宋体" w:eastAsia="宋体" w:cs="宋体"/>
          <w:bCs/>
          <w:color w:val="auto"/>
          <w:szCs w:val="21"/>
          <w:lang w:val="en-US" w:eastAsia="zh-CN"/>
        </w:rPr>
        <w:t>6家大型铅冶炼企业</w:t>
      </w:r>
      <w:r>
        <w:rPr>
          <w:rFonts w:hint="eastAsia" w:ascii="宋体" w:hAnsi="宋体" w:eastAsia="宋体" w:cs="宋体"/>
          <w:bCs/>
          <w:color w:val="auto"/>
          <w:szCs w:val="21"/>
          <w:lang w:eastAsia="zh-CN"/>
        </w:rPr>
        <w:t>进行现了场交流调研，并根据调研情况修改，形成了</w:t>
      </w:r>
      <w:r>
        <w:rPr>
          <w:rFonts w:hint="eastAsia" w:ascii="宋体" w:hAnsi="宋体" w:eastAsia="宋体" w:cs="宋体"/>
          <w:bCs/>
          <w:color w:val="auto"/>
          <w:szCs w:val="21"/>
        </w:rPr>
        <w:t>预审稿</w:t>
      </w:r>
      <w:r>
        <w:rPr>
          <w:rFonts w:hint="eastAsia" w:ascii="宋体" w:hAnsi="宋体" w:eastAsia="宋体" w:cs="宋体"/>
          <w:bCs/>
          <w:color w:val="auto"/>
          <w:szCs w:val="21"/>
          <w:lang w:eastAsia="zh-CN"/>
        </w:rPr>
        <w:t>。</w:t>
      </w:r>
    </w:p>
    <w:p>
      <w:pPr>
        <w:pStyle w:val="3"/>
        <w:spacing w:before="312" w:after="312" w:line="360" w:lineRule="auto"/>
        <w:rPr>
          <w:b/>
          <w:bCs w:val="0"/>
          <w:color w:val="auto"/>
        </w:rPr>
      </w:pPr>
      <w:bookmarkStart w:id="4" w:name="_Toc22603"/>
      <w:r>
        <w:rPr>
          <w:rFonts w:cs="宋体"/>
          <w:b/>
          <w:bCs w:val="0"/>
          <w:color w:val="auto"/>
        </w:rPr>
        <w:t>4、标准主要</w:t>
      </w:r>
      <w:r>
        <w:rPr>
          <w:rFonts w:hint="eastAsia" w:cs="宋体"/>
          <w:b/>
          <w:bCs w:val="0"/>
          <w:color w:val="auto"/>
          <w:lang w:eastAsia="zh-CN"/>
        </w:rPr>
        <w:t>编制人员</w:t>
      </w:r>
      <w:r>
        <w:rPr>
          <w:b/>
          <w:bCs w:val="0"/>
          <w:color w:val="auto"/>
        </w:rPr>
        <w:t>及其所做的工作</w:t>
      </w:r>
      <w:bookmarkEnd w:id="4"/>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本标准主要</w:t>
      </w:r>
      <w:r>
        <w:rPr>
          <w:rFonts w:hint="eastAsia" w:ascii="宋体" w:hAnsi="宋体" w:eastAsia="宋体" w:cs="宋体"/>
          <w:bCs/>
          <w:color w:val="auto"/>
          <w:szCs w:val="21"/>
          <w:lang w:eastAsia="zh-CN"/>
        </w:rPr>
        <w:t>编制人员</w:t>
      </w:r>
      <w:r>
        <w:rPr>
          <w:rFonts w:hint="eastAsia" w:ascii="宋体" w:hAnsi="宋体" w:eastAsia="宋体" w:cs="宋体"/>
          <w:bCs/>
          <w:color w:val="auto"/>
          <w:szCs w:val="21"/>
        </w:rPr>
        <w:t>为</w:t>
      </w:r>
      <w:r>
        <w:rPr>
          <w:rFonts w:hint="eastAsia" w:ascii="宋体" w:hAnsi="宋体" w:eastAsia="宋体" w:cs="宋体"/>
          <w:color w:val="auto"/>
          <w:lang w:eastAsia="zh-CN"/>
        </w:rPr>
        <w:t>李泽、李贵、葛青</w:t>
      </w:r>
      <w:r>
        <w:rPr>
          <w:rFonts w:hint="eastAsia" w:ascii="宋体" w:hAnsi="宋体" w:eastAsia="宋体" w:cs="宋体"/>
          <w:bCs/>
          <w:color w:val="auto"/>
          <w:szCs w:val="21"/>
        </w:rPr>
        <w:t>等。其中，</w:t>
      </w:r>
      <w:r>
        <w:rPr>
          <w:rFonts w:hint="eastAsia" w:ascii="宋体" w:hAnsi="宋体" w:eastAsia="宋体" w:cs="宋体"/>
          <w:bCs/>
          <w:color w:val="auto"/>
          <w:szCs w:val="21"/>
          <w:lang w:eastAsia="zh-CN"/>
        </w:rPr>
        <w:t>李泽</w:t>
      </w:r>
      <w:r>
        <w:rPr>
          <w:rFonts w:hint="eastAsia" w:ascii="宋体" w:hAnsi="宋体" w:eastAsia="宋体" w:cs="宋体"/>
          <w:bCs/>
          <w:color w:val="auto"/>
          <w:szCs w:val="21"/>
        </w:rPr>
        <w:t>主要负责标准整体结构及</w:t>
      </w:r>
      <w:r>
        <w:rPr>
          <w:rFonts w:hint="eastAsia" w:ascii="宋体" w:hAnsi="宋体" w:eastAsia="宋体" w:cs="宋体"/>
          <w:bCs/>
          <w:color w:val="auto"/>
          <w:szCs w:val="21"/>
          <w:lang w:eastAsia="zh-CN"/>
        </w:rPr>
        <w:t>内容</w:t>
      </w:r>
      <w:r>
        <w:rPr>
          <w:rFonts w:hint="eastAsia" w:ascii="宋体" w:hAnsi="宋体" w:eastAsia="宋体" w:cs="宋体"/>
          <w:bCs/>
          <w:color w:val="auto"/>
          <w:szCs w:val="21"/>
        </w:rPr>
        <w:t>的起草</w:t>
      </w:r>
      <w:r>
        <w:rPr>
          <w:rFonts w:hint="eastAsia" w:ascii="宋体" w:hAnsi="宋体" w:eastAsia="宋体" w:cs="宋体"/>
          <w:bCs/>
          <w:color w:val="auto"/>
          <w:szCs w:val="21"/>
          <w:lang w:eastAsia="zh-CN"/>
        </w:rPr>
        <w:t>，李贵</w:t>
      </w:r>
      <w:r>
        <w:rPr>
          <w:rFonts w:hint="eastAsia" w:ascii="宋体" w:hAnsi="宋体" w:eastAsia="宋体" w:cs="宋体"/>
          <w:bCs/>
          <w:color w:val="auto"/>
          <w:szCs w:val="21"/>
        </w:rPr>
        <w:t>主要负责</w:t>
      </w:r>
      <w:r>
        <w:rPr>
          <w:rFonts w:hint="eastAsia" w:ascii="宋体" w:hAnsi="宋体" w:eastAsia="宋体" w:cs="宋体"/>
          <w:bCs/>
          <w:color w:val="auto"/>
          <w:szCs w:val="21"/>
          <w:lang w:eastAsia="zh-CN"/>
        </w:rPr>
        <w:t>外部调研协调、标准内容核对</w:t>
      </w:r>
      <w:r>
        <w:rPr>
          <w:rFonts w:hint="eastAsia" w:ascii="宋体" w:hAnsi="宋体" w:eastAsia="宋体" w:cs="宋体"/>
          <w:bCs/>
          <w:color w:val="auto"/>
          <w:szCs w:val="21"/>
        </w:rPr>
        <w:t>和</w:t>
      </w:r>
      <w:r>
        <w:rPr>
          <w:rFonts w:hint="eastAsia" w:ascii="宋体" w:hAnsi="宋体" w:eastAsia="宋体" w:cs="宋体"/>
          <w:bCs/>
          <w:color w:val="auto"/>
          <w:szCs w:val="21"/>
          <w:lang w:eastAsia="zh-CN"/>
        </w:rPr>
        <w:t>数据</w:t>
      </w:r>
      <w:r>
        <w:rPr>
          <w:rFonts w:hint="eastAsia" w:ascii="宋体" w:hAnsi="宋体" w:eastAsia="宋体" w:cs="宋体"/>
          <w:bCs/>
          <w:color w:val="auto"/>
          <w:szCs w:val="21"/>
        </w:rPr>
        <w:t>验证工作</w:t>
      </w:r>
      <w:r>
        <w:rPr>
          <w:rFonts w:hint="eastAsia" w:ascii="宋体" w:hAnsi="宋体" w:eastAsia="宋体" w:cs="宋体"/>
          <w:bCs/>
          <w:color w:val="auto"/>
          <w:szCs w:val="21"/>
          <w:lang w:eastAsia="zh-CN"/>
        </w:rPr>
        <w:t>、</w:t>
      </w:r>
      <w:r>
        <w:rPr>
          <w:rFonts w:hint="eastAsia" w:ascii="宋体" w:hAnsi="宋体" w:eastAsia="宋体" w:cs="宋体"/>
          <w:color w:val="auto"/>
          <w:lang w:eastAsia="zh-CN"/>
        </w:rPr>
        <w:t>葛青负责标准中具体评价要求的修订工作</w:t>
      </w:r>
      <w:r>
        <w:rPr>
          <w:rFonts w:hint="eastAsia" w:ascii="宋体" w:hAnsi="宋体" w:eastAsia="宋体" w:cs="宋体"/>
          <w:bCs/>
          <w:color w:val="auto"/>
          <w:szCs w:val="21"/>
        </w:rPr>
        <w:t>，其他</w:t>
      </w:r>
      <w:r>
        <w:rPr>
          <w:rFonts w:hint="eastAsia" w:ascii="宋体" w:hAnsi="宋体" w:eastAsia="宋体" w:cs="宋体"/>
          <w:bCs/>
          <w:color w:val="auto"/>
          <w:szCs w:val="21"/>
          <w:lang w:eastAsia="zh-CN"/>
        </w:rPr>
        <w:t>编制人员</w:t>
      </w:r>
      <w:r>
        <w:rPr>
          <w:rFonts w:hint="eastAsia" w:ascii="宋体" w:hAnsi="宋体" w:eastAsia="宋体" w:cs="宋体"/>
          <w:bCs/>
          <w:color w:val="auto"/>
          <w:szCs w:val="21"/>
        </w:rPr>
        <w:t>负责标准各具体章节的修改完善及验证工作。</w:t>
      </w:r>
    </w:p>
    <w:p>
      <w:pPr>
        <w:pStyle w:val="2"/>
        <w:numPr>
          <w:ilvl w:val="0"/>
          <w:numId w:val="2"/>
        </w:numPr>
        <w:spacing w:line="360" w:lineRule="auto"/>
        <w:rPr>
          <w:rFonts w:ascii="宋体" w:hAnsi="宋体" w:eastAsia="宋体" w:cs="宋体"/>
          <w:color w:val="auto"/>
        </w:rPr>
      </w:pPr>
      <w:bookmarkStart w:id="5" w:name="_Toc29998"/>
      <w:r>
        <w:rPr>
          <w:rFonts w:hint="eastAsia" w:ascii="宋体" w:hAnsi="宋体" w:eastAsia="宋体" w:cs="宋体"/>
          <w:color w:val="auto"/>
        </w:rPr>
        <w:t>标准编制原则和确定标准主要内容</w:t>
      </w:r>
      <w:bookmarkEnd w:id="5"/>
    </w:p>
    <w:p>
      <w:pPr>
        <w:pStyle w:val="3"/>
        <w:numPr>
          <w:ilvl w:val="0"/>
          <w:numId w:val="3"/>
        </w:numPr>
        <w:spacing w:before="312" w:after="312" w:line="360" w:lineRule="auto"/>
        <w:rPr>
          <w:rFonts w:cs="宋体"/>
          <w:b/>
          <w:bCs w:val="0"/>
          <w:color w:val="auto"/>
        </w:rPr>
      </w:pPr>
      <w:bookmarkStart w:id="6" w:name="_Toc5250"/>
      <w:r>
        <w:rPr>
          <w:rFonts w:hint="eastAsia" w:cs="宋体"/>
          <w:b/>
          <w:bCs w:val="0"/>
          <w:color w:val="auto"/>
        </w:rPr>
        <w:t>编制原则</w:t>
      </w:r>
      <w:bookmarkEnd w:id="6"/>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编制过程中遵循如下原则：</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（1）一致性原则</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标准尽可能与以下内容协调一致：</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a</w:t>
      </w:r>
      <w:r>
        <w:rPr>
          <w:rFonts w:ascii="宋体" w:hAnsi="宋体" w:eastAsia="宋体" w:cs="宋体"/>
          <w:bCs/>
          <w:color w:val="auto"/>
          <w:szCs w:val="21"/>
        </w:rPr>
        <w:t>)</w:t>
      </w:r>
      <w:r>
        <w:rPr>
          <w:rFonts w:hint="eastAsia" w:ascii="宋体" w:hAnsi="宋体" w:eastAsia="宋体" w:cs="宋体"/>
          <w:bCs/>
          <w:color w:val="auto"/>
          <w:szCs w:val="21"/>
        </w:rPr>
        <w:t>绿色制造</w:t>
      </w:r>
      <w:r>
        <w:rPr>
          <w:rFonts w:hint="eastAsia" w:ascii="宋体" w:hAnsi="宋体" w:eastAsia="宋体" w:cs="宋体"/>
          <w:bCs/>
          <w:color w:val="auto"/>
          <w:szCs w:val="21"/>
          <w:lang w:eastAsia="zh-CN"/>
        </w:rPr>
        <w:t>体系</w:t>
      </w:r>
      <w:r>
        <w:rPr>
          <w:rFonts w:hint="eastAsia" w:ascii="宋体" w:hAnsi="宋体" w:eastAsia="宋体" w:cs="宋体"/>
          <w:bCs/>
          <w:color w:val="auto"/>
          <w:szCs w:val="21"/>
        </w:rPr>
        <w:t>要求；</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b)相关法律、法规、政策、标准、管理办法；</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c)工业和信息化部绿色制造整体目标；</w:t>
      </w:r>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d</w:t>
      </w:r>
      <w:r>
        <w:rPr>
          <w:rFonts w:hint="eastAsia" w:ascii="宋体" w:hAnsi="宋体" w:eastAsia="宋体" w:cs="宋体"/>
          <w:bCs/>
          <w:color w:val="auto"/>
          <w:szCs w:val="21"/>
        </w:rPr>
        <w:t>)《绿色工厂评价通则》</w:t>
      </w:r>
      <w:r>
        <w:rPr>
          <w:rFonts w:hint="eastAsia" w:ascii="宋体" w:hAnsi="宋体" w:eastAsia="宋体" w:cs="宋体"/>
          <w:bCs/>
          <w:color w:val="auto"/>
          <w:szCs w:val="21"/>
          <w:lang w:eastAsia="zh-CN"/>
        </w:rPr>
        <w:t>；</w:t>
      </w:r>
    </w:p>
    <w:p>
      <w:pPr>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e）</w:t>
      </w:r>
      <w:r>
        <w:rPr>
          <w:rFonts w:hint="eastAsia" w:ascii="宋体" w:hAnsi="宋体" w:eastAsia="宋体" w:cs="宋体"/>
          <w:bCs/>
          <w:color w:val="auto"/>
          <w:szCs w:val="21"/>
        </w:rPr>
        <w:t>《有色金属冶炼业绿色工厂评价导则》</w:t>
      </w:r>
      <w:r>
        <w:rPr>
          <w:rFonts w:hint="eastAsia" w:ascii="宋体" w:hAnsi="宋体" w:eastAsia="宋体" w:cs="宋体"/>
          <w:bCs/>
          <w:color w:val="auto"/>
          <w:szCs w:val="21"/>
          <w:lang w:eastAsia="zh-CN"/>
        </w:rPr>
        <w:t>。</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 xml:space="preserve"> </w:t>
      </w:r>
      <w:r>
        <w:rPr>
          <w:rFonts w:hint="eastAsia" w:ascii="宋体" w:hAnsi="宋体" w:eastAsia="宋体" w:cs="宋体"/>
          <w:bCs/>
          <w:color w:val="auto"/>
          <w:szCs w:val="21"/>
        </w:rPr>
        <w:t>2）全面系统</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a)涵盖工厂生产的全过程、全链条和全要素；</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b)全面、系统建立绿色工厂评价体系。</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（3）突出行业特点</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在《绿色工厂评价通则》</w:t>
      </w:r>
      <w:r>
        <w:rPr>
          <w:rFonts w:hint="eastAsia" w:ascii="宋体" w:hAnsi="宋体" w:eastAsia="宋体" w:cs="宋体"/>
          <w:bCs/>
          <w:color w:val="auto"/>
          <w:szCs w:val="21"/>
          <w:lang w:eastAsia="zh-CN"/>
        </w:rPr>
        <w:t>、</w:t>
      </w:r>
      <w:r>
        <w:rPr>
          <w:rFonts w:hint="eastAsia" w:ascii="宋体" w:hAnsi="宋体" w:eastAsia="宋体" w:cs="宋体"/>
          <w:bCs/>
          <w:color w:val="auto"/>
          <w:szCs w:val="21"/>
        </w:rPr>
        <w:t>《有色金属冶炼业绿色工厂评价导则》的基础上突出</w:t>
      </w:r>
      <w:r>
        <w:rPr>
          <w:rFonts w:hint="eastAsia" w:ascii="宋体" w:hAnsi="宋体" w:eastAsia="宋体" w:cs="宋体"/>
          <w:bCs/>
          <w:color w:val="auto"/>
          <w:szCs w:val="21"/>
          <w:lang w:eastAsia="zh-CN"/>
        </w:rPr>
        <w:t>铅</w:t>
      </w:r>
      <w:r>
        <w:rPr>
          <w:rFonts w:hint="eastAsia" w:ascii="宋体" w:hAnsi="宋体" w:eastAsia="宋体" w:cs="宋体"/>
          <w:bCs/>
          <w:color w:val="auto"/>
          <w:szCs w:val="21"/>
        </w:rPr>
        <w:t>冶炼业的特点，重点关注</w:t>
      </w:r>
      <w:r>
        <w:rPr>
          <w:rFonts w:hint="eastAsia" w:ascii="宋体" w:hAnsi="宋体" w:eastAsia="宋体" w:cs="宋体"/>
          <w:bCs/>
          <w:color w:val="auto"/>
          <w:szCs w:val="21"/>
          <w:lang w:eastAsia="zh-CN"/>
        </w:rPr>
        <w:t>工厂</w:t>
      </w:r>
      <w:r>
        <w:rPr>
          <w:rFonts w:hint="eastAsia" w:ascii="宋体" w:hAnsi="宋体" w:eastAsia="宋体" w:cs="宋体"/>
          <w:bCs/>
          <w:color w:val="auto"/>
          <w:szCs w:val="21"/>
        </w:rPr>
        <w:t>的能源投入、环境排放和绩效指标。</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（4）适用可操作</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a)在</w:t>
      </w:r>
      <w:r>
        <w:rPr>
          <w:rFonts w:hint="eastAsia" w:ascii="宋体" w:hAnsi="宋体" w:eastAsia="宋体" w:cs="宋体"/>
          <w:bCs/>
          <w:color w:val="auto"/>
          <w:szCs w:val="21"/>
          <w:lang w:eastAsia="zh-CN"/>
        </w:rPr>
        <w:t>工厂</w:t>
      </w:r>
      <w:r>
        <w:rPr>
          <w:rFonts w:hint="eastAsia" w:ascii="宋体" w:hAnsi="宋体" w:eastAsia="宋体" w:cs="宋体"/>
          <w:bCs/>
          <w:color w:val="auto"/>
          <w:szCs w:val="21"/>
        </w:rPr>
        <w:t>现有管理体系基础上增加绿色工厂管理要求；</w:t>
      </w:r>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b)遵循“</w:t>
      </w:r>
      <w:r>
        <w:rPr>
          <w:rFonts w:ascii="宋体" w:hAnsi="宋体" w:eastAsia="宋体" w:cs="宋体"/>
          <w:bCs/>
          <w:color w:val="auto"/>
          <w:szCs w:val="21"/>
        </w:rPr>
        <w:t>PDCA</w:t>
      </w:r>
      <w:r>
        <w:rPr>
          <w:rFonts w:hint="eastAsia" w:ascii="宋体" w:hAnsi="宋体" w:eastAsia="宋体" w:cs="宋体"/>
          <w:bCs/>
          <w:color w:val="auto"/>
          <w:szCs w:val="21"/>
          <w:lang w:eastAsia="zh-CN"/>
        </w:rPr>
        <w:t>管理循环</w:t>
      </w:r>
      <w:r>
        <w:rPr>
          <w:rFonts w:hint="eastAsia" w:ascii="宋体" w:hAnsi="宋体" w:eastAsia="宋体" w:cs="宋体"/>
          <w:bCs/>
          <w:color w:val="auto"/>
          <w:szCs w:val="21"/>
        </w:rPr>
        <w:t>”模式，降低标准实施的难度；</w:t>
      </w:r>
    </w:p>
    <w:p>
      <w:pPr>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c)立足国内</w:t>
      </w:r>
      <w:r>
        <w:rPr>
          <w:rFonts w:hint="eastAsia" w:ascii="宋体" w:hAnsi="宋体" w:eastAsia="宋体" w:cs="宋体"/>
          <w:bCs/>
          <w:color w:val="auto"/>
          <w:szCs w:val="21"/>
          <w:lang w:eastAsia="zh-CN"/>
        </w:rPr>
        <w:t>铅冶炼</w:t>
      </w:r>
      <w:r>
        <w:rPr>
          <w:rFonts w:hint="eastAsia" w:ascii="宋体" w:hAnsi="宋体" w:eastAsia="宋体" w:cs="宋体"/>
          <w:bCs/>
          <w:color w:val="auto"/>
          <w:szCs w:val="21"/>
        </w:rPr>
        <w:t>企业绿色制造实际与工业和信息化部建设绿色制造体系、全面创建绿色工厂的要求，确保标准的可操作性。</w:t>
      </w:r>
    </w:p>
    <w:p>
      <w:pPr>
        <w:pStyle w:val="3"/>
        <w:rPr>
          <w:rFonts w:hint="eastAsia"/>
          <w:b/>
          <w:bCs w:val="0"/>
          <w:color w:val="auto"/>
          <w:lang w:val="en-US" w:eastAsia="zh-CN"/>
        </w:rPr>
      </w:pPr>
      <w:r>
        <w:rPr>
          <w:rFonts w:hint="eastAsia"/>
          <w:b/>
          <w:bCs w:val="0"/>
          <w:color w:val="auto"/>
          <w:lang w:val="en-US" w:eastAsia="zh-CN"/>
        </w:rPr>
        <w:t>2、评价方法</w:t>
      </w:r>
    </w:p>
    <w:p>
      <w:pPr>
        <w:ind w:firstLine="420"/>
        <w:rPr>
          <w:rFonts w:hint="eastAsia"/>
          <w:color w:val="auto"/>
          <w:lang w:val="en-US" w:eastAsia="zh-CN"/>
        </w:rPr>
      </w:pPr>
      <w:r>
        <w:rPr>
          <w:rFonts w:hint="eastAsia" w:ascii="宋体" w:hAnsi="宋体" w:eastAsia="宋体" w:cs="宋体"/>
          <w:color w:val="auto"/>
          <w:lang w:val="en-US" w:eastAsia="zh-CN"/>
        </w:rPr>
        <w:t>与</w:t>
      </w:r>
      <w:r>
        <w:rPr>
          <w:rFonts w:hint="eastAsia" w:ascii="宋体" w:hAnsi="宋体" w:eastAsia="宋体" w:cs="宋体"/>
          <w:bCs/>
          <w:color w:val="auto"/>
          <w:szCs w:val="21"/>
        </w:rPr>
        <w:t>《绿色工厂评价通则》</w:t>
      </w:r>
      <w:r>
        <w:rPr>
          <w:rFonts w:hint="eastAsia" w:ascii="宋体" w:hAnsi="宋体" w:eastAsia="宋体" w:cs="宋体"/>
          <w:bCs/>
          <w:color w:val="auto"/>
          <w:szCs w:val="21"/>
          <w:lang w:eastAsia="zh-CN"/>
        </w:rPr>
        <w:t>、</w:t>
      </w:r>
      <w:r>
        <w:rPr>
          <w:rFonts w:hint="eastAsia" w:ascii="宋体" w:hAnsi="宋体" w:eastAsia="宋体" w:cs="宋体"/>
          <w:bCs/>
          <w:color w:val="auto"/>
          <w:szCs w:val="21"/>
        </w:rPr>
        <w:t>《有色金属冶炼业绿色工厂评价导则》</w:t>
      </w:r>
      <w:r>
        <w:rPr>
          <w:rFonts w:hint="eastAsia" w:ascii="宋体" w:hAnsi="宋体" w:eastAsia="宋体" w:cs="宋体"/>
          <w:color w:val="auto"/>
          <w:lang w:val="en-US" w:eastAsia="zh-CN"/>
        </w:rPr>
        <w:t>的评</w:t>
      </w:r>
      <w:r>
        <w:rPr>
          <w:rFonts w:hint="eastAsia"/>
          <w:color w:val="auto"/>
          <w:lang w:val="en-US" w:eastAsia="zh-CN"/>
        </w:rPr>
        <w:t>价方法一致</w:t>
      </w:r>
      <w:r>
        <w:rPr>
          <w:color w:val="auto"/>
        </w:rPr>
        <w:t>，</w:t>
      </w:r>
      <w:r>
        <w:rPr>
          <w:rFonts w:hint="eastAsia"/>
          <w:color w:val="auto"/>
          <w:lang w:eastAsia="zh-CN"/>
        </w:rPr>
        <w:t>绿色工厂</w:t>
      </w:r>
      <w:r>
        <w:rPr>
          <w:color w:val="auto"/>
        </w:rPr>
        <w:t>同时满足以下条件，按照相关程序要求经过公示无异议后的可称为</w:t>
      </w:r>
      <w:r>
        <w:rPr>
          <w:rFonts w:hint="eastAsia"/>
          <w:color w:val="auto"/>
          <w:lang w:eastAsia="zh-CN"/>
        </w:rPr>
        <w:t>绿色工厂。</w:t>
      </w:r>
    </w:p>
    <w:p>
      <w:pPr>
        <w:pStyle w:val="3"/>
        <w:numPr>
          <w:ilvl w:val="0"/>
          <w:numId w:val="0"/>
        </w:numPr>
        <w:ind w:leftChars="0"/>
        <w:rPr>
          <w:rFonts w:hint="eastAsia"/>
          <w:b/>
          <w:bCs w:val="0"/>
          <w:color w:val="auto"/>
          <w:lang w:val="en-US" w:eastAsia="zh-CN"/>
        </w:rPr>
      </w:pPr>
      <w:r>
        <w:rPr>
          <w:rFonts w:hint="eastAsia"/>
          <w:b/>
          <w:bCs w:val="0"/>
          <w:color w:val="auto"/>
          <w:lang w:val="en-US" w:eastAsia="zh-CN"/>
        </w:rPr>
        <w:t>3、评价流程</w:t>
      </w:r>
    </w:p>
    <w:p>
      <w:pPr>
        <w:numPr>
          <w:ilvl w:val="0"/>
          <w:numId w:val="0"/>
        </w:numPr>
        <w:ind w:leftChars="0" w:firstLine="420" w:firstLineChars="200"/>
        <w:rPr>
          <w:rFonts w:hint="eastAsia"/>
          <w:color w:val="auto"/>
          <w:lang w:val="en-US" w:eastAsia="zh-CN"/>
        </w:rPr>
      </w:pPr>
      <w:r>
        <w:rPr>
          <w:rFonts w:hint="eastAsia"/>
          <w:color w:val="auto"/>
          <w:lang w:val="en-US" w:eastAsia="zh-CN"/>
        </w:rPr>
        <w:t>规定评价应建立规范的评价工作流程，包括评价准备、组建评价组、制定评价方案、预评价、现场评价、编制评价报告、技术评审等。</w:t>
      </w:r>
    </w:p>
    <w:p>
      <w:pPr>
        <w:pStyle w:val="3"/>
        <w:spacing w:before="312" w:after="312" w:line="360" w:lineRule="auto"/>
        <w:rPr>
          <w:rFonts w:cs="宋体"/>
          <w:b/>
          <w:bCs w:val="0"/>
          <w:color w:val="auto"/>
        </w:rPr>
      </w:pPr>
      <w:bookmarkStart w:id="7" w:name="_Toc16895"/>
      <w:r>
        <w:rPr>
          <w:rFonts w:hint="eastAsia" w:cs="宋体"/>
          <w:b/>
          <w:bCs w:val="0"/>
          <w:color w:val="auto"/>
          <w:lang w:val="en-US" w:eastAsia="zh-CN"/>
        </w:rPr>
        <w:t>4</w:t>
      </w:r>
      <w:r>
        <w:rPr>
          <w:rFonts w:cs="宋体"/>
          <w:b/>
          <w:bCs w:val="0"/>
          <w:color w:val="auto"/>
        </w:rPr>
        <w:t>、标准主要内容</w:t>
      </w:r>
      <w:bookmarkEnd w:id="7"/>
    </w:p>
    <w:p>
      <w:pPr>
        <w:ind w:firstLine="420" w:firstLineChars="200"/>
        <w:rPr>
          <w:rFonts w:ascii="宋体" w:hAnsi="宋体" w:eastAsia="宋体" w:cs="宋体"/>
          <w:b/>
          <w:bCs/>
          <w:color w:val="auto"/>
        </w:rPr>
      </w:pPr>
      <w:r>
        <w:rPr>
          <w:rFonts w:hint="eastAsia" w:ascii="宋体" w:hAnsi="宋体" w:eastAsia="宋体" w:cs="宋体"/>
          <w:color w:val="auto"/>
        </w:rPr>
        <w:t>根据</w:t>
      </w:r>
      <w:r>
        <w:rPr>
          <w:rFonts w:hint="eastAsia" w:ascii="宋体" w:hAnsi="宋体" w:eastAsia="宋体" w:cs="宋体"/>
          <w:bCs/>
          <w:color w:val="auto"/>
          <w:szCs w:val="21"/>
        </w:rPr>
        <w:t>《绿色工厂评价通则》</w:t>
      </w:r>
      <w:r>
        <w:rPr>
          <w:rFonts w:hint="eastAsia" w:ascii="宋体" w:hAnsi="宋体" w:eastAsia="宋体" w:cs="宋体"/>
          <w:bCs/>
          <w:color w:val="auto"/>
          <w:szCs w:val="21"/>
          <w:lang w:eastAsia="zh-CN"/>
        </w:rPr>
        <w:t>、</w:t>
      </w:r>
      <w:r>
        <w:rPr>
          <w:rFonts w:hint="eastAsia" w:ascii="宋体" w:hAnsi="宋体" w:eastAsia="宋体" w:cs="宋体"/>
          <w:bCs/>
          <w:color w:val="auto"/>
          <w:szCs w:val="21"/>
        </w:rPr>
        <w:t>《有色金属冶炼业绿色工厂评价导则》</w:t>
      </w:r>
      <w:r>
        <w:rPr>
          <w:rFonts w:hint="eastAsia" w:ascii="宋体" w:hAnsi="宋体" w:eastAsia="宋体" w:cs="宋体"/>
          <w:color w:val="auto"/>
        </w:rPr>
        <w:t>，本</w:t>
      </w:r>
      <w:r>
        <w:rPr>
          <w:rFonts w:hint="eastAsia" w:ascii="宋体" w:hAnsi="宋体" w:eastAsia="宋体" w:cs="宋体"/>
          <w:color w:val="auto"/>
          <w:lang w:eastAsia="zh-CN"/>
        </w:rPr>
        <w:t>标准</w:t>
      </w:r>
      <w:r>
        <w:rPr>
          <w:rFonts w:hint="eastAsia" w:ascii="宋体" w:hAnsi="宋体" w:eastAsia="宋体" w:cs="宋体"/>
          <w:color w:val="auto"/>
        </w:rPr>
        <w:t>设置了8个章节内容，具体包括：</w:t>
      </w:r>
    </w:p>
    <w:p>
      <w:pPr>
        <w:rPr>
          <w:rFonts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.1范围</w:t>
      </w:r>
    </w:p>
    <w:p>
      <w:pPr>
        <w:ind w:firstLine="420" w:firstLineChars="200"/>
        <w:rPr>
          <w:rFonts w:hint="eastAsia"/>
          <w:color w:val="auto"/>
          <w:lang w:eastAsia="zh-CN"/>
        </w:rPr>
      </w:pPr>
      <w:r>
        <w:rPr>
          <w:rFonts w:hint="eastAsia"/>
          <w:color w:val="auto"/>
        </w:rPr>
        <w:t>规定了</w:t>
      </w:r>
      <w:r>
        <w:rPr>
          <w:rFonts w:hint="eastAsia"/>
          <w:color w:val="auto"/>
          <w:lang w:eastAsia="zh-CN"/>
        </w:rPr>
        <w:t>铅</w:t>
      </w:r>
      <w:r>
        <w:rPr>
          <w:rFonts w:hint="eastAsia"/>
          <w:color w:val="auto"/>
        </w:rPr>
        <w:t>冶炼业绿色工厂评价的总则、评价要求及评价方法等</w:t>
      </w:r>
      <w:r>
        <w:rPr>
          <w:rFonts w:hint="eastAsia"/>
          <w:color w:val="auto"/>
          <w:lang w:eastAsia="zh-CN"/>
        </w:rPr>
        <w:t>。</w:t>
      </w:r>
    </w:p>
    <w:p>
      <w:pPr>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.2规范性引用文件</w:t>
      </w:r>
    </w:p>
    <w:p>
      <w:pPr>
        <w:ind w:firstLine="420" w:firstLineChars="200"/>
        <w:rPr>
          <w:color w:val="auto"/>
          <w:szCs w:val="21"/>
        </w:rPr>
      </w:pPr>
      <w:r>
        <w:rPr>
          <w:color w:val="auto"/>
          <w:szCs w:val="21"/>
        </w:rPr>
        <w:t>下列文件</w:t>
      </w:r>
      <w:r>
        <w:rPr>
          <w:rFonts w:hint="eastAsia"/>
          <w:color w:val="auto"/>
          <w:szCs w:val="21"/>
        </w:rPr>
        <w:t>对于本文件的应用是必不可少的</w:t>
      </w:r>
      <w:r>
        <w:rPr>
          <w:color w:val="auto"/>
          <w:szCs w:val="21"/>
        </w:rPr>
        <w:t>。凡是注日期的引用文件，</w:t>
      </w:r>
      <w:r>
        <w:rPr>
          <w:rFonts w:hint="eastAsia"/>
          <w:color w:val="auto"/>
          <w:szCs w:val="21"/>
        </w:rPr>
        <w:t>仅注日期的版本适用于本文件</w:t>
      </w:r>
      <w:r>
        <w:rPr>
          <w:color w:val="auto"/>
          <w:szCs w:val="21"/>
        </w:rPr>
        <w:t>。凡是不注日期的引用文件，其最新版本</w:t>
      </w:r>
      <w:r>
        <w:rPr>
          <w:rFonts w:hint="eastAsia"/>
          <w:color w:val="auto"/>
          <w:szCs w:val="21"/>
        </w:rPr>
        <w:t>（包括所有的修改单）</w:t>
      </w:r>
      <w:r>
        <w:rPr>
          <w:color w:val="auto"/>
          <w:szCs w:val="21"/>
        </w:rPr>
        <w:t>适用于本</w:t>
      </w:r>
      <w:r>
        <w:rPr>
          <w:rFonts w:hint="eastAsia"/>
          <w:color w:val="auto"/>
          <w:szCs w:val="21"/>
        </w:rPr>
        <w:t>文件</w:t>
      </w:r>
      <w:r>
        <w:rPr>
          <w:color w:val="auto"/>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val="0"/>
        <w:spacing w:before="0" w:beforeAutospacing="0" w:after="0" w:afterAutospacing="0"/>
        <w:ind w:left="0" w:right="4080" w:firstLine="420" w:firstLineChars="200"/>
        <w:rPr>
          <w:rFonts w:hint="default" w:asciiTheme="minorHAnsi" w:hAnsiTheme="minorHAnsi" w:eastAsiaTheme="minorEastAsia" w:cstheme="minorBidi"/>
          <w:b w:val="0"/>
          <w:color w:val="auto"/>
          <w:kern w:val="2"/>
          <w:sz w:val="21"/>
          <w:szCs w:val="24"/>
          <w:lang w:val="en-US" w:eastAsia="zh-CN" w:bidi="ar-SA"/>
        </w:rPr>
      </w:pPr>
      <w:r>
        <w:rPr>
          <w:rFonts w:hint="eastAsia" w:asciiTheme="minorHAnsi" w:hAnsiTheme="minorHAnsi" w:eastAsiaTheme="minorEastAsia" w:cstheme="minorBidi"/>
          <w:b w:val="0"/>
          <w:color w:val="auto"/>
          <w:kern w:val="2"/>
          <w:sz w:val="21"/>
          <w:szCs w:val="24"/>
          <w:lang w:val="en-US" w:eastAsia="zh-CN" w:bidi="ar-SA"/>
        </w:rPr>
        <w:t>GB4053 固定式钢梯及平台安全要求</w:t>
      </w:r>
    </w:p>
    <w:p>
      <w:pPr>
        <w:ind w:firstLine="420" w:firstLineChars="200"/>
        <w:rPr>
          <w:color w:val="auto"/>
        </w:rPr>
      </w:pPr>
      <w:r>
        <w:rPr>
          <w:rFonts w:hint="eastAsia"/>
          <w:color w:val="auto"/>
        </w:rPr>
        <w:t>GB/T 4754 国民经济行业分类</w:t>
      </w:r>
    </w:p>
    <w:p>
      <w:pPr>
        <w:ind w:firstLine="420" w:firstLineChars="200"/>
        <w:rPr>
          <w:rFonts w:hint="eastAsia"/>
          <w:color w:val="auto"/>
          <w:szCs w:val="21"/>
        </w:rPr>
      </w:pPr>
      <w:r>
        <w:rPr>
          <w:rFonts w:hint="eastAsia"/>
          <w:color w:val="auto"/>
          <w:szCs w:val="21"/>
        </w:rPr>
        <w:t>GB 5085 危险废物鉴别标准</w:t>
      </w:r>
    </w:p>
    <w:p>
      <w:pPr>
        <w:ind w:firstLine="420" w:firstLineChars="200"/>
        <w:rPr>
          <w:rFonts w:hint="eastAsia"/>
          <w:color w:val="auto"/>
          <w:szCs w:val="21"/>
        </w:rPr>
      </w:pPr>
      <w:r>
        <w:rPr>
          <w:rFonts w:hint="eastAsia"/>
          <w:color w:val="auto"/>
          <w:szCs w:val="21"/>
        </w:rPr>
        <w:t>GB 5086 固体废物浸出毒性鉴别</w:t>
      </w:r>
    </w:p>
    <w:p>
      <w:pPr>
        <w:ind w:firstLine="420" w:firstLineChars="200"/>
        <w:rPr>
          <w:color w:val="auto"/>
          <w:szCs w:val="21"/>
        </w:rPr>
      </w:pPr>
      <w:r>
        <w:rPr>
          <w:color w:val="auto"/>
          <w:szCs w:val="21"/>
        </w:rPr>
        <w:t>GB/T 7119</w:t>
      </w:r>
      <w:r>
        <w:rPr>
          <w:rFonts w:hint="eastAsia"/>
          <w:color w:val="auto"/>
          <w:szCs w:val="21"/>
        </w:rPr>
        <w:t xml:space="preserve"> </w:t>
      </w:r>
      <w:r>
        <w:rPr>
          <w:color w:val="auto"/>
          <w:szCs w:val="21"/>
        </w:rPr>
        <w:t>节水型企业评价导则</w:t>
      </w:r>
    </w:p>
    <w:p>
      <w:pPr>
        <w:ind w:firstLine="420" w:firstLineChars="200"/>
        <w:rPr>
          <w:rFonts w:hint="eastAsia" w:cs="宋体"/>
          <w:color w:val="auto"/>
          <w:szCs w:val="21"/>
        </w:rPr>
      </w:pPr>
      <w:r>
        <w:rPr>
          <w:rFonts w:hint="eastAsia" w:cs="宋体"/>
          <w:color w:val="auto"/>
          <w:szCs w:val="21"/>
        </w:rPr>
        <w:t>GB 8978 污水综合排放标准</w:t>
      </w:r>
    </w:p>
    <w:p>
      <w:pPr>
        <w:ind w:firstLine="420" w:firstLineChars="200"/>
        <w:rPr>
          <w:color w:val="auto"/>
        </w:rPr>
      </w:pPr>
      <w:r>
        <w:rPr>
          <w:color w:val="auto"/>
        </w:rPr>
        <w:t>GB</w:t>
      </w:r>
      <w:r>
        <w:rPr>
          <w:rFonts w:hint="eastAsia"/>
          <w:color w:val="auto"/>
        </w:rPr>
        <w:t xml:space="preserve"> </w:t>
      </w:r>
      <w:r>
        <w:rPr>
          <w:color w:val="auto"/>
        </w:rPr>
        <w:t>12348</w:t>
      </w:r>
      <w:r>
        <w:rPr>
          <w:rFonts w:hint="eastAsia"/>
          <w:color w:val="auto"/>
        </w:rPr>
        <w:t xml:space="preserve"> </w:t>
      </w:r>
      <w:r>
        <w:rPr>
          <w:color w:val="auto"/>
        </w:rPr>
        <w:t>工业企业厂界</w:t>
      </w:r>
      <w:r>
        <w:rPr>
          <w:rFonts w:hint="eastAsia"/>
          <w:color w:val="auto"/>
        </w:rPr>
        <w:t>环境</w:t>
      </w:r>
      <w:r>
        <w:rPr>
          <w:color w:val="auto"/>
        </w:rPr>
        <w:t>噪声排放标准</w:t>
      </w:r>
    </w:p>
    <w:p>
      <w:pPr>
        <w:ind w:firstLine="435"/>
        <w:rPr>
          <w:color w:val="auto"/>
        </w:rPr>
      </w:pPr>
      <w:r>
        <w:rPr>
          <w:rFonts w:hint="eastAsia"/>
          <w:color w:val="auto"/>
        </w:rPr>
        <w:t>GB 16297 大气污染物综合排放标准</w:t>
      </w:r>
    </w:p>
    <w:p>
      <w:pPr>
        <w:ind w:firstLine="420" w:firstLineChars="200"/>
        <w:rPr>
          <w:color w:val="auto"/>
        </w:rPr>
      </w:pPr>
      <w:r>
        <w:rPr>
          <w:color w:val="auto"/>
        </w:rPr>
        <w:t>GB 17167</w:t>
      </w:r>
      <w:r>
        <w:rPr>
          <w:rFonts w:hint="eastAsia"/>
          <w:color w:val="auto"/>
        </w:rPr>
        <w:t xml:space="preserve"> </w:t>
      </w:r>
      <w:r>
        <w:rPr>
          <w:color w:val="auto"/>
        </w:rPr>
        <w:t>用能单位能源计量器具配备和管理通则</w:t>
      </w:r>
    </w:p>
    <w:p>
      <w:pPr>
        <w:ind w:firstLine="420" w:firstLineChars="200"/>
        <w:rPr>
          <w:color w:val="auto"/>
          <w:szCs w:val="21"/>
        </w:rPr>
      </w:pPr>
      <w:r>
        <w:rPr>
          <w:rFonts w:hint="eastAsia"/>
          <w:color w:val="auto"/>
          <w:szCs w:val="21"/>
        </w:rPr>
        <w:t>GB 18597 危险废物贮存污染控制标准</w:t>
      </w:r>
    </w:p>
    <w:p>
      <w:pPr>
        <w:ind w:firstLine="420" w:firstLineChars="200"/>
        <w:rPr>
          <w:color w:val="auto"/>
        </w:rPr>
      </w:pPr>
      <w:r>
        <w:rPr>
          <w:rFonts w:hint="eastAsia"/>
          <w:color w:val="auto"/>
          <w:szCs w:val="21"/>
        </w:rPr>
        <w:t>GB 18598 危险废物填埋污染控制标准</w:t>
      </w:r>
    </w:p>
    <w:p>
      <w:pPr>
        <w:ind w:firstLine="420" w:firstLineChars="200"/>
        <w:rPr>
          <w:color w:val="auto"/>
          <w:szCs w:val="21"/>
        </w:rPr>
      </w:pPr>
      <w:r>
        <w:rPr>
          <w:color w:val="auto"/>
        </w:rPr>
        <w:t>GB 18599</w:t>
      </w:r>
      <w:r>
        <w:rPr>
          <w:rFonts w:hint="eastAsia"/>
          <w:color w:val="auto"/>
        </w:rPr>
        <w:t xml:space="preserve"> </w:t>
      </w:r>
      <w:r>
        <w:rPr>
          <w:color w:val="auto"/>
        </w:rPr>
        <w:t>一般工业固体废物贮存、处置场污染控制标准</w:t>
      </w:r>
    </w:p>
    <w:p>
      <w:pPr>
        <w:ind w:firstLine="420" w:firstLineChars="200"/>
        <w:rPr>
          <w:color w:val="auto"/>
        </w:rPr>
      </w:pPr>
      <w:r>
        <w:rPr>
          <w:rFonts w:hint="eastAsia"/>
          <w:color w:val="auto"/>
        </w:rPr>
        <w:t>GB 18613 中小型三相异步电动机能效限定值及能效等级</w:t>
      </w:r>
    </w:p>
    <w:p>
      <w:pPr>
        <w:ind w:firstLine="420" w:firstLineChars="200"/>
        <w:rPr>
          <w:color w:val="auto"/>
        </w:rPr>
      </w:pPr>
      <w:r>
        <w:rPr>
          <w:color w:val="auto"/>
          <w:szCs w:val="21"/>
        </w:rPr>
        <w:t xml:space="preserve">GB/T </w:t>
      </w:r>
      <w:r>
        <w:rPr>
          <w:rFonts w:hint="eastAsia"/>
          <w:color w:val="auto"/>
          <w:szCs w:val="21"/>
        </w:rPr>
        <w:t>18916（所有部分）取水定额</w:t>
      </w:r>
    </w:p>
    <w:p>
      <w:pPr>
        <w:ind w:firstLine="420" w:firstLineChars="200"/>
        <w:rPr>
          <w:color w:val="auto"/>
        </w:rPr>
      </w:pPr>
      <w:r>
        <w:rPr>
          <w:color w:val="auto"/>
        </w:rPr>
        <w:t>GB/T 19001</w:t>
      </w:r>
      <w:r>
        <w:rPr>
          <w:rFonts w:hint="eastAsia"/>
          <w:color w:val="auto"/>
        </w:rPr>
        <w:t xml:space="preserve"> </w:t>
      </w:r>
      <w:r>
        <w:rPr>
          <w:color w:val="auto"/>
        </w:rPr>
        <w:t>质量管理体系 要求</w:t>
      </w:r>
    </w:p>
    <w:p>
      <w:pPr>
        <w:ind w:firstLine="420" w:firstLineChars="200"/>
        <w:rPr>
          <w:color w:val="auto"/>
        </w:rPr>
      </w:pPr>
      <w:r>
        <w:rPr>
          <w:rFonts w:hint="eastAsia"/>
          <w:color w:val="auto"/>
        </w:rPr>
        <w:t>GB 19153 容积式空气压缩机能效限定值及能效等级</w:t>
      </w:r>
    </w:p>
    <w:p>
      <w:pPr>
        <w:ind w:firstLine="420" w:firstLineChars="200"/>
        <w:rPr>
          <w:color w:val="auto"/>
        </w:rPr>
      </w:pPr>
      <w:r>
        <w:rPr>
          <w:rFonts w:hint="eastAsia"/>
          <w:color w:val="auto"/>
        </w:rPr>
        <w:t>GB 19576 单元式空气调节机能效限定值及能源效率等级</w:t>
      </w:r>
    </w:p>
    <w:p>
      <w:pPr>
        <w:ind w:firstLine="420" w:firstLineChars="200"/>
        <w:rPr>
          <w:color w:val="auto"/>
        </w:rPr>
      </w:pPr>
      <w:r>
        <w:rPr>
          <w:rFonts w:hint="eastAsia"/>
          <w:color w:val="auto"/>
        </w:rPr>
        <w:t>GB 19577 冷水机组能效限定值及能效等级</w:t>
      </w:r>
    </w:p>
    <w:p>
      <w:pPr>
        <w:ind w:firstLine="420" w:firstLineChars="200"/>
        <w:rPr>
          <w:color w:val="auto"/>
        </w:rPr>
      </w:pPr>
      <w:r>
        <w:rPr>
          <w:rFonts w:hint="eastAsia"/>
          <w:color w:val="auto"/>
        </w:rPr>
        <w:t>GB 19761 通风机能效限定值及能效等级</w:t>
      </w:r>
    </w:p>
    <w:p>
      <w:pPr>
        <w:ind w:firstLine="420" w:firstLineChars="200"/>
        <w:rPr>
          <w:color w:val="auto"/>
        </w:rPr>
      </w:pPr>
      <w:r>
        <w:rPr>
          <w:rFonts w:hint="eastAsia"/>
          <w:color w:val="auto"/>
        </w:rPr>
        <w:t>GB 19762 清水离心泵能效限定值及节能评价值</w:t>
      </w:r>
    </w:p>
    <w:p>
      <w:pPr>
        <w:ind w:firstLine="420" w:firstLineChars="200"/>
        <w:rPr>
          <w:color w:val="auto"/>
        </w:rPr>
      </w:pPr>
      <w:r>
        <w:rPr>
          <w:rFonts w:hint="eastAsia"/>
          <w:color w:val="auto"/>
        </w:rPr>
        <w:t>GB 20052 三相配电变压器能效限定值及能效等级</w:t>
      </w:r>
    </w:p>
    <w:p>
      <w:pPr>
        <w:ind w:firstLine="420" w:firstLineChars="200"/>
        <w:rPr>
          <w:color w:val="auto"/>
        </w:rPr>
      </w:pPr>
      <w:r>
        <w:rPr>
          <w:rFonts w:hint="eastAsia"/>
          <w:color w:val="auto"/>
        </w:rPr>
        <w:t>GB 20424重金属精矿产品中有害元素的限量规范</w:t>
      </w:r>
    </w:p>
    <w:p>
      <w:pPr>
        <w:ind w:firstLine="420" w:firstLineChars="200"/>
        <w:rPr>
          <w:color w:val="auto"/>
        </w:rPr>
      </w:pPr>
      <w:r>
        <w:rPr>
          <w:rFonts w:hint="eastAsia"/>
          <w:color w:val="auto"/>
        </w:rPr>
        <w:t>GB 20862产品可回收利用率计算方法导则</w:t>
      </w:r>
    </w:p>
    <w:p>
      <w:pPr>
        <w:ind w:firstLine="420" w:firstLineChars="200"/>
        <w:rPr>
          <w:rFonts w:hint="eastAsia"/>
          <w:color w:val="auto"/>
        </w:rPr>
      </w:pPr>
      <w:r>
        <w:rPr>
          <w:rFonts w:hint="eastAsia"/>
          <w:color w:val="auto"/>
        </w:rPr>
        <w:t>GB 20902有色金属冶炼企业能源计量器具配备和管理要求</w:t>
      </w:r>
    </w:p>
    <w:p>
      <w:pPr>
        <w:ind w:firstLine="420" w:firstLineChars="200"/>
        <w:rPr>
          <w:rFonts w:hint="eastAsia"/>
          <w:color w:val="auto"/>
        </w:rPr>
      </w:pPr>
      <w:r>
        <w:rPr>
          <w:rFonts w:hint="eastAsia"/>
          <w:color w:val="auto"/>
        </w:rPr>
        <w:t>GB 21250铅冶炼企业单位产品能源消耗限额</w:t>
      </w:r>
    </w:p>
    <w:p>
      <w:pPr>
        <w:ind w:firstLine="420" w:firstLineChars="200"/>
        <w:rPr>
          <w:color w:val="auto"/>
        </w:rPr>
      </w:pPr>
      <w:r>
        <w:rPr>
          <w:rFonts w:hint="eastAsia"/>
          <w:color w:val="auto"/>
        </w:rPr>
        <w:t>GB 21454 多联式空调(热泵)机组能效限定值及能源效率等级</w:t>
      </w:r>
    </w:p>
    <w:p>
      <w:pPr>
        <w:ind w:firstLine="420" w:firstLineChars="200"/>
        <w:rPr>
          <w:color w:val="auto"/>
        </w:rPr>
      </w:pPr>
      <w:r>
        <w:rPr>
          <w:color w:val="auto"/>
        </w:rPr>
        <w:t>GB/T 23331</w:t>
      </w:r>
      <w:r>
        <w:rPr>
          <w:rFonts w:hint="eastAsia"/>
          <w:color w:val="auto"/>
        </w:rPr>
        <w:t xml:space="preserve"> </w:t>
      </w:r>
      <w:r>
        <w:rPr>
          <w:color w:val="auto"/>
        </w:rPr>
        <w:t>能源管理体系 要求</w:t>
      </w:r>
    </w:p>
    <w:p>
      <w:pPr>
        <w:ind w:firstLine="420" w:firstLineChars="200"/>
        <w:rPr>
          <w:color w:val="auto"/>
        </w:rPr>
      </w:pPr>
      <w:r>
        <w:rPr>
          <w:color w:val="auto"/>
        </w:rPr>
        <w:t>GB/T 24001</w:t>
      </w:r>
      <w:r>
        <w:rPr>
          <w:rFonts w:hint="eastAsia"/>
          <w:color w:val="auto"/>
        </w:rPr>
        <w:t xml:space="preserve"> </w:t>
      </w:r>
      <w:r>
        <w:rPr>
          <w:color w:val="auto"/>
        </w:rPr>
        <w:t>环境管理体系 要求</w:t>
      </w:r>
    </w:p>
    <w:p>
      <w:pPr>
        <w:ind w:firstLine="420" w:firstLineChars="200"/>
        <w:rPr>
          <w:color w:val="auto"/>
        </w:rPr>
      </w:pPr>
      <w:r>
        <w:rPr>
          <w:rFonts w:hint="eastAsia"/>
          <w:color w:val="auto"/>
        </w:rPr>
        <w:t>GB/T 24256 产品生态设计通则</w:t>
      </w:r>
    </w:p>
    <w:p>
      <w:pPr>
        <w:ind w:firstLine="420" w:firstLineChars="200"/>
        <w:rPr>
          <w:color w:val="auto"/>
        </w:rPr>
      </w:pPr>
      <w:r>
        <w:rPr>
          <w:rFonts w:hint="eastAsia"/>
          <w:color w:val="auto"/>
        </w:rPr>
        <w:t>GB 24500 工业锅炉能效限定值及能效等级</w:t>
      </w:r>
    </w:p>
    <w:p>
      <w:pPr>
        <w:ind w:firstLine="420" w:firstLineChars="200"/>
        <w:rPr>
          <w:color w:val="auto"/>
        </w:rPr>
      </w:pPr>
      <w:r>
        <w:rPr>
          <w:color w:val="auto"/>
        </w:rPr>
        <w:t>GB 24789</w:t>
      </w:r>
      <w:r>
        <w:rPr>
          <w:rFonts w:hint="eastAsia"/>
          <w:color w:val="auto"/>
        </w:rPr>
        <w:t xml:space="preserve"> </w:t>
      </w:r>
      <w:r>
        <w:rPr>
          <w:color w:val="auto"/>
        </w:rPr>
        <w:t>用水单位水计量器具配备和管理通则</w:t>
      </w:r>
    </w:p>
    <w:p>
      <w:pPr>
        <w:ind w:firstLine="420"/>
        <w:rPr>
          <w:color w:val="auto"/>
        </w:rPr>
      </w:pPr>
      <w:r>
        <w:rPr>
          <w:rFonts w:hint="eastAsia"/>
          <w:color w:val="auto"/>
        </w:rPr>
        <w:t>GB 24790 电力变压器能效限定值及能效等级</w:t>
      </w:r>
    </w:p>
    <w:p>
      <w:pPr>
        <w:ind w:firstLine="420" w:firstLineChars="200"/>
        <w:rPr>
          <w:color w:val="auto"/>
          <w:highlight w:val="none"/>
        </w:rPr>
      </w:pPr>
      <w:r>
        <w:rPr>
          <w:color w:val="auto"/>
          <w:highlight w:val="none"/>
        </w:rPr>
        <w:t>GB 25466</w:t>
      </w:r>
      <w:r>
        <w:rPr>
          <w:rFonts w:hint="eastAsia"/>
          <w:color w:val="auto"/>
          <w:highlight w:val="none"/>
        </w:rPr>
        <w:t xml:space="preserve"> 铅、锌工业污染物排放标准</w:t>
      </w:r>
    </w:p>
    <w:p>
      <w:pPr>
        <w:ind w:firstLine="420"/>
        <w:rPr>
          <w:color w:val="auto"/>
        </w:rPr>
      </w:pPr>
      <w:r>
        <w:rPr>
          <w:color w:val="auto"/>
        </w:rPr>
        <w:t>GB/T 28001 职业健康安全管理体系 要求</w:t>
      </w:r>
    </w:p>
    <w:p>
      <w:pPr>
        <w:ind w:firstLine="420"/>
        <w:rPr>
          <w:color w:val="auto"/>
        </w:rPr>
      </w:pPr>
      <w:r>
        <w:rPr>
          <w:rFonts w:hint="eastAsia"/>
          <w:color w:val="auto"/>
        </w:rPr>
        <w:t>GB/T 29115 工业企业节约原材料评价导则</w:t>
      </w:r>
    </w:p>
    <w:p>
      <w:pPr>
        <w:ind w:firstLine="420" w:firstLineChars="200"/>
        <w:rPr>
          <w:color w:val="auto"/>
        </w:rPr>
      </w:pPr>
      <w:r>
        <w:rPr>
          <w:color w:val="auto"/>
        </w:rPr>
        <w:t>GB</w:t>
      </w:r>
      <w:r>
        <w:rPr>
          <w:rFonts w:hint="eastAsia"/>
          <w:color w:val="auto"/>
        </w:rPr>
        <w:t xml:space="preserve"> </w:t>
      </w:r>
      <w:r>
        <w:rPr>
          <w:color w:val="auto"/>
        </w:rPr>
        <w:t>32150 工业企业温室气体排放核算和报告通则</w:t>
      </w:r>
    </w:p>
    <w:p>
      <w:pPr>
        <w:ind w:firstLine="420" w:firstLineChars="200"/>
        <w:rPr>
          <w:color w:val="auto"/>
        </w:rPr>
      </w:pPr>
      <w:r>
        <w:rPr>
          <w:color w:val="auto"/>
        </w:rPr>
        <w:t>GB/T 32161 生态设计产品评价通则</w:t>
      </w:r>
    </w:p>
    <w:p>
      <w:pPr>
        <w:ind w:firstLine="420" w:firstLineChars="200"/>
        <w:rPr>
          <w:color w:val="auto"/>
        </w:rPr>
      </w:pPr>
      <w:r>
        <w:rPr>
          <w:rFonts w:hint="eastAsia"/>
          <w:color w:val="auto"/>
          <w:highlight w:val="none"/>
        </w:rPr>
        <w:t>GB 34330 固体废物鉴别标准 通则</w:t>
      </w:r>
    </w:p>
    <w:p>
      <w:pPr>
        <w:ind w:firstLine="420" w:firstLineChars="200"/>
        <w:rPr>
          <w:color w:val="auto"/>
        </w:rPr>
      </w:pPr>
      <w:r>
        <w:rPr>
          <w:rFonts w:hint="eastAsia"/>
          <w:color w:val="auto"/>
        </w:rPr>
        <w:t>GB/T 36000 社会责任指南</w:t>
      </w:r>
    </w:p>
    <w:p>
      <w:pPr>
        <w:ind w:firstLine="420" w:firstLineChars="200"/>
        <w:rPr>
          <w:color w:val="auto"/>
        </w:rPr>
      </w:pPr>
      <w:r>
        <w:rPr>
          <w:rFonts w:hint="eastAsia" w:cs="宋体"/>
          <w:bCs/>
          <w:color w:val="auto"/>
          <w:szCs w:val="21"/>
        </w:rPr>
        <w:t>GB/T 36132</w:t>
      </w:r>
      <w:r>
        <w:rPr>
          <w:color w:val="auto"/>
          <w:szCs w:val="21"/>
        </w:rPr>
        <w:t xml:space="preserve"> </w:t>
      </w:r>
      <w:r>
        <w:rPr>
          <w:color w:val="auto"/>
        </w:rPr>
        <w:t>绿色工厂评价通则</w:t>
      </w:r>
    </w:p>
    <w:p>
      <w:pPr>
        <w:ind w:firstLine="420" w:firstLineChars="200"/>
        <w:rPr>
          <w:color w:val="auto"/>
        </w:rPr>
      </w:pPr>
      <w:r>
        <w:rPr>
          <w:color w:val="auto"/>
        </w:rPr>
        <w:t>GB 50034</w:t>
      </w:r>
      <w:r>
        <w:rPr>
          <w:rFonts w:hint="eastAsia"/>
          <w:color w:val="auto"/>
        </w:rPr>
        <w:t xml:space="preserve"> </w:t>
      </w:r>
      <w:r>
        <w:rPr>
          <w:color w:val="auto"/>
        </w:rPr>
        <w:t>建筑照明设计标准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val="0"/>
        <w:spacing w:before="0" w:beforeAutospacing="0" w:after="0" w:afterAutospacing="0"/>
        <w:ind w:left="0" w:right="4080" w:firstLine="422" w:firstLineChars="200"/>
        <w:rPr>
          <w:rFonts w:hint="default" w:eastAsia="宋体"/>
          <w:color w:val="auto"/>
          <w:lang w:val="en-US" w:eastAsia="zh-CN"/>
        </w:rPr>
      </w:pPr>
      <w:r>
        <w:rPr>
          <w:rFonts w:hint="eastAsia" w:ascii="宋体" w:hAnsi="宋体" w:eastAsia="宋体" w:cs="Times New Roman"/>
          <w:bCs w:val="0"/>
          <w:color w:val="auto"/>
          <w:kern w:val="2"/>
          <w:sz w:val="21"/>
          <w:szCs w:val="24"/>
          <w:lang w:val="en-US" w:eastAsia="zh-CN" w:bidi="ar-SA"/>
        </w:rPr>
        <w:t>GB50057</w:t>
      </w:r>
      <w:r>
        <w:rPr>
          <w:rFonts w:hint="eastAsia" w:eastAsia="宋体" w:cs="Times New Roman"/>
          <w:bCs w:val="0"/>
          <w:color w:val="auto"/>
          <w:kern w:val="2"/>
          <w:sz w:val="21"/>
          <w:szCs w:val="24"/>
          <w:lang w:val="en-US" w:eastAsia="zh-CN" w:bidi="ar-SA"/>
        </w:rPr>
        <w:t xml:space="preserve"> </w:t>
      </w:r>
      <w:r>
        <w:rPr>
          <w:rFonts w:hint="eastAsia" w:ascii="宋体" w:hAnsi="宋体" w:eastAsia="宋体" w:cs="宋体"/>
          <w:bCs/>
          <w:color w:val="auto"/>
          <w:kern w:val="2"/>
          <w:sz w:val="21"/>
          <w:szCs w:val="21"/>
          <w:lang w:val="en-US" w:eastAsia="zh-CN" w:bidi="ar-SA"/>
        </w:rPr>
        <w:t>建筑物防雷设计规范</w:t>
      </w:r>
    </w:p>
    <w:p>
      <w:pPr>
        <w:ind w:firstLine="420" w:firstLineChars="200"/>
        <w:rPr>
          <w:color w:val="auto"/>
        </w:rPr>
      </w:pPr>
      <w:r>
        <w:rPr>
          <w:rFonts w:hint="eastAsia"/>
          <w:color w:val="auto"/>
        </w:rPr>
        <w:t>RB/T 117 能源管理体系 有色金属企业认证要求</w:t>
      </w:r>
    </w:p>
    <w:p>
      <w:pPr>
        <w:ind w:firstLine="420" w:firstLineChars="200"/>
        <w:rPr>
          <w:color w:val="auto"/>
          <w:highlight w:val="none"/>
        </w:rPr>
      </w:pPr>
      <w:r>
        <w:rPr>
          <w:rFonts w:hint="eastAsia"/>
          <w:color w:val="auto"/>
          <w:highlight w:val="none"/>
        </w:rPr>
        <w:t>HJ 512 清洁生产标准</w:t>
      </w:r>
      <w:r>
        <w:rPr>
          <w:color w:val="auto"/>
          <w:highlight w:val="none"/>
        </w:rPr>
        <w:t xml:space="preserve"> 粗铅冶炼业</w:t>
      </w:r>
    </w:p>
    <w:p>
      <w:pPr>
        <w:ind w:firstLine="420" w:firstLineChars="200"/>
        <w:rPr>
          <w:rFonts w:hint="eastAsia"/>
          <w:color w:val="auto"/>
        </w:rPr>
      </w:pPr>
      <w:r>
        <w:rPr>
          <w:color w:val="auto"/>
          <w:highlight w:val="none"/>
        </w:rPr>
        <w:t>HJ 513</w:t>
      </w:r>
      <w:r>
        <w:rPr>
          <w:rFonts w:hint="eastAsia"/>
          <w:color w:val="auto"/>
          <w:highlight w:val="none"/>
        </w:rPr>
        <w:t xml:space="preserve"> 清洁生产标准</w:t>
      </w:r>
      <w:r>
        <w:rPr>
          <w:color w:val="auto"/>
          <w:highlight w:val="none"/>
        </w:rPr>
        <w:t xml:space="preserve"> 铅电解业</w:t>
      </w:r>
    </w:p>
    <w:p>
      <w:pPr>
        <w:ind w:firstLine="420" w:firstLineChars="200"/>
        <w:rPr>
          <w:color w:val="auto"/>
        </w:rPr>
      </w:pPr>
      <w:r>
        <w:rPr>
          <w:rFonts w:hint="eastAsia"/>
          <w:color w:val="auto"/>
        </w:rPr>
        <w:t xml:space="preserve">HJ </w:t>
      </w:r>
      <w:r>
        <w:rPr>
          <w:rFonts w:hint="eastAsia"/>
          <w:color w:val="auto"/>
          <w:highlight w:val="none"/>
        </w:rPr>
        <w:t>557</w:t>
      </w:r>
      <w:r>
        <w:rPr>
          <w:rFonts w:hint="eastAsia"/>
          <w:color w:val="auto"/>
        </w:rPr>
        <w:t xml:space="preserve"> 固体废物浸出毒性浸出方法 水平振荡法</w:t>
      </w:r>
    </w:p>
    <w:p>
      <w:pPr>
        <w:rPr>
          <w:rFonts w:hint="eastAsia" w:ascii="仿宋" w:hAnsi="仿宋" w:eastAsia="仿宋" w:cs="仿宋"/>
          <w:color w:val="auto"/>
          <w:lang w:val="en-US" w:eastAsia="zh-CN"/>
        </w:rPr>
      </w:pPr>
      <w:r>
        <w:rPr>
          <w:rFonts w:hint="eastAsia" w:ascii="宋体" w:hAnsi="宋体" w:eastAsia="宋体" w:cs="宋体"/>
          <w:color w:val="auto"/>
          <w:lang w:val="en-US" w:eastAsia="zh-CN"/>
        </w:rPr>
        <w:t xml:space="preserve">   </w:t>
      </w:r>
      <w:r>
        <w:rPr>
          <w:rFonts w:hint="eastAsia" w:ascii="仿宋" w:hAnsi="仿宋" w:eastAsia="仿宋" w:cs="仿宋"/>
          <w:color w:val="auto"/>
          <w:lang w:val="en-US" w:eastAsia="zh-CN"/>
        </w:rPr>
        <w:t xml:space="preserve"> 说明：主要从建筑、照明、设备设施、管理体系、铅冶炼企业单位产品能源消耗限额、节水、产品生态设计、环境排放以及清洁生产评价体系等方面引用相关文件。</w:t>
      </w:r>
    </w:p>
    <w:p>
      <w:pPr>
        <w:rPr>
          <w:color w:val="auto"/>
        </w:rPr>
      </w:pPr>
      <w:r>
        <w:rPr>
          <w:rFonts w:hint="eastAsia"/>
          <w:color w:val="auto"/>
          <w:lang w:val="en-US" w:eastAsia="zh-CN"/>
        </w:rPr>
        <w:t>4</w:t>
      </w:r>
      <w:r>
        <w:rPr>
          <w:rFonts w:hint="eastAsia"/>
          <w:color w:val="auto"/>
        </w:rPr>
        <w:t>.3 术语和定义</w:t>
      </w:r>
    </w:p>
    <w:p>
      <w:pPr>
        <w:ind w:firstLine="420" w:firstLineChars="200"/>
        <w:rPr>
          <w:rFonts w:ascii="宋体" w:hAnsi="宋体" w:eastAsia="宋体" w:cs="宋体"/>
          <w:color w:val="auto"/>
          <w:szCs w:val="21"/>
        </w:rPr>
      </w:pPr>
      <w:r>
        <w:rPr>
          <w:rFonts w:hint="eastAsia" w:ascii="宋体" w:hAnsi="宋体" w:eastAsia="宋体" w:cs="宋体"/>
          <w:color w:val="auto"/>
          <w:szCs w:val="21"/>
          <w:lang w:eastAsia="zh-CN"/>
        </w:rPr>
        <w:t>根据</w:t>
      </w:r>
      <w:r>
        <w:rPr>
          <w:rFonts w:hint="eastAsia" w:ascii="宋体" w:hAnsi="宋体" w:eastAsia="宋体" w:cs="宋体"/>
          <w:color w:val="auto"/>
          <w:szCs w:val="21"/>
          <w:lang w:val="en-US" w:eastAsia="zh-CN"/>
        </w:rPr>
        <w:t>GB/T 36132</w:t>
      </w:r>
      <w:r>
        <w:rPr>
          <w:rFonts w:hint="eastAsia" w:ascii="宋体" w:hAnsi="宋体" w:eastAsia="宋体" w:cs="宋体"/>
          <w:color w:val="auto"/>
          <w:szCs w:val="21"/>
        </w:rPr>
        <w:t>对</w:t>
      </w:r>
      <w:r>
        <w:rPr>
          <w:rFonts w:hint="eastAsia" w:ascii="宋体" w:hAnsi="宋体" w:eastAsia="宋体" w:cs="宋体"/>
          <w:color w:val="auto"/>
          <w:szCs w:val="21"/>
          <w:lang w:eastAsia="zh-CN"/>
        </w:rPr>
        <w:t>绿色工厂以及铅冶炼</w:t>
      </w:r>
      <w:r>
        <w:rPr>
          <w:rFonts w:hint="eastAsia" w:ascii="宋体" w:hAnsi="宋体" w:eastAsia="宋体" w:cs="宋体"/>
          <w:color w:val="auto"/>
          <w:szCs w:val="21"/>
        </w:rPr>
        <w:t>相关术语做出</w:t>
      </w:r>
      <w:r>
        <w:rPr>
          <w:rFonts w:hint="eastAsia" w:ascii="宋体" w:hAnsi="宋体" w:eastAsia="宋体" w:cs="宋体"/>
          <w:color w:val="auto"/>
          <w:szCs w:val="21"/>
          <w:lang w:eastAsia="zh-CN"/>
        </w:rPr>
        <w:t>规定</w:t>
      </w:r>
      <w:r>
        <w:rPr>
          <w:rFonts w:hint="eastAsia" w:ascii="宋体" w:hAnsi="宋体" w:eastAsia="宋体" w:cs="宋体"/>
          <w:color w:val="auto"/>
          <w:szCs w:val="21"/>
        </w:rPr>
        <w:t>。</w:t>
      </w:r>
    </w:p>
    <w:p>
      <w:pPr>
        <w:rPr>
          <w:color w:val="auto"/>
        </w:rPr>
      </w:pPr>
      <w:r>
        <w:rPr>
          <w:rFonts w:hint="eastAsia"/>
          <w:color w:val="auto"/>
          <w:lang w:val="en-US" w:eastAsia="zh-CN"/>
        </w:rPr>
        <w:t>4</w:t>
      </w:r>
      <w:r>
        <w:rPr>
          <w:rFonts w:hint="eastAsia"/>
          <w:color w:val="auto"/>
        </w:rPr>
        <w:t>.4 总则</w:t>
      </w:r>
    </w:p>
    <w:p>
      <w:pPr>
        <w:ind w:firstLine="420" w:firstLineChars="200"/>
        <w:rPr>
          <w:rFonts w:ascii="宋体" w:hAnsi="宋体" w:eastAsia="宋体" w:cs="宋体"/>
          <w:color w:val="auto"/>
          <w:szCs w:val="21"/>
        </w:rPr>
      </w:pPr>
      <w:r>
        <w:rPr>
          <w:rFonts w:hint="eastAsia" w:ascii="宋体" w:hAnsi="宋体" w:eastAsia="宋体" w:cs="宋体"/>
          <w:color w:val="auto"/>
          <w:szCs w:val="21"/>
        </w:rPr>
        <w:t>对</w:t>
      </w:r>
      <w:r>
        <w:rPr>
          <w:rFonts w:hint="eastAsia" w:ascii="宋体" w:hAnsi="宋体" w:eastAsia="宋体" w:cs="宋体"/>
          <w:color w:val="auto"/>
          <w:szCs w:val="21"/>
          <w:lang w:eastAsia="zh-CN"/>
        </w:rPr>
        <w:t>铅冶炼</w:t>
      </w:r>
      <w:r>
        <w:rPr>
          <w:rFonts w:hint="eastAsia" w:ascii="宋体" w:hAnsi="宋体" w:eastAsia="宋体" w:cs="宋体"/>
          <w:color w:val="auto"/>
          <w:szCs w:val="21"/>
        </w:rPr>
        <w:t>业绿色工厂评价原则、评价</w:t>
      </w:r>
      <w:r>
        <w:rPr>
          <w:rFonts w:hint="eastAsia" w:ascii="宋体" w:hAnsi="宋体" w:eastAsia="宋体" w:cs="宋体"/>
          <w:color w:val="auto"/>
          <w:szCs w:val="21"/>
          <w:lang w:eastAsia="zh-CN"/>
        </w:rPr>
        <w:t>指标体系、权重系数和指标分数、评价方法</w:t>
      </w:r>
      <w:r>
        <w:rPr>
          <w:rFonts w:hint="eastAsia" w:ascii="宋体" w:hAnsi="宋体" w:eastAsia="宋体" w:cs="宋体"/>
          <w:color w:val="auto"/>
          <w:szCs w:val="21"/>
        </w:rPr>
        <w:t>等做出</w:t>
      </w:r>
      <w:r>
        <w:rPr>
          <w:rFonts w:hint="eastAsia" w:ascii="宋体" w:hAnsi="宋体" w:eastAsia="宋体" w:cs="宋体"/>
          <w:color w:val="auto"/>
          <w:szCs w:val="21"/>
          <w:lang w:eastAsia="zh-CN"/>
        </w:rPr>
        <w:t>规定</w:t>
      </w:r>
      <w:r>
        <w:rPr>
          <w:rFonts w:hint="eastAsia" w:ascii="宋体" w:hAnsi="宋体" w:eastAsia="宋体" w:cs="宋体"/>
          <w:color w:val="auto"/>
          <w:szCs w:val="21"/>
        </w:rPr>
        <w:t>。</w:t>
      </w:r>
    </w:p>
    <w:p>
      <w:pPr>
        <w:ind w:firstLine="420" w:firstLineChars="200"/>
        <w:rPr>
          <w:rFonts w:ascii="宋体" w:hAnsi="宋体" w:eastAsia="宋体" w:cs="宋体"/>
          <w:color w:val="auto"/>
          <w:szCs w:val="21"/>
        </w:rPr>
      </w:pPr>
      <w:r>
        <w:rPr>
          <w:rFonts w:hint="eastAsia" w:ascii="宋体" w:hAnsi="宋体" w:eastAsia="宋体" w:cs="宋体"/>
          <w:color w:val="auto"/>
          <w:szCs w:val="21"/>
        </w:rPr>
        <w:t>（1）评价原则</w:t>
      </w:r>
    </w:p>
    <w:p>
      <w:pPr>
        <w:ind w:firstLine="420" w:firstLineChars="200"/>
        <w:rPr>
          <w:rFonts w:ascii="宋体" w:hAnsi="宋体" w:eastAsia="宋体" w:cs="宋体"/>
          <w:color w:val="auto"/>
          <w:szCs w:val="21"/>
        </w:rPr>
      </w:pPr>
      <w:r>
        <w:rPr>
          <w:rFonts w:hint="eastAsia" w:ascii="宋体" w:hAnsi="宋体" w:eastAsia="宋体" w:cs="宋体"/>
          <w:color w:val="auto"/>
          <w:szCs w:val="21"/>
        </w:rPr>
        <w:t>本条确定了</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冶炼业绿色工厂评价的基本原则，共提了三条原则。一</w:t>
      </w:r>
      <w:bookmarkStart w:id="8" w:name="_Hlk520099874"/>
      <w:r>
        <w:rPr>
          <w:rFonts w:hint="eastAsia" w:ascii="宋体" w:hAnsi="宋体" w:eastAsia="宋体" w:cs="宋体"/>
          <w:color w:val="auto"/>
          <w:szCs w:val="21"/>
        </w:rPr>
        <w:t>是一致性原则，评价总体结构与GB/T 36132提出的相关评价指标体系保持一致，按基本要求、基础设施、管理体系、能源与资源投入、产品、环境排放、绩效等7个一级指标展开。</w:t>
      </w:r>
      <w:bookmarkEnd w:id="8"/>
      <w:r>
        <w:rPr>
          <w:rFonts w:hint="eastAsia" w:ascii="宋体" w:hAnsi="宋体" w:eastAsia="宋体" w:cs="宋体"/>
          <w:color w:val="auto"/>
          <w:szCs w:val="21"/>
        </w:rPr>
        <w:t>二是行业性原则，在GB/T 36132通则的基础上突出</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冶炼业特性，提出符合</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冶炼业的评价要求。三是系统性原则，评价指标采取定性与定量相结合、过程与绩效相结合的方式，形成完整的综合性评价指标体系。</w:t>
      </w:r>
    </w:p>
    <w:p>
      <w:pPr>
        <w:ind w:firstLine="420" w:firstLineChars="200"/>
        <w:rPr>
          <w:rFonts w:ascii="宋体" w:hAnsi="宋体" w:eastAsia="宋体" w:cs="宋体"/>
          <w:color w:val="auto"/>
          <w:szCs w:val="21"/>
        </w:rPr>
      </w:pPr>
      <w:r>
        <w:rPr>
          <w:rFonts w:hint="eastAsia" w:ascii="宋体" w:hAnsi="宋体" w:eastAsia="宋体" w:cs="宋体"/>
          <w:color w:val="auto"/>
          <w:szCs w:val="21"/>
        </w:rPr>
        <w:t>（2）评价指标体系</w:t>
      </w:r>
    </w:p>
    <w:p>
      <w:pPr>
        <w:ind w:firstLine="420" w:firstLineChars="200"/>
        <w:rPr>
          <w:rFonts w:ascii="黑体" w:hAnsi="黑体" w:cs="黑体"/>
          <w:color w:val="auto"/>
        </w:rPr>
      </w:pPr>
      <w:r>
        <w:rPr>
          <w:rFonts w:hint="eastAsia" w:ascii="黑体" w:hAnsi="黑体" w:cs="黑体"/>
          <w:color w:val="auto"/>
        </w:rPr>
        <w:t>评价指标体系包括一级指标和二级指标，一级指标包括基本要求、基础设施、管理体系、能源与资源投入、产品、环境排放、绩效等7个方面，在一级指标下设若干二级指标，在二级指标下设具体评价要求。基本要求为工厂参与评价的基本条件，不参与评分；其他6个方面为具体评价要求，通过评分来判断工厂满足要求的程度。</w:t>
      </w:r>
    </w:p>
    <w:p>
      <w:pPr>
        <w:pStyle w:val="11"/>
        <w:ind w:firstLine="420"/>
        <w:rPr>
          <w:rFonts w:hAnsi="宋体" w:eastAsia="宋体" w:cs="宋体"/>
          <w:color w:val="auto"/>
          <w:szCs w:val="21"/>
        </w:rPr>
      </w:pPr>
      <w:r>
        <w:rPr>
          <w:rFonts w:hint="eastAsia" w:ascii="黑体" w:hAnsi="黑体" w:cs="黑体"/>
          <w:color w:val="auto"/>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ind w:firstLine="420" w:firstLineChars="200"/>
        <w:rPr>
          <w:rFonts w:ascii="宋体" w:hAnsi="宋体" w:eastAsia="宋体" w:cs="宋体"/>
          <w:color w:val="auto"/>
          <w:szCs w:val="21"/>
        </w:rPr>
      </w:pPr>
      <w:r>
        <w:rPr>
          <w:rFonts w:hint="eastAsia" w:ascii="宋体" w:hAnsi="宋体" w:eastAsia="宋体" w:cs="宋体"/>
          <w:color w:val="auto"/>
          <w:szCs w:val="21"/>
        </w:rPr>
        <w:t>（3）权重系数和指标分数</w:t>
      </w:r>
    </w:p>
    <w:p>
      <w:pPr>
        <w:pStyle w:val="11"/>
        <w:ind w:firstLine="420"/>
        <w:rPr>
          <w:rFonts w:hAnsi="宋体" w:eastAsia="宋体" w:cs="宋体"/>
          <w:color w:val="auto"/>
          <w:sz w:val="21"/>
          <w:szCs w:val="21"/>
        </w:rPr>
      </w:pPr>
      <w:r>
        <w:rPr>
          <w:rFonts w:hint="eastAsia" w:hAnsi="宋体" w:eastAsia="宋体" w:cs="宋体"/>
          <w:color w:val="auto"/>
          <w:sz w:val="21"/>
          <w:szCs w:val="21"/>
        </w:rPr>
        <w:t>指标权重分配中，充分考虑了</w:t>
      </w:r>
      <w:r>
        <w:rPr>
          <w:rFonts w:hint="eastAsia" w:hAnsi="宋体" w:eastAsia="宋体" w:cs="宋体"/>
          <w:color w:val="auto"/>
          <w:sz w:val="21"/>
          <w:szCs w:val="21"/>
          <w:lang w:eastAsia="zh-CN"/>
        </w:rPr>
        <w:t>铅冶炼</w:t>
      </w:r>
      <w:r>
        <w:rPr>
          <w:rFonts w:hint="eastAsia" w:hAnsi="宋体" w:eastAsia="宋体" w:cs="宋体"/>
          <w:color w:val="auto"/>
          <w:sz w:val="21"/>
          <w:szCs w:val="21"/>
        </w:rPr>
        <w:t>业特点，为充分体现可量化的特点，体现用地集约化、原料无害化、生产洁净化、废物资源化</w:t>
      </w:r>
      <w:r>
        <w:rPr>
          <w:rFonts w:hint="eastAsia" w:hAnsi="宋体" w:eastAsia="宋体" w:cs="宋体"/>
          <w:color w:val="auto"/>
          <w:sz w:val="21"/>
          <w:szCs w:val="21"/>
          <w:lang w:eastAsia="zh-CN"/>
        </w:rPr>
        <w:t>以及</w:t>
      </w:r>
      <w:r>
        <w:rPr>
          <w:rFonts w:hint="eastAsia" w:hAnsi="宋体" w:eastAsia="宋体" w:cs="宋体"/>
          <w:color w:val="auto"/>
          <w:sz w:val="21"/>
          <w:szCs w:val="21"/>
        </w:rPr>
        <w:t>能源低碳化五大绩效指标的内容占比权重最大，占30%；</w:t>
      </w:r>
      <w:r>
        <w:rPr>
          <w:rFonts w:hint="eastAsia" w:hAnsi="宋体" w:eastAsia="宋体" w:cs="宋体"/>
          <w:color w:val="auto"/>
          <w:sz w:val="21"/>
          <w:szCs w:val="21"/>
          <w:lang w:eastAsia="zh-CN"/>
        </w:rPr>
        <w:t>铅冶炼</w:t>
      </w:r>
      <w:r>
        <w:rPr>
          <w:rFonts w:hint="eastAsia" w:hAnsi="宋体" w:eastAsia="宋体" w:cs="宋体"/>
          <w:color w:val="auto"/>
          <w:sz w:val="21"/>
          <w:szCs w:val="21"/>
        </w:rPr>
        <w:t>业基础</w:t>
      </w:r>
      <w:r>
        <w:rPr>
          <w:rFonts w:hint="eastAsia" w:hAnsi="宋体" w:eastAsia="宋体" w:cs="宋体"/>
          <w:color w:val="auto"/>
          <w:sz w:val="21"/>
          <w:szCs w:val="21"/>
          <w:lang w:eastAsia="zh-CN"/>
        </w:rPr>
        <w:t>设施包括</w:t>
      </w:r>
      <w:r>
        <w:rPr>
          <w:rFonts w:hint="eastAsia" w:hAnsi="宋体" w:eastAsia="宋体" w:cs="宋体"/>
          <w:color w:val="auto"/>
          <w:sz w:val="21"/>
          <w:szCs w:val="21"/>
        </w:rPr>
        <w:t>建筑</w:t>
      </w:r>
      <w:r>
        <w:rPr>
          <w:rFonts w:hint="eastAsia" w:hAnsi="宋体" w:eastAsia="宋体" w:cs="宋体"/>
          <w:color w:val="auto"/>
          <w:sz w:val="21"/>
          <w:szCs w:val="21"/>
          <w:lang w:eastAsia="zh-CN"/>
        </w:rPr>
        <w:t>、</w:t>
      </w:r>
      <w:r>
        <w:rPr>
          <w:rFonts w:hint="eastAsia" w:hAnsi="宋体" w:eastAsia="宋体" w:cs="宋体"/>
          <w:color w:val="auto"/>
          <w:sz w:val="21"/>
          <w:szCs w:val="21"/>
        </w:rPr>
        <w:t>节水、照明</w:t>
      </w:r>
      <w:r>
        <w:rPr>
          <w:rFonts w:hint="eastAsia" w:hAnsi="宋体" w:eastAsia="宋体" w:cs="宋体"/>
          <w:color w:val="auto"/>
          <w:sz w:val="21"/>
          <w:szCs w:val="21"/>
          <w:lang w:eastAsia="zh-CN"/>
        </w:rPr>
        <w:t>以及</w:t>
      </w:r>
      <w:r>
        <w:rPr>
          <w:rFonts w:hint="eastAsia" w:hAnsi="宋体" w:eastAsia="宋体" w:cs="宋体"/>
          <w:color w:val="auto"/>
          <w:sz w:val="21"/>
          <w:szCs w:val="21"/>
        </w:rPr>
        <w:t>设备设施等是绿色工厂的基础，占比20%；管理组织机构和管理体系建设体现了企业</w:t>
      </w:r>
      <w:r>
        <w:rPr>
          <w:rFonts w:hint="eastAsia" w:hAnsi="宋体" w:eastAsia="宋体" w:cs="宋体"/>
          <w:color w:val="auto"/>
          <w:sz w:val="21"/>
          <w:szCs w:val="21"/>
          <w:lang w:eastAsia="zh-CN"/>
        </w:rPr>
        <w:t>对绿色制造体系</w:t>
      </w:r>
      <w:r>
        <w:rPr>
          <w:rFonts w:hint="eastAsia" w:hAnsi="宋体" w:eastAsia="宋体" w:cs="宋体"/>
          <w:color w:val="auto"/>
          <w:sz w:val="21"/>
          <w:szCs w:val="21"/>
        </w:rPr>
        <w:t>的重视程度和管理能力，占15%；由于</w:t>
      </w:r>
      <w:r>
        <w:rPr>
          <w:rFonts w:hint="eastAsia" w:hAnsi="宋体" w:eastAsia="宋体" w:cs="宋体"/>
          <w:color w:val="auto"/>
          <w:sz w:val="21"/>
          <w:szCs w:val="21"/>
          <w:lang w:eastAsia="zh-CN"/>
        </w:rPr>
        <w:t>铅冶炼</w:t>
      </w:r>
      <w:r>
        <w:rPr>
          <w:rFonts w:hint="eastAsia" w:hAnsi="宋体" w:eastAsia="宋体" w:cs="宋体"/>
          <w:color w:val="auto"/>
          <w:sz w:val="21"/>
          <w:szCs w:val="21"/>
        </w:rPr>
        <w:t>业属于节能减排重点行业，能源与资源投入、环境排放是绿色工厂评价的重要的两部分，各占比15%；产品是绿色工厂的最终产出体现，是绿色工厂的产出结果，由于</w:t>
      </w:r>
      <w:r>
        <w:rPr>
          <w:rFonts w:hint="eastAsia" w:hAnsi="宋体" w:eastAsia="宋体" w:cs="宋体"/>
          <w:color w:val="auto"/>
          <w:sz w:val="21"/>
          <w:szCs w:val="21"/>
          <w:lang w:eastAsia="zh-CN"/>
        </w:rPr>
        <w:t>铅冶炼</w:t>
      </w:r>
      <w:r>
        <w:rPr>
          <w:rFonts w:hint="eastAsia" w:hAnsi="宋体" w:eastAsia="宋体" w:cs="宋体"/>
          <w:color w:val="auto"/>
          <w:sz w:val="21"/>
          <w:szCs w:val="21"/>
        </w:rPr>
        <w:t>业产品</w:t>
      </w:r>
      <w:r>
        <w:rPr>
          <w:rFonts w:hint="eastAsia" w:hAnsi="宋体" w:eastAsia="宋体" w:cs="宋体"/>
          <w:color w:val="auto"/>
          <w:sz w:val="21"/>
          <w:szCs w:val="21"/>
          <w:lang w:eastAsia="zh-CN"/>
        </w:rPr>
        <w:t>为非用能产品，</w:t>
      </w:r>
      <w:r>
        <w:rPr>
          <w:rFonts w:hint="eastAsia" w:hAnsi="宋体" w:eastAsia="宋体" w:cs="宋体"/>
          <w:color w:val="auto"/>
          <w:sz w:val="21"/>
          <w:szCs w:val="21"/>
        </w:rPr>
        <w:t>大多</w:t>
      </w:r>
      <w:r>
        <w:rPr>
          <w:rFonts w:hint="eastAsia" w:hAnsi="宋体" w:eastAsia="宋体" w:cs="宋体"/>
          <w:color w:val="auto"/>
          <w:sz w:val="21"/>
          <w:szCs w:val="21"/>
          <w:lang w:eastAsia="zh-CN"/>
        </w:rPr>
        <w:t>作</w:t>
      </w:r>
      <w:r>
        <w:rPr>
          <w:rFonts w:hint="eastAsia" w:hAnsi="宋体" w:eastAsia="宋体" w:cs="宋体"/>
          <w:color w:val="auto"/>
          <w:sz w:val="21"/>
          <w:szCs w:val="21"/>
        </w:rPr>
        <w:t>为原材料，</w:t>
      </w:r>
      <w:r>
        <w:rPr>
          <w:rFonts w:hint="eastAsia" w:hAnsi="宋体" w:eastAsia="宋体" w:cs="宋体"/>
          <w:color w:val="auto"/>
          <w:sz w:val="21"/>
          <w:szCs w:val="21"/>
          <w:lang w:eastAsia="zh-CN"/>
        </w:rPr>
        <w:t>无节能要求</w:t>
      </w:r>
      <w:r>
        <w:rPr>
          <w:rFonts w:hint="eastAsia" w:hAnsi="宋体" w:eastAsia="宋体" w:cs="宋体"/>
          <w:color w:val="auto"/>
          <w:sz w:val="21"/>
          <w:szCs w:val="21"/>
        </w:rPr>
        <w:t>，仅赋予5%的权重。以上</w:t>
      </w:r>
      <w:r>
        <w:rPr>
          <w:rFonts w:hint="eastAsia" w:hAnsi="宋体" w:eastAsia="宋体" w:cs="宋体"/>
          <w:color w:val="auto"/>
          <w:sz w:val="21"/>
          <w:szCs w:val="21"/>
          <w:lang w:val="en-US" w:eastAsia="zh-CN"/>
        </w:rPr>
        <w:t>7</w:t>
      </w:r>
      <w:r>
        <w:rPr>
          <w:rFonts w:hint="eastAsia" w:hAnsi="宋体" w:eastAsia="宋体" w:cs="宋体"/>
          <w:color w:val="auto"/>
          <w:sz w:val="21"/>
          <w:szCs w:val="21"/>
        </w:rPr>
        <w:t>个方面构成了</w:t>
      </w:r>
      <w:r>
        <w:rPr>
          <w:rFonts w:hint="eastAsia" w:hAnsi="宋体" w:eastAsia="宋体" w:cs="宋体"/>
          <w:color w:val="auto"/>
          <w:sz w:val="21"/>
          <w:szCs w:val="21"/>
          <w:lang w:eastAsia="zh-CN"/>
        </w:rPr>
        <w:t>铅冶炼</w:t>
      </w:r>
      <w:r>
        <w:rPr>
          <w:rFonts w:hint="eastAsia" w:hAnsi="宋体" w:eastAsia="宋体" w:cs="宋体"/>
          <w:color w:val="auto"/>
          <w:sz w:val="21"/>
          <w:szCs w:val="21"/>
        </w:rPr>
        <w:t>业绿色工厂评价的全部权重。</w:t>
      </w:r>
    </w:p>
    <w:p>
      <w:pPr>
        <w:pStyle w:val="11"/>
        <w:ind w:firstLine="420"/>
        <w:rPr>
          <w:rFonts w:hAnsi="宋体" w:eastAsia="宋体" w:cs="宋体"/>
          <w:color w:val="auto"/>
          <w:sz w:val="21"/>
          <w:szCs w:val="21"/>
        </w:rPr>
      </w:pPr>
      <w:r>
        <w:rPr>
          <w:rFonts w:hint="eastAsia" w:hAnsi="宋体" w:eastAsia="宋体" w:cs="宋体"/>
          <w:color w:val="auto"/>
          <w:sz w:val="21"/>
          <w:szCs w:val="21"/>
        </w:rPr>
        <w:t>一级指标权重系数分配如下：</w:t>
      </w:r>
    </w:p>
    <w:p>
      <w:pPr>
        <w:ind w:firstLine="210" w:firstLineChars="100"/>
        <w:rPr>
          <w:rFonts w:ascii="宋体" w:hAnsi="宋体" w:eastAsia="宋体" w:cs="宋体"/>
          <w:color w:val="auto"/>
          <w:szCs w:val="21"/>
        </w:rPr>
      </w:pPr>
      <w:r>
        <w:rPr>
          <w:rFonts w:hint="eastAsia" w:ascii="宋体" w:hAnsi="宋体" w:eastAsia="宋体" w:cs="宋体"/>
          <w:color w:val="auto"/>
          <w:szCs w:val="21"/>
        </w:rPr>
        <w:t>——基本要求（5.1）采取一票否决制，应全部满足；</w:t>
      </w:r>
    </w:p>
    <w:p>
      <w:pPr>
        <w:ind w:firstLine="218" w:firstLineChars="104"/>
        <w:rPr>
          <w:rFonts w:ascii="宋体" w:hAnsi="宋体" w:eastAsia="宋体" w:cs="宋体"/>
          <w:color w:val="auto"/>
          <w:szCs w:val="21"/>
        </w:rPr>
      </w:pPr>
      <w:r>
        <w:rPr>
          <w:rFonts w:hint="eastAsia" w:ascii="宋体" w:hAnsi="宋体" w:eastAsia="宋体" w:cs="宋体"/>
          <w:color w:val="auto"/>
          <w:szCs w:val="21"/>
        </w:rPr>
        <w:t>——基础设施（5.2）20%；</w:t>
      </w:r>
    </w:p>
    <w:p>
      <w:pPr>
        <w:ind w:firstLine="218" w:firstLineChars="104"/>
        <w:rPr>
          <w:rFonts w:ascii="宋体" w:hAnsi="宋体" w:eastAsia="宋体" w:cs="宋体"/>
          <w:color w:val="auto"/>
          <w:szCs w:val="21"/>
        </w:rPr>
      </w:pPr>
      <w:r>
        <w:rPr>
          <w:rFonts w:hint="eastAsia" w:ascii="宋体" w:hAnsi="宋体" w:eastAsia="宋体" w:cs="宋体"/>
          <w:color w:val="auto"/>
          <w:szCs w:val="21"/>
        </w:rPr>
        <w:t>——管理体系（5.3）1</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p>
      <w:pPr>
        <w:ind w:firstLine="218" w:firstLineChars="104"/>
        <w:rPr>
          <w:rFonts w:ascii="宋体" w:hAnsi="宋体" w:eastAsia="宋体" w:cs="宋体"/>
          <w:color w:val="auto"/>
          <w:szCs w:val="21"/>
        </w:rPr>
      </w:pPr>
      <w:r>
        <w:rPr>
          <w:rFonts w:hint="eastAsia" w:ascii="宋体" w:hAnsi="宋体" w:eastAsia="宋体" w:cs="宋体"/>
          <w:color w:val="auto"/>
          <w:szCs w:val="21"/>
        </w:rPr>
        <w:t>——能源与资源投入（5.4）15%；</w:t>
      </w:r>
    </w:p>
    <w:p>
      <w:pPr>
        <w:ind w:firstLine="218" w:firstLineChars="104"/>
        <w:rPr>
          <w:rFonts w:ascii="宋体" w:hAnsi="宋体" w:eastAsia="宋体" w:cs="宋体"/>
          <w:color w:val="auto"/>
          <w:szCs w:val="21"/>
        </w:rPr>
      </w:pPr>
      <w:r>
        <w:rPr>
          <w:rFonts w:hint="eastAsia" w:ascii="宋体" w:hAnsi="宋体" w:eastAsia="宋体" w:cs="宋体"/>
          <w:color w:val="auto"/>
          <w:szCs w:val="21"/>
        </w:rPr>
        <w:t>——产品（5.5）</w:t>
      </w:r>
      <w:r>
        <w:rPr>
          <w:rFonts w:hint="eastAsia" w:ascii="宋体" w:hAnsi="宋体" w:eastAsia="宋体" w:cs="宋体"/>
          <w:color w:val="auto"/>
          <w:szCs w:val="21"/>
          <w:lang w:val="en-US" w:eastAsia="zh-CN"/>
        </w:rPr>
        <w:t>10</w:t>
      </w:r>
      <w:r>
        <w:rPr>
          <w:rFonts w:hint="eastAsia" w:ascii="宋体" w:hAnsi="宋体" w:eastAsia="宋体" w:cs="宋体"/>
          <w:color w:val="auto"/>
          <w:szCs w:val="21"/>
        </w:rPr>
        <w:t>%；</w:t>
      </w:r>
    </w:p>
    <w:p>
      <w:pPr>
        <w:ind w:firstLine="218" w:firstLineChars="104"/>
        <w:rPr>
          <w:rFonts w:ascii="宋体" w:hAnsi="宋体" w:eastAsia="宋体" w:cs="宋体"/>
          <w:color w:val="auto"/>
          <w:szCs w:val="21"/>
        </w:rPr>
      </w:pPr>
      <w:r>
        <w:rPr>
          <w:rFonts w:hint="eastAsia" w:ascii="宋体" w:hAnsi="宋体" w:eastAsia="宋体" w:cs="宋体"/>
          <w:color w:val="auto"/>
          <w:szCs w:val="21"/>
        </w:rPr>
        <w:t>——环境排放（5.6）15%；</w:t>
      </w:r>
    </w:p>
    <w:p>
      <w:pPr>
        <w:ind w:firstLine="218" w:firstLineChars="104"/>
        <w:rPr>
          <w:rFonts w:ascii="宋体" w:hAnsi="宋体" w:eastAsia="宋体" w:cs="宋体"/>
          <w:color w:val="auto"/>
          <w:szCs w:val="21"/>
        </w:rPr>
      </w:pPr>
      <w:r>
        <w:rPr>
          <w:rFonts w:hint="eastAsia" w:ascii="宋体" w:hAnsi="宋体" w:eastAsia="宋体" w:cs="宋体"/>
          <w:color w:val="auto"/>
          <w:szCs w:val="21"/>
        </w:rPr>
        <w:t>——绩效（5.7）30%。</w:t>
      </w:r>
    </w:p>
    <w:p>
      <w:pPr>
        <w:pStyle w:val="11"/>
        <w:ind w:firstLine="210" w:firstLineChars="100"/>
        <w:rPr>
          <w:rFonts w:hint="eastAsia" w:hAnsi="宋体" w:eastAsia="宋体" w:cs="宋体"/>
          <w:color w:val="auto"/>
          <w:sz w:val="21"/>
          <w:szCs w:val="21"/>
          <w:lang w:val="en-US" w:eastAsia="zh-CN"/>
        </w:rPr>
      </w:pPr>
      <w:r>
        <w:rPr>
          <w:rFonts w:hint="eastAsia" w:hAnsi="宋体" w:eastAsia="宋体" w:cs="宋体"/>
          <w:color w:val="auto"/>
          <w:sz w:val="21"/>
          <w:szCs w:val="21"/>
        </w:rPr>
        <w:t>二级指标和具体评价要求对应分数见标准文本附录A。</w:t>
      </w:r>
      <w:r>
        <w:rPr>
          <w:rFonts w:hint="eastAsia" w:hAnsi="宋体" w:eastAsia="宋体" w:cs="宋体"/>
          <w:color w:val="auto"/>
          <w:sz w:val="21"/>
          <w:szCs w:val="21"/>
          <w:lang w:val="en-US" w:eastAsia="zh-CN"/>
        </w:rPr>
        <w:t xml:space="preserve">    </w:t>
      </w:r>
    </w:p>
    <w:p>
      <w:pPr>
        <w:rPr>
          <w:color w:val="auto"/>
        </w:rPr>
      </w:pPr>
      <w:r>
        <w:rPr>
          <w:rFonts w:hint="eastAsia"/>
          <w:color w:val="auto"/>
          <w:lang w:val="en-US" w:eastAsia="zh-CN"/>
        </w:rPr>
        <w:t>4</w:t>
      </w:r>
      <w:r>
        <w:rPr>
          <w:rFonts w:hint="eastAsia"/>
          <w:color w:val="auto"/>
        </w:rPr>
        <w:t>.5评价要求</w:t>
      </w:r>
    </w:p>
    <w:p>
      <w:pPr>
        <w:ind w:firstLine="435"/>
        <w:rPr>
          <w:rFonts w:ascii="宋体" w:hAnsi="宋体" w:eastAsia="宋体" w:cs="宋体"/>
          <w:color w:val="auto"/>
          <w:szCs w:val="21"/>
        </w:rPr>
      </w:pPr>
      <w:r>
        <w:rPr>
          <w:rFonts w:hint="eastAsia" w:ascii="宋体" w:hAnsi="宋体" w:eastAsia="宋体" w:cs="宋体"/>
          <w:color w:val="auto"/>
          <w:szCs w:val="21"/>
        </w:rPr>
        <w:t>本条是标准的核心内容。本章内容规定了</w:t>
      </w:r>
      <w:r>
        <w:rPr>
          <w:rFonts w:hint="eastAsia" w:hAnsi="宋体" w:eastAsia="宋体" w:cs="宋体"/>
          <w:color w:val="auto"/>
          <w:sz w:val="21"/>
          <w:szCs w:val="21"/>
          <w:lang w:eastAsia="zh-CN"/>
        </w:rPr>
        <w:t>铅冶炼</w:t>
      </w:r>
      <w:r>
        <w:rPr>
          <w:rFonts w:hint="eastAsia" w:ascii="宋体" w:hAnsi="宋体" w:eastAsia="宋体" w:cs="宋体"/>
          <w:color w:val="auto"/>
          <w:szCs w:val="21"/>
        </w:rPr>
        <w:t>业绿色工厂评价具体的评价指标要求。</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4.5.1</w:t>
      </w:r>
      <w:r>
        <w:rPr>
          <w:rFonts w:hint="eastAsia" w:ascii="宋体" w:hAnsi="宋体" w:eastAsia="宋体" w:cs="宋体"/>
          <w:color w:val="auto"/>
          <w:szCs w:val="21"/>
        </w:rPr>
        <w:t>基本要求</w:t>
      </w:r>
    </w:p>
    <w:p>
      <w:pPr>
        <w:ind w:left="15" w:firstLine="420" w:firstLineChars="200"/>
        <w:rPr>
          <w:rFonts w:hint="eastAsia" w:ascii="宋体" w:hAnsi="宋体" w:eastAsia="宋体" w:cs="宋体"/>
          <w:color w:val="auto"/>
          <w:szCs w:val="21"/>
          <w:lang w:eastAsia="zh-CN"/>
        </w:rPr>
      </w:pPr>
      <w:r>
        <w:rPr>
          <w:rFonts w:cs="Times New Roman"/>
          <w:color w:val="auto"/>
        </w:rPr>
        <w:t>基本要求是</w:t>
      </w:r>
      <w:r>
        <w:rPr>
          <w:rFonts w:hint="eastAsia" w:hAnsi="宋体" w:eastAsia="宋体" w:cs="宋体"/>
          <w:color w:val="auto"/>
          <w:sz w:val="21"/>
          <w:szCs w:val="21"/>
          <w:lang w:eastAsia="zh-CN"/>
        </w:rPr>
        <w:t>铅</w:t>
      </w:r>
      <w:r>
        <w:rPr>
          <w:rFonts w:hint="eastAsia" w:cs="Times New Roman"/>
          <w:color w:val="auto"/>
        </w:rPr>
        <w:t>冶炼</w:t>
      </w:r>
      <w:r>
        <w:rPr>
          <w:rFonts w:hint="eastAsia" w:cs="Times New Roman"/>
          <w:color w:val="auto"/>
          <w:lang w:eastAsia="zh-CN"/>
        </w:rPr>
        <w:t>企业</w:t>
      </w:r>
      <w:r>
        <w:rPr>
          <w:rFonts w:hint="eastAsia" w:cs="Times New Roman"/>
          <w:color w:val="auto"/>
        </w:rPr>
        <w:t>进行</w:t>
      </w:r>
      <w:r>
        <w:rPr>
          <w:rFonts w:cs="Times New Roman"/>
          <w:color w:val="auto"/>
        </w:rPr>
        <w:t>绿色工厂</w:t>
      </w:r>
      <w:r>
        <w:rPr>
          <w:rFonts w:hint="eastAsia" w:cs="Times New Roman"/>
          <w:color w:val="auto"/>
        </w:rPr>
        <w:t>评价</w:t>
      </w:r>
      <w:r>
        <w:rPr>
          <w:rFonts w:cs="Times New Roman"/>
          <w:color w:val="auto"/>
        </w:rPr>
        <w:t>需要达到的最低要求，</w:t>
      </w:r>
      <w:r>
        <w:rPr>
          <w:rFonts w:hint="eastAsia" w:cs="Times New Roman"/>
          <w:color w:val="auto"/>
          <w:lang w:eastAsia="zh-CN"/>
        </w:rPr>
        <w:t>因此无分值体现，</w:t>
      </w:r>
      <w:r>
        <w:rPr>
          <w:rFonts w:hint="eastAsia" w:ascii="宋体" w:hAnsi="宋体" w:eastAsia="宋体" w:cs="宋体"/>
          <w:color w:val="auto"/>
          <w:szCs w:val="21"/>
        </w:rPr>
        <w:t>主要包括工厂合规性要求、最高管理者要求以及工厂要求。</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4.5.1.1合规性与相关方要求</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合规性要求从符合法律法规、产业政策、无事故证明、污染物达标排放、能源消耗、企业信用</w:t>
      </w:r>
      <w:r>
        <w:rPr>
          <w:rFonts w:hint="eastAsia" w:ascii="仿宋" w:hAnsi="仿宋" w:eastAsia="仿宋" w:cs="仿宋"/>
          <w:color w:val="auto"/>
          <w:szCs w:val="21"/>
          <w:lang w:eastAsia="zh-CN"/>
        </w:rPr>
        <w:t>、</w:t>
      </w:r>
      <w:r>
        <w:rPr>
          <w:rFonts w:hint="eastAsia" w:ascii="仿宋" w:hAnsi="仿宋" w:eastAsia="仿宋" w:cs="仿宋"/>
          <w:color w:val="auto"/>
          <w:szCs w:val="21"/>
        </w:rPr>
        <w:t>三同时制度等方面对工厂进行了规定。</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从工厂依法设立</w:t>
      </w:r>
      <w:r>
        <w:rPr>
          <w:rFonts w:hint="eastAsia" w:ascii="仿宋" w:hAnsi="仿宋" w:eastAsia="仿宋" w:cs="仿宋"/>
          <w:color w:val="auto"/>
          <w:szCs w:val="21"/>
          <w:lang w:eastAsia="zh-CN"/>
        </w:rPr>
        <w:t>、</w:t>
      </w:r>
      <w:r>
        <w:rPr>
          <w:rFonts w:hint="eastAsia" w:ascii="仿宋" w:hAnsi="仿宋" w:eastAsia="仿宋" w:cs="仿宋"/>
          <w:color w:val="auto"/>
          <w:szCs w:val="21"/>
        </w:rPr>
        <w:t>合法合规的角度评价工厂的经营合规性，如企业营业执照</w:t>
      </w:r>
      <w:r>
        <w:rPr>
          <w:rFonts w:hint="eastAsia" w:ascii="仿宋" w:hAnsi="仿宋" w:eastAsia="仿宋" w:cs="仿宋"/>
          <w:color w:val="auto"/>
          <w:szCs w:val="21"/>
          <w:lang w:eastAsia="zh-CN"/>
        </w:rPr>
        <w:t>、</w:t>
      </w:r>
      <w:r>
        <w:rPr>
          <w:rFonts w:hint="eastAsia" w:ascii="仿宋" w:hAnsi="仿宋" w:eastAsia="仿宋" w:cs="仿宋"/>
          <w:color w:val="auto"/>
          <w:szCs w:val="21"/>
        </w:rPr>
        <w:t>近三年无违法、经营异常和行政处罚记录等。</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从近</w:t>
      </w:r>
      <w:r>
        <w:rPr>
          <w:rFonts w:hint="eastAsia" w:ascii="仿宋" w:hAnsi="仿宋" w:eastAsia="仿宋" w:cs="仿宋"/>
          <w:color w:val="auto"/>
          <w:szCs w:val="21"/>
          <w:lang w:eastAsia="zh-CN"/>
        </w:rPr>
        <w:t>三</w:t>
      </w:r>
      <w:r>
        <w:rPr>
          <w:rFonts w:hint="eastAsia" w:ascii="仿宋" w:hAnsi="仿宋" w:eastAsia="仿宋" w:cs="仿宋"/>
          <w:color w:val="auto"/>
          <w:szCs w:val="21"/>
        </w:rPr>
        <w:t>年无较大及以上安全、环保、质量等事故的角度评价工厂的环保、安全、质量的合规性。</w:t>
      </w:r>
    </w:p>
    <w:p>
      <w:pPr>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rPr>
        <w:t>根据《中华人民共和国环境保护法》、《中华人民共和国环境影响评价法》、《建设项目环境保护管理条例》、《建设项目竣工环境保护验收暂行办法》、《排污许可管理办法（试行）》等相关环保法律法规，</w:t>
      </w:r>
      <w:r>
        <w:rPr>
          <w:rFonts w:hint="eastAsia" w:ascii="仿宋" w:hAnsi="仿宋" w:eastAsia="仿宋" w:cs="仿宋"/>
          <w:color w:val="auto"/>
          <w:szCs w:val="21"/>
          <w:lang w:eastAsia="zh-CN"/>
        </w:rPr>
        <w:t>铅</w:t>
      </w:r>
      <w:r>
        <w:rPr>
          <w:rFonts w:hint="eastAsia" w:ascii="仿宋" w:hAnsi="仿宋" w:eastAsia="仿宋" w:cs="仿宋"/>
          <w:color w:val="auto"/>
          <w:szCs w:val="21"/>
        </w:rPr>
        <w:t>冶炼工厂需要执行“三同时”制度、环境影响评价制度、排污许可制度。根据《中华人民共和国清洁生产促进法》企业需按要求开展清洁生产审核</w:t>
      </w:r>
      <w:r>
        <w:rPr>
          <w:rFonts w:hint="eastAsia" w:ascii="仿宋" w:hAnsi="仿宋" w:eastAsia="仿宋" w:cs="仿宋"/>
          <w:color w:val="auto"/>
          <w:szCs w:val="21"/>
          <w:lang w:eastAsia="zh-CN"/>
        </w:rPr>
        <w:t>，且应满足相关</w:t>
      </w:r>
      <w:r>
        <w:rPr>
          <w:rFonts w:hint="eastAsia" w:hAnsi="宋体" w:eastAsia="宋体" w:cs="宋体"/>
          <w:color w:val="auto"/>
          <w:sz w:val="21"/>
          <w:szCs w:val="21"/>
          <w:lang w:eastAsia="zh-CN"/>
        </w:rPr>
        <w:t>铅</w:t>
      </w:r>
      <w:r>
        <w:rPr>
          <w:rFonts w:hint="eastAsia" w:ascii="仿宋" w:hAnsi="仿宋" w:eastAsia="仿宋" w:cs="仿宋"/>
          <w:color w:val="auto"/>
          <w:szCs w:val="21"/>
          <w:lang w:eastAsia="zh-CN"/>
        </w:rPr>
        <w:t>冶炼业规范条件。</w:t>
      </w:r>
    </w:p>
    <w:p>
      <w:pPr>
        <w:numPr>
          <w:ilvl w:val="0"/>
          <w:numId w:val="0"/>
        </w:numPr>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4.5.1.2</w:t>
      </w:r>
      <w:r>
        <w:rPr>
          <w:rFonts w:hint="eastAsia" w:ascii="宋体" w:hAnsi="宋体" w:eastAsia="宋体" w:cs="宋体"/>
          <w:color w:val="auto"/>
          <w:szCs w:val="21"/>
          <w:lang w:eastAsia="zh-CN"/>
        </w:rPr>
        <w:t>基础管理职责</w:t>
      </w:r>
    </w:p>
    <w:p>
      <w:pPr>
        <w:numPr>
          <w:ilvl w:val="0"/>
          <w:numId w:val="0"/>
        </w:numPr>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说明：基础管理职责包括</w:t>
      </w:r>
      <w:r>
        <w:rPr>
          <w:rFonts w:hint="eastAsia" w:ascii="仿宋" w:hAnsi="仿宋" w:eastAsia="仿宋" w:cs="仿宋"/>
          <w:color w:val="auto"/>
        </w:rPr>
        <w:t>最高管理者要求和工厂要求</w:t>
      </w:r>
      <w:r>
        <w:rPr>
          <w:rFonts w:hint="eastAsia" w:ascii="仿宋" w:hAnsi="仿宋" w:eastAsia="仿宋" w:cs="仿宋"/>
          <w:color w:val="auto"/>
          <w:lang w:eastAsia="zh-CN"/>
        </w:rPr>
        <w:t>。</w:t>
      </w:r>
    </w:p>
    <w:p>
      <w:pPr>
        <w:ind w:firstLine="420"/>
        <w:rPr>
          <w:rFonts w:hint="eastAsia" w:ascii="仿宋" w:hAnsi="仿宋" w:eastAsia="仿宋" w:cs="仿宋"/>
          <w:color w:val="auto"/>
          <w:szCs w:val="21"/>
          <w:lang w:eastAsia="zh-CN"/>
        </w:rPr>
      </w:pPr>
      <w:r>
        <w:rPr>
          <w:rFonts w:hint="eastAsia" w:ascii="仿宋" w:hAnsi="仿宋" w:eastAsia="仿宋" w:cs="仿宋"/>
          <w:color w:val="auto"/>
          <w:szCs w:val="21"/>
        </w:rPr>
        <w:t>最高管理者要求主要从领导作用和承诺、职责和权限分配等方面进行了规定</w:t>
      </w:r>
      <w:r>
        <w:rPr>
          <w:rFonts w:hint="eastAsia" w:ascii="仿宋" w:hAnsi="仿宋" w:eastAsia="仿宋" w:cs="仿宋"/>
          <w:color w:val="auto"/>
          <w:szCs w:val="21"/>
          <w:lang w:eastAsia="zh-CN"/>
        </w:rPr>
        <w:t>。</w:t>
      </w:r>
    </w:p>
    <w:p>
      <w:pPr>
        <w:ind w:firstLine="420"/>
        <w:rPr>
          <w:rFonts w:hint="eastAsia" w:ascii="仿宋" w:hAnsi="仿宋" w:eastAsia="仿宋" w:cs="仿宋"/>
          <w:color w:val="auto"/>
          <w:szCs w:val="21"/>
        </w:rPr>
      </w:pPr>
      <w:r>
        <w:rPr>
          <w:rFonts w:hint="eastAsia" w:ascii="仿宋" w:hAnsi="仿宋" w:eastAsia="仿宋" w:cs="仿宋"/>
          <w:color w:val="auto"/>
          <w:szCs w:val="21"/>
        </w:rPr>
        <w:t>工厂要求主要从管理组织机构、中长期规划、教育与培训等方面进行了规定。</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4.5.2</w:t>
      </w:r>
      <w:r>
        <w:rPr>
          <w:rFonts w:hint="eastAsia" w:ascii="宋体" w:hAnsi="宋体" w:eastAsia="宋体" w:cs="宋体"/>
          <w:color w:val="auto"/>
          <w:szCs w:val="21"/>
        </w:rPr>
        <w:t>基础设施要求</w:t>
      </w:r>
    </w:p>
    <w:p>
      <w:pPr>
        <w:numPr>
          <w:ilvl w:val="0"/>
          <w:numId w:val="0"/>
        </w:numPr>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说明：</w:t>
      </w:r>
      <w:r>
        <w:rPr>
          <w:rFonts w:hint="eastAsia" w:hAnsi="宋体" w:eastAsia="宋体" w:cs="宋体"/>
          <w:color w:val="auto"/>
          <w:sz w:val="21"/>
          <w:szCs w:val="21"/>
          <w:lang w:eastAsia="zh-CN"/>
        </w:rPr>
        <w:t>铅</w:t>
      </w:r>
      <w:r>
        <w:rPr>
          <w:rFonts w:hint="eastAsia" w:ascii="仿宋" w:hAnsi="仿宋" w:eastAsia="仿宋" w:cs="仿宋"/>
          <w:color w:val="auto"/>
          <w:sz w:val="21"/>
          <w:szCs w:val="21"/>
        </w:rPr>
        <w:t>冶炼业基础</w:t>
      </w:r>
      <w:r>
        <w:rPr>
          <w:rFonts w:hint="eastAsia" w:ascii="仿宋" w:hAnsi="仿宋" w:eastAsia="仿宋" w:cs="仿宋"/>
          <w:color w:val="auto"/>
          <w:sz w:val="21"/>
          <w:szCs w:val="21"/>
          <w:lang w:eastAsia="zh-CN"/>
        </w:rPr>
        <w:t>设施</w:t>
      </w:r>
      <w:r>
        <w:rPr>
          <w:rFonts w:hint="eastAsia" w:ascii="仿宋" w:hAnsi="仿宋" w:eastAsia="仿宋" w:cs="仿宋"/>
          <w:color w:val="auto"/>
          <w:sz w:val="21"/>
          <w:szCs w:val="21"/>
        </w:rPr>
        <w:t>是绿色工厂的基础</w:t>
      </w:r>
      <w:r>
        <w:rPr>
          <w:rFonts w:hint="eastAsia" w:ascii="仿宋" w:hAnsi="仿宋" w:eastAsia="仿宋" w:cs="仿宋"/>
          <w:color w:val="auto"/>
          <w:sz w:val="21"/>
          <w:szCs w:val="21"/>
          <w:lang w:eastAsia="zh-CN"/>
        </w:rPr>
        <w:t>，包括</w:t>
      </w:r>
      <w:r>
        <w:rPr>
          <w:rFonts w:hint="eastAsia" w:ascii="仿宋" w:hAnsi="仿宋" w:eastAsia="仿宋" w:cs="仿宋"/>
          <w:color w:val="auto"/>
          <w:sz w:val="21"/>
          <w:szCs w:val="21"/>
        </w:rPr>
        <w:t>建筑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节水、照明</w:t>
      </w:r>
      <w:r>
        <w:rPr>
          <w:rFonts w:hint="eastAsia" w:ascii="仿宋" w:hAnsi="仿宋" w:eastAsia="仿宋" w:cs="仿宋"/>
          <w:color w:val="auto"/>
          <w:sz w:val="21"/>
          <w:szCs w:val="21"/>
          <w:lang w:eastAsia="zh-CN"/>
        </w:rPr>
        <w:t>以及</w:t>
      </w:r>
      <w:r>
        <w:rPr>
          <w:rFonts w:hint="eastAsia" w:ascii="仿宋" w:hAnsi="仿宋" w:eastAsia="仿宋" w:cs="仿宋"/>
          <w:color w:val="auto"/>
          <w:sz w:val="21"/>
          <w:szCs w:val="21"/>
        </w:rPr>
        <w:t>设备设施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占比20%</w:t>
      </w:r>
      <w:r>
        <w:rPr>
          <w:rFonts w:hint="eastAsia" w:ascii="仿宋" w:hAnsi="仿宋" w:eastAsia="仿宋" w:cs="仿宋"/>
          <w:color w:val="auto"/>
          <w:sz w:val="21"/>
          <w:szCs w:val="21"/>
          <w:lang w:eastAsia="zh-CN"/>
        </w:rPr>
        <w:t>，即为</w:t>
      </w:r>
      <w:r>
        <w:rPr>
          <w:rFonts w:hint="eastAsia" w:ascii="仿宋" w:hAnsi="仿宋" w:eastAsia="仿宋" w:cs="仿宋"/>
          <w:color w:val="auto"/>
          <w:sz w:val="21"/>
          <w:szCs w:val="21"/>
          <w:lang w:val="en-US" w:eastAsia="zh-CN"/>
        </w:rPr>
        <w:t>20分。基础设施要求分为必选要求与可选要求，其比例为6:4，必选要求是工厂必须要满足的。由于建筑与设备设施章节相对于照明章节内容比较多，</w:t>
      </w:r>
      <w:r>
        <w:rPr>
          <w:rFonts w:hint="eastAsia" w:ascii="仿宋" w:hAnsi="仿宋" w:eastAsia="仿宋" w:cs="仿宋"/>
          <w:color w:val="auto"/>
          <w:sz w:val="21"/>
          <w:szCs w:val="21"/>
          <w:lang w:eastAsia="zh-CN"/>
        </w:rPr>
        <w:t>建筑、照明以及设备设施在其中所占的分值分别为</w:t>
      </w:r>
      <w:r>
        <w:rPr>
          <w:rFonts w:hint="eastAsia" w:ascii="仿宋" w:hAnsi="仿宋" w:eastAsia="仿宋" w:cs="仿宋"/>
          <w:color w:val="auto"/>
          <w:sz w:val="21"/>
          <w:szCs w:val="21"/>
          <w:lang w:val="en-US" w:eastAsia="zh-CN"/>
        </w:rPr>
        <w:t>8分、4分、8分。</w:t>
      </w:r>
    </w:p>
    <w:p>
      <w:pPr>
        <w:numPr>
          <w:ilvl w:val="0"/>
          <w:numId w:val="0"/>
        </w:num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4.5.2.1建筑</w:t>
      </w:r>
    </w:p>
    <w:p>
      <w:pPr>
        <w:ind w:firstLine="420" w:firstLineChars="200"/>
        <w:rPr>
          <w:rFonts w:hint="eastAsia" w:ascii="宋体" w:hAnsi="宋体" w:eastAsia="宋体" w:cs="宋体"/>
          <w:color w:val="auto"/>
          <w:szCs w:val="21"/>
          <w:lang w:val="en-US" w:eastAsia="zh-CN"/>
        </w:rPr>
      </w:pPr>
      <w:r>
        <w:rPr>
          <w:rFonts w:hint="eastAsia"/>
          <w:color w:val="auto"/>
          <w:szCs w:val="21"/>
        </w:rPr>
        <w:t>建筑应</w:t>
      </w:r>
      <w:r>
        <w:rPr>
          <w:rFonts w:hint="eastAsia"/>
          <w:color w:val="auto"/>
          <w:szCs w:val="21"/>
          <w:lang w:eastAsia="zh-CN"/>
        </w:rPr>
        <w:t>满足国家或地方相关法律法规及标准的要求，并</w:t>
      </w:r>
      <w:r>
        <w:rPr>
          <w:rFonts w:hint="eastAsia"/>
          <w:color w:val="auto"/>
          <w:szCs w:val="21"/>
        </w:rPr>
        <w:t>从建筑材料、建筑结构、绿化及场地、</w:t>
      </w:r>
      <w:r>
        <w:rPr>
          <w:rFonts w:hint="eastAsia"/>
          <w:color w:val="auto"/>
          <w:szCs w:val="21"/>
          <w:lang w:eastAsia="zh-CN"/>
        </w:rPr>
        <w:t>水资源</w:t>
      </w:r>
      <w:r>
        <w:rPr>
          <w:rFonts w:hint="eastAsia"/>
          <w:color w:val="auto"/>
          <w:szCs w:val="21"/>
        </w:rPr>
        <w:t>及能源利用等方面进行建筑的节材、节能、节水、节地</w:t>
      </w:r>
      <w:r>
        <w:rPr>
          <w:rFonts w:hint="eastAsia"/>
          <w:color w:val="auto"/>
          <w:szCs w:val="21"/>
          <w:lang w:eastAsia="zh-CN"/>
        </w:rPr>
        <w:t>及</w:t>
      </w:r>
      <w:r>
        <w:rPr>
          <w:rFonts w:hint="eastAsia"/>
          <w:color w:val="auto"/>
          <w:szCs w:val="21"/>
        </w:rPr>
        <w:t>无害化</w:t>
      </w:r>
      <w:r>
        <w:rPr>
          <w:rFonts w:hint="eastAsia"/>
          <w:color w:val="auto"/>
        </w:rPr>
        <w:t>。</w:t>
      </w:r>
      <w:r>
        <w:rPr>
          <w:rFonts w:hint="eastAsia"/>
          <w:color w:val="auto"/>
          <w:lang w:eastAsia="zh-CN"/>
        </w:rPr>
        <w:t>适用时，工厂的厂房宜采用多层建筑。</w:t>
      </w:r>
    </w:p>
    <w:p>
      <w:pPr>
        <w:numPr>
          <w:ilvl w:val="0"/>
          <w:numId w:val="0"/>
        </w:numPr>
        <w:spacing w:line="360" w:lineRule="auto"/>
        <w:ind w:firstLine="420" w:firstLineChars="200"/>
        <w:jc w:val="both"/>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工厂建筑应满足国家相关法律法规、产业政策</w:t>
      </w:r>
      <w:r>
        <w:rPr>
          <w:rFonts w:hint="eastAsia" w:ascii="仿宋" w:hAnsi="仿宋" w:eastAsia="仿宋" w:cs="仿宋"/>
          <w:color w:val="auto"/>
          <w:szCs w:val="21"/>
          <w:lang w:eastAsia="zh-CN"/>
        </w:rPr>
        <w:t>。建筑应从建筑材料、建筑结构、绿化及场地、节水、节地等方面进行规定。建筑应</w:t>
      </w:r>
      <w:r>
        <w:rPr>
          <w:rFonts w:hint="eastAsia" w:ascii="仿宋" w:hAnsi="仿宋" w:eastAsia="仿宋" w:cs="仿宋"/>
          <w:color w:val="auto"/>
          <w:szCs w:val="21"/>
        </w:rPr>
        <w:t>采用资源消耗低和环境影响小的建筑装饰装修材料</w:t>
      </w:r>
      <w:r>
        <w:rPr>
          <w:rFonts w:hint="eastAsia" w:ascii="仿宋" w:hAnsi="仿宋" w:eastAsia="仿宋" w:cs="仿宋"/>
          <w:color w:val="auto"/>
          <w:szCs w:val="21"/>
          <w:lang w:eastAsia="zh-CN"/>
        </w:rPr>
        <w:t>，</w:t>
      </w:r>
      <w:r>
        <w:rPr>
          <w:rFonts w:hint="eastAsia" w:ascii="仿宋" w:hAnsi="仿宋" w:eastAsia="仿宋" w:cs="仿宋"/>
          <w:color w:val="auto"/>
        </w:rPr>
        <w:t>国家质量监督检验检疫总局和国家标准化管理委员会发布了《室内装饰装修材料人造板及其制品中甲醛释放限量》等九项建筑材料有害物质限量的标准（GB</w:t>
      </w:r>
      <w:r>
        <w:rPr>
          <w:rFonts w:hint="eastAsia" w:ascii="仿宋" w:hAnsi="仿宋" w:eastAsia="仿宋" w:cs="仿宋"/>
          <w:color w:val="auto"/>
          <w:lang w:val="en-US" w:eastAsia="zh-CN"/>
        </w:rPr>
        <w:t xml:space="preserve"> </w:t>
      </w:r>
      <w:r>
        <w:rPr>
          <w:rFonts w:hint="eastAsia" w:ascii="仿宋" w:hAnsi="仿宋" w:eastAsia="仿宋" w:cs="仿宋"/>
          <w:color w:val="auto"/>
        </w:rPr>
        <w:t>18580~GB</w:t>
      </w:r>
      <w:r>
        <w:rPr>
          <w:rFonts w:hint="eastAsia" w:ascii="仿宋" w:hAnsi="仿宋" w:eastAsia="仿宋" w:cs="仿宋"/>
          <w:color w:val="auto"/>
          <w:lang w:val="en-US" w:eastAsia="zh-CN"/>
        </w:rPr>
        <w:t xml:space="preserve"> </w:t>
      </w:r>
      <w:r>
        <w:rPr>
          <w:rFonts w:hint="eastAsia" w:ascii="仿宋" w:hAnsi="仿宋" w:eastAsia="仿宋" w:cs="仿宋"/>
          <w:color w:val="auto"/>
        </w:rPr>
        <w:t>18588）和《建筑材料放射性核素限量标准》GB</w:t>
      </w:r>
      <w:r>
        <w:rPr>
          <w:rFonts w:hint="eastAsia" w:ascii="仿宋" w:hAnsi="仿宋" w:eastAsia="仿宋" w:cs="仿宋"/>
          <w:color w:val="auto"/>
          <w:lang w:val="en-US" w:eastAsia="zh-CN"/>
        </w:rPr>
        <w:t xml:space="preserve"> </w:t>
      </w:r>
      <w:r>
        <w:rPr>
          <w:rFonts w:hint="eastAsia" w:ascii="仿宋" w:hAnsi="仿宋" w:eastAsia="仿宋" w:cs="仿宋"/>
          <w:color w:val="auto"/>
        </w:rPr>
        <w:t>6566等标准，对各类建筑材料应满足的技术要求和性能参数进行规定</w:t>
      </w:r>
      <w:r>
        <w:rPr>
          <w:rFonts w:hint="eastAsia" w:ascii="仿宋" w:hAnsi="仿宋" w:eastAsia="仿宋" w:cs="仿宋"/>
          <w:color w:val="auto"/>
          <w:szCs w:val="21"/>
          <w:lang w:eastAsia="zh-CN"/>
        </w:rPr>
        <w:t>；工厂</w:t>
      </w:r>
      <w:r>
        <w:rPr>
          <w:rFonts w:hint="eastAsia" w:ascii="仿宋" w:hAnsi="仿宋" w:eastAsia="仿宋" w:cs="仿宋"/>
          <w:color w:val="auto"/>
          <w:szCs w:val="21"/>
        </w:rPr>
        <w:t>宜采用钢结构建筑和金属建材、生物质建材、节能门窗、新型墙体和节能保温材料等绿色建材</w:t>
      </w:r>
      <w:r>
        <w:rPr>
          <w:rFonts w:hint="eastAsia" w:ascii="仿宋" w:hAnsi="仿宋" w:eastAsia="仿宋" w:cs="仿宋"/>
          <w:color w:val="auto"/>
          <w:szCs w:val="21"/>
          <w:lang w:eastAsia="zh-CN"/>
        </w:rPr>
        <w:t>和本地建材，在满足生产需要的前提下优化围护结构热工性能、外窗气密性等阐述，降低厂房内部能耗；</w:t>
      </w:r>
      <w:r>
        <w:rPr>
          <w:rFonts w:hint="eastAsia" w:ascii="仿宋" w:hAnsi="仿宋" w:eastAsia="仿宋" w:cs="仿宋"/>
          <w:color w:val="auto"/>
          <w:szCs w:val="21"/>
        </w:rPr>
        <w:t>厂区</w:t>
      </w:r>
      <w:r>
        <w:rPr>
          <w:rFonts w:hint="eastAsia" w:ascii="仿宋" w:hAnsi="仿宋" w:eastAsia="仿宋" w:cs="仿宋"/>
          <w:color w:val="auto"/>
          <w:szCs w:val="21"/>
          <w:lang w:eastAsia="zh-CN"/>
        </w:rPr>
        <w:t>应</w:t>
      </w:r>
      <w:r>
        <w:rPr>
          <w:rFonts w:hint="eastAsia" w:ascii="仿宋" w:hAnsi="仿宋" w:eastAsia="仿宋" w:cs="仿宋"/>
          <w:color w:val="auto"/>
          <w:szCs w:val="21"/>
        </w:rPr>
        <w:t>绿化适宜，优先种植乡土植物，采用少维护、耐候性强的植物；宜多采用节水设备，选用《当前国家鼓励发展的节水设备》（产品）目录中公布的设备、器材和器具，根据用水场合的不同，合理选用节水水龙头、节水便器、节水淋浴装置等</w:t>
      </w:r>
      <w:r>
        <w:rPr>
          <w:rFonts w:hint="eastAsia" w:ascii="仿宋" w:hAnsi="仿宋" w:eastAsia="仿宋" w:cs="仿宋"/>
          <w:color w:val="auto"/>
          <w:szCs w:val="21"/>
          <w:lang w:eastAsia="zh-CN"/>
        </w:rPr>
        <w:t>；</w:t>
      </w:r>
      <w:r>
        <w:rPr>
          <w:rFonts w:hint="eastAsia" w:ascii="仿宋" w:hAnsi="仿宋" w:eastAsia="仿宋" w:cs="仿宋"/>
          <w:color w:val="auto"/>
          <w:szCs w:val="21"/>
        </w:rPr>
        <w:t>适用时厂房应采用多层建筑，以满足节地要求。</w:t>
      </w:r>
    </w:p>
    <w:p>
      <w:pPr>
        <w:numPr>
          <w:ilvl w:val="0"/>
          <w:numId w:val="0"/>
        </w:numPr>
        <w:spacing w:line="360" w:lineRule="auto"/>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4.5.2.2</w:t>
      </w:r>
      <w:r>
        <w:rPr>
          <w:rFonts w:hint="eastAsia" w:asciiTheme="minorEastAsia" w:hAnsiTheme="minorEastAsia" w:eastAsiaTheme="minorEastAsia" w:cstheme="minorEastAsia"/>
          <w:color w:val="auto"/>
          <w:szCs w:val="21"/>
          <w:lang w:val="en-US" w:eastAsia="zh-CN"/>
        </w:rPr>
        <w:t>照明</w:t>
      </w:r>
    </w:p>
    <w:p>
      <w:pPr>
        <w:ind w:firstLine="420" w:firstLineChars="200"/>
        <w:rPr>
          <w:rFonts w:hint="eastAsia" w:eastAsia="宋体" w:cs="宋体"/>
          <w:color w:val="auto"/>
          <w:lang w:eastAsia="zh-CN"/>
        </w:rPr>
      </w:pPr>
      <w:r>
        <w:rPr>
          <w:rFonts w:hint="eastAsia" w:cs="宋体"/>
          <w:color w:val="auto"/>
        </w:rPr>
        <w:t>厂区及各房间的照明应尽量利用自然光或节能灯，人工照明应符合GB 50034的规定</w:t>
      </w:r>
      <w:r>
        <w:rPr>
          <w:rFonts w:hint="eastAsia" w:cs="宋体"/>
          <w:color w:val="auto"/>
          <w:lang w:eastAsia="zh-CN"/>
        </w:rPr>
        <w:t>。</w:t>
      </w:r>
    </w:p>
    <w:p>
      <w:pPr>
        <w:ind w:firstLine="420" w:firstLineChars="200"/>
        <w:rPr>
          <w:rFonts w:hint="eastAsia" w:eastAsia="宋体" w:cs="宋体"/>
          <w:color w:val="auto"/>
          <w:lang w:eastAsia="zh-CN"/>
        </w:rPr>
      </w:pPr>
      <w:r>
        <w:rPr>
          <w:rFonts w:hint="eastAsia" w:cs="宋体"/>
          <w:color w:val="auto"/>
        </w:rPr>
        <w:t>不同场所的照明应进行分级设计</w:t>
      </w:r>
      <w:r>
        <w:rPr>
          <w:rFonts w:hint="eastAsia" w:cs="宋体"/>
          <w:color w:val="auto"/>
          <w:lang w:eastAsia="zh-CN"/>
        </w:rPr>
        <w:t>。</w:t>
      </w:r>
    </w:p>
    <w:p>
      <w:pPr>
        <w:ind w:firstLine="420" w:firstLineChars="200"/>
        <w:rPr>
          <w:color w:val="auto"/>
        </w:rPr>
      </w:pPr>
      <w:r>
        <w:rPr>
          <w:rFonts w:hint="eastAsia"/>
          <w:color w:val="auto"/>
        </w:rPr>
        <w:t>大型厂房的照明系统宜采用分区控制方式，辅助生产和生活福利设施的照明系统</w:t>
      </w:r>
      <w:r>
        <w:rPr>
          <w:rFonts w:hint="eastAsia"/>
          <w:color w:val="auto"/>
          <w:lang w:eastAsia="zh-CN"/>
        </w:rPr>
        <w:t>宜</w:t>
      </w:r>
      <w:r>
        <w:rPr>
          <w:rFonts w:hint="eastAsia"/>
          <w:color w:val="auto"/>
        </w:rPr>
        <w:t>适当增设照明控制开关，短时有人的场所宜采取节能自熄措施。</w:t>
      </w:r>
    </w:p>
    <w:p>
      <w:pPr>
        <w:numPr>
          <w:ilvl w:val="0"/>
          <w:numId w:val="0"/>
        </w:numPr>
        <w:spacing w:line="360" w:lineRule="auto"/>
        <w:ind w:firstLine="420" w:firstLineChars="200"/>
        <w:jc w:val="both"/>
        <w:rPr>
          <w:rFonts w:hint="eastAsia" w:ascii="仿宋" w:hAnsi="仿宋" w:eastAsia="仿宋" w:cs="仿宋"/>
          <w:color w:val="auto"/>
        </w:rPr>
      </w:pPr>
      <w:r>
        <w:rPr>
          <w:rFonts w:hint="eastAsia" w:ascii="仿宋" w:hAnsi="仿宋" w:eastAsia="仿宋" w:cs="仿宋"/>
          <w:color w:val="auto"/>
          <w:szCs w:val="21"/>
          <w:lang w:val="en-US" w:eastAsia="zh-CN"/>
        </w:rPr>
        <w:t>说明：</w:t>
      </w:r>
      <w:r>
        <w:rPr>
          <w:rFonts w:hint="eastAsia" w:ascii="仿宋" w:hAnsi="仿宋" w:eastAsia="仿宋" w:cs="仿宋"/>
          <w:color w:val="auto"/>
          <w:szCs w:val="21"/>
        </w:rPr>
        <w:t>天然光具有最好的显色性，可以提高生产效率</w:t>
      </w:r>
      <w:r>
        <w:rPr>
          <w:rFonts w:hint="eastAsia" w:ascii="仿宋" w:hAnsi="仿宋" w:eastAsia="仿宋" w:cs="仿宋"/>
          <w:color w:val="auto"/>
          <w:szCs w:val="21"/>
          <w:lang w:eastAsia="zh-CN"/>
        </w:rPr>
        <w:t>，</w:t>
      </w:r>
      <w:r>
        <w:rPr>
          <w:rFonts w:hint="eastAsia" w:ascii="仿宋" w:hAnsi="仿宋" w:eastAsia="仿宋" w:cs="仿宋"/>
          <w:color w:val="auto"/>
          <w:szCs w:val="21"/>
        </w:rPr>
        <w:t>节省照明耗电量</w:t>
      </w:r>
      <w:r>
        <w:rPr>
          <w:rFonts w:hint="eastAsia" w:ascii="仿宋" w:hAnsi="仿宋" w:eastAsia="仿宋" w:cs="仿宋"/>
          <w:color w:val="auto"/>
          <w:szCs w:val="21"/>
          <w:lang w:eastAsia="zh-CN"/>
        </w:rPr>
        <w:t>，</w:t>
      </w:r>
      <w:r>
        <w:rPr>
          <w:rFonts w:hint="eastAsia" w:ascii="仿宋" w:hAnsi="仿宋" w:eastAsia="仿宋" w:cs="仿宋"/>
          <w:color w:val="auto"/>
          <w:szCs w:val="21"/>
        </w:rPr>
        <w:t>丰富室内光环境</w:t>
      </w:r>
      <w:r>
        <w:rPr>
          <w:rFonts w:hint="eastAsia" w:ascii="仿宋" w:hAnsi="仿宋" w:eastAsia="仿宋" w:cs="仿宋"/>
          <w:color w:val="auto"/>
          <w:szCs w:val="21"/>
          <w:lang w:eastAsia="zh-CN"/>
        </w:rPr>
        <w:t>，</w:t>
      </w:r>
      <w:r>
        <w:rPr>
          <w:rFonts w:hint="eastAsia" w:ascii="仿宋" w:hAnsi="仿宋" w:eastAsia="仿宋" w:cs="仿宋"/>
          <w:color w:val="auto"/>
          <w:szCs w:val="21"/>
        </w:rPr>
        <w:t>有利于工作人员的身心健康。工厂应充分利用天然光，优化窗墙面积比、屋顶透明部分面积比，将自然光引入建筑，提高建筑的节能型和舒适性。根据</w:t>
      </w:r>
      <w:r>
        <w:rPr>
          <w:rFonts w:hint="eastAsia" w:ascii="仿宋" w:hAnsi="仿宋" w:eastAsia="仿宋" w:cs="仿宋"/>
          <w:color w:val="auto"/>
        </w:rPr>
        <w:t>《建筑照明设计标准》GB 50034</w:t>
      </w:r>
      <w:r>
        <w:rPr>
          <w:rFonts w:hint="eastAsia" w:ascii="仿宋" w:hAnsi="仿宋" w:eastAsia="仿宋" w:cs="仿宋"/>
          <w:color w:val="auto"/>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w:t>
      </w:r>
      <w:r>
        <w:rPr>
          <w:rFonts w:hint="eastAsia" w:ascii="仿宋" w:hAnsi="仿宋" w:eastAsia="仿宋" w:cs="仿宋"/>
          <w:color w:val="auto"/>
          <w:szCs w:val="21"/>
          <w:lang w:eastAsia="zh-CN"/>
        </w:rPr>
        <w:t>标准</w:t>
      </w:r>
      <w:r>
        <w:rPr>
          <w:rFonts w:hint="eastAsia" w:ascii="仿宋" w:hAnsi="仿宋" w:eastAsia="仿宋" w:cs="仿宋"/>
          <w:color w:val="auto"/>
          <w:szCs w:val="21"/>
        </w:rPr>
        <w:t>规定照明应执行</w:t>
      </w:r>
      <w:r>
        <w:rPr>
          <w:rFonts w:hint="eastAsia" w:ascii="仿宋" w:hAnsi="仿宋" w:eastAsia="仿宋" w:cs="仿宋"/>
          <w:color w:val="auto"/>
        </w:rPr>
        <w:t>GB 50034的</w:t>
      </w:r>
      <w:r>
        <w:rPr>
          <w:rFonts w:hint="eastAsia" w:ascii="仿宋" w:hAnsi="仿宋" w:eastAsia="仿宋" w:cs="仿宋"/>
          <w:color w:val="auto"/>
          <w:szCs w:val="21"/>
        </w:rPr>
        <w:t>照明功率密度</w:t>
      </w:r>
      <w:r>
        <w:rPr>
          <w:rFonts w:hint="eastAsia" w:ascii="仿宋" w:hAnsi="仿宋" w:eastAsia="仿宋" w:cs="仿宋"/>
          <w:color w:val="auto"/>
        </w:rPr>
        <w:t>目标值</w:t>
      </w:r>
      <w:r>
        <w:rPr>
          <w:rFonts w:hint="eastAsia" w:ascii="仿宋" w:hAnsi="仿宋" w:eastAsia="仿宋" w:cs="仿宋"/>
          <w:color w:val="auto"/>
          <w:szCs w:val="21"/>
        </w:rPr>
        <w:t>。不同的场所应进行分级设计、公共场所的照明应采取分区、分组与定时自动调光灯措施。</w:t>
      </w:r>
      <w:r>
        <w:rPr>
          <w:rFonts w:hint="eastAsia" w:ascii="仿宋" w:hAnsi="仿宋" w:eastAsia="仿宋" w:cs="仿宋"/>
          <w:color w:val="auto"/>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pPr>
        <w:numPr>
          <w:ilvl w:val="0"/>
          <w:numId w:val="0"/>
        </w:numPr>
        <w:spacing w:line="360" w:lineRule="auto"/>
        <w:ind w:left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4.5.2.3</w:t>
      </w:r>
      <w:r>
        <w:rPr>
          <w:rFonts w:hint="eastAsia" w:asciiTheme="minorEastAsia" w:hAnsiTheme="minorEastAsia" w:eastAsiaTheme="minorEastAsia" w:cstheme="minorEastAsia"/>
          <w:color w:val="auto"/>
          <w:lang w:val="en-US" w:eastAsia="zh-CN"/>
        </w:rPr>
        <w:t>设备设施</w:t>
      </w:r>
    </w:p>
    <w:p>
      <w:pPr>
        <w:ind w:firstLine="420" w:firstLineChars="200"/>
        <w:rPr>
          <w:rFonts w:ascii="黑体" w:hAnsi="黑体" w:eastAsia="黑体" w:cs="黑体"/>
          <w:color w:val="auto"/>
        </w:rPr>
      </w:pPr>
      <w:r>
        <w:rPr>
          <w:rFonts w:hint="eastAsia" w:ascii="黑体" w:hAnsi="黑体" w:eastAsia="黑体" w:cs="黑体"/>
          <w:color w:val="auto"/>
        </w:rPr>
        <w:t>专用设备</w:t>
      </w:r>
    </w:p>
    <w:p>
      <w:pPr>
        <w:ind w:firstLine="420" w:firstLineChars="200"/>
        <w:rPr>
          <w:color w:val="auto"/>
        </w:rPr>
      </w:pPr>
      <w:r>
        <w:rPr>
          <w:rFonts w:hint="eastAsia"/>
          <w:color w:val="auto"/>
        </w:rPr>
        <w:t>专用设备应符合产业准入要求，降低能源与资源消耗，减少污染排放。</w:t>
      </w:r>
    </w:p>
    <w:p>
      <w:pPr>
        <w:ind w:firstLine="420" w:firstLineChars="200"/>
        <w:rPr>
          <w:rFonts w:ascii="黑体" w:hAnsi="黑体" w:eastAsia="黑体" w:cs="黑体"/>
          <w:color w:val="auto"/>
        </w:rPr>
      </w:pPr>
      <w:r>
        <w:rPr>
          <w:rFonts w:hint="eastAsia" w:ascii="黑体" w:hAnsi="黑体" w:eastAsia="黑体" w:cs="黑体"/>
          <w:color w:val="auto"/>
        </w:rPr>
        <w:t>通用设备</w:t>
      </w:r>
    </w:p>
    <w:p>
      <w:pPr>
        <w:ind w:firstLine="420" w:firstLineChars="200"/>
        <w:rPr>
          <w:color w:val="auto"/>
        </w:rPr>
      </w:pPr>
      <w:r>
        <w:rPr>
          <w:rFonts w:hint="eastAsia"/>
          <w:color w:val="auto"/>
        </w:rPr>
        <w:t>通用设备应符合以下要求：</w:t>
      </w:r>
    </w:p>
    <w:p>
      <w:pPr>
        <w:numPr>
          <w:ilvl w:val="0"/>
          <w:numId w:val="4"/>
        </w:numPr>
        <w:ind w:firstLine="420" w:firstLineChars="200"/>
        <w:rPr>
          <w:color w:val="auto"/>
        </w:rPr>
      </w:pPr>
      <w:r>
        <w:rPr>
          <w:rFonts w:hint="eastAsia"/>
          <w:color w:val="auto"/>
          <w:lang w:eastAsia="zh-CN"/>
        </w:rPr>
        <w:t>适用时，</w:t>
      </w:r>
      <w:r>
        <w:rPr>
          <w:rFonts w:hint="eastAsia"/>
          <w:color w:val="auto"/>
        </w:rPr>
        <w:t>通用设备如压缩机、电动机、变压器、工业锅炉、离心泵、通风机、空调机、冷水机组等应达到GB 18613、GB 19153、GB/T 19576、GB 19577、GB 19761、GB 19762、GB 20052、GB 21454、GB 24500、GB 24790等标准中能效限定值的强制性要求。</w:t>
      </w:r>
    </w:p>
    <w:p>
      <w:pPr>
        <w:numPr>
          <w:ilvl w:val="0"/>
          <w:numId w:val="4"/>
        </w:numPr>
        <w:ind w:firstLine="420" w:firstLineChars="200"/>
        <w:rPr>
          <w:color w:val="auto"/>
        </w:rPr>
      </w:pPr>
      <w:r>
        <w:rPr>
          <w:rFonts w:hint="eastAsia"/>
          <w:color w:val="auto"/>
          <w:lang w:eastAsia="zh-CN"/>
        </w:rPr>
        <w:t>通用设备或其系统的实际运行效率或主要运行参数应符合该设备经济运行的要求。</w:t>
      </w:r>
    </w:p>
    <w:p>
      <w:pPr>
        <w:numPr>
          <w:ilvl w:val="0"/>
          <w:numId w:val="4"/>
        </w:numPr>
        <w:ind w:firstLine="420" w:firstLineChars="200"/>
        <w:rPr>
          <w:color w:val="auto"/>
        </w:rPr>
      </w:pPr>
      <w:r>
        <w:rPr>
          <w:rFonts w:hint="eastAsia"/>
          <w:color w:val="auto"/>
        </w:rPr>
        <w:t>已明令禁止生产、使用和能耗高、效率低的设备应限期淘汰更新。</w:t>
      </w:r>
    </w:p>
    <w:p>
      <w:pPr>
        <w:numPr>
          <w:ilvl w:val="0"/>
          <w:numId w:val="4"/>
        </w:numPr>
        <w:ind w:firstLine="420" w:firstLineChars="200"/>
        <w:rPr>
          <w:color w:val="auto"/>
        </w:rPr>
      </w:pPr>
      <w:r>
        <w:rPr>
          <w:rFonts w:hint="eastAsia"/>
          <w:color w:val="auto"/>
        </w:rPr>
        <w:t>通用设备</w:t>
      </w:r>
      <w:r>
        <w:rPr>
          <w:rFonts w:hint="eastAsia"/>
          <w:color w:val="auto"/>
          <w:lang w:eastAsia="zh-CN"/>
        </w:rPr>
        <w:t>宜</w:t>
      </w:r>
      <w:r>
        <w:rPr>
          <w:rFonts w:hint="eastAsia"/>
          <w:color w:val="auto"/>
        </w:rPr>
        <w:t>采用效率高、能耗低、水耗低、物耗低的产品。</w:t>
      </w:r>
    </w:p>
    <w:p>
      <w:pPr>
        <w:ind w:firstLine="420" w:firstLineChars="200"/>
        <w:rPr>
          <w:rFonts w:ascii="黑体" w:hAnsi="黑体" w:eastAsia="黑体" w:cs="黑体"/>
          <w:color w:val="auto"/>
        </w:rPr>
      </w:pPr>
      <w:r>
        <w:rPr>
          <w:rFonts w:hint="eastAsia" w:ascii="黑体" w:hAnsi="黑体" w:eastAsia="黑体" w:cs="黑体"/>
          <w:color w:val="auto"/>
        </w:rPr>
        <w:t>计量设备</w:t>
      </w:r>
    </w:p>
    <w:p>
      <w:pPr>
        <w:ind w:firstLine="420" w:firstLineChars="200"/>
        <w:rPr>
          <w:rFonts w:hint="eastAsia"/>
          <w:color w:val="auto"/>
        </w:rPr>
      </w:pPr>
      <w:r>
        <w:rPr>
          <w:rFonts w:hint="eastAsia"/>
          <w:color w:val="auto"/>
          <w:lang w:val="en-US" w:eastAsia="zh-CN"/>
        </w:rPr>
        <w:t>a</w:t>
      </w:r>
      <w:r>
        <w:rPr>
          <w:rFonts w:hint="eastAsia"/>
          <w:color w:val="auto"/>
          <w:lang w:eastAsia="zh-CN"/>
        </w:rPr>
        <w:t>）</w:t>
      </w:r>
      <w:r>
        <w:rPr>
          <w:rFonts w:hint="eastAsia"/>
          <w:color w:val="auto"/>
        </w:rPr>
        <w:t>应依据</w:t>
      </w:r>
      <w:r>
        <w:rPr>
          <w:rFonts w:hint="eastAsia"/>
          <w:color w:val="auto"/>
          <w:szCs w:val="21"/>
        </w:rPr>
        <w:t>GB</w:t>
      </w:r>
      <w:r>
        <w:rPr>
          <w:rFonts w:hint="eastAsia"/>
          <w:color w:val="auto"/>
          <w:szCs w:val="21"/>
          <w:lang w:val="en-US" w:eastAsia="zh-CN"/>
        </w:rPr>
        <w:t>/T</w:t>
      </w:r>
      <w:r>
        <w:rPr>
          <w:rFonts w:hint="eastAsia"/>
          <w:color w:val="auto"/>
          <w:szCs w:val="21"/>
        </w:rPr>
        <w:t xml:space="preserve"> 20902</w:t>
      </w:r>
      <w:r>
        <w:rPr>
          <w:rFonts w:hint="eastAsia"/>
          <w:color w:val="auto"/>
          <w:szCs w:val="21"/>
          <w:lang w:eastAsia="zh-CN"/>
        </w:rPr>
        <w:t>、</w:t>
      </w:r>
      <w:r>
        <w:rPr>
          <w:rFonts w:hint="eastAsia"/>
          <w:color w:val="auto"/>
        </w:rPr>
        <w:t>GB 24789等要求配备、使用和管理能源、水以及其他资源的计量器具和装置。</w:t>
      </w:r>
    </w:p>
    <w:p>
      <w:pPr>
        <w:ind w:firstLine="420" w:firstLineChars="200"/>
        <w:rPr>
          <w:color w:val="auto"/>
        </w:rPr>
      </w:pPr>
      <w:r>
        <w:rPr>
          <w:rFonts w:hint="eastAsia"/>
          <w:color w:val="auto"/>
        </w:rPr>
        <w:t>b)能源及资源使用的类型不同时，应进行分类计量。工厂若具有以下设备，需满足分类计量的要求：（1）照明系统；（2）冷水机组、相关用能设备的能耗计量和控制；（3）室内用水、室外用水；（4）空气处理设备的流量和压力计量；（5）锅炉；（6）冷却塔</w:t>
      </w:r>
      <w:r>
        <w:rPr>
          <w:rFonts w:hint="eastAsia"/>
          <w:color w:val="auto"/>
          <w:lang w:eastAsia="zh-CN"/>
        </w:rPr>
        <w:t>。</w:t>
      </w:r>
    </w:p>
    <w:p>
      <w:pPr>
        <w:ind w:firstLine="420" w:firstLineChars="200"/>
        <w:rPr>
          <w:color w:val="auto"/>
        </w:rPr>
      </w:pPr>
      <w:r>
        <w:rPr>
          <w:rFonts w:hint="eastAsia" w:ascii="黑体" w:hAnsi="黑体" w:eastAsia="黑体" w:cs="黑体"/>
          <w:color w:val="auto"/>
        </w:rPr>
        <w:t>污染物处理设备</w:t>
      </w:r>
    </w:p>
    <w:p>
      <w:pPr>
        <w:ind w:firstLine="420" w:firstLineChars="200"/>
        <w:rPr>
          <w:rFonts w:hint="eastAsia"/>
          <w:color w:val="auto"/>
        </w:rPr>
      </w:pPr>
      <w:r>
        <w:rPr>
          <w:rFonts w:hint="eastAsia"/>
          <w:color w:val="auto"/>
        </w:rPr>
        <w:t>应投入适宜的污染物处理设备，以确保其污染物排放达到相关法律法规及标准要求。污染物处理设备的处理能力应与工厂生产排放相适应。</w:t>
      </w:r>
    </w:p>
    <w:p>
      <w:pPr>
        <w:pStyle w:val="6"/>
        <w:ind w:firstLine="420" w:firstLineChars="200"/>
        <w:rPr>
          <w:rFonts w:hint="eastAsia" w:ascii="仿宋" w:hAnsi="仿宋" w:eastAsia="仿宋" w:cs="仿宋"/>
          <w:color w:val="auto"/>
          <w:szCs w:val="21"/>
          <w:lang w:eastAsia="zh-CN"/>
        </w:rPr>
      </w:pPr>
      <w:r>
        <w:rPr>
          <w:rFonts w:hint="eastAsia" w:ascii="仿宋" w:hAnsi="仿宋" w:eastAsia="仿宋" w:cs="仿宋"/>
          <w:color w:val="auto"/>
          <w:lang w:val="en-US" w:eastAsia="zh-CN"/>
        </w:rPr>
        <w:t>说明：</w:t>
      </w:r>
      <w:r>
        <w:rPr>
          <w:rFonts w:hint="eastAsia" w:ascii="仿宋" w:hAnsi="仿宋" w:eastAsia="仿宋" w:cs="仿宋"/>
          <w:color w:val="auto"/>
          <w:szCs w:val="21"/>
        </w:rPr>
        <w:t>设备设施分为专用设备、通用设备、计量设备以及污染物处理设备</w:t>
      </w:r>
      <w:r>
        <w:rPr>
          <w:rFonts w:hint="eastAsia" w:ascii="仿宋" w:hAnsi="仿宋" w:eastAsia="仿宋" w:cs="仿宋"/>
          <w:color w:val="auto"/>
          <w:szCs w:val="21"/>
          <w:lang w:eastAsia="zh-CN"/>
        </w:rPr>
        <w:t>。工厂</w:t>
      </w:r>
      <w:r>
        <w:rPr>
          <w:rFonts w:hint="eastAsia" w:ascii="仿宋" w:hAnsi="仿宋" w:eastAsia="仿宋" w:cs="仿宋"/>
          <w:color w:val="auto"/>
          <w:szCs w:val="21"/>
        </w:rPr>
        <w:t>应满足国家相关标准规定，对国家明令淘汰的生产工艺、设备及产能进行识别并避免采购，包括《高耗能落后机电设备（产品）淘汰目录》、《高耗能老旧电信设备淘汰目录》等文件中明令淘汰的生产工艺、设备及产能</w:t>
      </w:r>
      <w:r>
        <w:rPr>
          <w:rFonts w:hint="eastAsia" w:ascii="仿宋" w:hAnsi="仿宋" w:eastAsia="仿宋" w:cs="仿宋"/>
          <w:color w:val="auto"/>
          <w:szCs w:val="21"/>
          <w:lang w:eastAsia="zh-CN"/>
        </w:rPr>
        <w:t>。</w:t>
      </w:r>
      <w:r>
        <w:rPr>
          <w:rFonts w:hint="eastAsia" w:ascii="仿宋" w:hAnsi="仿宋" w:eastAsia="仿宋" w:cs="仿宋"/>
          <w:color w:val="auto"/>
          <w:szCs w:val="21"/>
        </w:rPr>
        <w:t>对于正在使用的国家明令淘汰的生产工艺、设备及产能，但尚未达到淘汰时间的，应制定明确的淘汰计划。通用设备一般包括破碎机、磨机、空压机、风机、冶金炉（窑）、水环式压缩机、整流变压器、锅炉循环泵、酸冷却器等。对于计量设备，应覆盖主要的能源、资源消耗设施，工厂需建立起计量体系，计量仪器符合</w:t>
      </w:r>
      <w:r>
        <w:rPr>
          <w:rFonts w:hint="eastAsia" w:ascii="仿宋" w:hAnsi="仿宋" w:eastAsia="仿宋" w:cs="仿宋"/>
          <w:color w:val="auto"/>
          <w:szCs w:val="21"/>
          <w:lang w:eastAsia="zh-CN"/>
        </w:rPr>
        <w:t>《</w:t>
      </w:r>
      <w:r>
        <w:rPr>
          <w:rFonts w:hint="eastAsia" w:ascii="仿宋" w:hAnsi="仿宋" w:eastAsia="仿宋" w:cs="仿宋"/>
          <w:color w:val="auto"/>
          <w:szCs w:val="21"/>
        </w:rPr>
        <w:t>有色金属冶炼企业能源计量器具配备和管理要求</w:t>
      </w:r>
      <w:r>
        <w:rPr>
          <w:rFonts w:hint="eastAsia" w:ascii="仿宋" w:hAnsi="仿宋" w:eastAsia="仿宋" w:cs="仿宋"/>
          <w:color w:val="auto"/>
          <w:szCs w:val="21"/>
          <w:lang w:eastAsia="zh-CN"/>
        </w:rPr>
        <w:t>》</w:t>
      </w:r>
      <w:r>
        <w:rPr>
          <w:rFonts w:hint="eastAsia" w:ascii="仿宋" w:hAnsi="仿宋" w:eastAsia="仿宋" w:cs="仿宋"/>
          <w:color w:val="auto"/>
          <w:szCs w:val="21"/>
        </w:rPr>
        <w:t>GB/T20902</w:t>
      </w:r>
      <w:r>
        <w:rPr>
          <w:rFonts w:hint="eastAsia" w:ascii="仿宋" w:hAnsi="仿宋" w:eastAsia="仿宋" w:cs="仿宋"/>
          <w:color w:val="auto"/>
          <w:szCs w:val="21"/>
          <w:lang w:eastAsia="zh-CN"/>
        </w:rPr>
        <w:t>等</w:t>
      </w:r>
      <w:r>
        <w:rPr>
          <w:rFonts w:hint="eastAsia" w:ascii="仿宋" w:hAnsi="仿宋" w:eastAsia="仿宋" w:cs="仿宋"/>
          <w:color w:val="auto"/>
          <w:szCs w:val="21"/>
        </w:rPr>
        <w:t>要求，并定期进行校准。对所有计量结果需建立完善的记录，并进行定期分析，制定和实施改造计划。工厂投入适宜的污染物处理设备，以确保其污染物排放达到相关法律法规及标准要求。污染物处理设备的处理能力与工厂生产排放相适应</w:t>
      </w:r>
      <w:r>
        <w:rPr>
          <w:rFonts w:hint="eastAsia" w:ascii="仿宋" w:hAnsi="仿宋" w:eastAsia="仿宋" w:cs="仿宋"/>
          <w:color w:val="auto"/>
          <w:szCs w:val="21"/>
          <w:lang w:eastAsia="zh-CN"/>
        </w:rPr>
        <w:t>，工厂应</w:t>
      </w:r>
      <w:r>
        <w:rPr>
          <w:rFonts w:hint="eastAsia" w:ascii="仿宋" w:hAnsi="仿宋" w:eastAsia="仿宋" w:cs="仿宋"/>
          <w:color w:val="auto"/>
          <w:szCs w:val="21"/>
        </w:rPr>
        <w:t>优先采购《国家鼓励发展的重大环保技术装备目录》、《大气污染防治重点工业行业清洁生产技术推行方案》中的技术装备。</w:t>
      </w:r>
      <w:r>
        <w:rPr>
          <w:rFonts w:hint="eastAsia" w:ascii="仿宋" w:hAnsi="仿宋" w:eastAsia="仿宋" w:cs="仿宋"/>
          <w:color w:val="auto"/>
          <w:szCs w:val="21"/>
          <w:lang w:eastAsia="zh-CN"/>
        </w:rPr>
        <w:t>由于各类设备设施对于工厂同等重要，因此所占分值比例一致。</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4.5.3</w:t>
      </w:r>
      <w:r>
        <w:rPr>
          <w:rFonts w:hint="eastAsia" w:ascii="宋体" w:hAnsi="宋体" w:eastAsia="宋体" w:cs="宋体"/>
          <w:color w:val="auto"/>
          <w:szCs w:val="21"/>
        </w:rPr>
        <w:t>管理体系要求</w:t>
      </w:r>
    </w:p>
    <w:p>
      <w:pPr>
        <w:numPr>
          <w:ilvl w:val="0"/>
          <w:numId w:val="0"/>
        </w:numPr>
        <w:ind w:firstLine="420" w:firstLineChars="200"/>
        <w:rPr>
          <w:rFonts w:ascii="宋体" w:hAnsi="宋体" w:eastAsia="宋体" w:cs="宋体"/>
          <w:color w:val="auto"/>
          <w:szCs w:val="21"/>
        </w:rPr>
      </w:pPr>
      <w:r>
        <w:rPr>
          <w:rFonts w:hint="eastAsia"/>
          <w:color w:val="auto"/>
          <w:szCs w:val="21"/>
          <w:lang w:eastAsia="zh-CN"/>
        </w:rPr>
        <w:t>工</w:t>
      </w:r>
      <w:r>
        <w:rPr>
          <w:rFonts w:hint="eastAsia" w:ascii="宋体" w:hAnsi="宋体" w:eastAsia="宋体" w:cs="宋体"/>
          <w:color w:val="auto"/>
          <w:szCs w:val="21"/>
          <w:lang w:eastAsia="zh-CN"/>
        </w:rPr>
        <w:t>厂</w:t>
      </w:r>
      <w:r>
        <w:rPr>
          <w:rFonts w:hint="eastAsia" w:ascii="宋体" w:hAnsi="宋体" w:eastAsia="宋体" w:cs="宋体"/>
          <w:color w:val="auto"/>
          <w:szCs w:val="21"/>
        </w:rPr>
        <w:t>应按照GB/T 19001、GB/T 24001</w:t>
      </w:r>
      <w:r>
        <w:rPr>
          <w:rFonts w:hint="eastAsia" w:ascii="宋体" w:hAnsi="宋体" w:eastAsia="宋体" w:cs="宋体"/>
          <w:color w:val="auto"/>
          <w:szCs w:val="21"/>
          <w:lang w:eastAsia="zh-CN"/>
        </w:rPr>
        <w:t>、</w:t>
      </w:r>
      <w:r>
        <w:rPr>
          <w:rFonts w:hint="eastAsia" w:ascii="宋体" w:hAnsi="宋体" w:eastAsia="宋体" w:cs="宋体"/>
          <w:color w:val="auto"/>
          <w:szCs w:val="21"/>
        </w:rPr>
        <w:t>GB/T 28001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GB/T 23331</w:t>
      </w:r>
      <w:r>
        <w:rPr>
          <w:rFonts w:hint="eastAsia" w:ascii="宋体" w:hAnsi="宋体" w:eastAsia="宋体" w:cs="宋体"/>
          <w:color w:val="auto"/>
          <w:szCs w:val="21"/>
        </w:rPr>
        <w:t>分别建立、实施、保持并持续改进质量管理、环境管理</w:t>
      </w:r>
      <w:r>
        <w:rPr>
          <w:rFonts w:hint="eastAsia" w:ascii="宋体" w:hAnsi="宋体" w:eastAsia="宋体" w:cs="宋体"/>
          <w:color w:val="auto"/>
          <w:szCs w:val="21"/>
          <w:lang w:eastAsia="zh-CN"/>
        </w:rPr>
        <w:t>、</w:t>
      </w:r>
      <w:r>
        <w:rPr>
          <w:rFonts w:hint="eastAsia" w:ascii="宋体" w:hAnsi="宋体" w:eastAsia="宋体" w:cs="宋体"/>
          <w:color w:val="auto"/>
          <w:szCs w:val="21"/>
        </w:rPr>
        <w:t>职业健康安全管理</w:t>
      </w:r>
      <w:r>
        <w:rPr>
          <w:rFonts w:hint="eastAsia" w:ascii="宋体" w:hAnsi="宋体" w:eastAsia="宋体" w:cs="宋体"/>
          <w:color w:val="auto"/>
          <w:szCs w:val="21"/>
          <w:lang w:eastAsia="zh-CN"/>
        </w:rPr>
        <w:t>和能源管理</w:t>
      </w:r>
      <w:r>
        <w:rPr>
          <w:rFonts w:hint="eastAsia" w:ascii="宋体" w:hAnsi="宋体" w:eastAsia="宋体" w:cs="宋体"/>
          <w:color w:val="auto"/>
          <w:szCs w:val="21"/>
        </w:rPr>
        <w:t>体系</w:t>
      </w:r>
      <w:r>
        <w:rPr>
          <w:rFonts w:hint="eastAsia" w:ascii="宋体" w:hAnsi="宋体" w:eastAsia="宋体" w:cs="宋体"/>
          <w:color w:val="auto"/>
        </w:rPr>
        <w:t>。</w:t>
      </w:r>
      <w:r>
        <w:rPr>
          <w:rFonts w:hint="eastAsia" w:ascii="宋体" w:hAnsi="宋体" w:eastAsia="宋体" w:cs="宋体"/>
          <w:color w:val="auto"/>
          <w:szCs w:val="21"/>
          <w:lang w:eastAsia="zh-CN"/>
        </w:rPr>
        <w:t>宜按照</w:t>
      </w:r>
      <w:r>
        <w:rPr>
          <w:rFonts w:hint="eastAsia" w:ascii="宋体" w:hAnsi="宋体" w:eastAsia="宋体" w:cs="宋体"/>
          <w:color w:val="auto"/>
          <w:szCs w:val="21"/>
          <w:lang w:val="en-US" w:eastAsia="zh-CN"/>
        </w:rPr>
        <w:t>GB/T 36000</w:t>
      </w:r>
      <w:r>
        <w:rPr>
          <w:rFonts w:hint="eastAsia" w:ascii="仿宋_GB2312" w:hAnsi="仿宋_GB2312" w:cs="仿宋_GB2312"/>
          <w:color w:val="auto"/>
          <w:szCs w:val="21"/>
        </w:rPr>
        <w:t>每年发布社会责任报告，说明履行利益相关方责任的情况，特别是环境社会责任的履行情况，报告公开可获得。</w:t>
      </w:r>
    </w:p>
    <w:p>
      <w:pPr>
        <w:spacing w:line="360" w:lineRule="auto"/>
        <w:ind w:firstLine="420" w:firstLineChars="200"/>
        <w:jc w:val="left"/>
        <w:rPr>
          <w:rFonts w:hint="eastAsia" w:ascii="仿宋" w:hAnsi="仿宋" w:eastAsia="仿宋" w:cs="仿宋"/>
          <w:color w:val="auto"/>
          <w:sz w:val="21"/>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分别从质量管理体系、职业健康安全管理体系、环境管理体系、能源管理体系以及社会责任</w:t>
      </w:r>
      <w:r>
        <w:rPr>
          <w:rFonts w:hint="eastAsia" w:ascii="仿宋" w:hAnsi="仿宋" w:eastAsia="仿宋" w:cs="仿宋"/>
          <w:color w:val="auto"/>
          <w:szCs w:val="21"/>
          <w:lang w:eastAsia="zh-CN"/>
        </w:rPr>
        <w:t>等</w:t>
      </w:r>
      <w:r>
        <w:rPr>
          <w:rFonts w:hint="eastAsia" w:ascii="仿宋" w:hAnsi="仿宋" w:eastAsia="仿宋" w:cs="仿宋"/>
          <w:color w:val="auto"/>
          <w:szCs w:val="21"/>
        </w:rPr>
        <w:t>方面进行了规定。管理组织机构和管理体系建设体现了企业</w:t>
      </w:r>
      <w:r>
        <w:rPr>
          <w:rFonts w:hint="eastAsia" w:ascii="仿宋" w:hAnsi="仿宋" w:eastAsia="仿宋" w:cs="仿宋"/>
          <w:color w:val="auto"/>
          <w:szCs w:val="21"/>
          <w:lang w:eastAsia="zh-CN"/>
        </w:rPr>
        <w:t>对绿色制造体系</w:t>
      </w:r>
      <w:r>
        <w:rPr>
          <w:rFonts w:hint="eastAsia" w:ascii="仿宋" w:hAnsi="仿宋" w:eastAsia="仿宋" w:cs="仿宋"/>
          <w:color w:val="auto"/>
          <w:szCs w:val="21"/>
        </w:rPr>
        <w:t>的重视程度和管理能力，占15%；</w:t>
      </w:r>
      <w:r>
        <w:rPr>
          <w:rFonts w:hint="eastAsia" w:ascii="仿宋" w:hAnsi="仿宋" w:eastAsia="仿宋" w:cs="仿宋"/>
          <w:color w:val="auto"/>
          <w:sz w:val="21"/>
          <w:szCs w:val="21"/>
          <w:lang w:val="en-US" w:eastAsia="zh-CN"/>
        </w:rPr>
        <w:t>管理体系要求分为必选要求与可选要求，必选要求是工厂必须要满足的，其比例为6:4。由于铅冶炼业作为节能减排重点行业，因此环境管理体系与能源管理体系占整个管理体系要求的比重较大，均为4.5分。</w:t>
      </w:r>
    </w:p>
    <w:p>
      <w:pPr>
        <w:spacing w:line="360" w:lineRule="auto"/>
        <w:ind w:firstLine="420" w:firstLineChars="200"/>
        <w:jc w:val="left"/>
        <w:rPr>
          <w:rFonts w:hint="eastAsia" w:ascii="仿宋" w:hAnsi="仿宋" w:eastAsia="仿宋" w:cs="仿宋"/>
          <w:color w:val="auto"/>
          <w:szCs w:val="21"/>
          <w:lang w:val="en-US" w:eastAsia="zh-CN"/>
        </w:rPr>
      </w:pPr>
      <w:r>
        <w:rPr>
          <w:rFonts w:hint="eastAsia" w:ascii="仿宋" w:hAnsi="仿宋" w:eastAsia="仿宋" w:cs="仿宋"/>
          <w:color w:val="auto"/>
          <w:sz w:val="21"/>
          <w:szCs w:val="21"/>
          <w:lang w:val="en-US" w:eastAsia="zh-CN"/>
        </w:rPr>
        <w:t>对于</w:t>
      </w:r>
      <w:r>
        <w:rPr>
          <w:rFonts w:hint="eastAsia" w:ascii="仿宋" w:hAnsi="仿宋" w:eastAsia="仿宋" w:cs="仿宋"/>
          <w:color w:val="auto"/>
          <w:szCs w:val="21"/>
        </w:rPr>
        <w:t>工厂应建立为实现质量目标所</w:t>
      </w:r>
      <w:r>
        <w:rPr>
          <w:rFonts w:hint="eastAsia" w:ascii="仿宋" w:hAnsi="仿宋" w:eastAsia="仿宋" w:cs="仿宋"/>
          <w:color w:val="auto"/>
          <w:szCs w:val="21"/>
          <w:lang w:eastAsia="zh-CN"/>
        </w:rPr>
        <w:t>必须</w:t>
      </w:r>
      <w:r>
        <w:rPr>
          <w:rFonts w:hint="eastAsia" w:ascii="仿宋" w:hAnsi="仿宋" w:eastAsia="仿宋" w:cs="仿宋"/>
          <w:color w:val="auto"/>
          <w:szCs w:val="21"/>
        </w:rPr>
        <w:t>的、系统的质量管理模式，涵盖顾客需求确定、设计研制、生产、检验、销售、交付的全过程策划、实施、监控、纠正与改进活动的要求，以文件化的方式，成为工厂内部质量管理工作的要求。</w:t>
      </w:r>
      <w:r>
        <w:rPr>
          <w:rFonts w:hint="eastAsia" w:ascii="仿宋" w:hAnsi="仿宋" w:eastAsia="仿宋" w:cs="仿宋"/>
          <w:color w:val="auto"/>
          <w:szCs w:val="21"/>
          <w:lang w:eastAsia="zh-CN"/>
        </w:rPr>
        <w:t>工厂应建立</w:t>
      </w:r>
      <w:r>
        <w:rPr>
          <w:rFonts w:hint="eastAsia" w:ascii="仿宋" w:hAnsi="仿宋" w:eastAsia="仿宋" w:cs="仿宋"/>
          <w:color w:val="auto"/>
          <w:szCs w:val="21"/>
        </w:rPr>
        <w:t>质量管理体系</w:t>
      </w:r>
      <w:r>
        <w:rPr>
          <w:rFonts w:hint="eastAsia" w:ascii="仿宋" w:hAnsi="仿宋" w:eastAsia="仿宋" w:cs="仿宋"/>
          <w:color w:val="auto"/>
          <w:szCs w:val="21"/>
          <w:lang w:eastAsia="zh-CN"/>
        </w:rPr>
        <w:t>，满足</w:t>
      </w:r>
      <w:r>
        <w:rPr>
          <w:rFonts w:hint="eastAsia" w:ascii="仿宋" w:hAnsi="仿宋" w:eastAsia="仿宋" w:cs="仿宋"/>
          <w:color w:val="auto"/>
          <w:szCs w:val="21"/>
          <w:lang w:val="en-US" w:eastAsia="zh-CN"/>
        </w:rPr>
        <w:t>GB/T 19001的要求，且宜获得第三方认证机构颁发的工厂或工厂所属的组织符合GB/T 19001 要求的认证证书。</w:t>
      </w:r>
    </w:p>
    <w:p>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w:t>
      </w:r>
      <w:r>
        <w:rPr>
          <w:rFonts w:hint="eastAsia" w:ascii="仿宋" w:hAnsi="仿宋" w:eastAsia="仿宋" w:cs="仿宋"/>
          <w:color w:val="auto"/>
          <w:szCs w:val="21"/>
          <w:lang w:eastAsia="zh-CN"/>
        </w:rPr>
        <w:t>工厂应建立</w:t>
      </w:r>
      <w:r>
        <w:rPr>
          <w:rFonts w:hint="eastAsia" w:ascii="仿宋" w:hAnsi="仿宋" w:eastAsia="仿宋" w:cs="仿宋"/>
          <w:color w:val="auto"/>
          <w:szCs w:val="21"/>
        </w:rPr>
        <w:t>职业健康安全管理体系</w:t>
      </w:r>
      <w:r>
        <w:rPr>
          <w:rFonts w:hint="eastAsia" w:ascii="仿宋" w:hAnsi="仿宋" w:eastAsia="仿宋" w:cs="仿宋"/>
          <w:color w:val="auto"/>
          <w:szCs w:val="21"/>
          <w:lang w:eastAsia="zh-CN"/>
        </w:rPr>
        <w:t>，满足</w:t>
      </w:r>
      <w:r>
        <w:rPr>
          <w:rFonts w:hint="eastAsia" w:ascii="仿宋" w:hAnsi="仿宋" w:eastAsia="仿宋" w:cs="仿宋"/>
          <w:color w:val="auto"/>
          <w:szCs w:val="21"/>
          <w:lang w:val="en-US" w:eastAsia="zh-CN"/>
        </w:rPr>
        <w:t>GB/T 28001的要求</w:t>
      </w:r>
      <w:r>
        <w:rPr>
          <w:rFonts w:hint="eastAsia" w:ascii="仿宋" w:hAnsi="仿宋" w:eastAsia="仿宋" w:cs="仿宋"/>
          <w:color w:val="auto"/>
          <w:szCs w:val="21"/>
        </w:rPr>
        <w:t>，</w:t>
      </w:r>
      <w:r>
        <w:rPr>
          <w:rFonts w:hint="eastAsia" w:ascii="仿宋" w:hAnsi="仿宋" w:eastAsia="仿宋" w:cs="仿宋"/>
          <w:color w:val="auto"/>
          <w:szCs w:val="21"/>
          <w:lang w:val="en-US" w:eastAsia="zh-CN"/>
        </w:rPr>
        <w:t>且宜获得第三方认证机构颁发的工厂或工厂所属的组织符合GB/T 28001 要求的认证证书。</w:t>
      </w:r>
    </w:p>
    <w:p>
      <w:pPr>
        <w:ind w:left="15"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rPr>
        <w:t>工厂应建立环境方针、目标和指标等管理方面的内容，旨在指导各类组织实施正确的环境管理行为。通过实施环境管理体系，建立、健全职责明确的组织机构</w:t>
      </w:r>
      <w:r>
        <w:rPr>
          <w:rFonts w:hint="eastAsia" w:ascii="仿宋" w:hAnsi="仿宋" w:eastAsia="仿宋" w:cs="仿宋"/>
          <w:color w:val="auto"/>
          <w:szCs w:val="21"/>
          <w:lang w:eastAsia="zh-CN"/>
        </w:rPr>
        <w:t>。</w:t>
      </w:r>
      <w:r>
        <w:rPr>
          <w:rFonts w:hint="eastAsia" w:ascii="仿宋" w:hAnsi="仿宋" w:eastAsia="仿宋" w:cs="仿宋"/>
          <w:color w:val="auto"/>
          <w:szCs w:val="21"/>
        </w:rPr>
        <w:t>对能源和资源的利用和污染物的产生等制定环境管理方针，对环境因素进行识别、评价，明确控制指标和目标等。</w:t>
      </w:r>
      <w:r>
        <w:rPr>
          <w:rFonts w:hint="eastAsia" w:ascii="仿宋" w:hAnsi="仿宋" w:eastAsia="仿宋" w:cs="仿宋"/>
          <w:color w:val="auto"/>
          <w:szCs w:val="21"/>
          <w:lang w:eastAsia="zh-CN"/>
        </w:rPr>
        <w:t>工厂应建立环境管理体系，满足</w:t>
      </w:r>
      <w:r>
        <w:rPr>
          <w:rFonts w:hint="eastAsia" w:ascii="仿宋" w:hAnsi="仿宋" w:eastAsia="仿宋" w:cs="仿宋"/>
          <w:color w:val="auto"/>
          <w:szCs w:val="21"/>
          <w:lang w:val="en-US" w:eastAsia="zh-CN"/>
        </w:rPr>
        <w:t>GB/T 24001的要求，且宜获得第三方认证机构颁发的工厂或工厂所属的组织符合GB/T 24001 要求的认证证书。</w:t>
      </w:r>
    </w:p>
    <w:p>
      <w:pPr>
        <w:ind w:left="15"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工厂应建立能源方针、能源目标、过程和程序以及实现能源绩效目标，</w:t>
      </w:r>
      <w:r>
        <w:rPr>
          <w:rFonts w:hint="eastAsia" w:ascii="仿宋" w:hAnsi="仿宋" w:eastAsia="仿宋" w:cs="仿宋"/>
          <w:color w:val="auto"/>
          <w:szCs w:val="21"/>
        </w:rPr>
        <w:t>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w:t>
      </w:r>
      <w:r>
        <w:rPr>
          <w:rFonts w:hint="eastAsia" w:ascii="仿宋" w:hAnsi="仿宋" w:eastAsia="仿宋" w:cs="仿宋"/>
          <w:color w:val="auto"/>
          <w:szCs w:val="21"/>
          <w:lang w:eastAsia="zh-CN"/>
        </w:rPr>
        <w:t>工厂应建立能源管理体系，满足</w:t>
      </w:r>
      <w:r>
        <w:rPr>
          <w:rFonts w:hint="eastAsia" w:ascii="仿宋" w:hAnsi="仿宋" w:eastAsia="仿宋" w:cs="仿宋"/>
          <w:color w:val="auto"/>
          <w:szCs w:val="21"/>
          <w:lang w:val="en-US" w:eastAsia="zh-CN"/>
        </w:rPr>
        <w:t>GB/T 23331的要求，且宜获得第三方认证机构颁发的工厂或工厂所属的组织符合GB/T 23331 要求的认证证书。</w:t>
      </w:r>
    </w:p>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工厂宜按照GB/T 36000的要求，编制社会责任报告，发布在网站或通过印刷形式向利益相关方传达。</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4.5.4</w:t>
      </w:r>
      <w:r>
        <w:rPr>
          <w:rFonts w:hint="eastAsia" w:ascii="宋体" w:hAnsi="宋体" w:eastAsia="宋体" w:cs="宋体"/>
          <w:color w:val="auto"/>
          <w:szCs w:val="21"/>
        </w:rPr>
        <w:t>能源与资源投入要求</w:t>
      </w:r>
    </w:p>
    <w:p>
      <w:pPr>
        <w:ind w:left="15"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分别从能源投入、资源投入和采购等方面进行了规定。</w:t>
      </w:r>
      <w:r>
        <w:rPr>
          <w:rFonts w:hint="eastAsia" w:ascii="仿宋" w:hAnsi="仿宋" w:eastAsia="仿宋" w:cs="仿宋"/>
          <w:color w:val="auto"/>
          <w:sz w:val="21"/>
          <w:szCs w:val="21"/>
        </w:rPr>
        <w:t>由于</w:t>
      </w:r>
      <w:r>
        <w:rPr>
          <w:rFonts w:hint="eastAsia" w:ascii="仿宋" w:hAnsi="仿宋" w:eastAsia="仿宋" w:cs="仿宋"/>
          <w:color w:val="auto"/>
          <w:sz w:val="21"/>
          <w:szCs w:val="21"/>
          <w:lang w:eastAsia="zh-CN"/>
        </w:rPr>
        <w:t>铅</w:t>
      </w:r>
      <w:r>
        <w:rPr>
          <w:rFonts w:hint="eastAsia" w:ascii="仿宋" w:hAnsi="仿宋" w:eastAsia="仿宋" w:cs="仿宋"/>
          <w:color w:val="auto"/>
          <w:sz w:val="21"/>
          <w:szCs w:val="21"/>
        </w:rPr>
        <w:t>冶炼业属于节能减排重点行业，能源与资源投入是绿色工厂评价的重要部分，占比15%</w:t>
      </w:r>
      <w:r>
        <w:rPr>
          <w:rFonts w:hint="eastAsia" w:ascii="仿宋" w:hAnsi="仿宋" w:eastAsia="仿宋" w:cs="仿宋"/>
          <w:color w:val="auto"/>
          <w:sz w:val="21"/>
          <w:szCs w:val="21"/>
          <w:lang w:eastAsia="zh-CN"/>
        </w:rPr>
        <w:t>，能源与资源投入要求</w:t>
      </w:r>
      <w:r>
        <w:rPr>
          <w:rFonts w:hint="eastAsia" w:ascii="仿宋" w:hAnsi="仿宋" w:eastAsia="仿宋" w:cs="仿宋"/>
          <w:color w:val="auto"/>
          <w:sz w:val="21"/>
          <w:szCs w:val="21"/>
          <w:lang w:val="en-US" w:eastAsia="zh-CN"/>
        </w:rPr>
        <w:t>分为必选要求与可选要求，必选要求是工厂必须要满足的，其比例为6:4。</w:t>
      </w:r>
      <w:r>
        <w:rPr>
          <w:rFonts w:hint="eastAsia" w:ascii="仿宋" w:hAnsi="仿宋" w:eastAsia="仿宋" w:cs="仿宋"/>
          <w:color w:val="auto"/>
          <w:szCs w:val="21"/>
        </w:rPr>
        <w:t>能源投入、资源投入和采购</w:t>
      </w:r>
      <w:r>
        <w:rPr>
          <w:rFonts w:hint="eastAsia" w:ascii="仿宋" w:hAnsi="仿宋" w:eastAsia="仿宋" w:cs="仿宋"/>
          <w:color w:val="auto"/>
          <w:szCs w:val="21"/>
          <w:lang w:eastAsia="zh-CN"/>
        </w:rPr>
        <w:t>对于铅冶炼过程同等重要，其所占分值分别为：</w:t>
      </w:r>
      <w:r>
        <w:rPr>
          <w:rFonts w:hint="eastAsia" w:ascii="仿宋" w:hAnsi="仿宋" w:eastAsia="仿宋" w:cs="仿宋"/>
          <w:color w:val="auto"/>
          <w:szCs w:val="21"/>
          <w:lang w:val="en-US" w:eastAsia="zh-CN"/>
        </w:rPr>
        <w:t>4.5分、6分、4.5分。</w:t>
      </w:r>
    </w:p>
    <w:p>
      <w:pPr>
        <w:rPr>
          <w:rFonts w:hint="eastAsia" w:ascii="宋体" w:hAnsi="宋体" w:eastAsia="宋体" w:cs="宋体"/>
          <w:color w:val="auto"/>
          <w:szCs w:val="21"/>
        </w:rPr>
      </w:pPr>
      <w:r>
        <w:rPr>
          <w:rFonts w:hint="eastAsia" w:ascii="宋体" w:hAnsi="宋体" w:eastAsia="宋体" w:cs="宋体"/>
          <w:color w:val="auto"/>
          <w:szCs w:val="21"/>
          <w:lang w:val="en-US" w:eastAsia="zh-CN"/>
        </w:rPr>
        <w:t>4.5.1.1</w:t>
      </w:r>
      <w:r>
        <w:rPr>
          <w:rFonts w:hint="eastAsia" w:ascii="宋体" w:hAnsi="宋体" w:eastAsia="宋体" w:cs="宋体"/>
          <w:color w:val="auto"/>
          <w:szCs w:val="21"/>
        </w:rPr>
        <w:t>能源投入</w:t>
      </w:r>
    </w:p>
    <w:p>
      <w:pPr>
        <w:ind w:left="15" w:firstLine="420" w:firstLineChars="200"/>
        <w:rPr>
          <w:rFonts w:hint="eastAsia"/>
          <w:color w:val="auto"/>
          <w:lang w:eastAsia="zh-CN"/>
        </w:rPr>
      </w:pPr>
      <w:r>
        <w:rPr>
          <w:rFonts w:hint="eastAsia"/>
          <w:color w:val="auto"/>
        </w:rPr>
        <w:t>应优化用能结构，在保证安全、质量的前提下减少不可再生能源投入</w:t>
      </w:r>
      <w:r>
        <w:rPr>
          <w:rFonts w:hint="eastAsia"/>
          <w:color w:val="auto"/>
          <w:lang w:eastAsia="zh-CN"/>
        </w:rPr>
        <w:t>。</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能源投入分别从优化生产结构和用能结构、能耗指标、充分利用余热余压、使用低碳清洁能源</w:t>
      </w:r>
      <w:r>
        <w:rPr>
          <w:rFonts w:hint="eastAsia" w:ascii="仿宋" w:hAnsi="仿宋" w:eastAsia="仿宋" w:cs="仿宋"/>
          <w:color w:val="auto"/>
          <w:szCs w:val="21"/>
          <w:lang w:eastAsia="zh-CN"/>
        </w:rPr>
        <w:t>等</w:t>
      </w:r>
      <w:r>
        <w:rPr>
          <w:rFonts w:hint="eastAsia" w:ascii="仿宋" w:hAnsi="仿宋" w:eastAsia="仿宋" w:cs="仿宋"/>
          <w:color w:val="auto"/>
          <w:szCs w:val="21"/>
        </w:rPr>
        <w:t>方面进行了规定。</w:t>
      </w:r>
    </w:p>
    <w:p>
      <w:pPr>
        <w:ind w:firstLine="420" w:firstLineChars="200"/>
        <w:rPr>
          <w:rFonts w:hint="eastAsia"/>
          <w:color w:val="auto"/>
          <w:lang w:eastAsia="zh-CN"/>
        </w:rPr>
      </w:pPr>
      <w:r>
        <w:rPr>
          <w:rFonts w:hint="eastAsia" w:ascii="仿宋" w:hAnsi="仿宋" w:eastAsia="仿宋" w:cs="仿宋"/>
          <w:color w:val="auto"/>
          <w:szCs w:val="21"/>
        </w:rPr>
        <w:t>工厂宜做好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w:t>
      </w:r>
      <w:r>
        <w:rPr>
          <w:rFonts w:hint="eastAsia" w:ascii="仿宋" w:hAnsi="仿宋" w:eastAsia="仿宋" w:cs="仿宋"/>
          <w:color w:val="auto"/>
          <w:szCs w:val="21"/>
          <w:lang w:eastAsia="zh-CN"/>
        </w:rPr>
        <w:t>，</w:t>
      </w:r>
      <w:r>
        <w:rPr>
          <w:rFonts w:hint="eastAsia" w:ascii="仿宋" w:hAnsi="仿宋" w:eastAsia="仿宋" w:cs="仿宋"/>
          <w:color w:val="auto"/>
          <w:szCs w:val="21"/>
        </w:rPr>
        <w:t>原料的组成是决定采用何种冶炼工艺的关键因素。对于可选性好的原料，应采用能耗低、单位设备生产效率高、金属回收率高</w:t>
      </w:r>
      <w:r>
        <w:rPr>
          <w:rFonts w:hint="eastAsia" w:ascii="仿宋" w:hAnsi="仿宋" w:eastAsia="仿宋" w:cs="仿宋"/>
          <w:color w:val="auto"/>
          <w:szCs w:val="21"/>
          <w:lang w:eastAsia="zh-CN"/>
        </w:rPr>
        <w:t>、</w:t>
      </w:r>
      <w:r>
        <w:rPr>
          <w:rFonts w:hint="eastAsia" w:ascii="仿宋" w:hAnsi="仿宋" w:eastAsia="仿宋" w:cs="仿宋"/>
          <w:color w:val="auto"/>
          <w:szCs w:val="21"/>
        </w:rPr>
        <w:t>有利于回收贵金属等优点的冶炼工艺。对于可选性差的原料，应选择建设投资</w:t>
      </w:r>
      <w:r>
        <w:rPr>
          <w:rFonts w:hint="eastAsia" w:ascii="仿宋" w:hAnsi="仿宋" w:eastAsia="仿宋" w:cs="仿宋"/>
          <w:color w:val="auto"/>
          <w:szCs w:val="21"/>
          <w:lang w:eastAsia="zh-CN"/>
        </w:rPr>
        <w:t>、</w:t>
      </w:r>
      <w:r>
        <w:rPr>
          <w:rFonts w:hint="eastAsia" w:ascii="仿宋" w:hAnsi="仿宋" w:eastAsia="仿宋" w:cs="仿宋"/>
          <w:color w:val="auto"/>
          <w:szCs w:val="21"/>
        </w:rPr>
        <w:t>单位产品能耗及生产成本均低于传统的冶炼工艺。重视自主创新，推进制造装备的节能改造。应采用国家鼓励的生产工艺、设备及产能，包括《节能机电设备（产品）推荐目录》、《“能效之星”产品目录》、《国家重点推广的电机节能先进技术目录》等文件中推荐的生产工艺、设备及产能。</w:t>
      </w:r>
    </w:p>
    <w:p>
      <w:pPr>
        <w:keepNext w:val="0"/>
        <w:keepLines w:val="0"/>
        <w:pageBreakBefore w:val="0"/>
        <w:widowControl w:val="0"/>
        <w:tabs>
          <w:tab w:val="left" w:pos="0"/>
        </w:tabs>
        <w:kinsoku/>
        <w:wordWrap/>
        <w:overflowPunct/>
        <w:topLinePunct w:val="0"/>
        <w:autoSpaceDE/>
        <w:autoSpaceDN/>
        <w:bidi w:val="0"/>
        <w:adjustRightInd/>
        <w:snapToGrid/>
        <w:ind w:firstLine="420" w:firstLineChars="200"/>
        <w:jc w:val="left"/>
        <w:textAlignment w:val="auto"/>
        <w:rPr>
          <w:rFonts w:hint="eastAsia"/>
          <w:color w:val="auto"/>
          <w:szCs w:val="21"/>
        </w:rPr>
      </w:pPr>
      <w:r>
        <w:rPr>
          <w:rFonts w:hint="eastAsia"/>
          <w:color w:val="auto"/>
          <w:szCs w:val="21"/>
          <w:lang w:eastAsia="zh-CN"/>
        </w:rPr>
        <w:t>铅</w:t>
      </w:r>
      <w:r>
        <w:rPr>
          <w:color w:val="auto"/>
          <w:szCs w:val="21"/>
        </w:rPr>
        <w:t>冶炼</w:t>
      </w:r>
      <w:r>
        <w:rPr>
          <w:rFonts w:hint="eastAsia"/>
          <w:color w:val="auto"/>
          <w:szCs w:val="21"/>
        </w:rPr>
        <w:t>业</w:t>
      </w:r>
      <w:r>
        <w:rPr>
          <w:color w:val="auto"/>
          <w:szCs w:val="21"/>
        </w:rPr>
        <w:t>各工序工艺综合能耗应满足</w:t>
      </w:r>
      <w:r>
        <w:rPr>
          <w:rFonts w:hint="eastAsia"/>
          <w:color w:val="auto"/>
          <w:szCs w:val="21"/>
        </w:rPr>
        <w:t>行业节能相关法律法规以及标准的要求。</w:t>
      </w:r>
    </w:p>
    <w:p>
      <w:pPr>
        <w:keepNext w:val="0"/>
        <w:keepLines w:val="0"/>
        <w:pageBreakBefore w:val="0"/>
        <w:widowControl w:val="0"/>
        <w:tabs>
          <w:tab w:val="left" w:pos="0"/>
        </w:tabs>
        <w:kinsoku/>
        <w:wordWrap/>
        <w:overflowPunct/>
        <w:topLinePunct w:val="0"/>
        <w:autoSpaceDE/>
        <w:autoSpaceDN/>
        <w:bidi w:val="0"/>
        <w:adjustRightInd/>
        <w:snapToGrid/>
        <w:ind w:firstLine="420" w:firstLineChars="200"/>
        <w:jc w:val="left"/>
        <w:textAlignment w:val="auto"/>
        <w:rPr>
          <w:rFonts w:hint="eastAsia"/>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节能标准是实现我国节能减排目标的有效手段和全面建设资源节约型社会的重要技术基础。国务院《2014-2015年节能减排低碳发展行动方案》明确要求“实施百项能效标准推进工程，制（修）订一批重要节能标准”，为此国家发展和改革委员会、国家标准化管理委员会启动</w:t>
      </w:r>
      <w:r>
        <w:rPr>
          <w:rFonts w:hint="eastAsia" w:ascii="仿宋" w:hAnsi="仿宋" w:eastAsia="仿宋" w:cs="仿宋"/>
          <w:color w:val="auto"/>
          <w:szCs w:val="21"/>
          <w:lang w:eastAsia="zh-CN"/>
        </w:rPr>
        <w:t>了</w:t>
      </w:r>
      <w:r>
        <w:rPr>
          <w:rFonts w:hint="eastAsia" w:ascii="仿宋" w:hAnsi="仿宋" w:eastAsia="仿宋" w:cs="仿宋"/>
          <w:color w:val="auto"/>
          <w:szCs w:val="21"/>
        </w:rPr>
        <w:t>2014-2015年“百项能效标准推进工作”</w:t>
      </w:r>
      <w:r>
        <w:rPr>
          <w:rFonts w:hint="eastAsia" w:ascii="仿宋" w:hAnsi="仿宋" w:eastAsia="仿宋" w:cs="仿宋"/>
          <w:color w:val="auto"/>
          <w:szCs w:val="21"/>
          <w:lang w:eastAsia="zh-CN"/>
        </w:rPr>
        <w:t>，其中包括铅冶炼业能耗限额标准</w:t>
      </w:r>
      <w:r>
        <w:rPr>
          <w:rFonts w:hint="eastAsia" w:ascii="仿宋" w:hAnsi="仿宋" w:eastAsia="仿宋" w:cs="仿宋"/>
          <w:color w:val="auto"/>
          <w:szCs w:val="21"/>
        </w:rPr>
        <w:t>。能耗限额标准规定了不同冶炼</w:t>
      </w:r>
      <w:r>
        <w:rPr>
          <w:rFonts w:hint="eastAsia" w:ascii="仿宋" w:hAnsi="仿宋" w:eastAsia="仿宋" w:cs="仿宋"/>
          <w:color w:val="auto"/>
          <w:szCs w:val="21"/>
          <w:lang w:eastAsia="zh-CN"/>
        </w:rPr>
        <w:t>工艺</w:t>
      </w:r>
      <w:r>
        <w:rPr>
          <w:rFonts w:hint="eastAsia" w:ascii="仿宋" w:hAnsi="仿宋" w:eastAsia="仿宋" w:cs="仿宋"/>
          <w:color w:val="auto"/>
          <w:szCs w:val="21"/>
        </w:rPr>
        <w:t>、加工项目各工序（工艺）的单位产品工艺能耗、综合能耗的统计范围、计算方法及计算范围，并对现有企业、新建企业能耗限定值提出要求。工厂能耗指标应符合</w:t>
      </w:r>
      <w:r>
        <w:rPr>
          <w:rFonts w:hint="eastAsia" w:ascii="仿宋" w:hAnsi="仿宋" w:eastAsia="仿宋" w:cs="仿宋"/>
          <w:color w:val="auto"/>
          <w:szCs w:val="21"/>
          <w:lang w:eastAsia="zh-CN"/>
        </w:rPr>
        <w:t>铅冶炼</w:t>
      </w:r>
      <w:r>
        <w:rPr>
          <w:rFonts w:hint="eastAsia" w:ascii="仿宋" w:hAnsi="仿宋" w:eastAsia="仿宋" w:cs="仿宋"/>
          <w:color w:val="auto"/>
          <w:szCs w:val="21"/>
        </w:rPr>
        <w:t>行业规范或准入条件中能耗限制要求。单位产品能耗满足国家、行业或地方现行的单位产品能源消耗限额标准限定值</w:t>
      </w:r>
      <w:r>
        <w:rPr>
          <w:rFonts w:hint="eastAsia" w:ascii="仿宋" w:hAnsi="仿宋" w:eastAsia="仿宋" w:cs="仿宋"/>
          <w:color w:val="auto"/>
          <w:szCs w:val="21"/>
          <w:lang w:val="en-US" w:eastAsia="zh-CN"/>
        </w:rPr>
        <w:t>/准入值</w:t>
      </w:r>
      <w:r>
        <w:rPr>
          <w:rFonts w:hint="eastAsia" w:ascii="仿宋" w:hAnsi="仿宋" w:eastAsia="仿宋" w:cs="仿宋"/>
          <w:color w:val="auto"/>
          <w:szCs w:val="21"/>
        </w:rPr>
        <w:t>，并宜达到先进值。</w:t>
      </w:r>
    </w:p>
    <w:p>
      <w:pPr>
        <w:ind w:firstLine="420" w:firstLineChars="200"/>
        <w:rPr>
          <w:color w:val="auto"/>
          <w:szCs w:val="21"/>
        </w:rPr>
      </w:pPr>
      <w:r>
        <w:rPr>
          <w:rFonts w:hint="eastAsia"/>
          <w:color w:val="auto"/>
        </w:rPr>
        <w:t>宜使用可再生能源或低碳清洁的新能源。宜充分利用余热余压，</w:t>
      </w:r>
      <w:r>
        <w:rPr>
          <w:color w:val="auto"/>
          <w:szCs w:val="21"/>
        </w:rPr>
        <w:t>产生的</w:t>
      </w:r>
      <w:r>
        <w:rPr>
          <w:rFonts w:hint="eastAsia"/>
          <w:color w:val="auto"/>
          <w:szCs w:val="21"/>
        </w:rPr>
        <w:t>二次能源宜回收利用。宜建能源管理中心。</w:t>
      </w:r>
      <w:r>
        <w:rPr>
          <w:color w:val="auto"/>
          <w:szCs w:val="21"/>
        </w:rPr>
        <w:t xml:space="preserve"> </w:t>
      </w:r>
    </w:p>
    <w:p>
      <w:pPr>
        <w:ind w:firstLine="435"/>
        <w:rPr>
          <w:rFonts w:hint="eastAsia" w:ascii="仿宋" w:hAnsi="仿宋" w:eastAsia="仿宋" w:cs="仿宋"/>
          <w:color w:val="auto"/>
          <w:szCs w:val="21"/>
        </w:rPr>
      </w:pPr>
      <w:r>
        <w:rPr>
          <w:rFonts w:hint="eastAsia" w:ascii="仿宋" w:hAnsi="仿宋" w:eastAsia="仿宋" w:cs="仿宋"/>
          <w:color w:val="auto"/>
          <w:szCs w:val="21"/>
          <w:lang w:eastAsia="zh-CN"/>
        </w:rPr>
        <w:t>说明：铅</w:t>
      </w:r>
      <w:r>
        <w:rPr>
          <w:rFonts w:hint="eastAsia" w:ascii="仿宋" w:hAnsi="仿宋" w:eastAsia="仿宋" w:cs="仿宋"/>
          <w:color w:val="auto"/>
          <w:szCs w:val="21"/>
        </w:rPr>
        <w:t>冶炼厂工艺过程产生余热资源种类很多，余热作为一类特殊的能源，其回收和利用应遵循“梯级利用、高质高用”的原则。</w:t>
      </w:r>
    </w:p>
    <w:p>
      <w:pPr>
        <w:ind w:firstLine="435"/>
        <w:rPr>
          <w:rFonts w:hint="eastAsia" w:ascii="仿宋" w:hAnsi="仿宋" w:eastAsia="仿宋" w:cs="仿宋"/>
          <w:color w:val="auto"/>
          <w:szCs w:val="21"/>
          <w:lang w:eastAsia="zh-CN"/>
        </w:rPr>
      </w:pPr>
      <w:r>
        <w:rPr>
          <w:rFonts w:hint="eastAsia" w:ascii="仿宋" w:hAnsi="仿宋" w:eastAsia="仿宋" w:cs="仿宋"/>
          <w:color w:val="auto"/>
          <w:szCs w:val="21"/>
          <w:lang w:eastAsia="zh-CN"/>
        </w:rPr>
        <w:t>铅</w:t>
      </w:r>
      <w:r>
        <w:rPr>
          <w:rFonts w:hint="eastAsia" w:ascii="仿宋" w:hAnsi="仿宋" w:eastAsia="仿宋" w:cs="仿宋"/>
          <w:color w:val="auto"/>
          <w:szCs w:val="21"/>
        </w:rPr>
        <w:t>冶炼厂宜根据工厂自身条件，建设能源管理中心，通过采用自动化、信息化技术和集中管理模式，全面监控和管理企业能源系统，为能源调度和生产指挥提供信息，实现工厂节能降耗。</w:t>
      </w:r>
    </w:p>
    <w:p>
      <w:pPr>
        <w:rPr>
          <w:rFonts w:ascii="宋体" w:hAnsi="宋体" w:eastAsia="宋体" w:cs="宋体"/>
          <w:color w:val="auto"/>
          <w:szCs w:val="21"/>
        </w:rPr>
      </w:pPr>
      <w:r>
        <w:rPr>
          <w:rFonts w:hint="eastAsia" w:ascii="宋体" w:hAnsi="宋体" w:eastAsia="宋体" w:cs="宋体"/>
          <w:color w:val="auto"/>
          <w:szCs w:val="21"/>
          <w:lang w:val="en-US" w:eastAsia="zh-CN"/>
        </w:rPr>
        <w:t>4.5.1.2</w:t>
      </w:r>
      <w:r>
        <w:rPr>
          <w:rFonts w:hint="eastAsia" w:ascii="宋体" w:hAnsi="宋体" w:eastAsia="宋体" w:cs="宋体"/>
          <w:color w:val="auto"/>
          <w:szCs w:val="21"/>
        </w:rPr>
        <w:t>资源投入</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资源投入主要从节水、</w:t>
      </w:r>
      <w:r>
        <w:rPr>
          <w:rFonts w:hint="eastAsia" w:ascii="宋体" w:hAnsi="宋体" w:eastAsia="宋体" w:cs="宋体"/>
          <w:color w:val="auto"/>
          <w:szCs w:val="21"/>
          <w:lang w:eastAsia="zh-CN"/>
        </w:rPr>
        <w:t>原料有害物质限制使用、</w:t>
      </w:r>
      <w:r>
        <w:rPr>
          <w:rFonts w:hint="eastAsia" w:ascii="宋体" w:hAnsi="宋体" w:eastAsia="宋体" w:cs="宋体"/>
          <w:color w:val="auto"/>
          <w:szCs w:val="21"/>
        </w:rPr>
        <w:t>节材</w:t>
      </w:r>
      <w:r>
        <w:rPr>
          <w:rFonts w:hint="eastAsia" w:ascii="宋体" w:hAnsi="宋体" w:eastAsia="宋体" w:cs="宋体"/>
          <w:color w:val="auto"/>
          <w:szCs w:val="21"/>
          <w:lang w:eastAsia="zh-CN"/>
        </w:rPr>
        <w:t>与</w:t>
      </w:r>
      <w:r>
        <w:rPr>
          <w:rFonts w:hint="eastAsia" w:ascii="宋体" w:hAnsi="宋体" w:eastAsia="宋体" w:cs="宋体"/>
          <w:color w:val="auto"/>
          <w:szCs w:val="21"/>
        </w:rPr>
        <w:t>资源回收利用</w:t>
      </w:r>
      <w:r>
        <w:rPr>
          <w:rFonts w:hint="eastAsia" w:ascii="宋体" w:hAnsi="宋体" w:eastAsia="宋体" w:cs="宋体"/>
          <w:color w:val="auto"/>
          <w:szCs w:val="21"/>
          <w:lang w:eastAsia="zh-CN"/>
        </w:rPr>
        <w:t>等</w:t>
      </w:r>
      <w:r>
        <w:rPr>
          <w:rFonts w:hint="eastAsia" w:ascii="宋体" w:hAnsi="宋体" w:eastAsia="宋体" w:cs="宋体"/>
          <w:color w:val="auto"/>
          <w:szCs w:val="21"/>
        </w:rPr>
        <w:t>角度进行了规定。</w:t>
      </w:r>
    </w:p>
    <w:p>
      <w:pPr>
        <w:ind w:firstLine="420" w:firstLineChars="200"/>
        <w:rPr>
          <w:rFonts w:hint="eastAsia"/>
          <w:color w:val="auto"/>
          <w:szCs w:val="21"/>
        </w:rPr>
      </w:pPr>
      <w:r>
        <w:rPr>
          <w:rFonts w:hint="eastAsia"/>
          <w:color w:val="auto"/>
          <w:szCs w:val="21"/>
        </w:rPr>
        <w:t>应按照GB/T 7119的要求开展节水评价工作。</w:t>
      </w:r>
    </w:p>
    <w:p>
      <w:pPr>
        <w:ind w:firstLine="420" w:firstLineChars="200"/>
        <w:rPr>
          <w:rFonts w:hint="eastAsia" w:ascii="宋体" w:hAnsi="宋体" w:eastAsia="宋体" w:cs="宋体"/>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为贯彻执行国家相关节水方针政策，合理利用水资源</w:t>
      </w:r>
      <w:r>
        <w:rPr>
          <w:rFonts w:hint="eastAsia" w:ascii="仿宋" w:hAnsi="仿宋" w:eastAsia="仿宋" w:cs="仿宋"/>
          <w:color w:val="auto"/>
          <w:szCs w:val="21"/>
          <w:lang w:eastAsia="zh-CN"/>
        </w:rPr>
        <w:t>，</w:t>
      </w:r>
      <w:r>
        <w:rPr>
          <w:rFonts w:hint="eastAsia" w:ascii="仿宋" w:hAnsi="仿宋" w:eastAsia="仿宋" w:cs="仿宋"/>
          <w:color w:val="auto"/>
          <w:szCs w:val="21"/>
        </w:rPr>
        <w:t>提高用水效率，工厂应开展节水评价工作。GB/T 7119要求一级水表计量率达到100%，二级水表计量率不小于90%，重点设备或者重复利用用水系统的水表计量率不小于85%，水表精确度不低于±2.5%。</w:t>
      </w:r>
    </w:p>
    <w:p>
      <w:pPr>
        <w:ind w:firstLine="420" w:firstLineChars="200"/>
        <w:rPr>
          <w:rFonts w:hint="eastAsia" w:ascii="宋体" w:hAnsi="宋体" w:eastAsia="宋体" w:cs="宋体"/>
          <w:color w:val="auto"/>
          <w:highlight w:val="none"/>
        </w:rPr>
      </w:pPr>
      <w:r>
        <w:rPr>
          <w:rFonts w:hint="eastAsia"/>
          <w:color w:val="auto"/>
        </w:rPr>
        <w:t>应减少材料、尤其是有害物质的使用，评估有害物质及化学品减量使用或替代的可行性。其中</w:t>
      </w:r>
      <w:r>
        <w:rPr>
          <w:rFonts w:hint="eastAsia"/>
          <w:color w:val="auto"/>
          <w:lang w:eastAsia="zh-CN"/>
        </w:rPr>
        <w:t>铅</w:t>
      </w:r>
      <w:r>
        <w:rPr>
          <w:rFonts w:hint="eastAsia"/>
          <w:color w:val="auto"/>
        </w:rPr>
        <w:t>精矿产品应符合GB 20424</w:t>
      </w:r>
      <w:r>
        <w:rPr>
          <w:rFonts w:hint="eastAsia"/>
          <w:color w:val="auto"/>
          <w:lang w:eastAsia="zh-CN"/>
        </w:rPr>
        <w:t>和</w:t>
      </w:r>
      <w:r>
        <w:rPr>
          <w:rFonts w:hint="eastAsia"/>
          <w:color w:val="auto"/>
          <w:lang w:val="en-US" w:eastAsia="zh-CN"/>
        </w:rPr>
        <w:t>YS/T319</w:t>
      </w:r>
      <w:r>
        <w:rPr>
          <w:rFonts w:hint="eastAsia"/>
          <w:color w:val="auto"/>
        </w:rPr>
        <w:t>的要求。</w:t>
      </w:r>
    </w:p>
    <w:p>
      <w:pPr>
        <w:ind w:firstLine="435"/>
        <w:rPr>
          <w:rFonts w:hint="eastAsia" w:ascii="仿宋" w:hAnsi="仿宋" w:eastAsia="仿宋" w:cs="仿宋"/>
          <w:color w:val="auto"/>
          <w:szCs w:val="21"/>
          <w:lang w:eastAsia="zh-CN"/>
        </w:rPr>
      </w:pPr>
      <w:r>
        <w:rPr>
          <w:rFonts w:hint="eastAsia" w:ascii="仿宋" w:hAnsi="仿宋" w:eastAsia="仿宋" w:cs="仿宋"/>
          <w:color w:val="auto"/>
          <w:highlight w:val="none"/>
          <w:lang w:eastAsia="zh-CN"/>
        </w:rPr>
        <w:t>说明：</w:t>
      </w:r>
      <w:r>
        <w:rPr>
          <w:rFonts w:hint="eastAsia" w:ascii="仿宋" w:hAnsi="仿宋" w:eastAsia="仿宋" w:cs="仿宋"/>
          <w:color w:val="auto"/>
          <w:szCs w:val="21"/>
          <w:lang w:eastAsia="zh-CN"/>
        </w:rPr>
        <w:t>工厂应</w:t>
      </w:r>
      <w:r>
        <w:rPr>
          <w:rFonts w:hint="eastAsia" w:ascii="仿宋" w:hAnsi="仿宋" w:eastAsia="仿宋" w:cs="仿宋"/>
          <w:color w:val="auto"/>
          <w:szCs w:val="21"/>
        </w:rPr>
        <w:t>减少原辅材料中有害物质使用。为保证工程质量、安全和节材，应淘汰能耗高、安全性能差，不符合“低碳”理念的材料，国家和地方会不定期对禁止使用的材料和产品予以发布。</w:t>
      </w:r>
      <w:r>
        <w:rPr>
          <w:rFonts w:hint="eastAsia" w:ascii="仿宋" w:hAnsi="仿宋" w:eastAsia="仿宋" w:cs="仿宋"/>
          <w:color w:val="auto"/>
          <w:szCs w:val="21"/>
          <w:lang w:eastAsia="zh-CN"/>
        </w:rPr>
        <w:t>铅</w:t>
      </w:r>
      <w:r>
        <w:rPr>
          <w:rFonts w:hint="eastAsia" w:ascii="仿宋" w:hAnsi="仿宋" w:eastAsia="仿宋" w:cs="仿宋"/>
          <w:color w:val="auto"/>
          <w:szCs w:val="21"/>
        </w:rPr>
        <w:t>精矿产品应符合GB 20424</w:t>
      </w:r>
      <w:r>
        <w:rPr>
          <w:rFonts w:hint="eastAsia" w:ascii="仿宋" w:hAnsi="仿宋" w:eastAsia="仿宋" w:cs="仿宋"/>
          <w:color w:val="auto"/>
          <w:szCs w:val="21"/>
          <w:lang w:eastAsia="zh-CN"/>
        </w:rPr>
        <w:t>和</w:t>
      </w:r>
      <w:r>
        <w:rPr>
          <w:rFonts w:hint="eastAsia" w:ascii="仿宋" w:hAnsi="仿宋" w:eastAsia="仿宋" w:cs="仿宋"/>
          <w:color w:val="auto"/>
          <w:szCs w:val="21"/>
          <w:lang w:val="en-US" w:eastAsia="zh-CN"/>
        </w:rPr>
        <w:t>YS/T319</w:t>
      </w:r>
      <w:r>
        <w:rPr>
          <w:rFonts w:hint="eastAsia" w:ascii="仿宋" w:hAnsi="仿宋" w:eastAsia="仿宋" w:cs="仿宋"/>
          <w:color w:val="auto"/>
          <w:szCs w:val="21"/>
        </w:rPr>
        <w:t>的要求。</w:t>
      </w:r>
    </w:p>
    <w:p>
      <w:pPr>
        <w:ind w:hanging="10"/>
        <w:rPr>
          <w:color w:val="auto"/>
          <w:highlight w:val="lightGray"/>
        </w:rPr>
      </w:pPr>
      <w:r>
        <w:rPr>
          <w:rFonts w:hint="eastAsia" w:ascii="宋体" w:hAnsi="宋体" w:eastAsia="宋体" w:cs="宋体"/>
          <w:color w:val="auto"/>
          <w:highlight w:val="none"/>
          <w:lang w:val="en-US" w:eastAsia="zh-CN"/>
        </w:rPr>
        <w:t xml:space="preserve">     应按照 GB/T 29115 的要求对</w:t>
      </w:r>
      <w:r>
        <w:rPr>
          <w:rFonts w:hint="eastAsia"/>
          <w:color w:val="auto"/>
          <w:highlight w:val="none"/>
          <w:lang w:val="en-US" w:eastAsia="zh-CN"/>
        </w:rPr>
        <w:t>原材料使用量的减少进行评价。</w:t>
      </w:r>
      <w:r>
        <w:rPr>
          <w:rFonts w:hint="eastAsia"/>
          <w:color w:val="auto"/>
        </w:rPr>
        <w:t>宜使用回收料如冶炼渣、浸出渣</w:t>
      </w:r>
      <w:r>
        <w:rPr>
          <w:rFonts w:hint="eastAsia"/>
          <w:color w:val="auto"/>
          <w:lang w:eastAsia="zh-CN"/>
        </w:rPr>
        <w:t>、氧化铅</w:t>
      </w:r>
      <w:r>
        <w:rPr>
          <w:rFonts w:hint="eastAsia"/>
          <w:color w:val="auto"/>
        </w:rPr>
        <w:t>等可回收材料替代</w:t>
      </w:r>
      <w:r>
        <w:rPr>
          <w:rFonts w:hint="eastAsia"/>
          <w:color w:val="auto"/>
          <w:lang w:eastAsia="zh-CN"/>
        </w:rPr>
        <w:t>新材料</w:t>
      </w:r>
      <w:r>
        <w:rPr>
          <w:rFonts w:hint="eastAsia"/>
          <w:color w:val="auto"/>
        </w:rPr>
        <w:t>、不可回收材料，宜替代或减少全球增温潜势较高温室气体的使用。</w:t>
      </w:r>
    </w:p>
    <w:p>
      <w:pPr>
        <w:ind w:firstLine="435"/>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说明：</w:t>
      </w:r>
      <w:r>
        <w:rPr>
          <w:rFonts w:hint="eastAsia" w:ascii="仿宋" w:hAnsi="仿宋" w:eastAsia="仿宋" w:cs="仿宋"/>
          <w:color w:val="auto"/>
          <w:szCs w:val="21"/>
          <w:lang w:eastAsia="zh-CN"/>
        </w:rPr>
        <w:t>原料的有害物质限制使用</w:t>
      </w:r>
      <w:r>
        <w:rPr>
          <w:rFonts w:hint="eastAsia" w:ascii="仿宋" w:hAnsi="仿宋" w:eastAsia="仿宋" w:cs="仿宋"/>
          <w:color w:val="auto"/>
          <w:szCs w:val="21"/>
          <w:lang w:val="en-US" w:eastAsia="zh-CN"/>
        </w:rPr>
        <w:t>,</w:t>
      </w:r>
      <w:r>
        <w:rPr>
          <w:rFonts w:hint="eastAsia" w:ascii="仿宋" w:hAnsi="仿宋" w:eastAsia="仿宋" w:cs="仿宋"/>
          <w:color w:val="auto"/>
          <w:szCs w:val="21"/>
        </w:rPr>
        <w:t>节材与资源回收利用</w:t>
      </w:r>
      <w:r>
        <w:rPr>
          <w:rFonts w:hint="eastAsia" w:ascii="仿宋" w:hAnsi="仿宋" w:eastAsia="仿宋" w:cs="仿宋"/>
          <w:color w:val="auto"/>
          <w:szCs w:val="21"/>
          <w:lang w:val="en-US" w:eastAsia="zh-CN"/>
        </w:rPr>
        <w:t>,</w:t>
      </w:r>
      <w:r>
        <w:rPr>
          <w:rFonts w:hint="eastAsia" w:ascii="仿宋" w:hAnsi="仿宋" w:eastAsia="仿宋" w:cs="仿宋"/>
          <w:color w:val="auto"/>
          <w:szCs w:val="21"/>
        </w:rPr>
        <w:t>工厂宜使用回收料</w:t>
      </w:r>
      <w:r>
        <w:rPr>
          <w:rFonts w:hint="eastAsia" w:ascii="仿宋" w:hAnsi="仿宋" w:eastAsia="仿宋" w:cs="仿宋"/>
          <w:color w:val="auto"/>
          <w:szCs w:val="21"/>
          <w:lang w:eastAsia="zh-CN"/>
        </w:rPr>
        <w:t>，如铅</w:t>
      </w:r>
      <w:r>
        <w:rPr>
          <w:rFonts w:hint="eastAsia" w:ascii="仿宋" w:hAnsi="仿宋" w:eastAsia="仿宋" w:cs="仿宋"/>
          <w:color w:val="auto"/>
          <w:szCs w:val="21"/>
        </w:rPr>
        <w:t>冶炼行业产生的</w:t>
      </w:r>
      <w:r>
        <w:rPr>
          <w:rFonts w:hint="eastAsia" w:ascii="仿宋" w:hAnsi="仿宋" w:eastAsia="仿宋" w:cs="仿宋"/>
          <w:color w:val="auto"/>
          <w:szCs w:val="21"/>
          <w:lang w:eastAsia="zh-CN"/>
        </w:rPr>
        <w:t>含铅渣</w:t>
      </w:r>
      <w:r>
        <w:rPr>
          <w:rFonts w:hint="eastAsia" w:ascii="仿宋" w:hAnsi="仿宋" w:eastAsia="仿宋" w:cs="仿宋"/>
          <w:color w:val="auto"/>
          <w:szCs w:val="21"/>
        </w:rPr>
        <w:t>、浸出渣等</w:t>
      </w:r>
      <w:r>
        <w:rPr>
          <w:rFonts w:hint="eastAsia" w:ascii="仿宋" w:hAnsi="仿宋" w:eastAsia="仿宋" w:cs="仿宋"/>
          <w:color w:val="auto"/>
          <w:szCs w:val="21"/>
          <w:lang w:eastAsia="zh-CN"/>
        </w:rPr>
        <w:t>，宜用</w:t>
      </w:r>
      <w:r>
        <w:rPr>
          <w:rFonts w:hint="eastAsia" w:ascii="仿宋" w:hAnsi="仿宋" w:eastAsia="仿宋" w:cs="仿宋"/>
          <w:color w:val="auto"/>
          <w:szCs w:val="21"/>
        </w:rPr>
        <w:t>可回收材料替代新材料、不可回收材料</w:t>
      </w:r>
      <w:r>
        <w:rPr>
          <w:rFonts w:hint="eastAsia" w:ascii="仿宋" w:hAnsi="仿宋" w:eastAsia="仿宋" w:cs="仿宋"/>
          <w:color w:val="auto"/>
          <w:szCs w:val="21"/>
          <w:lang w:eastAsia="zh-CN"/>
        </w:rPr>
        <w:t>，</w:t>
      </w:r>
      <w:r>
        <w:rPr>
          <w:rFonts w:hint="eastAsia" w:ascii="仿宋" w:hAnsi="仿宋" w:eastAsia="仿宋" w:cs="仿宋"/>
          <w:color w:val="auto"/>
          <w:szCs w:val="21"/>
        </w:rPr>
        <w:t>如有色金属冶炼工厂炉窑大修产生的部分可回收利用的耐火砖等，并宜替代或减少全球增温潜势较高温室气体的使用。</w:t>
      </w:r>
    </w:p>
    <w:p>
      <w:pPr>
        <w:rPr>
          <w:rFonts w:ascii="宋体" w:hAnsi="宋体" w:eastAsia="宋体" w:cs="宋体"/>
          <w:color w:val="auto"/>
          <w:szCs w:val="21"/>
        </w:rPr>
      </w:pPr>
      <w:r>
        <w:rPr>
          <w:rFonts w:hint="eastAsia" w:ascii="宋体" w:hAnsi="宋体" w:eastAsia="宋体" w:cs="宋体"/>
          <w:color w:val="auto"/>
          <w:szCs w:val="21"/>
          <w:lang w:val="en-US" w:eastAsia="zh-CN"/>
        </w:rPr>
        <w:t>4.5.1.3</w:t>
      </w:r>
      <w:r>
        <w:rPr>
          <w:rFonts w:hint="eastAsia" w:ascii="宋体" w:hAnsi="宋体" w:eastAsia="宋体" w:cs="宋体"/>
          <w:color w:val="auto"/>
          <w:szCs w:val="21"/>
        </w:rPr>
        <w:t>采购</w:t>
      </w:r>
    </w:p>
    <w:p>
      <w:pPr>
        <w:ind w:firstLine="435"/>
        <w:rPr>
          <w:rFonts w:hint="eastAsia" w:ascii="宋体" w:hAnsi="宋体" w:eastAsia="宋体" w:cs="宋体"/>
          <w:color w:val="auto"/>
          <w:szCs w:val="21"/>
        </w:rPr>
      </w:pPr>
      <w:r>
        <w:rPr>
          <w:rFonts w:hint="eastAsia" w:ascii="宋体" w:hAnsi="宋体" w:eastAsia="宋体" w:cs="宋体"/>
          <w:color w:val="auto"/>
          <w:szCs w:val="21"/>
        </w:rPr>
        <w:t>采购方面分别从采购要求、供应商评价、绿色供应链等方面进行了规定。</w:t>
      </w:r>
    </w:p>
    <w:p>
      <w:pPr>
        <w:ind w:firstLine="420" w:firstLineChars="200"/>
        <w:rPr>
          <w:rFonts w:hint="eastAsia"/>
          <w:color w:val="auto"/>
        </w:rPr>
      </w:pPr>
      <w:r>
        <w:rPr>
          <w:rFonts w:hint="eastAsia"/>
          <w:color w:val="auto"/>
        </w:rPr>
        <w:t>应制定并实施包括节能环保要求的选择、评价和重新评价供方的准则。必要时，工厂向供方提供的采购信息应包括含有害物质使用、可回收材料使用、能效等环保要求。</w:t>
      </w:r>
    </w:p>
    <w:p>
      <w:pPr>
        <w:ind w:firstLine="420" w:firstLineChars="200"/>
        <w:rPr>
          <w:rFonts w:hint="eastAsia" w:eastAsiaTheme="minorEastAsia"/>
          <w:color w:val="auto"/>
          <w:lang w:eastAsia="zh-CN"/>
        </w:rPr>
      </w:pPr>
      <w:r>
        <w:rPr>
          <w:rFonts w:hint="eastAsia" w:ascii="仿宋" w:hAnsi="仿宋" w:eastAsia="仿宋" w:cs="仿宋"/>
          <w:color w:val="auto"/>
          <w:lang w:eastAsia="zh-CN"/>
        </w:rPr>
        <w:t>说明：</w:t>
      </w:r>
      <w:r>
        <w:rPr>
          <w:rFonts w:hint="eastAsia" w:ascii="仿宋" w:hAnsi="仿宋" w:eastAsia="仿宋" w:cs="仿宋"/>
          <w:color w:val="auto"/>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ind w:firstLine="420" w:firstLineChars="200"/>
        <w:rPr>
          <w:rFonts w:hint="eastAsia"/>
          <w:color w:val="auto"/>
          <w:lang w:val="en-US" w:eastAsia="zh-CN"/>
        </w:rPr>
      </w:pPr>
      <w:r>
        <w:rPr>
          <w:rFonts w:hint="eastAsia"/>
          <w:color w:val="auto"/>
        </w:rPr>
        <w:t>应确定并实施检验或其他必要的活动，确保采购的产品满足规定的采购要求。</w:t>
      </w:r>
      <w:r>
        <w:rPr>
          <w:rFonts w:hint="eastAsia"/>
          <w:color w:val="auto"/>
          <w:lang w:val="en-US" w:eastAsia="zh-CN"/>
        </w:rPr>
        <w:t>宜满足绿色供应链评价要求。</w:t>
      </w:r>
    </w:p>
    <w:p>
      <w:pPr>
        <w:ind w:firstLine="420" w:firstLineChars="200"/>
        <w:rPr>
          <w:rFonts w:hint="eastAsia" w:ascii="仿宋" w:hAnsi="仿宋" w:eastAsia="仿宋" w:cs="仿宋"/>
          <w:color w:val="auto"/>
          <w:szCs w:val="21"/>
        </w:rPr>
      </w:pPr>
      <w:r>
        <w:rPr>
          <w:rFonts w:hint="eastAsia" w:ascii="仿宋" w:hAnsi="仿宋" w:eastAsia="仿宋" w:cs="仿宋"/>
          <w:color w:val="auto"/>
          <w:lang w:val="en-US" w:eastAsia="zh-CN"/>
        </w:rPr>
        <w:t>说明：</w:t>
      </w:r>
      <w:r>
        <w:rPr>
          <w:rFonts w:hint="eastAsia" w:ascii="仿宋" w:hAnsi="仿宋" w:eastAsia="仿宋" w:cs="仿宋"/>
          <w:color w:val="auto"/>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ind w:firstLine="435"/>
        <w:rPr>
          <w:rFonts w:hint="eastAsia" w:ascii="仿宋" w:hAnsi="仿宋" w:eastAsia="仿宋" w:cs="仿宋"/>
          <w:color w:val="auto"/>
          <w:szCs w:val="21"/>
        </w:rPr>
      </w:pPr>
      <w:r>
        <w:rPr>
          <w:rFonts w:hint="eastAsia" w:ascii="仿宋" w:hAnsi="仿宋" w:eastAsia="仿宋" w:cs="仿宋"/>
          <w:color w:val="auto"/>
          <w:szCs w:val="21"/>
        </w:rPr>
        <w:t>工厂提供的采购信息应包括含有害物质使用、可回收材料使用、能效等环保要求。采购要求将环保原则纳入供应商管理机制中，定期对供应商进行评价。</w:t>
      </w:r>
    </w:p>
    <w:p>
      <w:pPr>
        <w:ind w:firstLine="435"/>
        <w:rPr>
          <w:rFonts w:ascii="宋体" w:hAnsi="宋体" w:eastAsia="宋体" w:cs="宋体"/>
          <w:color w:val="auto"/>
          <w:szCs w:val="21"/>
        </w:rPr>
      </w:pPr>
      <w:r>
        <w:rPr>
          <w:rFonts w:hint="eastAsia" w:ascii="仿宋" w:hAnsi="仿宋" w:eastAsia="仿宋" w:cs="仿宋"/>
          <w:color w:val="auto"/>
          <w:szCs w:val="21"/>
        </w:rPr>
        <w:t>绿色供应链的内容涉及到供应链的各个环节，其主要内容有绿色采购、绿色制造、绿色销售、绿色消费、绿色回收以及绿色物流。</w:t>
      </w:r>
    </w:p>
    <w:p>
      <w:pPr>
        <w:pStyle w:val="6"/>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4.5.5</w:t>
      </w:r>
      <w:r>
        <w:rPr>
          <w:rFonts w:hint="eastAsia" w:ascii="宋体" w:hAnsi="宋体" w:eastAsia="宋体" w:cs="宋体"/>
          <w:color w:val="auto"/>
          <w:szCs w:val="21"/>
        </w:rPr>
        <w:t>产品要求</w:t>
      </w:r>
    </w:p>
    <w:p>
      <w:pPr>
        <w:pStyle w:val="6"/>
        <w:ind w:firstLine="424" w:firstLineChars="202"/>
        <w:rPr>
          <w:rFonts w:hint="eastAsia" w:ascii="仿宋" w:hAnsi="仿宋" w:eastAsia="仿宋" w:cs="仿宋"/>
          <w:color w:val="auto"/>
          <w:sz w:val="21"/>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分别从生态设计、</w:t>
      </w:r>
      <w:r>
        <w:rPr>
          <w:rFonts w:hint="eastAsia" w:ascii="仿宋" w:hAnsi="仿宋" w:eastAsia="仿宋" w:cs="仿宋"/>
          <w:color w:val="auto"/>
          <w:szCs w:val="21"/>
          <w:lang w:eastAsia="zh-CN"/>
        </w:rPr>
        <w:t>产品的</w:t>
      </w:r>
      <w:r>
        <w:rPr>
          <w:rFonts w:hint="eastAsia" w:ascii="仿宋" w:hAnsi="仿宋" w:eastAsia="仿宋" w:cs="仿宋"/>
          <w:color w:val="auto"/>
          <w:szCs w:val="21"/>
        </w:rPr>
        <w:t>有害物质限制使用、减碳等方面进行了规定。</w:t>
      </w:r>
      <w:r>
        <w:rPr>
          <w:rFonts w:hint="eastAsia" w:ascii="仿宋" w:hAnsi="仿宋" w:eastAsia="仿宋" w:cs="仿宋"/>
          <w:color w:val="auto"/>
          <w:sz w:val="21"/>
          <w:szCs w:val="21"/>
        </w:rPr>
        <w:t>产品是绿色工厂的最终产出体现，是绿色工厂的产出结果，由于</w:t>
      </w:r>
      <w:r>
        <w:rPr>
          <w:rFonts w:hint="eastAsia" w:ascii="仿宋" w:hAnsi="仿宋" w:eastAsia="仿宋" w:cs="仿宋"/>
          <w:color w:val="auto"/>
          <w:sz w:val="21"/>
          <w:szCs w:val="21"/>
          <w:lang w:eastAsia="zh-CN"/>
        </w:rPr>
        <w:t>铅</w:t>
      </w:r>
      <w:r>
        <w:rPr>
          <w:rFonts w:hint="eastAsia" w:ascii="仿宋" w:hAnsi="仿宋" w:eastAsia="仿宋" w:cs="仿宋"/>
          <w:color w:val="auto"/>
          <w:sz w:val="21"/>
          <w:szCs w:val="21"/>
        </w:rPr>
        <w:t>冶炼业产品</w:t>
      </w:r>
      <w:r>
        <w:rPr>
          <w:rFonts w:hint="eastAsia" w:ascii="仿宋" w:hAnsi="仿宋" w:eastAsia="仿宋" w:cs="仿宋"/>
          <w:color w:val="auto"/>
          <w:sz w:val="21"/>
          <w:szCs w:val="21"/>
          <w:lang w:eastAsia="zh-CN"/>
        </w:rPr>
        <w:t>为非用能产品，</w:t>
      </w:r>
      <w:r>
        <w:rPr>
          <w:rFonts w:hint="eastAsia" w:ascii="仿宋" w:hAnsi="仿宋" w:eastAsia="仿宋" w:cs="仿宋"/>
          <w:color w:val="auto"/>
          <w:sz w:val="21"/>
          <w:szCs w:val="21"/>
        </w:rPr>
        <w:t>大多</w:t>
      </w:r>
      <w:r>
        <w:rPr>
          <w:rFonts w:hint="eastAsia" w:ascii="仿宋" w:hAnsi="仿宋" w:eastAsia="仿宋" w:cs="仿宋"/>
          <w:color w:val="auto"/>
          <w:sz w:val="21"/>
          <w:szCs w:val="21"/>
          <w:lang w:eastAsia="zh-CN"/>
        </w:rPr>
        <w:t>作</w:t>
      </w:r>
      <w:r>
        <w:rPr>
          <w:rFonts w:hint="eastAsia" w:ascii="仿宋" w:hAnsi="仿宋" w:eastAsia="仿宋" w:cs="仿宋"/>
          <w:color w:val="auto"/>
          <w:sz w:val="21"/>
          <w:szCs w:val="21"/>
        </w:rPr>
        <w:t>为原材料，</w:t>
      </w:r>
      <w:r>
        <w:rPr>
          <w:rFonts w:hint="eastAsia" w:ascii="仿宋" w:hAnsi="仿宋" w:eastAsia="仿宋" w:cs="仿宋"/>
          <w:color w:val="auto"/>
          <w:sz w:val="21"/>
          <w:szCs w:val="21"/>
          <w:lang w:eastAsia="zh-CN"/>
        </w:rPr>
        <w:t>无节能要求</w:t>
      </w:r>
      <w:r>
        <w:rPr>
          <w:rFonts w:hint="eastAsia" w:ascii="仿宋" w:hAnsi="仿宋" w:eastAsia="仿宋" w:cs="仿宋"/>
          <w:color w:val="auto"/>
          <w:sz w:val="21"/>
          <w:szCs w:val="21"/>
        </w:rPr>
        <w:t>，仅赋予5%的权重。产品要求</w:t>
      </w:r>
      <w:r>
        <w:rPr>
          <w:rFonts w:hint="eastAsia" w:ascii="仿宋" w:hAnsi="仿宋" w:eastAsia="仿宋" w:cs="仿宋"/>
          <w:color w:val="auto"/>
          <w:sz w:val="21"/>
          <w:szCs w:val="21"/>
          <w:lang w:val="en-US" w:eastAsia="zh-CN"/>
        </w:rPr>
        <w:t>分为必选要求与可选要求，必选要求是工厂必须要满足的，其比例为6:4。</w:t>
      </w:r>
    </w:p>
    <w:p>
      <w:pPr>
        <w:pStyle w:val="6"/>
        <w:rPr>
          <w:rFonts w:hint="eastAsia" w:asciiTheme="minorEastAsia" w:hAnsiTheme="minorEastAsia" w:eastAsiaTheme="minorEastAsia" w:cstheme="minorEastAsia"/>
          <w:color w:val="auto"/>
          <w:sz w:val="21"/>
          <w:szCs w:val="21"/>
          <w:lang w:val="en-US" w:eastAsia="zh-CN"/>
        </w:rPr>
      </w:pPr>
      <w:r>
        <w:rPr>
          <w:rFonts w:hint="eastAsia" w:ascii="仿宋" w:hAnsi="仿宋" w:eastAsia="仿宋" w:cs="仿宋"/>
          <w:color w:val="auto"/>
          <w:sz w:val="21"/>
          <w:szCs w:val="21"/>
          <w:lang w:val="en-US" w:eastAsia="zh-CN"/>
        </w:rPr>
        <w:t>4.5.5.1</w:t>
      </w:r>
      <w:r>
        <w:rPr>
          <w:rFonts w:hint="eastAsia" w:asciiTheme="minorEastAsia" w:hAnsiTheme="minorEastAsia" w:eastAsiaTheme="minorEastAsia" w:cstheme="minorEastAsia"/>
          <w:color w:val="auto"/>
          <w:sz w:val="21"/>
          <w:szCs w:val="21"/>
          <w:lang w:val="en-US" w:eastAsia="zh-CN"/>
        </w:rPr>
        <w:t>生态(绿色)设计</w:t>
      </w:r>
    </w:p>
    <w:p>
      <w:pPr>
        <w:pStyle w:val="6"/>
        <w:ind w:firstLine="424" w:firstLineChars="20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应在产品设计中引入生态设计的理念。适用时，产品品种应按照对应品种的绿色产品评价标准进行评价。宜按照GB/T 24256对生产的产品进行生态设计，并宜按照GB/T 32161对生产的产品进行生态设计产品评价。</w:t>
      </w:r>
    </w:p>
    <w:p>
      <w:pPr>
        <w:pStyle w:val="6"/>
        <w:ind w:firstLine="424" w:firstLineChars="202"/>
        <w:rPr>
          <w:rFonts w:hint="eastAsia" w:ascii="仿宋" w:hAnsi="仿宋" w:eastAsia="仿宋" w:cs="仿宋"/>
          <w:color w:val="auto"/>
        </w:rPr>
      </w:pPr>
      <w:r>
        <w:rPr>
          <w:rFonts w:hint="eastAsia" w:ascii="仿宋" w:hAnsi="仿宋" w:eastAsia="仿宋" w:cs="仿宋"/>
          <w:color w:val="auto"/>
          <w:sz w:val="21"/>
          <w:szCs w:val="21"/>
          <w:lang w:val="en-US" w:eastAsia="zh-CN"/>
        </w:rPr>
        <w:t>说明：</w:t>
      </w:r>
      <w:r>
        <w:rPr>
          <w:rFonts w:hint="eastAsia" w:ascii="仿宋" w:hAnsi="仿宋" w:eastAsia="仿宋" w:cs="仿宋"/>
          <w:color w:val="auto"/>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pPr>
        <w:pStyle w:val="6"/>
        <w:rPr>
          <w:rFonts w:hint="eastAsia" w:asciiTheme="minorEastAsia" w:hAnsiTheme="minorEastAsia" w:eastAsiaTheme="minorEastAsia" w:cstheme="minorEastAsia"/>
          <w:color w:val="auto"/>
          <w:sz w:val="21"/>
          <w:szCs w:val="21"/>
          <w:lang w:val="en-US" w:eastAsia="zh-CN"/>
        </w:rPr>
      </w:pPr>
      <w:r>
        <w:rPr>
          <w:rFonts w:hint="eastAsia" w:ascii="仿宋" w:hAnsi="仿宋" w:eastAsia="仿宋" w:cs="仿宋"/>
          <w:color w:val="auto"/>
          <w:sz w:val="21"/>
          <w:szCs w:val="21"/>
          <w:lang w:val="en-US" w:eastAsia="zh-CN"/>
        </w:rPr>
        <w:t>4.5.5.</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有害物质使用</w:t>
      </w:r>
    </w:p>
    <w:p>
      <w:pPr>
        <w:pStyle w:val="6"/>
        <w:ind w:firstLine="424" w:firstLineChars="202"/>
        <w:rPr>
          <w:rFonts w:hint="eastAsia" w:ascii="仿宋" w:hAnsi="仿宋" w:eastAsia="仿宋" w:cs="仿宋"/>
          <w:color w:val="auto"/>
          <w:sz w:val="21"/>
          <w:szCs w:val="21"/>
          <w:lang w:val="en-US" w:eastAsia="zh-CN"/>
        </w:rPr>
      </w:pPr>
      <w:r>
        <w:rPr>
          <w:rFonts w:hint="eastAsia" w:asciiTheme="minorEastAsia" w:hAnsiTheme="minorEastAsia" w:cstheme="minorEastAsia"/>
          <w:color w:val="auto"/>
          <w:sz w:val="21"/>
          <w:szCs w:val="21"/>
          <w:lang w:val="en-US" w:eastAsia="zh-CN"/>
        </w:rPr>
        <w:t>铅</w:t>
      </w:r>
      <w:r>
        <w:rPr>
          <w:rFonts w:hint="eastAsia" w:asciiTheme="minorEastAsia" w:hAnsiTheme="minorEastAsia" w:eastAsiaTheme="minorEastAsia" w:cstheme="minorEastAsia"/>
          <w:color w:val="auto"/>
          <w:sz w:val="21"/>
          <w:szCs w:val="21"/>
          <w:lang w:val="en-US" w:eastAsia="zh-CN"/>
        </w:rPr>
        <w:t>冶炼产品应符合相应产品质量标准。产品应减少有害物质的使用，避免有害物质的泄漏，满足国家对产品中有害物质限制使用的要求。宜实现有害物质替代。</w:t>
      </w:r>
    </w:p>
    <w:p>
      <w:pPr>
        <w:pStyle w:val="6"/>
        <w:ind w:firstLine="424" w:firstLineChars="202"/>
        <w:rPr>
          <w:rFonts w:hint="eastAsia" w:ascii="仿宋" w:hAnsi="仿宋" w:eastAsia="仿宋" w:cs="仿宋"/>
          <w:color w:val="auto"/>
        </w:rPr>
      </w:pPr>
      <w:r>
        <w:rPr>
          <w:rFonts w:hint="eastAsia" w:ascii="仿宋" w:hAnsi="仿宋" w:eastAsia="仿宋" w:cs="仿宋"/>
          <w:color w:val="auto"/>
          <w:lang w:eastAsia="zh-CN"/>
        </w:rPr>
        <w:t>说明：产品的有害物质使用是从绿色生产的角度来考虑，</w:t>
      </w:r>
      <w:r>
        <w:rPr>
          <w:rFonts w:hint="eastAsia" w:ascii="仿宋" w:hAnsi="仿宋" w:eastAsia="仿宋" w:cs="仿宋"/>
          <w:color w:val="auto"/>
          <w:szCs w:val="21"/>
        </w:rPr>
        <w:t>产品</w:t>
      </w:r>
      <w:r>
        <w:rPr>
          <w:rFonts w:hint="eastAsia" w:ascii="仿宋" w:hAnsi="仿宋" w:eastAsia="仿宋" w:cs="仿宋"/>
          <w:color w:val="auto"/>
          <w:szCs w:val="21"/>
          <w:lang w:eastAsia="zh-CN"/>
        </w:rPr>
        <w:t>应</w:t>
      </w:r>
      <w:r>
        <w:rPr>
          <w:rFonts w:hint="eastAsia" w:ascii="仿宋" w:hAnsi="仿宋" w:eastAsia="仿宋" w:cs="仿宋"/>
          <w:color w:val="auto"/>
          <w:szCs w:val="21"/>
        </w:rPr>
        <w:t>符合国家出台的相应产品质量标准。</w:t>
      </w:r>
      <w:r>
        <w:rPr>
          <w:rFonts w:hint="eastAsia" w:ascii="仿宋" w:hAnsi="仿宋" w:eastAsia="仿宋" w:cs="仿宋"/>
          <w:color w:val="auto"/>
          <w:lang w:eastAsia="zh-CN"/>
        </w:rPr>
        <w:t>在生产过程中，最大限度地避免或减少对人体伤害和环境污染，</w:t>
      </w:r>
      <w:r>
        <w:rPr>
          <w:rFonts w:hint="eastAsia" w:ascii="仿宋" w:hAnsi="仿宋" w:eastAsia="仿宋" w:cs="仿宋"/>
          <w:color w:val="auto"/>
        </w:rPr>
        <w:t>避免有害物质的泄露，满足国家对产品中有害物质限制使用的要求。</w:t>
      </w:r>
    </w:p>
    <w:p>
      <w:pPr>
        <w:pStyle w:val="6"/>
        <w:rPr>
          <w:rFonts w:hint="eastAsia" w:ascii="仿宋" w:hAnsi="仿宋" w:eastAsia="仿宋" w:cs="仿宋"/>
          <w:color w:val="auto"/>
          <w:szCs w:val="21"/>
        </w:rPr>
      </w:pPr>
      <w:r>
        <w:rPr>
          <w:rFonts w:hint="eastAsia" w:ascii="仿宋" w:hAnsi="仿宋" w:eastAsia="仿宋" w:cs="仿宋"/>
          <w:color w:val="auto"/>
          <w:sz w:val="21"/>
          <w:szCs w:val="21"/>
          <w:lang w:val="en-US" w:eastAsia="zh-CN"/>
        </w:rPr>
        <w:t>4.5.5.</w:t>
      </w:r>
      <w:r>
        <w:rPr>
          <w:rFonts w:hint="eastAsia" w:ascii="仿宋" w:hAnsi="仿宋" w:eastAsia="仿宋" w:cs="仿宋"/>
          <w:color w:val="auto"/>
          <w:szCs w:val="21"/>
          <w:lang w:val="en-US" w:eastAsia="zh-CN"/>
        </w:rPr>
        <w:t>3</w:t>
      </w:r>
      <w:r>
        <w:rPr>
          <w:rFonts w:hint="eastAsia" w:ascii="仿宋" w:hAnsi="仿宋" w:eastAsia="仿宋" w:cs="仿宋"/>
          <w:color w:val="auto"/>
          <w:szCs w:val="21"/>
        </w:rPr>
        <w:t>减碳</w:t>
      </w:r>
    </w:p>
    <w:p>
      <w:pPr>
        <w:pStyle w:val="6"/>
        <w:ind w:firstLine="424" w:firstLineChars="202"/>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宜采用适用的标准或规范对生产的产品进行碳足迹核算或核查，核算或核查的结果宜对外公布，并利用核算结果对其产品的碳足迹进行改善</w:t>
      </w:r>
      <w:r>
        <w:rPr>
          <w:rFonts w:hint="eastAsia" w:asciiTheme="minorEastAsia" w:hAnsiTheme="minorEastAsia" w:eastAsiaTheme="minorEastAsia" w:cstheme="minorEastAsia"/>
          <w:color w:val="auto"/>
          <w:szCs w:val="21"/>
          <w:lang w:eastAsia="zh-CN"/>
        </w:rPr>
        <w:t>。</w:t>
      </w:r>
    </w:p>
    <w:p>
      <w:pPr>
        <w:ind w:firstLine="424" w:firstLineChars="202"/>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对于碳足迹，企业可参考ISO/TS 14067：2013《温室气体 产品碳足迹 关于量化和通报的要求和指南》和PAS 2050：201《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可回收利用率</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适用时，宜</w:t>
      </w:r>
      <w:r>
        <w:rPr>
          <w:rFonts w:hint="eastAsia" w:asciiTheme="minorEastAsia" w:hAnsiTheme="minorEastAsia" w:eastAsiaTheme="minorEastAsia" w:cstheme="minorEastAsia"/>
          <w:color w:val="auto"/>
          <w:szCs w:val="21"/>
        </w:rPr>
        <w:t>按照GB/T 20862的要求计算产品的可回收利用率</w:t>
      </w:r>
      <w:r>
        <w:rPr>
          <w:rFonts w:hint="eastAsia" w:asciiTheme="minorEastAsia" w:hAnsiTheme="minorEastAsia" w:eastAsiaTheme="minorEastAsia" w:cstheme="minorEastAsia"/>
          <w:color w:val="auto"/>
          <w:szCs w:val="21"/>
          <w:lang w:eastAsia="zh-CN"/>
        </w:rPr>
        <w:t>，并宜</w:t>
      </w:r>
      <w:r>
        <w:rPr>
          <w:rFonts w:hint="eastAsia" w:asciiTheme="minorEastAsia" w:hAnsiTheme="minorEastAsia" w:eastAsiaTheme="minorEastAsia" w:cstheme="minorEastAsia"/>
          <w:color w:val="auto"/>
          <w:szCs w:val="21"/>
        </w:rPr>
        <w:t>利用计算结果对产品的可回收利用率进行改善。</w:t>
      </w:r>
    </w:p>
    <w:p>
      <w:pPr>
        <w:ind w:firstLine="424" w:firstLineChars="202"/>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说明：对于可回收利用，宜考虑产品、包装等的回收处理成本与回收价值，对各方案进行分析和评价，确定出最佳回收处理方案。</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4.5.6</w:t>
      </w:r>
      <w:r>
        <w:rPr>
          <w:rFonts w:hint="eastAsia" w:ascii="宋体" w:hAnsi="宋体" w:eastAsia="宋体" w:cs="宋体"/>
          <w:color w:val="auto"/>
          <w:szCs w:val="21"/>
        </w:rPr>
        <w:t>环境排放要求</w:t>
      </w:r>
    </w:p>
    <w:p>
      <w:pPr>
        <w:pStyle w:val="6"/>
        <w:ind w:firstLine="424" w:firstLineChars="202"/>
        <w:rPr>
          <w:rFonts w:ascii="宋体" w:hAnsi="宋体" w:eastAsia="宋体" w:cs="宋体"/>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分别从大气污染物排放、水污染物排放、固体废物处置、噪声防治及温室气体等方面进行了规定。</w:t>
      </w:r>
      <w:r>
        <w:rPr>
          <w:rFonts w:hint="eastAsia" w:ascii="仿宋" w:hAnsi="仿宋" w:eastAsia="仿宋" w:cs="仿宋"/>
          <w:color w:val="auto"/>
          <w:sz w:val="21"/>
          <w:szCs w:val="21"/>
        </w:rPr>
        <w:t>由于</w:t>
      </w:r>
      <w:r>
        <w:rPr>
          <w:rFonts w:hint="eastAsia" w:ascii="仿宋" w:hAnsi="仿宋" w:eastAsia="仿宋" w:cs="仿宋"/>
          <w:color w:val="auto"/>
          <w:sz w:val="21"/>
          <w:szCs w:val="21"/>
          <w:lang w:eastAsia="zh-CN"/>
        </w:rPr>
        <w:t>铅</w:t>
      </w:r>
      <w:r>
        <w:rPr>
          <w:rFonts w:hint="eastAsia" w:ascii="仿宋" w:hAnsi="仿宋" w:eastAsia="仿宋" w:cs="仿宋"/>
          <w:color w:val="auto"/>
          <w:sz w:val="21"/>
          <w:szCs w:val="21"/>
        </w:rPr>
        <w:t>冶炼业属于节能减排重点行业，环境排放是绿色工厂评价的重要部分，占比15%；环境排放要求</w:t>
      </w:r>
      <w:r>
        <w:rPr>
          <w:rFonts w:hint="eastAsia" w:ascii="仿宋" w:hAnsi="仿宋" w:eastAsia="仿宋" w:cs="仿宋"/>
          <w:color w:val="auto"/>
          <w:sz w:val="21"/>
          <w:szCs w:val="21"/>
          <w:lang w:val="en-US" w:eastAsia="zh-CN"/>
        </w:rPr>
        <w:t>分为必选要求与可选要求，必选要求是工厂必须要满足的，其比例为6:4。</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lang w:val="en-US" w:eastAsia="zh-CN"/>
        </w:rPr>
        <w:t>4.5.6.1</w:t>
      </w:r>
      <w:r>
        <w:rPr>
          <w:rFonts w:hint="eastAsia" w:ascii="宋体" w:hAnsi="宋体" w:eastAsia="宋体" w:cs="宋体"/>
          <w:color w:val="auto"/>
          <w:szCs w:val="21"/>
        </w:rPr>
        <w:t>大气污染物</w:t>
      </w:r>
    </w:p>
    <w:p>
      <w:pPr>
        <w:ind w:left="15" w:firstLine="420" w:firstLineChars="200"/>
        <w:rPr>
          <w:rFonts w:ascii="宋体" w:hAnsi="宋体" w:eastAsia="宋体" w:cs="宋体"/>
          <w:color w:val="auto"/>
          <w:szCs w:val="21"/>
        </w:rPr>
      </w:pPr>
      <w:r>
        <w:rPr>
          <w:rFonts w:hint="eastAsia" w:ascii="宋体" w:hAnsi="宋体" w:eastAsia="宋体" w:cs="宋体"/>
          <w:color w:val="auto"/>
          <w:szCs w:val="21"/>
          <w:lang w:eastAsia="zh-CN"/>
        </w:rPr>
        <w:t>铅</w:t>
      </w:r>
      <w:r>
        <w:rPr>
          <w:rFonts w:hint="eastAsia" w:ascii="宋体" w:hAnsi="宋体" w:eastAsia="宋体" w:cs="宋体"/>
          <w:color w:val="auto"/>
          <w:szCs w:val="21"/>
        </w:rPr>
        <w:t>冶炼工厂的大气污染物排放应符合相关国家、行业及地方大气污染物排放标准要求，并满足国家排污许可要求。</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关于</w:t>
      </w:r>
      <w:r>
        <w:rPr>
          <w:rFonts w:hint="eastAsia" w:ascii="仿宋" w:hAnsi="仿宋" w:eastAsia="仿宋" w:cs="仿宋"/>
          <w:color w:val="auto"/>
          <w:szCs w:val="21"/>
          <w:lang w:eastAsia="zh-CN"/>
        </w:rPr>
        <w:t>铅</w:t>
      </w:r>
      <w:r>
        <w:rPr>
          <w:rFonts w:hint="eastAsia" w:ascii="仿宋" w:hAnsi="仿宋" w:eastAsia="仿宋" w:cs="仿宋"/>
          <w:color w:val="auto"/>
          <w:szCs w:val="21"/>
        </w:rPr>
        <w:t>冶炼工厂</w:t>
      </w:r>
      <w:r>
        <w:rPr>
          <w:rFonts w:hint="eastAsia" w:ascii="仿宋" w:hAnsi="仿宋" w:eastAsia="仿宋" w:cs="仿宋"/>
          <w:color w:val="auto"/>
          <w:szCs w:val="21"/>
          <w:lang w:eastAsia="zh-CN"/>
        </w:rPr>
        <w:t>执行的大气污染排放标准有：</w:t>
      </w:r>
      <w:r>
        <w:rPr>
          <w:rFonts w:hint="eastAsia" w:ascii="仿宋" w:hAnsi="仿宋" w:eastAsia="仿宋" w:cs="仿宋"/>
          <w:color w:val="auto"/>
          <w:szCs w:val="21"/>
        </w:rPr>
        <w:t>《铅、锌工业污染物排放标准》 GB 25466，同时废气排放还需满足行业及地方大气污染物排放标准要求。</w:t>
      </w:r>
    </w:p>
    <w:p>
      <w:pPr>
        <w:rPr>
          <w:rFonts w:ascii="宋体" w:hAnsi="宋体" w:eastAsia="宋体" w:cs="宋体"/>
          <w:color w:val="auto"/>
          <w:szCs w:val="21"/>
        </w:rPr>
      </w:pPr>
      <w:r>
        <w:rPr>
          <w:rFonts w:hint="eastAsia" w:ascii="宋体" w:hAnsi="宋体" w:eastAsia="宋体" w:cs="宋体"/>
          <w:color w:val="auto"/>
          <w:szCs w:val="21"/>
          <w:lang w:val="en-US" w:eastAsia="zh-CN"/>
        </w:rPr>
        <w:t>4.5.6.2</w:t>
      </w:r>
      <w:r>
        <w:rPr>
          <w:rFonts w:hint="eastAsia" w:ascii="宋体" w:hAnsi="宋体" w:eastAsia="宋体" w:cs="宋体"/>
          <w:color w:val="auto"/>
          <w:szCs w:val="21"/>
        </w:rPr>
        <w:t>水污染物</w:t>
      </w:r>
    </w:p>
    <w:p>
      <w:pPr>
        <w:ind w:firstLine="420" w:firstLineChars="200"/>
        <w:rPr>
          <w:rFonts w:ascii="宋体" w:hAnsi="宋体" w:eastAsia="宋体" w:cs="宋体"/>
          <w:color w:val="auto"/>
          <w:szCs w:val="21"/>
        </w:rPr>
      </w:pPr>
      <w:r>
        <w:rPr>
          <w:rFonts w:hint="eastAsia" w:ascii="宋体" w:hAnsi="宋体" w:eastAsia="宋体" w:cs="宋体"/>
          <w:color w:val="auto"/>
          <w:szCs w:val="21"/>
          <w:lang w:eastAsia="zh-CN"/>
        </w:rPr>
        <w:t>铅</w:t>
      </w:r>
      <w:r>
        <w:rPr>
          <w:rFonts w:hint="eastAsia" w:ascii="宋体" w:hAnsi="宋体" w:eastAsia="宋体" w:cs="宋体"/>
          <w:color w:val="auto"/>
          <w:szCs w:val="21"/>
        </w:rPr>
        <w:t>冶炼工厂的水污染物排放应符合相关国家、行业及地方水污染物排放标准要求，并满足国家排污许可要求。</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宋体" w:hAnsi="宋体" w:eastAsia="宋体" w:cs="宋体"/>
          <w:color w:val="auto"/>
          <w:szCs w:val="21"/>
          <w:lang w:eastAsia="zh-CN"/>
        </w:rPr>
        <w:t>铅</w:t>
      </w:r>
      <w:r>
        <w:rPr>
          <w:rFonts w:hint="eastAsia" w:ascii="仿宋" w:hAnsi="仿宋" w:eastAsia="仿宋" w:cs="仿宋"/>
          <w:color w:val="auto"/>
          <w:szCs w:val="21"/>
        </w:rPr>
        <w:t>冶炼业执行的水污染物排放标准有：《铅、锌工业污染物排放标准》GB 25466</w:t>
      </w:r>
      <w:r>
        <w:rPr>
          <w:rFonts w:hint="eastAsia" w:ascii="仿宋" w:hAnsi="仿宋" w:eastAsia="仿宋" w:cs="仿宋"/>
          <w:color w:val="auto"/>
          <w:szCs w:val="21"/>
          <w:lang w:eastAsia="zh-CN"/>
        </w:rPr>
        <w:t>，</w:t>
      </w:r>
      <w:r>
        <w:rPr>
          <w:rFonts w:hint="eastAsia" w:ascii="仿宋" w:hAnsi="仿宋" w:eastAsia="仿宋" w:cs="仿宋"/>
          <w:color w:val="auto"/>
          <w:szCs w:val="21"/>
        </w:rPr>
        <w:t>同时废水排放还需符合行业及地方水污染排放标准的要求。</w:t>
      </w:r>
    </w:p>
    <w:p>
      <w:pPr>
        <w:ind w:left="15" w:firstLine="420" w:firstLineChars="200"/>
        <w:rPr>
          <w:rFonts w:hint="eastAsia" w:ascii="仿宋" w:hAnsi="仿宋" w:eastAsia="仿宋" w:cs="仿宋"/>
          <w:color w:val="auto"/>
          <w:szCs w:val="21"/>
        </w:rPr>
      </w:pPr>
      <w:r>
        <w:rPr>
          <w:rFonts w:hint="eastAsia" w:ascii="宋体" w:hAnsi="宋体" w:eastAsia="宋体" w:cs="宋体"/>
          <w:color w:val="auto"/>
          <w:szCs w:val="21"/>
          <w:lang w:eastAsia="zh-CN"/>
        </w:rPr>
        <w:t>铅</w:t>
      </w:r>
      <w:r>
        <w:rPr>
          <w:rFonts w:hint="eastAsia" w:ascii="仿宋" w:hAnsi="仿宋" w:eastAsia="仿宋" w:cs="仿宋"/>
          <w:color w:val="auto"/>
          <w:szCs w:val="21"/>
        </w:rPr>
        <w:t>冶炼企业应采用分流制排水方式。厂区应按雨污分流、清污分流排水要求设计排水系统，</w:t>
      </w:r>
      <w:r>
        <w:rPr>
          <w:rFonts w:hint="eastAsia" w:ascii="宋体" w:hAnsi="宋体" w:eastAsia="宋体" w:cs="宋体"/>
          <w:color w:val="auto"/>
          <w:szCs w:val="21"/>
          <w:lang w:eastAsia="zh-CN"/>
        </w:rPr>
        <w:t>铅</w:t>
      </w:r>
      <w:r>
        <w:rPr>
          <w:rFonts w:hint="eastAsia" w:ascii="仿宋" w:hAnsi="仿宋" w:eastAsia="仿宋" w:cs="仿宋"/>
          <w:color w:val="auto"/>
          <w:szCs w:val="21"/>
        </w:rPr>
        <w:t>冶炼工厂排水一般包括生活污水、废酸、化验室废水、酸性废水、一般工业废水（如循环冷却水排水）、废水深度处理产生的浓盐废水及初期雨水等，重金属废水不</w:t>
      </w:r>
      <w:r>
        <w:rPr>
          <w:rFonts w:hint="eastAsia" w:ascii="仿宋" w:hAnsi="仿宋" w:eastAsia="仿宋" w:cs="仿宋"/>
          <w:color w:val="auto"/>
          <w:szCs w:val="21"/>
          <w:lang w:eastAsia="zh-CN"/>
        </w:rPr>
        <w:t>应</w:t>
      </w:r>
      <w:r>
        <w:rPr>
          <w:rFonts w:hint="eastAsia" w:ascii="仿宋" w:hAnsi="仿宋" w:eastAsia="仿宋" w:cs="仿宋"/>
          <w:color w:val="auto"/>
          <w:szCs w:val="21"/>
        </w:rPr>
        <w:t>与其他废水混合处理。</w:t>
      </w:r>
    </w:p>
    <w:p>
      <w:pPr>
        <w:ind w:left="15" w:firstLine="420" w:firstLineChars="200"/>
        <w:rPr>
          <w:rFonts w:ascii="宋体" w:hAnsi="宋体" w:eastAsia="宋体" w:cs="宋体"/>
          <w:color w:val="auto"/>
          <w:szCs w:val="21"/>
        </w:rPr>
      </w:pPr>
      <w:r>
        <w:rPr>
          <w:rFonts w:hint="eastAsia" w:ascii="仿宋" w:hAnsi="仿宋" w:eastAsia="仿宋" w:cs="仿宋"/>
          <w:color w:val="auto"/>
          <w:szCs w:val="21"/>
        </w:rPr>
        <w:t>根据《中华人民共和国环境保护法》（2015年1月1日起施行），国家依照法律规定实行排污许可管理制度。实行排污许可管理的企业事业单位和其他生产经营者应当按照排污许可证的要求排放污染物。未取得排污许可证的，不得排放污染物。根据《排污许可管理办法（试行）》（2018年1月10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自2017年9月，国家分布了</w:t>
      </w:r>
      <w:r>
        <w:rPr>
          <w:rFonts w:hint="eastAsia" w:ascii="仿宋" w:hAnsi="仿宋" w:eastAsia="仿宋" w:cs="仿宋"/>
          <w:color w:val="auto"/>
          <w:szCs w:val="21"/>
          <w:lang w:eastAsia="zh-CN"/>
        </w:rPr>
        <w:t>铅</w:t>
      </w:r>
      <w:r>
        <w:rPr>
          <w:rFonts w:hint="eastAsia" w:ascii="仿宋" w:hAnsi="仿宋" w:eastAsia="仿宋" w:cs="仿宋"/>
          <w:color w:val="auto"/>
          <w:szCs w:val="21"/>
        </w:rPr>
        <w:t>冶炼等排污许可证申请与核发技术规范，明确了可排放限值、实际排放量核算方法和合规判定方法。</w:t>
      </w:r>
      <w:r>
        <w:rPr>
          <w:rFonts w:hint="eastAsia" w:ascii="宋体" w:hAnsi="宋体" w:eastAsia="宋体" w:cs="宋体"/>
          <w:color w:val="auto"/>
          <w:szCs w:val="21"/>
          <w:lang w:eastAsia="zh-CN"/>
        </w:rPr>
        <w:t>铅</w:t>
      </w:r>
      <w:r>
        <w:rPr>
          <w:rFonts w:hint="eastAsia" w:ascii="仿宋" w:hAnsi="仿宋" w:eastAsia="仿宋" w:cs="仿宋"/>
          <w:color w:val="auto"/>
          <w:szCs w:val="21"/>
        </w:rPr>
        <w:t>冶炼工厂应满足国家排污许可管理要求。</w:t>
      </w:r>
    </w:p>
    <w:p>
      <w:pPr>
        <w:rPr>
          <w:rFonts w:ascii="宋体" w:hAnsi="宋体" w:eastAsia="宋体" w:cs="宋体"/>
          <w:color w:val="auto"/>
          <w:szCs w:val="21"/>
        </w:rPr>
      </w:pPr>
      <w:r>
        <w:rPr>
          <w:rFonts w:hint="eastAsia" w:ascii="宋体" w:hAnsi="宋体" w:eastAsia="宋体" w:cs="宋体"/>
          <w:color w:val="auto"/>
          <w:szCs w:val="21"/>
          <w:lang w:val="en-US" w:eastAsia="zh-CN"/>
        </w:rPr>
        <w:t>4.5.6.3</w:t>
      </w:r>
      <w:r>
        <w:rPr>
          <w:rFonts w:hint="eastAsia" w:ascii="宋体" w:hAnsi="宋体" w:eastAsia="宋体" w:cs="宋体"/>
          <w:color w:val="auto"/>
          <w:szCs w:val="21"/>
        </w:rPr>
        <w:t>固体废物</w:t>
      </w:r>
    </w:p>
    <w:p>
      <w:p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highlight w:val="none"/>
        </w:rPr>
        <w:t>固体</w:t>
      </w:r>
      <w:r>
        <w:rPr>
          <w:rFonts w:hint="eastAsia" w:ascii="宋体" w:hAnsi="宋体" w:eastAsia="宋体" w:cs="宋体"/>
          <w:color w:val="auto"/>
          <w:szCs w:val="21"/>
          <w:highlight w:val="none"/>
          <w:lang w:eastAsia="zh-CN"/>
        </w:rPr>
        <w:t>废物</w:t>
      </w:r>
      <w:r>
        <w:rPr>
          <w:rFonts w:hint="eastAsia" w:ascii="宋体" w:hAnsi="宋体" w:eastAsia="宋体" w:cs="宋体"/>
          <w:color w:val="auto"/>
          <w:szCs w:val="21"/>
        </w:rPr>
        <w:t>的</w:t>
      </w:r>
      <w:r>
        <w:rPr>
          <w:rFonts w:hint="eastAsia" w:ascii="宋体" w:hAnsi="宋体" w:eastAsia="宋体" w:cs="宋体"/>
          <w:color w:val="auto"/>
          <w:szCs w:val="21"/>
          <w:lang w:eastAsia="zh-CN"/>
        </w:rPr>
        <w:t>贮存、转移和</w:t>
      </w:r>
      <w:r>
        <w:rPr>
          <w:rFonts w:hint="eastAsia" w:ascii="宋体" w:hAnsi="宋体" w:eastAsia="宋体" w:cs="宋体"/>
          <w:color w:val="auto"/>
          <w:szCs w:val="21"/>
        </w:rPr>
        <w:t>处置应符合GB 18597、GB 18598和GB 18599等相关标准的规定，在分类收集和处理固体废物的过程中采取无二次污染的预防措施。</w:t>
      </w:r>
    </w:p>
    <w:p>
      <w:pPr>
        <w:ind w:firstLine="420" w:firstLineChars="200"/>
        <w:jc w:val="left"/>
        <w:rPr>
          <w:color w:val="auto"/>
          <w:szCs w:val="21"/>
        </w:rPr>
      </w:pPr>
      <w:r>
        <w:rPr>
          <w:rFonts w:hint="eastAsia" w:ascii="宋体" w:hAnsi="宋体" w:eastAsia="宋体" w:cs="宋体"/>
          <w:color w:val="auto"/>
          <w:szCs w:val="21"/>
        </w:rPr>
        <w:t>应根据GB 5085</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GB 34330</w:t>
      </w:r>
      <w:r>
        <w:rPr>
          <w:rFonts w:hint="eastAsia" w:ascii="宋体" w:hAnsi="宋体" w:eastAsia="宋体" w:cs="宋体"/>
          <w:color w:val="auto"/>
          <w:szCs w:val="21"/>
        </w:rPr>
        <w:t>等有关规定对工厂产生的固体废物进行鉴定，根据名录要求或鉴定结果，采取相应污染防治措施。企业</w:t>
      </w:r>
      <w:r>
        <w:rPr>
          <w:rFonts w:hint="eastAsia"/>
          <w:color w:val="auto"/>
          <w:szCs w:val="21"/>
        </w:rPr>
        <w:t>无法自行处理的</w:t>
      </w:r>
      <w:r>
        <w:rPr>
          <w:rFonts w:hint="eastAsia"/>
          <w:color w:val="auto"/>
          <w:szCs w:val="21"/>
          <w:lang w:eastAsia="zh-CN"/>
        </w:rPr>
        <w:t>危险</w:t>
      </w:r>
      <w:r>
        <w:rPr>
          <w:rFonts w:hint="eastAsia"/>
          <w:color w:val="auto"/>
          <w:szCs w:val="21"/>
        </w:rPr>
        <w:t>废物，</w:t>
      </w:r>
      <w:r>
        <w:rPr>
          <w:rFonts w:hint="eastAsia"/>
          <w:color w:val="auto"/>
          <w:szCs w:val="21"/>
          <w:lang w:eastAsia="zh-CN"/>
        </w:rPr>
        <w:t>应</w:t>
      </w:r>
      <w:r>
        <w:rPr>
          <w:color w:val="auto"/>
          <w:szCs w:val="21"/>
        </w:rPr>
        <w:t>委托具有能力和资质的企业进行</w:t>
      </w:r>
      <w:r>
        <w:rPr>
          <w:rFonts w:hint="eastAsia"/>
          <w:color w:val="auto"/>
          <w:szCs w:val="21"/>
          <w:lang w:eastAsia="zh-CN"/>
        </w:rPr>
        <w:t>危险</w:t>
      </w:r>
      <w:r>
        <w:rPr>
          <w:color w:val="auto"/>
          <w:szCs w:val="21"/>
        </w:rPr>
        <w:t>废物处理。</w:t>
      </w:r>
      <w:r>
        <w:rPr>
          <w:rFonts w:hint="eastAsia"/>
          <w:color w:val="auto"/>
          <w:szCs w:val="21"/>
        </w:rPr>
        <w:t>宜针对自身产生的固体废物采用减量化、无害化、资源化的处理、处置方式。</w:t>
      </w:r>
    </w:p>
    <w:p>
      <w:pPr>
        <w:ind w:left="15"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w:t>
      </w:r>
      <w:r>
        <w:rPr>
          <w:rFonts w:hint="eastAsia" w:ascii="宋体" w:hAnsi="宋体" w:eastAsia="宋体" w:cs="宋体"/>
          <w:color w:val="auto"/>
          <w:szCs w:val="21"/>
          <w:lang w:val="en-US" w:eastAsia="zh-CN"/>
        </w:rPr>
        <w:t>铅</w:t>
      </w:r>
      <w:r>
        <w:rPr>
          <w:rFonts w:hint="eastAsia" w:ascii="仿宋" w:hAnsi="仿宋" w:eastAsia="仿宋" w:cs="仿宋"/>
          <w:color w:val="auto"/>
          <w:szCs w:val="21"/>
        </w:rPr>
        <w:t>冶炼工厂应按照《中华人民共和国固体废物污染环境防治法》、《一般工业固体废物贮存、处置场污染控制标准》GB 18599、《危险废物贮存污染控制标准》GB 18597、《危险废物填埋污染控制标准》GB 18598等有关</w:t>
      </w:r>
      <w:r>
        <w:rPr>
          <w:rFonts w:hint="eastAsia" w:ascii="仿宋" w:hAnsi="仿宋" w:eastAsia="仿宋" w:cs="仿宋"/>
          <w:color w:val="auto"/>
          <w:szCs w:val="21"/>
          <w:lang w:eastAsia="zh-CN"/>
        </w:rPr>
        <w:t>法律、</w:t>
      </w:r>
      <w:r>
        <w:rPr>
          <w:rFonts w:hint="eastAsia" w:ascii="仿宋" w:hAnsi="仿宋" w:eastAsia="仿宋" w:cs="仿宋"/>
          <w:color w:val="auto"/>
          <w:szCs w:val="21"/>
        </w:rPr>
        <w:t>标准和规定储存、处置和处理固体废物</w:t>
      </w:r>
      <w:r>
        <w:rPr>
          <w:rFonts w:hint="eastAsia" w:ascii="仿宋" w:hAnsi="仿宋" w:eastAsia="仿宋" w:cs="仿宋"/>
          <w:color w:val="auto"/>
          <w:szCs w:val="21"/>
          <w:lang w:eastAsia="zh-CN"/>
        </w:rPr>
        <w:t>，</w:t>
      </w:r>
      <w:r>
        <w:rPr>
          <w:rFonts w:hint="eastAsia" w:ascii="仿宋" w:hAnsi="仿宋" w:eastAsia="仿宋" w:cs="仿宋"/>
          <w:color w:val="auto"/>
          <w:szCs w:val="21"/>
        </w:rPr>
        <w:t>制定固体废物管理制度，落实管理责任</w:t>
      </w:r>
      <w:r>
        <w:rPr>
          <w:rFonts w:hint="eastAsia" w:ascii="仿宋" w:hAnsi="仿宋" w:eastAsia="仿宋" w:cs="仿宋"/>
          <w:color w:val="auto"/>
          <w:szCs w:val="21"/>
          <w:lang w:eastAsia="zh-CN"/>
        </w:rPr>
        <w:t>。</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rPr>
        <w:t>固体废物</w:t>
      </w:r>
      <w:r>
        <w:rPr>
          <w:rFonts w:hint="eastAsia" w:ascii="仿宋" w:hAnsi="仿宋" w:eastAsia="仿宋" w:cs="仿宋"/>
          <w:color w:val="auto"/>
          <w:szCs w:val="21"/>
          <w:lang w:eastAsia="zh-CN"/>
        </w:rPr>
        <w:t>应</w:t>
      </w:r>
      <w:r>
        <w:rPr>
          <w:rFonts w:hint="eastAsia" w:ascii="仿宋" w:hAnsi="仿宋" w:eastAsia="仿宋" w:cs="仿宋"/>
          <w:color w:val="auto"/>
          <w:szCs w:val="21"/>
        </w:rPr>
        <w:t>按照</w:t>
      </w:r>
      <w:r>
        <w:rPr>
          <w:rFonts w:hint="eastAsia" w:ascii="仿宋" w:hAnsi="仿宋" w:eastAsia="仿宋" w:cs="仿宋"/>
          <w:color w:val="auto"/>
          <w:szCs w:val="21"/>
          <w:lang w:eastAsia="zh-CN"/>
        </w:rPr>
        <w:t>《</w:t>
      </w:r>
      <w:r>
        <w:rPr>
          <w:rFonts w:hint="eastAsia" w:ascii="仿宋" w:hAnsi="仿宋" w:eastAsia="仿宋" w:cs="仿宋"/>
          <w:color w:val="auto"/>
          <w:szCs w:val="21"/>
        </w:rPr>
        <w:t>危险废物鉴别标准</w:t>
      </w:r>
      <w:r>
        <w:rPr>
          <w:rFonts w:hint="eastAsia" w:ascii="仿宋" w:hAnsi="仿宋" w:eastAsia="仿宋" w:cs="仿宋"/>
          <w:color w:val="auto"/>
          <w:szCs w:val="21"/>
          <w:lang w:eastAsia="zh-CN"/>
        </w:rPr>
        <w:t>》</w:t>
      </w:r>
      <w:r>
        <w:rPr>
          <w:rFonts w:hint="eastAsia" w:ascii="仿宋" w:hAnsi="仿宋" w:eastAsia="仿宋" w:cs="仿宋"/>
          <w:color w:val="auto"/>
          <w:szCs w:val="21"/>
        </w:rPr>
        <w:t>GB 5085、</w:t>
      </w:r>
      <w:r>
        <w:rPr>
          <w:rFonts w:hint="eastAsia" w:ascii="仿宋" w:hAnsi="仿宋" w:eastAsia="仿宋" w:cs="仿宋"/>
          <w:color w:val="auto"/>
          <w:szCs w:val="21"/>
          <w:lang w:eastAsia="zh-CN"/>
        </w:rPr>
        <w:t>《</w:t>
      </w:r>
      <w:r>
        <w:rPr>
          <w:rFonts w:hint="eastAsia" w:ascii="仿宋" w:hAnsi="仿宋" w:eastAsia="仿宋" w:cs="仿宋"/>
          <w:color w:val="auto"/>
          <w:lang w:val="en-US" w:eastAsia="zh-CN"/>
        </w:rPr>
        <w:t>固体废物鉴别标准通则</w:t>
      </w:r>
      <w:r>
        <w:rPr>
          <w:rFonts w:hint="eastAsia" w:ascii="仿宋" w:hAnsi="仿宋" w:eastAsia="仿宋" w:cs="仿宋"/>
          <w:color w:val="auto"/>
          <w:szCs w:val="21"/>
          <w:lang w:eastAsia="zh-CN"/>
        </w:rPr>
        <w:t>》</w:t>
      </w:r>
      <w:r>
        <w:rPr>
          <w:rFonts w:hint="eastAsia" w:ascii="仿宋" w:hAnsi="仿宋" w:eastAsia="仿宋" w:cs="仿宋"/>
          <w:color w:val="auto"/>
          <w:szCs w:val="21"/>
        </w:rPr>
        <w:t>GB</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34330、《国家危险废物名录》等要求进行性质判定，明确固体废物类别，并采取相应污染防治措施。企业无法自行</w:t>
      </w:r>
      <w:r>
        <w:rPr>
          <w:rFonts w:hint="eastAsia" w:ascii="仿宋" w:hAnsi="仿宋" w:eastAsia="仿宋" w:cs="仿宋"/>
          <w:color w:val="auto"/>
          <w:szCs w:val="21"/>
          <w:lang w:eastAsia="zh-CN"/>
        </w:rPr>
        <w:t>处置</w:t>
      </w:r>
      <w:r>
        <w:rPr>
          <w:rFonts w:hint="eastAsia" w:ascii="仿宋" w:hAnsi="仿宋" w:eastAsia="仿宋" w:cs="仿宋"/>
          <w:color w:val="auto"/>
          <w:szCs w:val="21"/>
        </w:rPr>
        <w:t>的固体废物，需委托具有能力和资质的企业进行固体废物</w:t>
      </w:r>
      <w:r>
        <w:rPr>
          <w:rFonts w:hint="eastAsia" w:ascii="仿宋" w:hAnsi="仿宋" w:eastAsia="仿宋" w:cs="仿宋"/>
          <w:color w:val="auto"/>
          <w:szCs w:val="21"/>
          <w:lang w:eastAsia="zh-CN"/>
        </w:rPr>
        <w:t>处置</w:t>
      </w:r>
      <w:r>
        <w:rPr>
          <w:rFonts w:hint="eastAsia" w:ascii="仿宋" w:hAnsi="仿宋" w:eastAsia="仿宋" w:cs="仿宋"/>
          <w:color w:val="auto"/>
          <w:szCs w:val="21"/>
        </w:rPr>
        <w:t>。危险废物严格按照国家危险废物管理要求进行管理。</w:t>
      </w:r>
    </w:p>
    <w:p>
      <w:pPr>
        <w:rPr>
          <w:rFonts w:ascii="宋体" w:hAnsi="宋体" w:eastAsia="宋体" w:cs="宋体"/>
          <w:color w:val="auto"/>
          <w:szCs w:val="21"/>
        </w:rPr>
      </w:pPr>
      <w:r>
        <w:rPr>
          <w:rFonts w:hint="eastAsia" w:ascii="宋体" w:hAnsi="宋体" w:eastAsia="宋体" w:cs="宋体"/>
          <w:color w:val="auto"/>
          <w:szCs w:val="21"/>
          <w:lang w:val="en-US" w:eastAsia="zh-CN"/>
        </w:rPr>
        <w:t>4.5.6.4</w:t>
      </w:r>
      <w:r>
        <w:rPr>
          <w:rFonts w:hint="eastAsia" w:ascii="宋体" w:hAnsi="宋体" w:eastAsia="宋体" w:cs="宋体"/>
          <w:color w:val="auto"/>
          <w:szCs w:val="21"/>
        </w:rPr>
        <w:t>噪声</w:t>
      </w:r>
    </w:p>
    <w:p>
      <w:pPr>
        <w:ind w:left="15" w:firstLine="420" w:firstLineChars="200"/>
        <w:rPr>
          <w:rFonts w:hint="eastAsia" w:ascii="宋体" w:hAnsi="宋体" w:eastAsia="宋体" w:cs="宋体"/>
          <w:color w:val="auto"/>
          <w:szCs w:val="21"/>
        </w:rPr>
      </w:pPr>
      <w:r>
        <w:rPr>
          <w:rFonts w:hint="eastAsia" w:ascii="宋体" w:hAnsi="宋体" w:eastAsia="宋体" w:cs="宋体"/>
          <w:color w:val="auto"/>
          <w:szCs w:val="21"/>
        </w:rPr>
        <w:t>厂界环境噪声排放应符合相关国家标准、行业标准及地方标准</w:t>
      </w:r>
      <w:r>
        <w:rPr>
          <w:rFonts w:hint="eastAsia" w:ascii="宋体" w:hAnsi="宋体" w:eastAsia="宋体" w:cs="宋体"/>
          <w:color w:val="auto"/>
          <w:szCs w:val="21"/>
          <w:lang w:eastAsia="zh-CN"/>
        </w:rPr>
        <w:t>的</w:t>
      </w:r>
      <w:r>
        <w:rPr>
          <w:rFonts w:hint="eastAsia" w:ascii="宋体" w:hAnsi="宋体" w:eastAsia="宋体" w:cs="宋体"/>
          <w:color w:val="auto"/>
          <w:szCs w:val="21"/>
        </w:rPr>
        <w:t>要求。</w:t>
      </w:r>
    </w:p>
    <w:p>
      <w:pPr>
        <w:ind w:left="15" w:firstLine="420" w:firstLineChars="200"/>
        <w:rPr>
          <w:rFonts w:ascii="宋体" w:hAnsi="宋体" w:eastAsia="宋体" w:cs="宋体"/>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根据《中华人民共和国环境噪声污染防治法》，工业噪声是指在工业生产活动中使用固定的设备时产生的干扰周围生活环境的声音。工厂厂界噪声应符合《工业企业厂界环境噪声排放标准》GB 12348中的规定。</w:t>
      </w:r>
      <w:r>
        <w:rPr>
          <w:rFonts w:hint="eastAsia" w:ascii="宋体" w:hAnsi="宋体" w:eastAsia="宋体" w:cs="宋体"/>
          <w:color w:val="auto"/>
          <w:szCs w:val="21"/>
        </w:rPr>
        <w:t xml:space="preserve"> </w:t>
      </w:r>
    </w:p>
    <w:p>
      <w:pPr>
        <w:rPr>
          <w:rFonts w:hint="eastAsia" w:ascii="宋体" w:hAnsi="宋体" w:eastAsia="宋体" w:cs="宋体"/>
          <w:color w:val="auto"/>
          <w:szCs w:val="21"/>
        </w:rPr>
      </w:pPr>
      <w:r>
        <w:rPr>
          <w:rFonts w:hint="eastAsia" w:ascii="宋体" w:hAnsi="宋体" w:eastAsia="宋体" w:cs="宋体"/>
          <w:color w:val="auto"/>
          <w:szCs w:val="21"/>
          <w:lang w:val="en-US" w:eastAsia="zh-CN"/>
        </w:rPr>
        <w:t>4.5.6.5</w:t>
      </w:r>
      <w:r>
        <w:rPr>
          <w:rFonts w:hint="eastAsia" w:ascii="宋体" w:hAnsi="宋体" w:eastAsia="宋体" w:cs="宋体"/>
          <w:color w:val="auto"/>
          <w:szCs w:val="21"/>
        </w:rPr>
        <w:t>温室气体</w:t>
      </w:r>
    </w:p>
    <w:p>
      <w:pPr>
        <w:ind w:firstLine="420" w:firstLineChars="200"/>
        <w:rPr>
          <w:rFonts w:hint="eastAsia" w:ascii="宋体" w:hAnsi="宋体" w:eastAsia="宋体" w:cs="宋体"/>
          <w:color w:val="auto"/>
        </w:rPr>
      </w:pPr>
      <w:r>
        <w:rPr>
          <w:rFonts w:hint="eastAsia" w:ascii="宋体" w:hAnsi="宋体" w:eastAsia="宋体" w:cs="宋体"/>
          <w:color w:val="auto"/>
        </w:rPr>
        <w:t>应采用GB/T 32150或适用的标准对厂界范围内的温室气体排放进行核算和报告，宜进行核查，核查结果宜对外公布。可行时，工厂</w:t>
      </w:r>
      <w:r>
        <w:rPr>
          <w:rFonts w:hint="eastAsia" w:ascii="宋体" w:hAnsi="宋体" w:eastAsia="宋体" w:cs="宋体"/>
          <w:color w:val="auto"/>
          <w:lang w:eastAsia="zh-CN"/>
        </w:rPr>
        <w:t>宜</w:t>
      </w:r>
      <w:r>
        <w:rPr>
          <w:rFonts w:hint="eastAsia" w:ascii="宋体" w:hAnsi="宋体" w:eastAsia="宋体" w:cs="宋体"/>
          <w:color w:val="auto"/>
        </w:rPr>
        <w:t>利用核算或核查结果对温室气体的排放进行改善。</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"https://www.baidu.com/link?url=yYkRav01yyKI5oUzMHTFmVikkZp1otPXqQZQwVZ7vqX2B7XuQSdHVZwRWX6eAcmTbM1esZUX-VtXbisL9Fitxa&amp;wd=&amp;eqid=9407f8670000d7c100000003598187a7" \t "https://www.baidu.com/_blank" </w:instrText>
      </w:r>
      <w:r>
        <w:rPr>
          <w:rFonts w:hint="eastAsia" w:ascii="仿宋" w:hAnsi="仿宋" w:eastAsia="仿宋" w:cs="仿宋"/>
          <w:color w:val="auto"/>
        </w:rPr>
        <w:fldChar w:fldCharType="separate"/>
      </w:r>
      <w:r>
        <w:rPr>
          <w:rFonts w:hint="eastAsia" w:ascii="仿宋" w:hAnsi="仿宋" w:eastAsia="仿宋" w:cs="仿宋"/>
          <w:color w:val="auto"/>
          <w:szCs w:val="21"/>
        </w:rPr>
        <w:t>GB/T 32150</w:t>
      </w:r>
      <w:r>
        <w:rPr>
          <w:rFonts w:hint="eastAsia" w:ascii="仿宋" w:hAnsi="仿宋" w:eastAsia="仿宋" w:cs="仿宋"/>
          <w:color w:val="auto"/>
          <w:szCs w:val="21"/>
        </w:rPr>
        <w:fldChar w:fldCharType="end"/>
      </w:r>
      <w:r>
        <w:rPr>
          <w:rFonts w:hint="eastAsia" w:ascii="仿宋" w:hAnsi="仿宋" w:eastAsia="仿宋" w:cs="仿宋"/>
          <w:color w:val="auto"/>
          <w:szCs w:val="21"/>
        </w:rPr>
        <w:t>。</w:t>
      </w:r>
      <w:r>
        <w:rPr>
          <w:rFonts w:hint="eastAsia" w:ascii="仿宋" w:hAnsi="仿宋" w:eastAsia="仿宋" w:cs="仿宋"/>
          <w:color w:val="auto"/>
          <w:szCs w:val="21"/>
          <w:lang w:eastAsia="zh-CN"/>
        </w:rPr>
        <w:t>铅</w:t>
      </w:r>
      <w:r>
        <w:rPr>
          <w:rFonts w:hint="eastAsia" w:ascii="仿宋" w:hAnsi="仿宋" w:eastAsia="仿宋" w:cs="仿宋"/>
          <w:color w:val="auto"/>
          <w:szCs w:val="21"/>
        </w:rPr>
        <w:t>冶炼工厂应对厂界范围内的温室气体排放进行核查，并宜利用核查结果对温室气体的排放进行改善。关于碳排放的系数指标，按国家届时出台的有关规定予以执行。</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4.5.7</w:t>
      </w:r>
      <w:r>
        <w:rPr>
          <w:rFonts w:hint="eastAsia" w:ascii="宋体" w:hAnsi="宋体" w:eastAsia="宋体" w:cs="宋体"/>
          <w:color w:val="auto"/>
          <w:szCs w:val="21"/>
        </w:rPr>
        <w:t>绩效要求</w:t>
      </w:r>
    </w:p>
    <w:p>
      <w:pPr>
        <w:pStyle w:val="6"/>
        <w:ind w:firstLine="424" w:firstLineChars="202"/>
        <w:rPr>
          <w:rFonts w:hint="eastAsia" w:ascii="宋体" w:hAnsi="宋体" w:eastAsia="仿宋" w:cs="宋体"/>
          <w:color w:val="auto"/>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分别从用地集约化、原料无害化、生产洁净化、废物资源化、能源低碳化五大方面进行了规定。</w:t>
      </w:r>
      <w:r>
        <w:rPr>
          <w:rFonts w:hint="eastAsia" w:ascii="仿宋" w:hAnsi="仿宋" w:eastAsia="仿宋" w:cs="仿宋"/>
          <w:color w:val="auto"/>
          <w:sz w:val="21"/>
          <w:szCs w:val="21"/>
        </w:rPr>
        <w:t>为充分体现可量化的特点，体现绩效指标的内容占比权重最大，占30%；</w:t>
      </w:r>
      <w:r>
        <w:rPr>
          <w:rFonts w:hint="eastAsia" w:ascii="仿宋" w:hAnsi="仿宋" w:eastAsia="仿宋" w:cs="仿宋"/>
          <w:color w:val="auto"/>
          <w:sz w:val="21"/>
          <w:szCs w:val="21"/>
          <w:lang w:eastAsia="zh-CN"/>
        </w:rPr>
        <w:t>绩效</w:t>
      </w:r>
      <w:r>
        <w:rPr>
          <w:rFonts w:hint="eastAsia" w:ascii="仿宋" w:hAnsi="仿宋" w:eastAsia="仿宋" w:cs="仿宋"/>
          <w:color w:val="auto"/>
          <w:sz w:val="21"/>
          <w:szCs w:val="21"/>
        </w:rPr>
        <w:t>要求</w:t>
      </w:r>
      <w:r>
        <w:rPr>
          <w:rFonts w:hint="eastAsia" w:ascii="仿宋" w:hAnsi="仿宋" w:eastAsia="仿宋" w:cs="仿宋"/>
          <w:color w:val="auto"/>
          <w:sz w:val="21"/>
          <w:szCs w:val="21"/>
          <w:lang w:val="en-US" w:eastAsia="zh-CN"/>
        </w:rPr>
        <w:t>分为必选要求与可选要求，必选要求是工厂必须要满足的，其比例为6:4。其中，原料无害化对于铅冶炼业适用性较低，所占比重小。而生产洁净化与废物资源化对于本行业来说是十分重要的，因为所占比重较大。</w:t>
      </w:r>
      <w:r>
        <w:rPr>
          <w:rFonts w:hint="eastAsia" w:ascii="仿宋" w:hAnsi="仿宋" w:eastAsia="仿宋" w:cs="仿宋"/>
          <w:color w:val="auto"/>
          <w:szCs w:val="21"/>
        </w:rPr>
        <w:t>用地集约化、原料无害化、生产洁净化、废物资源化、能源低碳化</w:t>
      </w:r>
      <w:r>
        <w:rPr>
          <w:rFonts w:hint="eastAsia" w:ascii="仿宋" w:hAnsi="仿宋" w:eastAsia="仿宋" w:cs="仿宋"/>
          <w:color w:val="auto"/>
          <w:szCs w:val="21"/>
          <w:lang w:eastAsia="zh-CN"/>
        </w:rPr>
        <w:t>所占分值分别为</w:t>
      </w:r>
      <w:r>
        <w:rPr>
          <w:rFonts w:hint="eastAsia" w:ascii="仿宋" w:hAnsi="仿宋" w:eastAsia="仿宋" w:cs="仿宋"/>
          <w:color w:val="auto"/>
          <w:szCs w:val="21"/>
          <w:lang w:val="en-US" w:eastAsia="zh-CN"/>
        </w:rPr>
        <w:t>4.5分、1.5分、10.5分、9分、4.5分。</w:t>
      </w:r>
    </w:p>
    <w:p>
      <w:pPr>
        <w:rPr>
          <w:rFonts w:hint="eastAsia" w:eastAsiaTheme="minorEastAsia"/>
          <w:color w:val="auto"/>
          <w:szCs w:val="21"/>
          <w:lang w:val="en-US" w:eastAsia="zh-CN"/>
        </w:rPr>
      </w:pPr>
      <w:r>
        <w:rPr>
          <w:rFonts w:hint="eastAsia"/>
          <w:color w:val="auto"/>
          <w:szCs w:val="21"/>
          <w:lang w:val="en-US" w:eastAsia="zh-CN"/>
        </w:rPr>
        <w:t>4.5.7.1</w:t>
      </w:r>
      <w:r>
        <w:rPr>
          <w:rFonts w:hint="eastAsia" w:ascii="宋体" w:hAnsi="宋体" w:eastAsia="宋体" w:cs="宋体"/>
          <w:color w:val="auto"/>
          <w:szCs w:val="21"/>
        </w:rPr>
        <w:t>用地集约化</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建设项目用地应符合国家现行有关建设项目用地的规定，</w:t>
      </w:r>
      <w:r>
        <w:rPr>
          <w:rFonts w:hint="eastAsia" w:ascii="宋体" w:hAnsi="宋体" w:eastAsia="宋体" w:cs="宋体"/>
          <w:color w:val="auto"/>
        </w:rPr>
        <w:t>容积率应不低于0.6。建筑密度应不低于30%。</w:t>
      </w:r>
      <w:r>
        <w:rPr>
          <w:rFonts w:hint="eastAsia" w:ascii="宋体" w:hAnsi="宋体" w:eastAsia="宋体" w:cs="宋体"/>
          <w:color w:val="auto"/>
          <w:szCs w:val="21"/>
        </w:rPr>
        <w:t>单位用地面积产值不应低于地方发布的单位用地面积产值的要求。未发布单位用地面积产值的地区，单位用地面积产值应超过本年度所在省市的单位用地面积产值。</w:t>
      </w:r>
      <w:r>
        <w:rPr>
          <w:rFonts w:hint="eastAsia" w:ascii="宋体" w:hAnsi="宋体" w:eastAsia="宋体" w:cs="宋体"/>
          <w:color w:val="auto"/>
          <w:szCs w:val="21"/>
          <w:highlight w:val="none"/>
        </w:rPr>
        <w:t>吨产品占地面积</w:t>
      </w:r>
      <w:r>
        <w:rPr>
          <w:rFonts w:hint="eastAsia" w:ascii="宋体" w:hAnsi="宋体" w:eastAsia="宋体" w:cs="宋体"/>
          <w:color w:val="auto"/>
          <w:szCs w:val="21"/>
          <w:highlight w:val="none"/>
          <w:lang w:eastAsia="zh-CN"/>
        </w:rPr>
        <w:t>应符合相关铅冶炼业规范条件。</w:t>
      </w:r>
    </w:p>
    <w:p>
      <w:pPr>
        <w:ind w:firstLine="435"/>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用地集约化对工厂容积率、建筑密度，单位用地面积产值进行了规定，根据</w:t>
      </w:r>
      <w:r>
        <w:rPr>
          <w:rFonts w:hint="eastAsia" w:ascii="仿宋" w:hAnsi="仿宋" w:eastAsia="仿宋" w:cs="仿宋"/>
          <w:color w:val="auto"/>
        </w:rPr>
        <w:t>《工业项目建设用地控制指标》，对于</w:t>
      </w:r>
      <w:r>
        <w:rPr>
          <w:rFonts w:hint="eastAsia" w:ascii="宋体" w:hAnsi="宋体" w:eastAsia="宋体" w:cs="宋体"/>
          <w:color w:val="auto"/>
          <w:szCs w:val="21"/>
          <w:highlight w:val="none"/>
          <w:lang w:eastAsia="zh-CN"/>
        </w:rPr>
        <w:t>铅</w:t>
      </w:r>
      <w:r>
        <w:rPr>
          <w:rFonts w:hint="eastAsia" w:ascii="仿宋" w:hAnsi="仿宋" w:eastAsia="仿宋" w:cs="仿宋"/>
          <w:color w:val="auto"/>
          <w:szCs w:val="21"/>
        </w:rPr>
        <w:t>冶炼业</w:t>
      </w:r>
      <w:r>
        <w:rPr>
          <w:rFonts w:hint="eastAsia" w:ascii="仿宋" w:hAnsi="仿宋" w:eastAsia="仿宋" w:cs="仿宋"/>
          <w:color w:val="auto"/>
          <w:szCs w:val="21"/>
          <w:lang w:eastAsia="zh-CN"/>
        </w:rPr>
        <w:t>，</w:t>
      </w:r>
      <w:r>
        <w:rPr>
          <w:rFonts w:hint="eastAsia" w:ascii="仿宋" w:hAnsi="仿宋" w:eastAsia="仿宋" w:cs="仿宋"/>
          <w:color w:val="auto"/>
          <w:szCs w:val="21"/>
        </w:rPr>
        <w:t>规定容积率不</w:t>
      </w:r>
      <w:r>
        <w:rPr>
          <w:rFonts w:hint="eastAsia" w:ascii="仿宋" w:hAnsi="仿宋" w:eastAsia="仿宋" w:cs="仿宋"/>
          <w:color w:val="auto"/>
          <w:szCs w:val="21"/>
          <w:lang w:eastAsia="zh-CN"/>
        </w:rPr>
        <w:t>应</w:t>
      </w:r>
      <w:r>
        <w:rPr>
          <w:rFonts w:hint="eastAsia" w:ascii="仿宋" w:hAnsi="仿宋" w:eastAsia="仿宋" w:cs="仿宋"/>
          <w:color w:val="auto"/>
          <w:szCs w:val="21"/>
        </w:rPr>
        <w:t>小于0.6，建筑密度不</w:t>
      </w:r>
      <w:r>
        <w:rPr>
          <w:rFonts w:hint="eastAsia" w:ascii="仿宋" w:hAnsi="仿宋" w:eastAsia="仿宋" w:cs="仿宋"/>
          <w:color w:val="auto"/>
          <w:szCs w:val="21"/>
          <w:lang w:eastAsia="zh-CN"/>
        </w:rPr>
        <w:t>应</w:t>
      </w:r>
      <w:r>
        <w:rPr>
          <w:rFonts w:hint="eastAsia" w:ascii="仿宋" w:hAnsi="仿宋" w:eastAsia="仿宋" w:cs="仿宋"/>
          <w:color w:val="auto"/>
          <w:szCs w:val="21"/>
        </w:rPr>
        <w:t>低于30%</w:t>
      </w:r>
      <w:r>
        <w:rPr>
          <w:rFonts w:hint="eastAsia" w:ascii="仿宋" w:hAnsi="仿宋" w:eastAsia="仿宋" w:cs="仿宋"/>
          <w:color w:val="auto"/>
          <w:szCs w:val="21"/>
          <w:lang w:eastAsia="zh-CN"/>
        </w:rPr>
        <w:t>。</w:t>
      </w:r>
    </w:p>
    <w:p>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4.5.7.2原料无害化</w:t>
      </w:r>
    </w:p>
    <w:p>
      <w:pPr>
        <w:ind w:firstLine="420" w:firstLineChars="200"/>
        <w:rPr>
          <w:rFonts w:hint="eastAsia"/>
          <w:color w:val="auto"/>
          <w:lang w:val="en-US" w:eastAsia="zh-CN"/>
        </w:rPr>
      </w:pPr>
      <w:r>
        <w:rPr>
          <w:rFonts w:hint="eastAsia"/>
          <w:color w:val="auto"/>
          <w:lang w:val="en-US" w:eastAsia="zh-CN"/>
        </w:rPr>
        <w:t>工厂应逐年降低有害物质的使用率，实现有害物质替代，替代物料</w:t>
      </w:r>
      <w:r>
        <w:rPr>
          <w:rFonts w:hint="eastAsia"/>
          <w:color w:val="auto"/>
          <w:lang w:eastAsia="zh-CN"/>
        </w:rPr>
        <w:t>宜</w:t>
      </w:r>
      <w:r>
        <w:rPr>
          <w:rFonts w:hint="eastAsia"/>
          <w:color w:val="auto"/>
        </w:rPr>
        <w:t>选自有毒有害原料（产品）替代目录，或利用再生资源及产业废弃物等作为原料。</w:t>
      </w:r>
    </w:p>
    <w:p>
      <w:pPr>
        <w:ind w:firstLine="420" w:firstLineChars="200"/>
        <w:rPr>
          <w:rFonts w:hint="eastAsia" w:ascii="宋体" w:hAnsi="宋体" w:eastAsia="宋体" w:cs="宋体"/>
          <w:color w:val="auto"/>
        </w:rPr>
      </w:pPr>
      <w:r>
        <w:rPr>
          <w:rFonts w:hint="eastAsia" w:ascii="宋体" w:hAnsi="宋体" w:eastAsia="宋体" w:cs="宋体"/>
          <w:color w:val="auto"/>
          <w:lang w:val="en-US" w:eastAsia="zh-CN"/>
        </w:rPr>
        <w:t>适用时，铅精矿产品有害元素的含量应符合GB 20424和YS/T319的规定。宜选用品级高的铅精矿产品作为原料。</w:t>
      </w:r>
    </w:p>
    <w:p>
      <w:pPr>
        <w:numPr>
          <w:ilvl w:val="0"/>
          <w:numId w:val="0"/>
        </w:numPr>
        <w:ind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说明：原料无害化对于铅冶炼业适用性较低，因此所占比重较小。</w:t>
      </w:r>
    </w:p>
    <w:p>
      <w:pPr>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原料无害化对</w:t>
      </w:r>
      <w:r>
        <w:rPr>
          <w:rFonts w:hint="eastAsia" w:ascii="仿宋" w:hAnsi="仿宋" w:eastAsia="仿宋" w:cs="仿宋"/>
          <w:color w:val="auto"/>
          <w:szCs w:val="21"/>
          <w:highlight w:val="none"/>
          <w:lang w:eastAsia="zh-CN"/>
        </w:rPr>
        <w:t>替换</w:t>
      </w:r>
      <w:r>
        <w:rPr>
          <w:rFonts w:hint="eastAsia" w:ascii="仿宋" w:hAnsi="仿宋" w:eastAsia="仿宋" w:cs="仿宋"/>
          <w:color w:val="auto"/>
          <w:szCs w:val="21"/>
          <w:highlight w:val="none"/>
        </w:rPr>
        <w:t>物料使用进行了规定，物料宜选自有毒有害原料（产品）替代名录，或利用再生资源及产业废弃物等作为原料，使用量根据物料台账测算</w:t>
      </w:r>
      <w:r>
        <w:rPr>
          <w:rFonts w:hint="eastAsia" w:ascii="仿宋" w:hAnsi="仿宋" w:eastAsia="仿宋" w:cs="仿宋"/>
          <w:color w:val="auto"/>
          <w:szCs w:val="21"/>
          <w:highlight w:val="none"/>
          <w:lang w:eastAsia="zh-CN"/>
        </w:rPr>
        <w:t>。或将有害的原料变成无害或者市场上可流通的产品。铅冶炼企业原料无害化还有一方面指的是辅料使用的无害化，比如通过工艺改进，尽量减少使用有毒有害辅料的使用量，如推广使用无铬耐火砖等，推广使用绿色建材，如无铅防锈颜料等。</w:t>
      </w:r>
    </w:p>
    <w:p>
      <w:pPr>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4.5.7.</w:t>
      </w:r>
      <w:r>
        <w:rPr>
          <w:rFonts w:hint="eastAsia" w:ascii="宋体" w:hAnsi="宋体" w:eastAsia="宋体" w:cs="宋体"/>
          <w:color w:val="auto"/>
          <w:szCs w:val="21"/>
          <w:lang w:val="en-US" w:eastAsia="zh-CN"/>
        </w:rPr>
        <w:t>3</w:t>
      </w:r>
      <w:r>
        <w:rPr>
          <w:rFonts w:hint="eastAsia" w:ascii="宋体" w:hAnsi="宋体" w:eastAsia="宋体" w:cs="宋体"/>
          <w:color w:val="auto"/>
          <w:szCs w:val="21"/>
        </w:rPr>
        <w:t>生产洁净化</w:t>
      </w:r>
    </w:p>
    <w:p>
      <w:pPr>
        <w:ind w:firstLine="435"/>
        <w:rPr>
          <w:rFonts w:hint="eastAsia" w:ascii="宋体" w:hAnsi="宋体" w:eastAsia="宋体" w:cs="宋体"/>
          <w:color w:val="auto"/>
          <w:szCs w:val="21"/>
          <w:lang w:eastAsia="zh-CN"/>
        </w:rPr>
      </w:pPr>
      <w:r>
        <w:rPr>
          <w:rFonts w:hint="eastAsia" w:ascii="宋体" w:hAnsi="宋体" w:eastAsia="宋体" w:cs="宋体"/>
          <w:color w:val="auto"/>
          <w:szCs w:val="21"/>
        </w:rPr>
        <w:t>生产洁净化对</w:t>
      </w:r>
      <w:r>
        <w:rPr>
          <w:rFonts w:hint="eastAsia"/>
          <w:color w:val="auto"/>
        </w:rPr>
        <w:t>单位产品主要污染物产生量</w:t>
      </w:r>
      <w:r>
        <w:rPr>
          <w:rFonts w:hint="eastAsia"/>
          <w:color w:val="auto"/>
          <w:szCs w:val="21"/>
        </w:rPr>
        <w:t>（如化学需氧量、</w:t>
      </w:r>
      <w:r>
        <w:rPr>
          <w:rFonts w:hint="eastAsia"/>
          <w:strike w:val="0"/>
          <w:dstrike w:val="0"/>
          <w:color w:val="auto"/>
          <w:szCs w:val="21"/>
          <w:highlight w:val="none"/>
        </w:rPr>
        <w:t>氨氮</w:t>
      </w:r>
      <w:r>
        <w:rPr>
          <w:rFonts w:hint="eastAsia"/>
          <w:color w:val="auto"/>
          <w:szCs w:val="21"/>
        </w:rPr>
        <w:t>、二氧化硫、</w:t>
      </w:r>
      <w:r>
        <w:rPr>
          <w:rFonts w:hint="eastAsia"/>
          <w:strike w:val="0"/>
          <w:dstrike w:val="0"/>
          <w:color w:val="auto"/>
          <w:szCs w:val="21"/>
          <w:highlight w:val="none"/>
        </w:rPr>
        <w:t>氮氧化物</w:t>
      </w:r>
      <w:r>
        <w:rPr>
          <w:rFonts w:hint="eastAsia"/>
          <w:color w:val="auto"/>
          <w:szCs w:val="21"/>
        </w:rPr>
        <w:t>、重金属</w:t>
      </w:r>
      <w:r>
        <w:rPr>
          <w:rFonts w:hint="eastAsia"/>
          <w:color w:val="auto"/>
          <w:szCs w:val="21"/>
          <w:lang w:eastAsia="zh-CN"/>
        </w:rPr>
        <w:t>、氟化物</w:t>
      </w:r>
      <w:r>
        <w:rPr>
          <w:rFonts w:hint="eastAsia"/>
          <w:color w:val="auto"/>
          <w:szCs w:val="21"/>
        </w:rPr>
        <w:t>等）</w:t>
      </w:r>
      <w:r>
        <w:rPr>
          <w:rFonts w:hint="eastAsia" w:ascii="宋体" w:hAnsi="宋体" w:eastAsia="宋体" w:cs="宋体"/>
          <w:color w:val="auto"/>
          <w:szCs w:val="21"/>
        </w:rPr>
        <w:t>等进行了规定</w:t>
      </w:r>
      <w:r>
        <w:rPr>
          <w:rFonts w:hint="eastAsia" w:ascii="宋体" w:hAnsi="宋体" w:eastAsia="宋体" w:cs="宋体"/>
          <w:color w:val="auto"/>
          <w:szCs w:val="21"/>
          <w:lang w:eastAsia="zh-CN"/>
        </w:rPr>
        <w:t>，</w:t>
      </w:r>
      <w:r>
        <w:rPr>
          <w:rFonts w:hint="eastAsia"/>
          <w:color w:val="auto"/>
          <w:lang w:eastAsia="zh-CN"/>
        </w:rPr>
        <w:t>应达到铅</w:t>
      </w:r>
      <w:r>
        <w:rPr>
          <w:rFonts w:hint="eastAsia"/>
          <w:color w:val="auto"/>
        </w:rPr>
        <w:t>冶炼业相关清洁生产评价指标体系中的国内</w:t>
      </w:r>
      <w:r>
        <w:rPr>
          <w:rFonts w:hint="eastAsia"/>
          <w:color w:val="auto"/>
          <w:lang w:eastAsia="zh-CN"/>
        </w:rPr>
        <w:t>清洁生产</w:t>
      </w:r>
      <w:r>
        <w:rPr>
          <w:rFonts w:hint="eastAsia"/>
          <w:color w:val="auto"/>
        </w:rPr>
        <w:t>先进水平，未明确具体水平指标的，应采用其他对比方式，证明其达到国内先进水平</w:t>
      </w:r>
      <w:r>
        <w:rPr>
          <w:rFonts w:hint="eastAsia" w:ascii="宋体" w:hAnsi="宋体" w:eastAsia="宋体" w:cs="宋体"/>
          <w:color w:val="auto"/>
          <w:szCs w:val="21"/>
          <w:lang w:eastAsia="zh-CN"/>
        </w:rPr>
        <w:t>。</w:t>
      </w:r>
    </w:p>
    <w:p>
      <w:pPr>
        <w:ind w:firstLine="435"/>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说明：对于铅冶炼业，主要污染物除了化学需氧量、氨氮、二氧化硫、氮氧化物，还有本行业特有的重金属、氟化物等。单位产品主要污染物产生量计算公式详见</w:t>
      </w:r>
      <w:r>
        <w:rPr>
          <w:rFonts w:hint="eastAsia" w:ascii="仿宋" w:hAnsi="仿宋" w:eastAsia="仿宋" w:cs="仿宋"/>
          <w:color w:val="auto"/>
          <w:szCs w:val="21"/>
          <w:lang w:val="en-US" w:eastAsia="zh-CN"/>
        </w:rPr>
        <w:t>GB/T 36132附录A。</w:t>
      </w:r>
    </w:p>
    <w:p>
      <w:pPr>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4.5.7.</w:t>
      </w:r>
      <w:r>
        <w:rPr>
          <w:rFonts w:hint="eastAsia" w:ascii="宋体" w:hAnsi="宋体" w:eastAsia="宋体" w:cs="宋体"/>
          <w:color w:val="auto"/>
          <w:szCs w:val="21"/>
          <w:lang w:val="en-US" w:eastAsia="zh-CN"/>
        </w:rPr>
        <w:t>4</w:t>
      </w:r>
      <w:r>
        <w:rPr>
          <w:rFonts w:hint="eastAsia" w:ascii="宋体" w:hAnsi="宋体" w:eastAsia="宋体" w:cs="宋体"/>
          <w:color w:val="auto"/>
          <w:szCs w:val="21"/>
        </w:rPr>
        <w:t>废物资源化</w:t>
      </w:r>
    </w:p>
    <w:p>
      <w:pPr>
        <w:ind w:firstLine="435"/>
        <w:rPr>
          <w:rFonts w:hint="eastAsia" w:ascii="宋体" w:hAnsi="宋体" w:eastAsia="宋体" w:cs="宋体"/>
          <w:color w:val="auto"/>
          <w:lang w:eastAsia="zh-CN"/>
        </w:rPr>
      </w:pPr>
      <w:r>
        <w:rPr>
          <w:rFonts w:hint="eastAsia" w:ascii="宋体" w:hAnsi="宋体" w:eastAsia="宋体" w:cs="宋体"/>
          <w:color w:val="auto"/>
          <w:szCs w:val="21"/>
        </w:rPr>
        <w:t>废物资源化对工业固体废物综合利用率、单位产品废水回用率进行了规定</w:t>
      </w:r>
      <w:r>
        <w:rPr>
          <w:rFonts w:hint="eastAsia" w:ascii="宋体" w:hAnsi="宋体" w:eastAsia="宋体" w:cs="宋体"/>
          <w:color w:val="auto"/>
          <w:szCs w:val="21"/>
          <w:lang w:eastAsia="zh-CN"/>
        </w:rPr>
        <w:t>，</w:t>
      </w:r>
      <w:r>
        <w:rPr>
          <w:rFonts w:hint="eastAsia"/>
          <w:color w:val="auto"/>
        </w:rPr>
        <w:t>应</w:t>
      </w:r>
      <w:r>
        <w:rPr>
          <w:rFonts w:hint="eastAsia"/>
          <w:color w:val="auto"/>
          <w:lang w:eastAsia="zh-CN"/>
        </w:rPr>
        <w:t>达到铅</w:t>
      </w:r>
      <w:r>
        <w:rPr>
          <w:rFonts w:hint="eastAsia"/>
          <w:color w:val="auto"/>
        </w:rPr>
        <w:t>冶炼业相关清洁生产评价指标体系中的国内</w:t>
      </w:r>
      <w:r>
        <w:rPr>
          <w:rFonts w:hint="eastAsia"/>
          <w:color w:val="auto"/>
          <w:lang w:eastAsia="zh-CN"/>
        </w:rPr>
        <w:t>清洁生产</w:t>
      </w:r>
      <w:r>
        <w:rPr>
          <w:rFonts w:hint="eastAsia"/>
          <w:color w:val="auto"/>
        </w:rPr>
        <w:t>先进水平，未明确具体水平指标的，应采用其他对比方式，证明其达到国内先进水平</w:t>
      </w:r>
      <w:r>
        <w:rPr>
          <w:rFonts w:hint="eastAsia" w:ascii="宋体" w:hAnsi="宋体" w:eastAsia="宋体" w:cs="宋体"/>
          <w:color w:val="auto"/>
          <w:lang w:eastAsia="zh-CN"/>
        </w:rPr>
        <w:t>。</w:t>
      </w:r>
    </w:p>
    <w:p>
      <w:pPr>
        <w:ind w:firstLine="435"/>
        <w:rPr>
          <w:rFonts w:hint="eastAsia" w:ascii="仿宋" w:hAnsi="仿宋" w:eastAsia="仿宋" w:cs="仿宋"/>
          <w:color w:val="auto"/>
          <w:lang w:eastAsia="zh-CN"/>
        </w:rPr>
      </w:pPr>
      <w:r>
        <w:rPr>
          <w:rFonts w:hint="eastAsia" w:ascii="仿宋" w:hAnsi="仿宋" w:eastAsia="仿宋" w:cs="仿宋"/>
          <w:color w:val="auto"/>
          <w:lang w:eastAsia="zh-CN"/>
        </w:rPr>
        <w:t>说明：对于铅冶炼业，单位产品主要原材料消耗量并不适用。因此只对工业固体废物综合利用率、单位产品废水回用率进行了规定，其计算公式</w:t>
      </w:r>
      <w:r>
        <w:rPr>
          <w:rFonts w:hint="eastAsia" w:ascii="仿宋" w:hAnsi="仿宋" w:eastAsia="仿宋" w:cs="仿宋"/>
          <w:color w:val="auto"/>
          <w:szCs w:val="21"/>
          <w:lang w:eastAsia="zh-CN"/>
        </w:rPr>
        <w:t>详见</w:t>
      </w:r>
      <w:r>
        <w:rPr>
          <w:rFonts w:hint="eastAsia" w:ascii="仿宋" w:hAnsi="仿宋" w:eastAsia="仿宋" w:cs="仿宋"/>
          <w:color w:val="auto"/>
          <w:szCs w:val="21"/>
          <w:lang w:val="en-US" w:eastAsia="zh-CN"/>
        </w:rPr>
        <w:t>GB/T 36132附录A。</w:t>
      </w:r>
    </w:p>
    <w:p>
      <w:pPr>
        <w:rPr>
          <w:rFonts w:hint="eastAsia" w:ascii="宋体" w:hAnsi="宋体" w:eastAsia="宋体" w:cs="宋体"/>
          <w:color w:val="auto"/>
          <w:lang w:val="en-US" w:eastAsia="zh-CN"/>
        </w:rPr>
      </w:pPr>
      <w:r>
        <w:rPr>
          <w:rFonts w:hint="eastAsia" w:ascii="宋体" w:hAnsi="宋体" w:eastAsia="宋体" w:cs="宋体"/>
          <w:color w:val="auto"/>
          <w:szCs w:val="21"/>
          <w:highlight w:val="none"/>
          <w:lang w:val="en-US" w:eastAsia="zh-CN"/>
        </w:rPr>
        <w:t>4.5.7.</w:t>
      </w:r>
      <w:r>
        <w:rPr>
          <w:rFonts w:hint="eastAsia" w:ascii="宋体" w:hAnsi="宋体" w:eastAsia="宋体" w:cs="宋体"/>
          <w:color w:val="auto"/>
          <w:szCs w:val="21"/>
          <w:lang w:val="en-US" w:eastAsia="zh-CN"/>
        </w:rPr>
        <w:t>5</w:t>
      </w:r>
      <w:r>
        <w:rPr>
          <w:rFonts w:hint="eastAsia" w:ascii="宋体" w:hAnsi="宋体" w:eastAsia="宋体" w:cs="宋体"/>
          <w:color w:val="auto"/>
          <w:lang w:val="en-US" w:eastAsia="zh-CN"/>
        </w:rPr>
        <w:t>能源低碳化</w:t>
      </w:r>
    </w:p>
    <w:p>
      <w:pPr>
        <w:ind w:firstLine="420" w:firstLineChars="200"/>
        <w:rPr>
          <w:rFonts w:hint="eastAsia" w:ascii="宋体" w:hAnsi="宋体" w:eastAsia="宋体" w:cs="宋体"/>
          <w:color w:val="auto"/>
        </w:rPr>
      </w:pPr>
      <w:r>
        <w:rPr>
          <w:rFonts w:hint="eastAsia" w:ascii="宋体" w:hAnsi="宋体" w:eastAsia="宋体" w:cs="宋体"/>
          <w:color w:val="auto"/>
        </w:rPr>
        <w:t>能源低碳化对单位产品综合能耗以及单位产品碳排放量</w:t>
      </w:r>
      <w:r>
        <w:rPr>
          <w:rFonts w:hint="eastAsia" w:ascii="宋体" w:hAnsi="宋体" w:eastAsia="宋体" w:cs="宋体"/>
          <w:color w:val="auto"/>
          <w:szCs w:val="21"/>
        </w:rPr>
        <w:t>进行了规定</w:t>
      </w:r>
      <w:r>
        <w:rPr>
          <w:rFonts w:hint="eastAsia" w:ascii="宋体" w:hAnsi="宋体" w:eastAsia="宋体" w:cs="宋体"/>
          <w:color w:val="auto"/>
          <w:szCs w:val="21"/>
          <w:lang w:eastAsia="zh-CN"/>
        </w:rPr>
        <w:t>，</w:t>
      </w:r>
      <w:r>
        <w:rPr>
          <w:rFonts w:hint="eastAsia" w:ascii="宋体" w:hAnsi="宋体" w:eastAsia="宋体" w:cs="宋体"/>
          <w:color w:val="auto"/>
        </w:rPr>
        <w:t>应优于</w:t>
      </w:r>
      <w:r>
        <w:rPr>
          <w:rFonts w:hint="eastAsia" w:ascii="宋体" w:hAnsi="宋体" w:eastAsia="宋体" w:cs="宋体"/>
          <w:color w:val="auto"/>
          <w:lang w:eastAsia="zh-CN"/>
        </w:rPr>
        <w:t>铅</w:t>
      </w:r>
      <w:r>
        <w:rPr>
          <w:rFonts w:hint="eastAsia" w:ascii="宋体" w:hAnsi="宋体" w:eastAsia="宋体" w:cs="宋体"/>
          <w:color w:val="auto"/>
        </w:rPr>
        <w:t>冶炼业相关的国家、行业标准或地方标准等的</w:t>
      </w:r>
      <w:r>
        <w:rPr>
          <w:rFonts w:hint="eastAsia" w:ascii="宋体" w:hAnsi="宋体" w:eastAsia="宋体" w:cs="宋体"/>
          <w:color w:val="auto"/>
          <w:lang w:eastAsia="zh-CN"/>
        </w:rPr>
        <w:t>能耗限额</w:t>
      </w:r>
      <w:r>
        <w:rPr>
          <w:rFonts w:hint="eastAsia" w:ascii="宋体" w:hAnsi="宋体" w:eastAsia="宋体" w:cs="宋体"/>
          <w:color w:val="auto"/>
        </w:rPr>
        <w:t>限定值/准入值、</w:t>
      </w:r>
      <w:r>
        <w:rPr>
          <w:rFonts w:hint="eastAsia" w:ascii="宋体" w:hAnsi="宋体" w:eastAsia="宋体" w:cs="宋体"/>
          <w:color w:val="auto"/>
          <w:lang w:eastAsia="zh-CN"/>
        </w:rPr>
        <w:t>宜优于先进值。应达到</w:t>
      </w:r>
      <w:r>
        <w:rPr>
          <w:rFonts w:hint="eastAsia" w:ascii="宋体" w:hAnsi="宋体" w:eastAsia="宋体" w:cs="宋体"/>
          <w:color w:val="auto"/>
        </w:rPr>
        <w:t>相关清洁生产评价指标体系中的国内</w:t>
      </w:r>
      <w:r>
        <w:rPr>
          <w:rFonts w:hint="eastAsia" w:ascii="宋体" w:hAnsi="宋体" w:eastAsia="宋体" w:cs="宋体"/>
          <w:color w:val="auto"/>
          <w:lang w:eastAsia="zh-CN"/>
        </w:rPr>
        <w:t>清洁生产</w:t>
      </w:r>
      <w:r>
        <w:rPr>
          <w:rFonts w:hint="eastAsia" w:ascii="宋体" w:hAnsi="宋体" w:eastAsia="宋体" w:cs="宋体"/>
          <w:color w:val="auto"/>
        </w:rPr>
        <w:t>先进水平，未明确具体水平指标的，应采用其他对比方式，证明其达到国内先进水平。</w:t>
      </w:r>
      <w:r>
        <w:rPr>
          <w:rFonts w:hint="eastAsia" w:ascii="宋体" w:hAnsi="宋体" w:eastAsia="宋体" w:cs="宋体"/>
          <w:color w:val="auto"/>
          <w:lang w:eastAsia="zh-CN"/>
        </w:rPr>
        <w:t>对于</w:t>
      </w:r>
      <w:r>
        <w:rPr>
          <w:rFonts w:hint="eastAsia" w:ascii="宋体" w:hAnsi="宋体" w:eastAsia="宋体" w:cs="宋体"/>
          <w:color w:val="auto"/>
        </w:rPr>
        <w:t>单位产品碳排放量应依据GB/T 32150进行测算，单位产品碳排放量宜逐年下降。</w:t>
      </w:r>
    </w:p>
    <w:p>
      <w:pPr>
        <w:ind w:firstLine="435"/>
        <w:rPr>
          <w:rFonts w:hint="eastAsia" w:ascii="仿宋" w:hAnsi="仿宋" w:eastAsia="仿宋" w:cs="仿宋"/>
          <w:color w:val="auto"/>
          <w:lang w:eastAsia="zh-CN"/>
        </w:rPr>
      </w:pPr>
      <w:r>
        <w:rPr>
          <w:rFonts w:hint="eastAsia" w:ascii="仿宋" w:hAnsi="仿宋" w:eastAsia="仿宋" w:cs="仿宋"/>
          <w:color w:val="auto"/>
          <w:lang w:eastAsia="zh-CN"/>
        </w:rPr>
        <w:t>说明：对于新建的铅冶炼厂，其单位产品综合能耗应优于铅冶炼业相关的国家、行业标准或地方标准等的能耗限额的准入值，且宜优于先进值。</w:t>
      </w:r>
    </w:p>
    <w:p>
      <w:pPr>
        <w:rPr>
          <w:color w:val="auto"/>
        </w:rPr>
      </w:pPr>
      <w:r>
        <w:rPr>
          <w:rFonts w:hint="eastAsia"/>
          <w:color w:val="auto"/>
          <w:lang w:val="en-US" w:eastAsia="zh-CN"/>
        </w:rPr>
        <w:t>4</w:t>
      </w:r>
      <w:r>
        <w:rPr>
          <w:rFonts w:hint="eastAsia"/>
          <w:color w:val="auto"/>
        </w:rPr>
        <w:t>.6 评价程序</w:t>
      </w:r>
    </w:p>
    <w:p>
      <w:pPr>
        <w:ind w:firstLine="420" w:firstLineChars="200"/>
        <w:rPr>
          <w:color w:val="auto"/>
        </w:rPr>
      </w:pPr>
      <w:r>
        <w:rPr>
          <w:rFonts w:hint="eastAsia"/>
          <w:color w:val="auto"/>
        </w:rPr>
        <w:t>规定了评价应建立规范的评价工作流程，包括评价准备、组建评价组、制定评价方案、预评价、现场评价、编制</w:t>
      </w:r>
      <w:r>
        <w:rPr>
          <w:rFonts w:hint="eastAsia"/>
          <w:i w:val="0"/>
          <w:iCs w:val="0"/>
          <w:color w:val="auto"/>
        </w:rPr>
        <w:t>评</w:t>
      </w:r>
      <w:r>
        <w:rPr>
          <w:rFonts w:hint="eastAsia"/>
          <w:color w:val="auto"/>
        </w:rPr>
        <w:t>价报告、技术评审等。</w:t>
      </w:r>
    </w:p>
    <w:p>
      <w:pPr>
        <w:rPr>
          <w:color w:val="auto"/>
        </w:rPr>
      </w:pPr>
      <w:r>
        <w:rPr>
          <w:rFonts w:hint="eastAsia"/>
          <w:color w:val="auto"/>
          <w:lang w:val="en-US" w:eastAsia="zh-CN"/>
        </w:rPr>
        <w:t>4</w:t>
      </w:r>
      <w:r>
        <w:rPr>
          <w:rFonts w:hint="eastAsia"/>
          <w:color w:val="auto"/>
        </w:rPr>
        <w:t>.7评价报告</w:t>
      </w:r>
    </w:p>
    <w:p>
      <w:pPr>
        <w:ind w:firstLine="420" w:firstLineChars="200"/>
        <w:rPr>
          <w:rFonts w:ascii="宋体" w:hAnsi="宋体" w:eastAsia="宋体" w:cs="宋体"/>
          <w:color w:val="auto"/>
        </w:rPr>
      </w:pPr>
      <w:r>
        <w:rPr>
          <w:rFonts w:hint="eastAsia" w:ascii="宋体" w:hAnsi="宋体" w:eastAsia="宋体" w:cs="宋体"/>
          <w:color w:val="auto"/>
        </w:rPr>
        <w:t>规定了</w:t>
      </w:r>
      <w:r>
        <w:rPr>
          <w:rFonts w:hint="eastAsia" w:ascii="宋体" w:hAnsi="宋体" w:eastAsia="宋体" w:cs="宋体"/>
          <w:color w:val="auto"/>
          <w:lang w:eastAsia="zh-CN"/>
        </w:rPr>
        <w:t>铅</w:t>
      </w:r>
      <w:r>
        <w:rPr>
          <w:rFonts w:hint="eastAsia" w:ascii="宋体" w:hAnsi="宋体" w:eastAsia="宋体" w:cs="宋体"/>
          <w:color w:val="auto"/>
        </w:rPr>
        <w:t>冶炼业绿色工厂评价输出的评价报告的内容。</w:t>
      </w:r>
    </w:p>
    <w:p>
      <w:pPr>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.8规范性附录A</w:t>
      </w:r>
    </w:p>
    <w:p>
      <w:pPr>
        <w:ind w:firstLine="420" w:firstLineChars="200"/>
        <w:rPr>
          <w:rFonts w:ascii="宋体" w:hAnsi="宋体" w:eastAsia="宋体" w:cs="宋体"/>
          <w:color w:val="auto"/>
          <w:szCs w:val="21"/>
        </w:rPr>
      </w:pPr>
      <w:r>
        <w:rPr>
          <w:rFonts w:hint="eastAsia" w:ascii="宋体" w:hAnsi="宋体" w:eastAsia="宋体" w:cs="宋体"/>
          <w:color w:val="auto"/>
          <w:szCs w:val="21"/>
        </w:rPr>
        <w:t>给出了</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冶炼业绿色工厂评价的指标表（涵盖一级指标、二级指标及具体评价要求）。</w:t>
      </w:r>
    </w:p>
    <w:p>
      <w:pPr>
        <w:pStyle w:val="2"/>
        <w:spacing w:line="360" w:lineRule="auto"/>
        <w:rPr>
          <w:color w:val="auto"/>
        </w:rPr>
      </w:pPr>
      <w:bookmarkStart w:id="9" w:name="_Toc3786"/>
      <w:r>
        <w:rPr>
          <w:rFonts w:hint="eastAsia"/>
          <w:color w:val="auto"/>
        </w:rPr>
        <w:t>三、标准中如涉及专利，应有明确的知识产权说明。</w:t>
      </w:r>
      <w:bookmarkEnd w:id="9"/>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本标准不涉及专利。</w:t>
      </w:r>
    </w:p>
    <w:p>
      <w:pPr>
        <w:pStyle w:val="2"/>
        <w:spacing w:line="360" w:lineRule="auto"/>
        <w:rPr>
          <w:color w:val="auto"/>
        </w:rPr>
      </w:pPr>
      <w:bookmarkStart w:id="10" w:name="_Toc406"/>
      <w:r>
        <w:rPr>
          <w:rFonts w:hint="eastAsia"/>
          <w:color w:val="auto"/>
        </w:rPr>
        <w:t>四、主要试验或验证的分析、综述报告、技术经济论证，预期的经济效果。</w:t>
      </w:r>
      <w:bookmarkEnd w:id="10"/>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本标准通过在</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w:t>
      </w:r>
      <w:r>
        <w:rPr>
          <w:rFonts w:hint="eastAsia" w:ascii="宋体" w:hAnsi="宋体" w:eastAsia="宋体" w:cs="宋体"/>
          <w:bCs/>
          <w:color w:val="auto"/>
          <w:szCs w:val="21"/>
        </w:rPr>
        <w:t>工厂的实际验证和调研，确定可用于</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w:t>
      </w:r>
      <w:r>
        <w:rPr>
          <w:rFonts w:hint="eastAsia" w:ascii="宋体" w:hAnsi="宋体" w:eastAsia="宋体" w:cs="宋体"/>
          <w:bCs/>
          <w:color w:val="auto"/>
          <w:szCs w:val="21"/>
        </w:rPr>
        <w:t>绿色工厂的评价工作。可以系统评价企业生产过程的能源、资源使用情况，进而有针对性地进行节能、节水、节约原材料、减少污染物排放等工作，有利于推动我国</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w:t>
      </w:r>
      <w:r>
        <w:rPr>
          <w:rFonts w:hint="eastAsia" w:ascii="宋体" w:hAnsi="宋体" w:eastAsia="宋体" w:cs="宋体"/>
          <w:bCs/>
          <w:color w:val="auto"/>
          <w:szCs w:val="21"/>
        </w:rPr>
        <w:t>绿色发展，全面推动我国绿色制造体系创建工作。</w:t>
      </w:r>
    </w:p>
    <w:p>
      <w:pPr>
        <w:pStyle w:val="2"/>
        <w:spacing w:line="360" w:lineRule="auto"/>
        <w:rPr>
          <w:color w:val="auto"/>
        </w:rPr>
      </w:pPr>
      <w:bookmarkStart w:id="11" w:name="_Toc21214"/>
      <w:r>
        <w:rPr>
          <w:rFonts w:hint="eastAsia"/>
          <w:color w:val="auto"/>
        </w:rPr>
        <w:t>五、采用国际标准或国外先进标准的目的、意义和一致性程度；我国标准与被采用标准的主要差异及其原因；以及与国际、国外同类标准水平的对比情况。</w:t>
      </w:r>
      <w:bookmarkEnd w:id="11"/>
    </w:p>
    <w:p>
      <w:pPr>
        <w:ind w:firstLine="420" w:firstLineChars="200"/>
        <w:rPr>
          <w:rFonts w:ascii="宋体" w:hAnsi="宋体" w:eastAsia="宋体" w:cs="宋体"/>
          <w:bCs/>
          <w:color w:val="auto"/>
          <w:szCs w:val="21"/>
        </w:rPr>
      </w:pPr>
      <w:r>
        <w:rPr>
          <w:rFonts w:hint="eastAsia" w:ascii="宋体" w:hAnsi="宋体" w:eastAsia="宋体" w:cs="宋体"/>
          <w:bCs/>
          <w:color w:val="auto"/>
          <w:szCs w:val="21"/>
        </w:rPr>
        <w:t>不适用。</w:t>
      </w:r>
    </w:p>
    <w:p>
      <w:pPr>
        <w:pStyle w:val="2"/>
        <w:spacing w:line="360" w:lineRule="auto"/>
        <w:rPr>
          <w:color w:val="auto"/>
        </w:rPr>
      </w:pPr>
      <w:bookmarkStart w:id="12" w:name="_Toc622"/>
      <w:r>
        <w:rPr>
          <w:rFonts w:hint="eastAsia"/>
          <w:color w:val="auto"/>
        </w:rPr>
        <w:t>六、与现行法律、法规、强制性国家标准及相关标准协调配套情况</w:t>
      </w:r>
      <w:bookmarkEnd w:id="12"/>
    </w:p>
    <w:p>
      <w:pPr>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《绿色工厂评价通则》</w:t>
      </w:r>
      <w:r>
        <w:rPr>
          <w:rFonts w:hint="eastAsia" w:ascii="宋体" w:hAnsi="宋体" w:eastAsia="宋体" w:cs="宋体"/>
          <w:color w:val="auto"/>
          <w:szCs w:val="21"/>
          <w:lang w:val="en-US" w:eastAsia="zh-CN"/>
        </w:rPr>
        <w:t>GB/T 36132</w:t>
      </w:r>
      <w:r>
        <w:rPr>
          <w:rFonts w:hint="eastAsia" w:ascii="宋体" w:hAnsi="宋体" w:eastAsia="宋体" w:cs="宋体"/>
          <w:color w:val="auto"/>
          <w:szCs w:val="21"/>
        </w:rPr>
        <w:t>已经于2018年正式发布，</w:t>
      </w:r>
      <w:r>
        <w:rPr>
          <w:rFonts w:hint="eastAsia" w:ascii="宋体" w:hAnsi="宋体" w:eastAsia="宋体" w:cs="宋体"/>
          <w:color w:val="auto"/>
          <w:szCs w:val="21"/>
          <w:lang w:eastAsia="zh-CN"/>
        </w:rPr>
        <w:t>《</w:t>
      </w:r>
      <w:r>
        <w:rPr>
          <w:rFonts w:hint="eastAsia" w:ascii="宋体" w:hAnsi="宋体" w:eastAsia="宋体" w:cs="宋体"/>
          <w:color w:val="auto"/>
          <w:szCs w:val="21"/>
        </w:rPr>
        <w:t>有色金属冶炼业绿色工厂评价导则</w:t>
      </w:r>
      <w:r>
        <w:rPr>
          <w:rFonts w:hint="eastAsia" w:ascii="宋体" w:hAnsi="宋体" w:eastAsia="宋体" w:cs="宋体"/>
          <w:color w:val="auto"/>
          <w:szCs w:val="21"/>
          <w:lang w:eastAsia="zh-CN"/>
        </w:rPr>
        <w:t>》正在审定过程中，</w:t>
      </w:r>
      <w:r>
        <w:rPr>
          <w:rFonts w:hint="eastAsia" w:ascii="宋体" w:hAnsi="宋体" w:eastAsia="宋体" w:cs="宋体"/>
          <w:color w:val="auto"/>
          <w:szCs w:val="21"/>
        </w:rPr>
        <w:t>本标准是</w:t>
      </w:r>
      <w:r>
        <w:rPr>
          <w:rFonts w:hint="eastAsia" w:ascii="宋体" w:hAnsi="宋体" w:eastAsia="宋体" w:cs="宋体"/>
          <w:bCs/>
          <w:color w:val="auto"/>
          <w:szCs w:val="21"/>
        </w:rPr>
        <w:t>在</w:t>
      </w:r>
      <w:r>
        <w:rPr>
          <w:rFonts w:hint="eastAsia" w:ascii="宋体" w:hAnsi="宋体" w:eastAsia="宋体" w:cs="宋体"/>
          <w:color w:val="auto"/>
          <w:szCs w:val="21"/>
        </w:rPr>
        <w:t>《绿色工厂评价通则》</w:t>
      </w:r>
      <w:r>
        <w:rPr>
          <w:rFonts w:hint="eastAsia" w:ascii="宋体" w:hAnsi="宋体" w:eastAsia="宋体" w:cs="宋体"/>
          <w:bCs/>
          <w:color w:val="auto"/>
          <w:szCs w:val="21"/>
        </w:rPr>
        <w:t>GB/T 36132</w:t>
      </w:r>
      <w:r>
        <w:rPr>
          <w:rFonts w:hint="eastAsia" w:ascii="宋体" w:hAnsi="宋体" w:eastAsia="宋体" w:cs="宋体"/>
          <w:bCs/>
          <w:color w:val="auto"/>
          <w:szCs w:val="21"/>
          <w:lang w:eastAsia="zh-CN"/>
        </w:rPr>
        <w:t>、</w:t>
      </w:r>
      <w:r>
        <w:rPr>
          <w:rFonts w:hint="eastAsia" w:ascii="宋体" w:hAnsi="宋体" w:eastAsia="宋体" w:cs="宋体"/>
          <w:color w:val="auto"/>
          <w:szCs w:val="21"/>
          <w:lang w:eastAsia="zh-CN"/>
        </w:rPr>
        <w:t>《</w:t>
      </w:r>
      <w:r>
        <w:rPr>
          <w:rFonts w:hint="eastAsia" w:ascii="宋体" w:hAnsi="宋体" w:eastAsia="宋体" w:cs="宋体"/>
          <w:color w:val="auto"/>
          <w:szCs w:val="21"/>
        </w:rPr>
        <w:t>有色金属冶炼业绿色工厂评价导则</w:t>
      </w:r>
      <w:r>
        <w:rPr>
          <w:rFonts w:hint="eastAsia" w:ascii="宋体" w:hAnsi="宋体" w:eastAsia="宋体" w:cs="宋体"/>
          <w:color w:val="auto"/>
          <w:szCs w:val="21"/>
          <w:lang w:eastAsia="zh-CN"/>
        </w:rPr>
        <w:t>》</w:t>
      </w:r>
      <w:r>
        <w:rPr>
          <w:rFonts w:hint="eastAsia" w:ascii="宋体" w:hAnsi="宋体" w:eastAsia="宋体" w:cs="宋体"/>
          <w:bCs/>
          <w:color w:val="auto"/>
          <w:szCs w:val="21"/>
        </w:rPr>
        <w:t>的基础上建立针对</w:t>
      </w:r>
      <w:r>
        <w:rPr>
          <w:rFonts w:hint="eastAsia" w:ascii="宋体" w:hAnsi="宋体" w:eastAsia="宋体" w:cs="宋体"/>
          <w:bCs/>
          <w:color w:val="auto"/>
          <w:szCs w:val="21"/>
          <w:lang w:eastAsia="zh-CN"/>
        </w:rPr>
        <w:t>铅</w:t>
      </w:r>
      <w:r>
        <w:rPr>
          <w:rFonts w:hint="eastAsia" w:ascii="宋体" w:hAnsi="宋体" w:eastAsia="宋体" w:cs="宋体"/>
          <w:bCs/>
          <w:color w:val="auto"/>
          <w:szCs w:val="21"/>
        </w:rPr>
        <w:t>冶炼业的绿色工厂评价体系标准。</w:t>
      </w:r>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其中，标准的范围确定依据为</w:t>
      </w:r>
      <w:r>
        <w:rPr>
          <w:rFonts w:hint="eastAsia" w:ascii="宋体" w:hAnsi="宋体" w:eastAsia="宋体" w:cs="宋体"/>
          <w:color w:val="auto"/>
          <w:lang w:eastAsia="zh-CN"/>
        </w:rPr>
        <w:t>《</w:t>
      </w:r>
      <w:r>
        <w:rPr>
          <w:rFonts w:hint="eastAsia" w:ascii="宋体" w:hAnsi="宋体" w:eastAsia="宋体" w:cs="宋体"/>
          <w:color w:val="auto"/>
        </w:rPr>
        <w:t>国民经济行业分类</w:t>
      </w:r>
      <w:r>
        <w:rPr>
          <w:rFonts w:hint="eastAsia" w:ascii="宋体" w:hAnsi="宋体" w:eastAsia="宋体" w:cs="宋体"/>
          <w:color w:val="auto"/>
          <w:lang w:eastAsia="zh-CN"/>
        </w:rPr>
        <w:t>》</w:t>
      </w:r>
      <w:r>
        <w:rPr>
          <w:rFonts w:hint="eastAsia" w:ascii="宋体" w:hAnsi="宋体" w:eastAsia="宋体" w:cs="宋体"/>
          <w:color w:val="auto"/>
        </w:rPr>
        <w:t>GB/T 4754</w:t>
      </w:r>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eastAsia="zh-CN"/>
        </w:rPr>
        <w:t>基本要求章节涉及标准</w:t>
      </w:r>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工厂的合规性应符合相关行业规范条件</w:t>
      </w:r>
      <w:r>
        <w:rPr>
          <w:rFonts w:hint="eastAsia" w:ascii="宋体" w:hAnsi="宋体" w:eastAsia="宋体" w:cs="宋体"/>
          <w:bCs/>
          <w:color w:val="auto"/>
          <w:szCs w:val="21"/>
          <w:lang w:val="en-US" w:eastAsia="zh-CN"/>
        </w:rPr>
        <w:t>:</w:t>
      </w:r>
    </w:p>
    <w:p>
      <w:pPr>
        <w:pStyle w:val="27"/>
        <w:numPr>
          <w:ilvl w:val="-1"/>
          <w:numId w:val="0"/>
        </w:numPr>
        <w:ind w:left="0" w:leftChars="0" w:firstLine="426" w:firstLineChars="203"/>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rPr>
        <w:t>铅锌行业规范条件（2015）</w:t>
      </w:r>
      <w:r>
        <w:rPr>
          <w:rFonts w:hint="eastAsia" w:ascii="宋体" w:hAnsi="宋体" w:eastAsia="宋体" w:cs="宋体"/>
          <w:color w:val="auto"/>
          <w:lang w:eastAsia="zh-CN"/>
        </w:rPr>
        <w:t>》（工业和信息化部公告</w:t>
      </w:r>
      <w:r>
        <w:rPr>
          <w:rFonts w:hint="eastAsia" w:ascii="宋体" w:hAnsi="宋体" w:eastAsia="宋体" w:cs="宋体"/>
          <w:color w:val="auto"/>
          <w:lang w:val="en-US" w:eastAsia="zh-CN"/>
        </w:rPr>
        <w:t>2015年第20号</w:t>
      </w:r>
      <w:r>
        <w:rPr>
          <w:rFonts w:hint="eastAsia" w:ascii="宋体" w:hAnsi="宋体" w:eastAsia="宋体" w:cs="宋体"/>
          <w:color w:val="auto"/>
          <w:lang w:eastAsia="zh-CN"/>
        </w:rPr>
        <w:t>）</w:t>
      </w:r>
    </w:p>
    <w:p>
      <w:pPr>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eastAsia="zh-CN"/>
        </w:rPr>
        <w:t>基础设施章节相关涉及标准</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工厂的照明应符合：</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rPr>
        <w:t>建筑照明设计标准</w:t>
      </w:r>
      <w:r>
        <w:rPr>
          <w:rFonts w:hint="eastAsia" w:ascii="宋体" w:hAnsi="宋体" w:eastAsia="宋体" w:cs="宋体"/>
          <w:color w:val="auto"/>
          <w:lang w:eastAsia="zh-CN"/>
        </w:rPr>
        <w:t>》</w:t>
      </w:r>
      <w:r>
        <w:rPr>
          <w:rFonts w:hint="eastAsia" w:ascii="宋体" w:hAnsi="宋体" w:eastAsia="宋体" w:cs="宋体"/>
          <w:color w:val="auto"/>
        </w:rPr>
        <w:t>GB 50034</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计量设备应符合：</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用水单位水计量器具配备和管理通则</w:t>
      </w:r>
      <w:r>
        <w:rPr>
          <w:rFonts w:hint="eastAsia" w:ascii="宋体" w:hAnsi="宋体" w:eastAsia="宋体" w:cs="宋体"/>
          <w:color w:val="auto"/>
          <w:lang w:eastAsia="zh-CN"/>
        </w:rPr>
        <w:t>》</w:t>
      </w:r>
      <w:r>
        <w:rPr>
          <w:rFonts w:hint="eastAsia" w:ascii="宋体" w:hAnsi="宋体" w:eastAsia="宋体" w:cs="宋体"/>
          <w:color w:val="auto"/>
        </w:rPr>
        <w:t>GB 24789</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有色金属冶炼企业能源计量器具配备和管理要求</w:t>
      </w:r>
      <w:r>
        <w:rPr>
          <w:rFonts w:hint="eastAsia" w:ascii="宋体" w:hAnsi="宋体" w:eastAsia="宋体" w:cs="宋体"/>
          <w:color w:val="auto"/>
          <w:lang w:eastAsia="zh-CN"/>
        </w:rPr>
        <w:t>》</w:t>
      </w:r>
      <w:r>
        <w:rPr>
          <w:rFonts w:hint="eastAsia" w:ascii="宋体" w:hAnsi="宋体" w:eastAsia="宋体" w:cs="宋体"/>
          <w:color w:val="auto"/>
        </w:rPr>
        <w:t>GB 20902</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通用设备应符合：</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中小型三相异步电动机能效限定值及能效等级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18613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容积式空气压缩机能效限定值及能效等级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19153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单元式空气调节机能效限定值及能源效率等级</w:t>
      </w:r>
      <w:r>
        <w:rPr>
          <w:rFonts w:hint="eastAsia" w:ascii="宋体" w:hAnsi="宋体" w:eastAsia="宋体" w:cs="宋体"/>
          <w:color w:val="auto"/>
          <w:lang w:eastAsia="zh-CN"/>
        </w:rPr>
        <w:t>》</w:t>
      </w:r>
      <w:r>
        <w:rPr>
          <w:rFonts w:hint="eastAsia" w:ascii="宋体" w:hAnsi="宋体" w:eastAsia="宋体" w:cs="宋体"/>
          <w:color w:val="auto"/>
        </w:rPr>
        <w:t xml:space="preserve">GB 19576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冷水机组能效限定值及能效等级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19577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通风机能效限定值及能效等级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19761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清水离心泵能效限定值及节能评价值</w:t>
      </w:r>
      <w:r>
        <w:rPr>
          <w:rFonts w:hint="eastAsia" w:ascii="宋体" w:hAnsi="宋体" w:eastAsia="宋体" w:cs="宋体"/>
          <w:color w:val="auto"/>
          <w:lang w:eastAsia="zh-CN"/>
        </w:rPr>
        <w:t>》</w:t>
      </w:r>
      <w:r>
        <w:rPr>
          <w:rFonts w:hint="eastAsia" w:ascii="宋体" w:hAnsi="宋体" w:eastAsia="宋体" w:cs="宋体"/>
          <w:color w:val="auto"/>
        </w:rPr>
        <w:t xml:space="preserve">GB 19762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三相配电变压器能效限定值及能效等级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20052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多联式空调(热泵)机组能效限定值及能源效率等级</w:t>
      </w:r>
      <w:r>
        <w:rPr>
          <w:rFonts w:hint="eastAsia" w:ascii="宋体" w:hAnsi="宋体" w:eastAsia="宋体" w:cs="宋体"/>
          <w:color w:val="auto"/>
          <w:lang w:eastAsia="zh-CN"/>
        </w:rPr>
        <w:t>》</w:t>
      </w:r>
      <w:r>
        <w:rPr>
          <w:rFonts w:hint="eastAsia" w:ascii="宋体" w:hAnsi="宋体" w:eastAsia="宋体" w:cs="宋体"/>
          <w:color w:val="auto"/>
        </w:rPr>
        <w:t xml:space="preserve">GB 21454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工业锅炉能效限定值及能效等级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24500 </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rPr>
        <w:t>电力变压器能效限定值及能效等级</w:t>
      </w:r>
      <w:r>
        <w:rPr>
          <w:rFonts w:hint="eastAsia" w:ascii="宋体" w:hAnsi="宋体" w:eastAsia="宋体" w:cs="宋体"/>
          <w:color w:val="auto"/>
          <w:lang w:eastAsia="zh-CN"/>
        </w:rPr>
        <w:t>》</w:t>
      </w:r>
      <w:r>
        <w:rPr>
          <w:rFonts w:hint="eastAsia" w:ascii="宋体" w:hAnsi="宋体" w:eastAsia="宋体" w:cs="宋体"/>
          <w:color w:val="auto"/>
        </w:rPr>
        <w:t xml:space="preserve">GB 24790 </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管理体系章节涉及标准</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质量管理体系 要求</w:t>
      </w:r>
      <w:r>
        <w:rPr>
          <w:rFonts w:hint="eastAsia" w:ascii="宋体" w:hAnsi="宋体" w:eastAsia="宋体" w:cs="宋体"/>
          <w:color w:val="auto"/>
          <w:lang w:eastAsia="zh-CN"/>
        </w:rPr>
        <w:t>》</w:t>
      </w:r>
      <w:r>
        <w:rPr>
          <w:rFonts w:hint="eastAsia" w:ascii="宋体" w:hAnsi="宋体" w:eastAsia="宋体" w:cs="宋体"/>
          <w:color w:val="auto"/>
        </w:rPr>
        <w:t>GB/T 19001</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职业健康安全管理体系 要求</w:t>
      </w:r>
      <w:r>
        <w:rPr>
          <w:rFonts w:hint="eastAsia" w:ascii="宋体" w:hAnsi="宋体" w:eastAsia="宋体" w:cs="宋体"/>
          <w:color w:val="auto"/>
          <w:lang w:eastAsia="zh-CN"/>
        </w:rPr>
        <w:t>》</w:t>
      </w:r>
      <w:r>
        <w:rPr>
          <w:rFonts w:hint="eastAsia" w:ascii="宋体" w:hAnsi="宋体" w:eastAsia="宋体" w:cs="宋体"/>
          <w:color w:val="auto"/>
        </w:rPr>
        <w:t xml:space="preserve">GB/T 28001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环境管理体系 要求</w:t>
      </w:r>
      <w:r>
        <w:rPr>
          <w:rFonts w:hint="eastAsia" w:ascii="宋体" w:hAnsi="宋体" w:eastAsia="宋体" w:cs="宋体"/>
          <w:color w:val="auto"/>
          <w:lang w:eastAsia="zh-CN"/>
        </w:rPr>
        <w:t>》</w:t>
      </w:r>
      <w:r>
        <w:rPr>
          <w:rFonts w:hint="eastAsia" w:ascii="宋体" w:hAnsi="宋体" w:eastAsia="宋体" w:cs="宋体"/>
          <w:color w:val="auto"/>
        </w:rPr>
        <w:t>GB/T 24001</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能源管理体系 要求</w:t>
      </w:r>
      <w:r>
        <w:rPr>
          <w:rFonts w:hint="eastAsia" w:ascii="宋体" w:hAnsi="宋体" w:eastAsia="宋体" w:cs="宋体"/>
          <w:color w:val="auto"/>
          <w:lang w:eastAsia="zh-CN"/>
        </w:rPr>
        <w:t>》</w:t>
      </w:r>
      <w:r>
        <w:rPr>
          <w:rFonts w:hint="eastAsia" w:ascii="宋体" w:hAnsi="宋体" w:eastAsia="宋体" w:cs="宋体"/>
          <w:color w:val="auto"/>
        </w:rPr>
        <w:t>GB/T 23331</w:t>
      </w:r>
    </w:p>
    <w:p>
      <w:pPr>
        <w:ind w:firstLine="420" w:firstLineChars="200"/>
        <w:rPr>
          <w:rFonts w:hint="eastAsia" w:ascii="宋体" w:hAnsi="宋体" w:eastAsia="宋体" w:cs="宋体"/>
          <w:color w:val="auto"/>
        </w:rPr>
      </w:pPr>
      <w:r>
        <w:rPr>
          <w:rFonts w:hint="eastAsia" w:ascii="宋体" w:hAnsi="宋体" w:eastAsia="宋体" w:cs="宋体"/>
          <w:color w:val="auto"/>
          <w:lang w:val="en-US" w:eastAsia="zh-CN"/>
        </w:rPr>
        <w:t>《</w:t>
      </w:r>
      <w:r>
        <w:rPr>
          <w:rFonts w:hint="eastAsia" w:ascii="宋体" w:hAnsi="宋体" w:eastAsia="宋体" w:cs="宋体"/>
          <w:color w:val="auto"/>
        </w:rPr>
        <w:t>能源管理体系 有色金属企业认证要求</w:t>
      </w:r>
      <w:r>
        <w:rPr>
          <w:rFonts w:hint="eastAsia" w:ascii="宋体" w:hAnsi="宋体" w:eastAsia="宋体" w:cs="宋体"/>
          <w:color w:val="auto"/>
          <w:lang w:val="en-US" w:eastAsia="zh-CN"/>
        </w:rPr>
        <w:t>》</w:t>
      </w:r>
      <w:r>
        <w:rPr>
          <w:rFonts w:hint="eastAsia" w:ascii="宋体" w:hAnsi="宋体" w:eastAsia="宋体" w:cs="宋体"/>
          <w:color w:val="auto"/>
        </w:rPr>
        <w:t xml:space="preserve">RB/T 117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社会责任指南</w:t>
      </w:r>
      <w:r>
        <w:rPr>
          <w:rFonts w:hint="eastAsia" w:ascii="宋体" w:hAnsi="宋体" w:eastAsia="宋体" w:cs="宋体"/>
          <w:color w:val="auto"/>
          <w:lang w:eastAsia="zh-CN"/>
        </w:rPr>
        <w:t>》</w:t>
      </w:r>
      <w:r>
        <w:rPr>
          <w:rFonts w:hint="eastAsia" w:ascii="宋体" w:hAnsi="宋体" w:eastAsia="宋体" w:cs="宋体"/>
          <w:color w:val="auto"/>
          <w:lang w:val="en-US" w:eastAsia="zh-CN"/>
        </w:rPr>
        <w:t>GB/T 36000</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4.</w:t>
      </w:r>
      <w:r>
        <w:rPr>
          <w:rFonts w:hint="eastAsia" w:ascii="宋体" w:hAnsi="宋体" w:eastAsia="宋体" w:cs="宋体"/>
          <w:color w:val="auto"/>
          <w:lang w:eastAsia="zh-CN"/>
        </w:rPr>
        <w:t>能源资源投入章节涉及标准</w:t>
      </w:r>
    </w:p>
    <w:p>
      <w:pPr>
        <w:ind w:firstLine="435"/>
        <w:rPr>
          <w:rFonts w:hint="eastAsia" w:ascii="宋体" w:hAnsi="宋体" w:eastAsia="宋体" w:cs="宋体"/>
          <w:color w:val="auto"/>
          <w:lang w:eastAsia="zh-CN"/>
        </w:rPr>
      </w:pPr>
      <w:r>
        <w:rPr>
          <w:rFonts w:hint="eastAsia" w:ascii="宋体" w:hAnsi="宋体" w:eastAsia="宋体" w:cs="宋体"/>
          <w:color w:val="auto"/>
          <w:lang w:eastAsia="zh-CN"/>
        </w:rPr>
        <w:t>能耗指标应符合：</w:t>
      </w:r>
    </w:p>
    <w:p>
      <w:pPr>
        <w:ind w:firstLine="435"/>
        <w:rPr>
          <w:rFonts w:hint="eastAsia" w:ascii="宋体" w:hAnsi="宋体" w:eastAsia="宋体" w:cs="宋体"/>
          <w:color w:val="auto"/>
          <w:szCs w:val="21"/>
        </w:rPr>
      </w:pPr>
      <w:r>
        <w:rPr>
          <w:rFonts w:hint="eastAsia" w:ascii="宋体" w:hAnsi="宋体" w:eastAsia="宋体" w:cs="宋体"/>
          <w:color w:val="auto"/>
          <w:szCs w:val="21"/>
          <w:lang w:eastAsia="zh-CN"/>
        </w:rPr>
        <w:t>《铅</w:t>
      </w:r>
      <w:r>
        <w:rPr>
          <w:rFonts w:hint="eastAsia" w:ascii="宋体" w:hAnsi="宋体" w:eastAsia="宋体" w:cs="宋体"/>
          <w:color w:val="auto"/>
          <w:szCs w:val="21"/>
        </w:rPr>
        <w:t>冶炼企业单位产品能源消耗限额</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GB 21249 </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资源投入应符合：</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节水型企业评价导则</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GB/T 7119 </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重金属精矿产品中有害元素的限量规范</w:t>
      </w:r>
      <w:r>
        <w:rPr>
          <w:rFonts w:hint="eastAsia" w:ascii="宋体" w:hAnsi="宋体" w:eastAsia="宋体" w:cs="宋体"/>
          <w:color w:val="auto"/>
          <w:lang w:eastAsia="zh-CN"/>
        </w:rPr>
        <w:t>》</w:t>
      </w:r>
      <w:r>
        <w:rPr>
          <w:rFonts w:hint="eastAsia" w:ascii="宋体" w:hAnsi="宋体" w:eastAsia="宋体" w:cs="宋体"/>
          <w:color w:val="auto"/>
        </w:rPr>
        <w:t>GB 20424</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rPr>
        <w:t>工业企业节约原材料评价导则</w:t>
      </w:r>
      <w:r>
        <w:rPr>
          <w:rFonts w:hint="eastAsia" w:ascii="宋体" w:hAnsi="宋体" w:eastAsia="宋体" w:cs="宋体"/>
          <w:color w:val="auto"/>
          <w:lang w:eastAsia="zh-CN"/>
        </w:rPr>
        <w:t>》</w:t>
      </w:r>
      <w:r>
        <w:rPr>
          <w:rFonts w:hint="eastAsia" w:ascii="宋体" w:hAnsi="宋体" w:eastAsia="宋体" w:cs="宋体"/>
          <w:color w:val="auto"/>
          <w:lang w:val="en-US" w:eastAsia="zh-CN"/>
        </w:rPr>
        <w:t>GB/T 29115</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产品章节涉及标准</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产品生态设计通则</w:t>
      </w:r>
      <w:r>
        <w:rPr>
          <w:rFonts w:hint="eastAsia" w:ascii="宋体" w:hAnsi="宋体" w:eastAsia="宋体" w:cs="宋体"/>
          <w:color w:val="auto"/>
          <w:lang w:eastAsia="zh-CN"/>
        </w:rPr>
        <w:t>》</w:t>
      </w:r>
      <w:r>
        <w:rPr>
          <w:rFonts w:hint="eastAsia" w:ascii="宋体" w:hAnsi="宋体" w:eastAsia="宋体" w:cs="宋体"/>
          <w:color w:val="auto"/>
        </w:rPr>
        <w:t>GB/T 24256</w:t>
      </w:r>
    </w:p>
    <w:p>
      <w:pPr>
        <w:ind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生态设计产品评价通则</w:t>
      </w:r>
      <w:r>
        <w:rPr>
          <w:rFonts w:hint="eastAsia" w:ascii="宋体" w:hAnsi="宋体" w:eastAsia="宋体" w:cs="宋体"/>
          <w:color w:val="auto"/>
          <w:lang w:eastAsia="zh-CN"/>
        </w:rPr>
        <w:t>》</w:t>
      </w:r>
      <w:r>
        <w:rPr>
          <w:rFonts w:hint="eastAsia" w:ascii="宋体" w:hAnsi="宋体" w:eastAsia="宋体" w:cs="宋体"/>
          <w:color w:val="auto"/>
        </w:rPr>
        <w:t>GB/T 32161</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lang w:val="en-US" w:eastAsia="zh-CN"/>
        </w:rPr>
        <w:t>《</w:t>
      </w:r>
      <w:r>
        <w:rPr>
          <w:rFonts w:hint="eastAsia" w:ascii="宋体" w:hAnsi="宋体" w:eastAsia="宋体" w:cs="宋体"/>
          <w:color w:val="auto"/>
        </w:rPr>
        <w:t>产品可回收利用率计算方法导则</w:t>
      </w:r>
      <w:r>
        <w:rPr>
          <w:rFonts w:hint="eastAsia" w:ascii="宋体" w:hAnsi="宋体" w:eastAsia="宋体" w:cs="宋体"/>
          <w:color w:val="auto"/>
          <w:lang w:val="en-US" w:eastAsia="zh-CN"/>
        </w:rPr>
        <w:t xml:space="preserve">》GB </w:t>
      </w:r>
      <w:r>
        <w:rPr>
          <w:rFonts w:hint="eastAsia" w:ascii="宋体" w:hAnsi="宋体" w:eastAsia="宋体" w:cs="宋体"/>
          <w:color w:val="auto"/>
        </w:rPr>
        <w:t>2086</w:t>
      </w:r>
      <w:r>
        <w:rPr>
          <w:rFonts w:hint="eastAsia" w:ascii="宋体" w:hAnsi="宋体" w:eastAsia="宋体" w:cs="宋体"/>
          <w:color w:val="auto"/>
          <w:lang w:val="en-US" w:eastAsia="zh-CN"/>
        </w:rPr>
        <w:t>2</w:t>
      </w:r>
      <w:r>
        <w:rPr>
          <w:rFonts w:hint="eastAsia" w:ascii="宋体" w:hAnsi="宋体" w:eastAsia="宋体" w:cs="宋体"/>
          <w:color w:val="auto"/>
        </w:rPr>
        <w:t xml:space="preserve"> </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6.</w:t>
      </w:r>
      <w:r>
        <w:rPr>
          <w:rFonts w:hint="eastAsia" w:ascii="宋体" w:hAnsi="宋体" w:eastAsia="宋体" w:cs="宋体"/>
          <w:color w:val="auto"/>
          <w:lang w:eastAsia="zh-CN"/>
        </w:rPr>
        <w:t>环境排放章节涉及标准</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固体废物应符合：</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w:t>
      </w:r>
      <w:r>
        <w:rPr>
          <w:rFonts w:hint="eastAsia" w:ascii="宋体" w:hAnsi="宋体" w:eastAsia="宋体" w:cs="宋体"/>
          <w:color w:val="auto"/>
          <w:szCs w:val="21"/>
        </w:rPr>
        <w:t>危险废物鉴别标准</w:t>
      </w:r>
      <w:r>
        <w:rPr>
          <w:rFonts w:hint="eastAsia" w:ascii="宋体" w:hAnsi="宋体" w:eastAsia="宋体" w:cs="宋体"/>
          <w:color w:val="auto"/>
          <w:szCs w:val="21"/>
          <w:lang w:val="en-US" w:eastAsia="zh-CN"/>
        </w:rPr>
        <w:t>》</w:t>
      </w:r>
      <w:r>
        <w:rPr>
          <w:rFonts w:hint="eastAsia" w:ascii="宋体" w:hAnsi="宋体" w:eastAsia="宋体" w:cs="宋体"/>
          <w:color w:val="auto"/>
          <w:szCs w:val="21"/>
        </w:rPr>
        <w:t>GB 5085</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危险废物贮存污染控制标准</w:t>
      </w:r>
      <w:r>
        <w:rPr>
          <w:rFonts w:hint="eastAsia" w:ascii="宋体" w:hAnsi="宋体" w:eastAsia="宋体" w:cs="宋体"/>
          <w:color w:val="auto"/>
          <w:szCs w:val="21"/>
          <w:lang w:eastAsia="zh-CN"/>
        </w:rPr>
        <w:t>》</w:t>
      </w:r>
      <w:r>
        <w:rPr>
          <w:rFonts w:hint="eastAsia" w:ascii="宋体" w:hAnsi="宋体" w:eastAsia="宋体" w:cs="宋体"/>
          <w:color w:val="auto"/>
          <w:szCs w:val="21"/>
        </w:rPr>
        <w:t>GB 18597</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危险废物填埋污染控制标准</w:t>
      </w:r>
      <w:r>
        <w:rPr>
          <w:rFonts w:hint="eastAsia" w:ascii="宋体" w:hAnsi="宋体" w:eastAsia="宋体" w:cs="宋体"/>
          <w:color w:val="auto"/>
          <w:szCs w:val="21"/>
          <w:lang w:eastAsia="zh-CN"/>
        </w:rPr>
        <w:t>》</w:t>
      </w:r>
      <w:r>
        <w:rPr>
          <w:rFonts w:hint="eastAsia" w:ascii="宋体" w:hAnsi="宋体" w:eastAsia="宋体" w:cs="宋体"/>
          <w:color w:val="auto"/>
          <w:szCs w:val="21"/>
        </w:rPr>
        <w:t>GB 18598</w:t>
      </w:r>
    </w:p>
    <w:p>
      <w:pPr>
        <w:ind w:firstLine="420" w:firstLineChars="200"/>
        <w:rPr>
          <w:rFonts w:hint="eastAsia" w:ascii="宋体" w:hAnsi="宋体" w:eastAsia="宋体" w:cs="宋体"/>
          <w:color w:val="auto"/>
        </w:rPr>
      </w:pPr>
      <w:r>
        <w:rPr>
          <w:rFonts w:hint="eastAsia" w:ascii="宋体" w:hAnsi="宋体" w:eastAsia="宋体" w:cs="宋体"/>
          <w:color w:val="auto"/>
          <w:szCs w:val="21"/>
          <w:lang w:eastAsia="zh-CN"/>
        </w:rPr>
        <w:t>《</w:t>
      </w:r>
      <w:r>
        <w:rPr>
          <w:rFonts w:hint="eastAsia" w:ascii="宋体" w:hAnsi="宋体" w:eastAsia="宋体" w:cs="宋体"/>
          <w:color w:val="auto"/>
        </w:rPr>
        <w:t>一般工业固体废物贮存、处置场污染控制标准</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r>
        <w:rPr>
          <w:rFonts w:hint="eastAsia" w:ascii="宋体" w:hAnsi="宋体" w:eastAsia="宋体" w:cs="宋体"/>
          <w:color w:val="auto"/>
        </w:rPr>
        <w:t>GB 18599</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固体废物鉴别标准 通则</w:t>
      </w:r>
      <w:r>
        <w:rPr>
          <w:rFonts w:hint="eastAsia" w:ascii="宋体" w:hAnsi="宋体" w:eastAsia="宋体" w:cs="宋体"/>
          <w:color w:val="auto"/>
          <w:lang w:eastAsia="zh-CN"/>
        </w:rPr>
        <w:t>》</w:t>
      </w:r>
      <w:r>
        <w:rPr>
          <w:rFonts w:hint="eastAsia" w:ascii="宋体" w:hAnsi="宋体" w:eastAsia="宋体" w:cs="宋体"/>
          <w:color w:val="auto"/>
          <w:lang w:val="en-US" w:eastAsia="zh-CN"/>
        </w:rPr>
        <w:t>GB 34330</w:t>
      </w:r>
    </w:p>
    <w:p>
      <w:pPr>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噪声应符合：</w:t>
      </w:r>
    </w:p>
    <w:p>
      <w:pPr>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rPr>
        <w:t>工业企业厂界环境噪声排放标准</w:t>
      </w:r>
      <w:r>
        <w:rPr>
          <w:rFonts w:hint="eastAsia" w:ascii="宋体" w:hAnsi="宋体" w:eastAsia="宋体" w:cs="宋体"/>
          <w:color w:val="auto"/>
          <w:lang w:eastAsia="zh-CN"/>
        </w:rPr>
        <w:t>》</w:t>
      </w:r>
      <w:r>
        <w:rPr>
          <w:rFonts w:hint="eastAsia" w:ascii="宋体" w:hAnsi="宋体" w:eastAsia="宋体" w:cs="宋体"/>
          <w:color w:val="auto"/>
        </w:rPr>
        <w:t xml:space="preserve">GB 12348 </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温室气体应符合：</w:t>
      </w:r>
    </w:p>
    <w:p>
      <w:pPr>
        <w:ind w:firstLine="420" w:firstLineChars="200"/>
        <w:rPr>
          <w:rFonts w:hint="eastAsia" w:ascii="宋体" w:hAnsi="宋体" w:eastAsia="宋体" w:cs="宋体"/>
          <w:color w:val="auto"/>
        </w:rPr>
      </w:pPr>
      <w:r>
        <w:rPr>
          <w:rFonts w:hint="eastAsia" w:ascii="宋体" w:hAnsi="宋体" w:eastAsia="宋体" w:cs="宋体"/>
          <w:color w:val="auto"/>
          <w:lang w:val="en-US" w:eastAsia="zh-CN"/>
        </w:rPr>
        <w:t>《</w:t>
      </w:r>
      <w:r>
        <w:rPr>
          <w:rFonts w:hint="eastAsia" w:ascii="宋体" w:hAnsi="宋体" w:eastAsia="宋体" w:cs="宋体"/>
          <w:color w:val="auto"/>
        </w:rPr>
        <w:t>工业企业温室气体排放核算和报告通则</w:t>
      </w:r>
      <w:r>
        <w:rPr>
          <w:rFonts w:hint="eastAsia" w:ascii="宋体" w:hAnsi="宋体" w:eastAsia="宋体" w:cs="宋体"/>
          <w:color w:val="auto"/>
          <w:lang w:val="en-US" w:eastAsia="zh-CN"/>
        </w:rPr>
        <w:t>》</w:t>
      </w:r>
      <w:r>
        <w:rPr>
          <w:rFonts w:hint="eastAsia" w:ascii="宋体" w:hAnsi="宋体" w:eastAsia="宋体" w:cs="宋体"/>
          <w:color w:val="auto"/>
        </w:rPr>
        <w:t xml:space="preserve">GB 32150 </w:t>
      </w:r>
    </w:p>
    <w:p>
      <w:pPr>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有色金属冶炼应符合相关行业污染物排放标准：</w:t>
      </w:r>
    </w:p>
    <w:p>
      <w:pPr>
        <w:ind w:firstLine="435"/>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铅、锌工业污染物排放标准</w:t>
      </w:r>
      <w:r>
        <w:rPr>
          <w:rFonts w:hint="eastAsia" w:ascii="宋体" w:hAnsi="宋体" w:eastAsia="宋体" w:cs="宋体"/>
          <w:color w:val="auto"/>
          <w:lang w:eastAsia="zh-CN"/>
        </w:rPr>
        <w:t>》</w:t>
      </w:r>
      <w:r>
        <w:rPr>
          <w:rFonts w:hint="eastAsia" w:ascii="宋体" w:hAnsi="宋体" w:eastAsia="宋体" w:cs="宋体"/>
          <w:color w:val="auto"/>
        </w:rPr>
        <w:t xml:space="preserve">GB 25466  </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7.绩效章节涉及标准</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rPr>
        <w:t>工业项目建设用地控制指标</w:t>
      </w:r>
      <w:r>
        <w:rPr>
          <w:rFonts w:hint="eastAsia" w:ascii="宋体" w:hAnsi="宋体" w:eastAsia="宋体" w:cs="宋体"/>
          <w:color w:val="auto"/>
          <w:lang w:eastAsia="zh-CN"/>
        </w:rPr>
        <w:t>》（国土资发</w:t>
      </w:r>
      <w:r>
        <w:rPr>
          <w:rFonts w:hint="eastAsia" w:ascii="宋体" w:hAnsi="宋体" w:eastAsia="宋体" w:cs="宋体"/>
          <w:color w:val="auto"/>
          <w:lang w:val="en-US" w:eastAsia="zh-CN"/>
        </w:rPr>
        <w:t>[2008]24号</w:t>
      </w:r>
      <w:r>
        <w:rPr>
          <w:rFonts w:hint="eastAsia" w:ascii="宋体" w:hAnsi="宋体" w:eastAsia="宋体" w:cs="宋体"/>
          <w:color w:val="auto"/>
          <w:lang w:eastAsia="zh-CN"/>
        </w:rPr>
        <w:t>）</w:t>
      </w:r>
    </w:p>
    <w:p>
      <w:pPr>
        <w:pStyle w:val="27"/>
        <w:numPr>
          <w:ilvl w:val="-1"/>
          <w:numId w:val="0"/>
        </w:numPr>
        <w:ind w:left="0" w:firstLine="420" w:firstLineChars="20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铅锌行业清洁生产评价指标体系</w:t>
      </w:r>
      <w:r>
        <w:rPr>
          <w:rFonts w:hint="eastAsia" w:ascii="宋体" w:hAnsi="宋体" w:eastAsia="宋体" w:cs="宋体"/>
          <w:color w:val="auto"/>
          <w:lang w:eastAsia="zh-CN"/>
        </w:rPr>
        <w:t>》</w:t>
      </w:r>
      <w:r>
        <w:rPr>
          <w:rFonts w:hint="eastAsia" w:ascii="宋体" w:hAnsi="宋体" w:eastAsia="宋体" w:cs="宋体"/>
          <w:color w:val="auto"/>
        </w:rPr>
        <w:t>（试行）（国家发改委/环境保护部/</w:t>
      </w:r>
      <w:r>
        <w:rPr>
          <w:rFonts w:hint="eastAsia" w:ascii="宋体" w:hAnsi="宋体" w:eastAsia="宋体" w:cs="宋体"/>
          <w:color w:val="auto"/>
          <w:lang w:eastAsia="zh-CN"/>
        </w:rPr>
        <w:t>工业和信息化部公告</w:t>
      </w:r>
      <w:r>
        <w:rPr>
          <w:rFonts w:hint="eastAsia" w:ascii="宋体" w:hAnsi="宋体" w:eastAsia="宋体" w:cs="宋体"/>
          <w:color w:val="auto"/>
          <w:lang w:val="en-US" w:eastAsia="zh-CN"/>
        </w:rPr>
        <w:t>2007年第24号</w:t>
      </w:r>
      <w:r>
        <w:rPr>
          <w:rFonts w:hint="eastAsia" w:ascii="宋体" w:hAnsi="宋体" w:eastAsia="宋体" w:cs="宋体"/>
          <w:color w:val="auto"/>
        </w:rPr>
        <w:t>）</w:t>
      </w:r>
    </w:p>
    <w:p>
      <w:pPr>
        <w:pStyle w:val="27"/>
        <w:numPr>
          <w:ilvl w:val="0"/>
          <w:numId w:val="5"/>
        </w:numPr>
        <w:ind w:left="472"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eastAsia="zh-CN"/>
        </w:rPr>
        <w:t>铅</w:t>
      </w:r>
      <w:r>
        <w:rPr>
          <w:rFonts w:hint="eastAsia" w:ascii="宋体" w:hAnsi="宋体" w:eastAsia="宋体" w:cs="宋体"/>
          <w:color w:val="auto"/>
        </w:rPr>
        <w:t>冶炼业绿色工厂评价指标</w:t>
      </w:r>
      <w:r>
        <w:rPr>
          <w:rFonts w:hint="eastAsia" w:ascii="宋体" w:hAnsi="宋体" w:eastAsia="宋体" w:cs="宋体"/>
          <w:color w:val="auto"/>
          <w:lang w:eastAsia="zh-CN"/>
        </w:rPr>
        <w:t>表</w:t>
      </w:r>
      <w:r>
        <w:rPr>
          <w:rFonts w:hint="eastAsia" w:ascii="宋体" w:hAnsi="宋体" w:eastAsia="宋体" w:cs="宋体"/>
          <w:color w:val="auto"/>
          <w:lang w:val="en-US" w:eastAsia="zh-CN"/>
        </w:rPr>
        <w:t>A.1依据：</w:t>
      </w:r>
    </w:p>
    <w:p>
      <w:pPr>
        <w:pStyle w:val="27"/>
        <w:numPr>
          <w:ilvl w:val="0"/>
          <w:numId w:val="0"/>
        </w:numPr>
        <w:ind w:left="472" w:leftChars="0"/>
        <w:rPr>
          <w:rFonts w:hint="eastAsia" w:ascii="宋体" w:hAnsi="宋体" w:eastAsia="宋体" w:cs="宋体"/>
          <w:bCs/>
          <w:color w:val="auto"/>
          <w:szCs w:val="21"/>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"http://www.miit.gov.cn/n1146285/n1146352/n3054355/n3057542/n5920352/c6290977/part/6291607.pdf" </w:instrText>
      </w:r>
      <w:r>
        <w:rPr>
          <w:rFonts w:hint="eastAsia" w:ascii="宋体" w:hAnsi="宋体" w:eastAsia="宋体" w:cs="宋体"/>
          <w:color w:val="auto"/>
        </w:rPr>
        <w:fldChar w:fldCharType="separate"/>
      </w:r>
      <w:r>
        <w:rPr>
          <w:rFonts w:hint="eastAsia" w:ascii="宋体" w:hAnsi="宋体" w:eastAsia="宋体" w:cs="宋体"/>
          <w:color w:val="auto"/>
          <w:lang w:eastAsia="zh-CN"/>
        </w:rPr>
        <w:t>《</w:t>
      </w:r>
      <w:r>
        <w:rPr>
          <w:rFonts w:hint="eastAsia" w:ascii="宋体" w:hAnsi="宋体" w:eastAsia="宋体" w:cs="宋体"/>
          <w:color w:val="auto"/>
        </w:rPr>
        <w:t>绿色工厂自评价报告及第三方评价报告</w:t>
      </w:r>
      <w:r>
        <w:rPr>
          <w:rFonts w:hint="eastAsia" w:ascii="宋体" w:hAnsi="宋体" w:eastAsia="宋体" w:cs="宋体"/>
          <w:color w:val="auto"/>
          <w:lang w:eastAsia="zh-CN"/>
        </w:rPr>
        <w:t>》</w:t>
      </w:r>
      <w:r>
        <w:rPr>
          <w:rFonts w:hint="eastAsia" w:ascii="宋体" w:hAnsi="宋体" w:eastAsia="宋体" w:cs="宋体"/>
          <w:color w:val="auto"/>
        </w:rPr>
        <w:fldChar w:fldCharType="end"/>
      </w:r>
      <w:r>
        <w:rPr>
          <w:rFonts w:hint="eastAsia" w:ascii="宋体" w:hAnsi="宋体" w:eastAsia="宋体" w:cs="宋体"/>
          <w:color w:val="auto"/>
          <w:lang w:eastAsia="zh-CN"/>
        </w:rPr>
        <w:t>（工信厅节函〔2018〕257号）</w:t>
      </w:r>
    </w:p>
    <w:p>
      <w:pPr>
        <w:pStyle w:val="2"/>
        <w:spacing w:line="360" w:lineRule="auto"/>
        <w:rPr>
          <w:color w:val="auto"/>
        </w:rPr>
      </w:pPr>
      <w:bookmarkStart w:id="13" w:name="_Toc26678"/>
      <w:r>
        <w:rPr>
          <w:rFonts w:hint="eastAsia"/>
          <w:color w:val="auto"/>
        </w:rPr>
        <w:t>七、国外相关法律、法规和标准情况的说明。（只适用于强制性标准）</w:t>
      </w:r>
      <w:bookmarkEnd w:id="13"/>
    </w:p>
    <w:p>
      <w:pPr>
        <w:ind w:firstLine="420" w:firstLineChars="200"/>
        <w:rPr>
          <w:color w:val="auto"/>
        </w:rPr>
      </w:pPr>
      <w:r>
        <w:rPr>
          <w:rFonts w:hint="eastAsia"/>
          <w:color w:val="auto"/>
        </w:rPr>
        <w:t>不适用。</w:t>
      </w:r>
    </w:p>
    <w:p>
      <w:pPr>
        <w:pStyle w:val="2"/>
        <w:numPr>
          <w:ilvl w:val="0"/>
          <w:numId w:val="6"/>
        </w:numPr>
        <w:spacing w:line="360" w:lineRule="auto"/>
        <w:rPr>
          <w:rFonts w:hint="eastAsia"/>
          <w:color w:val="auto"/>
        </w:rPr>
      </w:pPr>
      <w:bookmarkStart w:id="14" w:name="_Toc32100"/>
      <w:r>
        <w:rPr>
          <w:rFonts w:hint="eastAsia"/>
          <w:color w:val="auto"/>
        </w:rPr>
        <w:t>重大分歧意见的处理经过和依据</w:t>
      </w:r>
      <w:bookmarkEnd w:id="14"/>
    </w:p>
    <w:p>
      <w:pPr>
        <w:pStyle w:val="2"/>
        <w:numPr>
          <w:ilvl w:val="0"/>
          <w:numId w:val="6"/>
        </w:numPr>
        <w:spacing w:line="360" w:lineRule="auto"/>
        <w:rPr>
          <w:rFonts w:hint="eastAsia" w:ascii="宋体" w:hAnsi="宋体" w:eastAsia="宋体" w:cs="宋体"/>
          <w:color w:val="auto"/>
          <w:szCs w:val="21"/>
        </w:rPr>
      </w:pPr>
      <w:r>
        <w:rPr>
          <w:rFonts w:hint="eastAsia" w:ascii="宋体" w:hAnsi="宋体" w:eastAsia="宋体" w:cs="宋体"/>
          <w:color w:val="auto"/>
          <w:szCs w:val="21"/>
        </w:rPr>
        <w:t>本标准草稿编制完成后，</w:t>
      </w:r>
      <w:r>
        <w:rPr>
          <w:rFonts w:hint="eastAsia" w:ascii="宋体" w:hAnsi="宋体" w:eastAsia="宋体" w:cs="宋体"/>
          <w:color w:val="auto"/>
          <w:szCs w:val="21"/>
          <w:lang w:eastAsia="zh-CN"/>
        </w:rPr>
        <w:t>编制</w:t>
      </w:r>
      <w:r>
        <w:rPr>
          <w:rFonts w:hint="eastAsia" w:ascii="宋体" w:hAnsi="宋体" w:eastAsia="宋体" w:cs="宋体"/>
          <w:color w:val="auto"/>
          <w:szCs w:val="21"/>
        </w:rPr>
        <w:t>组召开了多次的专家讨论会，专家的意见多集中在以下几点：一是评价导则应如何体现</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冶炼业特点；二是进一步细化评价的方法，使其具有更强的可操作性。</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对此，</w:t>
      </w:r>
      <w:r>
        <w:rPr>
          <w:rFonts w:hint="eastAsia" w:ascii="宋体" w:hAnsi="宋体" w:eastAsia="宋体" w:cs="宋体"/>
          <w:color w:val="auto"/>
          <w:szCs w:val="21"/>
          <w:lang w:eastAsia="zh-CN"/>
        </w:rPr>
        <w:t>编制</w:t>
      </w:r>
      <w:r>
        <w:rPr>
          <w:rFonts w:hint="eastAsia" w:ascii="宋体" w:hAnsi="宋体" w:eastAsia="宋体" w:cs="宋体"/>
          <w:color w:val="auto"/>
          <w:szCs w:val="21"/>
        </w:rPr>
        <w:t>组对照已发布的《绿色工厂评价通则》</w:t>
      </w:r>
      <w:r>
        <w:rPr>
          <w:rFonts w:hint="eastAsia" w:ascii="宋体" w:hAnsi="宋体" w:eastAsia="宋体" w:cs="宋体"/>
          <w:color w:val="auto"/>
          <w:szCs w:val="21"/>
          <w:lang w:val="en-US" w:eastAsia="zh-CN"/>
        </w:rPr>
        <w:t>GB/T 36132</w:t>
      </w:r>
      <w:r>
        <w:rPr>
          <w:rFonts w:hint="eastAsia" w:ascii="宋体" w:hAnsi="宋体" w:eastAsia="宋体" w:cs="宋体"/>
          <w:color w:val="auto"/>
          <w:szCs w:val="21"/>
        </w:rPr>
        <w:t>，在可以体现</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冶炼业特点的地方，全部加入了行业的特性要素，比如</w:t>
      </w:r>
      <w:r>
        <w:rPr>
          <w:rFonts w:hint="eastAsia" w:ascii="宋体" w:hAnsi="宋体" w:eastAsia="宋体" w:cs="宋体"/>
          <w:color w:val="auto"/>
          <w:szCs w:val="21"/>
          <w:lang w:eastAsia="zh-CN"/>
        </w:rPr>
        <w:t>铅锌行业</w:t>
      </w:r>
      <w:r>
        <w:rPr>
          <w:rFonts w:hint="eastAsia" w:ascii="宋体" w:hAnsi="宋体" w:eastAsia="宋体" w:cs="宋体"/>
          <w:color w:val="auto"/>
          <w:szCs w:val="21"/>
        </w:rPr>
        <w:t>的规范条件、</w:t>
      </w:r>
      <w:r>
        <w:rPr>
          <w:rFonts w:hint="eastAsia" w:ascii="宋体" w:hAnsi="宋体" w:eastAsia="宋体" w:cs="宋体"/>
          <w:color w:val="auto"/>
        </w:rPr>
        <w:t>铅锌工业污染物排放标准</w:t>
      </w:r>
      <w:r>
        <w:rPr>
          <w:rFonts w:hint="eastAsia" w:ascii="宋体" w:hAnsi="宋体" w:eastAsia="宋体" w:cs="宋体"/>
          <w:color w:val="auto"/>
          <w:szCs w:val="21"/>
        </w:rPr>
        <w:t>、</w:t>
      </w:r>
      <w:r>
        <w:rPr>
          <w:rFonts w:hint="eastAsia" w:ascii="宋体" w:hAnsi="宋体" w:eastAsia="宋体" w:cs="宋体"/>
          <w:color w:val="auto"/>
          <w:szCs w:val="21"/>
          <w:lang w:eastAsia="zh-CN"/>
        </w:rPr>
        <w:t>铅锌行业</w:t>
      </w:r>
      <w:r>
        <w:rPr>
          <w:rFonts w:hint="eastAsia" w:ascii="宋体" w:hAnsi="宋体" w:eastAsia="宋体" w:cs="宋体"/>
          <w:color w:val="auto"/>
          <w:szCs w:val="21"/>
        </w:rPr>
        <w:t>清洁生产指标体系等；二是依据通则的要求，将二级指标进一步细化成符合</w:t>
      </w:r>
      <w:r>
        <w:rPr>
          <w:rFonts w:hint="eastAsia" w:ascii="宋体" w:hAnsi="宋体" w:eastAsia="宋体" w:cs="宋体"/>
          <w:color w:val="auto"/>
          <w:szCs w:val="21"/>
          <w:lang w:eastAsia="zh-CN"/>
        </w:rPr>
        <w:t>新</w:t>
      </w:r>
      <w:r>
        <w:rPr>
          <w:rFonts w:hint="eastAsia" w:ascii="宋体" w:hAnsi="宋体" w:eastAsia="宋体" w:cs="宋体"/>
          <w:color w:val="auto"/>
          <w:szCs w:val="21"/>
        </w:rPr>
        <w:t>冶炼业特点的具体要求，将评价内容和</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冶炼业的产业政策、行业标准、具体要求一一对应，使之具有更强的操作性；此外，标准制定过程中充分征求</w:t>
      </w:r>
      <w:r>
        <w:rPr>
          <w:rFonts w:hint="eastAsia" w:ascii="宋体" w:hAnsi="宋体" w:eastAsia="宋体" w:cs="宋体"/>
          <w:color w:val="auto"/>
          <w:szCs w:val="21"/>
          <w:lang w:eastAsia="zh-CN"/>
        </w:rPr>
        <w:t>了</w:t>
      </w:r>
      <w:r>
        <w:rPr>
          <w:rFonts w:hint="eastAsia" w:ascii="宋体" w:hAnsi="宋体" w:eastAsia="宋体" w:cs="宋体"/>
          <w:color w:val="auto"/>
          <w:szCs w:val="21"/>
        </w:rPr>
        <w:t>行业专家、企业专家等各领域、各层次的专家意见。</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根据征求意见的汇总工作以及在部分有色金属冶炼企业现场调研的验证工作，得到的意见主要为</w:t>
      </w:r>
      <w:r>
        <w:rPr>
          <w:rFonts w:hint="eastAsia" w:ascii="宋体" w:hAnsi="宋体" w:eastAsia="宋体" w:cs="宋体"/>
          <w:color w:val="auto"/>
          <w:szCs w:val="21"/>
        </w:rPr>
        <w:t>近三年（含成立不足三年）应无较大及以上安全、环保、质量等事故</w:t>
      </w:r>
      <w:r>
        <w:rPr>
          <w:rFonts w:hint="eastAsia" w:ascii="宋体" w:hAnsi="宋体" w:eastAsia="宋体" w:cs="宋体"/>
          <w:color w:val="auto"/>
          <w:szCs w:val="21"/>
          <w:lang w:eastAsia="zh-CN"/>
        </w:rPr>
        <w:t>中环保、质量是否有“较大”的定义或范围还需进一步讨论确定。</w:t>
      </w:r>
    </w:p>
    <w:p>
      <w:pPr>
        <w:pStyle w:val="2"/>
        <w:spacing w:line="360" w:lineRule="auto"/>
        <w:rPr>
          <w:color w:val="auto"/>
        </w:rPr>
      </w:pPr>
      <w:bookmarkStart w:id="15" w:name="_Toc15989"/>
      <w:r>
        <w:rPr>
          <w:rFonts w:hint="eastAsia"/>
          <w:color w:val="auto"/>
        </w:rPr>
        <w:t>九、标准作为强制性或推荐性国家（或行业）标准的建议</w:t>
      </w:r>
      <w:bookmarkEnd w:id="15"/>
    </w:p>
    <w:p>
      <w:pPr>
        <w:ind w:firstLine="420" w:firstLineChars="200"/>
        <w:rPr>
          <w:rFonts w:cs="Times New Roman"/>
          <w:color w:val="auto"/>
          <w:szCs w:val="21"/>
        </w:rPr>
      </w:pPr>
      <w:r>
        <w:rPr>
          <w:rFonts w:hint="eastAsia" w:ascii="宋体" w:hAnsi="宋体" w:eastAsia="宋体" w:cs="宋体"/>
          <w:color w:val="auto"/>
          <w:szCs w:val="21"/>
        </w:rPr>
        <w:t>本标准建议作为推荐性行业标准发布。</w:t>
      </w:r>
      <w:r>
        <w:rPr>
          <w:rFonts w:hint="eastAsia" w:cs="Times New Roman"/>
          <w:color w:val="auto"/>
          <w:szCs w:val="21"/>
        </w:rPr>
        <w:t>目前，国际上尚未有国家发布绿色工厂评价相关标准</w:t>
      </w:r>
      <w:r>
        <w:rPr>
          <w:rFonts w:hint="eastAsia" w:cs="Times New Roman"/>
          <w:color w:val="auto"/>
          <w:szCs w:val="21"/>
          <w:lang w:eastAsia="zh-CN"/>
        </w:rPr>
        <w:t>，</w:t>
      </w:r>
      <w:r>
        <w:rPr>
          <w:rFonts w:hint="eastAsia" w:cs="Times New Roman"/>
          <w:color w:val="auto"/>
          <w:szCs w:val="21"/>
        </w:rPr>
        <w:t>国内唯一发布的绿色工厂</w:t>
      </w:r>
      <w:r>
        <w:rPr>
          <w:rFonts w:hint="eastAsia" w:cs="Times New Roman"/>
          <w:color w:val="auto"/>
          <w:szCs w:val="21"/>
          <w:lang w:eastAsia="zh-CN"/>
        </w:rPr>
        <w:t>评价</w:t>
      </w:r>
      <w:r>
        <w:rPr>
          <w:rFonts w:hint="eastAsia" w:cs="Times New Roman"/>
          <w:color w:val="auto"/>
          <w:szCs w:val="21"/>
        </w:rPr>
        <w:t>标准是《</w:t>
      </w:r>
      <w:r>
        <w:rPr>
          <w:rFonts w:hint="eastAsia"/>
          <w:color w:val="auto"/>
        </w:rPr>
        <w:t>绿色工厂评价通则</w:t>
      </w:r>
      <w:r>
        <w:rPr>
          <w:rFonts w:hint="eastAsia" w:cs="Times New Roman"/>
          <w:color w:val="auto"/>
          <w:szCs w:val="21"/>
        </w:rPr>
        <w:t>》</w:t>
      </w:r>
      <w:r>
        <w:rPr>
          <w:rFonts w:hint="eastAsia" w:ascii="宋体" w:hAnsi="宋体" w:eastAsia="宋体" w:cs="宋体"/>
          <w:color w:val="auto"/>
        </w:rPr>
        <w:t>GB/T</w:t>
      </w:r>
      <w:r>
        <w:rPr>
          <w:rFonts w:hint="eastAsia" w:ascii="宋体" w:hAnsi="宋体" w:eastAsia="宋体" w:cs="宋体"/>
          <w:color w:val="auto"/>
          <w:lang w:val="en-US" w:eastAsia="zh-CN"/>
        </w:rPr>
        <w:t xml:space="preserve"> </w:t>
      </w:r>
      <w:r>
        <w:rPr>
          <w:rFonts w:hint="eastAsia" w:ascii="宋体" w:hAnsi="宋体" w:eastAsia="宋体" w:cs="宋体"/>
          <w:color w:val="auto"/>
        </w:rPr>
        <w:t>36132，</w:t>
      </w:r>
      <w:r>
        <w:rPr>
          <w:rFonts w:hint="eastAsia"/>
          <w:color w:val="auto"/>
        </w:rPr>
        <w:t>其他行业如</w:t>
      </w:r>
      <w:r>
        <w:rPr>
          <w:rFonts w:hint="eastAsia"/>
          <w:color w:val="auto"/>
          <w:lang w:eastAsia="zh-CN"/>
        </w:rPr>
        <w:t>铅冶炼、铜冶炼</w:t>
      </w:r>
      <w:r>
        <w:rPr>
          <w:rFonts w:hint="eastAsia"/>
          <w:color w:val="auto"/>
        </w:rPr>
        <w:t>正在编制相关行业评价标准。</w:t>
      </w:r>
      <w:r>
        <w:rPr>
          <w:rFonts w:cs="Times New Roman"/>
          <w:color w:val="auto"/>
          <w:szCs w:val="21"/>
        </w:rPr>
        <w:t>本标准的</w:t>
      </w:r>
      <w:r>
        <w:rPr>
          <w:rFonts w:hint="eastAsia" w:cs="Times New Roman"/>
          <w:color w:val="auto"/>
          <w:szCs w:val="21"/>
          <w:lang w:eastAsia="zh-CN"/>
        </w:rPr>
        <w:t>发布</w:t>
      </w:r>
      <w:r>
        <w:rPr>
          <w:rFonts w:cs="Times New Roman"/>
          <w:color w:val="auto"/>
          <w:szCs w:val="21"/>
        </w:rPr>
        <w:t>，可以推进</w:t>
      </w:r>
      <w:r>
        <w:rPr>
          <w:rFonts w:hint="eastAsia" w:cs="Times New Roman"/>
          <w:color w:val="auto"/>
          <w:szCs w:val="21"/>
          <w:lang w:eastAsia="zh-CN"/>
        </w:rPr>
        <w:t>铅</w:t>
      </w:r>
      <w:r>
        <w:rPr>
          <w:rFonts w:hint="eastAsia" w:cs="Times New Roman"/>
          <w:color w:val="auto"/>
          <w:szCs w:val="21"/>
        </w:rPr>
        <w:t>冶炼业</w:t>
      </w:r>
      <w:r>
        <w:rPr>
          <w:rFonts w:cs="Times New Roman"/>
          <w:color w:val="auto"/>
          <w:szCs w:val="21"/>
        </w:rPr>
        <w:t>绿色工厂的创建，</w:t>
      </w:r>
      <w:r>
        <w:rPr>
          <w:rFonts w:hint="eastAsia" w:cs="Times New Roman"/>
          <w:color w:val="auto"/>
          <w:szCs w:val="21"/>
        </w:rPr>
        <w:t>并</w:t>
      </w:r>
      <w:r>
        <w:rPr>
          <w:rFonts w:cs="Times New Roman"/>
          <w:color w:val="auto"/>
          <w:szCs w:val="21"/>
        </w:rPr>
        <w:t>指导企业提升绿色发展水平，为社会、为企业创造更多价值。</w:t>
      </w:r>
    </w:p>
    <w:p>
      <w:pPr>
        <w:pStyle w:val="2"/>
        <w:rPr>
          <w:rFonts w:ascii="宋体" w:hAnsi="宋体" w:eastAsia="宋体" w:cs="宋体"/>
          <w:color w:val="auto"/>
          <w:szCs w:val="21"/>
        </w:rPr>
      </w:pPr>
      <w:bookmarkStart w:id="16" w:name="_Toc15588"/>
      <w:r>
        <w:rPr>
          <w:rFonts w:hint="eastAsia"/>
          <w:color w:val="auto"/>
        </w:rPr>
        <w:t>十、贯彻标准的要求和措施建议：</w:t>
      </w:r>
      <w:bookmarkEnd w:id="16"/>
    </w:p>
    <w:p>
      <w:pPr>
        <w:ind w:firstLine="420" w:firstLineChars="200"/>
        <w:rPr>
          <w:rFonts w:ascii="宋体" w:hAnsi="宋体" w:eastAsia="宋体" w:cs="宋体"/>
          <w:color w:val="auto"/>
          <w:szCs w:val="21"/>
        </w:rPr>
      </w:pPr>
      <w:r>
        <w:rPr>
          <w:rFonts w:hint="eastAsia" w:ascii="宋体" w:hAnsi="宋体" w:eastAsia="宋体" w:cs="宋体"/>
          <w:color w:val="auto"/>
          <w:szCs w:val="21"/>
        </w:rPr>
        <w:t>本标准的技术内容是推荐性的，</w:t>
      </w:r>
      <w:r>
        <w:rPr>
          <w:rFonts w:hint="eastAsia" w:cs="Times New Roman"/>
          <w:color w:val="auto"/>
          <w:szCs w:val="21"/>
        </w:rPr>
        <w:t>建议标准发布后即可实施，建议本标准由各级人民政府的工业和信息化行政主管部门负责监督实施。</w:t>
      </w:r>
    </w:p>
    <w:p>
      <w:pPr>
        <w:pStyle w:val="2"/>
        <w:spacing w:line="360" w:lineRule="auto"/>
        <w:rPr>
          <w:color w:val="auto"/>
        </w:rPr>
      </w:pPr>
      <w:bookmarkStart w:id="17" w:name="_Toc29281"/>
      <w:r>
        <w:rPr>
          <w:rFonts w:hint="eastAsia"/>
          <w:color w:val="auto"/>
        </w:rPr>
        <w:t>十一、设立标准实施过渡期的理由：根据国家经济、技术政策需要和该强制性标准涉及的产品的技术改造难度等因素，提出标准的实施日期的建议。（仅适用于强制性标准）</w:t>
      </w:r>
      <w:bookmarkEnd w:id="17"/>
    </w:p>
    <w:p>
      <w:pPr>
        <w:ind w:firstLine="420" w:firstLineChars="200"/>
        <w:rPr>
          <w:rFonts w:ascii="宋体" w:hAnsi="宋体" w:eastAsia="宋体" w:cs="宋体"/>
          <w:color w:val="auto"/>
          <w:szCs w:val="21"/>
        </w:rPr>
      </w:pPr>
      <w:r>
        <w:rPr>
          <w:rFonts w:hint="eastAsia" w:ascii="宋体" w:hAnsi="宋体" w:eastAsia="宋体" w:cs="宋体"/>
          <w:color w:val="auto"/>
          <w:szCs w:val="21"/>
        </w:rPr>
        <w:t>不适用。</w:t>
      </w:r>
    </w:p>
    <w:p>
      <w:pPr>
        <w:pStyle w:val="2"/>
        <w:spacing w:line="360" w:lineRule="auto"/>
        <w:rPr>
          <w:color w:val="auto"/>
        </w:rPr>
      </w:pPr>
      <w:bookmarkStart w:id="18" w:name="_Toc7802"/>
      <w:r>
        <w:rPr>
          <w:rFonts w:hint="eastAsia"/>
          <w:color w:val="auto"/>
        </w:rPr>
        <w:t>十二、废止现行有关标准的建议</w:t>
      </w:r>
      <w:bookmarkEnd w:id="18"/>
    </w:p>
    <w:p>
      <w:pPr>
        <w:ind w:firstLine="420" w:firstLineChars="200"/>
        <w:rPr>
          <w:rFonts w:ascii="宋体" w:hAnsi="宋体" w:eastAsia="宋体" w:cs="宋体"/>
          <w:color w:val="auto"/>
          <w:szCs w:val="21"/>
        </w:rPr>
      </w:pPr>
      <w:r>
        <w:rPr>
          <w:rFonts w:hint="eastAsia" w:ascii="宋体" w:hAnsi="宋体" w:eastAsia="宋体" w:cs="宋体"/>
          <w:color w:val="auto"/>
          <w:szCs w:val="21"/>
        </w:rPr>
        <w:t>无。</w:t>
      </w:r>
    </w:p>
    <w:p>
      <w:pPr>
        <w:pStyle w:val="2"/>
        <w:spacing w:line="360" w:lineRule="auto"/>
        <w:rPr>
          <w:color w:val="auto"/>
        </w:rPr>
      </w:pPr>
      <w:bookmarkStart w:id="19" w:name="_Toc22451"/>
      <w:r>
        <w:rPr>
          <w:rFonts w:hint="eastAsia"/>
          <w:color w:val="auto"/>
        </w:rPr>
        <w:t>十三、其他主要内容的解释和其他需要说明的事项。如系列标准或划分部分制定的标准的编号建议，参考文献目录等。</w:t>
      </w:r>
      <w:bookmarkEnd w:id="19"/>
    </w:p>
    <w:p>
      <w:pPr>
        <w:ind w:firstLine="420" w:firstLineChars="200"/>
        <w:rPr>
          <w:rFonts w:ascii="宋体" w:hAnsi="宋体" w:eastAsia="宋体" w:cs="宋体"/>
          <w:color w:val="auto"/>
          <w:szCs w:val="21"/>
        </w:rPr>
      </w:pPr>
      <w:r>
        <w:rPr>
          <w:rFonts w:hint="eastAsia" w:ascii="宋体" w:hAnsi="宋体" w:eastAsia="宋体" w:cs="宋体"/>
          <w:color w:val="auto"/>
          <w:szCs w:val="21"/>
        </w:rPr>
        <w:t>无。</w:t>
      </w:r>
    </w:p>
    <w:p>
      <w:pPr>
        <w:ind w:firstLine="5460" w:firstLineChars="26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铅</w:t>
      </w:r>
      <w:r>
        <w:rPr>
          <w:rFonts w:hint="eastAsia" w:ascii="宋体" w:hAnsi="宋体" w:eastAsia="宋体" w:cs="宋体"/>
          <w:color w:val="auto"/>
          <w:szCs w:val="21"/>
        </w:rPr>
        <w:t>冶炼业绿色工厂评价要求》</w:t>
      </w:r>
    </w:p>
    <w:p>
      <w:pPr>
        <w:ind w:firstLine="6300" w:firstLineChars="3000"/>
        <w:rPr>
          <w:rFonts w:ascii="宋体" w:hAnsi="宋体" w:eastAsia="宋体" w:cs="宋体"/>
          <w:color w:val="auto"/>
          <w:szCs w:val="21"/>
        </w:rPr>
      </w:pPr>
      <w:r>
        <w:rPr>
          <w:rFonts w:hint="eastAsia" w:ascii="宋体" w:hAnsi="宋体" w:eastAsia="宋体" w:cs="宋体"/>
          <w:color w:val="auto"/>
          <w:szCs w:val="21"/>
          <w:lang w:eastAsia="zh-CN"/>
        </w:rPr>
        <w:t>行业</w:t>
      </w:r>
      <w:r>
        <w:rPr>
          <w:rFonts w:hint="eastAsia" w:ascii="宋体" w:hAnsi="宋体" w:eastAsia="宋体" w:cs="宋体"/>
          <w:color w:val="auto"/>
          <w:szCs w:val="21"/>
        </w:rPr>
        <w:t>标准</w:t>
      </w:r>
      <w:r>
        <w:rPr>
          <w:rFonts w:hint="eastAsia" w:ascii="宋体" w:hAnsi="宋体" w:eastAsia="宋体" w:cs="宋体"/>
          <w:color w:val="auto"/>
          <w:szCs w:val="21"/>
          <w:lang w:eastAsia="zh-CN"/>
        </w:rPr>
        <w:t>编制</w:t>
      </w:r>
      <w:r>
        <w:rPr>
          <w:rFonts w:hint="eastAsia" w:ascii="宋体" w:hAnsi="宋体" w:eastAsia="宋体" w:cs="宋体"/>
          <w:color w:val="auto"/>
          <w:szCs w:val="21"/>
        </w:rPr>
        <w:t>组</w:t>
      </w:r>
    </w:p>
    <w:p>
      <w:pPr>
        <w:jc w:val="center"/>
        <w:rPr>
          <w:rFonts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bookmarkStart w:id="20" w:name="_Toc5605_WPSOffice_Level1"/>
      <w:r>
        <w:rPr>
          <w:rFonts w:hint="eastAsia" w:ascii="宋体" w:hAnsi="宋体" w:eastAsia="宋体" w:cs="宋体"/>
          <w:color w:val="auto"/>
          <w:szCs w:val="21"/>
        </w:rPr>
        <w:t>201</w:t>
      </w:r>
      <w:r>
        <w:rPr>
          <w:rFonts w:hint="eastAsia" w:ascii="宋体" w:hAnsi="宋体" w:eastAsia="宋体" w:cs="宋体"/>
          <w:color w:val="auto"/>
          <w:szCs w:val="21"/>
          <w:lang w:val="en-US" w:eastAsia="zh-CN"/>
        </w:rPr>
        <w:t>9</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w:t>
      </w:r>
      <w:bookmarkEnd w:id="2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PMingLiU"/>
    <w:panose1 w:val="020F0302020204030204"/>
    <w:charset w:val="00"/>
    <w:family w:val="swiss"/>
    <w:pitch w:val="default"/>
    <w:sig w:usb0="00000000" w:usb1="00000000" w:usb2="00000000" w:usb3="00000000" w:csb0="2000019F" w:csb1="00000000"/>
  </w:font>
  <w:font w:name="font-weight : 700">
    <w:altName w:val="Courier New"/>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val="en-US" w:eastAsia="zh-CN"/>
                      </w:rPr>
                    </w:pPr>
                    <w:r>
                      <w:rPr>
                        <w:rFonts w:hint="eastAsia"/>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BBF79"/>
    <w:multiLevelType w:val="singleLevel"/>
    <w:tmpl w:val="C64BBF79"/>
    <w:lvl w:ilvl="0" w:tentative="0">
      <w:start w:val="8"/>
      <w:numFmt w:val="decimal"/>
      <w:lvlText w:val="%1."/>
      <w:lvlJc w:val="left"/>
      <w:pPr>
        <w:tabs>
          <w:tab w:val="left" w:pos="312"/>
        </w:tabs>
        <w:ind w:left="472" w:leftChars="0" w:firstLine="0" w:firstLineChars="0"/>
      </w:pPr>
    </w:lvl>
  </w:abstractNum>
  <w:abstractNum w:abstractNumId="1">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992511"/>
    <w:multiLevelType w:val="singleLevel"/>
    <w:tmpl w:val="16992511"/>
    <w:lvl w:ilvl="0" w:tentative="0">
      <w:start w:val="2"/>
      <w:numFmt w:val="chineseCounting"/>
      <w:suff w:val="nothing"/>
      <w:lvlText w:val="%1、"/>
      <w:lvlJc w:val="left"/>
      <w:rPr>
        <w:rFonts w:hint="eastAsia"/>
      </w:rPr>
    </w:lvl>
  </w:abstractNum>
  <w:abstractNum w:abstractNumId="3">
    <w:nsid w:val="50017095"/>
    <w:multiLevelType w:val="singleLevel"/>
    <w:tmpl w:val="50017095"/>
    <w:lvl w:ilvl="0" w:tentative="0">
      <w:start w:val="1"/>
      <w:numFmt w:val="decimal"/>
      <w:suff w:val="nothing"/>
      <w:lvlText w:val="%1、"/>
      <w:lvlJc w:val="left"/>
    </w:lvl>
  </w:abstractNum>
  <w:abstractNum w:abstractNumId="4">
    <w:nsid w:val="543AFA91"/>
    <w:multiLevelType w:val="singleLevel"/>
    <w:tmpl w:val="543AFA91"/>
    <w:lvl w:ilvl="0" w:tentative="0">
      <w:start w:val="1"/>
      <w:numFmt w:val="lowerLetter"/>
      <w:suff w:val="space"/>
      <w:lvlText w:val="%1)"/>
      <w:lvlJc w:val="left"/>
    </w:lvl>
  </w:abstractNum>
  <w:abstractNum w:abstractNumId="5">
    <w:nsid w:val="7C06B006"/>
    <w:multiLevelType w:val="singleLevel"/>
    <w:tmpl w:val="7C06B006"/>
    <w:lvl w:ilvl="0" w:tentative="0">
      <w:start w:val="8"/>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14ABC"/>
    <w:rsid w:val="00050689"/>
    <w:rsid w:val="000E741C"/>
    <w:rsid w:val="00120C23"/>
    <w:rsid w:val="00132BD7"/>
    <w:rsid w:val="00163001"/>
    <w:rsid w:val="001B7F7F"/>
    <w:rsid w:val="002B3B9B"/>
    <w:rsid w:val="005055D8"/>
    <w:rsid w:val="005378E6"/>
    <w:rsid w:val="00557E1E"/>
    <w:rsid w:val="007250D3"/>
    <w:rsid w:val="0080299D"/>
    <w:rsid w:val="009E16C1"/>
    <w:rsid w:val="00A243BC"/>
    <w:rsid w:val="00A65D83"/>
    <w:rsid w:val="00B14851"/>
    <w:rsid w:val="00B26DBD"/>
    <w:rsid w:val="00C0269A"/>
    <w:rsid w:val="00CC219E"/>
    <w:rsid w:val="00CE1BFB"/>
    <w:rsid w:val="00D40A73"/>
    <w:rsid w:val="00E47332"/>
    <w:rsid w:val="0116089D"/>
    <w:rsid w:val="012239FB"/>
    <w:rsid w:val="012D5BC1"/>
    <w:rsid w:val="015B7E57"/>
    <w:rsid w:val="01964C1C"/>
    <w:rsid w:val="01E64964"/>
    <w:rsid w:val="0206781B"/>
    <w:rsid w:val="022B544F"/>
    <w:rsid w:val="023C0B9E"/>
    <w:rsid w:val="025D375C"/>
    <w:rsid w:val="029801E7"/>
    <w:rsid w:val="02C13066"/>
    <w:rsid w:val="02D850A0"/>
    <w:rsid w:val="02F025C9"/>
    <w:rsid w:val="02FD7E48"/>
    <w:rsid w:val="035F56DF"/>
    <w:rsid w:val="037A518F"/>
    <w:rsid w:val="03FF2F0B"/>
    <w:rsid w:val="040373EF"/>
    <w:rsid w:val="04292B69"/>
    <w:rsid w:val="045F3465"/>
    <w:rsid w:val="0513468E"/>
    <w:rsid w:val="05373C8F"/>
    <w:rsid w:val="055966EB"/>
    <w:rsid w:val="058F7790"/>
    <w:rsid w:val="05E53DAB"/>
    <w:rsid w:val="062A5230"/>
    <w:rsid w:val="06A438F6"/>
    <w:rsid w:val="06A96575"/>
    <w:rsid w:val="06BE5EF0"/>
    <w:rsid w:val="06D14108"/>
    <w:rsid w:val="06D638F5"/>
    <w:rsid w:val="06E331EE"/>
    <w:rsid w:val="077F1313"/>
    <w:rsid w:val="078540B0"/>
    <w:rsid w:val="07DE7CA5"/>
    <w:rsid w:val="07E33BC6"/>
    <w:rsid w:val="08076A33"/>
    <w:rsid w:val="083B35B6"/>
    <w:rsid w:val="08852D0C"/>
    <w:rsid w:val="08F40AD4"/>
    <w:rsid w:val="09524322"/>
    <w:rsid w:val="09720E75"/>
    <w:rsid w:val="097A106B"/>
    <w:rsid w:val="09A0742A"/>
    <w:rsid w:val="09A40751"/>
    <w:rsid w:val="09A649CF"/>
    <w:rsid w:val="09C33753"/>
    <w:rsid w:val="09C53FE8"/>
    <w:rsid w:val="0A3328B0"/>
    <w:rsid w:val="0A4F7F87"/>
    <w:rsid w:val="0A5032F3"/>
    <w:rsid w:val="0A8C03F5"/>
    <w:rsid w:val="0AA8516A"/>
    <w:rsid w:val="0ACB6CBD"/>
    <w:rsid w:val="0ADA6FB6"/>
    <w:rsid w:val="0B6F02E1"/>
    <w:rsid w:val="0B8D4EEE"/>
    <w:rsid w:val="0B9856A8"/>
    <w:rsid w:val="0C0D4B54"/>
    <w:rsid w:val="0C185A2D"/>
    <w:rsid w:val="0C2918D4"/>
    <w:rsid w:val="0C9456C1"/>
    <w:rsid w:val="0D2174CD"/>
    <w:rsid w:val="0D271E8E"/>
    <w:rsid w:val="0D862043"/>
    <w:rsid w:val="0DA11596"/>
    <w:rsid w:val="0DDE6D96"/>
    <w:rsid w:val="0DF260C4"/>
    <w:rsid w:val="0DF84CC6"/>
    <w:rsid w:val="0DFF0F24"/>
    <w:rsid w:val="0E5C3BAE"/>
    <w:rsid w:val="0EDA0E5E"/>
    <w:rsid w:val="0EE86234"/>
    <w:rsid w:val="0F120820"/>
    <w:rsid w:val="0F4437C7"/>
    <w:rsid w:val="0F464C87"/>
    <w:rsid w:val="0F4A4934"/>
    <w:rsid w:val="0F8745A9"/>
    <w:rsid w:val="0FFD5B68"/>
    <w:rsid w:val="102165D8"/>
    <w:rsid w:val="103E3B1A"/>
    <w:rsid w:val="106A594C"/>
    <w:rsid w:val="10742555"/>
    <w:rsid w:val="10D71718"/>
    <w:rsid w:val="10F65F0B"/>
    <w:rsid w:val="10FC0441"/>
    <w:rsid w:val="110D53C3"/>
    <w:rsid w:val="113108FC"/>
    <w:rsid w:val="1175481A"/>
    <w:rsid w:val="118212DD"/>
    <w:rsid w:val="11883F20"/>
    <w:rsid w:val="11BC428B"/>
    <w:rsid w:val="11C96F13"/>
    <w:rsid w:val="11D53EE6"/>
    <w:rsid w:val="11EB797F"/>
    <w:rsid w:val="11F63211"/>
    <w:rsid w:val="126828C9"/>
    <w:rsid w:val="12835D7A"/>
    <w:rsid w:val="12926281"/>
    <w:rsid w:val="12C42616"/>
    <w:rsid w:val="12C96C23"/>
    <w:rsid w:val="12D44DC5"/>
    <w:rsid w:val="12E10203"/>
    <w:rsid w:val="12E51CC7"/>
    <w:rsid w:val="12E55EE1"/>
    <w:rsid w:val="13290056"/>
    <w:rsid w:val="132B6C9F"/>
    <w:rsid w:val="13880828"/>
    <w:rsid w:val="13CF2422"/>
    <w:rsid w:val="13E518B6"/>
    <w:rsid w:val="1480248F"/>
    <w:rsid w:val="1489698D"/>
    <w:rsid w:val="14D446E7"/>
    <w:rsid w:val="14E87BBC"/>
    <w:rsid w:val="14EC6B03"/>
    <w:rsid w:val="14F567B2"/>
    <w:rsid w:val="14F70DC8"/>
    <w:rsid w:val="150D652C"/>
    <w:rsid w:val="153D3802"/>
    <w:rsid w:val="15FD5389"/>
    <w:rsid w:val="16020E79"/>
    <w:rsid w:val="169E2105"/>
    <w:rsid w:val="16B6361F"/>
    <w:rsid w:val="16D20E0B"/>
    <w:rsid w:val="16EE60E4"/>
    <w:rsid w:val="16F058A0"/>
    <w:rsid w:val="17167E38"/>
    <w:rsid w:val="172A671D"/>
    <w:rsid w:val="174728A3"/>
    <w:rsid w:val="177779B0"/>
    <w:rsid w:val="17933E9A"/>
    <w:rsid w:val="17BD7C87"/>
    <w:rsid w:val="181C3FF9"/>
    <w:rsid w:val="18225BBA"/>
    <w:rsid w:val="182A4ADF"/>
    <w:rsid w:val="18442D45"/>
    <w:rsid w:val="18771F37"/>
    <w:rsid w:val="18C337DC"/>
    <w:rsid w:val="18D81BDF"/>
    <w:rsid w:val="18E22D82"/>
    <w:rsid w:val="18E4748C"/>
    <w:rsid w:val="18FC17FC"/>
    <w:rsid w:val="190C632D"/>
    <w:rsid w:val="192119E1"/>
    <w:rsid w:val="193075EB"/>
    <w:rsid w:val="193B4181"/>
    <w:rsid w:val="19737FE1"/>
    <w:rsid w:val="199C1594"/>
    <w:rsid w:val="19B5146D"/>
    <w:rsid w:val="19C05A58"/>
    <w:rsid w:val="19E36F8C"/>
    <w:rsid w:val="1A140D98"/>
    <w:rsid w:val="1AC942E2"/>
    <w:rsid w:val="1ADA4E92"/>
    <w:rsid w:val="1B0B6E02"/>
    <w:rsid w:val="1B3B3D29"/>
    <w:rsid w:val="1B9019A5"/>
    <w:rsid w:val="1B9A59B3"/>
    <w:rsid w:val="1C07014A"/>
    <w:rsid w:val="1C176B2D"/>
    <w:rsid w:val="1CB62C85"/>
    <w:rsid w:val="1CC67938"/>
    <w:rsid w:val="1CCD0F8A"/>
    <w:rsid w:val="1CD04AA0"/>
    <w:rsid w:val="1CDF1B0C"/>
    <w:rsid w:val="1CE51CB6"/>
    <w:rsid w:val="1D170A7F"/>
    <w:rsid w:val="1D3959A1"/>
    <w:rsid w:val="1D7761FB"/>
    <w:rsid w:val="1D834466"/>
    <w:rsid w:val="1DA922E2"/>
    <w:rsid w:val="1DD13642"/>
    <w:rsid w:val="1E0557BF"/>
    <w:rsid w:val="1E270E79"/>
    <w:rsid w:val="1E5534C9"/>
    <w:rsid w:val="1ED47E09"/>
    <w:rsid w:val="1EDF64F5"/>
    <w:rsid w:val="1F0D431C"/>
    <w:rsid w:val="1F0F11CF"/>
    <w:rsid w:val="1F4C74E1"/>
    <w:rsid w:val="1F9C5FCB"/>
    <w:rsid w:val="1F9D2A95"/>
    <w:rsid w:val="1FBA6363"/>
    <w:rsid w:val="1FD962AE"/>
    <w:rsid w:val="200B3322"/>
    <w:rsid w:val="20144EE1"/>
    <w:rsid w:val="20882669"/>
    <w:rsid w:val="20A770D1"/>
    <w:rsid w:val="20A77CCD"/>
    <w:rsid w:val="20EF7946"/>
    <w:rsid w:val="2150112A"/>
    <w:rsid w:val="219A3D96"/>
    <w:rsid w:val="21BE12E8"/>
    <w:rsid w:val="21BF7387"/>
    <w:rsid w:val="21E93A9D"/>
    <w:rsid w:val="21EE608B"/>
    <w:rsid w:val="21F578F0"/>
    <w:rsid w:val="22085C86"/>
    <w:rsid w:val="22252E01"/>
    <w:rsid w:val="22261F1D"/>
    <w:rsid w:val="22360FA9"/>
    <w:rsid w:val="22973B4F"/>
    <w:rsid w:val="22AD307A"/>
    <w:rsid w:val="22F31C10"/>
    <w:rsid w:val="23366EA7"/>
    <w:rsid w:val="23750DB0"/>
    <w:rsid w:val="23896CC5"/>
    <w:rsid w:val="239D680B"/>
    <w:rsid w:val="24010B95"/>
    <w:rsid w:val="2479609D"/>
    <w:rsid w:val="247D572C"/>
    <w:rsid w:val="24830D85"/>
    <w:rsid w:val="24AF35D7"/>
    <w:rsid w:val="24C8707F"/>
    <w:rsid w:val="24D3308C"/>
    <w:rsid w:val="24F928BC"/>
    <w:rsid w:val="254E5B6C"/>
    <w:rsid w:val="259A016F"/>
    <w:rsid w:val="25AC6DE6"/>
    <w:rsid w:val="25D90BC9"/>
    <w:rsid w:val="260773CD"/>
    <w:rsid w:val="26240D86"/>
    <w:rsid w:val="267F7CDF"/>
    <w:rsid w:val="26834279"/>
    <w:rsid w:val="26AF5FF1"/>
    <w:rsid w:val="26C00634"/>
    <w:rsid w:val="2745198F"/>
    <w:rsid w:val="27564BCB"/>
    <w:rsid w:val="27C55CE7"/>
    <w:rsid w:val="28070FF8"/>
    <w:rsid w:val="288923D6"/>
    <w:rsid w:val="28A62D0D"/>
    <w:rsid w:val="28B23C42"/>
    <w:rsid w:val="28CB4513"/>
    <w:rsid w:val="28DB065E"/>
    <w:rsid w:val="290A5339"/>
    <w:rsid w:val="291E73BB"/>
    <w:rsid w:val="292305B3"/>
    <w:rsid w:val="2951626D"/>
    <w:rsid w:val="29A3531A"/>
    <w:rsid w:val="29AD565C"/>
    <w:rsid w:val="29F82336"/>
    <w:rsid w:val="2A2D122A"/>
    <w:rsid w:val="2A894F95"/>
    <w:rsid w:val="2AC404CC"/>
    <w:rsid w:val="2B3A43A5"/>
    <w:rsid w:val="2B540F57"/>
    <w:rsid w:val="2B645524"/>
    <w:rsid w:val="2B76045C"/>
    <w:rsid w:val="2B7C39A4"/>
    <w:rsid w:val="2B977003"/>
    <w:rsid w:val="2BBF6D83"/>
    <w:rsid w:val="2BEF318A"/>
    <w:rsid w:val="2C061EA0"/>
    <w:rsid w:val="2C11093B"/>
    <w:rsid w:val="2C22265E"/>
    <w:rsid w:val="2C374435"/>
    <w:rsid w:val="2C786459"/>
    <w:rsid w:val="2CA16006"/>
    <w:rsid w:val="2CB53F43"/>
    <w:rsid w:val="2D0E4DD1"/>
    <w:rsid w:val="2D37529C"/>
    <w:rsid w:val="2D9F05D8"/>
    <w:rsid w:val="2DCE5491"/>
    <w:rsid w:val="2E283222"/>
    <w:rsid w:val="2E2D4E4A"/>
    <w:rsid w:val="2E305CDE"/>
    <w:rsid w:val="2EA5622A"/>
    <w:rsid w:val="2EBD03FF"/>
    <w:rsid w:val="2EFE026B"/>
    <w:rsid w:val="2F065DF4"/>
    <w:rsid w:val="2F22744A"/>
    <w:rsid w:val="2F4626E6"/>
    <w:rsid w:val="2F9E35F0"/>
    <w:rsid w:val="2FB45A06"/>
    <w:rsid w:val="2FF57D2C"/>
    <w:rsid w:val="30116DDD"/>
    <w:rsid w:val="30335796"/>
    <w:rsid w:val="303B3EBD"/>
    <w:rsid w:val="305C4832"/>
    <w:rsid w:val="30EB1AD3"/>
    <w:rsid w:val="31133926"/>
    <w:rsid w:val="315A50BF"/>
    <w:rsid w:val="31604DBB"/>
    <w:rsid w:val="31641394"/>
    <w:rsid w:val="318E14EE"/>
    <w:rsid w:val="31C06E6D"/>
    <w:rsid w:val="31D55565"/>
    <w:rsid w:val="322067A2"/>
    <w:rsid w:val="322E16BB"/>
    <w:rsid w:val="329D1074"/>
    <w:rsid w:val="32D35D03"/>
    <w:rsid w:val="32D54AEE"/>
    <w:rsid w:val="32F93FAC"/>
    <w:rsid w:val="33126CD4"/>
    <w:rsid w:val="33606BEE"/>
    <w:rsid w:val="33E63480"/>
    <w:rsid w:val="33F62574"/>
    <w:rsid w:val="33FF032E"/>
    <w:rsid w:val="3408708B"/>
    <w:rsid w:val="34343587"/>
    <w:rsid w:val="349F6BE6"/>
    <w:rsid w:val="353702F2"/>
    <w:rsid w:val="353A2D98"/>
    <w:rsid w:val="35897B07"/>
    <w:rsid w:val="35941DAB"/>
    <w:rsid w:val="35AA402E"/>
    <w:rsid w:val="35D068F7"/>
    <w:rsid w:val="36387CDB"/>
    <w:rsid w:val="36401EDE"/>
    <w:rsid w:val="364D0C95"/>
    <w:rsid w:val="366E4528"/>
    <w:rsid w:val="368D71AA"/>
    <w:rsid w:val="36A56917"/>
    <w:rsid w:val="36A92E97"/>
    <w:rsid w:val="36CF0904"/>
    <w:rsid w:val="37060C60"/>
    <w:rsid w:val="372B789B"/>
    <w:rsid w:val="37422912"/>
    <w:rsid w:val="379414C8"/>
    <w:rsid w:val="37BB30DE"/>
    <w:rsid w:val="37BF6A9A"/>
    <w:rsid w:val="37DE4837"/>
    <w:rsid w:val="37DF2BB5"/>
    <w:rsid w:val="37EA075A"/>
    <w:rsid w:val="37F60924"/>
    <w:rsid w:val="381D6E59"/>
    <w:rsid w:val="38727468"/>
    <w:rsid w:val="3937049F"/>
    <w:rsid w:val="39463B5F"/>
    <w:rsid w:val="39CE4E58"/>
    <w:rsid w:val="3A2D5291"/>
    <w:rsid w:val="3A436CF3"/>
    <w:rsid w:val="3A8A12C3"/>
    <w:rsid w:val="3AD02444"/>
    <w:rsid w:val="3B37364C"/>
    <w:rsid w:val="3B5676FC"/>
    <w:rsid w:val="3C0B624C"/>
    <w:rsid w:val="3C535517"/>
    <w:rsid w:val="3C74420E"/>
    <w:rsid w:val="3C7C659F"/>
    <w:rsid w:val="3CC34684"/>
    <w:rsid w:val="3CDC584D"/>
    <w:rsid w:val="3D927EFD"/>
    <w:rsid w:val="3D931983"/>
    <w:rsid w:val="3D9E4640"/>
    <w:rsid w:val="3DC0126B"/>
    <w:rsid w:val="3DCC302D"/>
    <w:rsid w:val="3E24726D"/>
    <w:rsid w:val="3E5B1867"/>
    <w:rsid w:val="3E630FEA"/>
    <w:rsid w:val="3EC14CC3"/>
    <w:rsid w:val="3EE43225"/>
    <w:rsid w:val="3F30287E"/>
    <w:rsid w:val="3F562D4E"/>
    <w:rsid w:val="3F710CE9"/>
    <w:rsid w:val="3FEC62AA"/>
    <w:rsid w:val="3FF26CF7"/>
    <w:rsid w:val="3FFA7337"/>
    <w:rsid w:val="40085762"/>
    <w:rsid w:val="40902BDE"/>
    <w:rsid w:val="41186E43"/>
    <w:rsid w:val="41336CEF"/>
    <w:rsid w:val="41510083"/>
    <w:rsid w:val="416662A3"/>
    <w:rsid w:val="416C1C89"/>
    <w:rsid w:val="419955D6"/>
    <w:rsid w:val="41B85BD7"/>
    <w:rsid w:val="41CF5E1C"/>
    <w:rsid w:val="41FE7DBA"/>
    <w:rsid w:val="421F0AEB"/>
    <w:rsid w:val="42213F46"/>
    <w:rsid w:val="4222551A"/>
    <w:rsid w:val="42254663"/>
    <w:rsid w:val="422A49E9"/>
    <w:rsid w:val="427145DD"/>
    <w:rsid w:val="42AD7154"/>
    <w:rsid w:val="42EF3F9D"/>
    <w:rsid w:val="43232012"/>
    <w:rsid w:val="435529DD"/>
    <w:rsid w:val="437E16D0"/>
    <w:rsid w:val="438B10C5"/>
    <w:rsid w:val="439A63F4"/>
    <w:rsid w:val="43DB047F"/>
    <w:rsid w:val="4498621D"/>
    <w:rsid w:val="44AF6CFC"/>
    <w:rsid w:val="44F52769"/>
    <w:rsid w:val="44F95A98"/>
    <w:rsid w:val="454C67B9"/>
    <w:rsid w:val="457A038F"/>
    <w:rsid w:val="45B042EF"/>
    <w:rsid w:val="45B7143F"/>
    <w:rsid w:val="460756BF"/>
    <w:rsid w:val="466F62C0"/>
    <w:rsid w:val="4672732B"/>
    <w:rsid w:val="46795CA0"/>
    <w:rsid w:val="46A0773F"/>
    <w:rsid w:val="46AE6BBB"/>
    <w:rsid w:val="46BA6A94"/>
    <w:rsid w:val="46BA6ECE"/>
    <w:rsid w:val="46BD4547"/>
    <w:rsid w:val="46CE41E6"/>
    <w:rsid w:val="46F118D4"/>
    <w:rsid w:val="470C59DD"/>
    <w:rsid w:val="47B37B83"/>
    <w:rsid w:val="47C17233"/>
    <w:rsid w:val="47DD2A11"/>
    <w:rsid w:val="47E8196F"/>
    <w:rsid w:val="48560C3D"/>
    <w:rsid w:val="489A22B2"/>
    <w:rsid w:val="48EF3305"/>
    <w:rsid w:val="492E2158"/>
    <w:rsid w:val="496E546F"/>
    <w:rsid w:val="499C4A5E"/>
    <w:rsid w:val="49B85F37"/>
    <w:rsid w:val="49C21E32"/>
    <w:rsid w:val="49CC3041"/>
    <w:rsid w:val="49EC4082"/>
    <w:rsid w:val="49FA5087"/>
    <w:rsid w:val="4A131D1E"/>
    <w:rsid w:val="4A392E71"/>
    <w:rsid w:val="4A4F0E1E"/>
    <w:rsid w:val="4A58196F"/>
    <w:rsid w:val="4A663504"/>
    <w:rsid w:val="4A77016E"/>
    <w:rsid w:val="4ABD26E3"/>
    <w:rsid w:val="4AD76DAD"/>
    <w:rsid w:val="4AEE69CB"/>
    <w:rsid w:val="4B152498"/>
    <w:rsid w:val="4B2A3290"/>
    <w:rsid w:val="4B424A78"/>
    <w:rsid w:val="4B602C70"/>
    <w:rsid w:val="4B8779DE"/>
    <w:rsid w:val="4BA200F7"/>
    <w:rsid w:val="4BD7254B"/>
    <w:rsid w:val="4C2C630F"/>
    <w:rsid w:val="4C8F5F47"/>
    <w:rsid w:val="4CE776BD"/>
    <w:rsid w:val="4CEC6B41"/>
    <w:rsid w:val="4D016626"/>
    <w:rsid w:val="4D386E1F"/>
    <w:rsid w:val="4D537813"/>
    <w:rsid w:val="4D5E5EB1"/>
    <w:rsid w:val="4DC75CCA"/>
    <w:rsid w:val="4E031410"/>
    <w:rsid w:val="4E06295C"/>
    <w:rsid w:val="4E0831AD"/>
    <w:rsid w:val="4E0D4DF1"/>
    <w:rsid w:val="4E2B3C43"/>
    <w:rsid w:val="4E435A6D"/>
    <w:rsid w:val="4EB56FF5"/>
    <w:rsid w:val="4EDF60AA"/>
    <w:rsid w:val="4EF9660C"/>
    <w:rsid w:val="4F47148C"/>
    <w:rsid w:val="4F7D02C6"/>
    <w:rsid w:val="4FCA1CF1"/>
    <w:rsid w:val="50096FFC"/>
    <w:rsid w:val="500D3ADF"/>
    <w:rsid w:val="5013040D"/>
    <w:rsid w:val="502A5572"/>
    <w:rsid w:val="503E77DE"/>
    <w:rsid w:val="504B37B0"/>
    <w:rsid w:val="50C31E2C"/>
    <w:rsid w:val="510B2C12"/>
    <w:rsid w:val="51115D67"/>
    <w:rsid w:val="519461A0"/>
    <w:rsid w:val="519C5453"/>
    <w:rsid w:val="51BE7122"/>
    <w:rsid w:val="51EE1549"/>
    <w:rsid w:val="52114E8E"/>
    <w:rsid w:val="52173971"/>
    <w:rsid w:val="52673312"/>
    <w:rsid w:val="528249B9"/>
    <w:rsid w:val="528E050C"/>
    <w:rsid w:val="52ED0CA1"/>
    <w:rsid w:val="53114ABC"/>
    <w:rsid w:val="533A0E0D"/>
    <w:rsid w:val="533E597D"/>
    <w:rsid w:val="534473C6"/>
    <w:rsid w:val="537C0C49"/>
    <w:rsid w:val="53C54620"/>
    <w:rsid w:val="53D7562E"/>
    <w:rsid w:val="53DE70FF"/>
    <w:rsid w:val="53F905EF"/>
    <w:rsid w:val="54107863"/>
    <w:rsid w:val="544661B8"/>
    <w:rsid w:val="54BA5E7D"/>
    <w:rsid w:val="553C354B"/>
    <w:rsid w:val="557D1775"/>
    <w:rsid w:val="558F69A2"/>
    <w:rsid w:val="5593554E"/>
    <w:rsid w:val="55C77FAE"/>
    <w:rsid w:val="55E910E2"/>
    <w:rsid w:val="55F61C3F"/>
    <w:rsid w:val="564E62BD"/>
    <w:rsid w:val="56C04AFA"/>
    <w:rsid w:val="56DD2E6F"/>
    <w:rsid w:val="56F12540"/>
    <w:rsid w:val="56F9144A"/>
    <w:rsid w:val="571F5E94"/>
    <w:rsid w:val="579605C9"/>
    <w:rsid w:val="57C250C5"/>
    <w:rsid w:val="57D56F73"/>
    <w:rsid w:val="57DD2865"/>
    <w:rsid w:val="57E34CF4"/>
    <w:rsid w:val="581543F7"/>
    <w:rsid w:val="582861C7"/>
    <w:rsid w:val="5882685B"/>
    <w:rsid w:val="589674A1"/>
    <w:rsid w:val="58AF4F3F"/>
    <w:rsid w:val="58C309D8"/>
    <w:rsid w:val="58DA04E1"/>
    <w:rsid w:val="59073632"/>
    <w:rsid w:val="59832EB5"/>
    <w:rsid w:val="59981743"/>
    <w:rsid w:val="59A858D6"/>
    <w:rsid w:val="59F84D6B"/>
    <w:rsid w:val="5A593F0D"/>
    <w:rsid w:val="5A5E04D2"/>
    <w:rsid w:val="5A6301A5"/>
    <w:rsid w:val="5A863DA1"/>
    <w:rsid w:val="5AAA55C3"/>
    <w:rsid w:val="5B403461"/>
    <w:rsid w:val="5BAE0099"/>
    <w:rsid w:val="5BED3DD5"/>
    <w:rsid w:val="5BF45BFD"/>
    <w:rsid w:val="5C3C2F85"/>
    <w:rsid w:val="5C630D33"/>
    <w:rsid w:val="5C9216ED"/>
    <w:rsid w:val="5C954C39"/>
    <w:rsid w:val="5CAA2725"/>
    <w:rsid w:val="5D6959FE"/>
    <w:rsid w:val="5DBB5BE4"/>
    <w:rsid w:val="5DDC0A09"/>
    <w:rsid w:val="5E132517"/>
    <w:rsid w:val="5E3A3462"/>
    <w:rsid w:val="5E55069E"/>
    <w:rsid w:val="5E6D4D39"/>
    <w:rsid w:val="5E796D0F"/>
    <w:rsid w:val="5EAD3BC1"/>
    <w:rsid w:val="5EE06B50"/>
    <w:rsid w:val="5EE47244"/>
    <w:rsid w:val="5F0741ED"/>
    <w:rsid w:val="5F4A0D71"/>
    <w:rsid w:val="5F557247"/>
    <w:rsid w:val="5F8F1C6C"/>
    <w:rsid w:val="5F9A4DE0"/>
    <w:rsid w:val="5FA60DC7"/>
    <w:rsid w:val="5FEF79CA"/>
    <w:rsid w:val="60971EF1"/>
    <w:rsid w:val="609D43C9"/>
    <w:rsid w:val="60FC6323"/>
    <w:rsid w:val="614E69DC"/>
    <w:rsid w:val="617D7C33"/>
    <w:rsid w:val="61936E41"/>
    <w:rsid w:val="61AC5986"/>
    <w:rsid w:val="61D60163"/>
    <w:rsid w:val="61F54C96"/>
    <w:rsid w:val="62011CED"/>
    <w:rsid w:val="62460E30"/>
    <w:rsid w:val="62B16078"/>
    <w:rsid w:val="62B258B7"/>
    <w:rsid w:val="63567A32"/>
    <w:rsid w:val="63B85100"/>
    <w:rsid w:val="63D05C9D"/>
    <w:rsid w:val="64426BFF"/>
    <w:rsid w:val="647F62C1"/>
    <w:rsid w:val="648115AB"/>
    <w:rsid w:val="64964C02"/>
    <w:rsid w:val="64A5078B"/>
    <w:rsid w:val="64C94098"/>
    <w:rsid w:val="64CA16BC"/>
    <w:rsid w:val="64DD447A"/>
    <w:rsid w:val="64E81368"/>
    <w:rsid w:val="651E6ED8"/>
    <w:rsid w:val="65200BE1"/>
    <w:rsid w:val="65470F5E"/>
    <w:rsid w:val="654B1CAB"/>
    <w:rsid w:val="659A14E9"/>
    <w:rsid w:val="659F4359"/>
    <w:rsid w:val="65A12981"/>
    <w:rsid w:val="65AE70A7"/>
    <w:rsid w:val="65CE74E4"/>
    <w:rsid w:val="66070D91"/>
    <w:rsid w:val="6612614D"/>
    <w:rsid w:val="66163758"/>
    <w:rsid w:val="66446B1A"/>
    <w:rsid w:val="664873A5"/>
    <w:rsid w:val="667742E5"/>
    <w:rsid w:val="66796FC1"/>
    <w:rsid w:val="66AB1979"/>
    <w:rsid w:val="66B261BA"/>
    <w:rsid w:val="66CC4796"/>
    <w:rsid w:val="66CD113D"/>
    <w:rsid w:val="66D401F3"/>
    <w:rsid w:val="670924D5"/>
    <w:rsid w:val="677909E8"/>
    <w:rsid w:val="677B0B3D"/>
    <w:rsid w:val="67B3025F"/>
    <w:rsid w:val="67C90D63"/>
    <w:rsid w:val="67D21A45"/>
    <w:rsid w:val="67FB7E3A"/>
    <w:rsid w:val="683C7601"/>
    <w:rsid w:val="68453EFA"/>
    <w:rsid w:val="686B372A"/>
    <w:rsid w:val="688543B3"/>
    <w:rsid w:val="68CE4930"/>
    <w:rsid w:val="6905640A"/>
    <w:rsid w:val="693A38E6"/>
    <w:rsid w:val="69943EFB"/>
    <w:rsid w:val="69CC45E7"/>
    <w:rsid w:val="69D567E6"/>
    <w:rsid w:val="6A373F37"/>
    <w:rsid w:val="6AB96F5B"/>
    <w:rsid w:val="6ABF28BE"/>
    <w:rsid w:val="6AFA086A"/>
    <w:rsid w:val="6AFF4968"/>
    <w:rsid w:val="6B2C26B0"/>
    <w:rsid w:val="6B2E47E5"/>
    <w:rsid w:val="6B5C19FB"/>
    <w:rsid w:val="6BA71D53"/>
    <w:rsid w:val="6BBB504E"/>
    <w:rsid w:val="6BDE7382"/>
    <w:rsid w:val="6C4147F2"/>
    <w:rsid w:val="6CB11977"/>
    <w:rsid w:val="6CEE48DF"/>
    <w:rsid w:val="6D2E46D5"/>
    <w:rsid w:val="6D535020"/>
    <w:rsid w:val="6D8267F1"/>
    <w:rsid w:val="6D9B3002"/>
    <w:rsid w:val="6DCC1596"/>
    <w:rsid w:val="6E0074AA"/>
    <w:rsid w:val="6E065335"/>
    <w:rsid w:val="6E6B7BFF"/>
    <w:rsid w:val="6E8051A1"/>
    <w:rsid w:val="6E8620B9"/>
    <w:rsid w:val="6EF671F7"/>
    <w:rsid w:val="6F4715AA"/>
    <w:rsid w:val="6F6727CE"/>
    <w:rsid w:val="6F6D0DEC"/>
    <w:rsid w:val="6F8654C7"/>
    <w:rsid w:val="703D3183"/>
    <w:rsid w:val="70610F66"/>
    <w:rsid w:val="70725896"/>
    <w:rsid w:val="70742228"/>
    <w:rsid w:val="70B42D80"/>
    <w:rsid w:val="70C8517B"/>
    <w:rsid w:val="70D65555"/>
    <w:rsid w:val="7133260C"/>
    <w:rsid w:val="717570AC"/>
    <w:rsid w:val="72187C7C"/>
    <w:rsid w:val="722532EC"/>
    <w:rsid w:val="726D1AB4"/>
    <w:rsid w:val="729F516E"/>
    <w:rsid w:val="72D85A9B"/>
    <w:rsid w:val="72DF74A9"/>
    <w:rsid w:val="7351529D"/>
    <w:rsid w:val="73697288"/>
    <w:rsid w:val="738A57F7"/>
    <w:rsid w:val="73A66724"/>
    <w:rsid w:val="73AB7B2A"/>
    <w:rsid w:val="73FA6CEB"/>
    <w:rsid w:val="744E1033"/>
    <w:rsid w:val="74664368"/>
    <w:rsid w:val="74893781"/>
    <w:rsid w:val="74A66E13"/>
    <w:rsid w:val="74D06A9C"/>
    <w:rsid w:val="74E73DE5"/>
    <w:rsid w:val="759370B7"/>
    <w:rsid w:val="75BB46DD"/>
    <w:rsid w:val="75CE2754"/>
    <w:rsid w:val="75D826F2"/>
    <w:rsid w:val="75FD4D3A"/>
    <w:rsid w:val="7600686A"/>
    <w:rsid w:val="761D2566"/>
    <w:rsid w:val="762B5068"/>
    <w:rsid w:val="772A1E4D"/>
    <w:rsid w:val="779846A3"/>
    <w:rsid w:val="77B64C0A"/>
    <w:rsid w:val="780163DA"/>
    <w:rsid w:val="78202483"/>
    <w:rsid w:val="78562BA6"/>
    <w:rsid w:val="78707AB8"/>
    <w:rsid w:val="787C3F75"/>
    <w:rsid w:val="78B15A36"/>
    <w:rsid w:val="791D122B"/>
    <w:rsid w:val="79223EF5"/>
    <w:rsid w:val="79270765"/>
    <w:rsid w:val="798816E8"/>
    <w:rsid w:val="79955914"/>
    <w:rsid w:val="79C815C4"/>
    <w:rsid w:val="7A0172A3"/>
    <w:rsid w:val="7A1265B7"/>
    <w:rsid w:val="7A3C5626"/>
    <w:rsid w:val="7A3C593D"/>
    <w:rsid w:val="7A493519"/>
    <w:rsid w:val="7A4A0C84"/>
    <w:rsid w:val="7A7932DB"/>
    <w:rsid w:val="7AE73725"/>
    <w:rsid w:val="7B0C1771"/>
    <w:rsid w:val="7B131413"/>
    <w:rsid w:val="7B675D13"/>
    <w:rsid w:val="7B6A5014"/>
    <w:rsid w:val="7BAC7ED0"/>
    <w:rsid w:val="7BDF65F0"/>
    <w:rsid w:val="7C55275C"/>
    <w:rsid w:val="7C9D2E75"/>
    <w:rsid w:val="7CAF066A"/>
    <w:rsid w:val="7CB54AB8"/>
    <w:rsid w:val="7CEA6E88"/>
    <w:rsid w:val="7D166822"/>
    <w:rsid w:val="7D2F1C7A"/>
    <w:rsid w:val="7D4A1D6E"/>
    <w:rsid w:val="7DE27E24"/>
    <w:rsid w:val="7DFA5FF8"/>
    <w:rsid w:val="7E1D7297"/>
    <w:rsid w:val="7E3962DE"/>
    <w:rsid w:val="7E667CD8"/>
    <w:rsid w:val="7E8E50EA"/>
    <w:rsid w:val="7EF329A2"/>
    <w:rsid w:val="7F485986"/>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outlineLvl w:val="0"/>
    </w:pPr>
    <w:rPr>
      <w:b/>
      <w:kern w:val="44"/>
      <w:sz w:val="28"/>
    </w:rPr>
  </w:style>
  <w:style w:type="paragraph" w:styleId="3">
    <w:name w:val="heading 2"/>
    <w:basedOn w:val="1"/>
    <w:next w:val="1"/>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22"/>
    <w:unhideWhenUsed/>
    <w:qFormat/>
    <w:uiPriority w:val="99"/>
    <w:pPr>
      <w:jc w:val="left"/>
    </w:pPr>
  </w:style>
  <w:style w:type="paragraph" w:styleId="7">
    <w:name w:val="Balloon Text"/>
    <w:basedOn w:val="1"/>
    <w:link w:val="21"/>
    <w:qFormat/>
    <w:uiPriority w:val="0"/>
    <w:pPr>
      <w:spacing w:line="240" w:lineRule="auto"/>
    </w:pPr>
    <w:rPr>
      <w:sz w:val="18"/>
      <w:szCs w:val="18"/>
    </w:rPr>
  </w:style>
  <w:style w:type="paragraph" w:styleId="8">
    <w:name w:val="footer"/>
    <w:basedOn w:val="1"/>
    <w:link w:val="25"/>
    <w:qFormat/>
    <w:uiPriority w:val="0"/>
    <w:pPr>
      <w:tabs>
        <w:tab w:val="center" w:pos="4153"/>
        <w:tab w:val="right" w:pos="8306"/>
      </w:tabs>
      <w:snapToGrid w:val="0"/>
      <w:spacing w:line="240" w:lineRule="auto"/>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0"/>
  </w:style>
  <w:style w:type="paragraph" w:styleId="11">
    <w:name w:val="Body Text Indent 3"/>
    <w:basedOn w:val="1"/>
    <w:qFormat/>
    <w:uiPriority w:val="0"/>
    <w:pPr>
      <w:ind w:firstLine="480" w:firstLineChars="200"/>
    </w:pPr>
    <w:rPr>
      <w:rFonts w:ascii="宋体" w:cs="Times New Roman"/>
      <w:sz w:val="24"/>
    </w:rPr>
  </w:style>
  <w:style w:type="paragraph" w:styleId="12">
    <w:name w:val="toc 2"/>
    <w:basedOn w:val="1"/>
    <w:next w:val="1"/>
    <w:qFormat/>
    <w:uiPriority w:val="0"/>
    <w:pPr>
      <w:ind w:left="420" w:leftChars="200"/>
    </w:pPr>
  </w:style>
  <w:style w:type="paragraph" w:styleId="13">
    <w:name w:val="annotation subject"/>
    <w:basedOn w:val="6"/>
    <w:next w:val="6"/>
    <w:link w:val="23"/>
    <w:qFormat/>
    <w:uiPriority w:val="0"/>
    <w:rPr>
      <w:b/>
      <w:bCs/>
    </w:rPr>
  </w:style>
  <w:style w:type="character" w:styleId="16">
    <w:name w:val="page number"/>
    <w:basedOn w:val="15"/>
    <w:qFormat/>
    <w:uiPriority w:val="0"/>
  </w:style>
  <w:style w:type="character" w:styleId="17">
    <w:name w:val="annotation reference"/>
    <w:basedOn w:val="15"/>
    <w:qFormat/>
    <w:uiPriority w:val="0"/>
    <w:rPr>
      <w:sz w:val="21"/>
      <w:szCs w:val="21"/>
    </w:rPr>
  </w:style>
  <w:style w:type="character" w:customStyle="1" w:styleId="18">
    <w:name w:val="font31"/>
    <w:basedOn w:val="15"/>
    <w:qFormat/>
    <w:uiPriority w:val="0"/>
    <w:rPr>
      <w:rFonts w:hint="default" w:ascii="font-weight : 700" w:hAnsi="font-weight : 700" w:eastAsia="font-weight : 700" w:cs="font-weight : 700"/>
      <w:color w:val="000000"/>
      <w:sz w:val="22"/>
      <w:szCs w:val="22"/>
      <w:u w:val="none"/>
    </w:rPr>
  </w:style>
  <w:style w:type="character" w:customStyle="1" w:styleId="19">
    <w:name w:val="font01"/>
    <w:basedOn w:val="15"/>
    <w:qFormat/>
    <w:uiPriority w:val="0"/>
    <w:rPr>
      <w:rFonts w:hint="default" w:ascii="font-weight : 400" w:hAnsi="font-weight : 400" w:eastAsia="font-weight : 400" w:cs="font-weight : 400"/>
      <w:color w:val="000000"/>
      <w:sz w:val="22"/>
      <w:szCs w:val="22"/>
      <w:u w:val="none"/>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批注框文本 Char"/>
    <w:basedOn w:val="15"/>
    <w:link w:val="7"/>
    <w:qFormat/>
    <w:uiPriority w:val="0"/>
    <w:rPr>
      <w:kern w:val="2"/>
      <w:sz w:val="18"/>
      <w:szCs w:val="18"/>
    </w:rPr>
  </w:style>
  <w:style w:type="character" w:customStyle="1" w:styleId="22">
    <w:name w:val="批注文字 Char"/>
    <w:basedOn w:val="15"/>
    <w:link w:val="6"/>
    <w:qFormat/>
    <w:uiPriority w:val="99"/>
    <w:rPr>
      <w:kern w:val="2"/>
      <w:sz w:val="21"/>
      <w:szCs w:val="24"/>
    </w:rPr>
  </w:style>
  <w:style w:type="character" w:customStyle="1" w:styleId="23">
    <w:name w:val="批注主题 Char"/>
    <w:basedOn w:val="22"/>
    <w:link w:val="13"/>
    <w:qFormat/>
    <w:uiPriority w:val="0"/>
    <w:rPr>
      <w:b/>
      <w:bCs/>
      <w:kern w:val="2"/>
      <w:sz w:val="21"/>
      <w:szCs w:val="24"/>
    </w:rPr>
  </w:style>
  <w:style w:type="character" w:customStyle="1" w:styleId="24">
    <w:name w:val="页眉 Char"/>
    <w:basedOn w:val="15"/>
    <w:link w:val="9"/>
    <w:qFormat/>
    <w:uiPriority w:val="0"/>
    <w:rPr>
      <w:rFonts w:asciiTheme="minorHAnsi" w:hAnsiTheme="minorHAnsi" w:eastAsiaTheme="minorEastAsia" w:cstheme="minorBidi"/>
      <w:kern w:val="2"/>
      <w:sz w:val="18"/>
      <w:szCs w:val="18"/>
    </w:rPr>
  </w:style>
  <w:style w:type="character" w:customStyle="1" w:styleId="25">
    <w:name w:val="页脚 Char"/>
    <w:basedOn w:val="15"/>
    <w:link w:val="8"/>
    <w:qFormat/>
    <w:uiPriority w:val="0"/>
    <w:rPr>
      <w:rFonts w:asciiTheme="minorHAnsi" w:hAnsiTheme="minorHAnsi" w:eastAsiaTheme="minorEastAsia" w:cstheme="minorBidi"/>
      <w:kern w:val="2"/>
      <w:sz w:val="18"/>
      <w:szCs w:val="18"/>
    </w:rPr>
  </w:style>
  <w:style w:type="character" w:customStyle="1" w:styleId="26">
    <w:name w:val="标题 4 Char"/>
    <w:basedOn w:val="15"/>
    <w:link w:val="5"/>
    <w:qFormat/>
    <w:uiPriority w:val="9"/>
    <w:rPr>
      <w:rFonts w:asciiTheme="majorHAnsi" w:hAnsiTheme="majorHAnsi" w:eastAsiaTheme="majorEastAsia" w:cstheme="majorBidi"/>
      <w:b/>
      <w:bCs/>
      <w:kern w:val="2"/>
      <w:sz w:val="28"/>
      <w:szCs w:val="28"/>
    </w:rPr>
  </w:style>
  <w:style w:type="paragraph" w:styleId="27">
    <w:name w:val="List Paragraph"/>
    <w:basedOn w:val="1"/>
    <w:qFormat/>
    <w:uiPriority w:val="34"/>
    <w:pPr>
      <w:ind w:firstLine="42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41"/>
    <w:basedOn w:val="15"/>
    <w:qFormat/>
    <w:uiPriority w:val="0"/>
    <w:rPr>
      <w:rFonts w:hint="eastAsia" w:ascii="新宋体" w:hAnsi="新宋体" w:eastAsia="新宋体" w:cs="新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16229</Words>
  <Characters>17250</Characters>
  <Lines>20</Lines>
  <Paragraphs>34</Paragraphs>
  <TotalTime>15</TotalTime>
  <ScaleCrop>false</ScaleCrop>
  <LinksUpToDate>false</LinksUpToDate>
  <CharactersWithSpaces>17797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2018-11-29T05:52:00Z</dcterms:created>
  <dc:creator>Hey Sherry</dc:creator>
  <cp:lastModifiedBy>蓝山</cp:lastModifiedBy>
  <cp:lastPrinted>2018-12-20T00:46:00Z</cp:lastPrinted>
  <dcterms:modified xsi:type="dcterms:W3CDTF">2019-11-20T07:52:33Z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