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E499F" w:rsidRDefault="003E499F">
      <w:pPr>
        <w:pStyle w:val="afffff1"/>
        <w:sectPr w:rsidR="003E499F">
          <w:headerReference w:type="even" r:id="rId8"/>
          <w:headerReference w:type="default" r:id="rId9"/>
          <w:footerReference w:type="even" r:id="rId10"/>
          <w:footerReference w:type="default" r:id="rId11"/>
          <w:headerReference w:type="first" r:id="rId12"/>
          <w:footerReference w:type="first" r:id="rId13"/>
          <w:pgSz w:w="11907" w:h="16839"/>
          <w:pgMar w:top="567" w:right="851" w:bottom="1361" w:left="1418" w:header="0" w:footer="0" w:gutter="0"/>
          <w:pgNumType w:start="1"/>
          <w:cols w:space="720"/>
          <w:titlePg/>
          <w:docGrid w:type="lines" w:linePitch="312"/>
        </w:sectPr>
      </w:pPr>
      <w:bookmarkStart w:id="0" w:name="SectionMark0"/>
      <w:r>
        <w:pict>
          <v:line id="直线 4" o:spid="_x0000_s1026" style="position:absolute;left:0;text-align:left;z-index:1" from="0,679.15pt" to="482pt,679.15pt" o:gfxdata="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FUK9tYAAAAKAQAADwAAAAAAAAABACAAAAAiAAAA&#10;ZHJzL2Rvd25yZXYueG1sUEsBAhQAFAAAAAgAh07iQMQbls/QAQAAnQMAAA4AAAAAAAAAAQAgAAAA&#10;JQEAAGRycy9lMm9Eb2MueG1sUEsFBgAAAAAGAAYAWQEAAGcFAAAAAA==&#10;" strokeweight="1pt"/>
        </w:pict>
      </w:r>
      <w:r>
        <w:pict>
          <v:shapetype id="_x0000_t32" coordsize="21600,21600" o:spt="32" o:oned="t" path="m,l21600,21600e" filled="f">
            <v:path arrowok="t" fillok="f" o:connecttype="none"/>
            <o:lock v:ext="edit" shapetype="t"/>
          </v:shapetype>
          <v:shape id="自选图形 2" o:spid="_x0000_s1027" type="#_x0000_t32" style="position:absolute;left:0;text-align:left;margin-left:0;margin-top:160.05pt;width:481.9pt;height:0;z-index:2" o:gfxdata="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VA4MNQAAAAIAQAADwAAAAAA&#10;AAABACAAAAAiAAAAZHJzL2Rvd25yZXYueG1sUEsBAhQAFAAAAAgAh07iQJz3tBLeAQAApAMAAA4A&#10;AAAAAAAAAQAgAAAAIwEAAGRycy9lMm9Eb2MueG1sUEsFBgAAAAAGAAYAWQEAAHMFAAAAAA==&#10;"/>
        </w:pict>
      </w:r>
      <w:r>
        <w:pict>
          <v:line id="直线 3" o:spid="_x0000_s1028" style="position:absolute;left:0;text-align:left;z-index:3" from="0,160.05pt" to="482pt,160.05pt" o:gfxdata="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eGTWfXAAAACAEAAA8AAAAAAAAAAQAgAAAA&#10;IgAAAGRycy9kb3ducmV2LnhtbFBLAQIUABQAAAAIAIdO4kCYc5bh0wEAAJwDAAAOAAAAAAAAAAEA&#10;IAAAACYBAABkcnMvZTJvRG9jLnhtbFBLBQYAAAAABgAGAFkBAABrBQAAAAA=&#10;" strokecolor="#f2f2f2" strokeweight="3pt"/>
        </w:pict>
      </w:r>
      <w:r>
        <w:pict>
          <v:shapetype id="_x0000_t202" coordsize="21600,21600" o:spt="202" path="m,l,21600r21600,l21600,xe">
            <v:stroke joinstyle="miter"/>
            <v:path gradientshapeok="t" o:connecttype="rect"/>
          </v:shapetype>
          <v:shape id="fmFrame7" o:spid="_x0000_s1029" type="#_x0000_t202" style="position:absolute;left:0;text-align:left;margin-left:-3.2pt;margin-top:687.8pt;width:481.9pt;height:61.45pt;z-index:4;mso-position-horizontal-relative:margin;mso-position-vertical-relative:margin" o:gfxdata="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0YZ&#10;ytoAAAAMAQAADwAAAAAAAAABACAAAAAiAAAAZHJzL2Rvd25yZXYueG1sUEsBAhQAFAAAAAgAh07i&#10;QEFljGiuAQAAYQMAAA4AAAAAAAAAAQAgAAAAKQEAAGRycy9lMm9Eb2MueG1sUEsFBgAAAAAGAAYA&#10;WQEAAEkFAAAAAA==&#10;" stroked="f">
            <v:textbox inset="0,0,0,0">
              <w:txbxContent>
                <w:p w:rsidR="003E499F" w:rsidRDefault="001B684B">
                  <w:pPr>
                    <w:pStyle w:val="aff"/>
                    <w:rPr>
                      <w:rFonts w:ascii="黑体" w:eastAsia="黑体"/>
                      <w:b w:val="0"/>
                    </w:rPr>
                  </w:pPr>
                  <w:r>
                    <w:rPr>
                      <w:rFonts w:ascii="黑体" w:eastAsia="黑体" w:hint="eastAsia"/>
                      <w:b w:val="0"/>
                    </w:rPr>
                    <w:t>中国有色金属工业协会</w:t>
                  </w:r>
                </w:p>
                <w:p w:rsidR="003E499F" w:rsidRDefault="001B684B">
                  <w:pPr>
                    <w:pStyle w:val="aff"/>
                  </w:pPr>
                  <w:r>
                    <w:rPr>
                      <w:rFonts w:ascii="黑体" w:eastAsia="黑体" w:hint="eastAsia"/>
                      <w:b w:val="0"/>
                    </w:rPr>
                    <w:t>中国有色金属学会</w:t>
                  </w:r>
                  <w:r>
                    <w:rPr>
                      <w:rStyle w:val="af2"/>
                      <w:rFonts w:hint="eastAsia"/>
                      <w:b w:val="0"/>
                    </w:rPr>
                    <w:t>发布</w:t>
                  </w:r>
                </w:p>
              </w:txbxContent>
            </v:textbox>
            <w10:wrap anchorx="margin" anchory="margin"/>
            <w10:anchorlock/>
          </v:shape>
        </w:pict>
      </w:r>
      <w:r>
        <w:pict>
          <v:shape id="fmFrame6" o:spid="_x0000_s1030" type="#_x0000_t202" style="position:absolute;left:0;text-align:left;margin-left:319.7pt;margin-top:654.55pt;width:159pt;height:24.6pt;z-index:5;mso-position-horizontal-relative:margin;mso-position-vertical-relative:margin" o:gfxdata="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t&#10;9di+2gAAAA0BAAAPAAAAAAAAAAEAIAAAACIAAABkcnMvZG93bnJldi54bWxQSwECFAAUAAAACACH&#10;TuJAP74yhLABAABhAwAADgAAAAAAAAABACAAAAApAQAAZHJzL2Uyb0RvYy54bWxQSwUGAAAAAAYA&#10;BgBZAQAASwUAAAAA&#10;" stroked="f">
            <v:textbox inset="0,0,0,0">
              <w:txbxContent>
                <w:p w:rsidR="003E499F" w:rsidRDefault="001B684B">
                  <w:pPr>
                    <w:pStyle w:val="afffff0"/>
                    <w:rPr>
                      <w:rFonts w:ascii="黑体"/>
                    </w:rPr>
                  </w:pPr>
                  <w:r>
                    <w:rPr>
                      <w:rFonts w:ascii="黑体"/>
                    </w:rPr>
                    <w:t>20</w:t>
                  </w:r>
                  <w:r>
                    <w:rPr>
                      <w:rFonts w:ascii="黑体" w:hint="eastAsia"/>
                    </w:rPr>
                    <w:t>××</w:t>
                  </w:r>
                  <w:r>
                    <w:rPr>
                      <w:rFonts w:ascii="黑体"/>
                    </w:rPr>
                    <w:t>-</w:t>
                  </w:r>
                  <w:r>
                    <w:rPr>
                      <w:rFonts w:ascii="黑体" w:hint="eastAsia"/>
                    </w:rPr>
                    <w:t>××</w:t>
                  </w:r>
                  <w:r>
                    <w:rPr>
                      <w:rFonts w:ascii="黑体"/>
                    </w:rPr>
                    <w:t>-</w:t>
                  </w:r>
                  <w:r>
                    <w:rPr>
                      <w:rFonts w:ascii="黑体" w:hint="eastAsia"/>
                    </w:rPr>
                    <w:t>××实施</w:t>
                  </w:r>
                </w:p>
              </w:txbxContent>
            </v:textbox>
            <w10:wrap anchorx="margin" anchory="margin"/>
            <w10:anchorlock/>
          </v:shape>
        </w:pict>
      </w:r>
      <w:r>
        <w:pict>
          <v:shape id="fmFrame5" o:spid="_x0000_s1031" type="#_x0000_t202" style="position:absolute;left:0;text-align:left;margin-left:3.75pt;margin-top:654.55pt;width:159pt;height:24.6pt;z-index:6;mso-position-horizontal-relative:margin;mso-position-vertical-relative:margin" o:gfxdata="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T&#10;ZHXM2QAAAAsBAAAPAAAAAAAAAAEAIAAAACIAAABkcnMvZG93bnJldi54bWxQSwECFAAUAAAACACH&#10;TuJA0OF8RrEBAABhAwAADgAAAAAAAAABACAAAAAoAQAAZHJzL2Uyb0RvYy54bWxQSwUGAAAAAAYA&#10;BgBZAQAASwUAAAAA&#10;" stroked="f">
            <v:textbox inset="0,0,0,0">
              <w:txbxContent>
                <w:p w:rsidR="003E499F" w:rsidRDefault="001B684B">
                  <w:pPr>
                    <w:pStyle w:val="afffa"/>
                    <w:rPr>
                      <w:rFonts w:ascii="黑体"/>
                    </w:rPr>
                  </w:pPr>
                  <w:r>
                    <w:rPr>
                      <w:rFonts w:ascii="黑体"/>
                    </w:rPr>
                    <w:t>20</w:t>
                  </w:r>
                  <w:r>
                    <w:rPr>
                      <w:rFonts w:ascii="黑体" w:hint="eastAsia"/>
                    </w:rPr>
                    <w:t>××</w:t>
                  </w:r>
                  <w:r>
                    <w:rPr>
                      <w:rFonts w:ascii="黑体"/>
                    </w:rPr>
                    <w:t>-</w:t>
                  </w:r>
                  <w:r>
                    <w:rPr>
                      <w:rFonts w:ascii="黑体" w:hint="eastAsia"/>
                    </w:rPr>
                    <w:t>××</w:t>
                  </w:r>
                  <w:r>
                    <w:rPr>
                      <w:rFonts w:ascii="黑体"/>
                    </w:rPr>
                    <w:t>-</w:t>
                  </w:r>
                  <w:r>
                    <w:rPr>
                      <w:rFonts w:ascii="黑体" w:hint="eastAsia"/>
                    </w:rPr>
                    <w:t>××发布</w:t>
                  </w:r>
                </w:p>
              </w:txbxContent>
            </v:textbox>
            <w10:wrap anchorx="margin" anchory="margin"/>
            <w10:anchorlock/>
          </v:shape>
        </w:pict>
      </w:r>
      <w:r>
        <w:pict>
          <v:shape id="fmFrame4" o:spid="_x0000_s1032" type="#_x0000_t202" style="position:absolute;left:0;text-align:left;margin-left:0;margin-top:286.25pt;width:470pt;height:368.6pt;z-index:7;mso-position-horizontal-relative:margin;mso-position-vertical-relative:margin"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U&#10;V59x2AAAAAkBAAAPAAAAAAAAAAEAIAAAACIAAABkcnMvZG93bnJldi54bWxQSwECFAAUAAAACACH&#10;TuJA1HZr5bIBAABiAwAADgAAAAAAAAABACAAAAAnAQAAZHJzL2Uyb0RvYy54bWxQSwUGAAAAAAYA&#10;BgBZAQAASwUAAAAA&#10;" stroked="f">
            <v:textbox inset="0,0,0,0">
              <w:txbxContent>
                <w:p w:rsidR="003E499F" w:rsidRDefault="001B684B">
                  <w:pPr>
                    <w:spacing w:line="720" w:lineRule="auto"/>
                    <w:ind w:left="300"/>
                    <w:jc w:val="center"/>
                    <w:rPr>
                      <w:rFonts w:eastAsia="黑体"/>
                      <w:sz w:val="52"/>
                      <w:szCs w:val="52"/>
                    </w:rPr>
                  </w:pPr>
                  <w:r>
                    <w:rPr>
                      <w:rFonts w:eastAsia="黑体" w:hint="eastAsia"/>
                      <w:sz w:val="52"/>
                      <w:szCs w:val="52"/>
                    </w:rPr>
                    <w:t>冶炼副产品硫酸镍化学分析方法</w:t>
                  </w:r>
                </w:p>
                <w:p w:rsidR="003E499F" w:rsidRDefault="001B684B">
                  <w:pPr>
                    <w:spacing w:line="720" w:lineRule="auto"/>
                    <w:ind w:left="300"/>
                    <w:jc w:val="center"/>
                    <w:rPr>
                      <w:rFonts w:eastAsia="黑体"/>
                      <w:sz w:val="52"/>
                      <w:szCs w:val="52"/>
                    </w:rPr>
                  </w:pPr>
                  <w:r>
                    <w:rPr>
                      <w:rFonts w:eastAsia="黑体" w:hint="eastAsia"/>
                      <w:sz w:val="52"/>
                      <w:szCs w:val="52"/>
                    </w:rPr>
                    <w:t>第</w:t>
                  </w:r>
                  <w:r>
                    <w:rPr>
                      <w:rFonts w:eastAsia="黑体"/>
                      <w:sz w:val="52"/>
                      <w:szCs w:val="52"/>
                    </w:rPr>
                    <w:t>1</w:t>
                  </w:r>
                  <w:r>
                    <w:rPr>
                      <w:rFonts w:eastAsia="黑体" w:hint="eastAsia"/>
                      <w:sz w:val="52"/>
                      <w:szCs w:val="52"/>
                    </w:rPr>
                    <w:t>部分：镍含量的测定</w:t>
                  </w:r>
                </w:p>
                <w:p w:rsidR="003E499F" w:rsidRDefault="001B684B">
                  <w:pPr>
                    <w:spacing w:line="720" w:lineRule="auto"/>
                    <w:ind w:firstLineChars="300" w:firstLine="1560"/>
                    <w:rPr>
                      <w:rFonts w:eastAsia="黑体"/>
                      <w:sz w:val="52"/>
                      <w:szCs w:val="52"/>
                    </w:rPr>
                  </w:pPr>
                  <w:r>
                    <w:rPr>
                      <w:rFonts w:eastAsia="黑体" w:hint="eastAsia"/>
                      <w:sz w:val="52"/>
                      <w:szCs w:val="52"/>
                    </w:rPr>
                    <w:t>重量法和</w:t>
                  </w:r>
                  <w:r>
                    <w:rPr>
                      <w:rFonts w:eastAsia="黑体"/>
                      <w:sz w:val="52"/>
                      <w:szCs w:val="52"/>
                    </w:rPr>
                    <w:t>Na</w:t>
                  </w:r>
                  <w:r>
                    <w:rPr>
                      <w:rFonts w:eastAsia="黑体"/>
                      <w:sz w:val="52"/>
                      <w:szCs w:val="52"/>
                      <w:vertAlign w:val="subscript"/>
                    </w:rPr>
                    <w:t>2</w:t>
                  </w:r>
                  <w:r>
                    <w:rPr>
                      <w:rFonts w:eastAsia="黑体"/>
                      <w:sz w:val="52"/>
                      <w:szCs w:val="52"/>
                    </w:rPr>
                    <w:t>EDTA</w:t>
                  </w:r>
                  <w:r>
                    <w:rPr>
                      <w:rFonts w:eastAsia="黑体" w:hint="eastAsia"/>
                      <w:sz w:val="52"/>
                      <w:szCs w:val="52"/>
                    </w:rPr>
                    <w:t>滴定法</w:t>
                  </w:r>
                </w:p>
                <w:p w:rsidR="003E499F" w:rsidRDefault="001B684B">
                  <w:pPr>
                    <w:spacing w:line="240" w:lineRule="atLeast"/>
                    <w:ind w:left="301"/>
                    <w:jc w:val="center"/>
                    <w:rPr>
                      <w:rFonts w:eastAsia="黑体"/>
                      <w:kern w:val="0"/>
                      <w:sz w:val="28"/>
                      <w:szCs w:val="28"/>
                    </w:rPr>
                  </w:pPr>
                  <w:r>
                    <w:rPr>
                      <w:rFonts w:eastAsia="黑体"/>
                      <w:kern w:val="0"/>
                      <w:sz w:val="28"/>
                      <w:szCs w:val="28"/>
                    </w:rPr>
                    <w:t xml:space="preserve">Methods for </w:t>
                  </w:r>
                  <w:r>
                    <w:rPr>
                      <w:rFonts w:eastAsia="黑体"/>
                      <w:kern w:val="0"/>
                      <w:sz w:val="28"/>
                      <w:szCs w:val="28"/>
                    </w:rPr>
                    <w:t>chemical analysis of smelting by-products nickel sulfate-</w:t>
                  </w:r>
                </w:p>
                <w:p w:rsidR="003E499F" w:rsidRDefault="001B684B">
                  <w:pPr>
                    <w:spacing w:line="240" w:lineRule="atLeast"/>
                    <w:ind w:left="301"/>
                    <w:jc w:val="center"/>
                    <w:rPr>
                      <w:rFonts w:eastAsia="黑体"/>
                      <w:kern w:val="1"/>
                      <w:sz w:val="28"/>
                      <w:szCs w:val="28"/>
                    </w:rPr>
                  </w:pPr>
                  <w:r>
                    <w:rPr>
                      <w:rFonts w:eastAsia="黑体"/>
                      <w:kern w:val="0"/>
                      <w:sz w:val="28"/>
                      <w:szCs w:val="28"/>
                    </w:rPr>
                    <w:t xml:space="preserve">Part 1: </w:t>
                  </w:r>
                  <w:r>
                    <w:rPr>
                      <w:rFonts w:eastAsia="黑体"/>
                      <w:kern w:val="1"/>
                      <w:sz w:val="28"/>
                      <w:szCs w:val="28"/>
                    </w:rPr>
                    <w:t xml:space="preserve">Determination of </w:t>
                  </w:r>
                  <w:r>
                    <w:rPr>
                      <w:rFonts w:eastAsia="黑体"/>
                      <w:kern w:val="0"/>
                      <w:sz w:val="28"/>
                      <w:szCs w:val="28"/>
                    </w:rPr>
                    <w:t>nickel</w:t>
                  </w:r>
                  <w:r>
                    <w:rPr>
                      <w:rFonts w:eastAsia="黑体"/>
                      <w:kern w:val="1"/>
                      <w:sz w:val="28"/>
                      <w:szCs w:val="28"/>
                    </w:rPr>
                    <w:t>content-</w:t>
                  </w:r>
                </w:p>
                <w:p w:rsidR="003E499F" w:rsidRDefault="001B684B">
                  <w:pPr>
                    <w:spacing w:line="240" w:lineRule="atLeast"/>
                    <w:ind w:left="301"/>
                    <w:jc w:val="center"/>
                    <w:rPr>
                      <w:sz w:val="28"/>
                      <w:szCs w:val="28"/>
                    </w:rPr>
                  </w:pPr>
                  <w:r>
                    <w:rPr>
                      <w:rFonts w:eastAsia="黑体"/>
                      <w:kern w:val="0"/>
                      <w:sz w:val="28"/>
                      <w:szCs w:val="28"/>
                    </w:rPr>
                    <w:t xml:space="preserve">Gravity method </w:t>
                  </w:r>
                  <w:r>
                    <w:rPr>
                      <w:sz w:val="28"/>
                      <w:szCs w:val="28"/>
                    </w:rPr>
                    <w:t>and Na</w:t>
                  </w:r>
                  <w:r>
                    <w:rPr>
                      <w:sz w:val="28"/>
                      <w:szCs w:val="28"/>
                      <w:vertAlign w:val="subscript"/>
                    </w:rPr>
                    <w:t>2</w:t>
                  </w:r>
                  <w:r>
                    <w:rPr>
                      <w:sz w:val="28"/>
                      <w:szCs w:val="28"/>
                    </w:rPr>
                    <w:t>EDTA titration</w:t>
                  </w:r>
                </w:p>
                <w:p w:rsidR="003E499F" w:rsidRDefault="001B684B">
                  <w:pPr>
                    <w:spacing w:line="240" w:lineRule="atLeast"/>
                    <w:ind w:left="301"/>
                    <w:jc w:val="center"/>
                    <w:rPr>
                      <w:rFonts w:eastAsia="黑体"/>
                      <w:sz w:val="28"/>
                      <w:szCs w:val="28"/>
                    </w:rPr>
                  </w:pPr>
                  <w:r>
                    <w:rPr>
                      <w:rFonts w:eastAsia="黑体" w:hint="eastAsia"/>
                      <w:sz w:val="28"/>
                      <w:szCs w:val="28"/>
                    </w:rPr>
                    <w:t>（送审稿）</w:t>
                  </w:r>
                </w:p>
                <w:p w:rsidR="003E499F" w:rsidRDefault="003E499F">
                  <w:pPr>
                    <w:pStyle w:val="afff4"/>
                  </w:pPr>
                </w:p>
              </w:txbxContent>
            </v:textbox>
            <w10:wrap anchorx="margin" anchory="margin"/>
            <w10:anchorlock/>
          </v:shape>
        </w:pict>
      </w:r>
      <w:r>
        <w:pict>
          <v:shape id="fmFrame3" o:spid="_x0000_s1033" type="#_x0000_t202" style="position:absolute;left:0;text-align:left;margin-left:0;margin-top:110.35pt;width:485.75pt;height:45.65pt;z-index:8;mso-position-horizontal-relative:margin;mso-position-vertical-relative:margin" o:gfxdata="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boBNPX&#10;AAAACAEAAA8AAAAAAAAAAQAgAAAAIgAAAGRycy9kb3ducmV2LnhtbFBLAQIUABQAAAAIAIdO4kBr&#10;e/5YrwEAAGEDAAAOAAAAAAAAAAEAIAAAACYBAABkcnMvZTJvRG9jLnhtbFBLBQYAAAAABgAGAFkB&#10;AABHBQAAAAA=&#10;" stroked="f">
            <v:textbox inset="0,0,0,0">
              <w:txbxContent>
                <w:p w:rsidR="003E499F" w:rsidRDefault="001B684B">
                  <w:pPr>
                    <w:jc w:val="right"/>
                    <w:rPr>
                      <w:rFonts w:ascii="黑体" w:eastAsia="黑体" w:hAnsi="宋体"/>
                      <w:sz w:val="28"/>
                      <w:szCs w:val="28"/>
                    </w:rPr>
                  </w:pPr>
                  <w:r>
                    <w:rPr>
                      <w:rFonts w:ascii="黑体" w:eastAsia="黑体" w:hAnsi="宋体" w:hint="eastAsia"/>
                      <w:sz w:val="28"/>
                      <w:szCs w:val="28"/>
                    </w:rPr>
                    <w:t>T/CNIA XX-20XX</w:t>
                  </w:r>
                </w:p>
                <w:p w:rsidR="003E499F" w:rsidRPr="008776ED" w:rsidRDefault="008776ED">
                  <w:pPr>
                    <w:rPr>
                      <w:rFonts w:ascii="宋体"/>
                      <w:u w:val="thick"/>
                    </w:rPr>
                  </w:pPr>
                  <w:r w:rsidRPr="008776ED">
                    <w:rPr>
                      <w:rFonts w:ascii="宋体" w:hint="eastAsia"/>
                      <w:u w:val="thick"/>
                    </w:rPr>
                    <w:t xml:space="preserve">                                                                                                         </w:t>
                  </w:r>
                </w:p>
              </w:txbxContent>
            </v:textbox>
            <w10:wrap anchorx="margin" anchory="margin"/>
            <w10:anchorlock/>
          </v:shape>
        </w:pict>
      </w:r>
      <w:r>
        <w:pict>
          <v:shape id="fmFrame8" o:spid="_x0000_s1034" type="#_x0000_t202" style="position:absolute;left:0;text-align:left;margin-left:200.75pt;margin-top:8.45pt;width:250pt;height:56.7pt;z-index:9;mso-position-horizontal-relative:margin;mso-position-vertical-relative:margin"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lZ&#10;OzzYAAAACgEAAA8AAAAAAAAAAQAgAAAAIgAAAGRycy9kb3ducmV2LnhtbFBLAQIUABQAAAAIAIdO&#10;4kC+xK+gsQEAAGEDAAAOAAAAAAAAAAEAIAAAACcBAABkcnMvZTJvRG9jLnhtbFBLBQYAAAAABgAG&#10;AFkBAABKBQAAAAA=&#10;" stroked="f">
            <v:textbox inset="0,0,0,0">
              <w:txbxContent>
                <w:p w:rsidR="003E499F" w:rsidRDefault="001B684B">
                  <w:pPr>
                    <w:pStyle w:val="affff"/>
                    <w:rPr>
                      <w:rFonts w:ascii="Calibri" w:hAnsi="Calibri" w:cs="Calibri"/>
                    </w:rPr>
                  </w:pPr>
                  <w:r>
                    <w:rPr>
                      <w:rFonts w:ascii="Calibri" w:hAnsi="Calibri" w:cs="Calibri"/>
                    </w:rPr>
                    <w:t>T/CNIA</w:t>
                  </w:r>
                </w:p>
                <w:p w:rsidR="003E499F" w:rsidRDefault="003E499F">
                  <w:pPr>
                    <w:rPr>
                      <w:rFonts w:ascii="Calibri" w:hAnsi="Calibri" w:cs="Calibri"/>
                    </w:rPr>
                  </w:pPr>
                </w:p>
              </w:txbxContent>
            </v:textbox>
            <w10:wrap anchorx="margin" anchory="margin"/>
            <w10:anchorlock/>
          </v:shape>
        </w:pict>
      </w:r>
      <w:r>
        <w:pict>
          <v:shape id="fmFrame2" o:spid="_x0000_s1035" type="#_x0000_t202" style="position:absolute;left:0;text-align:left;margin-left:-.05pt;margin-top:67.75pt;width:481.95pt;height:42.65pt;z-index:10;mso-position-horizontal-relative:margin;mso-position-vertical-relative:margin"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GDkcF&#10;1wAAAAgBAAAPAAAAAAAAAAEAIAAAACIAAABkcnMvZG93bnJldi54bWxQSwECFAAUAAAACACHTuJA&#10;mTyJerABAABhAwAADgAAAAAAAAABACAAAAAmAQAAZHJzL2Uyb0RvYy54bWxQSwUGAAAAAAYABgBZ&#10;AQAASAUAAAAA&#10;" stroked="f">
            <v:textbox inset="0,0,0,0">
              <w:txbxContent>
                <w:p w:rsidR="003E499F" w:rsidRDefault="001B684B">
                  <w:pPr>
                    <w:pStyle w:val="afa"/>
                  </w:pPr>
                  <w:r>
                    <w:rPr>
                      <w:rFonts w:hint="eastAsia"/>
                    </w:rPr>
                    <w:t>中国有色金属工业协会标准</w:t>
                  </w:r>
                </w:p>
              </w:txbxContent>
            </v:textbox>
            <w10:wrap anchorx="margin" anchory="margin"/>
            <w10:anchorlock/>
          </v:shape>
        </w:pict>
      </w:r>
      <w:r>
        <w:pict>
          <v:shape id="fmFrame1" o:spid="_x0000_s1036" type="#_x0000_t202" style="position:absolute;left:0;text-align:left;margin-left:0;margin-top:0;width:200pt;height:51.8pt;z-index:11;mso-position-horizontal-relative:margin;mso-position-vertical-relative:margin"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ezL4NMAAAAF&#10;AQAADwAAAAAAAAABACAAAAAiAAAAZHJzL2Rvd25yZXYueG1sUEsBAhQAFAAAAAgAh07iQESE/5Gv&#10;AQAAYQMAAA4AAAAAAAAAAQAgAAAAIgEAAGRycy9lMm9Eb2MueG1sUEsFBgAAAAAGAAYAWQEAAEMF&#10;AAAAAA==&#10;" stroked="f">
            <v:textbox inset="0,0,0,0">
              <w:txbxContent>
                <w:p w:rsidR="003E499F" w:rsidRDefault="001B684B">
                  <w:pPr>
                    <w:pStyle w:val="af9"/>
                    <w:rPr>
                      <w:rFonts w:ascii="黑体"/>
                    </w:rPr>
                  </w:pPr>
                  <w:r>
                    <w:rPr>
                      <w:rFonts w:ascii="黑体"/>
                    </w:rPr>
                    <w:t xml:space="preserve">ICS </w:t>
                  </w:r>
                </w:p>
                <w:p w:rsidR="003E499F" w:rsidRDefault="001B684B">
                  <w:pPr>
                    <w:pStyle w:val="af9"/>
                  </w:pPr>
                  <w:r>
                    <w:rPr>
                      <w:rFonts w:ascii="黑体"/>
                    </w:rPr>
                    <w:t xml:space="preserve">H </w:t>
                  </w:r>
                </w:p>
              </w:txbxContent>
            </v:textbox>
            <w10:wrap anchorx="margin" anchory="margin"/>
            <w10:anchorlock/>
          </v:shape>
        </w:pict>
      </w:r>
    </w:p>
    <w:bookmarkEnd w:id="0"/>
    <w:p w:rsidR="003E499F" w:rsidRDefault="003E499F">
      <w:pPr>
        <w:spacing w:line="400" w:lineRule="exact"/>
        <w:rPr>
          <w:rFonts w:eastAsia="黑体"/>
        </w:rPr>
      </w:pPr>
    </w:p>
    <w:p w:rsidR="003E499F" w:rsidRDefault="001B684B" w:rsidP="008776ED">
      <w:pPr>
        <w:pStyle w:val="af8"/>
        <w:spacing w:beforeLines="100" w:afterLines="100"/>
        <w:rPr>
          <w:rFonts w:ascii="Times New Roman"/>
        </w:rPr>
      </w:pPr>
      <w:bookmarkStart w:id="1" w:name="前言1"/>
      <w:bookmarkStart w:id="2" w:name="SectionMark2"/>
      <w:bookmarkEnd w:id="1"/>
      <w:r>
        <w:rPr>
          <w:rFonts w:ascii="Times New Roman"/>
        </w:rPr>
        <w:t>前言</w:t>
      </w:r>
    </w:p>
    <w:p w:rsidR="003E499F" w:rsidRDefault="001B684B">
      <w:pPr>
        <w:ind w:firstLine="435"/>
        <w:rPr>
          <w:szCs w:val="21"/>
        </w:rPr>
      </w:pPr>
      <w:r>
        <w:rPr>
          <w:szCs w:val="21"/>
        </w:rPr>
        <w:t>T/CNIA XX-20XX</w:t>
      </w:r>
      <w:r>
        <w:rPr>
          <w:szCs w:val="21"/>
        </w:rPr>
        <w:t>《冶炼副产品硫酸镍化学分析方法》分为</w:t>
      </w:r>
      <w:r>
        <w:rPr>
          <w:szCs w:val="21"/>
        </w:rPr>
        <w:t>3</w:t>
      </w:r>
      <w:r>
        <w:rPr>
          <w:szCs w:val="21"/>
        </w:rPr>
        <w:t>个部分：</w:t>
      </w:r>
    </w:p>
    <w:p w:rsidR="003E499F" w:rsidRDefault="001B684B">
      <w:pPr>
        <w:ind w:firstLine="435"/>
        <w:rPr>
          <w:szCs w:val="21"/>
        </w:rPr>
      </w:pPr>
      <w:r>
        <w:rPr>
          <w:szCs w:val="21"/>
        </w:rPr>
        <w:t>——</w:t>
      </w:r>
      <w:r>
        <w:rPr>
          <w:szCs w:val="21"/>
        </w:rPr>
        <w:t>第</w:t>
      </w:r>
      <w:r>
        <w:rPr>
          <w:szCs w:val="21"/>
        </w:rPr>
        <w:t>1</w:t>
      </w:r>
      <w:r>
        <w:rPr>
          <w:szCs w:val="21"/>
        </w:rPr>
        <w:t>部分：镍含量的测定重量法和</w:t>
      </w:r>
      <w:r>
        <w:rPr>
          <w:szCs w:val="21"/>
        </w:rPr>
        <w:t>Na</w:t>
      </w:r>
      <w:r>
        <w:rPr>
          <w:szCs w:val="21"/>
          <w:vertAlign w:val="subscript"/>
        </w:rPr>
        <w:t>2</w:t>
      </w:r>
      <w:r>
        <w:rPr>
          <w:szCs w:val="21"/>
        </w:rPr>
        <w:t>EDTA</w:t>
      </w:r>
      <w:r>
        <w:rPr>
          <w:szCs w:val="21"/>
        </w:rPr>
        <w:t>滴定法；</w:t>
      </w:r>
    </w:p>
    <w:p w:rsidR="003E499F" w:rsidRDefault="001B684B">
      <w:pPr>
        <w:ind w:firstLine="435"/>
        <w:rPr>
          <w:szCs w:val="21"/>
        </w:rPr>
      </w:pPr>
      <w:r>
        <w:rPr>
          <w:szCs w:val="21"/>
        </w:rPr>
        <w:t>——</w:t>
      </w:r>
      <w:r>
        <w:rPr>
          <w:szCs w:val="21"/>
        </w:rPr>
        <w:t>第</w:t>
      </w:r>
      <w:r>
        <w:rPr>
          <w:szCs w:val="21"/>
        </w:rPr>
        <w:t>2</w:t>
      </w:r>
      <w:r>
        <w:rPr>
          <w:szCs w:val="21"/>
        </w:rPr>
        <w:t>部分：铜含量的测定火焰原子吸收光谱法和碘量法；</w:t>
      </w:r>
    </w:p>
    <w:p w:rsidR="003E499F" w:rsidRDefault="001B684B">
      <w:pPr>
        <w:ind w:firstLine="435"/>
        <w:rPr>
          <w:szCs w:val="21"/>
        </w:rPr>
      </w:pPr>
      <w:r>
        <w:rPr>
          <w:szCs w:val="21"/>
        </w:rPr>
        <w:t>——</w:t>
      </w:r>
      <w:r>
        <w:rPr>
          <w:szCs w:val="21"/>
        </w:rPr>
        <w:t>第</w:t>
      </w:r>
      <w:r>
        <w:rPr>
          <w:szCs w:val="21"/>
        </w:rPr>
        <w:t>3</w:t>
      </w:r>
      <w:r>
        <w:rPr>
          <w:szCs w:val="21"/>
        </w:rPr>
        <w:t>部分：砷、铅、锌、钴含量的测定电感耦合等离子体原子发射光谱法。</w:t>
      </w:r>
    </w:p>
    <w:p w:rsidR="003E499F" w:rsidRDefault="001B684B">
      <w:pPr>
        <w:ind w:firstLine="435"/>
        <w:rPr>
          <w:szCs w:val="21"/>
        </w:rPr>
      </w:pPr>
      <w:r>
        <w:rPr>
          <w:szCs w:val="21"/>
        </w:rPr>
        <w:t>本部分为</w:t>
      </w:r>
      <w:r>
        <w:rPr>
          <w:szCs w:val="21"/>
        </w:rPr>
        <w:t>T/CNIA XX</w:t>
      </w:r>
      <w:r>
        <w:rPr>
          <w:szCs w:val="21"/>
        </w:rPr>
        <w:t>的第</w:t>
      </w:r>
      <w:r>
        <w:rPr>
          <w:szCs w:val="21"/>
        </w:rPr>
        <w:t>1</w:t>
      </w:r>
      <w:r>
        <w:rPr>
          <w:szCs w:val="21"/>
        </w:rPr>
        <w:t>部分。</w:t>
      </w:r>
    </w:p>
    <w:p w:rsidR="003E499F" w:rsidRDefault="001B684B">
      <w:pPr>
        <w:ind w:firstLineChars="200" w:firstLine="420"/>
        <w:rPr>
          <w:szCs w:val="21"/>
        </w:rPr>
      </w:pPr>
      <w:r>
        <w:rPr>
          <w:szCs w:val="21"/>
        </w:rPr>
        <w:t>本部分按照</w:t>
      </w:r>
      <w:r>
        <w:rPr>
          <w:szCs w:val="21"/>
        </w:rPr>
        <w:t>GB/T 1.1-2009</w:t>
      </w:r>
      <w:r>
        <w:rPr>
          <w:szCs w:val="21"/>
        </w:rPr>
        <w:t>给出的规则起草的。</w:t>
      </w:r>
    </w:p>
    <w:p w:rsidR="003E499F" w:rsidRDefault="001B684B">
      <w:pPr>
        <w:ind w:firstLineChars="200" w:firstLine="420"/>
        <w:rPr>
          <w:szCs w:val="21"/>
        </w:rPr>
      </w:pPr>
      <w:r>
        <w:rPr>
          <w:szCs w:val="21"/>
        </w:rPr>
        <w:t>本部分由中国有色金属工业协会提出。</w:t>
      </w:r>
    </w:p>
    <w:p w:rsidR="003E499F" w:rsidRDefault="001B684B">
      <w:pPr>
        <w:ind w:firstLineChars="200" w:firstLine="420"/>
        <w:rPr>
          <w:szCs w:val="21"/>
        </w:rPr>
      </w:pPr>
      <w:r>
        <w:rPr>
          <w:szCs w:val="21"/>
        </w:rPr>
        <w:t>本部分由全国有色金属标准化技术委员会（</w:t>
      </w:r>
      <w:r>
        <w:rPr>
          <w:szCs w:val="21"/>
        </w:rPr>
        <w:t>SAC/TC243</w:t>
      </w:r>
      <w:r>
        <w:rPr>
          <w:szCs w:val="21"/>
        </w:rPr>
        <w:t>）归口。</w:t>
      </w:r>
    </w:p>
    <w:p w:rsidR="003E499F" w:rsidRDefault="001B684B">
      <w:pPr>
        <w:ind w:firstLineChars="200" w:firstLine="420"/>
        <w:rPr>
          <w:szCs w:val="21"/>
        </w:rPr>
      </w:pPr>
      <w:r>
        <w:rPr>
          <w:szCs w:val="21"/>
        </w:rPr>
        <w:t>本部分</w:t>
      </w:r>
      <w:r>
        <w:rPr>
          <w:rFonts w:hint="eastAsia"/>
          <w:szCs w:val="21"/>
        </w:rPr>
        <w:t>负责</w:t>
      </w:r>
      <w:r>
        <w:rPr>
          <w:szCs w:val="21"/>
        </w:rPr>
        <w:t>起草单位：</w:t>
      </w:r>
      <w:r w:rsidR="008776ED">
        <w:rPr>
          <w:szCs w:val="21"/>
        </w:rPr>
        <w:t>北方铜业股份有限公司</w:t>
      </w:r>
      <w:r w:rsidR="008776ED">
        <w:rPr>
          <w:rFonts w:hint="eastAsia"/>
          <w:szCs w:val="21"/>
        </w:rPr>
        <w:t>、</w:t>
      </w:r>
      <w:r>
        <w:rPr>
          <w:szCs w:val="21"/>
        </w:rPr>
        <w:t>大冶有色设计研究院有限公司</w:t>
      </w:r>
      <w:r>
        <w:rPr>
          <w:rFonts w:hint="eastAsia"/>
          <w:szCs w:val="21"/>
        </w:rPr>
        <w:t>。</w:t>
      </w:r>
    </w:p>
    <w:p w:rsidR="003E499F" w:rsidRDefault="001B684B" w:rsidP="008776ED">
      <w:pPr>
        <w:ind w:firstLineChars="200" w:firstLine="420"/>
        <w:rPr>
          <w:szCs w:val="21"/>
        </w:rPr>
      </w:pPr>
      <w:r>
        <w:rPr>
          <w:szCs w:val="21"/>
        </w:rPr>
        <w:t>本部分方法</w:t>
      </w:r>
      <w:r>
        <w:rPr>
          <w:szCs w:val="21"/>
        </w:rPr>
        <w:t>1</w:t>
      </w:r>
      <w:r>
        <w:rPr>
          <w:szCs w:val="21"/>
        </w:rPr>
        <w:t>起草单位：</w:t>
      </w:r>
      <w:r w:rsidR="008776ED">
        <w:rPr>
          <w:rFonts w:hint="eastAsia"/>
          <w:szCs w:val="21"/>
        </w:rPr>
        <w:t>大</w:t>
      </w:r>
      <w:r w:rsidR="008776ED">
        <w:rPr>
          <w:szCs w:val="21"/>
        </w:rPr>
        <w:t>冶有色设计研究院有限公司</w:t>
      </w:r>
      <w:r w:rsidR="008776ED">
        <w:rPr>
          <w:rFonts w:hint="eastAsia"/>
          <w:szCs w:val="21"/>
        </w:rPr>
        <w:t>、</w:t>
      </w:r>
      <w:r>
        <w:rPr>
          <w:rFonts w:ascii="宋体" w:hAnsi="宋体" w:cs="宋体" w:hint="eastAsia"/>
        </w:rPr>
        <w:t>长沙矿冶研究院有限责任公司、兰州金川新材料科技股份</w:t>
      </w:r>
      <w:r>
        <w:rPr>
          <w:rFonts w:ascii="宋体" w:hAnsi="宋体" w:cs="宋体" w:hint="eastAsia"/>
        </w:rPr>
        <w:t>有限公司、山东恒邦冶炼有限公司、铜陵有色金属集团控股有限公司检测研究中心、清远佳致新材料研究院有限公司、中国有色桂林矿产地质研究院有限公司、江西铜业股份有限公司贵溪冶炼厂中心化验室、金川集团股份有限公司、</w:t>
      </w:r>
      <w:r>
        <w:rPr>
          <w:rFonts w:ascii="宋体" w:hAnsi="宋体" w:cs="宋体" w:hint="eastAsia"/>
          <w:spacing w:val="-2"/>
          <w:kern w:val="0"/>
        </w:rPr>
        <w:t>紫金矿业集团股份有限公司。</w:t>
      </w:r>
    </w:p>
    <w:p w:rsidR="003E499F" w:rsidRDefault="001B684B">
      <w:pPr>
        <w:ind w:firstLineChars="200" w:firstLine="420"/>
      </w:pPr>
      <w:r>
        <w:t>本部分方法</w:t>
      </w:r>
      <w:r>
        <w:t>1</w:t>
      </w:r>
      <w:r>
        <w:t>主要起草人：</w:t>
      </w:r>
      <w:r>
        <w:rPr>
          <w:rFonts w:cs="宋体" w:hint="eastAsia"/>
        </w:rPr>
        <w:t>胡军凯、曾静</w:t>
      </w:r>
      <w:r>
        <w:rPr>
          <w:rFonts w:ascii="宋体" w:hAnsi="宋体" w:cs="宋体" w:hint="eastAsia"/>
        </w:rPr>
        <w:t>、潘晓玲、</w:t>
      </w:r>
      <w:r>
        <w:rPr>
          <w:rFonts w:hAnsi="宋体" w:cs="宋体" w:hint="eastAsia"/>
        </w:rPr>
        <w:t>李志辉</w:t>
      </w:r>
      <w:r>
        <w:rPr>
          <w:rFonts w:ascii="宋体" w:hAnsi="宋体" w:cs="宋体" w:hint="eastAsia"/>
        </w:rPr>
        <w:t>、</w:t>
      </w:r>
      <w:r>
        <w:rPr>
          <w:rFonts w:hAnsi="宋体" w:cs="宋体" w:hint="eastAsia"/>
        </w:rPr>
        <w:t>曾浩</w:t>
      </w:r>
      <w:r>
        <w:rPr>
          <w:rFonts w:ascii="宋体" w:hAnsi="宋体" w:cs="宋体" w:hint="eastAsia"/>
        </w:rPr>
        <w:t>、朱国忠、刘莲香、</w:t>
      </w:r>
      <w:r>
        <w:rPr>
          <w:rFonts w:hAnsi="宋体" w:cs="宋体" w:hint="eastAsia"/>
        </w:rPr>
        <w:t>吴理觉</w:t>
      </w:r>
      <w:r>
        <w:rPr>
          <w:rFonts w:ascii="宋体" w:hAnsi="宋体" w:cs="宋体" w:hint="eastAsia"/>
        </w:rPr>
        <w:t>、</w:t>
      </w:r>
      <w:r>
        <w:rPr>
          <w:rFonts w:hAnsi="宋体" w:cs="宋体" w:hint="eastAsia"/>
        </w:rPr>
        <w:t>何海梅</w:t>
      </w:r>
      <w:r>
        <w:rPr>
          <w:rFonts w:ascii="宋体" w:hAnsi="宋体" w:cs="宋体" w:hint="eastAsia"/>
        </w:rPr>
        <w:t>、</w:t>
      </w:r>
      <w:r>
        <w:rPr>
          <w:rFonts w:cs="宋体" w:hint="eastAsia"/>
        </w:rPr>
        <w:t>徐华</w:t>
      </w:r>
      <w:r>
        <w:rPr>
          <w:rFonts w:ascii="宋体" w:hAnsi="宋体" w:cs="宋体" w:hint="eastAsia"/>
        </w:rPr>
        <w:t>、</w:t>
      </w:r>
      <w:r>
        <w:rPr>
          <w:rFonts w:cs="宋体" w:hint="eastAsia"/>
        </w:rPr>
        <w:t>郭惠李晓娜。</w:t>
      </w:r>
    </w:p>
    <w:p w:rsidR="003E499F" w:rsidRDefault="001B684B">
      <w:pPr>
        <w:ind w:firstLineChars="200" w:firstLine="420"/>
        <w:rPr>
          <w:szCs w:val="21"/>
        </w:rPr>
      </w:pPr>
      <w:r>
        <w:rPr>
          <w:szCs w:val="21"/>
        </w:rPr>
        <w:t>本部分方法</w:t>
      </w:r>
      <w:r>
        <w:rPr>
          <w:szCs w:val="21"/>
        </w:rPr>
        <w:t>2</w:t>
      </w:r>
      <w:r>
        <w:rPr>
          <w:szCs w:val="21"/>
        </w:rPr>
        <w:t>起草单位：</w:t>
      </w:r>
      <w:r w:rsidR="008776ED">
        <w:rPr>
          <w:szCs w:val="21"/>
        </w:rPr>
        <w:t>北方铜业股份有限公司</w:t>
      </w:r>
      <w:r w:rsidR="008776ED">
        <w:rPr>
          <w:rFonts w:hint="eastAsia"/>
          <w:szCs w:val="21"/>
        </w:rPr>
        <w:t>、</w:t>
      </w:r>
      <w:r>
        <w:rPr>
          <w:bCs/>
          <w:szCs w:val="21"/>
        </w:rPr>
        <w:t>铜陵有色金属集团公司、山东恒邦冶炼股份有限公司、兰州金川新材料股份有限公司、金隆铜业有限公司、福建紫金矿业集团股份有限公司、金川集团股份有限公司、大冶有色设计研究院有限公司、中国有色桂林矿产地质研究院有限公司、北矿检测技术有限公司。</w:t>
      </w:r>
    </w:p>
    <w:p w:rsidR="003E499F" w:rsidRDefault="001B684B" w:rsidP="008776ED">
      <w:pPr>
        <w:ind w:firstLineChars="200" w:firstLine="420"/>
        <w:rPr>
          <w:szCs w:val="21"/>
        </w:rPr>
      </w:pPr>
      <w:r>
        <w:t>本部分方法</w:t>
      </w:r>
      <w:r>
        <w:t>2</w:t>
      </w:r>
      <w:r>
        <w:t>主要起草人：</w:t>
      </w:r>
    </w:p>
    <w:p w:rsidR="003E499F" w:rsidRDefault="003E499F"/>
    <w:p w:rsidR="003E499F" w:rsidRDefault="003E499F"/>
    <w:p w:rsidR="003E499F" w:rsidRDefault="003E499F"/>
    <w:p w:rsidR="003E499F" w:rsidRDefault="003E499F"/>
    <w:p w:rsidR="003E499F" w:rsidRDefault="003E499F">
      <w:pPr>
        <w:pStyle w:val="af7"/>
        <w:ind w:firstLine="420"/>
        <w:rPr>
          <w:rFonts w:ascii="Times New Roman"/>
          <w:lang w:val="de-DE"/>
        </w:rPr>
        <w:sectPr w:rsidR="003E499F">
          <w:headerReference w:type="even" r:id="rId14"/>
          <w:headerReference w:type="default" r:id="rId15"/>
          <w:footerReference w:type="even" r:id="rId16"/>
          <w:footerReference w:type="default" r:id="rId17"/>
          <w:pgSz w:w="11907" w:h="16839"/>
          <w:pgMar w:top="1418" w:right="1134" w:bottom="1134" w:left="1418" w:header="1418" w:footer="851" w:gutter="0"/>
          <w:pgNumType w:fmt="upperRoman" w:start="1"/>
          <w:cols w:space="720"/>
          <w:docGrid w:type="lines" w:linePitch="312"/>
        </w:sectPr>
      </w:pPr>
    </w:p>
    <w:bookmarkEnd w:id="2"/>
    <w:p w:rsidR="003E499F" w:rsidRDefault="001B684B">
      <w:pPr>
        <w:spacing w:line="360" w:lineRule="auto"/>
        <w:jc w:val="center"/>
        <w:rPr>
          <w:rFonts w:ascii="黑体" w:eastAsia="黑体" w:hAnsi="黑体" w:cs="黑体"/>
          <w:sz w:val="32"/>
          <w:szCs w:val="32"/>
        </w:rPr>
      </w:pPr>
      <w:r>
        <w:rPr>
          <w:rFonts w:ascii="黑体" w:eastAsia="黑体" w:hAnsi="黑体" w:cs="黑体" w:hint="eastAsia"/>
          <w:sz w:val="32"/>
          <w:szCs w:val="32"/>
        </w:rPr>
        <w:lastRenderedPageBreak/>
        <w:t>冶炼副产品硫酸镍化学分析方法</w:t>
      </w:r>
    </w:p>
    <w:p w:rsidR="003E499F" w:rsidRDefault="001B684B">
      <w:pPr>
        <w:spacing w:line="360" w:lineRule="auto"/>
        <w:jc w:val="center"/>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1</w:t>
      </w:r>
      <w:r>
        <w:rPr>
          <w:rFonts w:ascii="黑体" w:eastAsia="黑体" w:hAnsi="黑体" w:cs="黑体" w:hint="eastAsia"/>
          <w:sz w:val="32"/>
          <w:szCs w:val="32"/>
        </w:rPr>
        <w:t>部分：镍含量的测定</w:t>
      </w:r>
    </w:p>
    <w:p w:rsidR="003E499F" w:rsidRDefault="001B684B">
      <w:pPr>
        <w:spacing w:line="360" w:lineRule="auto"/>
        <w:jc w:val="center"/>
        <w:rPr>
          <w:rFonts w:eastAsia="黑体"/>
          <w:sz w:val="32"/>
          <w:szCs w:val="32"/>
        </w:rPr>
      </w:pPr>
      <w:r>
        <w:rPr>
          <w:rFonts w:ascii="黑体" w:eastAsia="黑体" w:hAnsi="黑体" w:cs="黑体" w:hint="eastAsia"/>
          <w:sz w:val="32"/>
          <w:szCs w:val="32"/>
        </w:rPr>
        <w:t>重量法和</w:t>
      </w:r>
      <w:r>
        <w:rPr>
          <w:rFonts w:ascii="黑体" w:eastAsia="黑体" w:hAnsi="黑体" w:cs="黑体" w:hint="eastAsia"/>
          <w:sz w:val="32"/>
          <w:szCs w:val="32"/>
        </w:rPr>
        <w:t>Na</w:t>
      </w:r>
      <w:r>
        <w:rPr>
          <w:rFonts w:ascii="黑体" w:eastAsia="黑体" w:hAnsi="黑体" w:cs="黑体" w:hint="eastAsia"/>
          <w:sz w:val="32"/>
          <w:szCs w:val="32"/>
          <w:vertAlign w:val="subscript"/>
        </w:rPr>
        <w:t>2</w:t>
      </w:r>
      <w:r>
        <w:rPr>
          <w:rFonts w:ascii="黑体" w:eastAsia="黑体" w:hAnsi="黑体" w:cs="黑体" w:hint="eastAsia"/>
          <w:sz w:val="32"/>
          <w:szCs w:val="32"/>
        </w:rPr>
        <w:t>EDTA</w:t>
      </w:r>
      <w:r>
        <w:rPr>
          <w:rFonts w:ascii="黑体" w:eastAsia="黑体" w:hAnsi="黑体" w:cs="黑体" w:hint="eastAsia"/>
          <w:sz w:val="32"/>
          <w:szCs w:val="32"/>
        </w:rPr>
        <w:t>滴定法</w:t>
      </w:r>
    </w:p>
    <w:p w:rsidR="003E499F" w:rsidRDefault="001B684B">
      <w:pPr>
        <w:numPr>
          <w:ilvl w:val="0"/>
          <w:numId w:val="1"/>
        </w:numPr>
        <w:spacing w:line="360" w:lineRule="auto"/>
        <w:rPr>
          <w:rFonts w:eastAsia="黑体"/>
        </w:rPr>
      </w:pPr>
      <w:r>
        <w:rPr>
          <w:rFonts w:eastAsia="黑体"/>
        </w:rPr>
        <w:t>范围</w:t>
      </w:r>
    </w:p>
    <w:p w:rsidR="003E499F" w:rsidRDefault="001B684B">
      <w:pPr>
        <w:spacing w:line="360" w:lineRule="auto"/>
        <w:jc w:val="center"/>
      </w:pPr>
      <w:r>
        <w:t>本部分规定了冶炼副产品硫酸镍中镍含量的测定方法。方法</w:t>
      </w:r>
      <w:r>
        <w:t>1</w:t>
      </w:r>
      <w:r>
        <w:t>：重量法；方法</w:t>
      </w:r>
      <w:r>
        <w:t>2</w:t>
      </w:r>
      <w:r>
        <w:t>：</w:t>
      </w:r>
      <w:r>
        <w:t>Na</w:t>
      </w:r>
      <w:r>
        <w:rPr>
          <w:vertAlign w:val="subscript"/>
        </w:rPr>
        <w:t>2</w:t>
      </w:r>
      <w:r>
        <w:t>EDTA</w:t>
      </w:r>
      <w:r>
        <w:t>滴定法。</w:t>
      </w:r>
    </w:p>
    <w:p w:rsidR="003E499F" w:rsidRDefault="001B684B">
      <w:pPr>
        <w:spacing w:line="360" w:lineRule="auto"/>
        <w:ind w:firstLineChars="200" w:firstLine="420"/>
      </w:pPr>
      <w:r>
        <w:t>本部分适用于冶炼副产品硫酸镍中镍含量的测定。方法</w:t>
      </w:r>
      <w:r>
        <w:t>1</w:t>
      </w:r>
      <w:r>
        <w:t>和方法</w:t>
      </w:r>
      <w:r>
        <w:t>2</w:t>
      </w:r>
      <w:r>
        <w:t>的测定范围：</w:t>
      </w:r>
      <w:r>
        <w:t>8.00%</w:t>
      </w:r>
      <w:r>
        <w:t>～</w:t>
      </w:r>
      <w:r>
        <w:t>25.00%</w:t>
      </w:r>
      <w:r>
        <w:t>。本部分方法</w:t>
      </w:r>
      <w:r>
        <w:t>1</w:t>
      </w:r>
      <w:r>
        <w:t>为仲裁方法。</w:t>
      </w:r>
    </w:p>
    <w:p w:rsidR="003E499F" w:rsidRDefault="001B684B" w:rsidP="008776ED">
      <w:pPr>
        <w:spacing w:afterLines="50"/>
        <w:rPr>
          <w:rFonts w:ascii="黑体" w:eastAsia="黑体" w:hAnsi="黑体" w:cs="黑体"/>
        </w:rPr>
      </w:pPr>
      <w:r>
        <w:rPr>
          <w:rFonts w:ascii="黑体" w:eastAsia="黑体" w:hAnsi="黑体" w:cs="黑体" w:hint="eastAsia"/>
        </w:rPr>
        <w:t xml:space="preserve">2   </w:t>
      </w:r>
      <w:r>
        <w:rPr>
          <w:rFonts w:ascii="黑体" w:eastAsia="黑体" w:hAnsi="黑体" w:cs="黑体" w:hint="eastAsia"/>
        </w:rPr>
        <w:t>规范性引用文件</w:t>
      </w:r>
    </w:p>
    <w:p w:rsidR="003E499F" w:rsidRDefault="001B684B" w:rsidP="008776ED">
      <w:pPr>
        <w:spacing w:afterLines="50" w:line="360" w:lineRule="auto"/>
        <w:ind w:firstLineChars="200" w:firstLine="420"/>
      </w:pPr>
      <w:r>
        <w:t>下列文件对于本文件的应用是必不可少的。凡是注日期的引用文件，仅注日期的版本适用于本文件。凡是不注日期的引和文件，其最新版本（包括所有的修改单）适用于本文件。</w:t>
      </w:r>
    </w:p>
    <w:p w:rsidR="003E499F" w:rsidRDefault="001B684B" w:rsidP="008776ED">
      <w:pPr>
        <w:spacing w:afterLines="50" w:line="360" w:lineRule="auto"/>
        <w:ind w:firstLineChars="200" w:firstLine="420"/>
      </w:pPr>
      <w:r>
        <w:t xml:space="preserve">GB/T 8170 </w:t>
      </w:r>
      <w:r>
        <w:t>数值修约规则与极限数值的表示和判定</w:t>
      </w:r>
    </w:p>
    <w:p w:rsidR="003E499F" w:rsidRDefault="001B684B">
      <w:pPr>
        <w:pStyle w:val="afffff2"/>
        <w:spacing w:line="360" w:lineRule="auto"/>
        <w:ind w:firstLineChars="0" w:firstLine="0"/>
        <w:rPr>
          <w:rFonts w:ascii="黑体" w:eastAsia="黑体" w:hAnsi="黑体" w:cs="黑体"/>
        </w:rPr>
      </w:pPr>
      <w:r>
        <w:rPr>
          <w:rFonts w:ascii="黑体" w:eastAsia="黑体" w:hAnsi="黑体" w:cs="黑体" w:hint="eastAsia"/>
        </w:rPr>
        <w:t xml:space="preserve">3   </w:t>
      </w:r>
      <w:r>
        <w:rPr>
          <w:rFonts w:ascii="黑体" w:eastAsia="黑体" w:hAnsi="黑体" w:cs="黑体" w:hint="eastAsia"/>
        </w:rPr>
        <w:t>方法</w:t>
      </w:r>
      <w:r>
        <w:rPr>
          <w:rFonts w:ascii="黑体" w:eastAsia="黑体" w:hAnsi="黑体" w:cs="黑体" w:hint="eastAsia"/>
        </w:rPr>
        <w:t xml:space="preserve">1 </w:t>
      </w:r>
      <w:r>
        <w:rPr>
          <w:rFonts w:ascii="黑体" w:eastAsia="黑体" w:hAnsi="黑体" w:cs="黑体" w:hint="eastAsia"/>
        </w:rPr>
        <w:t>重量法</w:t>
      </w:r>
    </w:p>
    <w:p w:rsidR="003E499F" w:rsidRDefault="001B684B">
      <w:pPr>
        <w:pStyle w:val="afffff2"/>
        <w:spacing w:line="360" w:lineRule="auto"/>
        <w:ind w:firstLineChars="0" w:firstLine="0"/>
        <w:rPr>
          <w:rFonts w:ascii="黑体" w:eastAsia="黑体" w:hAnsi="黑体" w:cs="黑体"/>
        </w:rPr>
      </w:pPr>
      <w:r>
        <w:rPr>
          <w:rFonts w:ascii="黑体" w:eastAsia="黑体" w:hAnsi="黑体" w:cs="黑体" w:hint="eastAsia"/>
        </w:rPr>
        <w:t xml:space="preserve">3.1 </w:t>
      </w:r>
      <w:r>
        <w:rPr>
          <w:rFonts w:ascii="黑体" w:eastAsia="黑体" w:hAnsi="黑体" w:cs="黑体" w:hint="eastAsia"/>
        </w:rPr>
        <w:t>方法提要</w:t>
      </w:r>
    </w:p>
    <w:p w:rsidR="003E499F" w:rsidRDefault="001B684B" w:rsidP="008776ED">
      <w:pPr>
        <w:spacing w:afterLines="50" w:line="360" w:lineRule="auto"/>
        <w:ind w:firstLineChars="200" w:firstLine="420"/>
      </w:pPr>
      <w:r>
        <w:t>试料用</w:t>
      </w:r>
      <w:r>
        <w:t>盐酸和硝酸分解，用酒石酸掩蔽少量的铁和硫代硫酸钠掩蔽少量的铜，在</w:t>
      </w:r>
      <w:r>
        <w:rPr>
          <w:szCs w:val="21"/>
        </w:rPr>
        <w:t xml:space="preserve">pH </w:t>
      </w:r>
      <w:r>
        <w:rPr>
          <w:szCs w:val="21"/>
        </w:rPr>
        <w:t>值为</w:t>
      </w:r>
      <w:r>
        <w:t>8</w:t>
      </w:r>
      <w:r>
        <w:rPr>
          <w:szCs w:val="21"/>
        </w:rPr>
        <w:t>～</w:t>
      </w:r>
      <w:r>
        <w:t>9</w:t>
      </w:r>
      <w:r>
        <w:t>溶液中，用丁二酮肟沉淀镍，与干扰元素分离。通过测定丁二酮肟镍沉淀的质量，计算得镍的含量。</w:t>
      </w:r>
    </w:p>
    <w:p w:rsidR="003E499F" w:rsidRDefault="001B684B">
      <w:pPr>
        <w:spacing w:line="360" w:lineRule="auto"/>
        <w:rPr>
          <w:rFonts w:ascii="黑体" w:eastAsia="黑体" w:hAnsi="黑体" w:cs="黑体"/>
        </w:rPr>
      </w:pPr>
      <w:r>
        <w:rPr>
          <w:rFonts w:ascii="黑体" w:eastAsia="黑体" w:hAnsi="黑体" w:cs="黑体" w:hint="eastAsia"/>
        </w:rPr>
        <w:t>3.2</w:t>
      </w:r>
      <w:r>
        <w:rPr>
          <w:rFonts w:ascii="黑体" w:eastAsia="黑体" w:hAnsi="黑体" w:cs="黑体" w:hint="eastAsia"/>
        </w:rPr>
        <w:t>试剂</w:t>
      </w:r>
    </w:p>
    <w:p w:rsidR="003E499F" w:rsidRDefault="001B684B">
      <w:pPr>
        <w:spacing w:line="360" w:lineRule="auto"/>
        <w:ind w:firstLineChars="200" w:firstLine="420"/>
        <w:jc w:val="left"/>
      </w:pPr>
      <w:r>
        <w:t>除非另有说明，在分析中仅使用确认为分析纯的试剂和蒸馏水或去离子水或相当纯度的水。</w:t>
      </w:r>
    </w:p>
    <w:p w:rsidR="003E499F" w:rsidRDefault="001B684B">
      <w:pPr>
        <w:spacing w:line="360" w:lineRule="auto"/>
        <w:rPr>
          <w:szCs w:val="21"/>
        </w:rPr>
      </w:pPr>
      <w:r>
        <w:rPr>
          <w:rFonts w:ascii="黑体" w:eastAsia="黑体" w:hAnsi="黑体" w:cs="黑体" w:hint="eastAsia"/>
          <w:szCs w:val="21"/>
        </w:rPr>
        <w:t>3.2.1</w:t>
      </w:r>
      <w:r>
        <w:rPr>
          <w:szCs w:val="21"/>
        </w:rPr>
        <w:t>无水乙醇。</w:t>
      </w:r>
    </w:p>
    <w:p w:rsidR="003E499F" w:rsidRDefault="001B684B">
      <w:pPr>
        <w:spacing w:line="360" w:lineRule="auto"/>
        <w:rPr>
          <w:szCs w:val="21"/>
        </w:rPr>
      </w:pPr>
      <w:r>
        <w:rPr>
          <w:rFonts w:ascii="黑体" w:eastAsia="黑体" w:hAnsi="黑体" w:cs="黑体" w:hint="eastAsia"/>
          <w:szCs w:val="21"/>
        </w:rPr>
        <w:t>3.2.2</w:t>
      </w:r>
      <w:r>
        <w:rPr>
          <w:szCs w:val="21"/>
        </w:rPr>
        <w:t>盐酸（</w:t>
      </w:r>
      <w:r>
        <w:rPr>
          <w:szCs w:val="21"/>
        </w:rPr>
        <w:t>ρ 1.19 g/mL</w:t>
      </w:r>
      <w:r>
        <w:rPr>
          <w:szCs w:val="21"/>
        </w:rPr>
        <w:t>）。</w:t>
      </w:r>
    </w:p>
    <w:p w:rsidR="003E499F" w:rsidRDefault="001B684B">
      <w:pPr>
        <w:spacing w:line="360" w:lineRule="auto"/>
        <w:rPr>
          <w:szCs w:val="21"/>
        </w:rPr>
      </w:pPr>
      <w:r>
        <w:rPr>
          <w:rFonts w:ascii="黑体" w:eastAsia="黑体" w:hAnsi="黑体" w:cs="黑体" w:hint="eastAsia"/>
          <w:szCs w:val="21"/>
        </w:rPr>
        <w:t>3.2.3</w:t>
      </w:r>
      <w:r>
        <w:rPr>
          <w:szCs w:val="21"/>
        </w:rPr>
        <w:t>硝酸（</w:t>
      </w:r>
      <w:r>
        <w:rPr>
          <w:szCs w:val="21"/>
        </w:rPr>
        <w:t>ρ 1.42 g/mL</w:t>
      </w:r>
      <w:r>
        <w:rPr>
          <w:szCs w:val="21"/>
        </w:rPr>
        <w:t>）。</w:t>
      </w:r>
    </w:p>
    <w:p w:rsidR="003E499F" w:rsidRDefault="001B684B">
      <w:pPr>
        <w:spacing w:line="360" w:lineRule="auto"/>
        <w:rPr>
          <w:szCs w:val="21"/>
        </w:rPr>
      </w:pPr>
      <w:r>
        <w:rPr>
          <w:rFonts w:ascii="黑体" w:eastAsia="黑体" w:hAnsi="黑体" w:cs="黑体" w:hint="eastAsia"/>
          <w:szCs w:val="21"/>
        </w:rPr>
        <w:t>3.2.4</w:t>
      </w:r>
      <w:r>
        <w:rPr>
          <w:szCs w:val="21"/>
        </w:rPr>
        <w:t>盐酸（</w:t>
      </w:r>
      <w:r>
        <w:rPr>
          <w:szCs w:val="21"/>
        </w:rPr>
        <w:t>1+1</w:t>
      </w:r>
      <w:r>
        <w:rPr>
          <w:szCs w:val="21"/>
        </w:rPr>
        <w:t>）。</w:t>
      </w:r>
    </w:p>
    <w:p w:rsidR="003E499F" w:rsidRDefault="001B684B">
      <w:pPr>
        <w:spacing w:line="360" w:lineRule="auto"/>
        <w:rPr>
          <w:szCs w:val="21"/>
        </w:rPr>
      </w:pPr>
      <w:r>
        <w:rPr>
          <w:rFonts w:ascii="黑体" w:eastAsia="黑体" w:hAnsi="黑体" w:cs="黑体" w:hint="eastAsia"/>
          <w:szCs w:val="21"/>
        </w:rPr>
        <w:t>3.2.5</w:t>
      </w:r>
      <w:r>
        <w:rPr>
          <w:szCs w:val="21"/>
        </w:rPr>
        <w:t>硝酸（</w:t>
      </w:r>
      <w:r>
        <w:rPr>
          <w:szCs w:val="21"/>
        </w:rPr>
        <w:t>1+1</w:t>
      </w:r>
      <w:r>
        <w:rPr>
          <w:szCs w:val="21"/>
        </w:rPr>
        <w:t>）。</w:t>
      </w:r>
    </w:p>
    <w:p w:rsidR="003E499F" w:rsidRDefault="001B684B">
      <w:pPr>
        <w:spacing w:line="360" w:lineRule="auto"/>
        <w:rPr>
          <w:szCs w:val="21"/>
        </w:rPr>
      </w:pPr>
      <w:r>
        <w:rPr>
          <w:rFonts w:ascii="黑体" w:eastAsia="黑体" w:hAnsi="黑体" w:cs="黑体" w:hint="eastAsia"/>
          <w:szCs w:val="21"/>
        </w:rPr>
        <w:t>3.2.6</w:t>
      </w:r>
      <w:r>
        <w:rPr>
          <w:szCs w:val="21"/>
        </w:rPr>
        <w:t>混合酸：</w:t>
      </w:r>
      <w:r>
        <w:t>7.5mL</w:t>
      </w:r>
      <w:r>
        <w:t>盐酸（</w:t>
      </w:r>
      <w:r>
        <w:t>3.2.2</w:t>
      </w:r>
      <w:r>
        <w:t>）和</w:t>
      </w:r>
      <w:r>
        <w:t>2.5mL</w:t>
      </w:r>
      <w:r>
        <w:t>硝酸（</w:t>
      </w:r>
      <w:r>
        <w:t>3.2.3</w:t>
      </w:r>
      <w:r>
        <w:t>）混合加水至</w:t>
      </w:r>
      <w:r>
        <w:t>100mL</w:t>
      </w:r>
      <w:r>
        <w:rPr>
          <w:szCs w:val="21"/>
        </w:rPr>
        <w:t>。</w:t>
      </w:r>
    </w:p>
    <w:p w:rsidR="003E499F" w:rsidRDefault="001B684B">
      <w:pPr>
        <w:spacing w:line="360" w:lineRule="auto"/>
        <w:rPr>
          <w:szCs w:val="21"/>
        </w:rPr>
      </w:pPr>
      <w:r>
        <w:rPr>
          <w:rFonts w:ascii="黑体" w:eastAsia="黑体" w:hAnsi="黑体" w:cs="黑体" w:hint="eastAsia"/>
          <w:szCs w:val="21"/>
        </w:rPr>
        <w:t>3.2.7</w:t>
      </w:r>
      <w:r>
        <w:rPr>
          <w:szCs w:val="21"/>
        </w:rPr>
        <w:t>氨水（</w:t>
      </w:r>
      <w:r>
        <w:rPr>
          <w:szCs w:val="21"/>
        </w:rPr>
        <w:t>1+1</w:t>
      </w:r>
      <w:r>
        <w:rPr>
          <w:szCs w:val="21"/>
        </w:rPr>
        <w:t>）。</w:t>
      </w:r>
    </w:p>
    <w:p w:rsidR="003E499F" w:rsidRDefault="001B684B">
      <w:pPr>
        <w:spacing w:line="360" w:lineRule="auto"/>
        <w:rPr>
          <w:szCs w:val="21"/>
        </w:rPr>
      </w:pPr>
      <w:r>
        <w:rPr>
          <w:rFonts w:ascii="黑体" w:eastAsia="黑体" w:hAnsi="黑体" w:cs="黑体" w:hint="eastAsia"/>
          <w:szCs w:val="21"/>
        </w:rPr>
        <w:t>3.2.8</w:t>
      </w:r>
      <w:r>
        <w:rPr>
          <w:szCs w:val="21"/>
        </w:rPr>
        <w:t>丁二酮肟乙醇溶液</w:t>
      </w:r>
      <w:r>
        <w:rPr>
          <w:szCs w:val="21"/>
        </w:rPr>
        <w:t>(10 g/L)</w:t>
      </w:r>
      <w:r>
        <w:rPr>
          <w:szCs w:val="21"/>
        </w:rPr>
        <w:t>：称取</w:t>
      </w:r>
      <w:r>
        <w:rPr>
          <w:szCs w:val="21"/>
        </w:rPr>
        <w:t>1.0 g</w:t>
      </w:r>
      <w:r>
        <w:rPr>
          <w:szCs w:val="21"/>
        </w:rPr>
        <w:t>丁二酮肟，溶于</w:t>
      </w:r>
      <w:r>
        <w:rPr>
          <w:szCs w:val="21"/>
        </w:rPr>
        <w:t>100 mL</w:t>
      </w:r>
      <w:r>
        <w:rPr>
          <w:szCs w:val="21"/>
        </w:rPr>
        <w:t>无水乙醇（</w:t>
      </w:r>
      <w:r>
        <w:rPr>
          <w:szCs w:val="21"/>
        </w:rPr>
        <w:t>3.2.1</w:t>
      </w:r>
      <w:r>
        <w:rPr>
          <w:szCs w:val="21"/>
        </w:rPr>
        <w:t>）中，混匀，过滤后使用。</w:t>
      </w:r>
    </w:p>
    <w:p w:rsidR="003E499F" w:rsidRDefault="001B684B">
      <w:pPr>
        <w:spacing w:line="360" w:lineRule="auto"/>
        <w:rPr>
          <w:szCs w:val="21"/>
        </w:rPr>
      </w:pPr>
      <w:r>
        <w:rPr>
          <w:rFonts w:ascii="黑体" w:eastAsia="黑体" w:hAnsi="黑体" w:cs="黑体" w:hint="eastAsia"/>
          <w:szCs w:val="21"/>
        </w:rPr>
        <w:t>3.2.9</w:t>
      </w:r>
      <w:r>
        <w:rPr>
          <w:szCs w:val="21"/>
        </w:rPr>
        <w:t>酒石酸溶液</w:t>
      </w:r>
      <w:r>
        <w:rPr>
          <w:szCs w:val="21"/>
        </w:rPr>
        <w:t>(200 g/L)</w:t>
      </w:r>
      <w:r>
        <w:rPr>
          <w:szCs w:val="21"/>
        </w:rPr>
        <w:t>，过滤后使用。</w:t>
      </w:r>
    </w:p>
    <w:p w:rsidR="003E499F" w:rsidRDefault="001B684B">
      <w:pPr>
        <w:spacing w:line="360" w:lineRule="auto"/>
        <w:rPr>
          <w:rFonts w:eastAsia="黑体"/>
          <w:szCs w:val="21"/>
        </w:rPr>
      </w:pPr>
      <w:r>
        <w:rPr>
          <w:rFonts w:ascii="黑体" w:eastAsia="黑体" w:hAnsi="黑体" w:cs="黑体" w:hint="eastAsia"/>
          <w:szCs w:val="21"/>
        </w:rPr>
        <w:t>3.2.10</w:t>
      </w:r>
      <w:r>
        <w:rPr>
          <w:szCs w:val="21"/>
        </w:rPr>
        <w:t>乙醇（</w:t>
      </w:r>
      <w:r>
        <w:rPr>
          <w:szCs w:val="21"/>
        </w:rPr>
        <w:t>1+4</w:t>
      </w:r>
      <w:r>
        <w:rPr>
          <w:szCs w:val="21"/>
        </w:rPr>
        <w:t>）。</w:t>
      </w:r>
    </w:p>
    <w:p w:rsidR="003E499F" w:rsidRDefault="001B684B">
      <w:pPr>
        <w:spacing w:line="360" w:lineRule="auto"/>
        <w:rPr>
          <w:szCs w:val="21"/>
        </w:rPr>
      </w:pPr>
      <w:r>
        <w:rPr>
          <w:rFonts w:ascii="黑体" w:eastAsia="黑体" w:hAnsi="黑体" w:cs="黑体" w:hint="eastAsia"/>
          <w:szCs w:val="21"/>
        </w:rPr>
        <w:t>3.2.11</w:t>
      </w:r>
      <w:r>
        <w:rPr>
          <w:szCs w:val="21"/>
        </w:rPr>
        <w:t>氯化铵溶液（</w:t>
      </w:r>
      <w:r>
        <w:rPr>
          <w:szCs w:val="21"/>
        </w:rPr>
        <w:t>200 g/L</w:t>
      </w:r>
      <w:r>
        <w:rPr>
          <w:szCs w:val="21"/>
        </w:rPr>
        <w:t>），过滤后使用。</w:t>
      </w:r>
    </w:p>
    <w:p w:rsidR="003E499F" w:rsidRDefault="001B684B">
      <w:pPr>
        <w:spacing w:line="360" w:lineRule="auto"/>
        <w:rPr>
          <w:szCs w:val="21"/>
        </w:rPr>
      </w:pPr>
      <w:r>
        <w:rPr>
          <w:rFonts w:ascii="黑体" w:eastAsia="黑体" w:hAnsi="黑体" w:cs="黑体" w:hint="eastAsia"/>
          <w:szCs w:val="21"/>
        </w:rPr>
        <w:t>3.2.12</w:t>
      </w:r>
      <w:r>
        <w:rPr>
          <w:szCs w:val="21"/>
        </w:rPr>
        <w:t>硫代硫酸钠溶液（</w:t>
      </w:r>
      <w:r>
        <w:rPr>
          <w:szCs w:val="21"/>
        </w:rPr>
        <w:t>100 g/L</w:t>
      </w:r>
      <w:r>
        <w:rPr>
          <w:szCs w:val="21"/>
        </w:rPr>
        <w:t>），过滤后使用。</w:t>
      </w:r>
    </w:p>
    <w:p w:rsidR="003E499F" w:rsidRDefault="001B684B">
      <w:pPr>
        <w:spacing w:line="360" w:lineRule="auto"/>
        <w:rPr>
          <w:szCs w:val="21"/>
        </w:rPr>
      </w:pPr>
      <w:r>
        <w:rPr>
          <w:rFonts w:ascii="黑体" w:eastAsia="黑体" w:hAnsi="黑体" w:cs="黑体" w:hint="eastAsia"/>
          <w:szCs w:val="21"/>
        </w:rPr>
        <w:t>3.2.13</w:t>
      </w:r>
      <w:r>
        <w:rPr>
          <w:szCs w:val="21"/>
        </w:rPr>
        <w:t>镍标准贮存溶液：称取</w:t>
      </w:r>
      <w:r>
        <w:rPr>
          <w:szCs w:val="21"/>
        </w:rPr>
        <w:t>0.5 000 g</w:t>
      </w:r>
      <w:r>
        <w:rPr>
          <w:szCs w:val="21"/>
        </w:rPr>
        <w:t>金属镍（</w:t>
      </w:r>
      <w:r>
        <w:rPr>
          <w:i/>
          <w:kern w:val="0"/>
          <w:szCs w:val="21"/>
        </w:rPr>
        <w:t>w</w:t>
      </w:r>
      <w:r>
        <w:rPr>
          <w:szCs w:val="21"/>
          <w:vertAlign w:val="subscript"/>
        </w:rPr>
        <w:t>Ni</w:t>
      </w:r>
      <w:r>
        <w:rPr>
          <w:szCs w:val="21"/>
        </w:rPr>
        <w:t>≥99.99%</w:t>
      </w:r>
      <w:r>
        <w:rPr>
          <w:szCs w:val="21"/>
        </w:rPr>
        <w:t>），置于</w:t>
      </w:r>
      <w:r>
        <w:rPr>
          <w:szCs w:val="21"/>
        </w:rPr>
        <w:t>250 mL</w:t>
      </w:r>
      <w:r>
        <w:rPr>
          <w:szCs w:val="21"/>
        </w:rPr>
        <w:t>烧杯中，加入</w:t>
      </w:r>
      <w:r>
        <w:rPr>
          <w:szCs w:val="21"/>
        </w:rPr>
        <w:t>20 mL</w:t>
      </w:r>
      <w:r>
        <w:rPr>
          <w:szCs w:val="21"/>
        </w:rPr>
        <w:t>硝酸（</w:t>
      </w:r>
      <w:r>
        <w:rPr>
          <w:szCs w:val="21"/>
        </w:rPr>
        <w:t>3.2.5</w:t>
      </w:r>
      <w:r>
        <w:rPr>
          <w:szCs w:val="21"/>
        </w:rPr>
        <w:t>），盖上表面皿，低温加热分解完全，取下冷却，用水冲洗表面皿和杯壁，移入</w:t>
      </w:r>
      <w:r>
        <w:rPr>
          <w:szCs w:val="21"/>
        </w:rPr>
        <w:t>1 000 mL</w:t>
      </w:r>
      <w:r>
        <w:rPr>
          <w:szCs w:val="21"/>
        </w:rPr>
        <w:t>容量瓶中，用水稀释至刻</w:t>
      </w:r>
      <w:r>
        <w:rPr>
          <w:szCs w:val="21"/>
        </w:rPr>
        <w:lastRenderedPageBreak/>
        <w:t>度，混匀。此溶液</w:t>
      </w:r>
      <w:r>
        <w:rPr>
          <w:szCs w:val="21"/>
        </w:rPr>
        <w:t>1 mL</w:t>
      </w:r>
      <w:r>
        <w:rPr>
          <w:szCs w:val="21"/>
        </w:rPr>
        <w:t>含</w:t>
      </w:r>
      <w:r>
        <w:rPr>
          <w:szCs w:val="21"/>
        </w:rPr>
        <w:t>500 μg</w:t>
      </w:r>
      <w:r>
        <w:rPr>
          <w:szCs w:val="21"/>
        </w:rPr>
        <w:t>镍。</w:t>
      </w:r>
    </w:p>
    <w:p w:rsidR="003E499F" w:rsidRDefault="001B684B">
      <w:pPr>
        <w:spacing w:line="360" w:lineRule="auto"/>
        <w:rPr>
          <w:szCs w:val="21"/>
        </w:rPr>
      </w:pPr>
      <w:r>
        <w:rPr>
          <w:rFonts w:ascii="黑体" w:eastAsia="黑体" w:hAnsi="黑体" w:cs="黑体" w:hint="eastAsia"/>
          <w:szCs w:val="21"/>
        </w:rPr>
        <w:t>3.2.14</w:t>
      </w:r>
      <w:r>
        <w:rPr>
          <w:szCs w:val="21"/>
        </w:rPr>
        <w:t>镍标准溶液：移取</w:t>
      </w:r>
      <w:r>
        <w:rPr>
          <w:szCs w:val="21"/>
        </w:rPr>
        <w:t>5.00 mL</w:t>
      </w:r>
      <w:r>
        <w:rPr>
          <w:szCs w:val="21"/>
        </w:rPr>
        <w:t>镍标准贮存溶液</w:t>
      </w:r>
      <w:r>
        <w:rPr>
          <w:szCs w:val="21"/>
        </w:rPr>
        <w:t>(3.2.13)</w:t>
      </w:r>
      <w:r>
        <w:rPr>
          <w:szCs w:val="21"/>
        </w:rPr>
        <w:t>，置于</w:t>
      </w:r>
      <w:r>
        <w:rPr>
          <w:szCs w:val="21"/>
        </w:rPr>
        <w:t>100 mL</w:t>
      </w:r>
      <w:r>
        <w:rPr>
          <w:szCs w:val="21"/>
        </w:rPr>
        <w:t>容量瓶中，加入</w:t>
      </w:r>
      <w:r>
        <w:rPr>
          <w:szCs w:val="21"/>
        </w:rPr>
        <w:t>5 mL</w:t>
      </w:r>
      <w:r>
        <w:rPr>
          <w:szCs w:val="21"/>
        </w:rPr>
        <w:t>盐酸溶液（</w:t>
      </w:r>
      <w:r>
        <w:rPr>
          <w:szCs w:val="21"/>
        </w:rPr>
        <w:t>3.2.4</w:t>
      </w:r>
      <w:r>
        <w:rPr>
          <w:szCs w:val="21"/>
        </w:rPr>
        <w:t>）用水稀释至刻度，混匀。此溶液</w:t>
      </w:r>
      <w:r>
        <w:rPr>
          <w:szCs w:val="21"/>
        </w:rPr>
        <w:t>1 mL</w:t>
      </w:r>
      <w:r>
        <w:rPr>
          <w:szCs w:val="21"/>
        </w:rPr>
        <w:t>含</w:t>
      </w:r>
      <w:r>
        <w:rPr>
          <w:szCs w:val="21"/>
        </w:rPr>
        <w:t>25 μg</w:t>
      </w:r>
      <w:r>
        <w:rPr>
          <w:szCs w:val="21"/>
        </w:rPr>
        <w:t>镍。</w:t>
      </w:r>
    </w:p>
    <w:p w:rsidR="003E499F" w:rsidRDefault="001B684B">
      <w:pPr>
        <w:spacing w:line="360" w:lineRule="auto"/>
        <w:rPr>
          <w:rFonts w:eastAsia="黑体"/>
        </w:rPr>
      </w:pPr>
      <w:r>
        <w:rPr>
          <w:rFonts w:ascii="黑体" w:eastAsia="黑体" w:hAnsi="黑体" w:cs="黑体" w:hint="eastAsia"/>
        </w:rPr>
        <w:t>3.3</w:t>
      </w:r>
      <w:r>
        <w:rPr>
          <w:rFonts w:ascii="黑体" w:eastAsia="黑体" w:hAnsi="黑体" w:cs="黑体" w:hint="eastAsia"/>
        </w:rPr>
        <w:t>仪器设备</w:t>
      </w:r>
    </w:p>
    <w:p w:rsidR="003E499F" w:rsidRDefault="001B684B">
      <w:pPr>
        <w:spacing w:line="360" w:lineRule="auto"/>
        <w:jc w:val="left"/>
        <w:rPr>
          <w:szCs w:val="21"/>
        </w:rPr>
      </w:pPr>
      <w:r>
        <w:rPr>
          <w:rFonts w:ascii="黑体" w:eastAsia="黑体" w:hAnsi="黑体" w:cs="黑体" w:hint="eastAsia"/>
          <w:szCs w:val="21"/>
        </w:rPr>
        <w:t>3.3.1</w:t>
      </w:r>
      <w:r>
        <w:rPr>
          <w:szCs w:val="21"/>
        </w:rPr>
        <w:t>电热恒温水浴锅。</w:t>
      </w:r>
    </w:p>
    <w:p w:rsidR="003E499F" w:rsidRDefault="001B684B">
      <w:pPr>
        <w:spacing w:line="360" w:lineRule="auto"/>
        <w:jc w:val="left"/>
        <w:rPr>
          <w:szCs w:val="21"/>
        </w:rPr>
      </w:pPr>
      <w:r>
        <w:rPr>
          <w:rFonts w:ascii="黑体" w:eastAsia="黑体" w:hAnsi="黑体" w:cs="黑体" w:hint="eastAsia"/>
          <w:szCs w:val="21"/>
        </w:rPr>
        <w:t>3.3.2</w:t>
      </w:r>
      <w:r>
        <w:rPr>
          <w:szCs w:val="21"/>
        </w:rPr>
        <w:t>电热恒温干燥箱。</w:t>
      </w:r>
    </w:p>
    <w:p w:rsidR="003E499F" w:rsidRDefault="001B684B">
      <w:pPr>
        <w:spacing w:line="360" w:lineRule="auto"/>
        <w:jc w:val="left"/>
        <w:rPr>
          <w:szCs w:val="21"/>
        </w:rPr>
      </w:pPr>
      <w:r>
        <w:rPr>
          <w:rFonts w:ascii="黑体" w:eastAsia="黑体" w:hAnsi="黑体" w:cs="黑体" w:hint="eastAsia"/>
          <w:szCs w:val="21"/>
        </w:rPr>
        <w:t>3.3.3</w:t>
      </w:r>
      <w:r>
        <w:rPr>
          <w:szCs w:val="21"/>
        </w:rPr>
        <w:t>玻璃砂芯坩埚：</w:t>
      </w:r>
      <w:r>
        <w:rPr>
          <w:szCs w:val="21"/>
        </w:rPr>
        <w:t>G4</w:t>
      </w:r>
      <w:r>
        <w:rPr>
          <w:szCs w:val="21"/>
        </w:rPr>
        <w:t>（孔径</w:t>
      </w:r>
      <w:r>
        <w:rPr>
          <w:szCs w:val="21"/>
        </w:rPr>
        <w:t>7</w:t>
      </w:r>
      <w:r>
        <w:rPr>
          <w:szCs w:val="21"/>
        </w:rPr>
        <w:t>～</w:t>
      </w:r>
      <w:r>
        <w:rPr>
          <w:szCs w:val="21"/>
        </w:rPr>
        <w:t>16 µm</w:t>
      </w:r>
      <w:r>
        <w:rPr>
          <w:szCs w:val="21"/>
        </w:rPr>
        <w:t>）</w:t>
      </w:r>
      <w:r>
        <w:rPr>
          <w:rFonts w:cs="宋体" w:hint="eastAsia"/>
        </w:rPr>
        <w:t>，</w:t>
      </w:r>
      <w:r>
        <w:rPr>
          <w:rFonts w:ascii="宋体" w:hAnsi="宋体" w:cs="宋体"/>
        </w:rPr>
        <w:t>30</w:t>
      </w:r>
      <w:r>
        <w:t>mL</w:t>
      </w:r>
      <w:r>
        <w:rPr>
          <w:rFonts w:cs="宋体" w:hint="eastAsia"/>
        </w:rPr>
        <w:t>。</w:t>
      </w:r>
    </w:p>
    <w:p w:rsidR="003E499F" w:rsidRDefault="001B684B">
      <w:pPr>
        <w:spacing w:line="360" w:lineRule="auto"/>
        <w:jc w:val="left"/>
        <w:rPr>
          <w:szCs w:val="21"/>
        </w:rPr>
      </w:pPr>
      <w:r>
        <w:rPr>
          <w:rFonts w:ascii="黑体" w:eastAsia="黑体" w:hAnsi="黑体" w:cs="黑体" w:hint="eastAsia"/>
          <w:szCs w:val="21"/>
        </w:rPr>
        <w:t>3.3.4</w:t>
      </w:r>
      <w:r>
        <w:rPr>
          <w:szCs w:val="21"/>
        </w:rPr>
        <w:t>吸滤瓶。</w:t>
      </w:r>
    </w:p>
    <w:p w:rsidR="003E499F" w:rsidRDefault="001B684B">
      <w:pPr>
        <w:spacing w:line="360" w:lineRule="auto"/>
        <w:jc w:val="left"/>
        <w:rPr>
          <w:szCs w:val="21"/>
        </w:rPr>
      </w:pPr>
      <w:r>
        <w:rPr>
          <w:rFonts w:ascii="黑体" w:eastAsia="黑体" w:hAnsi="黑体" w:cs="黑体" w:hint="eastAsia"/>
          <w:szCs w:val="21"/>
        </w:rPr>
        <w:t>3.3.5</w:t>
      </w:r>
      <w:r>
        <w:rPr>
          <w:szCs w:val="21"/>
        </w:rPr>
        <w:t>原子吸收光谱仪，附镍空心阴极灯。</w:t>
      </w:r>
    </w:p>
    <w:p w:rsidR="003E499F" w:rsidRDefault="001B684B">
      <w:pPr>
        <w:spacing w:line="360" w:lineRule="auto"/>
        <w:ind w:firstLineChars="300" w:firstLine="630"/>
        <w:jc w:val="left"/>
        <w:rPr>
          <w:szCs w:val="21"/>
        </w:rPr>
      </w:pPr>
      <w:r>
        <w:rPr>
          <w:szCs w:val="21"/>
        </w:rPr>
        <w:t>在仪器最佳工作条件下，凡能达到下列指标的原子吸收光谱仪均可使用：</w:t>
      </w:r>
    </w:p>
    <w:p w:rsidR="003E499F" w:rsidRDefault="001B684B">
      <w:pPr>
        <w:spacing w:line="360" w:lineRule="auto"/>
        <w:ind w:firstLineChars="250" w:firstLine="525"/>
        <w:rPr>
          <w:szCs w:val="16"/>
        </w:rPr>
      </w:pPr>
      <w:r>
        <w:rPr>
          <w:szCs w:val="16"/>
        </w:rPr>
        <w:t>——</w:t>
      </w:r>
      <w:r>
        <w:rPr>
          <w:szCs w:val="16"/>
        </w:rPr>
        <w:t>特征浓度：在与试料溶液基体相一致的溶液中，镍的特征浓度应不大于</w:t>
      </w:r>
      <w:r>
        <w:rPr>
          <w:szCs w:val="16"/>
        </w:rPr>
        <w:t xml:space="preserve">0.05 </w:t>
      </w:r>
      <w:r>
        <w:rPr>
          <w:szCs w:val="21"/>
        </w:rPr>
        <w:t>μg/mL</w:t>
      </w:r>
      <w:r>
        <w:rPr>
          <w:szCs w:val="16"/>
        </w:rPr>
        <w:t>。</w:t>
      </w:r>
    </w:p>
    <w:p w:rsidR="003E499F" w:rsidRDefault="001B684B">
      <w:pPr>
        <w:spacing w:line="360" w:lineRule="auto"/>
        <w:ind w:leftChars="250" w:left="945" w:hangingChars="200" w:hanging="420"/>
        <w:rPr>
          <w:szCs w:val="16"/>
        </w:rPr>
      </w:pPr>
      <w:r>
        <w:rPr>
          <w:szCs w:val="16"/>
        </w:rPr>
        <w:t>——</w:t>
      </w:r>
      <w:r>
        <w:rPr>
          <w:szCs w:val="16"/>
        </w:rPr>
        <w:t>精密度：用最高浓度的标准溶液测量</w:t>
      </w:r>
      <w:r>
        <w:rPr>
          <w:szCs w:val="16"/>
        </w:rPr>
        <w:t>10</w:t>
      </w:r>
      <w:r>
        <w:rPr>
          <w:szCs w:val="16"/>
        </w:rPr>
        <w:t>次吸光度，其标准偏差不超过平均吸光度的</w:t>
      </w:r>
      <w:r>
        <w:rPr>
          <w:szCs w:val="16"/>
        </w:rPr>
        <w:t>1.0%</w:t>
      </w:r>
      <w:r>
        <w:rPr>
          <w:szCs w:val="16"/>
        </w:rPr>
        <w:t>；用最低浓度的标准溶液（不是</w:t>
      </w:r>
      <w:r>
        <w:rPr>
          <w:szCs w:val="16"/>
        </w:rPr>
        <w:t>“</w:t>
      </w:r>
      <w:r>
        <w:rPr>
          <w:szCs w:val="16"/>
        </w:rPr>
        <w:t>零</w:t>
      </w:r>
      <w:r>
        <w:rPr>
          <w:szCs w:val="16"/>
        </w:rPr>
        <w:t>”</w:t>
      </w:r>
      <w:r>
        <w:rPr>
          <w:szCs w:val="16"/>
        </w:rPr>
        <w:t>标准溶液）测量</w:t>
      </w:r>
      <w:r>
        <w:rPr>
          <w:szCs w:val="16"/>
        </w:rPr>
        <w:t>10</w:t>
      </w:r>
      <w:r>
        <w:rPr>
          <w:szCs w:val="16"/>
        </w:rPr>
        <w:t>次吸光度，其标准偏差应不超过最高浓度标准溶液平均吸光度的</w:t>
      </w:r>
      <w:r>
        <w:rPr>
          <w:szCs w:val="16"/>
        </w:rPr>
        <w:t>0.5%</w:t>
      </w:r>
      <w:r>
        <w:rPr>
          <w:szCs w:val="16"/>
        </w:rPr>
        <w:t>。</w:t>
      </w:r>
    </w:p>
    <w:p w:rsidR="003E499F" w:rsidRDefault="001B684B">
      <w:pPr>
        <w:spacing w:line="360" w:lineRule="auto"/>
        <w:ind w:leftChars="250" w:left="945" w:hangingChars="200" w:hanging="420"/>
        <w:rPr>
          <w:szCs w:val="16"/>
        </w:rPr>
      </w:pPr>
      <w:r>
        <w:rPr>
          <w:szCs w:val="16"/>
        </w:rPr>
        <w:t>——</w:t>
      </w:r>
      <w:r>
        <w:rPr>
          <w:szCs w:val="16"/>
        </w:rPr>
        <w:t>工作曲线线性：将工作曲线按浓</w:t>
      </w:r>
      <w:r>
        <w:rPr>
          <w:szCs w:val="16"/>
        </w:rPr>
        <w:t>度等分为五段，最高段的吸光度差值与最低段的吸光度差值之比，应不小于</w:t>
      </w:r>
      <w:r>
        <w:rPr>
          <w:szCs w:val="16"/>
        </w:rPr>
        <w:t>0.80</w:t>
      </w:r>
      <w:r>
        <w:rPr>
          <w:szCs w:val="16"/>
        </w:rPr>
        <w:t>。</w:t>
      </w:r>
    </w:p>
    <w:p w:rsidR="003E499F" w:rsidRDefault="001B684B">
      <w:pPr>
        <w:spacing w:line="360" w:lineRule="auto"/>
        <w:rPr>
          <w:rFonts w:eastAsia="黑体"/>
        </w:rPr>
      </w:pPr>
      <w:r>
        <w:rPr>
          <w:rFonts w:ascii="黑体" w:eastAsia="黑体" w:hAnsi="黑体" w:cs="黑体" w:hint="eastAsia"/>
        </w:rPr>
        <w:t>3.4</w:t>
      </w:r>
      <w:r>
        <w:rPr>
          <w:rFonts w:ascii="黑体" w:eastAsia="黑体" w:hAnsi="黑体" w:cs="黑体" w:hint="eastAsia"/>
        </w:rPr>
        <w:t>试验步骤</w:t>
      </w:r>
    </w:p>
    <w:p w:rsidR="003E499F" w:rsidRDefault="001B684B">
      <w:pPr>
        <w:spacing w:line="360" w:lineRule="auto"/>
        <w:rPr>
          <w:rFonts w:eastAsia="黑体"/>
        </w:rPr>
      </w:pPr>
      <w:r>
        <w:rPr>
          <w:rFonts w:ascii="黑体" w:eastAsia="黑体" w:hAnsi="黑体" w:cs="黑体" w:hint="eastAsia"/>
        </w:rPr>
        <w:t xml:space="preserve">3.4.1  </w:t>
      </w:r>
      <w:r>
        <w:rPr>
          <w:rFonts w:ascii="黑体" w:eastAsia="黑体" w:hAnsi="黑体" w:cs="黑体" w:hint="eastAsia"/>
        </w:rPr>
        <w:t>试料</w:t>
      </w:r>
    </w:p>
    <w:p w:rsidR="003E499F" w:rsidRDefault="001B684B">
      <w:pPr>
        <w:pStyle w:val="12"/>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称取</w:t>
      </w:r>
      <w:r>
        <w:rPr>
          <w:rFonts w:ascii="Times New Roman" w:eastAsia="宋体" w:hAnsi="Times New Roman" w:cs="Times New Roman"/>
          <w:sz w:val="21"/>
          <w:szCs w:val="21"/>
        </w:rPr>
        <w:t>5.0 g</w:t>
      </w:r>
      <w:r>
        <w:rPr>
          <w:rFonts w:ascii="Times New Roman" w:eastAsia="宋体" w:hAnsi="Times New Roman" w:cs="Times New Roman"/>
          <w:sz w:val="21"/>
          <w:szCs w:val="21"/>
        </w:rPr>
        <w:t>试样，精确至</w:t>
      </w:r>
      <w:r>
        <w:rPr>
          <w:rFonts w:ascii="Times New Roman" w:eastAsia="宋体" w:hAnsi="Times New Roman" w:cs="Times New Roman"/>
          <w:sz w:val="21"/>
          <w:szCs w:val="21"/>
        </w:rPr>
        <w:t>0.000 1 g</w:t>
      </w:r>
      <w:r>
        <w:rPr>
          <w:rFonts w:ascii="Times New Roman" w:eastAsia="宋体" w:hAnsi="Times New Roman" w:cs="Times New Roman"/>
          <w:sz w:val="21"/>
          <w:szCs w:val="21"/>
        </w:rPr>
        <w:t>。</w:t>
      </w:r>
    </w:p>
    <w:p w:rsidR="003E499F" w:rsidRDefault="001B684B">
      <w:pPr>
        <w:spacing w:line="360" w:lineRule="auto"/>
        <w:rPr>
          <w:rFonts w:ascii="黑体" w:eastAsia="黑体" w:hAnsi="黑体" w:cs="黑体"/>
          <w:szCs w:val="21"/>
        </w:rPr>
      </w:pPr>
      <w:r>
        <w:rPr>
          <w:rFonts w:ascii="黑体" w:eastAsia="黑体" w:hAnsi="黑体" w:cs="黑体" w:hint="eastAsia"/>
          <w:szCs w:val="21"/>
        </w:rPr>
        <w:t xml:space="preserve">3.4.2  </w:t>
      </w:r>
      <w:r>
        <w:rPr>
          <w:rFonts w:ascii="黑体" w:eastAsia="黑体" w:hAnsi="黑体" w:cs="黑体" w:hint="eastAsia"/>
          <w:szCs w:val="21"/>
        </w:rPr>
        <w:t>平行试验</w:t>
      </w:r>
    </w:p>
    <w:p w:rsidR="003E499F" w:rsidRDefault="001B684B">
      <w:pPr>
        <w:spacing w:line="360" w:lineRule="auto"/>
        <w:ind w:firstLineChars="200" w:firstLine="420"/>
        <w:jc w:val="left"/>
        <w:rPr>
          <w:szCs w:val="21"/>
        </w:rPr>
      </w:pPr>
      <w:r>
        <w:rPr>
          <w:szCs w:val="21"/>
        </w:rPr>
        <w:t>平行做两份试验。</w:t>
      </w:r>
    </w:p>
    <w:p w:rsidR="003E499F" w:rsidRDefault="001B684B">
      <w:pPr>
        <w:spacing w:line="360" w:lineRule="auto"/>
        <w:rPr>
          <w:rFonts w:eastAsia="黑体"/>
          <w:szCs w:val="21"/>
        </w:rPr>
      </w:pPr>
      <w:r>
        <w:rPr>
          <w:rFonts w:ascii="黑体" w:eastAsia="黑体" w:hAnsi="黑体" w:cs="黑体" w:hint="eastAsia"/>
          <w:szCs w:val="21"/>
        </w:rPr>
        <w:t xml:space="preserve">3.4.3  </w:t>
      </w:r>
      <w:r>
        <w:rPr>
          <w:rFonts w:ascii="黑体" w:eastAsia="黑体" w:hAnsi="黑体" w:cs="黑体" w:hint="eastAsia"/>
          <w:szCs w:val="21"/>
        </w:rPr>
        <w:t>空白试验</w:t>
      </w:r>
    </w:p>
    <w:p w:rsidR="003E499F" w:rsidRDefault="001B684B">
      <w:pPr>
        <w:spacing w:line="360" w:lineRule="auto"/>
        <w:ind w:firstLineChars="200" w:firstLine="420"/>
        <w:rPr>
          <w:szCs w:val="21"/>
        </w:rPr>
      </w:pPr>
      <w:r>
        <w:rPr>
          <w:szCs w:val="21"/>
        </w:rPr>
        <w:t>随同试料做空白试验。</w:t>
      </w:r>
    </w:p>
    <w:p w:rsidR="003E499F" w:rsidRDefault="001B684B">
      <w:pPr>
        <w:spacing w:line="360" w:lineRule="auto"/>
        <w:rPr>
          <w:rFonts w:eastAsia="黑体"/>
          <w:szCs w:val="21"/>
        </w:rPr>
      </w:pPr>
      <w:r>
        <w:rPr>
          <w:rFonts w:ascii="黑体" w:eastAsia="黑体" w:hAnsi="黑体" w:cs="黑体" w:hint="eastAsia"/>
          <w:szCs w:val="21"/>
        </w:rPr>
        <w:t xml:space="preserve">3.4.4  </w:t>
      </w:r>
      <w:r>
        <w:rPr>
          <w:rFonts w:ascii="黑体" w:eastAsia="黑体" w:hAnsi="黑体" w:cs="黑体" w:hint="eastAsia"/>
          <w:szCs w:val="21"/>
        </w:rPr>
        <w:t>测定</w:t>
      </w:r>
    </w:p>
    <w:p w:rsidR="003E499F" w:rsidRDefault="001B684B">
      <w:pPr>
        <w:spacing w:line="360" w:lineRule="auto"/>
        <w:rPr>
          <w:rFonts w:ascii="黑体" w:eastAsia="黑体" w:hAnsi="黑体" w:cs="黑体"/>
          <w:szCs w:val="21"/>
        </w:rPr>
      </w:pPr>
      <w:r>
        <w:rPr>
          <w:rFonts w:ascii="黑体" w:eastAsia="黑体" w:hAnsi="黑体" w:cs="黑体" w:hint="eastAsia"/>
          <w:szCs w:val="21"/>
        </w:rPr>
        <w:t>3.4.4.1</w:t>
      </w:r>
      <w:r>
        <w:rPr>
          <w:rFonts w:ascii="黑体" w:eastAsia="黑体" w:hAnsi="黑体" w:cs="黑体" w:hint="eastAsia"/>
          <w:szCs w:val="21"/>
        </w:rPr>
        <w:t>玻璃砂芯坩埚的处理</w:t>
      </w:r>
    </w:p>
    <w:p w:rsidR="003E499F" w:rsidRDefault="001B684B">
      <w:pPr>
        <w:spacing w:line="360" w:lineRule="auto"/>
        <w:ind w:firstLineChars="200" w:firstLine="420"/>
        <w:rPr>
          <w:szCs w:val="21"/>
        </w:rPr>
      </w:pPr>
      <w:r>
        <w:rPr>
          <w:szCs w:val="21"/>
        </w:rPr>
        <w:t>将玻璃砂芯坩埚（</w:t>
      </w:r>
      <w:r>
        <w:rPr>
          <w:szCs w:val="21"/>
        </w:rPr>
        <w:t>3.3.3</w:t>
      </w:r>
      <w:r>
        <w:rPr>
          <w:szCs w:val="21"/>
        </w:rPr>
        <w:t>）置于装有混合酸（</w:t>
      </w:r>
      <w:r>
        <w:rPr>
          <w:szCs w:val="21"/>
        </w:rPr>
        <w:t>3.2.6</w:t>
      </w:r>
      <w:r>
        <w:rPr>
          <w:szCs w:val="21"/>
        </w:rPr>
        <w:t>）的</w:t>
      </w:r>
      <w:r>
        <w:rPr>
          <w:szCs w:val="21"/>
        </w:rPr>
        <w:t xml:space="preserve">3 000 </w:t>
      </w:r>
      <w:r>
        <w:rPr>
          <w:szCs w:val="21"/>
        </w:rPr>
        <w:t>mL</w:t>
      </w:r>
      <w:r>
        <w:rPr>
          <w:szCs w:val="21"/>
        </w:rPr>
        <w:t>玻璃烧杯中，将烧杯置于电热板低温处加热至微沸十分钟，取下冷却，将玻璃砂芯坩埚至于吸滤瓶（</w:t>
      </w:r>
      <w:r>
        <w:rPr>
          <w:szCs w:val="21"/>
        </w:rPr>
        <w:t>3.3.4</w:t>
      </w:r>
      <w:r>
        <w:rPr>
          <w:szCs w:val="21"/>
        </w:rPr>
        <w:t>）上过滤，用温水洗坩埚</w:t>
      </w:r>
      <w:r>
        <w:rPr>
          <w:szCs w:val="21"/>
        </w:rPr>
        <w:t>5~8</w:t>
      </w:r>
      <w:r>
        <w:rPr>
          <w:szCs w:val="21"/>
        </w:rPr>
        <w:t>次。将玻璃砂芯坩埚置于电热恒温干燥箱（</w:t>
      </w:r>
      <w:r>
        <w:rPr>
          <w:szCs w:val="21"/>
        </w:rPr>
        <w:t>3.3.2</w:t>
      </w:r>
      <w:r>
        <w:rPr>
          <w:szCs w:val="21"/>
        </w:rPr>
        <w:t>）中，</w:t>
      </w:r>
      <w:r>
        <w:rPr>
          <w:szCs w:val="21"/>
        </w:rPr>
        <w:t>110 ℃</w:t>
      </w:r>
      <w:r>
        <w:rPr>
          <w:szCs w:val="21"/>
        </w:rPr>
        <w:t>～</w:t>
      </w:r>
      <w:r>
        <w:rPr>
          <w:szCs w:val="21"/>
        </w:rPr>
        <w:t>120 ℃</w:t>
      </w:r>
      <w:r>
        <w:rPr>
          <w:szCs w:val="21"/>
        </w:rPr>
        <w:t>烘箱中烘干</w:t>
      </w:r>
      <w:r>
        <w:rPr>
          <w:szCs w:val="21"/>
        </w:rPr>
        <w:t>2 h</w:t>
      </w:r>
      <w:r>
        <w:rPr>
          <w:szCs w:val="21"/>
        </w:rPr>
        <w:t>，取出置于干燥器中冷却至室温，称量，并反复烘干至恒重。</w:t>
      </w:r>
    </w:p>
    <w:p w:rsidR="003E499F" w:rsidRDefault="001B684B">
      <w:pPr>
        <w:spacing w:line="360" w:lineRule="auto"/>
        <w:rPr>
          <w:rFonts w:eastAsia="黑体"/>
          <w:szCs w:val="21"/>
        </w:rPr>
      </w:pPr>
      <w:r>
        <w:rPr>
          <w:rFonts w:ascii="黑体" w:eastAsia="黑体" w:hAnsi="黑体" w:cs="黑体" w:hint="eastAsia"/>
          <w:szCs w:val="21"/>
        </w:rPr>
        <w:t xml:space="preserve">3.4.4.2 </w:t>
      </w:r>
      <w:r>
        <w:rPr>
          <w:rFonts w:ascii="黑体" w:eastAsia="黑体" w:hAnsi="黑体" w:cs="黑体" w:hint="eastAsia"/>
          <w:szCs w:val="21"/>
        </w:rPr>
        <w:t>分析步骤</w:t>
      </w:r>
    </w:p>
    <w:p w:rsidR="003E499F" w:rsidRDefault="001B684B">
      <w:pPr>
        <w:spacing w:line="360" w:lineRule="auto"/>
        <w:rPr>
          <w:szCs w:val="21"/>
        </w:rPr>
      </w:pPr>
      <w:r>
        <w:rPr>
          <w:rFonts w:ascii="黑体" w:eastAsia="黑体" w:hAnsi="黑体" w:cs="黑体" w:hint="eastAsia"/>
          <w:szCs w:val="21"/>
        </w:rPr>
        <w:t>3.4.4.2.1</w:t>
      </w:r>
      <w:r>
        <w:rPr>
          <w:szCs w:val="21"/>
        </w:rPr>
        <w:t>快速称取试料（</w:t>
      </w:r>
      <w:r>
        <w:rPr>
          <w:szCs w:val="21"/>
        </w:rPr>
        <w:t>3.4.1</w:t>
      </w:r>
      <w:r>
        <w:rPr>
          <w:szCs w:val="21"/>
        </w:rPr>
        <w:t>）于干燥带盖的称量瓶（</w:t>
      </w:r>
      <w:r>
        <w:rPr>
          <w:szCs w:val="21"/>
        </w:rPr>
        <w:t>25 mm×40 mm</w:t>
      </w:r>
      <w:r>
        <w:rPr>
          <w:szCs w:val="21"/>
        </w:rPr>
        <w:t>）中，将试料倾入</w:t>
      </w:r>
      <w:r>
        <w:rPr>
          <w:szCs w:val="21"/>
        </w:rPr>
        <w:t>250 mL</w:t>
      </w:r>
      <w:r>
        <w:rPr>
          <w:szCs w:val="21"/>
        </w:rPr>
        <w:t>烧杯中，用约</w:t>
      </w:r>
      <w:r>
        <w:rPr>
          <w:szCs w:val="21"/>
        </w:rPr>
        <w:t>20 mL</w:t>
      </w:r>
      <w:r>
        <w:rPr>
          <w:szCs w:val="21"/>
        </w:rPr>
        <w:t>～</w:t>
      </w:r>
      <w:r>
        <w:rPr>
          <w:szCs w:val="21"/>
        </w:rPr>
        <w:t>30 mL</w:t>
      </w:r>
      <w:r>
        <w:rPr>
          <w:szCs w:val="21"/>
        </w:rPr>
        <w:t>水洗入。加</w:t>
      </w:r>
      <w:r>
        <w:rPr>
          <w:szCs w:val="21"/>
        </w:rPr>
        <w:t>30 mL</w:t>
      </w:r>
      <w:r>
        <w:rPr>
          <w:szCs w:val="21"/>
        </w:rPr>
        <w:t>水</w:t>
      </w:r>
      <w:r>
        <w:rPr>
          <w:szCs w:val="21"/>
        </w:rPr>
        <w:t xml:space="preserve">20 mL </w:t>
      </w:r>
      <w:r>
        <w:rPr>
          <w:szCs w:val="21"/>
        </w:rPr>
        <w:t>盐酸（</w:t>
      </w:r>
      <w:r>
        <w:rPr>
          <w:szCs w:val="21"/>
        </w:rPr>
        <w:t>3.2.2</w:t>
      </w:r>
      <w:r>
        <w:rPr>
          <w:szCs w:val="21"/>
        </w:rPr>
        <w:t>）和</w:t>
      </w:r>
      <w:r>
        <w:rPr>
          <w:szCs w:val="21"/>
        </w:rPr>
        <w:t>5 m</w:t>
      </w:r>
      <w:r>
        <w:rPr>
          <w:szCs w:val="21"/>
        </w:rPr>
        <w:t>L</w:t>
      </w:r>
      <w:r>
        <w:rPr>
          <w:szCs w:val="21"/>
        </w:rPr>
        <w:t>硝酸（</w:t>
      </w:r>
      <w:r>
        <w:rPr>
          <w:szCs w:val="21"/>
        </w:rPr>
        <w:t>3.2.3</w:t>
      </w:r>
      <w:r>
        <w:rPr>
          <w:szCs w:val="21"/>
        </w:rPr>
        <w:t>），盖上表面皿，低温加热至试料完全分解，取下，冷却至室温，用水洗涤表面皿及杯壁，移入</w:t>
      </w:r>
      <w:r>
        <w:rPr>
          <w:szCs w:val="21"/>
        </w:rPr>
        <w:t>250 mL</w:t>
      </w:r>
      <w:r>
        <w:rPr>
          <w:szCs w:val="21"/>
        </w:rPr>
        <w:t>容量瓶中，以水稀释至刻度，混匀，静置。</w:t>
      </w:r>
    </w:p>
    <w:p w:rsidR="003E499F" w:rsidRDefault="001B684B">
      <w:pPr>
        <w:spacing w:line="360" w:lineRule="auto"/>
        <w:rPr>
          <w:szCs w:val="21"/>
        </w:rPr>
      </w:pPr>
      <w:r>
        <w:rPr>
          <w:rFonts w:ascii="黑体" w:eastAsia="黑体" w:hAnsi="黑体" w:cs="黑体" w:hint="eastAsia"/>
          <w:szCs w:val="21"/>
        </w:rPr>
        <w:lastRenderedPageBreak/>
        <w:t>3.4.4.2.2</w:t>
      </w:r>
      <w:r>
        <w:rPr>
          <w:szCs w:val="21"/>
        </w:rPr>
        <w:t>按表</w:t>
      </w:r>
      <w:r>
        <w:rPr>
          <w:szCs w:val="21"/>
        </w:rPr>
        <w:t>1</w:t>
      </w:r>
      <w:r>
        <w:rPr>
          <w:szCs w:val="21"/>
        </w:rPr>
        <w:t>规定分取试液（</w:t>
      </w:r>
      <w:r>
        <w:rPr>
          <w:szCs w:val="21"/>
        </w:rPr>
        <w:t>3.4.4.2.1</w:t>
      </w:r>
      <w:r>
        <w:rPr>
          <w:szCs w:val="21"/>
        </w:rPr>
        <w:t>）于</w:t>
      </w:r>
      <w:r>
        <w:rPr>
          <w:szCs w:val="21"/>
        </w:rPr>
        <w:t>500 mL</w:t>
      </w:r>
      <w:r>
        <w:rPr>
          <w:szCs w:val="21"/>
        </w:rPr>
        <w:t>烧杯中，加入</w:t>
      </w:r>
      <w:r>
        <w:rPr>
          <w:szCs w:val="21"/>
        </w:rPr>
        <w:t>100 mL</w:t>
      </w:r>
      <w:r>
        <w:rPr>
          <w:szCs w:val="21"/>
        </w:rPr>
        <w:t>水</w:t>
      </w:r>
      <w:r>
        <w:rPr>
          <w:szCs w:val="21"/>
        </w:rPr>
        <w:t>10 mL</w:t>
      </w:r>
      <w:r>
        <w:rPr>
          <w:szCs w:val="21"/>
        </w:rPr>
        <w:t>氯化铵溶液（</w:t>
      </w:r>
      <w:r>
        <w:rPr>
          <w:szCs w:val="21"/>
        </w:rPr>
        <w:t>3.2.11</w:t>
      </w:r>
      <w:r>
        <w:rPr>
          <w:szCs w:val="21"/>
        </w:rPr>
        <w:t>）</w:t>
      </w:r>
      <w:r>
        <w:rPr>
          <w:szCs w:val="21"/>
        </w:rPr>
        <w:t>10 mL</w:t>
      </w:r>
      <w:r>
        <w:rPr>
          <w:szCs w:val="21"/>
        </w:rPr>
        <w:t>酒石酸溶液（</w:t>
      </w:r>
      <w:r>
        <w:rPr>
          <w:szCs w:val="21"/>
        </w:rPr>
        <w:t>3.2.9</w:t>
      </w:r>
      <w:r>
        <w:rPr>
          <w:szCs w:val="21"/>
        </w:rPr>
        <w:t>），用氨水（</w:t>
      </w:r>
      <w:r>
        <w:rPr>
          <w:szCs w:val="21"/>
        </w:rPr>
        <w:t>3.2.7</w:t>
      </w:r>
      <w:r>
        <w:rPr>
          <w:szCs w:val="21"/>
        </w:rPr>
        <w:t>）调节溶液</w:t>
      </w:r>
      <w:r>
        <w:rPr>
          <w:szCs w:val="21"/>
        </w:rPr>
        <w:t xml:space="preserve"> pH</w:t>
      </w:r>
      <w:r>
        <w:rPr>
          <w:szCs w:val="21"/>
        </w:rPr>
        <w:t>值</w:t>
      </w:r>
      <w:r>
        <w:rPr>
          <w:szCs w:val="21"/>
        </w:rPr>
        <w:t>为</w:t>
      </w:r>
      <w:r>
        <w:rPr>
          <w:szCs w:val="21"/>
        </w:rPr>
        <w:t>5</w:t>
      </w:r>
      <w:r>
        <w:rPr>
          <w:szCs w:val="21"/>
        </w:rPr>
        <w:t>～</w:t>
      </w:r>
      <w:r>
        <w:rPr>
          <w:szCs w:val="21"/>
        </w:rPr>
        <w:t>6</w:t>
      </w:r>
      <w:r>
        <w:rPr>
          <w:szCs w:val="21"/>
        </w:rPr>
        <w:t>。在不断搅拌下加入</w:t>
      </w:r>
      <w:r>
        <w:rPr>
          <w:szCs w:val="21"/>
        </w:rPr>
        <w:t>20 ml</w:t>
      </w:r>
      <w:r>
        <w:rPr>
          <w:szCs w:val="21"/>
        </w:rPr>
        <w:t>硫代硫酸钠溶液（</w:t>
      </w:r>
      <w:r>
        <w:rPr>
          <w:szCs w:val="21"/>
        </w:rPr>
        <w:t>3.2.12</w:t>
      </w:r>
      <w:r>
        <w:rPr>
          <w:szCs w:val="21"/>
        </w:rPr>
        <w:t>），放置</w:t>
      </w:r>
      <w:r>
        <w:rPr>
          <w:szCs w:val="21"/>
        </w:rPr>
        <w:t>5</w:t>
      </w:r>
      <w:r>
        <w:rPr>
          <w:szCs w:val="21"/>
        </w:rPr>
        <w:t>～</w:t>
      </w:r>
      <w:r>
        <w:rPr>
          <w:szCs w:val="21"/>
        </w:rPr>
        <w:t>10 min</w:t>
      </w:r>
      <w:r>
        <w:rPr>
          <w:szCs w:val="21"/>
        </w:rPr>
        <w:t>，继续用氨水（</w:t>
      </w:r>
      <w:r>
        <w:rPr>
          <w:szCs w:val="21"/>
        </w:rPr>
        <w:t>3.2.7</w:t>
      </w:r>
      <w:r>
        <w:rPr>
          <w:szCs w:val="21"/>
        </w:rPr>
        <w:t>）调节溶液</w:t>
      </w:r>
      <w:r>
        <w:rPr>
          <w:szCs w:val="21"/>
        </w:rPr>
        <w:t>pH</w:t>
      </w:r>
      <w:r>
        <w:rPr>
          <w:szCs w:val="21"/>
        </w:rPr>
        <w:t>值</w:t>
      </w:r>
      <w:r>
        <w:rPr>
          <w:szCs w:val="21"/>
        </w:rPr>
        <w:t>为</w:t>
      </w:r>
      <w:r>
        <w:rPr>
          <w:szCs w:val="21"/>
        </w:rPr>
        <w:t>8</w:t>
      </w:r>
      <w:r>
        <w:rPr>
          <w:szCs w:val="21"/>
        </w:rPr>
        <w:t>～</w:t>
      </w:r>
      <w:r>
        <w:rPr>
          <w:szCs w:val="21"/>
        </w:rPr>
        <w:t>9</w:t>
      </w:r>
      <w:r>
        <w:rPr>
          <w:szCs w:val="21"/>
        </w:rPr>
        <w:t>。将此溶液加热至</w:t>
      </w:r>
      <w:r>
        <w:rPr>
          <w:szCs w:val="21"/>
        </w:rPr>
        <w:t>60 ℃</w:t>
      </w:r>
      <w:r>
        <w:rPr>
          <w:szCs w:val="21"/>
        </w:rPr>
        <w:t>～</w:t>
      </w:r>
      <w:r>
        <w:rPr>
          <w:szCs w:val="21"/>
        </w:rPr>
        <w:t>70 ℃</w:t>
      </w:r>
      <w:r>
        <w:rPr>
          <w:szCs w:val="21"/>
        </w:rPr>
        <w:t>，在不断搅拌下，缓慢加入</w:t>
      </w:r>
      <w:r>
        <w:rPr>
          <w:szCs w:val="21"/>
        </w:rPr>
        <w:t>30 mL</w:t>
      </w:r>
      <w:r>
        <w:rPr>
          <w:szCs w:val="21"/>
        </w:rPr>
        <w:t>丁二酮肟乙醇溶液</w:t>
      </w:r>
      <w:r>
        <w:rPr>
          <w:szCs w:val="21"/>
        </w:rPr>
        <w:t xml:space="preserve"> (3.2.8)</w:t>
      </w:r>
      <w:r>
        <w:rPr>
          <w:szCs w:val="21"/>
        </w:rPr>
        <w:t>，于</w:t>
      </w:r>
      <w:r>
        <w:rPr>
          <w:szCs w:val="21"/>
        </w:rPr>
        <w:t>70 ℃</w:t>
      </w:r>
      <w:r>
        <w:rPr>
          <w:szCs w:val="21"/>
        </w:rPr>
        <w:t>～</w:t>
      </w:r>
      <w:r>
        <w:rPr>
          <w:szCs w:val="21"/>
        </w:rPr>
        <w:t>80 ℃</w:t>
      </w:r>
      <w:r>
        <w:rPr>
          <w:szCs w:val="21"/>
        </w:rPr>
        <w:t>水浴中保温</w:t>
      </w:r>
      <w:r>
        <w:rPr>
          <w:szCs w:val="21"/>
        </w:rPr>
        <w:t>30 min</w:t>
      </w:r>
      <w:r>
        <w:rPr>
          <w:szCs w:val="21"/>
        </w:rPr>
        <w:t>。</w:t>
      </w:r>
    </w:p>
    <w:p w:rsidR="003E499F" w:rsidRDefault="001B684B">
      <w:pPr>
        <w:spacing w:line="360" w:lineRule="auto"/>
        <w:jc w:val="center"/>
        <w:rPr>
          <w:rFonts w:eastAsia="黑体"/>
          <w:szCs w:val="21"/>
        </w:rPr>
      </w:pPr>
      <w:r>
        <w:rPr>
          <w:rFonts w:eastAsia="黑体"/>
          <w:szCs w:val="21"/>
        </w:rPr>
        <w:t>表</w:t>
      </w:r>
      <w:r>
        <w:rPr>
          <w:rFonts w:eastAsia="黑体"/>
          <w:szCs w:val="21"/>
        </w:rPr>
        <w:t xml:space="preserve">1  </w:t>
      </w:r>
      <w:r>
        <w:rPr>
          <w:rFonts w:eastAsia="黑体"/>
          <w:szCs w:val="21"/>
        </w:rPr>
        <w:t>试液分取量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6"/>
        <w:gridCol w:w="5300"/>
      </w:tblGrid>
      <w:tr w:rsidR="003E499F">
        <w:trPr>
          <w:trHeight w:val="397"/>
        </w:trPr>
        <w:tc>
          <w:tcPr>
            <w:tcW w:w="2426" w:type="pct"/>
            <w:noWrap/>
            <w:vAlign w:val="center"/>
          </w:tcPr>
          <w:p w:rsidR="003E499F" w:rsidRDefault="001B684B">
            <w:pPr>
              <w:jc w:val="center"/>
              <w:rPr>
                <w:sz w:val="18"/>
                <w:szCs w:val="18"/>
              </w:rPr>
            </w:pPr>
            <w:r>
              <w:rPr>
                <w:sz w:val="18"/>
                <w:szCs w:val="18"/>
              </w:rPr>
              <w:t>镍的质量分数</w:t>
            </w:r>
            <w:r>
              <w:rPr>
                <w:sz w:val="18"/>
                <w:szCs w:val="18"/>
              </w:rPr>
              <w:t>/%</w:t>
            </w:r>
          </w:p>
        </w:tc>
        <w:tc>
          <w:tcPr>
            <w:tcW w:w="2573" w:type="pct"/>
            <w:noWrap/>
            <w:vAlign w:val="center"/>
          </w:tcPr>
          <w:p w:rsidR="003E499F" w:rsidRDefault="001B684B">
            <w:pPr>
              <w:pStyle w:val="afffff2"/>
              <w:ind w:firstLineChars="0" w:firstLine="0"/>
              <w:jc w:val="center"/>
              <w:rPr>
                <w:sz w:val="18"/>
                <w:szCs w:val="18"/>
              </w:rPr>
            </w:pPr>
            <w:r>
              <w:rPr>
                <w:sz w:val="18"/>
                <w:szCs w:val="18"/>
              </w:rPr>
              <w:t>分取试液体积</w:t>
            </w:r>
            <w:r>
              <w:rPr>
                <w:sz w:val="18"/>
                <w:szCs w:val="18"/>
              </w:rPr>
              <w:t>/mL</w:t>
            </w:r>
          </w:p>
        </w:tc>
      </w:tr>
      <w:tr w:rsidR="003E499F">
        <w:trPr>
          <w:trHeight w:val="397"/>
        </w:trPr>
        <w:tc>
          <w:tcPr>
            <w:tcW w:w="2426" w:type="pct"/>
            <w:noWrap/>
            <w:vAlign w:val="center"/>
          </w:tcPr>
          <w:p w:rsidR="003E499F" w:rsidRDefault="001B684B">
            <w:pPr>
              <w:pStyle w:val="afffff2"/>
              <w:ind w:firstLineChars="0" w:firstLine="0"/>
              <w:jc w:val="center"/>
              <w:rPr>
                <w:sz w:val="18"/>
                <w:szCs w:val="18"/>
              </w:rPr>
            </w:pPr>
            <w:r>
              <w:rPr>
                <w:sz w:val="18"/>
                <w:szCs w:val="18"/>
              </w:rPr>
              <w:t>8.0</w:t>
            </w:r>
            <w:r>
              <w:rPr>
                <w:sz w:val="18"/>
                <w:szCs w:val="18"/>
              </w:rPr>
              <w:t>～</w:t>
            </w:r>
            <w:r>
              <w:rPr>
                <w:sz w:val="18"/>
                <w:szCs w:val="18"/>
              </w:rPr>
              <w:t>15.0</w:t>
            </w:r>
          </w:p>
        </w:tc>
        <w:tc>
          <w:tcPr>
            <w:tcW w:w="2573" w:type="pct"/>
            <w:noWrap/>
            <w:vAlign w:val="center"/>
          </w:tcPr>
          <w:p w:rsidR="003E499F" w:rsidRDefault="001B684B">
            <w:pPr>
              <w:pStyle w:val="afffff2"/>
              <w:ind w:firstLineChars="0" w:firstLine="0"/>
              <w:jc w:val="center"/>
              <w:rPr>
                <w:sz w:val="18"/>
                <w:szCs w:val="18"/>
              </w:rPr>
            </w:pPr>
            <w:r>
              <w:rPr>
                <w:sz w:val="18"/>
                <w:szCs w:val="18"/>
              </w:rPr>
              <w:t>2</w:t>
            </w:r>
            <w:r>
              <w:rPr>
                <w:sz w:val="18"/>
                <w:szCs w:val="18"/>
              </w:rPr>
              <w:t>5.00</w:t>
            </w:r>
          </w:p>
        </w:tc>
      </w:tr>
      <w:tr w:rsidR="003E499F">
        <w:trPr>
          <w:trHeight w:val="397"/>
        </w:trPr>
        <w:tc>
          <w:tcPr>
            <w:tcW w:w="2426" w:type="pct"/>
            <w:noWrap/>
            <w:vAlign w:val="center"/>
          </w:tcPr>
          <w:p w:rsidR="003E499F" w:rsidRDefault="001B684B">
            <w:pPr>
              <w:pStyle w:val="afffff2"/>
              <w:ind w:firstLineChars="0" w:firstLine="0"/>
              <w:jc w:val="center"/>
              <w:rPr>
                <w:sz w:val="18"/>
                <w:szCs w:val="18"/>
              </w:rPr>
            </w:pPr>
            <w:r>
              <w:rPr>
                <w:sz w:val="18"/>
                <w:szCs w:val="18"/>
              </w:rPr>
              <w:t>≥15.0</w:t>
            </w:r>
            <w:r>
              <w:rPr>
                <w:sz w:val="18"/>
                <w:szCs w:val="18"/>
              </w:rPr>
              <w:t>～</w:t>
            </w:r>
            <w:r>
              <w:rPr>
                <w:sz w:val="18"/>
                <w:szCs w:val="18"/>
              </w:rPr>
              <w:t>25.0</w:t>
            </w:r>
          </w:p>
        </w:tc>
        <w:tc>
          <w:tcPr>
            <w:tcW w:w="2573" w:type="pct"/>
            <w:noWrap/>
            <w:vAlign w:val="center"/>
          </w:tcPr>
          <w:p w:rsidR="003E499F" w:rsidRDefault="001B684B">
            <w:pPr>
              <w:pStyle w:val="afffff2"/>
              <w:ind w:firstLineChars="0" w:firstLine="0"/>
              <w:jc w:val="center"/>
              <w:rPr>
                <w:sz w:val="18"/>
                <w:szCs w:val="18"/>
              </w:rPr>
            </w:pPr>
            <w:r>
              <w:rPr>
                <w:sz w:val="18"/>
                <w:szCs w:val="18"/>
              </w:rPr>
              <w:t>10.00</w:t>
            </w:r>
          </w:p>
        </w:tc>
      </w:tr>
    </w:tbl>
    <w:p w:rsidR="003E499F" w:rsidRDefault="003E499F">
      <w:pPr>
        <w:spacing w:line="360" w:lineRule="auto"/>
        <w:rPr>
          <w:szCs w:val="21"/>
        </w:rPr>
      </w:pPr>
    </w:p>
    <w:p w:rsidR="003E499F" w:rsidRDefault="001B684B">
      <w:pPr>
        <w:spacing w:line="360" w:lineRule="auto"/>
        <w:rPr>
          <w:szCs w:val="21"/>
        </w:rPr>
      </w:pPr>
      <w:r>
        <w:rPr>
          <w:rFonts w:ascii="黑体" w:eastAsia="黑体" w:hAnsi="黑体" w:cs="黑体" w:hint="eastAsia"/>
          <w:szCs w:val="21"/>
        </w:rPr>
        <w:t>3.4.4.2.3</w:t>
      </w:r>
      <w:r>
        <w:rPr>
          <w:szCs w:val="21"/>
        </w:rPr>
        <w:t>将预先在</w:t>
      </w:r>
      <w:r>
        <w:rPr>
          <w:szCs w:val="21"/>
        </w:rPr>
        <w:t>110 ℃</w:t>
      </w:r>
      <w:r>
        <w:rPr>
          <w:szCs w:val="21"/>
        </w:rPr>
        <w:t>～</w:t>
      </w:r>
      <w:r>
        <w:rPr>
          <w:szCs w:val="21"/>
        </w:rPr>
        <w:t xml:space="preserve">120 </w:t>
      </w:r>
      <w:r>
        <w:rPr>
          <w:szCs w:val="21"/>
        </w:rPr>
        <w:t>℃</w:t>
      </w:r>
      <w:r>
        <w:rPr>
          <w:szCs w:val="21"/>
        </w:rPr>
        <w:t>电热恒温干燥箱（</w:t>
      </w:r>
      <w:r>
        <w:rPr>
          <w:szCs w:val="21"/>
        </w:rPr>
        <w:t>3.3.2</w:t>
      </w:r>
      <w:r>
        <w:rPr>
          <w:szCs w:val="21"/>
        </w:rPr>
        <w:t>）中烘干至恒重的玻璃砂芯坩埚（</w:t>
      </w:r>
      <w:r>
        <w:rPr>
          <w:szCs w:val="21"/>
        </w:rPr>
        <w:t>3.3.3</w:t>
      </w:r>
      <w:r>
        <w:rPr>
          <w:szCs w:val="21"/>
        </w:rPr>
        <w:t>）置于吸滤瓶（</w:t>
      </w:r>
      <w:r>
        <w:rPr>
          <w:szCs w:val="21"/>
        </w:rPr>
        <w:t>3.3.4</w:t>
      </w:r>
      <w:r>
        <w:rPr>
          <w:szCs w:val="21"/>
        </w:rPr>
        <w:t>）上，减压过滤溶液（</w:t>
      </w:r>
      <w:r>
        <w:rPr>
          <w:szCs w:val="21"/>
        </w:rPr>
        <w:t>3.4.4.2.2</w:t>
      </w:r>
      <w:r>
        <w:rPr>
          <w:szCs w:val="21"/>
        </w:rPr>
        <w:t>），用乙醇溶液（</w:t>
      </w:r>
      <w:r>
        <w:rPr>
          <w:szCs w:val="21"/>
        </w:rPr>
        <w:t>3.2.10</w:t>
      </w:r>
      <w:r>
        <w:rPr>
          <w:szCs w:val="21"/>
        </w:rPr>
        <w:t>）洗涤烧杯及搅拌棒，并洗涤沉淀</w:t>
      </w:r>
      <w:r>
        <w:rPr>
          <w:szCs w:val="21"/>
        </w:rPr>
        <w:t>5</w:t>
      </w:r>
      <w:r>
        <w:rPr>
          <w:szCs w:val="21"/>
        </w:rPr>
        <w:t>～</w:t>
      </w:r>
      <w:r>
        <w:rPr>
          <w:szCs w:val="21"/>
        </w:rPr>
        <w:t>6</w:t>
      </w:r>
      <w:r>
        <w:rPr>
          <w:szCs w:val="21"/>
        </w:rPr>
        <w:t>次，保留滤液。</w:t>
      </w:r>
    </w:p>
    <w:p w:rsidR="003E499F" w:rsidRDefault="001B684B">
      <w:pPr>
        <w:spacing w:line="360" w:lineRule="auto"/>
        <w:rPr>
          <w:szCs w:val="21"/>
        </w:rPr>
      </w:pPr>
      <w:r>
        <w:rPr>
          <w:rFonts w:ascii="黑体" w:eastAsia="黑体" w:hAnsi="黑体" w:cs="黑体" w:hint="eastAsia"/>
          <w:szCs w:val="21"/>
        </w:rPr>
        <w:t>3.4.4.2.4</w:t>
      </w:r>
      <w:r>
        <w:rPr>
          <w:szCs w:val="21"/>
        </w:rPr>
        <w:t>将连同沉淀的玻璃砂芯坩埚（</w:t>
      </w:r>
      <w:r>
        <w:rPr>
          <w:szCs w:val="21"/>
        </w:rPr>
        <w:t>3.3.3</w:t>
      </w:r>
      <w:r>
        <w:rPr>
          <w:szCs w:val="21"/>
        </w:rPr>
        <w:t>）置于电热恒温干燥箱（</w:t>
      </w:r>
      <w:r>
        <w:rPr>
          <w:szCs w:val="21"/>
        </w:rPr>
        <w:t>3.3.2</w:t>
      </w:r>
      <w:r>
        <w:rPr>
          <w:szCs w:val="21"/>
        </w:rPr>
        <w:t>）中，于</w:t>
      </w:r>
      <w:r>
        <w:rPr>
          <w:szCs w:val="21"/>
        </w:rPr>
        <w:t>110 ℃</w:t>
      </w:r>
      <w:r>
        <w:rPr>
          <w:szCs w:val="21"/>
        </w:rPr>
        <w:t>～</w:t>
      </w:r>
      <w:r>
        <w:rPr>
          <w:szCs w:val="21"/>
        </w:rPr>
        <w:t>120 ℃</w:t>
      </w:r>
      <w:r>
        <w:rPr>
          <w:szCs w:val="21"/>
        </w:rPr>
        <w:t>烘</w:t>
      </w:r>
      <w:r>
        <w:rPr>
          <w:szCs w:val="21"/>
        </w:rPr>
        <w:t>2 h</w:t>
      </w:r>
      <w:r>
        <w:rPr>
          <w:szCs w:val="21"/>
        </w:rPr>
        <w:t>，取出置于干燥器中冷却至室温，称量，并反复烘干至恒重。</w:t>
      </w:r>
    </w:p>
    <w:p w:rsidR="003E499F" w:rsidRDefault="001B684B">
      <w:pPr>
        <w:spacing w:line="360" w:lineRule="auto"/>
        <w:rPr>
          <w:rFonts w:ascii="黑体" w:eastAsia="黑体" w:hAnsi="黑体" w:cs="黑体"/>
          <w:szCs w:val="21"/>
        </w:rPr>
      </w:pPr>
      <w:r>
        <w:rPr>
          <w:rFonts w:ascii="黑体" w:eastAsia="黑体" w:hAnsi="黑体" w:cs="黑体" w:hint="eastAsia"/>
          <w:szCs w:val="21"/>
        </w:rPr>
        <w:t>3.4.4.3</w:t>
      </w:r>
      <w:r>
        <w:rPr>
          <w:rFonts w:ascii="黑体" w:eastAsia="黑体" w:hAnsi="黑体" w:cs="黑体" w:hint="eastAsia"/>
          <w:szCs w:val="21"/>
        </w:rPr>
        <w:t>滤液镍量的补正</w:t>
      </w:r>
    </w:p>
    <w:p w:rsidR="003E499F" w:rsidRDefault="001B684B">
      <w:pPr>
        <w:spacing w:line="360" w:lineRule="auto"/>
        <w:rPr>
          <w:szCs w:val="21"/>
        </w:rPr>
      </w:pPr>
      <w:r>
        <w:rPr>
          <w:rFonts w:ascii="黑体" w:eastAsia="黑体" w:hAnsi="黑体" w:cs="黑体" w:hint="eastAsia"/>
          <w:szCs w:val="21"/>
        </w:rPr>
        <w:t>3.4.4.3.1</w:t>
      </w:r>
      <w:r>
        <w:rPr>
          <w:szCs w:val="21"/>
        </w:rPr>
        <w:t>收集</w:t>
      </w:r>
      <w:r>
        <w:rPr>
          <w:szCs w:val="21"/>
        </w:rPr>
        <w:t>3.4.4.2.3</w:t>
      </w:r>
      <w:r>
        <w:rPr>
          <w:szCs w:val="21"/>
        </w:rPr>
        <w:t>的滤液，蒸至</w:t>
      </w:r>
      <w:r>
        <w:rPr>
          <w:rFonts w:ascii="宋体" w:hAnsi="宋体" w:cs="宋体"/>
        </w:rPr>
        <w:t>50</w:t>
      </w:r>
      <w:r>
        <w:t xml:space="preserve"> mL</w:t>
      </w:r>
      <w:r>
        <w:rPr>
          <w:rFonts w:cs="宋体" w:hint="eastAsia"/>
        </w:rPr>
        <w:t>左右</w:t>
      </w:r>
      <w:r>
        <w:rPr>
          <w:szCs w:val="21"/>
        </w:rPr>
        <w:t>，加入盐酸（</w:t>
      </w:r>
      <w:r>
        <w:rPr>
          <w:szCs w:val="21"/>
        </w:rPr>
        <w:t>3.2.2</w:t>
      </w:r>
      <w:r>
        <w:rPr>
          <w:szCs w:val="21"/>
        </w:rPr>
        <w:t>）</w:t>
      </w:r>
      <w:r>
        <w:rPr>
          <w:rFonts w:hint="eastAsia"/>
          <w:szCs w:val="21"/>
        </w:rPr>
        <w:t>5</w:t>
      </w:r>
      <w:r>
        <w:rPr>
          <w:szCs w:val="21"/>
        </w:rPr>
        <w:t xml:space="preserve"> mL</w:t>
      </w:r>
      <w:r>
        <w:rPr>
          <w:szCs w:val="21"/>
        </w:rPr>
        <w:t>，适量水溶解盐类，冷却，移入</w:t>
      </w:r>
      <w:r>
        <w:rPr>
          <w:szCs w:val="21"/>
        </w:rPr>
        <w:t>100 mL</w:t>
      </w:r>
      <w:r>
        <w:rPr>
          <w:szCs w:val="21"/>
        </w:rPr>
        <w:t>容量瓶中，用水稀释至刻度，混匀。</w:t>
      </w:r>
    </w:p>
    <w:p w:rsidR="003E499F" w:rsidRDefault="001B684B">
      <w:pPr>
        <w:spacing w:line="360" w:lineRule="auto"/>
        <w:rPr>
          <w:szCs w:val="21"/>
        </w:rPr>
      </w:pPr>
      <w:r>
        <w:rPr>
          <w:rFonts w:ascii="黑体" w:eastAsia="黑体" w:hAnsi="黑体" w:cs="黑体" w:hint="eastAsia"/>
          <w:szCs w:val="21"/>
        </w:rPr>
        <w:t>3.4.4.3.2</w:t>
      </w:r>
      <w:r>
        <w:rPr>
          <w:szCs w:val="21"/>
        </w:rPr>
        <w:t>工作曲线的绘制：移取</w:t>
      </w:r>
      <w:r>
        <w:rPr>
          <w:szCs w:val="21"/>
        </w:rPr>
        <w:t>0.00 mL</w:t>
      </w:r>
      <w:r>
        <w:rPr>
          <w:szCs w:val="21"/>
        </w:rPr>
        <w:t>、</w:t>
      </w:r>
      <w:r>
        <w:rPr>
          <w:szCs w:val="21"/>
        </w:rPr>
        <w:t>1.00 mL</w:t>
      </w:r>
      <w:r>
        <w:rPr>
          <w:szCs w:val="21"/>
        </w:rPr>
        <w:t>、</w:t>
      </w:r>
      <w:r>
        <w:rPr>
          <w:szCs w:val="21"/>
        </w:rPr>
        <w:t>2.00 mL</w:t>
      </w:r>
      <w:r>
        <w:rPr>
          <w:szCs w:val="21"/>
        </w:rPr>
        <w:t>、</w:t>
      </w:r>
      <w:r>
        <w:rPr>
          <w:szCs w:val="21"/>
        </w:rPr>
        <w:t>4.00 mL</w:t>
      </w:r>
      <w:r>
        <w:rPr>
          <w:szCs w:val="21"/>
        </w:rPr>
        <w:t>、</w:t>
      </w:r>
      <w:r>
        <w:rPr>
          <w:szCs w:val="21"/>
        </w:rPr>
        <w:t>6.00 mL</w:t>
      </w:r>
      <w:r>
        <w:rPr>
          <w:szCs w:val="21"/>
        </w:rPr>
        <w:t>、</w:t>
      </w:r>
      <w:r>
        <w:rPr>
          <w:szCs w:val="21"/>
        </w:rPr>
        <w:t>8.00 mL</w:t>
      </w:r>
      <w:r>
        <w:rPr>
          <w:szCs w:val="21"/>
        </w:rPr>
        <w:t>、</w:t>
      </w:r>
      <w:r>
        <w:rPr>
          <w:szCs w:val="21"/>
        </w:rPr>
        <w:t>10.00 mL</w:t>
      </w:r>
      <w:r>
        <w:rPr>
          <w:szCs w:val="21"/>
        </w:rPr>
        <w:t>镍标准溶液</w:t>
      </w:r>
      <w:r>
        <w:rPr>
          <w:szCs w:val="21"/>
        </w:rPr>
        <w:t>（</w:t>
      </w:r>
      <w:r>
        <w:rPr>
          <w:szCs w:val="21"/>
        </w:rPr>
        <w:t>3.2.14</w:t>
      </w:r>
      <w:r>
        <w:rPr>
          <w:szCs w:val="21"/>
        </w:rPr>
        <w:t>）</w:t>
      </w:r>
      <w:r>
        <w:rPr>
          <w:szCs w:val="21"/>
        </w:rPr>
        <w:t>，分别置于一组</w:t>
      </w:r>
      <w:r>
        <w:rPr>
          <w:szCs w:val="21"/>
        </w:rPr>
        <w:t>100 mL</w:t>
      </w:r>
      <w:r>
        <w:rPr>
          <w:szCs w:val="21"/>
        </w:rPr>
        <w:t>容量瓶中，加入</w:t>
      </w:r>
      <w:r>
        <w:rPr>
          <w:szCs w:val="21"/>
        </w:rPr>
        <w:t>5 mL</w:t>
      </w:r>
      <w:r>
        <w:rPr>
          <w:szCs w:val="21"/>
        </w:rPr>
        <w:t>（</w:t>
      </w:r>
      <w:r>
        <w:rPr>
          <w:szCs w:val="21"/>
        </w:rPr>
        <w:t>3.2.2</w:t>
      </w:r>
      <w:r>
        <w:rPr>
          <w:szCs w:val="21"/>
        </w:rPr>
        <w:t>）盐酸，以水稀释至刻度，混匀。</w:t>
      </w:r>
    </w:p>
    <w:p w:rsidR="003E499F" w:rsidRDefault="001B684B">
      <w:pPr>
        <w:spacing w:line="360" w:lineRule="auto"/>
        <w:rPr>
          <w:szCs w:val="21"/>
        </w:rPr>
      </w:pPr>
      <w:r>
        <w:rPr>
          <w:rFonts w:ascii="黑体" w:eastAsia="黑体" w:hAnsi="黑体" w:cs="黑体" w:hint="eastAsia"/>
          <w:szCs w:val="21"/>
        </w:rPr>
        <w:t>3.4.4.3.3</w:t>
      </w:r>
      <w:r>
        <w:rPr>
          <w:szCs w:val="21"/>
        </w:rPr>
        <w:t>使用空气</w:t>
      </w:r>
      <w:r>
        <w:rPr>
          <w:szCs w:val="21"/>
        </w:rPr>
        <w:t>-</w:t>
      </w:r>
      <w:r>
        <w:rPr>
          <w:szCs w:val="21"/>
        </w:rPr>
        <w:t>乙炔火焰，于原子吸收光谱仪波长</w:t>
      </w:r>
      <w:r>
        <w:rPr>
          <w:szCs w:val="21"/>
        </w:rPr>
        <w:t>232.0 nm</w:t>
      </w:r>
      <w:r>
        <w:rPr>
          <w:szCs w:val="21"/>
        </w:rPr>
        <w:t>处，以水调零，测量系列标准溶液吸光度，减去系列标准溶液中</w:t>
      </w:r>
      <w:r>
        <w:rPr>
          <w:szCs w:val="21"/>
        </w:rPr>
        <w:t>“</w:t>
      </w:r>
      <w:r>
        <w:rPr>
          <w:szCs w:val="21"/>
        </w:rPr>
        <w:t>零</w:t>
      </w:r>
      <w:r>
        <w:rPr>
          <w:szCs w:val="21"/>
        </w:rPr>
        <w:t>”</w:t>
      </w:r>
      <w:r>
        <w:rPr>
          <w:szCs w:val="21"/>
        </w:rPr>
        <w:t>浓度溶液的吸光度，以镍浓度为</w:t>
      </w:r>
      <w:r>
        <w:rPr>
          <w:szCs w:val="21"/>
        </w:rPr>
        <w:t>横坐标，吸光度为纵坐标，绘制工作曲线。</w:t>
      </w:r>
    </w:p>
    <w:p w:rsidR="003E499F" w:rsidRDefault="003E499F">
      <w:pPr>
        <w:spacing w:line="360" w:lineRule="auto"/>
        <w:rPr>
          <w:szCs w:val="21"/>
        </w:rPr>
      </w:pPr>
    </w:p>
    <w:p w:rsidR="003E499F" w:rsidRDefault="001B684B">
      <w:pPr>
        <w:spacing w:line="360" w:lineRule="auto"/>
        <w:rPr>
          <w:rFonts w:eastAsia="黑体"/>
          <w:szCs w:val="21"/>
        </w:rPr>
      </w:pPr>
      <w:r>
        <w:rPr>
          <w:rFonts w:ascii="黑体" w:eastAsia="黑体" w:hAnsi="黑体" w:cs="黑体" w:hint="eastAsia"/>
          <w:szCs w:val="21"/>
        </w:rPr>
        <w:t>3.5</w:t>
      </w:r>
      <w:r>
        <w:rPr>
          <w:rFonts w:ascii="黑体" w:eastAsia="黑体" w:hAnsi="黑体" w:cs="黑体" w:hint="eastAsia"/>
          <w:szCs w:val="21"/>
        </w:rPr>
        <w:t>试验数据处理</w:t>
      </w:r>
    </w:p>
    <w:p w:rsidR="003E499F" w:rsidRDefault="001B684B">
      <w:pPr>
        <w:spacing w:line="360" w:lineRule="auto"/>
        <w:ind w:firstLineChars="200" w:firstLine="420"/>
        <w:jc w:val="left"/>
        <w:rPr>
          <w:b/>
          <w:szCs w:val="21"/>
        </w:rPr>
      </w:pPr>
      <w:r>
        <w:rPr>
          <w:szCs w:val="21"/>
        </w:rPr>
        <w:t>镍含量以镍的质量分数</w:t>
      </w:r>
      <w:r>
        <w:rPr>
          <w:i/>
          <w:iCs/>
          <w:szCs w:val="21"/>
        </w:rPr>
        <w:t>w</w:t>
      </w:r>
      <w:r>
        <w:rPr>
          <w:iCs/>
          <w:szCs w:val="21"/>
          <w:vertAlign w:val="subscript"/>
        </w:rPr>
        <w:t>Ni</w:t>
      </w:r>
      <w:r>
        <w:rPr>
          <w:szCs w:val="21"/>
        </w:rPr>
        <w:t>计，按公式（</w:t>
      </w:r>
      <w:r>
        <w:rPr>
          <w:szCs w:val="21"/>
        </w:rPr>
        <w:t>1</w:t>
      </w:r>
      <w:r>
        <w:rPr>
          <w:szCs w:val="21"/>
        </w:rPr>
        <w:t>）计算：</w:t>
      </w:r>
    </w:p>
    <w:p w:rsidR="003E499F" w:rsidRDefault="003E499F">
      <w:pPr>
        <w:spacing w:line="360" w:lineRule="auto"/>
        <w:ind w:left="390"/>
        <w:jc w:val="center"/>
        <w:rPr>
          <w:szCs w:val="21"/>
          <w:vertAlign w:val="subscript"/>
          <w:lang w:val="pt-BR"/>
        </w:rPr>
      </w:pPr>
      <w:r w:rsidRPr="003E499F">
        <w:rPr>
          <w:color w:val="0000FF"/>
          <w:position w:val="-30"/>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45pt;height:38.15pt">
            <v:imagedata r:id="rId18" o:title=""/>
          </v:shape>
        </w:pict>
      </w:r>
      <w:r w:rsidR="001B684B">
        <w:rPr>
          <w:szCs w:val="21"/>
        </w:rPr>
        <w:t>..............</w:t>
      </w:r>
      <w:r w:rsidR="001B684B">
        <w:rPr>
          <w:szCs w:val="21"/>
        </w:rPr>
        <w:t>（</w:t>
      </w:r>
      <w:r w:rsidR="001B684B">
        <w:rPr>
          <w:szCs w:val="21"/>
        </w:rPr>
        <w:t>1</w:t>
      </w:r>
      <w:r w:rsidR="001B684B">
        <w:rPr>
          <w:szCs w:val="21"/>
        </w:rPr>
        <w:t>）</w:t>
      </w:r>
    </w:p>
    <w:p w:rsidR="003E499F" w:rsidRDefault="001B684B">
      <w:pPr>
        <w:spacing w:line="360" w:lineRule="auto"/>
        <w:ind w:firstLineChars="200" w:firstLine="420"/>
        <w:jc w:val="left"/>
        <w:rPr>
          <w:szCs w:val="21"/>
          <w:lang w:val="pt-BR"/>
        </w:rPr>
      </w:pPr>
      <w:r>
        <w:rPr>
          <w:szCs w:val="21"/>
          <w:lang w:val="pt-BR"/>
        </w:rPr>
        <w:t>式中：</w:t>
      </w:r>
    </w:p>
    <w:p w:rsidR="003E499F" w:rsidRDefault="001B684B">
      <w:pPr>
        <w:spacing w:line="360" w:lineRule="auto"/>
        <w:ind w:leftChars="200" w:left="420" w:rightChars="-39" w:right="-82"/>
        <w:rPr>
          <w:szCs w:val="21"/>
          <w:lang w:val="pt-BR"/>
        </w:rPr>
      </w:pPr>
      <w:r>
        <w:rPr>
          <w:i/>
          <w:iCs/>
          <w:szCs w:val="21"/>
        </w:rPr>
        <w:t>m</w:t>
      </w:r>
      <w:r>
        <w:rPr>
          <w:szCs w:val="21"/>
          <w:vertAlign w:val="subscript"/>
        </w:rPr>
        <w:t>2</w:t>
      </w:r>
      <w:r>
        <w:t>——</w:t>
      </w:r>
      <w:r>
        <w:t>玻璃砂芯</w:t>
      </w:r>
      <w:r>
        <w:rPr>
          <w:szCs w:val="21"/>
          <w:lang w:val="pt-BR"/>
        </w:rPr>
        <w:t>坩埚和丁二酮肟镍沉淀的质量，单位为克（</w:t>
      </w:r>
      <w:r>
        <w:rPr>
          <w:szCs w:val="21"/>
          <w:lang w:val="pt-BR"/>
        </w:rPr>
        <w:t>g</w:t>
      </w:r>
      <w:r>
        <w:rPr>
          <w:szCs w:val="21"/>
          <w:lang w:val="pt-BR"/>
        </w:rPr>
        <w:t>）；</w:t>
      </w:r>
    </w:p>
    <w:p w:rsidR="003E499F" w:rsidRDefault="001B684B">
      <w:pPr>
        <w:spacing w:line="360" w:lineRule="auto"/>
        <w:ind w:firstLineChars="200" w:firstLine="420"/>
        <w:jc w:val="left"/>
        <w:rPr>
          <w:szCs w:val="21"/>
          <w:lang w:val="pt-BR"/>
        </w:rPr>
      </w:pPr>
      <w:r>
        <w:rPr>
          <w:i/>
          <w:iCs/>
          <w:szCs w:val="21"/>
        </w:rPr>
        <w:t>m</w:t>
      </w:r>
      <w:r>
        <w:rPr>
          <w:szCs w:val="21"/>
          <w:vertAlign w:val="subscript"/>
        </w:rPr>
        <w:t>1</w:t>
      </w:r>
      <w:r>
        <w:t>——</w:t>
      </w:r>
      <w:r>
        <w:rPr>
          <w:szCs w:val="21"/>
          <w:lang w:val="pt-BR"/>
        </w:rPr>
        <w:t>空玻璃砂芯坩埚的质量，单位为克（</w:t>
      </w:r>
      <w:r>
        <w:rPr>
          <w:szCs w:val="21"/>
          <w:lang w:val="pt-BR"/>
        </w:rPr>
        <w:t>g</w:t>
      </w:r>
      <w:r>
        <w:rPr>
          <w:szCs w:val="21"/>
          <w:lang w:val="pt-BR"/>
        </w:rPr>
        <w:t>）；</w:t>
      </w:r>
      <w:bookmarkStart w:id="3" w:name="_GoBack"/>
      <w:bookmarkEnd w:id="3"/>
    </w:p>
    <w:p w:rsidR="003E499F" w:rsidRDefault="001B684B">
      <w:pPr>
        <w:spacing w:line="360" w:lineRule="auto"/>
        <w:ind w:leftChars="200" w:left="420" w:rightChars="-39" w:right="-82"/>
        <w:rPr>
          <w:szCs w:val="21"/>
          <w:lang w:val="pt-BR"/>
        </w:rPr>
      </w:pPr>
      <w:r>
        <w:rPr>
          <w:i/>
          <w:iCs/>
          <w:szCs w:val="21"/>
        </w:rPr>
        <w:t>m</w:t>
      </w:r>
      <w:r>
        <w:rPr>
          <w:szCs w:val="21"/>
          <w:vertAlign w:val="subscript"/>
        </w:rPr>
        <w:t>3</w:t>
      </w:r>
      <w:r>
        <w:t>——</w:t>
      </w:r>
      <w:r>
        <w:t>空白试验中玻璃砂芯坩埚和沉淀的质量，</w:t>
      </w:r>
      <w:r>
        <w:rPr>
          <w:szCs w:val="21"/>
          <w:lang w:val="pt-BR"/>
        </w:rPr>
        <w:t>单位为克（</w:t>
      </w:r>
      <w:r>
        <w:rPr>
          <w:szCs w:val="21"/>
          <w:lang w:val="pt-BR"/>
        </w:rPr>
        <w:t>g</w:t>
      </w:r>
      <w:r>
        <w:rPr>
          <w:szCs w:val="21"/>
          <w:lang w:val="pt-BR"/>
        </w:rPr>
        <w:t>）；</w:t>
      </w:r>
    </w:p>
    <w:p w:rsidR="003E499F" w:rsidRDefault="001B684B">
      <w:pPr>
        <w:spacing w:line="360" w:lineRule="auto"/>
        <w:ind w:leftChars="200" w:left="420" w:rightChars="-39" w:right="-82"/>
        <w:rPr>
          <w:szCs w:val="21"/>
          <w:lang w:val="pt-BR"/>
        </w:rPr>
      </w:pPr>
      <w:r>
        <w:rPr>
          <w:i/>
          <w:iCs/>
          <w:szCs w:val="21"/>
        </w:rPr>
        <w:t>m</w:t>
      </w:r>
      <w:r>
        <w:rPr>
          <w:szCs w:val="21"/>
          <w:vertAlign w:val="subscript"/>
        </w:rPr>
        <w:t>4</w:t>
      </w:r>
      <w:r>
        <w:t>——</w:t>
      </w:r>
      <w:r>
        <w:t>空白试验中玻璃砂芯坩埚质量，</w:t>
      </w:r>
      <w:r>
        <w:rPr>
          <w:szCs w:val="21"/>
          <w:lang w:val="pt-BR"/>
        </w:rPr>
        <w:t>单位为克（</w:t>
      </w:r>
      <w:r>
        <w:rPr>
          <w:szCs w:val="21"/>
          <w:lang w:val="pt-BR"/>
        </w:rPr>
        <w:t>g</w:t>
      </w:r>
      <w:r>
        <w:rPr>
          <w:szCs w:val="21"/>
          <w:lang w:val="pt-BR"/>
        </w:rPr>
        <w:t>）；</w:t>
      </w:r>
    </w:p>
    <w:p w:rsidR="003E499F" w:rsidRDefault="001B684B">
      <w:pPr>
        <w:spacing w:line="360" w:lineRule="auto"/>
        <w:ind w:rightChars="-39" w:right="-82" w:firstLine="420"/>
        <w:rPr>
          <w:szCs w:val="21"/>
        </w:rPr>
      </w:pPr>
      <w:r>
        <w:rPr>
          <w:i/>
          <w:iCs/>
          <w:szCs w:val="21"/>
        </w:rPr>
        <w:t>V</w:t>
      </w:r>
      <w:r>
        <w:rPr>
          <w:szCs w:val="21"/>
          <w:vertAlign w:val="subscript"/>
        </w:rPr>
        <w:t>0</w:t>
      </w:r>
      <w:r>
        <w:t>——</w:t>
      </w:r>
      <w:r>
        <w:rPr>
          <w:szCs w:val="21"/>
        </w:rPr>
        <w:t>试液的总体积，单位为毫升（</w:t>
      </w:r>
      <w:r>
        <w:rPr>
          <w:szCs w:val="21"/>
        </w:rPr>
        <w:t>mL</w:t>
      </w:r>
      <w:r>
        <w:rPr>
          <w:szCs w:val="21"/>
        </w:rPr>
        <w:t>）；</w:t>
      </w:r>
    </w:p>
    <w:p w:rsidR="003E499F" w:rsidRDefault="001B684B">
      <w:pPr>
        <w:spacing w:line="360" w:lineRule="auto"/>
        <w:ind w:rightChars="-39" w:right="-82" w:firstLine="420"/>
        <w:rPr>
          <w:szCs w:val="21"/>
        </w:rPr>
      </w:pPr>
      <w:r>
        <w:rPr>
          <w:i/>
          <w:iCs/>
          <w:szCs w:val="21"/>
        </w:rPr>
        <w:t xml:space="preserve">m </w:t>
      </w:r>
      <w:r>
        <w:t>——</w:t>
      </w:r>
      <w:r>
        <w:rPr>
          <w:szCs w:val="21"/>
        </w:rPr>
        <w:t>试料的质量，单位为克（</w:t>
      </w:r>
      <w:r>
        <w:rPr>
          <w:szCs w:val="21"/>
        </w:rPr>
        <w:t>g</w:t>
      </w:r>
      <w:r>
        <w:rPr>
          <w:szCs w:val="21"/>
        </w:rPr>
        <w:t>）；</w:t>
      </w:r>
    </w:p>
    <w:p w:rsidR="003E499F" w:rsidRDefault="001B684B">
      <w:pPr>
        <w:spacing w:line="360" w:lineRule="auto"/>
        <w:ind w:leftChars="200" w:left="420" w:rightChars="-39" w:right="-82"/>
        <w:rPr>
          <w:szCs w:val="21"/>
        </w:rPr>
      </w:pPr>
      <w:r>
        <w:rPr>
          <w:i/>
          <w:iCs/>
          <w:szCs w:val="21"/>
        </w:rPr>
        <w:t>V</w:t>
      </w:r>
      <w:r>
        <w:rPr>
          <w:szCs w:val="21"/>
          <w:vertAlign w:val="subscript"/>
        </w:rPr>
        <w:t>1</w:t>
      </w:r>
      <w:r>
        <w:t>——</w:t>
      </w:r>
      <w:r>
        <w:rPr>
          <w:szCs w:val="21"/>
        </w:rPr>
        <w:t>分取试液的体积，单位为毫升（</w:t>
      </w:r>
      <w:r>
        <w:rPr>
          <w:szCs w:val="21"/>
        </w:rPr>
        <w:t>mL</w:t>
      </w:r>
      <w:r>
        <w:rPr>
          <w:szCs w:val="21"/>
        </w:rPr>
        <w:t>）；</w:t>
      </w:r>
    </w:p>
    <w:p w:rsidR="003E499F" w:rsidRDefault="001B684B">
      <w:pPr>
        <w:spacing w:line="360" w:lineRule="auto"/>
        <w:ind w:leftChars="200" w:left="420" w:rightChars="-39" w:right="-82"/>
        <w:rPr>
          <w:szCs w:val="21"/>
          <w:lang w:val="pt-BR"/>
        </w:rPr>
      </w:pPr>
      <w:r>
        <w:rPr>
          <w:i/>
          <w:iCs/>
        </w:rPr>
        <w:lastRenderedPageBreak/>
        <w:t>V</w:t>
      </w:r>
      <w:r>
        <w:rPr>
          <w:vertAlign w:val="subscript"/>
        </w:rPr>
        <w:t>2</w:t>
      </w:r>
      <w:r>
        <w:t>——</w:t>
      </w:r>
      <w:r>
        <w:rPr>
          <w:rFonts w:hAnsi="宋体" w:cs="宋体" w:hint="eastAsia"/>
        </w:rPr>
        <w:t>滤液定容体积，单位为毫升（</w:t>
      </w:r>
      <w:r>
        <w:t>mL</w:t>
      </w:r>
      <w:r>
        <w:rPr>
          <w:rFonts w:hAnsi="宋体" w:cs="宋体" w:hint="eastAsia"/>
        </w:rPr>
        <w:t>）；</w:t>
      </w:r>
    </w:p>
    <w:p w:rsidR="003E499F" w:rsidRDefault="001B684B">
      <w:pPr>
        <w:spacing w:line="360" w:lineRule="auto"/>
        <w:ind w:rightChars="-39" w:right="-82" w:firstLine="420"/>
        <w:rPr>
          <w:szCs w:val="21"/>
        </w:rPr>
      </w:pPr>
      <w:r>
        <w:rPr>
          <w:i/>
        </w:rPr>
        <w:t>ρ</w:t>
      </w:r>
      <w:r>
        <w:rPr>
          <w:szCs w:val="16"/>
        </w:rPr>
        <w:t>——</w:t>
      </w:r>
      <w:r>
        <w:rPr>
          <w:szCs w:val="16"/>
        </w:rPr>
        <w:t>自</w:t>
      </w:r>
      <w:r>
        <w:rPr>
          <w:szCs w:val="21"/>
        </w:rPr>
        <w:t>工作曲线上查锝镍的质量浓度，单位为微克每毫升（</w:t>
      </w:r>
      <w:r>
        <w:rPr>
          <w:szCs w:val="21"/>
        </w:rPr>
        <w:t>µg/mL</w:t>
      </w:r>
      <w:r>
        <w:rPr>
          <w:szCs w:val="21"/>
        </w:rPr>
        <w:t>）；</w:t>
      </w:r>
    </w:p>
    <w:p w:rsidR="003E499F" w:rsidRDefault="001B684B">
      <w:pPr>
        <w:spacing w:line="360" w:lineRule="auto"/>
        <w:ind w:firstLineChars="200" w:firstLine="420"/>
        <w:jc w:val="left"/>
        <w:rPr>
          <w:szCs w:val="21"/>
          <w:lang w:val="pt-BR"/>
        </w:rPr>
      </w:pPr>
      <w:r>
        <w:rPr>
          <w:szCs w:val="21"/>
        </w:rPr>
        <w:t>0.2032—</w:t>
      </w:r>
      <w:r>
        <w:rPr>
          <w:szCs w:val="21"/>
        </w:rPr>
        <w:t>丁二酮肟镍换算成镍的换算系数。</w:t>
      </w:r>
    </w:p>
    <w:p w:rsidR="003E499F" w:rsidRDefault="001B684B">
      <w:pPr>
        <w:spacing w:line="360" w:lineRule="auto"/>
        <w:ind w:firstLineChars="200" w:firstLine="420"/>
        <w:rPr>
          <w:szCs w:val="21"/>
          <w:lang w:val="pt-BR"/>
        </w:rPr>
      </w:pPr>
      <w:r>
        <w:rPr>
          <w:szCs w:val="21"/>
          <w:lang w:val="pt-BR"/>
        </w:rPr>
        <w:t>计算结果表示至小数点后两位。</w:t>
      </w:r>
    </w:p>
    <w:p w:rsidR="003E499F" w:rsidRDefault="001B684B">
      <w:pPr>
        <w:spacing w:line="360" w:lineRule="auto"/>
        <w:rPr>
          <w:rFonts w:ascii="黑体" w:eastAsia="黑体" w:hAnsi="黑体" w:cs="黑体"/>
          <w:lang w:val="pt-BR"/>
        </w:rPr>
      </w:pPr>
      <w:r>
        <w:rPr>
          <w:rFonts w:ascii="黑体" w:eastAsia="黑体" w:hAnsi="黑体" w:cs="黑体" w:hint="eastAsia"/>
        </w:rPr>
        <w:t>3.6</w:t>
      </w:r>
      <w:r>
        <w:rPr>
          <w:rFonts w:ascii="黑体" w:eastAsia="黑体" w:hAnsi="黑体" w:cs="黑体" w:hint="eastAsia"/>
          <w:lang w:val="pt-BR"/>
        </w:rPr>
        <w:t>精密度</w:t>
      </w:r>
    </w:p>
    <w:p w:rsidR="003E499F" w:rsidRDefault="001B684B">
      <w:pPr>
        <w:spacing w:line="360" w:lineRule="auto"/>
        <w:rPr>
          <w:rFonts w:ascii="黑体" w:eastAsia="黑体" w:hAnsi="黑体" w:cs="黑体"/>
        </w:rPr>
      </w:pPr>
      <w:r>
        <w:rPr>
          <w:rFonts w:ascii="黑体" w:eastAsia="黑体" w:hAnsi="黑体" w:cs="黑体" w:hint="eastAsia"/>
        </w:rPr>
        <w:t>3.6.1</w:t>
      </w:r>
      <w:r>
        <w:rPr>
          <w:rFonts w:ascii="黑体" w:eastAsia="黑体" w:hAnsi="黑体" w:cs="黑体" w:hint="eastAsia"/>
          <w:lang w:val="pt-BR"/>
        </w:rPr>
        <w:t>重复性</w:t>
      </w:r>
    </w:p>
    <w:p w:rsidR="003E499F" w:rsidRDefault="001B684B">
      <w:pPr>
        <w:spacing w:line="360" w:lineRule="auto"/>
        <w:ind w:firstLineChars="200" w:firstLine="420"/>
        <w:rPr>
          <w:sz w:val="24"/>
        </w:rPr>
      </w:pPr>
      <w:r>
        <w:rPr>
          <w:szCs w:val="21"/>
        </w:rPr>
        <w:t>在重复性条件下获得的两次独立测试结果的测定值，在以下给出的平均值范围内，这两个测试结果的绝对差值不超过重复性限</w:t>
      </w:r>
      <w:r>
        <w:t>（</w:t>
      </w:r>
      <w:r>
        <w:t>r</w:t>
      </w:r>
      <w:r>
        <w:t>）</w:t>
      </w:r>
      <w:r>
        <w:rPr>
          <w:szCs w:val="21"/>
        </w:rPr>
        <w:t>，超过重复性限</w:t>
      </w:r>
      <w:r>
        <w:t>（</w:t>
      </w:r>
      <w:r>
        <w:t>r</w:t>
      </w:r>
      <w:r>
        <w:t>）</w:t>
      </w:r>
      <w:r>
        <w:rPr>
          <w:szCs w:val="21"/>
        </w:rPr>
        <w:t>的情况不超过</w:t>
      </w:r>
      <w:r>
        <w:rPr>
          <w:szCs w:val="21"/>
        </w:rPr>
        <w:t>5%</w:t>
      </w:r>
      <w:r>
        <w:rPr>
          <w:szCs w:val="21"/>
        </w:rPr>
        <w:t>，重复性限</w:t>
      </w:r>
      <w:r>
        <w:t>（</w:t>
      </w:r>
      <w:r>
        <w:t>r</w:t>
      </w:r>
      <w:r>
        <w:t>）</w:t>
      </w:r>
      <w:r>
        <w:rPr>
          <w:szCs w:val="21"/>
        </w:rPr>
        <w:t>按表</w:t>
      </w:r>
      <w:r>
        <w:rPr>
          <w:szCs w:val="21"/>
        </w:rPr>
        <w:t>2</w:t>
      </w:r>
      <w:r>
        <w:rPr>
          <w:szCs w:val="21"/>
        </w:rPr>
        <w:t>数据采用线性内插法或外延法求得。</w:t>
      </w:r>
    </w:p>
    <w:p w:rsidR="003E499F" w:rsidRDefault="001B684B">
      <w:pPr>
        <w:spacing w:line="360" w:lineRule="auto"/>
        <w:jc w:val="center"/>
        <w:rPr>
          <w:rFonts w:eastAsia="黑体"/>
        </w:rPr>
      </w:pPr>
      <w:r>
        <w:rPr>
          <w:rFonts w:eastAsia="黑体"/>
        </w:rPr>
        <w:t>表</w:t>
      </w:r>
      <w:r>
        <w:rPr>
          <w:rFonts w:eastAsia="黑体"/>
        </w:rPr>
        <w:t xml:space="preserve">2 </w:t>
      </w:r>
      <w:r>
        <w:rPr>
          <w:rFonts w:eastAsia="黑体"/>
        </w:rPr>
        <w:t>重复性限</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0"/>
        <w:gridCol w:w="1826"/>
        <w:gridCol w:w="1826"/>
        <w:gridCol w:w="1826"/>
        <w:gridCol w:w="1826"/>
        <w:gridCol w:w="1828"/>
      </w:tblGrid>
      <w:tr w:rsidR="003E499F">
        <w:trPr>
          <w:trHeight w:val="397"/>
        </w:trPr>
        <w:tc>
          <w:tcPr>
            <w:tcW w:w="563" w:type="pct"/>
            <w:noWrap/>
            <w:vAlign w:val="center"/>
          </w:tcPr>
          <w:p w:rsidR="003E499F" w:rsidRDefault="001B684B">
            <w:pPr>
              <w:spacing w:line="360" w:lineRule="auto"/>
              <w:jc w:val="center"/>
              <w:rPr>
                <w:sz w:val="18"/>
                <w:szCs w:val="18"/>
              </w:rPr>
            </w:pPr>
            <w:r>
              <w:rPr>
                <w:i/>
                <w:sz w:val="18"/>
                <w:szCs w:val="18"/>
              </w:rPr>
              <w:t>w</w:t>
            </w:r>
            <w:r>
              <w:rPr>
                <w:sz w:val="18"/>
                <w:szCs w:val="18"/>
                <w:vertAlign w:val="subscript"/>
              </w:rPr>
              <w:t>Ni</w:t>
            </w:r>
            <w:r>
              <w:rPr>
                <w:szCs w:val="21"/>
              </w:rPr>
              <w:t>/</w:t>
            </w:r>
            <w:r>
              <w:rPr>
                <w:sz w:val="18"/>
                <w:szCs w:val="18"/>
              </w:rPr>
              <w:t>%</w:t>
            </w:r>
          </w:p>
        </w:tc>
        <w:tc>
          <w:tcPr>
            <w:tcW w:w="887" w:type="pct"/>
            <w:noWrap/>
            <w:vAlign w:val="center"/>
          </w:tcPr>
          <w:p w:rsidR="003E499F" w:rsidRDefault="001B684B">
            <w:pPr>
              <w:jc w:val="center"/>
              <w:rPr>
                <w:sz w:val="18"/>
                <w:szCs w:val="18"/>
              </w:rPr>
            </w:pPr>
            <w:r>
              <w:rPr>
                <w:sz w:val="18"/>
                <w:szCs w:val="18"/>
              </w:rPr>
              <w:t>8.00</w:t>
            </w:r>
          </w:p>
        </w:tc>
        <w:tc>
          <w:tcPr>
            <w:tcW w:w="887" w:type="pct"/>
            <w:noWrap/>
            <w:vAlign w:val="center"/>
          </w:tcPr>
          <w:p w:rsidR="003E499F" w:rsidRDefault="001B684B">
            <w:pPr>
              <w:jc w:val="center"/>
              <w:rPr>
                <w:sz w:val="18"/>
                <w:szCs w:val="18"/>
              </w:rPr>
            </w:pPr>
            <w:r>
              <w:rPr>
                <w:sz w:val="18"/>
                <w:szCs w:val="18"/>
              </w:rPr>
              <w:t>11.72</w:t>
            </w:r>
          </w:p>
        </w:tc>
        <w:tc>
          <w:tcPr>
            <w:tcW w:w="887" w:type="pct"/>
            <w:noWrap/>
            <w:vAlign w:val="center"/>
          </w:tcPr>
          <w:p w:rsidR="003E499F" w:rsidRDefault="001B684B">
            <w:pPr>
              <w:jc w:val="center"/>
              <w:rPr>
                <w:sz w:val="18"/>
                <w:szCs w:val="18"/>
              </w:rPr>
            </w:pPr>
            <w:r>
              <w:rPr>
                <w:sz w:val="18"/>
                <w:szCs w:val="18"/>
              </w:rPr>
              <w:t>17.29</w:t>
            </w:r>
          </w:p>
        </w:tc>
        <w:tc>
          <w:tcPr>
            <w:tcW w:w="887" w:type="pct"/>
            <w:noWrap/>
            <w:vAlign w:val="center"/>
          </w:tcPr>
          <w:p w:rsidR="003E499F" w:rsidRDefault="001B684B">
            <w:pPr>
              <w:jc w:val="center"/>
              <w:rPr>
                <w:sz w:val="18"/>
                <w:szCs w:val="18"/>
              </w:rPr>
            </w:pPr>
            <w:r>
              <w:rPr>
                <w:sz w:val="18"/>
                <w:szCs w:val="18"/>
              </w:rPr>
              <w:t>19.11</w:t>
            </w:r>
          </w:p>
        </w:tc>
        <w:tc>
          <w:tcPr>
            <w:tcW w:w="888" w:type="pct"/>
            <w:noWrap/>
            <w:vAlign w:val="center"/>
          </w:tcPr>
          <w:p w:rsidR="003E499F" w:rsidRDefault="001B684B">
            <w:pPr>
              <w:jc w:val="center"/>
              <w:rPr>
                <w:sz w:val="18"/>
                <w:szCs w:val="18"/>
              </w:rPr>
            </w:pPr>
            <w:r>
              <w:rPr>
                <w:sz w:val="18"/>
                <w:szCs w:val="18"/>
              </w:rPr>
              <w:t>24.36</w:t>
            </w:r>
          </w:p>
        </w:tc>
      </w:tr>
      <w:tr w:rsidR="003E499F">
        <w:trPr>
          <w:trHeight w:val="397"/>
        </w:trPr>
        <w:tc>
          <w:tcPr>
            <w:tcW w:w="563" w:type="pct"/>
            <w:noWrap/>
            <w:vAlign w:val="center"/>
          </w:tcPr>
          <w:p w:rsidR="003E499F" w:rsidRDefault="001B684B">
            <w:pPr>
              <w:spacing w:line="360" w:lineRule="auto"/>
              <w:jc w:val="center"/>
              <w:rPr>
                <w:sz w:val="18"/>
                <w:szCs w:val="18"/>
              </w:rPr>
            </w:pPr>
            <w:r>
              <w:rPr>
                <w:rFonts w:eastAsia="黑体"/>
                <w:i/>
                <w:sz w:val="18"/>
                <w:szCs w:val="18"/>
              </w:rPr>
              <w:t>r</w:t>
            </w:r>
            <w:r>
              <w:rPr>
                <w:sz w:val="18"/>
                <w:szCs w:val="18"/>
              </w:rPr>
              <w:t>/%</w:t>
            </w:r>
          </w:p>
        </w:tc>
        <w:tc>
          <w:tcPr>
            <w:tcW w:w="887" w:type="pct"/>
            <w:noWrap/>
            <w:vAlign w:val="center"/>
          </w:tcPr>
          <w:p w:rsidR="003E499F" w:rsidRDefault="001B684B">
            <w:pPr>
              <w:jc w:val="center"/>
              <w:rPr>
                <w:sz w:val="18"/>
                <w:szCs w:val="18"/>
              </w:rPr>
            </w:pPr>
            <w:r>
              <w:rPr>
                <w:sz w:val="18"/>
                <w:szCs w:val="18"/>
              </w:rPr>
              <w:t>0.19</w:t>
            </w:r>
          </w:p>
        </w:tc>
        <w:tc>
          <w:tcPr>
            <w:tcW w:w="887" w:type="pct"/>
            <w:noWrap/>
            <w:vAlign w:val="center"/>
          </w:tcPr>
          <w:p w:rsidR="003E499F" w:rsidRDefault="001B684B">
            <w:pPr>
              <w:jc w:val="center"/>
              <w:rPr>
                <w:sz w:val="18"/>
                <w:szCs w:val="18"/>
              </w:rPr>
            </w:pPr>
            <w:r>
              <w:rPr>
                <w:sz w:val="18"/>
                <w:szCs w:val="18"/>
              </w:rPr>
              <w:t>0.22</w:t>
            </w:r>
          </w:p>
        </w:tc>
        <w:tc>
          <w:tcPr>
            <w:tcW w:w="887" w:type="pct"/>
            <w:noWrap/>
            <w:vAlign w:val="center"/>
          </w:tcPr>
          <w:p w:rsidR="003E499F" w:rsidRDefault="001B684B">
            <w:pPr>
              <w:jc w:val="center"/>
              <w:rPr>
                <w:sz w:val="18"/>
                <w:szCs w:val="18"/>
              </w:rPr>
            </w:pPr>
            <w:r>
              <w:rPr>
                <w:sz w:val="18"/>
                <w:szCs w:val="18"/>
              </w:rPr>
              <w:t>0.26</w:t>
            </w:r>
          </w:p>
        </w:tc>
        <w:tc>
          <w:tcPr>
            <w:tcW w:w="887" w:type="pct"/>
            <w:noWrap/>
            <w:vAlign w:val="center"/>
          </w:tcPr>
          <w:p w:rsidR="003E499F" w:rsidRDefault="001B684B">
            <w:pPr>
              <w:jc w:val="center"/>
              <w:rPr>
                <w:sz w:val="18"/>
                <w:szCs w:val="18"/>
              </w:rPr>
            </w:pPr>
            <w:r>
              <w:rPr>
                <w:sz w:val="18"/>
                <w:szCs w:val="18"/>
              </w:rPr>
              <w:t>0.28</w:t>
            </w:r>
          </w:p>
        </w:tc>
        <w:tc>
          <w:tcPr>
            <w:tcW w:w="888" w:type="pct"/>
            <w:noWrap/>
            <w:vAlign w:val="center"/>
          </w:tcPr>
          <w:p w:rsidR="003E499F" w:rsidRDefault="001B684B">
            <w:pPr>
              <w:jc w:val="center"/>
              <w:rPr>
                <w:sz w:val="18"/>
                <w:szCs w:val="18"/>
              </w:rPr>
            </w:pPr>
            <w:r>
              <w:rPr>
                <w:sz w:val="18"/>
                <w:szCs w:val="18"/>
              </w:rPr>
              <w:t>0.32</w:t>
            </w:r>
          </w:p>
        </w:tc>
      </w:tr>
    </w:tbl>
    <w:p w:rsidR="003E499F" w:rsidRDefault="001B684B" w:rsidP="008776ED">
      <w:pPr>
        <w:spacing w:beforeLines="50" w:line="360" w:lineRule="auto"/>
        <w:rPr>
          <w:rFonts w:ascii="黑体" w:eastAsia="黑体" w:hAnsi="黑体" w:cs="黑体"/>
        </w:rPr>
      </w:pPr>
      <w:r>
        <w:rPr>
          <w:rFonts w:ascii="黑体" w:eastAsia="黑体" w:hAnsi="黑体" w:cs="黑体" w:hint="eastAsia"/>
        </w:rPr>
        <w:t>3.6.2</w:t>
      </w:r>
      <w:r>
        <w:rPr>
          <w:rFonts w:ascii="黑体" w:eastAsia="黑体" w:hAnsi="黑体" w:cs="黑体" w:hint="eastAsia"/>
        </w:rPr>
        <w:t>再现性</w:t>
      </w:r>
    </w:p>
    <w:p w:rsidR="003E499F" w:rsidRDefault="001B684B">
      <w:pPr>
        <w:spacing w:line="360" w:lineRule="auto"/>
        <w:ind w:firstLineChars="200" w:firstLine="420"/>
        <w:rPr>
          <w:szCs w:val="21"/>
        </w:rPr>
      </w:pPr>
      <w:r>
        <w:rPr>
          <w:szCs w:val="21"/>
        </w:rPr>
        <w:t>在再现性条件下获得的两次独立测试结果的测定值，在以下给出的平均值范围内，这两个测试结果的绝对差值不超过再现性限</w:t>
      </w:r>
      <w:r>
        <w:t>（</w:t>
      </w:r>
      <w:r>
        <w:t>R</w:t>
      </w:r>
      <w:r>
        <w:t>）</w:t>
      </w:r>
      <w:r>
        <w:rPr>
          <w:szCs w:val="21"/>
        </w:rPr>
        <w:t>，超过再现性限</w:t>
      </w:r>
      <w:r>
        <w:t>（</w:t>
      </w:r>
      <w:r>
        <w:t>R</w:t>
      </w:r>
      <w:r>
        <w:t>）</w:t>
      </w:r>
      <w:r>
        <w:rPr>
          <w:szCs w:val="21"/>
        </w:rPr>
        <w:t>的情况不超过</w:t>
      </w:r>
      <w:r>
        <w:rPr>
          <w:szCs w:val="21"/>
        </w:rPr>
        <w:t>5%</w:t>
      </w:r>
      <w:r>
        <w:rPr>
          <w:szCs w:val="21"/>
        </w:rPr>
        <w:t>，再现性限</w:t>
      </w:r>
      <w:r>
        <w:t>（</w:t>
      </w:r>
      <w:r>
        <w:t>R</w:t>
      </w:r>
      <w:r>
        <w:t>）</w:t>
      </w:r>
      <w:r>
        <w:rPr>
          <w:szCs w:val="21"/>
        </w:rPr>
        <w:t>按表</w:t>
      </w:r>
      <w:r>
        <w:rPr>
          <w:szCs w:val="21"/>
        </w:rPr>
        <w:t>3</w:t>
      </w:r>
      <w:r>
        <w:rPr>
          <w:szCs w:val="21"/>
        </w:rPr>
        <w:t>数据采用线性内插法或外延法求得。</w:t>
      </w:r>
    </w:p>
    <w:p w:rsidR="003E499F" w:rsidRDefault="001B684B">
      <w:pPr>
        <w:spacing w:line="360" w:lineRule="auto"/>
        <w:jc w:val="center"/>
        <w:rPr>
          <w:rFonts w:eastAsia="黑体"/>
        </w:rPr>
      </w:pPr>
      <w:r>
        <w:rPr>
          <w:rFonts w:eastAsia="黑体"/>
        </w:rPr>
        <w:t>表</w:t>
      </w:r>
      <w:r>
        <w:rPr>
          <w:rFonts w:eastAsia="黑体"/>
        </w:rPr>
        <w:t xml:space="preserve">3 </w:t>
      </w:r>
      <w:r>
        <w:rPr>
          <w:rFonts w:eastAsia="黑体"/>
        </w:rPr>
        <w:t>再现性限</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0"/>
        <w:gridCol w:w="1826"/>
        <w:gridCol w:w="1826"/>
        <w:gridCol w:w="1826"/>
        <w:gridCol w:w="1826"/>
        <w:gridCol w:w="1828"/>
      </w:tblGrid>
      <w:tr w:rsidR="003E499F">
        <w:trPr>
          <w:trHeight w:val="397"/>
        </w:trPr>
        <w:tc>
          <w:tcPr>
            <w:tcW w:w="563" w:type="pct"/>
            <w:noWrap/>
            <w:vAlign w:val="center"/>
          </w:tcPr>
          <w:p w:rsidR="003E499F" w:rsidRDefault="001B684B">
            <w:pPr>
              <w:spacing w:line="360" w:lineRule="auto"/>
              <w:jc w:val="center"/>
              <w:rPr>
                <w:sz w:val="18"/>
                <w:szCs w:val="18"/>
              </w:rPr>
            </w:pPr>
            <w:r>
              <w:rPr>
                <w:i/>
                <w:sz w:val="18"/>
                <w:szCs w:val="18"/>
              </w:rPr>
              <w:t>w</w:t>
            </w:r>
            <w:r>
              <w:rPr>
                <w:sz w:val="18"/>
                <w:szCs w:val="18"/>
                <w:vertAlign w:val="subscript"/>
              </w:rPr>
              <w:t>Ni</w:t>
            </w:r>
            <w:r>
              <w:rPr>
                <w:szCs w:val="21"/>
              </w:rPr>
              <w:t>/</w:t>
            </w:r>
            <w:r>
              <w:rPr>
                <w:sz w:val="18"/>
                <w:szCs w:val="18"/>
              </w:rPr>
              <w:t>%</w:t>
            </w:r>
          </w:p>
        </w:tc>
        <w:tc>
          <w:tcPr>
            <w:tcW w:w="887" w:type="pct"/>
            <w:noWrap/>
            <w:vAlign w:val="center"/>
          </w:tcPr>
          <w:p w:rsidR="003E499F" w:rsidRDefault="001B684B">
            <w:pPr>
              <w:jc w:val="center"/>
              <w:rPr>
                <w:sz w:val="18"/>
                <w:szCs w:val="18"/>
              </w:rPr>
            </w:pPr>
            <w:r>
              <w:rPr>
                <w:sz w:val="18"/>
                <w:szCs w:val="18"/>
              </w:rPr>
              <w:t>8.00</w:t>
            </w:r>
          </w:p>
        </w:tc>
        <w:tc>
          <w:tcPr>
            <w:tcW w:w="887" w:type="pct"/>
            <w:noWrap/>
            <w:vAlign w:val="center"/>
          </w:tcPr>
          <w:p w:rsidR="003E499F" w:rsidRDefault="001B684B">
            <w:pPr>
              <w:jc w:val="center"/>
              <w:rPr>
                <w:sz w:val="18"/>
                <w:szCs w:val="18"/>
              </w:rPr>
            </w:pPr>
            <w:r>
              <w:rPr>
                <w:sz w:val="18"/>
                <w:szCs w:val="18"/>
              </w:rPr>
              <w:t>11.72</w:t>
            </w:r>
          </w:p>
        </w:tc>
        <w:tc>
          <w:tcPr>
            <w:tcW w:w="887" w:type="pct"/>
            <w:noWrap/>
            <w:vAlign w:val="center"/>
          </w:tcPr>
          <w:p w:rsidR="003E499F" w:rsidRDefault="001B684B">
            <w:pPr>
              <w:jc w:val="center"/>
              <w:rPr>
                <w:sz w:val="18"/>
                <w:szCs w:val="18"/>
              </w:rPr>
            </w:pPr>
            <w:r>
              <w:rPr>
                <w:sz w:val="18"/>
                <w:szCs w:val="18"/>
              </w:rPr>
              <w:t>17.28</w:t>
            </w:r>
          </w:p>
        </w:tc>
        <w:tc>
          <w:tcPr>
            <w:tcW w:w="887" w:type="pct"/>
            <w:noWrap/>
            <w:vAlign w:val="center"/>
          </w:tcPr>
          <w:p w:rsidR="003E499F" w:rsidRDefault="001B684B">
            <w:pPr>
              <w:jc w:val="center"/>
              <w:rPr>
                <w:sz w:val="18"/>
                <w:szCs w:val="18"/>
              </w:rPr>
            </w:pPr>
            <w:r>
              <w:rPr>
                <w:sz w:val="18"/>
                <w:szCs w:val="18"/>
              </w:rPr>
              <w:t>19.11</w:t>
            </w:r>
          </w:p>
        </w:tc>
        <w:tc>
          <w:tcPr>
            <w:tcW w:w="888" w:type="pct"/>
            <w:noWrap/>
            <w:vAlign w:val="center"/>
          </w:tcPr>
          <w:p w:rsidR="003E499F" w:rsidRDefault="001B684B">
            <w:pPr>
              <w:jc w:val="center"/>
              <w:rPr>
                <w:sz w:val="18"/>
                <w:szCs w:val="18"/>
              </w:rPr>
            </w:pPr>
            <w:r>
              <w:rPr>
                <w:sz w:val="18"/>
                <w:szCs w:val="18"/>
              </w:rPr>
              <w:t>24.36</w:t>
            </w:r>
          </w:p>
        </w:tc>
      </w:tr>
      <w:tr w:rsidR="003E499F">
        <w:trPr>
          <w:trHeight w:val="397"/>
        </w:trPr>
        <w:tc>
          <w:tcPr>
            <w:tcW w:w="563" w:type="pct"/>
            <w:noWrap/>
            <w:vAlign w:val="center"/>
          </w:tcPr>
          <w:p w:rsidR="003E499F" w:rsidRDefault="001B684B">
            <w:pPr>
              <w:spacing w:line="360" w:lineRule="auto"/>
              <w:jc w:val="center"/>
              <w:rPr>
                <w:sz w:val="18"/>
                <w:szCs w:val="18"/>
              </w:rPr>
            </w:pPr>
            <w:r>
              <w:rPr>
                <w:rFonts w:eastAsia="黑体"/>
                <w:i/>
                <w:sz w:val="18"/>
                <w:szCs w:val="18"/>
              </w:rPr>
              <w:t>R</w:t>
            </w:r>
            <w:r>
              <w:rPr>
                <w:sz w:val="18"/>
                <w:szCs w:val="18"/>
              </w:rPr>
              <w:t>/%</w:t>
            </w:r>
          </w:p>
        </w:tc>
        <w:tc>
          <w:tcPr>
            <w:tcW w:w="887" w:type="pct"/>
            <w:noWrap/>
            <w:vAlign w:val="center"/>
          </w:tcPr>
          <w:p w:rsidR="003E499F" w:rsidRDefault="001B684B">
            <w:pPr>
              <w:jc w:val="center"/>
              <w:rPr>
                <w:sz w:val="18"/>
                <w:szCs w:val="18"/>
              </w:rPr>
            </w:pPr>
            <w:r>
              <w:rPr>
                <w:sz w:val="18"/>
                <w:szCs w:val="18"/>
              </w:rPr>
              <w:t>0.22</w:t>
            </w:r>
          </w:p>
        </w:tc>
        <w:tc>
          <w:tcPr>
            <w:tcW w:w="887" w:type="pct"/>
            <w:noWrap/>
            <w:vAlign w:val="center"/>
          </w:tcPr>
          <w:p w:rsidR="003E499F" w:rsidRDefault="001B684B">
            <w:pPr>
              <w:jc w:val="center"/>
              <w:rPr>
                <w:sz w:val="18"/>
                <w:szCs w:val="18"/>
              </w:rPr>
            </w:pPr>
            <w:r>
              <w:rPr>
                <w:sz w:val="18"/>
                <w:szCs w:val="18"/>
              </w:rPr>
              <w:t>0.25</w:t>
            </w:r>
          </w:p>
        </w:tc>
        <w:tc>
          <w:tcPr>
            <w:tcW w:w="887" w:type="pct"/>
            <w:noWrap/>
            <w:vAlign w:val="center"/>
          </w:tcPr>
          <w:p w:rsidR="003E499F" w:rsidRDefault="001B684B">
            <w:pPr>
              <w:jc w:val="center"/>
              <w:rPr>
                <w:sz w:val="18"/>
                <w:szCs w:val="18"/>
              </w:rPr>
            </w:pPr>
            <w:r>
              <w:rPr>
                <w:sz w:val="18"/>
                <w:szCs w:val="18"/>
              </w:rPr>
              <w:t>0.30</w:t>
            </w:r>
          </w:p>
        </w:tc>
        <w:tc>
          <w:tcPr>
            <w:tcW w:w="887" w:type="pct"/>
            <w:noWrap/>
            <w:vAlign w:val="center"/>
          </w:tcPr>
          <w:p w:rsidR="003E499F" w:rsidRDefault="001B684B">
            <w:pPr>
              <w:jc w:val="center"/>
              <w:rPr>
                <w:sz w:val="18"/>
                <w:szCs w:val="18"/>
              </w:rPr>
            </w:pPr>
            <w:r>
              <w:rPr>
                <w:sz w:val="18"/>
                <w:szCs w:val="18"/>
              </w:rPr>
              <w:t>0.32</w:t>
            </w:r>
          </w:p>
        </w:tc>
        <w:tc>
          <w:tcPr>
            <w:tcW w:w="888" w:type="pct"/>
            <w:noWrap/>
            <w:vAlign w:val="center"/>
          </w:tcPr>
          <w:p w:rsidR="003E499F" w:rsidRDefault="001B684B">
            <w:pPr>
              <w:jc w:val="center"/>
              <w:rPr>
                <w:sz w:val="18"/>
                <w:szCs w:val="18"/>
              </w:rPr>
            </w:pPr>
            <w:r>
              <w:rPr>
                <w:sz w:val="18"/>
                <w:szCs w:val="18"/>
              </w:rPr>
              <w:t>0.35</w:t>
            </w:r>
          </w:p>
        </w:tc>
      </w:tr>
    </w:tbl>
    <w:p w:rsidR="003E499F" w:rsidRDefault="003E499F">
      <w:pPr>
        <w:spacing w:line="360" w:lineRule="auto"/>
        <w:rPr>
          <w:rFonts w:eastAsia="黑体"/>
        </w:rPr>
      </w:pPr>
    </w:p>
    <w:p w:rsidR="003E499F" w:rsidRDefault="001B684B">
      <w:pPr>
        <w:spacing w:line="360" w:lineRule="auto"/>
        <w:rPr>
          <w:rFonts w:eastAsia="黑体"/>
        </w:rPr>
      </w:pPr>
      <w:r>
        <w:rPr>
          <w:rFonts w:eastAsia="黑体"/>
        </w:rPr>
        <w:t xml:space="preserve">4   </w:t>
      </w:r>
      <w:r>
        <w:rPr>
          <w:rFonts w:eastAsia="黑体"/>
        </w:rPr>
        <w:t>方法</w:t>
      </w:r>
      <w:r>
        <w:rPr>
          <w:rFonts w:eastAsia="黑体"/>
        </w:rPr>
        <w:t>2</w:t>
      </w:r>
      <w:r>
        <w:rPr>
          <w:rFonts w:eastAsia="黑体"/>
        </w:rPr>
        <w:t>：</w:t>
      </w:r>
      <w:r>
        <w:rPr>
          <w:rFonts w:eastAsia="黑体"/>
        </w:rPr>
        <w:t>Na</w:t>
      </w:r>
      <w:r>
        <w:rPr>
          <w:rFonts w:eastAsia="黑体"/>
          <w:vertAlign w:val="subscript"/>
        </w:rPr>
        <w:t>2</w:t>
      </w:r>
      <w:r>
        <w:rPr>
          <w:rFonts w:eastAsia="黑体"/>
        </w:rPr>
        <w:t>EDTA</w:t>
      </w:r>
      <w:r>
        <w:rPr>
          <w:rFonts w:eastAsia="黑体"/>
        </w:rPr>
        <w:t>滴定法</w:t>
      </w:r>
    </w:p>
    <w:p w:rsidR="003E499F" w:rsidRDefault="001B684B">
      <w:pPr>
        <w:pStyle w:val="afffff2"/>
        <w:spacing w:line="360" w:lineRule="auto"/>
        <w:ind w:firstLineChars="0" w:firstLine="0"/>
        <w:rPr>
          <w:rFonts w:eastAsia="黑体"/>
        </w:rPr>
      </w:pPr>
      <w:r>
        <w:rPr>
          <w:rFonts w:ascii="黑体" w:eastAsia="黑体" w:hAnsi="黑体" w:cs="黑体" w:hint="eastAsia"/>
        </w:rPr>
        <w:t xml:space="preserve">4.1  </w:t>
      </w:r>
      <w:r>
        <w:rPr>
          <w:rFonts w:ascii="黑体" w:eastAsia="黑体" w:hAnsi="黑体" w:cs="黑体" w:hint="eastAsia"/>
        </w:rPr>
        <w:t>方法提要</w:t>
      </w:r>
    </w:p>
    <w:p w:rsidR="003E499F" w:rsidRDefault="001B684B">
      <w:pPr>
        <w:spacing w:line="360" w:lineRule="auto"/>
        <w:ind w:firstLineChars="200" w:firstLine="420"/>
        <w:rPr>
          <w:sz w:val="28"/>
          <w:szCs w:val="28"/>
        </w:rPr>
      </w:pPr>
      <w:r>
        <w:rPr>
          <w:szCs w:val="21"/>
        </w:rPr>
        <w:t>试料经盐酸分解后，加入氯化铵和柠檬酸钠，用氨水调节溶液的</w:t>
      </w:r>
      <w:r>
        <w:rPr>
          <w:szCs w:val="21"/>
        </w:rPr>
        <w:t xml:space="preserve">pH </w:t>
      </w:r>
      <w:r>
        <w:rPr>
          <w:szCs w:val="21"/>
        </w:rPr>
        <w:t>值为</w:t>
      </w:r>
      <w:r>
        <w:rPr>
          <w:szCs w:val="21"/>
        </w:rPr>
        <w:t>9</w:t>
      </w:r>
      <w:r>
        <w:rPr>
          <w:szCs w:val="21"/>
        </w:rPr>
        <w:t>～</w:t>
      </w:r>
      <w:r>
        <w:rPr>
          <w:szCs w:val="21"/>
        </w:rPr>
        <w:t>10</w:t>
      </w:r>
      <w:r>
        <w:rPr>
          <w:szCs w:val="21"/>
        </w:rPr>
        <w:t>，用丁二酮肟沉淀镍与干扰元素分离，残存的微量干扰元素用硫代硫酸钠掩蔽，以紫脲酸铵为指示剂，用</w:t>
      </w:r>
      <w:r>
        <w:rPr>
          <w:szCs w:val="21"/>
        </w:rPr>
        <w:t>Na</w:t>
      </w:r>
      <w:r>
        <w:rPr>
          <w:szCs w:val="21"/>
          <w:vertAlign w:val="subscript"/>
        </w:rPr>
        <w:t>2</w:t>
      </w:r>
      <w:r>
        <w:rPr>
          <w:szCs w:val="21"/>
        </w:rPr>
        <w:t>EDTA</w:t>
      </w:r>
      <w:r>
        <w:rPr>
          <w:szCs w:val="21"/>
        </w:rPr>
        <w:t>标准滴定溶液滴定。</w:t>
      </w:r>
    </w:p>
    <w:p w:rsidR="003E499F" w:rsidRDefault="001B684B">
      <w:pPr>
        <w:spacing w:line="360" w:lineRule="auto"/>
        <w:rPr>
          <w:rFonts w:ascii="黑体" w:eastAsia="黑体" w:hAnsi="黑体" w:cs="黑体"/>
        </w:rPr>
      </w:pPr>
      <w:r>
        <w:rPr>
          <w:rFonts w:ascii="黑体" w:eastAsia="黑体" w:hAnsi="黑体" w:cs="黑体" w:hint="eastAsia"/>
        </w:rPr>
        <w:t>4.2</w:t>
      </w:r>
      <w:r>
        <w:rPr>
          <w:rFonts w:ascii="黑体" w:eastAsia="黑体" w:hAnsi="黑体" w:cs="黑体" w:hint="eastAsia"/>
        </w:rPr>
        <w:t>试剂</w:t>
      </w:r>
    </w:p>
    <w:p w:rsidR="003E499F" w:rsidRDefault="001B684B">
      <w:pPr>
        <w:spacing w:line="360" w:lineRule="auto"/>
        <w:ind w:left="360"/>
      </w:pPr>
      <w:r>
        <w:t>除非另有说明，在分析中仅使用确认为分析纯的试剂和蒸馏水或去离子水或相当纯度的水。</w:t>
      </w:r>
    </w:p>
    <w:p w:rsidR="003E499F" w:rsidRDefault="001B684B">
      <w:pPr>
        <w:spacing w:line="360" w:lineRule="auto"/>
      </w:pPr>
      <w:r>
        <w:rPr>
          <w:rFonts w:ascii="黑体" w:eastAsia="黑体" w:hAnsi="黑体" w:cs="黑体" w:hint="eastAsia"/>
        </w:rPr>
        <w:t>4.2.1</w:t>
      </w:r>
      <w:r>
        <w:t>氯化铵。</w:t>
      </w:r>
    </w:p>
    <w:p w:rsidR="003E499F" w:rsidRDefault="001B684B">
      <w:pPr>
        <w:spacing w:line="360" w:lineRule="auto"/>
      </w:pPr>
      <w:r>
        <w:rPr>
          <w:rFonts w:ascii="黑体" w:eastAsia="黑体" w:hAnsi="黑体" w:cs="黑体" w:hint="eastAsia"/>
        </w:rPr>
        <w:t>4.2.2</w:t>
      </w:r>
      <w:r>
        <w:t>无水乙醇。</w:t>
      </w:r>
    </w:p>
    <w:p w:rsidR="003E499F" w:rsidRDefault="001B684B">
      <w:pPr>
        <w:spacing w:line="360" w:lineRule="auto"/>
      </w:pPr>
      <w:r>
        <w:rPr>
          <w:rFonts w:ascii="黑体" w:eastAsia="黑体" w:hAnsi="黑体" w:cs="黑体" w:hint="eastAsia"/>
        </w:rPr>
        <w:t>4.2.3</w:t>
      </w:r>
      <w:r>
        <w:t>盐酸（</w:t>
      </w:r>
      <w:r>
        <w:rPr>
          <w:i/>
        </w:rPr>
        <w:t>ρ</w:t>
      </w:r>
      <w:r>
        <w:t>1.19 g/mL</w:t>
      </w:r>
      <w:r>
        <w:t>）。</w:t>
      </w:r>
    </w:p>
    <w:p w:rsidR="003E499F" w:rsidRDefault="001B684B">
      <w:pPr>
        <w:spacing w:line="360" w:lineRule="auto"/>
      </w:pPr>
      <w:r>
        <w:rPr>
          <w:rFonts w:ascii="黑体" w:eastAsia="黑体" w:hAnsi="黑体" w:cs="黑体" w:hint="eastAsia"/>
        </w:rPr>
        <w:t>4.2.4</w:t>
      </w:r>
      <w:r>
        <w:t>硝酸（</w:t>
      </w:r>
      <w:r>
        <w:rPr>
          <w:i/>
        </w:rPr>
        <w:t>ρ</w:t>
      </w:r>
      <w:r>
        <w:t>1.42 g/mL</w:t>
      </w:r>
      <w:r>
        <w:t>）。</w:t>
      </w:r>
    </w:p>
    <w:p w:rsidR="003E499F" w:rsidRDefault="001B684B">
      <w:pPr>
        <w:spacing w:line="360" w:lineRule="auto"/>
      </w:pPr>
      <w:r>
        <w:rPr>
          <w:rFonts w:ascii="黑体" w:eastAsia="黑体" w:hAnsi="黑体" w:cs="黑体" w:hint="eastAsia"/>
        </w:rPr>
        <w:t>4.2.5</w:t>
      </w:r>
      <w:r>
        <w:t>氨水（</w:t>
      </w:r>
      <w:r>
        <w:rPr>
          <w:i/>
        </w:rPr>
        <w:t>ρ</w:t>
      </w:r>
      <w:r>
        <w:t>0.90 g/mL</w:t>
      </w:r>
      <w:r>
        <w:t>）。</w:t>
      </w:r>
    </w:p>
    <w:p w:rsidR="003E499F" w:rsidRDefault="001B684B">
      <w:pPr>
        <w:spacing w:line="360" w:lineRule="auto"/>
      </w:pPr>
      <w:r>
        <w:rPr>
          <w:rFonts w:ascii="黑体" w:eastAsia="黑体" w:hAnsi="黑体" w:cs="黑体" w:hint="eastAsia"/>
        </w:rPr>
        <w:t xml:space="preserve">4.2.6 </w:t>
      </w:r>
      <w:r>
        <w:t>盐酸（</w:t>
      </w:r>
      <w:r>
        <w:t>2+1</w:t>
      </w:r>
      <w:r>
        <w:t>）。</w:t>
      </w:r>
    </w:p>
    <w:p w:rsidR="003E499F" w:rsidRDefault="001B684B">
      <w:pPr>
        <w:spacing w:line="360" w:lineRule="auto"/>
      </w:pPr>
      <w:r>
        <w:rPr>
          <w:rFonts w:ascii="黑体" w:eastAsia="黑体" w:hAnsi="黑体" w:cs="黑体" w:hint="eastAsia"/>
        </w:rPr>
        <w:t>4.2.7</w:t>
      </w:r>
      <w:r>
        <w:t>硝酸（</w:t>
      </w:r>
      <w:r>
        <w:t>1+1</w:t>
      </w:r>
      <w:r>
        <w:t>）。</w:t>
      </w:r>
    </w:p>
    <w:p w:rsidR="003E499F" w:rsidRDefault="001B684B">
      <w:pPr>
        <w:spacing w:line="360" w:lineRule="auto"/>
      </w:pPr>
      <w:r>
        <w:rPr>
          <w:rFonts w:ascii="黑体" w:eastAsia="黑体" w:hAnsi="黑体" w:cs="黑体" w:hint="eastAsia"/>
        </w:rPr>
        <w:lastRenderedPageBreak/>
        <w:t>4.2.8</w:t>
      </w:r>
      <w:r>
        <w:t>硝酸（</w:t>
      </w:r>
      <w:r>
        <w:t>4+96</w:t>
      </w:r>
      <w:r>
        <w:t>）。</w:t>
      </w:r>
    </w:p>
    <w:p w:rsidR="003E499F" w:rsidRDefault="001B684B">
      <w:pPr>
        <w:spacing w:line="360" w:lineRule="auto"/>
      </w:pPr>
      <w:r>
        <w:rPr>
          <w:rFonts w:ascii="黑体" w:eastAsia="黑体" w:hAnsi="黑体" w:cs="黑体" w:hint="eastAsia"/>
        </w:rPr>
        <w:t>4.2.9</w:t>
      </w:r>
      <w:r>
        <w:rPr>
          <w:szCs w:val="21"/>
        </w:rPr>
        <w:t>乙醇溶液</w:t>
      </w:r>
      <w:r>
        <w:t>(1+4)</w:t>
      </w:r>
      <w:r>
        <w:t>。</w:t>
      </w:r>
    </w:p>
    <w:p w:rsidR="003E499F" w:rsidRDefault="001B684B">
      <w:pPr>
        <w:spacing w:line="360" w:lineRule="auto"/>
      </w:pPr>
      <w:r>
        <w:rPr>
          <w:rFonts w:ascii="黑体" w:eastAsia="黑体" w:hAnsi="黑体" w:cs="黑体" w:hint="eastAsia"/>
        </w:rPr>
        <w:t>4.2.10</w:t>
      </w:r>
      <w:r>
        <w:t>乙酸</w:t>
      </w:r>
      <w:r>
        <w:t>—</w:t>
      </w:r>
      <w:r>
        <w:t>乙酸钠缓冲溶液</w:t>
      </w:r>
      <w:r>
        <w:t>(pH=5.5</w:t>
      </w:r>
      <w:r>
        <w:t>～</w:t>
      </w:r>
      <w:r>
        <w:t>6.0)</w:t>
      </w:r>
      <w:r>
        <w:t>：称取</w:t>
      </w:r>
      <w:r>
        <w:t>150 g</w:t>
      </w:r>
      <w:r>
        <w:t>无水乙酸钠，用水溶解后加</w:t>
      </w:r>
      <w:r>
        <w:t>50 mL</w:t>
      </w:r>
      <w:r>
        <w:t>乙酸，移入</w:t>
      </w:r>
      <w:r>
        <w:t>1 000 mL</w:t>
      </w:r>
      <w:r>
        <w:t>容量瓶中，以水稀释至刻度，混匀。</w:t>
      </w:r>
    </w:p>
    <w:p w:rsidR="003E499F" w:rsidRDefault="001B684B">
      <w:pPr>
        <w:spacing w:line="360" w:lineRule="auto"/>
      </w:pPr>
      <w:r>
        <w:rPr>
          <w:rFonts w:ascii="黑体" w:eastAsia="黑体" w:hAnsi="黑体" w:cs="黑体" w:hint="eastAsia"/>
        </w:rPr>
        <w:t>4.2.11</w:t>
      </w:r>
      <w:r>
        <w:t>丁二酮肟乙醇溶液</w:t>
      </w:r>
      <w:r>
        <w:t>(10 g/L)</w:t>
      </w:r>
      <w:r>
        <w:t>。称取</w:t>
      </w:r>
      <w:r>
        <w:t>1.0 g</w:t>
      </w:r>
      <w:r>
        <w:t>丁二酮肟，溶于</w:t>
      </w:r>
      <w:r>
        <w:t>100 mL</w:t>
      </w:r>
      <w:r>
        <w:t>乙醇（</w:t>
      </w:r>
      <w:r>
        <w:t>4.2.2</w:t>
      </w:r>
      <w:r>
        <w:t>）中，混匀。</w:t>
      </w:r>
    </w:p>
    <w:p w:rsidR="003E499F" w:rsidRDefault="001B684B">
      <w:pPr>
        <w:spacing w:line="360" w:lineRule="auto"/>
      </w:pPr>
      <w:r>
        <w:rPr>
          <w:rFonts w:ascii="黑体" w:eastAsia="黑体" w:hAnsi="黑体" w:cs="黑体" w:hint="eastAsia"/>
        </w:rPr>
        <w:t>4.2.12</w:t>
      </w:r>
      <w:r>
        <w:t>柠檬酸钠溶液</w:t>
      </w:r>
      <w:r>
        <w:t>(300 g/L)</w:t>
      </w:r>
      <w:r>
        <w:t>。</w:t>
      </w:r>
    </w:p>
    <w:p w:rsidR="003E499F" w:rsidRDefault="001B684B">
      <w:pPr>
        <w:spacing w:line="360" w:lineRule="auto"/>
      </w:pPr>
      <w:r>
        <w:rPr>
          <w:rFonts w:ascii="黑体" w:eastAsia="黑体" w:hAnsi="黑体" w:cs="黑体" w:hint="eastAsia"/>
        </w:rPr>
        <w:t>4.2.13</w:t>
      </w:r>
      <w:r>
        <w:t>硫代硫酸钠溶液</w:t>
      </w:r>
      <w:r>
        <w:t>(200 g/L)</w:t>
      </w:r>
      <w:r>
        <w:t>。</w:t>
      </w:r>
    </w:p>
    <w:p w:rsidR="003E499F" w:rsidRDefault="001B684B">
      <w:pPr>
        <w:spacing w:line="360" w:lineRule="auto"/>
        <w:rPr>
          <w:szCs w:val="21"/>
        </w:rPr>
      </w:pPr>
      <w:r>
        <w:rPr>
          <w:rFonts w:ascii="黑体" w:eastAsia="黑体" w:hAnsi="黑体" w:cs="黑体" w:hint="eastAsia"/>
        </w:rPr>
        <w:t>4.2.14</w:t>
      </w:r>
      <w:r>
        <w:t>镍标准溶液</w:t>
      </w:r>
      <w:r>
        <w:t>(1mg/mL)</w:t>
      </w:r>
      <w:r>
        <w:t>：准确称取</w:t>
      </w:r>
      <w:r>
        <w:t>1.000 0 g</w:t>
      </w:r>
      <w:r>
        <w:t>金属镍（</w:t>
      </w:r>
      <w:r>
        <w:t>≥99.99%</w:t>
      </w:r>
      <w:r>
        <w:t>）置于</w:t>
      </w:r>
      <w:r>
        <w:t>250 mL</w:t>
      </w:r>
      <w:r>
        <w:t>烧杯中，加入</w:t>
      </w:r>
      <w:r>
        <w:t>30 mL</w:t>
      </w:r>
      <w:r>
        <w:t>硝酸</w:t>
      </w:r>
      <w:r>
        <w:t>(4.2.7)</w:t>
      </w:r>
      <w:r>
        <w:t>，盖上表面皿，</w:t>
      </w:r>
      <w:r>
        <w:rPr>
          <w:szCs w:val="21"/>
        </w:rPr>
        <w:t>于电热板低温处加热至完全分解</w:t>
      </w:r>
      <w:r>
        <w:t>，煮沸赶尽氮氧化物，取下冷却至室温，用硝酸</w:t>
      </w:r>
      <w:r>
        <w:t>(4.2.8)</w:t>
      </w:r>
      <w:r>
        <w:t>吹洗表面皿和杯壁，移入</w:t>
      </w:r>
      <w:r>
        <w:t>1 000 mL</w:t>
      </w:r>
      <w:r>
        <w:t>容量瓶中，并用硝酸</w:t>
      </w:r>
      <w:r>
        <w:t>(4.2.8)</w:t>
      </w:r>
      <w:r>
        <w:t>稀释至刻度，混匀。此溶液</w:t>
      </w:r>
      <w:r>
        <w:t>1 mL</w:t>
      </w:r>
      <w:r>
        <w:t>含</w:t>
      </w:r>
      <w:r>
        <w:t>1 mg</w:t>
      </w:r>
      <w:r>
        <w:t>镍。</w:t>
      </w:r>
    </w:p>
    <w:p w:rsidR="003E499F" w:rsidRDefault="001B684B">
      <w:pPr>
        <w:spacing w:line="360" w:lineRule="auto"/>
      </w:pPr>
      <w:r>
        <w:rPr>
          <w:rFonts w:ascii="黑体" w:eastAsia="黑体" w:hAnsi="黑体" w:cs="黑体" w:hint="eastAsia"/>
        </w:rPr>
        <w:t>4.2.15</w:t>
      </w:r>
      <w:r>
        <w:t>乙二胺四乙酸二钠标准溶液</w:t>
      </w:r>
      <w:r>
        <w:t>[c(</w:t>
      </w:r>
      <w:r>
        <w:rPr>
          <w:szCs w:val="21"/>
        </w:rPr>
        <w:t>Na</w:t>
      </w:r>
      <w:r>
        <w:rPr>
          <w:szCs w:val="21"/>
          <w:vertAlign w:val="subscript"/>
        </w:rPr>
        <w:t>2</w:t>
      </w:r>
      <w:r>
        <w:rPr>
          <w:szCs w:val="21"/>
        </w:rPr>
        <w:t>EDTA</w:t>
      </w:r>
      <w:r>
        <w:t>)</w:t>
      </w:r>
      <w:r>
        <w:rPr>
          <w:szCs w:val="21"/>
        </w:rPr>
        <w:t>≈</w:t>
      </w:r>
      <w:r>
        <w:t>0.015 mol/L]</w:t>
      </w:r>
      <w:r>
        <w:t>。</w:t>
      </w:r>
    </w:p>
    <w:p w:rsidR="003E499F" w:rsidRDefault="001B684B">
      <w:pPr>
        <w:spacing w:line="360" w:lineRule="auto"/>
        <w:rPr>
          <w:rFonts w:ascii="黑体" w:eastAsia="黑体" w:hAnsi="黑体" w:cs="黑体"/>
        </w:rPr>
      </w:pPr>
      <w:r>
        <w:rPr>
          <w:rFonts w:ascii="黑体" w:eastAsia="黑体" w:hAnsi="黑体" w:cs="黑体" w:hint="eastAsia"/>
        </w:rPr>
        <w:t>4.2.15.1</w:t>
      </w:r>
      <w:r>
        <w:rPr>
          <w:rFonts w:ascii="黑体" w:eastAsia="黑体" w:hAnsi="黑体" w:cs="黑体" w:hint="eastAsia"/>
        </w:rPr>
        <w:t>配制</w:t>
      </w:r>
    </w:p>
    <w:p w:rsidR="003E499F" w:rsidRDefault="001B684B">
      <w:pPr>
        <w:spacing w:line="360" w:lineRule="auto"/>
        <w:ind w:firstLineChars="200" w:firstLine="420"/>
      </w:pPr>
      <w:r>
        <w:t>称取</w:t>
      </w:r>
      <w:r>
        <w:t>5.58g</w:t>
      </w:r>
      <w:r>
        <w:t>乙二胺四乙酸二钠，用水溶解后，移入</w:t>
      </w:r>
      <w:r>
        <w:t xml:space="preserve">1 </w:t>
      </w:r>
      <w:r>
        <w:t>000 mL</w:t>
      </w:r>
      <w:r>
        <w:t>容量瓶中，以水稀释至刻度，混匀。</w:t>
      </w:r>
    </w:p>
    <w:p w:rsidR="003E499F" w:rsidRDefault="001B684B">
      <w:pPr>
        <w:spacing w:line="360" w:lineRule="auto"/>
        <w:rPr>
          <w:rFonts w:eastAsia="黑体"/>
          <w:szCs w:val="21"/>
        </w:rPr>
      </w:pPr>
      <w:r>
        <w:rPr>
          <w:rFonts w:ascii="黑体" w:eastAsia="黑体" w:hAnsi="黑体" w:cs="黑体" w:hint="eastAsia"/>
        </w:rPr>
        <w:t>4.2.15.2</w:t>
      </w:r>
      <w:r>
        <w:rPr>
          <w:rFonts w:ascii="黑体" w:eastAsia="黑体" w:hAnsi="黑体" w:cs="黑体" w:hint="eastAsia"/>
          <w:szCs w:val="21"/>
        </w:rPr>
        <w:t>标定</w:t>
      </w:r>
    </w:p>
    <w:p w:rsidR="003E499F" w:rsidRDefault="001B684B">
      <w:pPr>
        <w:spacing w:line="360" w:lineRule="auto"/>
        <w:ind w:firstLineChars="200" w:firstLine="420"/>
        <w:rPr>
          <w:szCs w:val="21"/>
        </w:rPr>
      </w:pPr>
      <w:r>
        <w:rPr>
          <w:szCs w:val="21"/>
        </w:rPr>
        <w:t>移取</w:t>
      </w:r>
      <w:r>
        <w:rPr>
          <w:szCs w:val="21"/>
        </w:rPr>
        <w:t>20.00 mL</w:t>
      </w:r>
      <w:r>
        <w:rPr>
          <w:szCs w:val="21"/>
        </w:rPr>
        <w:t>镍标准溶液（</w:t>
      </w:r>
      <w:r>
        <w:rPr>
          <w:szCs w:val="21"/>
        </w:rPr>
        <w:t>4.2.14</w:t>
      </w:r>
      <w:r>
        <w:rPr>
          <w:szCs w:val="21"/>
        </w:rPr>
        <w:t>），分别置于</w:t>
      </w:r>
      <w:r>
        <w:rPr>
          <w:szCs w:val="21"/>
        </w:rPr>
        <w:t>250 mL</w:t>
      </w:r>
      <w:r>
        <w:rPr>
          <w:szCs w:val="21"/>
        </w:rPr>
        <w:t>锥形瓶中，加入</w:t>
      </w:r>
      <w:r>
        <w:rPr>
          <w:szCs w:val="21"/>
        </w:rPr>
        <w:t>2 g</w:t>
      </w:r>
      <w:r>
        <w:rPr>
          <w:szCs w:val="21"/>
        </w:rPr>
        <w:t>氯化铵（</w:t>
      </w:r>
      <w:r>
        <w:rPr>
          <w:szCs w:val="21"/>
        </w:rPr>
        <w:t>4.2.1</w:t>
      </w:r>
      <w:r>
        <w:rPr>
          <w:szCs w:val="21"/>
        </w:rPr>
        <w:t>），用氨水（</w:t>
      </w:r>
      <w:r>
        <w:rPr>
          <w:szCs w:val="21"/>
        </w:rPr>
        <w:t>4.2.5</w:t>
      </w:r>
      <w:r>
        <w:rPr>
          <w:szCs w:val="21"/>
        </w:rPr>
        <w:t>）调至</w:t>
      </w:r>
      <w:r>
        <w:rPr>
          <w:szCs w:val="21"/>
        </w:rPr>
        <w:t>pH</w:t>
      </w:r>
      <w:r>
        <w:rPr>
          <w:szCs w:val="21"/>
        </w:rPr>
        <w:t>为</w:t>
      </w:r>
      <w:r>
        <w:rPr>
          <w:szCs w:val="21"/>
        </w:rPr>
        <w:t>9</w:t>
      </w:r>
      <w:r>
        <w:rPr>
          <w:szCs w:val="21"/>
        </w:rPr>
        <w:t>～</w:t>
      </w:r>
      <w:r>
        <w:rPr>
          <w:szCs w:val="21"/>
        </w:rPr>
        <w:t>10</w:t>
      </w:r>
      <w:r>
        <w:rPr>
          <w:szCs w:val="21"/>
        </w:rPr>
        <w:t>，加水稀释至</w:t>
      </w:r>
      <w:r>
        <w:rPr>
          <w:szCs w:val="21"/>
        </w:rPr>
        <w:t>100 mL</w:t>
      </w:r>
      <w:r>
        <w:rPr>
          <w:szCs w:val="21"/>
        </w:rPr>
        <w:t>，以紫脲酸铵（</w:t>
      </w:r>
      <w:r>
        <w:rPr>
          <w:szCs w:val="21"/>
        </w:rPr>
        <w:t>4.2.16</w:t>
      </w:r>
      <w:r>
        <w:rPr>
          <w:szCs w:val="21"/>
        </w:rPr>
        <w:t>）为指示剂，用</w:t>
      </w:r>
      <w:r>
        <w:rPr>
          <w:szCs w:val="21"/>
        </w:rPr>
        <w:t>Na</w:t>
      </w:r>
      <w:r>
        <w:rPr>
          <w:szCs w:val="21"/>
          <w:vertAlign w:val="subscript"/>
        </w:rPr>
        <w:t>2</w:t>
      </w:r>
      <w:r>
        <w:rPr>
          <w:szCs w:val="21"/>
        </w:rPr>
        <w:t>EDTA</w:t>
      </w:r>
      <w:r>
        <w:rPr>
          <w:szCs w:val="21"/>
        </w:rPr>
        <w:t>标准溶液滴定至溶液由黄色变为红紫色，即为终点。随同标定做空白试验。</w:t>
      </w:r>
    </w:p>
    <w:p w:rsidR="003E499F" w:rsidRDefault="001B684B">
      <w:pPr>
        <w:spacing w:line="360" w:lineRule="auto"/>
        <w:ind w:firstLineChars="200" w:firstLine="420"/>
        <w:rPr>
          <w:szCs w:val="21"/>
        </w:rPr>
      </w:pPr>
      <w:r>
        <w:rPr>
          <w:szCs w:val="21"/>
        </w:rPr>
        <w:t>按式（</w:t>
      </w:r>
      <w:r>
        <w:rPr>
          <w:szCs w:val="21"/>
        </w:rPr>
        <w:t>2</w:t>
      </w:r>
      <w:r>
        <w:rPr>
          <w:szCs w:val="21"/>
        </w:rPr>
        <w:t>）计算</w:t>
      </w:r>
      <w:r>
        <w:rPr>
          <w:szCs w:val="21"/>
        </w:rPr>
        <w:t>Na</w:t>
      </w:r>
      <w:r>
        <w:rPr>
          <w:szCs w:val="21"/>
          <w:vertAlign w:val="subscript"/>
        </w:rPr>
        <w:t>2</w:t>
      </w:r>
      <w:r>
        <w:rPr>
          <w:szCs w:val="21"/>
        </w:rPr>
        <w:t>EDTA</w:t>
      </w:r>
      <w:r>
        <w:rPr>
          <w:szCs w:val="21"/>
        </w:rPr>
        <w:t>标准滴定溶液的实际浓度：</w:t>
      </w:r>
    </w:p>
    <w:p w:rsidR="003E499F" w:rsidRDefault="003E499F">
      <w:pPr>
        <w:spacing w:line="360" w:lineRule="auto"/>
        <w:jc w:val="center"/>
        <w:rPr>
          <w:szCs w:val="21"/>
        </w:rPr>
      </w:pPr>
      <w:r w:rsidRPr="003E499F">
        <w:rPr>
          <w:position w:val="-46"/>
        </w:rPr>
        <w:object w:dxaOrig="1540" w:dyaOrig="1040">
          <v:shape id="_x0000_i1026" type="#_x0000_t75" style="width:61.8pt;height:52.65pt" o:ole="">
            <v:imagedata r:id="rId19" o:title=""/>
          </v:shape>
          <o:OLEObject Type="Embed" ProgID="Equation.3" ShapeID="_x0000_i1026" DrawAspect="Content" ObjectID="_1635321548" r:id="rId20"/>
        </w:object>
      </w:r>
      <w:r w:rsidR="001B684B">
        <w:rPr>
          <w:szCs w:val="21"/>
        </w:rPr>
        <w:t>………………………………………</w:t>
      </w:r>
      <w:r w:rsidR="001B684B">
        <w:rPr>
          <w:szCs w:val="21"/>
        </w:rPr>
        <w:t>（</w:t>
      </w:r>
      <w:r w:rsidR="001B684B">
        <w:rPr>
          <w:szCs w:val="21"/>
        </w:rPr>
        <w:t>2</w:t>
      </w:r>
      <w:r w:rsidR="001B684B">
        <w:rPr>
          <w:szCs w:val="21"/>
        </w:rPr>
        <w:t>）</w:t>
      </w:r>
    </w:p>
    <w:p w:rsidR="003E499F" w:rsidRDefault="001B684B">
      <w:pPr>
        <w:spacing w:line="360" w:lineRule="auto"/>
        <w:ind w:firstLineChars="200" w:firstLine="420"/>
        <w:jc w:val="left"/>
      </w:pPr>
      <w:r>
        <w:t>式中：</w:t>
      </w:r>
    </w:p>
    <w:p w:rsidR="003E499F" w:rsidRDefault="003E499F">
      <w:pPr>
        <w:spacing w:line="360" w:lineRule="auto"/>
        <w:ind w:firstLineChars="200" w:firstLine="420"/>
        <w:jc w:val="left"/>
      </w:pPr>
      <w:r w:rsidRPr="003E499F">
        <w:object w:dxaOrig="181" w:dyaOrig="221">
          <v:shape id="_x0000_i1027" type="#_x0000_t75" style="width:9.15pt;height:10.75pt" o:ole="">
            <v:imagedata r:id="rId21" o:title=""/>
          </v:shape>
          <o:OLEObject Type="Embed" ProgID="Equation.DSMT4" ShapeID="_x0000_i1027" DrawAspect="Content" ObjectID="_1635321549" r:id="rId22"/>
        </w:object>
      </w:r>
      <w:r w:rsidR="001B684B">
        <w:t>——</w:t>
      </w:r>
      <w:r w:rsidR="001B684B">
        <w:t>乙二胺四乙酸二钠标准滴定溶液的实际浓度，单位为摩尔每升（</w:t>
      </w:r>
      <w:r w:rsidR="001B684B">
        <w:t>mol/L</w:t>
      </w:r>
      <w:r w:rsidR="001B684B">
        <w:t>）；</w:t>
      </w:r>
    </w:p>
    <w:p w:rsidR="003E499F" w:rsidRDefault="001B684B">
      <w:pPr>
        <w:spacing w:line="360" w:lineRule="auto"/>
        <w:ind w:firstLineChars="200" w:firstLine="420"/>
        <w:jc w:val="left"/>
      </w:pPr>
      <w:r>
        <w:rPr>
          <w:i/>
        </w:rPr>
        <w:t>V</w:t>
      </w:r>
      <w:r>
        <w:rPr>
          <w:i/>
          <w:vertAlign w:val="subscript"/>
        </w:rPr>
        <w:t>1</w:t>
      </w:r>
      <w:r>
        <w:t>——</w:t>
      </w:r>
      <w:r>
        <w:t>移取镍标准溶液的体积，单位为毫升（</w:t>
      </w:r>
      <w:r>
        <w:t>mL</w:t>
      </w:r>
      <w:r>
        <w:t>）；</w:t>
      </w:r>
    </w:p>
    <w:p w:rsidR="003E499F" w:rsidRDefault="001B684B">
      <w:pPr>
        <w:spacing w:line="360" w:lineRule="auto"/>
        <w:ind w:firstLineChars="200" w:firstLine="420"/>
        <w:jc w:val="left"/>
      </w:pPr>
      <w:r>
        <w:rPr>
          <w:i/>
        </w:rPr>
        <w:t>ρ</w:t>
      </w:r>
      <w:r>
        <w:t>——</w:t>
      </w:r>
      <w:r>
        <w:t>镍标准溶液的浓度，单位为毫克每毫升（</w:t>
      </w:r>
      <w:r>
        <w:t>mg/mL</w:t>
      </w:r>
      <w:r>
        <w:t>）；</w:t>
      </w:r>
    </w:p>
    <w:p w:rsidR="003E499F" w:rsidRDefault="001B684B">
      <w:pPr>
        <w:spacing w:line="360" w:lineRule="auto"/>
        <w:ind w:firstLineChars="200" w:firstLine="420"/>
        <w:jc w:val="left"/>
      </w:pPr>
      <w:r>
        <w:rPr>
          <w:i/>
        </w:rPr>
        <w:t>M</w:t>
      </w:r>
      <w:r>
        <w:t>——</w:t>
      </w:r>
      <w:r>
        <w:t>镍的摩尔质量，单位为克每摩尔（</w:t>
      </w:r>
      <w:r>
        <w:t>g/mol</w:t>
      </w:r>
      <w:r>
        <w:t>），</w:t>
      </w:r>
      <w:r>
        <w:rPr>
          <w:szCs w:val="21"/>
        </w:rPr>
        <w:t>[M(Ni)=58.69]</w:t>
      </w:r>
      <w:r>
        <w:rPr>
          <w:szCs w:val="21"/>
        </w:rPr>
        <w:t>；</w:t>
      </w:r>
    </w:p>
    <w:p w:rsidR="003E499F" w:rsidRDefault="001B684B">
      <w:pPr>
        <w:spacing w:line="360" w:lineRule="auto"/>
        <w:ind w:firstLineChars="200" w:firstLine="420"/>
        <w:jc w:val="left"/>
      </w:pPr>
      <w:r>
        <w:rPr>
          <w:i/>
        </w:rPr>
        <w:t>V</w:t>
      </w:r>
      <w:r>
        <w:t>——</w:t>
      </w:r>
      <w:r>
        <w:t>标定时，滴定镍标准溶液所消耗的乙二胺四乙酸二钠标准滴定溶液的体积，单位为毫升（</w:t>
      </w:r>
      <w:r>
        <w:t>mL</w:t>
      </w:r>
      <w:r>
        <w:t>）。</w:t>
      </w:r>
    </w:p>
    <w:p w:rsidR="003E499F" w:rsidRDefault="001B684B">
      <w:pPr>
        <w:spacing w:line="360" w:lineRule="auto"/>
        <w:ind w:firstLineChars="200" w:firstLine="420"/>
        <w:jc w:val="left"/>
      </w:pPr>
      <w:r>
        <w:rPr>
          <w:i/>
          <w:szCs w:val="21"/>
        </w:rPr>
        <w:t>V</w:t>
      </w:r>
      <w:r>
        <w:rPr>
          <w:i/>
          <w:szCs w:val="21"/>
          <w:vertAlign w:val="subscript"/>
        </w:rPr>
        <w:t>0</w:t>
      </w:r>
      <w:r>
        <w:t>——</w:t>
      </w:r>
      <w:r>
        <w:t>标定时，滴定</w:t>
      </w:r>
      <w:r>
        <w:rPr>
          <w:szCs w:val="21"/>
        </w:rPr>
        <w:t>空白溶液所消耗的</w:t>
      </w:r>
      <w:r>
        <w:t>乙二胺四乙酸二钠</w:t>
      </w:r>
      <w:r>
        <w:rPr>
          <w:szCs w:val="21"/>
        </w:rPr>
        <w:t>标准滴定溶液的体积，单位为毫升（</w:t>
      </w:r>
      <w:r>
        <w:rPr>
          <w:szCs w:val="21"/>
        </w:rPr>
        <w:t>mL</w:t>
      </w:r>
      <w:r>
        <w:rPr>
          <w:szCs w:val="21"/>
        </w:rPr>
        <w:t>）；</w:t>
      </w:r>
    </w:p>
    <w:p w:rsidR="003E499F" w:rsidRDefault="001B684B">
      <w:pPr>
        <w:spacing w:line="360" w:lineRule="auto"/>
        <w:ind w:firstLineChars="200" w:firstLine="420"/>
      </w:pPr>
      <w:r>
        <w:t>双人八平行，所得结果保留四位有效数字，其极差不大于</w:t>
      </w:r>
      <w:r>
        <w:t>6×10</w:t>
      </w:r>
      <w:r>
        <w:rPr>
          <w:vertAlign w:val="superscript"/>
        </w:rPr>
        <w:t xml:space="preserve">-5 </w:t>
      </w:r>
      <w:r>
        <w:t>mol/L</w:t>
      </w:r>
      <w:r>
        <w:t>时，取其平均值，否则重新标定。</w:t>
      </w:r>
    </w:p>
    <w:p w:rsidR="003E499F" w:rsidRDefault="001B684B">
      <w:pPr>
        <w:spacing w:line="360" w:lineRule="auto"/>
      </w:pPr>
      <w:r>
        <w:rPr>
          <w:rFonts w:ascii="黑体" w:eastAsia="黑体" w:hAnsi="黑体" w:cs="黑体" w:hint="eastAsia"/>
        </w:rPr>
        <w:t>4.2.16</w:t>
      </w:r>
      <w:r>
        <w:t>紫脲酸铵指示剂：称取</w:t>
      </w:r>
      <w:r>
        <w:t>0.1 g</w:t>
      </w:r>
      <w:r>
        <w:t>紫脲酸铵与</w:t>
      </w:r>
      <w:r>
        <w:t>10 g</w:t>
      </w:r>
      <w:r>
        <w:t>氯化钠研细混匀。</w:t>
      </w:r>
    </w:p>
    <w:p w:rsidR="003E499F" w:rsidRDefault="001B684B">
      <w:pPr>
        <w:spacing w:line="360" w:lineRule="auto"/>
        <w:rPr>
          <w:rFonts w:eastAsia="黑体"/>
          <w:szCs w:val="21"/>
        </w:rPr>
      </w:pPr>
      <w:r>
        <w:rPr>
          <w:rFonts w:ascii="黑体" w:eastAsia="黑体" w:hAnsi="黑体" w:cs="黑体" w:hint="eastAsia"/>
          <w:szCs w:val="21"/>
        </w:rPr>
        <w:t>4.3</w:t>
      </w:r>
      <w:r>
        <w:rPr>
          <w:rFonts w:ascii="黑体" w:eastAsia="黑体" w:hAnsi="黑体" w:cs="黑体" w:hint="eastAsia"/>
          <w:szCs w:val="21"/>
        </w:rPr>
        <w:t>试验步骤</w:t>
      </w:r>
    </w:p>
    <w:p w:rsidR="003E499F" w:rsidRDefault="001B684B">
      <w:pPr>
        <w:pStyle w:val="12"/>
        <w:spacing w:after="0" w:line="360" w:lineRule="auto"/>
        <w:ind w:firstLineChars="0" w:firstLine="0"/>
        <w:rPr>
          <w:rFonts w:ascii="Times New Roman" w:eastAsia="黑体" w:hAnsi="Times New Roman" w:cs="Times New Roman"/>
          <w:sz w:val="21"/>
          <w:szCs w:val="21"/>
        </w:rPr>
      </w:pPr>
      <w:r>
        <w:rPr>
          <w:rFonts w:ascii="黑体" w:eastAsia="黑体" w:hAnsi="黑体" w:cs="黑体" w:hint="eastAsia"/>
          <w:sz w:val="21"/>
          <w:szCs w:val="21"/>
        </w:rPr>
        <w:t xml:space="preserve">4.3.1 </w:t>
      </w:r>
      <w:r>
        <w:rPr>
          <w:rFonts w:ascii="黑体" w:eastAsia="黑体" w:hAnsi="黑体" w:cs="黑体" w:hint="eastAsia"/>
          <w:sz w:val="21"/>
          <w:szCs w:val="21"/>
        </w:rPr>
        <w:t>试料</w:t>
      </w:r>
    </w:p>
    <w:p w:rsidR="003E499F" w:rsidRDefault="001B684B">
      <w:pPr>
        <w:pStyle w:val="12"/>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称取</w:t>
      </w:r>
      <w:r>
        <w:rPr>
          <w:rFonts w:ascii="Times New Roman" w:eastAsia="宋体" w:hAnsi="Times New Roman" w:cs="Times New Roman"/>
          <w:sz w:val="21"/>
          <w:szCs w:val="21"/>
        </w:rPr>
        <w:t>3.0 g</w:t>
      </w:r>
      <w:r>
        <w:rPr>
          <w:rFonts w:ascii="Times New Roman" w:eastAsia="宋体" w:hAnsi="Times New Roman" w:cs="Times New Roman"/>
          <w:sz w:val="21"/>
          <w:szCs w:val="21"/>
        </w:rPr>
        <w:t>试样，精确至</w:t>
      </w:r>
      <w:r>
        <w:rPr>
          <w:rFonts w:ascii="Times New Roman" w:eastAsia="宋体" w:hAnsi="Times New Roman" w:cs="Times New Roman"/>
          <w:sz w:val="21"/>
          <w:szCs w:val="21"/>
        </w:rPr>
        <w:t>0.000 1 g</w:t>
      </w:r>
      <w:r>
        <w:rPr>
          <w:rFonts w:ascii="Times New Roman" w:eastAsia="宋体" w:hAnsi="Times New Roman" w:cs="Times New Roman"/>
          <w:sz w:val="21"/>
          <w:szCs w:val="21"/>
        </w:rPr>
        <w:t>。</w:t>
      </w:r>
    </w:p>
    <w:p w:rsidR="003E499F" w:rsidRDefault="001B684B">
      <w:pPr>
        <w:pStyle w:val="12"/>
        <w:spacing w:after="0" w:line="360" w:lineRule="auto"/>
        <w:ind w:firstLineChars="0" w:firstLine="0"/>
        <w:rPr>
          <w:rFonts w:ascii="黑体" w:eastAsia="黑体" w:hAnsi="黑体" w:cs="黑体"/>
          <w:sz w:val="21"/>
          <w:szCs w:val="21"/>
        </w:rPr>
      </w:pPr>
      <w:r>
        <w:rPr>
          <w:rFonts w:ascii="黑体" w:eastAsia="黑体" w:hAnsi="黑体" w:cs="黑体" w:hint="eastAsia"/>
          <w:sz w:val="21"/>
          <w:szCs w:val="21"/>
        </w:rPr>
        <w:t xml:space="preserve">4.3.2  </w:t>
      </w:r>
      <w:r>
        <w:rPr>
          <w:rFonts w:ascii="黑体" w:eastAsia="黑体" w:hAnsi="黑体" w:cs="黑体" w:hint="eastAsia"/>
          <w:sz w:val="21"/>
          <w:szCs w:val="21"/>
        </w:rPr>
        <w:t>平行试验</w:t>
      </w:r>
    </w:p>
    <w:p w:rsidR="003E499F" w:rsidRDefault="001B684B">
      <w:pPr>
        <w:spacing w:line="360" w:lineRule="auto"/>
        <w:rPr>
          <w:szCs w:val="21"/>
        </w:rPr>
      </w:pPr>
      <w:r>
        <w:rPr>
          <w:szCs w:val="21"/>
        </w:rPr>
        <w:lastRenderedPageBreak/>
        <w:t>平行做两份试验。</w:t>
      </w:r>
    </w:p>
    <w:p w:rsidR="003E499F" w:rsidRDefault="001B684B">
      <w:pPr>
        <w:pStyle w:val="12"/>
        <w:spacing w:after="0" w:line="360" w:lineRule="auto"/>
        <w:ind w:firstLineChars="0" w:firstLine="0"/>
        <w:rPr>
          <w:rFonts w:ascii="黑体" w:eastAsia="黑体" w:hAnsi="黑体" w:cs="黑体"/>
          <w:sz w:val="21"/>
          <w:szCs w:val="21"/>
        </w:rPr>
      </w:pPr>
      <w:r>
        <w:rPr>
          <w:rFonts w:ascii="黑体" w:eastAsia="黑体" w:hAnsi="黑体" w:cs="黑体" w:hint="eastAsia"/>
          <w:sz w:val="21"/>
          <w:szCs w:val="21"/>
        </w:rPr>
        <w:t xml:space="preserve">4.3.3  </w:t>
      </w:r>
      <w:r>
        <w:rPr>
          <w:rFonts w:ascii="黑体" w:eastAsia="黑体" w:hAnsi="黑体" w:cs="黑体" w:hint="eastAsia"/>
          <w:sz w:val="21"/>
          <w:szCs w:val="21"/>
        </w:rPr>
        <w:t>空白试验</w:t>
      </w:r>
    </w:p>
    <w:p w:rsidR="003E499F" w:rsidRDefault="001B684B">
      <w:pPr>
        <w:spacing w:line="360" w:lineRule="auto"/>
        <w:rPr>
          <w:szCs w:val="21"/>
        </w:rPr>
      </w:pPr>
      <w:r>
        <w:rPr>
          <w:szCs w:val="21"/>
        </w:rPr>
        <w:t>随同试料做空白试验。</w:t>
      </w:r>
    </w:p>
    <w:p w:rsidR="003E499F" w:rsidRDefault="001B684B">
      <w:pPr>
        <w:pStyle w:val="12"/>
        <w:spacing w:after="0" w:line="360" w:lineRule="auto"/>
        <w:ind w:firstLineChars="0" w:firstLine="0"/>
        <w:rPr>
          <w:rFonts w:ascii="Times New Roman" w:eastAsia="宋体" w:hAnsi="Times New Roman" w:cs="Times New Roman"/>
          <w:sz w:val="21"/>
          <w:szCs w:val="21"/>
        </w:rPr>
      </w:pPr>
      <w:r>
        <w:rPr>
          <w:rFonts w:ascii="黑体" w:eastAsia="黑体" w:hAnsi="黑体" w:cs="黑体" w:hint="eastAsia"/>
          <w:sz w:val="21"/>
          <w:szCs w:val="21"/>
        </w:rPr>
        <w:t xml:space="preserve">4.3.4  </w:t>
      </w:r>
      <w:r>
        <w:rPr>
          <w:rFonts w:ascii="黑体" w:eastAsia="黑体" w:hAnsi="黑体" w:cs="黑体" w:hint="eastAsia"/>
          <w:sz w:val="21"/>
          <w:szCs w:val="21"/>
        </w:rPr>
        <w:t>测定</w:t>
      </w:r>
    </w:p>
    <w:p w:rsidR="003E499F" w:rsidRDefault="001B684B">
      <w:pPr>
        <w:pStyle w:val="12"/>
        <w:spacing w:after="0" w:line="360" w:lineRule="auto"/>
        <w:ind w:firstLineChars="0" w:firstLine="0"/>
        <w:rPr>
          <w:rFonts w:ascii="Times New Roman" w:eastAsia="宋体" w:hAnsi="Times New Roman" w:cs="Times New Roman"/>
          <w:sz w:val="21"/>
          <w:szCs w:val="21"/>
        </w:rPr>
      </w:pPr>
      <w:r>
        <w:rPr>
          <w:rFonts w:ascii="黑体" w:eastAsia="黑体" w:hAnsi="黑体" w:cs="黑体" w:hint="eastAsia"/>
          <w:sz w:val="21"/>
          <w:szCs w:val="21"/>
        </w:rPr>
        <w:t>4.3.4.1</w:t>
      </w:r>
      <w:r>
        <w:rPr>
          <w:rFonts w:ascii="Times New Roman" w:eastAsia="宋体" w:hAnsi="Times New Roman" w:cs="Times New Roman"/>
          <w:sz w:val="21"/>
          <w:szCs w:val="21"/>
        </w:rPr>
        <w:t>快速称取试料（</w:t>
      </w:r>
      <w:r>
        <w:rPr>
          <w:rFonts w:ascii="Times New Roman" w:eastAsia="宋体" w:hAnsi="Times New Roman" w:cs="Times New Roman"/>
          <w:sz w:val="21"/>
          <w:szCs w:val="21"/>
        </w:rPr>
        <w:t>4.3.1</w:t>
      </w:r>
      <w:r>
        <w:rPr>
          <w:rFonts w:ascii="Times New Roman" w:eastAsia="宋体" w:hAnsi="Times New Roman" w:cs="Times New Roman"/>
          <w:sz w:val="21"/>
          <w:szCs w:val="21"/>
        </w:rPr>
        <w:t>）于干燥带盖的称量瓶（</w:t>
      </w:r>
      <w:r>
        <w:rPr>
          <w:rFonts w:ascii="Times New Roman" w:eastAsia="宋体" w:hAnsi="Times New Roman" w:cs="Times New Roman"/>
          <w:sz w:val="21"/>
          <w:szCs w:val="21"/>
        </w:rPr>
        <w:t>25 mm×40 mm</w:t>
      </w:r>
      <w:r>
        <w:rPr>
          <w:rFonts w:ascii="Times New Roman" w:eastAsia="宋体" w:hAnsi="Times New Roman" w:cs="Times New Roman"/>
          <w:sz w:val="21"/>
          <w:szCs w:val="21"/>
        </w:rPr>
        <w:t>）中，将试料倾入</w:t>
      </w:r>
      <w:r>
        <w:rPr>
          <w:rFonts w:ascii="Times New Roman" w:eastAsia="宋体" w:hAnsi="Times New Roman" w:cs="Times New Roman"/>
          <w:sz w:val="21"/>
          <w:szCs w:val="21"/>
        </w:rPr>
        <w:t>400 mL</w:t>
      </w:r>
      <w:r>
        <w:rPr>
          <w:rFonts w:ascii="Times New Roman" w:eastAsia="宋体" w:hAnsi="Times New Roman" w:cs="Times New Roman"/>
          <w:sz w:val="21"/>
          <w:szCs w:val="21"/>
        </w:rPr>
        <w:t>烧杯中，用约</w:t>
      </w:r>
      <w:r>
        <w:rPr>
          <w:rFonts w:ascii="Times New Roman" w:eastAsia="宋体" w:hAnsi="Times New Roman" w:cs="Times New Roman"/>
          <w:sz w:val="21"/>
          <w:szCs w:val="21"/>
        </w:rPr>
        <w:t>20 mL</w:t>
      </w:r>
      <w:r>
        <w:rPr>
          <w:rFonts w:ascii="Times New Roman" w:hAnsi="Times New Roman" w:cs="Times New Roman"/>
          <w:szCs w:val="21"/>
        </w:rPr>
        <w:t>～</w:t>
      </w:r>
      <w:r>
        <w:rPr>
          <w:rFonts w:ascii="Times New Roman" w:eastAsia="宋体" w:hAnsi="Times New Roman" w:cs="Times New Roman"/>
          <w:sz w:val="21"/>
          <w:szCs w:val="21"/>
        </w:rPr>
        <w:t>30</w:t>
      </w:r>
      <w:r>
        <w:rPr>
          <w:rFonts w:ascii="Times New Roman" w:eastAsia="宋体" w:hAnsi="Times New Roman" w:cs="Times New Roman"/>
          <w:sz w:val="21"/>
          <w:szCs w:val="21"/>
        </w:rPr>
        <w:t xml:space="preserve"> mL</w:t>
      </w:r>
      <w:r>
        <w:rPr>
          <w:rFonts w:ascii="Times New Roman" w:eastAsia="宋体" w:hAnsi="Times New Roman" w:cs="Times New Roman"/>
          <w:sz w:val="21"/>
          <w:szCs w:val="21"/>
        </w:rPr>
        <w:t>水洗入。加</w:t>
      </w:r>
      <w:r>
        <w:rPr>
          <w:rFonts w:ascii="Times New Roman" w:eastAsia="宋体" w:hAnsi="Times New Roman" w:cs="Times New Roman"/>
          <w:sz w:val="21"/>
          <w:szCs w:val="21"/>
        </w:rPr>
        <w:t xml:space="preserve">10 mL </w:t>
      </w:r>
      <w:r>
        <w:rPr>
          <w:rFonts w:ascii="Times New Roman" w:eastAsia="宋体" w:hAnsi="Times New Roman" w:cs="Times New Roman"/>
          <w:sz w:val="21"/>
          <w:szCs w:val="21"/>
        </w:rPr>
        <w:t>盐酸（</w:t>
      </w:r>
      <w:r>
        <w:rPr>
          <w:rFonts w:ascii="Times New Roman" w:eastAsia="宋体" w:hAnsi="Times New Roman" w:cs="Times New Roman"/>
          <w:sz w:val="21"/>
          <w:szCs w:val="21"/>
        </w:rPr>
        <w:t>4.2.3</w:t>
      </w:r>
      <w:r>
        <w:rPr>
          <w:rFonts w:ascii="Times New Roman" w:eastAsia="宋体" w:hAnsi="Times New Roman" w:cs="Times New Roman"/>
          <w:sz w:val="21"/>
          <w:szCs w:val="21"/>
        </w:rPr>
        <w:t>）盖上表面皿，</w:t>
      </w:r>
      <w:r>
        <w:rPr>
          <w:rFonts w:ascii="Times New Roman" w:eastAsia="宋体" w:hAnsi="Times New Roman" w:cs="Times New Roman"/>
          <w:sz w:val="21"/>
          <w:szCs w:val="21"/>
          <w:lang w:val="zh-CN"/>
        </w:rPr>
        <w:t>置于电热板上低温加热至试料完全分解，取下冷却，</w:t>
      </w:r>
      <w:r>
        <w:rPr>
          <w:rFonts w:ascii="Times New Roman" w:eastAsia="宋体" w:hAnsi="Times New Roman" w:cs="Times New Roman"/>
          <w:sz w:val="21"/>
          <w:szCs w:val="21"/>
        </w:rPr>
        <w:t>移入</w:t>
      </w:r>
      <w:r>
        <w:rPr>
          <w:rFonts w:ascii="Times New Roman" w:eastAsia="宋体" w:hAnsi="Times New Roman" w:cs="Times New Roman"/>
          <w:sz w:val="21"/>
          <w:szCs w:val="21"/>
        </w:rPr>
        <w:t>250 mL</w:t>
      </w:r>
      <w:r>
        <w:rPr>
          <w:rFonts w:ascii="Times New Roman" w:eastAsia="宋体" w:hAnsi="Times New Roman" w:cs="Times New Roman"/>
          <w:sz w:val="21"/>
          <w:szCs w:val="21"/>
        </w:rPr>
        <w:t>容量瓶中，以水稀释至刻度，混匀，静置。</w:t>
      </w:r>
    </w:p>
    <w:p w:rsidR="003E499F" w:rsidRDefault="001B684B">
      <w:pPr>
        <w:pStyle w:val="12"/>
        <w:spacing w:after="0" w:line="360" w:lineRule="auto"/>
        <w:rPr>
          <w:rFonts w:ascii="Times New Roman" w:eastAsia="宋体" w:hAnsi="Times New Roman" w:cs="Times New Roman"/>
          <w:sz w:val="21"/>
          <w:szCs w:val="21"/>
        </w:rPr>
      </w:pPr>
      <w:r>
        <w:rPr>
          <w:rFonts w:ascii="Times New Roman" w:eastAsia="宋体" w:hAnsi="Times New Roman" w:cs="Times New Roman"/>
          <w:sz w:val="21"/>
          <w:szCs w:val="21"/>
        </w:rPr>
        <w:t>按表</w:t>
      </w:r>
      <w:r>
        <w:rPr>
          <w:rFonts w:ascii="Times New Roman" w:eastAsia="宋体" w:hAnsi="Times New Roman" w:cs="Times New Roman"/>
          <w:sz w:val="21"/>
          <w:szCs w:val="21"/>
        </w:rPr>
        <w:t>4</w:t>
      </w:r>
      <w:r>
        <w:rPr>
          <w:rFonts w:ascii="Times New Roman" w:eastAsia="宋体" w:hAnsi="Times New Roman" w:cs="Times New Roman"/>
          <w:sz w:val="21"/>
          <w:szCs w:val="21"/>
        </w:rPr>
        <w:t>分取试液于</w:t>
      </w:r>
      <w:r>
        <w:rPr>
          <w:rFonts w:ascii="Times New Roman" w:eastAsia="宋体" w:hAnsi="Times New Roman" w:cs="Times New Roman"/>
          <w:sz w:val="21"/>
          <w:szCs w:val="21"/>
        </w:rPr>
        <w:t>400 mL</w:t>
      </w:r>
      <w:r>
        <w:rPr>
          <w:rFonts w:ascii="Times New Roman" w:eastAsia="宋体" w:hAnsi="Times New Roman" w:cs="Times New Roman"/>
          <w:sz w:val="21"/>
          <w:szCs w:val="21"/>
        </w:rPr>
        <w:t>烧杯中，加入</w:t>
      </w:r>
      <w:r>
        <w:rPr>
          <w:rFonts w:ascii="Times New Roman" w:eastAsia="宋体" w:hAnsi="Times New Roman" w:cs="Times New Roman"/>
          <w:sz w:val="21"/>
          <w:szCs w:val="21"/>
        </w:rPr>
        <w:t>100 mL</w:t>
      </w:r>
      <w:r>
        <w:rPr>
          <w:rFonts w:ascii="Times New Roman" w:eastAsia="宋体" w:hAnsi="Times New Roman" w:cs="Times New Roman"/>
          <w:sz w:val="21"/>
          <w:szCs w:val="21"/>
        </w:rPr>
        <w:t>热水，</w:t>
      </w:r>
      <w:r>
        <w:rPr>
          <w:rFonts w:ascii="Times New Roman" w:eastAsia="宋体" w:hAnsi="Times New Roman" w:cs="Times New Roman"/>
          <w:sz w:val="21"/>
          <w:szCs w:val="21"/>
        </w:rPr>
        <w:t>2 g</w:t>
      </w:r>
      <w:r>
        <w:rPr>
          <w:rFonts w:ascii="Times New Roman" w:eastAsia="宋体" w:hAnsi="Times New Roman" w:cs="Times New Roman"/>
          <w:sz w:val="21"/>
          <w:szCs w:val="21"/>
        </w:rPr>
        <w:t>氯化铵</w:t>
      </w:r>
      <w:r>
        <w:rPr>
          <w:rFonts w:ascii="Times New Roman" w:hAnsi="Times New Roman" w:cs="Times New Roman"/>
        </w:rPr>
        <w:t>(4.2.1)</w:t>
      </w:r>
      <w:r>
        <w:rPr>
          <w:rFonts w:ascii="Times New Roman" w:eastAsia="宋体" w:hAnsi="Times New Roman" w:cs="Times New Roman"/>
          <w:sz w:val="21"/>
          <w:szCs w:val="21"/>
        </w:rPr>
        <w:t>，</w:t>
      </w:r>
      <w:r>
        <w:rPr>
          <w:rFonts w:ascii="Times New Roman" w:eastAsia="宋体" w:hAnsi="Times New Roman" w:cs="Times New Roman"/>
          <w:sz w:val="21"/>
          <w:szCs w:val="21"/>
        </w:rPr>
        <w:t>10 mL</w:t>
      </w:r>
      <w:r>
        <w:rPr>
          <w:rFonts w:ascii="Times New Roman" w:eastAsia="宋体" w:hAnsi="Times New Roman" w:cs="Times New Roman"/>
          <w:sz w:val="21"/>
          <w:szCs w:val="21"/>
        </w:rPr>
        <w:t>柠檬酸钠溶液（</w:t>
      </w:r>
      <w:r>
        <w:rPr>
          <w:rFonts w:ascii="Times New Roman" w:eastAsia="宋体" w:hAnsi="Times New Roman" w:cs="Times New Roman"/>
          <w:sz w:val="21"/>
          <w:szCs w:val="21"/>
        </w:rPr>
        <w:t>4.2.12</w:t>
      </w:r>
      <w:r>
        <w:rPr>
          <w:rFonts w:ascii="Times New Roman" w:eastAsia="宋体" w:hAnsi="Times New Roman" w:cs="Times New Roman"/>
          <w:sz w:val="21"/>
          <w:szCs w:val="21"/>
        </w:rPr>
        <w:t>），用氨水</w:t>
      </w:r>
      <w:r>
        <w:rPr>
          <w:rFonts w:ascii="Times New Roman" w:hAnsi="Times New Roman" w:cs="Times New Roman"/>
        </w:rPr>
        <w:t>(4.2.5)</w:t>
      </w:r>
      <w:r>
        <w:rPr>
          <w:rFonts w:ascii="Times New Roman" w:eastAsia="宋体" w:hAnsi="Times New Roman" w:cs="Times New Roman"/>
          <w:sz w:val="21"/>
          <w:szCs w:val="21"/>
        </w:rPr>
        <w:t>调至</w:t>
      </w:r>
      <w:r>
        <w:rPr>
          <w:rFonts w:ascii="Times New Roman" w:eastAsia="宋体" w:hAnsi="Times New Roman" w:cs="Times New Roman"/>
          <w:sz w:val="21"/>
          <w:szCs w:val="21"/>
        </w:rPr>
        <w:t>pH</w:t>
      </w:r>
      <w:r>
        <w:rPr>
          <w:rFonts w:ascii="Times New Roman" w:eastAsia="宋体" w:hAnsi="Times New Roman" w:cs="Times New Roman"/>
          <w:sz w:val="21"/>
          <w:szCs w:val="21"/>
        </w:rPr>
        <w:t>为</w:t>
      </w:r>
      <w:r>
        <w:rPr>
          <w:rFonts w:ascii="Times New Roman" w:eastAsia="宋体" w:hAnsi="Times New Roman" w:cs="Times New Roman"/>
          <w:sz w:val="21"/>
          <w:szCs w:val="21"/>
        </w:rPr>
        <w:t>9</w:t>
      </w:r>
      <w:r>
        <w:rPr>
          <w:rFonts w:ascii="Times New Roman" w:eastAsia="宋体" w:hAnsi="Times New Roman" w:cs="Times New Roman"/>
          <w:sz w:val="21"/>
          <w:szCs w:val="21"/>
        </w:rPr>
        <w:t>～</w:t>
      </w:r>
      <w:r>
        <w:rPr>
          <w:rFonts w:ascii="Times New Roman" w:eastAsia="宋体" w:hAnsi="Times New Roman" w:cs="Times New Roman"/>
          <w:sz w:val="21"/>
          <w:szCs w:val="21"/>
        </w:rPr>
        <w:t>10</w:t>
      </w:r>
      <w:r>
        <w:rPr>
          <w:rFonts w:ascii="Times New Roman" w:eastAsia="宋体" w:hAnsi="Times New Roman" w:cs="Times New Roman"/>
          <w:sz w:val="21"/>
          <w:szCs w:val="21"/>
        </w:rPr>
        <w:t>，在不断搅拌下，缓慢加入</w:t>
      </w:r>
      <w:r>
        <w:rPr>
          <w:rFonts w:ascii="Times New Roman" w:eastAsia="宋体" w:hAnsi="Times New Roman" w:cs="Times New Roman"/>
          <w:sz w:val="21"/>
          <w:szCs w:val="21"/>
        </w:rPr>
        <w:t>30 mL</w:t>
      </w:r>
      <w:r>
        <w:rPr>
          <w:rFonts w:ascii="Times New Roman" w:eastAsia="宋体" w:hAnsi="Times New Roman" w:cs="Times New Roman"/>
          <w:sz w:val="21"/>
          <w:szCs w:val="21"/>
        </w:rPr>
        <w:t>丁二酮肟乙醇溶液</w:t>
      </w:r>
      <w:r>
        <w:rPr>
          <w:rFonts w:ascii="Times New Roman" w:eastAsia="宋体" w:hAnsi="Times New Roman" w:cs="Times New Roman"/>
          <w:sz w:val="21"/>
          <w:szCs w:val="21"/>
        </w:rPr>
        <w:t>(4.2.11)</w:t>
      </w:r>
      <w:r>
        <w:rPr>
          <w:rFonts w:ascii="Times New Roman" w:eastAsia="宋体" w:hAnsi="Times New Roman" w:cs="Times New Roman"/>
          <w:sz w:val="21"/>
          <w:szCs w:val="21"/>
        </w:rPr>
        <w:t>，于</w:t>
      </w:r>
      <w:r>
        <w:rPr>
          <w:rFonts w:ascii="Times New Roman" w:eastAsia="宋体" w:hAnsi="Times New Roman" w:cs="Times New Roman"/>
          <w:sz w:val="21"/>
          <w:szCs w:val="21"/>
        </w:rPr>
        <w:t>70 ℃</w:t>
      </w:r>
      <w:r>
        <w:rPr>
          <w:rFonts w:ascii="Times New Roman" w:eastAsia="宋体" w:hAnsi="Times New Roman" w:cs="Times New Roman"/>
          <w:sz w:val="21"/>
          <w:szCs w:val="21"/>
        </w:rPr>
        <w:t>～</w:t>
      </w:r>
      <w:r>
        <w:rPr>
          <w:rFonts w:ascii="Times New Roman" w:eastAsia="宋体" w:hAnsi="Times New Roman" w:cs="Times New Roman"/>
          <w:sz w:val="21"/>
          <w:szCs w:val="21"/>
        </w:rPr>
        <w:t>80 ℃</w:t>
      </w:r>
      <w:r>
        <w:rPr>
          <w:rFonts w:ascii="Times New Roman" w:eastAsia="宋体" w:hAnsi="Times New Roman" w:cs="Times New Roman"/>
          <w:sz w:val="21"/>
          <w:szCs w:val="21"/>
        </w:rPr>
        <w:t>水浴保温</w:t>
      </w:r>
      <w:r>
        <w:rPr>
          <w:rFonts w:ascii="Times New Roman" w:eastAsia="宋体" w:hAnsi="Times New Roman" w:cs="Times New Roman"/>
          <w:sz w:val="21"/>
          <w:szCs w:val="21"/>
        </w:rPr>
        <w:t>30 min</w:t>
      </w:r>
      <w:r>
        <w:rPr>
          <w:rFonts w:ascii="Times New Roman" w:eastAsia="宋体" w:hAnsi="Times New Roman" w:cs="Times New Roman"/>
          <w:sz w:val="21"/>
          <w:szCs w:val="21"/>
        </w:rPr>
        <w:t>。</w:t>
      </w:r>
    </w:p>
    <w:p w:rsidR="003E499F" w:rsidRDefault="001B684B" w:rsidP="008776ED">
      <w:pPr>
        <w:spacing w:line="360" w:lineRule="auto"/>
        <w:ind w:firstLineChars="1678" w:firstLine="3524"/>
        <w:rPr>
          <w:rFonts w:eastAsia="黑体"/>
          <w:szCs w:val="21"/>
        </w:rPr>
      </w:pPr>
      <w:r>
        <w:rPr>
          <w:rFonts w:eastAsia="黑体"/>
          <w:szCs w:val="21"/>
        </w:rPr>
        <w:t>表</w:t>
      </w:r>
      <w:r>
        <w:rPr>
          <w:rFonts w:eastAsia="黑体"/>
          <w:szCs w:val="21"/>
        </w:rPr>
        <w:t xml:space="preserve">4  </w:t>
      </w:r>
      <w:r>
        <w:rPr>
          <w:rFonts w:eastAsia="黑体"/>
          <w:szCs w:val="21"/>
        </w:rPr>
        <w:t>试液分取量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6"/>
        <w:gridCol w:w="5300"/>
      </w:tblGrid>
      <w:tr w:rsidR="003E499F">
        <w:trPr>
          <w:trHeight w:val="397"/>
        </w:trPr>
        <w:tc>
          <w:tcPr>
            <w:tcW w:w="2426" w:type="pct"/>
            <w:noWrap/>
            <w:vAlign w:val="center"/>
          </w:tcPr>
          <w:p w:rsidR="003E499F" w:rsidRDefault="001B684B">
            <w:pPr>
              <w:jc w:val="center"/>
              <w:rPr>
                <w:sz w:val="18"/>
                <w:szCs w:val="18"/>
              </w:rPr>
            </w:pPr>
            <w:r>
              <w:rPr>
                <w:sz w:val="18"/>
                <w:szCs w:val="18"/>
              </w:rPr>
              <w:t>镍的质量分数</w:t>
            </w:r>
            <w:r>
              <w:rPr>
                <w:sz w:val="18"/>
                <w:szCs w:val="18"/>
              </w:rPr>
              <w:t>/%</w:t>
            </w:r>
          </w:p>
        </w:tc>
        <w:tc>
          <w:tcPr>
            <w:tcW w:w="2573" w:type="pct"/>
            <w:noWrap/>
            <w:vAlign w:val="center"/>
          </w:tcPr>
          <w:p w:rsidR="003E499F" w:rsidRDefault="001B684B">
            <w:pPr>
              <w:pStyle w:val="afffff2"/>
              <w:ind w:firstLineChars="0" w:firstLine="0"/>
              <w:jc w:val="center"/>
              <w:rPr>
                <w:sz w:val="18"/>
                <w:szCs w:val="18"/>
              </w:rPr>
            </w:pPr>
            <w:r>
              <w:rPr>
                <w:sz w:val="18"/>
                <w:szCs w:val="18"/>
              </w:rPr>
              <w:t>分取试液体积</w:t>
            </w:r>
            <w:r>
              <w:rPr>
                <w:sz w:val="18"/>
                <w:szCs w:val="18"/>
              </w:rPr>
              <w:t>/mL</w:t>
            </w:r>
          </w:p>
        </w:tc>
      </w:tr>
      <w:tr w:rsidR="003E499F">
        <w:trPr>
          <w:trHeight w:val="397"/>
        </w:trPr>
        <w:tc>
          <w:tcPr>
            <w:tcW w:w="2426" w:type="pct"/>
            <w:noWrap/>
            <w:vAlign w:val="center"/>
          </w:tcPr>
          <w:p w:rsidR="003E499F" w:rsidRDefault="001B684B">
            <w:pPr>
              <w:pStyle w:val="afffff2"/>
              <w:ind w:firstLineChars="0" w:firstLine="0"/>
              <w:jc w:val="center"/>
              <w:rPr>
                <w:sz w:val="18"/>
                <w:szCs w:val="18"/>
              </w:rPr>
            </w:pPr>
            <w:r>
              <w:rPr>
                <w:sz w:val="18"/>
                <w:szCs w:val="18"/>
              </w:rPr>
              <w:t>8.0</w:t>
            </w:r>
            <w:r>
              <w:rPr>
                <w:sz w:val="18"/>
                <w:szCs w:val="18"/>
              </w:rPr>
              <w:t>～</w:t>
            </w:r>
            <w:r>
              <w:rPr>
                <w:sz w:val="18"/>
                <w:szCs w:val="18"/>
              </w:rPr>
              <w:t>15.0</w:t>
            </w:r>
          </w:p>
        </w:tc>
        <w:tc>
          <w:tcPr>
            <w:tcW w:w="2573" w:type="pct"/>
            <w:noWrap/>
            <w:vAlign w:val="center"/>
          </w:tcPr>
          <w:p w:rsidR="003E499F" w:rsidRDefault="001B684B">
            <w:pPr>
              <w:pStyle w:val="afffff2"/>
              <w:ind w:firstLineChars="0" w:firstLine="0"/>
              <w:jc w:val="center"/>
              <w:rPr>
                <w:sz w:val="18"/>
                <w:szCs w:val="18"/>
              </w:rPr>
            </w:pPr>
            <w:r>
              <w:rPr>
                <w:sz w:val="18"/>
                <w:szCs w:val="18"/>
              </w:rPr>
              <w:t>15.00</w:t>
            </w:r>
          </w:p>
        </w:tc>
      </w:tr>
      <w:tr w:rsidR="003E499F">
        <w:trPr>
          <w:trHeight w:val="397"/>
        </w:trPr>
        <w:tc>
          <w:tcPr>
            <w:tcW w:w="2426" w:type="pct"/>
            <w:noWrap/>
            <w:vAlign w:val="center"/>
          </w:tcPr>
          <w:p w:rsidR="003E499F" w:rsidRDefault="001B684B">
            <w:pPr>
              <w:pStyle w:val="afffff2"/>
              <w:ind w:firstLineChars="0" w:firstLine="0"/>
              <w:jc w:val="center"/>
              <w:rPr>
                <w:sz w:val="18"/>
                <w:szCs w:val="18"/>
              </w:rPr>
            </w:pPr>
            <w:r>
              <w:rPr>
                <w:sz w:val="18"/>
                <w:szCs w:val="18"/>
              </w:rPr>
              <w:t>≥15.0</w:t>
            </w:r>
            <w:r>
              <w:rPr>
                <w:sz w:val="18"/>
                <w:szCs w:val="18"/>
              </w:rPr>
              <w:t>～</w:t>
            </w:r>
            <w:r>
              <w:rPr>
                <w:sz w:val="18"/>
                <w:szCs w:val="18"/>
              </w:rPr>
              <w:t>25.0</w:t>
            </w:r>
          </w:p>
        </w:tc>
        <w:tc>
          <w:tcPr>
            <w:tcW w:w="2573" w:type="pct"/>
            <w:noWrap/>
            <w:vAlign w:val="center"/>
          </w:tcPr>
          <w:p w:rsidR="003E499F" w:rsidRDefault="001B684B">
            <w:pPr>
              <w:pStyle w:val="afffff2"/>
              <w:ind w:firstLineChars="0" w:firstLine="0"/>
              <w:jc w:val="center"/>
              <w:rPr>
                <w:sz w:val="18"/>
                <w:szCs w:val="18"/>
              </w:rPr>
            </w:pPr>
            <w:r>
              <w:rPr>
                <w:sz w:val="18"/>
                <w:szCs w:val="18"/>
              </w:rPr>
              <w:t>10.00</w:t>
            </w:r>
          </w:p>
        </w:tc>
      </w:tr>
    </w:tbl>
    <w:p w:rsidR="003E499F" w:rsidRDefault="003E499F">
      <w:pPr>
        <w:pStyle w:val="12"/>
        <w:spacing w:after="0" w:line="360" w:lineRule="auto"/>
        <w:ind w:firstLineChars="0" w:firstLine="0"/>
        <w:rPr>
          <w:rFonts w:ascii="Times New Roman" w:eastAsia="宋体" w:hAnsi="Times New Roman" w:cs="Times New Roman"/>
          <w:sz w:val="21"/>
          <w:szCs w:val="21"/>
        </w:rPr>
      </w:pPr>
    </w:p>
    <w:p w:rsidR="003E499F" w:rsidRDefault="001B684B">
      <w:pPr>
        <w:spacing w:line="360" w:lineRule="auto"/>
        <w:rPr>
          <w:szCs w:val="21"/>
        </w:rPr>
      </w:pPr>
      <w:r>
        <w:rPr>
          <w:rFonts w:ascii="黑体" w:eastAsia="黑体" w:hAnsi="黑体" w:cs="黑体" w:hint="eastAsia"/>
          <w:szCs w:val="21"/>
        </w:rPr>
        <w:t>4.3.4.2</w:t>
      </w:r>
      <w:r>
        <w:rPr>
          <w:szCs w:val="21"/>
        </w:rPr>
        <w:t>用中速定量滤纸趁热过滤，用热乙醇溶液（</w:t>
      </w:r>
      <w:r>
        <w:rPr>
          <w:szCs w:val="21"/>
        </w:rPr>
        <w:t>4.2.9</w:t>
      </w:r>
      <w:r>
        <w:rPr>
          <w:szCs w:val="21"/>
        </w:rPr>
        <w:t>）洗涤烧杯</w:t>
      </w:r>
      <w:r>
        <w:rPr>
          <w:szCs w:val="21"/>
        </w:rPr>
        <w:t>8</w:t>
      </w:r>
      <w:r>
        <w:rPr>
          <w:szCs w:val="21"/>
        </w:rPr>
        <w:t>次～</w:t>
      </w:r>
      <w:r>
        <w:rPr>
          <w:szCs w:val="21"/>
        </w:rPr>
        <w:t>10</w:t>
      </w:r>
      <w:r>
        <w:rPr>
          <w:szCs w:val="21"/>
        </w:rPr>
        <w:t>次，洗涤沉淀</w:t>
      </w:r>
      <w:r>
        <w:rPr>
          <w:szCs w:val="21"/>
        </w:rPr>
        <w:t>2</w:t>
      </w:r>
      <w:r>
        <w:rPr>
          <w:szCs w:val="21"/>
        </w:rPr>
        <w:t>次～</w:t>
      </w:r>
      <w:r>
        <w:rPr>
          <w:szCs w:val="21"/>
        </w:rPr>
        <w:t>3</w:t>
      </w:r>
      <w:r>
        <w:rPr>
          <w:szCs w:val="21"/>
        </w:rPr>
        <w:t>次，将沉淀用热水洗入原烧杯中，并用</w:t>
      </w:r>
      <w:r>
        <w:rPr>
          <w:szCs w:val="21"/>
        </w:rPr>
        <w:t>10 mL</w:t>
      </w:r>
      <w:r>
        <w:rPr>
          <w:szCs w:val="21"/>
        </w:rPr>
        <w:t>热盐酸（</w:t>
      </w:r>
      <w:r>
        <w:rPr>
          <w:szCs w:val="21"/>
        </w:rPr>
        <w:t>4.2.6</w:t>
      </w:r>
      <w:r>
        <w:rPr>
          <w:szCs w:val="21"/>
        </w:rPr>
        <w:t>）冲洗滤纸于原烧杯中，</w:t>
      </w:r>
      <w:r>
        <w:rPr>
          <w:szCs w:val="21"/>
          <w:lang w:val="zh-CN"/>
        </w:rPr>
        <w:t>盖上表面皿，置于电热板上低温</w:t>
      </w:r>
      <w:r>
        <w:rPr>
          <w:szCs w:val="21"/>
        </w:rPr>
        <w:t>蒸至</w:t>
      </w:r>
      <w:r>
        <w:rPr>
          <w:szCs w:val="21"/>
        </w:rPr>
        <w:t>2 mL</w:t>
      </w:r>
      <w:r>
        <w:rPr>
          <w:szCs w:val="21"/>
        </w:rPr>
        <w:t>～</w:t>
      </w:r>
      <w:r>
        <w:rPr>
          <w:szCs w:val="21"/>
        </w:rPr>
        <w:t>3 mL</w:t>
      </w:r>
      <w:r>
        <w:rPr>
          <w:szCs w:val="21"/>
        </w:rPr>
        <w:t>，取下稍冷，</w:t>
      </w:r>
      <w:r>
        <w:rPr>
          <w:szCs w:val="21"/>
          <w:lang w:val="zh-CN"/>
        </w:rPr>
        <w:t>用水吹洗表面皿和杯壁</w:t>
      </w:r>
      <w:r>
        <w:rPr>
          <w:szCs w:val="21"/>
        </w:rPr>
        <w:t>，冷却后用氨水</w:t>
      </w:r>
      <w:r>
        <w:t>(4.2.5)</w:t>
      </w:r>
      <w:r>
        <w:rPr>
          <w:szCs w:val="21"/>
        </w:rPr>
        <w:t>调节</w:t>
      </w:r>
      <w:r>
        <w:rPr>
          <w:szCs w:val="21"/>
        </w:rPr>
        <w:t>pH</w:t>
      </w:r>
      <w:r>
        <w:rPr>
          <w:szCs w:val="21"/>
        </w:rPr>
        <w:t>为</w:t>
      </w:r>
      <w:r>
        <w:rPr>
          <w:szCs w:val="21"/>
        </w:rPr>
        <w:t>5</w:t>
      </w:r>
      <w:r>
        <w:rPr>
          <w:szCs w:val="21"/>
        </w:rPr>
        <w:t>～</w:t>
      </w:r>
      <w:r>
        <w:rPr>
          <w:szCs w:val="21"/>
        </w:rPr>
        <w:t>6</w:t>
      </w:r>
      <w:r>
        <w:rPr>
          <w:szCs w:val="21"/>
        </w:rPr>
        <w:t>，加</w:t>
      </w:r>
      <w:r>
        <w:rPr>
          <w:szCs w:val="21"/>
        </w:rPr>
        <w:t>10 mL</w:t>
      </w:r>
      <w:r>
        <w:rPr>
          <w:szCs w:val="21"/>
        </w:rPr>
        <w:t>乙酸</w:t>
      </w:r>
      <w:r>
        <w:rPr>
          <w:szCs w:val="21"/>
        </w:rPr>
        <w:t>—</w:t>
      </w:r>
      <w:r>
        <w:rPr>
          <w:szCs w:val="21"/>
        </w:rPr>
        <w:t>乙酸钠缓冲溶液</w:t>
      </w:r>
      <w:r>
        <w:rPr>
          <w:szCs w:val="21"/>
        </w:rPr>
        <w:t>(4.2.10)</w:t>
      </w:r>
      <w:r>
        <w:rPr>
          <w:szCs w:val="21"/>
        </w:rPr>
        <w:t>，</w:t>
      </w:r>
      <w:r>
        <w:rPr>
          <w:szCs w:val="21"/>
        </w:rPr>
        <w:t>10 mL</w:t>
      </w:r>
      <w:r>
        <w:rPr>
          <w:szCs w:val="21"/>
        </w:rPr>
        <w:t>硫代硫酸钠溶液（</w:t>
      </w:r>
      <w:r>
        <w:rPr>
          <w:szCs w:val="21"/>
        </w:rPr>
        <w:t>4.2.13</w:t>
      </w:r>
      <w:r>
        <w:rPr>
          <w:szCs w:val="21"/>
        </w:rPr>
        <w:t>），加水至</w:t>
      </w:r>
      <w:r>
        <w:rPr>
          <w:szCs w:val="21"/>
        </w:rPr>
        <w:t>100 mL</w:t>
      </w:r>
      <w:r>
        <w:rPr>
          <w:szCs w:val="21"/>
        </w:rPr>
        <w:t>，加</w:t>
      </w:r>
      <w:r>
        <w:rPr>
          <w:szCs w:val="21"/>
        </w:rPr>
        <w:t>2 mL</w:t>
      </w:r>
      <w:r>
        <w:rPr>
          <w:szCs w:val="21"/>
        </w:rPr>
        <w:t>～</w:t>
      </w:r>
      <w:r>
        <w:rPr>
          <w:szCs w:val="21"/>
        </w:rPr>
        <w:t xml:space="preserve"> 3 mL</w:t>
      </w:r>
      <w:r>
        <w:rPr>
          <w:szCs w:val="21"/>
        </w:rPr>
        <w:t>氨水</w:t>
      </w:r>
      <w:r>
        <w:t>(4.</w:t>
      </w:r>
      <w:r>
        <w:t>2.5)</w:t>
      </w:r>
      <w:r>
        <w:rPr>
          <w:szCs w:val="21"/>
        </w:rPr>
        <w:t>，</w:t>
      </w:r>
      <w:r>
        <w:rPr>
          <w:szCs w:val="21"/>
        </w:rPr>
        <w:t>0.1 g</w:t>
      </w:r>
      <w:r>
        <w:rPr>
          <w:szCs w:val="21"/>
        </w:rPr>
        <w:t>紫脲酸铵（</w:t>
      </w:r>
      <w:r>
        <w:rPr>
          <w:szCs w:val="21"/>
        </w:rPr>
        <w:t>4.2.16</w:t>
      </w:r>
      <w:r>
        <w:rPr>
          <w:szCs w:val="21"/>
        </w:rPr>
        <w:t>）为指示剂，以</w:t>
      </w:r>
      <w:r>
        <w:t>乙二胺四乙酸二钠</w:t>
      </w:r>
      <w:r>
        <w:rPr>
          <w:szCs w:val="21"/>
        </w:rPr>
        <w:t>标准溶液（</w:t>
      </w:r>
      <w:r>
        <w:rPr>
          <w:szCs w:val="21"/>
        </w:rPr>
        <w:t>4.2.15</w:t>
      </w:r>
      <w:r>
        <w:rPr>
          <w:szCs w:val="21"/>
        </w:rPr>
        <w:t>）滴定至溶液颜色由黄色变为红紫色即为终点。</w:t>
      </w:r>
    </w:p>
    <w:p w:rsidR="003E499F" w:rsidRDefault="001B684B">
      <w:pPr>
        <w:pStyle w:val="afffff2"/>
        <w:spacing w:line="360" w:lineRule="auto"/>
        <w:ind w:firstLineChars="0" w:firstLine="0"/>
        <w:rPr>
          <w:rFonts w:ascii="黑体" w:eastAsia="黑体" w:hAnsi="黑体" w:cs="黑体"/>
          <w:szCs w:val="21"/>
        </w:rPr>
      </w:pPr>
      <w:r>
        <w:rPr>
          <w:rFonts w:ascii="黑体" w:eastAsia="黑体" w:hAnsi="黑体" w:cs="黑体" w:hint="eastAsia"/>
          <w:szCs w:val="21"/>
        </w:rPr>
        <w:t>4.4</w:t>
      </w:r>
      <w:r>
        <w:rPr>
          <w:rFonts w:ascii="黑体" w:eastAsia="黑体" w:hAnsi="黑体" w:cs="黑体" w:hint="eastAsia"/>
          <w:szCs w:val="21"/>
        </w:rPr>
        <w:t>试验数据处理</w:t>
      </w:r>
    </w:p>
    <w:p w:rsidR="003E499F" w:rsidRDefault="001B684B">
      <w:pPr>
        <w:spacing w:line="360" w:lineRule="auto"/>
        <w:ind w:left="390"/>
        <w:rPr>
          <w:szCs w:val="21"/>
        </w:rPr>
      </w:pPr>
      <w:r>
        <w:rPr>
          <w:szCs w:val="21"/>
        </w:rPr>
        <w:t>镍的含量以镍的质量分数</w:t>
      </w:r>
      <w:r w:rsidR="003E499F" w:rsidRPr="003E499F">
        <w:rPr>
          <w:position w:val="-6"/>
          <w:szCs w:val="21"/>
        </w:rPr>
        <w:object w:dxaOrig="381" w:dyaOrig="221">
          <v:shape id="_x0000_i1028" type="#_x0000_t75" style="width:18.25pt;height:10.75pt" o:ole="">
            <v:imagedata r:id="rId23" o:title=""/>
          </v:shape>
          <o:OLEObject Type="Embed" ProgID="Equation.3" ShapeID="_x0000_i1028" DrawAspect="Content" ObjectID="_1635321550" r:id="rId24"/>
        </w:object>
      </w:r>
      <w:r>
        <w:t>计，</w:t>
      </w:r>
      <w:r>
        <w:rPr>
          <w:szCs w:val="21"/>
        </w:rPr>
        <w:t>按公式（</w:t>
      </w:r>
      <w:r>
        <w:rPr>
          <w:szCs w:val="21"/>
        </w:rPr>
        <w:t>3</w:t>
      </w:r>
      <w:r>
        <w:rPr>
          <w:szCs w:val="21"/>
        </w:rPr>
        <w:t>）计算：</w:t>
      </w:r>
    </w:p>
    <w:p w:rsidR="003E499F" w:rsidRDefault="003E499F">
      <w:pPr>
        <w:spacing w:line="360" w:lineRule="auto"/>
        <w:ind w:left="390"/>
        <w:jc w:val="center"/>
        <w:rPr>
          <w:szCs w:val="21"/>
          <w:vertAlign w:val="subscript"/>
          <w:lang w:val="pt-BR"/>
        </w:rPr>
      </w:pPr>
      <w:r w:rsidRPr="003E499F">
        <w:rPr>
          <w:position w:val="-30"/>
          <w:sz w:val="32"/>
          <w:szCs w:val="32"/>
          <w:lang w:val="pt-BR"/>
        </w:rPr>
        <w:object w:dxaOrig="3180" w:dyaOrig="680">
          <v:shape id="_x0000_i1029" type="#_x0000_t75" style="width:159.05pt;height:33.85pt" o:ole="">
            <v:imagedata r:id="rId25" o:title=""/>
          </v:shape>
          <o:OLEObject Type="Embed" ProgID="Equation.3" ShapeID="_x0000_i1029" DrawAspect="Content" ObjectID="_1635321551" r:id="rId26"/>
        </w:object>
      </w:r>
      <w:r w:rsidR="001B684B">
        <w:rPr>
          <w:szCs w:val="21"/>
        </w:rPr>
        <w:t>…………………………………</w:t>
      </w:r>
      <w:r w:rsidR="001B684B">
        <w:rPr>
          <w:szCs w:val="21"/>
        </w:rPr>
        <w:t>（</w:t>
      </w:r>
      <w:r w:rsidR="001B684B">
        <w:rPr>
          <w:szCs w:val="21"/>
        </w:rPr>
        <w:t>3</w:t>
      </w:r>
      <w:r w:rsidR="001B684B">
        <w:rPr>
          <w:szCs w:val="21"/>
        </w:rPr>
        <w:t>）</w:t>
      </w:r>
    </w:p>
    <w:p w:rsidR="003E499F" w:rsidRDefault="001B684B">
      <w:pPr>
        <w:spacing w:line="360" w:lineRule="auto"/>
        <w:ind w:left="390"/>
        <w:rPr>
          <w:szCs w:val="21"/>
          <w:lang w:val="pt-BR"/>
        </w:rPr>
      </w:pPr>
      <w:r>
        <w:rPr>
          <w:szCs w:val="21"/>
          <w:lang w:val="pt-BR"/>
        </w:rPr>
        <w:t>式中：</w:t>
      </w:r>
    </w:p>
    <w:p w:rsidR="003E499F" w:rsidRDefault="003E499F">
      <w:pPr>
        <w:spacing w:line="360" w:lineRule="auto"/>
        <w:ind w:firstLineChars="200" w:firstLine="420"/>
        <w:jc w:val="left"/>
        <w:rPr>
          <w:szCs w:val="21"/>
          <w:lang w:val="pt-BR"/>
        </w:rPr>
      </w:pPr>
      <w:r w:rsidRPr="003E499F">
        <w:rPr>
          <w:szCs w:val="21"/>
        </w:rPr>
        <w:object w:dxaOrig="181" w:dyaOrig="221">
          <v:shape id="_x0000_i1030" type="#_x0000_t75" style="width:9.15pt;height:10.75pt" o:ole="">
            <v:imagedata r:id="rId27" o:title=""/>
          </v:shape>
          <o:OLEObject Type="Embed" ProgID="Equation.DSMT4" ShapeID="_x0000_i1030" DrawAspect="Content" ObjectID="_1635321552" r:id="rId28"/>
        </w:object>
      </w:r>
      <w:r w:rsidR="001B684B">
        <w:t>——</w:t>
      </w:r>
      <w:r w:rsidR="001B684B">
        <w:t>乙二胺四乙酸二钠</w:t>
      </w:r>
      <w:r w:rsidR="001B684B">
        <w:rPr>
          <w:szCs w:val="21"/>
          <w:lang w:val="pt-BR"/>
        </w:rPr>
        <w:t>标准滴定溶液的实际浓度，单位为摩尔每升</w:t>
      </w:r>
      <w:r w:rsidR="001B684B">
        <w:rPr>
          <w:szCs w:val="21"/>
        </w:rPr>
        <w:t>（</w:t>
      </w:r>
      <w:r w:rsidR="001B684B">
        <w:rPr>
          <w:szCs w:val="21"/>
        </w:rPr>
        <w:t>mol/L</w:t>
      </w:r>
      <w:r w:rsidR="001B684B">
        <w:rPr>
          <w:szCs w:val="21"/>
        </w:rPr>
        <w:t>）</w:t>
      </w:r>
      <w:r w:rsidR="001B684B">
        <w:rPr>
          <w:szCs w:val="21"/>
          <w:lang w:val="pt-BR"/>
        </w:rPr>
        <w:t>；</w:t>
      </w:r>
    </w:p>
    <w:p w:rsidR="003E499F" w:rsidRDefault="001B684B">
      <w:pPr>
        <w:spacing w:line="360" w:lineRule="auto"/>
        <w:ind w:firstLineChars="200" w:firstLine="420"/>
        <w:jc w:val="left"/>
        <w:rPr>
          <w:szCs w:val="21"/>
        </w:rPr>
      </w:pPr>
      <w:r>
        <w:rPr>
          <w:i/>
          <w:szCs w:val="21"/>
        </w:rPr>
        <w:t>V</w:t>
      </w:r>
      <w:r>
        <w:rPr>
          <w:i/>
          <w:szCs w:val="21"/>
          <w:vertAlign w:val="subscript"/>
        </w:rPr>
        <w:t>2</w:t>
      </w:r>
      <w:r>
        <w:t>——</w:t>
      </w:r>
      <w:r>
        <w:rPr>
          <w:szCs w:val="21"/>
        </w:rPr>
        <w:t>试料溶液消耗</w:t>
      </w:r>
      <w:r>
        <w:t>乙二胺四乙酸二钠</w:t>
      </w:r>
      <w:r>
        <w:rPr>
          <w:szCs w:val="21"/>
        </w:rPr>
        <w:t>标准滴定溶液的体积，单位为毫升（</w:t>
      </w:r>
      <w:r>
        <w:rPr>
          <w:szCs w:val="21"/>
        </w:rPr>
        <w:t>mL</w:t>
      </w:r>
      <w:r>
        <w:rPr>
          <w:szCs w:val="21"/>
        </w:rPr>
        <w:t>）；</w:t>
      </w:r>
    </w:p>
    <w:p w:rsidR="003E499F" w:rsidRDefault="001B684B">
      <w:pPr>
        <w:spacing w:line="360" w:lineRule="auto"/>
        <w:ind w:firstLineChars="200" w:firstLine="420"/>
        <w:jc w:val="left"/>
        <w:rPr>
          <w:szCs w:val="21"/>
        </w:rPr>
      </w:pPr>
      <w:r>
        <w:rPr>
          <w:i/>
          <w:szCs w:val="21"/>
        </w:rPr>
        <w:t>V</w:t>
      </w:r>
      <w:r>
        <w:rPr>
          <w:i/>
          <w:szCs w:val="21"/>
          <w:vertAlign w:val="subscript"/>
        </w:rPr>
        <w:t>0</w:t>
      </w:r>
      <w:r>
        <w:t>——</w:t>
      </w:r>
      <w:r>
        <w:rPr>
          <w:szCs w:val="21"/>
        </w:rPr>
        <w:t>空白溶液消耗</w:t>
      </w:r>
      <w:r>
        <w:t>乙二胺四乙酸二钠</w:t>
      </w:r>
      <w:r>
        <w:rPr>
          <w:szCs w:val="21"/>
        </w:rPr>
        <w:t>标准滴定溶液的体积，单位为毫升（</w:t>
      </w:r>
      <w:r>
        <w:rPr>
          <w:szCs w:val="21"/>
        </w:rPr>
        <w:t>mL</w:t>
      </w:r>
      <w:r>
        <w:rPr>
          <w:szCs w:val="21"/>
        </w:rPr>
        <w:t>）；</w:t>
      </w:r>
    </w:p>
    <w:p w:rsidR="003E499F" w:rsidRDefault="001B684B">
      <w:pPr>
        <w:spacing w:line="360" w:lineRule="auto"/>
        <w:ind w:firstLineChars="200" w:firstLine="420"/>
        <w:jc w:val="left"/>
        <w:rPr>
          <w:szCs w:val="21"/>
        </w:rPr>
      </w:pPr>
      <w:r>
        <w:rPr>
          <w:i/>
          <w:szCs w:val="21"/>
        </w:rPr>
        <w:t>V</w:t>
      </w:r>
      <w:r>
        <w:rPr>
          <w:i/>
          <w:szCs w:val="21"/>
          <w:vertAlign w:val="subscript"/>
        </w:rPr>
        <w:t>3</w:t>
      </w:r>
      <w:r>
        <w:t>——</w:t>
      </w:r>
      <w:r>
        <w:rPr>
          <w:szCs w:val="21"/>
        </w:rPr>
        <w:t>试液总体积，单位为毫升（</w:t>
      </w:r>
      <w:r>
        <w:rPr>
          <w:szCs w:val="21"/>
        </w:rPr>
        <w:t>mL</w:t>
      </w:r>
      <w:r>
        <w:rPr>
          <w:szCs w:val="21"/>
        </w:rPr>
        <w:t>）；</w:t>
      </w:r>
    </w:p>
    <w:p w:rsidR="003E499F" w:rsidRDefault="001B684B">
      <w:pPr>
        <w:spacing w:line="360" w:lineRule="auto"/>
        <w:ind w:firstLineChars="200" w:firstLine="420"/>
        <w:jc w:val="left"/>
        <w:rPr>
          <w:szCs w:val="21"/>
        </w:rPr>
      </w:pPr>
      <w:r>
        <w:rPr>
          <w:i/>
          <w:szCs w:val="21"/>
        </w:rPr>
        <w:t>V</w:t>
      </w:r>
      <w:r>
        <w:rPr>
          <w:i/>
          <w:szCs w:val="21"/>
          <w:vertAlign w:val="subscript"/>
        </w:rPr>
        <w:t>4</w:t>
      </w:r>
      <w:r>
        <w:t>——</w:t>
      </w:r>
      <w:r>
        <w:rPr>
          <w:szCs w:val="21"/>
        </w:rPr>
        <w:t>分取试液体积，单位为毫升（</w:t>
      </w:r>
      <w:r>
        <w:rPr>
          <w:szCs w:val="21"/>
        </w:rPr>
        <w:t>mL</w:t>
      </w:r>
      <w:r>
        <w:rPr>
          <w:szCs w:val="21"/>
        </w:rPr>
        <w:t>）；</w:t>
      </w:r>
    </w:p>
    <w:p w:rsidR="003E499F" w:rsidRDefault="001B684B">
      <w:pPr>
        <w:spacing w:line="360" w:lineRule="auto"/>
        <w:ind w:firstLineChars="200" w:firstLine="420"/>
        <w:jc w:val="left"/>
        <w:rPr>
          <w:szCs w:val="21"/>
        </w:rPr>
      </w:pPr>
      <w:r>
        <w:rPr>
          <w:i/>
          <w:szCs w:val="21"/>
        </w:rPr>
        <w:t>m</w:t>
      </w:r>
      <w:r>
        <w:rPr>
          <w:i/>
          <w:szCs w:val="21"/>
          <w:vertAlign w:val="subscript"/>
        </w:rPr>
        <w:t>0</w:t>
      </w:r>
      <w:r>
        <w:t>——</w:t>
      </w:r>
      <w:r>
        <w:rPr>
          <w:szCs w:val="21"/>
        </w:rPr>
        <w:t>试料的质量，单位为克（</w:t>
      </w:r>
      <w:r>
        <w:rPr>
          <w:szCs w:val="21"/>
        </w:rPr>
        <w:t>g</w:t>
      </w:r>
      <w:r>
        <w:rPr>
          <w:szCs w:val="21"/>
        </w:rPr>
        <w:t>）；</w:t>
      </w:r>
    </w:p>
    <w:p w:rsidR="003E499F" w:rsidRDefault="001B684B">
      <w:pPr>
        <w:spacing w:line="360" w:lineRule="auto"/>
        <w:ind w:firstLineChars="200" w:firstLine="420"/>
        <w:jc w:val="left"/>
        <w:rPr>
          <w:szCs w:val="21"/>
          <w:lang w:val="pt-BR"/>
        </w:rPr>
      </w:pPr>
      <w:r>
        <w:rPr>
          <w:i/>
          <w:szCs w:val="21"/>
        </w:rPr>
        <w:t>M</w:t>
      </w:r>
      <w:r>
        <w:t>——</w:t>
      </w:r>
      <w:r>
        <w:rPr>
          <w:szCs w:val="21"/>
        </w:rPr>
        <w:t>镍的摩尔质量，单位为克每摩尔（</w:t>
      </w:r>
      <w:r>
        <w:rPr>
          <w:szCs w:val="21"/>
        </w:rPr>
        <w:t>g/mol</w:t>
      </w:r>
      <w:r>
        <w:rPr>
          <w:szCs w:val="21"/>
        </w:rPr>
        <w:t>），</w:t>
      </w:r>
      <w:r>
        <w:rPr>
          <w:szCs w:val="21"/>
        </w:rPr>
        <w:t>[M(Ni)=58.69]</w:t>
      </w:r>
      <w:r>
        <w:rPr>
          <w:szCs w:val="21"/>
        </w:rPr>
        <w:t>。</w:t>
      </w:r>
    </w:p>
    <w:p w:rsidR="003E499F" w:rsidRDefault="001B684B">
      <w:pPr>
        <w:spacing w:line="360" w:lineRule="auto"/>
        <w:ind w:firstLineChars="200" w:firstLine="420"/>
        <w:rPr>
          <w:lang w:val="pt-BR"/>
        </w:rPr>
      </w:pPr>
      <w:r>
        <w:rPr>
          <w:lang w:val="pt-BR"/>
        </w:rPr>
        <w:lastRenderedPageBreak/>
        <w:t>计算结果表示至小数点后两位。</w:t>
      </w:r>
    </w:p>
    <w:p w:rsidR="003E499F" w:rsidRDefault="001B684B">
      <w:pPr>
        <w:spacing w:line="360" w:lineRule="auto"/>
        <w:rPr>
          <w:rFonts w:ascii="黑体" w:eastAsia="黑体" w:hAnsi="黑体" w:cs="黑体"/>
          <w:lang w:val="pt-BR"/>
        </w:rPr>
      </w:pPr>
      <w:r>
        <w:rPr>
          <w:rFonts w:ascii="黑体" w:eastAsia="黑体" w:hAnsi="黑体" w:cs="黑体" w:hint="eastAsia"/>
        </w:rPr>
        <w:t>4.5</w:t>
      </w:r>
      <w:r>
        <w:rPr>
          <w:rFonts w:ascii="黑体" w:eastAsia="黑体" w:hAnsi="黑体" w:cs="黑体" w:hint="eastAsia"/>
          <w:lang w:val="pt-BR"/>
        </w:rPr>
        <w:t>精密度</w:t>
      </w:r>
    </w:p>
    <w:p w:rsidR="003E499F" w:rsidRDefault="001B684B">
      <w:pPr>
        <w:spacing w:line="360" w:lineRule="auto"/>
        <w:rPr>
          <w:rFonts w:ascii="黑体" w:eastAsia="黑体" w:hAnsi="黑体" w:cs="黑体"/>
          <w:lang w:val="pt-BR"/>
        </w:rPr>
      </w:pPr>
      <w:r>
        <w:rPr>
          <w:rFonts w:ascii="黑体" w:eastAsia="黑体" w:hAnsi="黑体" w:cs="黑体" w:hint="eastAsia"/>
        </w:rPr>
        <w:t>4.5.1</w:t>
      </w:r>
      <w:r>
        <w:rPr>
          <w:rFonts w:ascii="黑体" w:eastAsia="黑体" w:hAnsi="黑体" w:cs="黑体" w:hint="eastAsia"/>
          <w:lang w:val="pt-BR"/>
        </w:rPr>
        <w:t>重复性</w:t>
      </w:r>
    </w:p>
    <w:p w:rsidR="003E499F" w:rsidRDefault="001B684B">
      <w:pPr>
        <w:spacing w:line="360" w:lineRule="auto"/>
        <w:ind w:firstLineChars="200" w:firstLine="420"/>
        <w:rPr>
          <w:sz w:val="24"/>
        </w:rPr>
      </w:pPr>
      <w:r>
        <w:rPr>
          <w:szCs w:val="21"/>
        </w:rPr>
        <w:t>在重复性条件下获得的两次独立测试结果的测定值，在以下给出的平均值范围内，这两个测试结果的绝对差值不超过重复性限（</w:t>
      </w:r>
      <w:r>
        <w:rPr>
          <w:szCs w:val="21"/>
        </w:rPr>
        <w:t>r</w:t>
      </w:r>
      <w:r>
        <w:rPr>
          <w:szCs w:val="21"/>
        </w:rPr>
        <w:t>），超过重复性限（</w:t>
      </w:r>
      <w:r>
        <w:rPr>
          <w:szCs w:val="21"/>
        </w:rPr>
        <w:t>r</w:t>
      </w:r>
      <w:r>
        <w:rPr>
          <w:szCs w:val="21"/>
        </w:rPr>
        <w:t>）的情况不超过</w:t>
      </w:r>
      <w:r>
        <w:rPr>
          <w:szCs w:val="21"/>
        </w:rPr>
        <w:t>5%</w:t>
      </w:r>
      <w:r>
        <w:rPr>
          <w:szCs w:val="21"/>
        </w:rPr>
        <w:t>，重复性限（</w:t>
      </w:r>
      <w:r>
        <w:rPr>
          <w:szCs w:val="21"/>
        </w:rPr>
        <w:t>r</w:t>
      </w:r>
      <w:r>
        <w:rPr>
          <w:szCs w:val="21"/>
        </w:rPr>
        <w:t>）按表</w:t>
      </w:r>
      <w:r>
        <w:rPr>
          <w:szCs w:val="21"/>
        </w:rPr>
        <w:t>5</w:t>
      </w:r>
      <w:r>
        <w:rPr>
          <w:szCs w:val="21"/>
        </w:rPr>
        <w:t>数据采用线性内插法或外延法求得：</w:t>
      </w:r>
    </w:p>
    <w:p w:rsidR="003E499F" w:rsidRDefault="001B684B">
      <w:pPr>
        <w:spacing w:line="360" w:lineRule="auto"/>
        <w:jc w:val="center"/>
        <w:rPr>
          <w:rFonts w:eastAsia="黑体"/>
        </w:rPr>
      </w:pPr>
      <w:r>
        <w:rPr>
          <w:rFonts w:eastAsia="黑体"/>
        </w:rPr>
        <w:t>表</w:t>
      </w:r>
      <w:r>
        <w:rPr>
          <w:rFonts w:eastAsia="黑体"/>
        </w:rPr>
        <w:t xml:space="preserve">5 </w:t>
      </w:r>
      <w:r>
        <w:rPr>
          <w:rFonts w:eastAsia="黑体"/>
        </w:rPr>
        <w:t>重复性限</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2"/>
        <w:gridCol w:w="1830"/>
        <w:gridCol w:w="1830"/>
        <w:gridCol w:w="1830"/>
        <w:gridCol w:w="1830"/>
        <w:gridCol w:w="1832"/>
      </w:tblGrid>
      <w:tr w:rsidR="003E499F">
        <w:trPr>
          <w:trHeight w:val="397"/>
          <w:jc w:val="center"/>
        </w:trPr>
        <w:tc>
          <w:tcPr>
            <w:tcW w:w="555" w:type="pct"/>
            <w:noWrap/>
            <w:vAlign w:val="center"/>
          </w:tcPr>
          <w:p w:rsidR="003E499F" w:rsidRDefault="001B684B">
            <w:pPr>
              <w:jc w:val="center"/>
              <w:rPr>
                <w:sz w:val="18"/>
                <w:szCs w:val="18"/>
              </w:rPr>
            </w:pPr>
            <w:r>
              <w:rPr>
                <w:i/>
                <w:szCs w:val="21"/>
              </w:rPr>
              <w:t>w</w:t>
            </w:r>
            <w:r>
              <w:rPr>
                <w:szCs w:val="21"/>
                <w:vertAlign w:val="subscript"/>
              </w:rPr>
              <w:t xml:space="preserve">Ni </w:t>
            </w:r>
            <w:r>
              <w:rPr>
                <w:szCs w:val="21"/>
              </w:rPr>
              <w:t>/</w:t>
            </w:r>
            <w:r>
              <w:rPr>
                <w:sz w:val="18"/>
                <w:szCs w:val="18"/>
              </w:rPr>
              <w:t xml:space="preserve"> %</w:t>
            </w:r>
          </w:p>
        </w:tc>
        <w:tc>
          <w:tcPr>
            <w:tcW w:w="888" w:type="pct"/>
            <w:noWrap/>
            <w:vAlign w:val="center"/>
          </w:tcPr>
          <w:p w:rsidR="003E499F" w:rsidRDefault="001B684B">
            <w:pPr>
              <w:jc w:val="center"/>
              <w:rPr>
                <w:sz w:val="18"/>
                <w:szCs w:val="18"/>
              </w:rPr>
            </w:pPr>
            <w:r>
              <w:rPr>
                <w:sz w:val="18"/>
                <w:szCs w:val="18"/>
              </w:rPr>
              <w:t>10.14</w:t>
            </w:r>
          </w:p>
        </w:tc>
        <w:tc>
          <w:tcPr>
            <w:tcW w:w="888" w:type="pct"/>
            <w:noWrap/>
            <w:vAlign w:val="center"/>
          </w:tcPr>
          <w:p w:rsidR="003E499F" w:rsidRDefault="001B684B">
            <w:pPr>
              <w:jc w:val="center"/>
              <w:rPr>
                <w:sz w:val="18"/>
                <w:szCs w:val="18"/>
              </w:rPr>
            </w:pPr>
            <w:r>
              <w:rPr>
                <w:sz w:val="18"/>
                <w:szCs w:val="18"/>
              </w:rPr>
              <w:t>12.76</w:t>
            </w:r>
          </w:p>
        </w:tc>
        <w:tc>
          <w:tcPr>
            <w:tcW w:w="888" w:type="pct"/>
            <w:noWrap/>
            <w:vAlign w:val="center"/>
          </w:tcPr>
          <w:p w:rsidR="003E499F" w:rsidRDefault="001B684B">
            <w:pPr>
              <w:jc w:val="center"/>
              <w:rPr>
                <w:sz w:val="18"/>
                <w:szCs w:val="18"/>
              </w:rPr>
            </w:pPr>
            <w:r>
              <w:rPr>
                <w:sz w:val="18"/>
                <w:szCs w:val="18"/>
              </w:rPr>
              <w:t>15.24</w:t>
            </w:r>
          </w:p>
        </w:tc>
        <w:tc>
          <w:tcPr>
            <w:tcW w:w="888" w:type="pct"/>
            <w:noWrap/>
            <w:vAlign w:val="center"/>
          </w:tcPr>
          <w:p w:rsidR="003E499F" w:rsidRDefault="001B684B">
            <w:pPr>
              <w:jc w:val="center"/>
              <w:rPr>
                <w:sz w:val="18"/>
                <w:szCs w:val="18"/>
              </w:rPr>
            </w:pPr>
            <w:r>
              <w:rPr>
                <w:sz w:val="18"/>
                <w:szCs w:val="18"/>
              </w:rPr>
              <w:t>19.14</w:t>
            </w:r>
          </w:p>
        </w:tc>
        <w:tc>
          <w:tcPr>
            <w:tcW w:w="889" w:type="pct"/>
            <w:noWrap/>
            <w:vAlign w:val="center"/>
          </w:tcPr>
          <w:p w:rsidR="003E499F" w:rsidRDefault="001B684B">
            <w:pPr>
              <w:jc w:val="center"/>
              <w:rPr>
                <w:sz w:val="18"/>
                <w:szCs w:val="18"/>
              </w:rPr>
            </w:pPr>
            <w:r>
              <w:rPr>
                <w:sz w:val="18"/>
                <w:szCs w:val="18"/>
              </w:rPr>
              <w:t>24.21</w:t>
            </w:r>
          </w:p>
        </w:tc>
      </w:tr>
      <w:tr w:rsidR="003E499F">
        <w:trPr>
          <w:trHeight w:val="397"/>
          <w:jc w:val="center"/>
        </w:trPr>
        <w:tc>
          <w:tcPr>
            <w:tcW w:w="555" w:type="pct"/>
            <w:noWrap/>
            <w:vAlign w:val="center"/>
          </w:tcPr>
          <w:p w:rsidR="003E499F" w:rsidRDefault="001B684B">
            <w:pPr>
              <w:jc w:val="center"/>
              <w:rPr>
                <w:sz w:val="18"/>
                <w:szCs w:val="18"/>
              </w:rPr>
            </w:pPr>
            <w:r>
              <w:rPr>
                <w:sz w:val="18"/>
                <w:szCs w:val="18"/>
              </w:rPr>
              <w:t>r/%</w:t>
            </w:r>
          </w:p>
        </w:tc>
        <w:tc>
          <w:tcPr>
            <w:tcW w:w="888" w:type="pct"/>
            <w:noWrap/>
            <w:vAlign w:val="center"/>
          </w:tcPr>
          <w:p w:rsidR="003E499F" w:rsidRDefault="001B684B">
            <w:pPr>
              <w:jc w:val="center"/>
              <w:rPr>
                <w:sz w:val="18"/>
                <w:szCs w:val="18"/>
              </w:rPr>
            </w:pPr>
            <w:r>
              <w:rPr>
                <w:sz w:val="18"/>
                <w:szCs w:val="18"/>
              </w:rPr>
              <w:t>0.21</w:t>
            </w:r>
          </w:p>
        </w:tc>
        <w:tc>
          <w:tcPr>
            <w:tcW w:w="888" w:type="pct"/>
            <w:noWrap/>
            <w:vAlign w:val="center"/>
          </w:tcPr>
          <w:p w:rsidR="003E499F" w:rsidRDefault="001B684B">
            <w:pPr>
              <w:jc w:val="center"/>
              <w:rPr>
                <w:sz w:val="18"/>
                <w:szCs w:val="18"/>
              </w:rPr>
            </w:pPr>
            <w:r>
              <w:rPr>
                <w:sz w:val="18"/>
                <w:szCs w:val="18"/>
              </w:rPr>
              <w:t>0.18</w:t>
            </w:r>
          </w:p>
        </w:tc>
        <w:tc>
          <w:tcPr>
            <w:tcW w:w="888" w:type="pct"/>
            <w:noWrap/>
            <w:vAlign w:val="center"/>
          </w:tcPr>
          <w:p w:rsidR="003E499F" w:rsidRDefault="001B684B">
            <w:pPr>
              <w:jc w:val="center"/>
              <w:rPr>
                <w:sz w:val="18"/>
                <w:szCs w:val="18"/>
              </w:rPr>
            </w:pPr>
            <w:r>
              <w:rPr>
                <w:sz w:val="18"/>
                <w:szCs w:val="18"/>
              </w:rPr>
              <w:t>0.21</w:t>
            </w:r>
          </w:p>
        </w:tc>
        <w:tc>
          <w:tcPr>
            <w:tcW w:w="888" w:type="pct"/>
            <w:noWrap/>
            <w:vAlign w:val="center"/>
          </w:tcPr>
          <w:p w:rsidR="003E499F" w:rsidRDefault="001B684B">
            <w:pPr>
              <w:jc w:val="center"/>
              <w:rPr>
                <w:sz w:val="18"/>
                <w:szCs w:val="18"/>
              </w:rPr>
            </w:pPr>
            <w:r>
              <w:rPr>
                <w:sz w:val="18"/>
                <w:szCs w:val="18"/>
              </w:rPr>
              <w:t>0.2</w:t>
            </w:r>
            <w:r>
              <w:rPr>
                <w:rFonts w:hint="eastAsia"/>
                <w:sz w:val="18"/>
                <w:szCs w:val="18"/>
              </w:rPr>
              <w:t>5</w:t>
            </w:r>
          </w:p>
        </w:tc>
        <w:tc>
          <w:tcPr>
            <w:tcW w:w="889" w:type="pct"/>
            <w:noWrap/>
            <w:vAlign w:val="center"/>
          </w:tcPr>
          <w:p w:rsidR="003E499F" w:rsidRDefault="001B684B">
            <w:pPr>
              <w:jc w:val="center"/>
              <w:rPr>
                <w:sz w:val="18"/>
                <w:szCs w:val="18"/>
              </w:rPr>
            </w:pPr>
            <w:r>
              <w:rPr>
                <w:sz w:val="18"/>
                <w:szCs w:val="18"/>
              </w:rPr>
              <w:t>0.25</w:t>
            </w:r>
          </w:p>
        </w:tc>
      </w:tr>
    </w:tbl>
    <w:p w:rsidR="003E499F" w:rsidRDefault="001B684B" w:rsidP="008776ED">
      <w:pPr>
        <w:spacing w:beforeLines="50" w:line="360" w:lineRule="auto"/>
        <w:rPr>
          <w:rFonts w:eastAsia="黑体"/>
        </w:rPr>
      </w:pPr>
      <w:r>
        <w:rPr>
          <w:rFonts w:ascii="黑体" w:eastAsia="黑体" w:hAnsi="黑体" w:cs="黑体" w:hint="eastAsia"/>
        </w:rPr>
        <w:t>4.5.2</w:t>
      </w:r>
      <w:r>
        <w:rPr>
          <w:rFonts w:ascii="黑体" w:eastAsia="黑体" w:hAnsi="黑体" w:cs="黑体" w:hint="eastAsia"/>
        </w:rPr>
        <w:t>再现性</w:t>
      </w:r>
    </w:p>
    <w:p w:rsidR="003E499F" w:rsidRDefault="001B684B">
      <w:pPr>
        <w:pStyle w:val="12"/>
        <w:spacing w:after="0" w:line="360" w:lineRule="auto"/>
        <w:rPr>
          <w:rFonts w:ascii="Times New Roman" w:hAnsi="Times New Roman" w:cs="Times New Roman"/>
        </w:rPr>
      </w:pPr>
      <w:r>
        <w:rPr>
          <w:rFonts w:ascii="Times New Roman" w:eastAsia="宋体" w:hAnsi="Times New Roman" w:cs="Times New Roman"/>
          <w:sz w:val="21"/>
          <w:szCs w:val="21"/>
        </w:rPr>
        <w:t>在再现性条件下获得的两次独立测试结果的测定值，在以下给出的平均值范围内，这两个测试结果的绝对差值不超过再现性限（</w:t>
      </w:r>
      <w:r>
        <w:rPr>
          <w:rFonts w:ascii="Times New Roman" w:eastAsia="宋体" w:hAnsi="Times New Roman" w:cs="Times New Roman"/>
          <w:sz w:val="21"/>
          <w:szCs w:val="21"/>
        </w:rPr>
        <w:t>R</w:t>
      </w:r>
      <w:r>
        <w:rPr>
          <w:rFonts w:ascii="Times New Roman" w:eastAsia="宋体" w:hAnsi="Times New Roman" w:cs="Times New Roman"/>
          <w:sz w:val="21"/>
          <w:szCs w:val="21"/>
        </w:rPr>
        <w:t>），超过再现性限（</w:t>
      </w:r>
      <w:r>
        <w:rPr>
          <w:rFonts w:ascii="Times New Roman" w:eastAsia="宋体" w:hAnsi="Times New Roman" w:cs="Times New Roman"/>
          <w:sz w:val="21"/>
          <w:szCs w:val="21"/>
        </w:rPr>
        <w:t>R</w:t>
      </w:r>
      <w:r>
        <w:rPr>
          <w:rFonts w:ascii="Times New Roman" w:eastAsia="宋体" w:hAnsi="Times New Roman" w:cs="Times New Roman"/>
          <w:sz w:val="21"/>
          <w:szCs w:val="21"/>
        </w:rPr>
        <w:t>）的情况不超过</w:t>
      </w:r>
      <w:r>
        <w:rPr>
          <w:rFonts w:ascii="Times New Roman" w:eastAsia="宋体" w:hAnsi="Times New Roman" w:cs="Times New Roman"/>
          <w:sz w:val="21"/>
          <w:szCs w:val="21"/>
        </w:rPr>
        <w:t>5%</w:t>
      </w:r>
      <w:r>
        <w:rPr>
          <w:rFonts w:ascii="Times New Roman" w:eastAsia="宋体" w:hAnsi="Times New Roman" w:cs="Times New Roman"/>
          <w:sz w:val="21"/>
          <w:szCs w:val="21"/>
        </w:rPr>
        <w:t>，再现性限（</w:t>
      </w:r>
      <w:r>
        <w:rPr>
          <w:rFonts w:ascii="Times New Roman" w:eastAsia="宋体" w:hAnsi="Times New Roman" w:cs="Times New Roman"/>
          <w:sz w:val="21"/>
          <w:szCs w:val="21"/>
        </w:rPr>
        <w:t>R</w:t>
      </w:r>
      <w:r>
        <w:rPr>
          <w:rFonts w:ascii="Times New Roman" w:eastAsia="宋体" w:hAnsi="Times New Roman" w:cs="Times New Roman"/>
          <w:sz w:val="21"/>
          <w:szCs w:val="21"/>
        </w:rPr>
        <w:t>）按表</w:t>
      </w:r>
      <w:r>
        <w:rPr>
          <w:rFonts w:ascii="Times New Roman" w:eastAsia="宋体" w:hAnsi="Times New Roman" w:cs="Times New Roman"/>
          <w:sz w:val="21"/>
          <w:szCs w:val="21"/>
        </w:rPr>
        <w:t>6</w:t>
      </w:r>
      <w:r>
        <w:rPr>
          <w:rFonts w:ascii="Times New Roman" w:eastAsia="宋体" w:hAnsi="Times New Roman" w:cs="Times New Roman"/>
          <w:sz w:val="21"/>
          <w:szCs w:val="21"/>
        </w:rPr>
        <w:t>数据采用线性内插法或外延法求得：</w:t>
      </w:r>
    </w:p>
    <w:p w:rsidR="003E499F" w:rsidRDefault="001B684B">
      <w:pPr>
        <w:spacing w:line="360" w:lineRule="auto"/>
        <w:jc w:val="center"/>
        <w:rPr>
          <w:rFonts w:eastAsia="黑体"/>
        </w:rPr>
      </w:pPr>
      <w:r>
        <w:rPr>
          <w:rFonts w:eastAsia="黑体"/>
        </w:rPr>
        <w:t>表</w:t>
      </w:r>
      <w:r>
        <w:rPr>
          <w:rFonts w:eastAsia="黑体"/>
        </w:rPr>
        <w:t xml:space="preserve">6 </w:t>
      </w:r>
      <w:r>
        <w:rPr>
          <w:rFonts w:eastAsia="黑体"/>
        </w:rPr>
        <w:t>再现性限</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2"/>
        <w:gridCol w:w="1827"/>
        <w:gridCol w:w="1827"/>
        <w:gridCol w:w="1827"/>
        <w:gridCol w:w="1827"/>
        <w:gridCol w:w="1832"/>
      </w:tblGrid>
      <w:tr w:rsidR="003E499F">
        <w:trPr>
          <w:trHeight w:val="397"/>
          <w:jc w:val="center"/>
        </w:trPr>
        <w:tc>
          <w:tcPr>
            <w:tcW w:w="560" w:type="pct"/>
            <w:noWrap/>
            <w:vAlign w:val="center"/>
          </w:tcPr>
          <w:p w:rsidR="003E499F" w:rsidRDefault="001B684B">
            <w:pPr>
              <w:jc w:val="center"/>
              <w:rPr>
                <w:sz w:val="18"/>
                <w:szCs w:val="18"/>
              </w:rPr>
            </w:pPr>
            <w:r>
              <w:rPr>
                <w:i/>
                <w:szCs w:val="21"/>
              </w:rPr>
              <w:t>w</w:t>
            </w:r>
            <w:r>
              <w:rPr>
                <w:szCs w:val="21"/>
                <w:vertAlign w:val="subscript"/>
              </w:rPr>
              <w:t xml:space="preserve">Ni </w:t>
            </w:r>
            <w:r>
              <w:rPr>
                <w:szCs w:val="21"/>
              </w:rPr>
              <w:t>/</w:t>
            </w:r>
            <w:r>
              <w:rPr>
                <w:sz w:val="18"/>
                <w:szCs w:val="18"/>
              </w:rPr>
              <w:t xml:space="preserve"> %</w:t>
            </w:r>
          </w:p>
        </w:tc>
        <w:tc>
          <w:tcPr>
            <w:tcW w:w="887" w:type="pct"/>
            <w:noWrap/>
            <w:vAlign w:val="center"/>
          </w:tcPr>
          <w:p w:rsidR="003E499F" w:rsidRDefault="001B684B">
            <w:pPr>
              <w:jc w:val="center"/>
              <w:rPr>
                <w:sz w:val="18"/>
                <w:szCs w:val="18"/>
              </w:rPr>
            </w:pPr>
            <w:r>
              <w:rPr>
                <w:sz w:val="18"/>
                <w:szCs w:val="18"/>
              </w:rPr>
              <w:t>10.14</w:t>
            </w:r>
          </w:p>
        </w:tc>
        <w:tc>
          <w:tcPr>
            <w:tcW w:w="887" w:type="pct"/>
            <w:noWrap/>
            <w:vAlign w:val="center"/>
          </w:tcPr>
          <w:p w:rsidR="003E499F" w:rsidRDefault="001B684B">
            <w:pPr>
              <w:jc w:val="center"/>
              <w:rPr>
                <w:sz w:val="18"/>
                <w:szCs w:val="18"/>
              </w:rPr>
            </w:pPr>
            <w:r>
              <w:rPr>
                <w:sz w:val="18"/>
                <w:szCs w:val="18"/>
              </w:rPr>
              <w:t>12.76</w:t>
            </w:r>
          </w:p>
        </w:tc>
        <w:tc>
          <w:tcPr>
            <w:tcW w:w="887" w:type="pct"/>
            <w:noWrap/>
            <w:vAlign w:val="center"/>
          </w:tcPr>
          <w:p w:rsidR="003E499F" w:rsidRDefault="001B684B">
            <w:pPr>
              <w:jc w:val="center"/>
              <w:rPr>
                <w:sz w:val="18"/>
                <w:szCs w:val="18"/>
              </w:rPr>
            </w:pPr>
            <w:r>
              <w:rPr>
                <w:sz w:val="18"/>
                <w:szCs w:val="18"/>
              </w:rPr>
              <w:t>15.24</w:t>
            </w:r>
          </w:p>
        </w:tc>
        <w:tc>
          <w:tcPr>
            <w:tcW w:w="887" w:type="pct"/>
            <w:noWrap/>
            <w:vAlign w:val="center"/>
          </w:tcPr>
          <w:p w:rsidR="003E499F" w:rsidRDefault="001B684B">
            <w:pPr>
              <w:jc w:val="center"/>
              <w:rPr>
                <w:sz w:val="18"/>
                <w:szCs w:val="18"/>
              </w:rPr>
            </w:pPr>
            <w:r>
              <w:rPr>
                <w:sz w:val="18"/>
                <w:szCs w:val="18"/>
              </w:rPr>
              <w:t>19.14</w:t>
            </w:r>
          </w:p>
        </w:tc>
        <w:tc>
          <w:tcPr>
            <w:tcW w:w="889" w:type="pct"/>
            <w:noWrap/>
            <w:vAlign w:val="center"/>
          </w:tcPr>
          <w:p w:rsidR="003E499F" w:rsidRDefault="001B684B">
            <w:pPr>
              <w:jc w:val="center"/>
              <w:rPr>
                <w:sz w:val="18"/>
                <w:szCs w:val="18"/>
              </w:rPr>
            </w:pPr>
            <w:r>
              <w:rPr>
                <w:sz w:val="18"/>
                <w:szCs w:val="18"/>
              </w:rPr>
              <w:t>24.21</w:t>
            </w:r>
          </w:p>
        </w:tc>
      </w:tr>
      <w:tr w:rsidR="003E499F">
        <w:trPr>
          <w:trHeight w:val="397"/>
          <w:jc w:val="center"/>
        </w:trPr>
        <w:tc>
          <w:tcPr>
            <w:tcW w:w="560" w:type="pct"/>
            <w:noWrap/>
            <w:vAlign w:val="center"/>
          </w:tcPr>
          <w:p w:rsidR="003E499F" w:rsidRDefault="001B684B">
            <w:pPr>
              <w:jc w:val="center"/>
              <w:rPr>
                <w:sz w:val="18"/>
                <w:szCs w:val="18"/>
              </w:rPr>
            </w:pPr>
            <w:r>
              <w:rPr>
                <w:sz w:val="18"/>
                <w:szCs w:val="18"/>
              </w:rPr>
              <w:t>R/%</w:t>
            </w:r>
          </w:p>
        </w:tc>
        <w:tc>
          <w:tcPr>
            <w:tcW w:w="887" w:type="pct"/>
            <w:noWrap/>
            <w:vAlign w:val="center"/>
          </w:tcPr>
          <w:p w:rsidR="003E499F" w:rsidRDefault="001B684B">
            <w:pPr>
              <w:jc w:val="center"/>
              <w:rPr>
                <w:sz w:val="18"/>
                <w:szCs w:val="18"/>
              </w:rPr>
            </w:pPr>
            <w:r>
              <w:rPr>
                <w:sz w:val="18"/>
                <w:szCs w:val="18"/>
              </w:rPr>
              <w:t>0.23</w:t>
            </w:r>
          </w:p>
        </w:tc>
        <w:tc>
          <w:tcPr>
            <w:tcW w:w="887" w:type="pct"/>
            <w:noWrap/>
            <w:vAlign w:val="center"/>
          </w:tcPr>
          <w:p w:rsidR="003E499F" w:rsidRDefault="001B684B">
            <w:pPr>
              <w:jc w:val="center"/>
              <w:rPr>
                <w:sz w:val="18"/>
                <w:szCs w:val="18"/>
              </w:rPr>
            </w:pPr>
            <w:r>
              <w:rPr>
                <w:sz w:val="18"/>
                <w:szCs w:val="18"/>
              </w:rPr>
              <w:t>0.22</w:t>
            </w:r>
          </w:p>
        </w:tc>
        <w:tc>
          <w:tcPr>
            <w:tcW w:w="887" w:type="pct"/>
            <w:noWrap/>
            <w:vAlign w:val="center"/>
          </w:tcPr>
          <w:p w:rsidR="003E499F" w:rsidRDefault="001B684B">
            <w:pPr>
              <w:jc w:val="center"/>
              <w:rPr>
                <w:sz w:val="18"/>
                <w:szCs w:val="18"/>
              </w:rPr>
            </w:pPr>
            <w:r>
              <w:rPr>
                <w:sz w:val="18"/>
                <w:szCs w:val="18"/>
              </w:rPr>
              <w:t>0.26</w:t>
            </w:r>
          </w:p>
        </w:tc>
        <w:tc>
          <w:tcPr>
            <w:tcW w:w="887" w:type="pct"/>
            <w:noWrap/>
            <w:vAlign w:val="center"/>
          </w:tcPr>
          <w:p w:rsidR="003E499F" w:rsidRDefault="001B684B">
            <w:pPr>
              <w:jc w:val="center"/>
              <w:rPr>
                <w:sz w:val="18"/>
                <w:szCs w:val="18"/>
              </w:rPr>
            </w:pPr>
            <w:r>
              <w:rPr>
                <w:sz w:val="18"/>
                <w:szCs w:val="18"/>
              </w:rPr>
              <w:t>0.31</w:t>
            </w:r>
          </w:p>
        </w:tc>
        <w:tc>
          <w:tcPr>
            <w:tcW w:w="889" w:type="pct"/>
            <w:noWrap/>
            <w:vAlign w:val="center"/>
          </w:tcPr>
          <w:p w:rsidR="003E499F" w:rsidRDefault="001B684B">
            <w:pPr>
              <w:jc w:val="center"/>
              <w:rPr>
                <w:sz w:val="18"/>
                <w:szCs w:val="18"/>
              </w:rPr>
            </w:pPr>
            <w:r>
              <w:rPr>
                <w:sz w:val="18"/>
                <w:szCs w:val="18"/>
              </w:rPr>
              <w:t>0.36</w:t>
            </w:r>
          </w:p>
        </w:tc>
      </w:tr>
    </w:tbl>
    <w:p w:rsidR="003E499F" w:rsidRDefault="001B684B" w:rsidP="008776ED">
      <w:pPr>
        <w:spacing w:beforeLines="50" w:line="360" w:lineRule="auto"/>
        <w:rPr>
          <w:rFonts w:ascii="黑体" w:eastAsia="黑体" w:hAnsi="黑体" w:cs="黑体"/>
        </w:rPr>
      </w:pPr>
      <w:r>
        <w:rPr>
          <w:rFonts w:ascii="黑体" w:eastAsia="黑体" w:hAnsi="黑体" w:cs="黑体" w:hint="eastAsia"/>
        </w:rPr>
        <w:t>5</w:t>
      </w:r>
      <w:r>
        <w:rPr>
          <w:rFonts w:ascii="黑体" w:eastAsia="黑体" w:hAnsi="黑体" w:cs="黑体" w:hint="eastAsia"/>
        </w:rPr>
        <w:t>试验报告</w:t>
      </w:r>
    </w:p>
    <w:p w:rsidR="003E499F" w:rsidRDefault="001B684B">
      <w:pPr>
        <w:spacing w:line="360" w:lineRule="auto"/>
        <w:ind w:left="147" w:firstLineChars="100" w:firstLine="210"/>
        <w:rPr>
          <w:szCs w:val="21"/>
        </w:rPr>
      </w:pPr>
      <w:r>
        <w:rPr>
          <w:szCs w:val="21"/>
        </w:rPr>
        <w:t>试验报告至少应给出以下几个方面的内容：</w:t>
      </w:r>
    </w:p>
    <w:p w:rsidR="003E499F" w:rsidRDefault="001B684B">
      <w:pPr>
        <w:spacing w:line="360" w:lineRule="auto"/>
        <w:ind w:left="147" w:firstLineChars="100" w:firstLine="210"/>
        <w:rPr>
          <w:szCs w:val="21"/>
        </w:rPr>
      </w:pPr>
      <w:r>
        <w:rPr>
          <w:i/>
          <w:szCs w:val="21"/>
        </w:rPr>
        <w:t xml:space="preserve">—— </w:t>
      </w:r>
      <w:r>
        <w:rPr>
          <w:szCs w:val="21"/>
        </w:rPr>
        <w:t>试样；</w:t>
      </w:r>
    </w:p>
    <w:p w:rsidR="003E499F" w:rsidRDefault="001B684B">
      <w:pPr>
        <w:spacing w:line="360" w:lineRule="auto"/>
        <w:ind w:leftChars="70" w:left="147" w:firstLineChars="100" w:firstLine="210"/>
        <w:rPr>
          <w:szCs w:val="21"/>
        </w:rPr>
      </w:pPr>
      <w:r>
        <w:rPr>
          <w:i/>
          <w:szCs w:val="21"/>
        </w:rPr>
        <w:t xml:space="preserve">—— </w:t>
      </w:r>
      <w:r>
        <w:rPr>
          <w:szCs w:val="21"/>
        </w:rPr>
        <w:t>使用的标准（</w:t>
      </w:r>
      <w:r>
        <w:rPr>
          <w:szCs w:val="21"/>
        </w:rPr>
        <w:t>T/CNIA XX-20XX</w:t>
      </w:r>
      <w:r>
        <w:rPr>
          <w:szCs w:val="21"/>
        </w:rPr>
        <w:t>）；</w:t>
      </w:r>
    </w:p>
    <w:p w:rsidR="003E499F" w:rsidRDefault="001B684B">
      <w:pPr>
        <w:spacing w:line="360" w:lineRule="auto"/>
        <w:ind w:leftChars="70" w:left="147" w:firstLineChars="100" w:firstLine="210"/>
        <w:rPr>
          <w:szCs w:val="21"/>
        </w:rPr>
      </w:pPr>
      <w:r>
        <w:rPr>
          <w:i/>
          <w:szCs w:val="21"/>
        </w:rPr>
        <w:t xml:space="preserve">—— </w:t>
      </w:r>
      <w:r>
        <w:rPr>
          <w:szCs w:val="21"/>
        </w:rPr>
        <w:t>使用的方法；</w:t>
      </w:r>
    </w:p>
    <w:p w:rsidR="003E499F" w:rsidRDefault="001B684B">
      <w:pPr>
        <w:spacing w:line="360" w:lineRule="auto"/>
        <w:ind w:left="147" w:firstLineChars="100" w:firstLine="210"/>
        <w:rPr>
          <w:szCs w:val="21"/>
        </w:rPr>
      </w:pPr>
      <w:r>
        <w:rPr>
          <w:i/>
          <w:szCs w:val="21"/>
        </w:rPr>
        <w:t xml:space="preserve">—— </w:t>
      </w:r>
      <w:r>
        <w:rPr>
          <w:szCs w:val="21"/>
        </w:rPr>
        <w:t>分析结果及其表示；</w:t>
      </w:r>
    </w:p>
    <w:p w:rsidR="003E499F" w:rsidRDefault="001B684B">
      <w:pPr>
        <w:spacing w:line="360" w:lineRule="auto"/>
        <w:ind w:left="147" w:firstLineChars="100" w:firstLine="210"/>
        <w:rPr>
          <w:szCs w:val="21"/>
        </w:rPr>
      </w:pPr>
      <w:r>
        <w:rPr>
          <w:i/>
          <w:szCs w:val="21"/>
        </w:rPr>
        <w:t xml:space="preserve">—— </w:t>
      </w:r>
      <w:r>
        <w:rPr>
          <w:szCs w:val="21"/>
        </w:rPr>
        <w:t>与基本分析步骤的差异；</w:t>
      </w:r>
    </w:p>
    <w:p w:rsidR="003E499F" w:rsidRDefault="001B684B">
      <w:pPr>
        <w:spacing w:line="360" w:lineRule="auto"/>
        <w:ind w:left="147" w:firstLineChars="100" w:firstLine="210"/>
        <w:rPr>
          <w:szCs w:val="21"/>
        </w:rPr>
      </w:pPr>
      <w:r>
        <w:rPr>
          <w:i/>
          <w:szCs w:val="21"/>
        </w:rPr>
        <w:t xml:space="preserve">—— </w:t>
      </w:r>
      <w:r>
        <w:rPr>
          <w:szCs w:val="21"/>
        </w:rPr>
        <w:t>测定中观察到的异常现象；</w:t>
      </w:r>
    </w:p>
    <w:p w:rsidR="003E499F" w:rsidRDefault="001B684B">
      <w:pPr>
        <w:spacing w:line="360" w:lineRule="auto"/>
        <w:ind w:firstLineChars="150" w:firstLine="315"/>
        <w:rPr>
          <w:szCs w:val="21"/>
        </w:rPr>
      </w:pPr>
      <w:r>
        <w:rPr>
          <w:i/>
          <w:szCs w:val="21"/>
        </w:rPr>
        <w:t xml:space="preserve">—— </w:t>
      </w:r>
      <w:r>
        <w:rPr>
          <w:szCs w:val="21"/>
        </w:rPr>
        <w:t>试验日期。</w:t>
      </w:r>
    </w:p>
    <w:p w:rsidR="003E499F" w:rsidRDefault="003E499F">
      <w:pPr>
        <w:ind w:firstLineChars="50" w:firstLine="105"/>
        <w:rPr>
          <w:szCs w:val="21"/>
        </w:rPr>
      </w:pPr>
    </w:p>
    <w:p w:rsidR="003E499F" w:rsidRDefault="003E499F">
      <w:pPr>
        <w:spacing w:line="360" w:lineRule="auto"/>
        <w:ind w:firstLineChars="50" w:firstLine="105"/>
        <w:rPr>
          <w:szCs w:val="21"/>
        </w:rPr>
      </w:pPr>
    </w:p>
    <w:p w:rsidR="003E499F" w:rsidRDefault="003E499F">
      <w:pPr>
        <w:ind w:firstLineChars="50" w:firstLine="105"/>
        <w:rPr>
          <w:szCs w:val="21"/>
        </w:rPr>
      </w:pPr>
    </w:p>
    <w:p w:rsidR="003E499F" w:rsidRDefault="003E499F">
      <w:pPr>
        <w:ind w:firstLineChars="50" w:firstLine="105"/>
        <w:rPr>
          <w:szCs w:val="21"/>
        </w:rPr>
      </w:pPr>
    </w:p>
    <w:p w:rsidR="003E499F" w:rsidRDefault="003E499F">
      <w:pPr>
        <w:ind w:firstLineChars="50" w:firstLine="105"/>
        <w:rPr>
          <w:szCs w:val="21"/>
        </w:rPr>
      </w:pPr>
    </w:p>
    <w:p w:rsidR="003E499F" w:rsidRDefault="003E499F">
      <w:pPr>
        <w:rPr>
          <w:szCs w:val="21"/>
        </w:rPr>
      </w:pPr>
    </w:p>
    <w:sectPr w:rsidR="003E499F" w:rsidSect="003E499F">
      <w:pgSz w:w="11907" w:h="16840"/>
      <w:pgMar w:top="1418" w:right="829" w:bottom="1418" w:left="998" w:header="1134" w:footer="113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84B" w:rsidRDefault="001B684B" w:rsidP="003E499F">
      <w:r>
        <w:separator/>
      </w:r>
    </w:p>
  </w:endnote>
  <w:endnote w:type="continuationSeparator" w:id="1">
    <w:p w:rsidR="001B684B" w:rsidRDefault="001B684B" w:rsidP="003E4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99F" w:rsidRDefault="003E499F">
    <w:pPr>
      <w:pStyle w:val="a7"/>
      <w:framePr w:wrap="around" w:vAnchor="text" w:hAnchor="margin" w:xAlign="right" w:y="1"/>
      <w:rPr>
        <w:rStyle w:val="ad"/>
      </w:rPr>
    </w:pPr>
    <w:r>
      <w:rPr>
        <w:rStyle w:val="ad"/>
      </w:rPr>
      <w:fldChar w:fldCharType="begin"/>
    </w:r>
    <w:r w:rsidR="001B684B">
      <w:rPr>
        <w:rStyle w:val="ad"/>
      </w:rPr>
      <w:instrText xml:space="preserve">PAGE  </w:instrText>
    </w:r>
    <w:r>
      <w:rPr>
        <w:rStyle w:val="ad"/>
      </w:rPr>
      <w:fldChar w:fldCharType="separate"/>
    </w:r>
    <w:r w:rsidR="001B684B">
      <w:rPr>
        <w:rStyle w:val="ad"/>
      </w:rPr>
      <w:t>7</w:t>
    </w:r>
    <w:r>
      <w:rPr>
        <w:rStyle w:val="ad"/>
      </w:rPr>
      <w:fldChar w:fldCharType="end"/>
    </w:r>
  </w:p>
  <w:p w:rsidR="003E499F" w:rsidRDefault="003E499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99F" w:rsidRDefault="003E499F">
    <w:pPr>
      <w:pStyle w:val="affa"/>
      <w:rPr>
        <w:rStyle w:val="ad"/>
      </w:rPr>
    </w:pPr>
    <w:r>
      <w:rPr>
        <w:rStyle w:val="ad"/>
      </w:rPr>
      <w:fldChar w:fldCharType="begin"/>
    </w:r>
    <w:r w:rsidR="001B684B">
      <w:rPr>
        <w:rStyle w:val="ad"/>
      </w:rPr>
      <w:instrText xml:space="preserve">PAGE  </w:instrText>
    </w:r>
    <w:r>
      <w:rPr>
        <w:rStyle w:val="ad"/>
      </w:rPr>
      <w:fldChar w:fldCharType="separate"/>
    </w:r>
    <w:r w:rsidR="001B684B">
      <w:rPr>
        <w:rStyle w:val="ad"/>
      </w:rPr>
      <w:t>7</w:t>
    </w:r>
    <w:r>
      <w:rPr>
        <w:rStyle w:val="ad"/>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99F" w:rsidRDefault="003E499F">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99F" w:rsidRDefault="003E499F">
    <w:pPr>
      <w:pStyle w:val="affffd"/>
      <w:rPr>
        <w:rStyle w:val="ad"/>
      </w:rPr>
    </w:pPr>
    <w:r>
      <w:rPr>
        <w:rStyle w:val="ad"/>
      </w:rPr>
      <w:fldChar w:fldCharType="begin"/>
    </w:r>
    <w:r w:rsidR="001B684B">
      <w:rPr>
        <w:rStyle w:val="ad"/>
      </w:rPr>
      <w:instrText xml:space="preserve">PAGE  </w:instrText>
    </w:r>
    <w:r>
      <w:rPr>
        <w:rStyle w:val="ad"/>
      </w:rPr>
      <w:fldChar w:fldCharType="separate"/>
    </w:r>
    <w:r w:rsidR="001B684B">
      <w:rPr>
        <w:rStyle w:val="ad"/>
      </w:rPr>
      <w:t>7</w:t>
    </w:r>
    <w:r>
      <w:rPr>
        <w:rStyle w:val="ad"/>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99F" w:rsidRDefault="003E499F">
    <w:pPr>
      <w:pStyle w:val="affa"/>
      <w:rPr>
        <w:rStyle w:val="ad"/>
        <w:rFonts w:ascii="宋体"/>
      </w:rPr>
    </w:pPr>
    <w:r>
      <w:rPr>
        <w:rStyle w:val="ad"/>
        <w:rFonts w:ascii="宋体" w:hAnsi="宋体"/>
      </w:rPr>
      <w:fldChar w:fldCharType="begin"/>
    </w:r>
    <w:r w:rsidR="001B684B">
      <w:rPr>
        <w:rStyle w:val="ad"/>
        <w:rFonts w:ascii="宋体" w:hAnsi="宋体"/>
      </w:rPr>
      <w:instrText xml:space="preserve">PAGE  </w:instrText>
    </w:r>
    <w:r>
      <w:rPr>
        <w:rStyle w:val="ad"/>
        <w:rFonts w:ascii="宋体" w:hAnsi="宋体"/>
      </w:rPr>
      <w:fldChar w:fldCharType="separate"/>
    </w:r>
    <w:r w:rsidR="008776ED">
      <w:rPr>
        <w:rStyle w:val="ad"/>
        <w:rFonts w:ascii="宋体" w:hAnsi="宋体"/>
        <w:noProof/>
      </w:rPr>
      <w:t>I</w:t>
    </w:r>
    <w:r>
      <w:rPr>
        <w:rStyle w:val="ad"/>
        <w:rFonts w:ascii="宋体" w:hAnsi="宋体"/>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84B" w:rsidRDefault="001B684B" w:rsidP="003E499F">
      <w:r>
        <w:separator/>
      </w:r>
    </w:p>
  </w:footnote>
  <w:footnote w:type="continuationSeparator" w:id="1">
    <w:p w:rsidR="001B684B" w:rsidRDefault="001B684B" w:rsidP="003E4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99F" w:rsidRDefault="003E499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99F" w:rsidRDefault="001B684B">
    <w:pPr>
      <w:pStyle w:val="aff0"/>
      <w:rPr>
        <w:rFonts w:ascii="黑体" w:eastAsia="黑体"/>
      </w:rPr>
    </w:pPr>
    <w:r>
      <w:rPr>
        <w:rFonts w:ascii="黑体" w:eastAsia="黑体"/>
      </w:rPr>
      <w:t>YS/T 40</w:t>
    </w:r>
    <w:r>
      <w:rPr>
        <w:rFonts w:ascii="黑体" w:eastAsia="黑体"/>
      </w:rPr>
      <w:t>—</w:t>
    </w:r>
    <w:r>
      <w:rPr>
        <w:rFonts w:ascii="黑体" w:eastAsia="黑体"/>
      </w:rPr>
      <w:t>201</w:t>
    </w:r>
    <w:r>
      <w:rPr>
        <w:rFonts w:ascii="黑体" w:eastAsia="黑体" w:hint="eastAsia"/>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99F" w:rsidRDefault="003E499F">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99F" w:rsidRDefault="001B684B">
    <w:pPr>
      <w:pStyle w:val="aff0"/>
      <w:jc w:val="both"/>
      <w:rPr>
        <w:rFonts w:ascii="黑体" w:eastAsia="黑体"/>
      </w:rPr>
    </w:pPr>
    <w:r>
      <w:rPr>
        <w:rFonts w:ascii="黑体" w:eastAsia="黑体"/>
      </w:rPr>
      <w:t xml:space="preserve">GB/T </w:t>
    </w:r>
    <w:r>
      <w:rPr>
        <w:rFonts w:ascii="黑体" w:eastAsia="黑体" w:hint="eastAsia"/>
      </w:rPr>
      <w:t>××××</w:t>
    </w:r>
    <w:r>
      <w:rPr>
        <w:rFonts w:ascii="黑体" w:eastAsia="黑体"/>
      </w:rPr>
      <w:t>—</w:t>
    </w:r>
    <w:r>
      <w:rPr>
        <w:rFonts w:ascii="黑体" w:eastAsia="黑体"/>
      </w:rPr>
      <w:t>201</w:t>
    </w:r>
    <w:r>
      <w:rPr>
        <w:rFonts w:ascii="黑体" w:eastAsia="黑体" w:hint="eastAsia"/>
      </w:rPr>
      <w: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99F" w:rsidRDefault="001B684B">
    <w:pPr>
      <w:pStyle w:val="aff0"/>
      <w:rPr>
        <w:rFonts w:ascii="黑体" w:eastAsia="黑体"/>
      </w:rPr>
    </w:pPr>
    <w:r>
      <w:rPr>
        <w:rFonts w:ascii="黑体" w:eastAsia="黑体"/>
      </w:rPr>
      <w:t>T/CNIAXX</w:t>
    </w:r>
    <w:r>
      <w:rPr>
        <w:rFonts w:ascii="黑体" w:eastAsia="黑体"/>
      </w:rPr>
      <w:t>—</w:t>
    </w:r>
    <w:r>
      <w:rPr>
        <w:rFonts w:ascii="黑体" w:eastAsia="黑体"/>
      </w:rPr>
      <w:t>20XX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attachedTemplate r:id="rId1"/>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7CA5"/>
    <w:rsid w:val="000660D2"/>
    <w:rsid w:val="00076B6A"/>
    <w:rsid w:val="0009471C"/>
    <w:rsid w:val="00097E47"/>
    <w:rsid w:val="000C333A"/>
    <w:rsid w:val="000D3C1A"/>
    <w:rsid w:val="000F7D2C"/>
    <w:rsid w:val="00106826"/>
    <w:rsid w:val="00115117"/>
    <w:rsid w:val="00124EF3"/>
    <w:rsid w:val="001402A3"/>
    <w:rsid w:val="00172A27"/>
    <w:rsid w:val="001763B1"/>
    <w:rsid w:val="001B5877"/>
    <w:rsid w:val="001B684B"/>
    <w:rsid w:val="001B7FD3"/>
    <w:rsid w:val="001C13A8"/>
    <w:rsid w:val="001C1654"/>
    <w:rsid w:val="001E2B35"/>
    <w:rsid w:val="001F05E2"/>
    <w:rsid w:val="001F1AA2"/>
    <w:rsid w:val="0020544F"/>
    <w:rsid w:val="002114B2"/>
    <w:rsid w:val="00214B42"/>
    <w:rsid w:val="002156BC"/>
    <w:rsid w:val="00223C0C"/>
    <w:rsid w:val="00223C4D"/>
    <w:rsid w:val="00236DC5"/>
    <w:rsid w:val="00266B37"/>
    <w:rsid w:val="002A1499"/>
    <w:rsid w:val="002D2BDF"/>
    <w:rsid w:val="002E4940"/>
    <w:rsid w:val="002F46C4"/>
    <w:rsid w:val="003125DB"/>
    <w:rsid w:val="00346EA6"/>
    <w:rsid w:val="003640F8"/>
    <w:rsid w:val="003655FF"/>
    <w:rsid w:val="00372368"/>
    <w:rsid w:val="00390349"/>
    <w:rsid w:val="003C0C24"/>
    <w:rsid w:val="003D2D58"/>
    <w:rsid w:val="003D6809"/>
    <w:rsid w:val="003E499F"/>
    <w:rsid w:val="00401354"/>
    <w:rsid w:val="00402F17"/>
    <w:rsid w:val="00415A15"/>
    <w:rsid w:val="00425BF4"/>
    <w:rsid w:val="00434257"/>
    <w:rsid w:val="00442DE2"/>
    <w:rsid w:val="004457FD"/>
    <w:rsid w:val="00447819"/>
    <w:rsid w:val="0046530C"/>
    <w:rsid w:val="004969EA"/>
    <w:rsid w:val="004D1EEC"/>
    <w:rsid w:val="004F40EC"/>
    <w:rsid w:val="004F6B7A"/>
    <w:rsid w:val="0050059E"/>
    <w:rsid w:val="00513C68"/>
    <w:rsid w:val="00540C1B"/>
    <w:rsid w:val="00541CBC"/>
    <w:rsid w:val="00545FD7"/>
    <w:rsid w:val="00555F9B"/>
    <w:rsid w:val="00581A03"/>
    <w:rsid w:val="005C5DA7"/>
    <w:rsid w:val="005C5FE8"/>
    <w:rsid w:val="005E1904"/>
    <w:rsid w:val="005E61B3"/>
    <w:rsid w:val="00604FD4"/>
    <w:rsid w:val="00605FF7"/>
    <w:rsid w:val="00620066"/>
    <w:rsid w:val="00631B16"/>
    <w:rsid w:val="006356D2"/>
    <w:rsid w:val="00636A24"/>
    <w:rsid w:val="00643783"/>
    <w:rsid w:val="00643C2C"/>
    <w:rsid w:val="006537EB"/>
    <w:rsid w:val="00657BEB"/>
    <w:rsid w:val="006651C5"/>
    <w:rsid w:val="00667205"/>
    <w:rsid w:val="006B0668"/>
    <w:rsid w:val="006B7286"/>
    <w:rsid w:val="006D48EC"/>
    <w:rsid w:val="006E5418"/>
    <w:rsid w:val="006F016D"/>
    <w:rsid w:val="00710F01"/>
    <w:rsid w:val="00725AFE"/>
    <w:rsid w:val="0073643B"/>
    <w:rsid w:val="00745485"/>
    <w:rsid w:val="007471ED"/>
    <w:rsid w:val="00760A91"/>
    <w:rsid w:val="00775A39"/>
    <w:rsid w:val="00776C7E"/>
    <w:rsid w:val="007A6427"/>
    <w:rsid w:val="007C62BD"/>
    <w:rsid w:val="00805B0D"/>
    <w:rsid w:val="00807D49"/>
    <w:rsid w:val="0085458E"/>
    <w:rsid w:val="0087568F"/>
    <w:rsid w:val="008776ED"/>
    <w:rsid w:val="00886D4F"/>
    <w:rsid w:val="00896EF8"/>
    <w:rsid w:val="008A552F"/>
    <w:rsid w:val="008C4CAF"/>
    <w:rsid w:val="008F4142"/>
    <w:rsid w:val="009107CB"/>
    <w:rsid w:val="009235CE"/>
    <w:rsid w:val="00944A81"/>
    <w:rsid w:val="00955023"/>
    <w:rsid w:val="009838B6"/>
    <w:rsid w:val="0098732A"/>
    <w:rsid w:val="009B5A0E"/>
    <w:rsid w:val="009E5D42"/>
    <w:rsid w:val="00A0473F"/>
    <w:rsid w:val="00A61DB8"/>
    <w:rsid w:val="00A728FC"/>
    <w:rsid w:val="00A821EC"/>
    <w:rsid w:val="00A906E3"/>
    <w:rsid w:val="00A95A0D"/>
    <w:rsid w:val="00AC2FA5"/>
    <w:rsid w:val="00AD1302"/>
    <w:rsid w:val="00AD1E8B"/>
    <w:rsid w:val="00B158E2"/>
    <w:rsid w:val="00B20986"/>
    <w:rsid w:val="00B31243"/>
    <w:rsid w:val="00B3569E"/>
    <w:rsid w:val="00B36EDF"/>
    <w:rsid w:val="00B37DDA"/>
    <w:rsid w:val="00B524C9"/>
    <w:rsid w:val="00B55806"/>
    <w:rsid w:val="00B85568"/>
    <w:rsid w:val="00B93947"/>
    <w:rsid w:val="00B95A75"/>
    <w:rsid w:val="00BA3934"/>
    <w:rsid w:val="00BB163A"/>
    <w:rsid w:val="00BD0641"/>
    <w:rsid w:val="00BD0D8B"/>
    <w:rsid w:val="00BD354E"/>
    <w:rsid w:val="00BD6C5D"/>
    <w:rsid w:val="00BE1DE3"/>
    <w:rsid w:val="00BE1FD4"/>
    <w:rsid w:val="00BE473F"/>
    <w:rsid w:val="00BE5072"/>
    <w:rsid w:val="00BF59AC"/>
    <w:rsid w:val="00BF76BF"/>
    <w:rsid w:val="00C0455D"/>
    <w:rsid w:val="00C07B88"/>
    <w:rsid w:val="00C757BA"/>
    <w:rsid w:val="00C85409"/>
    <w:rsid w:val="00CA5005"/>
    <w:rsid w:val="00CD6E75"/>
    <w:rsid w:val="00CE72FD"/>
    <w:rsid w:val="00CF5C4D"/>
    <w:rsid w:val="00D0741C"/>
    <w:rsid w:val="00D3080D"/>
    <w:rsid w:val="00D332F8"/>
    <w:rsid w:val="00D341DE"/>
    <w:rsid w:val="00D35F88"/>
    <w:rsid w:val="00D4084A"/>
    <w:rsid w:val="00D40A54"/>
    <w:rsid w:val="00D46BA9"/>
    <w:rsid w:val="00D537D1"/>
    <w:rsid w:val="00D6529B"/>
    <w:rsid w:val="00D81E71"/>
    <w:rsid w:val="00D825E4"/>
    <w:rsid w:val="00D96C7B"/>
    <w:rsid w:val="00DB04F9"/>
    <w:rsid w:val="00DE3C36"/>
    <w:rsid w:val="00E078A9"/>
    <w:rsid w:val="00E174DF"/>
    <w:rsid w:val="00E26325"/>
    <w:rsid w:val="00E31C1C"/>
    <w:rsid w:val="00E96AE0"/>
    <w:rsid w:val="00EB786E"/>
    <w:rsid w:val="00EC3524"/>
    <w:rsid w:val="00ED7F63"/>
    <w:rsid w:val="00EF3EDF"/>
    <w:rsid w:val="00EF4930"/>
    <w:rsid w:val="00EF51BD"/>
    <w:rsid w:val="00F0533A"/>
    <w:rsid w:val="00F118F6"/>
    <w:rsid w:val="00F2244B"/>
    <w:rsid w:val="00F30955"/>
    <w:rsid w:val="00F44442"/>
    <w:rsid w:val="00F561EC"/>
    <w:rsid w:val="00F63B9A"/>
    <w:rsid w:val="00F84C4A"/>
    <w:rsid w:val="00F929DD"/>
    <w:rsid w:val="00F9373D"/>
    <w:rsid w:val="00FC549D"/>
    <w:rsid w:val="00FC5E30"/>
    <w:rsid w:val="00FE5C91"/>
    <w:rsid w:val="02124A18"/>
    <w:rsid w:val="04DA6352"/>
    <w:rsid w:val="068C0A97"/>
    <w:rsid w:val="08A93C63"/>
    <w:rsid w:val="0A87797C"/>
    <w:rsid w:val="0B761CCE"/>
    <w:rsid w:val="0CED5DCB"/>
    <w:rsid w:val="0D4C7488"/>
    <w:rsid w:val="0D790D55"/>
    <w:rsid w:val="0E2C12F8"/>
    <w:rsid w:val="104C04AF"/>
    <w:rsid w:val="10D70E75"/>
    <w:rsid w:val="11382978"/>
    <w:rsid w:val="13314E15"/>
    <w:rsid w:val="14740388"/>
    <w:rsid w:val="148E48C1"/>
    <w:rsid w:val="149A4FD0"/>
    <w:rsid w:val="14F54442"/>
    <w:rsid w:val="16215C53"/>
    <w:rsid w:val="16D12DD4"/>
    <w:rsid w:val="18580613"/>
    <w:rsid w:val="19063240"/>
    <w:rsid w:val="1DB91A8C"/>
    <w:rsid w:val="200B322E"/>
    <w:rsid w:val="20651609"/>
    <w:rsid w:val="24245BC2"/>
    <w:rsid w:val="24AE22C3"/>
    <w:rsid w:val="251165C1"/>
    <w:rsid w:val="27836786"/>
    <w:rsid w:val="29FE52D4"/>
    <w:rsid w:val="2B56480B"/>
    <w:rsid w:val="2C3034E6"/>
    <w:rsid w:val="2CD306DA"/>
    <w:rsid w:val="2CDB5DC8"/>
    <w:rsid w:val="2D6B6856"/>
    <w:rsid w:val="2E981F9C"/>
    <w:rsid w:val="2F2711FA"/>
    <w:rsid w:val="2F397938"/>
    <w:rsid w:val="30B937BB"/>
    <w:rsid w:val="30E1233F"/>
    <w:rsid w:val="314179DA"/>
    <w:rsid w:val="31EB1333"/>
    <w:rsid w:val="32F27CFD"/>
    <w:rsid w:val="340A4CBC"/>
    <w:rsid w:val="34F8054D"/>
    <w:rsid w:val="35A369F6"/>
    <w:rsid w:val="36106708"/>
    <w:rsid w:val="376F3FC2"/>
    <w:rsid w:val="38DA7AF0"/>
    <w:rsid w:val="38F52B08"/>
    <w:rsid w:val="390F3B83"/>
    <w:rsid w:val="3C590376"/>
    <w:rsid w:val="3C6612DB"/>
    <w:rsid w:val="3C7471E9"/>
    <w:rsid w:val="3C982850"/>
    <w:rsid w:val="3C9B3AB6"/>
    <w:rsid w:val="3CBC3394"/>
    <w:rsid w:val="3D4F4383"/>
    <w:rsid w:val="3E1E6293"/>
    <w:rsid w:val="411E3212"/>
    <w:rsid w:val="416839B8"/>
    <w:rsid w:val="41CC0BDB"/>
    <w:rsid w:val="437B48BA"/>
    <w:rsid w:val="445970FF"/>
    <w:rsid w:val="449A201B"/>
    <w:rsid w:val="44A334FF"/>
    <w:rsid w:val="44BC4A5D"/>
    <w:rsid w:val="45DD4222"/>
    <w:rsid w:val="4728631B"/>
    <w:rsid w:val="495148FB"/>
    <w:rsid w:val="4B984E54"/>
    <w:rsid w:val="4C1F037F"/>
    <w:rsid w:val="4C3E564F"/>
    <w:rsid w:val="4C9B11CE"/>
    <w:rsid w:val="4CDA3EF3"/>
    <w:rsid w:val="4D265A93"/>
    <w:rsid w:val="4DD408A9"/>
    <w:rsid w:val="4E147A81"/>
    <w:rsid w:val="4EB978BD"/>
    <w:rsid w:val="4EBB2BEE"/>
    <w:rsid w:val="4F047BC2"/>
    <w:rsid w:val="4F617EAE"/>
    <w:rsid w:val="50170538"/>
    <w:rsid w:val="5051330F"/>
    <w:rsid w:val="505E15FD"/>
    <w:rsid w:val="525E079F"/>
    <w:rsid w:val="52A513BC"/>
    <w:rsid w:val="53461262"/>
    <w:rsid w:val="541454B1"/>
    <w:rsid w:val="54DA4BAD"/>
    <w:rsid w:val="55160A5F"/>
    <w:rsid w:val="55770C4D"/>
    <w:rsid w:val="56A821A8"/>
    <w:rsid w:val="57D44E52"/>
    <w:rsid w:val="5B1C1C78"/>
    <w:rsid w:val="5BBC409D"/>
    <w:rsid w:val="5CC41871"/>
    <w:rsid w:val="5CE97731"/>
    <w:rsid w:val="5E4F0018"/>
    <w:rsid w:val="60527080"/>
    <w:rsid w:val="61424102"/>
    <w:rsid w:val="61A57FDE"/>
    <w:rsid w:val="62CE48A0"/>
    <w:rsid w:val="636B7318"/>
    <w:rsid w:val="63B43059"/>
    <w:rsid w:val="65CB378B"/>
    <w:rsid w:val="66B32386"/>
    <w:rsid w:val="690675B2"/>
    <w:rsid w:val="6A0E73D3"/>
    <w:rsid w:val="6A97410D"/>
    <w:rsid w:val="6E705B47"/>
    <w:rsid w:val="6E8C18BE"/>
    <w:rsid w:val="6F212CBB"/>
    <w:rsid w:val="704535B6"/>
    <w:rsid w:val="70BB6CEB"/>
    <w:rsid w:val="71C900BF"/>
    <w:rsid w:val="71D055BC"/>
    <w:rsid w:val="71D66D8E"/>
    <w:rsid w:val="71F46820"/>
    <w:rsid w:val="72B576DE"/>
    <w:rsid w:val="72FA786D"/>
    <w:rsid w:val="72FD0F01"/>
    <w:rsid w:val="73A568DD"/>
    <w:rsid w:val="747E352A"/>
    <w:rsid w:val="7495264F"/>
    <w:rsid w:val="74AF0B9A"/>
    <w:rsid w:val="77E343A6"/>
    <w:rsid w:val="789779ED"/>
    <w:rsid w:val="7938474F"/>
    <w:rsid w:val="7A3678FF"/>
    <w:rsid w:val="7B2C3675"/>
    <w:rsid w:val="7B690355"/>
    <w:rsid w:val="7C2111D4"/>
    <w:rsid w:val="7CD55D51"/>
    <w:rsid w:val="7D304775"/>
    <w:rsid w:val="7D926E48"/>
    <w:rsid w:val="7E1D39C2"/>
    <w:rsid w:val="7EF22EBA"/>
    <w:rsid w:val="7F1C7FB1"/>
    <w:rsid w:val="7FAA7026"/>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rules v:ext="edit">
        <o:r id="V:Rule2" type="connector" idref="#自选图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499F"/>
    <w:pPr>
      <w:widowControl w:val="0"/>
      <w:jc w:val="both"/>
    </w:pPr>
    <w:rPr>
      <w:kern w:val="2"/>
      <w:sz w:val="21"/>
      <w:szCs w:val="24"/>
    </w:rPr>
  </w:style>
  <w:style w:type="paragraph" w:styleId="1">
    <w:name w:val="heading 1"/>
    <w:basedOn w:val="a"/>
    <w:next w:val="a"/>
    <w:link w:val="1Char"/>
    <w:uiPriority w:val="99"/>
    <w:qFormat/>
    <w:rsid w:val="003E499F"/>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3E499F"/>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uiPriority w:val="99"/>
    <w:qFormat/>
    <w:rsid w:val="003E499F"/>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3E499F"/>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uiPriority w:val="99"/>
    <w:qFormat/>
    <w:rsid w:val="003E499F"/>
    <w:pPr>
      <w:keepNext/>
      <w:keepLines/>
      <w:spacing w:before="280" w:after="290" w:line="372" w:lineRule="auto"/>
      <w:outlineLvl w:val="4"/>
    </w:pPr>
    <w:rPr>
      <w:b/>
      <w:bCs/>
      <w:sz w:val="28"/>
      <w:szCs w:val="28"/>
    </w:rPr>
  </w:style>
  <w:style w:type="paragraph" w:styleId="6">
    <w:name w:val="heading 6"/>
    <w:basedOn w:val="a"/>
    <w:next w:val="a"/>
    <w:link w:val="6Char"/>
    <w:uiPriority w:val="99"/>
    <w:qFormat/>
    <w:rsid w:val="003E499F"/>
    <w:pPr>
      <w:keepNext/>
      <w:keepLines/>
      <w:spacing w:before="240" w:after="64" w:line="317" w:lineRule="auto"/>
      <w:outlineLvl w:val="5"/>
    </w:pPr>
    <w:rPr>
      <w:rFonts w:ascii="Arial" w:eastAsia="黑体" w:hAnsi="Arial"/>
      <w:b/>
      <w:bCs/>
      <w:sz w:val="24"/>
    </w:rPr>
  </w:style>
  <w:style w:type="paragraph" w:styleId="7">
    <w:name w:val="heading 7"/>
    <w:basedOn w:val="a"/>
    <w:next w:val="a"/>
    <w:link w:val="7Char"/>
    <w:uiPriority w:val="99"/>
    <w:qFormat/>
    <w:rsid w:val="003E499F"/>
    <w:pPr>
      <w:keepNext/>
      <w:keepLines/>
      <w:spacing w:before="240" w:after="64" w:line="317" w:lineRule="auto"/>
      <w:outlineLvl w:val="6"/>
    </w:pPr>
    <w:rPr>
      <w:b/>
      <w:bCs/>
      <w:sz w:val="24"/>
    </w:rPr>
  </w:style>
  <w:style w:type="paragraph" w:styleId="8">
    <w:name w:val="heading 8"/>
    <w:basedOn w:val="a"/>
    <w:next w:val="a"/>
    <w:link w:val="8Char"/>
    <w:uiPriority w:val="99"/>
    <w:qFormat/>
    <w:rsid w:val="003E499F"/>
    <w:pPr>
      <w:keepNext/>
      <w:keepLines/>
      <w:spacing w:before="240" w:after="64" w:line="317" w:lineRule="auto"/>
      <w:outlineLvl w:val="7"/>
    </w:pPr>
    <w:rPr>
      <w:rFonts w:ascii="Arial" w:eastAsia="黑体" w:hAnsi="Arial"/>
      <w:sz w:val="24"/>
    </w:rPr>
  </w:style>
  <w:style w:type="paragraph" w:styleId="9">
    <w:name w:val="heading 9"/>
    <w:basedOn w:val="a"/>
    <w:next w:val="a"/>
    <w:link w:val="9Char"/>
    <w:uiPriority w:val="99"/>
    <w:qFormat/>
    <w:rsid w:val="003E499F"/>
    <w:pPr>
      <w:keepNext/>
      <w:keepLines/>
      <w:spacing w:before="240" w:after="64" w:line="317"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uiPriority w:val="99"/>
    <w:qFormat/>
    <w:rsid w:val="003E499F"/>
  </w:style>
  <w:style w:type="paragraph" w:styleId="60">
    <w:name w:val="toc 6"/>
    <w:basedOn w:val="50"/>
    <w:next w:val="a"/>
    <w:uiPriority w:val="99"/>
    <w:qFormat/>
    <w:rsid w:val="003E499F"/>
  </w:style>
  <w:style w:type="paragraph" w:styleId="50">
    <w:name w:val="toc 5"/>
    <w:basedOn w:val="40"/>
    <w:next w:val="a"/>
    <w:uiPriority w:val="99"/>
    <w:qFormat/>
    <w:rsid w:val="003E499F"/>
  </w:style>
  <w:style w:type="paragraph" w:styleId="40">
    <w:name w:val="toc 4"/>
    <w:basedOn w:val="30"/>
    <w:next w:val="a"/>
    <w:uiPriority w:val="99"/>
    <w:qFormat/>
    <w:rsid w:val="003E499F"/>
  </w:style>
  <w:style w:type="paragraph" w:styleId="30">
    <w:name w:val="toc 3"/>
    <w:basedOn w:val="20"/>
    <w:next w:val="a"/>
    <w:uiPriority w:val="99"/>
    <w:qFormat/>
    <w:rsid w:val="003E499F"/>
  </w:style>
  <w:style w:type="paragraph" w:styleId="20">
    <w:name w:val="toc 2"/>
    <w:basedOn w:val="10"/>
    <w:next w:val="a"/>
    <w:uiPriority w:val="99"/>
    <w:qFormat/>
    <w:rsid w:val="003E499F"/>
  </w:style>
  <w:style w:type="paragraph" w:styleId="10">
    <w:name w:val="toc 1"/>
    <w:basedOn w:val="a"/>
    <w:next w:val="a"/>
    <w:uiPriority w:val="99"/>
    <w:qFormat/>
    <w:rsid w:val="003E499F"/>
    <w:pPr>
      <w:widowControl/>
    </w:pPr>
    <w:rPr>
      <w:rFonts w:ascii="宋体"/>
      <w:kern w:val="0"/>
      <w:szCs w:val="20"/>
    </w:rPr>
  </w:style>
  <w:style w:type="paragraph" w:styleId="a3">
    <w:name w:val="annotation text"/>
    <w:basedOn w:val="a"/>
    <w:link w:val="Char"/>
    <w:uiPriority w:val="99"/>
    <w:qFormat/>
    <w:rsid w:val="003E499F"/>
    <w:pPr>
      <w:jc w:val="left"/>
    </w:pPr>
  </w:style>
  <w:style w:type="paragraph" w:styleId="a4">
    <w:name w:val="Body Text"/>
    <w:basedOn w:val="a"/>
    <w:link w:val="Char0"/>
    <w:uiPriority w:val="99"/>
    <w:qFormat/>
    <w:rsid w:val="003E499F"/>
    <w:pPr>
      <w:adjustRightInd w:val="0"/>
      <w:spacing w:after="120" w:line="360" w:lineRule="atLeast"/>
      <w:jc w:val="left"/>
      <w:textAlignment w:val="baseline"/>
    </w:pPr>
    <w:rPr>
      <w:kern w:val="0"/>
      <w:sz w:val="24"/>
      <w:szCs w:val="20"/>
    </w:rPr>
  </w:style>
  <w:style w:type="paragraph" w:styleId="HTML">
    <w:name w:val="HTML Address"/>
    <w:basedOn w:val="a"/>
    <w:link w:val="HTMLChar"/>
    <w:uiPriority w:val="99"/>
    <w:qFormat/>
    <w:rsid w:val="003E499F"/>
    <w:rPr>
      <w:i/>
      <w:iCs/>
    </w:rPr>
  </w:style>
  <w:style w:type="paragraph" w:styleId="a5">
    <w:name w:val="Plain Text"/>
    <w:basedOn w:val="a"/>
    <w:link w:val="Char1"/>
    <w:uiPriority w:val="99"/>
    <w:qFormat/>
    <w:rsid w:val="003E499F"/>
    <w:rPr>
      <w:rFonts w:ascii="宋体" w:hAnsi="Courier New" w:cs="Courier New"/>
      <w:szCs w:val="21"/>
    </w:rPr>
  </w:style>
  <w:style w:type="paragraph" w:styleId="80">
    <w:name w:val="toc 8"/>
    <w:basedOn w:val="70"/>
    <w:next w:val="a"/>
    <w:uiPriority w:val="99"/>
    <w:qFormat/>
    <w:rsid w:val="003E499F"/>
  </w:style>
  <w:style w:type="paragraph" w:styleId="a6">
    <w:name w:val="Balloon Text"/>
    <w:basedOn w:val="a"/>
    <w:link w:val="Char2"/>
    <w:uiPriority w:val="99"/>
    <w:qFormat/>
    <w:rsid w:val="003E499F"/>
    <w:rPr>
      <w:sz w:val="18"/>
      <w:szCs w:val="18"/>
    </w:rPr>
  </w:style>
  <w:style w:type="paragraph" w:styleId="a7">
    <w:name w:val="footer"/>
    <w:basedOn w:val="a"/>
    <w:link w:val="Char3"/>
    <w:uiPriority w:val="99"/>
    <w:qFormat/>
    <w:rsid w:val="003E499F"/>
    <w:pPr>
      <w:tabs>
        <w:tab w:val="center" w:pos="4153"/>
        <w:tab w:val="right" w:pos="8306"/>
      </w:tabs>
      <w:snapToGrid w:val="0"/>
      <w:ind w:rightChars="100" w:right="210"/>
      <w:jc w:val="right"/>
    </w:pPr>
    <w:rPr>
      <w:sz w:val="18"/>
      <w:szCs w:val="18"/>
    </w:rPr>
  </w:style>
  <w:style w:type="paragraph" w:styleId="a8">
    <w:name w:val="header"/>
    <w:basedOn w:val="a"/>
    <w:link w:val="Char4"/>
    <w:uiPriority w:val="99"/>
    <w:qFormat/>
    <w:rsid w:val="003E499F"/>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5"/>
    <w:uiPriority w:val="99"/>
    <w:qFormat/>
    <w:rsid w:val="003E499F"/>
    <w:pPr>
      <w:snapToGrid w:val="0"/>
      <w:jc w:val="left"/>
    </w:pPr>
    <w:rPr>
      <w:sz w:val="18"/>
      <w:szCs w:val="18"/>
    </w:rPr>
  </w:style>
  <w:style w:type="paragraph" w:styleId="90">
    <w:name w:val="toc 9"/>
    <w:basedOn w:val="80"/>
    <w:next w:val="a"/>
    <w:uiPriority w:val="99"/>
    <w:qFormat/>
    <w:rsid w:val="003E499F"/>
  </w:style>
  <w:style w:type="paragraph" w:styleId="HTML0">
    <w:name w:val="HTML Preformatted"/>
    <w:basedOn w:val="a"/>
    <w:link w:val="HTMLChar0"/>
    <w:uiPriority w:val="99"/>
    <w:qFormat/>
    <w:rsid w:val="003E499F"/>
    <w:rPr>
      <w:rFonts w:ascii="Courier New" w:hAnsi="Courier New" w:cs="Courier New"/>
    </w:rPr>
  </w:style>
  <w:style w:type="paragraph" w:styleId="aa">
    <w:name w:val="Title"/>
    <w:basedOn w:val="a"/>
    <w:link w:val="Char6"/>
    <w:uiPriority w:val="99"/>
    <w:qFormat/>
    <w:rsid w:val="003E499F"/>
    <w:pPr>
      <w:spacing w:before="240" w:after="60"/>
      <w:jc w:val="center"/>
      <w:outlineLvl w:val="0"/>
    </w:pPr>
    <w:rPr>
      <w:rFonts w:ascii="Arial" w:hAnsi="Arial" w:cs="Arial"/>
      <w:b/>
      <w:bCs/>
      <w:sz w:val="32"/>
      <w:szCs w:val="32"/>
    </w:rPr>
  </w:style>
  <w:style w:type="paragraph" w:styleId="ab">
    <w:name w:val="Body Text First Indent"/>
    <w:basedOn w:val="a4"/>
    <w:link w:val="Char7"/>
    <w:uiPriority w:val="99"/>
    <w:qFormat/>
    <w:rsid w:val="003E499F"/>
    <w:pPr>
      <w:spacing w:after="0" w:line="240" w:lineRule="auto"/>
      <w:ind w:firstLine="420"/>
    </w:pPr>
    <w:rPr>
      <w:sz w:val="21"/>
    </w:rPr>
  </w:style>
  <w:style w:type="character" w:styleId="ac">
    <w:name w:val="Strong"/>
    <w:basedOn w:val="a0"/>
    <w:uiPriority w:val="99"/>
    <w:qFormat/>
    <w:rsid w:val="003E499F"/>
    <w:rPr>
      <w:rFonts w:cs="Times New Roman"/>
      <w:b/>
      <w:bCs/>
    </w:rPr>
  </w:style>
  <w:style w:type="character" w:styleId="ad">
    <w:name w:val="page number"/>
    <w:basedOn w:val="a0"/>
    <w:uiPriority w:val="99"/>
    <w:qFormat/>
    <w:rsid w:val="003E499F"/>
    <w:rPr>
      <w:rFonts w:ascii="Times New Roman" w:eastAsia="宋体" w:hAnsi="Times New Roman" w:cs="Times New Roman"/>
      <w:sz w:val="18"/>
    </w:rPr>
  </w:style>
  <w:style w:type="character" w:styleId="ae">
    <w:name w:val="FollowedHyperlink"/>
    <w:basedOn w:val="a0"/>
    <w:uiPriority w:val="99"/>
    <w:qFormat/>
    <w:rsid w:val="003E499F"/>
    <w:rPr>
      <w:rFonts w:cs="Times New Roman"/>
      <w:color w:val="800080"/>
      <w:u w:val="single"/>
    </w:rPr>
  </w:style>
  <w:style w:type="character" w:styleId="HTML1">
    <w:name w:val="HTML Definition"/>
    <w:basedOn w:val="a0"/>
    <w:uiPriority w:val="99"/>
    <w:qFormat/>
    <w:rsid w:val="003E499F"/>
    <w:rPr>
      <w:rFonts w:cs="Times New Roman"/>
      <w:i/>
      <w:iCs/>
    </w:rPr>
  </w:style>
  <w:style w:type="character" w:styleId="HTML2">
    <w:name w:val="HTML Typewriter"/>
    <w:basedOn w:val="a0"/>
    <w:uiPriority w:val="99"/>
    <w:qFormat/>
    <w:rsid w:val="003E499F"/>
    <w:rPr>
      <w:rFonts w:ascii="Courier New" w:hAnsi="Courier New" w:cs="Times New Roman"/>
      <w:sz w:val="20"/>
      <w:szCs w:val="20"/>
    </w:rPr>
  </w:style>
  <w:style w:type="character" w:styleId="HTML3">
    <w:name w:val="HTML Acronym"/>
    <w:basedOn w:val="a0"/>
    <w:uiPriority w:val="99"/>
    <w:qFormat/>
    <w:rsid w:val="003E499F"/>
    <w:rPr>
      <w:rFonts w:cs="Times New Roman"/>
    </w:rPr>
  </w:style>
  <w:style w:type="character" w:styleId="HTML4">
    <w:name w:val="HTML Variable"/>
    <w:basedOn w:val="a0"/>
    <w:uiPriority w:val="99"/>
    <w:qFormat/>
    <w:rsid w:val="003E499F"/>
    <w:rPr>
      <w:rFonts w:cs="Times New Roman"/>
      <w:i/>
      <w:iCs/>
    </w:rPr>
  </w:style>
  <w:style w:type="character" w:styleId="af">
    <w:name w:val="Hyperlink"/>
    <w:basedOn w:val="a0"/>
    <w:uiPriority w:val="99"/>
    <w:qFormat/>
    <w:rsid w:val="003E499F"/>
    <w:rPr>
      <w:rFonts w:ascii="Times New Roman" w:eastAsia="宋体" w:hAnsi="Times New Roman" w:cs="Times New Roman"/>
      <w:color w:val="auto"/>
      <w:spacing w:val="0"/>
      <w:w w:val="100"/>
      <w:position w:val="0"/>
      <w:sz w:val="21"/>
      <w:u w:val="none"/>
      <w:vertAlign w:val="baseline"/>
    </w:rPr>
  </w:style>
  <w:style w:type="character" w:styleId="HTML5">
    <w:name w:val="HTML Code"/>
    <w:basedOn w:val="a0"/>
    <w:uiPriority w:val="99"/>
    <w:qFormat/>
    <w:rsid w:val="003E499F"/>
    <w:rPr>
      <w:rFonts w:ascii="Courier New" w:hAnsi="Courier New" w:cs="Times New Roman"/>
      <w:sz w:val="20"/>
      <w:szCs w:val="20"/>
    </w:rPr>
  </w:style>
  <w:style w:type="character" w:styleId="HTML6">
    <w:name w:val="HTML Cite"/>
    <w:basedOn w:val="a0"/>
    <w:uiPriority w:val="99"/>
    <w:qFormat/>
    <w:rsid w:val="003E499F"/>
    <w:rPr>
      <w:rFonts w:cs="Times New Roman"/>
      <w:i/>
      <w:iCs/>
    </w:rPr>
  </w:style>
  <w:style w:type="character" w:styleId="af0">
    <w:name w:val="footnote reference"/>
    <w:basedOn w:val="a0"/>
    <w:uiPriority w:val="99"/>
    <w:qFormat/>
    <w:rsid w:val="003E499F"/>
    <w:rPr>
      <w:rFonts w:cs="Times New Roman"/>
      <w:vertAlign w:val="superscript"/>
    </w:rPr>
  </w:style>
  <w:style w:type="character" w:styleId="HTML7">
    <w:name w:val="HTML Keyboard"/>
    <w:basedOn w:val="a0"/>
    <w:uiPriority w:val="99"/>
    <w:qFormat/>
    <w:rsid w:val="003E499F"/>
    <w:rPr>
      <w:rFonts w:ascii="Courier New" w:hAnsi="Courier New" w:cs="Times New Roman"/>
      <w:sz w:val="20"/>
      <w:szCs w:val="20"/>
    </w:rPr>
  </w:style>
  <w:style w:type="character" w:styleId="HTML8">
    <w:name w:val="HTML Sample"/>
    <w:basedOn w:val="a0"/>
    <w:uiPriority w:val="99"/>
    <w:qFormat/>
    <w:rsid w:val="003E499F"/>
    <w:rPr>
      <w:rFonts w:ascii="Courier New" w:hAnsi="Courier New" w:cs="Times New Roman"/>
    </w:rPr>
  </w:style>
  <w:style w:type="character" w:customStyle="1" w:styleId="1Char">
    <w:name w:val="标题 1 Char"/>
    <w:basedOn w:val="a0"/>
    <w:link w:val="1"/>
    <w:uiPriority w:val="9"/>
    <w:qFormat/>
    <w:rsid w:val="003E499F"/>
    <w:rPr>
      <w:b/>
      <w:bCs/>
      <w:kern w:val="44"/>
      <w:sz w:val="44"/>
      <w:szCs w:val="44"/>
    </w:rPr>
  </w:style>
  <w:style w:type="character" w:customStyle="1" w:styleId="2Char">
    <w:name w:val="标题 2 Char"/>
    <w:basedOn w:val="a0"/>
    <w:link w:val="2"/>
    <w:uiPriority w:val="9"/>
    <w:semiHidden/>
    <w:qFormat/>
    <w:rsid w:val="003E499F"/>
    <w:rPr>
      <w:rFonts w:ascii="Cambria" w:eastAsia="宋体" w:hAnsi="Cambria" w:cs="Times New Roman"/>
      <w:b/>
      <w:bCs/>
      <w:sz w:val="32"/>
      <w:szCs w:val="32"/>
    </w:rPr>
  </w:style>
  <w:style w:type="character" w:customStyle="1" w:styleId="3Char">
    <w:name w:val="标题 3 Char"/>
    <w:basedOn w:val="a0"/>
    <w:link w:val="3"/>
    <w:uiPriority w:val="9"/>
    <w:semiHidden/>
    <w:qFormat/>
    <w:rsid w:val="003E499F"/>
    <w:rPr>
      <w:b/>
      <w:bCs/>
      <w:sz w:val="32"/>
      <w:szCs w:val="32"/>
    </w:rPr>
  </w:style>
  <w:style w:type="character" w:customStyle="1" w:styleId="4Char">
    <w:name w:val="标题 4 Char"/>
    <w:basedOn w:val="a0"/>
    <w:link w:val="4"/>
    <w:uiPriority w:val="9"/>
    <w:semiHidden/>
    <w:qFormat/>
    <w:rsid w:val="003E499F"/>
    <w:rPr>
      <w:rFonts w:ascii="Cambria" w:eastAsia="宋体" w:hAnsi="Cambria" w:cs="Times New Roman"/>
      <w:b/>
      <w:bCs/>
      <w:sz w:val="28"/>
      <w:szCs w:val="28"/>
    </w:rPr>
  </w:style>
  <w:style w:type="character" w:customStyle="1" w:styleId="5Char">
    <w:name w:val="标题 5 Char"/>
    <w:basedOn w:val="a0"/>
    <w:link w:val="5"/>
    <w:uiPriority w:val="9"/>
    <w:semiHidden/>
    <w:qFormat/>
    <w:rsid w:val="003E499F"/>
    <w:rPr>
      <w:b/>
      <w:bCs/>
      <w:sz w:val="28"/>
      <w:szCs w:val="28"/>
    </w:rPr>
  </w:style>
  <w:style w:type="character" w:customStyle="1" w:styleId="6Char">
    <w:name w:val="标题 6 Char"/>
    <w:basedOn w:val="a0"/>
    <w:link w:val="6"/>
    <w:uiPriority w:val="9"/>
    <w:semiHidden/>
    <w:qFormat/>
    <w:rsid w:val="003E499F"/>
    <w:rPr>
      <w:rFonts w:ascii="Cambria" w:eastAsia="宋体" w:hAnsi="Cambria" w:cs="Times New Roman"/>
      <w:b/>
      <w:bCs/>
      <w:sz w:val="24"/>
      <w:szCs w:val="24"/>
    </w:rPr>
  </w:style>
  <w:style w:type="character" w:customStyle="1" w:styleId="7Char">
    <w:name w:val="标题 7 Char"/>
    <w:basedOn w:val="a0"/>
    <w:link w:val="7"/>
    <w:uiPriority w:val="9"/>
    <w:semiHidden/>
    <w:qFormat/>
    <w:rsid w:val="003E499F"/>
    <w:rPr>
      <w:b/>
      <w:bCs/>
      <w:sz w:val="24"/>
      <w:szCs w:val="24"/>
    </w:rPr>
  </w:style>
  <w:style w:type="character" w:customStyle="1" w:styleId="8Char">
    <w:name w:val="标题 8 Char"/>
    <w:basedOn w:val="a0"/>
    <w:link w:val="8"/>
    <w:uiPriority w:val="9"/>
    <w:semiHidden/>
    <w:qFormat/>
    <w:rsid w:val="003E499F"/>
    <w:rPr>
      <w:rFonts w:ascii="Cambria" w:eastAsia="宋体" w:hAnsi="Cambria" w:cs="Times New Roman"/>
      <w:sz w:val="24"/>
      <w:szCs w:val="24"/>
    </w:rPr>
  </w:style>
  <w:style w:type="character" w:customStyle="1" w:styleId="9Char">
    <w:name w:val="标题 9 Char"/>
    <w:basedOn w:val="a0"/>
    <w:link w:val="9"/>
    <w:uiPriority w:val="9"/>
    <w:semiHidden/>
    <w:qFormat/>
    <w:rsid w:val="003E499F"/>
    <w:rPr>
      <w:rFonts w:ascii="Cambria" w:eastAsia="宋体" w:hAnsi="Cambria" w:cs="Times New Roman"/>
      <w:szCs w:val="21"/>
    </w:rPr>
  </w:style>
  <w:style w:type="character" w:customStyle="1" w:styleId="Char">
    <w:name w:val="批注文字 Char"/>
    <w:basedOn w:val="a0"/>
    <w:link w:val="a3"/>
    <w:uiPriority w:val="99"/>
    <w:semiHidden/>
    <w:qFormat/>
    <w:rsid w:val="003E499F"/>
    <w:rPr>
      <w:szCs w:val="24"/>
    </w:rPr>
  </w:style>
  <w:style w:type="character" w:customStyle="1" w:styleId="Char0">
    <w:name w:val="正文文本 Char"/>
    <w:basedOn w:val="a0"/>
    <w:link w:val="a4"/>
    <w:uiPriority w:val="99"/>
    <w:semiHidden/>
    <w:qFormat/>
    <w:rsid w:val="003E499F"/>
    <w:rPr>
      <w:szCs w:val="24"/>
    </w:rPr>
  </w:style>
  <w:style w:type="character" w:customStyle="1" w:styleId="HTMLChar">
    <w:name w:val="HTML 地址 Char"/>
    <w:basedOn w:val="a0"/>
    <w:link w:val="HTML"/>
    <w:uiPriority w:val="99"/>
    <w:semiHidden/>
    <w:qFormat/>
    <w:rsid w:val="003E499F"/>
    <w:rPr>
      <w:i/>
      <w:iCs/>
      <w:szCs w:val="24"/>
    </w:rPr>
  </w:style>
  <w:style w:type="character" w:customStyle="1" w:styleId="Char1">
    <w:name w:val="纯文本 Char"/>
    <w:basedOn w:val="a0"/>
    <w:link w:val="a5"/>
    <w:uiPriority w:val="99"/>
    <w:semiHidden/>
    <w:qFormat/>
    <w:rsid w:val="003E499F"/>
    <w:rPr>
      <w:rFonts w:ascii="宋体" w:hAnsi="Courier New" w:cs="Courier New"/>
      <w:szCs w:val="21"/>
    </w:rPr>
  </w:style>
  <w:style w:type="character" w:customStyle="1" w:styleId="Char2">
    <w:name w:val="批注框文本 Char"/>
    <w:basedOn w:val="a0"/>
    <w:link w:val="a6"/>
    <w:uiPriority w:val="99"/>
    <w:semiHidden/>
    <w:qFormat/>
    <w:rsid w:val="003E499F"/>
    <w:rPr>
      <w:sz w:val="0"/>
      <w:szCs w:val="0"/>
    </w:rPr>
  </w:style>
  <w:style w:type="character" w:customStyle="1" w:styleId="Char3">
    <w:name w:val="页脚 Char"/>
    <w:basedOn w:val="a0"/>
    <w:link w:val="a7"/>
    <w:uiPriority w:val="99"/>
    <w:semiHidden/>
    <w:qFormat/>
    <w:rsid w:val="003E499F"/>
    <w:rPr>
      <w:sz w:val="18"/>
      <w:szCs w:val="18"/>
    </w:rPr>
  </w:style>
  <w:style w:type="character" w:customStyle="1" w:styleId="Char4">
    <w:name w:val="页眉 Char"/>
    <w:basedOn w:val="a0"/>
    <w:link w:val="a8"/>
    <w:uiPriority w:val="99"/>
    <w:semiHidden/>
    <w:qFormat/>
    <w:rsid w:val="003E499F"/>
    <w:rPr>
      <w:sz w:val="18"/>
      <w:szCs w:val="18"/>
    </w:rPr>
  </w:style>
  <w:style w:type="character" w:customStyle="1" w:styleId="Char5">
    <w:name w:val="脚注文本 Char"/>
    <w:basedOn w:val="a0"/>
    <w:link w:val="a9"/>
    <w:uiPriority w:val="99"/>
    <w:semiHidden/>
    <w:qFormat/>
    <w:rsid w:val="003E499F"/>
    <w:rPr>
      <w:sz w:val="18"/>
      <w:szCs w:val="18"/>
    </w:rPr>
  </w:style>
  <w:style w:type="character" w:customStyle="1" w:styleId="HTMLChar0">
    <w:name w:val="HTML 预设格式 Char"/>
    <w:basedOn w:val="a0"/>
    <w:link w:val="HTML0"/>
    <w:uiPriority w:val="99"/>
    <w:qFormat/>
    <w:locked/>
    <w:rsid w:val="003E499F"/>
    <w:rPr>
      <w:rFonts w:ascii="Courier New" w:hAnsi="Courier New" w:cs="Courier New"/>
      <w:kern w:val="2"/>
    </w:rPr>
  </w:style>
  <w:style w:type="character" w:customStyle="1" w:styleId="Char6">
    <w:name w:val="标题 Char"/>
    <w:basedOn w:val="a0"/>
    <w:link w:val="aa"/>
    <w:uiPriority w:val="10"/>
    <w:qFormat/>
    <w:rsid w:val="003E499F"/>
    <w:rPr>
      <w:rFonts w:ascii="Cambria" w:hAnsi="Cambria" w:cs="Times New Roman"/>
      <w:b/>
      <w:bCs/>
      <w:sz w:val="32"/>
      <w:szCs w:val="32"/>
    </w:rPr>
  </w:style>
  <w:style w:type="character" w:customStyle="1" w:styleId="Char7">
    <w:name w:val="正文首行缩进 Char"/>
    <w:basedOn w:val="Char0"/>
    <w:link w:val="ab"/>
    <w:uiPriority w:val="99"/>
    <w:semiHidden/>
    <w:qFormat/>
    <w:rsid w:val="003E499F"/>
  </w:style>
  <w:style w:type="character" w:customStyle="1" w:styleId="af1">
    <w:name w:val="个人答复风格"/>
    <w:basedOn w:val="a0"/>
    <w:uiPriority w:val="99"/>
    <w:qFormat/>
    <w:rsid w:val="003E499F"/>
    <w:rPr>
      <w:rFonts w:ascii="Arial" w:eastAsia="宋体" w:hAnsi="Arial" w:cs="Arial"/>
      <w:color w:val="auto"/>
      <w:sz w:val="20"/>
    </w:rPr>
  </w:style>
  <w:style w:type="character" w:customStyle="1" w:styleId="af2">
    <w:name w:val="发布"/>
    <w:basedOn w:val="a0"/>
    <w:uiPriority w:val="99"/>
    <w:qFormat/>
    <w:rsid w:val="003E499F"/>
    <w:rPr>
      <w:rFonts w:ascii="黑体" w:eastAsia="黑体" w:cs="Times New Roman"/>
      <w:spacing w:val="22"/>
      <w:w w:val="100"/>
      <w:position w:val="3"/>
      <w:sz w:val="28"/>
    </w:rPr>
  </w:style>
  <w:style w:type="character" w:customStyle="1" w:styleId="af3">
    <w:name w:val="注释"/>
    <w:basedOn w:val="a0"/>
    <w:uiPriority w:val="99"/>
    <w:qFormat/>
    <w:rsid w:val="003E499F"/>
    <w:rPr>
      <w:rFonts w:ascii="Times New Roman" w:eastAsia="宋体" w:cs="Times New Roman"/>
      <w:sz w:val="18"/>
    </w:rPr>
  </w:style>
  <w:style w:type="character" w:customStyle="1" w:styleId="af4">
    <w:name w:val="图中文字"/>
    <w:basedOn w:val="a0"/>
    <w:uiPriority w:val="99"/>
    <w:qFormat/>
    <w:rsid w:val="003E499F"/>
    <w:rPr>
      <w:rFonts w:ascii="Times New Roman" w:eastAsia="宋体" w:cs="Times New Roman"/>
      <w:sz w:val="15"/>
    </w:rPr>
  </w:style>
  <w:style w:type="character" w:customStyle="1" w:styleId="af5">
    <w:name w:val="个人撰写风格"/>
    <w:basedOn w:val="a0"/>
    <w:uiPriority w:val="99"/>
    <w:qFormat/>
    <w:rsid w:val="003E499F"/>
    <w:rPr>
      <w:rFonts w:ascii="Arial" w:eastAsia="宋体" w:hAnsi="Arial" w:cs="Arial"/>
      <w:color w:val="auto"/>
      <w:sz w:val="20"/>
    </w:rPr>
  </w:style>
  <w:style w:type="character" w:customStyle="1" w:styleId="CharChar">
    <w:name w:val="注： Char Char"/>
    <w:basedOn w:val="a0"/>
    <w:uiPriority w:val="99"/>
    <w:qFormat/>
    <w:rsid w:val="003E499F"/>
    <w:rPr>
      <w:rFonts w:ascii="宋体" w:eastAsia="宋体" w:cs="Times New Roman"/>
      <w:kern w:val="2"/>
      <w:sz w:val="24"/>
      <w:szCs w:val="24"/>
      <w:lang w:val="en-US" w:eastAsia="zh-CN" w:bidi="ar-SA"/>
    </w:rPr>
  </w:style>
  <w:style w:type="paragraph" w:customStyle="1" w:styleId="af6">
    <w:name w:val="正文表标题"/>
    <w:next w:val="af7"/>
    <w:uiPriority w:val="99"/>
    <w:qFormat/>
    <w:rsid w:val="003E499F"/>
    <w:pPr>
      <w:jc w:val="center"/>
    </w:pPr>
    <w:rPr>
      <w:rFonts w:ascii="黑体" w:eastAsia="黑体"/>
      <w:sz w:val="21"/>
    </w:rPr>
  </w:style>
  <w:style w:type="paragraph" w:customStyle="1" w:styleId="af7">
    <w:name w:val="段"/>
    <w:uiPriority w:val="99"/>
    <w:qFormat/>
    <w:rsid w:val="003E499F"/>
    <w:pPr>
      <w:autoSpaceDE w:val="0"/>
      <w:autoSpaceDN w:val="0"/>
      <w:ind w:firstLineChars="200" w:firstLine="200"/>
      <w:jc w:val="both"/>
    </w:pPr>
    <w:rPr>
      <w:rFonts w:ascii="宋体"/>
      <w:sz w:val="21"/>
    </w:rPr>
  </w:style>
  <w:style w:type="paragraph" w:customStyle="1" w:styleId="af8">
    <w:name w:val="前言、引言标题"/>
    <w:next w:val="a"/>
    <w:uiPriority w:val="99"/>
    <w:qFormat/>
    <w:rsid w:val="003E499F"/>
    <w:pPr>
      <w:shd w:val="clear" w:color="FFFFFF" w:fill="FFFFFF"/>
      <w:spacing w:before="640" w:after="560"/>
      <w:jc w:val="center"/>
      <w:outlineLvl w:val="0"/>
    </w:pPr>
    <w:rPr>
      <w:rFonts w:ascii="黑体" w:eastAsia="黑体"/>
      <w:sz w:val="32"/>
    </w:rPr>
  </w:style>
  <w:style w:type="paragraph" w:customStyle="1" w:styleId="af9">
    <w:name w:val="文献分类号"/>
    <w:uiPriority w:val="99"/>
    <w:qFormat/>
    <w:rsid w:val="003E499F"/>
    <w:pPr>
      <w:widowControl w:val="0"/>
      <w:textAlignment w:val="center"/>
    </w:pPr>
    <w:rPr>
      <w:rFonts w:eastAsia="黑体"/>
      <w:sz w:val="21"/>
    </w:rPr>
  </w:style>
  <w:style w:type="paragraph" w:customStyle="1" w:styleId="afa">
    <w:name w:val="其他标准称谓"/>
    <w:uiPriority w:val="99"/>
    <w:qFormat/>
    <w:rsid w:val="003E499F"/>
    <w:pPr>
      <w:spacing w:line="240" w:lineRule="atLeast"/>
      <w:jc w:val="distribute"/>
    </w:pPr>
    <w:rPr>
      <w:rFonts w:ascii="黑体" w:eastAsia="黑体" w:hAnsi="宋体"/>
      <w:sz w:val="52"/>
    </w:rPr>
  </w:style>
  <w:style w:type="paragraph" w:customStyle="1" w:styleId="afb">
    <w:name w:val="附录表标题"/>
    <w:next w:val="af7"/>
    <w:uiPriority w:val="99"/>
    <w:qFormat/>
    <w:rsid w:val="003E499F"/>
    <w:pPr>
      <w:tabs>
        <w:tab w:val="left" w:pos="360"/>
      </w:tabs>
      <w:jc w:val="center"/>
      <w:textAlignment w:val="baseline"/>
    </w:pPr>
    <w:rPr>
      <w:rFonts w:ascii="黑体" w:eastAsia="黑体"/>
      <w:kern w:val="21"/>
      <w:sz w:val="21"/>
    </w:rPr>
  </w:style>
  <w:style w:type="paragraph" w:customStyle="1" w:styleId="afc">
    <w:name w:val="一级条标题"/>
    <w:next w:val="af7"/>
    <w:uiPriority w:val="99"/>
    <w:qFormat/>
    <w:rsid w:val="003E499F"/>
    <w:pPr>
      <w:outlineLvl w:val="2"/>
    </w:pPr>
    <w:rPr>
      <w:rFonts w:eastAsia="黑体"/>
      <w:sz w:val="21"/>
    </w:rPr>
  </w:style>
  <w:style w:type="paragraph" w:customStyle="1" w:styleId="afd">
    <w:name w:val="标准书眉一"/>
    <w:uiPriority w:val="99"/>
    <w:qFormat/>
    <w:rsid w:val="003E499F"/>
    <w:pPr>
      <w:jc w:val="both"/>
    </w:pPr>
  </w:style>
  <w:style w:type="paragraph" w:customStyle="1" w:styleId="afe">
    <w:name w:val="其他发布部门"/>
    <w:basedOn w:val="aff"/>
    <w:uiPriority w:val="99"/>
    <w:qFormat/>
    <w:rsid w:val="003E499F"/>
    <w:pPr>
      <w:spacing w:line="240" w:lineRule="atLeast"/>
    </w:pPr>
    <w:rPr>
      <w:rFonts w:ascii="黑体" w:eastAsia="黑体"/>
      <w:b w:val="0"/>
    </w:rPr>
  </w:style>
  <w:style w:type="paragraph" w:customStyle="1" w:styleId="aff">
    <w:name w:val="发布部门"/>
    <w:next w:val="af7"/>
    <w:uiPriority w:val="99"/>
    <w:qFormat/>
    <w:rsid w:val="003E499F"/>
    <w:pPr>
      <w:jc w:val="center"/>
    </w:pPr>
    <w:rPr>
      <w:rFonts w:ascii="宋体"/>
      <w:b/>
      <w:spacing w:val="20"/>
      <w:w w:val="135"/>
      <w:sz w:val="36"/>
    </w:rPr>
  </w:style>
  <w:style w:type="paragraph" w:customStyle="1" w:styleId="aff0">
    <w:name w:val="标准书眉_奇数页"/>
    <w:next w:val="a"/>
    <w:uiPriority w:val="99"/>
    <w:qFormat/>
    <w:rsid w:val="003E499F"/>
    <w:pPr>
      <w:tabs>
        <w:tab w:val="center" w:pos="4154"/>
        <w:tab w:val="right" w:pos="8306"/>
      </w:tabs>
      <w:spacing w:after="120"/>
      <w:jc w:val="right"/>
    </w:pPr>
    <w:rPr>
      <w:sz w:val="21"/>
    </w:rPr>
  </w:style>
  <w:style w:type="paragraph" w:customStyle="1" w:styleId="aff1">
    <w:name w:val="列项说明"/>
    <w:basedOn w:val="a"/>
    <w:uiPriority w:val="99"/>
    <w:qFormat/>
    <w:rsid w:val="003E499F"/>
    <w:pPr>
      <w:adjustRightInd w:val="0"/>
      <w:spacing w:line="320" w:lineRule="atLeast"/>
      <w:ind w:leftChars="200" w:left="200" w:hangingChars="200" w:hanging="200"/>
      <w:jc w:val="left"/>
    </w:pPr>
    <w:rPr>
      <w:rFonts w:ascii="宋体"/>
      <w:kern w:val="0"/>
      <w:szCs w:val="21"/>
    </w:rPr>
  </w:style>
  <w:style w:type="paragraph" w:customStyle="1" w:styleId="aff2">
    <w:name w:val="封面一致性程度标识"/>
    <w:uiPriority w:val="99"/>
    <w:qFormat/>
    <w:rsid w:val="003E499F"/>
    <w:pPr>
      <w:spacing w:before="440" w:line="400" w:lineRule="exact"/>
      <w:jc w:val="center"/>
    </w:pPr>
    <w:rPr>
      <w:rFonts w:ascii="宋体"/>
      <w:sz w:val="28"/>
    </w:rPr>
  </w:style>
  <w:style w:type="paragraph" w:customStyle="1" w:styleId="aff3">
    <w:name w:val="示例"/>
    <w:next w:val="af7"/>
    <w:uiPriority w:val="99"/>
    <w:qFormat/>
    <w:rsid w:val="003E499F"/>
    <w:pPr>
      <w:tabs>
        <w:tab w:val="left" w:pos="816"/>
      </w:tabs>
      <w:ind w:firstLineChars="233" w:firstLine="419"/>
      <w:jc w:val="both"/>
    </w:pPr>
    <w:rPr>
      <w:rFonts w:ascii="宋体"/>
      <w:sz w:val="18"/>
    </w:rPr>
  </w:style>
  <w:style w:type="paragraph" w:customStyle="1" w:styleId="aff4">
    <w:name w:val="一级无标题条"/>
    <w:basedOn w:val="a"/>
    <w:uiPriority w:val="99"/>
    <w:qFormat/>
    <w:rsid w:val="003E499F"/>
  </w:style>
  <w:style w:type="paragraph" w:customStyle="1" w:styleId="aff5">
    <w:name w:val="字母编号列项（一级）"/>
    <w:uiPriority w:val="99"/>
    <w:qFormat/>
    <w:rsid w:val="003E499F"/>
    <w:pPr>
      <w:ind w:leftChars="200" w:left="840" w:hangingChars="200" w:hanging="420"/>
      <w:jc w:val="both"/>
    </w:pPr>
    <w:rPr>
      <w:rFonts w:ascii="宋体"/>
      <w:sz w:val="21"/>
    </w:rPr>
  </w:style>
  <w:style w:type="paragraph" w:customStyle="1" w:styleId="aff6">
    <w:name w:val="标准称谓"/>
    <w:next w:val="a"/>
    <w:uiPriority w:val="99"/>
    <w:qFormat/>
    <w:rsid w:val="003E499F"/>
    <w:pPr>
      <w:widowControl w:val="0"/>
      <w:kinsoku w:val="0"/>
      <w:overflowPunct w:val="0"/>
      <w:autoSpaceDE w:val="0"/>
      <w:autoSpaceDN w:val="0"/>
      <w:spacing w:line="240" w:lineRule="atLeast"/>
      <w:jc w:val="distribute"/>
    </w:pPr>
    <w:rPr>
      <w:rFonts w:ascii="宋体"/>
      <w:b/>
      <w:bCs/>
      <w:spacing w:val="20"/>
      <w:w w:val="148"/>
      <w:sz w:val="52"/>
    </w:rPr>
  </w:style>
  <w:style w:type="paragraph" w:customStyle="1" w:styleId="aff7">
    <w:name w:val="四级无标题条"/>
    <w:basedOn w:val="a"/>
    <w:uiPriority w:val="99"/>
    <w:qFormat/>
    <w:rsid w:val="003E499F"/>
  </w:style>
  <w:style w:type="paragraph" w:customStyle="1" w:styleId="Char8">
    <w:name w:val="Char"/>
    <w:basedOn w:val="a"/>
    <w:uiPriority w:val="99"/>
    <w:qFormat/>
    <w:rsid w:val="003E499F"/>
    <w:pPr>
      <w:widowControl/>
      <w:spacing w:after="160" w:line="240" w:lineRule="exact"/>
      <w:jc w:val="left"/>
    </w:pPr>
  </w:style>
  <w:style w:type="paragraph" w:customStyle="1" w:styleId="aff8">
    <w:name w:val="三级条标题"/>
    <w:basedOn w:val="aff9"/>
    <w:next w:val="af7"/>
    <w:uiPriority w:val="99"/>
    <w:qFormat/>
    <w:rsid w:val="003E499F"/>
    <w:pPr>
      <w:outlineLvl w:val="4"/>
    </w:pPr>
  </w:style>
  <w:style w:type="paragraph" w:customStyle="1" w:styleId="aff9">
    <w:name w:val="二级条标题"/>
    <w:basedOn w:val="afc"/>
    <w:next w:val="af7"/>
    <w:uiPriority w:val="99"/>
    <w:qFormat/>
    <w:rsid w:val="003E499F"/>
    <w:pPr>
      <w:outlineLvl w:val="3"/>
    </w:pPr>
  </w:style>
  <w:style w:type="paragraph" w:customStyle="1" w:styleId="affa">
    <w:name w:val="标准书脚_奇数页"/>
    <w:uiPriority w:val="99"/>
    <w:qFormat/>
    <w:rsid w:val="003E499F"/>
    <w:pPr>
      <w:spacing w:before="120"/>
      <w:jc w:val="right"/>
    </w:pPr>
    <w:rPr>
      <w:sz w:val="18"/>
    </w:rPr>
  </w:style>
  <w:style w:type="paragraph" w:customStyle="1" w:styleId="affb">
    <w:name w:val="条文脚注"/>
    <w:basedOn w:val="a9"/>
    <w:uiPriority w:val="99"/>
    <w:qFormat/>
    <w:rsid w:val="003E499F"/>
    <w:pPr>
      <w:ind w:leftChars="200" w:left="780" w:hangingChars="200" w:hanging="360"/>
      <w:jc w:val="both"/>
    </w:pPr>
    <w:rPr>
      <w:rFonts w:ascii="宋体"/>
    </w:rPr>
  </w:style>
  <w:style w:type="paragraph" w:customStyle="1" w:styleId="affc">
    <w:name w:val="附录三级条标题"/>
    <w:basedOn w:val="affd"/>
    <w:next w:val="af7"/>
    <w:uiPriority w:val="99"/>
    <w:qFormat/>
    <w:rsid w:val="003E499F"/>
    <w:pPr>
      <w:outlineLvl w:val="4"/>
    </w:pPr>
  </w:style>
  <w:style w:type="paragraph" w:customStyle="1" w:styleId="affd">
    <w:name w:val="附录二级条标题"/>
    <w:basedOn w:val="affe"/>
    <w:next w:val="af7"/>
    <w:uiPriority w:val="99"/>
    <w:qFormat/>
    <w:rsid w:val="003E499F"/>
    <w:pPr>
      <w:outlineLvl w:val="3"/>
    </w:pPr>
  </w:style>
  <w:style w:type="paragraph" w:customStyle="1" w:styleId="affe">
    <w:name w:val="附录一级条标题"/>
    <w:basedOn w:val="afff"/>
    <w:next w:val="af7"/>
    <w:uiPriority w:val="99"/>
    <w:qFormat/>
    <w:rsid w:val="003E499F"/>
    <w:pPr>
      <w:autoSpaceDN w:val="0"/>
      <w:outlineLvl w:val="2"/>
    </w:pPr>
  </w:style>
  <w:style w:type="paragraph" w:customStyle="1" w:styleId="afff">
    <w:name w:val="附录章标题"/>
    <w:next w:val="af7"/>
    <w:uiPriority w:val="99"/>
    <w:qFormat/>
    <w:rsid w:val="003E499F"/>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0">
    <w:name w:val="注："/>
    <w:next w:val="af7"/>
    <w:uiPriority w:val="99"/>
    <w:qFormat/>
    <w:rsid w:val="003E499F"/>
    <w:pPr>
      <w:widowControl w:val="0"/>
      <w:autoSpaceDE w:val="0"/>
      <w:autoSpaceDN w:val="0"/>
      <w:ind w:left="840" w:hanging="420"/>
      <w:jc w:val="both"/>
    </w:pPr>
    <w:rPr>
      <w:rFonts w:ascii="宋体"/>
      <w:sz w:val="18"/>
    </w:rPr>
  </w:style>
  <w:style w:type="paragraph" w:customStyle="1" w:styleId="afff1">
    <w:name w:val="附录标识"/>
    <w:basedOn w:val="af8"/>
    <w:uiPriority w:val="99"/>
    <w:qFormat/>
    <w:rsid w:val="003E499F"/>
    <w:pPr>
      <w:tabs>
        <w:tab w:val="left" w:pos="6405"/>
      </w:tabs>
      <w:spacing w:after="200"/>
    </w:pPr>
    <w:rPr>
      <w:sz w:val="21"/>
    </w:rPr>
  </w:style>
  <w:style w:type="paragraph" w:customStyle="1" w:styleId="afff2">
    <w:name w:val="列项◆（三级）"/>
    <w:uiPriority w:val="99"/>
    <w:qFormat/>
    <w:rsid w:val="003E499F"/>
    <w:pPr>
      <w:tabs>
        <w:tab w:val="left" w:pos="960"/>
      </w:tabs>
      <w:ind w:leftChars="600" w:left="800" w:hangingChars="200" w:hanging="200"/>
    </w:pPr>
    <w:rPr>
      <w:rFonts w:ascii="宋体"/>
      <w:sz w:val="21"/>
    </w:rPr>
  </w:style>
  <w:style w:type="paragraph" w:customStyle="1" w:styleId="afff3">
    <w:name w:val="参考文献、索引标题"/>
    <w:basedOn w:val="af8"/>
    <w:next w:val="a"/>
    <w:uiPriority w:val="99"/>
    <w:qFormat/>
    <w:rsid w:val="003E499F"/>
    <w:pPr>
      <w:spacing w:after="200"/>
    </w:pPr>
    <w:rPr>
      <w:sz w:val="21"/>
    </w:rPr>
  </w:style>
  <w:style w:type="paragraph" w:customStyle="1" w:styleId="afff4">
    <w:name w:val="封面标准文稿编辑信息"/>
    <w:uiPriority w:val="99"/>
    <w:qFormat/>
    <w:rsid w:val="003E499F"/>
    <w:pPr>
      <w:spacing w:before="180" w:line="180" w:lineRule="exact"/>
      <w:jc w:val="center"/>
    </w:pPr>
    <w:rPr>
      <w:rFonts w:ascii="宋体"/>
      <w:sz w:val="21"/>
    </w:rPr>
  </w:style>
  <w:style w:type="paragraph" w:customStyle="1" w:styleId="afff5">
    <w:name w:val="图表脚注"/>
    <w:next w:val="af7"/>
    <w:uiPriority w:val="99"/>
    <w:qFormat/>
    <w:rsid w:val="003E499F"/>
    <w:pPr>
      <w:ind w:leftChars="200" w:left="300" w:hangingChars="100" w:hanging="100"/>
      <w:jc w:val="both"/>
    </w:pPr>
    <w:rPr>
      <w:rFonts w:ascii="宋体"/>
      <w:sz w:val="18"/>
    </w:rPr>
  </w:style>
  <w:style w:type="paragraph" w:customStyle="1" w:styleId="21">
    <w:name w:val="封面标准号2"/>
    <w:basedOn w:val="11"/>
    <w:uiPriority w:val="99"/>
    <w:qFormat/>
    <w:rsid w:val="003E499F"/>
    <w:pPr>
      <w:adjustRightInd w:val="0"/>
      <w:spacing w:before="357" w:line="280" w:lineRule="exact"/>
    </w:pPr>
  </w:style>
  <w:style w:type="paragraph" w:customStyle="1" w:styleId="11">
    <w:name w:val="封面标准号1"/>
    <w:uiPriority w:val="99"/>
    <w:qFormat/>
    <w:rsid w:val="003E499F"/>
    <w:pPr>
      <w:widowControl w:val="0"/>
      <w:kinsoku w:val="0"/>
      <w:overflowPunct w:val="0"/>
      <w:autoSpaceDE w:val="0"/>
      <w:autoSpaceDN w:val="0"/>
      <w:spacing w:before="308"/>
      <w:jc w:val="right"/>
      <w:textAlignment w:val="center"/>
    </w:pPr>
    <w:rPr>
      <w:sz w:val="28"/>
    </w:rPr>
  </w:style>
  <w:style w:type="paragraph" w:customStyle="1" w:styleId="afff6">
    <w:name w:val="封面标准名称"/>
    <w:uiPriority w:val="99"/>
    <w:qFormat/>
    <w:rsid w:val="003E499F"/>
    <w:pPr>
      <w:widowControl w:val="0"/>
      <w:spacing w:line="680" w:lineRule="exact"/>
      <w:jc w:val="center"/>
      <w:textAlignment w:val="center"/>
    </w:pPr>
    <w:rPr>
      <w:rFonts w:ascii="黑体" w:eastAsia="黑体"/>
      <w:sz w:val="52"/>
    </w:rPr>
  </w:style>
  <w:style w:type="paragraph" w:customStyle="1" w:styleId="afff7">
    <w:name w:val="篇"/>
    <w:basedOn w:val="a"/>
    <w:next w:val="a"/>
    <w:uiPriority w:val="99"/>
    <w:qFormat/>
    <w:rsid w:val="003E499F"/>
    <w:pPr>
      <w:adjustRightInd w:val="0"/>
      <w:spacing w:line="360" w:lineRule="atLeast"/>
      <w:jc w:val="center"/>
      <w:textAlignment w:val="baseline"/>
    </w:pPr>
    <w:rPr>
      <w:rFonts w:eastAsia="黑体"/>
      <w:kern w:val="0"/>
      <w:sz w:val="24"/>
      <w:szCs w:val="20"/>
    </w:rPr>
  </w:style>
  <w:style w:type="paragraph" w:customStyle="1" w:styleId="afff8">
    <w:name w:val="附录五级条标题"/>
    <w:basedOn w:val="afff9"/>
    <w:next w:val="af7"/>
    <w:uiPriority w:val="99"/>
    <w:qFormat/>
    <w:rsid w:val="003E499F"/>
    <w:pPr>
      <w:outlineLvl w:val="6"/>
    </w:pPr>
  </w:style>
  <w:style w:type="paragraph" w:customStyle="1" w:styleId="afff9">
    <w:name w:val="附录四级条标题"/>
    <w:basedOn w:val="affc"/>
    <w:next w:val="af7"/>
    <w:uiPriority w:val="99"/>
    <w:qFormat/>
    <w:rsid w:val="003E499F"/>
    <w:pPr>
      <w:outlineLvl w:val="5"/>
    </w:pPr>
  </w:style>
  <w:style w:type="paragraph" w:customStyle="1" w:styleId="afffa">
    <w:name w:val="发布日期"/>
    <w:uiPriority w:val="99"/>
    <w:qFormat/>
    <w:rsid w:val="003E499F"/>
    <w:rPr>
      <w:rFonts w:eastAsia="黑体"/>
      <w:sz w:val="28"/>
    </w:rPr>
  </w:style>
  <w:style w:type="paragraph" w:customStyle="1" w:styleId="afffb">
    <w:name w:val="五级条标题"/>
    <w:basedOn w:val="afffc"/>
    <w:next w:val="af7"/>
    <w:uiPriority w:val="99"/>
    <w:qFormat/>
    <w:rsid w:val="003E499F"/>
    <w:pPr>
      <w:outlineLvl w:val="6"/>
    </w:pPr>
  </w:style>
  <w:style w:type="paragraph" w:customStyle="1" w:styleId="afffc">
    <w:name w:val="四级条标题"/>
    <w:basedOn w:val="aff8"/>
    <w:next w:val="af7"/>
    <w:uiPriority w:val="99"/>
    <w:qFormat/>
    <w:rsid w:val="003E499F"/>
    <w:pPr>
      <w:outlineLvl w:val="5"/>
    </w:pPr>
  </w:style>
  <w:style w:type="paragraph" w:customStyle="1" w:styleId="afffd">
    <w:name w:val="五级无标题条"/>
    <w:basedOn w:val="a"/>
    <w:uiPriority w:val="99"/>
    <w:qFormat/>
    <w:rsid w:val="003E499F"/>
  </w:style>
  <w:style w:type="paragraph" w:customStyle="1" w:styleId="afffe">
    <w:name w:val="数字编号列项（二级）"/>
    <w:uiPriority w:val="99"/>
    <w:qFormat/>
    <w:rsid w:val="003E499F"/>
    <w:pPr>
      <w:ind w:leftChars="400" w:left="1260" w:hangingChars="200" w:hanging="420"/>
      <w:jc w:val="both"/>
    </w:pPr>
    <w:rPr>
      <w:rFonts w:ascii="宋体"/>
      <w:sz w:val="21"/>
    </w:rPr>
  </w:style>
  <w:style w:type="paragraph" w:customStyle="1" w:styleId="affff">
    <w:name w:val="标准标志"/>
    <w:next w:val="a"/>
    <w:uiPriority w:val="99"/>
    <w:qFormat/>
    <w:rsid w:val="003E499F"/>
    <w:pPr>
      <w:shd w:val="solid" w:color="FFFFFF" w:fill="FFFFFF"/>
      <w:spacing w:line="240" w:lineRule="atLeast"/>
      <w:jc w:val="right"/>
    </w:pPr>
    <w:rPr>
      <w:b/>
      <w:w w:val="130"/>
      <w:sz w:val="96"/>
    </w:rPr>
  </w:style>
  <w:style w:type="paragraph" w:customStyle="1" w:styleId="affff0">
    <w:name w:val="编号列项（三级）"/>
    <w:uiPriority w:val="99"/>
    <w:qFormat/>
    <w:rsid w:val="003E499F"/>
    <w:pPr>
      <w:ind w:leftChars="600" w:left="800" w:hangingChars="200" w:hanging="200"/>
    </w:pPr>
    <w:rPr>
      <w:rFonts w:ascii="宋体"/>
      <w:sz w:val="21"/>
    </w:rPr>
  </w:style>
  <w:style w:type="paragraph" w:customStyle="1" w:styleId="affff1">
    <w:name w:val="目次、标准名称标题"/>
    <w:basedOn w:val="af8"/>
    <w:next w:val="af7"/>
    <w:uiPriority w:val="99"/>
    <w:qFormat/>
    <w:rsid w:val="003E499F"/>
    <w:pPr>
      <w:spacing w:line="460" w:lineRule="exact"/>
    </w:pPr>
  </w:style>
  <w:style w:type="paragraph" w:customStyle="1" w:styleId="affff2">
    <w:name w:val="二级无标题条"/>
    <w:basedOn w:val="a"/>
    <w:uiPriority w:val="99"/>
    <w:qFormat/>
    <w:rsid w:val="003E499F"/>
  </w:style>
  <w:style w:type="paragraph" w:customStyle="1" w:styleId="affff3">
    <w:name w:val="注×："/>
    <w:uiPriority w:val="99"/>
    <w:qFormat/>
    <w:rsid w:val="003E499F"/>
    <w:pPr>
      <w:widowControl w:val="0"/>
      <w:tabs>
        <w:tab w:val="left" w:pos="630"/>
      </w:tabs>
      <w:autoSpaceDE w:val="0"/>
      <w:autoSpaceDN w:val="0"/>
      <w:ind w:left="900" w:hanging="500"/>
      <w:jc w:val="both"/>
    </w:pPr>
    <w:rPr>
      <w:rFonts w:ascii="宋体"/>
      <w:sz w:val="18"/>
    </w:rPr>
  </w:style>
  <w:style w:type="paragraph" w:customStyle="1" w:styleId="affff4">
    <w:name w:val="封面标准英文名称"/>
    <w:uiPriority w:val="99"/>
    <w:qFormat/>
    <w:rsid w:val="003E499F"/>
    <w:pPr>
      <w:widowControl w:val="0"/>
      <w:spacing w:before="370" w:line="400" w:lineRule="exact"/>
      <w:jc w:val="center"/>
    </w:pPr>
    <w:rPr>
      <w:sz w:val="28"/>
    </w:rPr>
  </w:style>
  <w:style w:type="paragraph" w:customStyle="1" w:styleId="affff5">
    <w:name w:val="列项——（一级）"/>
    <w:uiPriority w:val="99"/>
    <w:qFormat/>
    <w:rsid w:val="003E499F"/>
    <w:pPr>
      <w:widowControl w:val="0"/>
      <w:tabs>
        <w:tab w:val="left" w:pos="854"/>
      </w:tabs>
      <w:ind w:leftChars="200" w:left="200" w:hangingChars="200" w:hanging="200"/>
      <w:jc w:val="both"/>
    </w:pPr>
    <w:rPr>
      <w:rFonts w:ascii="宋体"/>
      <w:sz w:val="21"/>
    </w:rPr>
  </w:style>
  <w:style w:type="paragraph" w:customStyle="1" w:styleId="affff6">
    <w:name w:val="章标题"/>
    <w:next w:val="af7"/>
    <w:uiPriority w:val="99"/>
    <w:qFormat/>
    <w:rsid w:val="003E499F"/>
    <w:pPr>
      <w:spacing w:beforeLines="50" w:afterLines="50"/>
      <w:jc w:val="both"/>
      <w:outlineLvl w:val="1"/>
    </w:pPr>
    <w:rPr>
      <w:rFonts w:ascii="黑体" w:eastAsia="黑体"/>
      <w:sz w:val="21"/>
    </w:rPr>
  </w:style>
  <w:style w:type="paragraph" w:customStyle="1" w:styleId="affff7">
    <w:name w:val="目次、索引正文"/>
    <w:uiPriority w:val="99"/>
    <w:qFormat/>
    <w:rsid w:val="003E499F"/>
    <w:pPr>
      <w:spacing w:line="320" w:lineRule="exact"/>
      <w:jc w:val="both"/>
    </w:pPr>
    <w:rPr>
      <w:rFonts w:ascii="宋体"/>
      <w:sz w:val="21"/>
    </w:rPr>
  </w:style>
  <w:style w:type="paragraph" w:customStyle="1" w:styleId="affff8">
    <w:name w:val="列项●（二级）"/>
    <w:uiPriority w:val="99"/>
    <w:qFormat/>
    <w:rsid w:val="003E499F"/>
    <w:pPr>
      <w:tabs>
        <w:tab w:val="left" w:pos="840"/>
      </w:tabs>
      <w:ind w:leftChars="400" w:left="600" w:hangingChars="200" w:hanging="200"/>
      <w:jc w:val="both"/>
    </w:pPr>
    <w:rPr>
      <w:rFonts w:ascii="宋体"/>
      <w:sz w:val="21"/>
    </w:rPr>
  </w:style>
  <w:style w:type="paragraph" w:customStyle="1" w:styleId="affff9">
    <w:name w:val="三级无标题条"/>
    <w:basedOn w:val="a"/>
    <w:uiPriority w:val="99"/>
    <w:qFormat/>
    <w:rsid w:val="003E499F"/>
  </w:style>
  <w:style w:type="paragraph" w:customStyle="1" w:styleId="affffa">
    <w:name w:val="标准书眉_偶数页"/>
    <w:basedOn w:val="aff0"/>
    <w:next w:val="a"/>
    <w:uiPriority w:val="99"/>
    <w:qFormat/>
    <w:rsid w:val="003E499F"/>
    <w:pPr>
      <w:jc w:val="left"/>
    </w:pPr>
  </w:style>
  <w:style w:type="paragraph" w:customStyle="1" w:styleId="affffb">
    <w:name w:val="封面标准代替信息"/>
    <w:basedOn w:val="21"/>
    <w:uiPriority w:val="99"/>
    <w:qFormat/>
    <w:rsid w:val="003E499F"/>
    <w:pPr>
      <w:spacing w:before="57"/>
    </w:pPr>
    <w:rPr>
      <w:rFonts w:ascii="宋体"/>
      <w:sz w:val="21"/>
    </w:rPr>
  </w:style>
  <w:style w:type="paragraph" w:customStyle="1" w:styleId="affffc">
    <w:name w:val="附录图标题"/>
    <w:next w:val="af7"/>
    <w:uiPriority w:val="99"/>
    <w:qFormat/>
    <w:rsid w:val="003E499F"/>
    <w:pPr>
      <w:tabs>
        <w:tab w:val="left" w:pos="360"/>
      </w:tabs>
      <w:jc w:val="center"/>
    </w:pPr>
    <w:rPr>
      <w:rFonts w:ascii="黑体" w:eastAsia="黑体"/>
      <w:sz w:val="21"/>
    </w:rPr>
  </w:style>
  <w:style w:type="paragraph" w:customStyle="1" w:styleId="affffd">
    <w:name w:val="标准书脚_偶数页"/>
    <w:uiPriority w:val="99"/>
    <w:qFormat/>
    <w:rsid w:val="003E499F"/>
    <w:pPr>
      <w:spacing w:before="120"/>
    </w:pPr>
    <w:rPr>
      <w:sz w:val="18"/>
    </w:rPr>
  </w:style>
  <w:style w:type="paragraph" w:customStyle="1" w:styleId="affffe">
    <w:name w:val="正文图标题"/>
    <w:next w:val="af7"/>
    <w:uiPriority w:val="99"/>
    <w:qFormat/>
    <w:rsid w:val="003E499F"/>
    <w:pPr>
      <w:jc w:val="center"/>
    </w:pPr>
    <w:rPr>
      <w:rFonts w:ascii="黑体" w:eastAsia="黑体"/>
      <w:sz w:val="21"/>
    </w:rPr>
  </w:style>
  <w:style w:type="paragraph" w:customStyle="1" w:styleId="afffff">
    <w:name w:val="封面标准文稿类别"/>
    <w:uiPriority w:val="99"/>
    <w:qFormat/>
    <w:rsid w:val="003E499F"/>
    <w:pPr>
      <w:spacing w:before="440" w:line="400" w:lineRule="exact"/>
      <w:jc w:val="center"/>
    </w:pPr>
    <w:rPr>
      <w:rFonts w:ascii="宋体"/>
      <w:sz w:val="24"/>
    </w:rPr>
  </w:style>
  <w:style w:type="paragraph" w:customStyle="1" w:styleId="afffff0">
    <w:name w:val="实施日期"/>
    <w:basedOn w:val="afffa"/>
    <w:uiPriority w:val="99"/>
    <w:qFormat/>
    <w:rsid w:val="003E499F"/>
    <w:pPr>
      <w:jc w:val="right"/>
    </w:pPr>
  </w:style>
  <w:style w:type="paragraph" w:customStyle="1" w:styleId="afffff1">
    <w:name w:val="封面正文"/>
    <w:uiPriority w:val="99"/>
    <w:qFormat/>
    <w:rsid w:val="003E499F"/>
    <w:pPr>
      <w:jc w:val="both"/>
    </w:pPr>
  </w:style>
  <w:style w:type="paragraph" w:customStyle="1" w:styleId="ordinary-outputtarget-output">
    <w:name w:val="ordinary-output target-output"/>
    <w:basedOn w:val="a"/>
    <w:uiPriority w:val="99"/>
    <w:qFormat/>
    <w:rsid w:val="003E499F"/>
    <w:pPr>
      <w:widowControl/>
      <w:spacing w:before="100" w:beforeAutospacing="1" w:after="100" w:afterAutospacing="1"/>
      <w:jc w:val="left"/>
    </w:pPr>
    <w:rPr>
      <w:rFonts w:ascii="宋体" w:hAnsi="宋体" w:cs="宋体"/>
      <w:kern w:val="0"/>
      <w:sz w:val="24"/>
    </w:rPr>
  </w:style>
  <w:style w:type="character" w:customStyle="1" w:styleId="high-light-bg4">
    <w:name w:val="high-light-bg4"/>
    <w:basedOn w:val="a0"/>
    <w:uiPriority w:val="99"/>
    <w:qFormat/>
    <w:rsid w:val="003E499F"/>
    <w:rPr>
      <w:rFonts w:cs="Times New Roman"/>
    </w:rPr>
  </w:style>
  <w:style w:type="paragraph" w:styleId="afffff2">
    <w:name w:val="List Paragraph"/>
    <w:basedOn w:val="a"/>
    <w:uiPriority w:val="99"/>
    <w:qFormat/>
    <w:rsid w:val="003E499F"/>
    <w:pPr>
      <w:ind w:firstLineChars="200" w:firstLine="420"/>
    </w:pPr>
  </w:style>
  <w:style w:type="paragraph" w:customStyle="1" w:styleId="12">
    <w:name w:val="列出段落1"/>
    <w:basedOn w:val="a"/>
    <w:uiPriority w:val="99"/>
    <w:qFormat/>
    <w:rsid w:val="003E499F"/>
    <w:pPr>
      <w:adjustRightInd w:val="0"/>
      <w:snapToGrid w:val="0"/>
      <w:spacing w:after="200"/>
      <w:ind w:firstLineChars="200" w:firstLine="420"/>
      <w:jc w:val="left"/>
    </w:pPr>
    <w:rPr>
      <w:rFonts w:ascii="Tahoma" w:eastAsia="微软雅黑" w:hAnsi="Tahoma" w:cs="Tahoma"/>
      <w:kern w:val="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wmf"/><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4.wmf"/><Relationship Id="rId28" Type="http://schemas.openxmlformats.org/officeDocument/2006/relationships/oleObject" Target="embeddings/oleObject5.bin"/><Relationship Id="rId10" Type="http://schemas.openxmlformats.org/officeDocument/2006/relationships/footer" Target="footer1.xm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oleObject" Target="embeddings/oleObject2.bin"/><Relationship Id="rId27" Type="http://schemas.openxmlformats.org/officeDocument/2006/relationships/image" Target="media/image6.wmf"/><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d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tds2</Template>
  <TotalTime>3</TotalTime>
  <Pages>9</Pages>
  <Words>1047</Words>
  <Characters>5973</Characters>
  <Application>Microsoft Office Word</Application>
  <DocSecurity>0</DocSecurity>
  <Lines>49</Lines>
  <Paragraphs>14</Paragraphs>
  <ScaleCrop>false</ScaleCrop>
  <Company>CNIS</Company>
  <LinksUpToDate>false</LinksUpToDate>
  <CharactersWithSpaces>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科技部</dc:creator>
  <cp:lastModifiedBy>Windows 用户</cp:lastModifiedBy>
  <cp:revision>20</cp:revision>
  <cp:lastPrinted>2019-04-11T01:50:00Z</cp:lastPrinted>
  <dcterms:created xsi:type="dcterms:W3CDTF">2019-04-11T01:55:00Z</dcterms:created>
  <dcterms:modified xsi:type="dcterms:W3CDTF">2019-11-15T03:13:00Z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MTWinEqns">
    <vt:bool>true</vt:bool>
  </property>
  <property fmtid="{D5CDD505-2E9C-101B-9397-08002B2CF9AE}" pid="4" name="KSOProductBuildVer">
    <vt:lpwstr>2052-11.1.0.9145</vt:lpwstr>
  </property>
</Properties>
</file>