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5D403" w14:textId="240BFD23" w:rsidR="001A74EC" w:rsidRDefault="001A74EC" w:rsidP="001A74EC">
      <w:pPr>
        <w:adjustRightInd w:val="0"/>
        <w:snapToGrid w:val="0"/>
        <w:jc w:val="center"/>
        <w:rPr>
          <w:rFonts w:ascii="黑体" w:eastAsia="黑体"/>
          <w:sz w:val="28"/>
          <w:szCs w:val="28"/>
        </w:rPr>
      </w:pPr>
      <w:r>
        <w:rPr>
          <w:rStyle w:val="858D7CFB-ED40-4347-BF05-701D383B685F"/>
          <w:rFonts w:hint="eastAsia"/>
          <w:sz w:val="28"/>
          <w:szCs w:val="28"/>
        </w:rPr>
        <w:t>协会标准《</w:t>
      </w:r>
      <w:r>
        <w:rPr>
          <w:rFonts w:ascii="黑体" w:eastAsia="黑体" w:hint="eastAsia"/>
          <w:sz w:val="28"/>
          <w:szCs w:val="28"/>
        </w:rPr>
        <w:t>电子工业用高纯</w:t>
      </w:r>
      <w:r w:rsidR="00077681">
        <w:rPr>
          <w:rFonts w:ascii="黑体" w:eastAsia="黑体" w:hint="eastAsia"/>
          <w:sz w:val="28"/>
          <w:szCs w:val="28"/>
        </w:rPr>
        <w:t>硫</w:t>
      </w:r>
      <w:r>
        <w:rPr>
          <w:rFonts w:ascii="黑体" w:eastAsia="黑体" w:hint="eastAsia"/>
          <w:sz w:val="28"/>
          <w:szCs w:val="28"/>
        </w:rPr>
        <w:t>酸</w:t>
      </w:r>
      <w:r>
        <w:rPr>
          <w:rStyle w:val="858D7CFB-ED40-4347-BF05-701D383B685F"/>
          <w:rFonts w:hint="eastAsia"/>
          <w:sz w:val="28"/>
          <w:szCs w:val="28"/>
        </w:rPr>
        <w:t>》（讨论稿）</w:t>
      </w:r>
      <w:r>
        <w:rPr>
          <w:rStyle w:val="858D7CFB-ED40-4347-BF05-701D383B685F"/>
          <w:rFonts w:hAnsi="STZhongsong" w:hint="eastAsia"/>
          <w:sz w:val="28"/>
          <w:szCs w:val="28"/>
        </w:rPr>
        <w:t>编制说明</w:t>
      </w:r>
    </w:p>
    <w:p w14:paraId="2BE17C81" w14:textId="77777777" w:rsidR="001A74EC" w:rsidRDefault="001A74EC" w:rsidP="001A74EC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一、</w:t>
      </w:r>
      <w:r>
        <w:rPr>
          <w:rFonts w:ascii="宋体" w:hAnsi="宋体"/>
          <w:b/>
          <w:sz w:val="24"/>
        </w:rPr>
        <w:t>工作简况</w:t>
      </w:r>
    </w:p>
    <w:p w14:paraId="04721AA3" w14:textId="77777777" w:rsidR="001A74EC" w:rsidRDefault="001A74EC" w:rsidP="001A74EC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1、</w:t>
      </w:r>
      <w:r>
        <w:rPr>
          <w:rFonts w:ascii="宋体" w:hAnsi="宋体"/>
          <w:b/>
          <w:sz w:val="24"/>
        </w:rPr>
        <w:t>项目背景和立项意义</w:t>
      </w:r>
    </w:p>
    <w:p w14:paraId="2874946A" w14:textId="56A11CE3" w:rsidR="001A74EC" w:rsidRDefault="004D00B8" w:rsidP="001A74EC">
      <w:pPr>
        <w:pStyle w:val="p0"/>
        <w:spacing w:line="360" w:lineRule="auto"/>
        <w:ind w:firstLineChars="200" w:firstLine="480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 w:hint="eastAsia"/>
          <w:sz w:val="24"/>
          <w:szCs w:val="24"/>
        </w:rPr>
        <w:t>电子</w:t>
      </w:r>
      <w:r w:rsidR="00C70500">
        <w:rPr>
          <w:rFonts w:ascii="宋体" w:hAnsi="宋体" w:cs="Times New Roman" w:hint="eastAsia"/>
          <w:sz w:val="24"/>
          <w:szCs w:val="24"/>
        </w:rPr>
        <w:t>工业用</w:t>
      </w:r>
      <w:r w:rsidR="00EA2725">
        <w:rPr>
          <w:rFonts w:ascii="宋体" w:hAnsi="宋体" w:cs="Times New Roman" w:hint="eastAsia"/>
          <w:sz w:val="24"/>
          <w:szCs w:val="24"/>
        </w:rPr>
        <w:t>高纯</w:t>
      </w:r>
      <w:r w:rsidR="00C70500">
        <w:rPr>
          <w:rFonts w:ascii="宋体" w:hAnsi="宋体" w:cs="Times New Roman" w:hint="eastAsia"/>
          <w:sz w:val="24"/>
          <w:szCs w:val="24"/>
        </w:rPr>
        <w:t>硫酸，主要用于硅晶片的清洗、光刻、腐蚀、印刷电路板的腐蚀和电镀清洗</w:t>
      </w:r>
      <w:r w:rsidR="001A74EC">
        <w:rPr>
          <w:rFonts w:ascii="宋体" w:hAnsi="宋体" w:cs="Times New Roman" w:hint="eastAsia"/>
          <w:sz w:val="24"/>
          <w:szCs w:val="24"/>
        </w:rPr>
        <w:t>，</w:t>
      </w:r>
      <w:r w:rsidR="00C70500">
        <w:rPr>
          <w:rFonts w:ascii="宋体" w:hAnsi="宋体" w:cs="Times New Roman" w:hint="eastAsia"/>
          <w:sz w:val="24"/>
          <w:szCs w:val="24"/>
        </w:rPr>
        <w:t>电子级硫酸用于硅晶片的清洗已有30多年的历史，电子级硫酸是半导体工业常用的八大化学式试剂之一，消耗量居第三位。电子工业用高纯硫酸与半导体的发展密切相关。随着电子工业的发展，超高纯硫酸的研制和生产亦得到了快速发展，我国已经能够进行M</w:t>
      </w:r>
      <w:r w:rsidR="00C70500">
        <w:rPr>
          <w:rFonts w:ascii="宋体" w:hAnsi="宋体" w:cs="Times New Roman"/>
          <w:sz w:val="24"/>
          <w:szCs w:val="24"/>
        </w:rPr>
        <w:t>OS</w:t>
      </w:r>
      <w:r w:rsidR="00C70500">
        <w:rPr>
          <w:rFonts w:ascii="宋体" w:hAnsi="宋体" w:cs="Times New Roman" w:hint="eastAsia"/>
          <w:sz w:val="24"/>
          <w:szCs w:val="24"/>
        </w:rPr>
        <w:t>级、B</w:t>
      </w:r>
      <w:r w:rsidR="00C70500">
        <w:rPr>
          <w:rFonts w:ascii="宋体" w:hAnsi="宋体" w:cs="Times New Roman"/>
          <w:sz w:val="24"/>
          <w:szCs w:val="24"/>
        </w:rPr>
        <w:t>V</w:t>
      </w:r>
      <w:r w:rsidR="00C70500" w:rsidRPr="00C70500">
        <w:rPr>
          <w:rFonts w:ascii="宋体" w:hAnsi="宋体" w:cs="Times New Roman" w:hint="eastAsia"/>
          <w:sz w:val="24"/>
          <w:szCs w:val="24"/>
        </w:rPr>
        <w:t>— Ⅲ 级</w:t>
      </w:r>
      <w:r w:rsidR="001A74EC">
        <w:rPr>
          <w:rFonts w:ascii="宋体" w:hAnsi="宋体" w:cs="Times New Roman" w:hint="eastAsia"/>
          <w:sz w:val="24"/>
          <w:szCs w:val="24"/>
        </w:rPr>
        <w:t>高纯</w:t>
      </w:r>
      <w:r w:rsidR="00077681">
        <w:rPr>
          <w:rFonts w:ascii="宋体" w:hAnsi="宋体" w:cs="Times New Roman" w:hint="eastAsia"/>
          <w:sz w:val="24"/>
          <w:szCs w:val="24"/>
        </w:rPr>
        <w:t>硫</w:t>
      </w:r>
      <w:r w:rsidR="001A74EC">
        <w:rPr>
          <w:rFonts w:ascii="宋体" w:hAnsi="宋体" w:cs="Times New Roman" w:hint="eastAsia"/>
          <w:sz w:val="24"/>
          <w:szCs w:val="24"/>
        </w:rPr>
        <w:t>酸的</w:t>
      </w:r>
      <w:r w:rsidR="00C70500">
        <w:rPr>
          <w:rFonts w:ascii="宋体" w:hAnsi="宋体" w:cs="Times New Roman" w:hint="eastAsia"/>
          <w:sz w:val="24"/>
          <w:szCs w:val="24"/>
        </w:rPr>
        <w:t>生产</w:t>
      </w:r>
      <w:r w:rsidR="002935C1">
        <w:rPr>
          <w:rFonts w:ascii="宋体" w:hAnsi="宋体" w:cs="Times New Roman" w:hint="eastAsia"/>
          <w:sz w:val="24"/>
          <w:szCs w:val="24"/>
        </w:rPr>
        <w:t>。</w:t>
      </w:r>
      <w:r w:rsidR="001A74EC">
        <w:rPr>
          <w:rFonts w:ascii="宋体" w:hAnsi="宋体" w:cs="Times New Roman" w:hint="eastAsia"/>
          <w:sz w:val="24"/>
          <w:szCs w:val="24"/>
        </w:rPr>
        <w:t>但</w:t>
      </w:r>
      <w:r w:rsidR="002935C1">
        <w:rPr>
          <w:rFonts w:ascii="宋体" w:hAnsi="宋体" w:cs="Times New Roman" w:hint="eastAsia"/>
          <w:sz w:val="24"/>
          <w:szCs w:val="24"/>
        </w:rPr>
        <w:t>是，</w:t>
      </w:r>
      <w:r w:rsidR="001A74EC">
        <w:rPr>
          <w:rFonts w:ascii="宋体" w:hAnsi="宋体" w:cs="Times New Roman" w:hint="eastAsia"/>
          <w:sz w:val="24"/>
          <w:szCs w:val="24"/>
        </w:rPr>
        <w:t>每个厂家对</w:t>
      </w:r>
      <w:r w:rsidR="00077681">
        <w:rPr>
          <w:rFonts w:ascii="宋体" w:hAnsi="宋体" w:cs="Times New Roman" w:hint="eastAsia"/>
          <w:sz w:val="24"/>
          <w:szCs w:val="24"/>
        </w:rPr>
        <w:t>硫</w:t>
      </w:r>
      <w:r w:rsidR="001A74EC">
        <w:rPr>
          <w:rFonts w:ascii="宋体" w:hAnsi="宋体" w:cs="Times New Roman" w:hint="eastAsia"/>
          <w:sz w:val="24"/>
          <w:szCs w:val="24"/>
        </w:rPr>
        <w:t>酸的技术指标规定不统一，执行标准也不</w:t>
      </w:r>
      <w:r w:rsidR="00926C8F">
        <w:rPr>
          <w:rFonts w:ascii="宋体" w:hAnsi="宋体" w:cs="Times New Roman" w:hint="eastAsia"/>
          <w:sz w:val="24"/>
          <w:szCs w:val="24"/>
        </w:rPr>
        <w:t>一致</w:t>
      </w:r>
      <w:r w:rsidR="001A74EC">
        <w:rPr>
          <w:rFonts w:ascii="宋体" w:hAnsi="宋体" w:cs="Times New Roman" w:hint="eastAsia"/>
          <w:sz w:val="24"/>
          <w:szCs w:val="24"/>
        </w:rPr>
        <w:t>，产品质量水平</w:t>
      </w:r>
      <w:r w:rsidR="002935C1">
        <w:rPr>
          <w:rFonts w:ascii="宋体" w:hAnsi="宋体" w:cs="Times New Roman" w:hint="eastAsia"/>
          <w:sz w:val="24"/>
          <w:szCs w:val="24"/>
        </w:rPr>
        <w:t>参差不齐</w:t>
      </w:r>
      <w:r w:rsidR="001A74EC">
        <w:rPr>
          <w:rFonts w:ascii="宋体" w:hAnsi="宋体" w:cs="Times New Roman" w:hint="eastAsia"/>
          <w:sz w:val="24"/>
          <w:szCs w:val="24"/>
        </w:rPr>
        <w:t>，</w:t>
      </w:r>
      <w:r w:rsidR="002935C1">
        <w:rPr>
          <w:rFonts w:ascii="宋体" w:hAnsi="宋体" w:cs="Times New Roman" w:hint="eastAsia"/>
          <w:sz w:val="24"/>
          <w:szCs w:val="24"/>
        </w:rPr>
        <w:t>为促进半导体</w:t>
      </w:r>
      <w:r w:rsidR="001A74EC">
        <w:rPr>
          <w:rFonts w:ascii="宋体" w:hAnsi="宋体" w:cs="Times New Roman" w:hint="eastAsia"/>
          <w:sz w:val="24"/>
          <w:szCs w:val="24"/>
        </w:rPr>
        <w:t>集成电路产业发展的需求，因此，需要建立一个适用于</w:t>
      </w:r>
      <w:r w:rsidR="002935C1">
        <w:rPr>
          <w:rFonts w:ascii="宋体" w:hAnsi="宋体" w:cs="Times New Roman" w:hint="eastAsia"/>
          <w:sz w:val="24"/>
          <w:szCs w:val="24"/>
        </w:rPr>
        <w:t>半导体</w:t>
      </w:r>
      <w:r w:rsidR="001A74EC">
        <w:rPr>
          <w:rFonts w:ascii="宋体" w:hAnsi="宋体" w:cs="Times New Roman" w:hint="eastAsia"/>
          <w:sz w:val="24"/>
          <w:szCs w:val="24"/>
        </w:rPr>
        <w:t>产业用高纯</w:t>
      </w:r>
      <w:r w:rsidR="00077681">
        <w:rPr>
          <w:rFonts w:ascii="宋体" w:hAnsi="宋体" w:cs="Times New Roman" w:hint="eastAsia"/>
          <w:sz w:val="24"/>
          <w:szCs w:val="24"/>
        </w:rPr>
        <w:t>硫</w:t>
      </w:r>
      <w:r w:rsidR="001A74EC">
        <w:rPr>
          <w:rFonts w:ascii="宋体" w:hAnsi="宋体" w:cs="Times New Roman" w:hint="eastAsia"/>
          <w:sz w:val="24"/>
          <w:szCs w:val="24"/>
        </w:rPr>
        <w:t>酸的技术标准，促使国内企业提高</w:t>
      </w:r>
      <w:proofErr w:type="gramStart"/>
      <w:r w:rsidR="001A74EC">
        <w:rPr>
          <w:rFonts w:ascii="宋体" w:hAnsi="宋体" w:cs="Times New Roman" w:hint="eastAsia"/>
          <w:sz w:val="24"/>
          <w:szCs w:val="24"/>
        </w:rPr>
        <w:t>高</w:t>
      </w:r>
      <w:proofErr w:type="gramEnd"/>
      <w:r w:rsidR="001A74EC">
        <w:rPr>
          <w:rFonts w:ascii="宋体" w:hAnsi="宋体" w:cs="Times New Roman" w:hint="eastAsia"/>
          <w:sz w:val="24"/>
          <w:szCs w:val="24"/>
        </w:rPr>
        <w:t>纯</w:t>
      </w:r>
      <w:r w:rsidR="00077681">
        <w:rPr>
          <w:rFonts w:ascii="宋体" w:hAnsi="宋体" w:cs="Times New Roman" w:hint="eastAsia"/>
          <w:sz w:val="24"/>
          <w:szCs w:val="24"/>
        </w:rPr>
        <w:t>硫</w:t>
      </w:r>
      <w:r w:rsidR="001A74EC">
        <w:rPr>
          <w:rFonts w:ascii="宋体" w:hAnsi="宋体" w:cs="Times New Roman" w:hint="eastAsia"/>
          <w:sz w:val="24"/>
          <w:szCs w:val="24"/>
        </w:rPr>
        <w:t>酸的产品质量，统一高纯</w:t>
      </w:r>
      <w:r w:rsidR="00077681">
        <w:rPr>
          <w:rFonts w:ascii="宋体" w:hAnsi="宋体" w:cs="Times New Roman" w:hint="eastAsia"/>
          <w:sz w:val="24"/>
          <w:szCs w:val="24"/>
        </w:rPr>
        <w:t>硫</w:t>
      </w:r>
      <w:r w:rsidR="001A74EC">
        <w:rPr>
          <w:rFonts w:ascii="宋体" w:hAnsi="宋体" w:cs="Times New Roman" w:hint="eastAsia"/>
          <w:sz w:val="24"/>
          <w:szCs w:val="24"/>
        </w:rPr>
        <w:t>酸的技术规格，为高纯</w:t>
      </w:r>
      <w:r w:rsidR="00077681">
        <w:rPr>
          <w:rFonts w:ascii="宋体" w:hAnsi="宋体" w:cs="Times New Roman" w:hint="eastAsia"/>
          <w:sz w:val="24"/>
          <w:szCs w:val="24"/>
        </w:rPr>
        <w:t>硫</w:t>
      </w:r>
      <w:r w:rsidR="001A74EC">
        <w:rPr>
          <w:rFonts w:ascii="宋体" w:hAnsi="宋体" w:cs="Times New Roman" w:hint="eastAsia"/>
          <w:sz w:val="24"/>
          <w:szCs w:val="24"/>
        </w:rPr>
        <w:t>酸的生产、销售、采购及使用提供参考依据，对促进我国极大规模集成电路产业发展具有重要的意义。</w:t>
      </w:r>
    </w:p>
    <w:p w14:paraId="1B6E7F00" w14:textId="44C9BD41" w:rsidR="001A74EC" w:rsidRDefault="001A74EC" w:rsidP="001A74EC">
      <w:pPr>
        <w:pStyle w:val="p0"/>
        <w:spacing w:line="360" w:lineRule="auto"/>
        <w:ind w:firstLineChars="182" w:firstLine="43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目前国外标准有《SEMI C</w:t>
      </w:r>
      <w:r w:rsidR="002935C1">
        <w:rPr>
          <w:rFonts w:ascii="宋体" w:hAnsi="宋体" w:hint="eastAsia"/>
          <w:sz w:val="24"/>
        </w:rPr>
        <w:t>44</w:t>
      </w:r>
      <w:r>
        <w:rPr>
          <w:rFonts w:ascii="宋体" w:hAnsi="宋体"/>
          <w:sz w:val="24"/>
        </w:rPr>
        <w:t xml:space="preserve"> Specification </w:t>
      </w:r>
      <w:r w:rsidR="002935C1">
        <w:rPr>
          <w:rFonts w:ascii="宋体" w:hAnsi="宋体"/>
          <w:sz w:val="24"/>
        </w:rPr>
        <w:t xml:space="preserve">and Guide for Sulfuric </w:t>
      </w:r>
      <w:r>
        <w:rPr>
          <w:rFonts w:ascii="宋体" w:hAnsi="宋体"/>
          <w:sz w:val="24"/>
        </w:rPr>
        <w:t>Acid</w:t>
      </w:r>
      <w:r>
        <w:rPr>
          <w:rFonts w:ascii="宋体" w:hAnsi="宋体" w:hint="eastAsia"/>
          <w:sz w:val="24"/>
        </w:rPr>
        <w:t>》</w:t>
      </w:r>
      <w:r w:rsidR="002935C1">
        <w:rPr>
          <w:rFonts w:ascii="宋体" w:hAnsi="宋体" w:hint="eastAsia"/>
          <w:sz w:val="24"/>
        </w:rPr>
        <w:t xml:space="preserve">、《SEMI </w:t>
      </w:r>
      <w:r w:rsidR="004F382F">
        <w:rPr>
          <w:rFonts w:ascii="宋体" w:hAnsi="宋体"/>
          <w:sz w:val="24"/>
        </w:rPr>
        <w:t>PV33 -</w:t>
      </w:r>
      <w:r w:rsidR="002935C1">
        <w:rPr>
          <w:rFonts w:ascii="宋体" w:hAnsi="宋体"/>
          <w:sz w:val="24"/>
        </w:rPr>
        <w:t xml:space="preserve"> Specification </w:t>
      </w:r>
      <w:r w:rsidR="004F382F">
        <w:rPr>
          <w:rFonts w:ascii="宋体" w:hAnsi="宋体" w:hint="eastAsia"/>
          <w:sz w:val="24"/>
        </w:rPr>
        <w:t>for</w:t>
      </w:r>
      <w:r w:rsidR="004F382F">
        <w:rPr>
          <w:rFonts w:ascii="宋体" w:hAnsi="宋体"/>
          <w:sz w:val="24"/>
        </w:rPr>
        <w:t xml:space="preserve"> Sulfuric Acid Used in photovoltaic Applications</w:t>
      </w:r>
      <w:r w:rsidR="002935C1">
        <w:rPr>
          <w:rFonts w:ascii="宋体" w:hAnsi="宋体" w:hint="eastAsia"/>
          <w:sz w:val="24"/>
        </w:rPr>
        <w:t>》</w:t>
      </w:r>
      <w:r>
        <w:rPr>
          <w:rFonts w:ascii="宋体" w:hAnsi="宋体" w:hint="eastAsia"/>
          <w:sz w:val="24"/>
        </w:rPr>
        <w:t>，国内标准有《</w:t>
      </w:r>
      <w:r>
        <w:rPr>
          <w:rFonts w:ascii="宋体" w:hAnsi="宋体"/>
          <w:sz w:val="24"/>
        </w:rPr>
        <w:t xml:space="preserve">GB/T </w:t>
      </w:r>
      <w:r w:rsidR="004F382F">
        <w:rPr>
          <w:rFonts w:ascii="宋体" w:hAnsi="宋体"/>
          <w:sz w:val="24"/>
        </w:rPr>
        <w:t>534</w:t>
      </w:r>
      <w:r>
        <w:rPr>
          <w:rFonts w:ascii="宋体" w:hAnsi="宋体"/>
          <w:sz w:val="24"/>
        </w:rPr>
        <w:t>-201</w:t>
      </w:r>
      <w:r w:rsidR="004F382F">
        <w:rPr>
          <w:rFonts w:ascii="宋体" w:hAnsi="宋体"/>
          <w:sz w:val="24"/>
        </w:rPr>
        <w:t>4</w:t>
      </w:r>
      <w:r w:rsidR="004F382F">
        <w:rPr>
          <w:rFonts w:ascii="宋体" w:hAnsi="宋体" w:hint="eastAsia"/>
          <w:sz w:val="24"/>
        </w:rPr>
        <w:t>工业</w:t>
      </w:r>
      <w:r w:rsidR="00077681">
        <w:rPr>
          <w:rFonts w:ascii="宋体" w:hAnsi="宋体" w:hint="eastAsia"/>
          <w:sz w:val="24"/>
        </w:rPr>
        <w:t>硫</w:t>
      </w:r>
      <w:r>
        <w:rPr>
          <w:rFonts w:ascii="宋体" w:hAnsi="宋体" w:hint="eastAsia"/>
          <w:sz w:val="24"/>
        </w:rPr>
        <w:t>酸》、《GB/T</w:t>
      </w:r>
      <w:r>
        <w:rPr>
          <w:rFonts w:ascii="宋体" w:hAnsi="宋体"/>
          <w:sz w:val="24"/>
        </w:rPr>
        <w:t xml:space="preserve"> </w:t>
      </w:r>
      <w:r w:rsidR="004F382F">
        <w:rPr>
          <w:rFonts w:ascii="宋体" w:hAnsi="宋体" w:hint="eastAsia"/>
          <w:sz w:val="24"/>
        </w:rPr>
        <w:t>625</w:t>
      </w:r>
      <w:r>
        <w:rPr>
          <w:rFonts w:ascii="宋体" w:hAnsi="宋体" w:hint="eastAsia"/>
          <w:sz w:val="24"/>
        </w:rPr>
        <w:t>-200</w:t>
      </w:r>
      <w:r w:rsidR="004F382F">
        <w:rPr>
          <w:rFonts w:ascii="宋体" w:hAnsi="宋体" w:hint="eastAsia"/>
          <w:sz w:val="24"/>
        </w:rPr>
        <w:t xml:space="preserve">7化学试剂 </w:t>
      </w:r>
      <w:r w:rsidR="00077681">
        <w:rPr>
          <w:rFonts w:ascii="宋体" w:hAnsi="宋体" w:hint="eastAsia"/>
          <w:sz w:val="24"/>
        </w:rPr>
        <w:t>硫</w:t>
      </w:r>
      <w:r>
        <w:rPr>
          <w:rFonts w:ascii="宋体" w:hAnsi="宋体" w:hint="eastAsia"/>
          <w:sz w:val="24"/>
        </w:rPr>
        <w:t>酸》这些标准中规定的技术</w:t>
      </w:r>
      <w:r w:rsidR="00EA2725">
        <w:rPr>
          <w:rFonts w:ascii="宋体" w:hAnsi="宋体" w:hint="eastAsia"/>
          <w:sz w:val="24"/>
        </w:rPr>
        <w:t>指标</w:t>
      </w:r>
      <w:r>
        <w:rPr>
          <w:rFonts w:ascii="宋体" w:hAnsi="宋体" w:hint="eastAsia"/>
          <w:sz w:val="24"/>
        </w:rPr>
        <w:t>规格较低，已不能满足</w:t>
      </w:r>
      <w:r w:rsidR="004F382F">
        <w:rPr>
          <w:rFonts w:ascii="宋体" w:hAnsi="宋体" w:hint="eastAsia"/>
          <w:sz w:val="24"/>
        </w:rPr>
        <w:t>目前半导体</w:t>
      </w:r>
      <w:r>
        <w:rPr>
          <w:rFonts w:ascii="宋体" w:hAnsi="宋体" w:hint="eastAsia"/>
          <w:sz w:val="24"/>
        </w:rPr>
        <w:t>产业发展的需求。</w:t>
      </w:r>
    </w:p>
    <w:p w14:paraId="790AEA54" w14:textId="77777777" w:rsidR="001A74EC" w:rsidRDefault="001A74EC" w:rsidP="001A74EC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2  </w:t>
      </w:r>
      <w:r>
        <w:rPr>
          <w:rFonts w:ascii="宋体" w:hAnsi="宋体"/>
          <w:b/>
          <w:sz w:val="24"/>
        </w:rPr>
        <w:t>任务来源</w:t>
      </w:r>
    </w:p>
    <w:p w14:paraId="32CC95B9" w14:textId="1E85E8AA" w:rsidR="001A74EC" w:rsidRDefault="001A74EC" w:rsidP="001A74EC">
      <w:pPr>
        <w:pStyle w:val="p0"/>
        <w:spacing w:line="360" w:lineRule="auto"/>
        <w:ind w:firstLine="480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t>根据</w:t>
      </w:r>
      <w:r>
        <w:rPr>
          <w:rFonts w:ascii="宋体" w:hAnsi="宋体" w:cs="Times New Roman" w:hint="eastAsia"/>
          <w:sz w:val="24"/>
          <w:szCs w:val="24"/>
        </w:rPr>
        <w:t>（中</w:t>
      </w:r>
      <w:proofErr w:type="gramStart"/>
      <w:r>
        <w:rPr>
          <w:rFonts w:ascii="宋体" w:hAnsi="宋体" w:cs="Times New Roman" w:hint="eastAsia"/>
          <w:sz w:val="24"/>
          <w:szCs w:val="24"/>
        </w:rPr>
        <w:t>色协科</w:t>
      </w:r>
      <w:proofErr w:type="gramEnd"/>
      <w:r>
        <w:rPr>
          <w:rFonts w:ascii="宋体" w:hAnsi="宋体" w:cs="Times New Roman" w:hint="eastAsia"/>
          <w:sz w:val="24"/>
          <w:szCs w:val="24"/>
        </w:rPr>
        <w:t>字[201</w:t>
      </w:r>
      <w:r w:rsidR="004F382F">
        <w:rPr>
          <w:rFonts w:ascii="宋体" w:hAnsi="宋体" w:cs="Times New Roman" w:hint="eastAsia"/>
          <w:sz w:val="24"/>
          <w:szCs w:val="24"/>
        </w:rPr>
        <w:t>9</w:t>
      </w:r>
      <w:r>
        <w:rPr>
          <w:rFonts w:ascii="宋体" w:hAnsi="宋体" w:cs="Times New Roman" w:hint="eastAsia"/>
          <w:sz w:val="24"/>
          <w:szCs w:val="24"/>
        </w:rPr>
        <w:t xml:space="preserve">] </w:t>
      </w:r>
      <w:r w:rsidR="004F382F">
        <w:rPr>
          <w:rFonts w:ascii="宋体" w:hAnsi="宋体" w:cs="Times New Roman"/>
          <w:sz w:val="24"/>
          <w:szCs w:val="24"/>
        </w:rPr>
        <w:t xml:space="preserve">  </w:t>
      </w:r>
      <w:r>
        <w:rPr>
          <w:rFonts w:ascii="宋体" w:hAnsi="宋体" w:cs="Times New Roman" w:hint="eastAsia"/>
          <w:sz w:val="24"/>
          <w:szCs w:val="24"/>
        </w:rPr>
        <w:t>号）的要求</w:t>
      </w:r>
      <w:r>
        <w:rPr>
          <w:rFonts w:ascii="宋体" w:hAnsi="宋体" w:cs="Times New Roman"/>
          <w:sz w:val="24"/>
          <w:szCs w:val="24"/>
        </w:rPr>
        <w:t>，</w:t>
      </w:r>
      <w:r>
        <w:rPr>
          <w:rFonts w:ascii="宋体" w:hAnsi="宋体" w:cs="Times New Roman" w:hint="eastAsia"/>
          <w:sz w:val="24"/>
          <w:szCs w:val="24"/>
        </w:rPr>
        <w:t>《电子工业用高纯</w:t>
      </w:r>
      <w:r w:rsidR="00077681">
        <w:rPr>
          <w:rFonts w:ascii="宋体" w:hAnsi="宋体" w:cs="Times New Roman" w:hint="eastAsia"/>
          <w:sz w:val="24"/>
          <w:szCs w:val="24"/>
        </w:rPr>
        <w:t>硫</w:t>
      </w:r>
      <w:r>
        <w:rPr>
          <w:rFonts w:ascii="宋体" w:hAnsi="宋体" w:cs="Times New Roman" w:hint="eastAsia"/>
          <w:sz w:val="24"/>
          <w:szCs w:val="24"/>
        </w:rPr>
        <w:t>酸》由</w:t>
      </w:r>
      <w:r w:rsidR="00081A5F">
        <w:rPr>
          <w:rFonts w:ascii="宋体" w:hAnsi="宋体" w:cs="Times New Roman" w:hint="eastAsia"/>
          <w:sz w:val="24"/>
          <w:szCs w:val="24"/>
        </w:rPr>
        <w:t>苏州汉谱埃文材料科技有限公司</w:t>
      </w:r>
      <w:r>
        <w:rPr>
          <w:rFonts w:ascii="宋体" w:hAnsi="宋体" w:cs="Times New Roman" w:hint="eastAsia"/>
          <w:sz w:val="24"/>
          <w:szCs w:val="24"/>
        </w:rPr>
        <w:t>牵头负责起草，计划编号：201</w:t>
      </w:r>
      <w:r w:rsidR="00081A5F">
        <w:rPr>
          <w:rFonts w:ascii="宋体" w:hAnsi="宋体" w:cs="Times New Roman" w:hint="eastAsia"/>
          <w:sz w:val="24"/>
          <w:szCs w:val="24"/>
        </w:rPr>
        <w:t>9</w:t>
      </w:r>
      <w:r>
        <w:rPr>
          <w:rFonts w:ascii="宋体" w:hAnsi="宋体" w:cs="Times New Roman" w:hint="eastAsia"/>
          <w:sz w:val="24"/>
          <w:szCs w:val="24"/>
        </w:rPr>
        <w:t>-0</w:t>
      </w:r>
      <w:r w:rsidR="00081A5F">
        <w:rPr>
          <w:rFonts w:ascii="宋体" w:hAnsi="宋体" w:cs="Times New Roman" w:hint="eastAsia"/>
          <w:sz w:val="24"/>
          <w:szCs w:val="24"/>
        </w:rPr>
        <w:t>031</w:t>
      </w:r>
      <w:r>
        <w:rPr>
          <w:rFonts w:ascii="宋体" w:hAnsi="宋体" w:cs="Times New Roman" w:hint="eastAsia"/>
          <w:sz w:val="24"/>
          <w:szCs w:val="24"/>
        </w:rPr>
        <w:t>-T</w:t>
      </w:r>
      <w:r>
        <w:rPr>
          <w:rFonts w:ascii="宋体" w:hAnsi="宋体" w:cs="Times New Roman"/>
          <w:sz w:val="24"/>
          <w:szCs w:val="24"/>
        </w:rPr>
        <w:t>/</w:t>
      </w:r>
      <w:r>
        <w:rPr>
          <w:rFonts w:ascii="宋体" w:hAnsi="宋体" w:cs="Times New Roman" w:hint="eastAsia"/>
          <w:sz w:val="24"/>
          <w:szCs w:val="24"/>
        </w:rPr>
        <w:t>CNIA，要求于20</w:t>
      </w:r>
      <w:r w:rsidR="00081A5F">
        <w:rPr>
          <w:rFonts w:ascii="宋体" w:hAnsi="宋体" w:cs="Times New Roman" w:hint="eastAsia"/>
          <w:sz w:val="24"/>
          <w:szCs w:val="24"/>
        </w:rPr>
        <w:t>20</w:t>
      </w:r>
      <w:r>
        <w:rPr>
          <w:rFonts w:ascii="宋体" w:hAnsi="宋体" w:cs="Times New Roman" w:hint="eastAsia"/>
          <w:sz w:val="24"/>
          <w:szCs w:val="24"/>
        </w:rPr>
        <w:t>年完成。</w:t>
      </w:r>
    </w:p>
    <w:p w14:paraId="6D98A1C3" w14:textId="77777777" w:rsidR="001A74EC" w:rsidRDefault="001A74EC" w:rsidP="001A74EC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3  </w:t>
      </w:r>
      <w:r>
        <w:rPr>
          <w:rFonts w:ascii="宋体" w:hAnsi="宋体"/>
          <w:b/>
          <w:sz w:val="24"/>
        </w:rPr>
        <w:t>标准项目编制单位简况</w:t>
      </w:r>
    </w:p>
    <w:p w14:paraId="6FCF99DE" w14:textId="4985C1F6" w:rsidR="00065754" w:rsidRPr="00065754" w:rsidRDefault="00EC74B2" w:rsidP="00065754">
      <w:pPr>
        <w:pStyle w:val="p0"/>
        <w:spacing w:line="360" w:lineRule="auto"/>
        <w:ind w:firstLine="480"/>
        <w:rPr>
          <w:rFonts w:ascii="宋体" w:hAnsi="宋体" w:cs="Times New Roman"/>
          <w:sz w:val="24"/>
          <w:szCs w:val="24"/>
        </w:rPr>
      </w:pPr>
      <w:r w:rsidRPr="00065754">
        <w:rPr>
          <w:rFonts w:ascii="宋体" w:hAnsi="宋体" w:cs="Times New Roman" w:hint="eastAsia"/>
          <w:sz w:val="24"/>
          <w:szCs w:val="24"/>
        </w:rPr>
        <w:t>苏州汉谱埃文材料科技有限公司，致力于半导体产业超高纯化学品的研发、技术服务与销售，团队成员由美国、台湾、中国数位专家组成，专家由半导体原材料到芯片生产</w:t>
      </w:r>
      <w:r w:rsidR="00233A8A">
        <w:rPr>
          <w:rFonts w:ascii="宋体" w:hAnsi="宋体" w:cs="Times New Roman" w:hint="eastAsia"/>
          <w:sz w:val="24"/>
          <w:szCs w:val="24"/>
        </w:rPr>
        <w:t>产业链</w:t>
      </w:r>
      <w:r w:rsidRPr="00065754">
        <w:rPr>
          <w:rFonts w:ascii="宋体" w:hAnsi="宋体" w:cs="Times New Roman" w:hint="eastAsia"/>
          <w:sz w:val="24"/>
          <w:szCs w:val="24"/>
        </w:rPr>
        <w:t>上相关的专业人才。于2018年在江苏昆山成立，一年来，针对超高纯试剂的提纯形成独特的技术路线，并且申报了3项专利、12项发明专利，而且全权管理江苏赛夫特半导体材料检测技术有限公司，又参股</w:t>
      </w:r>
      <w:r w:rsidR="00065754" w:rsidRPr="00065754">
        <w:rPr>
          <w:rFonts w:ascii="宋体" w:hAnsi="宋体" w:cs="Times New Roman" w:hint="eastAsia"/>
          <w:sz w:val="24"/>
          <w:szCs w:val="24"/>
        </w:rPr>
        <w:t>上海赛夫特半导体材料公司的电子化学品的生产，</w:t>
      </w:r>
      <w:r w:rsidRPr="00065754">
        <w:rPr>
          <w:rFonts w:ascii="宋体" w:hAnsi="宋体" w:cs="Times New Roman" w:hint="eastAsia"/>
          <w:sz w:val="24"/>
          <w:szCs w:val="24"/>
        </w:rPr>
        <w:t>从半导体产品的研发、</w:t>
      </w:r>
      <w:r w:rsidR="00065754" w:rsidRPr="00065754">
        <w:rPr>
          <w:rFonts w:ascii="宋体" w:hAnsi="宋体" w:cs="Times New Roman" w:hint="eastAsia"/>
          <w:sz w:val="24"/>
          <w:szCs w:val="24"/>
        </w:rPr>
        <w:t>检测到生产，在逐渐发展过程中，对半导体涉及的电子化学品有了更深理解与实践，而</w:t>
      </w:r>
      <w:r w:rsidRPr="00EC74B2">
        <w:rPr>
          <w:rFonts w:ascii="宋体" w:hAnsi="宋体" w:cs="Times New Roman" w:hint="eastAsia"/>
          <w:sz w:val="24"/>
          <w:szCs w:val="24"/>
        </w:rPr>
        <w:t>国内半导体</w:t>
      </w:r>
      <w:r w:rsidR="00065754" w:rsidRPr="00065754">
        <w:rPr>
          <w:rFonts w:ascii="宋体" w:hAnsi="宋体" w:cs="Times New Roman" w:hint="eastAsia"/>
          <w:sz w:val="24"/>
          <w:szCs w:val="24"/>
        </w:rPr>
        <w:t>电子化学品</w:t>
      </w:r>
      <w:r w:rsidRPr="00EC74B2">
        <w:rPr>
          <w:rFonts w:ascii="宋体" w:hAnsi="宋体" w:cs="Times New Roman" w:hint="eastAsia"/>
          <w:sz w:val="24"/>
          <w:szCs w:val="24"/>
        </w:rPr>
        <w:t>技术起歩较晚，我们坚持</w:t>
      </w:r>
      <w:r w:rsidRPr="00EC74B2">
        <w:rPr>
          <w:rFonts w:ascii="宋体" w:hAnsi="宋体" w:cs="Times New Roman" w:hint="eastAsia"/>
          <w:sz w:val="24"/>
          <w:szCs w:val="24"/>
        </w:rPr>
        <w:lastRenderedPageBreak/>
        <w:t>在</w:t>
      </w:r>
      <w:r w:rsidR="00065754" w:rsidRPr="00065754">
        <w:rPr>
          <w:rFonts w:ascii="宋体" w:hAnsi="宋体" w:cs="Times New Roman" w:hint="eastAsia"/>
          <w:sz w:val="24"/>
          <w:szCs w:val="24"/>
        </w:rPr>
        <w:t>超高纯产品</w:t>
      </w:r>
      <w:r w:rsidRPr="00EC74B2">
        <w:rPr>
          <w:rFonts w:ascii="宋体" w:hAnsi="宋体" w:cs="Times New Roman" w:hint="eastAsia"/>
          <w:sz w:val="24"/>
          <w:szCs w:val="24"/>
        </w:rPr>
        <w:t>核心技术中加大投入，继续扩大</w:t>
      </w:r>
      <w:r w:rsidR="00065754" w:rsidRPr="00065754">
        <w:rPr>
          <w:rFonts w:ascii="宋体" w:hAnsi="宋体" w:cs="Times New Roman" w:hint="eastAsia"/>
          <w:sz w:val="24"/>
          <w:szCs w:val="24"/>
        </w:rPr>
        <w:t>产品</w:t>
      </w:r>
      <w:r w:rsidRPr="00EC74B2">
        <w:rPr>
          <w:rFonts w:ascii="宋体" w:hAnsi="宋体" w:cs="Times New Roman" w:hint="eastAsia"/>
          <w:sz w:val="24"/>
          <w:szCs w:val="24"/>
        </w:rPr>
        <w:t>种类，以满足不同</w:t>
      </w:r>
      <w:r w:rsidR="00065754" w:rsidRPr="00065754">
        <w:rPr>
          <w:rFonts w:ascii="宋体" w:hAnsi="宋体" w:cs="Times New Roman" w:hint="eastAsia"/>
          <w:sz w:val="24"/>
          <w:szCs w:val="24"/>
        </w:rPr>
        <w:t>生产</w:t>
      </w:r>
      <w:r w:rsidRPr="00EC74B2">
        <w:rPr>
          <w:rFonts w:ascii="宋体" w:hAnsi="宋体" w:cs="Times New Roman" w:hint="eastAsia"/>
          <w:sz w:val="24"/>
          <w:szCs w:val="24"/>
        </w:rPr>
        <w:t>工艺的要求，持续探究超高纯化学品空白领域，立志成为半导体超高纯化学品的领军企</w:t>
      </w:r>
      <w:r w:rsidR="00065754">
        <w:rPr>
          <w:rFonts w:ascii="宋体" w:hAnsi="宋体" w:cs="Times New Roman" w:hint="eastAsia"/>
          <w:sz w:val="24"/>
          <w:szCs w:val="24"/>
        </w:rPr>
        <w:t>业。</w:t>
      </w:r>
    </w:p>
    <w:p w14:paraId="3D2FAE3E" w14:textId="099337C8" w:rsidR="001A74EC" w:rsidRDefault="001A74EC" w:rsidP="00065754">
      <w:pPr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主要工作过程</w:t>
      </w:r>
    </w:p>
    <w:p w14:paraId="693C4F59" w14:textId="02A72564" w:rsidR="001A74EC" w:rsidRDefault="001A74EC" w:rsidP="001A74EC">
      <w:pPr>
        <w:spacing w:line="360" w:lineRule="auto"/>
        <w:ind w:firstLineChars="200" w:firstLine="480"/>
        <w:rPr>
          <w:sz w:val="24"/>
        </w:rPr>
      </w:pPr>
      <w:r>
        <w:rPr>
          <w:rFonts w:hAnsi="宋体" w:cs="宋体" w:hint="eastAsia"/>
          <w:color w:val="000000"/>
          <w:kern w:val="0"/>
          <w:sz w:val="24"/>
          <w:lang w:val="zh-CN"/>
        </w:rPr>
        <w:t>接到行业标准制定计划任务后，</w:t>
      </w:r>
      <w:r>
        <w:rPr>
          <w:spacing w:val="1"/>
          <w:kern w:val="0"/>
          <w:sz w:val="24"/>
        </w:rPr>
        <w:t>在全国有色金属标准化技术委员会的组织下，</w:t>
      </w:r>
      <w:r w:rsidR="00065754">
        <w:rPr>
          <w:rFonts w:ascii="宋体" w:hAnsi="宋体" w:hint="eastAsia"/>
          <w:kern w:val="0"/>
          <w:sz w:val="24"/>
        </w:rPr>
        <w:t>苏州</w:t>
      </w:r>
      <w:proofErr w:type="gramStart"/>
      <w:r w:rsidR="00065754">
        <w:rPr>
          <w:rFonts w:ascii="宋体" w:hAnsi="宋体" w:hint="eastAsia"/>
          <w:kern w:val="0"/>
          <w:sz w:val="24"/>
        </w:rPr>
        <w:t>汉谱埃文</w:t>
      </w:r>
      <w:r>
        <w:rPr>
          <w:rFonts w:hAnsi="宋体" w:cs="宋体"/>
          <w:color w:val="000000"/>
          <w:kern w:val="0"/>
          <w:sz w:val="24"/>
          <w:lang w:val="zh-CN"/>
        </w:rPr>
        <w:t>成立</w:t>
      </w:r>
      <w:proofErr w:type="gramEnd"/>
      <w:r>
        <w:rPr>
          <w:rFonts w:hAnsi="宋体" w:cs="宋体"/>
          <w:color w:val="000000"/>
          <w:kern w:val="0"/>
          <w:sz w:val="24"/>
          <w:lang w:val="zh-CN"/>
        </w:rPr>
        <w:t>了</w:t>
      </w:r>
      <w:r>
        <w:rPr>
          <w:rFonts w:hAnsi="宋体" w:cs="宋体" w:hint="eastAsia"/>
          <w:color w:val="000000"/>
          <w:kern w:val="0"/>
          <w:sz w:val="24"/>
          <w:lang w:val="zh-CN"/>
        </w:rPr>
        <w:t>协会</w:t>
      </w:r>
      <w:r>
        <w:rPr>
          <w:rFonts w:hAnsi="宋体" w:cs="宋体"/>
          <w:color w:val="000000"/>
          <w:kern w:val="0"/>
          <w:sz w:val="24"/>
          <w:lang w:val="zh-CN"/>
        </w:rPr>
        <w:t>标准《</w:t>
      </w:r>
      <w:r>
        <w:rPr>
          <w:rFonts w:ascii="宋体" w:hAnsi="宋体" w:hint="eastAsia"/>
          <w:sz w:val="24"/>
        </w:rPr>
        <w:t>电子工业用高纯</w:t>
      </w:r>
      <w:r w:rsidR="00077681">
        <w:rPr>
          <w:rFonts w:ascii="宋体" w:hAnsi="宋体" w:hint="eastAsia"/>
          <w:sz w:val="24"/>
        </w:rPr>
        <w:t>硫</w:t>
      </w:r>
      <w:r>
        <w:rPr>
          <w:rFonts w:ascii="宋体" w:hAnsi="宋体" w:hint="eastAsia"/>
          <w:sz w:val="24"/>
        </w:rPr>
        <w:t>酸</w:t>
      </w:r>
      <w:r>
        <w:rPr>
          <w:rFonts w:hAnsi="宋体" w:cs="宋体"/>
          <w:color w:val="000000"/>
          <w:kern w:val="0"/>
          <w:sz w:val="24"/>
          <w:lang w:val="zh-CN"/>
        </w:rPr>
        <w:t>》编制组</w:t>
      </w:r>
      <w:r>
        <w:rPr>
          <w:rFonts w:hAnsi="宋体" w:cs="宋体" w:hint="eastAsia"/>
          <w:color w:val="000000"/>
          <w:kern w:val="0"/>
          <w:sz w:val="24"/>
          <w:lang w:val="zh-CN"/>
        </w:rPr>
        <w:t>，</w:t>
      </w:r>
      <w:r>
        <w:rPr>
          <w:rFonts w:hAnsi="宋体" w:cs="宋体"/>
          <w:color w:val="000000"/>
          <w:kern w:val="0"/>
          <w:sz w:val="24"/>
          <w:lang w:val="zh-CN"/>
        </w:rPr>
        <w:t>确定了编制组成员的任务分工和实验计划。</w:t>
      </w:r>
      <w:r>
        <w:rPr>
          <w:rFonts w:hint="eastAsia"/>
          <w:sz w:val="24"/>
        </w:rPr>
        <w:t>编制</w:t>
      </w:r>
      <w:r>
        <w:rPr>
          <w:sz w:val="24"/>
        </w:rPr>
        <w:t>组开展了</w:t>
      </w:r>
      <w:r>
        <w:rPr>
          <w:rFonts w:hint="eastAsia"/>
          <w:sz w:val="24"/>
        </w:rPr>
        <w:t>相关国内外</w:t>
      </w:r>
      <w:r>
        <w:rPr>
          <w:sz w:val="24"/>
        </w:rPr>
        <w:t>资料、</w:t>
      </w:r>
      <w:r>
        <w:rPr>
          <w:rFonts w:hint="eastAsia"/>
          <w:sz w:val="24"/>
        </w:rPr>
        <w:t>标准的整理和研讨工作。</w:t>
      </w:r>
    </w:p>
    <w:p w14:paraId="6EE25AF7" w14:textId="77777777" w:rsidR="001A74EC" w:rsidRDefault="001A74EC" w:rsidP="001A74EC">
      <w:pPr>
        <w:spacing w:line="360" w:lineRule="auto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二</w:t>
      </w:r>
      <w:r>
        <w:rPr>
          <w:rFonts w:hAnsi="宋体" w:hint="eastAsia"/>
          <w:b/>
          <w:sz w:val="24"/>
        </w:rPr>
        <w:t xml:space="preserve">  </w:t>
      </w:r>
      <w:r>
        <w:rPr>
          <w:rFonts w:hAnsi="宋体" w:hint="eastAsia"/>
          <w:b/>
          <w:sz w:val="24"/>
        </w:rPr>
        <w:t>标准编制原则和确定标准主要内容</w:t>
      </w:r>
    </w:p>
    <w:p w14:paraId="7CC8999B" w14:textId="77777777" w:rsidR="001A74EC" w:rsidRDefault="001A74EC" w:rsidP="001A74EC">
      <w:pPr>
        <w:numPr>
          <w:ilvl w:val="0"/>
          <w:numId w:val="1"/>
        </w:numPr>
        <w:snapToGrid w:val="0"/>
        <w:spacing w:line="360" w:lineRule="auto"/>
        <w:ind w:left="357" w:hanging="357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编制原则</w:t>
      </w:r>
    </w:p>
    <w:p w14:paraId="36B9D475" w14:textId="77777777" w:rsidR="001A74EC" w:rsidRDefault="001A74EC" w:rsidP="001A74EC">
      <w:pPr>
        <w:spacing w:line="360" w:lineRule="auto"/>
        <w:ind w:firstLineChars="200" w:firstLine="480"/>
        <w:rPr>
          <w:sz w:val="24"/>
        </w:rPr>
      </w:pPr>
      <w:r>
        <w:rPr>
          <w:rFonts w:ascii="Arial" w:hAnsi="Arial" w:cs="Arial" w:hint="eastAsia"/>
          <w:color w:val="333333"/>
          <w:sz w:val="24"/>
          <w:shd w:val="clear" w:color="auto" w:fill="FFFFFF"/>
        </w:rPr>
        <w:t>本标准</w:t>
      </w:r>
      <w:r>
        <w:rPr>
          <w:rFonts w:ascii="宋体" w:hAnsi="宋体" w:hint="eastAsia"/>
          <w:sz w:val="24"/>
        </w:rPr>
        <w:t>按照GB/T 1.1-2009《标准化工作导则 第1部分：标准的结构和编写》和GB/T 20001.4-2001《标准编写规则 第4部分： 化学分析方法》的要求进行编写。</w:t>
      </w:r>
      <w:r>
        <w:rPr>
          <w:rFonts w:hint="eastAsia"/>
          <w:sz w:val="24"/>
        </w:rPr>
        <w:t>标准中简述了方法原理，确定了适用范围、等级划分及其杂质含量要求、检验规则、包装、运输、贮存等技术内容。</w:t>
      </w:r>
    </w:p>
    <w:p w14:paraId="12185DCE" w14:textId="77777777" w:rsidR="001A74EC" w:rsidRDefault="001A74EC" w:rsidP="001A74EC">
      <w:pPr>
        <w:numPr>
          <w:ilvl w:val="0"/>
          <w:numId w:val="1"/>
        </w:numPr>
        <w:snapToGrid w:val="0"/>
        <w:spacing w:line="360" w:lineRule="auto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标准主要内容说明</w:t>
      </w:r>
    </w:p>
    <w:p w14:paraId="4BD35E62" w14:textId="77777777" w:rsidR="001A74EC" w:rsidRDefault="001A74EC" w:rsidP="001A74EC">
      <w:pPr>
        <w:numPr>
          <w:ilvl w:val="1"/>
          <w:numId w:val="1"/>
        </w:numPr>
        <w:snapToGrid w:val="0"/>
        <w:spacing w:line="360" w:lineRule="auto"/>
        <w:ind w:left="360" w:hanging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标准题目的确定</w:t>
      </w:r>
    </w:p>
    <w:p w14:paraId="06D8B870" w14:textId="2A3280B6" w:rsidR="001A74EC" w:rsidRDefault="001A74EC" w:rsidP="001A74EC">
      <w:pPr>
        <w:pStyle w:val="p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szCs w:val="24"/>
        </w:rPr>
        <w:t>本标准的题目完全能够高度概括标准主旨和中心，能够反映出电子工业用</w:t>
      </w:r>
      <w:r w:rsidR="00077681">
        <w:rPr>
          <w:rFonts w:ascii="宋体" w:hAnsi="宋体" w:hint="eastAsia"/>
          <w:sz w:val="24"/>
        </w:rPr>
        <w:t>硫</w:t>
      </w:r>
      <w:r>
        <w:rPr>
          <w:rFonts w:ascii="宋体" w:hAnsi="宋体" w:hint="eastAsia"/>
          <w:sz w:val="24"/>
        </w:rPr>
        <w:t>酸要求及检验方法</w:t>
      </w:r>
      <w:r>
        <w:rPr>
          <w:rFonts w:ascii="宋体" w:hAnsi="宋体" w:hint="eastAsia"/>
          <w:sz w:val="24"/>
          <w:szCs w:val="24"/>
        </w:rPr>
        <w:t>。</w:t>
      </w:r>
    </w:p>
    <w:p w14:paraId="43284434" w14:textId="77777777" w:rsidR="001A74EC" w:rsidRDefault="001A74EC" w:rsidP="001A74EC">
      <w:pPr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2.2  范围</w:t>
      </w:r>
    </w:p>
    <w:p w14:paraId="7ACD5C79" w14:textId="538BB975" w:rsidR="001A74EC" w:rsidRDefault="001A74EC" w:rsidP="001A74EC">
      <w:pPr>
        <w:pStyle w:val="p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本标准规定了电子工业用高纯</w:t>
      </w:r>
      <w:r w:rsidR="00077681">
        <w:rPr>
          <w:rFonts w:ascii="宋体" w:hAnsi="宋体" w:hint="eastAsia"/>
          <w:sz w:val="24"/>
          <w:szCs w:val="24"/>
        </w:rPr>
        <w:t>硫</w:t>
      </w:r>
      <w:r>
        <w:rPr>
          <w:rFonts w:ascii="宋体" w:hAnsi="宋体" w:hint="eastAsia"/>
          <w:sz w:val="24"/>
          <w:szCs w:val="24"/>
        </w:rPr>
        <w:t>酸的分级、要求、检验方法、检验规则、标志、标签、包装、运输和储存及安全。</w:t>
      </w:r>
    </w:p>
    <w:p w14:paraId="33618924" w14:textId="28156F36" w:rsidR="001A74EC" w:rsidRDefault="001A74EC" w:rsidP="001A74EC">
      <w:pPr>
        <w:pStyle w:val="p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本标准适用于电子工业用高纯</w:t>
      </w:r>
      <w:r w:rsidR="00077681">
        <w:rPr>
          <w:rFonts w:ascii="宋体" w:hAnsi="宋体" w:hint="eastAsia"/>
          <w:sz w:val="24"/>
          <w:szCs w:val="24"/>
        </w:rPr>
        <w:t>硫</w:t>
      </w:r>
      <w:r>
        <w:rPr>
          <w:rFonts w:ascii="宋体" w:hAnsi="宋体" w:hint="eastAsia"/>
          <w:sz w:val="24"/>
          <w:szCs w:val="24"/>
        </w:rPr>
        <w:t>酸。该产品主要应用于</w:t>
      </w:r>
      <w:r w:rsidR="00003D29">
        <w:rPr>
          <w:rFonts w:ascii="宋体" w:hAnsi="宋体" w:hint="eastAsia"/>
          <w:sz w:val="24"/>
          <w:szCs w:val="24"/>
        </w:rPr>
        <w:t>光伏产业</w:t>
      </w:r>
      <w:r>
        <w:rPr>
          <w:rFonts w:ascii="宋体" w:hAnsi="宋体" w:hint="eastAsia"/>
          <w:sz w:val="24"/>
          <w:szCs w:val="24"/>
        </w:rPr>
        <w:t>、液晶显示器件、集成电路和超大规模集成电路用硅片、芯片的清洗、蚀刻等。</w:t>
      </w:r>
    </w:p>
    <w:p w14:paraId="3FD6F53B" w14:textId="77777777" w:rsidR="001A74EC" w:rsidRDefault="001A74EC" w:rsidP="001A74EC">
      <w:pPr>
        <w:pStyle w:val="p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2.3分级</w:t>
      </w:r>
    </w:p>
    <w:p w14:paraId="348AB964" w14:textId="7FF74EBF" w:rsidR="001A74EC" w:rsidRDefault="001A74EC" w:rsidP="001A74EC">
      <w:pPr>
        <w:pStyle w:val="p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电子工业用高纯</w:t>
      </w:r>
      <w:r w:rsidR="00077681">
        <w:rPr>
          <w:rFonts w:ascii="宋体" w:hAnsi="宋体" w:hint="eastAsia"/>
          <w:sz w:val="24"/>
          <w:szCs w:val="24"/>
        </w:rPr>
        <w:t>硫</w:t>
      </w:r>
      <w:r>
        <w:rPr>
          <w:rFonts w:ascii="宋体" w:hAnsi="宋体" w:hint="eastAsia"/>
          <w:sz w:val="24"/>
          <w:szCs w:val="24"/>
        </w:rPr>
        <w:t>酸按用途分为</w:t>
      </w:r>
      <w:r w:rsidR="00715D42"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个等级：</w:t>
      </w:r>
    </w:p>
    <w:p w14:paraId="2C353BEC" w14:textId="77777777" w:rsidR="001A74EC" w:rsidRDefault="001A74EC" w:rsidP="001A74EC">
      <w:pPr>
        <w:pStyle w:val="p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2.4要求</w:t>
      </w:r>
    </w:p>
    <w:p w14:paraId="11489FC2" w14:textId="77777777" w:rsidR="001A74EC" w:rsidRDefault="001A74EC" w:rsidP="001A74EC">
      <w:pPr>
        <w:pStyle w:val="p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2.4.1 外观：无色透明液体。</w:t>
      </w:r>
    </w:p>
    <w:p w14:paraId="2A2592D8" w14:textId="07ACC8CE" w:rsidR="001A74EC" w:rsidRDefault="001A74EC" w:rsidP="001A74EC">
      <w:pPr>
        <w:pStyle w:val="p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2.4.2 电子工业用高纯</w:t>
      </w:r>
      <w:r w:rsidR="00077681">
        <w:rPr>
          <w:rFonts w:ascii="宋体" w:hAnsi="宋体" w:hint="eastAsia"/>
          <w:sz w:val="24"/>
          <w:szCs w:val="24"/>
        </w:rPr>
        <w:t>硫</w:t>
      </w:r>
      <w:r>
        <w:rPr>
          <w:rFonts w:ascii="宋体" w:hAnsi="宋体" w:hint="eastAsia"/>
          <w:sz w:val="24"/>
          <w:szCs w:val="24"/>
        </w:rPr>
        <w:t>酸应符合表1技术要求。</w:t>
      </w:r>
    </w:p>
    <w:p w14:paraId="7E7F393D" w14:textId="77777777" w:rsidR="001A74EC" w:rsidRDefault="001A74EC" w:rsidP="001A74EC">
      <w:pPr>
        <w:pStyle w:val="a7"/>
        <w:ind w:firstLineChars="0" w:firstLine="360"/>
        <w:jc w:val="center"/>
        <w:rPr>
          <w:rFonts w:hAnsi="宋体" w:cs="Arial"/>
          <w:szCs w:val="21"/>
        </w:rPr>
      </w:pPr>
      <w:r>
        <w:rPr>
          <w:rFonts w:hAnsi="宋体" w:cs="宋体" w:hint="eastAsia"/>
          <w:smallCaps/>
          <w:szCs w:val="21"/>
        </w:rPr>
        <w:t>表</w:t>
      </w:r>
      <w:r>
        <w:rPr>
          <w:rFonts w:hAnsi="宋体" w:cs="宋体" w:hint="eastAsia"/>
          <w:smallCaps/>
          <w:szCs w:val="21"/>
        </w:rPr>
        <w:t xml:space="preserve">1 </w:t>
      </w:r>
      <w:r>
        <w:rPr>
          <w:rFonts w:hAnsi="宋体" w:cs="宋体" w:hint="eastAsia"/>
          <w:smallCaps/>
          <w:szCs w:val="21"/>
        </w:rPr>
        <w:t>技术要求</w:t>
      </w:r>
    </w:p>
    <w:tbl>
      <w:tblPr>
        <w:tblW w:w="10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441"/>
        <w:gridCol w:w="2183"/>
        <w:gridCol w:w="826"/>
        <w:gridCol w:w="1555"/>
        <w:gridCol w:w="1555"/>
        <w:gridCol w:w="1555"/>
        <w:gridCol w:w="1556"/>
      </w:tblGrid>
      <w:tr w:rsidR="001A74EC" w14:paraId="32716412" w14:textId="77777777" w:rsidTr="004B26AF">
        <w:trPr>
          <w:trHeight w:hRule="exact" w:val="510"/>
          <w:jc w:val="center"/>
        </w:trPr>
        <w:tc>
          <w:tcPr>
            <w:tcW w:w="3900" w:type="dxa"/>
            <w:gridSpan w:val="4"/>
            <w:tcBorders>
              <w:tl2br w:val="nil"/>
              <w:tr2bl w:val="nil"/>
            </w:tcBorders>
          </w:tcPr>
          <w:p w14:paraId="71C3D204" w14:textId="77777777" w:rsidR="001A74EC" w:rsidRDefault="001A74EC" w:rsidP="00503906">
            <w:pPr>
              <w:spacing w:beforeLines="50" w:before="156" w:afterLines="50" w:after="156"/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 xml:space="preserve"> 项目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005CE336" w14:textId="77777777" w:rsidR="001A74EC" w:rsidRDefault="001A74EC" w:rsidP="00503906">
            <w:pPr>
              <w:spacing w:beforeLines="50" w:before="156" w:afterLines="50" w:after="156"/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I级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0685368F" w14:textId="77777777" w:rsidR="001A74EC" w:rsidRDefault="001A74EC" w:rsidP="00503906">
            <w:pPr>
              <w:spacing w:beforeLines="50" w:before="156" w:afterLines="50" w:after="156"/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II级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3F8AB84F" w14:textId="77777777" w:rsidR="001A74EC" w:rsidRDefault="001A74EC" w:rsidP="00503906">
            <w:pPr>
              <w:spacing w:beforeLines="50" w:before="156" w:afterLines="50" w:after="156"/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Ⅲ级</w:t>
            </w: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14:paraId="47CD84ED" w14:textId="77777777" w:rsidR="001A74EC" w:rsidRDefault="001A74EC" w:rsidP="00503906">
            <w:pPr>
              <w:spacing w:beforeLines="50" w:before="156" w:afterLines="50" w:after="156"/>
              <w:jc w:val="center"/>
              <w:outlineLvl w:val="3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IV级</w:t>
            </w:r>
          </w:p>
        </w:tc>
      </w:tr>
      <w:tr w:rsidR="001A74EC" w14:paraId="415B265B" w14:textId="77777777" w:rsidTr="004B26AF">
        <w:trPr>
          <w:trHeight w:hRule="exact" w:val="510"/>
          <w:jc w:val="center"/>
        </w:trPr>
        <w:tc>
          <w:tcPr>
            <w:tcW w:w="3900" w:type="dxa"/>
            <w:gridSpan w:val="4"/>
            <w:tcBorders>
              <w:tl2br w:val="nil"/>
              <w:tr2bl w:val="nil"/>
            </w:tcBorders>
            <w:vAlign w:val="center"/>
          </w:tcPr>
          <w:p w14:paraId="4318D690" w14:textId="0906C4FD" w:rsidR="001A74EC" w:rsidRDefault="001A74EC" w:rsidP="00503906">
            <w:pPr>
              <w:spacing w:beforeLines="50" w:before="156" w:afterLines="50" w:after="156"/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主含量(</w:t>
            </w:r>
            <w:r w:rsidR="00003D29">
              <w:rPr>
                <w:rFonts w:ascii="宋体" w:hAnsi="宋体" w:cs="Arial"/>
                <w:szCs w:val="21"/>
              </w:rPr>
              <w:t>H</w:t>
            </w:r>
            <w:r w:rsidR="00003D29" w:rsidRPr="00003D29">
              <w:rPr>
                <w:rFonts w:ascii="宋体" w:hAnsi="宋体" w:cs="Arial"/>
                <w:szCs w:val="21"/>
                <w:vertAlign w:val="subscript"/>
              </w:rPr>
              <w:t>2</w:t>
            </w:r>
            <w:r w:rsidR="00003D29">
              <w:rPr>
                <w:rFonts w:ascii="宋体" w:hAnsi="宋体" w:cs="Arial"/>
                <w:szCs w:val="21"/>
              </w:rPr>
              <w:t>SO</w:t>
            </w:r>
            <w:r w:rsidR="00003D29" w:rsidRPr="00003D29">
              <w:rPr>
                <w:rFonts w:ascii="宋体" w:hAnsi="宋体" w:cs="Arial"/>
                <w:szCs w:val="21"/>
                <w:vertAlign w:val="subscript"/>
              </w:rPr>
              <w:t>4</w:t>
            </w:r>
            <w:r>
              <w:rPr>
                <w:rFonts w:ascii="宋体" w:hAnsi="宋体" w:cs="Arial" w:hint="eastAsia"/>
                <w:szCs w:val="21"/>
              </w:rPr>
              <w:t>) w/ %</w:t>
            </w:r>
          </w:p>
        </w:tc>
        <w:tc>
          <w:tcPr>
            <w:tcW w:w="6221" w:type="dxa"/>
            <w:gridSpan w:val="4"/>
            <w:tcBorders>
              <w:tl2br w:val="nil"/>
              <w:tr2bl w:val="nil"/>
            </w:tcBorders>
            <w:vAlign w:val="center"/>
          </w:tcPr>
          <w:p w14:paraId="2AEC2BDA" w14:textId="0E0B9CD5" w:rsidR="001A74EC" w:rsidRDefault="007F0FD6" w:rsidP="00503906">
            <w:pPr>
              <w:spacing w:beforeLines="50" w:before="156" w:afterLines="50" w:after="156"/>
              <w:jc w:val="center"/>
              <w:outlineLvl w:val="3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95．0</w:t>
            </w:r>
            <w:r w:rsidR="001A74EC">
              <w:rPr>
                <w:rFonts w:ascii="宋体" w:hAnsi="宋体" w:cs="Arial" w:hint="eastAsia"/>
                <w:szCs w:val="21"/>
              </w:rPr>
              <w:t>-</w:t>
            </w:r>
            <w:r>
              <w:rPr>
                <w:rFonts w:ascii="宋体" w:hAnsi="宋体" w:cs="Arial" w:hint="eastAsia"/>
                <w:szCs w:val="21"/>
              </w:rPr>
              <w:t>97．0</w:t>
            </w:r>
          </w:p>
        </w:tc>
      </w:tr>
      <w:tr w:rsidR="001A74EC" w14:paraId="58B3076F" w14:textId="77777777" w:rsidTr="004B26AF">
        <w:trPr>
          <w:trHeight w:hRule="exact" w:val="510"/>
          <w:jc w:val="center"/>
        </w:trPr>
        <w:tc>
          <w:tcPr>
            <w:tcW w:w="3900" w:type="dxa"/>
            <w:gridSpan w:val="4"/>
            <w:tcBorders>
              <w:tl2br w:val="nil"/>
              <w:tr2bl w:val="nil"/>
            </w:tcBorders>
            <w:vAlign w:val="center"/>
          </w:tcPr>
          <w:p w14:paraId="60DB5AEE" w14:textId="77777777" w:rsidR="001A74EC" w:rsidRDefault="001A74EC" w:rsidP="00503906">
            <w:pPr>
              <w:spacing w:beforeLines="50" w:before="156" w:afterLines="50" w:after="156"/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外观</w:t>
            </w:r>
          </w:p>
        </w:tc>
        <w:tc>
          <w:tcPr>
            <w:tcW w:w="6221" w:type="dxa"/>
            <w:gridSpan w:val="4"/>
            <w:tcBorders>
              <w:tl2br w:val="nil"/>
              <w:tr2bl w:val="nil"/>
            </w:tcBorders>
            <w:vAlign w:val="center"/>
          </w:tcPr>
          <w:p w14:paraId="5A3C4F8D" w14:textId="77777777" w:rsidR="001A74EC" w:rsidRDefault="001A74EC" w:rsidP="00503906">
            <w:pPr>
              <w:spacing w:beforeLines="50" w:before="156" w:afterLines="50" w:after="156"/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透明无色</w:t>
            </w:r>
          </w:p>
          <w:p w14:paraId="56C4AE10" w14:textId="77777777" w:rsidR="001A74EC" w:rsidRDefault="001A74EC" w:rsidP="00503906">
            <w:pPr>
              <w:spacing w:beforeLines="50" w:before="156" w:afterLines="50" w:after="156"/>
              <w:jc w:val="center"/>
              <w:outlineLvl w:val="3"/>
            </w:pPr>
            <w:r>
              <w:rPr>
                <w:rFonts w:ascii="宋体" w:hAnsi="宋体" w:cs="Arial"/>
                <w:szCs w:val="21"/>
              </w:rPr>
              <w:t>≤</w:t>
            </w:r>
            <w:r>
              <w:rPr>
                <w:rFonts w:ascii="宋体" w:hAnsi="宋体" w:cs="Arial" w:hint="eastAsia"/>
                <w:szCs w:val="21"/>
              </w:rPr>
              <w:t>10</w:t>
            </w:r>
          </w:p>
          <w:p w14:paraId="52566D7C" w14:textId="77777777" w:rsidR="001A74EC" w:rsidRDefault="001A74EC" w:rsidP="00503906">
            <w:pPr>
              <w:spacing w:beforeLines="50" w:before="156" w:afterLines="50" w:after="156"/>
              <w:jc w:val="center"/>
              <w:outlineLvl w:val="3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≤</w:t>
            </w:r>
            <w:r>
              <w:rPr>
                <w:rFonts w:ascii="宋体" w:hAnsi="宋体" w:cs="Arial" w:hint="eastAsia"/>
                <w:szCs w:val="21"/>
              </w:rPr>
              <w:t>10</w:t>
            </w:r>
          </w:p>
        </w:tc>
      </w:tr>
      <w:tr w:rsidR="001A74EC" w14:paraId="22D74A69" w14:textId="77777777" w:rsidTr="004B26AF">
        <w:trPr>
          <w:trHeight w:hRule="exact" w:val="865"/>
          <w:jc w:val="center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vAlign w:val="center"/>
          </w:tcPr>
          <w:p w14:paraId="673121E9" w14:textId="77777777" w:rsidR="001A74EC" w:rsidRDefault="001A74EC" w:rsidP="00503906">
            <w:pPr>
              <w:spacing w:beforeLines="50" w:before="156" w:afterLines="50" w:after="156"/>
              <w:jc w:val="center"/>
              <w:outlineLvl w:val="3"/>
            </w:pPr>
            <w:r>
              <w:rPr>
                <w:rFonts w:hint="eastAsia"/>
              </w:rPr>
              <w:lastRenderedPageBreak/>
              <w:t>痕量阴离子指标</w:t>
            </w:r>
          </w:p>
          <w:p w14:paraId="62EED9C2" w14:textId="77777777" w:rsidR="001A74EC" w:rsidRDefault="001A74EC" w:rsidP="00503906">
            <w:pPr>
              <w:spacing w:beforeLines="50" w:before="156" w:afterLines="50" w:after="156"/>
              <w:jc w:val="center"/>
              <w:outlineLvl w:val="3"/>
            </w:pPr>
          </w:p>
        </w:tc>
        <w:tc>
          <w:tcPr>
            <w:tcW w:w="3450" w:type="dxa"/>
            <w:gridSpan w:val="3"/>
            <w:tcBorders>
              <w:tl2br w:val="nil"/>
              <w:tr2bl w:val="nil"/>
            </w:tcBorders>
            <w:vAlign w:val="center"/>
          </w:tcPr>
          <w:p w14:paraId="0024D9D2" w14:textId="77777777" w:rsidR="001A74EC" w:rsidRDefault="001A74EC" w:rsidP="00503906">
            <w:pPr>
              <w:spacing w:beforeLines="50" w:before="156" w:afterLines="50" w:after="156"/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氯化物（Cl</w:t>
            </w:r>
            <w:r w:rsidRPr="008214EC">
              <w:rPr>
                <w:rFonts w:ascii="宋体" w:hAnsi="宋体" w:cs="Arial" w:hint="eastAsia"/>
                <w:szCs w:val="21"/>
                <w:vertAlign w:val="superscript"/>
              </w:rPr>
              <w:t>-</w:t>
            </w:r>
            <w:r>
              <w:rPr>
                <w:rFonts w:ascii="宋体" w:hAnsi="宋体" w:cs="Arial" w:hint="eastAsia"/>
                <w:szCs w:val="21"/>
              </w:rPr>
              <w:t>）w/(µg/kg)       ≤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20C507CF" w14:textId="515B57FC" w:rsidR="001A74EC" w:rsidRDefault="007F0FD6" w:rsidP="00503906">
            <w:pPr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100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41C964B8" w14:textId="3BEF5AE9" w:rsidR="001A74EC" w:rsidRDefault="008214EC" w:rsidP="00503906">
            <w:pPr>
              <w:jc w:val="center"/>
              <w:outlineLvl w:val="3"/>
            </w:pPr>
            <w:r>
              <w:rPr>
                <w:rFonts w:ascii="宋体" w:hAnsi="宋体" w:cs="Arial"/>
                <w:szCs w:val="21"/>
              </w:rPr>
              <w:t>1</w:t>
            </w:r>
            <w:r w:rsidR="001A74EC">
              <w:rPr>
                <w:rFonts w:ascii="宋体" w:hAnsi="宋体" w:cs="Arial" w:hint="eastAsia"/>
                <w:szCs w:val="21"/>
              </w:rPr>
              <w:t>00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6629CADF" w14:textId="79F4A71E" w:rsidR="001A74EC" w:rsidRDefault="008214EC" w:rsidP="00503906">
            <w:pPr>
              <w:jc w:val="center"/>
              <w:outlineLvl w:val="3"/>
            </w:pPr>
            <w:r>
              <w:rPr>
                <w:rFonts w:ascii="宋体" w:hAnsi="宋体" w:cs="Arial"/>
                <w:szCs w:val="21"/>
              </w:rPr>
              <w:t>5</w:t>
            </w:r>
            <w:r w:rsidR="001A74EC">
              <w:rPr>
                <w:rFonts w:ascii="宋体" w:hAnsi="宋体" w:cs="Arial" w:hint="eastAsia"/>
                <w:szCs w:val="21"/>
              </w:rPr>
              <w:t>0</w:t>
            </w: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14:paraId="6C58B9A8" w14:textId="037305A7" w:rsidR="001A74EC" w:rsidRDefault="008214EC" w:rsidP="00503906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50</w:t>
            </w:r>
          </w:p>
        </w:tc>
      </w:tr>
      <w:tr w:rsidR="001A74EC" w14:paraId="2487B2F0" w14:textId="77777777" w:rsidTr="004B26AF">
        <w:trPr>
          <w:trHeight w:hRule="exact" w:val="780"/>
          <w:jc w:val="center"/>
        </w:trPr>
        <w:tc>
          <w:tcPr>
            <w:tcW w:w="450" w:type="dxa"/>
            <w:vMerge/>
            <w:tcBorders>
              <w:tl2br w:val="nil"/>
              <w:tr2bl w:val="nil"/>
            </w:tcBorders>
          </w:tcPr>
          <w:p w14:paraId="384E52AC" w14:textId="77777777" w:rsidR="001A74EC" w:rsidRDefault="001A74EC" w:rsidP="00503906">
            <w:pPr>
              <w:spacing w:beforeLines="50" w:before="156" w:afterLines="50" w:after="156"/>
              <w:jc w:val="center"/>
              <w:outlineLvl w:val="3"/>
            </w:pPr>
          </w:p>
        </w:tc>
        <w:tc>
          <w:tcPr>
            <w:tcW w:w="3450" w:type="dxa"/>
            <w:gridSpan w:val="3"/>
            <w:tcBorders>
              <w:tl2br w:val="nil"/>
              <w:tr2bl w:val="nil"/>
            </w:tcBorders>
            <w:vAlign w:val="center"/>
          </w:tcPr>
          <w:p w14:paraId="2FC650A0" w14:textId="77777777" w:rsidR="001A74EC" w:rsidRDefault="001A74EC" w:rsidP="00503906">
            <w:pPr>
              <w:spacing w:beforeLines="50" w:before="156" w:afterLines="50" w:after="156"/>
              <w:jc w:val="center"/>
              <w:outlineLvl w:val="3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硝酸根（NO</w:t>
            </w:r>
            <w:r w:rsidRPr="008214EC">
              <w:rPr>
                <w:rFonts w:ascii="宋体" w:hAnsi="宋体" w:cs="Arial" w:hint="eastAsia"/>
                <w:szCs w:val="21"/>
                <w:vertAlign w:val="subscript"/>
              </w:rPr>
              <w:t>3</w:t>
            </w:r>
            <w:r w:rsidRPr="008214EC">
              <w:rPr>
                <w:rFonts w:ascii="宋体" w:hAnsi="宋体" w:cs="Arial" w:hint="eastAsia"/>
                <w:szCs w:val="21"/>
                <w:vertAlign w:val="superscript"/>
              </w:rPr>
              <w:t>-</w:t>
            </w:r>
            <w:r>
              <w:rPr>
                <w:rFonts w:ascii="宋体" w:hAnsi="宋体" w:cs="Arial" w:hint="eastAsia"/>
                <w:szCs w:val="21"/>
              </w:rPr>
              <w:t>）w/(µg/kg)      ≤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660FD02E" w14:textId="6EB30FD7" w:rsidR="001A74EC" w:rsidRDefault="008214EC" w:rsidP="00503906">
            <w:pPr>
              <w:jc w:val="center"/>
              <w:outlineLvl w:val="3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</w:t>
            </w:r>
            <w:r w:rsidR="001A74EC">
              <w:rPr>
                <w:rFonts w:ascii="宋体" w:hAnsi="宋体" w:cs="Arial" w:hint="eastAsia"/>
                <w:szCs w:val="21"/>
              </w:rPr>
              <w:t>00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07B26E8C" w14:textId="7F4EBE22" w:rsidR="001A74EC" w:rsidRDefault="008214EC" w:rsidP="00503906">
            <w:pPr>
              <w:jc w:val="center"/>
              <w:outlineLvl w:val="3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</w:t>
            </w:r>
            <w:r w:rsidR="001A74EC">
              <w:rPr>
                <w:rFonts w:ascii="宋体" w:hAnsi="宋体" w:cs="Arial" w:hint="eastAsia"/>
                <w:szCs w:val="21"/>
              </w:rPr>
              <w:t>00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6347B1AC" w14:textId="77777777" w:rsidR="001A74EC" w:rsidRDefault="001A74EC" w:rsidP="00503906">
            <w:pPr>
              <w:jc w:val="center"/>
              <w:outlineLvl w:val="3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100</w:t>
            </w: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14:paraId="5077F1E5" w14:textId="66E20DB4" w:rsidR="001A74EC" w:rsidRDefault="008214EC" w:rsidP="00503906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100</w:t>
            </w:r>
          </w:p>
        </w:tc>
      </w:tr>
      <w:tr w:rsidR="001A74EC" w14:paraId="16B2CF4B" w14:textId="77777777" w:rsidTr="004B26AF">
        <w:trPr>
          <w:trHeight w:hRule="exact" w:val="780"/>
          <w:jc w:val="center"/>
        </w:trPr>
        <w:tc>
          <w:tcPr>
            <w:tcW w:w="450" w:type="dxa"/>
            <w:vMerge/>
            <w:tcBorders>
              <w:tl2br w:val="nil"/>
              <w:tr2bl w:val="nil"/>
            </w:tcBorders>
          </w:tcPr>
          <w:p w14:paraId="04E86560" w14:textId="77777777" w:rsidR="001A74EC" w:rsidRDefault="001A74EC" w:rsidP="00503906">
            <w:pPr>
              <w:spacing w:beforeLines="50" w:before="156" w:afterLines="50" w:after="156"/>
              <w:jc w:val="center"/>
              <w:outlineLvl w:val="3"/>
            </w:pPr>
          </w:p>
        </w:tc>
        <w:tc>
          <w:tcPr>
            <w:tcW w:w="3450" w:type="dxa"/>
            <w:gridSpan w:val="3"/>
            <w:tcBorders>
              <w:tl2br w:val="nil"/>
              <w:tr2bl w:val="nil"/>
            </w:tcBorders>
            <w:vAlign w:val="center"/>
          </w:tcPr>
          <w:p w14:paraId="6285D297" w14:textId="77777777" w:rsidR="001A74EC" w:rsidRDefault="001A74EC" w:rsidP="00503906">
            <w:pPr>
              <w:spacing w:beforeLines="50" w:before="156" w:afterLines="50" w:after="156"/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磷酸根（PO</w:t>
            </w:r>
            <w:r w:rsidRPr="008214EC">
              <w:rPr>
                <w:rFonts w:ascii="宋体" w:hAnsi="宋体" w:cs="Arial" w:hint="eastAsia"/>
                <w:szCs w:val="21"/>
                <w:vertAlign w:val="subscript"/>
              </w:rPr>
              <w:t>4</w:t>
            </w:r>
            <w:r w:rsidRPr="008214EC">
              <w:rPr>
                <w:rFonts w:ascii="宋体" w:hAnsi="宋体" w:cs="Arial" w:hint="eastAsia"/>
                <w:szCs w:val="21"/>
                <w:vertAlign w:val="superscript"/>
              </w:rPr>
              <w:t>3-</w:t>
            </w:r>
            <w:r>
              <w:rPr>
                <w:rFonts w:ascii="宋体" w:hAnsi="宋体" w:cs="Arial" w:hint="eastAsia"/>
                <w:szCs w:val="21"/>
              </w:rPr>
              <w:t>）w/(µg/kg)      ≤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42ECC5F8" w14:textId="51609DB1" w:rsidR="001A74EC" w:rsidRDefault="008214EC" w:rsidP="00503906">
            <w:pPr>
              <w:jc w:val="center"/>
              <w:outlineLvl w:val="3"/>
            </w:pPr>
            <w:r>
              <w:rPr>
                <w:rFonts w:ascii="宋体" w:hAnsi="宋体" w:cs="Arial"/>
                <w:szCs w:val="21"/>
              </w:rPr>
              <w:t>5</w:t>
            </w:r>
            <w:r w:rsidR="001A74EC">
              <w:rPr>
                <w:rFonts w:ascii="宋体" w:hAnsi="宋体" w:cs="Arial" w:hint="eastAsia"/>
                <w:szCs w:val="21"/>
              </w:rPr>
              <w:t>00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10739024" w14:textId="2ED13FD1" w:rsidR="001A74EC" w:rsidRDefault="008214EC" w:rsidP="00503906">
            <w:pPr>
              <w:jc w:val="center"/>
              <w:outlineLvl w:val="3"/>
            </w:pPr>
            <w:r>
              <w:rPr>
                <w:rFonts w:ascii="宋体" w:hAnsi="宋体" w:cs="Arial"/>
                <w:szCs w:val="21"/>
              </w:rPr>
              <w:t>5</w:t>
            </w:r>
            <w:r w:rsidR="001A74EC">
              <w:rPr>
                <w:rFonts w:ascii="宋体" w:hAnsi="宋体" w:cs="Arial" w:hint="eastAsia"/>
                <w:szCs w:val="21"/>
              </w:rPr>
              <w:t>00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3C6D6EC6" w14:textId="77777777" w:rsidR="001A74EC" w:rsidRDefault="001A74EC" w:rsidP="00503906">
            <w:pPr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100</w:t>
            </w: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14:paraId="4D3F7686" w14:textId="3F9B2B8F" w:rsidR="001A74EC" w:rsidRDefault="008214EC" w:rsidP="00503906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100</w:t>
            </w:r>
          </w:p>
        </w:tc>
      </w:tr>
      <w:tr w:rsidR="001A74EC" w14:paraId="2A17147B" w14:textId="77777777" w:rsidTr="004B26AF">
        <w:trPr>
          <w:trHeight w:hRule="exact" w:val="510"/>
          <w:jc w:val="center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vAlign w:val="center"/>
          </w:tcPr>
          <w:p w14:paraId="4BBD9254" w14:textId="77777777" w:rsidR="001A74EC" w:rsidRDefault="001A74EC" w:rsidP="00503906">
            <w:pPr>
              <w:spacing w:beforeLines="50" w:before="156" w:afterLines="50" w:after="156"/>
              <w:jc w:val="center"/>
              <w:outlineLvl w:val="3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</w:rPr>
              <w:t>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标</w:t>
            </w:r>
          </w:p>
        </w:tc>
        <w:tc>
          <w:tcPr>
            <w:tcW w:w="3450" w:type="dxa"/>
            <w:gridSpan w:val="3"/>
            <w:tcBorders>
              <w:tl2br w:val="nil"/>
              <w:tr2bl w:val="nil"/>
            </w:tcBorders>
            <w:vAlign w:val="center"/>
          </w:tcPr>
          <w:p w14:paraId="42A38AFD" w14:textId="77777777" w:rsidR="001A74EC" w:rsidRDefault="001A74EC" w:rsidP="00503906">
            <w:pPr>
              <w:spacing w:beforeLines="50" w:before="156" w:afterLines="50" w:after="156"/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铝（Al）</w:t>
            </w:r>
            <w:r>
              <w:rPr>
                <w:rFonts w:ascii="宋体" w:hAnsi="宋体" w:cs="Arial"/>
                <w:szCs w:val="21"/>
              </w:rPr>
              <w:t>w/</w:t>
            </w:r>
            <w:r>
              <w:rPr>
                <w:rFonts w:ascii="宋体" w:hAnsi="宋体" w:cs="Arial" w:hint="eastAsia"/>
                <w:szCs w:val="21"/>
              </w:rPr>
              <w:t>(µg</w:t>
            </w:r>
            <w:r>
              <w:rPr>
                <w:rFonts w:ascii="宋体" w:hAnsi="宋体" w:cs="Arial"/>
                <w:szCs w:val="21"/>
              </w:rPr>
              <w:t>/kg</w:t>
            </w:r>
            <w:r>
              <w:rPr>
                <w:rFonts w:ascii="宋体" w:hAnsi="宋体" w:cs="Arial" w:hint="eastAsia"/>
                <w:szCs w:val="21"/>
              </w:rPr>
              <w:t>)           ≤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1717EA06" w14:textId="5D2D6263" w:rsidR="001A74EC" w:rsidRDefault="004B26AF" w:rsidP="00503906">
            <w:pPr>
              <w:jc w:val="center"/>
              <w:outlineLvl w:val="3"/>
            </w:pPr>
            <w:r>
              <w:rPr>
                <w:rFonts w:ascii="宋体" w:hAnsi="宋体" w:cs="Arial"/>
                <w:szCs w:val="21"/>
              </w:rPr>
              <w:t>200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0B79A10E" w14:textId="31245C03" w:rsidR="001A74EC" w:rsidRDefault="001A74EC" w:rsidP="00503906">
            <w:pPr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1</w:t>
            </w:r>
            <w:r w:rsidR="004B26AF">
              <w:rPr>
                <w:rFonts w:ascii="宋体" w:hAnsi="宋体" w:cs="Arial"/>
                <w:szCs w:val="21"/>
              </w:rPr>
              <w:t>0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54244464" w14:textId="7958190B" w:rsidR="001A74EC" w:rsidRDefault="004B26AF" w:rsidP="00503906">
            <w:pPr>
              <w:jc w:val="center"/>
              <w:outlineLvl w:val="3"/>
            </w:pPr>
            <w:r>
              <w:rPr>
                <w:rFonts w:ascii="宋体" w:hAnsi="宋体" w:cs="Arial"/>
                <w:szCs w:val="21"/>
              </w:rPr>
              <w:t>1</w:t>
            </w: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14:paraId="0E6093E9" w14:textId="3F456A61" w:rsidR="001A74EC" w:rsidRDefault="004B26AF" w:rsidP="00503906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0.1</w:t>
            </w:r>
          </w:p>
        </w:tc>
      </w:tr>
      <w:tr w:rsidR="001A74EC" w14:paraId="0A75A330" w14:textId="77777777" w:rsidTr="004B26AF">
        <w:trPr>
          <w:trHeight w:hRule="exact" w:val="510"/>
          <w:jc w:val="center"/>
        </w:trPr>
        <w:tc>
          <w:tcPr>
            <w:tcW w:w="450" w:type="dxa"/>
            <w:vMerge/>
            <w:tcBorders>
              <w:tl2br w:val="nil"/>
              <w:tr2bl w:val="nil"/>
            </w:tcBorders>
          </w:tcPr>
          <w:p w14:paraId="52798D6C" w14:textId="77777777" w:rsidR="001A74EC" w:rsidRDefault="001A74EC" w:rsidP="00503906">
            <w:pPr>
              <w:spacing w:beforeLines="50" w:before="156" w:afterLines="50" w:after="156"/>
              <w:jc w:val="center"/>
              <w:outlineLvl w:val="3"/>
              <w:rPr>
                <w:rFonts w:ascii="宋体" w:hAnsi="宋体" w:cs="Arial"/>
                <w:szCs w:val="21"/>
              </w:rPr>
            </w:pPr>
          </w:p>
        </w:tc>
        <w:tc>
          <w:tcPr>
            <w:tcW w:w="3450" w:type="dxa"/>
            <w:gridSpan w:val="3"/>
            <w:tcBorders>
              <w:tl2br w:val="nil"/>
              <w:tr2bl w:val="nil"/>
            </w:tcBorders>
            <w:vAlign w:val="center"/>
          </w:tcPr>
          <w:p w14:paraId="1C3340CD" w14:textId="77777777" w:rsidR="001A74EC" w:rsidRDefault="001A74EC" w:rsidP="00503906">
            <w:pPr>
              <w:spacing w:beforeLines="50" w:before="156" w:afterLines="50" w:after="156"/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锑（Sb）</w:t>
            </w:r>
            <w:r>
              <w:rPr>
                <w:rFonts w:ascii="宋体" w:hAnsi="宋体" w:cs="Arial"/>
                <w:szCs w:val="21"/>
              </w:rPr>
              <w:t>w/</w:t>
            </w:r>
            <w:r>
              <w:rPr>
                <w:rFonts w:ascii="宋体" w:hAnsi="宋体" w:cs="Arial" w:hint="eastAsia"/>
                <w:szCs w:val="21"/>
              </w:rPr>
              <w:t>(µg</w:t>
            </w:r>
            <w:r>
              <w:rPr>
                <w:rFonts w:ascii="宋体" w:hAnsi="宋体" w:cs="Arial"/>
                <w:szCs w:val="21"/>
              </w:rPr>
              <w:t>/kg</w:t>
            </w:r>
            <w:r>
              <w:rPr>
                <w:rFonts w:ascii="宋体" w:hAnsi="宋体" w:cs="Arial" w:hint="eastAsia"/>
                <w:szCs w:val="21"/>
              </w:rPr>
              <w:t>)           ≤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7549C6C5" w14:textId="0A113658" w:rsidR="001A74EC" w:rsidRDefault="004B26AF" w:rsidP="00503906">
            <w:pPr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--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2A5B6CA7" w14:textId="3447C52E" w:rsidR="001A74EC" w:rsidRDefault="004B26AF" w:rsidP="00503906">
            <w:pPr>
              <w:jc w:val="center"/>
              <w:outlineLvl w:val="3"/>
            </w:pPr>
            <w:r>
              <w:rPr>
                <w:rFonts w:ascii="宋体" w:hAnsi="宋体" w:cs="Arial"/>
                <w:szCs w:val="21"/>
              </w:rPr>
              <w:t>5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10640A87" w14:textId="5F5BB349" w:rsidR="001A74EC" w:rsidRDefault="004B26AF" w:rsidP="00503906">
            <w:pPr>
              <w:jc w:val="center"/>
            </w:pPr>
            <w:r>
              <w:rPr>
                <w:rFonts w:ascii="宋体" w:hAnsi="宋体" w:cs="Arial"/>
                <w:szCs w:val="21"/>
              </w:rPr>
              <w:t>1</w:t>
            </w: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14:paraId="68F497EF" w14:textId="650EE6CC" w:rsidR="001A74EC" w:rsidRDefault="001A74EC" w:rsidP="00503906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0.1</w:t>
            </w:r>
          </w:p>
        </w:tc>
      </w:tr>
      <w:tr w:rsidR="001A74EC" w14:paraId="0EF3BE0F" w14:textId="77777777" w:rsidTr="004B26AF">
        <w:trPr>
          <w:trHeight w:hRule="exact" w:val="510"/>
          <w:jc w:val="center"/>
        </w:trPr>
        <w:tc>
          <w:tcPr>
            <w:tcW w:w="450" w:type="dxa"/>
            <w:vMerge/>
            <w:tcBorders>
              <w:tl2br w:val="nil"/>
              <w:tr2bl w:val="nil"/>
            </w:tcBorders>
          </w:tcPr>
          <w:p w14:paraId="5E022979" w14:textId="77777777" w:rsidR="001A74EC" w:rsidRDefault="001A74EC" w:rsidP="00503906">
            <w:pPr>
              <w:spacing w:beforeLines="50" w:before="156" w:afterLines="50" w:after="156"/>
              <w:jc w:val="center"/>
              <w:outlineLvl w:val="3"/>
              <w:rPr>
                <w:rFonts w:ascii="宋体" w:hAnsi="宋体" w:cs="Arial"/>
                <w:szCs w:val="21"/>
              </w:rPr>
            </w:pPr>
          </w:p>
        </w:tc>
        <w:tc>
          <w:tcPr>
            <w:tcW w:w="3450" w:type="dxa"/>
            <w:gridSpan w:val="3"/>
            <w:tcBorders>
              <w:tl2br w:val="nil"/>
              <w:tr2bl w:val="nil"/>
            </w:tcBorders>
            <w:vAlign w:val="center"/>
          </w:tcPr>
          <w:p w14:paraId="13FDFA46" w14:textId="77777777" w:rsidR="001A74EC" w:rsidRDefault="001A74EC" w:rsidP="00503906">
            <w:pPr>
              <w:spacing w:beforeLines="50" w:before="156" w:afterLines="50" w:after="156"/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砷（As）</w:t>
            </w:r>
            <w:r>
              <w:rPr>
                <w:rFonts w:ascii="宋体" w:hAnsi="宋体" w:cs="Arial"/>
                <w:szCs w:val="21"/>
              </w:rPr>
              <w:t>w/</w:t>
            </w:r>
            <w:r>
              <w:rPr>
                <w:rFonts w:ascii="宋体" w:hAnsi="宋体" w:cs="Arial" w:hint="eastAsia"/>
                <w:szCs w:val="21"/>
              </w:rPr>
              <w:t>(µg</w:t>
            </w:r>
            <w:r>
              <w:rPr>
                <w:rFonts w:ascii="宋体" w:hAnsi="宋体" w:cs="Arial"/>
                <w:szCs w:val="21"/>
              </w:rPr>
              <w:t>/kg</w:t>
            </w:r>
            <w:r>
              <w:rPr>
                <w:rFonts w:ascii="宋体" w:hAnsi="宋体" w:cs="Arial" w:hint="eastAsia"/>
                <w:szCs w:val="21"/>
              </w:rPr>
              <w:t>)           ≤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117717D0" w14:textId="15CF8110" w:rsidR="001A74EC" w:rsidRDefault="004B26AF" w:rsidP="00503906">
            <w:pPr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--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20D94BE0" w14:textId="5496FBC2" w:rsidR="001A74EC" w:rsidRDefault="001A74EC" w:rsidP="00503906">
            <w:pPr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1</w:t>
            </w:r>
            <w:r w:rsidR="004B26AF">
              <w:rPr>
                <w:rFonts w:ascii="宋体" w:hAnsi="宋体" w:cs="Arial"/>
                <w:szCs w:val="21"/>
              </w:rPr>
              <w:t>0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4B408486" w14:textId="597AC0FE" w:rsidR="001A74EC" w:rsidRDefault="001A74EC" w:rsidP="00503906">
            <w:pPr>
              <w:jc w:val="center"/>
            </w:pPr>
            <w:r>
              <w:rPr>
                <w:rFonts w:ascii="宋体" w:hAnsi="宋体" w:cs="Arial" w:hint="eastAsia"/>
                <w:szCs w:val="21"/>
              </w:rPr>
              <w:t>1</w:t>
            </w: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14:paraId="0528F2B5" w14:textId="554AB9D9" w:rsidR="001A74EC" w:rsidRDefault="001A74EC" w:rsidP="00503906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0.1</w:t>
            </w:r>
          </w:p>
        </w:tc>
      </w:tr>
      <w:tr w:rsidR="001A74EC" w14:paraId="72100A0D" w14:textId="77777777" w:rsidTr="004B26AF">
        <w:trPr>
          <w:trHeight w:hRule="exact" w:val="510"/>
          <w:jc w:val="center"/>
        </w:trPr>
        <w:tc>
          <w:tcPr>
            <w:tcW w:w="450" w:type="dxa"/>
            <w:vMerge/>
            <w:tcBorders>
              <w:tl2br w:val="nil"/>
              <w:tr2bl w:val="nil"/>
            </w:tcBorders>
          </w:tcPr>
          <w:p w14:paraId="37CEF0AF" w14:textId="77777777" w:rsidR="001A74EC" w:rsidRDefault="001A74EC" w:rsidP="00503906">
            <w:pPr>
              <w:spacing w:beforeLines="50" w:before="156" w:afterLines="50" w:after="156"/>
              <w:jc w:val="center"/>
              <w:outlineLvl w:val="3"/>
              <w:rPr>
                <w:rFonts w:ascii="宋体" w:hAnsi="宋体" w:cs="Arial"/>
                <w:szCs w:val="21"/>
              </w:rPr>
            </w:pPr>
          </w:p>
        </w:tc>
        <w:tc>
          <w:tcPr>
            <w:tcW w:w="3450" w:type="dxa"/>
            <w:gridSpan w:val="3"/>
            <w:tcBorders>
              <w:tl2br w:val="nil"/>
              <w:tr2bl w:val="nil"/>
            </w:tcBorders>
            <w:vAlign w:val="center"/>
          </w:tcPr>
          <w:p w14:paraId="18F43C00" w14:textId="77777777" w:rsidR="001A74EC" w:rsidRDefault="001A74EC" w:rsidP="00503906">
            <w:pPr>
              <w:spacing w:beforeLines="50" w:before="156" w:afterLines="50" w:after="156"/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钡（Ba）</w:t>
            </w:r>
            <w:r>
              <w:rPr>
                <w:rFonts w:ascii="宋体" w:hAnsi="宋体" w:cs="Arial"/>
                <w:szCs w:val="21"/>
              </w:rPr>
              <w:t>w/</w:t>
            </w:r>
            <w:r>
              <w:rPr>
                <w:rFonts w:ascii="宋体" w:hAnsi="宋体" w:cs="Arial" w:hint="eastAsia"/>
                <w:szCs w:val="21"/>
              </w:rPr>
              <w:t>(µg</w:t>
            </w:r>
            <w:r>
              <w:rPr>
                <w:rFonts w:ascii="宋体" w:hAnsi="宋体" w:cs="Arial"/>
                <w:szCs w:val="21"/>
              </w:rPr>
              <w:t>/kg</w:t>
            </w:r>
            <w:r>
              <w:rPr>
                <w:rFonts w:ascii="宋体" w:hAnsi="宋体" w:cs="Arial" w:hint="eastAsia"/>
                <w:szCs w:val="21"/>
              </w:rPr>
              <w:t>)           ≤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6CAE77FB" w14:textId="29EAEEA3" w:rsidR="001A74EC" w:rsidRDefault="004B26AF" w:rsidP="00503906">
            <w:pPr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--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7C3DC9EC" w14:textId="34D1BA35" w:rsidR="001A74EC" w:rsidRDefault="001A74EC" w:rsidP="00503906">
            <w:pPr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1</w:t>
            </w:r>
            <w:r w:rsidR="004B26AF">
              <w:rPr>
                <w:rFonts w:ascii="宋体" w:hAnsi="宋体" w:cs="Arial"/>
                <w:szCs w:val="21"/>
              </w:rPr>
              <w:t>0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697858BF" w14:textId="1C139B06" w:rsidR="001A74EC" w:rsidRDefault="001A74EC" w:rsidP="00503906">
            <w:pPr>
              <w:jc w:val="center"/>
            </w:pPr>
            <w:r>
              <w:rPr>
                <w:rFonts w:ascii="宋体" w:hAnsi="宋体" w:cs="Arial" w:hint="eastAsia"/>
                <w:szCs w:val="21"/>
              </w:rPr>
              <w:t>1</w:t>
            </w: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14:paraId="48F17486" w14:textId="372EF53F" w:rsidR="001A74EC" w:rsidRDefault="001A74EC" w:rsidP="00503906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0.1</w:t>
            </w:r>
          </w:p>
        </w:tc>
      </w:tr>
      <w:tr w:rsidR="001A74EC" w14:paraId="6AE0D37B" w14:textId="77777777" w:rsidTr="004B26AF">
        <w:trPr>
          <w:trHeight w:hRule="exact" w:val="510"/>
          <w:jc w:val="center"/>
        </w:trPr>
        <w:tc>
          <w:tcPr>
            <w:tcW w:w="450" w:type="dxa"/>
            <w:vMerge/>
            <w:tcBorders>
              <w:tl2br w:val="nil"/>
              <w:tr2bl w:val="nil"/>
            </w:tcBorders>
          </w:tcPr>
          <w:p w14:paraId="6C5E789A" w14:textId="77777777" w:rsidR="001A74EC" w:rsidRDefault="001A74EC" w:rsidP="00503906">
            <w:pPr>
              <w:spacing w:beforeLines="50" w:before="156" w:afterLines="50" w:after="156"/>
              <w:jc w:val="center"/>
              <w:outlineLvl w:val="3"/>
            </w:pPr>
          </w:p>
        </w:tc>
        <w:tc>
          <w:tcPr>
            <w:tcW w:w="3450" w:type="dxa"/>
            <w:gridSpan w:val="3"/>
            <w:tcBorders>
              <w:tl2br w:val="nil"/>
              <w:tr2bl w:val="nil"/>
            </w:tcBorders>
            <w:vAlign w:val="center"/>
          </w:tcPr>
          <w:p w14:paraId="7F458ABA" w14:textId="77777777" w:rsidR="001A74EC" w:rsidRDefault="001A74EC" w:rsidP="00503906">
            <w:pPr>
              <w:spacing w:beforeLines="50" w:before="156" w:afterLines="50" w:after="156"/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硼（B）</w:t>
            </w:r>
            <w:r>
              <w:rPr>
                <w:rFonts w:ascii="宋体" w:hAnsi="宋体" w:cs="Arial"/>
                <w:szCs w:val="21"/>
              </w:rPr>
              <w:t>w/</w:t>
            </w:r>
            <w:r>
              <w:rPr>
                <w:rFonts w:ascii="宋体" w:hAnsi="宋体" w:cs="Arial" w:hint="eastAsia"/>
                <w:szCs w:val="21"/>
              </w:rPr>
              <w:t>(µg</w:t>
            </w:r>
            <w:r>
              <w:rPr>
                <w:rFonts w:ascii="宋体" w:hAnsi="宋体" w:cs="Arial"/>
                <w:szCs w:val="21"/>
              </w:rPr>
              <w:t>/kg</w:t>
            </w:r>
            <w:r>
              <w:rPr>
                <w:rFonts w:ascii="宋体" w:hAnsi="宋体" w:cs="Arial" w:hint="eastAsia"/>
                <w:szCs w:val="21"/>
              </w:rPr>
              <w:t>)            ≤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29E7F93C" w14:textId="06FABE6A" w:rsidR="001A74EC" w:rsidRDefault="004B26AF" w:rsidP="00503906">
            <w:pPr>
              <w:jc w:val="center"/>
              <w:outlineLvl w:val="3"/>
            </w:pPr>
            <w:r>
              <w:rPr>
                <w:rFonts w:ascii="宋体" w:hAnsi="宋体" w:cs="Arial"/>
                <w:szCs w:val="21"/>
              </w:rPr>
              <w:t>2</w:t>
            </w:r>
            <w:r w:rsidR="001A74EC">
              <w:rPr>
                <w:rFonts w:ascii="宋体" w:hAnsi="宋体" w:cs="Arial" w:hint="eastAsia"/>
                <w:szCs w:val="21"/>
              </w:rPr>
              <w:t>0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4351296B" w14:textId="33F0A0D2" w:rsidR="001A74EC" w:rsidRDefault="004B26AF" w:rsidP="00503906">
            <w:pPr>
              <w:jc w:val="center"/>
              <w:outlineLvl w:val="3"/>
            </w:pPr>
            <w:r>
              <w:rPr>
                <w:rFonts w:ascii="宋体" w:hAnsi="宋体" w:cs="Arial"/>
                <w:szCs w:val="21"/>
              </w:rPr>
              <w:t>20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1BAED7AC" w14:textId="58DE9644" w:rsidR="001A74EC" w:rsidRDefault="001A74EC" w:rsidP="00503906">
            <w:pPr>
              <w:jc w:val="center"/>
            </w:pPr>
            <w:r>
              <w:rPr>
                <w:rFonts w:ascii="宋体" w:hAnsi="宋体" w:cs="Arial" w:hint="eastAsia"/>
                <w:szCs w:val="21"/>
              </w:rPr>
              <w:t>1</w:t>
            </w: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14:paraId="1D94A73F" w14:textId="6E37A41D" w:rsidR="001A74EC" w:rsidRDefault="001A74EC" w:rsidP="00503906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0.1</w:t>
            </w:r>
          </w:p>
        </w:tc>
      </w:tr>
      <w:tr w:rsidR="001A74EC" w14:paraId="7AA363B4" w14:textId="77777777" w:rsidTr="004B26AF">
        <w:trPr>
          <w:trHeight w:hRule="exact" w:val="510"/>
          <w:jc w:val="center"/>
        </w:trPr>
        <w:tc>
          <w:tcPr>
            <w:tcW w:w="450" w:type="dxa"/>
            <w:vMerge/>
            <w:tcBorders>
              <w:tl2br w:val="nil"/>
              <w:tr2bl w:val="nil"/>
            </w:tcBorders>
          </w:tcPr>
          <w:p w14:paraId="4E1E0D58" w14:textId="77777777" w:rsidR="001A74EC" w:rsidRDefault="001A74EC" w:rsidP="00503906">
            <w:pPr>
              <w:spacing w:beforeLines="50" w:before="156" w:afterLines="50" w:after="156"/>
              <w:jc w:val="center"/>
              <w:outlineLvl w:val="3"/>
            </w:pPr>
          </w:p>
        </w:tc>
        <w:tc>
          <w:tcPr>
            <w:tcW w:w="3450" w:type="dxa"/>
            <w:gridSpan w:val="3"/>
            <w:tcBorders>
              <w:tl2br w:val="nil"/>
              <w:tr2bl w:val="nil"/>
            </w:tcBorders>
            <w:vAlign w:val="center"/>
          </w:tcPr>
          <w:p w14:paraId="71F2C5F4" w14:textId="77777777" w:rsidR="001A74EC" w:rsidRDefault="001A74EC" w:rsidP="00503906">
            <w:pPr>
              <w:spacing w:beforeLines="50" w:before="156" w:afterLines="50" w:after="156"/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镉（Cd）</w:t>
            </w:r>
            <w:r>
              <w:rPr>
                <w:rFonts w:ascii="宋体" w:hAnsi="宋体" w:cs="Arial"/>
                <w:szCs w:val="21"/>
              </w:rPr>
              <w:t>w/</w:t>
            </w:r>
            <w:r>
              <w:rPr>
                <w:rFonts w:ascii="宋体" w:hAnsi="宋体" w:cs="Arial" w:hint="eastAsia"/>
                <w:szCs w:val="21"/>
              </w:rPr>
              <w:t>(µg</w:t>
            </w:r>
            <w:r>
              <w:rPr>
                <w:rFonts w:ascii="宋体" w:hAnsi="宋体" w:cs="Arial"/>
                <w:szCs w:val="21"/>
              </w:rPr>
              <w:t>/kg</w:t>
            </w:r>
            <w:r>
              <w:rPr>
                <w:rFonts w:ascii="宋体" w:hAnsi="宋体" w:cs="Arial" w:hint="eastAsia"/>
                <w:szCs w:val="21"/>
              </w:rPr>
              <w:t>)           ≤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09A10B71" w14:textId="0E0EFFBB" w:rsidR="001A74EC" w:rsidRDefault="004B26AF" w:rsidP="00503906">
            <w:pPr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--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0240B3D0" w14:textId="7075707D" w:rsidR="001A74EC" w:rsidRDefault="001A74EC" w:rsidP="00503906">
            <w:pPr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1</w:t>
            </w:r>
            <w:r w:rsidR="004B26AF">
              <w:rPr>
                <w:rFonts w:ascii="宋体" w:hAnsi="宋体" w:cs="Arial"/>
                <w:szCs w:val="21"/>
              </w:rPr>
              <w:t>0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073EEA2A" w14:textId="38417B2A" w:rsidR="001A74EC" w:rsidRDefault="001A74EC" w:rsidP="00503906">
            <w:pPr>
              <w:jc w:val="center"/>
            </w:pPr>
            <w:r>
              <w:rPr>
                <w:rFonts w:ascii="宋体" w:hAnsi="宋体" w:cs="Arial" w:hint="eastAsia"/>
                <w:szCs w:val="21"/>
              </w:rPr>
              <w:t>1</w:t>
            </w: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14:paraId="13A9F832" w14:textId="431EC7BC" w:rsidR="001A74EC" w:rsidRDefault="001A74EC" w:rsidP="00503906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0.1</w:t>
            </w:r>
          </w:p>
        </w:tc>
      </w:tr>
      <w:tr w:rsidR="004B26AF" w14:paraId="2EFDAB9B" w14:textId="77777777" w:rsidTr="004B26AF">
        <w:trPr>
          <w:trHeight w:hRule="exact" w:val="510"/>
          <w:jc w:val="center"/>
        </w:trPr>
        <w:tc>
          <w:tcPr>
            <w:tcW w:w="450" w:type="dxa"/>
            <w:vMerge/>
            <w:tcBorders>
              <w:tl2br w:val="nil"/>
              <w:tr2bl w:val="nil"/>
            </w:tcBorders>
          </w:tcPr>
          <w:p w14:paraId="6934E145" w14:textId="77777777" w:rsidR="004B26AF" w:rsidRDefault="004B26AF" w:rsidP="004B26AF">
            <w:pPr>
              <w:spacing w:beforeLines="50" w:before="156" w:afterLines="50" w:after="156"/>
              <w:jc w:val="center"/>
              <w:outlineLvl w:val="3"/>
            </w:pPr>
          </w:p>
        </w:tc>
        <w:tc>
          <w:tcPr>
            <w:tcW w:w="3450" w:type="dxa"/>
            <w:gridSpan w:val="3"/>
            <w:tcBorders>
              <w:tl2br w:val="nil"/>
              <w:tr2bl w:val="nil"/>
            </w:tcBorders>
            <w:vAlign w:val="center"/>
          </w:tcPr>
          <w:p w14:paraId="2CB2F374" w14:textId="77777777" w:rsidR="004B26AF" w:rsidRDefault="004B26AF" w:rsidP="004B26AF">
            <w:pPr>
              <w:spacing w:beforeLines="50" w:before="156" w:afterLines="50" w:after="156"/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钙（Ca）</w:t>
            </w:r>
            <w:r>
              <w:rPr>
                <w:rFonts w:ascii="宋体" w:hAnsi="宋体" w:cs="Arial"/>
                <w:szCs w:val="21"/>
              </w:rPr>
              <w:t>w/</w:t>
            </w:r>
            <w:r>
              <w:rPr>
                <w:rFonts w:ascii="宋体" w:hAnsi="宋体" w:cs="Arial" w:hint="eastAsia"/>
                <w:szCs w:val="21"/>
              </w:rPr>
              <w:t>(µg</w:t>
            </w:r>
            <w:r>
              <w:rPr>
                <w:rFonts w:ascii="宋体" w:hAnsi="宋体" w:cs="Arial"/>
                <w:szCs w:val="21"/>
              </w:rPr>
              <w:t>/kg</w:t>
            </w:r>
            <w:r>
              <w:rPr>
                <w:rFonts w:ascii="宋体" w:hAnsi="宋体" w:cs="Arial" w:hint="eastAsia"/>
                <w:szCs w:val="21"/>
              </w:rPr>
              <w:t>)           ≤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68326561" w14:textId="31985D1E" w:rsidR="004B26AF" w:rsidRDefault="004B26AF" w:rsidP="004B26AF">
            <w:pPr>
              <w:jc w:val="center"/>
              <w:outlineLvl w:val="3"/>
            </w:pPr>
            <w:r>
              <w:rPr>
                <w:rFonts w:ascii="宋体" w:hAnsi="宋体" w:cs="Arial"/>
                <w:szCs w:val="21"/>
              </w:rPr>
              <w:t>30</w:t>
            </w:r>
            <w:r>
              <w:rPr>
                <w:rFonts w:ascii="宋体" w:hAnsi="宋体" w:cs="Arial" w:hint="eastAsia"/>
                <w:szCs w:val="21"/>
              </w:rPr>
              <w:t>0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70683BF0" w14:textId="7C45149C" w:rsidR="004B26AF" w:rsidRDefault="004B26AF" w:rsidP="004B26AF">
            <w:pPr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1</w:t>
            </w:r>
            <w:r w:rsidR="003B235E">
              <w:rPr>
                <w:rFonts w:ascii="宋体" w:hAnsi="宋体" w:cs="Arial"/>
                <w:szCs w:val="21"/>
              </w:rPr>
              <w:t>0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69D05022" w14:textId="5D386504" w:rsidR="004B26AF" w:rsidRDefault="004B26AF" w:rsidP="004B26AF">
            <w:pPr>
              <w:jc w:val="center"/>
            </w:pPr>
            <w:r>
              <w:rPr>
                <w:rFonts w:ascii="宋体" w:hAnsi="宋体" w:cs="Arial" w:hint="eastAsia"/>
                <w:szCs w:val="21"/>
              </w:rPr>
              <w:t>1</w:t>
            </w:r>
          </w:p>
        </w:tc>
        <w:tc>
          <w:tcPr>
            <w:tcW w:w="1556" w:type="dxa"/>
            <w:tcBorders>
              <w:tl2br w:val="nil"/>
              <w:tr2bl w:val="nil"/>
            </w:tcBorders>
          </w:tcPr>
          <w:p w14:paraId="779F228E" w14:textId="382B2E5F" w:rsidR="004B26AF" w:rsidRDefault="004B26AF" w:rsidP="004B26AF">
            <w:pPr>
              <w:jc w:val="center"/>
              <w:rPr>
                <w:rFonts w:ascii="宋体" w:hAnsi="宋体" w:cs="Arial"/>
                <w:szCs w:val="21"/>
              </w:rPr>
            </w:pPr>
            <w:r w:rsidRPr="00BF7D0C">
              <w:rPr>
                <w:rFonts w:ascii="宋体" w:hAnsi="宋体" w:cs="Arial" w:hint="eastAsia"/>
                <w:szCs w:val="21"/>
              </w:rPr>
              <w:t>0.1</w:t>
            </w:r>
          </w:p>
        </w:tc>
      </w:tr>
      <w:tr w:rsidR="004B26AF" w14:paraId="17DADD4B" w14:textId="77777777" w:rsidTr="004B26AF">
        <w:trPr>
          <w:trHeight w:hRule="exact" w:val="510"/>
          <w:jc w:val="center"/>
        </w:trPr>
        <w:tc>
          <w:tcPr>
            <w:tcW w:w="450" w:type="dxa"/>
            <w:vMerge/>
            <w:tcBorders>
              <w:tl2br w:val="nil"/>
              <w:tr2bl w:val="nil"/>
            </w:tcBorders>
          </w:tcPr>
          <w:p w14:paraId="54AD2343" w14:textId="77777777" w:rsidR="004B26AF" w:rsidRDefault="004B26AF" w:rsidP="004B26AF">
            <w:pPr>
              <w:spacing w:beforeLines="50" w:before="156" w:afterLines="50" w:after="156"/>
              <w:jc w:val="center"/>
              <w:outlineLvl w:val="3"/>
            </w:pPr>
          </w:p>
        </w:tc>
        <w:tc>
          <w:tcPr>
            <w:tcW w:w="3450" w:type="dxa"/>
            <w:gridSpan w:val="3"/>
            <w:tcBorders>
              <w:tl2br w:val="nil"/>
              <w:tr2bl w:val="nil"/>
            </w:tcBorders>
            <w:vAlign w:val="center"/>
          </w:tcPr>
          <w:p w14:paraId="112EA5E6" w14:textId="77777777" w:rsidR="004B26AF" w:rsidRDefault="004B26AF" w:rsidP="004B26AF">
            <w:pPr>
              <w:spacing w:beforeLines="50" w:before="156" w:afterLines="50" w:after="156"/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铬（Cr）</w:t>
            </w:r>
            <w:r>
              <w:rPr>
                <w:rFonts w:ascii="宋体" w:hAnsi="宋体" w:cs="Arial"/>
                <w:szCs w:val="21"/>
              </w:rPr>
              <w:t>w/</w:t>
            </w:r>
            <w:r>
              <w:rPr>
                <w:rFonts w:ascii="宋体" w:hAnsi="宋体" w:cs="Arial" w:hint="eastAsia"/>
                <w:szCs w:val="21"/>
              </w:rPr>
              <w:t>(µg</w:t>
            </w:r>
            <w:r>
              <w:rPr>
                <w:rFonts w:ascii="宋体" w:hAnsi="宋体" w:cs="Arial"/>
                <w:szCs w:val="21"/>
              </w:rPr>
              <w:t>/kg</w:t>
            </w:r>
            <w:r>
              <w:rPr>
                <w:rFonts w:ascii="宋体" w:hAnsi="宋体" w:cs="Arial" w:hint="eastAsia"/>
                <w:szCs w:val="21"/>
              </w:rPr>
              <w:t>)           ≤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459F12E4" w14:textId="7B9EEDA5" w:rsidR="004B26AF" w:rsidRDefault="003B235E" w:rsidP="004B26AF">
            <w:pPr>
              <w:jc w:val="center"/>
              <w:outlineLvl w:val="3"/>
            </w:pPr>
            <w:r>
              <w:rPr>
                <w:rFonts w:ascii="宋体" w:hAnsi="宋体" w:cs="Arial"/>
                <w:szCs w:val="21"/>
              </w:rPr>
              <w:t>20</w:t>
            </w:r>
            <w:r w:rsidR="004B26AF">
              <w:rPr>
                <w:rFonts w:ascii="宋体" w:hAnsi="宋体" w:cs="Arial" w:hint="eastAsia"/>
                <w:szCs w:val="21"/>
              </w:rPr>
              <w:t>0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02A4805C" w14:textId="1B0FCFED" w:rsidR="004B26AF" w:rsidRDefault="004B26AF" w:rsidP="004B26AF">
            <w:pPr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1</w:t>
            </w:r>
            <w:r w:rsidR="003B235E">
              <w:rPr>
                <w:rFonts w:ascii="宋体" w:hAnsi="宋体" w:cs="Arial"/>
                <w:szCs w:val="21"/>
              </w:rPr>
              <w:t>0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7BDD007E" w14:textId="7FEADC9F" w:rsidR="004B26AF" w:rsidRDefault="004B26AF" w:rsidP="004B26AF">
            <w:pPr>
              <w:jc w:val="center"/>
            </w:pPr>
            <w:r>
              <w:rPr>
                <w:rFonts w:ascii="宋体" w:hAnsi="宋体" w:cs="Arial" w:hint="eastAsia"/>
                <w:szCs w:val="21"/>
              </w:rPr>
              <w:t>1</w:t>
            </w:r>
          </w:p>
        </w:tc>
        <w:tc>
          <w:tcPr>
            <w:tcW w:w="1556" w:type="dxa"/>
            <w:tcBorders>
              <w:tl2br w:val="nil"/>
              <w:tr2bl w:val="nil"/>
            </w:tcBorders>
          </w:tcPr>
          <w:p w14:paraId="6868CF05" w14:textId="4634E8D1" w:rsidR="004B26AF" w:rsidRDefault="004B26AF" w:rsidP="004B26AF">
            <w:pPr>
              <w:jc w:val="center"/>
              <w:rPr>
                <w:rFonts w:ascii="宋体" w:hAnsi="宋体" w:cs="Arial"/>
                <w:szCs w:val="21"/>
              </w:rPr>
            </w:pPr>
            <w:r w:rsidRPr="00BF7D0C">
              <w:rPr>
                <w:rFonts w:ascii="宋体" w:hAnsi="宋体" w:cs="Arial" w:hint="eastAsia"/>
                <w:szCs w:val="21"/>
              </w:rPr>
              <w:t>0.1</w:t>
            </w:r>
          </w:p>
        </w:tc>
      </w:tr>
      <w:tr w:rsidR="004B26AF" w14:paraId="27A2C41E" w14:textId="77777777" w:rsidTr="004B26AF">
        <w:trPr>
          <w:trHeight w:hRule="exact" w:val="510"/>
          <w:jc w:val="center"/>
        </w:trPr>
        <w:tc>
          <w:tcPr>
            <w:tcW w:w="450" w:type="dxa"/>
            <w:vMerge/>
            <w:tcBorders>
              <w:tl2br w:val="nil"/>
              <w:tr2bl w:val="nil"/>
            </w:tcBorders>
          </w:tcPr>
          <w:p w14:paraId="42683DFE" w14:textId="77777777" w:rsidR="004B26AF" w:rsidRDefault="004B26AF" w:rsidP="004B26AF">
            <w:pPr>
              <w:spacing w:beforeLines="50" w:before="156" w:afterLines="50" w:after="156"/>
              <w:jc w:val="center"/>
              <w:outlineLvl w:val="3"/>
            </w:pPr>
          </w:p>
        </w:tc>
        <w:tc>
          <w:tcPr>
            <w:tcW w:w="3450" w:type="dxa"/>
            <w:gridSpan w:val="3"/>
            <w:tcBorders>
              <w:tl2br w:val="nil"/>
              <w:tr2bl w:val="nil"/>
            </w:tcBorders>
            <w:vAlign w:val="center"/>
          </w:tcPr>
          <w:p w14:paraId="341F1882" w14:textId="77777777" w:rsidR="004B26AF" w:rsidRDefault="004B26AF" w:rsidP="004B26AF">
            <w:pPr>
              <w:spacing w:beforeLines="50" w:before="156" w:afterLines="50" w:after="156"/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铜（Cu）</w:t>
            </w:r>
            <w:r>
              <w:rPr>
                <w:rFonts w:ascii="宋体" w:hAnsi="宋体" w:cs="Arial"/>
                <w:szCs w:val="21"/>
              </w:rPr>
              <w:t>w/</w:t>
            </w:r>
            <w:r>
              <w:rPr>
                <w:rFonts w:ascii="宋体" w:hAnsi="宋体" w:cs="Arial" w:hint="eastAsia"/>
                <w:szCs w:val="21"/>
              </w:rPr>
              <w:t>(µg</w:t>
            </w:r>
            <w:r>
              <w:rPr>
                <w:rFonts w:ascii="宋体" w:hAnsi="宋体" w:cs="Arial"/>
                <w:szCs w:val="21"/>
              </w:rPr>
              <w:t>/kg</w:t>
            </w:r>
            <w:r>
              <w:rPr>
                <w:rFonts w:ascii="宋体" w:hAnsi="宋体" w:cs="Arial" w:hint="eastAsia"/>
                <w:szCs w:val="21"/>
              </w:rPr>
              <w:t>)           ≤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27FC07E6" w14:textId="701ECA9A" w:rsidR="004B26AF" w:rsidRDefault="004B26AF" w:rsidP="004B26AF">
            <w:pPr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10</w:t>
            </w:r>
            <w:r w:rsidR="003B235E">
              <w:rPr>
                <w:rFonts w:ascii="宋体" w:hAnsi="宋体" w:cs="Arial"/>
                <w:szCs w:val="21"/>
              </w:rPr>
              <w:t>0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0AC7BFC6" w14:textId="684F661C" w:rsidR="004B26AF" w:rsidRDefault="004B26AF" w:rsidP="004B26AF">
            <w:pPr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1</w:t>
            </w:r>
            <w:r w:rsidR="003B235E">
              <w:rPr>
                <w:rFonts w:ascii="宋体" w:hAnsi="宋体" w:cs="Arial"/>
                <w:szCs w:val="21"/>
              </w:rPr>
              <w:t>0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2C14D1C4" w14:textId="1BF2B9FB" w:rsidR="004B26AF" w:rsidRDefault="004B26AF" w:rsidP="004B26AF">
            <w:pPr>
              <w:jc w:val="center"/>
            </w:pPr>
            <w:r>
              <w:rPr>
                <w:rFonts w:ascii="宋体" w:hAnsi="宋体" w:cs="Arial" w:hint="eastAsia"/>
                <w:szCs w:val="21"/>
              </w:rPr>
              <w:t>1</w:t>
            </w:r>
          </w:p>
        </w:tc>
        <w:tc>
          <w:tcPr>
            <w:tcW w:w="1556" w:type="dxa"/>
            <w:tcBorders>
              <w:tl2br w:val="nil"/>
              <w:tr2bl w:val="nil"/>
            </w:tcBorders>
          </w:tcPr>
          <w:p w14:paraId="35C026F1" w14:textId="4DB50B88" w:rsidR="004B26AF" w:rsidRDefault="004B26AF" w:rsidP="004B26AF">
            <w:pPr>
              <w:jc w:val="center"/>
              <w:rPr>
                <w:rFonts w:ascii="宋体" w:hAnsi="宋体" w:cs="Arial"/>
                <w:szCs w:val="21"/>
              </w:rPr>
            </w:pPr>
            <w:r w:rsidRPr="00BF7D0C">
              <w:rPr>
                <w:rFonts w:ascii="宋体" w:hAnsi="宋体" w:cs="Arial" w:hint="eastAsia"/>
                <w:szCs w:val="21"/>
              </w:rPr>
              <w:t>0.1</w:t>
            </w:r>
          </w:p>
        </w:tc>
      </w:tr>
      <w:tr w:rsidR="003B235E" w14:paraId="6BB692B2" w14:textId="77777777" w:rsidTr="004B26AF">
        <w:trPr>
          <w:trHeight w:hRule="exact" w:val="510"/>
          <w:jc w:val="center"/>
        </w:trPr>
        <w:tc>
          <w:tcPr>
            <w:tcW w:w="450" w:type="dxa"/>
            <w:vMerge/>
            <w:tcBorders>
              <w:tl2br w:val="nil"/>
              <w:tr2bl w:val="nil"/>
            </w:tcBorders>
          </w:tcPr>
          <w:p w14:paraId="2A4A8133" w14:textId="77777777" w:rsidR="003B235E" w:rsidRDefault="003B235E" w:rsidP="003B235E">
            <w:pPr>
              <w:spacing w:beforeLines="50" w:before="156" w:afterLines="50" w:after="156"/>
              <w:jc w:val="center"/>
              <w:outlineLvl w:val="3"/>
            </w:pPr>
          </w:p>
        </w:tc>
        <w:tc>
          <w:tcPr>
            <w:tcW w:w="3450" w:type="dxa"/>
            <w:gridSpan w:val="3"/>
            <w:tcBorders>
              <w:tl2br w:val="nil"/>
              <w:tr2bl w:val="nil"/>
            </w:tcBorders>
            <w:vAlign w:val="center"/>
          </w:tcPr>
          <w:p w14:paraId="074B5441" w14:textId="77777777" w:rsidR="003B235E" w:rsidRDefault="003B235E" w:rsidP="003B235E">
            <w:pPr>
              <w:spacing w:beforeLines="50" w:before="156" w:afterLines="50" w:after="156"/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铁（Fe）</w:t>
            </w:r>
            <w:r>
              <w:rPr>
                <w:rFonts w:ascii="宋体" w:hAnsi="宋体" w:cs="Arial"/>
                <w:szCs w:val="21"/>
              </w:rPr>
              <w:t>w/</w:t>
            </w:r>
            <w:r>
              <w:rPr>
                <w:rFonts w:ascii="宋体" w:hAnsi="宋体" w:cs="Arial" w:hint="eastAsia"/>
                <w:szCs w:val="21"/>
              </w:rPr>
              <w:t>(µg</w:t>
            </w:r>
            <w:r>
              <w:rPr>
                <w:rFonts w:ascii="宋体" w:hAnsi="宋体" w:cs="Arial"/>
                <w:szCs w:val="21"/>
              </w:rPr>
              <w:t>/kg</w:t>
            </w:r>
            <w:r>
              <w:rPr>
                <w:rFonts w:ascii="宋体" w:hAnsi="宋体" w:cs="Arial" w:hint="eastAsia"/>
                <w:szCs w:val="21"/>
              </w:rPr>
              <w:t>)           ≤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6FEBE31B" w14:textId="22781634" w:rsidR="003B235E" w:rsidRDefault="00924B4B" w:rsidP="003B235E">
            <w:pPr>
              <w:jc w:val="center"/>
              <w:outlineLvl w:val="3"/>
            </w:pPr>
            <w:r>
              <w:rPr>
                <w:rFonts w:ascii="宋体" w:hAnsi="宋体" w:cs="Arial"/>
                <w:szCs w:val="21"/>
              </w:rPr>
              <w:t>20</w:t>
            </w:r>
            <w:r w:rsidR="003B235E">
              <w:rPr>
                <w:rFonts w:ascii="宋体" w:hAnsi="宋体" w:cs="Arial" w:hint="eastAsia"/>
                <w:szCs w:val="21"/>
              </w:rPr>
              <w:t>0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47746411" w14:textId="7A2DCCA1" w:rsidR="003B235E" w:rsidRDefault="003B235E" w:rsidP="003B235E">
            <w:pPr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1</w:t>
            </w:r>
            <w:r>
              <w:rPr>
                <w:rFonts w:ascii="宋体" w:hAnsi="宋体" w:cs="Arial"/>
                <w:szCs w:val="21"/>
              </w:rPr>
              <w:t>0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572FB152" w14:textId="6A3A8EE4" w:rsidR="003B235E" w:rsidRDefault="003B235E" w:rsidP="003B235E">
            <w:pPr>
              <w:jc w:val="center"/>
            </w:pPr>
            <w:r>
              <w:rPr>
                <w:rFonts w:ascii="宋体" w:hAnsi="宋体" w:cs="Arial" w:hint="eastAsia"/>
                <w:szCs w:val="21"/>
              </w:rPr>
              <w:t>1</w:t>
            </w:r>
          </w:p>
        </w:tc>
        <w:tc>
          <w:tcPr>
            <w:tcW w:w="1556" w:type="dxa"/>
            <w:tcBorders>
              <w:tl2br w:val="nil"/>
              <w:tr2bl w:val="nil"/>
            </w:tcBorders>
          </w:tcPr>
          <w:p w14:paraId="5BB28C20" w14:textId="4806BF59" w:rsidR="003B235E" w:rsidRDefault="003B235E" w:rsidP="003B235E">
            <w:pPr>
              <w:jc w:val="center"/>
              <w:rPr>
                <w:rFonts w:ascii="宋体" w:hAnsi="宋体" w:cs="Arial"/>
                <w:szCs w:val="21"/>
              </w:rPr>
            </w:pPr>
            <w:r w:rsidRPr="00BF7D0C">
              <w:rPr>
                <w:rFonts w:ascii="宋体" w:hAnsi="宋体" w:cs="Arial" w:hint="eastAsia"/>
                <w:szCs w:val="21"/>
              </w:rPr>
              <w:t>0.1</w:t>
            </w:r>
          </w:p>
        </w:tc>
      </w:tr>
      <w:tr w:rsidR="003B235E" w14:paraId="3C71E17B" w14:textId="77777777" w:rsidTr="004B26AF">
        <w:trPr>
          <w:trHeight w:hRule="exact" w:val="510"/>
          <w:jc w:val="center"/>
        </w:trPr>
        <w:tc>
          <w:tcPr>
            <w:tcW w:w="450" w:type="dxa"/>
            <w:vMerge/>
            <w:tcBorders>
              <w:tl2br w:val="nil"/>
              <w:tr2bl w:val="nil"/>
            </w:tcBorders>
          </w:tcPr>
          <w:p w14:paraId="5626A628" w14:textId="77777777" w:rsidR="003B235E" w:rsidRDefault="003B235E" w:rsidP="003B235E">
            <w:pPr>
              <w:spacing w:beforeLines="50" w:before="156" w:afterLines="50" w:after="156"/>
              <w:jc w:val="center"/>
              <w:outlineLvl w:val="3"/>
            </w:pPr>
          </w:p>
        </w:tc>
        <w:tc>
          <w:tcPr>
            <w:tcW w:w="3450" w:type="dxa"/>
            <w:gridSpan w:val="3"/>
            <w:tcBorders>
              <w:tl2br w:val="nil"/>
              <w:tr2bl w:val="nil"/>
            </w:tcBorders>
            <w:vAlign w:val="center"/>
          </w:tcPr>
          <w:p w14:paraId="23C13129" w14:textId="77777777" w:rsidR="003B235E" w:rsidRDefault="003B235E" w:rsidP="003B235E">
            <w:pPr>
              <w:spacing w:beforeLines="50" w:before="156" w:afterLines="50" w:after="156"/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铅（Pb）</w:t>
            </w:r>
            <w:r>
              <w:rPr>
                <w:rFonts w:ascii="宋体" w:hAnsi="宋体" w:cs="Arial"/>
                <w:szCs w:val="21"/>
              </w:rPr>
              <w:t>w/</w:t>
            </w:r>
            <w:r>
              <w:rPr>
                <w:rFonts w:ascii="宋体" w:hAnsi="宋体" w:cs="Arial" w:hint="eastAsia"/>
                <w:szCs w:val="21"/>
              </w:rPr>
              <w:t>(µg</w:t>
            </w:r>
            <w:r>
              <w:rPr>
                <w:rFonts w:ascii="宋体" w:hAnsi="宋体" w:cs="Arial"/>
                <w:szCs w:val="21"/>
              </w:rPr>
              <w:t>/kg</w:t>
            </w:r>
            <w:r>
              <w:rPr>
                <w:rFonts w:ascii="宋体" w:hAnsi="宋体" w:cs="Arial" w:hint="eastAsia"/>
                <w:szCs w:val="21"/>
              </w:rPr>
              <w:t>)           ≤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4587C990" w14:textId="7B13CF58" w:rsidR="003B235E" w:rsidRDefault="00924B4B" w:rsidP="003B235E">
            <w:pPr>
              <w:jc w:val="center"/>
              <w:outlineLvl w:val="3"/>
            </w:pPr>
            <w:r>
              <w:rPr>
                <w:rFonts w:ascii="宋体" w:hAnsi="宋体" w:cs="Arial"/>
                <w:szCs w:val="21"/>
              </w:rPr>
              <w:t>30</w:t>
            </w:r>
            <w:r w:rsidR="003B235E">
              <w:rPr>
                <w:rFonts w:ascii="宋体" w:hAnsi="宋体" w:cs="Arial" w:hint="eastAsia"/>
                <w:szCs w:val="21"/>
              </w:rPr>
              <w:t>0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054C60B9" w14:textId="0C547045" w:rsidR="003B235E" w:rsidRDefault="003B235E" w:rsidP="003B235E">
            <w:pPr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1</w:t>
            </w:r>
            <w:r>
              <w:rPr>
                <w:rFonts w:ascii="宋体" w:hAnsi="宋体" w:cs="Arial"/>
                <w:szCs w:val="21"/>
              </w:rPr>
              <w:t>0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5E2750A7" w14:textId="71A2278E" w:rsidR="003B235E" w:rsidRDefault="003B235E" w:rsidP="003B235E">
            <w:pPr>
              <w:jc w:val="center"/>
            </w:pPr>
            <w:r>
              <w:rPr>
                <w:rFonts w:ascii="宋体" w:hAnsi="宋体" w:cs="Arial" w:hint="eastAsia"/>
                <w:szCs w:val="21"/>
              </w:rPr>
              <w:t>1</w:t>
            </w:r>
          </w:p>
        </w:tc>
        <w:tc>
          <w:tcPr>
            <w:tcW w:w="1556" w:type="dxa"/>
            <w:tcBorders>
              <w:tl2br w:val="nil"/>
              <w:tr2bl w:val="nil"/>
            </w:tcBorders>
          </w:tcPr>
          <w:p w14:paraId="254E0065" w14:textId="6227F815" w:rsidR="003B235E" w:rsidRDefault="003B235E" w:rsidP="003B235E">
            <w:pPr>
              <w:jc w:val="center"/>
              <w:rPr>
                <w:rFonts w:ascii="宋体" w:hAnsi="宋体" w:cs="Arial"/>
                <w:szCs w:val="21"/>
              </w:rPr>
            </w:pPr>
            <w:r w:rsidRPr="00BF7D0C">
              <w:rPr>
                <w:rFonts w:ascii="宋体" w:hAnsi="宋体" w:cs="Arial" w:hint="eastAsia"/>
                <w:szCs w:val="21"/>
              </w:rPr>
              <w:t>0.1</w:t>
            </w:r>
          </w:p>
        </w:tc>
      </w:tr>
      <w:tr w:rsidR="003B235E" w14:paraId="5BD469A5" w14:textId="77777777" w:rsidTr="004B26AF">
        <w:trPr>
          <w:trHeight w:hRule="exact" w:val="510"/>
          <w:jc w:val="center"/>
        </w:trPr>
        <w:tc>
          <w:tcPr>
            <w:tcW w:w="450" w:type="dxa"/>
            <w:vMerge/>
            <w:tcBorders>
              <w:tl2br w:val="nil"/>
              <w:tr2bl w:val="nil"/>
            </w:tcBorders>
          </w:tcPr>
          <w:p w14:paraId="77E40DC3" w14:textId="77777777" w:rsidR="003B235E" w:rsidRDefault="003B235E" w:rsidP="003B235E">
            <w:pPr>
              <w:spacing w:beforeLines="50" w:before="156" w:afterLines="50" w:after="156"/>
              <w:jc w:val="center"/>
              <w:outlineLvl w:val="3"/>
            </w:pPr>
          </w:p>
        </w:tc>
        <w:tc>
          <w:tcPr>
            <w:tcW w:w="3450" w:type="dxa"/>
            <w:gridSpan w:val="3"/>
            <w:tcBorders>
              <w:tl2br w:val="nil"/>
              <w:tr2bl w:val="nil"/>
            </w:tcBorders>
            <w:vAlign w:val="center"/>
          </w:tcPr>
          <w:p w14:paraId="02F0E921" w14:textId="77777777" w:rsidR="003B235E" w:rsidRDefault="003B235E" w:rsidP="003B235E">
            <w:pPr>
              <w:spacing w:beforeLines="50" w:before="156" w:afterLines="50" w:after="156"/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锂（Li）</w:t>
            </w:r>
            <w:r>
              <w:rPr>
                <w:rFonts w:ascii="宋体" w:hAnsi="宋体" w:cs="Arial"/>
                <w:szCs w:val="21"/>
              </w:rPr>
              <w:t>w/</w:t>
            </w:r>
            <w:r>
              <w:rPr>
                <w:rFonts w:ascii="宋体" w:hAnsi="宋体" w:cs="Arial" w:hint="eastAsia"/>
                <w:szCs w:val="21"/>
              </w:rPr>
              <w:t>(µg</w:t>
            </w:r>
            <w:r>
              <w:rPr>
                <w:rFonts w:ascii="宋体" w:hAnsi="宋体" w:cs="Arial"/>
                <w:szCs w:val="21"/>
              </w:rPr>
              <w:t>/kg</w:t>
            </w:r>
            <w:r>
              <w:rPr>
                <w:rFonts w:ascii="宋体" w:hAnsi="宋体" w:cs="Arial" w:hint="eastAsia"/>
                <w:szCs w:val="21"/>
              </w:rPr>
              <w:t>)           ≤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6F2C510E" w14:textId="5C8D2A1F" w:rsidR="003B235E" w:rsidRDefault="00924B4B" w:rsidP="003B235E">
            <w:pPr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--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122E7D87" w14:textId="13F43057" w:rsidR="003B235E" w:rsidRDefault="003B235E" w:rsidP="003B235E">
            <w:pPr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1</w:t>
            </w:r>
            <w:r>
              <w:rPr>
                <w:rFonts w:ascii="宋体" w:hAnsi="宋体" w:cs="Arial"/>
                <w:szCs w:val="21"/>
              </w:rPr>
              <w:t>0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1C925CC4" w14:textId="072E557A" w:rsidR="003B235E" w:rsidRDefault="003B235E" w:rsidP="003B235E">
            <w:pPr>
              <w:jc w:val="center"/>
            </w:pPr>
            <w:r>
              <w:rPr>
                <w:rFonts w:ascii="宋体" w:hAnsi="宋体" w:cs="Arial" w:hint="eastAsia"/>
                <w:szCs w:val="21"/>
              </w:rPr>
              <w:t>1</w:t>
            </w:r>
          </w:p>
        </w:tc>
        <w:tc>
          <w:tcPr>
            <w:tcW w:w="1556" w:type="dxa"/>
            <w:tcBorders>
              <w:tl2br w:val="nil"/>
              <w:tr2bl w:val="nil"/>
            </w:tcBorders>
          </w:tcPr>
          <w:p w14:paraId="35FD91F0" w14:textId="6E9501FC" w:rsidR="003B235E" w:rsidRDefault="003B235E" w:rsidP="003B235E">
            <w:pPr>
              <w:spacing w:beforeLines="50" w:before="156" w:afterLines="50" w:after="156"/>
              <w:jc w:val="center"/>
              <w:outlineLvl w:val="3"/>
            </w:pPr>
            <w:r w:rsidRPr="00BF7D0C">
              <w:rPr>
                <w:rFonts w:ascii="宋体" w:hAnsi="宋体" w:cs="Arial" w:hint="eastAsia"/>
                <w:szCs w:val="21"/>
              </w:rPr>
              <w:t>0.1</w:t>
            </w:r>
          </w:p>
        </w:tc>
      </w:tr>
      <w:tr w:rsidR="003B235E" w14:paraId="5DBEA922" w14:textId="77777777" w:rsidTr="004B26AF">
        <w:trPr>
          <w:trHeight w:hRule="exact" w:val="510"/>
          <w:jc w:val="center"/>
        </w:trPr>
        <w:tc>
          <w:tcPr>
            <w:tcW w:w="450" w:type="dxa"/>
            <w:vMerge/>
            <w:tcBorders>
              <w:tl2br w:val="nil"/>
              <w:tr2bl w:val="nil"/>
            </w:tcBorders>
          </w:tcPr>
          <w:p w14:paraId="7EE5C763" w14:textId="77777777" w:rsidR="003B235E" w:rsidRDefault="003B235E" w:rsidP="003B235E">
            <w:pPr>
              <w:spacing w:beforeLines="50" w:before="156" w:afterLines="50" w:after="156"/>
              <w:jc w:val="center"/>
              <w:outlineLvl w:val="3"/>
            </w:pPr>
          </w:p>
        </w:tc>
        <w:tc>
          <w:tcPr>
            <w:tcW w:w="3450" w:type="dxa"/>
            <w:gridSpan w:val="3"/>
            <w:tcBorders>
              <w:tl2br w:val="nil"/>
              <w:tr2bl w:val="nil"/>
            </w:tcBorders>
            <w:vAlign w:val="center"/>
          </w:tcPr>
          <w:p w14:paraId="501F291C" w14:textId="77777777" w:rsidR="003B235E" w:rsidRDefault="003B235E" w:rsidP="003B235E">
            <w:pPr>
              <w:spacing w:beforeLines="50" w:before="156" w:afterLines="50" w:after="156"/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镁（Mg）</w:t>
            </w:r>
            <w:r>
              <w:rPr>
                <w:rFonts w:ascii="宋体" w:hAnsi="宋体" w:cs="Arial"/>
                <w:szCs w:val="21"/>
              </w:rPr>
              <w:t>w/</w:t>
            </w:r>
            <w:r>
              <w:rPr>
                <w:rFonts w:ascii="宋体" w:hAnsi="宋体" w:cs="Arial" w:hint="eastAsia"/>
                <w:szCs w:val="21"/>
              </w:rPr>
              <w:t>(µg</w:t>
            </w:r>
            <w:r>
              <w:rPr>
                <w:rFonts w:ascii="宋体" w:hAnsi="宋体" w:cs="Arial"/>
                <w:szCs w:val="21"/>
              </w:rPr>
              <w:t>/kg</w:t>
            </w:r>
            <w:r>
              <w:rPr>
                <w:rFonts w:ascii="宋体" w:hAnsi="宋体" w:cs="Arial" w:hint="eastAsia"/>
                <w:szCs w:val="21"/>
              </w:rPr>
              <w:t>)           ≤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5678F2A9" w14:textId="45FC8F6C" w:rsidR="003B235E" w:rsidRDefault="00924B4B" w:rsidP="003B235E">
            <w:pPr>
              <w:jc w:val="center"/>
              <w:outlineLvl w:val="3"/>
            </w:pPr>
            <w:r>
              <w:rPr>
                <w:rFonts w:ascii="宋体" w:hAnsi="宋体" w:cs="Arial"/>
                <w:szCs w:val="21"/>
              </w:rPr>
              <w:t>30</w:t>
            </w:r>
            <w:r w:rsidR="003B235E">
              <w:rPr>
                <w:rFonts w:ascii="宋体" w:hAnsi="宋体" w:cs="Arial" w:hint="eastAsia"/>
                <w:szCs w:val="21"/>
              </w:rPr>
              <w:t>0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79020EEA" w14:textId="5373FCE6" w:rsidR="003B235E" w:rsidRDefault="003B235E" w:rsidP="003B235E">
            <w:pPr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1</w:t>
            </w:r>
            <w:r>
              <w:rPr>
                <w:rFonts w:ascii="宋体" w:hAnsi="宋体" w:cs="Arial"/>
                <w:szCs w:val="21"/>
              </w:rPr>
              <w:t>0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5F0318D3" w14:textId="2E2FA931" w:rsidR="003B235E" w:rsidRDefault="003B235E" w:rsidP="003B235E">
            <w:pPr>
              <w:jc w:val="center"/>
            </w:pPr>
            <w:r>
              <w:rPr>
                <w:rFonts w:ascii="宋体" w:hAnsi="宋体" w:cs="Arial" w:hint="eastAsia"/>
                <w:szCs w:val="21"/>
              </w:rPr>
              <w:t>1</w:t>
            </w:r>
          </w:p>
        </w:tc>
        <w:tc>
          <w:tcPr>
            <w:tcW w:w="1556" w:type="dxa"/>
            <w:tcBorders>
              <w:tl2br w:val="nil"/>
              <w:tr2bl w:val="nil"/>
            </w:tcBorders>
          </w:tcPr>
          <w:p w14:paraId="14DC2D33" w14:textId="14A12D0A" w:rsidR="003B235E" w:rsidRDefault="003B235E" w:rsidP="003B235E">
            <w:pPr>
              <w:spacing w:beforeLines="50" w:before="156" w:afterLines="50" w:after="156"/>
              <w:jc w:val="center"/>
              <w:outlineLvl w:val="3"/>
            </w:pPr>
            <w:r w:rsidRPr="00BF7D0C">
              <w:rPr>
                <w:rFonts w:ascii="宋体" w:hAnsi="宋体" w:cs="Arial" w:hint="eastAsia"/>
                <w:szCs w:val="21"/>
              </w:rPr>
              <w:t>0.1</w:t>
            </w:r>
          </w:p>
        </w:tc>
      </w:tr>
      <w:tr w:rsidR="003B235E" w14:paraId="43461490" w14:textId="77777777" w:rsidTr="004B26AF">
        <w:trPr>
          <w:trHeight w:hRule="exact" w:val="510"/>
          <w:jc w:val="center"/>
        </w:trPr>
        <w:tc>
          <w:tcPr>
            <w:tcW w:w="450" w:type="dxa"/>
            <w:vMerge/>
            <w:tcBorders>
              <w:tl2br w:val="nil"/>
              <w:tr2bl w:val="nil"/>
            </w:tcBorders>
          </w:tcPr>
          <w:p w14:paraId="766B729D" w14:textId="77777777" w:rsidR="003B235E" w:rsidRDefault="003B235E" w:rsidP="003B235E">
            <w:pPr>
              <w:spacing w:beforeLines="50" w:before="156" w:afterLines="50" w:after="156"/>
              <w:jc w:val="center"/>
              <w:outlineLvl w:val="3"/>
            </w:pPr>
          </w:p>
        </w:tc>
        <w:tc>
          <w:tcPr>
            <w:tcW w:w="3450" w:type="dxa"/>
            <w:gridSpan w:val="3"/>
            <w:tcBorders>
              <w:tl2br w:val="nil"/>
              <w:tr2bl w:val="nil"/>
            </w:tcBorders>
            <w:vAlign w:val="center"/>
          </w:tcPr>
          <w:p w14:paraId="1318D524" w14:textId="77777777" w:rsidR="003B235E" w:rsidRDefault="003B235E" w:rsidP="003B235E">
            <w:pPr>
              <w:spacing w:beforeLines="50" w:before="156" w:afterLines="50" w:after="156"/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锰（Mn）</w:t>
            </w:r>
            <w:r>
              <w:rPr>
                <w:rFonts w:ascii="宋体" w:hAnsi="宋体" w:cs="Arial"/>
                <w:szCs w:val="21"/>
              </w:rPr>
              <w:t>w/</w:t>
            </w:r>
            <w:r>
              <w:rPr>
                <w:rFonts w:ascii="宋体" w:hAnsi="宋体" w:cs="Arial" w:hint="eastAsia"/>
                <w:szCs w:val="21"/>
              </w:rPr>
              <w:t>(µg</w:t>
            </w:r>
            <w:r>
              <w:rPr>
                <w:rFonts w:ascii="宋体" w:hAnsi="宋体" w:cs="Arial"/>
                <w:szCs w:val="21"/>
              </w:rPr>
              <w:t>/kg</w:t>
            </w:r>
            <w:r>
              <w:rPr>
                <w:rFonts w:ascii="宋体" w:hAnsi="宋体" w:cs="Arial" w:hint="eastAsia"/>
                <w:szCs w:val="21"/>
              </w:rPr>
              <w:t>)           ≤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3AB59354" w14:textId="7AEFD15F" w:rsidR="003B235E" w:rsidRDefault="00924B4B" w:rsidP="003B235E">
            <w:pPr>
              <w:jc w:val="center"/>
              <w:outlineLvl w:val="3"/>
            </w:pPr>
            <w:r>
              <w:rPr>
                <w:rFonts w:ascii="宋体" w:hAnsi="宋体" w:cs="Arial"/>
                <w:szCs w:val="21"/>
              </w:rPr>
              <w:t>20</w:t>
            </w:r>
            <w:r w:rsidR="003B235E">
              <w:rPr>
                <w:rFonts w:ascii="宋体" w:hAnsi="宋体" w:cs="Arial" w:hint="eastAsia"/>
                <w:szCs w:val="21"/>
              </w:rPr>
              <w:t>0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62E1E1C5" w14:textId="76855634" w:rsidR="003B235E" w:rsidRDefault="003B235E" w:rsidP="003B235E">
            <w:pPr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1</w:t>
            </w:r>
            <w:r>
              <w:rPr>
                <w:rFonts w:ascii="宋体" w:hAnsi="宋体" w:cs="Arial"/>
                <w:szCs w:val="21"/>
              </w:rPr>
              <w:t>0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0E9F1DC2" w14:textId="2CFADCFD" w:rsidR="003B235E" w:rsidRDefault="003B235E" w:rsidP="003B235E">
            <w:pPr>
              <w:jc w:val="center"/>
            </w:pPr>
            <w:r>
              <w:rPr>
                <w:rFonts w:ascii="宋体" w:hAnsi="宋体" w:cs="Arial" w:hint="eastAsia"/>
                <w:szCs w:val="21"/>
              </w:rPr>
              <w:t>1</w:t>
            </w:r>
          </w:p>
        </w:tc>
        <w:tc>
          <w:tcPr>
            <w:tcW w:w="1556" w:type="dxa"/>
            <w:tcBorders>
              <w:tl2br w:val="nil"/>
              <w:tr2bl w:val="nil"/>
            </w:tcBorders>
          </w:tcPr>
          <w:p w14:paraId="09455121" w14:textId="5242954B" w:rsidR="003B235E" w:rsidRDefault="003B235E" w:rsidP="003B235E">
            <w:pPr>
              <w:spacing w:beforeLines="50" w:before="156" w:afterLines="50" w:after="156"/>
              <w:jc w:val="center"/>
              <w:outlineLvl w:val="3"/>
            </w:pPr>
            <w:r w:rsidRPr="00BF7D0C">
              <w:rPr>
                <w:rFonts w:ascii="宋体" w:hAnsi="宋体" w:cs="Arial" w:hint="eastAsia"/>
                <w:szCs w:val="21"/>
              </w:rPr>
              <w:t>0.1</w:t>
            </w:r>
          </w:p>
        </w:tc>
      </w:tr>
      <w:tr w:rsidR="003B235E" w14:paraId="053A2B63" w14:textId="77777777" w:rsidTr="004B26AF">
        <w:trPr>
          <w:trHeight w:hRule="exact" w:val="510"/>
          <w:jc w:val="center"/>
        </w:trPr>
        <w:tc>
          <w:tcPr>
            <w:tcW w:w="450" w:type="dxa"/>
            <w:vMerge/>
            <w:tcBorders>
              <w:tl2br w:val="nil"/>
              <w:tr2bl w:val="nil"/>
            </w:tcBorders>
          </w:tcPr>
          <w:p w14:paraId="728FAD47" w14:textId="77777777" w:rsidR="003B235E" w:rsidRDefault="003B235E" w:rsidP="003B235E">
            <w:pPr>
              <w:spacing w:beforeLines="50" w:before="156" w:afterLines="50" w:after="156"/>
              <w:jc w:val="center"/>
              <w:outlineLvl w:val="3"/>
            </w:pPr>
          </w:p>
        </w:tc>
        <w:tc>
          <w:tcPr>
            <w:tcW w:w="3450" w:type="dxa"/>
            <w:gridSpan w:val="3"/>
            <w:tcBorders>
              <w:tl2br w:val="nil"/>
              <w:tr2bl w:val="nil"/>
            </w:tcBorders>
            <w:vAlign w:val="center"/>
          </w:tcPr>
          <w:p w14:paraId="0CF77C40" w14:textId="77777777" w:rsidR="003B235E" w:rsidRDefault="003B235E" w:rsidP="003B235E">
            <w:pPr>
              <w:spacing w:beforeLines="50" w:before="156" w:afterLines="50" w:after="156"/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镍（Ni）</w:t>
            </w:r>
            <w:r>
              <w:rPr>
                <w:rFonts w:ascii="宋体" w:hAnsi="宋体" w:cs="Arial"/>
                <w:szCs w:val="21"/>
              </w:rPr>
              <w:t>w/</w:t>
            </w:r>
            <w:r>
              <w:rPr>
                <w:rFonts w:ascii="宋体" w:hAnsi="宋体" w:cs="Arial" w:hint="eastAsia"/>
                <w:szCs w:val="21"/>
              </w:rPr>
              <w:t>(µg</w:t>
            </w:r>
            <w:r>
              <w:rPr>
                <w:rFonts w:ascii="宋体" w:hAnsi="宋体" w:cs="Arial"/>
                <w:szCs w:val="21"/>
              </w:rPr>
              <w:t>/kg</w:t>
            </w:r>
            <w:r>
              <w:rPr>
                <w:rFonts w:ascii="宋体" w:hAnsi="宋体" w:cs="Arial" w:hint="eastAsia"/>
                <w:szCs w:val="21"/>
              </w:rPr>
              <w:t>)           ≤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0D6655AE" w14:textId="575507CC" w:rsidR="003B235E" w:rsidRDefault="003B235E" w:rsidP="003B235E">
            <w:pPr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10</w:t>
            </w:r>
            <w:r w:rsidR="00924B4B">
              <w:rPr>
                <w:rFonts w:ascii="宋体" w:hAnsi="宋体" w:cs="Arial"/>
                <w:szCs w:val="21"/>
              </w:rPr>
              <w:t>0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29F1B10E" w14:textId="2ED82B75" w:rsidR="003B235E" w:rsidRDefault="003B235E" w:rsidP="003B235E">
            <w:pPr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1</w:t>
            </w:r>
            <w:r>
              <w:rPr>
                <w:rFonts w:ascii="宋体" w:hAnsi="宋体" w:cs="Arial"/>
                <w:szCs w:val="21"/>
              </w:rPr>
              <w:t>0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38222C72" w14:textId="6B4828BA" w:rsidR="003B235E" w:rsidRDefault="003B235E" w:rsidP="003B235E">
            <w:pPr>
              <w:jc w:val="center"/>
            </w:pPr>
            <w:r>
              <w:rPr>
                <w:rFonts w:ascii="宋体" w:hAnsi="宋体" w:cs="Arial" w:hint="eastAsia"/>
                <w:szCs w:val="21"/>
              </w:rPr>
              <w:t>1</w:t>
            </w:r>
          </w:p>
        </w:tc>
        <w:tc>
          <w:tcPr>
            <w:tcW w:w="1556" w:type="dxa"/>
            <w:tcBorders>
              <w:tl2br w:val="nil"/>
              <w:tr2bl w:val="nil"/>
            </w:tcBorders>
          </w:tcPr>
          <w:p w14:paraId="120FDA66" w14:textId="7339EADB" w:rsidR="003B235E" w:rsidRDefault="003B235E" w:rsidP="003B235E">
            <w:pPr>
              <w:spacing w:beforeLines="50" w:before="156" w:afterLines="50" w:after="156"/>
              <w:jc w:val="center"/>
              <w:outlineLvl w:val="3"/>
            </w:pPr>
            <w:r w:rsidRPr="00BF7D0C">
              <w:rPr>
                <w:rFonts w:ascii="宋体" w:hAnsi="宋体" w:cs="Arial" w:hint="eastAsia"/>
                <w:szCs w:val="21"/>
              </w:rPr>
              <w:t>0.1</w:t>
            </w:r>
          </w:p>
        </w:tc>
      </w:tr>
      <w:tr w:rsidR="003B235E" w14:paraId="777F97CA" w14:textId="77777777" w:rsidTr="004B26AF">
        <w:trPr>
          <w:trHeight w:hRule="exact" w:val="510"/>
          <w:jc w:val="center"/>
        </w:trPr>
        <w:tc>
          <w:tcPr>
            <w:tcW w:w="450" w:type="dxa"/>
            <w:vMerge/>
            <w:tcBorders>
              <w:tl2br w:val="nil"/>
              <w:tr2bl w:val="nil"/>
            </w:tcBorders>
          </w:tcPr>
          <w:p w14:paraId="239F2E83" w14:textId="77777777" w:rsidR="003B235E" w:rsidRDefault="003B235E" w:rsidP="003B235E">
            <w:pPr>
              <w:spacing w:beforeLines="50" w:before="156" w:afterLines="50" w:after="156"/>
              <w:jc w:val="center"/>
              <w:outlineLvl w:val="3"/>
            </w:pPr>
          </w:p>
        </w:tc>
        <w:tc>
          <w:tcPr>
            <w:tcW w:w="3450" w:type="dxa"/>
            <w:gridSpan w:val="3"/>
            <w:tcBorders>
              <w:tl2br w:val="nil"/>
              <w:tr2bl w:val="nil"/>
            </w:tcBorders>
            <w:vAlign w:val="center"/>
          </w:tcPr>
          <w:p w14:paraId="2CC81E40" w14:textId="77777777" w:rsidR="003B235E" w:rsidRDefault="003B235E" w:rsidP="003B235E">
            <w:pPr>
              <w:spacing w:beforeLines="50" w:before="156" w:afterLines="50" w:after="156"/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钾（K）</w:t>
            </w:r>
            <w:r>
              <w:rPr>
                <w:rFonts w:ascii="宋体" w:hAnsi="宋体" w:cs="Arial"/>
                <w:szCs w:val="21"/>
              </w:rPr>
              <w:t>w/</w:t>
            </w:r>
            <w:r>
              <w:rPr>
                <w:rFonts w:ascii="宋体" w:hAnsi="宋体" w:cs="Arial" w:hint="eastAsia"/>
                <w:szCs w:val="21"/>
              </w:rPr>
              <w:t>(µg</w:t>
            </w:r>
            <w:r>
              <w:rPr>
                <w:rFonts w:ascii="宋体" w:hAnsi="宋体" w:cs="Arial"/>
                <w:szCs w:val="21"/>
              </w:rPr>
              <w:t>/kg</w:t>
            </w:r>
            <w:r>
              <w:rPr>
                <w:rFonts w:ascii="宋体" w:hAnsi="宋体" w:cs="Arial" w:hint="eastAsia"/>
                <w:szCs w:val="21"/>
              </w:rPr>
              <w:t>)            ≤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143D3BBE" w14:textId="61F4D422" w:rsidR="003B235E" w:rsidRDefault="00924B4B" w:rsidP="003B235E">
            <w:pPr>
              <w:jc w:val="center"/>
              <w:outlineLvl w:val="3"/>
            </w:pPr>
            <w:r>
              <w:rPr>
                <w:rFonts w:ascii="宋体" w:hAnsi="宋体" w:cs="Arial"/>
                <w:szCs w:val="21"/>
              </w:rPr>
              <w:t>30</w:t>
            </w:r>
            <w:r w:rsidR="003B235E">
              <w:rPr>
                <w:rFonts w:ascii="宋体" w:hAnsi="宋体" w:cs="Arial" w:hint="eastAsia"/>
                <w:szCs w:val="21"/>
              </w:rPr>
              <w:t>0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0C29AE3C" w14:textId="5FA99294" w:rsidR="003B235E" w:rsidRDefault="003B235E" w:rsidP="003B235E">
            <w:pPr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1</w:t>
            </w:r>
            <w:r>
              <w:rPr>
                <w:rFonts w:ascii="宋体" w:hAnsi="宋体" w:cs="Arial"/>
                <w:szCs w:val="21"/>
              </w:rPr>
              <w:t>0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360DEED7" w14:textId="64AFDAA9" w:rsidR="003B235E" w:rsidRDefault="003B235E" w:rsidP="003B235E">
            <w:pPr>
              <w:jc w:val="center"/>
            </w:pPr>
            <w:r>
              <w:rPr>
                <w:rFonts w:ascii="宋体" w:hAnsi="宋体" w:cs="Arial" w:hint="eastAsia"/>
                <w:szCs w:val="21"/>
              </w:rPr>
              <w:t>1</w:t>
            </w:r>
          </w:p>
        </w:tc>
        <w:tc>
          <w:tcPr>
            <w:tcW w:w="1556" w:type="dxa"/>
            <w:tcBorders>
              <w:tl2br w:val="nil"/>
              <w:tr2bl w:val="nil"/>
            </w:tcBorders>
          </w:tcPr>
          <w:p w14:paraId="4F908D0A" w14:textId="14CB3726" w:rsidR="003B235E" w:rsidRDefault="003B235E" w:rsidP="003B235E">
            <w:pPr>
              <w:spacing w:beforeLines="50" w:before="156" w:afterLines="50" w:after="156"/>
              <w:jc w:val="center"/>
              <w:outlineLvl w:val="3"/>
            </w:pPr>
            <w:r w:rsidRPr="00BF7D0C">
              <w:rPr>
                <w:rFonts w:ascii="宋体" w:hAnsi="宋体" w:cs="Arial" w:hint="eastAsia"/>
                <w:szCs w:val="21"/>
              </w:rPr>
              <w:t>0.1</w:t>
            </w:r>
          </w:p>
        </w:tc>
      </w:tr>
      <w:tr w:rsidR="003B235E" w14:paraId="437A984C" w14:textId="77777777" w:rsidTr="007C219F">
        <w:trPr>
          <w:trHeight w:hRule="exact" w:val="510"/>
          <w:jc w:val="center"/>
        </w:trPr>
        <w:tc>
          <w:tcPr>
            <w:tcW w:w="450" w:type="dxa"/>
            <w:vMerge/>
            <w:tcBorders>
              <w:tl2br w:val="nil"/>
              <w:tr2bl w:val="nil"/>
            </w:tcBorders>
          </w:tcPr>
          <w:p w14:paraId="74EF1472" w14:textId="77777777" w:rsidR="003B235E" w:rsidRDefault="003B235E" w:rsidP="003B235E">
            <w:pPr>
              <w:spacing w:beforeLines="50" w:before="156" w:afterLines="50" w:after="156"/>
              <w:jc w:val="center"/>
              <w:outlineLvl w:val="3"/>
            </w:pPr>
          </w:p>
        </w:tc>
        <w:tc>
          <w:tcPr>
            <w:tcW w:w="3450" w:type="dxa"/>
            <w:gridSpan w:val="3"/>
            <w:tcBorders>
              <w:tl2br w:val="nil"/>
              <w:tr2bl w:val="nil"/>
            </w:tcBorders>
            <w:vAlign w:val="center"/>
          </w:tcPr>
          <w:p w14:paraId="12F04131" w14:textId="77777777" w:rsidR="003B235E" w:rsidRDefault="003B235E" w:rsidP="003B235E">
            <w:pPr>
              <w:spacing w:beforeLines="50" w:before="156" w:afterLines="50" w:after="156"/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钠（Na）</w:t>
            </w:r>
            <w:r>
              <w:rPr>
                <w:rFonts w:ascii="宋体" w:hAnsi="宋体" w:cs="Arial"/>
                <w:szCs w:val="21"/>
              </w:rPr>
              <w:t>w/</w:t>
            </w:r>
            <w:r>
              <w:rPr>
                <w:rFonts w:ascii="宋体" w:hAnsi="宋体" w:cs="Arial" w:hint="eastAsia"/>
                <w:szCs w:val="21"/>
              </w:rPr>
              <w:t>(µg</w:t>
            </w:r>
            <w:r>
              <w:rPr>
                <w:rFonts w:ascii="宋体" w:hAnsi="宋体" w:cs="Arial"/>
                <w:szCs w:val="21"/>
              </w:rPr>
              <w:t>/kg</w:t>
            </w:r>
            <w:r>
              <w:rPr>
                <w:rFonts w:ascii="宋体" w:hAnsi="宋体" w:cs="Arial" w:hint="eastAsia"/>
                <w:szCs w:val="21"/>
              </w:rPr>
              <w:t>)           ≤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2601BE4F" w14:textId="7D326369" w:rsidR="003B235E" w:rsidRDefault="00924B4B" w:rsidP="003B235E">
            <w:pPr>
              <w:jc w:val="center"/>
              <w:outlineLvl w:val="3"/>
            </w:pPr>
            <w:r>
              <w:rPr>
                <w:rFonts w:ascii="宋体" w:hAnsi="宋体" w:cs="Arial"/>
                <w:szCs w:val="21"/>
              </w:rPr>
              <w:t>30</w:t>
            </w:r>
            <w:r w:rsidR="003B235E">
              <w:rPr>
                <w:rFonts w:ascii="宋体" w:hAnsi="宋体" w:cs="Arial" w:hint="eastAsia"/>
                <w:szCs w:val="21"/>
              </w:rPr>
              <w:t>0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2BEE9772" w14:textId="2CDC98FE" w:rsidR="003B235E" w:rsidRDefault="003B235E" w:rsidP="003B235E">
            <w:pPr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1</w:t>
            </w:r>
            <w:r>
              <w:rPr>
                <w:rFonts w:ascii="宋体" w:hAnsi="宋体" w:cs="Arial"/>
                <w:szCs w:val="21"/>
              </w:rPr>
              <w:t>0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7B34B379" w14:textId="07B7AFB9" w:rsidR="003B235E" w:rsidRDefault="003B235E" w:rsidP="003B235E">
            <w:pPr>
              <w:jc w:val="center"/>
            </w:pPr>
            <w:r>
              <w:rPr>
                <w:rFonts w:ascii="宋体" w:hAnsi="宋体" w:cs="Arial" w:hint="eastAsia"/>
                <w:szCs w:val="21"/>
              </w:rPr>
              <w:t>1</w:t>
            </w:r>
          </w:p>
        </w:tc>
        <w:tc>
          <w:tcPr>
            <w:tcW w:w="1556" w:type="dxa"/>
            <w:tcBorders>
              <w:tl2br w:val="nil"/>
              <w:tr2bl w:val="nil"/>
            </w:tcBorders>
          </w:tcPr>
          <w:p w14:paraId="2FD6189A" w14:textId="4CEF1347" w:rsidR="003B235E" w:rsidRDefault="003B235E" w:rsidP="003B235E">
            <w:pPr>
              <w:spacing w:beforeLines="50" w:before="156" w:afterLines="50" w:after="156"/>
              <w:jc w:val="center"/>
              <w:outlineLvl w:val="3"/>
            </w:pPr>
            <w:r w:rsidRPr="00A256E5">
              <w:rPr>
                <w:rFonts w:ascii="宋体" w:hAnsi="宋体" w:cs="Arial" w:hint="eastAsia"/>
                <w:szCs w:val="21"/>
              </w:rPr>
              <w:t>0.1</w:t>
            </w:r>
          </w:p>
        </w:tc>
      </w:tr>
      <w:tr w:rsidR="003B235E" w14:paraId="0AA337BD" w14:textId="77777777" w:rsidTr="007C219F">
        <w:trPr>
          <w:trHeight w:hRule="exact" w:val="510"/>
          <w:jc w:val="center"/>
        </w:trPr>
        <w:tc>
          <w:tcPr>
            <w:tcW w:w="450" w:type="dxa"/>
            <w:vMerge/>
            <w:tcBorders>
              <w:tl2br w:val="nil"/>
              <w:tr2bl w:val="nil"/>
            </w:tcBorders>
          </w:tcPr>
          <w:p w14:paraId="513178F8" w14:textId="77777777" w:rsidR="003B235E" w:rsidRDefault="003B235E" w:rsidP="003B235E">
            <w:pPr>
              <w:spacing w:beforeLines="50" w:before="156" w:afterLines="50" w:after="156"/>
              <w:jc w:val="center"/>
              <w:outlineLvl w:val="3"/>
            </w:pPr>
          </w:p>
        </w:tc>
        <w:tc>
          <w:tcPr>
            <w:tcW w:w="3450" w:type="dxa"/>
            <w:gridSpan w:val="3"/>
            <w:tcBorders>
              <w:tl2br w:val="nil"/>
              <w:tr2bl w:val="nil"/>
            </w:tcBorders>
            <w:vAlign w:val="center"/>
          </w:tcPr>
          <w:p w14:paraId="71FAA85E" w14:textId="77777777" w:rsidR="003B235E" w:rsidRDefault="003B235E" w:rsidP="003B235E">
            <w:pPr>
              <w:spacing w:beforeLines="50" w:before="156" w:afterLines="50" w:after="156"/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锡（Sn）</w:t>
            </w:r>
            <w:r>
              <w:rPr>
                <w:rFonts w:ascii="宋体" w:hAnsi="宋体" w:cs="Arial"/>
                <w:szCs w:val="21"/>
              </w:rPr>
              <w:t>w/</w:t>
            </w:r>
            <w:r>
              <w:rPr>
                <w:rFonts w:ascii="宋体" w:hAnsi="宋体" w:cs="Arial" w:hint="eastAsia"/>
                <w:szCs w:val="21"/>
              </w:rPr>
              <w:t>(µg</w:t>
            </w:r>
            <w:r>
              <w:rPr>
                <w:rFonts w:ascii="宋体" w:hAnsi="宋体" w:cs="Arial"/>
                <w:szCs w:val="21"/>
              </w:rPr>
              <w:t>/kg</w:t>
            </w:r>
            <w:r>
              <w:rPr>
                <w:rFonts w:ascii="宋体" w:hAnsi="宋体" w:cs="Arial" w:hint="eastAsia"/>
                <w:szCs w:val="21"/>
              </w:rPr>
              <w:t>)           ≤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381A1C07" w14:textId="008748C7" w:rsidR="003B235E" w:rsidRDefault="00924B4B" w:rsidP="003B235E">
            <w:pPr>
              <w:jc w:val="center"/>
              <w:outlineLvl w:val="3"/>
            </w:pPr>
            <w:r>
              <w:rPr>
                <w:rFonts w:ascii="宋体" w:hAnsi="宋体" w:cs="Arial"/>
                <w:szCs w:val="21"/>
              </w:rPr>
              <w:t>20</w:t>
            </w:r>
            <w:r w:rsidR="003B235E">
              <w:rPr>
                <w:rFonts w:ascii="宋体" w:hAnsi="宋体" w:cs="Arial" w:hint="eastAsia"/>
                <w:szCs w:val="21"/>
              </w:rPr>
              <w:t>0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5CB21860" w14:textId="32B1AC1F" w:rsidR="003B235E" w:rsidRDefault="003B235E" w:rsidP="003B235E">
            <w:pPr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1</w:t>
            </w:r>
            <w:r>
              <w:rPr>
                <w:rFonts w:ascii="宋体" w:hAnsi="宋体" w:cs="Arial"/>
                <w:szCs w:val="21"/>
              </w:rPr>
              <w:t>0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375E00EE" w14:textId="559F932E" w:rsidR="003B235E" w:rsidRDefault="003B235E" w:rsidP="003B235E">
            <w:pPr>
              <w:jc w:val="center"/>
            </w:pPr>
            <w:r>
              <w:rPr>
                <w:rFonts w:ascii="宋体" w:hAnsi="宋体" w:cs="Arial" w:hint="eastAsia"/>
                <w:szCs w:val="21"/>
              </w:rPr>
              <w:t>1</w:t>
            </w:r>
          </w:p>
        </w:tc>
        <w:tc>
          <w:tcPr>
            <w:tcW w:w="1556" w:type="dxa"/>
            <w:tcBorders>
              <w:tl2br w:val="nil"/>
              <w:tr2bl w:val="nil"/>
            </w:tcBorders>
          </w:tcPr>
          <w:p w14:paraId="2C566D13" w14:textId="034EFFAB" w:rsidR="003B235E" w:rsidRDefault="003B235E" w:rsidP="003B235E">
            <w:pPr>
              <w:spacing w:beforeLines="50" w:before="156" w:afterLines="50" w:after="156"/>
              <w:jc w:val="center"/>
              <w:outlineLvl w:val="3"/>
            </w:pPr>
            <w:r w:rsidRPr="00A256E5">
              <w:rPr>
                <w:rFonts w:ascii="宋体" w:hAnsi="宋体" w:cs="Arial" w:hint="eastAsia"/>
                <w:szCs w:val="21"/>
              </w:rPr>
              <w:t>0.1</w:t>
            </w:r>
          </w:p>
        </w:tc>
      </w:tr>
      <w:tr w:rsidR="003B235E" w14:paraId="24A7FBBA" w14:textId="77777777" w:rsidTr="007C219F">
        <w:trPr>
          <w:trHeight w:hRule="exact" w:val="510"/>
          <w:jc w:val="center"/>
        </w:trPr>
        <w:tc>
          <w:tcPr>
            <w:tcW w:w="450" w:type="dxa"/>
            <w:vMerge/>
            <w:tcBorders>
              <w:tl2br w:val="nil"/>
              <w:tr2bl w:val="nil"/>
            </w:tcBorders>
          </w:tcPr>
          <w:p w14:paraId="329E0C3A" w14:textId="77777777" w:rsidR="003B235E" w:rsidRDefault="003B235E" w:rsidP="003B235E">
            <w:pPr>
              <w:spacing w:beforeLines="50" w:before="156" w:afterLines="50" w:after="156"/>
              <w:jc w:val="center"/>
              <w:outlineLvl w:val="3"/>
            </w:pPr>
          </w:p>
        </w:tc>
        <w:tc>
          <w:tcPr>
            <w:tcW w:w="3450" w:type="dxa"/>
            <w:gridSpan w:val="3"/>
            <w:tcBorders>
              <w:tl2br w:val="nil"/>
              <w:tr2bl w:val="nil"/>
            </w:tcBorders>
            <w:vAlign w:val="center"/>
          </w:tcPr>
          <w:p w14:paraId="7447DA3E" w14:textId="77777777" w:rsidR="003B235E" w:rsidRDefault="003B235E" w:rsidP="003B235E">
            <w:pPr>
              <w:spacing w:beforeLines="50" w:before="156" w:afterLines="50" w:after="156"/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钛（</w:t>
            </w:r>
            <w:proofErr w:type="spellStart"/>
            <w:r>
              <w:rPr>
                <w:rFonts w:ascii="宋体" w:hAnsi="宋体" w:cs="Arial" w:hint="eastAsia"/>
                <w:szCs w:val="21"/>
              </w:rPr>
              <w:t>Ti</w:t>
            </w:r>
            <w:proofErr w:type="spellEnd"/>
            <w:r>
              <w:rPr>
                <w:rFonts w:ascii="宋体" w:hAnsi="宋体" w:cs="Arial" w:hint="eastAsia"/>
                <w:szCs w:val="21"/>
              </w:rPr>
              <w:t>）</w:t>
            </w:r>
            <w:r>
              <w:rPr>
                <w:rFonts w:ascii="宋体" w:hAnsi="宋体" w:cs="Arial"/>
                <w:szCs w:val="21"/>
              </w:rPr>
              <w:t>w/</w:t>
            </w:r>
            <w:r>
              <w:rPr>
                <w:rFonts w:ascii="宋体" w:hAnsi="宋体" w:cs="Arial" w:hint="eastAsia"/>
                <w:szCs w:val="21"/>
              </w:rPr>
              <w:t>(µg</w:t>
            </w:r>
            <w:r>
              <w:rPr>
                <w:rFonts w:ascii="宋体" w:hAnsi="宋体" w:cs="Arial"/>
                <w:szCs w:val="21"/>
              </w:rPr>
              <w:t>/kg</w:t>
            </w:r>
            <w:r>
              <w:rPr>
                <w:rFonts w:ascii="宋体" w:hAnsi="宋体" w:cs="Arial" w:hint="eastAsia"/>
                <w:szCs w:val="21"/>
              </w:rPr>
              <w:t>)           ≤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038C802D" w14:textId="5C72DAC3" w:rsidR="003B235E" w:rsidRDefault="00924B4B" w:rsidP="003B235E">
            <w:pPr>
              <w:jc w:val="center"/>
              <w:outlineLvl w:val="3"/>
            </w:pPr>
            <w:r>
              <w:rPr>
                <w:rFonts w:ascii="宋体" w:hAnsi="宋体" w:cs="Arial"/>
                <w:szCs w:val="21"/>
              </w:rPr>
              <w:t>30</w:t>
            </w:r>
            <w:r w:rsidR="003B235E">
              <w:rPr>
                <w:rFonts w:ascii="宋体" w:hAnsi="宋体" w:cs="Arial" w:hint="eastAsia"/>
                <w:szCs w:val="21"/>
              </w:rPr>
              <w:t>0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401DF75E" w14:textId="1564CEA2" w:rsidR="003B235E" w:rsidRDefault="003B235E" w:rsidP="003B235E">
            <w:pPr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1</w:t>
            </w:r>
            <w:r>
              <w:rPr>
                <w:rFonts w:ascii="宋体" w:hAnsi="宋体" w:cs="Arial"/>
                <w:szCs w:val="21"/>
              </w:rPr>
              <w:t>0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58A7B3C1" w14:textId="5E531E86" w:rsidR="003B235E" w:rsidRDefault="003B235E" w:rsidP="003B235E">
            <w:pPr>
              <w:jc w:val="center"/>
            </w:pPr>
            <w:r>
              <w:rPr>
                <w:rFonts w:ascii="宋体" w:hAnsi="宋体" w:cs="Arial" w:hint="eastAsia"/>
                <w:szCs w:val="21"/>
              </w:rPr>
              <w:t>1</w:t>
            </w:r>
          </w:p>
        </w:tc>
        <w:tc>
          <w:tcPr>
            <w:tcW w:w="1556" w:type="dxa"/>
            <w:tcBorders>
              <w:tl2br w:val="nil"/>
              <w:tr2bl w:val="nil"/>
            </w:tcBorders>
          </w:tcPr>
          <w:p w14:paraId="34A7CE74" w14:textId="540464C2" w:rsidR="003B235E" w:rsidRDefault="003B235E" w:rsidP="003B235E">
            <w:pPr>
              <w:spacing w:beforeLines="50" w:before="156" w:afterLines="50" w:after="156"/>
              <w:jc w:val="center"/>
              <w:outlineLvl w:val="3"/>
            </w:pPr>
            <w:r w:rsidRPr="00A256E5">
              <w:rPr>
                <w:rFonts w:ascii="宋体" w:hAnsi="宋体" w:cs="Arial" w:hint="eastAsia"/>
                <w:szCs w:val="21"/>
              </w:rPr>
              <w:t>0.1</w:t>
            </w:r>
          </w:p>
        </w:tc>
      </w:tr>
      <w:tr w:rsidR="003B235E" w14:paraId="54967DD5" w14:textId="77777777" w:rsidTr="007C219F">
        <w:trPr>
          <w:trHeight w:hRule="exact" w:val="510"/>
          <w:jc w:val="center"/>
        </w:trPr>
        <w:tc>
          <w:tcPr>
            <w:tcW w:w="450" w:type="dxa"/>
            <w:vMerge/>
            <w:tcBorders>
              <w:tl2br w:val="nil"/>
              <w:tr2bl w:val="nil"/>
            </w:tcBorders>
          </w:tcPr>
          <w:p w14:paraId="5B70E244" w14:textId="77777777" w:rsidR="003B235E" w:rsidRDefault="003B235E" w:rsidP="003B235E">
            <w:pPr>
              <w:spacing w:beforeLines="50" w:before="156" w:afterLines="50" w:after="156"/>
              <w:jc w:val="center"/>
              <w:outlineLvl w:val="3"/>
            </w:pPr>
          </w:p>
        </w:tc>
        <w:tc>
          <w:tcPr>
            <w:tcW w:w="3450" w:type="dxa"/>
            <w:gridSpan w:val="3"/>
            <w:tcBorders>
              <w:tl2br w:val="nil"/>
              <w:tr2bl w:val="nil"/>
            </w:tcBorders>
            <w:vAlign w:val="center"/>
          </w:tcPr>
          <w:p w14:paraId="14A5206D" w14:textId="77777777" w:rsidR="003B235E" w:rsidRDefault="003B235E" w:rsidP="003B235E">
            <w:pPr>
              <w:spacing w:beforeLines="50" w:before="156" w:afterLines="50" w:after="156"/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钒（V）</w:t>
            </w:r>
            <w:r>
              <w:rPr>
                <w:rFonts w:ascii="宋体" w:hAnsi="宋体" w:cs="Arial"/>
                <w:szCs w:val="21"/>
              </w:rPr>
              <w:t>w/</w:t>
            </w:r>
            <w:r>
              <w:rPr>
                <w:rFonts w:ascii="宋体" w:hAnsi="宋体" w:cs="Arial" w:hint="eastAsia"/>
                <w:szCs w:val="21"/>
              </w:rPr>
              <w:t>(µg</w:t>
            </w:r>
            <w:r>
              <w:rPr>
                <w:rFonts w:ascii="宋体" w:hAnsi="宋体" w:cs="Arial"/>
                <w:szCs w:val="21"/>
              </w:rPr>
              <w:t>/kg</w:t>
            </w:r>
            <w:r>
              <w:rPr>
                <w:rFonts w:ascii="宋体" w:hAnsi="宋体" w:cs="Arial" w:hint="eastAsia"/>
                <w:szCs w:val="21"/>
              </w:rPr>
              <w:t>)            ≤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1DD9A149" w14:textId="22B383B6" w:rsidR="003B235E" w:rsidRDefault="00924B4B" w:rsidP="003B235E">
            <w:pPr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--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410D1D06" w14:textId="2946934F" w:rsidR="003B235E" w:rsidRDefault="003B235E" w:rsidP="003B235E">
            <w:pPr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1</w:t>
            </w:r>
            <w:r>
              <w:rPr>
                <w:rFonts w:ascii="宋体" w:hAnsi="宋体" w:cs="Arial"/>
                <w:szCs w:val="21"/>
              </w:rPr>
              <w:t>0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2F1F4F2A" w14:textId="482AB45B" w:rsidR="003B235E" w:rsidRDefault="003B235E" w:rsidP="003B235E">
            <w:pPr>
              <w:jc w:val="center"/>
            </w:pPr>
            <w:r>
              <w:rPr>
                <w:rFonts w:ascii="宋体" w:hAnsi="宋体" w:cs="Arial" w:hint="eastAsia"/>
                <w:szCs w:val="21"/>
              </w:rPr>
              <w:t>1</w:t>
            </w:r>
          </w:p>
        </w:tc>
        <w:tc>
          <w:tcPr>
            <w:tcW w:w="1556" w:type="dxa"/>
            <w:tcBorders>
              <w:tl2br w:val="nil"/>
              <w:tr2bl w:val="nil"/>
            </w:tcBorders>
          </w:tcPr>
          <w:p w14:paraId="5F2CCBE2" w14:textId="0296851E" w:rsidR="003B235E" w:rsidRDefault="003B235E" w:rsidP="003B235E">
            <w:pPr>
              <w:spacing w:beforeLines="50" w:before="156" w:afterLines="50" w:after="156"/>
              <w:jc w:val="center"/>
              <w:outlineLvl w:val="3"/>
            </w:pPr>
            <w:r w:rsidRPr="00A256E5">
              <w:rPr>
                <w:rFonts w:ascii="宋体" w:hAnsi="宋体" w:cs="Arial" w:hint="eastAsia"/>
                <w:szCs w:val="21"/>
              </w:rPr>
              <w:t>0.1</w:t>
            </w:r>
          </w:p>
        </w:tc>
      </w:tr>
      <w:tr w:rsidR="003B235E" w14:paraId="441E731A" w14:textId="77777777" w:rsidTr="007C219F">
        <w:trPr>
          <w:trHeight w:hRule="exact" w:val="510"/>
          <w:jc w:val="center"/>
        </w:trPr>
        <w:tc>
          <w:tcPr>
            <w:tcW w:w="450" w:type="dxa"/>
            <w:vMerge/>
            <w:tcBorders>
              <w:tl2br w:val="nil"/>
              <w:tr2bl w:val="nil"/>
            </w:tcBorders>
          </w:tcPr>
          <w:p w14:paraId="2C664153" w14:textId="77777777" w:rsidR="003B235E" w:rsidRDefault="003B235E" w:rsidP="003B235E">
            <w:pPr>
              <w:spacing w:beforeLines="50" w:before="156" w:afterLines="50" w:after="156"/>
              <w:jc w:val="center"/>
              <w:outlineLvl w:val="3"/>
            </w:pPr>
          </w:p>
        </w:tc>
        <w:tc>
          <w:tcPr>
            <w:tcW w:w="3450" w:type="dxa"/>
            <w:gridSpan w:val="3"/>
            <w:tcBorders>
              <w:tl2br w:val="nil"/>
              <w:tr2bl w:val="nil"/>
            </w:tcBorders>
            <w:vAlign w:val="center"/>
          </w:tcPr>
          <w:p w14:paraId="69E4EB09" w14:textId="77777777" w:rsidR="003B235E" w:rsidRDefault="003B235E" w:rsidP="003B235E">
            <w:pPr>
              <w:spacing w:beforeLines="50" w:before="156" w:afterLines="50" w:after="156"/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锌（Zn）</w:t>
            </w:r>
            <w:r>
              <w:rPr>
                <w:rFonts w:ascii="宋体" w:hAnsi="宋体" w:cs="Arial"/>
                <w:szCs w:val="21"/>
              </w:rPr>
              <w:t>w/</w:t>
            </w:r>
            <w:r>
              <w:rPr>
                <w:rFonts w:ascii="宋体" w:hAnsi="宋体" w:cs="Arial" w:hint="eastAsia"/>
                <w:szCs w:val="21"/>
              </w:rPr>
              <w:t>(µg</w:t>
            </w:r>
            <w:r>
              <w:rPr>
                <w:rFonts w:ascii="宋体" w:hAnsi="宋体" w:cs="Arial"/>
                <w:szCs w:val="21"/>
              </w:rPr>
              <w:t>/kg</w:t>
            </w:r>
            <w:r>
              <w:rPr>
                <w:rFonts w:ascii="宋体" w:hAnsi="宋体" w:cs="Arial" w:hint="eastAsia"/>
                <w:szCs w:val="21"/>
              </w:rPr>
              <w:t>)           ≤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0E19A8F7" w14:textId="20DAADEA" w:rsidR="003B235E" w:rsidRDefault="00924B4B" w:rsidP="003B235E">
            <w:pPr>
              <w:jc w:val="center"/>
              <w:outlineLvl w:val="3"/>
            </w:pPr>
            <w:r>
              <w:rPr>
                <w:rFonts w:ascii="宋体" w:hAnsi="宋体" w:cs="Arial"/>
                <w:szCs w:val="21"/>
              </w:rPr>
              <w:t>20</w:t>
            </w:r>
            <w:r w:rsidR="003B235E">
              <w:rPr>
                <w:rFonts w:ascii="宋体" w:hAnsi="宋体" w:cs="Arial" w:hint="eastAsia"/>
                <w:szCs w:val="21"/>
              </w:rPr>
              <w:t>0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0973C667" w14:textId="5D6E1710" w:rsidR="003B235E" w:rsidRDefault="003B235E" w:rsidP="003B235E">
            <w:pPr>
              <w:jc w:val="center"/>
              <w:outlineLvl w:val="3"/>
            </w:pPr>
            <w:r>
              <w:rPr>
                <w:rFonts w:ascii="宋体" w:hAnsi="宋体" w:cs="Arial" w:hint="eastAsia"/>
                <w:szCs w:val="21"/>
              </w:rPr>
              <w:t>1</w:t>
            </w:r>
            <w:r>
              <w:rPr>
                <w:rFonts w:ascii="宋体" w:hAnsi="宋体" w:cs="Arial"/>
                <w:szCs w:val="21"/>
              </w:rPr>
              <w:t>0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 w14:paraId="398F1983" w14:textId="013ACA67" w:rsidR="003B235E" w:rsidRDefault="003B235E" w:rsidP="003B235E">
            <w:pPr>
              <w:jc w:val="center"/>
            </w:pPr>
            <w:r>
              <w:rPr>
                <w:rFonts w:ascii="宋体" w:hAnsi="宋体" w:cs="Arial" w:hint="eastAsia"/>
                <w:szCs w:val="21"/>
              </w:rPr>
              <w:t>1</w:t>
            </w:r>
          </w:p>
        </w:tc>
        <w:tc>
          <w:tcPr>
            <w:tcW w:w="1556" w:type="dxa"/>
            <w:tcBorders>
              <w:tl2br w:val="nil"/>
              <w:tr2bl w:val="nil"/>
            </w:tcBorders>
          </w:tcPr>
          <w:p w14:paraId="41D283FE" w14:textId="60B5B097" w:rsidR="003B235E" w:rsidRDefault="003B235E" w:rsidP="003B235E">
            <w:pPr>
              <w:spacing w:beforeLines="50" w:before="156" w:afterLines="50" w:after="156"/>
              <w:jc w:val="center"/>
              <w:outlineLvl w:val="3"/>
            </w:pPr>
            <w:r w:rsidRPr="00A256E5">
              <w:rPr>
                <w:rFonts w:ascii="宋体" w:hAnsi="宋体" w:cs="Arial" w:hint="eastAsia"/>
                <w:szCs w:val="21"/>
              </w:rPr>
              <w:t>0.1</w:t>
            </w:r>
          </w:p>
        </w:tc>
      </w:tr>
      <w:tr w:rsidR="001A74EC" w14:paraId="2F4DFC17" w14:textId="77777777" w:rsidTr="004B26AF">
        <w:trPr>
          <w:trHeight w:hRule="exact" w:val="510"/>
          <w:jc w:val="center"/>
        </w:trPr>
        <w:tc>
          <w:tcPr>
            <w:tcW w:w="10121" w:type="dxa"/>
            <w:gridSpan w:val="8"/>
            <w:tcBorders>
              <w:tl2br w:val="nil"/>
              <w:tr2bl w:val="nil"/>
            </w:tcBorders>
          </w:tcPr>
          <w:p w14:paraId="5F327F64" w14:textId="77777777" w:rsidR="001A74EC" w:rsidRDefault="001A74EC" w:rsidP="00503906">
            <w:pPr>
              <w:spacing w:beforeLines="50" w:before="156" w:afterLines="50" w:after="156"/>
              <w:jc w:val="center"/>
              <w:outlineLvl w:val="3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其它元素由供需双方协定</w:t>
            </w:r>
          </w:p>
        </w:tc>
      </w:tr>
      <w:tr w:rsidR="001A74EC" w14:paraId="639DD731" w14:textId="77777777" w:rsidTr="004B26AF">
        <w:trPr>
          <w:trHeight w:hRule="exact" w:val="510"/>
          <w:jc w:val="center"/>
        </w:trPr>
        <w:tc>
          <w:tcPr>
            <w:tcW w:w="89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5DCCD33F" w14:textId="77777777" w:rsidR="001A74EC" w:rsidRDefault="001A74EC" w:rsidP="00503906">
            <w:pPr>
              <w:spacing w:beforeLines="50" w:before="156" w:afterLines="50" w:after="156"/>
              <w:jc w:val="center"/>
              <w:outlineLvl w:val="3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颗粒</w:t>
            </w:r>
          </w:p>
        </w:tc>
        <w:tc>
          <w:tcPr>
            <w:tcW w:w="2183" w:type="dxa"/>
            <w:tcBorders>
              <w:tl2br w:val="nil"/>
              <w:tr2bl w:val="nil"/>
            </w:tcBorders>
          </w:tcPr>
          <w:p w14:paraId="15D11060" w14:textId="77777777" w:rsidR="001A74EC" w:rsidRDefault="001A74EC" w:rsidP="00503906">
            <w:pPr>
              <w:spacing w:beforeLines="50" w:before="156" w:afterLines="50" w:after="156"/>
              <w:jc w:val="center"/>
              <w:outlineLvl w:val="3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（</w:t>
            </w:r>
            <w:r>
              <w:rPr>
                <w:rFonts w:ascii="宋体" w:hAnsi="宋体" w:cs="Arial"/>
                <w:szCs w:val="21"/>
              </w:rPr>
              <w:t>≥</w:t>
            </w:r>
            <w:r>
              <w:rPr>
                <w:rFonts w:ascii="宋体" w:hAnsi="宋体" w:cs="Arial" w:hint="eastAsia"/>
                <w:szCs w:val="21"/>
              </w:rPr>
              <w:t>1.0µm）/（</w:t>
            </w:r>
            <w:proofErr w:type="gramStart"/>
            <w:r>
              <w:rPr>
                <w:rFonts w:ascii="宋体" w:hAnsi="宋体" w:cs="Arial" w:hint="eastAsia"/>
                <w:szCs w:val="21"/>
              </w:rPr>
              <w:t>个</w:t>
            </w:r>
            <w:proofErr w:type="gramEnd"/>
            <w:r>
              <w:rPr>
                <w:rFonts w:ascii="宋体" w:hAnsi="宋体" w:cs="Arial" w:hint="eastAsia"/>
                <w:szCs w:val="21"/>
              </w:rPr>
              <w:t>/mL）</w:t>
            </w:r>
          </w:p>
        </w:tc>
        <w:tc>
          <w:tcPr>
            <w:tcW w:w="7047" w:type="dxa"/>
            <w:gridSpan w:val="5"/>
            <w:vMerge w:val="restart"/>
            <w:tcBorders>
              <w:tl2br w:val="nil"/>
              <w:tr2bl w:val="nil"/>
            </w:tcBorders>
            <w:vAlign w:val="center"/>
          </w:tcPr>
          <w:p w14:paraId="106DE95A" w14:textId="77777777" w:rsidR="001A74EC" w:rsidRDefault="001A74EC" w:rsidP="00503906">
            <w:pPr>
              <w:spacing w:beforeLines="50" w:before="156" w:afterLines="50" w:after="156"/>
              <w:jc w:val="center"/>
              <w:outlineLvl w:val="3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由供需双方协定</w:t>
            </w:r>
          </w:p>
        </w:tc>
      </w:tr>
      <w:tr w:rsidR="001A74EC" w14:paraId="036AC296" w14:textId="77777777" w:rsidTr="004B26AF">
        <w:trPr>
          <w:trHeight w:hRule="exact" w:val="510"/>
          <w:jc w:val="center"/>
        </w:trPr>
        <w:tc>
          <w:tcPr>
            <w:tcW w:w="891" w:type="dxa"/>
            <w:gridSpan w:val="2"/>
            <w:vMerge/>
            <w:tcBorders>
              <w:tl2br w:val="nil"/>
              <w:tr2bl w:val="nil"/>
            </w:tcBorders>
          </w:tcPr>
          <w:p w14:paraId="3955672A" w14:textId="77777777" w:rsidR="001A74EC" w:rsidRDefault="001A74EC" w:rsidP="00503906">
            <w:pPr>
              <w:spacing w:beforeLines="50" w:before="156" w:afterLines="50" w:after="156"/>
              <w:jc w:val="center"/>
              <w:outlineLvl w:val="3"/>
              <w:rPr>
                <w:rFonts w:ascii="宋体" w:hAnsi="宋体" w:cs="Arial"/>
                <w:szCs w:val="21"/>
              </w:rPr>
            </w:pPr>
          </w:p>
        </w:tc>
        <w:tc>
          <w:tcPr>
            <w:tcW w:w="2183" w:type="dxa"/>
            <w:tcBorders>
              <w:tl2br w:val="nil"/>
              <w:tr2bl w:val="nil"/>
            </w:tcBorders>
          </w:tcPr>
          <w:p w14:paraId="1C639379" w14:textId="77777777" w:rsidR="001A74EC" w:rsidRDefault="001A74EC" w:rsidP="00503906">
            <w:pPr>
              <w:spacing w:beforeLines="50" w:before="156" w:afterLines="50" w:after="156"/>
              <w:jc w:val="center"/>
              <w:outlineLvl w:val="3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（</w:t>
            </w:r>
            <w:r>
              <w:rPr>
                <w:rFonts w:ascii="宋体" w:hAnsi="宋体" w:cs="Arial"/>
                <w:szCs w:val="21"/>
              </w:rPr>
              <w:t>≥</w:t>
            </w:r>
            <w:r>
              <w:rPr>
                <w:rFonts w:ascii="宋体" w:hAnsi="宋体" w:cs="Arial" w:hint="eastAsia"/>
                <w:szCs w:val="21"/>
              </w:rPr>
              <w:t>0.5µm）/（</w:t>
            </w:r>
            <w:proofErr w:type="gramStart"/>
            <w:r>
              <w:rPr>
                <w:rFonts w:ascii="宋体" w:hAnsi="宋体" w:cs="Arial" w:hint="eastAsia"/>
                <w:szCs w:val="21"/>
              </w:rPr>
              <w:t>个</w:t>
            </w:r>
            <w:proofErr w:type="gramEnd"/>
            <w:r>
              <w:rPr>
                <w:rFonts w:ascii="宋体" w:hAnsi="宋体" w:cs="Arial" w:hint="eastAsia"/>
                <w:szCs w:val="21"/>
              </w:rPr>
              <w:t>/mL）</w:t>
            </w:r>
          </w:p>
        </w:tc>
        <w:tc>
          <w:tcPr>
            <w:tcW w:w="7047" w:type="dxa"/>
            <w:gridSpan w:val="5"/>
            <w:vMerge/>
            <w:tcBorders>
              <w:tl2br w:val="nil"/>
              <w:tr2bl w:val="nil"/>
            </w:tcBorders>
          </w:tcPr>
          <w:p w14:paraId="331D3AEF" w14:textId="77777777" w:rsidR="001A74EC" w:rsidRDefault="001A74EC" w:rsidP="00503906">
            <w:pPr>
              <w:spacing w:beforeLines="50" w:before="156" w:afterLines="50" w:after="156"/>
              <w:jc w:val="center"/>
              <w:outlineLvl w:val="3"/>
              <w:rPr>
                <w:rFonts w:ascii="宋体" w:hAnsi="宋体" w:cs="Arial"/>
                <w:szCs w:val="21"/>
              </w:rPr>
            </w:pPr>
          </w:p>
        </w:tc>
      </w:tr>
      <w:tr w:rsidR="001A74EC" w14:paraId="424331B6" w14:textId="77777777" w:rsidTr="004B26AF">
        <w:trPr>
          <w:trHeight w:hRule="exact" w:val="510"/>
          <w:jc w:val="center"/>
        </w:trPr>
        <w:tc>
          <w:tcPr>
            <w:tcW w:w="891" w:type="dxa"/>
            <w:gridSpan w:val="2"/>
            <w:vMerge/>
            <w:tcBorders>
              <w:tl2br w:val="nil"/>
              <w:tr2bl w:val="nil"/>
            </w:tcBorders>
          </w:tcPr>
          <w:p w14:paraId="31B7AD37" w14:textId="77777777" w:rsidR="001A74EC" w:rsidRDefault="001A74EC" w:rsidP="00503906">
            <w:pPr>
              <w:spacing w:beforeLines="50" w:before="156" w:afterLines="50" w:after="156"/>
              <w:jc w:val="center"/>
              <w:outlineLvl w:val="3"/>
              <w:rPr>
                <w:rFonts w:ascii="宋体" w:hAnsi="宋体" w:cs="Arial"/>
                <w:szCs w:val="21"/>
              </w:rPr>
            </w:pPr>
          </w:p>
        </w:tc>
        <w:tc>
          <w:tcPr>
            <w:tcW w:w="2183" w:type="dxa"/>
            <w:tcBorders>
              <w:tl2br w:val="nil"/>
              <w:tr2bl w:val="nil"/>
            </w:tcBorders>
          </w:tcPr>
          <w:p w14:paraId="6E7CDDB6" w14:textId="77777777" w:rsidR="001A74EC" w:rsidRDefault="001A74EC" w:rsidP="00503906">
            <w:pPr>
              <w:spacing w:beforeLines="50" w:before="156" w:afterLines="50" w:after="156"/>
              <w:jc w:val="center"/>
              <w:outlineLvl w:val="3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（</w:t>
            </w:r>
            <w:r>
              <w:rPr>
                <w:rFonts w:ascii="宋体" w:hAnsi="宋体" w:cs="Arial"/>
                <w:szCs w:val="21"/>
              </w:rPr>
              <w:t>≥</w:t>
            </w:r>
            <w:r>
              <w:rPr>
                <w:rFonts w:ascii="宋体" w:hAnsi="宋体" w:cs="Arial" w:hint="eastAsia"/>
                <w:szCs w:val="21"/>
              </w:rPr>
              <w:t>0.2µm）/（</w:t>
            </w:r>
            <w:proofErr w:type="gramStart"/>
            <w:r>
              <w:rPr>
                <w:rFonts w:ascii="宋体" w:hAnsi="宋体" w:cs="Arial" w:hint="eastAsia"/>
                <w:szCs w:val="21"/>
              </w:rPr>
              <w:t>个</w:t>
            </w:r>
            <w:proofErr w:type="gramEnd"/>
            <w:r>
              <w:rPr>
                <w:rFonts w:ascii="宋体" w:hAnsi="宋体" w:cs="Arial" w:hint="eastAsia"/>
                <w:szCs w:val="21"/>
              </w:rPr>
              <w:t>/mL）</w:t>
            </w:r>
          </w:p>
        </w:tc>
        <w:tc>
          <w:tcPr>
            <w:tcW w:w="7047" w:type="dxa"/>
            <w:gridSpan w:val="5"/>
            <w:vMerge/>
            <w:tcBorders>
              <w:tl2br w:val="nil"/>
              <w:tr2bl w:val="nil"/>
            </w:tcBorders>
          </w:tcPr>
          <w:p w14:paraId="47527AF0" w14:textId="77777777" w:rsidR="001A74EC" w:rsidRDefault="001A74EC" w:rsidP="00503906">
            <w:pPr>
              <w:spacing w:beforeLines="50" w:before="156" w:afterLines="50" w:after="156"/>
              <w:jc w:val="center"/>
              <w:outlineLvl w:val="3"/>
              <w:rPr>
                <w:rFonts w:ascii="宋体" w:hAnsi="宋体" w:cs="Arial"/>
                <w:szCs w:val="21"/>
              </w:rPr>
            </w:pPr>
          </w:p>
        </w:tc>
      </w:tr>
    </w:tbl>
    <w:p w14:paraId="26D6FBDE" w14:textId="77777777" w:rsidR="001A74EC" w:rsidRPr="00386D22" w:rsidRDefault="001A74EC" w:rsidP="00386D22">
      <w:pPr>
        <w:pStyle w:val="p0"/>
        <w:spacing w:line="360" w:lineRule="auto"/>
        <w:rPr>
          <w:rFonts w:ascii="宋体" w:hAnsi="宋体"/>
          <w:sz w:val="24"/>
          <w:szCs w:val="24"/>
        </w:rPr>
      </w:pPr>
      <w:r w:rsidRPr="00386D22">
        <w:rPr>
          <w:rFonts w:ascii="宋体" w:hAnsi="宋体" w:hint="eastAsia"/>
          <w:sz w:val="24"/>
          <w:szCs w:val="24"/>
        </w:rPr>
        <w:t>2.5试验方法</w:t>
      </w:r>
    </w:p>
    <w:p w14:paraId="20894AF1" w14:textId="77777777" w:rsidR="001A74EC" w:rsidRDefault="001A74EC" w:rsidP="001A74EC">
      <w:pPr>
        <w:pStyle w:val="p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2.5.1外观检验</w:t>
      </w:r>
    </w:p>
    <w:p w14:paraId="4E0CCA7B" w14:textId="77777777" w:rsidR="001A74EC" w:rsidRDefault="001A74EC" w:rsidP="001A74EC">
      <w:pPr>
        <w:pStyle w:val="p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用目视法观察外观。</w:t>
      </w:r>
    </w:p>
    <w:p w14:paraId="5BC09CBC" w14:textId="77777777" w:rsidR="001A74EC" w:rsidRDefault="001A74EC" w:rsidP="001A74EC">
      <w:pPr>
        <w:pStyle w:val="p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2.5.2主含量测定</w:t>
      </w:r>
    </w:p>
    <w:p w14:paraId="0749C027" w14:textId="4DFBB17E" w:rsidR="001A74EC" w:rsidRDefault="001A74EC" w:rsidP="001A74EC">
      <w:pPr>
        <w:pStyle w:val="p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按GB/T 620的规定进行。</w:t>
      </w:r>
    </w:p>
    <w:p w14:paraId="4BD50A7C" w14:textId="5F04EA7C" w:rsidR="00386D22" w:rsidRDefault="00386D22" w:rsidP="00386D22">
      <w:pPr>
        <w:pStyle w:val="p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 xml:space="preserve">.5.2.1 </w:t>
      </w:r>
      <w:r>
        <w:rPr>
          <w:rFonts w:ascii="宋体" w:hAnsi="宋体" w:hint="eastAsia"/>
          <w:sz w:val="24"/>
          <w:szCs w:val="24"/>
        </w:rPr>
        <w:t>原理</w:t>
      </w:r>
    </w:p>
    <w:p w14:paraId="5AA47BD3" w14:textId="0F0E7B3F" w:rsidR="00386D22" w:rsidRDefault="00386D22" w:rsidP="00386D22">
      <w:pPr>
        <w:pStyle w:val="p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以甲基红-亚甲基蓝为指示剂，用氢氧化钠标准滴定溶液中和滴定，测得硫酸的质量分数。</w:t>
      </w:r>
    </w:p>
    <w:p w14:paraId="2CCB51D1" w14:textId="5756E2DA" w:rsidR="00386D22" w:rsidRDefault="00386D22" w:rsidP="00386D22">
      <w:pPr>
        <w:pStyle w:val="p0"/>
        <w:spacing w:line="360" w:lineRule="auto"/>
        <w:rPr>
          <w:rFonts w:ascii="宋体" w:hAnsi="宋体"/>
          <w:sz w:val="24"/>
          <w:szCs w:val="24"/>
        </w:rPr>
      </w:pPr>
      <w:r w:rsidRPr="00386D22">
        <w:rPr>
          <w:rFonts w:ascii="宋体" w:hAnsi="宋体"/>
          <w:sz w:val="24"/>
          <w:szCs w:val="24"/>
        </w:rPr>
        <w:t>2.5.2.</w:t>
      </w:r>
      <w:r>
        <w:rPr>
          <w:rFonts w:ascii="宋体" w:hAnsi="宋体"/>
          <w:sz w:val="24"/>
          <w:szCs w:val="24"/>
        </w:rPr>
        <w:t xml:space="preserve">2 </w:t>
      </w:r>
      <w:bookmarkStart w:id="0" w:name="OLE_LINK1"/>
      <w:r>
        <w:rPr>
          <w:rFonts w:ascii="宋体" w:hAnsi="宋体" w:hint="eastAsia"/>
          <w:sz w:val="24"/>
          <w:szCs w:val="24"/>
        </w:rPr>
        <w:t>试剂</w:t>
      </w:r>
    </w:p>
    <w:bookmarkEnd w:id="0"/>
    <w:p w14:paraId="3B49B5BD" w14:textId="2446C1ED" w:rsidR="00386D22" w:rsidRDefault="00386D22" w:rsidP="00386D22">
      <w:pPr>
        <w:pStyle w:val="p0"/>
        <w:spacing w:line="360" w:lineRule="auto"/>
        <w:ind w:firstLine="480"/>
        <w:rPr>
          <w:rFonts w:ascii="宋体" w:hAnsi="宋体"/>
          <w:sz w:val="24"/>
          <w:szCs w:val="24"/>
        </w:rPr>
      </w:pPr>
      <w:r w:rsidRPr="00386D22">
        <w:rPr>
          <w:rFonts w:ascii="宋体" w:hAnsi="宋体" w:hint="eastAsia"/>
          <w:sz w:val="24"/>
          <w:szCs w:val="24"/>
        </w:rPr>
        <w:t>氢氧化钠标准滴定溶液</w:t>
      </w:r>
      <w:r>
        <w:rPr>
          <w:rFonts w:ascii="宋体" w:hAnsi="宋体" w:hint="eastAsia"/>
          <w:sz w:val="24"/>
          <w:szCs w:val="24"/>
        </w:rPr>
        <w:t>：c（N</w:t>
      </w:r>
      <w:r>
        <w:rPr>
          <w:rFonts w:ascii="宋体" w:hAnsi="宋体"/>
          <w:sz w:val="24"/>
          <w:szCs w:val="24"/>
        </w:rPr>
        <w:t>aOH</w:t>
      </w:r>
      <w:r>
        <w:rPr>
          <w:rFonts w:ascii="宋体" w:hAnsi="宋体" w:hint="eastAsia"/>
          <w:sz w:val="24"/>
          <w:szCs w:val="24"/>
        </w:rPr>
        <w:t>）=</w:t>
      </w:r>
      <w:r>
        <w:rPr>
          <w:rFonts w:ascii="宋体" w:hAnsi="宋体"/>
          <w:sz w:val="24"/>
          <w:szCs w:val="24"/>
        </w:rPr>
        <w:t>1.0mol/L;</w:t>
      </w:r>
      <w:r w:rsidRPr="00386D22">
        <w:rPr>
          <w:rFonts w:ascii="宋体" w:hAnsi="宋体" w:hint="eastAsia"/>
          <w:sz w:val="24"/>
          <w:szCs w:val="24"/>
        </w:rPr>
        <w:t>甲基红-亚甲基蓝</w:t>
      </w:r>
      <w:r>
        <w:rPr>
          <w:rFonts w:ascii="宋体" w:hAnsi="宋体" w:hint="eastAsia"/>
          <w:sz w:val="24"/>
          <w:szCs w:val="24"/>
        </w:rPr>
        <w:t>混合指示剂。</w:t>
      </w:r>
    </w:p>
    <w:p w14:paraId="05FBB476" w14:textId="5A762DE1" w:rsidR="00386D22" w:rsidRDefault="00386D22" w:rsidP="00386D22">
      <w:pPr>
        <w:pStyle w:val="p0"/>
        <w:spacing w:line="360" w:lineRule="auto"/>
        <w:rPr>
          <w:rFonts w:ascii="宋体" w:hAnsi="宋体"/>
          <w:sz w:val="24"/>
          <w:szCs w:val="24"/>
        </w:rPr>
      </w:pPr>
      <w:bookmarkStart w:id="1" w:name="OLE_LINK2"/>
      <w:bookmarkStart w:id="2" w:name="OLE_LINK3"/>
      <w:r w:rsidRPr="00386D22">
        <w:rPr>
          <w:rFonts w:ascii="宋体" w:hAnsi="宋体"/>
          <w:sz w:val="24"/>
          <w:szCs w:val="24"/>
        </w:rPr>
        <w:t>2.5.2.</w:t>
      </w:r>
      <w:r>
        <w:rPr>
          <w:rFonts w:ascii="宋体" w:hAnsi="宋体"/>
          <w:sz w:val="24"/>
          <w:szCs w:val="24"/>
        </w:rPr>
        <w:t>3</w:t>
      </w:r>
      <w:bookmarkEnd w:id="1"/>
      <w:bookmarkEnd w:id="2"/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分析步骤</w:t>
      </w:r>
    </w:p>
    <w:p w14:paraId="02CAF00D" w14:textId="6414AD60" w:rsidR="00386D22" w:rsidRDefault="00386D22" w:rsidP="00463AF3">
      <w:pPr>
        <w:pStyle w:val="p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用已称量</w:t>
      </w:r>
      <w:proofErr w:type="gramStart"/>
      <w:r>
        <w:rPr>
          <w:rFonts w:ascii="宋体" w:hAnsi="宋体" w:hint="eastAsia"/>
          <w:sz w:val="24"/>
          <w:szCs w:val="24"/>
        </w:rPr>
        <w:t>的带磨口盖</w:t>
      </w:r>
      <w:proofErr w:type="gramEnd"/>
      <w:r>
        <w:rPr>
          <w:rFonts w:ascii="宋体" w:hAnsi="宋体" w:hint="eastAsia"/>
          <w:sz w:val="24"/>
          <w:szCs w:val="24"/>
        </w:rPr>
        <w:t>的小称量瓶称取0</w:t>
      </w:r>
      <w:r>
        <w:rPr>
          <w:rFonts w:ascii="宋体" w:hAnsi="宋体"/>
          <w:sz w:val="24"/>
          <w:szCs w:val="24"/>
        </w:rPr>
        <w:t>.5g</w:t>
      </w:r>
      <w:r>
        <w:rPr>
          <w:rFonts w:ascii="宋体" w:hAnsi="宋体" w:hint="eastAsia"/>
          <w:sz w:val="24"/>
          <w:szCs w:val="24"/>
        </w:rPr>
        <w:t>试样，精确到0</w:t>
      </w:r>
      <w:r>
        <w:rPr>
          <w:rFonts w:ascii="宋体" w:hAnsi="宋体"/>
          <w:sz w:val="24"/>
          <w:szCs w:val="24"/>
        </w:rPr>
        <w:t>.0001g</w:t>
      </w:r>
      <w:r>
        <w:rPr>
          <w:rFonts w:ascii="宋体" w:hAnsi="宋体" w:hint="eastAsia"/>
          <w:sz w:val="24"/>
          <w:szCs w:val="24"/>
        </w:rPr>
        <w:t>，将称量瓶和试样一起小心转移至盛有5</w:t>
      </w:r>
      <w:r>
        <w:rPr>
          <w:rFonts w:ascii="宋体" w:hAnsi="宋体"/>
          <w:sz w:val="24"/>
          <w:szCs w:val="24"/>
        </w:rPr>
        <w:t>0mL</w:t>
      </w:r>
      <w:r>
        <w:rPr>
          <w:rFonts w:ascii="宋体" w:hAnsi="宋体" w:hint="eastAsia"/>
          <w:sz w:val="24"/>
          <w:szCs w:val="24"/>
        </w:rPr>
        <w:t>水的2</w:t>
      </w:r>
      <w:r>
        <w:rPr>
          <w:rFonts w:ascii="宋体" w:hAnsi="宋体"/>
          <w:sz w:val="24"/>
          <w:szCs w:val="24"/>
        </w:rPr>
        <w:t>50mL</w:t>
      </w:r>
      <w:r>
        <w:rPr>
          <w:rFonts w:ascii="宋体" w:hAnsi="宋体" w:hint="eastAsia"/>
          <w:sz w:val="24"/>
          <w:szCs w:val="24"/>
        </w:rPr>
        <w:t>锥形瓶中，冷却至室温。向</w:t>
      </w:r>
      <w:r w:rsidR="00323847">
        <w:rPr>
          <w:rFonts w:ascii="宋体" w:hAnsi="宋体" w:hint="eastAsia"/>
          <w:sz w:val="24"/>
          <w:szCs w:val="24"/>
        </w:rPr>
        <w:t>试样中滴加2</w:t>
      </w:r>
      <w:r w:rsidR="00323847" w:rsidRPr="00323847">
        <w:rPr>
          <w:rFonts w:ascii="宋体" w:hAnsi="宋体" w:hint="eastAsia"/>
          <w:sz w:val="24"/>
          <w:szCs w:val="24"/>
        </w:rPr>
        <w:t>～</w:t>
      </w:r>
      <w:r w:rsidR="00323847">
        <w:rPr>
          <w:rFonts w:ascii="宋体" w:hAnsi="宋体" w:hint="eastAsia"/>
          <w:sz w:val="24"/>
          <w:szCs w:val="24"/>
        </w:rPr>
        <w:t>3滴</w:t>
      </w:r>
      <w:r w:rsidR="00323847" w:rsidRPr="00323847">
        <w:rPr>
          <w:rFonts w:ascii="宋体" w:hAnsi="宋体" w:hint="eastAsia"/>
          <w:sz w:val="24"/>
          <w:szCs w:val="24"/>
        </w:rPr>
        <w:t>甲基红-亚甲基蓝混合指示剂</w:t>
      </w:r>
      <w:r w:rsidR="00323847">
        <w:rPr>
          <w:rFonts w:ascii="宋体" w:hAnsi="宋体" w:hint="eastAsia"/>
          <w:sz w:val="24"/>
          <w:szCs w:val="24"/>
        </w:rPr>
        <w:t>（</w:t>
      </w:r>
      <w:r w:rsidR="00323847" w:rsidRPr="00323847">
        <w:rPr>
          <w:rFonts w:ascii="宋体" w:hAnsi="宋体"/>
          <w:sz w:val="24"/>
          <w:szCs w:val="24"/>
        </w:rPr>
        <w:t>2.5.2.2</w:t>
      </w:r>
      <w:r w:rsidR="00556080">
        <w:rPr>
          <w:rFonts w:ascii="宋体" w:hAnsi="宋体"/>
          <w:sz w:val="24"/>
          <w:szCs w:val="24"/>
        </w:rPr>
        <w:t xml:space="preserve"> </w:t>
      </w:r>
      <w:r w:rsidR="00556080">
        <w:rPr>
          <w:rFonts w:ascii="宋体" w:hAnsi="宋体" w:hint="eastAsia"/>
          <w:sz w:val="24"/>
          <w:szCs w:val="24"/>
        </w:rPr>
        <w:t>试剂</w:t>
      </w:r>
      <w:r w:rsidR="00323847">
        <w:rPr>
          <w:rFonts w:ascii="宋体" w:hAnsi="宋体" w:hint="eastAsia"/>
          <w:sz w:val="24"/>
          <w:szCs w:val="24"/>
        </w:rPr>
        <w:t>），用</w:t>
      </w:r>
      <w:r w:rsidR="00323847" w:rsidRPr="00323847">
        <w:rPr>
          <w:rFonts w:ascii="宋体" w:hAnsi="宋体" w:hint="eastAsia"/>
          <w:sz w:val="24"/>
          <w:szCs w:val="24"/>
        </w:rPr>
        <w:t>氢氧化钠标准滴定溶液</w:t>
      </w:r>
      <w:r w:rsidR="00323847">
        <w:rPr>
          <w:rFonts w:ascii="宋体" w:hAnsi="宋体" w:hint="eastAsia"/>
          <w:sz w:val="24"/>
          <w:szCs w:val="24"/>
        </w:rPr>
        <w:t>（</w:t>
      </w:r>
      <w:r w:rsidR="00323847" w:rsidRPr="00323847">
        <w:rPr>
          <w:rFonts w:ascii="宋体" w:hAnsi="宋体"/>
          <w:sz w:val="24"/>
          <w:szCs w:val="24"/>
        </w:rPr>
        <w:t>2.5.2.2</w:t>
      </w:r>
      <w:r w:rsidR="00556080">
        <w:rPr>
          <w:rFonts w:ascii="宋体" w:hAnsi="宋体"/>
          <w:sz w:val="24"/>
          <w:szCs w:val="24"/>
        </w:rPr>
        <w:t xml:space="preserve"> </w:t>
      </w:r>
      <w:r w:rsidR="00556080">
        <w:rPr>
          <w:rFonts w:ascii="宋体" w:hAnsi="宋体" w:hint="eastAsia"/>
          <w:sz w:val="24"/>
          <w:szCs w:val="24"/>
        </w:rPr>
        <w:t>试剂</w:t>
      </w:r>
      <w:r w:rsidR="00323847">
        <w:rPr>
          <w:rFonts w:ascii="宋体" w:hAnsi="宋体" w:hint="eastAsia"/>
          <w:sz w:val="24"/>
          <w:szCs w:val="24"/>
        </w:rPr>
        <w:t>）</w:t>
      </w:r>
      <w:r w:rsidR="00463AF3">
        <w:rPr>
          <w:rFonts w:ascii="宋体" w:hAnsi="宋体" w:hint="eastAsia"/>
          <w:sz w:val="24"/>
          <w:szCs w:val="24"/>
        </w:rPr>
        <w:t>滴定至溶液成灰绿色为滴定终点。</w:t>
      </w:r>
    </w:p>
    <w:p w14:paraId="57691CA7" w14:textId="632B5955" w:rsidR="00463AF3" w:rsidRDefault="00463AF3" w:rsidP="001A74EC">
      <w:pPr>
        <w:pStyle w:val="p0"/>
        <w:spacing w:line="360" w:lineRule="auto"/>
        <w:rPr>
          <w:rFonts w:ascii="宋体" w:hAnsi="宋体"/>
          <w:sz w:val="24"/>
          <w:szCs w:val="24"/>
        </w:rPr>
      </w:pPr>
      <w:r w:rsidRPr="00463AF3">
        <w:rPr>
          <w:rFonts w:ascii="宋体" w:hAnsi="宋体"/>
          <w:sz w:val="24"/>
          <w:szCs w:val="24"/>
        </w:rPr>
        <w:t>2.5.2.</w:t>
      </w:r>
      <w:r>
        <w:rPr>
          <w:rFonts w:ascii="宋体" w:hAnsi="宋体"/>
          <w:sz w:val="24"/>
          <w:szCs w:val="24"/>
        </w:rPr>
        <w:t xml:space="preserve">4 </w:t>
      </w:r>
      <w:r>
        <w:rPr>
          <w:rFonts w:ascii="宋体" w:hAnsi="宋体" w:hint="eastAsia"/>
          <w:sz w:val="24"/>
          <w:szCs w:val="24"/>
        </w:rPr>
        <w:t>结果计算</w:t>
      </w:r>
    </w:p>
    <w:p w14:paraId="110F00ED" w14:textId="27455CFA" w:rsidR="00463AF3" w:rsidRDefault="00463AF3" w:rsidP="001A74EC">
      <w:pPr>
        <w:pStyle w:val="p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浓硫酸中硫酸（H</w:t>
      </w:r>
      <w:r w:rsidRPr="00463AF3">
        <w:rPr>
          <w:rFonts w:ascii="宋体" w:hAnsi="宋体"/>
          <w:sz w:val="24"/>
          <w:szCs w:val="24"/>
          <w:vertAlign w:val="subscript"/>
        </w:rPr>
        <w:t>2</w:t>
      </w:r>
      <w:r>
        <w:rPr>
          <w:rFonts w:ascii="宋体" w:hAnsi="宋体"/>
          <w:sz w:val="24"/>
          <w:szCs w:val="24"/>
        </w:rPr>
        <w:t>SO</w:t>
      </w:r>
      <w:r w:rsidRPr="00463AF3">
        <w:rPr>
          <w:rFonts w:ascii="宋体" w:hAnsi="宋体"/>
          <w:sz w:val="24"/>
          <w:szCs w:val="24"/>
          <w:vertAlign w:val="subscript"/>
        </w:rPr>
        <w:t>4</w:t>
      </w:r>
      <w:r>
        <w:rPr>
          <w:rFonts w:ascii="宋体" w:hAnsi="宋体" w:hint="eastAsia"/>
          <w:sz w:val="24"/>
          <w:szCs w:val="24"/>
        </w:rPr>
        <w:t>）的质量分数</w:t>
      </w:r>
      <w:r w:rsidR="00D5677A">
        <w:rPr>
          <w:rFonts w:ascii="宋体" w:hAnsi="宋体"/>
          <w:sz w:val="24"/>
          <w:szCs w:val="24"/>
        </w:rPr>
        <w:t>w</w:t>
      </w:r>
      <w:r>
        <w:rPr>
          <w:rFonts w:ascii="宋体" w:hAnsi="宋体" w:hint="eastAsia"/>
          <w:sz w:val="24"/>
          <w:szCs w:val="24"/>
        </w:rPr>
        <w:t>按下式计算：</w:t>
      </w:r>
    </w:p>
    <w:p w14:paraId="10E06671" w14:textId="1D956BC8" w:rsidR="00463AF3" w:rsidRDefault="00D5677A" w:rsidP="001A74EC">
      <w:pPr>
        <w:pStyle w:val="p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w</w:t>
      </w:r>
      <w:r w:rsidR="00463AF3">
        <w:rPr>
          <w:rFonts w:ascii="宋体" w:hAnsi="宋体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VcM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2000m</m:t>
            </m:r>
          </m:den>
        </m:f>
      </m:oMath>
      <w:r w:rsidR="00463AF3" w:rsidRPr="00463AF3">
        <w:rPr>
          <w:rFonts w:ascii="宋体" w:hAnsi="宋体" w:hint="eastAsia"/>
          <w:sz w:val="24"/>
          <w:szCs w:val="24"/>
        </w:rPr>
        <w:t>×</w:t>
      </w:r>
      <w:r w:rsidR="00463AF3">
        <w:rPr>
          <w:rFonts w:ascii="宋体" w:hAnsi="宋体" w:hint="eastAsia"/>
          <w:sz w:val="24"/>
          <w:szCs w:val="24"/>
        </w:rPr>
        <w:t>1</w:t>
      </w:r>
      <w:r w:rsidR="00463AF3">
        <w:rPr>
          <w:rFonts w:ascii="宋体" w:hAnsi="宋体"/>
          <w:sz w:val="24"/>
          <w:szCs w:val="24"/>
        </w:rPr>
        <w:t>00</w:t>
      </w:r>
      <w:r w:rsidR="00463AF3">
        <w:rPr>
          <w:rFonts w:ascii="宋体" w:hAnsi="宋体" w:hint="eastAsia"/>
          <w:sz w:val="24"/>
          <w:szCs w:val="24"/>
        </w:rPr>
        <w:t>%</w:t>
      </w:r>
    </w:p>
    <w:p w14:paraId="70ED92C1" w14:textId="32634D0B" w:rsidR="00463AF3" w:rsidRDefault="00463AF3" w:rsidP="001A74EC">
      <w:pPr>
        <w:pStyle w:val="p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式中：</w:t>
      </w:r>
      <w:bookmarkStart w:id="3" w:name="_GoBack"/>
      <w:bookmarkEnd w:id="3"/>
    </w:p>
    <w:p w14:paraId="268F74F1" w14:textId="0C2BC3F0" w:rsidR="00463AF3" w:rsidRDefault="00463AF3" w:rsidP="001A74EC">
      <w:pPr>
        <w:pStyle w:val="p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V</w:t>
      </w:r>
      <w:r>
        <w:rPr>
          <w:rFonts w:ascii="宋体" w:hAnsi="宋体"/>
          <w:sz w:val="24"/>
          <w:szCs w:val="24"/>
        </w:rPr>
        <w:t>——</w:t>
      </w:r>
      <w:proofErr w:type="gramStart"/>
      <w:r>
        <w:rPr>
          <w:rFonts w:ascii="宋体" w:hAnsi="宋体"/>
          <w:sz w:val="24"/>
          <w:szCs w:val="24"/>
        </w:rPr>
        <w:t>——</w:t>
      </w:r>
      <w:proofErr w:type="gramEnd"/>
      <w:r>
        <w:rPr>
          <w:rFonts w:ascii="宋体" w:hAnsi="宋体" w:hint="eastAsia"/>
          <w:sz w:val="24"/>
          <w:szCs w:val="24"/>
        </w:rPr>
        <w:t>滴定时消耗的</w:t>
      </w:r>
      <w:r w:rsidRPr="00463AF3">
        <w:rPr>
          <w:rFonts w:ascii="宋体" w:hAnsi="宋体" w:hint="eastAsia"/>
          <w:sz w:val="24"/>
          <w:szCs w:val="24"/>
        </w:rPr>
        <w:t>氢氧化钠标准滴定溶液（2.5.2.2）</w:t>
      </w:r>
      <w:r>
        <w:rPr>
          <w:rFonts w:ascii="宋体" w:hAnsi="宋体" w:hint="eastAsia"/>
          <w:sz w:val="24"/>
          <w:szCs w:val="24"/>
        </w:rPr>
        <w:t>的体积，单位为</w:t>
      </w:r>
      <w:proofErr w:type="gramStart"/>
      <w:r>
        <w:rPr>
          <w:rFonts w:ascii="宋体" w:hAnsi="宋体" w:hint="eastAsia"/>
          <w:sz w:val="24"/>
          <w:szCs w:val="24"/>
        </w:rPr>
        <w:t>毫升(</w:t>
      </w:r>
      <w:proofErr w:type="gramEnd"/>
      <w:r>
        <w:rPr>
          <w:rFonts w:ascii="宋体" w:hAnsi="宋体" w:hint="eastAsia"/>
          <w:sz w:val="24"/>
          <w:szCs w:val="24"/>
        </w:rPr>
        <w:t>m</w:t>
      </w:r>
      <w:r>
        <w:rPr>
          <w:rFonts w:ascii="宋体" w:hAnsi="宋体"/>
          <w:sz w:val="24"/>
          <w:szCs w:val="24"/>
        </w:rPr>
        <w:t>L);</w:t>
      </w:r>
    </w:p>
    <w:p w14:paraId="06089872" w14:textId="5CA5D92C" w:rsidR="00463AF3" w:rsidRDefault="00463AF3" w:rsidP="001A74EC">
      <w:pPr>
        <w:pStyle w:val="p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c</w:t>
      </w:r>
      <w:r w:rsidRPr="00463AF3">
        <w:rPr>
          <w:rFonts w:ascii="宋体" w:hAnsi="宋体" w:hint="eastAsia"/>
          <w:sz w:val="24"/>
          <w:szCs w:val="24"/>
        </w:rPr>
        <w:t>——</w:t>
      </w:r>
      <w:proofErr w:type="gramStart"/>
      <w:r w:rsidRPr="00463AF3">
        <w:rPr>
          <w:rFonts w:ascii="宋体" w:hAnsi="宋体" w:hint="eastAsia"/>
          <w:sz w:val="24"/>
          <w:szCs w:val="24"/>
        </w:rPr>
        <w:t>——</w:t>
      </w:r>
      <w:proofErr w:type="gramEnd"/>
      <w:r w:rsidRPr="00463AF3">
        <w:rPr>
          <w:rFonts w:ascii="宋体" w:hAnsi="宋体" w:hint="eastAsia"/>
          <w:sz w:val="24"/>
          <w:szCs w:val="24"/>
        </w:rPr>
        <w:t>氢氧化钠标准滴定溶液</w:t>
      </w:r>
      <w:r>
        <w:rPr>
          <w:rFonts w:ascii="宋体" w:hAnsi="宋体" w:hint="eastAsia"/>
          <w:sz w:val="24"/>
          <w:szCs w:val="24"/>
        </w:rPr>
        <w:t>的浓度，</w:t>
      </w:r>
      <w:r w:rsidRPr="00463AF3">
        <w:rPr>
          <w:rFonts w:ascii="宋体" w:hAnsi="宋体" w:hint="eastAsia"/>
          <w:sz w:val="24"/>
          <w:szCs w:val="24"/>
        </w:rPr>
        <w:t>单位</w:t>
      </w:r>
      <w:proofErr w:type="gramStart"/>
      <w:r w:rsidRPr="00463AF3">
        <w:rPr>
          <w:rFonts w:ascii="宋体" w:hAnsi="宋体" w:hint="eastAsia"/>
          <w:sz w:val="24"/>
          <w:szCs w:val="24"/>
        </w:rPr>
        <w:t>为</w:t>
      </w:r>
      <w:r>
        <w:rPr>
          <w:rFonts w:ascii="宋体" w:hAnsi="宋体" w:hint="eastAsia"/>
          <w:sz w:val="24"/>
          <w:szCs w:val="24"/>
        </w:rPr>
        <w:t>克每摩尔</w:t>
      </w:r>
      <w:proofErr w:type="gramEnd"/>
      <w:r w:rsidRPr="00463AF3">
        <w:rPr>
          <w:rFonts w:ascii="宋体" w:hAnsi="宋体" w:hint="eastAsia"/>
          <w:sz w:val="24"/>
          <w:szCs w:val="24"/>
        </w:rPr>
        <w:t>(m</w:t>
      </w:r>
      <w:r>
        <w:rPr>
          <w:rFonts w:ascii="宋体" w:hAnsi="宋体"/>
          <w:sz w:val="24"/>
          <w:szCs w:val="24"/>
        </w:rPr>
        <w:t>ol</w:t>
      </w:r>
      <w:r w:rsidR="00556080">
        <w:rPr>
          <w:rFonts w:ascii="宋体" w:hAnsi="宋体"/>
          <w:sz w:val="24"/>
          <w:szCs w:val="24"/>
        </w:rPr>
        <w:t>/L</w:t>
      </w:r>
      <w:r w:rsidRPr="00463AF3">
        <w:rPr>
          <w:rFonts w:ascii="宋体" w:hAnsi="宋体" w:hint="eastAsia"/>
          <w:sz w:val="24"/>
          <w:szCs w:val="24"/>
        </w:rPr>
        <w:t>)</w:t>
      </w:r>
      <w:r>
        <w:rPr>
          <w:rFonts w:ascii="宋体" w:hAnsi="宋体"/>
          <w:sz w:val="24"/>
          <w:szCs w:val="24"/>
        </w:rPr>
        <w:t>;</w:t>
      </w:r>
    </w:p>
    <w:p w14:paraId="6E24F4C9" w14:textId="1E6C8A45" w:rsidR="00463AF3" w:rsidRDefault="00463AF3" w:rsidP="001A74EC">
      <w:pPr>
        <w:pStyle w:val="p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m</w:t>
      </w:r>
      <w:r w:rsidRPr="00463AF3">
        <w:rPr>
          <w:rFonts w:ascii="宋体" w:hAnsi="宋体" w:hint="eastAsia"/>
          <w:sz w:val="24"/>
          <w:szCs w:val="24"/>
        </w:rPr>
        <w:t>——</w:t>
      </w:r>
      <w:proofErr w:type="gramStart"/>
      <w:r w:rsidRPr="00463AF3">
        <w:rPr>
          <w:rFonts w:ascii="宋体" w:hAnsi="宋体" w:hint="eastAsia"/>
          <w:sz w:val="24"/>
          <w:szCs w:val="24"/>
        </w:rPr>
        <w:t>——</w:t>
      </w:r>
      <w:proofErr w:type="gramEnd"/>
      <w:r>
        <w:rPr>
          <w:rFonts w:ascii="宋体" w:hAnsi="宋体" w:hint="eastAsia"/>
          <w:sz w:val="24"/>
          <w:szCs w:val="24"/>
        </w:rPr>
        <w:t>试样的质量，单位为克（g）；</w:t>
      </w:r>
    </w:p>
    <w:p w14:paraId="512B160D" w14:textId="1607E60C" w:rsidR="00556080" w:rsidRDefault="00463AF3" w:rsidP="001A74EC">
      <w:pPr>
        <w:pStyle w:val="p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M</w:t>
      </w:r>
      <w:r w:rsidRPr="00463AF3">
        <w:rPr>
          <w:rFonts w:ascii="宋体" w:hAnsi="宋体" w:hint="eastAsia"/>
          <w:sz w:val="24"/>
          <w:szCs w:val="24"/>
        </w:rPr>
        <w:t>——</w:t>
      </w:r>
      <w:proofErr w:type="gramStart"/>
      <w:r w:rsidRPr="00463AF3">
        <w:rPr>
          <w:rFonts w:ascii="宋体" w:hAnsi="宋体" w:hint="eastAsia"/>
          <w:sz w:val="24"/>
          <w:szCs w:val="24"/>
        </w:rPr>
        <w:t>——</w:t>
      </w:r>
      <w:proofErr w:type="gramEnd"/>
      <w:r>
        <w:rPr>
          <w:rFonts w:ascii="宋体" w:hAnsi="宋体" w:hint="eastAsia"/>
          <w:sz w:val="24"/>
          <w:szCs w:val="24"/>
        </w:rPr>
        <w:t>硫酸的摩尔质量（M</w:t>
      </w:r>
      <w:r>
        <w:rPr>
          <w:rFonts w:ascii="宋体" w:hAnsi="宋体"/>
          <w:sz w:val="24"/>
          <w:szCs w:val="24"/>
        </w:rPr>
        <w:t>=98.08</w:t>
      </w:r>
      <w:r>
        <w:rPr>
          <w:rFonts w:ascii="宋体" w:hAnsi="宋体" w:hint="eastAsia"/>
          <w:sz w:val="24"/>
          <w:szCs w:val="24"/>
        </w:rPr>
        <w:t>），单位</w:t>
      </w:r>
      <w:proofErr w:type="gramStart"/>
      <w:r>
        <w:rPr>
          <w:rFonts w:ascii="宋体" w:hAnsi="宋体" w:hint="eastAsia"/>
          <w:sz w:val="24"/>
          <w:szCs w:val="24"/>
        </w:rPr>
        <w:t>为克每摩尔</w:t>
      </w:r>
      <w:proofErr w:type="gramEnd"/>
      <w:r w:rsidR="00556080">
        <w:rPr>
          <w:rFonts w:ascii="宋体" w:hAnsi="宋体" w:hint="eastAsia"/>
          <w:sz w:val="24"/>
          <w:szCs w:val="24"/>
        </w:rPr>
        <w:t>（</w:t>
      </w:r>
      <w:r w:rsidR="00556080" w:rsidRPr="00556080">
        <w:rPr>
          <w:rFonts w:ascii="宋体" w:hAnsi="宋体"/>
          <w:sz w:val="24"/>
          <w:szCs w:val="24"/>
        </w:rPr>
        <w:t>g/mol</w:t>
      </w:r>
      <w:r w:rsidR="00556080">
        <w:rPr>
          <w:rFonts w:ascii="宋体" w:hAnsi="宋体" w:hint="eastAsia"/>
          <w:sz w:val="24"/>
          <w:szCs w:val="24"/>
        </w:rPr>
        <w:t>）。</w:t>
      </w:r>
    </w:p>
    <w:p w14:paraId="0F9427C4" w14:textId="41C63C55" w:rsidR="00556080" w:rsidRPr="00463AF3" w:rsidRDefault="00556080" w:rsidP="001A74EC">
      <w:pPr>
        <w:pStyle w:val="p0"/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取平行测定结果的算术平均值为测定结果，平行测定结果的绝对值应不大于0</w:t>
      </w:r>
      <w:r>
        <w:rPr>
          <w:rFonts w:ascii="宋体" w:hAnsi="宋体"/>
          <w:sz w:val="24"/>
          <w:szCs w:val="24"/>
        </w:rPr>
        <w:t>.20</w:t>
      </w:r>
      <w:r>
        <w:rPr>
          <w:rFonts w:ascii="宋体" w:hAnsi="宋体" w:hint="eastAsia"/>
          <w:sz w:val="24"/>
          <w:szCs w:val="24"/>
        </w:rPr>
        <w:t>%。</w:t>
      </w:r>
    </w:p>
    <w:p w14:paraId="335D4234" w14:textId="1C75346E" w:rsidR="001A74EC" w:rsidRDefault="001A74EC" w:rsidP="001A74EC">
      <w:pPr>
        <w:pStyle w:val="p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2.5.3痕量阴离子含量测定</w:t>
      </w:r>
    </w:p>
    <w:p w14:paraId="1BC19AE9" w14:textId="77777777" w:rsidR="001A74EC" w:rsidRDefault="001A74EC" w:rsidP="001A74EC">
      <w:pPr>
        <w:pStyle w:val="p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按CNIA/T XXXX-201X的规定进行。</w:t>
      </w:r>
    </w:p>
    <w:p w14:paraId="6D60A433" w14:textId="77777777" w:rsidR="001A74EC" w:rsidRDefault="001A74EC" w:rsidP="001A74EC">
      <w:pPr>
        <w:pStyle w:val="p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2.5.4痕量阳离子含量测定</w:t>
      </w:r>
    </w:p>
    <w:p w14:paraId="2F882447" w14:textId="77777777" w:rsidR="001A74EC" w:rsidRDefault="001A74EC" w:rsidP="001A74EC">
      <w:pPr>
        <w:pStyle w:val="p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按CNIA/T XXXX-201X的规定进行。</w:t>
      </w:r>
    </w:p>
    <w:p w14:paraId="14E47310" w14:textId="77777777" w:rsidR="001A74EC" w:rsidRDefault="001A74EC" w:rsidP="001A74EC">
      <w:pPr>
        <w:pStyle w:val="p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2.5.5颗粒含量测定</w:t>
      </w:r>
    </w:p>
    <w:p w14:paraId="1B1EFA4A" w14:textId="77777777" w:rsidR="001A74EC" w:rsidRDefault="001A74EC" w:rsidP="001A74EC">
      <w:pPr>
        <w:pStyle w:val="p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按SJ/T 11638的规定进行。</w:t>
      </w:r>
    </w:p>
    <w:p w14:paraId="0E74BBAF" w14:textId="77777777" w:rsidR="001A74EC" w:rsidRDefault="001A74EC" w:rsidP="001A74EC">
      <w:pPr>
        <w:pStyle w:val="p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2.6检验规则</w:t>
      </w:r>
    </w:p>
    <w:p w14:paraId="2F50D109" w14:textId="77777777" w:rsidR="001A74EC" w:rsidRDefault="001A74EC" w:rsidP="001A74EC">
      <w:pPr>
        <w:pStyle w:val="p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2.6.1 本标准要求中规定的所有指标项目为出厂检验项目，应逐批检验。</w:t>
      </w:r>
    </w:p>
    <w:p w14:paraId="4A702368" w14:textId="3E8290E7" w:rsidR="001A74EC" w:rsidRDefault="001A74EC" w:rsidP="001A74EC">
      <w:pPr>
        <w:pStyle w:val="p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2.6.2 用相同材料，相同的生产条件，连续生产或同一班组生产的同一级别的电子工业用</w:t>
      </w:r>
      <w:r w:rsidR="00077681">
        <w:rPr>
          <w:rFonts w:ascii="宋体" w:hAnsi="宋体" w:hint="eastAsia"/>
          <w:sz w:val="24"/>
          <w:szCs w:val="24"/>
        </w:rPr>
        <w:t>硫</w:t>
      </w:r>
      <w:r>
        <w:rPr>
          <w:rFonts w:ascii="宋体" w:hAnsi="宋体" w:hint="eastAsia"/>
          <w:sz w:val="24"/>
          <w:szCs w:val="24"/>
        </w:rPr>
        <w:t>酸为一批。</w:t>
      </w:r>
    </w:p>
    <w:p w14:paraId="4B0B1E27" w14:textId="77777777" w:rsidR="001A74EC" w:rsidRDefault="001A74EC" w:rsidP="001A74EC">
      <w:pPr>
        <w:pStyle w:val="p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2.6.3 按照GB/T6678的规定进行采样。在洁净环境中使用专用的PFA塑料采样器进行采样，将采样器插至包装容器的中部和底部提取样品，所取样品不应小于200mL,混合均匀，装入两个洁净、干燥的塑料瓶中，密封保存。瓶上粘贴标签，注明：生产厂名，产品名称、批号、等级、采样日期和采样者姓名。一瓶用于检验，另一瓶保存备查，保留时间由生产厂家根据实际需要确定。</w:t>
      </w:r>
    </w:p>
    <w:p w14:paraId="0490A20D" w14:textId="6C89B5D0" w:rsidR="001A74EC" w:rsidRDefault="001A74EC" w:rsidP="001A74EC">
      <w:pPr>
        <w:pStyle w:val="p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2.6.4 使用单位按照本标准的规定对收到的电子工业用</w:t>
      </w:r>
      <w:r w:rsidR="00077681">
        <w:rPr>
          <w:rFonts w:ascii="宋体" w:hAnsi="宋体" w:hint="eastAsia"/>
          <w:sz w:val="24"/>
          <w:szCs w:val="24"/>
        </w:rPr>
        <w:t>硫</w:t>
      </w:r>
      <w:r>
        <w:rPr>
          <w:rFonts w:ascii="宋体" w:hAnsi="宋体" w:hint="eastAsia"/>
          <w:sz w:val="24"/>
          <w:szCs w:val="24"/>
        </w:rPr>
        <w:t>酸进行验收。验货应在货到之日算起的一周内进行。</w:t>
      </w:r>
    </w:p>
    <w:p w14:paraId="3BA58512" w14:textId="77777777" w:rsidR="001A74EC" w:rsidRDefault="001A74EC" w:rsidP="001A74EC">
      <w:pPr>
        <w:pStyle w:val="p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2.6.5 检验结果中如有指标不符合本标准要求时，应重新自包装物中采取两倍量样品进行复检，复检结果即使只有一项指标不符合本标准要求时，则整批产品为不合格。</w:t>
      </w:r>
    </w:p>
    <w:p w14:paraId="57EECDCB" w14:textId="77777777" w:rsidR="001A74EC" w:rsidRDefault="001A74EC" w:rsidP="001A74EC">
      <w:pPr>
        <w:pStyle w:val="p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2.7标志、包装、运输、贮存和质量证明书</w:t>
      </w:r>
    </w:p>
    <w:p w14:paraId="7F59BECE" w14:textId="77777777" w:rsidR="001A74EC" w:rsidRDefault="001A74EC" w:rsidP="001A74EC">
      <w:pPr>
        <w:pStyle w:val="p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2.7.1标志</w:t>
      </w:r>
    </w:p>
    <w:p w14:paraId="30F9F1C7" w14:textId="77777777" w:rsidR="001A74EC" w:rsidRDefault="001A74EC" w:rsidP="001A74EC">
      <w:pPr>
        <w:pStyle w:val="p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包装箱外侧应有“小心轻放”、“防潮”、本标准编号以及GB190规定的“毒性物质”标志、“腐蚀性物质”标志和GB/T191规定的“向上”标志、“怕晒”等牢固清晰的标志，并标明：</w:t>
      </w:r>
    </w:p>
    <w:p w14:paraId="7FBD2C64" w14:textId="77777777" w:rsidR="001A74EC" w:rsidRDefault="001A74EC" w:rsidP="001A74EC">
      <w:pPr>
        <w:pStyle w:val="p0"/>
        <w:numPr>
          <w:ilvl w:val="0"/>
          <w:numId w:val="2"/>
        </w:num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供方名称及地址；</w:t>
      </w:r>
    </w:p>
    <w:p w14:paraId="175CF503" w14:textId="77777777" w:rsidR="001A74EC" w:rsidRDefault="001A74EC" w:rsidP="001A74EC">
      <w:pPr>
        <w:pStyle w:val="p0"/>
        <w:numPr>
          <w:ilvl w:val="0"/>
          <w:numId w:val="2"/>
        </w:num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产品名称、牌号；</w:t>
      </w:r>
    </w:p>
    <w:p w14:paraId="64303128" w14:textId="77777777" w:rsidR="001A74EC" w:rsidRDefault="001A74EC" w:rsidP="001A74EC">
      <w:pPr>
        <w:pStyle w:val="p0"/>
        <w:numPr>
          <w:ilvl w:val="0"/>
          <w:numId w:val="2"/>
        </w:num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产品等级及生产批号或生产日期；</w:t>
      </w:r>
    </w:p>
    <w:p w14:paraId="27DAA6CC" w14:textId="77777777" w:rsidR="001A74EC" w:rsidRDefault="001A74EC" w:rsidP="001A74EC">
      <w:pPr>
        <w:pStyle w:val="p0"/>
        <w:numPr>
          <w:ilvl w:val="0"/>
          <w:numId w:val="2"/>
        </w:num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产品件数及重量（毛重/净重）。</w:t>
      </w:r>
    </w:p>
    <w:p w14:paraId="0A3D9CBB" w14:textId="77777777" w:rsidR="001A74EC" w:rsidRDefault="001A74EC" w:rsidP="001A74EC">
      <w:pPr>
        <w:pStyle w:val="p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2.7.2 包装</w:t>
      </w:r>
    </w:p>
    <w:p w14:paraId="78B26362" w14:textId="58FBEA4E" w:rsidR="001A74EC" w:rsidRDefault="001A74EC" w:rsidP="001A74EC">
      <w:pPr>
        <w:pStyle w:val="p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I级、II级和III级电子工业用高纯</w:t>
      </w:r>
      <w:r w:rsidR="00077681">
        <w:rPr>
          <w:rFonts w:ascii="宋体" w:hAnsi="宋体" w:hint="eastAsia"/>
          <w:sz w:val="24"/>
          <w:szCs w:val="24"/>
        </w:rPr>
        <w:t>硫</w:t>
      </w:r>
      <w:r>
        <w:rPr>
          <w:rFonts w:ascii="宋体" w:hAnsi="宋体" w:hint="eastAsia"/>
          <w:sz w:val="24"/>
          <w:szCs w:val="24"/>
        </w:rPr>
        <w:t>酸采用PFA塑料容器包装，PFA塑料桶的壁厚应大于3mm，薄厚均匀，并应具有符合规定的防老化和抗冻性能及抗压、抗刺、抗磨</w:t>
      </w:r>
      <w:r>
        <w:rPr>
          <w:rFonts w:ascii="宋体" w:hAnsi="宋体" w:hint="eastAsia"/>
          <w:sz w:val="24"/>
          <w:szCs w:val="24"/>
        </w:rPr>
        <w:lastRenderedPageBreak/>
        <w:t>功能。PFA塑料容器不应以回收塑料作为制造原料。容器口应为小开口，螺纹口、盖、垫圈等封口</w:t>
      </w:r>
      <w:proofErr w:type="gramStart"/>
      <w:r>
        <w:rPr>
          <w:rFonts w:ascii="宋体" w:hAnsi="宋体" w:hint="eastAsia"/>
          <w:sz w:val="24"/>
          <w:szCs w:val="24"/>
        </w:rPr>
        <w:t>件配套</w:t>
      </w:r>
      <w:proofErr w:type="gramEnd"/>
      <w:r>
        <w:rPr>
          <w:rFonts w:ascii="宋体" w:hAnsi="宋体" w:hint="eastAsia"/>
          <w:sz w:val="24"/>
          <w:szCs w:val="24"/>
        </w:rPr>
        <w:t>完好，</w:t>
      </w:r>
      <w:proofErr w:type="gramStart"/>
      <w:r>
        <w:rPr>
          <w:rFonts w:ascii="宋体" w:hAnsi="宋体" w:hint="eastAsia"/>
          <w:sz w:val="24"/>
          <w:szCs w:val="24"/>
        </w:rPr>
        <w:t>容器盖应牢固</w:t>
      </w:r>
      <w:proofErr w:type="gramEnd"/>
      <w:r>
        <w:rPr>
          <w:rFonts w:ascii="宋体" w:hAnsi="宋体" w:hint="eastAsia"/>
          <w:sz w:val="24"/>
          <w:szCs w:val="24"/>
        </w:rPr>
        <w:t>旋紧、密封不漏。每件净含量为200kg。IV级电子工业用高纯</w:t>
      </w:r>
      <w:r w:rsidR="00077681">
        <w:rPr>
          <w:rFonts w:ascii="宋体" w:hAnsi="宋体" w:hint="eastAsia"/>
          <w:sz w:val="24"/>
          <w:szCs w:val="24"/>
        </w:rPr>
        <w:t>硫</w:t>
      </w:r>
      <w:r>
        <w:rPr>
          <w:rFonts w:ascii="宋体" w:hAnsi="宋体" w:hint="eastAsia"/>
          <w:sz w:val="24"/>
          <w:szCs w:val="24"/>
        </w:rPr>
        <w:t>酸应用高</w:t>
      </w:r>
      <w:proofErr w:type="gramStart"/>
      <w:r>
        <w:rPr>
          <w:rFonts w:ascii="宋体" w:hAnsi="宋体" w:hint="eastAsia"/>
          <w:sz w:val="24"/>
          <w:szCs w:val="24"/>
        </w:rPr>
        <w:t>纯洁净</w:t>
      </w:r>
      <w:proofErr w:type="gramEnd"/>
      <w:r>
        <w:rPr>
          <w:rFonts w:ascii="宋体" w:hAnsi="宋体" w:hint="eastAsia"/>
          <w:sz w:val="24"/>
          <w:szCs w:val="24"/>
        </w:rPr>
        <w:t>PFA材质的塑料瓶包装，包装容器的体积为500mL或1000mL，塑料瓶壁厚均匀。容器口应为小开口，螺纹口、盖、垫圈等封口</w:t>
      </w:r>
      <w:proofErr w:type="gramStart"/>
      <w:r>
        <w:rPr>
          <w:rFonts w:ascii="宋体" w:hAnsi="宋体" w:hint="eastAsia"/>
          <w:sz w:val="24"/>
          <w:szCs w:val="24"/>
        </w:rPr>
        <w:t>件配套</w:t>
      </w:r>
      <w:proofErr w:type="gramEnd"/>
      <w:r>
        <w:rPr>
          <w:rFonts w:ascii="宋体" w:hAnsi="宋体" w:hint="eastAsia"/>
          <w:sz w:val="24"/>
          <w:szCs w:val="24"/>
        </w:rPr>
        <w:t>完好，</w:t>
      </w:r>
      <w:proofErr w:type="gramStart"/>
      <w:r>
        <w:rPr>
          <w:rFonts w:ascii="宋体" w:hAnsi="宋体" w:hint="eastAsia"/>
          <w:sz w:val="24"/>
          <w:szCs w:val="24"/>
        </w:rPr>
        <w:t>容器盖应牢固</w:t>
      </w:r>
      <w:proofErr w:type="gramEnd"/>
      <w:r>
        <w:rPr>
          <w:rFonts w:ascii="宋体" w:hAnsi="宋体" w:hint="eastAsia"/>
          <w:sz w:val="24"/>
          <w:szCs w:val="24"/>
        </w:rPr>
        <w:t>旋紧、密封不漏,每瓶应用相同规格塑料袋密封，装入包装箱，箱体内应填满塑料泡沫防止包装</w:t>
      </w:r>
      <w:proofErr w:type="gramStart"/>
      <w:r>
        <w:rPr>
          <w:rFonts w:ascii="宋体" w:hAnsi="宋体" w:hint="eastAsia"/>
          <w:sz w:val="24"/>
          <w:szCs w:val="24"/>
        </w:rPr>
        <w:t>瓶相互</w:t>
      </w:r>
      <w:proofErr w:type="gramEnd"/>
      <w:r>
        <w:rPr>
          <w:rFonts w:ascii="宋体" w:hAnsi="宋体" w:hint="eastAsia"/>
          <w:sz w:val="24"/>
          <w:szCs w:val="24"/>
        </w:rPr>
        <w:t>摩擦及外部挤压导致硝酸泄露。并将质量证明书及安全说明书和技术说明书一并放入包装箱内。</w:t>
      </w:r>
    </w:p>
    <w:p w14:paraId="6E9BA24E" w14:textId="77777777" w:rsidR="001A74EC" w:rsidRDefault="001A74EC" w:rsidP="001A74EC">
      <w:pPr>
        <w:pStyle w:val="p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2.7.3 运输、贮存</w:t>
      </w:r>
    </w:p>
    <w:p w14:paraId="63AE8657" w14:textId="0AEBDF26" w:rsidR="001A74EC" w:rsidRDefault="001A74EC" w:rsidP="001A74EC">
      <w:pPr>
        <w:pStyle w:val="p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2.7.3.1电子工业用</w:t>
      </w:r>
      <w:r w:rsidR="00077681">
        <w:rPr>
          <w:rFonts w:ascii="宋体" w:hAnsi="宋体" w:hint="eastAsia"/>
          <w:sz w:val="24"/>
          <w:szCs w:val="24"/>
        </w:rPr>
        <w:t>硫</w:t>
      </w:r>
      <w:r>
        <w:rPr>
          <w:rFonts w:ascii="宋体" w:hAnsi="宋体" w:hint="eastAsia"/>
          <w:sz w:val="24"/>
          <w:szCs w:val="24"/>
        </w:rPr>
        <w:t>酸的运输过程中应有遮盖物、防止日晒、雨淋。运输过程中要确保容器不泄露，不倒塌、</w:t>
      </w:r>
      <w:proofErr w:type="gramStart"/>
      <w:r>
        <w:rPr>
          <w:rFonts w:ascii="宋体" w:hAnsi="宋体" w:hint="eastAsia"/>
          <w:sz w:val="24"/>
          <w:szCs w:val="24"/>
        </w:rPr>
        <w:t>不</w:t>
      </w:r>
      <w:proofErr w:type="gramEnd"/>
      <w:r>
        <w:rPr>
          <w:rFonts w:ascii="宋体" w:hAnsi="宋体" w:hint="eastAsia"/>
          <w:sz w:val="24"/>
          <w:szCs w:val="24"/>
        </w:rPr>
        <w:t>坠落、不损坏。严禁与碱类、活性金属粉末、金属制品等混装混运。运输时运输车辆应配备泄露应急处理设备。搬运时轻装轻卸，防止包装及容器损坏。</w:t>
      </w:r>
    </w:p>
    <w:p w14:paraId="3964A91F" w14:textId="41F2D6D7" w:rsidR="001A74EC" w:rsidRDefault="001A74EC" w:rsidP="001A74EC">
      <w:pPr>
        <w:pStyle w:val="p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2.7.3.2 电子工业用</w:t>
      </w:r>
      <w:r w:rsidR="00077681">
        <w:rPr>
          <w:rFonts w:ascii="宋体" w:hAnsi="宋体" w:hint="eastAsia"/>
          <w:sz w:val="24"/>
          <w:szCs w:val="24"/>
        </w:rPr>
        <w:t>硫</w:t>
      </w:r>
      <w:r>
        <w:rPr>
          <w:rFonts w:ascii="宋体" w:hAnsi="宋体" w:hint="eastAsia"/>
          <w:sz w:val="24"/>
          <w:szCs w:val="24"/>
        </w:rPr>
        <w:t>酸应贮存于通风良好的库房里，防止日晒，雨淋。应与碱类、活性金属粉末、金属制品分开存放，切记混贮。</w:t>
      </w:r>
      <w:proofErr w:type="gramStart"/>
      <w:r>
        <w:rPr>
          <w:rFonts w:ascii="宋体" w:hAnsi="宋体" w:hint="eastAsia"/>
          <w:sz w:val="24"/>
          <w:szCs w:val="24"/>
        </w:rPr>
        <w:t>贮存区</w:t>
      </w:r>
      <w:proofErr w:type="gramEnd"/>
      <w:r>
        <w:rPr>
          <w:rFonts w:ascii="宋体" w:hAnsi="宋体" w:hint="eastAsia"/>
          <w:sz w:val="24"/>
          <w:szCs w:val="24"/>
        </w:rPr>
        <w:t>应备有泄露应急处理设备和合适的收容材料。</w:t>
      </w:r>
    </w:p>
    <w:p w14:paraId="65B8EB38" w14:textId="77777777" w:rsidR="001A74EC" w:rsidRDefault="001A74EC" w:rsidP="001A74EC">
      <w:pPr>
        <w:pStyle w:val="p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2.7.4 质量证明书</w:t>
      </w:r>
    </w:p>
    <w:p w14:paraId="02249ED6" w14:textId="77777777" w:rsidR="001A74EC" w:rsidRDefault="001A74EC" w:rsidP="001A74EC">
      <w:pPr>
        <w:pStyle w:val="p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每批产品应有质量证明书，其上写明：</w:t>
      </w:r>
    </w:p>
    <w:p w14:paraId="51EE22E6" w14:textId="77777777" w:rsidR="001A74EC" w:rsidRDefault="001A74EC" w:rsidP="001A74EC">
      <w:pPr>
        <w:pStyle w:val="p0"/>
        <w:numPr>
          <w:ilvl w:val="0"/>
          <w:numId w:val="3"/>
        </w:num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供方名称；</w:t>
      </w:r>
    </w:p>
    <w:p w14:paraId="37BDC360" w14:textId="77777777" w:rsidR="001A74EC" w:rsidRDefault="001A74EC" w:rsidP="001A74EC">
      <w:pPr>
        <w:pStyle w:val="p0"/>
        <w:numPr>
          <w:ilvl w:val="0"/>
          <w:numId w:val="3"/>
        </w:num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产品名称及规格、牌号；</w:t>
      </w:r>
    </w:p>
    <w:p w14:paraId="05FD00FC" w14:textId="77777777" w:rsidR="001A74EC" w:rsidRDefault="001A74EC" w:rsidP="001A74EC">
      <w:pPr>
        <w:pStyle w:val="p0"/>
        <w:numPr>
          <w:ilvl w:val="0"/>
          <w:numId w:val="3"/>
        </w:num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产品批号；</w:t>
      </w:r>
    </w:p>
    <w:p w14:paraId="561B857C" w14:textId="77777777" w:rsidR="001A74EC" w:rsidRDefault="001A74EC" w:rsidP="001A74EC">
      <w:pPr>
        <w:pStyle w:val="p0"/>
        <w:numPr>
          <w:ilvl w:val="0"/>
          <w:numId w:val="3"/>
        </w:num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产品净重及数量；</w:t>
      </w:r>
    </w:p>
    <w:p w14:paraId="78DCB9E3" w14:textId="77777777" w:rsidR="001A74EC" w:rsidRDefault="001A74EC" w:rsidP="001A74EC">
      <w:pPr>
        <w:pStyle w:val="p0"/>
        <w:numPr>
          <w:ilvl w:val="0"/>
          <w:numId w:val="3"/>
        </w:num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各项分析检验结果和检验部门的印记；</w:t>
      </w:r>
    </w:p>
    <w:p w14:paraId="46D4437C" w14:textId="77777777" w:rsidR="001A74EC" w:rsidRDefault="001A74EC" w:rsidP="001A74EC">
      <w:pPr>
        <w:pStyle w:val="p0"/>
        <w:numPr>
          <w:ilvl w:val="0"/>
          <w:numId w:val="3"/>
        </w:num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本标准编号；</w:t>
      </w:r>
    </w:p>
    <w:p w14:paraId="582DB600" w14:textId="77777777" w:rsidR="001A74EC" w:rsidRDefault="001A74EC" w:rsidP="001A74EC">
      <w:pPr>
        <w:pStyle w:val="p0"/>
        <w:numPr>
          <w:ilvl w:val="0"/>
          <w:numId w:val="3"/>
        </w:num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出厂日期。</w:t>
      </w:r>
    </w:p>
    <w:p w14:paraId="6CAC028D" w14:textId="77777777" w:rsidR="001A74EC" w:rsidRDefault="001A74EC" w:rsidP="001A74EC">
      <w:pPr>
        <w:pStyle w:val="p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2.8 订货单（或合同）内容</w:t>
      </w:r>
    </w:p>
    <w:p w14:paraId="1DEAD249" w14:textId="77777777" w:rsidR="001A74EC" w:rsidRDefault="001A74EC" w:rsidP="001A74EC">
      <w:pPr>
        <w:pStyle w:val="p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订购本标准所列产品的订货单（或合同）应包含下列内容：</w:t>
      </w:r>
    </w:p>
    <w:p w14:paraId="5492061F" w14:textId="77777777" w:rsidR="001A74EC" w:rsidRDefault="001A74EC" w:rsidP="001A74EC">
      <w:pPr>
        <w:pStyle w:val="p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a）产品名称；</w:t>
      </w:r>
    </w:p>
    <w:p w14:paraId="0101B7AB" w14:textId="77777777" w:rsidR="001A74EC" w:rsidRDefault="001A74EC" w:rsidP="001A74EC">
      <w:pPr>
        <w:pStyle w:val="p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b）产品规格及要求；</w:t>
      </w:r>
    </w:p>
    <w:p w14:paraId="39EFDDE2" w14:textId="77777777" w:rsidR="001A74EC" w:rsidRDefault="001A74EC" w:rsidP="001A74EC">
      <w:pPr>
        <w:pStyle w:val="p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c) 数量；</w:t>
      </w:r>
    </w:p>
    <w:p w14:paraId="421FFADF" w14:textId="77777777" w:rsidR="001A74EC" w:rsidRDefault="001A74EC" w:rsidP="001A74EC">
      <w:pPr>
        <w:pStyle w:val="p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d）本标准编号；</w:t>
      </w:r>
    </w:p>
    <w:p w14:paraId="5FE82529" w14:textId="77777777" w:rsidR="001A74EC" w:rsidRDefault="001A74EC" w:rsidP="001A74EC">
      <w:pPr>
        <w:pStyle w:val="p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     e）供需双方协商确定的其他要求。</w:t>
      </w:r>
    </w:p>
    <w:p w14:paraId="67E6822A" w14:textId="77777777" w:rsidR="001A74EC" w:rsidRDefault="001A74EC" w:rsidP="001A74EC">
      <w:pPr>
        <w:pStyle w:val="p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2.9安全</w:t>
      </w:r>
    </w:p>
    <w:p w14:paraId="111C7128" w14:textId="63797733" w:rsidR="001A74EC" w:rsidRDefault="001A74EC" w:rsidP="001A74EC">
      <w:pPr>
        <w:pStyle w:val="p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2.9.1</w:t>
      </w:r>
      <w:r w:rsidR="00077681">
        <w:rPr>
          <w:rFonts w:ascii="宋体" w:hAnsi="宋体" w:hint="eastAsia"/>
          <w:sz w:val="24"/>
          <w:szCs w:val="24"/>
        </w:rPr>
        <w:t>硫</w:t>
      </w:r>
      <w:r>
        <w:rPr>
          <w:rFonts w:ascii="宋体" w:hAnsi="宋体" w:hint="eastAsia"/>
          <w:sz w:val="24"/>
          <w:szCs w:val="24"/>
        </w:rPr>
        <w:t>酸是腐蚀性溶液，其</w:t>
      </w:r>
      <w:proofErr w:type="gramStart"/>
      <w:r>
        <w:rPr>
          <w:rFonts w:ascii="宋体" w:hAnsi="宋体" w:hint="eastAsia"/>
          <w:sz w:val="24"/>
          <w:szCs w:val="24"/>
        </w:rPr>
        <w:t>蒸气</w:t>
      </w:r>
      <w:proofErr w:type="gramEnd"/>
      <w:r>
        <w:rPr>
          <w:rFonts w:ascii="宋体" w:hAnsi="宋体" w:hint="eastAsia"/>
          <w:sz w:val="24"/>
          <w:szCs w:val="24"/>
        </w:rPr>
        <w:t>有刺激性并有毒，对皮肤和眼睛有强烈腐蚀作用，能产生严重的灼伤。工作场所应配备安全淋浴和洗眼设备。</w:t>
      </w:r>
    </w:p>
    <w:p w14:paraId="0B2DD497" w14:textId="77777777" w:rsidR="001A74EC" w:rsidRDefault="001A74EC" w:rsidP="001A74EC">
      <w:pPr>
        <w:pStyle w:val="p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2.9.2取用时必须在通风良好的场所或通风橱内进行。操作人员应穿戴</w:t>
      </w:r>
      <w:proofErr w:type="gramStart"/>
      <w:r>
        <w:rPr>
          <w:rFonts w:ascii="宋体" w:hAnsi="宋体" w:hint="eastAsia"/>
          <w:sz w:val="24"/>
          <w:szCs w:val="24"/>
        </w:rPr>
        <w:t>好大小</w:t>
      </w:r>
      <w:proofErr w:type="gramEnd"/>
      <w:r>
        <w:rPr>
          <w:rFonts w:ascii="宋体" w:hAnsi="宋体" w:hint="eastAsia"/>
          <w:sz w:val="24"/>
          <w:szCs w:val="24"/>
        </w:rPr>
        <w:t>合适的防护用具。</w:t>
      </w:r>
    </w:p>
    <w:p w14:paraId="78415C26" w14:textId="77777777" w:rsidR="001A74EC" w:rsidRDefault="001A74EC" w:rsidP="001A74EC">
      <w:pPr>
        <w:pStyle w:val="p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三、标准水平分析</w:t>
      </w:r>
    </w:p>
    <w:p w14:paraId="7E791FF4" w14:textId="0D34F46B" w:rsidR="001A74EC" w:rsidRDefault="001A74EC" w:rsidP="001A74EC">
      <w:pPr>
        <w:pStyle w:val="p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szCs w:val="24"/>
        </w:rPr>
        <w:t xml:space="preserve"> 通过文献检索，网上查询，国内还没有专门针对</w:t>
      </w:r>
      <w:r>
        <w:rPr>
          <w:rFonts w:ascii="宋体" w:hAnsi="宋体" w:hint="eastAsia"/>
          <w:sz w:val="24"/>
        </w:rPr>
        <w:t>用于集成电路产业用《电子工业用高纯</w:t>
      </w:r>
      <w:r w:rsidR="00077681">
        <w:rPr>
          <w:rFonts w:ascii="宋体" w:hAnsi="宋体" w:hint="eastAsia"/>
          <w:sz w:val="24"/>
        </w:rPr>
        <w:t>硫</w:t>
      </w:r>
      <w:r>
        <w:rPr>
          <w:rFonts w:ascii="宋体" w:hAnsi="宋体" w:hint="eastAsia"/>
          <w:sz w:val="24"/>
        </w:rPr>
        <w:t>酸》标准。</w:t>
      </w:r>
    </w:p>
    <w:p w14:paraId="07CBC11D" w14:textId="77777777" w:rsidR="001A74EC" w:rsidRDefault="001A74EC" w:rsidP="001A74EC">
      <w:pPr>
        <w:pStyle w:val="p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  与现行相关法律、法规、规章及相关标准，特别是强制性标准的协调性</w:t>
      </w:r>
    </w:p>
    <w:p w14:paraId="2EBC378C" w14:textId="3B32A79E" w:rsidR="001A74EC" w:rsidRDefault="001A74EC" w:rsidP="001A74EC">
      <w:pPr>
        <w:pStyle w:val="p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本标准属于高纯</w:t>
      </w:r>
      <w:r w:rsidR="00077681">
        <w:rPr>
          <w:rFonts w:ascii="宋体" w:hAnsi="宋体" w:hint="eastAsia"/>
          <w:sz w:val="24"/>
          <w:szCs w:val="24"/>
        </w:rPr>
        <w:t>硫</w:t>
      </w:r>
      <w:r>
        <w:rPr>
          <w:rFonts w:ascii="宋体" w:hAnsi="宋体" w:hint="eastAsia"/>
          <w:sz w:val="24"/>
          <w:szCs w:val="24"/>
        </w:rPr>
        <w:t>酸</w:t>
      </w:r>
      <w:r>
        <w:rPr>
          <w:rFonts w:ascii="宋体" w:hAnsi="宋体" w:hint="eastAsia"/>
          <w:sz w:val="24"/>
        </w:rPr>
        <w:t>产品</w:t>
      </w:r>
      <w:r>
        <w:rPr>
          <w:rFonts w:ascii="宋体" w:hAnsi="宋体" w:hint="eastAsia"/>
          <w:sz w:val="24"/>
          <w:szCs w:val="24"/>
        </w:rPr>
        <w:t>标准，与现行法律、法规和相关标准相协调、无冲突。本标准属于首次制定标准。</w:t>
      </w:r>
    </w:p>
    <w:p w14:paraId="05ABD0AD" w14:textId="77777777" w:rsidR="001A74EC" w:rsidRDefault="001A74EC" w:rsidP="001A74EC">
      <w:pPr>
        <w:pStyle w:val="p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  重大分歧意见的处理经过和依据</w:t>
      </w:r>
    </w:p>
    <w:p w14:paraId="2B713605" w14:textId="77777777" w:rsidR="001A74EC" w:rsidRDefault="001A74EC" w:rsidP="001A74EC">
      <w:pPr>
        <w:pStyle w:val="p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编制组根据起草前确定的编制原则进行了标准起草，标准起草小组前期进行了充分的准备和调研，并做了大量调查论证、信息分析和实验工作，在主要技术内容上，行业内取得了较为一致的意见，标准起草过程中未发生重大分歧意见。</w:t>
      </w:r>
    </w:p>
    <w:p w14:paraId="313227FF" w14:textId="77777777" w:rsidR="001A74EC" w:rsidRDefault="001A74EC" w:rsidP="001A74EC">
      <w:pPr>
        <w:pStyle w:val="p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六、标准作为强制性标准或推荐性标的建议及其理由</w:t>
      </w:r>
    </w:p>
    <w:p w14:paraId="6C3534BB" w14:textId="1C644C1F" w:rsidR="001A74EC" w:rsidRDefault="001A74EC" w:rsidP="001A74EC">
      <w:pPr>
        <w:pStyle w:val="p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标准为高纯</w:t>
      </w:r>
      <w:r w:rsidR="00077681">
        <w:rPr>
          <w:rFonts w:ascii="宋体" w:hAnsi="宋体" w:hint="eastAsia"/>
          <w:sz w:val="24"/>
          <w:szCs w:val="24"/>
        </w:rPr>
        <w:t>硫</w:t>
      </w:r>
      <w:r>
        <w:rPr>
          <w:rFonts w:ascii="宋体" w:hAnsi="宋体" w:hint="eastAsia"/>
          <w:sz w:val="24"/>
          <w:szCs w:val="24"/>
        </w:rPr>
        <w:t>酸</w:t>
      </w:r>
      <w:r>
        <w:rPr>
          <w:rFonts w:ascii="宋体" w:hAnsi="宋体" w:hint="eastAsia"/>
          <w:sz w:val="24"/>
        </w:rPr>
        <w:t>产品</w:t>
      </w:r>
      <w:r>
        <w:rPr>
          <w:rFonts w:ascii="宋体" w:hAnsi="宋体" w:hint="eastAsia"/>
          <w:sz w:val="24"/>
          <w:szCs w:val="24"/>
        </w:rPr>
        <w:t>标准，适用于</w:t>
      </w:r>
      <w:r w:rsidR="00077681">
        <w:rPr>
          <w:rFonts w:ascii="宋体" w:hAnsi="宋体" w:hint="eastAsia"/>
          <w:sz w:val="24"/>
          <w:szCs w:val="24"/>
        </w:rPr>
        <w:t>硫</w:t>
      </w:r>
      <w:r>
        <w:rPr>
          <w:rFonts w:ascii="宋体" w:hAnsi="宋体" w:hint="eastAsia"/>
          <w:sz w:val="24"/>
          <w:szCs w:val="24"/>
        </w:rPr>
        <w:t>酸</w:t>
      </w:r>
      <w:r>
        <w:rPr>
          <w:rFonts w:ascii="宋体" w:hAnsi="宋体" w:hint="eastAsia"/>
          <w:sz w:val="24"/>
        </w:rPr>
        <w:t>生产运输过程中</w:t>
      </w:r>
      <w:r>
        <w:rPr>
          <w:rFonts w:ascii="宋体" w:hAnsi="宋体" w:hint="eastAsia"/>
          <w:sz w:val="24"/>
          <w:szCs w:val="24"/>
        </w:rPr>
        <w:t>的一般性通用要求，建议本标准作为推荐</w:t>
      </w:r>
      <w:proofErr w:type="gramStart"/>
      <w:r>
        <w:rPr>
          <w:rFonts w:ascii="宋体" w:hAnsi="宋体" w:hint="eastAsia"/>
          <w:sz w:val="24"/>
          <w:szCs w:val="24"/>
        </w:rPr>
        <w:t>性协会</w:t>
      </w:r>
      <w:proofErr w:type="gramEnd"/>
      <w:r>
        <w:rPr>
          <w:rFonts w:ascii="宋体" w:hAnsi="宋体" w:hint="eastAsia"/>
          <w:sz w:val="24"/>
          <w:szCs w:val="24"/>
        </w:rPr>
        <w:t>标准发布实施</w:t>
      </w:r>
    </w:p>
    <w:p w14:paraId="5034D4A1" w14:textId="77777777" w:rsidR="001A74EC" w:rsidRDefault="001A74EC" w:rsidP="001A74EC">
      <w:pPr>
        <w:pStyle w:val="p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七、贯彻标准的要求和措施建议（包括组织措施、技术措施、过渡办法等内容）</w:t>
      </w:r>
    </w:p>
    <w:p w14:paraId="15CE1782" w14:textId="4FDB68D6" w:rsidR="001A74EC" w:rsidRDefault="001A74EC" w:rsidP="001A74EC">
      <w:pPr>
        <w:pStyle w:val="p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本标准为集成电路产业用高纯</w:t>
      </w:r>
      <w:r w:rsidR="00077681">
        <w:rPr>
          <w:rFonts w:ascii="宋体" w:hAnsi="宋体" w:hint="eastAsia"/>
          <w:sz w:val="24"/>
          <w:szCs w:val="24"/>
        </w:rPr>
        <w:t>硫</w:t>
      </w:r>
      <w:r>
        <w:rPr>
          <w:rFonts w:ascii="宋体" w:hAnsi="宋体" w:hint="eastAsia"/>
          <w:sz w:val="24"/>
          <w:szCs w:val="24"/>
        </w:rPr>
        <w:t>酸产品标准之一，为使标准能更好地发挥作用，提高生产高纯</w:t>
      </w:r>
      <w:r w:rsidR="00077681">
        <w:rPr>
          <w:rFonts w:ascii="宋体" w:hAnsi="宋体" w:hint="eastAsia"/>
          <w:sz w:val="24"/>
          <w:szCs w:val="24"/>
        </w:rPr>
        <w:t>硫</w:t>
      </w:r>
      <w:r>
        <w:rPr>
          <w:rFonts w:ascii="宋体" w:hAnsi="宋体" w:hint="eastAsia"/>
          <w:sz w:val="24"/>
          <w:szCs w:val="24"/>
        </w:rPr>
        <w:t>酸企业的产品质量水平。建议针对标准</w:t>
      </w:r>
      <w:r>
        <w:rPr>
          <w:rFonts w:ascii="宋体" w:hAnsi="宋体" w:hint="eastAsia"/>
          <w:sz w:val="24"/>
        </w:rPr>
        <w:t>《电子工业用高纯</w:t>
      </w:r>
      <w:r w:rsidR="00077681">
        <w:rPr>
          <w:rFonts w:ascii="宋体" w:hAnsi="宋体" w:hint="eastAsia"/>
          <w:sz w:val="24"/>
        </w:rPr>
        <w:t>硫</w:t>
      </w:r>
      <w:r>
        <w:rPr>
          <w:rFonts w:ascii="宋体" w:hAnsi="宋体" w:hint="eastAsia"/>
          <w:sz w:val="24"/>
        </w:rPr>
        <w:t>酸》</w:t>
      </w:r>
      <w:r>
        <w:rPr>
          <w:rFonts w:ascii="宋体" w:hAnsi="宋体" w:hint="eastAsia"/>
          <w:sz w:val="24"/>
          <w:szCs w:val="24"/>
        </w:rPr>
        <w:t>制定切实可行的贯彻措施，使各相关单位及生产厂家充分掌握标准中所规定的分级标准，让标准在高纯</w:t>
      </w:r>
      <w:r w:rsidR="00077681">
        <w:rPr>
          <w:rFonts w:ascii="宋体" w:hAnsi="宋体" w:hint="eastAsia"/>
          <w:sz w:val="24"/>
          <w:szCs w:val="24"/>
        </w:rPr>
        <w:t>硫</w:t>
      </w:r>
      <w:r>
        <w:rPr>
          <w:rFonts w:ascii="宋体" w:hAnsi="宋体" w:hint="eastAsia"/>
          <w:sz w:val="24"/>
          <w:szCs w:val="24"/>
        </w:rPr>
        <w:t>酸的生产和应用过程中得以广泛推广。同时，对标准执行情况进行跟踪调查，及时发现标准执行中的问题，不断修改完善，提升标准水平，提高标准的科学性、合理性、协调性和可操作性。</w:t>
      </w:r>
    </w:p>
    <w:p w14:paraId="1E6882BD" w14:textId="77777777" w:rsidR="001A74EC" w:rsidRDefault="001A74EC" w:rsidP="001A74EC">
      <w:pPr>
        <w:pStyle w:val="p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八、代替或废止现行有关标准的建议</w:t>
      </w:r>
    </w:p>
    <w:p w14:paraId="2A6C3C17" w14:textId="61F0E9AD" w:rsidR="001A74EC" w:rsidRDefault="001A74EC" w:rsidP="001A74EC">
      <w:pPr>
        <w:pStyle w:val="p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电子级多晶硅生产中，高纯</w:t>
      </w:r>
      <w:r w:rsidR="00077681">
        <w:rPr>
          <w:rFonts w:ascii="宋体" w:hAnsi="宋体" w:hint="eastAsia"/>
          <w:sz w:val="24"/>
          <w:szCs w:val="24"/>
        </w:rPr>
        <w:t>硫</w:t>
      </w:r>
      <w:r>
        <w:rPr>
          <w:rFonts w:ascii="宋体" w:hAnsi="宋体" w:hint="eastAsia"/>
          <w:sz w:val="24"/>
          <w:szCs w:val="24"/>
        </w:rPr>
        <w:t>酸</w:t>
      </w:r>
      <w:proofErr w:type="gramStart"/>
      <w:r>
        <w:rPr>
          <w:rFonts w:ascii="宋体" w:hAnsi="宋体" w:hint="eastAsia"/>
          <w:sz w:val="24"/>
          <w:szCs w:val="24"/>
        </w:rPr>
        <w:t>做为</w:t>
      </w:r>
      <w:proofErr w:type="gramEnd"/>
      <w:r>
        <w:rPr>
          <w:rFonts w:ascii="宋体" w:hAnsi="宋体" w:hint="eastAsia"/>
          <w:sz w:val="24"/>
          <w:szCs w:val="24"/>
        </w:rPr>
        <w:t>一项重要的材料，其产品质量对电子级多晶硅的品质有重要的影响。该标准的制定，有利于生产单位对质量的管控，对保证行业内电子级多晶硅产品质量具有重要的作用。本标准的发布和实施能有效的规范电子级多</w:t>
      </w:r>
      <w:r>
        <w:rPr>
          <w:rFonts w:ascii="宋体" w:hAnsi="宋体" w:hint="eastAsia"/>
          <w:sz w:val="24"/>
          <w:szCs w:val="24"/>
        </w:rPr>
        <w:lastRenderedPageBreak/>
        <w:t>晶硅生产单位对高纯</w:t>
      </w:r>
      <w:r w:rsidR="00077681">
        <w:rPr>
          <w:rFonts w:ascii="宋体" w:hAnsi="宋体" w:hint="eastAsia"/>
          <w:sz w:val="24"/>
          <w:szCs w:val="24"/>
        </w:rPr>
        <w:t>硫</w:t>
      </w:r>
      <w:r>
        <w:rPr>
          <w:rFonts w:ascii="宋体" w:hAnsi="宋体" w:hint="eastAsia"/>
          <w:sz w:val="24"/>
          <w:szCs w:val="24"/>
        </w:rPr>
        <w:t>酸质量的把控，这对于提高我国电子级多晶硅的产品质量有深远的意义。</w:t>
      </w:r>
    </w:p>
    <w:p w14:paraId="154A1760" w14:textId="77777777" w:rsidR="001A74EC" w:rsidRDefault="001A74EC" w:rsidP="001A74EC">
      <w:pPr>
        <w:pStyle w:val="p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                  标准编制组</w:t>
      </w:r>
    </w:p>
    <w:p w14:paraId="566F6942" w14:textId="1C85C9A5" w:rsidR="001A74EC" w:rsidRDefault="001A74EC" w:rsidP="001A74EC">
      <w:pPr>
        <w:pStyle w:val="p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</w:t>
      </w:r>
      <w:r>
        <w:rPr>
          <w:rFonts w:ascii="宋体" w:hAnsi="宋体" w:hint="eastAsia"/>
          <w:sz w:val="24"/>
        </w:rPr>
        <w:t xml:space="preserve">                                2019年</w:t>
      </w:r>
      <w:r w:rsidR="007F0FD6"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月10日</w:t>
      </w:r>
    </w:p>
    <w:p w14:paraId="0B25E957" w14:textId="77777777" w:rsidR="00DB5E6E" w:rsidRDefault="001F1977"/>
    <w:sectPr w:rsidR="00DB5E6E">
      <w:headerReference w:type="default" r:id="rId7"/>
      <w:footerReference w:type="even" r:id="rId8"/>
      <w:footerReference w:type="default" r:id="rId9"/>
      <w:pgSz w:w="11906" w:h="16838"/>
      <w:pgMar w:top="1418" w:right="1361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5A494" w14:textId="77777777" w:rsidR="001F1977" w:rsidRDefault="001F1977">
      <w:r>
        <w:separator/>
      </w:r>
    </w:p>
  </w:endnote>
  <w:endnote w:type="continuationSeparator" w:id="0">
    <w:p w14:paraId="4D85B844" w14:textId="77777777" w:rsidR="001F1977" w:rsidRDefault="001F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B712A" w14:textId="77777777" w:rsidR="00870ED5" w:rsidRDefault="001A74EC">
    <w:pPr>
      <w:pStyle w:val="a6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3B710AC3" w14:textId="77777777" w:rsidR="00870ED5" w:rsidRDefault="00870ED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12EE7" w14:textId="77777777" w:rsidR="00870ED5" w:rsidRDefault="001A74EC">
    <w:pPr>
      <w:pStyle w:val="a6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8</w:t>
    </w:r>
    <w:r>
      <w:fldChar w:fldCharType="end"/>
    </w:r>
  </w:p>
  <w:p w14:paraId="21A143A3" w14:textId="77777777" w:rsidR="00870ED5" w:rsidRDefault="00870E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7873B" w14:textId="77777777" w:rsidR="001F1977" w:rsidRDefault="001F1977">
      <w:r>
        <w:separator/>
      </w:r>
    </w:p>
  </w:footnote>
  <w:footnote w:type="continuationSeparator" w:id="0">
    <w:p w14:paraId="435B76C7" w14:textId="77777777" w:rsidR="001F1977" w:rsidRDefault="001F1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7AA17" w14:textId="77777777" w:rsidR="00870ED5" w:rsidRDefault="00870ED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6584D"/>
    <w:multiLevelType w:val="hybridMultilevel"/>
    <w:tmpl w:val="B784E02C"/>
    <w:lvl w:ilvl="0" w:tplc="75B05778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2FC2B00A" w:tentative="1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DCC05278" w:tentative="1">
      <w:start w:val="1"/>
      <w:numFmt w:val="bullet"/>
      <w:lvlText w:val="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526A094C" w:tentative="1">
      <w:start w:val="1"/>
      <w:numFmt w:val="bullet"/>
      <w:lvlText w:val="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EDA0D146" w:tentative="1">
      <w:start w:val="1"/>
      <w:numFmt w:val="bullet"/>
      <w:lvlText w:val="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0A32601E" w:tentative="1">
      <w:start w:val="1"/>
      <w:numFmt w:val="bullet"/>
      <w:lvlText w:val="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D2B855A2" w:tentative="1">
      <w:start w:val="1"/>
      <w:numFmt w:val="bullet"/>
      <w:lvlText w:val="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AAA4BED2" w:tentative="1">
      <w:start w:val="1"/>
      <w:numFmt w:val="bullet"/>
      <w:lvlText w:val="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08309B4A" w:tentative="1">
      <w:start w:val="1"/>
      <w:numFmt w:val="bullet"/>
      <w:lvlText w:val="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82062F2"/>
    <w:multiLevelType w:val="multilevel"/>
    <w:tmpl w:val="382062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B266961"/>
    <w:multiLevelType w:val="hybridMultilevel"/>
    <w:tmpl w:val="E08AD2E4"/>
    <w:lvl w:ilvl="0" w:tplc="FD1E1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D0A3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F501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C164A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ECA4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3381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B688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0D42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0F626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 w15:restartNumberingAfterBreak="0">
    <w:nsid w:val="5D7F07C1"/>
    <w:multiLevelType w:val="singleLevel"/>
    <w:tmpl w:val="5D7F07C1"/>
    <w:lvl w:ilvl="0">
      <w:start w:val="1"/>
      <w:numFmt w:val="lowerLetter"/>
      <w:suff w:val="nothing"/>
      <w:lvlText w:val="%1）"/>
      <w:lvlJc w:val="left"/>
    </w:lvl>
  </w:abstractNum>
  <w:abstractNum w:abstractNumId="4" w15:restartNumberingAfterBreak="0">
    <w:nsid w:val="5D7F16B0"/>
    <w:multiLevelType w:val="singleLevel"/>
    <w:tmpl w:val="5D7F16B0"/>
    <w:lvl w:ilvl="0">
      <w:start w:val="1"/>
      <w:numFmt w:val="lowerLetter"/>
      <w:suff w:val="nothing"/>
      <w:lvlText w:val="%1）"/>
      <w:lvlJc w:val="left"/>
    </w:lvl>
  </w:abstractNum>
  <w:abstractNum w:abstractNumId="5" w15:restartNumberingAfterBreak="0">
    <w:nsid w:val="710B1612"/>
    <w:multiLevelType w:val="hybridMultilevel"/>
    <w:tmpl w:val="E5EADCFC"/>
    <w:lvl w:ilvl="0" w:tplc="4686DF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CB2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949B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2EF5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62C2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92AF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4AB9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DCCD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EA81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4EC"/>
    <w:rsid w:val="00003D29"/>
    <w:rsid w:val="00065754"/>
    <w:rsid w:val="00077681"/>
    <w:rsid w:val="00081A5F"/>
    <w:rsid w:val="001A74EC"/>
    <w:rsid w:val="001B08C4"/>
    <w:rsid w:val="001F1977"/>
    <w:rsid w:val="00233A8A"/>
    <w:rsid w:val="002935C1"/>
    <w:rsid w:val="00323847"/>
    <w:rsid w:val="00386D22"/>
    <w:rsid w:val="003B235E"/>
    <w:rsid w:val="00443CBF"/>
    <w:rsid w:val="00463AF3"/>
    <w:rsid w:val="004B26AF"/>
    <w:rsid w:val="004D00B8"/>
    <w:rsid w:val="004F382F"/>
    <w:rsid w:val="00556080"/>
    <w:rsid w:val="00653F61"/>
    <w:rsid w:val="00715D42"/>
    <w:rsid w:val="007F0FD6"/>
    <w:rsid w:val="008214EC"/>
    <w:rsid w:val="00870ED5"/>
    <w:rsid w:val="00924B4B"/>
    <w:rsid w:val="00926C8F"/>
    <w:rsid w:val="009D61BC"/>
    <w:rsid w:val="00C70500"/>
    <w:rsid w:val="00C72CB9"/>
    <w:rsid w:val="00D5677A"/>
    <w:rsid w:val="00EA2725"/>
    <w:rsid w:val="00EC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95FD4"/>
  <w15:chartTrackingRefBased/>
  <w15:docId w15:val="{02030F18-FF21-49C1-B64F-3635A215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4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页眉 字符1"/>
    <w:link w:val="a3"/>
    <w:rsid w:val="001A74EC"/>
    <w:rPr>
      <w:sz w:val="18"/>
      <w:szCs w:val="18"/>
    </w:rPr>
  </w:style>
  <w:style w:type="character" w:customStyle="1" w:styleId="858D7CFB-ED40-4347-BF05-701D383B685F">
    <w:name w:val="封面标准名称{858D7CFB-ED40-4347-BF05-701D383B685F}"/>
    <w:link w:val="a4"/>
    <w:rsid w:val="001A74EC"/>
    <w:rPr>
      <w:rFonts w:ascii="黑体" w:eastAsia="黑体"/>
      <w:sz w:val="52"/>
    </w:rPr>
  </w:style>
  <w:style w:type="character" w:styleId="a5">
    <w:name w:val="page number"/>
    <w:basedOn w:val="a0"/>
    <w:rsid w:val="001A74EC"/>
  </w:style>
  <w:style w:type="character" w:customStyle="1" w:styleId="10">
    <w:name w:val="页脚 字符1"/>
    <w:link w:val="a6"/>
    <w:rsid w:val="001A74EC"/>
    <w:rPr>
      <w:sz w:val="18"/>
      <w:szCs w:val="18"/>
    </w:rPr>
  </w:style>
  <w:style w:type="character" w:customStyle="1" w:styleId="CharChar">
    <w:name w:val="段 Char Char"/>
    <w:link w:val="a7"/>
    <w:rsid w:val="001A74EC"/>
    <w:rPr>
      <w:rFonts w:ascii="宋体"/>
    </w:rPr>
  </w:style>
  <w:style w:type="paragraph" w:styleId="a6">
    <w:name w:val="footer"/>
    <w:basedOn w:val="a"/>
    <w:link w:val="10"/>
    <w:rsid w:val="001A74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uiPriority w:val="99"/>
    <w:semiHidden/>
    <w:rsid w:val="001A74EC"/>
    <w:rPr>
      <w:rFonts w:ascii="Times New Roman" w:eastAsia="宋体" w:hAnsi="Times New Roman" w:cs="Times New Roman"/>
      <w:sz w:val="18"/>
      <w:szCs w:val="18"/>
    </w:rPr>
  </w:style>
  <w:style w:type="paragraph" w:customStyle="1" w:styleId="a4">
    <w:name w:val="封面标准名称"/>
    <w:link w:val="858D7CFB-ED40-4347-BF05-701D383B685F"/>
    <w:rsid w:val="001A74EC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styleId="a3">
    <w:name w:val="header"/>
    <w:basedOn w:val="a"/>
    <w:link w:val="1"/>
    <w:rsid w:val="001A7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9">
    <w:name w:val="页眉 字符"/>
    <w:basedOn w:val="a0"/>
    <w:uiPriority w:val="99"/>
    <w:semiHidden/>
    <w:rsid w:val="001A74EC"/>
    <w:rPr>
      <w:rFonts w:ascii="Times New Roman" w:eastAsia="宋体" w:hAnsi="Times New Roman" w:cs="Times New Roman"/>
      <w:sz w:val="18"/>
      <w:szCs w:val="18"/>
    </w:rPr>
  </w:style>
  <w:style w:type="paragraph" w:customStyle="1" w:styleId="a7">
    <w:name w:val="段"/>
    <w:link w:val="CharChar"/>
    <w:rsid w:val="001A74EC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p0">
    <w:name w:val="p0"/>
    <w:basedOn w:val="a"/>
    <w:rsid w:val="001A74EC"/>
    <w:pPr>
      <w:widowControl/>
    </w:pPr>
    <w:rPr>
      <w:rFonts w:ascii="Calibri" w:hAnsi="Calibri" w:cs="宋体"/>
      <w:kern w:val="0"/>
      <w:szCs w:val="21"/>
    </w:rPr>
  </w:style>
  <w:style w:type="paragraph" w:styleId="aa">
    <w:name w:val="List Paragraph"/>
    <w:basedOn w:val="a"/>
    <w:uiPriority w:val="34"/>
    <w:qFormat/>
    <w:rsid w:val="00081A5F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styleId="ab">
    <w:name w:val="Placeholder Text"/>
    <w:basedOn w:val="a0"/>
    <w:uiPriority w:val="99"/>
    <w:semiHidden/>
    <w:rsid w:val="00463A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74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10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9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0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8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8</Pages>
  <Words>862</Words>
  <Characters>4918</Characters>
  <Application>Microsoft Office Word</Application>
  <DocSecurity>0</DocSecurity>
  <Lines>40</Lines>
  <Paragraphs>11</Paragraphs>
  <ScaleCrop>false</ScaleCrop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Angy Liu</dc:creator>
  <cp:keywords/>
  <dc:description/>
  <cp:lastModifiedBy>白 圣玉</cp:lastModifiedBy>
  <cp:revision>12</cp:revision>
  <dcterms:created xsi:type="dcterms:W3CDTF">2019-11-11T08:29:00Z</dcterms:created>
  <dcterms:modified xsi:type="dcterms:W3CDTF">2019-11-15T07:45:00Z</dcterms:modified>
</cp:coreProperties>
</file>