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sz w:val="24"/>
        </w:rPr>
      </w:pPr>
      <w:bookmarkStart w:id="0" w:name="_GoBack"/>
      <w:bookmarkEnd w:id="0"/>
      <w:r>
        <w:rPr>
          <w:rFonts w:ascii="黑体" w:eastAsia="黑体"/>
          <w:bCs/>
          <w:sz w:val="24"/>
        </w:rPr>
        <w:t>JJFZ</w:t>
      </w:r>
      <w:r>
        <w:rPr>
          <w:rFonts w:hint="eastAsia" w:ascii="黑体" w:eastAsia="黑体"/>
          <w:bCs/>
          <w:sz w:val="24"/>
        </w:rPr>
        <w:t>（有色金属）</w:t>
      </w:r>
      <w:r>
        <w:rPr>
          <w:rFonts w:ascii="黑体" w:eastAsia="黑体"/>
          <w:bCs/>
          <w:sz w:val="24"/>
        </w:rPr>
        <w:t>001-2018</w:t>
      </w:r>
      <w:r>
        <w:rPr>
          <w:rFonts w:hint="eastAsia" w:ascii="黑体" w:eastAsia="黑体"/>
          <w:bCs/>
          <w:sz w:val="24"/>
          <w:lang w:val="en-GB"/>
        </w:rPr>
        <w:t>《</w:t>
      </w:r>
      <w:r>
        <w:rPr>
          <w:rFonts w:hint="eastAsia" w:ascii="黑体" w:eastAsia="黑体"/>
          <w:sz w:val="24"/>
        </w:rPr>
        <w:t>巴克霍尔兹压痕仪校准规范》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b/>
        </w:rPr>
      </w:pPr>
      <w:r>
        <w:rPr>
          <w:rFonts w:hint="eastAsia"/>
          <w:b/>
        </w:rPr>
        <w:t>一、工作简况</w:t>
      </w:r>
    </w:p>
    <w:p>
      <w:pPr>
        <w:spacing w:line="360" w:lineRule="auto"/>
        <w:rPr>
          <w:rFonts w:ascii="黑体" w:eastAsia="黑体"/>
          <w:szCs w:val="21"/>
        </w:rPr>
      </w:pPr>
      <w:r>
        <w:rPr>
          <w:rFonts w:ascii="黑体" w:eastAsia="黑体"/>
          <w:szCs w:val="21"/>
        </w:rPr>
        <w:t xml:space="preserve">1  </w:t>
      </w:r>
      <w:r>
        <w:rPr>
          <w:rFonts w:hint="eastAsia" w:ascii="黑体" w:hAnsi="宋体" w:eastAsia="黑体"/>
          <w:szCs w:val="21"/>
        </w:rPr>
        <w:t>任务来源</w:t>
      </w:r>
    </w:p>
    <w:p>
      <w:pPr>
        <w:pStyle w:val="7"/>
        <w:spacing w:after="0" w:line="360" w:lineRule="auto"/>
        <w:ind w:firstLine="420" w:firstLineChars="200"/>
        <w:rPr>
          <w:rFonts w:hAnsi="宋体"/>
          <w:szCs w:val="21"/>
        </w:rPr>
      </w:pPr>
      <w:r>
        <w:rPr>
          <w:rFonts w:hint="eastAsia" w:hAnsi="宋体"/>
          <w:szCs w:val="21"/>
        </w:rPr>
        <w:t>根据工业和信息化部《关于印发</w:t>
      </w:r>
      <w:r>
        <w:rPr>
          <w:rFonts w:hAnsi="宋体"/>
          <w:szCs w:val="21"/>
        </w:rPr>
        <w:t>2018</w:t>
      </w:r>
      <w:r>
        <w:rPr>
          <w:rFonts w:hint="eastAsia" w:hAnsi="宋体"/>
          <w:szCs w:val="21"/>
        </w:rPr>
        <w:t>年行业计量技术规范制修订计划的通知》（工信厅科函［</w:t>
      </w:r>
      <w:r>
        <w:rPr>
          <w:rFonts w:hAnsi="宋体"/>
          <w:szCs w:val="21"/>
        </w:rPr>
        <w:t>2018</w:t>
      </w:r>
      <w:r>
        <w:rPr>
          <w:rFonts w:hint="eastAsia" w:hAnsi="宋体"/>
          <w:szCs w:val="21"/>
        </w:rPr>
        <w:t>］</w:t>
      </w:r>
      <w:r>
        <w:rPr>
          <w:rFonts w:hAnsi="宋体"/>
          <w:szCs w:val="21"/>
        </w:rPr>
        <w:t>210</w:t>
      </w:r>
      <w:r>
        <w:rPr>
          <w:rFonts w:hint="eastAsia" w:hAnsi="宋体"/>
          <w:szCs w:val="21"/>
        </w:rPr>
        <w:t>号）文的要求，行业计量技术规范</w:t>
      </w:r>
      <w:r>
        <w:rPr>
          <w:rFonts w:hint="eastAsia" w:ascii="宋体" w:hAnsi="宋体"/>
          <w:szCs w:val="21"/>
        </w:rPr>
        <w:t>《巴克霍尔兹压痕仪校准规范》由</w:t>
      </w:r>
      <w:r>
        <w:rPr>
          <w:rFonts w:hint="eastAsia" w:hAnsi="宋体"/>
          <w:szCs w:val="21"/>
        </w:rPr>
        <w:t>广东省工业分析检测中心负责起草。该项目计划编号为</w:t>
      </w:r>
      <w:r>
        <w:rPr>
          <w:rFonts w:hAnsi="宋体"/>
          <w:szCs w:val="21"/>
        </w:rPr>
        <w:t>JJFZ</w:t>
      </w:r>
      <w:r>
        <w:rPr>
          <w:rFonts w:hint="eastAsia" w:hAnsi="宋体"/>
          <w:szCs w:val="21"/>
        </w:rPr>
        <w:t>（有色金属）</w:t>
      </w:r>
      <w:r>
        <w:rPr>
          <w:rFonts w:hAnsi="宋体"/>
          <w:szCs w:val="21"/>
        </w:rPr>
        <w:t>001-2018</w:t>
      </w:r>
      <w:r>
        <w:rPr>
          <w:rFonts w:hint="eastAsia" w:hAnsi="宋体"/>
          <w:szCs w:val="21"/>
        </w:rPr>
        <w:t>。按计划要求，本技术规范应于</w:t>
      </w:r>
      <w:r>
        <w:rPr>
          <w:rFonts w:hAnsi="宋体"/>
          <w:szCs w:val="21"/>
        </w:rPr>
        <w:t>2019</w:t>
      </w:r>
      <w:r>
        <w:rPr>
          <w:rFonts w:hint="eastAsia" w:hAnsi="宋体"/>
          <w:szCs w:val="21"/>
        </w:rPr>
        <w:t>年完成。</w:t>
      </w:r>
    </w:p>
    <w:p>
      <w:pPr>
        <w:pStyle w:val="7"/>
        <w:spacing w:after="0" w:line="360" w:lineRule="auto"/>
        <w:rPr>
          <w:rFonts w:ascii="黑体" w:hAnsi="宋体" w:eastAsia="黑体"/>
          <w:szCs w:val="21"/>
        </w:rPr>
      </w:pPr>
      <w:r>
        <w:rPr>
          <w:rFonts w:ascii="黑体" w:hAnsi="宋体" w:eastAsia="黑体"/>
          <w:szCs w:val="21"/>
        </w:rPr>
        <w:t>1.2</w:t>
      </w:r>
      <w:r>
        <w:rPr>
          <w:rFonts w:hint="eastAsia" w:ascii="黑体" w:hAnsi="宋体" w:eastAsia="黑体"/>
          <w:szCs w:val="21"/>
        </w:rPr>
        <w:t>承担单位情况</w:t>
      </w:r>
    </w:p>
    <w:p>
      <w:pPr>
        <w:spacing w:line="360" w:lineRule="auto"/>
        <w:ind w:firstLine="420" w:firstLineChars="200"/>
      </w:pPr>
      <w:r>
        <w:rPr>
          <w:rFonts w:hint="eastAsia"/>
        </w:rPr>
        <w:t>广东省工业分析检测中心始建于</w:t>
      </w:r>
      <w:r>
        <w:t xml:space="preserve">1971 </w:t>
      </w:r>
      <w:r>
        <w:rPr>
          <w:rFonts w:hint="eastAsia"/>
        </w:rPr>
        <w:t>年，先后隶属于广州有色金属研究院、广东省工业技术研究院（广州有色金属研究院），</w:t>
      </w:r>
      <w:r>
        <w:t>2015</w:t>
      </w:r>
      <w:r>
        <w:rPr>
          <w:rFonts w:hint="eastAsia"/>
        </w:rPr>
        <w:t>年</w:t>
      </w:r>
      <w:r>
        <w:t>12</w:t>
      </w:r>
      <w:r>
        <w:rPr>
          <w:rFonts w:hint="eastAsia"/>
        </w:rPr>
        <w:t>月经广东省机构编制委员会批准成为广东省科学院属下的独立二级事业法人单位。是我国从事矿产品、金属材料、冶金产品、化工产品、再生资源质量检测和性能评价，欧盟环保（</w:t>
      </w:r>
      <w:r>
        <w:t>RoHS</w:t>
      </w:r>
      <w:r>
        <w:rPr>
          <w:rFonts w:hint="eastAsia"/>
        </w:rPr>
        <w:t>）指令的有害物质检测、金属材料综合利用检测以及分析测试技术研究与技术咨询的专业机构。中心现有高、中、初级专业技术和管理人员</w:t>
      </w:r>
      <w:r>
        <w:t>100</w:t>
      </w:r>
      <w:r>
        <w:rPr>
          <w:rFonts w:hint="eastAsia"/>
        </w:rPr>
        <w:t>余人，其中教授有</w:t>
      </w:r>
      <w:r>
        <w:t>15</w:t>
      </w:r>
      <w:r>
        <w:rPr>
          <w:rFonts w:hint="eastAsia"/>
        </w:rPr>
        <w:t>人，高级工程师</w:t>
      </w:r>
      <w:r>
        <w:t>24</w:t>
      </w:r>
      <w:r>
        <w:rPr>
          <w:rFonts w:hint="eastAsia"/>
        </w:rPr>
        <w:t>人，硕博士</w:t>
      </w:r>
      <w:r>
        <w:t>20</w:t>
      </w:r>
      <w:r>
        <w:rPr>
          <w:rFonts w:hint="eastAsia"/>
        </w:rPr>
        <w:t>人，具有中级职称以上科技人员占</w:t>
      </w:r>
      <w:r>
        <w:t>80%</w:t>
      </w:r>
      <w:r>
        <w:rPr>
          <w:rFonts w:hint="eastAsia"/>
        </w:rPr>
        <w:t>。近十年来获得省部级科技进步奖</w:t>
      </w:r>
      <w:r>
        <w:t>20</w:t>
      </w:r>
      <w:r>
        <w:rPr>
          <w:rFonts w:hint="eastAsia"/>
        </w:rPr>
        <w:t>项。累计申请专利</w:t>
      </w:r>
      <w:r>
        <w:t>19</w:t>
      </w:r>
      <w:r>
        <w:rPr>
          <w:rFonts w:hint="eastAsia"/>
        </w:rPr>
        <w:t>件，其中授权发明专利</w:t>
      </w:r>
      <w:r>
        <w:t>8</w:t>
      </w:r>
      <w:r>
        <w:rPr>
          <w:rFonts w:hint="eastAsia"/>
        </w:rPr>
        <w:t>件、授权实用新型专利</w:t>
      </w:r>
      <w:r>
        <w:t>2</w:t>
      </w:r>
      <w:r>
        <w:rPr>
          <w:rFonts w:hint="eastAsia"/>
        </w:rPr>
        <w:t>件。承担国家、省级各类项目</w:t>
      </w:r>
      <w:r>
        <w:t>50</w:t>
      </w:r>
      <w:r>
        <w:rPr>
          <w:rFonts w:hint="eastAsia"/>
        </w:rPr>
        <w:t>余项，主持和参与国家、行业标准</w:t>
      </w:r>
      <w:r>
        <w:t>200</w:t>
      </w:r>
      <w:r>
        <w:rPr>
          <w:rFonts w:hint="eastAsia"/>
        </w:rPr>
        <w:t>余项，发表专著</w:t>
      </w:r>
      <w:r>
        <w:t>5</w:t>
      </w:r>
      <w:r>
        <w:rPr>
          <w:rFonts w:hint="eastAsia"/>
        </w:rPr>
        <w:t>部，发表论文</w:t>
      </w:r>
      <w:r>
        <w:t>300</w:t>
      </w:r>
      <w:r>
        <w:rPr>
          <w:rFonts w:hint="eastAsia"/>
        </w:rPr>
        <w:t>余篇。</w:t>
      </w:r>
    </w:p>
    <w:p>
      <w:pPr>
        <w:pStyle w:val="7"/>
        <w:spacing w:after="0" w:line="360" w:lineRule="auto"/>
        <w:rPr>
          <w:rFonts w:ascii="黑体" w:eastAsia="黑体"/>
          <w:szCs w:val="21"/>
        </w:rPr>
      </w:pPr>
      <w:r>
        <w:rPr>
          <w:rFonts w:ascii="黑体" w:eastAsia="黑体"/>
          <w:szCs w:val="21"/>
        </w:rPr>
        <w:t>1.3</w:t>
      </w:r>
      <w:r>
        <w:rPr>
          <w:rFonts w:hint="eastAsia" w:ascii="黑体" w:hAnsi="宋体" w:eastAsia="黑体"/>
          <w:szCs w:val="21"/>
        </w:rPr>
        <w:t>主要工作过程</w:t>
      </w:r>
    </w:p>
    <w:p>
      <w:pPr>
        <w:pStyle w:val="23"/>
        <w:numPr>
          <w:ilvl w:val="2"/>
          <w:numId w:val="0"/>
        </w:numPr>
        <w:adjustRightInd w:val="0"/>
        <w:snapToGrid w:val="0"/>
        <w:spacing w:line="360" w:lineRule="auto"/>
        <w:ind w:firstLine="420" w:firstLineChars="200"/>
        <w:rPr>
          <w:rFonts w:ascii="Times New Roman" w:eastAsia="宋体"/>
          <w:kern w:val="2"/>
          <w:szCs w:val="24"/>
        </w:rPr>
      </w:pPr>
      <w:r>
        <w:rPr>
          <w:rFonts w:hint="eastAsia" w:ascii="Times New Roman" w:eastAsia="宋体"/>
          <w:kern w:val="2"/>
          <w:szCs w:val="24"/>
        </w:rPr>
        <w:t>广东省工业分析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pStyle w:val="23"/>
        <w:numPr>
          <w:ilvl w:val="0"/>
          <w:numId w:val="2"/>
        </w:numPr>
        <w:tabs>
          <w:tab w:val="left" w:pos="284"/>
          <w:tab w:val="left" w:pos="709"/>
        </w:tabs>
        <w:adjustRightInd w:val="0"/>
        <w:snapToGrid w:val="0"/>
        <w:spacing w:line="360" w:lineRule="auto"/>
        <w:ind w:left="0" w:firstLine="424" w:firstLineChars="202"/>
        <w:rPr>
          <w:rFonts w:ascii="Times New Roman" w:eastAsia="宋体"/>
          <w:kern w:val="2"/>
          <w:szCs w:val="24"/>
        </w:rPr>
      </w:pPr>
      <w:r>
        <w:rPr>
          <w:rFonts w:ascii="Times New Roman" w:eastAsia="宋体"/>
          <w:kern w:val="2"/>
          <w:szCs w:val="24"/>
        </w:rPr>
        <w:t>2019</w:t>
      </w:r>
      <w:r>
        <w:rPr>
          <w:rFonts w:hint="eastAsia" w:ascii="Times New Roman" w:eastAsia="宋体"/>
          <w:kern w:val="2"/>
          <w:szCs w:val="24"/>
        </w:rPr>
        <w:t>年</w:t>
      </w:r>
      <w:r>
        <w:rPr>
          <w:rFonts w:ascii="Times New Roman" w:eastAsia="宋体"/>
          <w:kern w:val="2"/>
          <w:szCs w:val="24"/>
        </w:rPr>
        <w:t>1</w:t>
      </w:r>
      <w:r>
        <w:rPr>
          <w:rFonts w:hint="eastAsia" w:ascii="Times New Roman" w:eastAsia="宋体"/>
          <w:kern w:val="2"/>
          <w:szCs w:val="24"/>
        </w:rPr>
        <w:t>月成立计量规范编制组，并明确了工作的职能和任务。</w:t>
      </w:r>
    </w:p>
    <w:p>
      <w:pPr>
        <w:pStyle w:val="23"/>
        <w:numPr>
          <w:ilvl w:val="0"/>
          <w:numId w:val="2"/>
        </w:numPr>
        <w:tabs>
          <w:tab w:val="left" w:pos="284"/>
          <w:tab w:val="left" w:pos="709"/>
        </w:tabs>
        <w:adjustRightInd w:val="0"/>
        <w:snapToGrid w:val="0"/>
        <w:spacing w:line="360" w:lineRule="auto"/>
        <w:ind w:left="0" w:firstLine="424" w:firstLineChars="202"/>
        <w:rPr>
          <w:rFonts w:ascii="Times New Roman" w:eastAsia="宋体"/>
          <w:kern w:val="2"/>
          <w:szCs w:val="24"/>
        </w:rPr>
      </w:pPr>
      <w:r>
        <w:rPr>
          <w:rFonts w:ascii="Times New Roman" w:eastAsia="宋体"/>
          <w:kern w:val="2"/>
          <w:szCs w:val="24"/>
        </w:rPr>
        <w:t>2019</w:t>
      </w:r>
      <w:r>
        <w:rPr>
          <w:rFonts w:hint="eastAsia" w:ascii="Times New Roman" w:eastAsia="宋体"/>
          <w:kern w:val="2"/>
          <w:szCs w:val="24"/>
        </w:rPr>
        <w:t>年</w:t>
      </w:r>
      <w:r>
        <w:rPr>
          <w:rFonts w:ascii="Times New Roman" w:eastAsia="宋体"/>
          <w:kern w:val="2"/>
          <w:szCs w:val="24"/>
        </w:rPr>
        <w:t>2</w:t>
      </w:r>
      <w:r>
        <w:rPr>
          <w:rFonts w:hint="eastAsia" w:ascii="Times New Roman" w:eastAsia="宋体"/>
          <w:kern w:val="2"/>
          <w:szCs w:val="24"/>
        </w:rPr>
        <w:t>月～</w:t>
      </w:r>
      <w:r>
        <w:rPr>
          <w:rFonts w:ascii="Times New Roman" w:eastAsia="宋体"/>
          <w:kern w:val="2"/>
          <w:szCs w:val="24"/>
        </w:rPr>
        <w:t>2019</w:t>
      </w:r>
      <w:r>
        <w:rPr>
          <w:rFonts w:hint="eastAsia" w:ascii="Times New Roman" w:eastAsia="宋体"/>
          <w:kern w:val="2"/>
          <w:szCs w:val="24"/>
        </w:rPr>
        <w:t>年</w:t>
      </w:r>
      <w:r>
        <w:rPr>
          <w:rFonts w:ascii="Times New Roman" w:eastAsia="宋体"/>
          <w:kern w:val="2"/>
          <w:szCs w:val="24"/>
        </w:rPr>
        <w:t>5</w:t>
      </w:r>
      <w:r>
        <w:rPr>
          <w:rFonts w:hint="eastAsia" w:ascii="Times New Roman" w:eastAsia="宋体"/>
          <w:kern w:val="2"/>
          <w:szCs w:val="24"/>
        </w:rPr>
        <w:t>月计量规范编制组成员认真学习了《国家计量校准规范编写规则》，对巴克霍尔兹压痕仪校准规范中的校准参数及方法进行了讨论，确定了校准参数，在</w:t>
      </w:r>
      <w:r>
        <w:rPr>
          <w:rFonts w:ascii="Times New Roman" w:eastAsia="宋体"/>
          <w:kern w:val="2"/>
          <w:szCs w:val="24"/>
        </w:rPr>
        <w:t>5</w:t>
      </w:r>
      <w:r>
        <w:rPr>
          <w:rFonts w:hint="eastAsia" w:ascii="Times New Roman" w:eastAsia="宋体"/>
          <w:kern w:val="2"/>
          <w:szCs w:val="24"/>
        </w:rPr>
        <w:t>月初形成了计量规范讨论稿。</w:t>
      </w:r>
    </w:p>
    <w:p>
      <w:pPr>
        <w:pStyle w:val="23"/>
        <w:numPr>
          <w:ilvl w:val="0"/>
          <w:numId w:val="0"/>
        </w:numPr>
        <w:tabs>
          <w:tab w:val="left" w:pos="284"/>
          <w:tab w:val="left" w:pos="709"/>
        </w:tabs>
        <w:adjustRightInd w:val="0"/>
        <w:snapToGrid w:val="0"/>
        <w:spacing w:line="360" w:lineRule="auto"/>
        <w:ind w:firstLine="420" w:firstLineChars="200"/>
        <w:rPr>
          <w:rFonts w:ascii="Times New Roman" w:eastAsia="宋体"/>
          <w:kern w:val="2"/>
          <w:szCs w:val="24"/>
        </w:rPr>
      </w:pPr>
      <w:r>
        <w:rPr>
          <w:rFonts w:ascii="Times New Roman" w:eastAsia="宋体"/>
          <w:kern w:val="2"/>
          <w:szCs w:val="24"/>
        </w:rPr>
        <w:t>3</w:t>
      </w:r>
      <w:r>
        <w:rPr>
          <w:rFonts w:hint="eastAsia" w:ascii="Times New Roman" w:eastAsia="宋体"/>
          <w:kern w:val="2"/>
          <w:szCs w:val="24"/>
        </w:rPr>
        <w:t>）</w:t>
      </w:r>
      <w:r>
        <w:rPr>
          <w:rFonts w:ascii="Times New Roman" w:eastAsia="宋体"/>
          <w:kern w:val="2"/>
          <w:szCs w:val="24"/>
        </w:rPr>
        <w:t>2019</w:t>
      </w:r>
      <w:r>
        <w:rPr>
          <w:rFonts w:hint="eastAsia" w:ascii="Times New Roman" w:eastAsia="宋体"/>
          <w:kern w:val="2"/>
          <w:szCs w:val="24"/>
        </w:rPr>
        <w:t>年</w:t>
      </w:r>
      <w:r>
        <w:rPr>
          <w:rFonts w:ascii="Times New Roman" w:eastAsia="宋体"/>
          <w:kern w:val="2"/>
          <w:szCs w:val="24"/>
        </w:rPr>
        <w:t>5</w:t>
      </w:r>
      <w:r>
        <w:rPr>
          <w:rFonts w:hint="eastAsia" w:ascii="Times New Roman" w:eastAsia="宋体"/>
          <w:kern w:val="2"/>
          <w:szCs w:val="24"/>
        </w:rPr>
        <w:t>月</w:t>
      </w:r>
      <w:r>
        <w:rPr>
          <w:rFonts w:ascii="Times New Roman" w:eastAsia="宋体"/>
          <w:kern w:val="2"/>
          <w:szCs w:val="24"/>
        </w:rPr>
        <w:t>22</w:t>
      </w:r>
      <w:r>
        <w:rPr>
          <w:rFonts w:hint="eastAsia" w:ascii="Times New Roman" w:eastAsia="宋体"/>
          <w:kern w:val="2"/>
          <w:szCs w:val="24"/>
        </w:rPr>
        <w:t>日参加了由有色金属行业计量技术委员会组织的在宁波召开的有色金属行业计量技术委员会工作会，会上与会专家对本计量规范的讨论稿提出了宝贵的意见和建议，同时确定国标（北京）检验认证有限公司、广东兴发铝业有限公司、广亚铝业有限公司和天津新艾隆科技有限公司参加本规范的制定工作。</w:t>
      </w:r>
    </w:p>
    <w:p>
      <w:pPr>
        <w:adjustRightInd w:val="0"/>
        <w:snapToGrid w:val="0"/>
        <w:spacing w:line="360" w:lineRule="auto"/>
        <w:ind w:firstLine="435"/>
      </w:pPr>
      <w:r>
        <w:t>4</w:t>
      </w:r>
      <w:r>
        <w:rPr>
          <w:rFonts w:hint="eastAsia"/>
        </w:rPr>
        <w:t>）</w:t>
      </w:r>
      <w:r>
        <w:t>2019</w:t>
      </w:r>
      <w:r>
        <w:rPr>
          <w:rFonts w:hint="eastAsia"/>
        </w:rPr>
        <w:t>年</w:t>
      </w:r>
      <w:r>
        <w:t>7</w:t>
      </w:r>
      <w:r>
        <w:rPr>
          <w:rFonts w:hint="eastAsia"/>
        </w:rPr>
        <w:t>月</w:t>
      </w:r>
      <w:r>
        <w:t>21</w:t>
      </w:r>
      <w:r>
        <w:rPr>
          <w:rFonts w:hint="eastAsia"/>
        </w:rPr>
        <w:t>日</w:t>
      </w:r>
      <w:r>
        <w:t>-23</w:t>
      </w:r>
      <w:r>
        <w:rPr>
          <w:rFonts w:hint="eastAsia"/>
        </w:rPr>
        <w:t>日由有色金属行业计量技术委员会在云南大理举办了有色金属行业计量技术规范编写培训班，规范编制组成员参加了培训。</w:t>
      </w:r>
    </w:p>
    <w:p>
      <w:pPr>
        <w:adjustRightInd w:val="0"/>
        <w:snapToGrid w:val="0"/>
        <w:spacing w:line="360" w:lineRule="auto"/>
        <w:ind w:firstLine="435"/>
      </w:pPr>
      <w:r>
        <w:t>5</w:t>
      </w:r>
      <w:r>
        <w:rPr>
          <w:rFonts w:hint="eastAsia"/>
        </w:rPr>
        <w:t>）</w:t>
      </w:r>
      <w:r>
        <w:t>2019</w:t>
      </w:r>
      <w:r>
        <w:rPr>
          <w:rFonts w:hint="eastAsia"/>
        </w:rPr>
        <w:t>年</w:t>
      </w:r>
      <w:r>
        <w:t>8</w:t>
      </w:r>
      <w:r>
        <w:rPr>
          <w:rFonts w:hint="eastAsia"/>
        </w:rPr>
        <w:t>月编制组成员根据</w:t>
      </w:r>
      <w:r>
        <w:t>7</w:t>
      </w:r>
      <w:r>
        <w:rPr>
          <w:rFonts w:hint="eastAsia"/>
        </w:rPr>
        <w:t>月培训后的体会，组织讨论，对本计量规范的编写和资料性附录重新调整，完善试验数据，形成了本计量规范的预审稿。</w:t>
      </w:r>
    </w:p>
    <w:p>
      <w:pPr>
        <w:adjustRightInd w:val="0"/>
        <w:snapToGrid w:val="0"/>
        <w:spacing w:line="360" w:lineRule="auto"/>
        <w:rPr>
          <w:rFonts w:ascii="黑体" w:eastAsia="黑体"/>
          <w:color w:val="FF0000"/>
          <w:szCs w:val="21"/>
        </w:rPr>
      </w:pPr>
      <w:r>
        <w:rPr>
          <w:rFonts w:hint="eastAsia"/>
          <w:color w:val="000000"/>
          <w:szCs w:val="21"/>
        </w:rPr>
        <w:t>二、</w:t>
      </w:r>
      <w:r>
        <w:rPr>
          <w:rFonts w:hint="eastAsia" w:ascii="黑体" w:hAnsi="宋体" w:eastAsia="黑体"/>
          <w:szCs w:val="21"/>
        </w:rPr>
        <w:t>编制原则和依据</w:t>
      </w:r>
    </w:p>
    <w:p>
      <w:pPr>
        <w:pStyle w:val="7"/>
        <w:spacing w:after="0" w:line="360" w:lineRule="auto"/>
        <w:rPr>
          <w:rFonts w:ascii="黑体" w:eastAsia="黑体"/>
          <w:szCs w:val="21"/>
        </w:rPr>
      </w:pPr>
      <w:r>
        <w:rPr>
          <w:rFonts w:ascii="黑体" w:eastAsia="黑体"/>
          <w:szCs w:val="21"/>
        </w:rPr>
        <w:t>2.1</w:t>
      </w:r>
      <w:r>
        <w:rPr>
          <w:rFonts w:hint="eastAsia" w:ascii="黑体" w:hAnsi="宋体" w:eastAsia="黑体"/>
          <w:szCs w:val="21"/>
        </w:rPr>
        <w:t>规范编制原则</w:t>
      </w:r>
    </w:p>
    <w:p>
      <w:pPr>
        <w:spacing w:line="360" w:lineRule="auto"/>
        <w:ind w:firstLine="435"/>
        <w:rPr>
          <w:rFonts w:ascii="宋体"/>
          <w:szCs w:val="21"/>
        </w:rPr>
      </w:pPr>
      <w:r>
        <w:rPr>
          <w:rFonts w:ascii="宋体" w:hAnsi="宋体"/>
          <w:szCs w:val="21"/>
        </w:rPr>
        <w:t>1</w:t>
      </w:r>
      <w:r>
        <w:rPr>
          <w:rFonts w:hint="eastAsia" w:ascii="宋体" w:hAnsi="宋体"/>
          <w:szCs w:val="21"/>
        </w:rPr>
        <w:t>）该规范按照</w:t>
      </w:r>
      <w:r>
        <w:rPr>
          <w:rFonts w:ascii="宋体" w:hAnsi="宋体"/>
          <w:szCs w:val="21"/>
        </w:rPr>
        <w:t>JJF 1071-2010</w:t>
      </w:r>
      <w:r>
        <w:rPr>
          <w:rFonts w:hint="eastAsia" w:ascii="宋体" w:hAnsi="宋体"/>
          <w:szCs w:val="21"/>
        </w:rPr>
        <w:t>《国家计量校准规范编写规则》编写。</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）先进性：本规范依据漆膜压痕硬度检测要求，充分考虑到现有检测设备的条件，制订了本规范的基本原则和编制依据，使本规范具有较好的操作性和规范性。</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）创新性：制定后的计量规范有助于统一校准参数，评价设备性能好坏，提高设备的可比性，保证后期测量数据的可靠性。</w:t>
      </w:r>
    </w:p>
    <w:p>
      <w:pPr>
        <w:spacing w:line="360" w:lineRule="auto"/>
        <w:rPr>
          <w:rFonts w:ascii="黑体" w:hAnsi="宋体" w:eastAsia="黑体"/>
          <w:szCs w:val="21"/>
        </w:rPr>
      </w:pPr>
      <w:r>
        <w:rPr>
          <w:rFonts w:ascii="黑体" w:eastAsia="黑体"/>
          <w:szCs w:val="21"/>
        </w:rPr>
        <w:t>2.2</w:t>
      </w:r>
      <w:r>
        <w:rPr>
          <w:rFonts w:hint="eastAsia" w:ascii="黑体" w:hAnsi="宋体" w:eastAsia="黑体"/>
          <w:szCs w:val="21"/>
        </w:rPr>
        <w:t>制定规范主要内容的论据</w:t>
      </w:r>
    </w:p>
    <w:p>
      <w:pPr>
        <w:spacing w:line="360" w:lineRule="auto"/>
        <w:rPr>
          <w:rFonts w:ascii="黑体" w:hAnsi="黑体" w:eastAsia="黑体"/>
          <w:szCs w:val="21"/>
        </w:rPr>
      </w:pPr>
      <w:r>
        <w:rPr>
          <w:rFonts w:ascii="黑体" w:hAnsi="黑体" w:eastAsia="黑体"/>
          <w:szCs w:val="21"/>
        </w:rPr>
        <w:t>2.2.1</w:t>
      </w:r>
      <w:r>
        <w:rPr>
          <w:rFonts w:hint="eastAsia" w:ascii="黑体" w:hAnsi="黑体" w:eastAsia="黑体"/>
          <w:szCs w:val="21"/>
        </w:rPr>
        <w:t>范围</w:t>
      </w:r>
    </w:p>
    <w:p>
      <w:pPr>
        <w:spacing w:line="360" w:lineRule="auto"/>
        <w:ind w:firstLine="420" w:firstLineChars="200"/>
        <w:rPr>
          <w:rFonts w:ascii="宋体" w:eastAsia="方正行楷简体"/>
          <w:kern w:val="0"/>
          <w:szCs w:val="21"/>
        </w:rPr>
      </w:pPr>
      <w:r>
        <w:rPr>
          <w:rFonts w:ascii="宋体" w:eastAsia="方正行楷简体"/>
          <w:kern w:val="0"/>
          <w:szCs w:val="21"/>
        </w:rPr>
        <w:t>1</w:t>
      </w:r>
      <w:r>
        <w:rPr>
          <w:rFonts w:hint="eastAsia" w:ascii="宋体" w:eastAsia="方正行楷简体"/>
          <w:kern w:val="0"/>
          <w:szCs w:val="21"/>
        </w:rPr>
        <w:t>）本规范适用于巴克霍尔兹压痕仪的校准。</w:t>
      </w:r>
    </w:p>
    <w:p>
      <w:pPr>
        <w:pStyle w:val="13"/>
        <w:spacing w:line="360" w:lineRule="auto"/>
        <w:ind w:firstLine="31680"/>
        <w:rPr>
          <w:rFonts w:eastAsia="方正行楷简体"/>
          <w:szCs w:val="21"/>
        </w:rPr>
      </w:pPr>
      <w:r>
        <w:rPr>
          <w:rFonts w:hint="eastAsia" w:eastAsia="方正行楷简体"/>
          <w:szCs w:val="21"/>
        </w:rPr>
        <w:t>本规范规定了巴克霍尔兹压痕仪的校准步骤及参数。</w:t>
      </w:r>
    </w:p>
    <w:p>
      <w:pPr>
        <w:spacing w:line="360" w:lineRule="auto"/>
        <w:rPr>
          <w:rFonts w:ascii="黑体" w:hAnsi="宋体" w:eastAsia="黑体"/>
          <w:szCs w:val="21"/>
        </w:rPr>
      </w:pPr>
      <w:r>
        <w:rPr>
          <w:rFonts w:ascii="黑体" w:hAnsi="宋体" w:eastAsia="黑体"/>
          <w:szCs w:val="21"/>
        </w:rPr>
        <w:t>2.2.2</w:t>
      </w:r>
      <w:r>
        <w:rPr>
          <w:rFonts w:ascii="黑体" w:eastAsia="黑体"/>
          <w:szCs w:val="21"/>
        </w:rPr>
        <w:t xml:space="preserve"> </w:t>
      </w:r>
      <w:r>
        <w:rPr>
          <w:rFonts w:hint="eastAsia" w:ascii="黑体" w:hAnsi="宋体" w:eastAsia="黑体"/>
          <w:szCs w:val="21"/>
        </w:rPr>
        <w:t>引用文件</w:t>
      </w:r>
    </w:p>
    <w:p>
      <w:pPr>
        <w:spacing w:line="360" w:lineRule="auto"/>
        <w:ind w:firstLine="420" w:firstLineChars="200"/>
        <w:rPr>
          <w:rFonts w:ascii="宋体"/>
          <w:szCs w:val="21"/>
        </w:rPr>
      </w:pPr>
      <w:r>
        <w:rPr>
          <w:rFonts w:hint="eastAsia" w:ascii="宋体" w:hAnsi="宋体"/>
          <w:szCs w:val="21"/>
        </w:rPr>
        <w:t>本规范规定了</w:t>
      </w:r>
      <w:r>
        <w:rPr>
          <w:rFonts w:hint="eastAsia" w:eastAsia="方正行楷简体"/>
          <w:szCs w:val="21"/>
        </w:rPr>
        <w:t>巴克霍尔兹压痕仪的校准要求，因此引用了</w:t>
      </w:r>
      <w:r>
        <w:rPr>
          <w:rFonts w:ascii="宋体" w:hAnsi="宋体"/>
          <w:szCs w:val="21"/>
        </w:rPr>
        <w:t>GB/T 9275</w:t>
      </w:r>
      <w:r>
        <w:rPr>
          <w:rFonts w:ascii="宋体"/>
          <w:szCs w:val="21"/>
        </w:rPr>
        <w:t>-</w:t>
      </w:r>
      <w:r>
        <w:rPr>
          <w:rFonts w:ascii="宋体" w:hAnsi="宋体"/>
          <w:szCs w:val="21"/>
        </w:rPr>
        <w:t>2008</w:t>
      </w:r>
      <w:r>
        <w:rPr>
          <w:rFonts w:hint="eastAsia" w:ascii="宋体" w:hAnsi="宋体"/>
          <w:szCs w:val="21"/>
        </w:rPr>
        <w:t>（</w:t>
      </w:r>
      <w:r>
        <w:rPr>
          <w:rFonts w:ascii="宋体" w:hAnsi="宋体"/>
          <w:szCs w:val="21"/>
        </w:rPr>
        <w:t>ISO 2815:2003</w:t>
      </w:r>
      <w:r>
        <w:rPr>
          <w:rFonts w:hint="eastAsia" w:ascii="宋体" w:hAnsi="宋体"/>
          <w:szCs w:val="21"/>
        </w:rPr>
        <w:t>，</w:t>
      </w:r>
      <w:r>
        <w:rPr>
          <w:rFonts w:ascii="宋体" w:hAnsi="宋体"/>
          <w:szCs w:val="21"/>
        </w:rPr>
        <w:t>IDT</w:t>
      </w:r>
      <w:r>
        <w:rPr>
          <w:rFonts w:hint="eastAsia" w:ascii="宋体" w:hAnsi="宋体"/>
          <w:szCs w:val="21"/>
        </w:rPr>
        <w:t>）《色漆和清漆</w:t>
      </w:r>
      <w:r>
        <w:rPr>
          <w:rFonts w:ascii="宋体" w:hAnsi="宋体"/>
          <w:szCs w:val="21"/>
        </w:rPr>
        <w:t xml:space="preserve"> </w:t>
      </w:r>
      <w:r>
        <w:rPr>
          <w:rFonts w:hint="eastAsia" w:ascii="宋体" w:hAnsi="宋体"/>
          <w:szCs w:val="21"/>
        </w:rPr>
        <w:t>巴克霍尔兹压痕试验》。</w:t>
      </w:r>
    </w:p>
    <w:p>
      <w:pPr>
        <w:spacing w:line="360" w:lineRule="auto"/>
        <w:rPr>
          <w:rFonts w:ascii="黑体" w:hAnsi="宋体" w:eastAsia="黑体"/>
          <w:szCs w:val="21"/>
        </w:rPr>
      </w:pPr>
      <w:r>
        <w:rPr>
          <w:rFonts w:ascii="黑体" w:hAnsi="宋体" w:eastAsia="黑体"/>
          <w:szCs w:val="21"/>
        </w:rPr>
        <w:t>2.2.3</w:t>
      </w:r>
      <w:r>
        <w:rPr>
          <w:rFonts w:ascii="黑体" w:eastAsia="黑体"/>
          <w:szCs w:val="21"/>
        </w:rPr>
        <w:t xml:space="preserve"> </w:t>
      </w:r>
      <w:r>
        <w:rPr>
          <w:rFonts w:hint="eastAsia" w:ascii="黑体" w:hAnsi="宋体" w:eastAsia="黑体"/>
          <w:szCs w:val="21"/>
        </w:rPr>
        <w:t>概述</w:t>
      </w:r>
    </w:p>
    <w:p>
      <w:pPr>
        <w:spacing w:line="360" w:lineRule="auto"/>
        <w:ind w:firstLine="420" w:firstLineChars="200"/>
        <w:rPr>
          <w:rFonts w:eastAsia="方正行楷简体"/>
          <w:szCs w:val="21"/>
        </w:rPr>
      </w:pPr>
      <w:r>
        <w:rPr>
          <w:rFonts w:hint="eastAsia" w:eastAsia="方正行楷简体"/>
          <w:szCs w:val="21"/>
        </w:rPr>
        <w:t>巴克霍尔兹压痕仪（以下简称压痕仪）适用于对色漆、清漆或相关产品的单层涂膜进行压痕试验。</w:t>
      </w:r>
    </w:p>
    <w:p>
      <w:pPr>
        <w:spacing w:line="360" w:lineRule="auto"/>
        <w:ind w:firstLine="420" w:firstLineChars="200"/>
        <w:rPr>
          <w:rFonts w:eastAsia="方正行楷简体"/>
          <w:szCs w:val="21"/>
        </w:rPr>
      </w:pPr>
      <w:r>
        <w:rPr>
          <w:rFonts w:hint="eastAsia" w:eastAsia="方正行楷简体"/>
          <w:szCs w:val="21"/>
        </w:rPr>
        <w:t>试验原理是：用具有特定尺寸和形状的压痕仪在规定条件下对涂膜进行压痕试验，以压痕长度表示涂膜残留变形的程度。压痕长度的结果以毫米表示。</w:t>
      </w:r>
    </w:p>
    <w:p>
      <w:pPr>
        <w:spacing w:line="360" w:lineRule="auto"/>
        <w:ind w:firstLine="420"/>
        <w:rPr>
          <w:rFonts w:eastAsia="方正行楷简体"/>
          <w:szCs w:val="21"/>
        </w:rPr>
      </w:pPr>
      <w:r>
        <w:rPr>
          <w:rFonts w:hint="eastAsia" w:ascii="宋体" w:hAnsi="宋体"/>
          <w:szCs w:val="21"/>
        </w:rPr>
        <w:t>本规范明确了</w:t>
      </w:r>
      <w:r>
        <w:rPr>
          <w:rFonts w:hint="eastAsia" w:eastAsia="方正行楷简体"/>
          <w:szCs w:val="21"/>
        </w:rPr>
        <w:t>巴克霍尔兹压痕仪测量漆膜压痕硬度的原理，以及压痕硬度的表示方式。</w:t>
      </w:r>
    </w:p>
    <w:p>
      <w:pPr>
        <w:spacing w:line="360" w:lineRule="auto"/>
        <w:rPr>
          <w:rFonts w:ascii="黑体" w:hAnsi="宋体" w:eastAsia="黑体"/>
          <w:szCs w:val="21"/>
        </w:rPr>
      </w:pPr>
      <w:r>
        <w:rPr>
          <w:rFonts w:ascii="黑体" w:hAnsi="宋体" w:eastAsia="黑体"/>
          <w:szCs w:val="21"/>
        </w:rPr>
        <w:t>2.2.4</w:t>
      </w:r>
      <w:r>
        <w:rPr>
          <w:rFonts w:ascii="黑体" w:eastAsia="黑体"/>
          <w:szCs w:val="21"/>
        </w:rPr>
        <w:t xml:space="preserve"> </w:t>
      </w:r>
      <w:r>
        <w:rPr>
          <w:rFonts w:hint="eastAsia" w:ascii="黑体" w:hAnsi="宋体" w:eastAsia="黑体"/>
          <w:szCs w:val="21"/>
        </w:rPr>
        <w:t>计量特性</w:t>
      </w:r>
    </w:p>
    <w:p>
      <w:pPr>
        <w:spacing w:line="360" w:lineRule="auto"/>
        <w:ind w:firstLine="420"/>
        <w:rPr>
          <w:rFonts w:ascii="宋体"/>
          <w:szCs w:val="21"/>
        </w:rPr>
      </w:pPr>
      <w:r>
        <w:rPr>
          <w:rFonts w:hint="eastAsia" w:ascii="宋体" w:hAnsi="宋体"/>
          <w:szCs w:val="21"/>
        </w:rPr>
        <w:t>压痕器形状和金属块的有效负荷是影响压痕器性能的主要指标，其中压痕器形状的主要参数有：形状、直径、厚度及刀刃夹角，为此，均对这些参数进行了规定。</w:t>
      </w:r>
    </w:p>
    <w:p>
      <w:pPr>
        <w:spacing w:line="360" w:lineRule="auto"/>
        <w:rPr>
          <w:rFonts w:ascii="黑体" w:hAnsi="宋体" w:eastAsia="黑体"/>
          <w:szCs w:val="21"/>
        </w:rPr>
      </w:pPr>
      <w:r>
        <w:rPr>
          <w:rFonts w:ascii="宋体" w:hAnsi="宋体"/>
          <w:szCs w:val="21"/>
        </w:rPr>
        <w:t xml:space="preserve"> </w:t>
      </w:r>
      <w:r>
        <w:rPr>
          <w:rFonts w:ascii="黑体" w:hAnsi="宋体" w:eastAsia="黑体"/>
          <w:szCs w:val="21"/>
        </w:rPr>
        <w:t>2.2.5</w:t>
      </w:r>
      <w:r>
        <w:rPr>
          <w:rFonts w:ascii="黑体" w:eastAsia="黑体"/>
          <w:szCs w:val="21"/>
        </w:rPr>
        <w:t xml:space="preserve"> </w:t>
      </w:r>
      <w:r>
        <w:rPr>
          <w:rFonts w:hint="eastAsia" w:ascii="黑体" w:hAnsi="宋体" w:eastAsia="黑体"/>
          <w:szCs w:val="21"/>
        </w:rPr>
        <w:t>校准条件</w:t>
      </w:r>
    </w:p>
    <w:p>
      <w:pPr>
        <w:spacing w:line="360" w:lineRule="auto"/>
        <w:ind w:firstLine="420"/>
        <w:rPr>
          <w:rFonts w:ascii="宋体"/>
          <w:szCs w:val="21"/>
        </w:rPr>
      </w:pPr>
      <w:r>
        <w:rPr>
          <w:rFonts w:hint="eastAsia" w:ascii="宋体" w:hAnsi="宋体"/>
          <w:szCs w:val="21"/>
        </w:rPr>
        <w:t>对压痕仪校准的试验环境条件、校准标准物质及相关仪器设备均进行了规定。</w:t>
      </w:r>
    </w:p>
    <w:p>
      <w:pPr>
        <w:spacing w:line="360" w:lineRule="auto"/>
        <w:rPr>
          <w:rFonts w:ascii="黑体" w:hAnsi="宋体" w:eastAsia="黑体"/>
          <w:szCs w:val="21"/>
        </w:rPr>
      </w:pPr>
      <w:r>
        <w:rPr>
          <w:rFonts w:ascii="黑体" w:hAnsi="宋体" w:eastAsia="黑体"/>
          <w:szCs w:val="21"/>
        </w:rPr>
        <w:t>2.2.6</w:t>
      </w:r>
      <w:r>
        <w:rPr>
          <w:rFonts w:ascii="黑体" w:eastAsia="黑体"/>
          <w:szCs w:val="21"/>
        </w:rPr>
        <w:t xml:space="preserve"> </w:t>
      </w:r>
      <w:r>
        <w:rPr>
          <w:rFonts w:hint="eastAsia" w:ascii="黑体" w:hAnsi="宋体" w:eastAsia="黑体"/>
          <w:szCs w:val="21"/>
        </w:rPr>
        <w:t>校准项目和校准方法</w:t>
      </w:r>
    </w:p>
    <w:p>
      <w:pPr>
        <w:spacing w:line="360" w:lineRule="auto"/>
        <w:ind w:firstLine="420"/>
        <w:rPr>
          <w:rFonts w:ascii="宋体"/>
          <w:szCs w:val="21"/>
        </w:rPr>
      </w:pPr>
      <w:r>
        <w:rPr>
          <w:rFonts w:hint="eastAsia" w:ascii="宋体" w:hAnsi="宋体"/>
          <w:szCs w:val="21"/>
        </w:rPr>
        <w:t>压痕仪校准项目有外观及通用要求、压痕器直径、压痕器厚度、压痕器刀刃夹角和压痕器有效负荷，规定了各个校准项目的校准方法。</w:t>
      </w:r>
    </w:p>
    <w:p>
      <w:pPr>
        <w:spacing w:line="360" w:lineRule="auto"/>
        <w:ind w:firstLine="420"/>
        <w:rPr>
          <w:rFonts w:ascii="宋体"/>
          <w:szCs w:val="21"/>
        </w:rPr>
      </w:pPr>
      <w:r>
        <w:rPr>
          <w:rFonts w:hint="eastAsia" w:ascii="宋体" w:hAnsi="宋体"/>
          <w:szCs w:val="21"/>
        </w:rPr>
        <w:t>根据压痕仪的技术构成以及压痕硬度检验方法，确定出压痕仪设备的校准项目。依据校准项目，选择合适的测量器具进行测量。</w:t>
      </w:r>
    </w:p>
    <w:p>
      <w:pPr>
        <w:spacing w:line="360" w:lineRule="auto"/>
        <w:rPr>
          <w:rFonts w:ascii="黑体" w:hAnsi="宋体" w:eastAsia="黑体"/>
          <w:szCs w:val="21"/>
        </w:rPr>
      </w:pPr>
      <w:r>
        <w:rPr>
          <w:rFonts w:ascii="黑体" w:hAnsi="宋体" w:eastAsia="黑体"/>
          <w:szCs w:val="21"/>
        </w:rPr>
        <w:t>2.2.7</w:t>
      </w:r>
      <w:r>
        <w:rPr>
          <w:rFonts w:ascii="黑体" w:eastAsia="黑体"/>
          <w:szCs w:val="21"/>
        </w:rPr>
        <w:t xml:space="preserve"> </w:t>
      </w:r>
      <w:r>
        <w:rPr>
          <w:rFonts w:hint="eastAsia" w:ascii="黑体" w:hAnsi="宋体" w:eastAsia="黑体"/>
          <w:szCs w:val="21"/>
        </w:rPr>
        <w:t>附录性资料</w:t>
      </w:r>
    </w:p>
    <w:p>
      <w:pPr>
        <w:spacing w:line="360" w:lineRule="auto"/>
        <w:ind w:firstLine="420"/>
        <w:rPr>
          <w:rFonts w:ascii="宋体"/>
          <w:szCs w:val="21"/>
        </w:rPr>
      </w:pPr>
      <w:r>
        <w:rPr>
          <w:rFonts w:hint="eastAsia" w:ascii="宋体" w:hAnsi="宋体"/>
          <w:szCs w:val="21"/>
        </w:rPr>
        <w:t>校准规范规定需出具不确定度值，附录中给出了压痕仪校准结果测量不确定度的评定示例，以便本校准规范实施过程中具有可操作性。</w:t>
      </w:r>
    </w:p>
    <w:p>
      <w:pPr>
        <w:adjustRightInd w:val="0"/>
        <w:spacing w:line="360" w:lineRule="auto"/>
        <w:rPr>
          <w:rFonts w:ascii="黑体" w:hAnsi="宋体" w:eastAsia="黑体"/>
          <w:szCs w:val="21"/>
        </w:rPr>
      </w:pPr>
      <w:r>
        <w:rPr>
          <w:rFonts w:hint="eastAsia" w:ascii="黑体" w:hAnsi="宋体" w:eastAsia="黑体"/>
          <w:szCs w:val="21"/>
        </w:rPr>
        <w:t>三、标准水平分析</w:t>
      </w:r>
    </w:p>
    <w:p>
      <w:pPr>
        <w:adjustRightInd w:val="0"/>
        <w:spacing w:line="360" w:lineRule="auto"/>
        <w:rPr>
          <w:rFonts w:ascii="黑体" w:hAnsi="宋体" w:eastAsia="黑体"/>
          <w:szCs w:val="21"/>
        </w:rPr>
      </w:pPr>
      <w:r>
        <w:rPr>
          <w:rFonts w:ascii="黑体" w:hAnsi="宋体" w:eastAsia="黑体"/>
          <w:szCs w:val="21"/>
        </w:rPr>
        <w:t>3.1</w:t>
      </w:r>
      <w:r>
        <w:rPr>
          <w:rFonts w:hint="eastAsia" w:ascii="黑体" w:hAnsi="宋体" w:eastAsia="黑体"/>
          <w:szCs w:val="21"/>
        </w:rPr>
        <w:t>采用国际标准及国外先进标准的程度</w:t>
      </w:r>
    </w:p>
    <w:p>
      <w:pPr>
        <w:adjustRightInd w:val="0"/>
        <w:spacing w:line="360" w:lineRule="auto"/>
        <w:ind w:firstLine="420" w:firstLineChars="200"/>
        <w:rPr>
          <w:rFonts w:ascii="宋体"/>
          <w:szCs w:val="21"/>
        </w:rPr>
      </w:pPr>
      <w:r>
        <w:rPr>
          <w:rFonts w:hint="eastAsia" w:ascii="宋体" w:hAnsi="宋体"/>
          <w:szCs w:val="21"/>
        </w:rPr>
        <w:t>据查，目前国内外没有专门针对巴克霍尔兹压痕仪的校准规范。</w:t>
      </w:r>
    </w:p>
    <w:p>
      <w:pPr>
        <w:adjustRightInd w:val="0"/>
        <w:spacing w:line="360" w:lineRule="auto"/>
        <w:rPr>
          <w:rFonts w:ascii="黑体" w:hAnsi="宋体" w:eastAsia="黑体"/>
          <w:szCs w:val="21"/>
        </w:rPr>
      </w:pPr>
      <w:r>
        <w:rPr>
          <w:rFonts w:ascii="黑体" w:hAnsi="宋体" w:eastAsia="黑体"/>
          <w:szCs w:val="21"/>
        </w:rPr>
        <w:t>3.2</w:t>
      </w:r>
      <w:r>
        <w:rPr>
          <w:rFonts w:hint="eastAsia" w:ascii="黑体" w:hAnsi="宋体" w:eastAsia="黑体"/>
          <w:szCs w:val="21"/>
        </w:rPr>
        <w:t>与国际及国外同类标准水平的对比分析</w:t>
      </w:r>
    </w:p>
    <w:p>
      <w:pPr>
        <w:spacing w:line="360" w:lineRule="auto"/>
        <w:ind w:firstLine="420" w:firstLineChars="200"/>
        <w:rPr>
          <w:sz w:val="18"/>
        </w:rPr>
      </w:pPr>
      <w:r>
        <w:rPr>
          <w:rFonts w:hint="eastAsia" w:ascii="宋体" w:hAnsi="宋体"/>
          <w:szCs w:val="21"/>
        </w:rPr>
        <w:t>目前国外没有相关技术规范，本规范水平达到国内先进水平。</w:t>
      </w:r>
    </w:p>
    <w:p>
      <w:pPr>
        <w:adjustRightInd w:val="0"/>
        <w:spacing w:line="360" w:lineRule="auto"/>
        <w:rPr>
          <w:rFonts w:ascii="黑体" w:hAnsi="宋体" w:eastAsia="黑体"/>
          <w:szCs w:val="21"/>
        </w:rPr>
      </w:pPr>
      <w:r>
        <w:rPr>
          <w:rFonts w:hint="eastAsia" w:ascii="黑体" w:hAnsi="宋体" w:eastAsia="黑体"/>
          <w:szCs w:val="21"/>
        </w:rPr>
        <w:t>四、与有关的现行法律、法规和强制性国家标准的关系</w:t>
      </w:r>
    </w:p>
    <w:p>
      <w:pPr>
        <w:adjustRightInd w:val="0"/>
        <w:spacing w:line="360" w:lineRule="auto"/>
        <w:ind w:firstLine="420" w:firstLineChars="200"/>
        <w:rPr>
          <w:rFonts w:hAnsi="宋体"/>
          <w:szCs w:val="21"/>
        </w:rPr>
      </w:pPr>
      <w:r>
        <w:rPr>
          <w:rFonts w:hint="eastAsia" w:hAnsi="宋体"/>
          <w:szCs w:val="21"/>
        </w:rPr>
        <w:t>本规范与有关的现行法律、法规和国家计量技术规范具有一致性，无冲突之处。</w:t>
      </w:r>
    </w:p>
    <w:p>
      <w:pPr>
        <w:adjustRightInd w:val="0"/>
        <w:spacing w:line="360" w:lineRule="auto"/>
        <w:rPr>
          <w:rFonts w:ascii="黑体" w:hAnsi="宋体" w:eastAsia="黑体"/>
          <w:szCs w:val="21"/>
        </w:rPr>
      </w:pPr>
      <w:r>
        <w:rPr>
          <w:rFonts w:hint="eastAsia" w:ascii="黑体" w:hAnsi="宋体" w:eastAsia="黑体"/>
          <w:szCs w:val="21"/>
        </w:rPr>
        <w:t>五、重大分歧意见的处理经过和依据</w:t>
      </w:r>
    </w:p>
    <w:p>
      <w:pPr>
        <w:adjustRightInd w:val="0"/>
        <w:spacing w:line="360" w:lineRule="auto"/>
        <w:ind w:firstLine="420" w:firstLineChars="200"/>
        <w:rPr>
          <w:rFonts w:hAnsi="宋体"/>
          <w:szCs w:val="21"/>
        </w:rPr>
      </w:pPr>
      <w:r>
        <w:rPr>
          <w:rFonts w:hint="eastAsia" w:hAnsi="宋体"/>
          <w:szCs w:val="21"/>
        </w:rPr>
        <w:t>无</w:t>
      </w:r>
    </w:p>
    <w:p>
      <w:pPr>
        <w:adjustRightInd w:val="0"/>
        <w:spacing w:line="360" w:lineRule="auto"/>
        <w:rPr>
          <w:rFonts w:ascii="黑体" w:hAnsi="宋体" w:eastAsia="黑体"/>
          <w:szCs w:val="21"/>
        </w:rPr>
      </w:pPr>
      <w:r>
        <w:rPr>
          <w:rFonts w:hint="eastAsia" w:ascii="黑体" w:hAnsi="宋体" w:eastAsia="黑体"/>
          <w:szCs w:val="21"/>
        </w:rPr>
        <w:t>六、标准作为强制性或推荐性国家（或行业）标准的建议</w:t>
      </w:r>
    </w:p>
    <w:p>
      <w:pPr>
        <w:adjustRightInd w:val="0"/>
        <w:spacing w:line="360" w:lineRule="auto"/>
        <w:ind w:firstLine="420" w:firstLineChars="200"/>
        <w:rPr>
          <w:rFonts w:hAnsi="宋体"/>
          <w:szCs w:val="21"/>
        </w:rPr>
      </w:pPr>
      <w:r>
        <w:rPr>
          <w:rFonts w:hint="eastAsia" w:hAnsi="宋体"/>
          <w:szCs w:val="21"/>
        </w:rPr>
        <w:t>建议本规范作为推荐性行业计量技术规范，供相关行业参考采用。</w:t>
      </w:r>
    </w:p>
    <w:p>
      <w:pPr>
        <w:adjustRightInd w:val="0"/>
        <w:spacing w:line="360" w:lineRule="auto"/>
        <w:rPr>
          <w:rFonts w:ascii="黑体" w:hAnsi="宋体" w:eastAsia="黑体"/>
          <w:szCs w:val="21"/>
        </w:rPr>
      </w:pPr>
      <w:r>
        <w:rPr>
          <w:rFonts w:hint="eastAsia" w:ascii="黑体" w:hAnsi="宋体" w:eastAsia="黑体"/>
          <w:szCs w:val="21"/>
        </w:rPr>
        <w:t>七、贯彻标准的要求和措施建议</w:t>
      </w:r>
    </w:p>
    <w:p>
      <w:pPr>
        <w:adjustRightInd w:val="0"/>
        <w:spacing w:line="360" w:lineRule="auto"/>
        <w:ind w:firstLine="420" w:firstLineChars="200"/>
        <w:rPr>
          <w:rFonts w:hAnsi="宋体"/>
          <w:szCs w:val="21"/>
        </w:rPr>
      </w:pPr>
      <w:r>
        <w:rPr>
          <w:rFonts w:hint="eastAsia" w:hAnsi="宋体"/>
          <w:szCs w:val="21"/>
        </w:rPr>
        <w:t>无</w:t>
      </w:r>
    </w:p>
    <w:p>
      <w:pPr>
        <w:adjustRightInd w:val="0"/>
        <w:snapToGrid w:val="0"/>
        <w:spacing w:line="360" w:lineRule="auto"/>
        <w:rPr>
          <w:rFonts w:ascii="黑体" w:hAnsi="宋体" w:eastAsia="黑体"/>
          <w:szCs w:val="21"/>
        </w:rPr>
      </w:pPr>
      <w:r>
        <w:rPr>
          <w:rFonts w:hint="eastAsia" w:ascii="黑体" w:hAnsi="宋体" w:eastAsia="黑体"/>
          <w:szCs w:val="21"/>
        </w:rPr>
        <w:t>八、废止现行有关标准的建议</w:t>
      </w:r>
    </w:p>
    <w:p>
      <w:pPr>
        <w:adjustRightInd w:val="0"/>
        <w:snapToGrid w:val="0"/>
        <w:spacing w:line="360" w:lineRule="auto"/>
        <w:ind w:firstLine="420" w:firstLineChars="200"/>
        <w:rPr>
          <w:rFonts w:hAnsi="宋体"/>
          <w:szCs w:val="21"/>
        </w:rPr>
      </w:pPr>
      <w:r>
        <w:rPr>
          <w:rFonts w:hint="eastAsia" w:hAnsi="宋体"/>
          <w:szCs w:val="21"/>
        </w:rPr>
        <w:t>无</w:t>
      </w:r>
    </w:p>
    <w:p>
      <w:pPr>
        <w:spacing w:line="360" w:lineRule="auto"/>
        <w:rPr>
          <w:rFonts w:ascii="黑体" w:eastAsia="黑体"/>
        </w:rPr>
      </w:pPr>
      <w:r>
        <w:rPr>
          <w:rFonts w:hint="eastAsia" w:ascii="黑体" w:eastAsia="黑体"/>
        </w:rPr>
        <w:t>九、预期效果</w:t>
      </w:r>
    </w:p>
    <w:p>
      <w:pPr>
        <w:adjustRightInd w:val="0"/>
        <w:snapToGrid w:val="0"/>
        <w:spacing w:line="360" w:lineRule="auto"/>
        <w:ind w:firstLine="420" w:firstLineChars="200"/>
      </w:pPr>
      <w:r>
        <w:rPr>
          <w:rFonts w:hint="eastAsia"/>
        </w:rPr>
        <w:t>本规范的制定实施有利于</w:t>
      </w:r>
      <w:r>
        <w:rPr>
          <w:rFonts w:hint="eastAsia" w:ascii="宋体" w:eastAsia="方正行楷简体"/>
          <w:kern w:val="0"/>
          <w:szCs w:val="21"/>
        </w:rPr>
        <w:t>规范巴克霍尔兹压痕仪的验收和校准，</w:t>
      </w:r>
      <w:r>
        <w:rPr>
          <w:rFonts w:hint="eastAsia"/>
        </w:rPr>
        <w:t>进一步促进</w:t>
      </w:r>
      <w:r>
        <w:rPr>
          <w:rFonts w:hint="eastAsia" w:ascii="宋体" w:eastAsia="方正行楷简体"/>
          <w:kern w:val="0"/>
          <w:szCs w:val="21"/>
        </w:rPr>
        <w:t>巴克霍尔兹压痕仪</w:t>
      </w:r>
      <w:r>
        <w:rPr>
          <w:rFonts w:hint="eastAsia"/>
        </w:rPr>
        <w:t>在漆膜压痕硬度中的运用。</w:t>
      </w:r>
    </w:p>
    <w:p>
      <w:pPr>
        <w:adjustRightInd w:val="0"/>
        <w:snapToGrid w:val="0"/>
        <w:spacing w:line="360" w:lineRule="auto"/>
        <w:rPr>
          <w:rFonts w:ascii="黑体" w:hAnsi="宋体" w:eastAsia="黑体"/>
          <w:szCs w:val="21"/>
        </w:rPr>
      </w:pPr>
      <w:r>
        <w:rPr>
          <w:rFonts w:hint="eastAsia" w:ascii="黑体" w:hAnsi="宋体" w:eastAsia="黑体"/>
          <w:szCs w:val="21"/>
        </w:rPr>
        <w:t>十、其他应予说明的事项</w:t>
      </w:r>
    </w:p>
    <w:p>
      <w:pPr>
        <w:spacing w:line="360" w:lineRule="auto"/>
      </w:pPr>
      <w:r>
        <w:rPr>
          <w:rFonts w:hint="eastAsia"/>
        </w:rPr>
        <w:t>无。</w:t>
      </w:r>
    </w:p>
    <w:p>
      <w:pPr>
        <w:adjustRightInd w:val="0"/>
        <w:snapToGrid w:val="0"/>
        <w:spacing w:line="360" w:lineRule="auto"/>
        <w:textAlignment w:val="top"/>
      </w:pPr>
    </w:p>
    <w:p>
      <w:pPr>
        <w:spacing w:line="360" w:lineRule="auto"/>
        <w:jc w:val="right"/>
        <w:rPr>
          <w:rFonts w:ascii="黑体" w:hAnsi="黑体" w:eastAsia="黑体"/>
          <w:b/>
          <w:szCs w:val="21"/>
        </w:rPr>
      </w:pPr>
      <w:r>
        <w:rPr>
          <w:rFonts w:asci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w:t>
      </w:r>
      <w:r>
        <w:rPr>
          <w:rFonts w:hint="eastAsia" w:ascii="宋体" w:eastAsia="方正行楷简体"/>
          <w:b/>
          <w:kern w:val="0"/>
          <w:szCs w:val="21"/>
        </w:rPr>
        <w:t>巴克霍尔兹压痕仪校准规范》标准编制组</w:t>
      </w:r>
    </w:p>
    <w:p>
      <w:pPr>
        <w:adjustRightInd w:val="0"/>
        <w:snapToGrid w:val="0"/>
        <w:spacing w:line="360" w:lineRule="auto"/>
        <w:ind w:right="105"/>
        <w:jc w:val="right"/>
        <w:textAlignment w:val="top"/>
        <w:rPr>
          <w:rFonts w:ascii="黑体" w:eastAsia="黑体"/>
        </w:rPr>
      </w:pPr>
      <w:r>
        <w:rPr>
          <w:rFonts w:ascii="黑体" w:eastAsia="黑体"/>
        </w:rPr>
        <w:t>2019</w:t>
      </w:r>
      <w:r>
        <w:rPr>
          <w:rFonts w:hint="eastAsia" w:ascii="黑体" w:eastAsia="黑体"/>
        </w:rPr>
        <w:t>年</w:t>
      </w:r>
      <w:r>
        <w:rPr>
          <w:rFonts w:ascii="黑体" w:eastAsia="黑体"/>
        </w:rPr>
        <w:t>9</w:t>
      </w:r>
      <w:r>
        <w:rPr>
          <w:rFonts w:hint="eastAsia" w:ascii="黑体" w:eastAsia="黑体"/>
        </w:rPr>
        <w:t>月</w:t>
      </w:r>
      <w:r>
        <w:rPr>
          <w:rFonts w:ascii="黑体" w:eastAsia="黑体"/>
        </w:rPr>
        <w:t>10</w:t>
      </w:r>
      <w:r>
        <w:rPr>
          <w:rFonts w:hint="eastAsia" w:ascii="黑体" w:eastAsia="黑体"/>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 PAGE   \* MERGEFORMAT </w:instrText>
    </w:r>
    <w:r>
      <w:fldChar w:fldCharType="separate"/>
    </w:r>
    <w:r>
      <w:rPr>
        <w:lang w:val="zh-CN"/>
      </w:rPr>
      <w:t>3</w:t>
    </w:r>
    <w:r>
      <w:rPr>
        <w:lang w:val="zh-CN"/>
      </w:rPr>
      <w:fldChar w:fldCharType="end"/>
    </w:r>
    <w:r>
      <w:rPr>
        <w:rFonts w:hint="eastAsia"/>
      </w:rPr>
      <w:t>页共</w:t>
    </w:r>
    <w:r>
      <w:t>3</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21"/>
      <w:suff w:val="nothing"/>
      <w:lvlText w:val="%1"/>
      <w:lvlJc w:val="left"/>
      <w:rPr>
        <w:rFonts w:hint="default" w:ascii="Times New Roman" w:hAnsi="Times New Roman" w:cs="Times New Roman"/>
        <w:b/>
        <w:i w:val="0"/>
        <w:sz w:val="21"/>
      </w:rPr>
    </w:lvl>
    <w:lvl w:ilvl="1" w:tentative="0">
      <w:start w:val="1"/>
      <w:numFmt w:val="decimal"/>
      <w:pStyle w:val="22"/>
      <w:suff w:val="nothing"/>
      <w:lvlText w:val="%1%2　"/>
      <w:lvlJc w:val="left"/>
      <w:rPr>
        <w:rFonts w:hint="eastAsia" w:ascii="黑体" w:hAnsi="Times New Roman" w:eastAsia="黑体" w:cs="Times New Roman"/>
        <w:b w:val="0"/>
        <w:i w:val="0"/>
        <w:sz w:val="21"/>
      </w:rPr>
    </w:lvl>
    <w:lvl w:ilvl="2" w:tentative="0">
      <w:start w:val="1"/>
      <w:numFmt w:val="decimal"/>
      <w:pStyle w:val="23"/>
      <w:suff w:val="nothing"/>
      <w:lvlText w:val="%1%2.%3　"/>
      <w:lvlJc w:val="left"/>
      <w:rPr>
        <w:rFonts w:hint="eastAsia" w:ascii="黑体" w:hAnsi="Times New Roman" w:eastAsia="黑体" w:cs="Times New Roman"/>
        <w:b w:val="0"/>
        <w:i w:val="0"/>
        <w:sz w:val="21"/>
      </w:rPr>
    </w:lvl>
    <w:lvl w:ilvl="3" w:tentative="0">
      <w:start w:val="1"/>
      <w:numFmt w:val="decimal"/>
      <w:pStyle w:val="24"/>
      <w:suff w:val="nothing"/>
      <w:lvlText w:val="%1%2.%3.%4　"/>
      <w:lvlJc w:val="left"/>
      <w:rPr>
        <w:rFonts w:hint="eastAsia" w:ascii="黑体" w:hAnsi="Times New Roman" w:eastAsia="黑体" w:cs="Times New Roman"/>
        <w:b w:val="0"/>
        <w:i w:val="0"/>
        <w:sz w:val="21"/>
      </w:rPr>
    </w:lvl>
    <w:lvl w:ilvl="4" w:tentative="0">
      <w:start w:val="1"/>
      <w:numFmt w:val="decimal"/>
      <w:pStyle w:val="25"/>
      <w:suff w:val="nothing"/>
      <w:lvlText w:val="%1%2.%3.%4.%5　"/>
      <w:lvlJc w:val="left"/>
      <w:rPr>
        <w:rFonts w:hint="eastAsia" w:ascii="黑体" w:hAnsi="Times New Roman" w:eastAsia="黑体" w:cs="Times New Roman"/>
        <w:b w:val="0"/>
        <w:i w:val="0"/>
        <w:sz w:val="21"/>
      </w:rPr>
    </w:lvl>
    <w:lvl w:ilvl="5" w:tentative="0">
      <w:start w:val="1"/>
      <w:numFmt w:val="decimal"/>
      <w:pStyle w:val="26"/>
      <w:suff w:val="nothing"/>
      <w:lvlText w:val="%1%2.%3.%4.%5.%6　"/>
      <w:lvlJc w:val="left"/>
      <w:rPr>
        <w:rFonts w:hint="eastAsia" w:ascii="黑体" w:hAnsi="Times New Roman" w:eastAsia="黑体" w:cs="Times New Roman"/>
        <w:b w:val="0"/>
        <w:i w:val="0"/>
        <w:sz w:val="21"/>
      </w:rPr>
    </w:lvl>
    <w:lvl w:ilvl="6" w:tentative="0">
      <w:start w:val="1"/>
      <w:numFmt w:val="decimal"/>
      <w:pStyle w:val="2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72AE480C"/>
    <w:multiLevelType w:val="multilevel"/>
    <w:tmpl w:val="72AE480C"/>
    <w:lvl w:ilvl="0" w:tentative="0">
      <w:start w:val="1"/>
      <w:numFmt w:val="decimal"/>
      <w:lvlText w:val="%1)"/>
      <w:lvlJc w:val="left"/>
      <w:pPr>
        <w:ind w:left="934" w:hanging="420"/>
      </w:pPr>
      <w:rPr>
        <w:rFonts w:cs="Times New Roman"/>
      </w:rPr>
    </w:lvl>
    <w:lvl w:ilvl="1" w:tentative="0">
      <w:start w:val="4"/>
      <w:numFmt w:val="decimal"/>
      <w:lvlText w:val="%2）"/>
      <w:lvlJc w:val="left"/>
      <w:pPr>
        <w:tabs>
          <w:tab w:val="left" w:pos="1294"/>
        </w:tabs>
        <w:ind w:left="1294" w:hanging="360"/>
      </w:pPr>
      <w:rPr>
        <w:rFonts w:hint="default" w:cs="Times New Roman"/>
      </w:rPr>
    </w:lvl>
    <w:lvl w:ilvl="2" w:tentative="0">
      <w:start w:val="1"/>
      <w:numFmt w:val="lowerRoman"/>
      <w:lvlText w:val="%3."/>
      <w:lvlJc w:val="right"/>
      <w:pPr>
        <w:ind w:left="1774" w:hanging="420"/>
      </w:pPr>
      <w:rPr>
        <w:rFonts w:cs="Times New Roman"/>
      </w:rPr>
    </w:lvl>
    <w:lvl w:ilvl="3" w:tentative="0">
      <w:start w:val="1"/>
      <w:numFmt w:val="decimal"/>
      <w:lvlText w:val="%4."/>
      <w:lvlJc w:val="left"/>
      <w:pPr>
        <w:ind w:left="2194" w:hanging="420"/>
      </w:pPr>
      <w:rPr>
        <w:rFonts w:cs="Times New Roman"/>
      </w:rPr>
    </w:lvl>
    <w:lvl w:ilvl="4" w:tentative="0">
      <w:start w:val="1"/>
      <w:numFmt w:val="lowerLetter"/>
      <w:lvlText w:val="%5)"/>
      <w:lvlJc w:val="left"/>
      <w:pPr>
        <w:ind w:left="2614" w:hanging="420"/>
      </w:pPr>
      <w:rPr>
        <w:rFonts w:cs="Times New Roman"/>
      </w:rPr>
    </w:lvl>
    <w:lvl w:ilvl="5" w:tentative="0">
      <w:start w:val="1"/>
      <w:numFmt w:val="lowerRoman"/>
      <w:lvlText w:val="%6."/>
      <w:lvlJc w:val="right"/>
      <w:pPr>
        <w:ind w:left="3034" w:hanging="420"/>
      </w:pPr>
      <w:rPr>
        <w:rFonts w:cs="Times New Roman"/>
      </w:rPr>
    </w:lvl>
    <w:lvl w:ilvl="6" w:tentative="0">
      <w:start w:val="1"/>
      <w:numFmt w:val="decimal"/>
      <w:lvlText w:val="%7."/>
      <w:lvlJc w:val="left"/>
      <w:pPr>
        <w:ind w:left="3454" w:hanging="420"/>
      </w:pPr>
      <w:rPr>
        <w:rFonts w:cs="Times New Roman"/>
      </w:rPr>
    </w:lvl>
    <w:lvl w:ilvl="7" w:tentative="0">
      <w:start w:val="1"/>
      <w:numFmt w:val="lowerLetter"/>
      <w:lvlText w:val="%8)"/>
      <w:lvlJc w:val="left"/>
      <w:pPr>
        <w:ind w:left="3874" w:hanging="420"/>
      </w:pPr>
      <w:rPr>
        <w:rFonts w:cs="Times New Roman"/>
      </w:rPr>
    </w:lvl>
    <w:lvl w:ilvl="8" w:tentative="0">
      <w:start w:val="1"/>
      <w:numFmt w:val="lowerRoman"/>
      <w:lvlText w:val="%9."/>
      <w:lvlJc w:val="right"/>
      <w:pPr>
        <w:ind w:left="4294"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78"/>
    <w:rsid w:val="000022A2"/>
    <w:rsid w:val="0000397C"/>
    <w:rsid w:val="00005248"/>
    <w:rsid w:val="00011B64"/>
    <w:rsid w:val="000130A5"/>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42CE"/>
    <w:rsid w:val="002611C1"/>
    <w:rsid w:val="00261E29"/>
    <w:rsid w:val="002673D6"/>
    <w:rsid w:val="00267A6F"/>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F1780"/>
    <w:rsid w:val="002F1D14"/>
    <w:rsid w:val="002F1E35"/>
    <w:rsid w:val="002F2B20"/>
    <w:rsid w:val="002F3D25"/>
    <w:rsid w:val="00302D96"/>
    <w:rsid w:val="00306CBB"/>
    <w:rsid w:val="00307AE2"/>
    <w:rsid w:val="0032613D"/>
    <w:rsid w:val="0032615E"/>
    <w:rsid w:val="0032788A"/>
    <w:rsid w:val="0033162F"/>
    <w:rsid w:val="003325E2"/>
    <w:rsid w:val="00334EDB"/>
    <w:rsid w:val="00336CD7"/>
    <w:rsid w:val="00337245"/>
    <w:rsid w:val="0034161D"/>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A0C36"/>
    <w:rsid w:val="003A29CE"/>
    <w:rsid w:val="003A3CFD"/>
    <w:rsid w:val="003A44C5"/>
    <w:rsid w:val="003A4D0B"/>
    <w:rsid w:val="003A7365"/>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5974"/>
    <w:rsid w:val="00467BAC"/>
    <w:rsid w:val="00472D5E"/>
    <w:rsid w:val="00473301"/>
    <w:rsid w:val="00473571"/>
    <w:rsid w:val="0047495C"/>
    <w:rsid w:val="00481838"/>
    <w:rsid w:val="00481A32"/>
    <w:rsid w:val="00481B91"/>
    <w:rsid w:val="00494416"/>
    <w:rsid w:val="00494FFF"/>
    <w:rsid w:val="00495E20"/>
    <w:rsid w:val="004A154E"/>
    <w:rsid w:val="004A183D"/>
    <w:rsid w:val="004A6F2B"/>
    <w:rsid w:val="004A6F8C"/>
    <w:rsid w:val="004A7D7E"/>
    <w:rsid w:val="004B116A"/>
    <w:rsid w:val="004B5F82"/>
    <w:rsid w:val="004B671C"/>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6333"/>
    <w:rsid w:val="005B6427"/>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5035"/>
    <w:rsid w:val="006703F3"/>
    <w:rsid w:val="00670582"/>
    <w:rsid w:val="0067203B"/>
    <w:rsid w:val="00672ACB"/>
    <w:rsid w:val="00673479"/>
    <w:rsid w:val="0067570C"/>
    <w:rsid w:val="0067714B"/>
    <w:rsid w:val="00684A82"/>
    <w:rsid w:val="00685142"/>
    <w:rsid w:val="006868C0"/>
    <w:rsid w:val="00692A1B"/>
    <w:rsid w:val="006956EC"/>
    <w:rsid w:val="006958B4"/>
    <w:rsid w:val="006961CC"/>
    <w:rsid w:val="00697846"/>
    <w:rsid w:val="006A1024"/>
    <w:rsid w:val="006A15F0"/>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C75"/>
    <w:rsid w:val="008C738D"/>
    <w:rsid w:val="008D063A"/>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4AD8"/>
    <w:rsid w:val="00926568"/>
    <w:rsid w:val="00926C8D"/>
    <w:rsid w:val="00927191"/>
    <w:rsid w:val="00930619"/>
    <w:rsid w:val="00930C82"/>
    <w:rsid w:val="009324E9"/>
    <w:rsid w:val="009330E6"/>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236"/>
    <w:rsid w:val="009F0C43"/>
    <w:rsid w:val="009F5241"/>
    <w:rsid w:val="00A042B0"/>
    <w:rsid w:val="00A051CE"/>
    <w:rsid w:val="00A0713C"/>
    <w:rsid w:val="00A11B0D"/>
    <w:rsid w:val="00A1444C"/>
    <w:rsid w:val="00A14B7C"/>
    <w:rsid w:val="00A15BA7"/>
    <w:rsid w:val="00A2051C"/>
    <w:rsid w:val="00A216E0"/>
    <w:rsid w:val="00A33BBD"/>
    <w:rsid w:val="00A347A3"/>
    <w:rsid w:val="00A36707"/>
    <w:rsid w:val="00A36EF3"/>
    <w:rsid w:val="00A376DC"/>
    <w:rsid w:val="00A37EEF"/>
    <w:rsid w:val="00A42D69"/>
    <w:rsid w:val="00A53873"/>
    <w:rsid w:val="00A56373"/>
    <w:rsid w:val="00A63992"/>
    <w:rsid w:val="00A66BDB"/>
    <w:rsid w:val="00A73DD1"/>
    <w:rsid w:val="00A76D8C"/>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778E"/>
    <w:rsid w:val="00B62317"/>
    <w:rsid w:val="00B67D13"/>
    <w:rsid w:val="00B81391"/>
    <w:rsid w:val="00B83C93"/>
    <w:rsid w:val="00B93078"/>
    <w:rsid w:val="00B93358"/>
    <w:rsid w:val="00B9366B"/>
    <w:rsid w:val="00B9383E"/>
    <w:rsid w:val="00BA1A3A"/>
    <w:rsid w:val="00BA6B4A"/>
    <w:rsid w:val="00BA6F6D"/>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3C1F"/>
    <w:rsid w:val="00C53DA5"/>
    <w:rsid w:val="00C566FB"/>
    <w:rsid w:val="00C5743F"/>
    <w:rsid w:val="00C616E8"/>
    <w:rsid w:val="00C71955"/>
    <w:rsid w:val="00C72F04"/>
    <w:rsid w:val="00C75CDC"/>
    <w:rsid w:val="00C8333A"/>
    <w:rsid w:val="00C87741"/>
    <w:rsid w:val="00C90344"/>
    <w:rsid w:val="00CA381C"/>
    <w:rsid w:val="00CA3F07"/>
    <w:rsid w:val="00CB0CCE"/>
    <w:rsid w:val="00CB51A3"/>
    <w:rsid w:val="00CB6203"/>
    <w:rsid w:val="00CC02B2"/>
    <w:rsid w:val="00CC2FDF"/>
    <w:rsid w:val="00CC77F1"/>
    <w:rsid w:val="00CD047A"/>
    <w:rsid w:val="00CD09C2"/>
    <w:rsid w:val="00CD2BCB"/>
    <w:rsid w:val="00CD5536"/>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7533"/>
    <w:rsid w:val="00D57DFC"/>
    <w:rsid w:val="00D6076E"/>
    <w:rsid w:val="00D60771"/>
    <w:rsid w:val="00D614FE"/>
    <w:rsid w:val="00D64070"/>
    <w:rsid w:val="00D643CD"/>
    <w:rsid w:val="00D649DC"/>
    <w:rsid w:val="00D66E4E"/>
    <w:rsid w:val="00D70517"/>
    <w:rsid w:val="00D7440F"/>
    <w:rsid w:val="00D74A3C"/>
    <w:rsid w:val="00D7521E"/>
    <w:rsid w:val="00D90D29"/>
    <w:rsid w:val="00D934F1"/>
    <w:rsid w:val="00D9474A"/>
    <w:rsid w:val="00D94A92"/>
    <w:rsid w:val="00D97B9A"/>
    <w:rsid w:val="00DA1217"/>
    <w:rsid w:val="00DA2CFE"/>
    <w:rsid w:val="00DA3D14"/>
    <w:rsid w:val="00DA7599"/>
    <w:rsid w:val="00DB436B"/>
    <w:rsid w:val="00DB4497"/>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6C66"/>
    <w:rsid w:val="00E306E3"/>
    <w:rsid w:val="00E36D22"/>
    <w:rsid w:val="00E40EDF"/>
    <w:rsid w:val="00E43CDD"/>
    <w:rsid w:val="00E44ADE"/>
    <w:rsid w:val="00E5444E"/>
    <w:rsid w:val="00E55855"/>
    <w:rsid w:val="00E563BD"/>
    <w:rsid w:val="00E56851"/>
    <w:rsid w:val="00E56C9E"/>
    <w:rsid w:val="00E62C7D"/>
    <w:rsid w:val="00E66957"/>
    <w:rsid w:val="00E71E84"/>
    <w:rsid w:val="00E72A57"/>
    <w:rsid w:val="00E751A5"/>
    <w:rsid w:val="00E77032"/>
    <w:rsid w:val="00E77629"/>
    <w:rsid w:val="00E9022B"/>
    <w:rsid w:val="00E9366B"/>
    <w:rsid w:val="00E9563C"/>
    <w:rsid w:val="00EA0DD7"/>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AA9"/>
    <w:rsid w:val="00ED3AAD"/>
    <w:rsid w:val="00EE2011"/>
    <w:rsid w:val="00EF1E33"/>
    <w:rsid w:val="00EF236D"/>
    <w:rsid w:val="00EF4636"/>
    <w:rsid w:val="00EF663C"/>
    <w:rsid w:val="00F01AB9"/>
    <w:rsid w:val="00F10E86"/>
    <w:rsid w:val="00F21FA7"/>
    <w:rsid w:val="00F2297B"/>
    <w:rsid w:val="00F2625E"/>
    <w:rsid w:val="00F41C74"/>
    <w:rsid w:val="00F42CD3"/>
    <w:rsid w:val="00F437A1"/>
    <w:rsid w:val="00F43FC6"/>
    <w:rsid w:val="00F46E95"/>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5BBE3B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9"/>
    <w:qFormat/>
    <w:uiPriority w:val="99"/>
    <w:pPr>
      <w:ind w:left="100" w:leftChars="2500"/>
    </w:pPr>
  </w:style>
  <w:style w:type="paragraph" w:styleId="4">
    <w:name w:val="Balloon Text"/>
    <w:basedOn w:val="1"/>
    <w:link w:val="18"/>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2"/>
    <w:uiPriority w:val="99"/>
    <w:pPr>
      <w:spacing w:after="120" w:line="480" w:lineRule="auto"/>
    </w:p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Heading 2 Char"/>
    <w:basedOn w:val="10"/>
    <w:link w:val="2"/>
    <w:locked/>
    <w:uiPriority w:val="99"/>
    <w:rPr>
      <w:rFonts w:ascii="Arial" w:hAnsi="Arial" w:eastAsia="黑体" w:cs="Times New Roman"/>
      <w:b/>
      <w:bCs/>
      <w:kern w:val="2"/>
      <w:sz w:val="32"/>
      <w:szCs w:val="32"/>
    </w:rPr>
  </w:style>
  <w:style w:type="character" w:customStyle="1" w:styleId="12">
    <w:name w:val="Body Text 2 Char"/>
    <w:basedOn w:val="10"/>
    <w:link w:val="7"/>
    <w:semiHidden/>
    <w:locked/>
    <w:uiPriority w:val="99"/>
    <w:rPr>
      <w:rFonts w:cs="Times New Roman"/>
      <w:sz w:val="24"/>
      <w:szCs w:val="24"/>
    </w:rPr>
  </w:style>
  <w:style w:type="paragraph" w:customStyle="1" w:styleId="13">
    <w:name w:val="段"/>
    <w:link w:val="16"/>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4">
    <w:name w:val="Header Char"/>
    <w:basedOn w:val="10"/>
    <w:link w:val="6"/>
    <w:semiHidden/>
    <w:locked/>
    <w:uiPriority w:val="99"/>
    <w:rPr>
      <w:rFonts w:cs="Times New Roman"/>
      <w:sz w:val="18"/>
      <w:szCs w:val="18"/>
    </w:rPr>
  </w:style>
  <w:style w:type="character" w:customStyle="1" w:styleId="15">
    <w:name w:val="Footer Char"/>
    <w:basedOn w:val="10"/>
    <w:link w:val="5"/>
    <w:locked/>
    <w:uiPriority w:val="99"/>
    <w:rPr>
      <w:rFonts w:cs="Times New Roman"/>
      <w:kern w:val="2"/>
      <w:sz w:val="18"/>
      <w:szCs w:val="18"/>
    </w:rPr>
  </w:style>
  <w:style w:type="character" w:customStyle="1" w:styleId="16">
    <w:name w:val="段 Char"/>
    <w:basedOn w:val="10"/>
    <w:link w:val="13"/>
    <w:locked/>
    <w:uiPriority w:val="99"/>
    <w:rPr>
      <w:rFonts w:ascii="宋体" w:cs="Times New Roman"/>
      <w:sz w:val="21"/>
      <w:lang w:val="en-US" w:eastAsia="zh-CN" w:bidi="ar-SA"/>
    </w:rPr>
  </w:style>
  <w:style w:type="character" w:styleId="17">
    <w:name w:val="Placeholder Text"/>
    <w:basedOn w:val="10"/>
    <w:semiHidden/>
    <w:uiPriority w:val="99"/>
    <w:rPr>
      <w:rFonts w:cs="Times New Roman"/>
      <w:color w:val="808080"/>
    </w:rPr>
  </w:style>
  <w:style w:type="character" w:customStyle="1" w:styleId="18">
    <w:name w:val="Balloon Text Char"/>
    <w:basedOn w:val="10"/>
    <w:link w:val="4"/>
    <w:qFormat/>
    <w:locked/>
    <w:uiPriority w:val="99"/>
    <w:rPr>
      <w:rFonts w:cs="Times New Roman"/>
      <w:kern w:val="2"/>
      <w:sz w:val="18"/>
      <w:szCs w:val="18"/>
    </w:rPr>
  </w:style>
  <w:style w:type="character" w:customStyle="1" w:styleId="19">
    <w:name w:val="Date Char"/>
    <w:basedOn w:val="10"/>
    <w:link w:val="3"/>
    <w:qFormat/>
    <w:locked/>
    <w:uiPriority w:val="99"/>
    <w:rPr>
      <w:rFonts w:cs="Times New Roman"/>
      <w:kern w:val="2"/>
      <w:sz w:val="24"/>
      <w:szCs w:val="24"/>
    </w:rPr>
  </w:style>
  <w:style w:type="paragraph" w:styleId="20">
    <w:name w:val="List Paragraph"/>
    <w:basedOn w:val="1"/>
    <w:qFormat/>
    <w:uiPriority w:val="99"/>
    <w:pPr>
      <w:ind w:firstLine="420" w:firstLineChars="200"/>
    </w:pPr>
  </w:style>
  <w:style w:type="paragraph" w:customStyle="1" w:styleId="21">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2">
    <w:name w:val="章标题"/>
    <w:next w:val="13"/>
    <w:qFormat/>
    <w:uiPriority w:val="99"/>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3">
    <w:name w:val="一级条标题"/>
    <w:basedOn w:val="22"/>
    <w:next w:val="13"/>
    <w:link w:val="28"/>
    <w:qFormat/>
    <w:uiPriority w:val="99"/>
    <w:pPr>
      <w:numPr>
        <w:ilvl w:val="2"/>
      </w:numPr>
      <w:spacing w:beforeLines="0" w:afterLines="0"/>
      <w:outlineLvl w:val="2"/>
    </w:pPr>
  </w:style>
  <w:style w:type="paragraph" w:customStyle="1" w:styleId="24">
    <w:name w:val="二级条标题"/>
    <w:basedOn w:val="23"/>
    <w:next w:val="13"/>
    <w:qFormat/>
    <w:uiPriority w:val="99"/>
    <w:pPr>
      <w:numPr>
        <w:ilvl w:val="3"/>
      </w:numPr>
      <w:ind w:left="2310" w:hanging="420"/>
      <w:outlineLvl w:val="3"/>
    </w:pPr>
  </w:style>
  <w:style w:type="paragraph" w:customStyle="1" w:styleId="25">
    <w:name w:val="三级条标题"/>
    <w:basedOn w:val="24"/>
    <w:next w:val="13"/>
    <w:qFormat/>
    <w:uiPriority w:val="99"/>
    <w:pPr>
      <w:numPr>
        <w:ilvl w:val="4"/>
      </w:numPr>
      <w:ind w:left="2730"/>
      <w:outlineLvl w:val="4"/>
    </w:pPr>
  </w:style>
  <w:style w:type="paragraph" w:customStyle="1" w:styleId="26">
    <w:name w:val="四级条标题"/>
    <w:basedOn w:val="25"/>
    <w:next w:val="13"/>
    <w:qFormat/>
    <w:uiPriority w:val="99"/>
    <w:pPr>
      <w:numPr>
        <w:ilvl w:val="5"/>
      </w:numPr>
      <w:ind w:left="3150"/>
      <w:outlineLvl w:val="5"/>
    </w:pPr>
  </w:style>
  <w:style w:type="paragraph" w:customStyle="1" w:styleId="27">
    <w:name w:val="五级条标题"/>
    <w:basedOn w:val="26"/>
    <w:next w:val="13"/>
    <w:qFormat/>
    <w:uiPriority w:val="99"/>
    <w:pPr>
      <w:numPr>
        <w:ilvl w:val="6"/>
      </w:numPr>
      <w:ind w:left="3570"/>
      <w:outlineLvl w:val="6"/>
    </w:pPr>
  </w:style>
  <w:style w:type="character" w:customStyle="1" w:styleId="28">
    <w:name w:val="一级条标题 Char"/>
    <w:link w:val="23"/>
    <w:qFormat/>
    <w:locked/>
    <w:uiPriority w:val="99"/>
    <w:rPr>
      <w:rFonts w:ascii="黑体" w:eastAsia="黑体"/>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Pages>
  <Words>348</Words>
  <Characters>1989</Characters>
  <Lines>0</Lines>
  <Paragraphs>0</Paragraphs>
  <TotalTime>12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2019-09-10T03:10:00Z</dcterms:created>
  <dc:creator>USER</dc:creator>
  <cp:lastModifiedBy>liqiujuan</cp:lastModifiedBy>
  <cp:lastPrinted>2013-05-26T06:25:00Z</cp:lastPrinted>
  <dcterms:modified xsi:type="dcterms:W3CDTF">2019-11-15T03:09:45Z</dcterms:modified>
  <dc:title>GB/T11105-2011《金属粉末-压坯的拉托拉试验》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