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bookmarkStart w:id="70" w:name="_GoBack"/>
      <w:bookmarkEnd w:id="70"/>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hint="eastAsia" w:ascii="宋体" w:hAnsi="宋体" w:eastAsia="宋体" w:cs="宋体"/>
                                <w:spacing w:val="58"/>
                                <w:w w:val="120"/>
                                <w:sz w:val="28"/>
                                <w:szCs w:val="28"/>
                              </w:rPr>
                            </w:pPr>
                            <w:r>
                              <w:rPr>
                                <w:rFonts w:hint="eastAsia" w:ascii="宋体" w:hAnsi="宋体" w:eastAsia="宋体" w:cs="宋体"/>
                                <w:spacing w:val="58"/>
                                <w:w w:val="120"/>
                                <w:sz w:val="28"/>
                                <w:szCs w:val="28"/>
                              </w:rPr>
                              <w:t>铝合金阳极氧化膜及有机聚合物膜</w:t>
                            </w:r>
                          </w:p>
                          <w:p>
                            <w:pPr>
                              <w:jc w:val="center"/>
                              <w:rPr>
                                <w:rFonts w:hint="eastAsia" w:ascii="宋体" w:hAnsi="宋体" w:eastAsia="宋体" w:cs="宋体"/>
                                <w:spacing w:val="58"/>
                                <w:w w:val="120"/>
                                <w:sz w:val="28"/>
                                <w:szCs w:val="28"/>
                              </w:rPr>
                            </w:pPr>
                            <w:r>
                              <w:rPr>
                                <w:rFonts w:hint="eastAsia" w:ascii="宋体" w:hAnsi="宋体" w:eastAsia="宋体" w:cs="宋体"/>
                                <w:spacing w:val="58"/>
                                <w:w w:val="120"/>
                                <w:sz w:val="28"/>
                                <w:szCs w:val="28"/>
                              </w:rPr>
                              <w:t>喷磨试验仪校准规范</w:t>
                            </w:r>
                          </w:p>
                          <w:p>
                            <w:pPr>
                              <w:jc w:val="center"/>
                              <w:rPr>
                                <w:rFonts w:hint="eastAsia" w:ascii="宋体" w:hAnsi="宋体" w:eastAsia="宋体" w:cs="宋体"/>
                                <w:sz w:val="28"/>
                                <w:szCs w:val="28"/>
                              </w:rPr>
                            </w:pPr>
                            <w:r>
                              <w:rPr>
                                <w:rFonts w:hint="eastAsia" w:ascii="宋体" w:hAnsi="宋体" w:eastAsia="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eastAsia="zh-CN"/>
                              </w:rPr>
                              <w:t>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jc w:val="center"/>
                        <w:rPr>
                          <w:rFonts w:hint="eastAsia" w:ascii="宋体" w:hAnsi="宋体" w:eastAsia="宋体" w:cs="宋体"/>
                          <w:spacing w:val="58"/>
                          <w:w w:val="120"/>
                          <w:sz w:val="28"/>
                          <w:szCs w:val="28"/>
                        </w:rPr>
                      </w:pPr>
                      <w:r>
                        <w:rPr>
                          <w:rFonts w:hint="eastAsia" w:ascii="宋体" w:hAnsi="宋体" w:eastAsia="宋体" w:cs="宋体"/>
                          <w:spacing w:val="58"/>
                          <w:w w:val="120"/>
                          <w:sz w:val="28"/>
                          <w:szCs w:val="28"/>
                        </w:rPr>
                        <w:t>铝合金阳极氧化膜及有机聚合物膜</w:t>
                      </w:r>
                    </w:p>
                    <w:p>
                      <w:pPr>
                        <w:jc w:val="center"/>
                        <w:rPr>
                          <w:rFonts w:hint="eastAsia" w:ascii="宋体" w:hAnsi="宋体" w:eastAsia="宋体" w:cs="宋体"/>
                          <w:spacing w:val="58"/>
                          <w:w w:val="120"/>
                          <w:sz w:val="28"/>
                          <w:szCs w:val="28"/>
                        </w:rPr>
                      </w:pPr>
                      <w:r>
                        <w:rPr>
                          <w:rFonts w:hint="eastAsia" w:ascii="宋体" w:hAnsi="宋体" w:eastAsia="宋体" w:cs="宋体"/>
                          <w:spacing w:val="58"/>
                          <w:w w:val="120"/>
                          <w:sz w:val="28"/>
                          <w:szCs w:val="28"/>
                        </w:rPr>
                        <w:t>喷磨试验仪校准规范</w:t>
                      </w:r>
                    </w:p>
                    <w:p>
                      <w:pPr>
                        <w:jc w:val="center"/>
                        <w:rPr>
                          <w:rFonts w:hint="eastAsia" w:ascii="宋体" w:hAnsi="宋体" w:eastAsia="宋体" w:cs="宋体"/>
                          <w:sz w:val="28"/>
                          <w:szCs w:val="28"/>
                        </w:rPr>
                      </w:pPr>
                      <w:r>
                        <w:rPr>
                          <w:rFonts w:hint="eastAsia" w:ascii="宋体" w:hAnsi="宋体" w:eastAsia="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eastAsia="zh-CN"/>
                        </w:rPr>
                        <w:t>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hint="eastAsia" w:ascii="黑体" w:hAnsi="黑体" w:eastAsia="黑体"/>
                                <w:sz w:val="36"/>
                                <w:szCs w:val="36"/>
                                <w:lang w:eastAsia="zh-CN"/>
                              </w:rPr>
                            </w:pPr>
                            <w:r>
                              <w:rPr>
                                <w:rFonts w:hint="eastAsia" w:ascii="黑体" w:hAnsi="黑体" w:eastAsia="黑体"/>
                                <w:sz w:val="36"/>
                                <w:szCs w:val="36"/>
                                <w:lang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lang w:val="en-US" w:eastAsia="zh-CN"/>
                              </w:rPr>
                              <w:t>2019-11-10</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zjsNUA&#10;AAAIAQAADwAAAAAAAAABACAAAAAiAAAAZHJzL2Rvd25yZXYueG1sUEsBAhQAFAAAAAgAh07iQBq5&#10;lXywAQAARAMAAA4AAAAAAAAAAQAgAAAAJAEAAGRycy9lMm9Eb2MueG1sUEsFBgAAAAAGAAYAWQEA&#10;AEYFAAAAAA==&#10;">
                <v:fill on="t" focussize="0,0"/>
                <v:stroke on="f"/>
                <v:imagedata o:title=""/>
                <o:lock v:ext="edit" aspectratio="f"/>
                <v:textbox inset="0mm,0mm,0mm,0mm">
                  <w:txbxContent>
                    <w:p>
                      <w:pPr>
                        <w:pStyle w:val="66"/>
                        <w:spacing w:before="600"/>
                        <w:rPr>
                          <w:rFonts w:hint="eastAsia" w:ascii="黑体" w:hAnsi="黑体" w:eastAsia="黑体"/>
                          <w:sz w:val="36"/>
                          <w:szCs w:val="36"/>
                          <w:lang w:eastAsia="zh-CN"/>
                        </w:rPr>
                      </w:pPr>
                      <w:r>
                        <w:rPr>
                          <w:rFonts w:hint="eastAsia" w:ascii="黑体" w:hAnsi="黑体" w:eastAsia="黑体"/>
                          <w:sz w:val="36"/>
                          <w:szCs w:val="36"/>
                          <w:lang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lang w:val="en-US" w:eastAsia="zh-CN"/>
                        </w:rPr>
                        <w:t>2019-11-10</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eastAsia" w:ascii="黑体" w:hAnsi="黑体" w:eastAsia="黑体" w:cs="黑体"/>
                                <w:sz w:val="44"/>
                                <w:szCs w:val="44"/>
                              </w:rPr>
                            </w:pPr>
                            <w:bookmarkStart w:id="69" w:name="_Hlk23687263"/>
                            <w:r>
                              <w:rPr>
                                <w:rFonts w:hint="eastAsia" w:ascii="黑体" w:hAnsi="黑体" w:eastAsia="黑体" w:cs="黑体"/>
                                <w:sz w:val="44"/>
                                <w:szCs w:val="44"/>
                              </w:rPr>
                              <w:t xml:space="preserve"> JJF（有色金属）xxxx—2020</w:t>
                            </w:r>
                          </w:p>
                          <w:bookmarkEnd w:id="69"/>
                          <w:p>
                            <w:pPr>
                              <w:pStyle w:val="74"/>
                              <w:rPr>
                                <w:rFonts w:hint="eastAsia" w:ascii="黑体" w:hAnsi="黑体" w:eastAsia="黑体" w:cs="黑体"/>
                                <w:sz w:val="44"/>
                                <w:szCs w:val="44"/>
                              </w:rPr>
                            </w:pPr>
                            <w:r>
                              <w:rPr>
                                <w:rFonts w:hint="eastAsia" w:ascii="黑体" w:hAnsi="黑体" w:eastAsia="黑体" w:cs="黑体"/>
                                <w:sz w:val="44"/>
                                <w:szCs w:val="44"/>
                              </w:rPr>
                              <w:t>铝合金阳极氧化膜及有机聚合物膜</w:t>
                            </w:r>
                          </w:p>
                          <w:p>
                            <w:pPr>
                              <w:pStyle w:val="74"/>
                              <w:rPr>
                                <w:rFonts w:hint="eastAsia" w:ascii="黑体" w:hAnsi="黑体" w:eastAsia="黑体" w:cs="黑体"/>
                                <w:sz w:val="44"/>
                                <w:szCs w:val="44"/>
                              </w:rPr>
                            </w:pPr>
                            <w:r>
                              <w:rPr>
                                <w:rFonts w:hint="eastAsia" w:ascii="黑体" w:hAnsi="黑体" w:eastAsia="黑体" w:cs="黑体"/>
                                <w:sz w:val="44"/>
                                <w:szCs w:val="44"/>
                              </w:rPr>
                              <w:t>喷磨试验仪校准规范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int="eastAsia" w:ascii="黑体" w:hAnsi="黑体" w:eastAsia="黑体" w:cs="黑体"/>
                          <w:sz w:val="44"/>
                          <w:szCs w:val="44"/>
                        </w:rPr>
                      </w:pPr>
                      <w:bookmarkStart w:id="69" w:name="_Hlk23687263"/>
                      <w:r>
                        <w:rPr>
                          <w:rFonts w:hint="eastAsia" w:ascii="黑体" w:hAnsi="黑体" w:eastAsia="黑体" w:cs="黑体"/>
                          <w:sz w:val="44"/>
                          <w:szCs w:val="44"/>
                        </w:rPr>
                        <w:t xml:space="preserve"> JJF（有色金属）xxxx—2020</w:t>
                      </w:r>
                    </w:p>
                    <w:bookmarkEnd w:id="69"/>
                    <w:p>
                      <w:pPr>
                        <w:pStyle w:val="74"/>
                        <w:rPr>
                          <w:rFonts w:hint="eastAsia" w:ascii="黑体" w:hAnsi="黑体" w:eastAsia="黑体" w:cs="黑体"/>
                          <w:sz w:val="44"/>
                          <w:szCs w:val="44"/>
                        </w:rPr>
                      </w:pPr>
                      <w:r>
                        <w:rPr>
                          <w:rFonts w:hint="eastAsia" w:ascii="黑体" w:hAnsi="黑体" w:eastAsia="黑体" w:cs="黑体"/>
                          <w:sz w:val="44"/>
                          <w:szCs w:val="44"/>
                        </w:rPr>
                        <w:t>铝合金阳极氧化膜及有机聚合物膜</w:t>
                      </w:r>
                    </w:p>
                    <w:p>
                      <w:pPr>
                        <w:pStyle w:val="74"/>
                        <w:rPr>
                          <w:rFonts w:hint="eastAsia" w:ascii="黑体" w:hAnsi="黑体" w:eastAsia="黑体" w:cs="黑体"/>
                          <w:sz w:val="44"/>
                          <w:szCs w:val="44"/>
                        </w:rPr>
                      </w:pPr>
                      <w:r>
                        <w:rPr>
                          <w:rFonts w:hint="eastAsia" w:ascii="黑体" w:hAnsi="黑体" w:eastAsia="黑体" w:cs="黑体"/>
                          <w:sz w:val="44"/>
                          <w:szCs w:val="44"/>
                        </w:rPr>
                        <w:t>喷磨试验仪校准规范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spacing w:line="360" w:lineRule="auto"/>
        <w:ind w:firstLine="420" w:firstLineChars="200"/>
        <w:rPr>
          <w:rFonts w:hint="eastAsia"/>
          <w:szCs w:val="21"/>
          <w:lang w:eastAsia="zh-CN"/>
        </w:rPr>
      </w:pPr>
      <w:r>
        <w:rPr>
          <w:rFonts w:hint="eastAsia"/>
          <w:szCs w:val="21"/>
          <w:lang w:eastAsia="zh-CN"/>
        </w:rPr>
        <w:t>膜层表面耐磨性是大部分防护性膜层的主要性能，其中铝合金表面处理膜层广泛用于建筑、轨道交通、汽车、船舶、航空航天等多种领域。由于使用条件的不断扩展，一些高耐磨性的产品不断涌现，喷磨试验仪可以快速、准确的评价耐磨性能，对一些耐磨性高的产品，如微弧氧化膜，也可进行检测。</w:t>
      </w:r>
    </w:p>
    <w:p>
      <w:pPr>
        <w:pStyle w:val="57"/>
      </w:pPr>
      <w:r>
        <w:rPr>
          <w:rFonts w:hint="eastAsia"/>
          <w:szCs w:val="21"/>
          <w:lang w:eastAsia="zh-CN"/>
        </w:rPr>
        <w:t>现有的耐磨性检测方法有的限于样品尺寸，对样品平面要求较高，有的试验时间长，检测效率不高。</w:t>
      </w:r>
      <w:r>
        <w:rPr>
          <w:rFonts w:hint="eastAsia" w:ascii="宋体" w:hAnsi="宋体"/>
          <w:szCs w:val="21"/>
        </w:rPr>
        <w:t>通过高压气流带动磨料喷射到试验表面，会给样品表面带来磨损，通过测量磨痕尺寸、所用磨料量、试验时间等参数，进而评价铝合金表面膜层的耐磨性。结合对膜层厚度的测量，可精确判断不同膜层厚度的耐磨性差别；由于喷射点较小，可精确定位，可进行复杂形状工件不同位置的耐磨性检测；通过喷射气流气压的大小，可对不同耐磨性的膜层进行快速检测，检测时间在几十秒到几分钟不等，大幅缩短试验时间，适用于生产现场的产品质量监控。</w:t>
      </w:r>
      <w:r>
        <w:rPr>
          <w:rFonts w:hint="eastAsia"/>
          <w:szCs w:val="21"/>
        </w:rPr>
        <w:t>科学的校准规范能规范校准操作并确保校准结果的准确性，便于</w:t>
      </w:r>
      <w:r>
        <w:rPr>
          <w:rFonts w:hint="eastAsia"/>
          <w:szCs w:val="21"/>
          <w:lang w:eastAsia="zh-CN"/>
        </w:rPr>
        <w:t>该仪器的</w:t>
      </w:r>
      <w:r>
        <w:rPr>
          <w:rFonts w:hint="eastAsia"/>
          <w:szCs w:val="21"/>
        </w:rPr>
        <w:t>广泛推广应用，从而提升产品质量水平，并对</w:t>
      </w:r>
      <w:r>
        <w:rPr>
          <w:rFonts w:hint="eastAsia"/>
          <w:szCs w:val="21"/>
          <w:lang w:eastAsia="zh-CN"/>
        </w:rPr>
        <w:t>有色金属</w:t>
      </w:r>
      <w:r>
        <w:rPr>
          <w:rFonts w:hint="eastAsia"/>
          <w:szCs w:val="21"/>
        </w:rPr>
        <w:t>产业升级起到积极作用。</w:t>
      </w:r>
    </w:p>
    <w:p>
      <w:pPr>
        <w:pStyle w:val="60"/>
        <w:spacing w:before="156" w:after="156" w:line="300" w:lineRule="auto"/>
        <w:ind w:left="0"/>
        <w:contextualSpacing/>
      </w:pPr>
      <w:bookmarkStart w:id="5" w:name="_Toc464728896"/>
      <w:r>
        <w:rPr>
          <w:rFonts w:hint="eastAsia"/>
        </w:rPr>
        <w:t>任务来源</w:t>
      </w:r>
      <w:bookmarkEnd w:id="5"/>
    </w:p>
    <w:p>
      <w:pPr>
        <w:spacing w:line="300" w:lineRule="auto"/>
        <w:ind w:firstLine="420" w:firstLineChars="200"/>
        <w:contextualSpacing/>
        <w:jc w:val="left"/>
        <w:rPr>
          <w:szCs w:val="21"/>
        </w:rPr>
      </w:pPr>
      <w:r>
        <w:rPr>
          <w:rFonts w:hint="eastAsia"/>
          <w:szCs w:val="21"/>
        </w:rPr>
        <w:t>为保证和提升我国</w:t>
      </w:r>
      <w:r>
        <w:rPr>
          <w:rFonts w:hint="eastAsia"/>
          <w:szCs w:val="21"/>
          <w:lang w:eastAsia="zh-CN"/>
        </w:rPr>
        <w:t>喷磨试验仪试验数据的准确性</w:t>
      </w:r>
      <w:r>
        <w:rPr>
          <w:rFonts w:hint="eastAsia"/>
          <w:szCs w:val="21"/>
        </w:rPr>
        <w:t>产品质量，适应我国铝合金阳极氧化行业的快速发展和满足国内外市场的需要，</w:t>
      </w:r>
      <w:r>
        <w:rPr>
          <w:rFonts w:hint="eastAsia"/>
          <w:szCs w:val="21"/>
          <w:lang w:eastAsia="zh-CN"/>
        </w:rPr>
        <w:t>工业和信息化部以工信厅科函</w:t>
      </w:r>
      <w:r>
        <w:rPr>
          <w:rFonts w:hint="eastAsia"/>
          <w:szCs w:val="21"/>
        </w:rPr>
        <w:t>[201</w:t>
      </w:r>
      <w:r>
        <w:rPr>
          <w:rFonts w:hint="eastAsia"/>
          <w:szCs w:val="21"/>
          <w:lang w:val="en-US" w:eastAsia="zh-CN"/>
        </w:rPr>
        <w:t>8</w:t>
      </w:r>
      <w:r>
        <w:rPr>
          <w:rFonts w:hint="eastAsia"/>
          <w:szCs w:val="21"/>
        </w:rPr>
        <w:t>]</w:t>
      </w:r>
      <w:r>
        <w:rPr>
          <w:rFonts w:hint="eastAsia"/>
          <w:szCs w:val="21"/>
          <w:lang w:val="en-US" w:eastAsia="zh-CN"/>
        </w:rPr>
        <w:t>210</w:t>
      </w:r>
      <w:r>
        <w:rPr>
          <w:rFonts w:hint="eastAsia"/>
          <w:szCs w:val="21"/>
        </w:rPr>
        <w:t>号文下达了</w:t>
      </w:r>
      <w:r>
        <w:rPr>
          <w:rFonts w:hint="eastAsia"/>
          <w:szCs w:val="21"/>
          <w:lang w:val="en-US" w:eastAsia="zh-CN"/>
        </w:rPr>
        <w:t>《</w:t>
      </w:r>
      <w:r>
        <w:rPr>
          <w:rFonts w:hint="eastAsia"/>
          <w:szCs w:val="21"/>
          <w:lang w:eastAsia="zh-CN"/>
        </w:rPr>
        <w:t>工业和信息化部办公厅关于印发</w:t>
      </w:r>
      <w:r>
        <w:rPr>
          <w:rFonts w:hint="eastAsia"/>
          <w:szCs w:val="21"/>
          <w:lang w:val="en-US" w:eastAsia="zh-CN"/>
        </w:rPr>
        <w:t>2018年行业计量技术规范制修订计划的通知》</w:t>
      </w:r>
      <w:r>
        <w:rPr>
          <w:rFonts w:hint="eastAsia"/>
          <w:szCs w:val="21"/>
        </w:rPr>
        <w:t>，其计划项目代号为：</w:t>
      </w:r>
      <w:r>
        <w:rPr>
          <w:rFonts w:hint="eastAsia"/>
          <w:szCs w:val="21"/>
          <w:lang w:val="en-US" w:eastAsia="zh-CN"/>
        </w:rPr>
        <w:t>JJFZ(有色金属)-004-2018</w:t>
      </w:r>
      <w:r>
        <w:rPr>
          <w:rFonts w:hint="eastAsia"/>
          <w:szCs w:val="21"/>
        </w:rPr>
        <w:t>，计划完成年限为20</w:t>
      </w:r>
      <w:r>
        <w:rPr>
          <w:rFonts w:hint="eastAsia"/>
          <w:szCs w:val="21"/>
          <w:lang w:val="en-US" w:eastAsia="zh-CN"/>
        </w:rPr>
        <w:t>20</w:t>
      </w:r>
      <w:r>
        <w:rPr>
          <w:rFonts w:hint="eastAsia"/>
          <w:szCs w:val="21"/>
        </w:rPr>
        <w:t>年。</w:t>
      </w:r>
    </w:p>
    <w:p>
      <w:pPr>
        <w:pStyle w:val="60"/>
        <w:spacing w:before="156" w:after="156" w:line="300" w:lineRule="auto"/>
        <w:ind w:left="0"/>
        <w:contextualSpacing/>
      </w:pPr>
      <w:bookmarkStart w:id="6" w:name="_Toc464728898"/>
      <w:bookmarkStart w:id="7" w:name="_Toc462884342"/>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2884343"/>
      <w:bookmarkStart w:id="9" w:name="_Toc464728899"/>
      <w:r>
        <w:rPr>
          <w:rFonts w:hint="eastAsia"/>
          <w:color w:val="auto"/>
        </w:rPr>
        <w:t>编制组成员单位</w:t>
      </w:r>
      <w:bookmarkEnd w:id="8"/>
      <w:bookmarkEnd w:id="9"/>
    </w:p>
    <w:p>
      <w:pPr>
        <w:spacing w:line="300" w:lineRule="auto"/>
        <w:ind w:firstLine="420" w:firstLineChars="200"/>
        <w:contextualSpacing/>
        <w:jc w:val="left"/>
        <w:rPr>
          <w:szCs w:val="21"/>
        </w:rPr>
      </w:pPr>
      <w:bookmarkStart w:id="10" w:name="_Toc464728900"/>
      <w:bookmarkStart w:id="11" w:name="_Toc462884344"/>
      <w:r>
        <w:rPr>
          <w:rFonts w:hint="eastAsia"/>
          <w:szCs w:val="21"/>
        </w:rPr>
        <w:t>本标准的编制组单位为：</w:t>
      </w:r>
      <w:r>
        <w:rPr>
          <w:rFonts w:hint="eastAsia"/>
          <w:szCs w:val="21"/>
          <w:lang w:eastAsia="zh-CN"/>
        </w:rPr>
        <w:t>国标（北京）检验认证有限公司</w:t>
      </w:r>
      <w:r>
        <w:rPr>
          <w:rFonts w:hint="eastAsia"/>
          <w:szCs w:val="21"/>
        </w:rPr>
        <w:t>、广东省工业分析检测中心、</w:t>
      </w:r>
      <w:r>
        <w:rPr>
          <w:rFonts w:hint="eastAsia"/>
          <w:szCs w:val="21"/>
          <w:lang w:eastAsia="zh-CN"/>
        </w:rPr>
        <w:t>西安汉唐分析检测有限公司</w:t>
      </w:r>
      <w:r>
        <w:rPr>
          <w:rFonts w:hint="eastAsia"/>
          <w:szCs w:val="21"/>
        </w:rPr>
        <w:t>。编制组成员单位均是我国</w:t>
      </w:r>
      <w:r>
        <w:rPr>
          <w:rFonts w:hint="eastAsia"/>
          <w:szCs w:val="21"/>
          <w:lang w:eastAsia="zh-CN"/>
        </w:rPr>
        <w:t>有色金属行业的主要计量及</w:t>
      </w:r>
      <w:r>
        <w:rPr>
          <w:rFonts w:hint="eastAsia"/>
          <w:szCs w:val="21"/>
        </w:rPr>
        <w:t>科研研制单位。</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bookmarkStart w:id="12" w:name="_Toc464728906"/>
      <w:bookmarkStart w:id="13" w:name="_Toc462884350"/>
      <w:r>
        <w:rPr>
          <w:rFonts w:hint="eastAsia"/>
          <w:color w:val="auto"/>
        </w:rPr>
        <w:t>国家有色金属质量监督检验中心</w:t>
      </w:r>
      <w:bookmarkEnd w:id="12"/>
      <w:bookmarkEnd w:id="13"/>
    </w:p>
    <w:p>
      <w:pPr>
        <w:spacing w:line="300" w:lineRule="auto"/>
        <w:ind w:firstLine="420" w:firstLineChars="200"/>
        <w:contextualSpacing/>
        <w:jc w:val="left"/>
        <w:rPr>
          <w:szCs w:val="21"/>
        </w:rPr>
      </w:pPr>
      <w:r>
        <w:rPr>
          <w:rFonts w:hint="eastAsia"/>
          <w:szCs w:val="21"/>
          <w:lang w:eastAsia="zh-CN"/>
        </w:rPr>
        <w:t>国标（北京）检验认证有限公司</w:t>
      </w:r>
      <w:r>
        <w:rPr>
          <w:rFonts w:hint="eastAsia"/>
          <w:szCs w:val="21"/>
        </w:rPr>
        <w:t>是我国有色行业的材料研究和材料检测的权威机构。</w:t>
      </w:r>
      <w:r>
        <w:rPr>
          <w:rFonts w:hint="eastAsia"/>
          <w:szCs w:val="21"/>
          <w:lang w:eastAsia="zh-CN"/>
        </w:rPr>
        <w:t>该公司运行着</w:t>
      </w:r>
      <w:r>
        <w:rPr>
          <w:rFonts w:hint="eastAsia"/>
          <w:szCs w:val="21"/>
        </w:rPr>
        <w:t>国家有色金属质量监督检验中心</w:t>
      </w:r>
      <w:r>
        <w:rPr>
          <w:rFonts w:hint="eastAsia"/>
          <w:szCs w:val="21"/>
          <w:lang w:eastAsia="zh-CN"/>
        </w:rPr>
        <w:t>，</w:t>
      </w:r>
      <w:r>
        <w:rPr>
          <w:rFonts w:hint="eastAsia"/>
          <w:szCs w:val="21"/>
        </w:rPr>
        <w:t>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在铝及铝合金材料的监督检验方面，</w:t>
      </w:r>
      <w:r>
        <w:rPr>
          <w:rFonts w:hint="eastAsia"/>
          <w:szCs w:val="21"/>
          <w:lang w:eastAsia="zh-CN"/>
        </w:rPr>
        <w:t>该公司</w:t>
      </w:r>
      <w:r>
        <w:rPr>
          <w:rFonts w:hint="eastAsia"/>
          <w:szCs w:val="21"/>
        </w:rPr>
        <w:t>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20" w:firstLineChars="200"/>
        <w:contextualSpacing/>
        <w:jc w:val="left"/>
        <w:rPr>
          <w:szCs w:val="22"/>
        </w:rPr>
      </w:pPr>
      <w:r>
        <w:rPr>
          <w:rFonts w:hint="eastAsia"/>
          <w:szCs w:val="21"/>
        </w:rPr>
        <w:t>本单位积极组织编制组各次工作会议，开展相关的</w:t>
      </w:r>
      <w:r>
        <w:rPr>
          <w:rFonts w:hint="eastAsia"/>
          <w:szCs w:val="21"/>
          <w:lang w:eastAsia="zh-CN"/>
        </w:rPr>
        <w:t>校准</w:t>
      </w:r>
      <w:r>
        <w:rPr>
          <w:rFonts w:hint="eastAsia"/>
          <w:szCs w:val="21"/>
        </w:rPr>
        <w:t>，有效组织参编单位多次对标准的各版《征求意见稿》进行认真的讨论和审议，提出大量有益的意见和建议，在编制组中发</w:t>
      </w:r>
      <w:r>
        <w:rPr>
          <w:rFonts w:hint="eastAsia"/>
          <w:szCs w:val="22"/>
        </w:rPr>
        <w:t>挥了牵头作用。</w:t>
      </w:r>
    </w:p>
    <w:p>
      <w:pPr>
        <w:pStyle w:val="59"/>
        <w:spacing w:before="156" w:beforeLines="50" w:after="156" w:afterLines="50" w:line="240" w:lineRule="auto"/>
        <w:ind w:left="0"/>
        <w:rPr>
          <w:color w:val="auto"/>
        </w:rPr>
      </w:pPr>
      <w:bookmarkStart w:id="14" w:name="_Toc462884345"/>
      <w:bookmarkStart w:id="15" w:name="_Toc464728901"/>
      <w:r>
        <w:rPr>
          <w:rFonts w:hint="eastAsia"/>
          <w:color w:val="auto"/>
        </w:rPr>
        <w:t>成员单位简介</w:t>
      </w:r>
      <w:bookmarkEnd w:id="14"/>
      <w:bookmarkEnd w:id="15"/>
    </w:p>
    <w:p>
      <w:pPr>
        <w:pStyle w:val="58"/>
        <w:spacing w:before="156" w:beforeLines="50" w:after="156" w:afterLines="50"/>
        <w:ind w:left="2"/>
        <w:contextualSpacing/>
        <w:rPr>
          <w:color w:val="auto"/>
        </w:rPr>
      </w:pPr>
      <w:bookmarkStart w:id="16" w:name="_Toc462884347"/>
      <w:bookmarkStart w:id="17" w:name="_Toc464728903"/>
      <w:bookmarkStart w:id="18" w:name="_Toc462884357"/>
      <w:bookmarkStart w:id="19" w:name="_Toc464728913"/>
      <w:r>
        <w:rPr>
          <w:rFonts w:hint="eastAsia"/>
          <w:color w:val="auto"/>
        </w:rPr>
        <w:t>广东省工业分析检测中心</w:t>
      </w:r>
    </w:p>
    <w:p>
      <w:pPr>
        <w:spacing w:line="300" w:lineRule="auto"/>
        <w:ind w:firstLine="420" w:firstLineChars="200"/>
        <w:contextualSpacing/>
        <w:jc w:val="left"/>
        <w:rPr>
          <w:szCs w:val="21"/>
        </w:rPr>
      </w:pPr>
      <w:r>
        <w:rPr>
          <w:rFonts w:hint="eastAsia"/>
          <w:szCs w:val="21"/>
          <w:lang w:eastAsia="zh-CN"/>
        </w:rPr>
        <w:t>该</w:t>
      </w:r>
      <w:r>
        <w:rPr>
          <w:rFonts w:hint="eastAsia"/>
          <w:szCs w:val="21"/>
        </w:rPr>
        <w:t>单位积极参加编制组各次工作会议，积极配合主编单位进行试验验证。在本标准的编制过程中，</w:t>
      </w:r>
      <w:r>
        <w:rPr>
          <w:rFonts w:hint="eastAsia" w:ascii="宋体" w:hAnsi="宋体"/>
          <w:color w:val="000000"/>
          <w:spacing w:val="-2"/>
          <w:szCs w:val="21"/>
        </w:rPr>
        <w:t>李扬</w:t>
      </w:r>
      <w:r>
        <w:rPr>
          <w:rFonts w:hint="eastAsia"/>
          <w:szCs w:val="21"/>
        </w:rPr>
        <w:t>主持了轮磨法的试验方案设计、进行了验证试验、撰写了轮磨法的标准内容，制订了落砂法的部分试验方案、进行了验证试验，参与了多种试验方法的方法研究、数据分析及文本修改等工作，在编制组中发挥了骨干作用。</w:t>
      </w:r>
    </w:p>
    <w:p>
      <w:pPr>
        <w:pStyle w:val="58"/>
        <w:spacing w:before="156" w:beforeLines="50" w:after="156" w:afterLines="50"/>
        <w:ind w:left="2"/>
        <w:contextualSpacing/>
        <w:rPr>
          <w:color w:val="auto"/>
        </w:rPr>
      </w:pPr>
      <w:r>
        <w:rPr>
          <w:rFonts w:hint="eastAsia"/>
          <w:szCs w:val="21"/>
          <w:lang w:eastAsia="zh-CN"/>
        </w:rPr>
        <w:t>西安汉唐分析检测有限公司</w:t>
      </w:r>
    </w:p>
    <w:p>
      <w:pPr>
        <w:spacing w:line="300" w:lineRule="auto"/>
        <w:ind w:firstLine="420" w:firstLineChars="200"/>
        <w:contextualSpacing/>
        <w:jc w:val="left"/>
      </w:pPr>
      <w:r>
        <w:rPr>
          <w:rFonts w:hint="eastAsia"/>
          <w:szCs w:val="21"/>
          <w:lang w:eastAsia="zh-CN"/>
        </w:rPr>
        <w:t>该</w:t>
      </w:r>
      <w:r>
        <w:rPr>
          <w:rFonts w:hint="eastAsia"/>
          <w:szCs w:val="21"/>
        </w:rPr>
        <w:t>单位积极参加编制组各次工作会议，大量开展相关的验证试验，</w:t>
      </w:r>
      <w:r>
        <w:rPr>
          <w:rFonts w:hint="eastAsia"/>
          <w:szCs w:val="21"/>
          <w:lang w:eastAsia="zh-CN"/>
        </w:rPr>
        <w:t>在摩擦系数试验中</w:t>
      </w:r>
      <w:r>
        <w:rPr>
          <w:rFonts w:hint="eastAsia"/>
          <w:szCs w:val="21"/>
        </w:rPr>
        <w:t>发挥了骨干作用。</w:t>
      </w:r>
    </w:p>
    <w:bookmarkEnd w:id="16"/>
    <w:bookmarkEnd w:id="17"/>
    <w:p>
      <w:pPr>
        <w:pStyle w:val="60"/>
        <w:spacing w:before="156" w:after="156" w:line="300" w:lineRule="auto"/>
        <w:ind w:left="0"/>
        <w:contextualSpacing/>
      </w:pPr>
      <w:r>
        <w:rPr>
          <w:rFonts w:hint="eastAsia"/>
        </w:rPr>
        <w:t>主要工作过程</w:t>
      </w:r>
      <w:bookmarkEnd w:id="18"/>
      <w:bookmarkEnd w:id="19"/>
    </w:p>
    <w:p>
      <w:pPr>
        <w:pStyle w:val="59"/>
        <w:spacing w:before="156" w:beforeLines="50" w:after="156" w:afterLines="50" w:line="240" w:lineRule="auto"/>
        <w:ind w:left="0"/>
        <w:rPr>
          <w:color w:val="auto"/>
        </w:rPr>
      </w:pPr>
      <w:r>
        <w:rPr>
          <w:rFonts w:hint="eastAsia"/>
          <w:color w:val="auto"/>
          <w:lang w:eastAsia="zh-CN"/>
        </w:rPr>
        <w:t>任务落实会</w:t>
      </w:r>
    </w:p>
    <w:p>
      <w:pPr>
        <w:pStyle w:val="57"/>
        <w:spacing w:line="324" w:lineRule="auto"/>
        <w:ind w:firstLine="420"/>
        <w:rPr>
          <w:szCs w:val="21"/>
        </w:rPr>
      </w:pPr>
      <w:r>
        <w:rPr>
          <w:rFonts w:hint="eastAsia"/>
          <w:szCs w:val="21"/>
        </w:rPr>
        <w:t>201</w:t>
      </w:r>
      <w:r>
        <w:rPr>
          <w:rFonts w:hint="eastAsia"/>
          <w:szCs w:val="21"/>
          <w:lang w:val="en-US" w:eastAsia="zh-CN"/>
        </w:rPr>
        <w:t>9</w:t>
      </w:r>
      <w:r>
        <w:rPr>
          <w:rFonts w:hint="eastAsia"/>
          <w:szCs w:val="21"/>
        </w:rPr>
        <w:t>年</w:t>
      </w:r>
      <w:r>
        <w:rPr>
          <w:rFonts w:hint="eastAsia"/>
          <w:szCs w:val="21"/>
          <w:lang w:val="en-US" w:eastAsia="zh-CN"/>
        </w:rPr>
        <w:t>5</w:t>
      </w:r>
      <w:r>
        <w:rPr>
          <w:rFonts w:hint="eastAsia"/>
          <w:szCs w:val="21"/>
        </w:rPr>
        <w:t>月2</w:t>
      </w:r>
      <w:r>
        <w:rPr>
          <w:rFonts w:hint="eastAsia"/>
          <w:szCs w:val="21"/>
          <w:lang w:val="en-US" w:eastAsia="zh-CN"/>
        </w:rPr>
        <w:t>2日</w:t>
      </w:r>
      <w:r>
        <w:rPr>
          <w:rFonts w:hint="eastAsia"/>
          <w:szCs w:val="21"/>
        </w:rPr>
        <w:t>，</w:t>
      </w:r>
      <w:r>
        <w:rPr>
          <w:rFonts w:hint="eastAsia"/>
          <w:szCs w:val="21"/>
          <w:lang w:eastAsia="zh-CN"/>
        </w:rPr>
        <w:t>有色金属行业计量技术委员会工作会在宁波召开，此次会议有色金属行业</w:t>
      </w:r>
      <w:r>
        <w:rPr>
          <w:rFonts w:hint="eastAsia"/>
          <w:szCs w:val="21"/>
          <w:lang w:val="en-US" w:eastAsia="zh-CN"/>
        </w:rPr>
        <w:t>30余家企事业单位40余名代表参加，在会议上进行了本规程的任务落实，会上确定了广州院、西安汉唐、广东兴发、东北轻合金、山东南山参与本规程的制定工作。</w:t>
      </w:r>
    </w:p>
    <w:p>
      <w:pPr>
        <w:pStyle w:val="73"/>
        <w:numPr>
          <w:ilvl w:val="0"/>
          <w:numId w:val="11"/>
        </w:numPr>
        <w:tabs>
          <w:tab w:val="left" w:pos="426"/>
        </w:tabs>
        <w:spacing w:before="312" w:beforeLines="100" w:after="312" w:afterLines="100"/>
        <w:ind w:hangingChars="200"/>
        <w:jc w:val="left"/>
      </w:pPr>
      <w:bookmarkStart w:id="20" w:name="_Toc464728924"/>
      <w:r>
        <w:rPr>
          <w:rFonts w:hint="eastAsia"/>
          <w:lang w:eastAsia="zh-CN"/>
        </w:rPr>
        <w:t>规程</w:t>
      </w:r>
      <w:r>
        <w:rPr>
          <w:rFonts w:hint="eastAsia"/>
        </w:rPr>
        <w:t>编制原则和确定主要内容</w:t>
      </w:r>
      <w:bookmarkEnd w:id="20"/>
    </w:p>
    <w:p>
      <w:pPr>
        <w:pStyle w:val="78"/>
        <w:wordWrap/>
        <w:spacing w:beforeLines="0" w:after="156" w:line="360" w:lineRule="auto"/>
      </w:pPr>
      <w:bookmarkStart w:id="21" w:name="_Toc464728925"/>
      <w:r>
        <w:rPr>
          <w:rFonts w:hint="eastAsia"/>
        </w:rPr>
        <w:t>编制原则</w:t>
      </w:r>
      <w:bookmarkEnd w:id="21"/>
    </w:p>
    <w:p>
      <w:pPr>
        <w:pStyle w:val="57"/>
        <w:numPr>
          <w:ilvl w:val="0"/>
          <w:numId w:val="12"/>
        </w:numPr>
        <w:spacing w:line="324" w:lineRule="auto"/>
        <w:ind w:firstLine="420"/>
        <w:rPr>
          <w:szCs w:val="21"/>
        </w:rPr>
      </w:pPr>
      <w:bookmarkStart w:id="22" w:name="_Toc464728926"/>
      <w:r>
        <w:rPr>
          <w:rFonts w:hint="eastAsia"/>
          <w:szCs w:val="21"/>
        </w:rPr>
        <w:t>保证</w:t>
      </w:r>
      <w:r>
        <w:rPr>
          <w:rFonts w:hint="eastAsia"/>
          <w:szCs w:val="21"/>
          <w:lang w:eastAsia="zh-CN"/>
        </w:rPr>
        <w:t>有色行业的特殊性和适用性</w:t>
      </w:r>
    </w:p>
    <w:p>
      <w:pPr>
        <w:pStyle w:val="57"/>
        <w:numPr>
          <w:ilvl w:val="0"/>
          <w:numId w:val="12"/>
        </w:numPr>
        <w:spacing w:line="324" w:lineRule="auto"/>
        <w:ind w:firstLine="420"/>
        <w:rPr>
          <w:szCs w:val="21"/>
        </w:rPr>
      </w:pPr>
      <w:r>
        <w:rPr>
          <w:rFonts w:hint="eastAsia"/>
          <w:szCs w:val="21"/>
          <w:lang w:eastAsia="zh-CN"/>
        </w:rPr>
        <w:t>保证计量规程的规范性</w:t>
      </w:r>
    </w:p>
    <w:p>
      <w:pPr>
        <w:pStyle w:val="78"/>
        <w:spacing w:before="312" w:beforeLines="100" w:after="312" w:afterLines="100"/>
        <w:rPr>
          <w:rFonts w:ascii="宋体" w:hAnsi="宋体"/>
        </w:rPr>
      </w:pPr>
      <w:r>
        <w:rPr>
          <w:rFonts w:hint="eastAsia"/>
        </w:rPr>
        <w:t>确定主要内</w:t>
      </w:r>
      <w:bookmarkEnd w:id="22"/>
      <w:r>
        <w:rPr>
          <w:rFonts w:hint="eastAsia"/>
        </w:rPr>
        <w:t>容</w:t>
      </w:r>
    </w:p>
    <w:p>
      <w:pPr>
        <w:pStyle w:val="60"/>
        <w:numPr>
          <w:ilvl w:val="1"/>
          <w:numId w:val="13"/>
        </w:numPr>
        <w:spacing w:before="312" w:beforeLines="100" w:after="312" w:afterLines="100"/>
        <w:contextualSpacing/>
        <w:rPr>
          <w:rFonts w:hAnsi="黑体"/>
          <w:szCs w:val="21"/>
        </w:rPr>
      </w:pPr>
      <w:bookmarkStart w:id="23" w:name="_Toc464728964"/>
      <w:r>
        <w:rPr>
          <w:rFonts w:hint="eastAsia" w:hAnsi="黑体"/>
          <w:szCs w:val="21"/>
        </w:rPr>
        <w:t>范围</w:t>
      </w:r>
    </w:p>
    <w:p>
      <w:pPr>
        <w:pStyle w:val="57"/>
        <w:spacing w:line="324" w:lineRule="auto"/>
        <w:ind w:firstLine="420"/>
        <w:rPr>
          <w:rFonts w:hint="eastAsia" w:eastAsia="宋体"/>
          <w:szCs w:val="21"/>
          <w:lang w:eastAsia="zh-CN"/>
        </w:rPr>
      </w:pPr>
      <w:r>
        <w:rPr>
          <w:rFonts w:hint="eastAsia"/>
          <w:szCs w:val="21"/>
          <w:lang w:eastAsia="zh-CN"/>
        </w:rPr>
        <w:t>铝合金阳极氧化膜及有机聚合物膜的耐磨性是膜层的关键性能指标，而喷磨试验仪是检测膜层耐磨性的有效方法，由于该试验仪目前仅限于有色金属行业应用，属于行业特色设备，国内外缺少本设备的校准规程，因此本规范对喷磨的计量特性进行了校准</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szCs w:val="21"/>
        </w:rPr>
      </w:pPr>
      <w:r>
        <w:rPr>
          <w:rFonts w:hint="eastAsia"/>
          <w:szCs w:val="21"/>
        </w:rPr>
        <w:t>本标准引用文件均为我国现行有效的国家</w:t>
      </w:r>
      <w:r>
        <w:rPr>
          <w:rFonts w:hint="eastAsia"/>
          <w:szCs w:val="21"/>
          <w:lang w:eastAsia="zh-CN"/>
        </w:rPr>
        <w:t>计量规程及规范</w:t>
      </w:r>
      <w:r>
        <w:rPr>
          <w:rFonts w:hint="eastAsia"/>
          <w:szCs w:val="21"/>
        </w:rPr>
        <w:t>。</w:t>
      </w:r>
    </w:p>
    <w:p>
      <w:pPr>
        <w:pStyle w:val="57"/>
        <w:spacing w:line="324" w:lineRule="auto"/>
        <w:ind w:firstLine="420"/>
        <w:rPr>
          <w:rFonts w:hint="eastAsia"/>
          <w:szCs w:val="21"/>
        </w:rPr>
      </w:pPr>
      <w:r>
        <w:rPr>
          <w:rFonts w:hint="eastAsia"/>
          <w:szCs w:val="21"/>
          <w:lang w:eastAsia="zh-CN"/>
        </w:rPr>
        <w:t>本规范中计量术语符合</w:t>
      </w:r>
      <w:r>
        <w:rPr>
          <w:rFonts w:hint="eastAsia"/>
          <w:szCs w:val="21"/>
          <w:lang w:val="en-US" w:eastAsia="zh-CN"/>
        </w:rPr>
        <w:t>JJF1001-2011的要求</w:t>
      </w:r>
      <w:r>
        <w:rPr>
          <w:rFonts w:hint="eastAsia"/>
          <w:szCs w:val="21"/>
        </w:rPr>
        <w:t>。</w:t>
      </w:r>
    </w:p>
    <w:p>
      <w:pPr>
        <w:pStyle w:val="57"/>
        <w:spacing w:line="324" w:lineRule="auto"/>
        <w:ind w:firstLine="420"/>
        <w:rPr>
          <w:rFonts w:hint="eastAsia"/>
          <w:szCs w:val="21"/>
          <w:lang w:val="en-US" w:eastAsia="zh-CN"/>
        </w:rPr>
      </w:pPr>
      <w:r>
        <w:rPr>
          <w:rFonts w:hint="eastAsia"/>
          <w:szCs w:val="21"/>
          <w:lang w:eastAsia="zh-CN"/>
        </w:rPr>
        <w:t>本规范中测量不确定度的评定与表示符合</w:t>
      </w:r>
      <w:r>
        <w:rPr>
          <w:rFonts w:hint="eastAsia"/>
          <w:szCs w:val="21"/>
          <w:lang w:val="en-US" w:eastAsia="zh-CN"/>
        </w:rPr>
        <w:t>JJF 1059.1-2012的要求。</w:t>
      </w:r>
    </w:p>
    <w:p>
      <w:pPr>
        <w:pStyle w:val="57"/>
        <w:spacing w:line="324" w:lineRule="auto"/>
        <w:ind w:firstLine="420"/>
        <w:rPr>
          <w:rFonts w:hint="eastAsia"/>
          <w:szCs w:val="21"/>
          <w:lang w:val="en-US" w:eastAsia="zh-CN"/>
        </w:rPr>
      </w:pPr>
      <w:r>
        <w:rPr>
          <w:rFonts w:hint="eastAsia"/>
          <w:szCs w:val="21"/>
          <w:lang w:val="en-US" w:eastAsia="zh-CN"/>
        </w:rPr>
        <w:t>本规范中涉及的气压表校准过程符合JJG 52-2013的要求。</w:t>
      </w:r>
    </w:p>
    <w:p>
      <w:pPr>
        <w:pStyle w:val="57"/>
        <w:spacing w:line="324" w:lineRule="auto"/>
        <w:ind w:firstLine="420"/>
        <w:rPr>
          <w:rFonts w:hint="default"/>
          <w:szCs w:val="21"/>
          <w:lang w:val="en-US" w:eastAsia="zh-CN"/>
        </w:rPr>
      </w:pPr>
      <w:r>
        <w:rPr>
          <w:rFonts w:hint="eastAsia"/>
          <w:szCs w:val="21"/>
          <w:lang w:val="en-US" w:eastAsia="zh-CN"/>
        </w:rPr>
        <w:t>本规范中涉及的气体流量计的校准过程符合JJG 633-2005中的要求。</w:t>
      </w:r>
    </w:p>
    <w:p>
      <w:pPr>
        <w:pStyle w:val="60"/>
        <w:spacing w:before="312" w:beforeLines="100" w:after="312" w:afterLines="100"/>
        <w:contextualSpacing/>
        <w:rPr>
          <w:rFonts w:hAnsi="黑体"/>
          <w:szCs w:val="21"/>
        </w:rPr>
      </w:pPr>
      <w:r>
        <w:rPr>
          <w:rFonts w:hint="eastAsia" w:hAnsi="黑体"/>
          <w:szCs w:val="21"/>
        </w:rPr>
        <w:t>术语</w:t>
      </w:r>
      <w:r>
        <w:rPr>
          <w:rFonts w:hint="eastAsia" w:hAnsi="黑体"/>
          <w:szCs w:val="21"/>
          <w:lang w:eastAsia="zh-CN"/>
        </w:rPr>
        <w:t>和计量单位</w:t>
      </w:r>
    </w:p>
    <w:p>
      <w:pPr>
        <w:pStyle w:val="59"/>
        <w:spacing w:line="360" w:lineRule="auto"/>
        <w:ind w:left="-6" w:leftChars="-3"/>
        <w:rPr>
          <w:rFonts w:hint="eastAsia" w:ascii="Times New Roman" w:hAnsi="宋体" w:eastAsia="宋体"/>
          <w:sz w:val="24"/>
        </w:rPr>
      </w:pPr>
      <w:bookmarkStart w:id="24" w:name="_Toc26984"/>
      <w:r>
        <w:rPr>
          <w:rFonts w:hint="eastAsia" w:ascii="Times New Roman" w:hAnsi="宋体" w:eastAsia="宋体"/>
          <w:sz w:val="24"/>
        </w:rPr>
        <w:t>供料漏斗</w:t>
      </w:r>
      <w:bookmarkEnd w:id="24"/>
    </w:p>
    <w:p>
      <w:pPr>
        <w:spacing w:line="276" w:lineRule="auto"/>
        <w:ind w:left="420"/>
        <w:outlineLvl w:val="0"/>
        <w:rPr>
          <w:rFonts w:hint="eastAsia" w:ascii="宋体" w:hAnsi="宋体"/>
          <w:szCs w:val="21"/>
        </w:rPr>
      </w:pPr>
      <w:r>
        <w:rPr>
          <w:rFonts w:hint="eastAsia" w:ascii="宋体" w:hAnsi="宋体"/>
          <w:kern w:val="0"/>
          <w:szCs w:val="21"/>
        </w:rPr>
        <w:t>供料漏斗</w:t>
      </w:r>
      <w:r>
        <w:rPr>
          <w:rFonts w:hint="eastAsia" w:ascii="宋体" w:hAnsi="宋体"/>
          <w:kern w:val="0"/>
          <w:szCs w:val="21"/>
          <w:lang w:eastAsia="zh-CN"/>
        </w:rPr>
        <w:t>需要保证试验磨料持续稳定的供应，保证磨料下落速度为</w:t>
      </w:r>
      <w:r>
        <w:rPr>
          <w:rFonts w:hint="eastAsia" w:ascii="宋体" w:hAnsi="宋体"/>
          <w:kern w:val="0"/>
          <w:szCs w:val="21"/>
        </w:rPr>
        <w:t>（20g/min</w:t>
      </w:r>
      <w:r>
        <w:rPr>
          <w:kern w:val="0"/>
          <w:szCs w:val="21"/>
        </w:rPr>
        <w:t>~</w:t>
      </w:r>
      <w:r>
        <w:rPr>
          <w:rFonts w:hint="eastAsia" w:ascii="宋体" w:hAnsi="宋体"/>
          <w:kern w:val="0"/>
          <w:szCs w:val="21"/>
        </w:rPr>
        <w:t>30g/min）±1g</w:t>
      </w:r>
      <w:r>
        <w:rPr>
          <w:rFonts w:ascii="宋体" w:hAnsi="宋体"/>
          <w:kern w:val="0"/>
          <w:szCs w:val="21"/>
        </w:rPr>
        <w:t>/</w:t>
      </w:r>
      <w:r>
        <w:rPr>
          <w:rFonts w:hint="eastAsia" w:ascii="宋体" w:hAnsi="宋体"/>
          <w:kern w:val="0"/>
          <w:szCs w:val="21"/>
        </w:rPr>
        <w:t>min。</w:t>
      </w:r>
    </w:p>
    <w:p>
      <w:pPr>
        <w:pStyle w:val="59"/>
        <w:spacing w:line="360" w:lineRule="auto"/>
        <w:ind w:left="-6" w:leftChars="-3"/>
        <w:rPr>
          <w:rFonts w:hint="eastAsia" w:ascii="Times New Roman" w:hAnsi="宋体" w:eastAsia="宋体"/>
          <w:sz w:val="24"/>
        </w:rPr>
      </w:pPr>
      <w:r>
        <w:rPr>
          <w:rFonts w:hint="eastAsia" w:ascii="Times New Roman" w:hAnsi="宋体" w:eastAsia="宋体"/>
          <w:sz w:val="24"/>
        </w:rPr>
        <w:t>流量计</w:t>
      </w:r>
    </w:p>
    <w:p>
      <w:pPr>
        <w:spacing w:line="360" w:lineRule="auto"/>
        <w:ind w:firstLine="420"/>
        <w:outlineLvl w:val="0"/>
        <w:rPr>
          <w:rFonts w:hint="eastAsia" w:hAnsi="宋体" w:eastAsia="宋体"/>
          <w:sz w:val="24"/>
          <w:lang w:eastAsia="zh-CN"/>
        </w:rPr>
      </w:pPr>
      <w:r>
        <w:rPr>
          <w:rFonts w:hint="eastAsia" w:hAnsi="宋体"/>
          <w:sz w:val="24"/>
        </w:rPr>
        <w:t>流量计</w:t>
      </w:r>
      <w:r>
        <w:rPr>
          <w:rFonts w:hint="eastAsia" w:hAnsi="宋体"/>
          <w:sz w:val="24"/>
          <w:lang w:eastAsia="zh-CN"/>
        </w:rPr>
        <w:t>用于保证</w:t>
      </w:r>
      <w:r>
        <w:rPr>
          <w:rFonts w:hint="eastAsia" w:hAnsi="宋体"/>
          <w:sz w:val="24"/>
        </w:rPr>
        <w:t>压缩空气或惰性气体的的流速为4</w:t>
      </w:r>
      <w:r>
        <w:rPr>
          <w:rFonts w:hAnsi="宋体"/>
          <w:sz w:val="24"/>
        </w:rPr>
        <w:t>0L/</w:t>
      </w:r>
      <w:r>
        <w:rPr>
          <w:rFonts w:hint="eastAsia" w:hAnsi="宋体"/>
          <w:sz w:val="24"/>
        </w:rPr>
        <w:t>min~</w:t>
      </w:r>
      <w:r>
        <w:rPr>
          <w:rFonts w:hAnsi="宋体"/>
          <w:sz w:val="24"/>
        </w:rPr>
        <w:t>70L/</w:t>
      </w:r>
      <w:r>
        <w:rPr>
          <w:rFonts w:hint="eastAsia" w:hAnsi="宋体"/>
          <w:sz w:val="24"/>
        </w:rPr>
        <w:t>min。</w:t>
      </w:r>
      <w:r>
        <w:rPr>
          <w:rFonts w:hint="eastAsia" w:hAnsi="宋体"/>
          <w:sz w:val="24"/>
          <w:lang w:eastAsia="zh-CN"/>
        </w:rPr>
        <w:t>该参数对试验磨料流量有一定的影响、</w:t>
      </w:r>
    </w:p>
    <w:p>
      <w:pPr>
        <w:pStyle w:val="59"/>
        <w:spacing w:line="360" w:lineRule="auto"/>
        <w:ind w:left="-6" w:leftChars="-3"/>
        <w:rPr>
          <w:rFonts w:hint="eastAsia" w:ascii="Times New Roman" w:hAnsi="宋体" w:eastAsia="宋体"/>
          <w:sz w:val="24"/>
          <w:szCs w:val="22"/>
        </w:rPr>
      </w:pPr>
      <w:r>
        <w:rPr>
          <w:rFonts w:hint="eastAsia" w:ascii="Times New Roman" w:hAnsi="宋体" w:eastAsia="宋体"/>
          <w:sz w:val="24"/>
          <w:szCs w:val="22"/>
        </w:rPr>
        <w:t>压力表</w:t>
      </w:r>
    </w:p>
    <w:p>
      <w:pPr>
        <w:pStyle w:val="59"/>
        <w:numPr>
          <w:ilvl w:val="0"/>
          <w:numId w:val="0"/>
        </w:numPr>
        <w:spacing w:line="360" w:lineRule="auto"/>
        <w:ind w:left="-6" w:firstLine="426"/>
        <w:rPr>
          <w:rFonts w:hint="default" w:ascii="Times New Roman" w:hAnsi="宋体" w:eastAsia="宋体"/>
          <w:sz w:val="24"/>
          <w:szCs w:val="22"/>
          <w:lang w:val="en-US" w:eastAsia="zh-CN"/>
        </w:rPr>
      </w:pPr>
      <w:r>
        <w:rPr>
          <w:rFonts w:hint="eastAsia" w:ascii="Times New Roman" w:hAnsi="宋体" w:eastAsia="宋体"/>
          <w:sz w:val="24"/>
          <w:szCs w:val="22"/>
        </w:rPr>
        <w:t>压缩空气的压强</w:t>
      </w:r>
      <w:r>
        <w:rPr>
          <w:rFonts w:hint="eastAsia" w:ascii="Times New Roman" w:hAnsi="宋体" w:eastAsia="宋体"/>
          <w:sz w:val="24"/>
          <w:szCs w:val="22"/>
          <w:lang w:eastAsia="zh-CN"/>
        </w:rPr>
        <w:t>是试验仪的关键参数</w:t>
      </w:r>
      <w:r>
        <w:rPr>
          <w:rFonts w:hint="eastAsia" w:ascii="Times New Roman" w:hAnsi="宋体" w:eastAsia="宋体"/>
          <w:sz w:val="24"/>
          <w:szCs w:val="22"/>
        </w:rPr>
        <w:t>，</w:t>
      </w:r>
      <w:r>
        <w:rPr>
          <w:rFonts w:hint="eastAsia" w:ascii="Times New Roman" w:hAnsi="宋体" w:eastAsia="宋体"/>
          <w:sz w:val="24"/>
          <w:szCs w:val="22"/>
          <w:lang w:eastAsia="zh-CN"/>
        </w:rPr>
        <w:t>直接影响试验结果，硬质阳极氧化膜</w:t>
      </w:r>
      <w:r>
        <w:rPr>
          <w:rFonts w:hint="eastAsia" w:ascii="Times New Roman" w:hAnsi="宋体" w:eastAsia="宋体"/>
          <w:sz w:val="24"/>
          <w:szCs w:val="22"/>
        </w:rPr>
        <w:t>常用压强为1</w:t>
      </w:r>
      <w:r>
        <w:rPr>
          <w:rFonts w:ascii="Times New Roman" w:hAnsi="宋体" w:eastAsia="宋体"/>
          <w:sz w:val="24"/>
          <w:szCs w:val="22"/>
        </w:rPr>
        <w:t>5</w:t>
      </w:r>
      <w:r>
        <w:rPr>
          <w:rFonts w:hint="eastAsia" w:ascii="Times New Roman" w:hAnsi="宋体" w:eastAsia="宋体"/>
          <w:sz w:val="24"/>
          <w:szCs w:val="22"/>
        </w:rPr>
        <w:t>k</w:t>
      </w:r>
      <w:r>
        <w:rPr>
          <w:rFonts w:ascii="Times New Roman" w:hAnsi="宋体" w:eastAsia="宋体"/>
          <w:sz w:val="24"/>
          <w:szCs w:val="22"/>
        </w:rPr>
        <w:t>P</w:t>
      </w:r>
      <w:r>
        <w:rPr>
          <w:rFonts w:hint="eastAsia" w:ascii="Times New Roman" w:hAnsi="宋体" w:eastAsia="宋体"/>
          <w:sz w:val="24"/>
          <w:szCs w:val="22"/>
        </w:rPr>
        <w:t>a</w:t>
      </w:r>
      <w:r>
        <w:rPr>
          <w:rFonts w:hint="eastAsia" w:ascii="Times New Roman" w:hAnsi="宋体" w:eastAsia="宋体"/>
          <w:sz w:val="24"/>
          <w:szCs w:val="22"/>
          <w:lang w:eastAsia="zh-CN"/>
        </w:rPr>
        <w:t>，普通阳极氧化膜常用压强为</w:t>
      </w:r>
      <w:r>
        <w:rPr>
          <w:rFonts w:hint="eastAsia" w:ascii="Times New Roman" w:hAnsi="宋体" w:eastAsia="宋体"/>
          <w:sz w:val="24"/>
          <w:szCs w:val="22"/>
          <w:lang w:val="en-US" w:eastAsia="zh-CN"/>
        </w:rPr>
        <w:t>7.5kPa。</w:t>
      </w:r>
    </w:p>
    <w:p>
      <w:pPr>
        <w:pStyle w:val="59"/>
        <w:spacing w:line="360" w:lineRule="auto"/>
        <w:ind w:left="-6" w:leftChars="-3"/>
        <w:rPr>
          <w:rFonts w:ascii="Times New Roman" w:hAnsi="宋体" w:eastAsia="宋体"/>
          <w:sz w:val="24"/>
          <w:szCs w:val="22"/>
        </w:rPr>
      </w:pPr>
      <w:r>
        <w:rPr>
          <w:rFonts w:hint="eastAsia" w:ascii="Times New Roman" w:hAnsi="宋体" w:eastAsia="宋体"/>
          <w:sz w:val="24"/>
          <w:szCs w:val="22"/>
        </w:rPr>
        <w:t>计量单位</w:t>
      </w:r>
    </w:p>
    <w:p>
      <w:pPr>
        <w:pStyle w:val="57"/>
        <w:ind w:firstLine="420"/>
        <w:rPr>
          <w:rFonts w:hint="eastAsia"/>
        </w:rPr>
      </w:pPr>
      <w:r>
        <w:rPr>
          <w:rFonts w:hint="eastAsia"/>
          <w:lang w:eastAsia="zh-CN"/>
        </w:rPr>
        <w:t>本规范中涉及的计量单位为：</w:t>
      </w:r>
      <w:r>
        <w:rPr>
          <w:rFonts w:hint="eastAsia"/>
        </w:rPr>
        <w:t>克（g），秒（s），毫米（mm），千帕（k</w:t>
      </w:r>
      <w:r>
        <w:t>P</w:t>
      </w:r>
      <w:r>
        <w:rPr>
          <w:rFonts w:hint="eastAsia"/>
        </w:rPr>
        <w:t>a）</w:t>
      </w:r>
    </w:p>
    <w:p>
      <w:pPr>
        <w:pStyle w:val="60"/>
        <w:spacing w:before="312" w:beforeLines="100" w:after="312" w:afterLines="100"/>
        <w:contextualSpacing/>
        <w:rPr>
          <w:rFonts w:hint="eastAsia" w:hAnsi="黑体"/>
          <w:szCs w:val="21"/>
          <w:lang w:eastAsia="zh-CN"/>
        </w:rPr>
      </w:pPr>
      <w:r>
        <w:rPr>
          <w:rFonts w:hint="eastAsia" w:hAnsi="黑体"/>
          <w:szCs w:val="21"/>
          <w:lang w:eastAsia="zh-CN"/>
        </w:rPr>
        <w:t>概述</w:t>
      </w:r>
    </w:p>
    <w:p>
      <w:pPr>
        <w:pStyle w:val="57"/>
        <w:jc w:val="left"/>
        <w:rPr>
          <w:rFonts w:hint="eastAsia" w:hAnsi="黑体"/>
          <w:szCs w:val="21"/>
          <w:lang w:val="en-US" w:eastAsia="zh-CN"/>
        </w:rPr>
      </w:pPr>
      <w:r>
        <w:rPr>
          <w:rFonts w:hint="eastAsia" w:hAnsi="黑体"/>
          <w:szCs w:val="21"/>
          <w:lang w:eastAsia="zh-CN"/>
        </w:rPr>
        <w:t>本部分给出了喷磨试验仪的基本结构，该结构的试验设备可以满足测试方法标准</w:t>
      </w:r>
      <w:r>
        <w:rPr>
          <w:rFonts w:hint="eastAsia" w:hAnsi="黑体"/>
          <w:szCs w:val="21"/>
          <w:lang w:val="en-US" w:eastAsia="zh-CN"/>
        </w:rPr>
        <w:t>GB/T 12967.1-2012的要求。</w:t>
      </w:r>
    </w:p>
    <w:p>
      <w:pPr>
        <w:pStyle w:val="60"/>
        <w:spacing w:before="312" w:beforeLines="100" w:after="312" w:afterLines="100"/>
        <w:contextualSpacing/>
        <w:rPr>
          <w:rFonts w:hint="default" w:hAnsi="黑体"/>
          <w:szCs w:val="21"/>
          <w:lang w:val="en-US" w:eastAsia="zh-CN"/>
        </w:rPr>
      </w:pPr>
      <w:r>
        <w:rPr>
          <w:rFonts w:hint="eastAsia" w:hAnsi="黑体"/>
          <w:szCs w:val="21"/>
          <w:lang w:val="en-US" w:eastAsia="zh-CN"/>
        </w:rPr>
        <w:t>计量特性</w:t>
      </w:r>
    </w:p>
    <w:p>
      <w:pPr>
        <w:pStyle w:val="60"/>
        <w:numPr>
          <w:ilvl w:val="0"/>
          <w:numId w:val="0"/>
        </w:numPr>
        <w:spacing w:before="156" w:after="0" w:afterLines="0" w:line="360" w:lineRule="auto"/>
        <w:rPr>
          <w:rFonts w:hint="eastAsia" w:ascii="Times New Roman" w:hAnsi="宋体" w:eastAsia="宋体"/>
          <w:sz w:val="24"/>
        </w:rPr>
      </w:pPr>
      <w:bookmarkStart w:id="25" w:name="_Toc32205"/>
      <w:r>
        <w:rPr>
          <w:rFonts w:hint="eastAsia" w:ascii="宋体" w:hAnsi="宋体" w:eastAsia="宋体"/>
          <w:sz w:val="24"/>
        </w:rPr>
        <w:t xml:space="preserve">5.1 </w:t>
      </w:r>
      <w:r>
        <w:rPr>
          <w:rFonts w:hint="eastAsia" w:ascii="Times New Roman" w:hAnsi="宋体" w:eastAsia="宋体"/>
          <w:sz w:val="24"/>
        </w:rPr>
        <w:t>试验仪管路结构</w:t>
      </w:r>
      <w:bookmarkEnd w:id="25"/>
    </w:p>
    <w:p>
      <w:pPr>
        <w:pStyle w:val="57"/>
        <w:rPr>
          <w:rFonts w:hint="default"/>
          <w:lang w:val="en-US" w:eastAsia="zh-CN"/>
        </w:rPr>
      </w:pPr>
      <w:r>
        <w:rPr>
          <w:rFonts w:hint="eastAsia"/>
          <w:lang w:val="en-US" w:eastAsia="zh-CN"/>
        </w:rPr>
        <w:t>规范中对供料漏斗、外管、内管的具体尺寸进行了规定，因为一致的设备尺寸可以保证结果的一致性。</w:t>
      </w:r>
    </w:p>
    <w:p>
      <w:pPr>
        <w:pStyle w:val="60"/>
        <w:numPr>
          <w:ilvl w:val="0"/>
          <w:numId w:val="0"/>
        </w:numPr>
        <w:spacing w:before="156" w:after="0" w:afterLines="0" w:line="360" w:lineRule="auto"/>
        <w:rPr>
          <w:rFonts w:hint="eastAsia" w:ascii="Times New Roman" w:hAnsi="宋体" w:eastAsia="宋体"/>
          <w:sz w:val="24"/>
        </w:rPr>
      </w:pPr>
      <w:bookmarkStart w:id="26" w:name="_Toc7264"/>
      <w:r>
        <w:rPr>
          <w:rFonts w:hint="eastAsia" w:ascii="宋体" w:hAnsi="宋体" w:eastAsia="宋体"/>
          <w:sz w:val="24"/>
        </w:rPr>
        <w:t>5.2</w:t>
      </w:r>
      <w:r>
        <w:rPr>
          <w:rFonts w:hint="eastAsia" w:ascii="Times New Roman" w:hAnsi="宋体" w:eastAsia="宋体"/>
          <w:sz w:val="24"/>
        </w:rPr>
        <w:t>性能等级</w:t>
      </w:r>
      <w:bookmarkEnd w:id="26"/>
    </w:p>
    <w:p>
      <w:pPr>
        <w:pStyle w:val="57"/>
        <w:rPr>
          <w:rFonts w:hint="default"/>
          <w:lang w:val="en-US" w:eastAsia="zh-CN"/>
        </w:rPr>
      </w:pPr>
      <w:r>
        <w:rPr>
          <w:rFonts w:hint="eastAsia"/>
          <w:lang w:val="en-US" w:eastAsia="zh-CN"/>
        </w:rPr>
        <w:t>根据试验仪使用条件的不同，试验仪的相对偏差要求有所不同，例如生产企业为保证产品质量的一致性，可以选用2级的试验仪，如果是第三方检测机构，涉及产品质量仲裁的场景，需要试验仪性能等级达到1级。</w:t>
      </w:r>
    </w:p>
    <w:p>
      <w:pPr>
        <w:pStyle w:val="60"/>
        <w:spacing w:before="156" w:after="0" w:afterLines="0" w:line="360" w:lineRule="auto"/>
        <w:ind w:left="412"/>
        <w:rPr>
          <w:sz w:val="24"/>
        </w:rPr>
      </w:pPr>
      <w:bookmarkStart w:id="27" w:name="_Toc193618954"/>
      <w:bookmarkStart w:id="28" w:name="_Toc193619099"/>
      <w:bookmarkStart w:id="29" w:name="_Toc15633"/>
      <w:bookmarkStart w:id="30" w:name="_Toc193860032"/>
      <w:bookmarkStart w:id="31" w:name="_Toc193860213"/>
      <w:bookmarkStart w:id="32" w:name="_Toc193860182"/>
      <w:bookmarkStart w:id="33" w:name="_Toc193619057"/>
      <w:r>
        <w:rPr>
          <w:rFonts w:hint="eastAsia"/>
          <w:sz w:val="24"/>
        </w:rPr>
        <w:t>通用技术要求</w:t>
      </w:r>
    </w:p>
    <w:p>
      <w:pPr>
        <w:pStyle w:val="57"/>
        <w:ind w:firstLine="480"/>
        <w:rPr>
          <w:rFonts w:ascii="Times New Roman" w:hAnsi="宋体"/>
          <w:sz w:val="24"/>
        </w:rPr>
      </w:pPr>
      <w:r>
        <w:rPr>
          <w:rFonts w:hint="eastAsia" w:ascii="Times New Roman" w:hAnsi="宋体"/>
          <w:sz w:val="24"/>
        </w:rPr>
        <w:t>6</w:t>
      </w:r>
      <w:r>
        <w:rPr>
          <w:rFonts w:ascii="Times New Roman" w:hAnsi="宋体"/>
          <w:sz w:val="24"/>
        </w:rPr>
        <w:t xml:space="preserve">.1 </w:t>
      </w:r>
      <w:r>
        <w:rPr>
          <w:rFonts w:hint="eastAsia" w:ascii="Times New Roman" w:hAnsi="宋体"/>
          <w:sz w:val="24"/>
        </w:rPr>
        <w:t>外观</w:t>
      </w:r>
    </w:p>
    <w:p>
      <w:pPr>
        <w:pStyle w:val="57"/>
        <w:ind w:firstLine="480"/>
        <w:rPr>
          <w:rFonts w:ascii="Times New Roman" w:hAnsi="宋体"/>
          <w:sz w:val="24"/>
        </w:rPr>
      </w:pPr>
      <w:r>
        <w:rPr>
          <w:rFonts w:hint="eastAsia" w:ascii="Times New Roman" w:hAnsi="宋体"/>
          <w:sz w:val="24"/>
        </w:rPr>
        <w:t>6</w:t>
      </w:r>
      <w:r>
        <w:rPr>
          <w:rFonts w:ascii="Times New Roman" w:hAnsi="宋体"/>
          <w:sz w:val="24"/>
        </w:rPr>
        <w:t>.1.1</w:t>
      </w:r>
      <w:r>
        <w:rPr>
          <w:rFonts w:hint="eastAsia" w:ascii="Times New Roman" w:hAnsi="宋体"/>
          <w:sz w:val="24"/>
        </w:rPr>
        <w:t>试验仪铭牌</w:t>
      </w:r>
      <w:r>
        <w:rPr>
          <w:rFonts w:hint="eastAsia" w:ascii="Times New Roman"/>
          <w:sz w:val="24"/>
          <w:lang w:eastAsia="zh-CN"/>
        </w:rPr>
        <w:t>应包括设备的唯一性信息</w:t>
      </w:r>
      <w:r>
        <w:rPr>
          <w:rFonts w:hint="eastAsia" w:ascii="Times New Roman" w:hAnsi="宋体"/>
          <w:sz w:val="24"/>
        </w:rPr>
        <w:t>：名称、型号、规格、准确度等级、制造厂名、出厂编号及日期。</w:t>
      </w:r>
    </w:p>
    <w:p>
      <w:pPr>
        <w:pStyle w:val="57"/>
        <w:ind w:firstLine="480"/>
        <w:rPr>
          <w:rFonts w:hint="eastAsia" w:ascii="Times New Roman" w:hAnsi="宋体" w:eastAsia="宋体"/>
          <w:sz w:val="24"/>
          <w:lang w:eastAsia="zh-CN"/>
        </w:rPr>
      </w:pPr>
      <w:r>
        <w:rPr>
          <w:rFonts w:hint="eastAsia" w:ascii="Times New Roman" w:hAnsi="宋体"/>
          <w:sz w:val="24"/>
        </w:rPr>
        <w:t>6</w:t>
      </w:r>
      <w:r>
        <w:rPr>
          <w:rFonts w:ascii="Times New Roman" w:hAnsi="宋体"/>
          <w:sz w:val="24"/>
        </w:rPr>
        <w:t>.1.2</w:t>
      </w:r>
      <w:r>
        <w:rPr>
          <w:rFonts w:hint="eastAsia" w:ascii="Times New Roman" w:hAnsi="宋体"/>
          <w:sz w:val="24"/>
        </w:rPr>
        <w:t>试验仪各种开关、按钮应操作灵活可靠，各部分的连接应牢固、可靠、无松动，显示部分应显示清晰、无误。</w:t>
      </w:r>
      <w:r>
        <w:rPr>
          <w:rFonts w:hint="eastAsia" w:ascii="Times New Roman"/>
          <w:sz w:val="24"/>
          <w:lang w:eastAsia="zh-CN"/>
        </w:rPr>
        <w:t>以保证操作的便捷无差错。</w:t>
      </w:r>
    </w:p>
    <w:p>
      <w:pPr>
        <w:pStyle w:val="57"/>
        <w:ind w:firstLine="480"/>
        <w:rPr>
          <w:rFonts w:ascii="Times New Roman" w:hAnsi="宋体"/>
          <w:sz w:val="24"/>
        </w:rPr>
      </w:pPr>
      <w:r>
        <w:rPr>
          <w:rFonts w:hint="eastAsia" w:ascii="Times New Roman" w:hAnsi="宋体"/>
          <w:sz w:val="24"/>
        </w:rPr>
        <w:t>6</w:t>
      </w:r>
      <w:r>
        <w:rPr>
          <w:rFonts w:ascii="Times New Roman" w:hAnsi="宋体"/>
          <w:sz w:val="24"/>
        </w:rPr>
        <w:t>.2</w:t>
      </w:r>
      <w:r>
        <w:rPr>
          <w:rFonts w:hint="eastAsia" w:ascii="Times New Roman" w:hAnsi="宋体"/>
          <w:sz w:val="24"/>
        </w:rPr>
        <w:t>喷磨系统</w:t>
      </w:r>
    </w:p>
    <w:p>
      <w:pPr>
        <w:pStyle w:val="57"/>
        <w:ind w:firstLine="480"/>
        <w:rPr>
          <w:sz w:val="24"/>
          <w:szCs w:val="28"/>
        </w:rPr>
      </w:pPr>
      <w:r>
        <w:rPr>
          <w:rFonts w:hint="eastAsia"/>
          <w:sz w:val="24"/>
          <w:szCs w:val="28"/>
        </w:rPr>
        <w:t>应同时进行磨料的流动和计时，在整个校准</w:t>
      </w:r>
      <w:r>
        <w:rPr>
          <w:rFonts w:hint="eastAsia"/>
          <w:sz w:val="24"/>
          <w:szCs w:val="28"/>
          <w:lang w:eastAsia="zh-CN"/>
        </w:rPr>
        <w:t>过程中</w:t>
      </w:r>
      <w:r>
        <w:rPr>
          <w:rFonts w:hint="eastAsia"/>
          <w:sz w:val="24"/>
          <w:szCs w:val="28"/>
        </w:rPr>
        <w:t>，应保证磨料喷射自如</w:t>
      </w:r>
      <w:r>
        <w:rPr>
          <w:rFonts w:hint="eastAsia"/>
          <w:sz w:val="24"/>
          <w:szCs w:val="28"/>
          <w:lang w:eastAsia="zh-CN"/>
        </w:rPr>
        <w:t>，如果发生导管堵塞的现象，则本次校准无效</w:t>
      </w:r>
      <w:r>
        <w:rPr>
          <w:rFonts w:hint="eastAsia"/>
          <w:sz w:val="24"/>
          <w:szCs w:val="28"/>
        </w:rPr>
        <w:t>。</w:t>
      </w:r>
    </w:p>
    <w:p>
      <w:pPr>
        <w:pStyle w:val="57"/>
        <w:ind w:firstLine="480"/>
        <w:rPr>
          <w:sz w:val="24"/>
          <w:szCs w:val="28"/>
        </w:rPr>
      </w:pPr>
      <w:r>
        <w:rPr>
          <w:rFonts w:hint="eastAsia"/>
          <w:sz w:val="24"/>
          <w:szCs w:val="28"/>
        </w:rPr>
        <w:t>6</w:t>
      </w:r>
      <w:r>
        <w:rPr>
          <w:sz w:val="24"/>
          <w:szCs w:val="28"/>
        </w:rPr>
        <w:t>.3</w:t>
      </w:r>
      <w:r>
        <w:rPr>
          <w:rFonts w:hint="eastAsia"/>
          <w:sz w:val="24"/>
          <w:szCs w:val="28"/>
        </w:rPr>
        <w:t>控制系统</w:t>
      </w:r>
    </w:p>
    <w:p>
      <w:pPr>
        <w:pStyle w:val="57"/>
        <w:ind w:firstLine="480"/>
        <w:rPr>
          <w:rFonts w:hint="eastAsia"/>
          <w:sz w:val="24"/>
          <w:szCs w:val="28"/>
        </w:rPr>
      </w:pPr>
      <w:r>
        <w:rPr>
          <w:rFonts w:hint="eastAsia"/>
          <w:sz w:val="24"/>
          <w:szCs w:val="28"/>
        </w:rPr>
        <w:t>试验仪的流量计和压力表应能正常显示</w:t>
      </w:r>
      <w:r>
        <w:rPr>
          <w:rFonts w:hint="eastAsia"/>
          <w:sz w:val="24"/>
          <w:szCs w:val="28"/>
          <w:lang w:eastAsia="zh-CN"/>
        </w:rPr>
        <w:t>是仪器设备使用的基本要求</w:t>
      </w:r>
      <w:r>
        <w:rPr>
          <w:rFonts w:hint="eastAsia"/>
          <w:sz w:val="24"/>
          <w:szCs w:val="28"/>
        </w:rPr>
        <w:t>。</w:t>
      </w:r>
    </w:p>
    <w:bookmarkEnd w:id="27"/>
    <w:bookmarkEnd w:id="28"/>
    <w:bookmarkEnd w:id="29"/>
    <w:bookmarkEnd w:id="30"/>
    <w:bookmarkEnd w:id="31"/>
    <w:bookmarkEnd w:id="32"/>
    <w:bookmarkEnd w:id="33"/>
    <w:p>
      <w:pPr>
        <w:pStyle w:val="60"/>
        <w:spacing w:before="156" w:after="0" w:afterLines="0" w:line="360" w:lineRule="auto"/>
        <w:rPr>
          <w:rFonts w:hint="eastAsia"/>
          <w:sz w:val="24"/>
        </w:rPr>
      </w:pPr>
      <w:r>
        <w:rPr>
          <w:rFonts w:hint="eastAsia" w:ascii="Times New Roman" w:hAnsi="宋体"/>
          <w:sz w:val="24"/>
        </w:rPr>
        <w:t>计量器具控制</w:t>
      </w:r>
    </w:p>
    <w:p>
      <w:pPr>
        <w:pStyle w:val="59"/>
        <w:spacing w:line="360" w:lineRule="auto"/>
        <w:ind w:left="-6" w:leftChars="-3"/>
        <w:rPr>
          <w:rFonts w:hint="eastAsia" w:ascii="Times New Roman" w:hAnsi="宋体" w:eastAsia="宋体"/>
          <w:sz w:val="24"/>
        </w:rPr>
      </w:pPr>
      <w:bookmarkStart w:id="34" w:name="_Toc193860033"/>
      <w:bookmarkStart w:id="35" w:name="_Toc32245"/>
      <w:bookmarkStart w:id="36" w:name="_Toc193860214"/>
      <w:bookmarkStart w:id="37" w:name="_Toc193860183"/>
      <w:r>
        <w:rPr>
          <w:rFonts w:hint="eastAsia" w:ascii="Times New Roman" w:hAnsi="宋体" w:eastAsia="宋体"/>
          <w:sz w:val="24"/>
        </w:rPr>
        <w:t>校准环境条件</w:t>
      </w:r>
      <w:bookmarkEnd w:id="34"/>
      <w:bookmarkEnd w:id="35"/>
      <w:bookmarkEnd w:id="36"/>
      <w:bookmarkEnd w:id="37"/>
    </w:p>
    <w:p>
      <w:pPr>
        <w:spacing w:line="360" w:lineRule="auto"/>
        <w:ind w:firstLine="480" w:firstLineChars="200"/>
        <w:outlineLvl w:val="0"/>
        <w:rPr>
          <w:rFonts w:hint="eastAsia"/>
          <w:sz w:val="24"/>
        </w:rPr>
      </w:pPr>
      <w:r>
        <w:rPr>
          <w:rFonts w:hint="eastAsia" w:hAnsi="宋体"/>
          <w:sz w:val="24"/>
          <w:lang w:eastAsia="zh-CN"/>
        </w:rPr>
        <w:t>稳定的环境温湿度可以保证磨料的干燥，保证试验结果的稳定，因此要求校准</w:t>
      </w:r>
      <w:r>
        <w:rPr>
          <w:rFonts w:hint="eastAsia" w:hAnsi="宋体"/>
          <w:sz w:val="24"/>
        </w:rPr>
        <w:t>在温度20℃~26℃，相对湿度30%~80%的条件下进行。</w:t>
      </w:r>
      <w:r>
        <w:rPr>
          <w:rFonts w:hint="eastAsia" w:hAnsi="宋体"/>
          <w:sz w:val="24"/>
          <w:lang w:eastAsia="zh-CN"/>
        </w:rPr>
        <w:t>且</w:t>
      </w:r>
      <w:r>
        <w:rPr>
          <w:rFonts w:hint="eastAsia" w:hAnsi="宋体"/>
          <w:sz w:val="24"/>
        </w:rPr>
        <w:t>校准过程中温度波动不大于3℃。</w:t>
      </w:r>
    </w:p>
    <w:p>
      <w:pPr>
        <w:pStyle w:val="59"/>
        <w:spacing w:line="360" w:lineRule="auto"/>
        <w:ind w:left="-6" w:leftChars="-3"/>
        <w:rPr>
          <w:rFonts w:hint="eastAsia" w:ascii="Times New Roman" w:hAnsi="宋体" w:eastAsia="宋体"/>
          <w:sz w:val="24"/>
        </w:rPr>
      </w:pPr>
      <w:r>
        <w:rPr>
          <w:rFonts w:hint="eastAsia" w:ascii="Times New Roman" w:hAnsi="宋体" w:eastAsia="宋体"/>
          <w:sz w:val="24"/>
        </w:rPr>
        <w:t>校准用标准器</w:t>
      </w:r>
    </w:p>
    <w:p>
      <w:pPr>
        <w:pStyle w:val="58"/>
        <w:numPr>
          <w:ilvl w:val="0"/>
          <w:numId w:val="0"/>
        </w:numPr>
        <w:spacing w:line="360" w:lineRule="auto"/>
        <w:rPr>
          <w:rFonts w:ascii="Times New Roman" w:hAnsi="宋体"/>
          <w:sz w:val="24"/>
        </w:rPr>
      </w:pPr>
      <w:r>
        <w:rPr>
          <w:rFonts w:hint="eastAsia" w:ascii="Times New Roman" w:hAnsi="宋体"/>
          <w:sz w:val="24"/>
        </w:rPr>
        <w:t>7</w:t>
      </w:r>
      <w:r>
        <w:rPr>
          <w:rFonts w:ascii="Times New Roman" w:hAnsi="宋体"/>
          <w:sz w:val="24"/>
        </w:rPr>
        <w:t>.2.1</w:t>
      </w:r>
      <w:r>
        <w:rPr>
          <w:rFonts w:hint="eastAsia" w:ascii="Times New Roman" w:hAnsi="宋体"/>
          <w:sz w:val="24"/>
          <w:lang w:eastAsia="zh-CN"/>
        </w:rPr>
        <w:t>尺寸规格</w:t>
      </w:r>
      <w:r>
        <w:rPr>
          <w:rFonts w:hint="eastAsia" w:ascii="Times New Roman" w:hAnsi="宋体"/>
          <w:sz w:val="24"/>
        </w:rPr>
        <w:t>校准用钢直尺应不低于0</w:t>
      </w:r>
      <w:r>
        <w:rPr>
          <w:rFonts w:ascii="Times New Roman" w:hAnsi="宋体"/>
          <w:sz w:val="24"/>
        </w:rPr>
        <w:t>.2</w:t>
      </w:r>
      <w:r>
        <w:rPr>
          <w:rFonts w:hint="eastAsia" w:ascii="Times New Roman" w:hAnsi="宋体"/>
          <w:sz w:val="24"/>
        </w:rPr>
        <w:t>级。</w:t>
      </w:r>
    </w:p>
    <w:p>
      <w:pPr>
        <w:pStyle w:val="58"/>
        <w:numPr>
          <w:ilvl w:val="0"/>
          <w:numId w:val="0"/>
        </w:numPr>
        <w:spacing w:line="360" w:lineRule="auto"/>
        <w:rPr>
          <w:rFonts w:ascii="Times New Roman" w:hAnsi="宋体"/>
          <w:sz w:val="24"/>
        </w:rPr>
      </w:pPr>
      <w:r>
        <w:rPr>
          <w:rFonts w:hint="eastAsia" w:ascii="Times New Roman" w:hAnsi="宋体"/>
          <w:sz w:val="24"/>
        </w:rPr>
        <w:t>7</w:t>
      </w:r>
      <w:r>
        <w:rPr>
          <w:rFonts w:ascii="Times New Roman" w:hAnsi="宋体"/>
          <w:sz w:val="24"/>
        </w:rPr>
        <w:t>.2.2</w:t>
      </w:r>
      <w:r>
        <w:rPr>
          <w:rFonts w:hint="eastAsia" w:ascii="Times New Roman" w:hAnsi="宋体"/>
          <w:sz w:val="24"/>
          <w:lang w:eastAsia="zh-CN"/>
        </w:rPr>
        <w:t>对于较小的尺寸应使用卡尺进行校准，</w:t>
      </w:r>
      <w:r>
        <w:rPr>
          <w:rFonts w:hint="eastAsia" w:ascii="Times New Roman" w:hAnsi="宋体"/>
          <w:sz w:val="24"/>
        </w:rPr>
        <w:t>卡尺的分度值应不低于0</w:t>
      </w:r>
      <w:r>
        <w:rPr>
          <w:rFonts w:ascii="Times New Roman" w:hAnsi="宋体"/>
          <w:sz w:val="24"/>
        </w:rPr>
        <w:t>.02</w:t>
      </w:r>
      <w:r>
        <w:rPr>
          <w:rFonts w:hint="eastAsia" w:ascii="Times New Roman" w:hAnsi="宋体"/>
          <w:sz w:val="24"/>
        </w:rPr>
        <w:t>mm，</w:t>
      </w:r>
      <w:r>
        <w:rPr>
          <w:rFonts w:hint="eastAsia" w:ascii="Times New Roman" w:hAnsi="宋体"/>
          <w:sz w:val="24"/>
          <w:lang w:eastAsia="zh-CN"/>
        </w:rPr>
        <w:t>为减少读书时产生的错误，</w:t>
      </w:r>
      <w:r>
        <w:rPr>
          <w:rFonts w:hint="eastAsia" w:ascii="Times New Roman" w:hAnsi="宋体"/>
          <w:sz w:val="24"/>
        </w:rPr>
        <w:t>建议使用数显卡尺。</w:t>
      </w:r>
    </w:p>
    <w:p>
      <w:pPr>
        <w:pStyle w:val="58"/>
        <w:numPr>
          <w:ilvl w:val="0"/>
          <w:numId w:val="0"/>
        </w:numPr>
        <w:spacing w:line="360" w:lineRule="auto"/>
        <w:rPr>
          <w:rFonts w:ascii="Times New Roman" w:hAnsi="宋体"/>
          <w:sz w:val="24"/>
        </w:rPr>
      </w:pPr>
      <w:r>
        <w:rPr>
          <w:rFonts w:ascii="Times New Roman" w:hAnsi="宋体"/>
          <w:sz w:val="24"/>
        </w:rPr>
        <w:t>7.2.3</w:t>
      </w:r>
      <w:r>
        <w:rPr>
          <w:rFonts w:hint="eastAsia" w:ascii="Times New Roman" w:hAnsi="宋体"/>
          <w:sz w:val="24"/>
          <w:lang w:eastAsia="zh-CN"/>
        </w:rPr>
        <w:t>为保证时间记录的准确，应使用电子秒表进行记录</w:t>
      </w:r>
      <w:r>
        <w:rPr>
          <w:rFonts w:hint="eastAsia" w:ascii="Times New Roman" w:hAnsi="宋体"/>
          <w:sz w:val="24"/>
        </w:rPr>
        <w:t>。</w:t>
      </w:r>
    </w:p>
    <w:p>
      <w:pPr>
        <w:pStyle w:val="57"/>
        <w:ind w:firstLine="0" w:firstLineChars="0"/>
      </w:pPr>
      <w:r>
        <w:rPr>
          <w:rFonts w:hint="eastAsia"/>
        </w:rPr>
        <w:t>7</w:t>
      </w:r>
      <w:r>
        <w:t>.2.4</w:t>
      </w:r>
      <w:r>
        <w:rPr>
          <w:rFonts w:hint="eastAsia"/>
          <w:lang w:eastAsia="zh-CN"/>
        </w:rPr>
        <w:t>校准气体压力表应使用</w:t>
      </w:r>
      <w:r>
        <w:rPr>
          <w:rFonts w:hint="eastAsia"/>
        </w:rPr>
        <w:t>数字压力表，</w:t>
      </w:r>
      <w:r>
        <w:rPr>
          <w:rFonts w:hint="eastAsia"/>
          <w:lang w:eastAsia="zh-CN"/>
        </w:rPr>
        <w:t>且</w:t>
      </w:r>
      <w:r>
        <w:rPr>
          <w:rFonts w:hint="eastAsia"/>
        </w:rPr>
        <w:t>优于被校压力表精度等级的1</w:t>
      </w:r>
      <w:r>
        <w:t>/3.</w:t>
      </w:r>
    </w:p>
    <w:p>
      <w:pPr>
        <w:pStyle w:val="57"/>
        <w:ind w:firstLine="0" w:firstLineChars="0"/>
        <w:rPr>
          <w:rFonts w:hint="eastAsia"/>
        </w:rPr>
      </w:pPr>
      <w:r>
        <w:rPr>
          <w:rFonts w:hint="eastAsia"/>
        </w:rPr>
        <w:t>7</w:t>
      </w:r>
      <w:r>
        <w:t>.2.5</w:t>
      </w:r>
      <w:r>
        <w:rPr>
          <w:rFonts w:hint="eastAsia"/>
          <w:lang w:eastAsia="zh-CN"/>
        </w:rPr>
        <w:t>校准气体流量应使用</w:t>
      </w:r>
      <w:r>
        <w:rPr>
          <w:rFonts w:hint="eastAsia"/>
        </w:rPr>
        <w:t>流量范围应与被校流量计范围相适应</w:t>
      </w:r>
      <w:r>
        <w:rPr>
          <w:rFonts w:hint="eastAsia"/>
          <w:lang w:eastAsia="zh-CN"/>
        </w:rPr>
        <w:t>的气体流量计</w:t>
      </w:r>
      <w:r>
        <w:rPr>
          <w:rFonts w:hint="eastAsia"/>
        </w:rPr>
        <w:t>，其扩展不确定度（k=</w:t>
      </w:r>
      <w:r>
        <w:t>2</w:t>
      </w:r>
      <w:r>
        <w:rPr>
          <w:rFonts w:hint="eastAsia"/>
        </w:rPr>
        <w:t>）应小于或等于被检流量计最大允许误差绝对值的二分之一。</w:t>
      </w:r>
    </w:p>
    <w:p>
      <w:pPr>
        <w:pStyle w:val="60"/>
        <w:spacing w:before="156" w:after="0" w:afterLines="0" w:line="360" w:lineRule="auto"/>
        <w:rPr>
          <w:rFonts w:hint="eastAsia"/>
          <w:sz w:val="24"/>
        </w:rPr>
      </w:pPr>
      <w:bookmarkStart w:id="38" w:name="_Toc193860035"/>
      <w:bookmarkStart w:id="39" w:name="_Toc193619058"/>
      <w:bookmarkStart w:id="40" w:name="_Toc193860216"/>
      <w:bookmarkStart w:id="41" w:name="_Toc193860185"/>
      <w:bookmarkStart w:id="42" w:name="_Toc5198"/>
      <w:bookmarkStart w:id="43" w:name="_Toc193619100"/>
      <w:bookmarkStart w:id="44" w:name="_Toc193618955"/>
      <w:r>
        <w:rPr>
          <w:rFonts w:hint="eastAsia"/>
          <w:sz w:val="24"/>
        </w:rPr>
        <w:t>校准项目和校准方法</w:t>
      </w:r>
      <w:bookmarkEnd w:id="38"/>
      <w:bookmarkEnd w:id="39"/>
      <w:bookmarkEnd w:id="40"/>
      <w:bookmarkEnd w:id="41"/>
      <w:bookmarkEnd w:id="42"/>
      <w:bookmarkEnd w:id="43"/>
      <w:bookmarkEnd w:id="44"/>
    </w:p>
    <w:p>
      <w:pPr>
        <w:pStyle w:val="59"/>
        <w:spacing w:line="360" w:lineRule="auto"/>
        <w:ind w:left="-6" w:leftChars="-3"/>
        <w:rPr>
          <w:rFonts w:hint="eastAsia" w:ascii="宋体" w:hAnsi="宋体" w:eastAsia="宋体" w:cs="宋体"/>
          <w:sz w:val="24"/>
        </w:rPr>
      </w:pPr>
      <w:bookmarkStart w:id="45" w:name="_Toc23961"/>
      <w:r>
        <w:rPr>
          <w:rFonts w:hint="eastAsia" w:ascii="宋体" w:hAnsi="宋体" w:eastAsia="宋体" w:cs="宋体"/>
          <w:sz w:val="24"/>
        </w:rPr>
        <w:t>试验仪管路结构</w:t>
      </w:r>
      <w:bookmarkEnd w:id="45"/>
    </w:p>
    <w:p>
      <w:pPr>
        <w:spacing w:line="360" w:lineRule="auto"/>
        <w:ind w:firstLine="480" w:firstLineChars="200"/>
        <w:outlineLvl w:val="0"/>
        <w:rPr>
          <w:rFonts w:hint="eastAsia" w:hAnsi="宋体"/>
          <w:sz w:val="24"/>
        </w:rPr>
      </w:pPr>
      <w:r>
        <w:rPr>
          <w:rFonts w:hint="eastAsia"/>
          <w:sz w:val="24"/>
          <w:lang w:eastAsia="zh-CN"/>
        </w:rPr>
        <w:t>使用</w:t>
      </w:r>
      <w:r>
        <w:rPr>
          <w:rFonts w:hint="eastAsia" w:hAnsi="宋体"/>
          <w:sz w:val="24"/>
        </w:rPr>
        <w:t>数显卡尺校准</w:t>
      </w:r>
      <w:r>
        <w:rPr>
          <w:rFonts w:hint="eastAsia"/>
          <w:sz w:val="24"/>
        </w:rPr>
        <w:t>供料漏斗直径、高度，漏斗直径、高度，内管长度，外管长度</w:t>
      </w:r>
      <w:r>
        <w:rPr>
          <w:rFonts w:hint="eastAsia" w:hAnsi="宋体"/>
          <w:sz w:val="24"/>
        </w:rPr>
        <w:t>使用钢卷尺直接校准</w:t>
      </w:r>
      <w:r>
        <w:rPr>
          <w:rFonts w:hint="eastAsia"/>
          <w:sz w:val="24"/>
        </w:rPr>
        <w:t>。供料漏斗出口内径，漏斗出口内径，内管内径、内管外径，外管内径、外径。</w:t>
      </w:r>
    </w:p>
    <w:p>
      <w:pPr>
        <w:pStyle w:val="59"/>
        <w:spacing w:line="360" w:lineRule="auto"/>
        <w:ind w:left="-6" w:leftChars="-3"/>
        <w:rPr>
          <w:rFonts w:hint="eastAsia" w:ascii="宋体" w:hAnsi="宋体" w:eastAsia="宋体" w:cs="宋体"/>
          <w:sz w:val="24"/>
          <w:szCs w:val="22"/>
        </w:rPr>
      </w:pPr>
      <w:bookmarkStart w:id="46" w:name="_Toc11943"/>
      <w:r>
        <w:rPr>
          <w:rFonts w:hint="eastAsia" w:ascii="宋体" w:hAnsi="宋体" w:eastAsia="宋体" w:cs="宋体"/>
          <w:sz w:val="24"/>
          <w:szCs w:val="22"/>
        </w:rPr>
        <w:t>试验仪用传感器、仪器和仪表的校准</w:t>
      </w:r>
      <w:bookmarkEnd w:id="46"/>
    </w:p>
    <w:p>
      <w:pPr>
        <w:spacing w:line="360" w:lineRule="auto"/>
        <w:ind w:firstLine="480" w:firstLineChars="200"/>
        <w:outlineLvl w:val="0"/>
        <w:rPr>
          <w:rFonts w:hint="eastAsia"/>
          <w:sz w:val="24"/>
          <w:lang w:eastAsia="zh-CN"/>
        </w:rPr>
      </w:pPr>
      <w:r>
        <w:rPr>
          <w:rFonts w:hint="eastAsia"/>
          <w:sz w:val="24"/>
          <w:lang w:eastAsia="zh-CN"/>
        </w:rPr>
        <w:t>试验仪校准时，其上所有传感器、仪器和仪表均应在其检定或校准有效期内。压力表的校准应符合JJG 52的规定，气体流量计的校准应符合JJG 633的规定。</w:t>
      </w:r>
    </w:p>
    <w:p>
      <w:pPr>
        <w:pStyle w:val="59"/>
        <w:spacing w:line="360" w:lineRule="auto"/>
        <w:ind w:left="-6" w:leftChars="-3"/>
        <w:rPr>
          <w:rFonts w:hint="eastAsia" w:ascii="宋体" w:hAnsi="宋体" w:eastAsia="宋体" w:cs="宋体"/>
          <w:sz w:val="24"/>
          <w:szCs w:val="22"/>
        </w:rPr>
      </w:pPr>
      <w:bookmarkStart w:id="47" w:name="_Toc32542"/>
      <w:r>
        <w:rPr>
          <w:rFonts w:hint="eastAsia" w:ascii="宋体" w:hAnsi="宋体" w:eastAsia="宋体" w:cs="宋体"/>
          <w:sz w:val="24"/>
          <w:szCs w:val="22"/>
        </w:rPr>
        <w:t>试验仪相对偏差</w:t>
      </w:r>
      <w:bookmarkEnd w:id="47"/>
    </w:p>
    <w:p>
      <w:pPr>
        <w:spacing w:line="360" w:lineRule="auto"/>
        <w:ind w:firstLine="480" w:firstLineChars="200"/>
        <w:outlineLvl w:val="0"/>
        <w:rPr>
          <w:rFonts w:hint="eastAsia"/>
          <w:sz w:val="24"/>
          <w:lang w:eastAsia="zh-CN"/>
        </w:rPr>
      </w:pPr>
      <w:r>
        <w:rPr>
          <w:rFonts w:hint="eastAsia"/>
          <w:sz w:val="24"/>
          <w:lang w:eastAsia="zh-CN"/>
        </w:rPr>
        <w:t>试验前在漏斗中加入适量的磨料，并尽量保持磨料量稳定在一定水平，以保证磨料流速的稳定，如果试验结果需要用磨料质量来表示，试验前还需要称量漏斗中磨料质量，并且计算试验过程中添加的磨料质量。</w:t>
      </w:r>
    </w:p>
    <w:p>
      <w:pPr>
        <w:spacing w:line="360" w:lineRule="auto"/>
        <w:ind w:firstLine="480" w:firstLineChars="200"/>
        <w:outlineLvl w:val="0"/>
        <w:rPr>
          <w:rFonts w:hint="eastAsia"/>
          <w:sz w:val="24"/>
          <w:szCs w:val="28"/>
        </w:rPr>
      </w:pPr>
      <w:r>
        <w:rPr>
          <w:rFonts w:hint="eastAsia"/>
          <w:sz w:val="24"/>
          <w:lang w:eastAsia="zh-CN"/>
        </w:rPr>
        <w:t>气体的流速和压强是影响试验结果的关键因素，因此实验过程中要求严格控制试验参数，只有相同参数下得到的试验结果才有可比性。下表参考日本标准JISH 8682-2-2013。由于不可能制造出一模一样的喷嘴和设备，因此设备间的偏差是不可避免的，因此试验前首先使用标准样品对设备进行校正，由于试样面与喷嘴轴线的角度会影响检验区形状，进而影响试验终点判断，因此将夹角控制在55°角，以保证结果的稳定。</w:t>
      </w:r>
    </w:p>
    <w:p>
      <w:pPr>
        <w:pStyle w:val="57"/>
        <w:rPr>
          <w:rFonts w:hint="eastAsia"/>
          <w:sz w:val="24"/>
          <w:szCs w:val="28"/>
        </w:rPr>
      </w:pPr>
    </w:p>
    <w:p>
      <w:pPr>
        <w:pStyle w:val="58"/>
        <w:spacing w:line="360" w:lineRule="auto"/>
        <w:rPr>
          <w:rFonts w:hint="eastAsia" w:ascii="宋体" w:hAnsi="宋体" w:cs="宋体"/>
          <w:sz w:val="24"/>
          <w:szCs w:val="24"/>
        </w:rPr>
      </w:pPr>
      <w:r>
        <w:rPr>
          <w:rFonts w:hint="eastAsia" w:ascii="宋体" w:hAnsi="宋体" w:cs="宋体"/>
          <w:sz w:val="24"/>
          <w:szCs w:val="24"/>
        </w:rPr>
        <w:t>仪器的校正应使用同一标准试样至少测量五个位置，按照公式（1）计算喷磨系数K。</w:t>
      </w:r>
    </w:p>
    <w:p>
      <w:pPr>
        <w:pStyle w:val="57"/>
        <w:ind w:firstLine="480"/>
        <w:jc w:val="center"/>
        <w:rPr>
          <w:rFonts w:hint="eastAsia" w:hAnsi="宋体" w:cs="宋体"/>
          <w:sz w:val="24"/>
          <w:szCs w:val="24"/>
        </w:rPr>
      </w:pPr>
      <w:r>
        <w:rPr>
          <w:rFonts w:hint="eastAsia" w:hAnsi="宋体" w:cs="宋体"/>
          <w:position w:val="-30"/>
          <w:sz w:val="24"/>
          <w:szCs w:val="24"/>
        </w:rPr>
        <w:object>
          <v:shape id="_x0000_i1025" o:spt="75" type="#_x0000_t75" style="height:34.35pt;width:58.75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hAnsi="宋体" w:cs="宋体"/>
          <w:sz w:val="24"/>
          <w:szCs w:val="24"/>
        </w:rPr>
        <w:t>……………………………………………………（1）</w:t>
      </w:r>
    </w:p>
    <w:p>
      <w:pPr>
        <w:pStyle w:val="57"/>
        <w:ind w:firstLine="480"/>
        <w:rPr>
          <w:rFonts w:hint="eastAsia" w:hAnsi="宋体" w:cs="宋体"/>
          <w:sz w:val="24"/>
          <w:szCs w:val="24"/>
        </w:rPr>
      </w:pPr>
      <w:r>
        <w:rPr>
          <w:rFonts w:hint="eastAsia" w:hAnsi="宋体" w:cs="宋体"/>
          <w:sz w:val="24"/>
          <w:szCs w:val="24"/>
        </w:rPr>
        <w:t>式中：</w:t>
      </w:r>
    </w:p>
    <w:p>
      <w:pPr>
        <w:pStyle w:val="57"/>
        <w:ind w:firstLine="480"/>
        <w:rPr>
          <w:rFonts w:hint="eastAsia" w:hAnsi="宋体" w:cs="宋体"/>
          <w:sz w:val="24"/>
          <w:szCs w:val="24"/>
        </w:rPr>
      </w:pPr>
      <w:r>
        <w:rPr>
          <w:rFonts w:hint="eastAsia" w:hAnsi="宋体" w:cs="宋体"/>
          <w:i/>
          <w:iCs/>
          <w:sz w:val="24"/>
          <w:szCs w:val="24"/>
        </w:rPr>
        <w:t>K</w:t>
      </w:r>
      <w:r>
        <w:rPr>
          <w:rFonts w:hint="eastAsia" w:hAnsi="宋体" w:cs="宋体"/>
          <w:sz w:val="24"/>
          <w:szCs w:val="24"/>
        </w:rPr>
        <w:t>——喷磨系数，单位为微米每秒（μm/s）；</w:t>
      </w:r>
    </w:p>
    <w:p>
      <w:pPr>
        <w:pStyle w:val="57"/>
        <w:ind w:firstLine="480"/>
        <w:rPr>
          <w:rFonts w:hint="eastAsia" w:hAnsi="宋体" w:cs="宋体"/>
          <w:sz w:val="24"/>
          <w:szCs w:val="24"/>
        </w:rPr>
      </w:pPr>
      <w:r>
        <w:rPr>
          <w:rFonts w:hint="eastAsia" w:hAnsi="宋体" w:cs="宋体"/>
          <w:i/>
          <w:iCs/>
          <w:sz w:val="24"/>
          <w:szCs w:val="24"/>
        </w:rPr>
        <w:t>d</w:t>
      </w:r>
      <w:r>
        <w:rPr>
          <w:rFonts w:hint="eastAsia" w:hAnsi="宋体" w:cs="宋体"/>
          <w:sz w:val="24"/>
          <w:szCs w:val="24"/>
          <w:vertAlign w:val="subscript"/>
        </w:rPr>
        <w:t>s</w:t>
      </w:r>
      <w:r>
        <w:rPr>
          <w:rFonts w:hint="eastAsia" w:hAnsi="宋体" w:cs="宋体"/>
          <w:sz w:val="24"/>
          <w:szCs w:val="24"/>
        </w:rPr>
        <w:t>——标准试样上的检验面原始膜厚，单位为微米（μm）；</w:t>
      </w:r>
    </w:p>
    <w:p>
      <w:pPr>
        <w:pStyle w:val="57"/>
        <w:ind w:firstLine="480"/>
        <w:rPr>
          <w:rFonts w:hint="eastAsia" w:hAnsi="宋体" w:cs="宋体"/>
          <w:sz w:val="28"/>
          <w:szCs w:val="28"/>
        </w:rPr>
      </w:pPr>
      <w:r>
        <w:rPr>
          <w:rFonts w:hint="eastAsia" w:hAnsi="宋体" w:cs="宋体"/>
          <w:i/>
          <w:iCs/>
          <w:sz w:val="24"/>
          <w:szCs w:val="24"/>
        </w:rPr>
        <w:t>S</w:t>
      </w:r>
      <w:r>
        <w:rPr>
          <w:rFonts w:hint="eastAsia" w:hAnsi="宋体" w:cs="宋体"/>
          <w:sz w:val="24"/>
          <w:szCs w:val="24"/>
          <w:vertAlign w:val="subscript"/>
        </w:rPr>
        <w:t>s</w:t>
      </w:r>
      <w:r>
        <w:rPr>
          <w:rFonts w:hint="eastAsia" w:hAnsi="宋体" w:cs="宋体"/>
          <w:sz w:val="24"/>
          <w:szCs w:val="24"/>
        </w:rPr>
        <w:t>——标准试样的耐磨性参数，单位为秒（s）</w:t>
      </w:r>
      <w:r>
        <w:rPr>
          <w:rFonts w:hint="eastAsia" w:hAnsi="宋体" w:cs="宋体"/>
          <w:sz w:val="28"/>
          <w:szCs w:val="28"/>
        </w:rPr>
        <w:t>。</w:t>
      </w:r>
    </w:p>
    <w:p>
      <w:pPr>
        <w:pStyle w:val="58"/>
        <w:spacing w:line="360" w:lineRule="auto"/>
        <w:rPr>
          <w:rFonts w:hint="eastAsia" w:ascii="宋体" w:hAnsi="宋体" w:cs="宋体"/>
          <w:sz w:val="24"/>
          <w:szCs w:val="24"/>
        </w:rPr>
      </w:pPr>
      <w:r>
        <w:rPr>
          <w:rFonts w:hint="eastAsia" w:ascii="宋体" w:hAnsi="宋体" w:cs="宋体"/>
          <w:sz w:val="24"/>
          <w:szCs w:val="24"/>
        </w:rPr>
        <w:t>按照公式（2）计算试验仪相对偏差△K。</w:t>
      </w:r>
    </w:p>
    <w:p>
      <w:pPr>
        <w:pStyle w:val="57"/>
        <w:ind w:firstLine="1920" w:firstLineChars="800"/>
        <w:rPr>
          <w:rFonts w:hint="eastAsia" w:hAnsi="宋体" w:cs="宋体"/>
          <w:sz w:val="24"/>
          <w:szCs w:val="24"/>
        </w:rPr>
      </w:pPr>
      <w:r>
        <w:rPr>
          <w:rFonts w:hint="eastAsia" w:hAnsi="宋体" w:cs="宋体"/>
          <w:sz w:val="24"/>
          <w:szCs w:val="24"/>
        </w:rPr>
        <w:t xml:space="preserve"> </w:t>
      </w:r>
      <w:r>
        <w:rPr>
          <w:rFonts w:hint="eastAsia" w:hAnsi="宋体" w:cs="宋体"/>
          <w:position w:val="-24"/>
          <w:sz w:val="24"/>
          <w:szCs w:val="24"/>
        </w:rPr>
        <w:object>
          <v:shape id="_x0000_i1026" o:spt="75" type="#_x0000_t75" style="height:31pt;width:125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hAnsi="宋体" w:cs="宋体"/>
          <w:sz w:val="24"/>
          <w:szCs w:val="24"/>
        </w:rPr>
        <w:t>……………………………………（2）</w:t>
      </w:r>
    </w:p>
    <w:p>
      <w:pPr>
        <w:pStyle w:val="57"/>
        <w:ind w:firstLine="480"/>
        <w:rPr>
          <w:rFonts w:hint="eastAsia" w:hAnsi="宋体" w:cs="宋体"/>
          <w:sz w:val="24"/>
          <w:szCs w:val="24"/>
        </w:rPr>
      </w:pPr>
      <w:r>
        <w:rPr>
          <w:rFonts w:hint="eastAsia" w:hAnsi="宋体" w:cs="宋体"/>
          <w:sz w:val="24"/>
          <w:szCs w:val="24"/>
        </w:rPr>
        <w:t>式中：</w:t>
      </w:r>
    </w:p>
    <w:p>
      <w:pPr>
        <w:pStyle w:val="57"/>
        <w:ind w:firstLine="480"/>
        <w:rPr>
          <w:rFonts w:hint="eastAsia" w:hAnsi="宋体" w:cs="宋体"/>
          <w:sz w:val="24"/>
          <w:szCs w:val="24"/>
        </w:rPr>
      </w:pPr>
      <w:r>
        <w:rPr>
          <w:rFonts w:hint="eastAsia" w:hAnsi="宋体" w:cs="宋体"/>
          <w:position w:val="-4"/>
          <w:sz w:val="24"/>
          <w:szCs w:val="24"/>
        </w:rPr>
        <w:object>
          <v:shape id="_x0000_i1027" o:spt="75" type="#_x0000_t75" style="height:13pt;width:20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hAnsi="宋体" w:cs="宋体"/>
          <w:sz w:val="24"/>
          <w:szCs w:val="24"/>
        </w:rPr>
        <w:t>——喷磨系数，单位为微米每秒（μm/s）；</w:t>
      </w:r>
    </w:p>
    <w:p>
      <w:pPr>
        <w:pStyle w:val="57"/>
        <w:ind w:firstLine="480"/>
        <w:rPr>
          <w:rFonts w:hint="eastAsia" w:hAnsi="宋体" w:cs="宋体"/>
          <w:sz w:val="24"/>
          <w:szCs w:val="24"/>
        </w:rPr>
      </w:pPr>
      <w:r>
        <w:rPr>
          <w:rFonts w:hint="eastAsia" w:hAnsi="宋体" w:cs="宋体"/>
          <w:sz w:val="24"/>
          <w:szCs w:val="24"/>
        </w:rPr>
        <w:object>
          <v:shape id="_x0000_i1028" o:spt="75" type="#_x0000_t75" style="height:18pt;width:24.95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hAnsi="宋体" w:cs="宋体"/>
          <w:sz w:val="24"/>
          <w:szCs w:val="24"/>
        </w:rPr>
        <w:t>——标准试样上的检验面原始膜厚，单位为微米（μm）； Kmax与Kmin单位不一样如何计算差值</w:t>
      </w:r>
    </w:p>
    <w:p>
      <w:pPr>
        <w:pStyle w:val="57"/>
        <w:ind w:firstLine="480"/>
        <w:rPr>
          <w:rFonts w:hint="eastAsia" w:hAnsi="宋体" w:cs="宋体"/>
          <w:sz w:val="24"/>
          <w:szCs w:val="24"/>
        </w:rPr>
      </w:pPr>
      <w:r>
        <w:rPr>
          <w:rFonts w:hint="eastAsia" w:hAnsi="宋体" w:cs="宋体"/>
          <w:sz w:val="24"/>
          <w:szCs w:val="24"/>
        </w:rPr>
        <w:object>
          <v:shape id="_x0000_i1029" o:spt="75" type="#_x0000_t75" style="height:18pt;width:24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hAnsi="宋体" w:cs="宋体"/>
          <w:sz w:val="24"/>
          <w:szCs w:val="24"/>
        </w:rPr>
        <w:t>——标准试样的耐磨性参数，单位为秒（s）。</w:t>
      </w:r>
    </w:p>
    <w:p>
      <w:pPr>
        <w:pStyle w:val="57"/>
        <w:ind w:firstLine="480"/>
        <w:rPr>
          <w:rFonts w:hint="eastAsia" w:hAnsi="宋体" w:cs="宋体"/>
          <w:sz w:val="28"/>
          <w:szCs w:val="28"/>
        </w:rPr>
      </w:pPr>
      <w:r>
        <w:rPr>
          <w:rFonts w:hint="eastAsia" w:hAnsi="宋体" w:cs="宋体"/>
          <w:position w:val="-4"/>
          <w:sz w:val="24"/>
          <w:szCs w:val="24"/>
        </w:rPr>
        <w:object>
          <v:shape id="_x0000_i1030" o:spt="75" type="#_x0000_t75" style="height:16pt;width:13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hAnsi="宋体" w:cs="宋体"/>
          <w:sz w:val="24"/>
          <w:szCs w:val="24"/>
        </w:rPr>
        <w:t>——标准试样的耐磨性参数，单位为秒（s）。</w:t>
      </w:r>
    </w:p>
    <w:p>
      <w:pPr>
        <w:pStyle w:val="59"/>
        <w:spacing w:line="360" w:lineRule="auto"/>
        <w:ind w:left="-6" w:leftChars="-3"/>
        <w:rPr>
          <w:rFonts w:hint="eastAsia" w:hAnsi="黑体" w:cs="黑体"/>
          <w:sz w:val="24"/>
          <w:szCs w:val="24"/>
        </w:rPr>
      </w:pPr>
      <w:bookmarkStart w:id="48" w:name="_Toc9095"/>
      <w:r>
        <w:rPr>
          <w:rFonts w:hint="eastAsia" w:hAnsi="黑体" w:cs="黑体"/>
          <w:sz w:val="24"/>
          <w:szCs w:val="24"/>
        </w:rPr>
        <w:t>校准参数</w:t>
      </w:r>
      <w:bookmarkEnd w:id="48"/>
    </w:p>
    <w:p>
      <w:pPr>
        <w:spacing w:line="360" w:lineRule="auto"/>
        <w:ind w:firstLine="480" w:firstLineChars="200"/>
        <w:outlineLvl w:val="0"/>
        <w:rPr>
          <w:rFonts w:hint="eastAsia" w:ascii="宋体" w:hAnsi="宋体" w:cs="宋体"/>
          <w:sz w:val="24"/>
        </w:rPr>
      </w:pPr>
      <w:r>
        <w:rPr>
          <w:rFonts w:hint="eastAsia" w:ascii="宋体" w:hAnsi="宋体" w:cs="宋体"/>
          <w:sz w:val="24"/>
        </w:rPr>
        <w:t>可根据试验台类型或用户要求确定选择表2中的部分或全部。</w:t>
      </w:r>
    </w:p>
    <w:p>
      <w:pPr>
        <w:spacing w:line="360" w:lineRule="auto"/>
        <w:jc w:val="center"/>
        <w:outlineLvl w:val="0"/>
        <w:rPr>
          <w:rFonts w:hint="eastAsia" w:ascii="黑体" w:eastAsia="黑体"/>
          <w:szCs w:val="21"/>
        </w:rPr>
      </w:pPr>
      <w:r>
        <w:rPr>
          <w:rFonts w:hint="eastAsia" w:ascii="黑体" w:eastAsia="黑体"/>
          <w:szCs w:val="21"/>
        </w:rPr>
        <w:t>表2  测量参数校准项目</w:t>
      </w:r>
    </w:p>
    <w:tbl>
      <w:tblPr>
        <w:tblStyle w:val="40"/>
        <w:tblW w:w="93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6"/>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6" w:type="dxa"/>
            <w:noWrap w:val="0"/>
            <w:vAlign w:val="center"/>
          </w:tcPr>
          <w:p>
            <w:pPr>
              <w:jc w:val="center"/>
              <w:outlineLvl w:val="0"/>
              <w:rPr>
                <w:rFonts w:hint="eastAsia"/>
                <w:szCs w:val="21"/>
              </w:rPr>
            </w:pPr>
            <w:r>
              <w:rPr>
                <w:rFonts w:hint="eastAsia"/>
                <w:szCs w:val="21"/>
              </w:rPr>
              <w:t>测量参数</w:t>
            </w:r>
          </w:p>
        </w:tc>
        <w:tc>
          <w:tcPr>
            <w:tcW w:w="6390" w:type="dxa"/>
            <w:tcBorders>
              <w:bottom w:val="single" w:color="auto" w:sz="4" w:space="0"/>
            </w:tcBorders>
            <w:noWrap w:val="0"/>
            <w:vAlign w:val="center"/>
          </w:tcPr>
          <w:p>
            <w:pPr>
              <w:jc w:val="center"/>
              <w:outlineLvl w:val="0"/>
              <w:rPr>
                <w:rFonts w:hint="eastAsia"/>
                <w:szCs w:val="21"/>
              </w:rPr>
            </w:pPr>
            <w:r>
              <w:rPr>
                <w:rFonts w:hint="eastAsia"/>
                <w:szCs w:val="21"/>
              </w:rPr>
              <w:t>校准内容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956" w:type="dxa"/>
            <w:noWrap w:val="0"/>
            <w:vAlign w:val="center"/>
          </w:tcPr>
          <w:p>
            <w:pPr>
              <w:jc w:val="center"/>
              <w:outlineLvl w:val="0"/>
              <w:rPr>
                <w:szCs w:val="21"/>
              </w:rPr>
            </w:pPr>
            <w:r>
              <w:rPr>
                <w:rFonts w:hint="eastAsia"/>
                <w:szCs w:val="21"/>
              </w:rPr>
              <w:t>试验仪管路结构</w:t>
            </w:r>
          </w:p>
        </w:tc>
        <w:tc>
          <w:tcPr>
            <w:tcW w:w="6390" w:type="dxa"/>
            <w:tcBorders>
              <w:bottom w:val="single" w:color="auto" w:sz="4" w:space="0"/>
            </w:tcBorders>
            <w:noWrap w:val="0"/>
            <w:vAlign w:val="center"/>
          </w:tcPr>
          <w:p>
            <w:pPr>
              <w:jc w:val="center"/>
              <w:outlineLvl w:val="0"/>
              <w:rPr>
                <w:rFonts w:hint="eastAsia"/>
                <w:szCs w:val="21"/>
              </w:rPr>
            </w:pPr>
            <w:r>
              <w:rPr>
                <w:rFonts w:hint="eastAsia"/>
                <w:szCs w:val="21"/>
              </w:rPr>
              <w:t>几何量测量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2956" w:type="dxa"/>
            <w:tcBorders>
              <w:right w:val="single" w:color="auto" w:sz="4" w:space="0"/>
            </w:tcBorders>
            <w:noWrap w:val="0"/>
            <w:vAlign w:val="center"/>
          </w:tcPr>
          <w:p>
            <w:pPr>
              <w:tabs>
                <w:tab w:val="left" w:pos="1757"/>
              </w:tabs>
              <w:jc w:val="center"/>
              <w:outlineLvl w:val="0"/>
              <w:rPr>
                <w:rFonts w:hint="eastAsia"/>
                <w:szCs w:val="21"/>
              </w:rPr>
            </w:pPr>
            <w:r>
              <w:rPr>
                <w:rFonts w:hint="eastAsia" w:ascii="宋体" w:hAnsi="宋体"/>
                <w:szCs w:val="21"/>
              </w:rPr>
              <w:t>试验仪精度等级</w:t>
            </w:r>
          </w:p>
        </w:tc>
        <w:tc>
          <w:tcPr>
            <w:tcW w:w="6390" w:type="dxa"/>
            <w:tcBorders>
              <w:top w:val="single" w:color="auto" w:sz="4" w:space="0"/>
              <w:left w:val="single" w:color="auto" w:sz="4" w:space="0"/>
              <w:right w:val="single" w:color="auto" w:sz="4" w:space="0"/>
            </w:tcBorders>
            <w:noWrap w:val="0"/>
            <w:vAlign w:val="center"/>
          </w:tcPr>
          <w:p>
            <w:pPr>
              <w:jc w:val="center"/>
              <w:outlineLvl w:val="0"/>
              <w:rPr>
                <w:rFonts w:hint="eastAsia"/>
                <w:szCs w:val="21"/>
              </w:rPr>
            </w:pPr>
            <w:r>
              <w:rPr>
                <w:rFonts w:hint="eastAsia" w:ascii="宋体" w:hAnsi="宋体" w:cs="宋体"/>
                <w:sz w:val="24"/>
              </w:rPr>
              <w:t>相对偏差</w:t>
            </w:r>
          </w:p>
        </w:tc>
      </w:tr>
    </w:tbl>
    <w:p>
      <w:pPr>
        <w:pStyle w:val="57"/>
        <w:ind w:firstLine="420"/>
        <w:rPr>
          <w:rFonts w:hint="eastAsia"/>
        </w:rPr>
      </w:pPr>
    </w:p>
    <w:p>
      <w:pPr>
        <w:pStyle w:val="60"/>
        <w:spacing w:before="156" w:after="0" w:afterLines="0" w:line="360" w:lineRule="auto"/>
        <w:rPr>
          <w:rFonts w:hint="eastAsia"/>
          <w:sz w:val="24"/>
        </w:rPr>
      </w:pPr>
      <w:bookmarkStart w:id="49" w:name="_Toc193619101"/>
      <w:bookmarkStart w:id="50" w:name="_Toc193619059"/>
      <w:bookmarkStart w:id="51" w:name="_Toc193618956"/>
      <w:bookmarkStart w:id="52" w:name="_Toc193860188"/>
      <w:bookmarkStart w:id="53" w:name="_Toc193860038"/>
      <w:bookmarkStart w:id="54" w:name="_Toc193860219"/>
      <w:bookmarkStart w:id="55" w:name="_Toc4816"/>
      <w:r>
        <w:rPr>
          <w:rFonts w:hint="eastAsia"/>
          <w:sz w:val="24"/>
        </w:rPr>
        <w:t>校准结果</w:t>
      </w:r>
      <w:bookmarkEnd w:id="49"/>
      <w:bookmarkEnd w:id="50"/>
      <w:bookmarkEnd w:id="51"/>
      <w:bookmarkEnd w:id="52"/>
      <w:bookmarkEnd w:id="53"/>
      <w:bookmarkEnd w:id="54"/>
      <w:r>
        <w:rPr>
          <w:rFonts w:hint="eastAsia"/>
          <w:sz w:val="24"/>
        </w:rPr>
        <w:t>表达</w:t>
      </w:r>
      <w:bookmarkEnd w:id="55"/>
    </w:p>
    <w:p>
      <w:pPr>
        <w:pStyle w:val="57"/>
        <w:spacing w:line="360" w:lineRule="auto"/>
        <w:ind w:firstLine="480"/>
        <w:rPr>
          <w:rFonts w:hint="eastAsia" w:ascii="Times New Roman"/>
          <w:sz w:val="24"/>
        </w:rPr>
      </w:pPr>
      <w:bookmarkStart w:id="56" w:name="_Toc193860039"/>
      <w:r>
        <w:rPr>
          <w:rFonts w:hint="eastAsia" w:ascii="Times New Roman"/>
          <w:sz w:val="24"/>
        </w:rPr>
        <w:t>校准、测试记录应包含的内容见附录A。校准结果应记录在校准证书和校准报告上，校准证书的格式见附录B。</w:t>
      </w:r>
      <w:bookmarkEnd w:id="56"/>
    </w:p>
    <w:p>
      <w:pPr>
        <w:pStyle w:val="60"/>
        <w:spacing w:before="156" w:after="0" w:afterLines="0" w:line="360" w:lineRule="auto"/>
        <w:rPr>
          <w:rFonts w:hint="eastAsia"/>
          <w:sz w:val="24"/>
        </w:rPr>
      </w:pPr>
      <w:bookmarkStart w:id="57" w:name="_Toc5529"/>
      <w:bookmarkStart w:id="58" w:name="_Toc193860040"/>
      <w:bookmarkStart w:id="59" w:name="_Toc193860189"/>
      <w:bookmarkStart w:id="60" w:name="_Toc193860220"/>
      <w:r>
        <w:rPr>
          <w:rFonts w:hint="eastAsia"/>
          <w:sz w:val="24"/>
        </w:rPr>
        <w:t>复校</w:t>
      </w:r>
      <w:bookmarkEnd w:id="57"/>
      <w:bookmarkEnd w:id="58"/>
      <w:bookmarkEnd w:id="59"/>
      <w:bookmarkEnd w:id="60"/>
      <w:r>
        <w:rPr>
          <w:rFonts w:hint="eastAsia"/>
          <w:sz w:val="24"/>
        </w:rPr>
        <w:t>周期</w:t>
      </w:r>
    </w:p>
    <w:p>
      <w:pPr>
        <w:pStyle w:val="57"/>
        <w:ind w:firstLine="480"/>
        <w:rPr>
          <w:rFonts w:hint="eastAsia" w:ascii="Times New Roman"/>
          <w:sz w:val="24"/>
        </w:rPr>
      </w:pPr>
      <w:bookmarkStart w:id="61" w:name="_Toc193860041"/>
      <w:r>
        <w:rPr>
          <w:rFonts w:hint="eastAsia" w:ascii="Times New Roman"/>
          <w:sz w:val="24"/>
          <w:lang w:eastAsia="zh-CN"/>
        </w:rPr>
        <w:t>鉴于试验仪的结构简单且功能单一，试验仪性能温度，</w:t>
      </w:r>
      <w:r>
        <w:rPr>
          <w:rFonts w:hint="eastAsia" w:ascii="Times New Roman"/>
          <w:sz w:val="24"/>
        </w:rPr>
        <w:t>建议复校周期为2年。</w:t>
      </w:r>
      <w:bookmarkEnd w:id="61"/>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3"/>
    </w:p>
    <w:p>
      <w:pPr>
        <w:ind w:firstLine="420" w:firstLineChars="200"/>
        <w:rPr>
          <w:rFonts w:hint="eastAsia" w:eastAsia="宋体"/>
          <w:lang w:eastAsia="zh-CN"/>
        </w:rPr>
      </w:pPr>
      <w:r>
        <w:rPr>
          <w:rFonts w:hint="eastAsia"/>
          <w:lang w:eastAsia="zh-CN"/>
        </w:rPr>
        <w:t>国标（北京）检验认证有限公司根据本规程对喷磨试验仪进行了全计量特性的校准，内容详见校准报告。</w:t>
      </w:r>
    </w:p>
    <w:bookmarkEnd w:id="1"/>
    <w:p>
      <w:pPr>
        <w:pStyle w:val="73"/>
        <w:numPr>
          <w:ilvl w:val="0"/>
          <w:numId w:val="11"/>
        </w:numPr>
        <w:tabs>
          <w:tab w:val="left" w:pos="426"/>
        </w:tabs>
        <w:spacing w:before="312" w:beforeLines="100" w:after="312" w:afterLines="100"/>
        <w:ind w:hangingChars="200"/>
        <w:jc w:val="left"/>
      </w:pPr>
      <w:bookmarkStart w:id="62" w:name="_Toc464728965"/>
      <w:r>
        <w:rPr>
          <w:rFonts w:hint="eastAsia"/>
        </w:rPr>
        <w:t>标准水平分析</w:t>
      </w:r>
      <w:bookmarkEnd w:id="62"/>
    </w:p>
    <w:p>
      <w:pPr>
        <w:rPr>
          <w:rFonts w:hint="default" w:eastAsia="宋体"/>
          <w:lang w:val="en-US" w:eastAsia="zh-CN"/>
        </w:rPr>
      </w:pPr>
      <w:r>
        <w:rPr>
          <w:rFonts w:hint="eastAsia"/>
          <w:lang w:val="en-US" w:eastAsia="zh-CN"/>
        </w:rPr>
        <w:t xml:space="preserve">    本规程的制定填补了有色金属行业用喷磨试验仪的校准空白，属于国内首创，水平达到国内领先。</w:t>
      </w:r>
    </w:p>
    <w:p>
      <w:pPr>
        <w:pStyle w:val="73"/>
        <w:numPr>
          <w:ilvl w:val="0"/>
          <w:numId w:val="11"/>
        </w:numPr>
        <w:tabs>
          <w:tab w:val="left" w:pos="426"/>
        </w:tabs>
        <w:spacing w:before="312" w:beforeLines="100" w:after="312" w:afterLines="100"/>
        <w:ind w:hangingChars="200"/>
        <w:jc w:val="left"/>
      </w:pPr>
      <w:bookmarkStart w:id="63" w:name="_Toc464728972"/>
      <w:r>
        <w:rPr>
          <w:rFonts w:hint="eastAsia"/>
        </w:rPr>
        <w:t>与现行相关法律、法规、规章及相关</w:t>
      </w:r>
      <w:r>
        <w:rPr>
          <w:rFonts w:hint="eastAsia"/>
          <w:lang w:eastAsia="zh-CN"/>
        </w:rPr>
        <w:t>规范</w:t>
      </w:r>
      <w:r>
        <w:rPr>
          <w:rFonts w:hint="eastAsia"/>
        </w:rPr>
        <w:t>，特别是</w:t>
      </w:r>
      <w:r>
        <w:rPr>
          <w:rFonts w:hint="eastAsia"/>
          <w:lang w:eastAsia="zh-CN"/>
        </w:rPr>
        <w:t>规程</w:t>
      </w:r>
      <w:r>
        <w:rPr>
          <w:rFonts w:hint="eastAsia"/>
        </w:rPr>
        <w:t>的协调性</w:t>
      </w:r>
      <w:bookmarkEnd w:id="63"/>
    </w:p>
    <w:p>
      <w:pPr>
        <w:pStyle w:val="57"/>
        <w:spacing w:line="300" w:lineRule="auto"/>
        <w:ind w:left="420" w:firstLine="420"/>
      </w:pPr>
      <w:r>
        <w:rPr>
          <w:rFonts w:hint="eastAsia"/>
        </w:rPr>
        <w:t>本</w:t>
      </w:r>
      <w:r>
        <w:rPr>
          <w:rFonts w:hint="eastAsia"/>
          <w:lang w:eastAsia="zh-CN"/>
        </w:rPr>
        <w:t>规范</w:t>
      </w:r>
      <w:r>
        <w:rPr>
          <w:rFonts w:hint="eastAsia"/>
        </w:rPr>
        <w:t>所引用的</w:t>
      </w:r>
      <w:r>
        <w:rPr>
          <w:rFonts w:hint="eastAsia"/>
          <w:lang w:eastAsia="zh-CN"/>
        </w:rPr>
        <w:t>规程及规范均为</w:t>
      </w:r>
      <w:r>
        <w:rPr>
          <w:rFonts w:hint="eastAsia"/>
        </w:rPr>
        <w:t>我国现行有效的</w:t>
      </w:r>
      <w:r>
        <w:rPr>
          <w:rFonts w:hint="eastAsia"/>
          <w:lang w:eastAsia="zh-CN"/>
        </w:rPr>
        <w:t>计量规程及规范</w:t>
      </w:r>
      <w:r>
        <w:rPr>
          <w:rFonts w:hint="eastAsia"/>
        </w:rPr>
        <w:t>，是本标准的一部分，引用这些</w:t>
      </w:r>
      <w:r>
        <w:rPr>
          <w:rFonts w:hint="eastAsia"/>
          <w:lang w:eastAsia="zh-CN"/>
        </w:rPr>
        <w:t>规程及规范</w:t>
      </w:r>
      <w:r>
        <w:rPr>
          <w:rFonts w:hint="eastAsia"/>
        </w:rPr>
        <w:t>后，使本</w:t>
      </w:r>
      <w:r>
        <w:rPr>
          <w:rFonts w:hint="eastAsia"/>
          <w:lang w:eastAsia="zh-CN"/>
        </w:rPr>
        <w:t>规范</w:t>
      </w:r>
      <w:r>
        <w:rPr>
          <w:rFonts w:hint="eastAsia"/>
        </w:rPr>
        <w:t>的要求与现行的相关法律、法规、规章及相关</w:t>
      </w:r>
      <w:r>
        <w:rPr>
          <w:rFonts w:hint="eastAsia"/>
          <w:lang w:eastAsia="zh-CN"/>
        </w:rPr>
        <w:t>规程规范</w:t>
      </w:r>
      <w:r>
        <w:rPr>
          <w:rFonts w:hint="eastAsia"/>
        </w:rPr>
        <w:t>的关系不矛盾、不冲突，其相互关系非常协调。</w:t>
      </w:r>
    </w:p>
    <w:p>
      <w:pPr>
        <w:pStyle w:val="73"/>
        <w:numPr>
          <w:ilvl w:val="0"/>
          <w:numId w:val="11"/>
        </w:numPr>
        <w:tabs>
          <w:tab w:val="left" w:pos="426"/>
        </w:tabs>
        <w:spacing w:before="312" w:beforeLines="100" w:after="312" w:afterLines="100"/>
        <w:ind w:hangingChars="200"/>
        <w:jc w:val="left"/>
      </w:pPr>
      <w:bookmarkStart w:id="64" w:name="_Toc464728973"/>
      <w:r>
        <w:rPr>
          <w:rFonts w:hint="eastAsia"/>
        </w:rPr>
        <w:t>标准中涉及的专利或知识产权说明</w:t>
      </w:r>
      <w:bookmarkEnd w:id="64"/>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65" w:name="_Toc464728974"/>
      <w:r>
        <w:rPr>
          <w:rFonts w:hint="eastAsia"/>
        </w:rPr>
        <w:t>重大分歧意见的处理经过和依据</w:t>
      </w:r>
      <w:bookmarkEnd w:id="65"/>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66" w:name="_Toc464728976"/>
      <w:r>
        <w:rPr>
          <w:rFonts w:hint="eastAsia"/>
        </w:rPr>
        <w:t>贯彻</w:t>
      </w:r>
      <w:r>
        <w:rPr>
          <w:rFonts w:hint="eastAsia"/>
          <w:lang w:eastAsia="zh-CN"/>
        </w:rPr>
        <w:t>规范</w:t>
      </w:r>
      <w:r>
        <w:rPr>
          <w:rFonts w:hint="eastAsia"/>
        </w:rPr>
        <w:t>的要求和措施建议</w:t>
      </w:r>
      <w:bookmarkEnd w:id="66"/>
    </w:p>
    <w:p>
      <w:pPr>
        <w:pStyle w:val="57"/>
        <w:spacing w:line="300" w:lineRule="auto"/>
        <w:ind w:firstLine="420"/>
        <w:contextualSpacing/>
        <w:rPr>
          <w:szCs w:val="21"/>
        </w:rPr>
      </w:pPr>
      <w:r>
        <w:rPr>
          <w:rFonts w:hint="eastAsia"/>
          <w:szCs w:val="21"/>
        </w:rPr>
        <w:t>本</w:t>
      </w:r>
      <w:r>
        <w:rPr>
          <w:rFonts w:hint="eastAsia"/>
          <w:szCs w:val="21"/>
          <w:lang w:eastAsia="zh-CN"/>
        </w:rPr>
        <w:t>规范</w:t>
      </w:r>
      <w:r>
        <w:rPr>
          <w:rFonts w:hint="eastAsia"/>
          <w:szCs w:val="21"/>
        </w:rPr>
        <w:t>发布后，中国有色金属行业协会和有色金属</w:t>
      </w:r>
      <w:r>
        <w:rPr>
          <w:rFonts w:hint="eastAsia"/>
          <w:szCs w:val="21"/>
          <w:lang w:eastAsia="zh-CN"/>
        </w:rPr>
        <w:t>行业计量技术委员会</w:t>
      </w:r>
      <w:r>
        <w:rPr>
          <w:rFonts w:hint="eastAsia"/>
          <w:szCs w:val="21"/>
        </w:rPr>
        <w:t>应加强本</w:t>
      </w:r>
      <w:r>
        <w:rPr>
          <w:rFonts w:hint="eastAsia"/>
          <w:szCs w:val="21"/>
          <w:lang w:eastAsia="zh-CN"/>
        </w:rPr>
        <w:t>规范</w:t>
      </w:r>
      <w:r>
        <w:rPr>
          <w:rFonts w:hint="eastAsia"/>
          <w:szCs w:val="21"/>
        </w:rPr>
        <w:t>的宣传力度，促进铝合金膜层生产厂家按照</w:t>
      </w:r>
      <w:r>
        <w:rPr>
          <w:rFonts w:hint="eastAsia"/>
          <w:szCs w:val="21"/>
          <w:lang w:eastAsia="zh-CN"/>
        </w:rPr>
        <w:t>设备使用情况合理选用校准规程</w:t>
      </w:r>
      <w:r>
        <w:rPr>
          <w:rFonts w:hint="eastAsia"/>
          <w:szCs w:val="21"/>
        </w:rPr>
        <w:t>，以促进我国企业的技术进步和产品质量上档次，提高我国产品在国际国内市场的竞争能力，有效地化解我国的铝产能过剩。</w:t>
      </w:r>
    </w:p>
    <w:p>
      <w:pPr>
        <w:pStyle w:val="73"/>
        <w:numPr>
          <w:ilvl w:val="0"/>
          <w:numId w:val="11"/>
        </w:numPr>
        <w:tabs>
          <w:tab w:val="left" w:pos="426"/>
        </w:tabs>
        <w:spacing w:before="312" w:beforeLines="100" w:after="312" w:afterLines="100"/>
        <w:ind w:hangingChars="200"/>
        <w:jc w:val="left"/>
      </w:pPr>
      <w:bookmarkStart w:id="67" w:name="_Toc464728977"/>
      <w:r>
        <w:rPr>
          <w:rFonts w:hint="eastAsia"/>
        </w:rPr>
        <w:t>废止现行有关</w:t>
      </w:r>
      <w:r>
        <w:rPr>
          <w:rFonts w:hint="eastAsia"/>
          <w:lang w:eastAsia="zh-CN"/>
        </w:rPr>
        <w:t>规程</w:t>
      </w:r>
      <w:r>
        <w:rPr>
          <w:rFonts w:hint="eastAsia"/>
        </w:rPr>
        <w:t>的建议</w:t>
      </w:r>
      <w:bookmarkEnd w:id="67"/>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68" w:name="_Toc464728978"/>
      <w:r>
        <w:rPr>
          <w:rFonts w:hint="eastAsia"/>
        </w:rPr>
        <w:t>产业化情况、推广应用论证和预期达到的经济效果</w:t>
      </w:r>
      <w:bookmarkEnd w:id="68"/>
    </w:p>
    <w:p>
      <w:pPr>
        <w:spacing w:line="300" w:lineRule="auto"/>
        <w:ind w:firstLine="420" w:firstLineChars="200"/>
        <w:contextualSpacing/>
        <w:jc w:val="left"/>
        <w:rPr>
          <w:rFonts w:ascii="宋体" w:hAnsi="宋体" w:cs="宋体"/>
          <w:szCs w:val="21"/>
        </w:rPr>
      </w:pPr>
      <w:r>
        <w:rPr>
          <w:rFonts w:hint="eastAsia" w:ascii="宋体" w:hAnsi="宋体" w:cs="宋体"/>
          <w:szCs w:val="21"/>
        </w:rPr>
        <w:t>近些年来，中国铝加工行业发展很快，中国铝加工业保持高速发展态势，年均增幅达21.9%，全行业发展已上了一个新的台阶。产业规模日益扩大，技术装备现代化程度显着提高，工艺技术水平取得进步。“十一五”期间我国铝材产量同比平均增幅29.75％，就是在全球金融危机影响下的2008年和2009年，中国仍实现了全球唯一地区的高增长,发展至今我国已经成为全球最大的铝生产和消费国，产量占全球比例超过50%，而且每年仍在高速增长，得益于铝合金表面处理膜层的种类不断扩展应用。</w:t>
      </w:r>
    </w:p>
    <w:p>
      <w:pPr>
        <w:spacing w:line="300" w:lineRule="auto"/>
        <w:ind w:firstLine="420" w:firstLineChars="200"/>
        <w:contextualSpacing/>
        <w:jc w:val="left"/>
        <w:rPr>
          <w:rFonts w:ascii="宋体" w:hAnsi="宋体" w:cs="宋体"/>
          <w:szCs w:val="21"/>
        </w:rPr>
      </w:pPr>
      <w:r>
        <w:rPr>
          <w:rFonts w:hint="eastAsia" w:ascii="宋体" w:hAnsi="宋体" w:cs="宋体"/>
          <w:szCs w:val="21"/>
        </w:rPr>
        <w:t>但是随着产品应用的不断升级和扩展，</w:t>
      </w:r>
      <w:r>
        <w:rPr>
          <w:rFonts w:hint="eastAsia" w:ascii="宋体" w:hAnsi="宋体" w:cs="宋体"/>
          <w:szCs w:val="21"/>
          <w:lang w:eastAsia="zh-CN"/>
        </w:rPr>
        <w:t>计量规范</w:t>
      </w:r>
      <w:r>
        <w:rPr>
          <w:rFonts w:hint="eastAsia" w:ascii="宋体" w:hAnsi="宋体" w:cs="宋体"/>
          <w:szCs w:val="21"/>
        </w:rPr>
        <w:t>在产品全生命周期中所起的支撑、优化、规范作用还不明显。自2008</w:t>
      </w:r>
      <w:r>
        <w:rPr>
          <w:rFonts w:hint="eastAsia" w:ascii="宋体" w:hAnsi="宋体" w:cs="宋体"/>
          <w:szCs w:val="21"/>
          <w:lang w:eastAsia="zh-CN"/>
        </w:rPr>
        <w:t>年</w:t>
      </w:r>
      <w:r>
        <w:rPr>
          <w:rFonts w:hint="eastAsia" w:ascii="宋体" w:hAnsi="宋体" w:cs="宋体"/>
          <w:szCs w:val="21"/>
        </w:rPr>
        <w:t>以来，铝合金阳极氧化及有机聚合物膜产品的应用有了长足的发展，在阳极氧化膜广泛应用之时，大量有机聚合物膜层产品不断涌现，有机膜层涂料种类包括粉末涂料和液体漆两种，按膜层类型可分为聚酯粉末、聚酯环氧粉末、PVDF氟碳粉末、FEVE氟碳粉末、聚氨酯粉末、环氧粉末、丙烯酸粉末、PVDF氟碳漆、环氧漆、聚酯漆、丙烯酸聚氨酯漆、氨基丙烯酸漆十余种，广泛应用在机械、市政、交通、电气、包装、建筑及装饰等领域。以建筑领域的应用为例，年产量二千余万吨，销售总额六千余亿元，其中表面处理工艺包括阳极氧化膜、阳极氧化电泳复合膜、粉末涂膜和液体漆膜，而粉末涂膜和液体漆膜占据了总体产量的70%，市场规模和发展潜力巨大。</w:t>
      </w:r>
    </w:p>
    <w:p>
      <w:pPr>
        <w:pStyle w:val="57"/>
        <w:spacing w:line="300" w:lineRule="auto"/>
        <w:ind w:firstLine="420"/>
        <w:contextualSpacing/>
        <w:rPr>
          <w:szCs w:val="21"/>
        </w:rPr>
      </w:pPr>
      <w:r>
        <w:rPr>
          <w:rFonts w:hint="eastAsia" w:cs="宋体"/>
          <w:szCs w:val="21"/>
          <w:lang w:eastAsia="zh-CN"/>
        </w:rPr>
        <w:t>喷磨仪校准规范的缺乏，</w:t>
      </w:r>
      <w:r>
        <w:rPr>
          <w:rFonts w:hint="eastAsia" w:cs="宋体"/>
          <w:szCs w:val="21"/>
        </w:rPr>
        <w:t>已经无法满足日益增长的应用需求，</w:t>
      </w:r>
      <w:r>
        <w:rPr>
          <w:rFonts w:hint="eastAsia" w:cs="宋体"/>
          <w:kern w:val="2"/>
          <w:szCs w:val="21"/>
        </w:rPr>
        <w:t>本</w:t>
      </w:r>
      <w:r>
        <w:rPr>
          <w:rFonts w:hint="eastAsia" w:cs="宋体"/>
          <w:kern w:val="2"/>
          <w:szCs w:val="21"/>
          <w:lang w:eastAsia="zh-CN"/>
        </w:rPr>
        <w:t>规范的制定</w:t>
      </w:r>
      <w:r>
        <w:rPr>
          <w:rFonts w:hint="eastAsia" w:cs="宋体"/>
          <w:kern w:val="2"/>
          <w:szCs w:val="21"/>
        </w:rPr>
        <w:t>，具有极大的经济效益和社会效益，市场发展和政府急需程度非常高。</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19431C"/>
    <w:rsid w:val="002849BB"/>
    <w:rsid w:val="00291548"/>
    <w:rsid w:val="004A27E5"/>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A1497C"/>
    <w:rsid w:val="00A15577"/>
    <w:rsid w:val="00AC0924"/>
    <w:rsid w:val="00B706F7"/>
    <w:rsid w:val="00BC6B82"/>
    <w:rsid w:val="00C058B2"/>
    <w:rsid w:val="00C27739"/>
    <w:rsid w:val="00C7537E"/>
    <w:rsid w:val="00CD2D13"/>
    <w:rsid w:val="00E019C6"/>
    <w:rsid w:val="00E22714"/>
    <w:rsid w:val="00E82471"/>
    <w:rsid w:val="00E911BC"/>
    <w:rsid w:val="00F10C9E"/>
    <w:rsid w:val="00F3447A"/>
    <w:rsid w:val="00F507FB"/>
    <w:rsid w:val="00FE1932"/>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E3430C7"/>
    <w:rsid w:val="52A97DDB"/>
    <w:rsid w:val="56154CA2"/>
    <w:rsid w:val="5A931503"/>
    <w:rsid w:val="5A971C98"/>
    <w:rsid w:val="5AFA5C95"/>
    <w:rsid w:val="5CDE078E"/>
    <w:rsid w:val="5DC655CC"/>
    <w:rsid w:val="5F776EED"/>
    <w:rsid w:val="605176D9"/>
    <w:rsid w:val="63F828E6"/>
    <w:rsid w:val="6AB57C02"/>
    <w:rsid w:val="6B27051F"/>
    <w:rsid w:val="6B753BDA"/>
    <w:rsid w:val="6B770841"/>
    <w:rsid w:val="6E8A0C2B"/>
    <w:rsid w:val="6EF60757"/>
    <w:rsid w:val="6FFC7954"/>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61269-3877-44C8-9B74-E36035F4B55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30</Pages>
  <Words>3785</Words>
  <Characters>21578</Characters>
  <Lines>179</Lines>
  <Paragraphs>50</Paragraphs>
  <TotalTime>8</TotalTime>
  <ScaleCrop>false</ScaleCrop>
  <LinksUpToDate>false</LinksUpToDate>
  <CharactersWithSpaces>25313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2019-11-03T07:35:00Z</dcterms:created>
  <dc:creator>标准李瑞山9585</dc:creator>
  <cp:lastModifiedBy>liqiujuan</cp:lastModifiedBy>
  <cp:lastPrinted>2016-10-20T04:13:00Z</cp:lastPrinted>
  <dcterms:modified xsi:type="dcterms:W3CDTF">2019-11-15T03:08:34Z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