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spacing w:line="0" w:lineRule="atLeast"/>
        <w:rPr>
          <w:rFonts w:ascii="黑体" w:hAnsi="黑体"/>
          <w:color w:val="000000"/>
        </w:rPr>
      </w:pPr>
      <w:bookmarkStart w:id="0" w:name="_GoBack"/>
      <w:bookmarkEnd w:id="0"/>
      <w:r>
        <w:rPr>
          <w:rFonts w:hint="eastAsia" w:ascii="黑体" w:hAnsi="黑体"/>
          <w:color w:val="000000"/>
        </w:rPr>
        <w:t>ICS 77.120.99</w:t>
      </w:r>
    </w:p>
    <w:p>
      <w:pPr>
        <w:pStyle w:val="22"/>
        <w:spacing w:line="0" w:lineRule="atLeast"/>
        <w:rPr>
          <w:rFonts w:ascii="黑体" w:hAnsi="黑体"/>
          <w:color w:val="000000"/>
        </w:rPr>
      </w:pPr>
      <w:r>
        <w:rPr>
          <w:rFonts w:hint="eastAsia" w:ascii="黑体" w:hAnsi="黑体"/>
          <w:color w:val="000000"/>
        </w:rPr>
        <w:t>H 65</w:t>
      </w:r>
    </w:p>
    <w:p>
      <w:pPr>
        <w:pStyle w:val="2"/>
        <w:spacing w:line="0" w:lineRule="atLeast"/>
        <w:ind w:left="-359" w:leftChars="-171" w:right="-334" w:rightChars="-159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 xml:space="preserve">                </w:t>
      </w:r>
      <w:r>
        <w:rPr>
          <w:rFonts w:hint="eastAsia" w:ascii="黑体" w:hAnsi="黑体" w:eastAsia="黑体"/>
          <w:color w:val="000000"/>
          <w:sz w:val="144"/>
        </w:rPr>
        <w:t>XB</w:t>
      </w:r>
    </w:p>
    <w:p>
      <w:pPr>
        <w:adjustRightInd w:val="0"/>
        <w:snapToGrid w:val="0"/>
        <w:spacing w:line="0" w:lineRule="atLeast"/>
        <w:ind w:left="-178" w:leftChars="-85" w:firstLine="203" w:firstLineChars="46"/>
        <w:jc w:val="center"/>
        <w:rPr>
          <w:rFonts w:ascii="黑体" w:hAnsi="黑体" w:eastAsia="黑体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</w:pPr>
      <w:r>
        <w:rPr>
          <w:rFonts w:hint="eastAsia" w:ascii="黑体" w:hAnsi="黑体" w:eastAsia="黑体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>中 华 人 民 共 和 国 稀 土 行 业 标 准</w:t>
      </w:r>
    </w:p>
    <w:p>
      <w:pPr>
        <w:adjustRightInd w:val="0"/>
        <w:snapToGrid w:val="0"/>
        <w:spacing w:line="0" w:lineRule="atLeast"/>
        <w:jc w:val="right"/>
        <w:rPr>
          <w:rFonts w:ascii="黑体" w:hAnsi="黑体" w:eastAsia="黑体"/>
          <w:color w:val="000000"/>
          <w:sz w:val="24"/>
          <w:szCs w:val="24"/>
        </w:rPr>
      </w:pPr>
      <w:r>
        <w:rPr>
          <w:rFonts w:hint="eastAsia" w:ascii="黑体" w:hAnsi="黑体" w:eastAsia="黑体"/>
          <w:b/>
          <w:bCs/>
          <w:color w:val="000000"/>
          <w:sz w:val="30"/>
        </w:rPr>
        <w:t>XB/T ×××－201×</w:t>
      </w:r>
    </w:p>
    <w:p>
      <w:pPr>
        <w:adjustRightInd w:val="0"/>
        <w:snapToGrid w:val="0"/>
        <w:spacing w:line="0" w:lineRule="atLeast"/>
        <w:rPr>
          <w:color w:val="000000"/>
          <w:u w:val="single"/>
          <w:bdr w:val="single" w:color="auto" w:sz="4" w:space="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  <w:bdr w:val="single" w:color="auto" w:sz="4" w:space="0"/>
        </w:rPr>
        <w:t xml:space="preserve">                                                                                       </w:t>
      </w:r>
    </w:p>
    <w:p>
      <w:pPr>
        <w:adjustRightInd w:val="0"/>
        <w:snapToGrid w:val="0"/>
        <w:spacing w:line="0" w:lineRule="atLeast"/>
        <w:jc w:val="center"/>
        <w:rPr>
          <w:color w:val="000000"/>
          <w:sz w:val="44"/>
        </w:rPr>
      </w:pPr>
    </w:p>
    <w:p>
      <w:pPr>
        <w:adjustRightInd w:val="0"/>
        <w:snapToGrid w:val="0"/>
        <w:ind w:left="-540" w:leftChars="-257"/>
        <w:jc w:val="center"/>
        <w:rPr>
          <w:color w:val="000000"/>
          <w:sz w:val="44"/>
        </w:rPr>
      </w:pPr>
      <w:r>
        <w:rPr>
          <w:color w:val="000000"/>
          <w:sz w:val="44"/>
        </w:rPr>
        <w:t xml:space="preserve"> </w:t>
      </w:r>
    </w:p>
    <w:p>
      <w:pPr>
        <w:adjustRightInd w:val="0"/>
        <w:snapToGrid w:val="0"/>
        <w:jc w:val="center"/>
        <w:rPr>
          <w:color w:val="000000"/>
          <w:sz w:val="44"/>
        </w:rPr>
      </w:pPr>
    </w:p>
    <w:p>
      <w:pPr>
        <w:adjustRightInd w:val="0"/>
        <w:snapToGrid w:val="0"/>
        <w:jc w:val="center"/>
        <w:rPr>
          <w:color w:val="000000"/>
          <w:sz w:val="44"/>
        </w:rPr>
      </w:pPr>
    </w:p>
    <w:p>
      <w:pPr>
        <w:adjustRightInd w:val="0"/>
        <w:snapToGrid w:val="0"/>
        <w:jc w:val="center"/>
        <w:rPr>
          <w:color w:val="000000"/>
          <w:sz w:val="44"/>
        </w:rPr>
      </w:pPr>
    </w:p>
    <w:p>
      <w:pPr>
        <w:adjustRightInd w:val="0"/>
        <w:snapToGrid w:val="0"/>
        <w:jc w:val="center"/>
        <w:rPr>
          <w:color w:val="000000"/>
          <w:sz w:val="44"/>
        </w:rPr>
      </w:pPr>
    </w:p>
    <w:p>
      <w:pPr>
        <w:pStyle w:val="23"/>
        <w:rPr>
          <w:sz w:val="44"/>
          <w:szCs w:val="44"/>
        </w:rPr>
      </w:pPr>
      <w:r>
        <w:rPr>
          <w:rFonts w:hint="eastAsia"/>
          <w:sz w:val="44"/>
          <w:szCs w:val="44"/>
        </w:rPr>
        <w:t>离子型稀土矿混合氯化稀土溶液</w:t>
      </w:r>
    </w:p>
    <w:p>
      <w:pPr>
        <w:adjustRightInd w:val="0"/>
        <w:snapToGrid w:val="0"/>
        <w:jc w:val="center"/>
        <w:rPr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Mixed rare earth chloride solution of ion-adsorption rare earth ore</w:t>
      </w:r>
    </w:p>
    <w:p>
      <w:pPr>
        <w:adjustRightInd w:val="0"/>
        <w:snapToGrid w:val="0"/>
        <w:jc w:val="center"/>
        <w:rPr>
          <w:color w:val="000000"/>
          <w:sz w:val="44"/>
        </w:rPr>
      </w:pPr>
    </w:p>
    <w:p>
      <w:pPr>
        <w:adjustRightInd w:val="0"/>
        <w:snapToGrid w:val="0"/>
        <w:jc w:val="center"/>
        <w:rPr>
          <w:color w:val="FF0000"/>
          <w:sz w:val="24"/>
        </w:rPr>
      </w:pPr>
      <w:r>
        <w:rPr>
          <w:rFonts w:hint="eastAsia"/>
          <w:color w:val="000000"/>
          <w:sz w:val="24"/>
        </w:rPr>
        <w:t>（送审稿）</w:t>
      </w:r>
    </w:p>
    <w:p>
      <w:pPr>
        <w:adjustRightInd w:val="0"/>
        <w:snapToGrid w:val="0"/>
        <w:jc w:val="center"/>
        <w:rPr>
          <w:color w:val="000000"/>
          <w:sz w:val="24"/>
        </w:rPr>
      </w:pPr>
    </w:p>
    <w:p>
      <w:pPr>
        <w:adjustRightInd w:val="0"/>
        <w:snapToGrid w:val="0"/>
        <w:jc w:val="center"/>
        <w:rPr>
          <w:color w:val="000000"/>
          <w:sz w:val="30"/>
        </w:rPr>
      </w:pPr>
    </w:p>
    <w:p>
      <w:pPr>
        <w:adjustRightInd w:val="0"/>
        <w:snapToGrid w:val="0"/>
        <w:jc w:val="center"/>
        <w:rPr>
          <w:color w:val="000000"/>
          <w:sz w:val="30"/>
        </w:rPr>
      </w:pPr>
    </w:p>
    <w:p>
      <w:pPr>
        <w:adjustRightInd w:val="0"/>
        <w:snapToGrid w:val="0"/>
        <w:jc w:val="center"/>
        <w:rPr>
          <w:color w:val="000000"/>
          <w:sz w:val="30"/>
        </w:rPr>
      </w:pPr>
    </w:p>
    <w:p>
      <w:pPr>
        <w:adjustRightInd w:val="0"/>
        <w:snapToGrid w:val="0"/>
        <w:jc w:val="center"/>
        <w:rPr>
          <w:color w:val="000000"/>
          <w:sz w:val="30"/>
        </w:rPr>
      </w:pPr>
    </w:p>
    <w:p>
      <w:pPr>
        <w:adjustRightInd w:val="0"/>
        <w:snapToGrid w:val="0"/>
        <w:jc w:val="center"/>
        <w:rPr>
          <w:color w:val="000000"/>
          <w:sz w:val="30"/>
        </w:rPr>
      </w:pPr>
    </w:p>
    <w:p>
      <w:pPr>
        <w:adjustRightInd w:val="0"/>
        <w:snapToGrid w:val="0"/>
        <w:jc w:val="center"/>
        <w:rPr>
          <w:color w:val="000000"/>
          <w:sz w:val="30"/>
        </w:rPr>
      </w:pPr>
    </w:p>
    <w:p>
      <w:pPr>
        <w:adjustRightInd w:val="0"/>
        <w:snapToGrid w:val="0"/>
        <w:jc w:val="center"/>
        <w:rPr>
          <w:color w:val="000000"/>
          <w:sz w:val="30"/>
        </w:rPr>
      </w:pPr>
    </w:p>
    <w:p>
      <w:pPr>
        <w:adjustRightInd w:val="0"/>
        <w:snapToGrid w:val="0"/>
        <w:jc w:val="center"/>
        <w:rPr>
          <w:color w:val="000000"/>
          <w:sz w:val="30"/>
        </w:rPr>
      </w:pPr>
    </w:p>
    <w:p>
      <w:pPr>
        <w:adjustRightInd w:val="0"/>
        <w:snapToGrid w:val="0"/>
        <w:rPr>
          <w:color w:val="000000"/>
          <w:sz w:val="30"/>
        </w:rPr>
      </w:pPr>
    </w:p>
    <w:p>
      <w:pPr>
        <w:adjustRightInd w:val="0"/>
        <w:snapToGrid w:val="0"/>
        <w:jc w:val="center"/>
        <w:rPr>
          <w:rFonts w:ascii="黑体" w:hAnsi="黑体" w:eastAsia="黑体"/>
          <w:color w:val="000000"/>
          <w:sz w:val="28"/>
          <w:u w:val="single"/>
        </w:rPr>
      </w:pPr>
      <w:r>
        <w:rPr>
          <w:rFonts w:hint="eastAsia" w:ascii="黑体" w:hAnsi="黑体" w:eastAsia="黑体"/>
          <w:color w:val="000000"/>
          <w:sz w:val="28"/>
          <w:u w:val="single"/>
        </w:rPr>
        <w:t>××××－××－××发布           ××××－××－××实施</w:t>
      </w:r>
    </w:p>
    <w:p>
      <w:pPr>
        <w:adjustRightInd w:val="0"/>
        <w:snapToGrid w:val="0"/>
        <w:jc w:val="center"/>
        <w:rPr>
          <w:rFonts w:ascii="黑体" w:hAnsi="黑体" w:eastAsia="黑体"/>
          <w:color w:val="000000"/>
          <w:sz w:val="30"/>
        </w:rPr>
        <w:sectPr>
          <w:pgSz w:w="11907" w:h="16839"/>
          <w:pgMar w:top="1418" w:right="1134" w:bottom="1134" w:left="1418" w:header="1418" w:footer="851" w:gutter="0"/>
          <w:pgNumType w:fmt="upperRoman" w:start="1"/>
          <w:cols w:space="720" w:num="1"/>
          <w:docGrid w:type="lines" w:linePitch="312" w:charSpace="0"/>
        </w:sect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中华人民共和国工业和信息化部</w:t>
      </w:r>
      <w:r>
        <w:rPr>
          <w:rFonts w:hint="eastAsia" w:ascii="黑体" w:hAnsi="黑体" w:eastAsia="黑体"/>
          <w:color w:val="000000"/>
          <w:sz w:val="30"/>
        </w:rPr>
        <w:t xml:space="preserve"> 发布</w:t>
      </w:r>
    </w:p>
    <w:p>
      <w:pPr>
        <w:adjustRightInd w:val="0"/>
        <w:snapToGrid w:val="0"/>
        <w:jc w:val="center"/>
        <w:rPr>
          <w:rFonts w:ascii="黑体" w:hAnsi="黑体" w:eastAsia="黑体"/>
          <w:color w:val="000000"/>
        </w:rPr>
      </w:pPr>
    </w:p>
    <w:p>
      <w:pPr>
        <w:pStyle w:val="19"/>
        <w:jc w:val="both"/>
        <w:rPr>
          <w:color w:val="000000"/>
        </w:rPr>
      </w:pPr>
      <w:r>
        <w:rPr>
          <w:rFonts w:hint="eastAsia"/>
          <w:color w:val="000000"/>
        </w:rPr>
        <w:t xml:space="preserve">                      前</w:t>
      </w:r>
      <w:r>
        <w:rPr>
          <w:rFonts w:hint="eastAsia"/>
          <w:color w:val="000000"/>
          <w:lang w:val="de-DE"/>
        </w:rPr>
        <w:t xml:space="preserve">    </w:t>
      </w:r>
      <w:r>
        <w:rPr>
          <w:rFonts w:hint="eastAsia"/>
          <w:color w:val="000000"/>
        </w:rPr>
        <w:t>言</w:t>
      </w:r>
    </w:p>
    <w:p>
      <w:pPr>
        <w:adjustRightInd w:val="0"/>
        <w:snapToGrid w:val="0"/>
        <w:spacing w:line="360" w:lineRule="atLeas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本标准按照GB/T 1.1-2009给出的规则起草。</w:t>
      </w:r>
    </w:p>
    <w:p>
      <w:pPr>
        <w:spacing w:line="360" w:lineRule="atLeas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本标准由全国稀土标准化技术委员会（SAC/TC229）提出并归口。</w:t>
      </w:r>
    </w:p>
    <w:p>
      <w:pPr>
        <w:spacing w:line="360" w:lineRule="atLeas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本标准起草单位：</w:t>
      </w:r>
      <w:r>
        <w:rPr>
          <w:rFonts w:ascii="宋体" w:hAnsi="宋体"/>
          <w:color w:val="000000"/>
        </w:rPr>
        <w:t>有研稀土新材料股份有限公司</w:t>
      </w:r>
      <w:r>
        <w:rPr>
          <w:rFonts w:hint="eastAsia" w:ascii="宋体" w:hAnsi="宋体"/>
          <w:color w:val="000000"/>
        </w:rPr>
        <w:t>、</w:t>
      </w:r>
      <w:r>
        <w:rPr>
          <w:rFonts w:ascii="宋体" w:hAnsi="宋体"/>
          <w:szCs w:val="21"/>
        </w:rPr>
        <w:t>中铝广西有色稀土开发有限公司、厦门钨业股份有限公司、五矿稀土股份有限公司、广东省稀土产业集团有限公司</w:t>
      </w:r>
      <w:r>
        <w:rPr>
          <w:rFonts w:hint="eastAsia" w:ascii="宋体" w:hAnsi="宋体"/>
          <w:szCs w:val="21"/>
        </w:rPr>
        <w:t>、中国有色桂林矿产地质研究院有限公司、赣州有色冶金研究所、广东珠江稀土有限公司、中国南方稀土集团有限公司</w:t>
      </w:r>
      <w:r>
        <w:rPr>
          <w:rFonts w:ascii="宋体" w:hAnsi="宋体"/>
          <w:color w:val="000000"/>
        </w:rPr>
        <w:t>、</w:t>
      </w:r>
      <w:r>
        <w:rPr>
          <w:rFonts w:hint="eastAsia" w:ascii="宋体" w:hAnsi="宋体"/>
          <w:color w:val="000000"/>
        </w:rPr>
        <w:t>河北雄安稀土功能材料创新中心有限公司</w:t>
      </w:r>
      <w:r>
        <w:rPr>
          <w:rFonts w:ascii="宋体" w:hAnsi="宋体"/>
          <w:color w:val="000000"/>
        </w:rPr>
        <w:t>。</w:t>
      </w:r>
    </w:p>
    <w:p>
      <w:pPr>
        <w:adjustRightInd w:val="0"/>
        <w:snapToGrid w:val="0"/>
        <w:spacing w:line="360" w:lineRule="atLeast"/>
        <w:ind w:firstLine="420" w:firstLineChars="200"/>
        <w:rPr>
          <w:rFonts w:ascii="宋体" w:hAnsi="宋体"/>
          <w:color w:val="000000"/>
          <w:kern w:val="0"/>
        </w:rPr>
      </w:pPr>
      <w:r>
        <w:rPr>
          <w:rFonts w:ascii="宋体" w:hAnsi="宋体"/>
          <w:color w:val="000000"/>
          <w:kern w:val="0"/>
        </w:rPr>
        <w:t>本标准主要起草人：</w:t>
      </w:r>
      <w:r>
        <w:rPr>
          <w:rFonts w:hint="eastAsia" w:ascii="宋体" w:hAnsi="宋体"/>
          <w:color w:val="000000"/>
          <w:kern w:val="0"/>
        </w:rPr>
        <w:t>赵龙胜、冯宗玉、尹海峰、张永奇、</w:t>
      </w:r>
      <w:r>
        <w:rPr>
          <w:rFonts w:ascii="宋体" w:hAnsi="宋体"/>
          <w:color w:val="000000"/>
          <w:kern w:val="0"/>
        </w:rPr>
        <w:t>彭新林</w:t>
      </w:r>
      <w:r>
        <w:rPr>
          <w:rFonts w:hint="eastAsia" w:ascii="宋体" w:hAnsi="宋体"/>
          <w:color w:val="000000"/>
          <w:kern w:val="0"/>
        </w:rPr>
        <w:t>、</w:t>
      </w:r>
      <w:r>
        <w:rPr>
          <w:rFonts w:ascii="宋体" w:hAnsi="宋体"/>
          <w:color w:val="000000"/>
          <w:kern w:val="0"/>
        </w:rPr>
        <w:t>徐旸</w:t>
      </w:r>
      <w:r>
        <w:rPr>
          <w:rFonts w:hint="eastAsia" w:ascii="宋体" w:hAnsi="宋体"/>
          <w:color w:val="000000"/>
          <w:kern w:val="0"/>
        </w:rPr>
        <w:t>、</w:t>
      </w:r>
      <w:r>
        <w:rPr>
          <w:rFonts w:ascii="宋体" w:hAnsi="宋体"/>
          <w:color w:val="000000"/>
          <w:kern w:val="0"/>
        </w:rPr>
        <w:t>……</w:t>
      </w:r>
    </w:p>
    <w:p>
      <w:pPr>
        <w:pStyle w:val="15"/>
        <w:spacing w:line="200" w:lineRule="atLeast"/>
        <w:ind w:firstLine="420"/>
        <w:rPr>
          <w:rFonts w:hAnsi="Times New Roman"/>
          <w:szCs w:val="20"/>
        </w:rPr>
      </w:pPr>
    </w:p>
    <w:p>
      <w:pPr>
        <w:widowControl/>
        <w:jc w:val="left"/>
        <w:rPr>
          <w:rFonts w:ascii="宋体"/>
          <w:kern w:val="0"/>
        </w:rPr>
        <w:sectPr>
          <w:pgSz w:w="11907" w:h="16839"/>
          <w:pgMar w:top="1418" w:right="1134" w:bottom="1134" w:left="1418" w:header="1418" w:footer="851" w:gutter="0"/>
          <w:pgNumType w:fmt="upperRoman" w:start="1"/>
          <w:cols w:space="720" w:num="1"/>
          <w:docGrid w:type="lines" w:linePitch="312" w:charSpace="0"/>
        </w:sectPr>
      </w:pPr>
    </w:p>
    <w:p>
      <w:pPr>
        <w:pStyle w:val="18"/>
        <w:spacing w:before="0" w:after="0" w:line="360" w:lineRule="exact"/>
        <w:jc w:val="right"/>
        <w:rPr>
          <w:rFonts w:ascii="Times New Roman"/>
          <w:sz w:val="21"/>
          <w:szCs w:val="21"/>
        </w:rPr>
      </w:pPr>
      <w:r>
        <w:rPr>
          <w:rFonts w:ascii="Times New Roman"/>
          <w:color w:val="000000"/>
          <w:sz w:val="21"/>
          <w:szCs w:val="21"/>
        </w:rPr>
        <w:t>XB/T XXX—201X</w:t>
      </w:r>
    </w:p>
    <w:p>
      <w:pPr>
        <w:pStyle w:val="18"/>
        <w:spacing w:line="360" w:lineRule="exact"/>
        <w:rPr>
          <w:b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离子型稀土矿混合氯化稀土溶液</w:t>
      </w:r>
    </w:p>
    <w:p>
      <w:pPr>
        <w:pStyle w:val="15"/>
        <w:adjustRightInd w:val="0"/>
        <w:snapToGrid w:val="0"/>
        <w:spacing w:beforeLines="100" w:afterLines="100" w:line="360" w:lineRule="auto"/>
        <w:ind w:firstLine="0" w:firstLineChars="0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1  范围</w:t>
      </w:r>
    </w:p>
    <w:p>
      <w:pPr>
        <w:pStyle w:val="15"/>
        <w:adjustRightInd w:val="0"/>
        <w:snapToGrid w:val="0"/>
        <w:spacing w:line="360" w:lineRule="auto"/>
        <w:ind w:firstLine="420"/>
        <w:rPr>
          <w:rFonts w:ascii="Times New Roman" w:hAnsi="Times New Roman"/>
          <w:color w:val="000000"/>
        </w:rPr>
      </w:pPr>
      <w:r>
        <w:rPr>
          <w:rFonts w:ascii="Times New Roman"/>
          <w:color w:val="000000"/>
        </w:rPr>
        <w:t>本标准规定</w:t>
      </w:r>
      <w:r>
        <w:rPr>
          <w:rFonts w:hint="eastAsia" w:ascii="Times New Roman"/>
          <w:color w:val="000000"/>
        </w:rPr>
        <w:t>了离子型稀土矿混合氯化稀土溶液</w:t>
      </w:r>
      <w:r>
        <w:rPr>
          <w:rFonts w:ascii="Times New Roman"/>
          <w:color w:val="000000"/>
        </w:rPr>
        <w:t>的</w:t>
      </w:r>
      <w:r>
        <w:rPr>
          <w:rFonts w:hint="eastAsia" w:ascii="Times New Roman"/>
          <w:color w:val="000000"/>
        </w:rPr>
        <w:t>要求、试验方法</w:t>
      </w:r>
      <w:r>
        <w:rPr>
          <w:rFonts w:ascii="Times New Roman"/>
          <w:color w:val="000000"/>
        </w:rPr>
        <w:t>、检验规则</w:t>
      </w:r>
      <w:r>
        <w:rPr>
          <w:rFonts w:hint="eastAsia" w:ascii="Times New Roman"/>
          <w:color w:val="000000"/>
        </w:rPr>
        <w:t>与</w:t>
      </w:r>
      <w:r>
        <w:rPr>
          <w:rFonts w:ascii="Times New Roman"/>
          <w:color w:val="000000"/>
        </w:rPr>
        <w:t>标识、包装、运输、贮存</w:t>
      </w:r>
      <w:r>
        <w:rPr>
          <w:rFonts w:hint="eastAsia" w:ascii="Times New Roman"/>
          <w:color w:val="000000"/>
        </w:rPr>
        <w:t>及质量证明书</w:t>
      </w:r>
      <w:r>
        <w:rPr>
          <w:rFonts w:ascii="Times New Roman"/>
          <w:color w:val="000000"/>
        </w:rPr>
        <w:t>。</w:t>
      </w:r>
    </w:p>
    <w:p>
      <w:pPr>
        <w:pStyle w:val="15"/>
        <w:adjustRightInd w:val="0"/>
        <w:snapToGrid w:val="0"/>
        <w:spacing w:line="360" w:lineRule="auto"/>
        <w:ind w:firstLine="420"/>
        <w:rPr>
          <w:rFonts w:ascii="Times New Roman" w:hAnsi="Times New Roman"/>
          <w:color w:val="000000"/>
        </w:rPr>
      </w:pPr>
      <w:r>
        <w:rPr>
          <w:rFonts w:ascii="Times New Roman"/>
          <w:color w:val="000000"/>
        </w:rPr>
        <w:t>本标准适用于以离子型稀土矿稀土浸出液为原料</w:t>
      </w:r>
      <w:r>
        <w:rPr>
          <w:rFonts w:hint="eastAsia" w:ascii="Times New Roman"/>
          <w:color w:val="000000"/>
        </w:rPr>
        <w:t>，经化学法和萃取法</w:t>
      </w:r>
      <w:r>
        <w:rPr>
          <w:rFonts w:ascii="Times New Roman"/>
          <w:color w:val="000000"/>
        </w:rPr>
        <w:t>富集制</w:t>
      </w:r>
      <w:r>
        <w:rPr>
          <w:rFonts w:hint="eastAsia" w:ascii="Times New Roman"/>
          <w:color w:val="000000"/>
        </w:rPr>
        <w:t>得的离子型稀土矿混合氯化稀土溶液，</w:t>
      </w:r>
      <w:r>
        <w:rPr>
          <w:rFonts w:hint="eastAsia"/>
        </w:rPr>
        <w:t>主要用作稀土分离提纯等的原料。</w:t>
      </w:r>
    </w:p>
    <w:p>
      <w:pPr>
        <w:pStyle w:val="15"/>
        <w:adjustRightInd w:val="0"/>
        <w:snapToGrid w:val="0"/>
        <w:spacing w:beforeLines="100" w:afterLines="100" w:line="360" w:lineRule="auto"/>
        <w:ind w:firstLine="0" w:firstLineChars="0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2  规范性引用文件</w:t>
      </w:r>
    </w:p>
    <w:p>
      <w:pPr>
        <w:pStyle w:val="15"/>
        <w:snapToGrid w:val="0"/>
        <w:spacing w:line="360" w:lineRule="auto"/>
        <w:ind w:firstLine="420"/>
      </w:pPr>
      <w: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tabs>
          <w:tab w:val="left" w:pos="2160"/>
        </w:tabs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GB/T 5750.13  </w:t>
      </w:r>
      <w:r>
        <w:rPr>
          <w:rFonts w:ascii="宋体" w:hAnsi="宋体"/>
        </w:rPr>
        <w:t>生活饮用水标准检验方法 放射性指标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ascii="宋体" w:hAnsi="宋体"/>
        </w:rPr>
        <w:t xml:space="preserve">GB/T </w:t>
      </w:r>
      <w:r>
        <w:rPr>
          <w:rFonts w:hint="eastAsia" w:ascii="宋体" w:hAnsi="宋体"/>
        </w:rPr>
        <w:t>8170  数值修约规则与极限数值的表示和判定</w:t>
      </w:r>
    </w:p>
    <w:p>
      <w:pPr>
        <w:tabs>
          <w:tab w:val="left" w:pos="2160"/>
        </w:tabs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GB/T 14635  稀土金属及其化合物化学分析方法 稀土总量的测定</w:t>
      </w:r>
    </w:p>
    <w:p>
      <w:pPr>
        <w:snapToGrid w:val="0"/>
        <w:spacing w:line="360" w:lineRule="auto"/>
        <w:ind w:firstLine="420" w:firstLineChars="200"/>
        <w:rPr>
          <w:rFonts w:ascii="宋体" w:hAnsi="宋体"/>
          <w:bCs/>
        </w:rPr>
      </w:pPr>
      <w:r>
        <w:rPr>
          <w:rFonts w:ascii="宋体" w:hAnsi="宋体"/>
          <w:bCs/>
        </w:rPr>
        <w:t xml:space="preserve">GB/T 16484.6 </w:t>
      </w:r>
      <w:r>
        <w:rPr>
          <w:rFonts w:hint="eastAsia" w:ascii="宋体" w:hAnsi="宋体"/>
          <w:bCs/>
        </w:rPr>
        <w:t xml:space="preserve"> </w:t>
      </w:r>
      <w:r>
        <w:rPr>
          <w:rFonts w:ascii="宋体" w:hAnsi="宋体"/>
          <w:bCs/>
        </w:rPr>
        <w:t>氯化稀土、碳酸</w:t>
      </w:r>
      <w:r>
        <w:rPr>
          <w:rFonts w:hint="eastAsia" w:ascii="宋体" w:hAnsi="宋体"/>
          <w:bCs/>
        </w:rPr>
        <w:t>轻</w:t>
      </w:r>
      <w:r>
        <w:rPr>
          <w:rFonts w:ascii="宋体" w:hAnsi="宋体"/>
          <w:bCs/>
        </w:rPr>
        <w:t xml:space="preserve">稀土化学分析方法 </w:t>
      </w:r>
      <w:r>
        <w:rPr>
          <w:rFonts w:hint="eastAsia" w:ascii="宋体" w:hAnsi="宋体"/>
          <w:bCs/>
        </w:rPr>
        <w:t xml:space="preserve">第6部分 </w:t>
      </w:r>
      <w:r>
        <w:rPr>
          <w:rFonts w:ascii="宋体" w:hAnsi="宋体"/>
          <w:bCs/>
        </w:rPr>
        <w:t>氧化钙量的测定</w:t>
      </w:r>
      <w:r>
        <w:rPr>
          <w:rFonts w:hint="eastAsia" w:ascii="宋体" w:hAnsi="宋体"/>
          <w:bCs/>
        </w:rPr>
        <w:t xml:space="preserve"> 火焰原子吸收光谱法</w:t>
      </w:r>
    </w:p>
    <w:p>
      <w:pPr>
        <w:snapToGrid w:val="0"/>
        <w:spacing w:line="360" w:lineRule="auto"/>
        <w:ind w:left="105" w:leftChars="50" w:firstLine="315" w:firstLineChars="150"/>
        <w:rPr>
          <w:rFonts w:ascii="宋体" w:hAnsi="宋体"/>
          <w:bCs/>
        </w:rPr>
      </w:pPr>
      <w:r>
        <w:rPr>
          <w:rFonts w:ascii="宋体" w:hAnsi="宋体"/>
          <w:bCs/>
        </w:rPr>
        <w:t xml:space="preserve">GB/T 16484.7 </w:t>
      </w:r>
      <w:r>
        <w:rPr>
          <w:rFonts w:hint="eastAsia" w:ascii="宋体" w:hAnsi="宋体"/>
          <w:bCs/>
        </w:rPr>
        <w:t xml:space="preserve"> </w:t>
      </w:r>
      <w:r>
        <w:rPr>
          <w:rFonts w:ascii="宋体" w:hAnsi="宋体"/>
          <w:bCs/>
        </w:rPr>
        <w:t>氯化稀土、碳酸</w:t>
      </w:r>
      <w:r>
        <w:rPr>
          <w:rFonts w:hint="eastAsia" w:ascii="宋体" w:hAnsi="宋体"/>
          <w:bCs/>
        </w:rPr>
        <w:t>轻</w:t>
      </w:r>
      <w:r>
        <w:rPr>
          <w:rFonts w:ascii="宋体" w:hAnsi="宋体"/>
          <w:bCs/>
        </w:rPr>
        <w:t xml:space="preserve">稀土化学分析方法 </w:t>
      </w:r>
      <w:r>
        <w:rPr>
          <w:rFonts w:hint="eastAsia" w:ascii="宋体" w:hAnsi="宋体"/>
          <w:bCs/>
        </w:rPr>
        <w:t xml:space="preserve">第7部分 </w:t>
      </w:r>
      <w:r>
        <w:rPr>
          <w:rFonts w:ascii="宋体" w:hAnsi="宋体"/>
          <w:bCs/>
        </w:rPr>
        <w:t>氧化镁量的测定</w:t>
      </w:r>
      <w:r>
        <w:rPr>
          <w:rFonts w:hint="eastAsia" w:ascii="宋体" w:hAnsi="宋体"/>
          <w:bCs/>
        </w:rPr>
        <w:t xml:space="preserve"> 火焰原子吸收光谱法</w:t>
      </w:r>
    </w:p>
    <w:p>
      <w:pPr>
        <w:tabs>
          <w:tab w:val="left" w:pos="2160"/>
        </w:tabs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GB/T 16484.12  氯化稀土、碳酸轻稀土化学分析方法 第12部分 硫酸根量的测定</w:t>
      </w:r>
    </w:p>
    <w:p>
      <w:pPr>
        <w:tabs>
          <w:tab w:val="left" w:pos="2160"/>
        </w:tabs>
        <w:snapToGrid w:val="0"/>
        <w:spacing w:line="360" w:lineRule="auto"/>
        <w:ind w:firstLine="420" w:firstLineChars="200"/>
        <w:rPr>
          <w:rFonts w:ascii="宋体" w:hAnsi="宋体"/>
          <w:bCs/>
        </w:rPr>
      </w:pPr>
      <w:r>
        <w:rPr>
          <w:rFonts w:ascii="宋体" w:hAnsi="宋体"/>
          <w:bCs/>
        </w:rPr>
        <w:t>GB/T</w:t>
      </w:r>
      <w:r>
        <w:rPr>
          <w:rFonts w:hint="eastAsia" w:ascii="宋体" w:hAnsi="宋体"/>
          <w:bCs/>
        </w:rPr>
        <w:t xml:space="preserve"> </w:t>
      </w:r>
      <w:r>
        <w:rPr>
          <w:rFonts w:ascii="宋体" w:hAnsi="宋体"/>
          <w:bCs/>
        </w:rPr>
        <w:t xml:space="preserve">16484.21 </w:t>
      </w:r>
      <w:r>
        <w:rPr>
          <w:rFonts w:hint="eastAsia" w:ascii="宋体" w:hAnsi="宋体"/>
          <w:bCs/>
        </w:rPr>
        <w:t xml:space="preserve"> 氯化稀土、碳酸轻稀土</w:t>
      </w:r>
      <w:r>
        <w:rPr>
          <w:rFonts w:ascii="宋体" w:hAnsi="宋体"/>
          <w:bCs/>
        </w:rPr>
        <w:t>化学分析方法 第</w:t>
      </w:r>
      <w:r>
        <w:rPr>
          <w:rFonts w:hint="eastAsia" w:ascii="宋体" w:hAnsi="宋体"/>
          <w:bCs/>
        </w:rPr>
        <w:t>21</w:t>
      </w:r>
      <w:r>
        <w:rPr>
          <w:rFonts w:ascii="宋体" w:hAnsi="宋体"/>
          <w:bCs/>
        </w:rPr>
        <w:t xml:space="preserve">部分 氧化铁量的测定 </w:t>
      </w:r>
      <w:r>
        <w:rPr>
          <w:rFonts w:hint="eastAsia" w:ascii="宋体" w:hAnsi="宋体"/>
          <w:bCs/>
        </w:rPr>
        <w:t>1,10-二氮杂菲分光光度法</w:t>
      </w:r>
    </w:p>
    <w:p>
      <w:pPr>
        <w:snapToGrid w:val="0"/>
        <w:spacing w:line="360" w:lineRule="auto"/>
        <w:ind w:firstLine="420" w:firstLineChars="200"/>
        <w:rPr>
          <w:rFonts w:ascii="宋体" w:hAnsi="宋体"/>
          <w:bCs/>
        </w:rPr>
      </w:pPr>
      <w:r>
        <w:rPr>
          <w:rFonts w:hint="eastAsia" w:ascii="宋体" w:hAnsi="宋体"/>
          <w:bCs/>
        </w:rPr>
        <w:t>GB/T 17803 稀土产品牌号表示方法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ascii="宋体" w:hAnsi="宋体"/>
          <w:bCs/>
        </w:rPr>
        <w:t xml:space="preserve">GB/T 18882.2 </w:t>
      </w:r>
      <w:r>
        <w:rPr>
          <w:rFonts w:hint="eastAsia" w:ascii="宋体" w:hAnsi="宋体"/>
          <w:bCs/>
        </w:rPr>
        <w:t xml:space="preserve"> </w:t>
      </w:r>
      <w:r>
        <w:rPr>
          <w:rFonts w:ascii="宋体" w:hAnsi="宋体"/>
          <w:bCs/>
        </w:rPr>
        <w:t>离子型稀土矿混合稀土氧化物化学分析方法 三氧化二铝量的测定</w:t>
      </w:r>
    </w:p>
    <w:p>
      <w:pPr>
        <w:pStyle w:val="15"/>
        <w:adjustRightInd w:val="0"/>
        <w:snapToGrid w:val="0"/>
        <w:spacing w:beforeLines="100" w:afterLines="100" w:line="360" w:lineRule="auto"/>
        <w:ind w:firstLine="0" w:firstLineChars="0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3  要求</w:t>
      </w:r>
    </w:p>
    <w:p>
      <w:pPr>
        <w:snapToGrid w:val="0"/>
        <w:spacing w:beforeLines="50" w:afterLines="50" w:line="360" w:lineRule="auto"/>
        <w:rPr>
          <w:rFonts w:ascii="黑体" w:eastAsia="黑体"/>
        </w:rPr>
      </w:pPr>
      <w:r>
        <w:rPr>
          <w:rFonts w:hint="eastAsia" w:ascii="黑体" w:eastAsia="黑体"/>
        </w:rPr>
        <w:t>3.1  产品分类</w:t>
      </w:r>
    </w:p>
    <w:p>
      <w:pPr>
        <w:snapToGrid w:val="0"/>
        <w:spacing w:line="360" w:lineRule="auto"/>
        <w:ind w:firstLine="42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离子型稀土矿</w:t>
      </w:r>
      <w:r>
        <w:rPr>
          <w:rFonts w:ascii="宋体" w:hAnsi="宋体"/>
          <w:color w:val="000000"/>
        </w:rPr>
        <w:t>混合氯化稀土溶液</w:t>
      </w:r>
      <w:r>
        <w:rPr>
          <w:rFonts w:hint="eastAsia" w:ascii="宋体" w:hAnsi="宋体"/>
          <w:color w:val="000000"/>
        </w:rPr>
        <w:t>按化学成分分为三个牌号：I</w:t>
      </w:r>
      <w:r>
        <w:rPr>
          <w:rFonts w:ascii="宋体" w:hAnsi="宋体"/>
          <w:color w:val="000000"/>
        </w:rPr>
        <w:t>REM-RECl</w:t>
      </w:r>
      <w:r>
        <w:rPr>
          <w:rFonts w:ascii="宋体" w:hAnsi="宋体"/>
          <w:color w:val="000000"/>
          <w:vertAlign w:val="subscript"/>
        </w:rPr>
        <w:t>3</w:t>
      </w:r>
      <w:r>
        <w:rPr>
          <w:rFonts w:hint="eastAsia" w:ascii="宋体" w:hAnsi="宋体"/>
          <w:color w:val="000000"/>
        </w:rPr>
        <w:t>Ⅰ、I</w:t>
      </w:r>
      <w:r>
        <w:rPr>
          <w:rFonts w:ascii="宋体" w:hAnsi="宋体"/>
          <w:color w:val="000000"/>
        </w:rPr>
        <w:t>REM-RECl</w:t>
      </w:r>
      <w:r>
        <w:rPr>
          <w:rFonts w:ascii="宋体" w:hAnsi="宋体"/>
          <w:color w:val="000000"/>
          <w:vertAlign w:val="subscript"/>
        </w:rPr>
        <w:t>3</w:t>
      </w:r>
      <w:r>
        <w:rPr>
          <w:rFonts w:hint="eastAsia" w:ascii="宋体" w:hAnsi="宋体"/>
          <w:color w:val="000000"/>
        </w:rPr>
        <w:t>Ⅱ和I</w:t>
      </w:r>
      <w:r>
        <w:rPr>
          <w:rFonts w:ascii="宋体" w:hAnsi="宋体"/>
          <w:color w:val="000000"/>
        </w:rPr>
        <w:t>REM-RECl</w:t>
      </w:r>
      <w:r>
        <w:rPr>
          <w:rFonts w:ascii="宋体" w:hAnsi="宋体"/>
          <w:color w:val="000000"/>
          <w:vertAlign w:val="subscript"/>
        </w:rPr>
        <w:t>3</w:t>
      </w:r>
      <w:r>
        <w:rPr>
          <w:rFonts w:hint="eastAsia" w:ascii="宋体" w:hAnsi="宋体"/>
          <w:color w:val="000000"/>
        </w:rPr>
        <w:t>Ⅲ，产品牌号表示方法应符合GB/T 17803的规定。</w:t>
      </w:r>
    </w:p>
    <w:p>
      <w:pPr>
        <w:snapToGrid w:val="0"/>
        <w:spacing w:beforeLines="50" w:afterLines="50" w:line="360" w:lineRule="auto"/>
        <w:rPr>
          <w:rFonts w:ascii="黑体" w:eastAsia="黑体"/>
        </w:rPr>
      </w:pPr>
      <w:r>
        <w:rPr>
          <w:rFonts w:hint="eastAsia" w:ascii="黑体" w:eastAsia="黑体"/>
        </w:rPr>
        <w:t>3.2  字符牌号说明与示例</w:t>
      </w:r>
    </w:p>
    <w:p>
      <w:pPr>
        <w:snapToGrid w:val="0"/>
        <w:spacing w:line="360" w:lineRule="auto"/>
        <w:ind w:firstLine="420"/>
        <w:rPr>
          <w:rFonts w:ascii="宋体" w:hAnsi="宋体"/>
        </w:rPr>
      </w:pPr>
      <w:r>
        <w:rPr>
          <w:rFonts w:hint="eastAsia" w:ascii="宋体" w:hAnsi="宋体"/>
        </w:rPr>
        <w:t>根据GB/T 17803,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>离子型稀土矿混合氯化稀土溶液牌号由稀土矿产品英文首字母、阿拉伯数字和分子式组成，共分三个层次，其中第一层次表示稀土矿类产品名称，用离子型稀土矿的英文首字母“</w:t>
      </w:r>
      <w:r>
        <w:rPr>
          <w:rFonts w:ascii="宋体" w:hAnsi="宋体"/>
        </w:rPr>
        <w:t>IREM”表示</w:t>
      </w:r>
      <w:r>
        <w:rPr>
          <w:rFonts w:hint="eastAsia" w:ascii="宋体" w:hAnsi="宋体"/>
        </w:rPr>
        <w:t>；第二层次表示该产品的类别，用产品分子式表示；第三层次表示该产品的级别（规格），以罗马数字Ⅰ、Ⅱ、Ⅲ</w:t>
      </w:r>
      <w:r>
        <w:rPr>
          <w:rFonts w:ascii="宋体" w:hAnsi="宋体"/>
        </w:rPr>
        <w:t>……</w:t>
      </w:r>
      <w:r>
        <w:rPr>
          <w:rFonts w:hint="eastAsia" w:ascii="宋体" w:hAnsi="宋体"/>
        </w:rPr>
        <w:t>来表示。在第一层次和第二层次之间用“-”分开。</w:t>
      </w:r>
    </w:p>
    <w:p>
      <w:pPr>
        <w:snapToGrid w:val="0"/>
        <w:spacing w:line="360" w:lineRule="auto"/>
        <w:ind w:firstLine="945" w:firstLineChars="450"/>
        <w:rPr>
          <w:rFonts w:ascii="宋体" w:hAnsi="宋体"/>
        </w:rPr>
      </w:pPr>
      <w:r>
        <w:rPr>
          <w:rFonts w:ascii="宋体" w:hAnsi="宋体"/>
        </w:rPr>
        <w:pict>
          <v:shape id="_x0000_s1029" o:spid="_x0000_s1029" o:spt="32" type="#_x0000_t32" style="position:absolute;left:0pt;flip:y;margin-left:57.85pt;margin-top:19.65pt;height:70pt;width:0pt;z-index:251658240;mso-width-relative:page;mso-height-relative:page;" o:connectortype="straight" filled="f" coordsize="21600,21600">
            <v:path arrowok="t"/>
            <v:fill on="f" focussize="0,0"/>
            <v:stroke weight="0.4pt"/>
            <v:imagedata o:title=""/>
            <o:lock v:ext="edit"/>
          </v:shape>
        </w:pict>
      </w:r>
      <w:r>
        <w:rPr>
          <w:rFonts w:ascii="宋体" w:hAnsi="宋体"/>
        </w:rPr>
        <w:pict>
          <v:shape id="_x0000_s1028" o:spid="_x0000_s1028" o:spt="32" type="#_x0000_t32" style="position:absolute;left:0pt;flip:y;margin-left:88.9pt;margin-top:19.7pt;height:49.6pt;width:0pt;z-index:251657216;mso-width-relative:page;mso-height-relative:page;" o:connectortype="straight" filled="f" coordsize="21600,21600">
            <v:path arrowok="t"/>
            <v:fill on="f" focussize="0,0"/>
            <v:stroke weight="0.4pt"/>
            <v:imagedata o:title=""/>
            <o:lock v:ext="edit"/>
          </v:shape>
        </w:pict>
      </w:r>
      <w:r>
        <w:rPr>
          <w:rFonts w:ascii="宋体" w:hAnsi="宋体"/>
        </w:rPr>
        <w:pict>
          <v:shape id="_x0000_s1027" o:spid="_x0000_s1027" o:spt="32" type="#_x0000_t32" style="position:absolute;left:0pt;flip:y;margin-left:120.75pt;margin-top:19.5pt;height:29.25pt;width:0pt;z-index:251656192;mso-width-relative:page;mso-height-relative:page;" o:connectortype="straight" filled="f" coordsize="21600,21600">
            <v:path arrowok="t"/>
            <v:fill on="f" focussize="0,0"/>
            <v:stroke weight="0.4pt"/>
            <v:imagedata o:title=""/>
            <o:lock v:ext="edit"/>
          </v:shape>
        </w:pict>
      </w:r>
      <w:r>
        <w:rPr>
          <w:rFonts w:hint="eastAsia" w:ascii="宋体" w:hAnsi="宋体"/>
        </w:rPr>
        <w:t>╳╳  ╳╳  ╳╳</w:t>
      </w:r>
    </w:p>
    <w:p>
      <w:pPr>
        <w:snapToGrid w:val="0"/>
        <w:spacing w:line="360" w:lineRule="auto"/>
        <w:ind w:firstLine="2415" w:firstLineChars="1150"/>
        <w:rPr>
          <w:rFonts w:ascii="宋体" w:hAnsi="宋体"/>
        </w:rPr>
      </w:pPr>
    </w:p>
    <w:p>
      <w:pPr>
        <w:snapToGrid w:val="0"/>
        <w:spacing w:line="360" w:lineRule="auto"/>
        <w:ind w:firstLine="2415" w:firstLineChars="1150"/>
        <w:rPr>
          <w:rFonts w:ascii="宋体" w:hAnsi="宋体"/>
        </w:rPr>
      </w:pPr>
      <w:r>
        <w:t>————</w:t>
      </w:r>
      <w:r>
        <w:rPr>
          <w:rFonts w:hint="eastAsia" w:ascii="宋体" w:hAnsi="宋体"/>
        </w:rPr>
        <w:t>第三层次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表示该产品的级别（规格）</w:t>
      </w:r>
    </w:p>
    <w:p>
      <w:pPr>
        <w:snapToGrid w:val="0"/>
        <w:spacing w:line="360" w:lineRule="auto"/>
        <w:ind w:firstLine="1785" w:firstLineChars="850"/>
        <w:rPr>
          <w:rFonts w:ascii="宋体" w:hAnsi="宋体"/>
        </w:rPr>
      </w:pPr>
      <w:r>
        <w:t>———————</w:t>
      </w:r>
      <w:r>
        <w:rPr>
          <w:rFonts w:hint="eastAsia" w:ascii="宋体" w:hAnsi="宋体"/>
        </w:rPr>
        <w:t>第二层次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表示该产品的类别</w:t>
      </w:r>
    </w:p>
    <w:p>
      <w:pPr>
        <w:snapToGrid w:val="0"/>
        <w:spacing w:line="360" w:lineRule="auto"/>
        <w:ind w:firstLine="1155" w:firstLineChars="550"/>
        <w:rPr>
          <w:rFonts w:ascii="宋体" w:hAnsi="宋体"/>
          <w:highlight w:val="green"/>
        </w:rPr>
      </w:pPr>
      <w:r>
        <w:t>——————————</w:t>
      </w:r>
      <w:r>
        <w:rPr>
          <w:rFonts w:hint="eastAsia" w:ascii="宋体" w:hAnsi="宋体"/>
        </w:rPr>
        <w:t>第一层次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表示稀土矿类产品名称</w:t>
      </w:r>
    </w:p>
    <w:p>
      <w:pPr>
        <w:snapToGrid w:val="0"/>
        <w:spacing w:beforeLines="50" w:afterLines="50" w:line="360" w:lineRule="auto"/>
        <w:rPr>
          <w:rFonts w:ascii="黑体" w:eastAsia="黑体"/>
        </w:rPr>
      </w:pPr>
      <w:r>
        <w:rPr>
          <w:rFonts w:hint="eastAsia" w:ascii="黑体" w:eastAsia="黑体"/>
        </w:rPr>
        <w:t>3.3  化学成分</w:t>
      </w:r>
    </w:p>
    <w:p>
      <w:pPr>
        <w:snapToGrid w:val="0"/>
        <w:spacing w:line="360" w:lineRule="auto"/>
        <w:ind w:firstLine="420"/>
        <w:rPr>
          <w:rFonts w:ascii="宋体" w:hAnsi="宋体"/>
        </w:rPr>
      </w:pPr>
      <w:r>
        <w:rPr>
          <w:rFonts w:hint="eastAsia" w:ascii="宋体" w:hAnsi="宋体"/>
        </w:rPr>
        <w:t>离子型稀土矿混合氯化稀土溶液产品化学成分应符合表1规定。需方如有特殊要求，供需双方可另行协商。</w:t>
      </w:r>
    </w:p>
    <w:p>
      <w:pPr>
        <w:snapToGrid w:val="0"/>
        <w:spacing w:line="360" w:lineRule="auto"/>
        <w:jc w:val="center"/>
        <w:rPr>
          <w:rFonts w:ascii="黑体" w:eastAsia="黑体"/>
          <w:szCs w:val="21"/>
        </w:rPr>
      </w:pPr>
      <w:r>
        <w:rPr>
          <w:rFonts w:ascii="黑体" w:eastAsia="黑体"/>
          <w:szCs w:val="21"/>
        </w:rPr>
        <w:t>表1</w:t>
      </w:r>
    </w:p>
    <w:tbl>
      <w:tblPr>
        <w:tblStyle w:val="9"/>
        <w:tblW w:w="821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77"/>
        <w:gridCol w:w="1839"/>
        <w:gridCol w:w="1839"/>
        <w:gridCol w:w="1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26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产品牌号</w:t>
            </w:r>
          </w:p>
        </w:tc>
        <w:tc>
          <w:tcPr>
            <w:tcW w:w="1839" w:type="dxa"/>
            <w:vAlign w:val="center"/>
          </w:tcPr>
          <w:p>
            <w:pPr>
              <w:ind w:right="-86" w:rightChars="-4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IREM-RECl</w:t>
            </w:r>
            <w:r>
              <w:rPr>
                <w:rFonts w:hint="eastAsia" w:ascii="宋体" w:hAnsi="宋体"/>
                <w:szCs w:val="21"/>
                <w:vertAlign w:val="subscript"/>
              </w:rPr>
              <w:t>3</w:t>
            </w:r>
            <w:r>
              <w:rPr>
                <w:rFonts w:hint="eastAsia" w:ascii="宋体" w:hAnsi="宋体"/>
                <w:szCs w:val="21"/>
              </w:rPr>
              <w:t>Ⅰ</w:t>
            </w:r>
          </w:p>
        </w:tc>
        <w:tc>
          <w:tcPr>
            <w:tcW w:w="1839" w:type="dxa"/>
            <w:vAlign w:val="center"/>
          </w:tcPr>
          <w:p>
            <w:pPr>
              <w:ind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IREM-RECl</w:t>
            </w:r>
            <w:r>
              <w:rPr>
                <w:rFonts w:hint="eastAsia" w:ascii="宋体" w:hAnsi="宋体"/>
                <w:szCs w:val="21"/>
                <w:vertAlign w:val="subscript"/>
              </w:rPr>
              <w:t>3</w:t>
            </w:r>
            <w:r>
              <w:rPr>
                <w:rFonts w:hint="eastAsia" w:ascii="宋体" w:hAnsi="宋体"/>
                <w:szCs w:val="21"/>
              </w:rPr>
              <w:t>Ⅱ</w:t>
            </w:r>
          </w:p>
        </w:tc>
        <w:tc>
          <w:tcPr>
            <w:tcW w:w="1840" w:type="dxa"/>
            <w:vAlign w:val="center"/>
          </w:tcPr>
          <w:p>
            <w:pPr>
              <w:ind w:right="-25" w:rightChars="-1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IREM-RECl</w:t>
            </w:r>
            <w:r>
              <w:rPr>
                <w:rFonts w:hint="eastAsia" w:ascii="宋体" w:hAnsi="宋体"/>
                <w:szCs w:val="21"/>
                <w:vertAlign w:val="subscript"/>
              </w:rPr>
              <w:t>3</w:t>
            </w:r>
            <w:r>
              <w:rPr>
                <w:rFonts w:hint="eastAsia" w:ascii="宋体" w:hAnsi="宋体"/>
                <w:szCs w:val="21"/>
              </w:rPr>
              <w:t>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26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REO/（g/L），不小于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220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180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非稀土杂质/（g/L）,不大于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Fe</w:t>
            </w:r>
            <w:r>
              <w:rPr>
                <w:rFonts w:ascii="宋体" w:hAnsi="宋体"/>
                <w:szCs w:val="21"/>
                <w:vertAlign w:val="subscript"/>
              </w:rPr>
              <w:t>2</w:t>
            </w:r>
            <w:r>
              <w:rPr>
                <w:rFonts w:ascii="宋体" w:hAnsi="宋体"/>
                <w:szCs w:val="21"/>
              </w:rPr>
              <w:t>O</w:t>
            </w:r>
            <w:r>
              <w:rPr>
                <w:rFonts w:ascii="宋体" w:hAnsi="宋体"/>
                <w:szCs w:val="21"/>
                <w:vertAlign w:val="subscript"/>
              </w:rPr>
              <w:t>3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Al</w:t>
            </w:r>
            <w:r>
              <w:rPr>
                <w:rFonts w:ascii="宋体" w:hAnsi="宋体"/>
                <w:szCs w:val="21"/>
                <w:vertAlign w:val="subscript"/>
              </w:rPr>
              <w:t>2</w:t>
            </w:r>
            <w:r>
              <w:rPr>
                <w:rFonts w:ascii="宋体" w:hAnsi="宋体"/>
                <w:szCs w:val="21"/>
              </w:rPr>
              <w:t>O</w:t>
            </w:r>
            <w:r>
              <w:rPr>
                <w:rFonts w:ascii="宋体" w:hAnsi="宋体"/>
                <w:szCs w:val="21"/>
                <w:vertAlign w:val="subscript"/>
              </w:rPr>
              <w:t>3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2.0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3.0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CaO</w:t>
            </w:r>
          </w:p>
        </w:tc>
        <w:tc>
          <w:tcPr>
            <w:tcW w:w="183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合量4.0</w:t>
            </w:r>
          </w:p>
        </w:tc>
        <w:tc>
          <w:tcPr>
            <w:tcW w:w="183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合量5.0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合量</w:t>
            </w:r>
            <w:r>
              <w:rPr>
                <w:rFonts w:ascii="宋体" w:hAnsi="宋体"/>
                <w:szCs w:val="21"/>
              </w:rPr>
              <w:t>5.0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MgO</w:t>
            </w:r>
          </w:p>
        </w:tc>
        <w:tc>
          <w:tcPr>
            <w:tcW w:w="18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SO</w:t>
            </w:r>
            <w:r>
              <w:rPr>
                <w:rFonts w:ascii="宋体" w:hAnsi="宋体"/>
                <w:szCs w:val="21"/>
                <w:vertAlign w:val="subscript"/>
              </w:rPr>
              <w:t>4</w:t>
            </w:r>
            <w:r>
              <w:rPr>
                <w:rFonts w:ascii="宋体" w:hAnsi="宋体"/>
                <w:szCs w:val="21"/>
                <w:vertAlign w:val="superscript"/>
              </w:rPr>
              <w:t>2-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6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总放射性比活度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（Bq/L）</w:t>
            </w:r>
            <w:r>
              <w:rPr>
                <w:rFonts w:hint="eastAsia" w:ascii="宋体" w:hAnsi="宋体"/>
                <w:szCs w:val="21"/>
              </w:rPr>
              <w:t>,不大于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300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500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00</w:t>
            </w:r>
          </w:p>
        </w:tc>
      </w:tr>
    </w:tbl>
    <w:p/>
    <w:p>
      <w:pPr>
        <w:snapToGrid w:val="0"/>
        <w:spacing w:beforeLines="50" w:afterLines="50" w:line="360" w:lineRule="auto"/>
        <w:rPr>
          <w:rFonts w:ascii="黑体" w:eastAsia="黑体"/>
        </w:rPr>
      </w:pPr>
      <w:r>
        <w:rPr>
          <w:rFonts w:hint="eastAsia" w:ascii="黑体" w:eastAsia="黑体"/>
        </w:rPr>
        <w:t>3.4  外观</w:t>
      </w:r>
    </w:p>
    <w:p>
      <w:pPr>
        <w:pStyle w:val="20"/>
        <w:snapToGrid w:val="0"/>
        <w:spacing w:line="360" w:lineRule="auto"/>
        <w:rPr>
          <w:rFonts w:ascii="宋体" w:hAnsi="宋体" w:eastAsia="宋体"/>
        </w:rPr>
      </w:pPr>
      <w:r>
        <w:rPr>
          <w:rFonts w:hint="eastAsia"/>
          <w:kern w:val="2"/>
        </w:rPr>
        <w:t>3</w:t>
      </w:r>
      <w:r>
        <w:rPr>
          <w:kern w:val="2"/>
        </w:rPr>
        <w:t>.</w:t>
      </w:r>
      <w:r>
        <w:rPr>
          <w:rFonts w:hint="eastAsia"/>
          <w:kern w:val="2"/>
        </w:rPr>
        <w:t>4</w:t>
      </w:r>
      <w:r>
        <w:rPr>
          <w:kern w:val="2"/>
        </w:rPr>
        <w:t xml:space="preserve">.1  </w:t>
      </w:r>
      <w:r>
        <w:rPr>
          <w:rFonts w:ascii="宋体" w:hAnsi="宋体" w:eastAsia="宋体"/>
        </w:rPr>
        <w:t>产品</w:t>
      </w:r>
      <w:r>
        <w:rPr>
          <w:rFonts w:hint="eastAsia" w:ascii="宋体" w:hAnsi="宋体" w:eastAsia="宋体"/>
        </w:rPr>
        <w:t>为液体状态</w:t>
      </w:r>
      <w:r>
        <w:rPr>
          <w:rFonts w:ascii="宋体" w:hAnsi="宋体" w:eastAsia="宋体"/>
        </w:rPr>
        <w:t>。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黑体" w:eastAsia="黑体"/>
        </w:rPr>
        <w:t>3</w:t>
      </w:r>
      <w:r>
        <w:rPr>
          <w:rFonts w:ascii="黑体" w:eastAsia="黑体"/>
        </w:rPr>
        <w:t>.</w:t>
      </w:r>
      <w:r>
        <w:rPr>
          <w:rFonts w:hint="eastAsia" w:ascii="黑体" w:eastAsia="黑体"/>
        </w:rPr>
        <w:t>4</w:t>
      </w:r>
      <w:r>
        <w:rPr>
          <w:rFonts w:ascii="黑体" w:eastAsia="黑体"/>
        </w:rPr>
        <w:t xml:space="preserve">.2  </w:t>
      </w:r>
      <w:r>
        <w:rPr>
          <w:rFonts w:ascii="宋体" w:hAnsi="宋体"/>
        </w:rPr>
        <w:t>产品应</w:t>
      </w:r>
      <w:r>
        <w:rPr>
          <w:rFonts w:hint="eastAsia" w:ascii="宋体" w:hAnsi="宋体"/>
        </w:rPr>
        <w:t>均匀清澈</w:t>
      </w:r>
      <w:r>
        <w:rPr>
          <w:rFonts w:ascii="宋体" w:hAnsi="宋体"/>
        </w:rPr>
        <w:t>，无可见</w:t>
      </w:r>
      <w:r>
        <w:rPr>
          <w:rFonts w:hint="eastAsia" w:ascii="宋体" w:hAnsi="宋体"/>
        </w:rPr>
        <w:t>沉淀物</w:t>
      </w:r>
      <w:r>
        <w:rPr>
          <w:rFonts w:ascii="宋体" w:hAnsi="宋体"/>
        </w:rPr>
        <w:t>。</w:t>
      </w:r>
    </w:p>
    <w:p>
      <w:pPr>
        <w:snapToGrid w:val="0"/>
        <w:spacing w:beforeLines="100" w:afterLines="100" w:line="360" w:lineRule="auto"/>
        <w:rPr>
          <w:rFonts w:ascii="黑体" w:eastAsia="黑体"/>
        </w:rPr>
      </w:pPr>
      <w:r>
        <w:rPr>
          <w:rFonts w:hint="eastAsia" w:ascii="黑体" w:eastAsia="黑体"/>
        </w:rPr>
        <w:t>4  试验方法</w:t>
      </w:r>
    </w:p>
    <w:p>
      <w:pPr>
        <w:snapToGrid w:val="0"/>
        <w:spacing w:line="360" w:lineRule="auto"/>
        <w:rPr>
          <w:rFonts w:ascii="黑体" w:eastAsia="黑体"/>
        </w:rPr>
      </w:pPr>
      <w:r>
        <w:rPr>
          <w:rFonts w:hint="eastAsia" w:ascii="黑体" w:eastAsia="黑体"/>
        </w:rPr>
        <w:t>4.1  化学成分</w:t>
      </w:r>
    </w:p>
    <w:p>
      <w:pPr>
        <w:snapToGrid w:val="0"/>
        <w:spacing w:line="360" w:lineRule="auto"/>
        <w:rPr>
          <w:rFonts w:ascii="宋体" w:hAnsi="宋体"/>
          <w:highlight w:val="yellow"/>
        </w:rPr>
      </w:pPr>
      <w:r>
        <w:rPr>
          <w:rFonts w:hint="eastAsia" w:ascii="黑体" w:eastAsia="黑体"/>
        </w:rPr>
        <w:t xml:space="preserve">4.1.1  </w:t>
      </w:r>
      <w:r>
        <w:rPr>
          <w:rFonts w:hint="eastAsia" w:ascii="宋体" w:hAnsi="宋体"/>
        </w:rPr>
        <w:t>产品中REO总量的分析方法参照GB/T 14635的规定进行。</w:t>
      </w:r>
    </w:p>
    <w:p>
      <w:pPr>
        <w:snapToGrid w:val="0"/>
        <w:spacing w:line="360" w:lineRule="auto"/>
        <w:rPr>
          <w:rFonts w:ascii="宋体" w:hAnsi="宋体"/>
        </w:rPr>
      </w:pPr>
      <w:r>
        <w:rPr>
          <w:rFonts w:hint="eastAsia" w:ascii="黑体" w:eastAsia="黑体"/>
        </w:rPr>
        <w:t xml:space="preserve">4.1.2  </w:t>
      </w:r>
      <w:r>
        <w:rPr>
          <w:rFonts w:hint="eastAsia" w:ascii="宋体" w:hAnsi="宋体"/>
        </w:rPr>
        <w:t>产品中非稀土杂质Fe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O</w:t>
      </w:r>
      <w:r>
        <w:rPr>
          <w:rFonts w:hint="eastAsia" w:ascii="宋体" w:hAnsi="宋体"/>
          <w:vertAlign w:val="subscript"/>
        </w:rPr>
        <w:t>3</w:t>
      </w:r>
      <w:r>
        <w:rPr>
          <w:rFonts w:hint="eastAsia" w:ascii="宋体" w:hAnsi="宋体"/>
        </w:rPr>
        <w:t>、CaO、MgO、SO</w:t>
      </w:r>
      <w:r>
        <w:rPr>
          <w:rFonts w:hint="eastAsia" w:ascii="宋体" w:hAnsi="宋体"/>
          <w:vertAlign w:val="subscript"/>
        </w:rPr>
        <w:t>4</w:t>
      </w:r>
      <w:r>
        <w:rPr>
          <w:rFonts w:hint="eastAsia" w:ascii="宋体" w:hAnsi="宋体"/>
          <w:vertAlign w:val="superscript"/>
        </w:rPr>
        <w:t>2-</w:t>
      </w:r>
      <w:r>
        <w:rPr>
          <w:rFonts w:hint="eastAsia" w:ascii="宋体" w:hAnsi="宋体"/>
        </w:rPr>
        <w:t>含量的分析方法按照</w:t>
      </w:r>
      <w:r>
        <w:rPr>
          <w:rFonts w:ascii="宋体" w:hAnsi="宋体"/>
          <w:bCs/>
        </w:rPr>
        <w:t xml:space="preserve">GB/T </w:t>
      </w:r>
      <w:r>
        <w:rPr>
          <w:rFonts w:hint="eastAsia" w:ascii="宋体" w:hAnsi="宋体"/>
          <w:bCs/>
        </w:rPr>
        <w:t>16484</w:t>
      </w:r>
      <w:r>
        <w:rPr>
          <w:rFonts w:hint="eastAsia" w:ascii="宋体" w:hAnsi="宋体"/>
        </w:rPr>
        <w:t>的规定进行。</w:t>
      </w:r>
    </w:p>
    <w:p>
      <w:pPr>
        <w:snapToGrid w:val="0"/>
        <w:spacing w:line="360" w:lineRule="auto"/>
        <w:rPr>
          <w:rFonts w:ascii="宋体" w:hAnsi="宋体"/>
        </w:rPr>
      </w:pPr>
      <w:r>
        <w:rPr>
          <w:rFonts w:hint="eastAsia" w:ascii="黑体" w:eastAsia="黑体"/>
        </w:rPr>
        <w:t xml:space="preserve">4.1.3  </w:t>
      </w:r>
      <w:r>
        <w:rPr>
          <w:rFonts w:hint="eastAsia" w:ascii="宋体" w:hAnsi="宋体"/>
        </w:rPr>
        <w:t>产品中非稀土杂质Al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O</w:t>
      </w:r>
      <w:r>
        <w:rPr>
          <w:rFonts w:hint="eastAsia" w:ascii="宋体" w:hAnsi="宋体"/>
          <w:vertAlign w:val="subscript"/>
        </w:rPr>
        <w:t>3</w:t>
      </w:r>
      <w:r>
        <w:rPr>
          <w:rFonts w:hint="eastAsia" w:ascii="宋体" w:hAnsi="宋体"/>
        </w:rPr>
        <w:t xml:space="preserve">含量的分析方法按照GB/T </w:t>
      </w:r>
      <w:r>
        <w:rPr>
          <w:rFonts w:ascii="宋体" w:hAnsi="宋体"/>
          <w:bCs/>
        </w:rPr>
        <w:t>18882.2</w:t>
      </w:r>
      <w:r>
        <w:rPr>
          <w:rFonts w:hint="eastAsia" w:ascii="宋体" w:hAnsi="宋体"/>
        </w:rPr>
        <w:t>的规定进行。</w:t>
      </w:r>
    </w:p>
    <w:p>
      <w:pPr>
        <w:snapToGrid w:val="0"/>
        <w:spacing w:line="360" w:lineRule="auto"/>
        <w:rPr>
          <w:rFonts w:ascii="宋体" w:hAnsi="宋体"/>
        </w:rPr>
      </w:pPr>
      <w:r>
        <w:rPr>
          <w:rFonts w:hint="eastAsia" w:ascii="黑体" w:eastAsia="黑体"/>
        </w:rPr>
        <w:t xml:space="preserve">4.1.4  </w:t>
      </w:r>
      <w:r>
        <w:rPr>
          <w:rFonts w:hint="eastAsia" w:ascii="宋体" w:hAnsi="宋体"/>
        </w:rPr>
        <w:t>产品总放射性比活度的分析方法参照GB/T 5750.13的规定进行。</w:t>
      </w:r>
    </w:p>
    <w:p>
      <w:pPr>
        <w:snapToGrid w:val="0"/>
        <w:spacing w:beforeLines="50" w:afterLines="50" w:line="360" w:lineRule="auto"/>
        <w:rPr>
          <w:rFonts w:ascii="黑体" w:eastAsia="黑体"/>
        </w:rPr>
      </w:pPr>
      <w:r>
        <w:rPr>
          <w:rFonts w:hint="eastAsia" w:ascii="黑体" w:eastAsia="黑体"/>
        </w:rPr>
        <w:t>4.2  数值修约</w:t>
      </w:r>
    </w:p>
    <w:p>
      <w:pPr>
        <w:snapToGrid w:val="0"/>
        <w:spacing w:line="360" w:lineRule="auto"/>
        <w:ind w:firstLine="420"/>
        <w:rPr>
          <w:rFonts w:ascii="宋体" w:hAnsi="宋体"/>
        </w:rPr>
      </w:pPr>
      <w:r>
        <w:t>数值修约</w:t>
      </w:r>
      <w:r>
        <w:rPr>
          <w:rFonts w:hint="eastAsia" w:ascii="宋体" w:hAnsi="宋体"/>
        </w:rPr>
        <w:t>按GB/T 8170的规定进行。</w:t>
      </w:r>
    </w:p>
    <w:p>
      <w:pPr>
        <w:snapToGrid w:val="0"/>
        <w:spacing w:beforeLines="50" w:afterLines="50" w:line="360" w:lineRule="auto"/>
        <w:rPr>
          <w:rFonts w:ascii="黑体" w:eastAsia="黑体"/>
        </w:rPr>
      </w:pPr>
      <w:r>
        <w:rPr>
          <w:rFonts w:hint="eastAsia" w:ascii="黑体" w:eastAsia="黑体"/>
        </w:rPr>
        <w:t>4.3  外观质量</w:t>
      </w:r>
    </w:p>
    <w:p>
      <w:pPr>
        <w:snapToGrid w:val="0"/>
        <w:spacing w:line="360" w:lineRule="auto"/>
        <w:ind w:firstLine="420"/>
      </w:pPr>
      <w:r>
        <w:t>自然散色光下，</w:t>
      </w:r>
      <w:r>
        <w:rPr>
          <w:rFonts w:hint="eastAsia"/>
        </w:rPr>
        <w:t>目测检查外观质量。</w:t>
      </w:r>
    </w:p>
    <w:p>
      <w:pPr>
        <w:snapToGrid w:val="0"/>
        <w:spacing w:beforeLines="100" w:afterLines="100" w:line="360" w:lineRule="auto"/>
        <w:rPr>
          <w:rFonts w:ascii="黑体" w:eastAsia="黑体"/>
        </w:rPr>
      </w:pPr>
      <w:r>
        <w:rPr>
          <w:rFonts w:hint="eastAsia" w:ascii="黑体" w:eastAsia="黑体"/>
        </w:rPr>
        <w:t>5  检验规格</w:t>
      </w:r>
    </w:p>
    <w:p>
      <w:pPr>
        <w:snapToGrid w:val="0"/>
        <w:spacing w:beforeLines="50" w:afterLines="50" w:line="360" w:lineRule="auto"/>
        <w:rPr>
          <w:rFonts w:ascii="黑体" w:eastAsia="黑体"/>
        </w:rPr>
      </w:pPr>
      <w:r>
        <w:rPr>
          <w:rFonts w:hint="eastAsia" w:ascii="黑体" w:eastAsia="黑体"/>
        </w:rPr>
        <w:t>5.1  检查与验收</w:t>
      </w:r>
    </w:p>
    <w:p>
      <w:pPr>
        <w:pStyle w:val="15"/>
        <w:snapToGrid w:val="0"/>
        <w:spacing w:line="360" w:lineRule="auto"/>
        <w:ind w:firstLine="0" w:firstLineChars="0"/>
        <w:rPr>
          <w:rFonts w:ascii="Times New Roman" w:eastAsia="黑体"/>
        </w:rPr>
      </w:pPr>
      <w:r>
        <w:rPr>
          <w:rFonts w:hint="eastAsia" w:ascii="黑体" w:eastAsia="黑体"/>
        </w:rPr>
        <w:t xml:space="preserve">5.1.1  </w:t>
      </w:r>
      <w:r>
        <w:rPr>
          <w:rFonts w:ascii="Times New Roman"/>
        </w:rPr>
        <w:t>产品由</w:t>
      </w:r>
      <w:r>
        <w:rPr>
          <w:rFonts w:hint="eastAsia" w:ascii="Times New Roman"/>
        </w:rPr>
        <w:t>国家（行业）认定的检测机构或供方质量检验部门</w:t>
      </w:r>
      <w:r>
        <w:rPr>
          <w:rFonts w:ascii="Times New Roman"/>
        </w:rPr>
        <w:t>进行检验，</w:t>
      </w:r>
      <w:r>
        <w:rPr>
          <w:rFonts w:ascii="Times New Roman" w:hAnsi="Times New Roman"/>
        </w:rPr>
        <w:t>保证产品符合本标准规定</w:t>
      </w:r>
      <w:r>
        <w:rPr>
          <w:rFonts w:ascii="Times New Roman"/>
        </w:rPr>
        <w:t>，填写产品质量证明书。</w:t>
      </w:r>
    </w:p>
    <w:p>
      <w:pPr>
        <w:pStyle w:val="15"/>
        <w:snapToGrid w:val="0"/>
        <w:spacing w:line="360" w:lineRule="auto"/>
        <w:ind w:firstLine="0" w:firstLineChars="0"/>
      </w:pPr>
      <w:r>
        <w:rPr>
          <w:rFonts w:hint="eastAsia" w:ascii="黑体" w:eastAsia="黑体"/>
        </w:rPr>
        <w:t>5.1.2</w:t>
      </w:r>
      <w:r>
        <w:rPr>
          <w:rFonts w:hint="eastAsia"/>
        </w:rPr>
        <w:t xml:space="preserve">  </w:t>
      </w:r>
      <w:r>
        <w:t>需方应对收到的产品进行检验，如检验结果与本标准规定不符，应在收到产品之日起</w:t>
      </w:r>
      <w:r>
        <w:rPr>
          <w:rFonts w:hint="eastAsia"/>
        </w:rPr>
        <w:t>30日</w:t>
      </w:r>
      <w:r>
        <w:t>内向供方提出，由供需双方协商解决。如需仲裁</w:t>
      </w:r>
      <w:r>
        <w:rPr>
          <w:rFonts w:hint="eastAsia"/>
        </w:rPr>
        <w:t>，</w:t>
      </w:r>
      <w:r>
        <w:t>可委托双方认可的单位进行，并在需方共同取样</w:t>
      </w:r>
      <w:r>
        <w:rPr>
          <w:rFonts w:ascii="Times New Roman"/>
        </w:rPr>
        <w:t>。</w:t>
      </w:r>
    </w:p>
    <w:p>
      <w:pPr>
        <w:snapToGrid w:val="0"/>
        <w:spacing w:beforeLines="50" w:afterLines="50" w:line="360" w:lineRule="auto"/>
        <w:rPr>
          <w:rFonts w:ascii="黑体" w:eastAsia="黑体"/>
        </w:rPr>
      </w:pPr>
      <w:r>
        <w:rPr>
          <w:rFonts w:hint="eastAsia" w:ascii="黑体" w:eastAsia="黑体"/>
        </w:rPr>
        <w:t>5.2  组批</w:t>
      </w:r>
    </w:p>
    <w:p>
      <w:pPr>
        <w:pStyle w:val="15"/>
        <w:snapToGrid w:val="0"/>
        <w:spacing w:line="360" w:lineRule="auto"/>
        <w:ind w:firstLine="420"/>
      </w:pPr>
      <w:r>
        <w:rPr>
          <w:rFonts w:hint="eastAsia"/>
        </w:rPr>
        <w:t>产品应成批提交检验，每批应由同一牌号的产品组成。</w:t>
      </w:r>
    </w:p>
    <w:p>
      <w:pPr>
        <w:tabs>
          <w:tab w:val="left" w:pos="3315"/>
        </w:tabs>
        <w:snapToGrid w:val="0"/>
        <w:spacing w:beforeLines="50" w:afterLines="50" w:line="360" w:lineRule="auto"/>
        <w:rPr>
          <w:rFonts w:ascii="黑体" w:eastAsia="黑体"/>
        </w:rPr>
      </w:pPr>
      <w:r>
        <w:rPr>
          <w:rFonts w:hint="eastAsia" w:ascii="黑体" w:eastAsia="黑体"/>
        </w:rPr>
        <w:t>5.3  检验项目</w:t>
      </w:r>
      <w:r>
        <w:rPr>
          <w:rFonts w:ascii="黑体" w:eastAsia="黑体"/>
        </w:rPr>
        <w:tab/>
      </w:r>
    </w:p>
    <w:p>
      <w:pPr>
        <w:pStyle w:val="15"/>
        <w:snapToGrid w:val="0"/>
        <w:spacing w:line="360" w:lineRule="auto"/>
        <w:ind w:firstLine="420" w:firstLineChars="0"/>
      </w:pPr>
      <w:r>
        <w:rPr>
          <w:rFonts w:hint="eastAsia"/>
        </w:rPr>
        <w:t>每批产品应进行化学成分和外观质量检验。</w:t>
      </w:r>
    </w:p>
    <w:p>
      <w:pPr>
        <w:snapToGrid w:val="0"/>
        <w:spacing w:beforeLines="50" w:afterLines="50" w:line="360" w:lineRule="auto"/>
        <w:rPr>
          <w:rFonts w:ascii="黑体" w:eastAsia="黑体"/>
        </w:rPr>
      </w:pPr>
      <w:r>
        <w:rPr>
          <w:rFonts w:hint="eastAsia" w:ascii="黑体" w:eastAsia="黑体"/>
        </w:rPr>
        <w:t>5.4  取样与制样</w:t>
      </w:r>
    </w:p>
    <w:p>
      <w:pPr>
        <w:snapToGrid w:val="0"/>
        <w:spacing w:beforeLines="50" w:afterLines="50" w:line="360" w:lineRule="auto"/>
        <w:rPr>
          <w:rFonts w:ascii="宋体" w:hAnsi="宋体"/>
        </w:rPr>
      </w:pPr>
      <w:r>
        <w:rPr>
          <w:rFonts w:hint="eastAsia" w:ascii="黑体" w:eastAsia="黑体"/>
        </w:rPr>
        <w:t xml:space="preserve">5.4.1 </w:t>
      </w:r>
      <w:r>
        <w:rPr>
          <w:rFonts w:hint="eastAsia" w:ascii="宋体" w:hAnsi="宋体"/>
        </w:rPr>
        <w:t>离子型稀土矿混合氯化稀土溶液产品化学成分的取样按表2规定进行。</w:t>
      </w:r>
    </w:p>
    <w:p>
      <w:pPr>
        <w:snapToGrid w:val="0"/>
        <w:spacing w:line="360" w:lineRule="auto"/>
        <w:jc w:val="center"/>
        <w:rPr>
          <w:rFonts w:ascii="黑体" w:eastAsia="黑体"/>
          <w:szCs w:val="21"/>
        </w:rPr>
      </w:pPr>
      <w:r>
        <w:rPr>
          <w:rFonts w:ascii="黑体" w:eastAsia="黑体"/>
          <w:szCs w:val="21"/>
        </w:rPr>
        <w:t>表</w:t>
      </w:r>
      <w:r>
        <w:rPr>
          <w:rFonts w:hint="eastAsia" w:ascii="黑体" w:eastAsia="黑体"/>
          <w:szCs w:val="21"/>
        </w:rPr>
        <w:t>2</w:t>
      </w:r>
    </w:p>
    <w:tbl>
      <w:tblPr>
        <w:tblStyle w:val="9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2833"/>
        <w:gridCol w:w="2223"/>
        <w:gridCol w:w="22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体积/桶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＜10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10～40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＞40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取样量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每桶取等量体积，总样品量1000～1500 mL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随机抽取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桶，每桶200 mL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随机抽取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桶，每桶100 mL</w:t>
            </w:r>
          </w:p>
        </w:tc>
      </w:tr>
    </w:tbl>
    <w:p>
      <w:pPr>
        <w:adjustRightInd w:val="0"/>
        <w:snapToGrid w:val="0"/>
        <w:spacing w:before="240" w:line="360" w:lineRule="auto"/>
        <w:rPr>
          <w:rFonts w:ascii="宋体" w:hAnsi="宋体"/>
        </w:rPr>
      </w:pPr>
      <w:r>
        <w:rPr>
          <w:rFonts w:ascii="黑体" w:eastAsia="黑体"/>
        </w:rPr>
        <w:t>5.4.2</w:t>
      </w:r>
      <w:r>
        <w:rPr>
          <w:rFonts w:hint="eastAsia" w:ascii="宋体" w:hAnsi="宋体"/>
        </w:rPr>
        <w:t xml:space="preserve"> 化学成分分析时，将离子型稀土矿混合氯化稀土溶液充分混匀，每次按表2要求取样，转入混样瓶中形成批样，将批样混合均匀，迅速分取四份试样（每份试样250 mL），并立即密封保存。</w:t>
      </w:r>
    </w:p>
    <w:p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ascii="黑体" w:eastAsia="黑体"/>
        </w:rPr>
        <w:t xml:space="preserve">5.4.3 </w:t>
      </w:r>
      <w:r>
        <w:rPr>
          <w:rFonts w:hint="eastAsia" w:ascii="宋体" w:hAnsi="宋体"/>
        </w:rPr>
        <w:t>外观质量检验的取样与制样方法由供需双方协商确定。</w:t>
      </w:r>
    </w:p>
    <w:p>
      <w:pPr>
        <w:snapToGrid w:val="0"/>
        <w:spacing w:beforeLines="50" w:afterLines="50" w:line="360" w:lineRule="auto"/>
        <w:rPr>
          <w:rFonts w:ascii="黑体" w:eastAsia="黑体"/>
        </w:rPr>
      </w:pPr>
      <w:r>
        <w:rPr>
          <w:rFonts w:hint="eastAsia" w:ascii="黑体" w:eastAsia="黑体"/>
        </w:rPr>
        <w:t>5.5  检验结果判定</w:t>
      </w:r>
    </w:p>
    <w:p>
      <w:pPr>
        <w:pStyle w:val="15"/>
        <w:snapToGrid w:val="0"/>
        <w:spacing w:line="360" w:lineRule="auto"/>
        <w:ind w:firstLine="0" w:firstLineChars="0"/>
      </w:pPr>
      <w:r>
        <w:rPr>
          <w:rFonts w:hint="eastAsia" w:ascii="黑体" w:hAnsi="Times New Roman" w:eastAsia="黑体"/>
          <w:szCs w:val="20"/>
        </w:rPr>
        <w:t xml:space="preserve">5.5.1  </w:t>
      </w:r>
      <w:r>
        <w:rPr>
          <w:rFonts w:hint="eastAsia"/>
        </w:rPr>
        <w:t>化学成分分析结果与本标准规定不符时，则从该批产品中取双倍试样对不合格项目进行重复试验，如仍有任一结果不符合，则判该批产品为不合格。</w:t>
      </w:r>
    </w:p>
    <w:p>
      <w:pPr>
        <w:pStyle w:val="15"/>
        <w:snapToGrid w:val="0"/>
        <w:spacing w:line="360" w:lineRule="auto"/>
        <w:ind w:firstLine="0" w:firstLineChars="0"/>
      </w:pPr>
      <w:r>
        <w:rPr>
          <w:rFonts w:hint="eastAsia" w:ascii="黑体" w:hAnsi="Times New Roman" w:eastAsia="黑体"/>
          <w:szCs w:val="20"/>
        </w:rPr>
        <w:t xml:space="preserve">5.5.2  </w:t>
      </w:r>
      <w:r>
        <w:rPr>
          <w:rFonts w:hint="eastAsia"/>
        </w:rPr>
        <w:t>外观质量检验不合格，则直接判该批产品为不合格。</w:t>
      </w:r>
    </w:p>
    <w:p>
      <w:pPr>
        <w:snapToGrid w:val="0"/>
        <w:spacing w:beforeLines="100" w:afterLines="100" w:line="360" w:lineRule="auto"/>
        <w:rPr>
          <w:rFonts w:ascii="黑体" w:eastAsia="黑体"/>
        </w:rPr>
      </w:pPr>
      <w:r>
        <w:rPr>
          <w:rFonts w:hint="eastAsia" w:ascii="黑体" w:eastAsia="黑体"/>
        </w:rPr>
        <w:t>6  标志、包装、运输、贮存及质量证明书</w:t>
      </w:r>
    </w:p>
    <w:p>
      <w:pPr>
        <w:snapToGrid w:val="0"/>
        <w:spacing w:beforeLines="50" w:afterLines="50" w:line="360" w:lineRule="auto"/>
        <w:rPr>
          <w:rFonts w:ascii="黑体" w:eastAsia="黑体"/>
        </w:rPr>
      </w:pPr>
      <w:r>
        <w:rPr>
          <w:rFonts w:hint="eastAsia" w:ascii="黑体" w:eastAsia="黑体"/>
        </w:rPr>
        <w:t>6.1  标志</w:t>
      </w:r>
    </w:p>
    <w:p>
      <w:pPr>
        <w:pStyle w:val="15"/>
        <w:snapToGrid w:val="0"/>
        <w:spacing w:line="360" w:lineRule="auto"/>
        <w:ind w:firstLine="420"/>
      </w:pPr>
      <w:r>
        <w:rPr>
          <w:rFonts w:hint="eastAsia"/>
        </w:rPr>
        <w:t>每件产品外包装上应有不褪色并有一定防潮性的明显标志，至少应注明：</w:t>
      </w:r>
    </w:p>
    <w:p>
      <w:pPr>
        <w:pStyle w:val="15"/>
        <w:snapToGrid w:val="0"/>
        <w:spacing w:line="360" w:lineRule="auto"/>
        <w:ind w:firstLine="420"/>
      </w:pPr>
      <w:r>
        <w:rPr>
          <w:rFonts w:hint="eastAsia"/>
        </w:rPr>
        <w:t>a）供方名称；</w:t>
      </w:r>
    </w:p>
    <w:p>
      <w:pPr>
        <w:pStyle w:val="15"/>
        <w:snapToGrid w:val="0"/>
        <w:spacing w:line="360" w:lineRule="auto"/>
        <w:ind w:firstLine="420"/>
      </w:pPr>
      <w:r>
        <w:rPr>
          <w:rFonts w:hint="eastAsia"/>
        </w:rPr>
        <w:t>b）产品生产企业名称；</w:t>
      </w:r>
    </w:p>
    <w:p>
      <w:pPr>
        <w:pStyle w:val="15"/>
        <w:snapToGrid w:val="0"/>
        <w:spacing w:line="360" w:lineRule="auto"/>
        <w:ind w:firstLine="420"/>
      </w:pPr>
      <w:r>
        <w:rPr>
          <w:rFonts w:hint="eastAsia"/>
        </w:rPr>
        <w:t>c）产品名称和牌号；</w:t>
      </w:r>
    </w:p>
    <w:p>
      <w:pPr>
        <w:pStyle w:val="15"/>
        <w:snapToGrid w:val="0"/>
        <w:spacing w:line="360" w:lineRule="auto"/>
        <w:ind w:firstLine="420"/>
      </w:pPr>
      <w:r>
        <w:rPr>
          <w:rFonts w:hint="eastAsia"/>
        </w:rPr>
        <w:t>d）批号；</w:t>
      </w:r>
    </w:p>
    <w:p>
      <w:pPr>
        <w:pStyle w:val="15"/>
        <w:snapToGrid w:val="0"/>
        <w:spacing w:line="360" w:lineRule="auto"/>
        <w:ind w:firstLine="420"/>
      </w:pPr>
      <w:r>
        <w:rPr>
          <w:rFonts w:hint="eastAsia"/>
        </w:rPr>
        <w:t>e）毛重、净重；</w:t>
      </w:r>
    </w:p>
    <w:p>
      <w:pPr>
        <w:pStyle w:val="15"/>
        <w:snapToGrid w:val="0"/>
        <w:spacing w:line="360" w:lineRule="auto"/>
        <w:ind w:firstLine="420"/>
      </w:pPr>
      <w:r>
        <w:rPr>
          <w:rFonts w:hint="eastAsia"/>
        </w:rPr>
        <w:t>f）包装日期；</w:t>
      </w:r>
    </w:p>
    <w:p>
      <w:pPr>
        <w:pStyle w:val="15"/>
        <w:snapToGrid w:val="0"/>
        <w:spacing w:line="360" w:lineRule="auto"/>
        <w:ind w:firstLine="420"/>
      </w:pPr>
      <w:r>
        <w:rPr>
          <w:rFonts w:hint="eastAsia"/>
        </w:rPr>
        <w:t>g）“防倾斜”标志或字样。</w:t>
      </w:r>
    </w:p>
    <w:p>
      <w:pPr>
        <w:snapToGrid w:val="0"/>
        <w:spacing w:beforeLines="50" w:afterLines="50" w:line="360" w:lineRule="auto"/>
        <w:rPr>
          <w:rFonts w:ascii="黑体" w:eastAsia="黑体"/>
        </w:rPr>
      </w:pPr>
      <w:r>
        <w:rPr>
          <w:rFonts w:hint="eastAsia" w:ascii="黑体" w:eastAsia="黑体"/>
        </w:rPr>
        <w:t>6.2  包装</w:t>
      </w:r>
    </w:p>
    <w:p>
      <w:pPr>
        <w:pStyle w:val="15"/>
        <w:snapToGrid w:val="0"/>
        <w:spacing w:line="360" w:lineRule="auto"/>
        <w:ind w:left="105" w:leftChars="50" w:firstLine="315" w:firstLineChars="150"/>
      </w:pPr>
      <w:r>
        <w:t>产品</w:t>
      </w:r>
      <w:r>
        <w:rPr>
          <w:rFonts w:hint="eastAsia"/>
        </w:rPr>
        <w:t>装入定量体积的密封容器内，每桶定装1 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。</w:t>
      </w:r>
    </w:p>
    <w:p>
      <w:pPr>
        <w:pStyle w:val="15"/>
        <w:snapToGrid w:val="0"/>
        <w:spacing w:line="360" w:lineRule="auto"/>
        <w:ind w:left="105" w:leftChars="50" w:firstLine="315" w:firstLineChars="150"/>
      </w:pPr>
      <w:r>
        <w:t>需方如有特殊要求，供需双方</w:t>
      </w:r>
      <w:r>
        <w:rPr>
          <w:rFonts w:hint="eastAsia"/>
        </w:rPr>
        <w:t>可</w:t>
      </w:r>
      <w:r>
        <w:t>另行协商。</w:t>
      </w:r>
    </w:p>
    <w:p>
      <w:pPr>
        <w:snapToGrid w:val="0"/>
        <w:spacing w:beforeLines="50" w:afterLines="50" w:line="360" w:lineRule="auto"/>
        <w:rPr>
          <w:rFonts w:ascii="黑体" w:eastAsia="黑体"/>
        </w:rPr>
      </w:pPr>
      <w:r>
        <w:rPr>
          <w:rFonts w:hint="eastAsia" w:ascii="黑体" w:eastAsia="黑体"/>
        </w:rPr>
        <w:t>6.3  运输</w:t>
      </w:r>
    </w:p>
    <w:p>
      <w:pPr>
        <w:pStyle w:val="15"/>
        <w:snapToGrid w:val="0"/>
        <w:spacing w:line="360" w:lineRule="auto"/>
        <w:ind w:firstLine="420"/>
        <w:rPr>
          <w:rFonts w:ascii="Times New Roman"/>
        </w:rPr>
      </w:pPr>
      <w:r>
        <w:rPr>
          <w:rFonts w:ascii="Times New Roman"/>
        </w:rPr>
        <w:t>产品运输时</w:t>
      </w:r>
      <w:r>
        <w:rPr>
          <w:rFonts w:hint="eastAsia" w:ascii="Times New Roman"/>
        </w:rPr>
        <w:t>，应防止碰撞而泄露。不应与碱性物品混运。</w:t>
      </w:r>
    </w:p>
    <w:p>
      <w:pPr>
        <w:snapToGrid w:val="0"/>
        <w:spacing w:beforeLines="50" w:afterLines="50" w:line="360" w:lineRule="auto"/>
        <w:rPr>
          <w:rFonts w:ascii="黑体" w:eastAsia="黑体"/>
        </w:rPr>
      </w:pPr>
      <w:r>
        <w:rPr>
          <w:rFonts w:hint="eastAsia" w:ascii="黑体" w:eastAsia="黑体"/>
        </w:rPr>
        <w:t>6.4  贮存</w:t>
      </w:r>
    </w:p>
    <w:p>
      <w:pPr>
        <w:pStyle w:val="15"/>
        <w:snapToGrid w:val="0"/>
        <w:spacing w:line="360" w:lineRule="auto"/>
        <w:ind w:firstLine="420"/>
        <w:rPr>
          <w:rFonts w:ascii="Times New Roman"/>
        </w:rPr>
      </w:pPr>
      <w:r>
        <w:rPr>
          <w:rFonts w:ascii="Times New Roman"/>
        </w:rPr>
        <w:t>产品</w:t>
      </w:r>
      <w:r>
        <w:rPr>
          <w:rFonts w:hint="eastAsia" w:ascii="Times New Roman"/>
        </w:rPr>
        <w:t>不应与碱性物品混贮。</w:t>
      </w:r>
    </w:p>
    <w:p>
      <w:pPr>
        <w:snapToGrid w:val="0"/>
        <w:spacing w:beforeLines="50" w:afterLines="50" w:line="360" w:lineRule="auto"/>
        <w:rPr>
          <w:rFonts w:ascii="黑体" w:eastAsia="黑体"/>
        </w:rPr>
      </w:pPr>
      <w:r>
        <w:rPr>
          <w:rFonts w:hint="eastAsia" w:ascii="黑体" w:eastAsia="黑体"/>
        </w:rPr>
        <w:t>6.5  质量证明书</w:t>
      </w:r>
    </w:p>
    <w:p>
      <w:pPr>
        <w:pStyle w:val="15"/>
        <w:snapToGrid w:val="0"/>
        <w:spacing w:line="360" w:lineRule="auto"/>
        <w:ind w:firstLine="0" w:firstLineChars="0"/>
      </w:pPr>
      <w:r>
        <w:rPr>
          <w:rFonts w:hint="eastAsia" w:ascii="黑体" w:hAnsi="Times New Roman" w:eastAsia="黑体"/>
          <w:szCs w:val="20"/>
        </w:rPr>
        <w:t>6.5.1</w:t>
      </w:r>
      <w:r>
        <w:rPr>
          <w:rFonts w:hint="eastAsia"/>
        </w:rPr>
        <w:t xml:space="preserve"> </w:t>
      </w:r>
      <w:r>
        <w:t>每批产品应附质量证明书，注明：</w:t>
      </w:r>
    </w:p>
    <w:p>
      <w:pPr>
        <w:pStyle w:val="35"/>
        <w:tabs>
          <w:tab w:val="clear" w:pos="360"/>
        </w:tabs>
        <w:snapToGrid w:val="0"/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a) </w:t>
      </w:r>
      <w:r>
        <w:rPr>
          <w:rFonts w:hint="eastAsia" w:ascii="宋体" w:hAnsi="宋体" w:eastAsia="宋体"/>
        </w:rPr>
        <w:t>供方</w:t>
      </w:r>
      <w:r>
        <w:rPr>
          <w:rFonts w:ascii="宋体" w:hAnsi="宋体" w:eastAsia="宋体"/>
        </w:rPr>
        <w:t>名称；</w:t>
      </w:r>
    </w:p>
    <w:p>
      <w:pPr>
        <w:pStyle w:val="15"/>
        <w:snapToGrid w:val="0"/>
        <w:spacing w:line="360" w:lineRule="auto"/>
        <w:ind w:left="420" w:firstLine="0" w:firstLineChars="0"/>
      </w:pPr>
      <w:r>
        <w:t>b) 产品名称</w:t>
      </w:r>
      <w:r>
        <w:rPr>
          <w:rFonts w:hint="eastAsia"/>
        </w:rPr>
        <w:t>和牌号</w:t>
      </w:r>
      <w:r>
        <w:t>；</w:t>
      </w:r>
    </w:p>
    <w:p>
      <w:pPr>
        <w:pStyle w:val="15"/>
        <w:snapToGrid w:val="0"/>
        <w:spacing w:line="360" w:lineRule="auto"/>
        <w:ind w:left="420" w:firstLine="0" w:firstLineChars="0"/>
      </w:pPr>
      <w:r>
        <w:t>c) 批号；</w:t>
      </w:r>
    </w:p>
    <w:p>
      <w:pPr>
        <w:pStyle w:val="15"/>
        <w:snapToGrid w:val="0"/>
        <w:spacing w:line="360" w:lineRule="auto"/>
        <w:ind w:left="420" w:firstLine="0" w:firstLineChars="0"/>
      </w:pPr>
      <w:r>
        <w:t>d) 净含量和件数；</w:t>
      </w:r>
    </w:p>
    <w:p>
      <w:pPr>
        <w:pStyle w:val="15"/>
        <w:snapToGrid w:val="0"/>
        <w:spacing w:line="360" w:lineRule="auto"/>
        <w:ind w:left="420" w:firstLine="0" w:firstLineChars="0"/>
      </w:pPr>
      <w:r>
        <w:t>e) 各项分析检验结果</w:t>
      </w:r>
      <w:r>
        <w:rPr>
          <w:rFonts w:hint="eastAsia"/>
        </w:rPr>
        <w:t>及</w:t>
      </w:r>
      <w:r>
        <w:t>检验部门印记；</w:t>
      </w:r>
    </w:p>
    <w:p>
      <w:pPr>
        <w:pStyle w:val="15"/>
        <w:snapToGrid w:val="0"/>
        <w:spacing w:line="360" w:lineRule="auto"/>
        <w:ind w:left="420" w:firstLine="0" w:firstLineChars="0"/>
      </w:pPr>
      <w:r>
        <w:t>f) 本标准编号；</w:t>
      </w:r>
    </w:p>
    <w:p>
      <w:pPr>
        <w:pStyle w:val="15"/>
        <w:snapToGrid w:val="0"/>
        <w:spacing w:line="360" w:lineRule="auto"/>
        <w:ind w:left="420" w:firstLine="0" w:firstLineChars="0"/>
      </w:pPr>
      <w:r>
        <w:t>g) 出厂日期。</w:t>
      </w:r>
    </w:p>
    <w:p>
      <w:pPr>
        <w:pStyle w:val="15"/>
        <w:snapToGrid w:val="0"/>
        <w:spacing w:line="360" w:lineRule="auto"/>
        <w:ind w:firstLine="0" w:firstLineChars="0"/>
      </w:pPr>
      <w:r>
        <w:rPr>
          <w:rFonts w:hint="eastAsia" w:ascii="黑体" w:hAnsi="Times New Roman" w:eastAsia="黑体"/>
          <w:szCs w:val="20"/>
        </w:rPr>
        <w:t xml:space="preserve">6.5.2 </w:t>
      </w:r>
      <w:r>
        <w:rPr>
          <w:rFonts w:hint="eastAsia"/>
        </w:rPr>
        <w:t xml:space="preserve"> 质量证明书原件应采取有效措施封装，以防损坏，及时发给需方。</w:t>
      </w:r>
    </w:p>
    <w:p>
      <w:pPr>
        <w:widowControl/>
        <w:jc w:val="left"/>
        <w:rPr>
          <w:rFonts w:ascii="宋体" w:hAnsi="宋体"/>
          <w:szCs w:val="24"/>
        </w:rPr>
      </w:pPr>
      <w:r>
        <w:rPr>
          <w:szCs w:val="24"/>
        </w:rPr>
        <w:br w:type="page"/>
      </w:r>
    </w:p>
    <w:p>
      <w:pPr>
        <w:snapToGrid w:val="0"/>
        <w:spacing w:line="360" w:lineRule="auto"/>
        <w:jc w:val="center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附录A</w:t>
      </w:r>
    </w:p>
    <w:p>
      <w:pPr>
        <w:snapToGrid w:val="0"/>
        <w:spacing w:line="360" w:lineRule="auto"/>
        <w:jc w:val="center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（资料性附录）</w:t>
      </w:r>
    </w:p>
    <w:p>
      <w:pPr>
        <w:pStyle w:val="15"/>
        <w:snapToGrid w:val="0"/>
        <w:spacing w:line="360" w:lineRule="auto"/>
        <w:ind w:firstLine="420"/>
        <w:rPr>
          <w:szCs w:val="24"/>
        </w:rPr>
      </w:pPr>
      <w:r>
        <w:rPr>
          <w:rFonts w:hint="eastAsia"/>
          <w:szCs w:val="24"/>
        </w:rPr>
        <w:t>资料性附录</w:t>
      </w:r>
      <w:r>
        <w:rPr>
          <w:szCs w:val="24"/>
        </w:rPr>
        <w:t>A由</w:t>
      </w:r>
      <w:r>
        <w:rPr>
          <w:rFonts w:hint="eastAsia"/>
          <w:szCs w:val="24"/>
        </w:rPr>
        <w:t>表</w:t>
      </w:r>
      <w:r>
        <w:rPr>
          <w:szCs w:val="24"/>
        </w:rPr>
        <w:t>A.1</w:t>
      </w:r>
      <w:r>
        <w:rPr>
          <w:rFonts w:hint="eastAsia"/>
          <w:szCs w:val="24"/>
        </w:rPr>
        <w:t>组成。根据稀土组分的不同，离子型稀土矿可分为三类：</w:t>
      </w:r>
      <w:r>
        <w:rPr>
          <w:rFonts w:hint="eastAsia"/>
          <w:szCs w:val="21"/>
        </w:rPr>
        <w:t>中钇富铕稀土型、高钇稀土型和低钇低铕稀土型。不同类型离子型稀土矿</w:t>
      </w:r>
      <w:r>
        <w:rPr>
          <w:rFonts w:hint="eastAsia"/>
          <w:szCs w:val="24"/>
        </w:rPr>
        <w:t>混合氯化稀土溶液产品的稀土组分见表A.1，供参考。</w:t>
      </w:r>
    </w:p>
    <w:p>
      <w:pPr>
        <w:snapToGrid w:val="0"/>
        <w:spacing w:line="360" w:lineRule="auto"/>
        <w:jc w:val="center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表A.1 产品的稀土组分</w:t>
      </w:r>
    </w:p>
    <w:tbl>
      <w:tblPr>
        <w:tblStyle w:val="9"/>
        <w:tblW w:w="8248" w:type="dxa"/>
        <w:jc w:val="center"/>
        <w:tblInd w:w="1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2029"/>
        <w:gridCol w:w="2031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1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稀土组分</w:t>
            </w:r>
            <w:r>
              <w:rPr>
                <w:rFonts w:ascii="宋体" w:hAnsi="宋体"/>
                <w:szCs w:val="21"/>
              </w:rPr>
              <w:t>/REO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/（质量分数/%）</w:t>
            </w:r>
          </w:p>
        </w:tc>
        <w:tc>
          <w:tcPr>
            <w:tcW w:w="2029" w:type="dxa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中钇富铕稀土型</w:t>
            </w:r>
          </w:p>
        </w:tc>
        <w:tc>
          <w:tcPr>
            <w:tcW w:w="2031" w:type="dxa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高钇稀土型</w:t>
            </w:r>
          </w:p>
        </w:tc>
        <w:tc>
          <w:tcPr>
            <w:tcW w:w="2031" w:type="dxa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低钇低铕稀土型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157" w:type="dxa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Y</w:t>
            </w:r>
            <w:r>
              <w:rPr>
                <w:rFonts w:ascii="宋体" w:hAnsi="宋体"/>
                <w:szCs w:val="21"/>
                <w:vertAlign w:val="subscript"/>
              </w:rPr>
              <w:t>2</w:t>
            </w:r>
            <w:r>
              <w:rPr>
                <w:rFonts w:ascii="宋体" w:hAnsi="宋体"/>
                <w:szCs w:val="21"/>
              </w:rPr>
              <w:t>O</w:t>
            </w:r>
            <w:r>
              <w:rPr>
                <w:rFonts w:ascii="宋体" w:hAnsi="宋体"/>
                <w:szCs w:val="21"/>
                <w:vertAlign w:val="subscript"/>
              </w:rPr>
              <w:t>3</w:t>
            </w:r>
          </w:p>
        </w:tc>
        <w:tc>
          <w:tcPr>
            <w:tcW w:w="2029" w:type="dxa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1"/>
              </w:rPr>
              <w:t>18</w:t>
            </w:r>
            <w:r>
              <w:rPr>
                <w:rFonts w:hint="eastAsia" w:ascii="宋体" w:hAnsi="宋体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28</w:t>
            </w:r>
          </w:p>
        </w:tc>
        <w:tc>
          <w:tcPr>
            <w:tcW w:w="2031" w:type="dxa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1"/>
              </w:rPr>
              <w:t>52</w:t>
            </w:r>
            <w:r>
              <w:rPr>
                <w:rFonts w:hint="eastAsia" w:ascii="宋体" w:hAnsi="宋体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62</w:t>
            </w:r>
          </w:p>
        </w:tc>
        <w:tc>
          <w:tcPr>
            <w:tcW w:w="2031" w:type="dxa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157" w:type="dxa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Pr</w:t>
            </w:r>
            <w:r>
              <w:rPr>
                <w:rFonts w:ascii="宋体" w:hAnsi="宋体"/>
                <w:szCs w:val="21"/>
                <w:vertAlign w:val="subscript"/>
              </w:rPr>
              <w:t>6</w:t>
            </w:r>
            <w:r>
              <w:rPr>
                <w:rFonts w:ascii="宋体" w:hAnsi="宋体"/>
                <w:szCs w:val="21"/>
              </w:rPr>
              <w:t>O</w:t>
            </w:r>
            <w:r>
              <w:rPr>
                <w:rFonts w:ascii="宋体" w:hAnsi="宋体"/>
                <w:szCs w:val="21"/>
                <w:vertAlign w:val="subscript"/>
              </w:rPr>
              <w:t>11</w:t>
            </w:r>
            <w:r>
              <w:rPr>
                <w:rFonts w:ascii="宋体" w:hAnsi="宋体"/>
                <w:szCs w:val="21"/>
              </w:rPr>
              <w:t>+Nd</w:t>
            </w:r>
            <w:r>
              <w:rPr>
                <w:rFonts w:ascii="宋体" w:hAnsi="宋体"/>
                <w:szCs w:val="21"/>
                <w:vertAlign w:val="subscript"/>
              </w:rPr>
              <w:t>2</w:t>
            </w:r>
            <w:r>
              <w:rPr>
                <w:rFonts w:ascii="宋体" w:hAnsi="宋体"/>
                <w:szCs w:val="21"/>
              </w:rPr>
              <w:t>O</w:t>
            </w:r>
            <w:r>
              <w:rPr>
                <w:rFonts w:ascii="宋体" w:hAnsi="宋体"/>
                <w:szCs w:val="21"/>
                <w:vertAlign w:val="subscript"/>
              </w:rPr>
              <w:t>3</w:t>
            </w:r>
          </w:p>
        </w:tc>
        <w:tc>
          <w:tcPr>
            <w:tcW w:w="2029" w:type="dxa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28</w:t>
            </w:r>
          </w:p>
        </w:tc>
        <w:tc>
          <w:tcPr>
            <w:tcW w:w="2031" w:type="dxa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2031" w:type="dxa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1"/>
              </w:rPr>
              <w:t>25</w:t>
            </w:r>
            <w:r>
              <w:rPr>
                <w:rFonts w:hint="eastAsia" w:ascii="宋体" w:hAnsi="宋体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157" w:type="dxa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Eu</w:t>
            </w:r>
            <w:r>
              <w:rPr>
                <w:rFonts w:ascii="宋体" w:hAnsi="宋体"/>
                <w:szCs w:val="21"/>
                <w:vertAlign w:val="subscript"/>
              </w:rPr>
              <w:t>2</w:t>
            </w:r>
            <w:r>
              <w:rPr>
                <w:rFonts w:ascii="宋体" w:hAnsi="宋体"/>
                <w:szCs w:val="21"/>
              </w:rPr>
              <w:t>O</w:t>
            </w:r>
            <w:r>
              <w:rPr>
                <w:rFonts w:ascii="宋体" w:hAnsi="宋体"/>
                <w:szCs w:val="21"/>
                <w:vertAlign w:val="subscript"/>
              </w:rPr>
              <w:t>3</w:t>
            </w:r>
          </w:p>
        </w:tc>
        <w:tc>
          <w:tcPr>
            <w:tcW w:w="2029" w:type="dxa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1"/>
              </w:rPr>
              <w:t>0.6</w:t>
            </w:r>
            <w:r>
              <w:rPr>
                <w:rFonts w:hint="eastAsia" w:ascii="宋体" w:hAnsi="宋体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0.9</w:t>
            </w:r>
          </w:p>
        </w:tc>
        <w:tc>
          <w:tcPr>
            <w:tcW w:w="2031" w:type="dxa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2031" w:type="dxa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1"/>
              </w:rPr>
              <w:t>0.3</w:t>
            </w:r>
            <w:r>
              <w:rPr>
                <w:rFonts w:hint="eastAsia" w:ascii="宋体" w:hAnsi="宋体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157" w:type="dxa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Tb</w:t>
            </w:r>
            <w:r>
              <w:rPr>
                <w:rFonts w:ascii="宋体" w:hAnsi="宋体"/>
                <w:szCs w:val="21"/>
                <w:vertAlign w:val="subscript"/>
              </w:rPr>
              <w:t>4</w:t>
            </w:r>
            <w:r>
              <w:rPr>
                <w:rFonts w:ascii="宋体" w:hAnsi="宋体"/>
                <w:szCs w:val="21"/>
              </w:rPr>
              <w:t>O</w:t>
            </w:r>
            <w:r>
              <w:rPr>
                <w:rFonts w:ascii="宋体" w:hAnsi="宋体"/>
                <w:szCs w:val="21"/>
                <w:vertAlign w:val="subscript"/>
              </w:rPr>
              <w:t>7</w:t>
            </w:r>
          </w:p>
        </w:tc>
        <w:tc>
          <w:tcPr>
            <w:tcW w:w="2029" w:type="dxa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1"/>
              </w:rPr>
              <w:t>0.5～0.8</w:t>
            </w:r>
          </w:p>
        </w:tc>
        <w:tc>
          <w:tcPr>
            <w:tcW w:w="2031" w:type="dxa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1"/>
              </w:rPr>
              <w:t>0.7</w:t>
            </w:r>
            <w:r>
              <w:rPr>
                <w:rFonts w:hint="eastAsia" w:ascii="宋体" w:hAnsi="宋体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031" w:type="dxa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1"/>
              </w:rPr>
              <w:t>0.3～0.5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157" w:type="dxa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Dy</w:t>
            </w:r>
            <w:r>
              <w:rPr>
                <w:rFonts w:ascii="宋体" w:hAnsi="宋体"/>
                <w:szCs w:val="21"/>
                <w:vertAlign w:val="subscript"/>
              </w:rPr>
              <w:t>2</w:t>
            </w:r>
            <w:r>
              <w:rPr>
                <w:rFonts w:ascii="宋体" w:hAnsi="宋体"/>
                <w:szCs w:val="21"/>
              </w:rPr>
              <w:t>O</w:t>
            </w:r>
            <w:r>
              <w:rPr>
                <w:rFonts w:ascii="宋体" w:hAnsi="宋体"/>
                <w:szCs w:val="21"/>
                <w:vertAlign w:val="subscript"/>
              </w:rPr>
              <w:t>3</w:t>
            </w:r>
          </w:p>
        </w:tc>
        <w:tc>
          <w:tcPr>
            <w:tcW w:w="2029" w:type="dxa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1"/>
              </w:rPr>
              <w:t>3～5</w:t>
            </w:r>
          </w:p>
        </w:tc>
        <w:tc>
          <w:tcPr>
            <w:tcW w:w="2031" w:type="dxa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1"/>
              </w:rPr>
              <w:t>5～7</w:t>
            </w:r>
          </w:p>
        </w:tc>
        <w:tc>
          <w:tcPr>
            <w:tcW w:w="2031" w:type="dxa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1"/>
              </w:rPr>
              <w:t>2～4</w:t>
            </w:r>
          </w:p>
        </w:tc>
      </w:tr>
    </w:tbl>
    <w:p>
      <w:pPr>
        <w:pStyle w:val="15"/>
        <w:widowControl w:val="0"/>
        <w:autoSpaceDE/>
        <w:autoSpaceDN/>
        <w:snapToGrid w:val="0"/>
        <w:spacing w:line="360" w:lineRule="auto"/>
        <w:ind w:firstLine="0" w:firstLineChars="0"/>
        <w:rPr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36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DU0NTE2MDUwN7Q0MDVR0lEKTi0uzszPAykwrAUADQVagiwAAAA="/>
  </w:docVars>
  <w:rsids>
    <w:rsidRoot w:val="00E167BF"/>
    <w:rsid w:val="00002BBD"/>
    <w:rsid w:val="00002E40"/>
    <w:rsid w:val="00005116"/>
    <w:rsid w:val="0000610E"/>
    <w:rsid w:val="0000773D"/>
    <w:rsid w:val="0001200C"/>
    <w:rsid w:val="000134A6"/>
    <w:rsid w:val="00013897"/>
    <w:rsid w:val="00014F8E"/>
    <w:rsid w:val="00015044"/>
    <w:rsid w:val="0002040C"/>
    <w:rsid w:val="00025E88"/>
    <w:rsid w:val="00026EB9"/>
    <w:rsid w:val="00027DD7"/>
    <w:rsid w:val="000342EC"/>
    <w:rsid w:val="000345D0"/>
    <w:rsid w:val="00034F4B"/>
    <w:rsid w:val="00037127"/>
    <w:rsid w:val="000374BB"/>
    <w:rsid w:val="0004040B"/>
    <w:rsid w:val="00041C53"/>
    <w:rsid w:val="0004523A"/>
    <w:rsid w:val="00045427"/>
    <w:rsid w:val="00045508"/>
    <w:rsid w:val="00056CBC"/>
    <w:rsid w:val="000575BE"/>
    <w:rsid w:val="00060C03"/>
    <w:rsid w:val="00061779"/>
    <w:rsid w:val="00067E88"/>
    <w:rsid w:val="00073072"/>
    <w:rsid w:val="00074F9D"/>
    <w:rsid w:val="00080BFB"/>
    <w:rsid w:val="00080ED9"/>
    <w:rsid w:val="000810D1"/>
    <w:rsid w:val="00083563"/>
    <w:rsid w:val="000842A7"/>
    <w:rsid w:val="0008452B"/>
    <w:rsid w:val="00086633"/>
    <w:rsid w:val="00092D4C"/>
    <w:rsid w:val="00092EE4"/>
    <w:rsid w:val="00092EFA"/>
    <w:rsid w:val="00093533"/>
    <w:rsid w:val="0009510B"/>
    <w:rsid w:val="00095C3E"/>
    <w:rsid w:val="00097C2B"/>
    <w:rsid w:val="000A162B"/>
    <w:rsid w:val="000A278D"/>
    <w:rsid w:val="000A2A6E"/>
    <w:rsid w:val="000A51D5"/>
    <w:rsid w:val="000A7893"/>
    <w:rsid w:val="000B2DB2"/>
    <w:rsid w:val="000B718C"/>
    <w:rsid w:val="000D05BD"/>
    <w:rsid w:val="000D27D6"/>
    <w:rsid w:val="000D2DB3"/>
    <w:rsid w:val="000D4792"/>
    <w:rsid w:val="000D6C2D"/>
    <w:rsid w:val="000E4769"/>
    <w:rsid w:val="000E53E2"/>
    <w:rsid w:val="000E5C52"/>
    <w:rsid w:val="000F2D3E"/>
    <w:rsid w:val="000F60F5"/>
    <w:rsid w:val="000F7429"/>
    <w:rsid w:val="0010466F"/>
    <w:rsid w:val="00105504"/>
    <w:rsid w:val="00114A5B"/>
    <w:rsid w:val="001157FA"/>
    <w:rsid w:val="00116AA7"/>
    <w:rsid w:val="00122BD5"/>
    <w:rsid w:val="00123E77"/>
    <w:rsid w:val="00123F92"/>
    <w:rsid w:val="00125069"/>
    <w:rsid w:val="00135165"/>
    <w:rsid w:val="00141D12"/>
    <w:rsid w:val="001538D9"/>
    <w:rsid w:val="00160004"/>
    <w:rsid w:val="00161677"/>
    <w:rsid w:val="0016788E"/>
    <w:rsid w:val="001718AD"/>
    <w:rsid w:val="001764A4"/>
    <w:rsid w:val="00176DC0"/>
    <w:rsid w:val="00180A57"/>
    <w:rsid w:val="00181438"/>
    <w:rsid w:val="00182B01"/>
    <w:rsid w:val="00184C65"/>
    <w:rsid w:val="00193100"/>
    <w:rsid w:val="00195FA0"/>
    <w:rsid w:val="00196D9F"/>
    <w:rsid w:val="00197003"/>
    <w:rsid w:val="001A0E3B"/>
    <w:rsid w:val="001A123D"/>
    <w:rsid w:val="001A1D21"/>
    <w:rsid w:val="001A3E01"/>
    <w:rsid w:val="001A45AD"/>
    <w:rsid w:val="001A76FC"/>
    <w:rsid w:val="001A7E50"/>
    <w:rsid w:val="001B3521"/>
    <w:rsid w:val="001B4C80"/>
    <w:rsid w:val="001B6840"/>
    <w:rsid w:val="001C0B6F"/>
    <w:rsid w:val="001C1B5A"/>
    <w:rsid w:val="001C35A5"/>
    <w:rsid w:val="001C4689"/>
    <w:rsid w:val="001C46BA"/>
    <w:rsid w:val="001C4ABE"/>
    <w:rsid w:val="001D0FE2"/>
    <w:rsid w:val="001D4387"/>
    <w:rsid w:val="001D6069"/>
    <w:rsid w:val="001E6FB0"/>
    <w:rsid w:val="001F0638"/>
    <w:rsid w:val="001F101B"/>
    <w:rsid w:val="001F49FC"/>
    <w:rsid w:val="00200AD5"/>
    <w:rsid w:val="00201106"/>
    <w:rsid w:val="00203F8B"/>
    <w:rsid w:val="00205E94"/>
    <w:rsid w:val="0021430F"/>
    <w:rsid w:val="002161AE"/>
    <w:rsid w:val="002240CC"/>
    <w:rsid w:val="00224494"/>
    <w:rsid w:val="00227010"/>
    <w:rsid w:val="00227EDE"/>
    <w:rsid w:val="00232A15"/>
    <w:rsid w:val="0023314E"/>
    <w:rsid w:val="00235D0E"/>
    <w:rsid w:val="00235FEF"/>
    <w:rsid w:val="00236D3D"/>
    <w:rsid w:val="002371B1"/>
    <w:rsid w:val="00240E6C"/>
    <w:rsid w:val="00246BCC"/>
    <w:rsid w:val="002471F1"/>
    <w:rsid w:val="00247D90"/>
    <w:rsid w:val="00251589"/>
    <w:rsid w:val="00253033"/>
    <w:rsid w:val="0025414E"/>
    <w:rsid w:val="0025495B"/>
    <w:rsid w:val="00257333"/>
    <w:rsid w:val="00260FBF"/>
    <w:rsid w:val="00265CDA"/>
    <w:rsid w:val="00266011"/>
    <w:rsid w:val="00270137"/>
    <w:rsid w:val="0027079D"/>
    <w:rsid w:val="00270A4E"/>
    <w:rsid w:val="00271567"/>
    <w:rsid w:val="002743EB"/>
    <w:rsid w:val="00274F4B"/>
    <w:rsid w:val="002750F2"/>
    <w:rsid w:val="00280BAD"/>
    <w:rsid w:val="00286056"/>
    <w:rsid w:val="00286D31"/>
    <w:rsid w:val="00291B46"/>
    <w:rsid w:val="00295105"/>
    <w:rsid w:val="00295222"/>
    <w:rsid w:val="0029580B"/>
    <w:rsid w:val="002A520D"/>
    <w:rsid w:val="002A5E06"/>
    <w:rsid w:val="002A632B"/>
    <w:rsid w:val="002A6E14"/>
    <w:rsid w:val="002B0515"/>
    <w:rsid w:val="002B1CE5"/>
    <w:rsid w:val="002B37B5"/>
    <w:rsid w:val="002B4050"/>
    <w:rsid w:val="002B569E"/>
    <w:rsid w:val="002B77C7"/>
    <w:rsid w:val="002C01E4"/>
    <w:rsid w:val="002C0661"/>
    <w:rsid w:val="002C0689"/>
    <w:rsid w:val="002C31E7"/>
    <w:rsid w:val="002C6F33"/>
    <w:rsid w:val="002C75F3"/>
    <w:rsid w:val="002D070F"/>
    <w:rsid w:val="002D0DA9"/>
    <w:rsid w:val="002D1B70"/>
    <w:rsid w:val="002D3EED"/>
    <w:rsid w:val="002D41AA"/>
    <w:rsid w:val="002D46E5"/>
    <w:rsid w:val="002E18B6"/>
    <w:rsid w:val="002E353F"/>
    <w:rsid w:val="002E3672"/>
    <w:rsid w:val="002E418B"/>
    <w:rsid w:val="002E6A3C"/>
    <w:rsid w:val="002E6E48"/>
    <w:rsid w:val="002E7495"/>
    <w:rsid w:val="002F061F"/>
    <w:rsid w:val="002F0792"/>
    <w:rsid w:val="002F07EA"/>
    <w:rsid w:val="002F0A59"/>
    <w:rsid w:val="002F0BC0"/>
    <w:rsid w:val="002F28A2"/>
    <w:rsid w:val="00300597"/>
    <w:rsid w:val="00303A0F"/>
    <w:rsid w:val="00305388"/>
    <w:rsid w:val="0031020D"/>
    <w:rsid w:val="0031031B"/>
    <w:rsid w:val="00312083"/>
    <w:rsid w:val="00312E16"/>
    <w:rsid w:val="00312F76"/>
    <w:rsid w:val="00313132"/>
    <w:rsid w:val="0031367E"/>
    <w:rsid w:val="00313903"/>
    <w:rsid w:val="0031618C"/>
    <w:rsid w:val="0032111B"/>
    <w:rsid w:val="00324829"/>
    <w:rsid w:val="00326D69"/>
    <w:rsid w:val="00332287"/>
    <w:rsid w:val="00332334"/>
    <w:rsid w:val="00332505"/>
    <w:rsid w:val="003327F5"/>
    <w:rsid w:val="003351DA"/>
    <w:rsid w:val="003352F5"/>
    <w:rsid w:val="0033633B"/>
    <w:rsid w:val="0034473F"/>
    <w:rsid w:val="00344B47"/>
    <w:rsid w:val="00345815"/>
    <w:rsid w:val="00346B3E"/>
    <w:rsid w:val="00352684"/>
    <w:rsid w:val="00355034"/>
    <w:rsid w:val="00355854"/>
    <w:rsid w:val="00355C44"/>
    <w:rsid w:val="00355EAF"/>
    <w:rsid w:val="00357390"/>
    <w:rsid w:val="0035772B"/>
    <w:rsid w:val="0035781C"/>
    <w:rsid w:val="003618F2"/>
    <w:rsid w:val="00362F70"/>
    <w:rsid w:val="003638AB"/>
    <w:rsid w:val="00366448"/>
    <w:rsid w:val="00366924"/>
    <w:rsid w:val="00371B69"/>
    <w:rsid w:val="003724A5"/>
    <w:rsid w:val="003731A0"/>
    <w:rsid w:val="003743CD"/>
    <w:rsid w:val="00374835"/>
    <w:rsid w:val="003829A1"/>
    <w:rsid w:val="003844B0"/>
    <w:rsid w:val="00385D2C"/>
    <w:rsid w:val="00386018"/>
    <w:rsid w:val="0038731F"/>
    <w:rsid w:val="0039132C"/>
    <w:rsid w:val="0039184F"/>
    <w:rsid w:val="00392514"/>
    <w:rsid w:val="00393D34"/>
    <w:rsid w:val="00395BD4"/>
    <w:rsid w:val="00397084"/>
    <w:rsid w:val="00397C71"/>
    <w:rsid w:val="003A190B"/>
    <w:rsid w:val="003A20C6"/>
    <w:rsid w:val="003B09DA"/>
    <w:rsid w:val="003C0A7C"/>
    <w:rsid w:val="003C1E22"/>
    <w:rsid w:val="003C1E2C"/>
    <w:rsid w:val="003C28FF"/>
    <w:rsid w:val="003C3512"/>
    <w:rsid w:val="003C74E8"/>
    <w:rsid w:val="003D2604"/>
    <w:rsid w:val="003D4AB6"/>
    <w:rsid w:val="003D6179"/>
    <w:rsid w:val="003D6C3B"/>
    <w:rsid w:val="003E0EC2"/>
    <w:rsid w:val="003E4769"/>
    <w:rsid w:val="003E784A"/>
    <w:rsid w:val="003F21B7"/>
    <w:rsid w:val="003F5047"/>
    <w:rsid w:val="003F5EA4"/>
    <w:rsid w:val="00401123"/>
    <w:rsid w:val="004021BC"/>
    <w:rsid w:val="00404FC5"/>
    <w:rsid w:val="00407B33"/>
    <w:rsid w:val="00407BAA"/>
    <w:rsid w:val="0041032D"/>
    <w:rsid w:val="0041486F"/>
    <w:rsid w:val="00415B84"/>
    <w:rsid w:val="00417ACA"/>
    <w:rsid w:val="0042220A"/>
    <w:rsid w:val="00422EA7"/>
    <w:rsid w:val="00425956"/>
    <w:rsid w:val="0042624D"/>
    <w:rsid w:val="0043042B"/>
    <w:rsid w:val="00431126"/>
    <w:rsid w:val="00435450"/>
    <w:rsid w:val="004362F3"/>
    <w:rsid w:val="00436F66"/>
    <w:rsid w:val="0044020B"/>
    <w:rsid w:val="00440503"/>
    <w:rsid w:val="00440F85"/>
    <w:rsid w:val="00441212"/>
    <w:rsid w:val="00442105"/>
    <w:rsid w:val="00443F06"/>
    <w:rsid w:val="00443F17"/>
    <w:rsid w:val="00444C48"/>
    <w:rsid w:val="004544AD"/>
    <w:rsid w:val="0046424B"/>
    <w:rsid w:val="004710E6"/>
    <w:rsid w:val="00471645"/>
    <w:rsid w:val="0047420D"/>
    <w:rsid w:val="004749D9"/>
    <w:rsid w:val="00480094"/>
    <w:rsid w:val="0048262C"/>
    <w:rsid w:val="004830E7"/>
    <w:rsid w:val="004832A7"/>
    <w:rsid w:val="00485B21"/>
    <w:rsid w:val="00485D31"/>
    <w:rsid w:val="0049073D"/>
    <w:rsid w:val="004916D4"/>
    <w:rsid w:val="00492FC7"/>
    <w:rsid w:val="00494222"/>
    <w:rsid w:val="00494F1F"/>
    <w:rsid w:val="00497750"/>
    <w:rsid w:val="00497E63"/>
    <w:rsid w:val="004B065B"/>
    <w:rsid w:val="004B4839"/>
    <w:rsid w:val="004B5D59"/>
    <w:rsid w:val="004B7F93"/>
    <w:rsid w:val="004C209B"/>
    <w:rsid w:val="004C3E89"/>
    <w:rsid w:val="004C4A0F"/>
    <w:rsid w:val="004C52DF"/>
    <w:rsid w:val="004C6849"/>
    <w:rsid w:val="004C685A"/>
    <w:rsid w:val="004C6DE6"/>
    <w:rsid w:val="004D2CDE"/>
    <w:rsid w:val="004D6F81"/>
    <w:rsid w:val="004D7485"/>
    <w:rsid w:val="004D7B65"/>
    <w:rsid w:val="004E08C7"/>
    <w:rsid w:val="004E36A8"/>
    <w:rsid w:val="004E6856"/>
    <w:rsid w:val="004E702D"/>
    <w:rsid w:val="004F06CC"/>
    <w:rsid w:val="004F0F41"/>
    <w:rsid w:val="004F1A68"/>
    <w:rsid w:val="004F22A9"/>
    <w:rsid w:val="004F612E"/>
    <w:rsid w:val="004F7535"/>
    <w:rsid w:val="004F7E93"/>
    <w:rsid w:val="005000C8"/>
    <w:rsid w:val="00501724"/>
    <w:rsid w:val="00501DD3"/>
    <w:rsid w:val="00503F34"/>
    <w:rsid w:val="0050447B"/>
    <w:rsid w:val="00504C2E"/>
    <w:rsid w:val="00507E9B"/>
    <w:rsid w:val="00513AA6"/>
    <w:rsid w:val="00515B75"/>
    <w:rsid w:val="005174E6"/>
    <w:rsid w:val="0051791B"/>
    <w:rsid w:val="00517F4A"/>
    <w:rsid w:val="005239A4"/>
    <w:rsid w:val="00525FC7"/>
    <w:rsid w:val="00526462"/>
    <w:rsid w:val="005275F4"/>
    <w:rsid w:val="00530331"/>
    <w:rsid w:val="0053517A"/>
    <w:rsid w:val="0053779F"/>
    <w:rsid w:val="005401E0"/>
    <w:rsid w:val="00540B51"/>
    <w:rsid w:val="00541D02"/>
    <w:rsid w:val="0054415D"/>
    <w:rsid w:val="0054565B"/>
    <w:rsid w:val="00545E12"/>
    <w:rsid w:val="00546800"/>
    <w:rsid w:val="00546A7A"/>
    <w:rsid w:val="00547F8D"/>
    <w:rsid w:val="00551072"/>
    <w:rsid w:val="0055137F"/>
    <w:rsid w:val="00554BBD"/>
    <w:rsid w:val="0055561D"/>
    <w:rsid w:val="005576EF"/>
    <w:rsid w:val="005628A1"/>
    <w:rsid w:val="00563193"/>
    <w:rsid w:val="00563520"/>
    <w:rsid w:val="005645EE"/>
    <w:rsid w:val="005647E5"/>
    <w:rsid w:val="00565FDF"/>
    <w:rsid w:val="005662B2"/>
    <w:rsid w:val="00567034"/>
    <w:rsid w:val="00572449"/>
    <w:rsid w:val="0057401B"/>
    <w:rsid w:val="0058025A"/>
    <w:rsid w:val="00580E39"/>
    <w:rsid w:val="0058781E"/>
    <w:rsid w:val="00590E12"/>
    <w:rsid w:val="00592D6B"/>
    <w:rsid w:val="00593B85"/>
    <w:rsid w:val="005953C1"/>
    <w:rsid w:val="005A6E87"/>
    <w:rsid w:val="005B2E2C"/>
    <w:rsid w:val="005B404A"/>
    <w:rsid w:val="005C5D53"/>
    <w:rsid w:val="005C60F5"/>
    <w:rsid w:val="005C7A5D"/>
    <w:rsid w:val="005D244F"/>
    <w:rsid w:val="005D3C10"/>
    <w:rsid w:val="005D4B7F"/>
    <w:rsid w:val="005D5F06"/>
    <w:rsid w:val="005E0465"/>
    <w:rsid w:val="005E25BD"/>
    <w:rsid w:val="005E6F0C"/>
    <w:rsid w:val="005F03FA"/>
    <w:rsid w:val="005F1C43"/>
    <w:rsid w:val="005F4333"/>
    <w:rsid w:val="005F51F5"/>
    <w:rsid w:val="006007B4"/>
    <w:rsid w:val="006043A8"/>
    <w:rsid w:val="00611563"/>
    <w:rsid w:val="00611BB4"/>
    <w:rsid w:val="00613F47"/>
    <w:rsid w:val="00615869"/>
    <w:rsid w:val="00617313"/>
    <w:rsid w:val="006206DC"/>
    <w:rsid w:val="00622C50"/>
    <w:rsid w:val="006238D9"/>
    <w:rsid w:val="00623C1E"/>
    <w:rsid w:val="00625772"/>
    <w:rsid w:val="00626580"/>
    <w:rsid w:val="00626E7B"/>
    <w:rsid w:val="006272E0"/>
    <w:rsid w:val="00632569"/>
    <w:rsid w:val="0063723E"/>
    <w:rsid w:val="0064112B"/>
    <w:rsid w:val="00642424"/>
    <w:rsid w:val="00643333"/>
    <w:rsid w:val="006445BF"/>
    <w:rsid w:val="00646932"/>
    <w:rsid w:val="00654741"/>
    <w:rsid w:val="00655C63"/>
    <w:rsid w:val="0065645F"/>
    <w:rsid w:val="0065668D"/>
    <w:rsid w:val="0065783D"/>
    <w:rsid w:val="00666197"/>
    <w:rsid w:val="00666699"/>
    <w:rsid w:val="006672AF"/>
    <w:rsid w:val="00670640"/>
    <w:rsid w:val="00671510"/>
    <w:rsid w:val="00676178"/>
    <w:rsid w:val="006807B5"/>
    <w:rsid w:val="006812DB"/>
    <w:rsid w:val="00682332"/>
    <w:rsid w:val="0068335A"/>
    <w:rsid w:val="00687EDF"/>
    <w:rsid w:val="00692575"/>
    <w:rsid w:val="006934A2"/>
    <w:rsid w:val="0069430D"/>
    <w:rsid w:val="00694595"/>
    <w:rsid w:val="00694C29"/>
    <w:rsid w:val="00694E93"/>
    <w:rsid w:val="00695D35"/>
    <w:rsid w:val="006972B6"/>
    <w:rsid w:val="006A4BE5"/>
    <w:rsid w:val="006A59A3"/>
    <w:rsid w:val="006A59D4"/>
    <w:rsid w:val="006A5BE3"/>
    <w:rsid w:val="006A655D"/>
    <w:rsid w:val="006A7786"/>
    <w:rsid w:val="006A7E1F"/>
    <w:rsid w:val="006B1ACE"/>
    <w:rsid w:val="006B5D3C"/>
    <w:rsid w:val="006B6CEA"/>
    <w:rsid w:val="006C51D5"/>
    <w:rsid w:val="006C7822"/>
    <w:rsid w:val="006D07AB"/>
    <w:rsid w:val="006D3832"/>
    <w:rsid w:val="006D7D6B"/>
    <w:rsid w:val="006E0AA6"/>
    <w:rsid w:val="006E2A74"/>
    <w:rsid w:val="006E3819"/>
    <w:rsid w:val="006E42A2"/>
    <w:rsid w:val="006E4F1B"/>
    <w:rsid w:val="006E702C"/>
    <w:rsid w:val="006F02E9"/>
    <w:rsid w:val="006F5071"/>
    <w:rsid w:val="006F5FF8"/>
    <w:rsid w:val="0070046D"/>
    <w:rsid w:val="00700D5E"/>
    <w:rsid w:val="00701F30"/>
    <w:rsid w:val="007038F2"/>
    <w:rsid w:val="00703B56"/>
    <w:rsid w:val="00706398"/>
    <w:rsid w:val="00712678"/>
    <w:rsid w:val="0071292D"/>
    <w:rsid w:val="00712A9B"/>
    <w:rsid w:val="00722D33"/>
    <w:rsid w:val="0072310D"/>
    <w:rsid w:val="00724F1C"/>
    <w:rsid w:val="00727564"/>
    <w:rsid w:val="00730E35"/>
    <w:rsid w:val="00732C14"/>
    <w:rsid w:val="00733E8B"/>
    <w:rsid w:val="00734CC5"/>
    <w:rsid w:val="00740F21"/>
    <w:rsid w:val="00741281"/>
    <w:rsid w:val="00742CF3"/>
    <w:rsid w:val="00742DEF"/>
    <w:rsid w:val="00742ED3"/>
    <w:rsid w:val="0074372E"/>
    <w:rsid w:val="00744CDB"/>
    <w:rsid w:val="007456D0"/>
    <w:rsid w:val="007459CF"/>
    <w:rsid w:val="00746974"/>
    <w:rsid w:val="00747C43"/>
    <w:rsid w:val="00752145"/>
    <w:rsid w:val="00757362"/>
    <w:rsid w:val="007613B3"/>
    <w:rsid w:val="007636A2"/>
    <w:rsid w:val="0076409C"/>
    <w:rsid w:val="00767D2D"/>
    <w:rsid w:val="007718CB"/>
    <w:rsid w:val="00772E73"/>
    <w:rsid w:val="00773328"/>
    <w:rsid w:val="00774D55"/>
    <w:rsid w:val="007804DA"/>
    <w:rsid w:val="007807FF"/>
    <w:rsid w:val="00786BD3"/>
    <w:rsid w:val="00786D36"/>
    <w:rsid w:val="00787631"/>
    <w:rsid w:val="00787EAF"/>
    <w:rsid w:val="00790F33"/>
    <w:rsid w:val="00791C92"/>
    <w:rsid w:val="00797806"/>
    <w:rsid w:val="007A371E"/>
    <w:rsid w:val="007A4D86"/>
    <w:rsid w:val="007A6098"/>
    <w:rsid w:val="007A71CF"/>
    <w:rsid w:val="007B07D7"/>
    <w:rsid w:val="007B412C"/>
    <w:rsid w:val="007B4261"/>
    <w:rsid w:val="007C2A78"/>
    <w:rsid w:val="007C2B7B"/>
    <w:rsid w:val="007C3354"/>
    <w:rsid w:val="007C34FC"/>
    <w:rsid w:val="007C6996"/>
    <w:rsid w:val="007D311D"/>
    <w:rsid w:val="007D31BE"/>
    <w:rsid w:val="007E1A54"/>
    <w:rsid w:val="007E2A09"/>
    <w:rsid w:val="007E787F"/>
    <w:rsid w:val="007F2280"/>
    <w:rsid w:val="007F229B"/>
    <w:rsid w:val="007F25ED"/>
    <w:rsid w:val="007F7073"/>
    <w:rsid w:val="007F78E7"/>
    <w:rsid w:val="00803884"/>
    <w:rsid w:val="008078EF"/>
    <w:rsid w:val="00811467"/>
    <w:rsid w:val="00812A29"/>
    <w:rsid w:val="00814AA5"/>
    <w:rsid w:val="00817AB0"/>
    <w:rsid w:val="00823372"/>
    <w:rsid w:val="0082424E"/>
    <w:rsid w:val="00824E8C"/>
    <w:rsid w:val="00830296"/>
    <w:rsid w:val="00834076"/>
    <w:rsid w:val="00835B34"/>
    <w:rsid w:val="0083627B"/>
    <w:rsid w:val="008423B5"/>
    <w:rsid w:val="00842BF3"/>
    <w:rsid w:val="008433AC"/>
    <w:rsid w:val="00844D32"/>
    <w:rsid w:val="00844FEA"/>
    <w:rsid w:val="00845B75"/>
    <w:rsid w:val="00846A21"/>
    <w:rsid w:val="00855640"/>
    <w:rsid w:val="0085578B"/>
    <w:rsid w:val="00855F20"/>
    <w:rsid w:val="0085685B"/>
    <w:rsid w:val="00856A64"/>
    <w:rsid w:val="00857370"/>
    <w:rsid w:val="0086347F"/>
    <w:rsid w:val="00867AEB"/>
    <w:rsid w:val="00870D58"/>
    <w:rsid w:val="00870F47"/>
    <w:rsid w:val="00873C49"/>
    <w:rsid w:val="00875541"/>
    <w:rsid w:val="00876116"/>
    <w:rsid w:val="008778CD"/>
    <w:rsid w:val="00877DE6"/>
    <w:rsid w:val="00880ACF"/>
    <w:rsid w:val="00882234"/>
    <w:rsid w:val="008830AD"/>
    <w:rsid w:val="008854AA"/>
    <w:rsid w:val="008857AC"/>
    <w:rsid w:val="008858B1"/>
    <w:rsid w:val="00885EC2"/>
    <w:rsid w:val="008873C2"/>
    <w:rsid w:val="0088740E"/>
    <w:rsid w:val="00887EC1"/>
    <w:rsid w:val="00890D03"/>
    <w:rsid w:val="008916BF"/>
    <w:rsid w:val="00891734"/>
    <w:rsid w:val="00892114"/>
    <w:rsid w:val="008954BA"/>
    <w:rsid w:val="00895727"/>
    <w:rsid w:val="008A14F3"/>
    <w:rsid w:val="008A1916"/>
    <w:rsid w:val="008A1A90"/>
    <w:rsid w:val="008A3E33"/>
    <w:rsid w:val="008A44B8"/>
    <w:rsid w:val="008A4E7F"/>
    <w:rsid w:val="008A53CD"/>
    <w:rsid w:val="008A63D6"/>
    <w:rsid w:val="008A690F"/>
    <w:rsid w:val="008B07FE"/>
    <w:rsid w:val="008B423B"/>
    <w:rsid w:val="008B62B4"/>
    <w:rsid w:val="008B62E9"/>
    <w:rsid w:val="008C2270"/>
    <w:rsid w:val="008C32F1"/>
    <w:rsid w:val="008C3DDB"/>
    <w:rsid w:val="008C52B7"/>
    <w:rsid w:val="008C5BF1"/>
    <w:rsid w:val="008C688E"/>
    <w:rsid w:val="008C7B9B"/>
    <w:rsid w:val="008E1D12"/>
    <w:rsid w:val="008E29BB"/>
    <w:rsid w:val="008E4326"/>
    <w:rsid w:val="008E5A94"/>
    <w:rsid w:val="008E67C6"/>
    <w:rsid w:val="008F0E21"/>
    <w:rsid w:val="008F25C3"/>
    <w:rsid w:val="008F2D13"/>
    <w:rsid w:val="008F3965"/>
    <w:rsid w:val="008F4F27"/>
    <w:rsid w:val="008F52B0"/>
    <w:rsid w:val="008F6E32"/>
    <w:rsid w:val="008F7BC3"/>
    <w:rsid w:val="00900A30"/>
    <w:rsid w:val="00901340"/>
    <w:rsid w:val="00902E9B"/>
    <w:rsid w:val="00904475"/>
    <w:rsid w:val="00904E4F"/>
    <w:rsid w:val="00904FE3"/>
    <w:rsid w:val="0090604B"/>
    <w:rsid w:val="0090749F"/>
    <w:rsid w:val="00910487"/>
    <w:rsid w:val="0091128D"/>
    <w:rsid w:val="0091341E"/>
    <w:rsid w:val="00917F5C"/>
    <w:rsid w:val="00921FD6"/>
    <w:rsid w:val="00922069"/>
    <w:rsid w:val="009223EC"/>
    <w:rsid w:val="00922D0C"/>
    <w:rsid w:val="0092548C"/>
    <w:rsid w:val="00927103"/>
    <w:rsid w:val="00927209"/>
    <w:rsid w:val="0092729F"/>
    <w:rsid w:val="00931373"/>
    <w:rsid w:val="0093152B"/>
    <w:rsid w:val="00932A0D"/>
    <w:rsid w:val="0093413A"/>
    <w:rsid w:val="009346F5"/>
    <w:rsid w:val="0093486C"/>
    <w:rsid w:val="00936513"/>
    <w:rsid w:val="009402A0"/>
    <w:rsid w:val="00940405"/>
    <w:rsid w:val="00940A1D"/>
    <w:rsid w:val="00943C11"/>
    <w:rsid w:val="009454B0"/>
    <w:rsid w:val="00950269"/>
    <w:rsid w:val="00951E52"/>
    <w:rsid w:val="00954E3B"/>
    <w:rsid w:val="00956C01"/>
    <w:rsid w:val="0095707D"/>
    <w:rsid w:val="009608A8"/>
    <w:rsid w:val="009614B9"/>
    <w:rsid w:val="009617E1"/>
    <w:rsid w:val="00963766"/>
    <w:rsid w:val="00966573"/>
    <w:rsid w:val="00970449"/>
    <w:rsid w:val="00971550"/>
    <w:rsid w:val="0097672F"/>
    <w:rsid w:val="00977C2E"/>
    <w:rsid w:val="0098603A"/>
    <w:rsid w:val="009875D3"/>
    <w:rsid w:val="009878FB"/>
    <w:rsid w:val="009903CF"/>
    <w:rsid w:val="009912DB"/>
    <w:rsid w:val="00993123"/>
    <w:rsid w:val="009954E2"/>
    <w:rsid w:val="009966C2"/>
    <w:rsid w:val="00996831"/>
    <w:rsid w:val="00996B63"/>
    <w:rsid w:val="009A1C5D"/>
    <w:rsid w:val="009A350B"/>
    <w:rsid w:val="009A5662"/>
    <w:rsid w:val="009B2C84"/>
    <w:rsid w:val="009B6839"/>
    <w:rsid w:val="009B7303"/>
    <w:rsid w:val="009C4BB3"/>
    <w:rsid w:val="009D117A"/>
    <w:rsid w:val="009D2D0A"/>
    <w:rsid w:val="009D431C"/>
    <w:rsid w:val="009D7701"/>
    <w:rsid w:val="009D78E8"/>
    <w:rsid w:val="009E0ABB"/>
    <w:rsid w:val="009E0D98"/>
    <w:rsid w:val="009F07AB"/>
    <w:rsid w:val="009F3714"/>
    <w:rsid w:val="009F42C3"/>
    <w:rsid w:val="009F48B3"/>
    <w:rsid w:val="009F63D9"/>
    <w:rsid w:val="00A006F0"/>
    <w:rsid w:val="00A12516"/>
    <w:rsid w:val="00A142D5"/>
    <w:rsid w:val="00A16B4E"/>
    <w:rsid w:val="00A24D42"/>
    <w:rsid w:val="00A2563C"/>
    <w:rsid w:val="00A31410"/>
    <w:rsid w:val="00A3474E"/>
    <w:rsid w:val="00A417E4"/>
    <w:rsid w:val="00A444C9"/>
    <w:rsid w:val="00A45C2E"/>
    <w:rsid w:val="00A45EEE"/>
    <w:rsid w:val="00A4634F"/>
    <w:rsid w:val="00A468D6"/>
    <w:rsid w:val="00A46C7F"/>
    <w:rsid w:val="00A52F48"/>
    <w:rsid w:val="00A5409B"/>
    <w:rsid w:val="00A54B3E"/>
    <w:rsid w:val="00A5579C"/>
    <w:rsid w:val="00A57DAC"/>
    <w:rsid w:val="00A60012"/>
    <w:rsid w:val="00A623A3"/>
    <w:rsid w:val="00A6513E"/>
    <w:rsid w:val="00A70ADA"/>
    <w:rsid w:val="00A74172"/>
    <w:rsid w:val="00A746E2"/>
    <w:rsid w:val="00A74CBF"/>
    <w:rsid w:val="00A76901"/>
    <w:rsid w:val="00A803F2"/>
    <w:rsid w:val="00A82A7D"/>
    <w:rsid w:val="00A8330C"/>
    <w:rsid w:val="00A84794"/>
    <w:rsid w:val="00A85295"/>
    <w:rsid w:val="00A85401"/>
    <w:rsid w:val="00A85E01"/>
    <w:rsid w:val="00A91206"/>
    <w:rsid w:val="00A9281D"/>
    <w:rsid w:val="00A94A79"/>
    <w:rsid w:val="00A96454"/>
    <w:rsid w:val="00A969E1"/>
    <w:rsid w:val="00A97785"/>
    <w:rsid w:val="00AA014B"/>
    <w:rsid w:val="00AA0B23"/>
    <w:rsid w:val="00AA1477"/>
    <w:rsid w:val="00AA40CE"/>
    <w:rsid w:val="00AA7577"/>
    <w:rsid w:val="00AA7BEE"/>
    <w:rsid w:val="00AB0280"/>
    <w:rsid w:val="00AB0F94"/>
    <w:rsid w:val="00AB2F8F"/>
    <w:rsid w:val="00AB5A6F"/>
    <w:rsid w:val="00AB7801"/>
    <w:rsid w:val="00AB78BA"/>
    <w:rsid w:val="00AC1C69"/>
    <w:rsid w:val="00AC2F63"/>
    <w:rsid w:val="00AC6B73"/>
    <w:rsid w:val="00AC6DF1"/>
    <w:rsid w:val="00AC7932"/>
    <w:rsid w:val="00AD2BAB"/>
    <w:rsid w:val="00AD6963"/>
    <w:rsid w:val="00AE07AC"/>
    <w:rsid w:val="00AE11CA"/>
    <w:rsid w:val="00AF43D5"/>
    <w:rsid w:val="00AF5214"/>
    <w:rsid w:val="00AF5226"/>
    <w:rsid w:val="00B00BFA"/>
    <w:rsid w:val="00B00C86"/>
    <w:rsid w:val="00B01D71"/>
    <w:rsid w:val="00B026CD"/>
    <w:rsid w:val="00B05490"/>
    <w:rsid w:val="00B05773"/>
    <w:rsid w:val="00B057C7"/>
    <w:rsid w:val="00B1062E"/>
    <w:rsid w:val="00B114E0"/>
    <w:rsid w:val="00B11D42"/>
    <w:rsid w:val="00B16D8C"/>
    <w:rsid w:val="00B20856"/>
    <w:rsid w:val="00B236BB"/>
    <w:rsid w:val="00B24B2A"/>
    <w:rsid w:val="00B311C6"/>
    <w:rsid w:val="00B325AA"/>
    <w:rsid w:val="00B33270"/>
    <w:rsid w:val="00B349C2"/>
    <w:rsid w:val="00B350B3"/>
    <w:rsid w:val="00B354A8"/>
    <w:rsid w:val="00B3592B"/>
    <w:rsid w:val="00B41A8E"/>
    <w:rsid w:val="00B42664"/>
    <w:rsid w:val="00B42EEB"/>
    <w:rsid w:val="00B47121"/>
    <w:rsid w:val="00B47C76"/>
    <w:rsid w:val="00B50EBA"/>
    <w:rsid w:val="00B51BD3"/>
    <w:rsid w:val="00B53E16"/>
    <w:rsid w:val="00B612F4"/>
    <w:rsid w:val="00B635ED"/>
    <w:rsid w:val="00B6430F"/>
    <w:rsid w:val="00B72B76"/>
    <w:rsid w:val="00B73B20"/>
    <w:rsid w:val="00B801AC"/>
    <w:rsid w:val="00B80B49"/>
    <w:rsid w:val="00B83E9D"/>
    <w:rsid w:val="00B83FEC"/>
    <w:rsid w:val="00B86760"/>
    <w:rsid w:val="00B9238F"/>
    <w:rsid w:val="00B926EB"/>
    <w:rsid w:val="00B94327"/>
    <w:rsid w:val="00B96663"/>
    <w:rsid w:val="00BA1C5B"/>
    <w:rsid w:val="00BA2E9D"/>
    <w:rsid w:val="00BA3FEF"/>
    <w:rsid w:val="00BA4AA8"/>
    <w:rsid w:val="00BA545E"/>
    <w:rsid w:val="00BA5887"/>
    <w:rsid w:val="00BA72EF"/>
    <w:rsid w:val="00BB7FE5"/>
    <w:rsid w:val="00BC3823"/>
    <w:rsid w:val="00BC3FED"/>
    <w:rsid w:val="00BC4641"/>
    <w:rsid w:val="00BC5D64"/>
    <w:rsid w:val="00BD00AB"/>
    <w:rsid w:val="00BD16CE"/>
    <w:rsid w:val="00BD2DBB"/>
    <w:rsid w:val="00BD31D7"/>
    <w:rsid w:val="00BD50A5"/>
    <w:rsid w:val="00BD6845"/>
    <w:rsid w:val="00BE0F91"/>
    <w:rsid w:val="00BE31B9"/>
    <w:rsid w:val="00BF2A99"/>
    <w:rsid w:val="00BF3A97"/>
    <w:rsid w:val="00BF498B"/>
    <w:rsid w:val="00BF5A31"/>
    <w:rsid w:val="00C013C6"/>
    <w:rsid w:val="00C0186D"/>
    <w:rsid w:val="00C01B5F"/>
    <w:rsid w:val="00C02143"/>
    <w:rsid w:val="00C0596A"/>
    <w:rsid w:val="00C05F93"/>
    <w:rsid w:val="00C068C9"/>
    <w:rsid w:val="00C10A2B"/>
    <w:rsid w:val="00C11D19"/>
    <w:rsid w:val="00C12F78"/>
    <w:rsid w:val="00C1474E"/>
    <w:rsid w:val="00C15142"/>
    <w:rsid w:val="00C17A73"/>
    <w:rsid w:val="00C2044A"/>
    <w:rsid w:val="00C22BCD"/>
    <w:rsid w:val="00C22E15"/>
    <w:rsid w:val="00C23022"/>
    <w:rsid w:val="00C251F1"/>
    <w:rsid w:val="00C3266F"/>
    <w:rsid w:val="00C444C9"/>
    <w:rsid w:val="00C4542D"/>
    <w:rsid w:val="00C46209"/>
    <w:rsid w:val="00C5477A"/>
    <w:rsid w:val="00C55C6D"/>
    <w:rsid w:val="00C57517"/>
    <w:rsid w:val="00C63110"/>
    <w:rsid w:val="00C6569B"/>
    <w:rsid w:val="00C70ADE"/>
    <w:rsid w:val="00C73439"/>
    <w:rsid w:val="00C753CE"/>
    <w:rsid w:val="00C76EF6"/>
    <w:rsid w:val="00C77DE9"/>
    <w:rsid w:val="00C803D4"/>
    <w:rsid w:val="00C8047C"/>
    <w:rsid w:val="00C814DD"/>
    <w:rsid w:val="00C8522E"/>
    <w:rsid w:val="00C8531E"/>
    <w:rsid w:val="00C9149D"/>
    <w:rsid w:val="00C92918"/>
    <w:rsid w:val="00C92C3C"/>
    <w:rsid w:val="00C9311A"/>
    <w:rsid w:val="00C931EB"/>
    <w:rsid w:val="00C93689"/>
    <w:rsid w:val="00C9591B"/>
    <w:rsid w:val="00CA1DCB"/>
    <w:rsid w:val="00CA3C05"/>
    <w:rsid w:val="00CA512C"/>
    <w:rsid w:val="00CB01A3"/>
    <w:rsid w:val="00CB1978"/>
    <w:rsid w:val="00CB6722"/>
    <w:rsid w:val="00CB6B2B"/>
    <w:rsid w:val="00CB73F5"/>
    <w:rsid w:val="00CB7982"/>
    <w:rsid w:val="00CC220D"/>
    <w:rsid w:val="00CC40ED"/>
    <w:rsid w:val="00CC585C"/>
    <w:rsid w:val="00CC631E"/>
    <w:rsid w:val="00CC7DD0"/>
    <w:rsid w:val="00CD28CF"/>
    <w:rsid w:val="00CD571A"/>
    <w:rsid w:val="00CE7C80"/>
    <w:rsid w:val="00CF6343"/>
    <w:rsid w:val="00CF68CA"/>
    <w:rsid w:val="00D01F05"/>
    <w:rsid w:val="00D029EF"/>
    <w:rsid w:val="00D03182"/>
    <w:rsid w:val="00D05925"/>
    <w:rsid w:val="00D12C68"/>
    <w:rsid w:val="00D12F6E"/>
    <w:rsid w:val="00D13863"/>
    <w:rsid w:val="00D15812"/>
    <w:rsid w:val="00D162D9"/>
    <w:rsid w:val="00D201F5"/>
    <w:rsid w:val="00D24DF4"/>
    <w:rsid w:val="00D27AB6"/>
    <w:rsid w:val="00D31E4C"/>
    <w:rsid w:val="00D3469C"/>
    <w:rsid w:val="00D34C05"/>
    <w:rsid w:val="00D424F6"/>
    <w:rsid w:val="00D45455"/>
    <w:rsid w:val="00D45F81"/>
    <w:rsid w:val="00D500F8"/>
    <w:rsid w:val="00D508A0"/>
    <w:rsid w:val="00D51815"/>
    <w:rsid w:val="00D5301A"/>
    <w:rsid w:val="00D53178"/>
    <w:rsid w:val="00D55AB0"/>
    <w:rsid w:val="00D55EBC"/>
    <w:rsid w:val="00D560EA"/>
    <w:rsid w:val="00D5796F"/>
    <w:rsid w:val="00D60076"/>
    <w:rsid w:val="00D60937"/>
    <w:rsid w:val="00D60E1D"/>
    <w:rsid w:val="00D643FF"/>
    <w:rsid w:val="00D64A48"/>
    <w:rsid w:val="00D67BAA"/>
    <w:rsid w:val="00D7041A"/>
    <w:rsid w:val="00D70DA3"/>
    <w:rsid w:val="00D71165"/>
    <w:rsid w:val="00D74CEF"/>
    <w:rsid w:val="00D7549D"/>
    <w:rsid w:val="00D80586"/>
    <w:rsid w:val="00D8121D"/>
    <w:rsid w:val="00D85375"/>
    <w:rsid w:val="00D854FA"/>
    <w:rsid w:val="00D91738"/>
    <w:rsid w:val="00D91FE0"/>
    <w:rsid w:val="00D932B8"/>
    <w:rsid w:val="00DA14FE"/>
    <w:rsid w:val="00DA32CE"/>
    <w:rsid w:val="00DA403F"/>
    <w:rsid w:val="00DA4AC4"/>
    <w:rsid w:val="00DA6BCA"/>
    <w:rsid w:val="00DB23A8"/>
    <w:rsid w:val="00DB591F"/>
    <w:rsid w:val="00DC06B6"/>
    <w:rsid w:val="00DC18AE"/>
    <w:rsid w:val="00DC1AD8"/>
    <w:rsid w:val="00DC1B29"/>
    <w:rsid w:val="00DC2FC4"/>
    <w:rsid w:val="00DC537E"/>
    <w:rsid w:val="00DC7D27"/>
    <w:rsid w:val="00DD1FF2"/>
    <w:rsid w:val="00DD28EB"/>
    <w:rsid w:val="00DD2DFA"/>
    <w:rsid w:val="00DD401B"/>
    <w:rsid w:val="00DD7B36"/>
    <w:rsid w:val="00DE05A3"/>
    <w:rsid w:val="00DE456C"/>
    <w:rsid w:val="00DE571E"/>
    <w:rsid w:val="00DE7287"/>
    <w:rsid w:val="00DE7FB1"/>
    <w:rsid w:val="00DF29DD"/>
    <w:rsid w:val="00DF4ED1"/>
    <w:rsid w:val="00E01885"/>
    <w:rsid w:val="00E0188F"/>
    <w:rsid w:val="00E03371"/>
    <w:rsid w:val="00E05D38"/>
    <w:rsid w:val="00E06668"/>
    <w:rsid w:val="00E06D8A"/>
    <w:rsid w:val="00E0748E"/>
    <w:rsid w:val="00E1064A"/>
    <w:rsid w:val="00E11E55"/>
    <w:rsid w:val="00E12C8A"/>
    <w:rsid w:val="00E13184"/>
    <w:rsid w:val="00E167BF"/>
    <w:rsid w:val="00E20185"/>
    <w:rsid w:val="00E2093E"/>
    <w:rsid w:val="00E2167A"/>
    <w:rsid w:val="00E2371C"/>
    <w:rsid w:val="00E25C05"/>
    <w:rsid w:val="00E3053C"/>
    <w:rsid w:val="00E31195"/>
    <w:rsid w:val="00E45DA4"/>
    <w:rsid w:val="00E50EFB"/>
    <w:rsid w:val="00E51367"/>
    <w:rsid w:val="00E54EBA"/>
    <w:rsid w:val="00E55D36"/>
    <w:rsid w:val="00E6139A"/>
    <w:rsid w:val="00E620F2"/>
    <w:rsid w:val="00E6611E"/>
    <w:rsid w:val="00E663CE"/>
    <w:rsid w:val="00E6656A"/>
    <w:rsid w:val="00E67940"/>
    <w:rsid w:val="00E72E7C"/>
    <w:rsid w:val="00E7326C"/>
    <w:rsid w:val="00E74906"/>
    <w:rsid w:val="00E74F1F"/>
    <w:rsid w:val="00E76F51"/>
    <w:rsid w:val="00E80DCD"/>
    <w:rsid w:val="00E80E6E"/>
    <w:rsid w:val="00E815B5"/>
    <w:rsid w:val="00E85FFE"/>
    <w:rsid w:val="00E87860"/>
    <w:rsid w:val="00E90F64"/>
    <w:rsid w:val="00E95BBF"/>
    <w:rsid w:val="00EA19EE"/>
    <w:rsid w:val="00EA1ED9"/>
    <w:rsid w:val="00EA2AB5"/>
    <w:rsid w:val="00EA3D3C"/>
    <w:rsid w:val="00EB2593"/>
    <w:rsid w:val="00EB702E"/>
    <w:rsid w:val="00EC009F"/>
    <w:rsid w:val="00EC32C7"/>
    <w:rsid w:val="00ED2EBD"/>
    <w:rsid w:val="00ED4599"/>
    <w:rsid w:val="00ED7A6B"/>
    <w:rsid w:val="00EE02D3"/>
    <w:rsid w:val="00EE54EF"/>
    <w:rsid w:val="00F00E49"/>
    <w:rsid w:val="00F00ED9"/>
    <w:rsid w:val="00F10A06"/>
    <w:rsid w:val="00F1118F"/>
    <w:rsid w:val="00F13E00"/>
    <w:rsid w:val="00F16252"/>
    <w:rsid w:val="00F17B8B"/>
    <w:rsid w:val="00F20A4B"/>
    <w:rsid w:val="00F2183D"/>
    <w:rsid w:val="00F255E6"/>
    <w:rsid w:val="00F26860"/>
    <w:rsid w:val="00F27A9B"/>
    <w:rsid w:val="00F341D7"/>
    <w:rsid w:val="00F34580"/>
    <w:rsid w:val="00F36F33"/>
    <w:rsid w:val="00F370C9"/>
    <w:rsid w:val="00F42836"/>
    <w:rsid w:val="00F47203"/>
    <w:rsid w:val="00F5041B"/>
    <w:rsid w:val="00F525CC"/>
    <w:rsid w:val="00F57826"/>
    <w:rsid w:val="00F60D31"/>
    <w:rsid w:val="00F63960"/>
    <w:rsid w:val="00F63FA9"/>
    <w:rsid w:val="00F657C7"/>
    <w:rsid w:val="00F675A4"/>
    <w:rsid w:val="00F67730"/>
    <w:rsid w:val="00F7162B"/>
    <w:rsid w:val="00F72065"/>
    <w:rsid w:val="00F726C0"/>
    <w:rsid w:val="00F7414C"/>
    <w:rsid w:val="00F75A9D"/>
    <w:rsid w:val="00F764F8"/>
    <w:rsid w:val="00F7793F"/>
    <w:rsid w:val="00F81CDB"/>
    <w:rsid w:val="00F82329"/>
    <w:rsid w:val="00F82A1C"/>
    <w:rsid w:val="00F84076"/>
    <w:rsid w:val="00F85A35"/>
    <w:rsid w:val="00F86D84"/>
    <w:rsid w:val="00F91034"/>
    <w:rsid w:val="00F93B90"/>
    <w:rsid w:val="00F96E1A"/>
    <w:rsid w:val="00FA1667"/>
    <w:rsid w:val="00FA5CEC"/>
    <w:rsid w:val="00FB04B0"/>
    <w:rsid w:val="00FB1588"/>
    <w:rsid w:val="00FB5B96"/>
    <w:rsid w:val="00FC16CA"/>
    <w:rsid w:val="00FC2D45"/>
    <w:rsid w:val="00FC2E29"/>
    <w:rsid w:val="00FC2FCB"/>
    <w:rsid w:val="00FC3677"/>
    <w:rsid w:val="00FC616E"/>
    <w:rsid w:val="00FD14EA"/>
    <w:rsid w:val="00FD59B4"/>
    <w:rsid w:val="00FD5B3F"/>
    <w:rsid w:val="00FE020B"/>
    <w:rsid w:val="00FE2243"/>
    <w:rsid w:val="00FE2FA6"/>
    <w:rsid w:val="00FE780F"/>
    <w:rsid w:val="00FF1B50"/>
    <w:rsid w:val="00FF4F2E"/>
    <w:rsid w:val="00FF6416"/>
    <w:rsid w:val="00FF68F8"/>
    <w:rsid w:val="00FF6D4F"/>
    <w:rsid w:val="3BC90256"/>
    <w:rsid w:val="53585186"/>
    <w:rsid w:val="5B8F3B8B"/>
    <w:rsid w:val="6D3F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0"/>
    <w:pPr>
      <w:keepNext/>
      <w:adjustRightInd w:val="0"/>
      <w:snapToGrid w:val="0"/>
      <w:jc w:val="right"/>
      <w:outlineLvl w:val="0"/>
    </w:pPr>
    <w:rPr>
      <w:kern w:val="0"/>
      <w:sz w:val="8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32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annotation text"/>
    <w:basedOn w:val="1"/>
    <w:link w:val="37"/>
    <w:unhideWhenUsed/>
    <w:qFormat/>
    <w:uiPriority w:val="99"/>
    <w:pPr>
      <w:jc w:val="left"/>
    </w:pPr>
  </w:style>
  <w:style w:type="paragraph" w:styleId="5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0"/>
      <w:sz w:val="18"/>
      <w:szCs w:val="18"/>
    </w:rPr>
  </w:style>
  <w:style w:type="paragraph" w:styleId="8">
    <w:name w:val="annotation subject"/>
    <w:basedOn w:val="4"/>
    <w:next w:val="4"/>
    <w:link w:val="38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pPr>
      <w:spacing w:beforeAutospacing="1" w:afterAutospacing="1"/>
    </w:pPr>
    <w:rPr>
      <w:rFonts w:ascii="Calibri" w:hAnsi="Calibri" w:eastAsia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styleId="13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4">
    <w:name w:val="段 Char"/>
    <w:link w:val="15"/>
    <w:qFormat/>
    <w:locked/>
    <w:uiPriority w:val="0"/>
    <w:rPr>
      <w:rFonts w:ascii="宋体" w:hAnsi="宋体" w:eastAsia="宋体"/>
      <w:kern w:val="2"/>
      <w:sz w:val="21"/>
      <w:szCs w:val="22"/>
      <w:lang w:val="en-US" w:eastAsia="zh-CN" w:bidi="ar-SA"/>
    </w:rPr>
  </w:style>
  <w:style w:type="paragraph" w:customStyle="1" w:styleId="15">
    <w:name w:val="段"/>
    <w:link w:val="14"/>
    <w:qFormat/>
    <w:uiPriority w:val="0"/>
    <w:pPr>
      <w:autoSpaceDE w:val="0"/>
      <w:autoSpaceDN w:val="0"/>
      <w:ind w:firstLine="200" w:firstLineChars="200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页脚 Char"/>
    <w:link w:val="6"/>
    <w:qFormat/>
    <w:uiPriority w:val="99"/>
    <w:rPr>
      <w:sz w:val="18"/>
      <w:szCs w:val="18"/>
    </w:rPr>
  </w:style>
  <w:style w:type="character" w:customStyle="1" w:styleId="17">
    <w:name w:val="页眉 Char"/>
    <w:link w:val="7"/>
    <w:qFormat/>
    <w:uiPriority w:val="99"/>
    <w:rPr>
      <w:sz w:val="18"/>
      <w:szCs w:val="18"/>
    </w:rPr>
  </w:style>
  <w:style w:type="paragraph" w:customStyle="1" w:styleId="18">
    <w:name w:val="目次、标准名称标题"/>
    <w:basedOn w:val="19"/>
    <w:next w:val="15"/>
    <w:qFormat/>
    <w:uiPriority w:val="0"/>
    <w:pPr>
      <w:spacing w:line="460" w:lineRule="exact"/>
    </w:pPr>
  </w:style>
  <w:style w:type="paragraph" w:customStyle="1" w:styleId="19">
    <w:name w:val="前言、引言标题"/>
    <w:next w:val="1"/>
    <w:qFormat/>
    <w:uiPriority w:val="0"/>
    <w:pPr>
      <w:shd w:val="clear" w:color="auto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0">
    <w:name w:val="一级条标题"/>
    <w:basedOn w:val="1"/>
    <w:next w:val="15"/>
    <w:qFormat/>
    <w:uiPriority w:val="0"/>
    <w:pPr>
      <w:widowControl/>
      <w:outlineLvl w:val="2"/>
    </w:pPr>
    <w:rPr>
      <w:rFonts w:ascii="黑体" w:eastAsia="黑体"/>
      <w:kern w:val="0"/>
    </w:rPr>
  </w:style>
  <w:style w:type="paragraph" w:customStyle="1" w:styleId="21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2">
    <w:name w:val="文献分类号"/>
    <w:qFormat/>
    <w:uiPriority w:val="0"/>
    <w:pPr>
      <w:widowControl w:val="0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23">
    <w:name w:val="封面标准名称"/>
    <w:qFormat/>
    <w:uiPriority w:val="0"/>
    <w:pPr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4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spacing w:val="20"/>
      <w:w w:val="148"/>
      <w:sz w:val="52"/>
      <w:lang w:val="en-US" w:eastAsia="zh-CN" w:bidi="ar-SA"/>
    </w:rPr>
  </w:style>
  <w:style w:type="paragraph" w:customStyle="1" w:styleId="25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6">
    <w:name w:val="封面标准号2"/>
    <w:basedOn w:val="1"/>
    <w:qFormat/>
    <w:uiPriority w:val="0"/>
    <w:pPr>
      <w:kinsoku w:val="0"/>
      <w:overflowPunct w:val="0"/>
      <w:autoSpaceDE w:val="0"/>
      <w:autoSpaceDN w:val="0"/>
      <w:adjustRightInd w:val="0"/>
      <w:spacing w:before="357" w:line="280" w:lineRule="exact"/>
      <w:jc w:val="right"/>
    </w:pPr>
    <w:rPr>
      <w:kern w:val="0"/>
      <w:sz w:val="28"/>
    </w:rPr>
  </w:style>
  <w:style w:type="paragraph" w:customStyle="1" w:styleId="27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28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29">
    <w:name w:val="封面标准代替信息"/>
    <w:basedOn w:val="26"/>
    <w:qFormat/>
    <w:uiPriority w:val="0"/>
    <w:pPr>
      <w:spacing w:before="57"/>
    </w:pPr>
    <w:rPr>
      <w:rFonts w:ascii="宋体"/>
      <w:sz w:val="21"/>
    </w:rPr>
  </w:style>
  <w:style w:type="paragraph" w:customStyle="1" w:styleId="30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31">
    <w:name w:val="实施日期"/>
    <w:basedOn w:val="1"/>
    <w:qFormat/>
    <w:uiPriority w:val="0"/>
    <w:pPr>
      <w:widowControl/>
      <w:jc w:val="right"/>
    </w:pPr>
    <w:rPr>
      <w:rFonts w:eastAsia="黑体"/>
      <w:kern w:val="0"/>
      <w:sz w:val="28"/>
    </w:rPr>
  </w:style>
  <w:style w:type="character" w:customStyle="1" w:styleId="32">
    <w:name w:val="文档结构图 Char"/>
    <w:link w:val="3"/>
    <w:semiHidden/>
    <w:qFormat/>
    <w:uiPriority w:val="99"/>
    <w:rPr>
      <w:rFonts w:ascii="宋体" w:hAnsi="Times New Roman" w:eastAsia="宋体"/>
      <w:kern w:val="2"/>
      <w:sz w:val="18"/>
      <w:szCs w:val="18"/>
    </w:rPr>
  </w:style>
  <w:style w:type="character" w:customStyle="1" w:styleId="33">
    <w:name w:val="批注框文本 Char"/>
    <w:link w:val="5"/>
    <w:semiHidden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34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35">
    <w:name w:val="二级条标题"/>
    <w:basedOn w:val="20"/>
    <w:next w:val="15"/>
    <w:qFormat/>
    <w:uiPriority w:val="0"/>
    <w:pPr>
      <w:tabs>
        <w:tab w:val="left" w:pos="360"/>
      </w:tabs>
      <w:outlineLvl w:val="3"/>
    </w:pPr>
  </w:style>
  <w:style w:type="paragraph" w:customStyle="1" w:styleId="36">
    <w:name w:val="章标题"/>
    <w:next w:val="15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37">
    <w:name w:val="批注文字 Char"/>
    <w:link w:val="4"/>
    <w:qFormat/>
    <w:uiPriority w:val="99"/>
    <w:rPr>
      <w:rFonts w:ascii="Times New Roman" w:hAnsi="Times New Roman" w:eastAsia="宋体"/>
      <w:kern w:val="2"/>
      <w:sz w:val="21"/>
    </w:rPr>
  </w:style>
  <w:style w:type="character" w:customStyle="1" w:styleId="38">
    <w:name w:val="批注主题 Char"/>
    <w:link w:val="8"/>
    <w:semiHidden/>
    <w:qFormat/>
    <w:uiPriority w:val="99"/>
    <w:rPr>
      <w:rFonts w:ascii="Times New Roman" w:hAnsi="Times New Roman" w:eastAsia="宋体"/>
      <w:b/>
      <w:bCs/>
      <w:kern w:val="2"/>
      <w:sz w:val="21"/>
    </w:rPr>
  </w:style>
  <w:style w:type="paragraph" w:customStyle="1" w:styleId="39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40">
    <w:name w:val="标题 1 Char"/>
    <w:qFormat/>
    <w:uiPriority w:val="9"/>
    <w:rPr>
      <w:rFonts w:ascii="Times New Roman" w:hAnsi="Times New Roman" w:eastAsia="宋体"/>
      <w:b/>
      <w:bCs/>
      <w:kern w:val="44"/>
      <w:sz w:val="44"/>
      <w:szCs w:val="44"/>
    </w:rPr>
  </w:style>
  <w:style w:type="character" w:customStyle="1" w:styleId="41">
    <w:name w:val="标题 1 Char1"/>
    <w:link w:val="2"/>
    <w:qFormat/>
    <w:uiPriority w:val="0"/>
    <w:rPr>
      <w:rFonts w:ascii="Times New Roman" w:hAnsi="Times New Roman" w:eastAsia="宋体"/>
      <w:sz w:val="8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518</Words>
  <Characters>2957</Characters>
  <Lines>24</Lines>
  <Paragraphs>6</Paragraphs>
  <TotalTime>293</TotalTime>
  <ScaleCrop>false</ScaleCrop>
  <LinksUpToDate>false</LinksUpToDate>
  <CharactersWithSpaces>3469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2019-08-25T12:29:00Z</dcterms:created>
  <dc:creator>笑笑</dc:creator>
  <cp:lastModifiedBy>高兰</cp:lastModifiedBy>
  <dcterms:modified xsi:type="dcterms:W3CDTF">2019-11-08T02:21:14Z</dcterms:modified>
  <cp:revision>284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