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
    <w:p>
      <w:pPr/>
    </w:p>
    <w:p>
      <w:pPr/>
    </w:p>
    <w:p>
      <w:pPr/>
    </w:p>
    <w:p>
      <w:pPr>
        <w:jc w:val="center"/>
        <w:rPr>
          <w:b/>
          <w:sz w:val="48"/>
          <w:szCs w:val="48"/>
        </w:rPr>
      </w:pPr>
      <w:r>
        <w:rPr>
          <w:rFonts w:hint="eastAsia"/>
          <w:b/>
          <w:sz w:val="48"/>
          <w:szCs w:val="48"/>
        </w:rPr>
        <w:t>协会标准《绿色设计产品评价技术</w:t>
      </w:r>
    </w:p>
    <w:p>
      <w:pPr>
        <w:jc w:val="center"/>
        <w:rPr>
          <w:b/>
          <w:sz w:val="48"/>
          <w:szCs w:val="48"/>
        </w:rPr>
      </w:pPr>
      <w:r>
        <w:rPr>
          <w:rFonts w:hint="eastAsia"/>
          <w:b/>
          <w:sz w:val="48"/>
          <w:szCs w:val="48"/>
        </w:rPr>
        <w:t>规范 氢氧化锂》编制说明</w:t>
      </w:r>
    </w:p>
    <w:p>
      <w:pPr/>
    </w:p>
    <w:p>
      <w:pPr/>
    </w:p>
    <w:p>
      <w:pPr/>
    </w:p>
    <w:p>
      <w:pPr/>
    </w:p>
    <w:p>
      <w:pPr/>
    </w:p>
    <w:p>
      <w:pPr/>
    </w:p>
    <w:p>
      <w:pPr/>
    </w:p>
    <w:p>
      <w:pPr/>
    </w:p>
    <w:p>
      <w:pPr>
        <w:jc w:val="center"/>
        <w:rPr>
          <w:b/>
          <w:bCs/>
          <w:sz w:val="36"/>
          <w:szCs w:val="36"/>
        </w:rPr>
      </w:pPr>
    </w:p>
    <w:p>
      <w:pPr>
        <w:jc w:val="center"/>
        <w:rPr>
          <w:rFonts w:hint="eastAsia" w:eastAsiaTheme="minorEastAsia"/>
          <w:b/>
          <w:bCs/>
          <w:sz w:val="36"/>
          <w:szCs w:val="36"/>
          <w:lang w:eastAsia="zh-CN"/>
        </w:rPr>
      </w:pPr>
      <w:r>
        <w:rPr>
          <w:rFonts w:hint="eastAsia"/>
          <w:b/>
          <w:bCs/>
          <w:sz w:val="36"/>
          <w:szCs w:val="36"/>
          <w:lang w:eastAsia="zh-CN"/>
        </w:rPr>
        <w:t>（预审稿）</w:t>
      </w:r>
    </w:p>
    <w:p>
      <w:pPr/>
    </w:p>
    <w:p>
      <w:pPr/>
    </w:p>
    <w:p>
      <w:pPr/>
    </w:p>
    <w:p>
      <w:pPr/>
    </w:p>
    <w:p>
      <w:pPr/>
    </w:p>
    <w:p>
      <w:pPr/>
    </w:p>
    <w:p>
      <w:pPr/>
    </w:p>
    <w:p>
      <w:pPr/>
    </w:p>
    <w:p>
      <w:pPr/>
    </w:p>
    <w:p>
      <w:pPr/>
    </w:p>
    <w:p>
      <w:pPr/>
    </w:p>
    <w:p>
      <w:pPr/>
    </w:p>
    <w:p>
      <w:pPr/>
    </w:p>
    <w:p>
      <w:pPr/>
    </w:p>
    <w:p>
      <w:pPr/>
    </w:p>
    <w:p>
      <w:pPr/>
    </w:p>
    <w:p>
      <w:pPr/>
    </w:p>
    <w:p>
      <w:pPr/>
    </w:p>
    <w:p>
      <w:pPr/>
    </w:p>
    <w:p>
      <w:pPr/>
    </w:p>
    <w:p>
      <w:pPr>
        <w:jc w:val="center"/>
        <w:rPr>
          <w:b/>
          <w:sz w:val="32"/>
          <w:szCs w:val="32"/>
        </w:rPr>
      </w:pPr>
      <w:r>
        <w:rPr>
          <w:rFonts w:hint="eastAsia"/>
          <w:b/>
          <w:sz w:val="32"/>
          <w:szCs w:val="32"/>
        </w:rPr>
        <w:t>江西赣锋锂业股份有限公司</w:t>
      </w:r>
    </w:p>
    <w:p>
      <w:pPr>
        <w:jc w:val="center"/>
        <w:rPr>
          <w:b/>
          <w:sz w:val="32"/>
          <w:szCs w:val="32"/>
        </w:rPr>
      </w:pPr>
      <w:r>
        <w:rPr>
          <w:rFonts w:hint="eastAsia"/>
          <w:b/>
          <w:sz w:val="32"/>
          <w:szCs w:val="32"/>
        </w:rPr>
        <w:t>2019年</w:t>
      </w:r>
      <w:r>
        <w:rPr>
          <w:rFonts w:hint="eastAsia"/>
          <w:b/>
          <w:sz w:val="32"/>
          <w:szCs w:val="32"/>
          <w:lang w:val="en-US" w:eastAsia="zh-CN"/>
        </w:rPr>
        <w:t>10</w:t>
      </w:r>
      <w:r>
        <w:rPr>
          <w:rFonts w:hint="eastAsia"/>
          <w:b/>
          <w:sz w:val="32"/>
          <w:szCs w:val="32"/>
        </w:rPr>
        <w:t>月</w:t>
      </w:r>
    </w:p>
    <w:p>
      <w:pPr>
        <w:jc w:val="center"/>
        <w:rPr>
          <w:b/>
          <w:sz w:val="32"/>
          <w:szCs w:val="32"/>
        </w:rPr>
        <w:sectPr>
          <w:footerReference r:id="rId3"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1871381"/>
      </w:sdtPr>
      <w:sdtEndPr>
        <w:rPr>
          <w:rFonts w:asciiTheme="minorHAnsi" w:hAnsiTheme="minorHAnsi" w:eastAsiaTheme="minorEastAsia" w:cstheme="minorBidi"/>
          <w:b w:val="0"/>
          <w:bCs w:val="0"/>
          <w:color w:val="auto"/>
          <w:kern w:val="2"/>
          <w:sz w:val="21"/>
          <w:szCs w:val="22"/>
          <w:lang w:val="en-US"/>
        </w:rPr>
      </w:sdtEndPr>
      <w:sdtContent>
        <w:p>
          <w:pPr>
            <w:pStyle w:val="30"/>
            <w:jc w:val="center"/>
          </w:pPr>
          <w:r>
            <w:rPr>
              <w:color w:val="auto"/>
              <w:sz w:val="36"/>
              <w:szCs w:val="36"/>
              <w:lang w:val="zh-CN"/>
            </w:rPr>
            <w:t>目</w:t>
          </w:r>
          <w:r>
            <w:rPr>
              <w:rFonts w:hint="eastAsia"/>
              <w:color w:val="auto"/>
              <w:sz w:val="36"/>
              <w:szCs w:val="36"/>
              <w:lang w:val="zh-CN"/>
            </w:rPr>
            <w:t xml:space="preserve">  </w:t>
          </w:r>
          <w:r>
            <w:rPr>
              <w:color w:val="auto"/>
              <w:sz w:val="36"/>
              <w:szCs w:val="36"/>
              <w:lang w:val="zh-CN"/>
            </w:rPr>
            <w:t>录</w:t>
          </w:r>
        </w:p>
        <w:p>
          <w:pPr>
            <w:pStyle w:val="11"/>
            <w:tabs>
              <w:tab w:val="right" w:leader="dot" w:pos="8296"/>
            </w:tabs>
            <w:spacing w:line="360" w:lineRule="auto"/>
          </w:pPr>
          <w:r>
            <w:fldChar w:fldCharType="begin"/>
          </w:r>
          <w:r>
            <w:instrText xml:space="preserve"> TOC \o "1-3" \h \z \u </w:instrText>
          </w:r>
          <w:r>
            <w:fldChar w:fldCharType="separate"/>
          </w:r>
          <w:r>
            <w:fldChar w:fldCharType="begin"/>
          </w:r>
          <w:r>
            <w:instrText xml:space="preserve"> HYPERLINK \l "_Toc2844237" </w:instrText>
          </w:r>
          <w:r>
            <w:fldChar w:fldCharType="separate"/>
          </w:r>
          <w:r>
            <w:rPr>
              <w:rStyle w:val="17"/>
              <w:rFonts w:hint="eastAsia"/>
            </w:rPr>
            <w:t>一、工作简况</w:t>
          </w:r>
          <w:r>
            <w:tab/>
          </w:r>
          <w:r>
            <w:fldChar w:fldCharType="begin"/>
          </w:r>
          <w:r>
            <w:instrText xml:space="preserve"> PAGEREF _Toc2844237 \h </w:instrText>
          </w:r>
          <w:r>
            <w:fldChar w:fldCharType="separate"/>
          </w:r>
          <w:r>
            <w:t>3</w:t>
          </w:r>
          <w:r>
            <w:fldChar w:fldCharType="end"/>
          </w:r>
          <w:r>
            <w:fldChar w:fldCharType="end"/>
          </w:r>
        </w:p>
        <w:p>
          <w:pPr>
            <w:pStyle w:val="13"/>
            <w:tabs>
              <w:tab w:val="right" w:leader="dot" w:pos="8296"/>
            </w:tabs>
            <w:spacing w:line="360" w:lineRule="auto"/>
          </w:pPr>
          <w:r>
            <w:fldChar w:fldCharType="begin"/>
          </w:r>
          <w:r>
            <w:instrText xml:space="preserve"> HYPERLINK \l "_Toc2844238" </w:instrText>
          </w:r>
          <w:r>
            <w:fldChar w:fldCharType="separate"/>
          </w:r>
          <w:r>
            <w:rPr>
              <w:rStyle w:val="17"/>
            </w:rPr>
            <w:t>1.1</w:t>
          </w:r>
          <w:r>
            <w:rPr>
              <w:rStyle w:val="17"/>
              <w:rFonts w:hint="eastAsia"/>
            </w:rPr>
            <w:t>任务来源</w:t>
          </w:r>
          <w:r>
            <w:tab/>
          </w:r>
          <w:r>
            <w:fldChar w:fldCharType="begin"/>
          </w:r>
          <w:r>
            <w:instrText xml:space="preserve"> PAGEREF _Toc2844238 \h </w:instrText>
          </w:r>
          <w:r>
            <w:fldChar w:fldCharType="separate"/>
          </w:r>
          <w:r>
            <w:t>3</w:t>
          </w:r>
          <w:r>
            <w:fldChar w:fldCharType="end"/>
          </w:r>
          <w:r>
            <w:fldChar w:fldCharType="end"/>
          </w:r>
        </w:p>
        <w:p>
          <w:pPr>
            <w:pStyle w:val="13"/>
            <w:tabs>
              <w:tab w:val="right" w:leader="dot" w:pos="8296"/>
            </w:tabs>
            <w:spacing w:line="360" w:lineRule="auto"/>
          </w:pPr>
          <w:r>
            <w:fldChar w:fldCharType="begin"/>
          </w:r>
          <w:r>
            <w:instrText xml:space="preserve"> HYPERLINK \l "_Toc2844239" </w:instrText>
          </w:r>
          <w:r>
            <w:fldChar w:fldCharType="separate"/>
          </w:r>
          <w:r>
            <w:rPr>
              <w:rStyle w:val="17"/>
            </w:rPr>
            <w:t xml:space="preserve">1.2 </w:t>
          </w:r>
          <w:r>
            <w:rPr>
              <w:rStyle w:val="17"/>
              <w:rFonts w:hint="eastAsia"/>
            </w:rPr>
            <w:t>标准负责起草单位简介</w:t>
          </w:r>
          <w:r>
            <w:tab/>
          </w:r>
          <w:r>
            <w:fldChar w:fldCharType="begin"/>
          </w:r>
          <w:r>
            <w:instrText xml:space="preserve"> PAGEREF _Toc2844239 \h </w:instrText>
          </w:r>
          <w:r>
            <w:fldChar w:fldCharType="separate"/>
          </w:r>
          <w:r>
            <w:t>3</w:t>
          </w:r>
          <w:r>
            <w:fldChar w:fldCharType="end"/>
          </w:r>
          <w:r>
            <w:fldChar w:fldCharType="end"/>
          </w:r>
        </w:p>
        <w:p>
          <w:pPr>
            <w:pStyle w:val="13"/>
            <w:tabs>
              <w:tab w:val="right" w:leader="dot" w:pos="8296"/>
            </w:tabs>
            <w:spacing w:line="360" w:lineRule="auto"/>
          </w:pPr>
          <w:r>
            <w:fldChar w:fldCharType="begin"/>
          </w:r>
          <w:r>
            <w:instrText xml:space="preserve"> HYPERLINK \l "_Toc2844240" </w:instrText>
          </w:r>
          <w:r>
            <w:fldChar w:fldCharType="separate"/>
          </w:r>
          <w:r>
            <w:rPr>
              <w:rStyle w:val="17"/>
            </w:rPr>
            <w:t>1.3</w:t>
          </w:r>
          <w:r>
            <w:rPr>
              <w:rStyle w:val="17"/>
              <w:rFonts w:hint="eastAsia"/>
            </w:rPr>
            <w:t>主要工作过程</w:t>
          </w:r>
          <w:r>
            <w:tab/>
          </w:r>
          <w:r>
            <w:fldChar w:fldCharType="begin"/>
          </w:r>
          <w:r>
            <w:instrText xml:space="preserve"> PAGEREF _Toc2844240 \h </w:instrText>
          </w:r>
          <w:r>
            <w:fldChar w:fldCharType="separate"/>
          </w:r>
          <w:r>
            <w:t>3</w:t>
          </w:r>
          <w:r>
            <w:fldChar w:fldCharType="end"/>
          </w:r>
          <w:r>
            <w:fldChar w:fldCharType="end"/>
          </w:r>
        </w:p>
        <w:p>
          <w:pPr>
            <w:pStyle w:val="11"/>
            <w:tabs>
              <w:tab w:val="right" w:leader="dot" w:pos="8296"/>
            </w:tabs>
            <w:spacing w:line="360" w:lineRule="auto"/>
          </w:pPr>
          <w:r>
            <w:fldChar w:fldCharType="begin"/>
          </w:r>
          <w:r>
            <w:instrText xml:space="preserve"> HYPERLINK \l "_Toc2844241" </w:instrText>
          </w:r>
          <w:r>
            <w:fldChar w:fldCharType="separate"/>
          </w:r>
          <w:r>
            <w:rPr>
              <w:rStyle w:val="17"/>
              <w:rFonts w:hint="eastAsia"/>
            </w:rPr>
            <w:t>二、标准编制的必要性及编制原则</w:t>
          </w:r>
          <w:r>
            <w:tab/>
          </w:r>
          <w:r>
            <w:fldChar w:fldCharType="begin"/>
          </w:r>
          <w:r>
            <w:instrText xml:space="preserve"> PAGEREF _Toc2844241 \h </w:instrText>
          </w:r>
          <w:r>
            <w:fldChar w:fldCharType="separate"/>
          </w:r>
          <w:r>
            <w:t>3</w:t>
          </w:r>
          <w:r>
            <w:fldChar w:fldCharType="end"/>
          </w:r>
          <w:r>
            <w:fldChar w:fldCharType="end"/>
          </w:r>
        </w:p>
        <w:p>
          <w:pPr>
            <w:pStyle w:val="13"/>
            <w:tabs>
              <w:tab w:val="right" w:leader="dot" w:pos="8296"/>
            </w:tabs>
            <w:spacing w:line="360" w:lineRule="auto"/>
          </w:pPr>
          <w:r>
            <w:fldChar w:fldCharType="begin"/>
          </w:r>
          <w:r>
            <w:instrText xml:space="preserve"> HYPERLINK \l "_Toc2844242" </w:instrText>
          </w:r>
          <w:r>
            <w:fldChar w:fldCharType="separate"/>
          </w:r>
          <w:r>
            <w:rPr>
              <w:rStyle w:val="17"/>
            </w:rPr>
            <w:t>2.1</w:t>
          </w:r>
          <w:r>
            <w:rPr>
              <w:rStyle w:val="17"/>
              <w:rFonts w:hint="eastAsia"/>
            </w:rPr>
            <w:t>标准编制的必要性</w:t>
          </w:r>
          <w:r>
            <w:tab/>
          </w:r>
          <w:r>
            <w:fldChar w:fldCharType="begin"/>
          </w:r>
          <w:r>
            <w:instrText xml:space="preserve"> PAGEREF _Toc2844242 \h </w:instrText>
          </w:r>
          <w:r>
            <w:fldChar w:fldCharType="separate"/>
          </w:r>
          <w:r>
            <w:t>3</w:t>
          </w:r>
          <w:r>
            <w:fldChar w:fldCharType="end"/>
          </w:r>
          <w:r>
            <w:fldChar w:fldCharType="end"/>
          </w:r>
        </w:p>
        <w:p>
          <w:pPr>
            <w:pStyle w:val="13"/>
            <w:tabs>
              <w:tab w:val="right" w:leader="dot" w:pos="8296"/>
            </w:tabs>
            <w:spacing w:line="360" w:lineRule="auto"/>
          </w:pPr>
          <w:r>
            <w:fldChar w:fldCharType="begin"/>
          </w:r>
          <w:r>
            <w:instrText xml:space="preserve"> HYPERLINK \l "_Toc2844243" </w:instrText>
          </w:r>
          <w:r>
            <w:fldChar w:fldCharType="separate"/>
          </w:r>
          <w:r>
            <w:rPr>
              <w:rStyle w:val="17"/>
            </w:rPr>
            <w:t>2.2</w:t>
          </w:r>
          <w:r>
            <w:rPr>
              <w:rStyle w:val="17"/>
              <w:rFonts w:hint="eastAsia"/>
            </w:rPr>
            <w:t>编制原则</w:t>
          </w:r>
          <w:r>
            <w:tab/>
          </w:r>
          <w:r>
            <w:fldChar w:fldCharType="begin"/>
          </w:r>
          <w:r>
            <w:instrText xml:space="preserve"> PAGEREF _Toc2844243 \h </w:instrText>
          </w:r>
          <w:r>
            <w:fldChar w:fldCharType="separate"/>
          </w:r>
          <w:r>
            <w:t>4</w:t>
          </w:r>
          <w:r>
            <w:fldChar w:fldCharType="end"/>
          </w:r>
          <w:r>
            <w:fldChar w:fldCharType="end"/>
          </w:r>
        </w:p>
        <w:p>
          <w:pPr>
            <w:pStyle w:val="11"/>
            <w:tabs>
              <w:tab w:val="right" w:leader="dot" w:pos="8296"/>
            </w:tabs>
            <w:spacing w:line="360" w:lineRule="auto"/>
          </w:pPr>
          <w:r>
            <w:fldChar w:fldCharType="begin"/>
          </w:r>
          <w:r>
            <w:instrText xml:space="preserve"> HYPERLINK \l "_Toc2844244" </w:instrText>
          </w:r>
          <w:r>
            <w:fldChar w:fldCharType="separate"/>
          </w:r>
          <w:r>
            <w:rPr>
              <w:rStyle w:val="17"/>
              <w:rFonts w:hint="eastAsia"/>
            </w:rPr>
            <w:t>三、标准的主要内容</w:t>
          </w:r>
          <w:r>
            <w:tab/>
          </w:r>
          <w:r>
            <w:fldChar w:fldCharType="begin"/>
          </w:r>
          <w:r>
            <w:instrText xml:space="preserve"> PAGEREF _Toc2844244 \h </w:instrText>
          </w:r>
          <w:r>
            <w:fldChar w:fldCharType="separate"/>
          </w:r>
          <w:r>
            <w:t>4</w:t>
          </w:r>
          <w:r>
            <w:fldChar w:fldCharType="end"/>
          </w:r>
          <w:r>
            <w:fldChar w:fldCharType="end"/>
          </w:r>
        </w:p>
        <w:p>
          <w:pPr>
            <w:pStyle w:val="11"/>
            <w:tabs>
              <w:tab w:val="right" w:leader="dot" w:pos="8296"/>
            </w:tabs>
            <w:spacing w:line="360" w:lineRule="auto"/>
          </w:pPr>
          <w:r>
            <w:fldChar w:fldCharType="begin"/>
          </w:r>
          <w:r>
            <w:instrText xml:space="preserve"> HYPERLINK \l "_Toc2844245" </w:instrText>
          </w:r>
          <w:r>
            <w:fldChar w:fldCharType="separate"/>
          </w:r>
          <w:r>
            <w:rPr>
              <w:rStyle w:val="17"/>
              <w:rFonts w:hint="eastAsia"/>
            </w:rPr>
            <w:t>四、采用国际标准和国外先进标准的情况</w:t>
          </w:r>
          <w:r>
            <w:tab/>
          </w:r>
          <w:r>
            <w:fldChar w:fldCharType="begin"/>
          </w:r>
          <w:r>
            <w:instrText xml:space="preserve"> PAGEREF _Toc2844245 \h </w:instrText>
          </w:r>
          <w:r>
            <w:fldChar w:fldCharType="separate"/>
          </w:r>
          <w:r>
            <w:t>15</w:t>
          </w:r>
          <w:r>
            <w:fldChar w:fldCharType="end"/>
          </w:r>
          <w:r>
            <w:fldChar w:fldCharType="end"/>
          </w:r>
        </w:p>
        <w:p>
          <w:pPr>
            <w:pStyle w:val="11"/>
            <w:tabs>
              <w:tab w:val="right" w:leader="dot" w:pos="8296"/>
            </w:tabs>
            <w:spacing w:line="360" w:lineRule="auto"/>
          </w:pPr>
          <w:r>
            <w:fldChar w:fldCharType="begin"/>
          </w:r>
          <w:r>
            <w:instrText xml:space="preserve"> HYPERLINK \l "_Toc2844246" </w:instrText>
          </w:r>
          <w:r>
            <w:fldChar w:fldCharType="separate"/>
          </w:r>
          <w:r>
            <w:rPr>
              <w:rStyle w:val="17"/>
              <w:rFonts w:hint="eastAsia"/>
            </w:rPr>
            <w:t>五、与有关现行法律、法规和强制性国家标准的关系</w:t>
          </w:r>
          <w:r>
            <w:tab/>
          </w:r>
          <w:r>
            <w:fldChar w:fldCharType="begin"/>
          </w:r>
          <w:r>
            <w:instrText xml:space="preserve"> PAGEREF _Toc2844246 \h </w:instrText>
          </w:r>
          <w:r>
            <w:fldChar w:fldCharType="separate"/>
          </w:r>
          <w:r>
            <w:t>15</w:t>
          </w:r>
          <w:r>
            <w:fldChar w:fldCharType="end"/>
          </w:r>
          <w:r>
            <w:fldChar w:fldCharType="end"/>
          </w:r>
        </w:p>
        <w:p>
          <w:pPr>
            <w:pStyle w:val="11"/>
            <w:tabs>
              <w:tab w:val="right" w:leader="dot" w:pos="8296"/>
            </w:tabs>
            <w:spacing w:line="360" w:lineRule="auto"/>
          </w:pPr>
          <w:r>
            <w:fldChar w:fldCharType="begin"/>
          </w:r>
          <w:r>
            <w:instrText xml:space="preserve"> HYPERLINK \l "_Toc2844247" </w:instrText>
          </w:r>
          <w:r>
            <w:fldChar w:fldCharType="separate"/>
          </w:r>
          <w:r>
            <w:rPr>
              <w:rStyle w:val="17"/>
              <w:rFonts w:hint="eastAsia"/>
            </w:rPr>
            <w:t>六、重大分歧意见的处理经过和依据</w:t>
          </w:r>
          <w:r>
            <w:tab/>
          </w:r>
          <w:r>
            <w:fldChar w:fldCharType="begin"/>
          </w:r>
          <w:r>
            <w:instrText xml:space="preserve"> PAGEREF _Toc2844247 \h </w:instrText>
          </w:r>
          <w:r>
            <w:fldChar w:fldCharType="separate"/>
          </w:r>
          <w:r>
            <w:t>15</w:t>
          </w:r>
          <w:r>
            <w:fldChar w:fldCharType="end"/>
          </w:r>
          <w:r>
            <w:fldChar w:fldCharType="end"/>
          </w:r>
        </w:p>
        <w:p>
          <w:pPr>
            <w:pStyle w:val="11"/>
            <w:tabs>
              <w:tab w:val="right" w:leader="dot" w:pos="8296"/>
            </w:tabs>
            <w:spacing w:line="360" w:lineRule="auto"/>
          </w:pPr>
          <w:r>
            <w:fldChar w:fldCharType="begin"/>
          </w:r>
          <w:r>
            <w:instrText xml:space="preserve"> HYPERLINK \l "_Toc2844248" </w:instrText>
          </w:r>
          <w:r>
            <w:fldChar w:fldCharType="separate"/>
          </w:r>
          <w:r>
            <w:rPr>
              <w:rStyle w:val="17"/>
              <w:rFonts w:hint="eastAsia"/>
            </w:rPr>
            <w:t>七、标准作为强制性标准或推荐性标准的建议</w:t>
          </w:r>
          <w:r>
            <w:tab/>
          </w:r>
          <w:r>
            <w:fldChar w:fldCharType="begin"/>
          </w:r>
          <w:r>
            <w:instrText xml:space="preserve"> PAGEREF _Toc2844248 \h </w:instrText>
          </w:r>
          <w:r>
            <w:fldChar w:fldCharType="separate"/>
          </w:r>
          <w:r>
            <w:t>15</w:t>
          </w:r>
          <w:r>
            <w:fldChar w:fldCharType="end"/>
          </w:r>
          <w:r>
            <w:fldChar w:fldCharType="end"/>
          </w:r>
        </w:p>
        <w:p>
          <w:pPr>
            <w:pStyle w:val="11"/>
            <w:tabs>
              <w:tab w:val="right" w:leader="dot" w:pos="8296"/>
            </w:tabs>
            <w:spacing w:line="360" w:lineRule="auto"/>
          </w:pPr>
          <w:r>
            <w:fldChar w:fldCharType="begin"/>
          </w:r>
          <w:r>
            <w:instrText xml:space="preserve"> HYPERLINK \l "_Toc2844249" </w:instrText>
          </w:r>
          <w:r>
            <w:fldChar w:fldCharType="separate"/>
          </w:r>
          <w:r>
            <w:rPr>
              <w:rStyle w:val="17"/>
              <w:rFonts w:hint="eastAsia"/>
            </w:rPr>
            <w:t>八、贯彻标准的要求和措施建议</w:t>
          </w:r>
          <w:r>
            <w:tab/>
          </w:r>
          <w:r>
            <w:fldChar w:fldCharType="begin"/>
          </w:r>
          <w:r>
            <w:instrText xml:space="preserve"> PAGEREF _Toc2844249 \h </w:instrText>
          </w:r>
          <w:r>
            <w:fldChar w:fldCharType="separate"/>
          </w:r>
          <w:r>
            <w:t>15</w:t>
          </w:r>
          <w:r>
            <w:fldChar w:fldCharType="end"/>
          </w:r>
          <w:r>
            <w:fldChar w:fldCharType="end"/>
          </w:r>
        </w:p>
        <w:p>
          <w:pPr>
            <w:pStyle w:val="11"/>
            <w:tabs>
              <w:tab w:val="right" w:leader="dot" w:pos="8296"/>
            </w:tabs>
            <w:spacing w:line="360" w:lineRule="auto"/>
          </w:pPr>
          <w:r>
            <w:fldChar w:fldCharType="begin"/>
          </w:r>
          <w:r>
            <w:instrText xml:space="preserve"> HYPERLINK \l "_Toc2844250" </w:instrText>
          </w:r>
          <w:r>
            <w:fldChar w:fldCharType="separate"/>
          </w:r>
          <w:r>
            <w:rPr>
              <w:rStyle w:val="17"/>
              <w:rFonts w:hint="eastAsia"/>
            </w:rPr>
            <w:t>九、废止现行有关标准的建议</w:t>
          </w:r>
          <w:r>
            <w:tab/>
          </w:r>
          <w:r>
            <w:fldChar w:fldCharType="begin"/>
          </w:r>
          <w:r>
            <w:instrText xml:space="preserve"> PAGEREF _Toc2844250 \h </w:instrText>
          </w:r>
          <w:r>
            <w:fldChar w:fldCharType="separate"/>
          </w:r>
          <w:r>
            <w:t>15</w:t>
          </w:r>
          <w:r>
            <w:fldChar w:fldCharType="end"/>
          </w:r>
          <w:r>
            <w:fldChar w:fldCharType="end"/>
          </w:r>
        </w:p>
        <w:p>
          <w:pPr>
            <w:pStyle w:val="11"/>
            <w:tabs>
              <w:tab w:val="right" w:leader="dot" w:pos="8296"/>
            </w:tabs>
            <w:spacing w:line="360" w:lineRule="auto"/>
          </w:pPr>
          <w:r>
            <w:fldChar w:fldCharType="begin"/>
          </w:r>
          <w:r>
            <w:instrText xml:space="preserve"> HYPERLINK \l "_Toc2844251" </w:instrText>
          </w:r>
          <w:r>
            <w:fldChar w:fldCharType="separate"/>
          </w:r>
          <w:r>
            <w:rPr>
              <w:rStyle w:val="17"/>
              <w:rFonts w:hint="eastAsia"/>
            </w:rPr>
            <w:t>十、其他应予说明的事项</w:t>
          </w:r>
          <w:r>
            <w:tab/>
          </w:r>
          <w:r>
            <w:fldChar w:fldCharType="begin"/>
          </w:r>
          <w:r>
            <w:instrText xml:space="preserve"> PAGEREF _Toc2844251 \h </w:instrText>
          </w:r>
          <w:r>
            <w:fldChar w:fldCharType="separate"/>
          </w:r>
          <w:r>
            <w:t>15</w:t>
          </w:r>
          <w:r>
            <w:fldChar w:fldCharType="end"/>
          </w:r>
          <w:r>
            <w:fldChar w:fldCharType="end"/>
          </w:r>
        </w:p>
        <w:p>
          <w:pPr>
            <w:pStyle w:val="11"/>
            <w:tabs>
              <w:tab w:val="right" w:leader="dot" w:pos="8296"/>
            </w:tabs>
            <w:spacing w:line="360" w:lineRule="auto"/>
          </w:pPr>
          <w:r>
            <w:fldChar w:fldCharType="begin"/>
          </w:r>
          <w:r>
            <w:instrText xml:space="preserve"> HYPERLINK \l "_Toc2844252" </w:instrText>
          </w:r>
          <w:r>
            <w:fldChar w:fldCharType="separate"/>
          </w:r>
          <w:r>
            <w:rPr>
              <w:rStyle w:val="17"/>
              <w:rFonts w:hint="eastAsia"/>
            </w:rPr>
            <w:t>附表一：</w:t>
          </w:r>
          <w:r>
            <w:tab/>
          </w:r>
          <w:r>
            <w:rPr>
              <w:rFonts w:hint="eastAsia"/>
            </w:rPr>
            <w:t>9</w:t>
          </w:r>
          <w:r>
            <w:rPr>
              <w:rFonts w:hint="eastAsia"/>
            </w:rPr>
            <w:fldChar w:fldCharType="end"/>
          </w:r>
        </w:p>
        <w:p>
          <w:pPr>
            <w:pStyle w:val="11"/>
            <w:tabs>
              <w:tab w:val="right" w:leader="dot" w:pos="8296"/>
            </w:tabs>
            <w:spacing w:line="360" w:lineRule="auto"/>
          </w:pPr>
          <w:r>
            <w:fldChar w:fldCharType="begin"/>
          </w:r>
          <w:r>
            <w:instrText xml:space="preserve"> HYPERLINK \l "_Toc2844253" </w:instrText>
          </w:r>
          <w:r>
            <w:fldChar w:fldCharType="separate"/>
          </w:r>
          <w:r>
            <w:rPr>
              <w:rStyle w:val="17"/>
              <w:rFonts w:hint="eastAsia"/>
            </w:rPr>
            <w:t>附表二：</w:t>
          </w:r>
          <w:r>
            <w:tab/>
          </w:r>
          <w:r>
            <w:rPr>
              <w:rFonts w:hint="eastAsia"/>
            </w:rPr>
            <w:t>1</w:t>
          </w:r>
          <w:r>
            <w:rPr>
              <w:rFonts w:hint="eastAsia"/>
            </w:rPr>
            <w:fldChar w:fldCharType="end"/>
          </w:r>
          <w:r>
            <w:rPr>
              <w:rFonts w:hint="eastAsia"/>
            </w:rPr>
            <w:t>1</w:t>
          </w:r>
        </w:p>
        <w:p>
          <w:pPr>
            <w:spacing w:line="360" w:lineRule="auto"/>
          </w:pPr>
          <w:r>
            <w:fldChar w:fldCharType="end"/>
          </w:r>
        </w:p>
      </w:sdtContent>
    </w:sdt>
    <w:p>
      <w:pPr>
        <w:snapToGrid w:val="0"/>
        <w:spacing w:before="79" w:line="360" w:lineRule="auto"/>
        <w:ind w:firstLine="480" w:firstLineChars="200"/>
        <w:rPr>
          <w:rFonts w:ascii="Calibri" w:hAnsi="Calibri" w:eastAsia="宋体" w:cs="Times New Roman"/>
          <w:sz w:val="24"/>
          <w:szCs w:val="24"/>
        </w:rPr>
      </w:pPr>
    </w:p>
    <w:p>
      <w:pPr>
        <w:snapToGrid w:val="0"/>
        <w:spacing w:before="79" w:line="360" w:lineRule="auto"/>
        <w:ind w:firstLine="480" w:firstLineChars="200"/>
        <w:rPr>
          <w:rFonts w:ascii="Calibri" w:hAnsi="Calibri" w:eastAsia="宋体" w:cs="Times New Roman"/>
          <w:sz w:val="24"/>
          <w:szCs w:val="24"/>
        </w:rPr>
      </w:pPr>
    </w:p>
    <w:p>
      <w:pPr>
        <w:snapToGrid w:val="0"/>
        <w:spacing w:before="79" w:line="360" w:lineRule="auto"/>
        <w:ind w:firstLine="480" w:firstLineChars="200"/>
        <w:rPr>
          <w:rFonts w:ascii="Calibri" w:hAnsi="Calibri" w:eastAsia="宋体" w:cs="Times New Roman"/>
          <w:sz w:val="24"/>
          <w:szCs w:val="24"/>
        </w:rPr>
        <w:sectPr>
          <w:pgSz w:w="11906" w:h="16838"/>
          <w:pgMar w:top="1440" w:right="1800" w:bottom="1440" w:left="1800" w:header="851" w:footer="992" w:gutter="0"/>
          <w:pgNumType w:fmt="lowerRoman"/>
          <w:cols w:space="425" w:num="1"/>
          <w:docGrid w:type="lines" w:linePitch="312" w:charSpace="0"/>
        </w:sectPr>
      </w:pPr>
    </w:p>
    <w:p>
      <w:pPr>
        <w:pStyle w:val="2"/>
        <w:spacing w:before="0" w:beforeAutospacing="0" w:after="0" w:afterAutospacing="0" w:line="360" w:lineRule="auto"/>
        <w:rPr>
          <w:sz w:val="24"/>
          <w:szCs w:val="24"/>
        </w:rPr>
      </w:pPr>
      <w:bookmarkStart w:id="0" w:name="_Toc2844237"/>
      <w:r>
        <w:rPr>
          <w:rFonts w:hint="eastAsia"/>
          <w:sz w:val="24"/>
          <w:szCs w:val="24"/>
        </w:rPr>
        <w:t>一、工作简况</w:t>
      </w:r>
      <w:bookmarkEnd w:id="0"/>
    </w:p>
    <w:p>
      <w:pPr>
        <w:pStyle w:val="3"/>
        <w:spacing w:before="0" w:after="0" w:line="360" w:lineRule="auto"/>
        <w:rPr>
          <w:sz w:val="21"/>
          <w:szCs w:val="21"/>
        </w:rPr>
      </w:pPr>
      <w:bookmarkStart w:id="1" w:name="_Toc2844238"/>
      <w:r>
        <w:rPr>
          <w:rFonts w:hint="eastAsia"/>
          <w:sz w:val="21"/>
          <w:szCs w:val="21"/>
        </w:rPr>
        <w:t>1.1任务来源</w:t>
      </w:r>
      <w:bookmarkEnd w:id="1"/>
    </w:p>
    <w:p>
      <w:pPr>
        <w:rPr>
          <w:rFonts w:ascii="宋体" w:hAnsi="宋体" w:eastAsia="宋体" w:cs="Times New Roman"/>
          <w:szCs w:val="21"/>
        </w:rPr>
      </w:pPr>
      <w:r>
        <w:rPr>
          <w:rFonts w:hint="eastAsia" w:ascii="宋体" w:hAnsi="宋体" w:eastAsia="宋体" w:cs="Times New Roman"/>
          <w:szCs w:val="21"/>
        </w:rPr>
        <w:t xml:space="preserve">    根据</w:t>
      </w:r>
      <w:r>
        <w:rPr>
          <w:rFonts w:hint="eastAsia" w:ascii="Times New Roman"/>
          <w:szCs w:val="21"/>
        </w:rPr>
        <w:t>中国有色金属工业协会文件，标准《绿色设计产品评价技术规范</w:t>
      </w:r>
      <w:r>
        <w:rPr>
          <w:rFonts w:ascii="Times New Roman"/>
          <w:szCs w:val="21"/>
        </w:rPr>
        <w:t xml:space="preserve"> </w:t>
      </w:r>
      <w:r>
        <w:rPr>
          <w:rFonts w:hint="eastAsia" w:ascii="Times New Roman"/>
          <w:szCs w:val="21"/>
        </w:rPr>
        <w:t>氢氧化锂》</w:t>
      </w:r>
      <w:r>
        <w:rPr>
          <w:rFonts w:hint="eastAsia" w:ascii="宋体" w:hAnsi="宋体" w:eastAsia="宋体" w:cs="Times New Roman"/>
          <w:szCs w:val="21"/>
        </w:rPr>
        <w:t>，计划号：2018-074-T/CNIA，</w:t>
      </w:r>
      <w:r>
        <w:rPr>
          <w:rFonts w:hint="eastAsia" w:ascii="Times New Roman"/>
          <w:szCs w:val="21"/>
        </w:rPr>
        <w:t>列入2018年第三批有色金属协会标准计划项目，由江西赣锋锂业股份有限公司牵头负责</w:t>
      </w:r>
      <w:r>
        <w:rPr>
          <w:rFonts w:hint="eastAsia" w:ascii="宋体" w:hAnsi="宋体" w:eastAsia="宋体" w:cs="Times New Roman"/>
          <w:szCs w:val="21"/>
        </w:rPr>
        <w:t>《绿色设计产品评价技术规范 氢氧化锂》起草制订，计划完成年限2020年。</w:t>
      </w:r>
    </w:p>
    <w:p>
      <w:pPr>
        <w:pStyle w:val="3"/>
        <w:spacing w:before="0" w:after="0" w:line="360" w:lineRule="auto"/>
        <w:rPr>
          <w:sz w:val="21"/>
          <w:szCs w:val="21"/>
        </w:rPr>
      </w:pPr>
      <w:bookmarkStart w:id="2" w:name="_Toc2844239"/>
      <w:r>
        <w:rPr>
          <w:rFonts w:hint="eastAsia"/>
          <w:sz w:val="21"/>
          <w:szCs w:val="21"/>
        </w:rPr>
        <w:t>1.2 标准负责起草单位简介</w:t>
      </w:r>
      <w:bookmarkEnd w:id="2"/>
    </w:p>
    <w:p>
      <w:pPr>
        <w:snapToGrid w:val="0"/>
        <w:spacing w:line="360" w:lineRule="auto"/>
        <w:ind w:firstLine="420" w:firstLineChars="200"/>
        <w:rPr>
          <w:rFonts w:ascii="宋体" w:hAnsi="宋体" w:eastAsia="宋体" w:cs="Times New Roman"/>
          <w:sz w:val="24"/>
          <w:szCs w:val="24"/>
        </w:rPr>
      </w:pPr>
      <w:r>
        <w:rPr>
          <w:rFonts w:hint="eastAsia" w:ascii="宋体" w:hAnsi="宋体" w:eastAsia="宋体" w:cs="Times New Roman"/>
          <w:szCs w:val="21"/>
        </w:rPr>
        <w:t>江西赣锋锂业股份有限公司是全球第三大、中国最大的锂化合物生产商及全球最大的金属锂生产商。公司在锂行业多个产品的市场份额占据领先地位。其中，金属锂产量全球排名第一，占全球47%的市场份额；氢氧化锂产量在全球及中国均排名第一，占全球30%的市场份额；碳酸锂产量在全球排名第四，占全球10%的市场份额；氟化锂产量国内第一，占全球45%以上，国内70%以上市场份额。通过多年的技术创新，公司取得了系列科研成果：研发电池级磷酸二氢锂、电池级金属锂、高钠金属锂粒子等3个国家级重点新产品和低磁性电池级氢氧化锂、电池级硫酸镍、三元前驱体等31个省级重新产品。主持（参与）起草《无水氯化锂》、《金属锂》、《锂带》等3项国家标准和《正丁基锂》、《电池级氧化锂》等16项行业标准。申请国家专利161项，其中发明专利103项，获授权国家专利101项，其中获授权国家发明专利46项。承担国家 863 计划项目、国家产业振兴与技术改造项目、国家火炬计划项目等省级以上项目30余项，荣获省部级科技奖励12项，其中江西省技发明奖二等奖3项。</w:t>
      </w:r>
    </w:p>
    <w:p>
      <w:pPr>
        <w:pStyle w:val="3"/>
        <w:spacing w:before="0" w:after="0" w:line="360" w:lineRule="auto"/>
        <w:rPr>
          <w:sz w:val="21"/>
          <w:szCs w:val="21"/>
        </w:rPr>
      </w:pPr>
      <w:bookmarkStart w:id="3" w:name="_Toc2844240"/>
      <w:r>
        <w:rPr>
          <w:rFonts w:hint="eastAsia"/>
          <w:sz w:val="21"/>
          <w:szCs w:val="21"/>
        </w:rPr>
        <w:t>1.3主要工作过程</w:t>
      </w:r>
      <w:bookmarkEnd w:id="3"/>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2018年10月初，江西赣锋锂业股份有限公司接到《绿色设计产品评价技术规范 氢氧化锂》的制定任务后，成立了标准编制工作组，确认了各成员的工作任务和职责，制定了工作计划和进度安排，确定了制定原则。</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2018年12月底，公司内部组织标准编写培训，同时确定所要编写标准的基本框架。本标准在编制过程中，查阅了大量国内外相关文献资料及相关企业的企业标准，咨询企业的使用要求，进行了资料收集，经过综合考虑与讨论，最后形成了该标准的讨论稿。</w:t>
      </w:r>
    </w:p>
    <w:p>
      <w:pPr>
        <w:snapToGrid w:val="0"/>
        <w:spacing w:line="360" w:lineRule="auto"/>
        <w:ind w:firstLine="420" w:firstLineChars="200"/>
        <w:rPr>
          <w:szCs w:val="21"/>
        </w:rPr>
      </w:pPr>
      <w:r>
        <w:rPr>
          <w:rFonts w:hint="eastAsia" w:ascii="宋体" w:hAnsi="宋体" w:eastAsia="宋体" w:cs="Times New Roman"/>
          <w:szCs w:val="21"/>
        </w:rPr>
        <w:t>2019年6月18日，由全国有色金属标准化技术委员会组织在江西宜春召开本标准的征求意见讨论会。与会单位有江西赣锋锂业股份有限公司、天齐锂业股份有限公司、</w:t>
      </w:r>
      <w:r>
        <w:rPr>
          <w:rFonts w:hint="eastAsia"/>
          <w:szCs w:val="21"/>
        </w:rPr>
        <w:t>新疆有色金属研究所、</w:t>
      </w:r>
      <w:r>
        <w:fldChar w:fldCharType="begin"/>
      </w:r>
      <w:r>
        <w:instrText xml:space="preserve"> HYPERLINK "http://www.baidu.com/link?url=OMxGyIHCaMsHD9EfmYlyRejf4MfI5bt3C-boDfTOts5gxT0JyxFw8xeVDc7YwTfX" \t "_blank" </w:instrText>
      </w:r>
      <w:r>
        <w:fldChar w:fldCharType="separate"/>
      </w:r>
      <w:r>
        <w:rPr>
          <w:szCs w:val="21"/>
        </w:rPr>
        <w:t>江西东鹏新材料有限责任公司</w:t>
      </w:r>
      <w:r>
        <w:rPr>
          <w:szCs w:val="21"/>
        </w:rPr>
        <w:fldChar w:fldCharType="end"/>
      </w:r>
      <w:r>
        <w:rPr>
          <w:rFonts w:hint="eastAsia"/>
          <w:szCs w:val="21"/>
        </w:rPr>
        <w:t>、</w:t>
      </w:r>
      <w:r>
        <w:fldChar w:fldCharType="begin"/>
      </w:r>
      <w:r>
        <w:instrText xml:space="preserve"> HYPERLINK "http://www.baidu.com/link?url=w3S61SOzkw7WTkY5fdFUyHVBUXA5z9v35OGyphenY_VwiRveDC61pqeRSOykLCTW0gwvjpvs32tSJ6SpvsYPeJ_jWb1tbxchcTEtQcrQD43" \t "_blank" </w:instrText>
      </w:r>
      <w:r>
        <w:fldChar w:fldCharType="separate"/>
      </w:r>
      <w:r>
        <w:rPr>
          <w:szCs w:val="21"/>
        </w:rPr>
        <w:t>江西南氏锂电新材料有限公司</w:t>
      </w:r>
      <w:r>
        <w:rPr>
          <w:szCs w:val="21"/>
        </w:rPr>
        <w:fldChar w:fldCharType="end"/>
      </w:r>
      <w:r>
        <w:rPr>
          <w:rFonts w:hint="eastAsia"/>
          <w:szCs w:val="21"/>
        </w:rPr>
        <w:t>、</w:t>
      </w:r>
      <w:r>
        <w:fldChar w:fldCharType="begin"/>
      </w:r>
      <w:r>
        <w:instrText xml:space="preserve"> HYPERLINK "http://www.baidu.com/link?url=AfOs9lDjrUbLV5xUviK0TsIv38EYP3kF3ZGDgeY15RQcf-oFfADgJVRcDMBTkvPl" \t "_blank" </w:instrText>
      </w:r>
      <w:r>
        <w:fldChar w:fldCharType="separate"/>
      </w:r>
      <w:r>
        <w:rPr>
          <w:szCs w:val="21"/>
        </w:rPr>
        <w:t>四川雅化实业集团股份有限公司</w:t>
      </w:r>
      <w:r>
        <w:rPr>
          <w:szCs w:val="21"/>
        </w:rPr>
        <w:fldChar w:fldCharType="end"/>
      </w:r>
      <w:r>
        <w:rPr>
          <w:rFonts w:hint="eastAsia"/>
          <w:szCs w:val="21"/>
        </w:rPr>
        <w:t>、</w:t>
      </w:r>
      <w:r>
        <w:fldChar w:fldCharType="begin"/>
      </w:r>
      <w:r>
        <w:instrText xml:space="preserve"> HYPERLINK "http://www.baidu.com/link?url=w86L014RsagYqBvSsOK3saCZtU4CQdR8M4hM-ApidfO" \t "_blank" </w:instrText>
      </w:r>
      <w:r>
        <w:fldChar w:fldCharType="separate"/>
      </w:r>
      <w:r>
        <w:rPr>
          <w:szCs w:val="21"/>
        </w:rPr>
        <w:t>江苏容汇通用锂业股份有限公司</w:t>
      </w:r>
      <w:r>
        <w:rPr>
          <w:szCs w:val="21"/>
        </w:rPr>
        <w:fldChar w:fldCharType="end"/>
      </w:r>
      <w:r>
        <w:rPr>
          <w:rFonts w:hint="eastAsia"/>
          <w:szCs w:val="21"/>
        </w:rPr>
        <w:t>、浙江衢州永正锂电科技有限公司、宜春银锂新能源有限责任公司等多家锂盐制造生产企业以及</w:t>
      </w:r>
      <w:r>
        <w:rPr>
          <w:rFonts w:hint="eastAsia" w:ascii="宋体" w:hAnsi="宋体" w:eastAsia="宋体" w:cs="Times New Roman"/>
          <w:szCs w:val="21"/>
        </w:rPr>
        <w:t>江西赣锋循环科技有限公司、</w:t>
      </w:r>
      <w:r>
        <w:fldChar w:fldCharType="begin"/>
      </w:r>
      <w:r>
        <w:instrText xml:space="preserve"> HYPERLINK "http://www.baidu.com/link?url=naMA4HvNXtmOaXsPHnH3ZiRNwAXLXzKTH8_XBkVavwPCABkKVixA1zjxsfNvK08O" \t "_blank" </w:instrText>
      </w:r>
      <w:r>
        <w:fldChar w:fldCharType="separate"/>
      </w:r>
      <w:r>
        <w:rPr>
          <w:szCs w:val="21"/>
        </w:rPr>
        <w:t>广东邦普循环科技有限公司</w:t>
      </w:r>
      <w:r>
        <w:rPr>
          <w:szCs w:val="21"/>
        </w:rPr>
        <w:fldChar w:fldCharType="end"/>
      </w:r>
      <w:r>
        <w:rPr>
          <w:rFonts w:hint="eastAsia"/>
          <w:szCs w:val="21"/>
        </w:rPr>
        <w:t>等电池、废料回收单位就本标准的征求意见稿进行了讨论。</w:t>
      </w:r>
    </w:p>
    <w:p>
      <w:pPr>
        <w:snapToGrid w:val="0"/>
        <w:spacing w:line="360" w:lineRule="auto"/>
        <w:ind w:firstLine="420" w:firstLineChars="200"/>
        <w:rPr>
          <w:szCs w:val="21"/>
        </w:rPr>
      </w:pPr>
      <w:r>
        <w:rPr>
          <w:rFonts w:hint="eastAsia"/>
          <w:szCs w:val="21"/>
        </w:rPr>
        <w:t>2019年6月～9月，</w:t>
      </w:r>
      <w:r>
        <w:rPr>
          <w:rFonts w:hint="eastAsia" w:ascii="宋体" w:hAnsi="宋体" w:eastAsia="宋体" w:cs="Times New Roman"/>
          <w:szCs w:val="21"/>
        </w:rPr>
        <w:t>标准编制工作组根据宜春会议讨论情况，并结合各家生产单位提出的意见和建议，整理后形成《绿色设计产品评价技术规范 氢氧化锂》协会标准的预审稿。</w:t>
      </w:r>
    </w:p>
    <w:p>
      <w:pPr>
        <w:pStyle w:val="2"/>
        <w:spacing w:before="0" w:beforeAutospacing="0" w:after="0" w:afterAutospacing="0" w:line="360" w:lineRule="auto"/>
        <w:rPr>
          <w:sz w:val="24"/>
          <w:szCs w:val="24"/>
        </w:rPr>
      </w:pPr>
      <w:bookmarkStart w:id="4" w:name="_Toc2844241"/>
      <w:r>
        <w:rPr>
          <w:rFonts w:hint="eastAsia"/>
          <w:sz w:val="24"/>
          <w:szCs w:val="24"/>
        </w:rPr>
        <w:t>二、标准编制的必要性及编制原则</w:t>
      </w:r>
      <w:bookmarkEnd w:id="4"/>
    </w:p>
    <w:p>
      <w:pPr>
        <w:pStyle w:val="3"/>
        <w:spacing w:before="0" w:after="0" w:line="360" w:lineRule="auto"/>
        <w:rPr>
          <w:sz w:val="21"/>
          <w:szCs w:val="21"/>
        </w:rPr>
      </w:pPr>
      <w:bookmarkStart w:id="5" w:name="_Toc2844242"/>
      <w:r>
        <w:rPr>
          <w:rFonts w:hint="eastAsia"/>
          <w:sz w:val="21"/>
          <w:szCs w:val="21"/>
        </w:rPr>
        <w:t>2.1标准编制的必要性</w:t>
      </w:r>
      <w:bookmarkEnd w:id="5"/>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目前全球锂资源需求持续加速。除了新能源汽车引领的需求快速增长，3C领域也维持了稳定增长。2017-2020年，全球锂需求分别为23.2/26.2/30.1/35.2万吨，增速分别为10.5%、12.63%、15.1%、16.9%。</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2018年全球氢氧化锂产能达8万吨，到2019年底，全球氢氧化锂产能预计达到12万吨。</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中国制造2025》报告指出:加快制造业绿色改造升级，积极推行低碳化、循环化和集约化；强化产品全生命周期绿色管理，全面推进钢铁、有色、化工、建材、轻工等传统制造业绿色改造；积极构建绿色制造体系，支持企业开展绿色产品，推形生态设计，显著提高产品节能环保低碳水平，引导绿色生产，建设绿色工厂，实现厂房集约化、原料无害化、生产洁净化、能源低碳化。壮大绿色企业，强化绿化监督，开展绿色评价。</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虽然中国是锂盐的生产大国，但迄今为止，仍然没有氢氧化锂相关的绿色设计产品评价技术规范，说明我国的有色行业的标准仍然不完善。因此，我公司希望与各锂盐企业一起完成本标准的制定来完善和规范氢氧化锂的绿色生产，从而进一步规范和引领全国锂盐行业加快绿色工厂的建设，同时对促进我国有色行业的持续、健康发展</w:t>
      </w:r>
      <w:r>
        <w:rPr>
          <w:rFonts w:ascii="宋体" w:hAnsi="宋体" w:eastAsia="宋体" w:cs="Times New Roman"/>
          <w:szCs w:val="21"/>
        </w:rPr>
        <w:t>具有</w:t>
      </w:r>
      <w:r>
        <w:rPr>
          <w:rFonts w:hint="eastAsia" w:ascii="宋体" w:hAnsi="宋体" w:eastAsia="宋体" w:cs="Times New Roman"/>
          <w:szCs w:val="21"/>
        </w:rPr>
        <w:t>重要</w:t>
      </w:r>
      <w:r>
        <w:rPr>
          <w:rFonts w:ascii="宋体" w:hAnsi="宋体" w:eastAsia="宋体" w:cs="Times New Roman"/>
          <w:szCs w:val="21"/>
        </w:rPr>
        <w:t>的意义</w:t>
      </w:r>
      <w:r>
        <w:rPr>
          <w:rFonts w:hint="eastAsia" w:ascii="宋体" w:hAnsi="宋体" w:eastAsia="宋体" w:cs="Times New Roman"/>
          <w:szCs w:val="21"/>
        </w:rPr>
        <w:t>。</w:t>
      </w:r>
    </w:p>
    <w:p>
      <w:pPr>
        <w:pStyle w:val="3"/>
        <w:spacing w:before="0" w:after="0" w:line="360" w:lineRule="auto"/>
        <w:rPr>
          <w:sz w:val="21"/>
          <w:szCs w:val="21"/>
        </w:rPr>
      </w:pPr>
      <w:bookmarkStart w:id="6" w:name="_Toc2844243"/>
      <w:r>
        <w:rPr>
          <w:rFonts w:hint="eastAsia"/>
          <w:sz w:val="21"/>
          <w:szCs w:val="21"/>
        </w:rPr>
        <w:t>2.2编制原则</w:t>
      </w:r>
      <w:bookmarkEnd w:id="6"/>
    </w:p>
    <w:p>
      <w:pPr>
        <w:snapToGrid w:val="0"/>
        <w:spacing w:line="360" w:lineRule="auto"/>
        <w:rPr>
          <w:rFonts w:ascii="宋体" w:hAnsi="宋体" w:eastAsia="宋体" w:cs="Times New Roman"/>
          <w:szCs w:val="21"/>
        </w:rPr>
      </w:pPr>
      <w:r>
        <w:rPr>
          <w:rFonts w:hint="eastAsia" w:ascii="宋体" w:hAnsi="宋体" w:eastAsia="宋体" w:cs="Times New Roman"/>
          <w:szCs w:val="21"/>
        </w:rPr>
        <w:t xml:space="preserve">    本标准的制定工作遵循“统一性、协调性、适用性、一致性、规范性”的原则，本着先进性、科学性、合理性和可操作性的原则，按照GB/T1.1《</w:t>
      </w:r>
      <w:r>
        <w:rPr>
          <w:rFonts w:ascii="宋体" w:hAnsi="宋体" w:eastAsia="宋体" w:cs="Times New Roman"/>
          <w:szCs w:val="21"/>
        </w:rPr>
        <w:t>标准化工作导则 第1部分：标准的结构和编写</w:t>
      </w:r>
      <w:r>
        <w:rPr>
          <w:rFonts w:hint="eastAsia" w:ascii="宋体" w:hAnsi="宋体" w:eastAsia="宋体" w:cs="Times New Roman"/>
          <w:szCs w:val="21"/>
        </w:rPr>
        <w:t>》给出的规则编写。</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本标准的编制充分考虑生产企业的产品质量和相关单位的意见，同时要确保用户的需求，为氢氧化锂生产企业提供满意的绿色原料。</w:t>
      </w:r>
    </w:p>
    <w:p>
      <w:pPr>
        <w:pStyle w:val="2"/>
        <w:numPr>
          <w:ilvl w:val="0"/>
          <w:numId w:val="2"/>
        </w:numPr>
        <w:spacing w:before="0" w:beforeAutospacing="0" w:after="0" w:afterAutospacing="0" w:line="360" w:lineRule="auto"/>
        <w:rPr>
          <w:sz w:val="24"/>
          <w:szCs w:val="24"/>
        </w:rPr>
      </w:pPr>
      <w:bookmarkStart w:id="7" w:name="_Toc2844244"/>
      <w:r>
        <w:rPr>
          <w:rFonts w:hint="eastAsia"/>
          <w:sz w:val="24"/>
          <w:szCs w:val="24"/>
        </w:rPr>
        <w:t>标准主要内容的</w:t>
      </w:r>
      <w:bookmarkEnd w:id="7"/>
      <w:r>
        <w:rPr>
          <w:rFonts w:hint="eastAsia"/>
          <w:sz w:val="24"/>
          <w:szCs w:val="24"/>
        </w:rPr>
        <w:t>确定依据</w:t>
      </w:r>
    </w:p>
    <w:p>
      <w:pPr>
        <w:snapToGrid w:val="0"/>
        <w:spacing w:line="360" w:lineRule="auto"/>
        <w:rPr>
          <w:rFonts w:ascii="宋体" w:hAnsi="宋体" w:eastAsia="宋体" w:cs="Times New Roman"/>
          <w:szCs w:val="21"/>
        </w:rPr>
      </w:pPr>
      <w:r>
        <w:rPr>
          <w:rFonts w:hint="eastAsia" w:ascii="宋体" w:hAnsi="宋体" w:eastAsia="宋体" w:cs="Times New Roman"/>
          <w:szCs w:val="21"/>
        </w:rPr>
        <w:t>3.1 基本要求的确定</w:t>
      </w:r>
    </w:p>
    <w:p>
      <w:pPr>
        <w:snapToGrid w:val="0"/>
        <w:spacing w:line="360" w:lineRule="auto"/>
        <w:rPr>
          <w:rFonts w:ascii="宋体" w:hAnsi="宋体" w:eastAsia="宋体" w:cs="Times New Roman"/>
          <w:szCs w:val="21"/>
        </w:rPr>
      </w:pPr>
      <w:r>
        <w:rPr>
          <w:rFonts w:hint="eastAsia" w:ascii="宋体" w:hAnsi="宋体" w:eastAsia="宋体" w:cs="Times New Roman"/>
          <w:szCs w:val="21"/>
        </w:rPr>
        <w:t xml:space="preserve">    生产企业污染物中生产污水、生活污水、工业废气、锅炉烟气、窑炉烟气排放达到国家相关标准要求。生产企业按照质量管理体系、环境管理体系、职业健康安全管理体系要求进行管理。</w:t>
      </w:r>
    </w:p>
    <w:p>
      <w:pPr>
        <w:snapToGrid w:val="0"/>
        <w:spacing w:line="360" w:lineRule="auto"/>
        <w:rPr>
          <w:rFonts w:ascii="宋体" w:hAnsi="宋体" w:eastAsia="宋体" w:cs="Times New Roman"/>
          <w:szCs w:val="21"/>
        </w:rPr>
      </w:pPr>
      <w:r>
        <w:rPr>
          <w:rFonts w:hint="eastAsia" w:ascii="宋体" w:hAnsi="宋体" w:eastAsia="宋体" w:cs="Times New Roman"/>
          <w:szCs w:val="21"/>
        </w:rPr>
        <w:t>3.2 评价指标及要求的确定</w:t>
      </w:r>
    </w:p>
    <w:p>
      <w:pPr>
        <w:snapToGrid w:val="0"/>
        <w:spacing w:line="360" w:lineRule="auto"/>
        <w:rPr>
          <w:rFonts w:ascii="宋体" w:hAnsi="宋体" w:eastAsia="宋体" w:cs="Times New Roman"/>
          <w:szCs w:val="21"/>
        </w:rPr>
      </w:pPr>
      <w:r>
        <w:rPr>
          <w:rFonts w:hint="eastAsia" w:ascii="宋体" w:hAnsi="宋体" w:eastAsia="宋体" w:cs="Times New Roman"/>
          <w:szCs w:val="21"/>
        </w:rPr>
        <w:t xml:space="preserve">    氢氧化锂的评价指标按 GB/T 32161《生态设计产品评价通则》要求从资源能源的消耗，以及对环境和人体健康造成影响的角度进行选取，包括资源属性、能源属性、环境属性和质量属性指标。氢氧化锂产品的评价指标名称、基准值、判定依据等要求见表 1。</w:t>
      </w:r>
    </w:p>
    <w:p>
      <w:pPr>
        <w:widowControl/>
        <w:jc w:val="center"/>
        <w:rPr>
          <w:szCs w:val="21"/>
        </w:rPr>
      </w:pPr>
      <w:r>
        <w:rPr>
          <w:rFonts w:hint="eastAsia"/>
          <w:szCs w:val="21"/>
        </w:rPr>
        <w:t>表1  氢氧化锂产品评价指标</w:t>
      </w:r>
    </w:p>
    <w:tbl>
      <w:tblPr>
        <w:tblStyle w:val="18"/>
        <w:tblW w:w="90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26"/>
        <w:gridCol w:w="2231"/>
        <w:gridCol w:w="856"/>
        <w:gridCol w:w="1305"/>
        <w:gridCol w:w="2391"/>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blHeader/>
          <w:jc w:val="center"/>
        </w:trPr>
        <w:tc>
          <w:tcPr>
            <w:tcW w:w="1226" w:type="dxa"/>
          </w:tcPr>
          <w:p>
            <w:pPr>
              <w:jc w:val="center"/>
              <w:rPr>
                <w:color w:val="000000" w:themeColor="text1"/>
                <w:szCs w:val="21"/>
              </w:rPr>
            </w:pPr>
            <w:r>
              <w:rPr>
                <w:rFonts w:hint="eastAsia"/>
                <w:color w:val="000000" w:themeColor="text1"/>
                <w:szCs w:val="21"/>
              </w:rPr>
              <w:t>一级指标</w:t>
            </w:r>
          </w:p>
        </w:tc>
        <w:tc>
          <w:tcPr>
            <w:tcW w:w="2231" w:type="dxa"/>
          </w:tcPr>
          <w:p>
            <w:pPr>
              <w:jc w:val="center"/>
              <w:rPr>
                <w:color w:val="000000" w:themeColor="text1"/>
                <w:szCs w:val="21"/>
              </w:rPr>
            </w:pPr>
            <w:r>
              <w:rPr>
                <w:rFonts w:hint="eastAsia"/>
                <w:color w:val="000000" w:themeColor="text1"/>
                <w:szCs w:val="21"/>
              </w:rPr>
              <w:t>二级指标</w:t>
            </w:r>
          </w:p>
        </w:tc>
        <w:tc>
          <w:tcPr>
            <w:tcW w:w="856" w:type="dxa"/>
          </w:tcPr>
          <w:p>
            <w:pPr>
              <w:jc w:val="center"/>
              <w:rPr>
                <w:color w:val="000000" w:themeColor="text1"/>
                <w:szCs w:val="21"/>
              </w:rPr>
            </w:pPr>
            <w:r>
              <w:rPr>
                <w:rFonts w:hint="eastAsia"/>
                <w:color w:val="000000" w:themeColor="text1"/>
                <w:szCs w:val="21"/>
              </w:rPr>
              <w:t>单位</w:t>
            </w:r>
          </w:p>
        </w:tc>
        <w:tc>
          <w:tcPr>
            <w:tcW w:w="1305" w:type="dxa"/>
          </w:tcPr>
          <w:p>
            <w:pPr>
              <w:jc w:val="center"/>
              <w:rPr>
                <w:color w:val="000000" w:themeColor="text1"/>
                <w:szCs w:val="21"/>
              </w:rPr>
            </w:pPr>
            <w:r>
              <w:rPr>
                <w:rFonts w:hint="eastAsia"/>
                <w:color w:val="000000" w:themeColor="text1"/>
                <w:szCs w:val="21"/>
              </w:rPr>
              <w:t>基准值</w:t>
            </w:r>
          </w:p>
        </w:tc>
        <w:tc>
          <w:tcPr>
            <w:tcW w:w="2391" w:type="dxa"/>
          </w:tcPr>
          <w:p>
            <w:pPr>
              <w:jc w:val="center"/>
              <w:rPr>
                <w:color w:val="000000" w:themeColor="text1"/>
                <w:szCs w:val="21"/>
              </w:rPr>
            </w:pPr>
            <w:r>
              <w:rPr>
                <w:rFonts w:hint="eastAsia"/>
                <w:color w:val="000000" w:themeColor="text1"/>
                <w:szCs w:val="21"/>
              </w:rPr>
              <w:t>判断依据</w:t>
            </w:r>
          </w:p>
        </w:tc>
        <w:tc>
          <w:tcPr>
            <w:tcW w:w="1056" w:type="dxa"/>
          </w:tcPr>
          <w:p>
            <w:pPr>
              <w:jc w:val="center"/>
              <w:rPr>
                <w:color w:val="000000" w:themeColor="text1"/>
                <w:szCs w:val="21"/>
              </w:rPr>
            </w:pPr>
            <w:r>
              <w:rPr>
                <w:rFonts w:hint="eastAsia"/>
                <w:color w:val="000000" w:themeColor="text1"/>
                <w:szCs w:val="21"/>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tcPr>
          <w:p>
            <w:pPr>
              <w:jc w:val="center"/>
              <w:rPr>
                <w:rFonts w:hint="eastAsia" w:asciiTheme="minorEastAsia" w:hAnsiTheme="minorEastAsia" w:eastAsiaTheme="minorEastAsia" w:cstheme="minorEastAsia"/>
                <w:color w:val="000000" w:themeColor="text1"/>
                <w:sz w:val="21"/>
                <w:szCs w:val="21"/>
              </w:rPr>
            </w:pPr>
            <w:bookmarkStart w:id="17" w:name="_GoBack" w:colFirst="0" w:colLast="2"/>
            <w:r>
              <w:rPr>
                <w:rFonts w:hint="eastAsia" w:asciiTheme="minorEastAsia" w:hAnsiTheme="minorEastAsia" w:eastAsiaTheme="minorEastAsia" w:cstheme="minorEastAsia"/>
                <w:color w:val="000000" w:themeColor="text1"/>
                <w:sz w:val="21"/>
                <w:szCs w:val="21"/>
              </w:rPr>
              <w:t>资源属性</w:t>
            </w:r>
          </w:p>
        </w:tc>
        <w:tc>
          <w:tcPr>
            <w:tcW w:w="2231"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单位产品锂辉石利用率</w:t>
            </w:r>
          </w:p>
        </w:tc>
        <w:tc>
          <w:tcPr>
            <w:tcW w:w="856"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t>
            </w:r>
          </w:p>
        </w:tc>
        <w:tc>
          <w:tcPr>
            <w:tcW w:w="1305" w:type="dxa"/>
            <w:vAlign w:val="center"/>
          </w:tcPr>
          <w:p>
            <w:pPr>
              <w:jc w:val="center"/>
              <w:rPr>
                <w:color w:val="000000" w:themeColor="text1"/>
                <w:szCs w:val="21"/>
              </w:rPr>
            </w:pPr>
            <w:r>
              <w:rPr>
                <w:rFonts w:hint="eastAsia"/>
                <w:color w:val="000000" w:themeColor="text1"/>
                <w:szCs w:val="21"/>
              </w:rPr>
              <w:t>86</w:t>
            </w:r>
          </w:p>
        </w:tc>
        <w:tc>
          <w:tcPr>
            <w:tcW w:w="2391" w:type="dxa"/>
          </w:tcPr>
          <w:p>
            <w:pPr>
              <w:jc w:val="center"/>
              <w:rPr>
                <w:color w:val="000000" w:themeColor="text1"/>
                <w:szCs w:val="21"/>
              </w:rPr>
            </w:pPr>
            <w:r>
              <w:rPr>
                <w:rFonts w:hint="eastAsia"/>
                <w:color w:val="000000" w:themeColor="text1"/>
                <w:szCs w:val="21"/>
              </w:rPr>
              <w:t>现场数据</w:t>
            </w:r>
          </w:p>
        </w:tc>
        <w:tc>
          <w:tcPr>
            <w:tcW w:w="1056" w:type="dxa"/>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restart"/>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能源属性</w:t>
            </w:r>
          </w:p>
        </w:tc>
        <w:tc>
          <w:tcPr>
            <w:tcW w:w="2231" w:type="dxa"/>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w:t>
            </w:r>
          </w:p>
        </w:tc>
        <w:tc>
          <w:tcPr>
            <w:tcW w:w="856" w:type="dxa"/>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Kwh/t</w:t>
            </w:r>
          </w:p>
        </w:tc>
        <w:tc>
          <w:tcPr>
            <w:tcW w:w="1305" w:type="dxa"/>
          </w:tcPr>
          <w:p>
            <w:pPr>
              <w:jc w:val="center"/>
              <w:rPr>
                <w:color w:val="000000" w:themeColor="text1"/>
                <w:szCs w:val="21"/>
              </w:rPr>
            </w:pPr>
            <w:r>
              <w:rPr>
                <w:rFonts w:hint="eastAsia"/>
                <w:color w:val="000000" w:themeColor="text1"/>
                <w:szCs w:val="21"/>
              </w:rPr>
              <w:t>≤3500</w:t>
            </w:r>
          </w:p>
        </w:tc>
        <w:tc>
          <w:tcPr>
            <w:tcW w:w="2391" w:type="dxa"/>
          </w:tcPr>
          <w:p>
            <w:pPr>
              <w:jc w:val="center"/>
              <w:rPr>
                <w:color w:val="000000" w:themeColor="text1"/>
                <w:szCs w:val="21"/>
              </w:rPr>
            </w:pPr>
            <w:r>
              <w:rPr>
                <w:rFonts w:hint="eastAsia"/>
                <w:color w:val="000000" w:themeColor="text1"/>
                <w:szCs w:val="21"/>
              </w:rPr>
              <w:t>现场数据</w:t>
            </w:r>
          </w:p>
        </w:tc>
        <w:tc>
          <w:tcPr>
            <w:tcW w:w="1056" w:type="dxa"/>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tcPr>
          <w:p>
            <w:pPr>
              <w:jc w:val="center"/>
              <w:rPr>
                <w:rFonts w:hint="eastAsia" w:asciiTheme="minorEastAsia" w:hAnsiTheme="minorEastAsia" w:eastAsiaTheme="minorEastAsia" w:cstheme="minorEastAsia"/>
                <w:color w:val="000000" w:themeColor="text1"/>
                <w:sz w:val="21"/>
                <w:szCs w:val="21"/>
              </w:rPr>
            </w:pPr>
          </w:p>
        </w:tc>
        <w:tc>
          <w:tcPr>
            <w:tcW w:w="2231"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烟煤</w:t>
            </w:r>
          </w:p>
        </w:tc>
        <w:tc>
          <w:tcPr>
            <w:tcW w:w="856"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kg/t</w:t>
            </w:r>
          </w:p>
        </w:tc>
        <w:tc>
          <w:tcPr>
            <w:tcW w:w="1305" w:type="dxa"/>
            <w:vAlign w:val="center"/>
          </w:tcPr>
          <w:p>
            <w:pPr>
              <w:jc w:val="center"/>
              <w:rPr>
                <w:color w:val="000000" w:themeColor="text1"/>
                <w:szCs w:val="21"/>
              </w:rPr>
            </w:pPr>
            <w:r>
              <w:rPr>
                <w:rFonts w:hint="eastAsia"/>
                <w:color w:val="000000" w:themeColor="text1"/>
                <w:szCs w:val="21"/>
              </w:rPr>
              <w:t>≤700</w:t>
            </w:r>
          </w:p>
        </w:tc>
        <w:tc>
          <w:tcPr>
            <w:tcW w:w="2391" w:type="dxa"/>
          </w:tcPr>
          <w:p>
            <w:pPr>
              <w:jc w:val="center"/>
              <w:rPr>
                <w:color w:val="000000" w:themeColor="text1"/>
                <w:szCs w:val="21"/>
              </w:rPr>
            </w:pPr>
            <w:r>
              <w:rPr>
                <w:rFonts w:hint="eastAsia"/>
                <w:color w:val="000000" w:themeColor="text1"/>
                <w:szCs w:val="21"/>
              </w:rPr>
              <w:t>现场数据</w:t>
            </w:r>
          </w:p>
        </w:tc>
        <w:tc>
          <w:tcPr>
            <w:tcW w:w="1056" w:type="dxa"/>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tcPr>
          <w:p>
            <w:pPr>
              <w:jc w:val="center"/>
              <w:rPr>
                <w:rFonts w:hint="eastAsia" w:asciiTheme="minorEastAsia" w:hAnsiTheme="minorEastAsia" w:eastAsiaTheme="minorEastAsia" w:cstheme="minorEastAsia"/>
                <w:color w:val="000000" w:themeColor="text1"/>
                <w:sz w:val="21"/>
                <w:szCs w:val="21"/>
              </w:rPr>
            </w:pPr>
          </w:p>
        </w:tc>
        <w:tc>
          <w:tcPr>
            <w:tcW w:w="2231"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无烟煤</w:t>
            </w:r>
          </w:p>
        </w:tc>
        <w:tc>
          <w:tcPr>
            <w:tcW w:w="856"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kg/t</w:t>
            </w:r>
          </w:p>
        </w:tc>
        <w:tc>
          <w:tcPr>
            <w:tcW w:w="1305" w:type="dxa"/>
            <w:vAlign w:val="center"/>
          </w:tcPr>
          <w:p>
            <w:pPr>
              <w:jc w:val="center"/>
              <w:rPr>
                <w:color w:val="000000" w:themeColor="text1"/>
                <w:szCs w:val="21"/>
              </w:rPr>
            </w:pPr>
            <w:r>
              <w:rPr>
                <w:rFonts w:hint="eastAsia"/>
                <w:color w:val="000000" w:themeColor="text1"/>
                <w:szCs w:val="21"/>
              </w:rPr>
              <w:t>≤850</w:t>
            </w:r>
          </w:p>
        </w:tc>
        <w:tc>
          <w:tcPr>
            <w:tcW w:w="2391" w:type="dxa"/>
          </w:tcPr>
          <w:p>
            <w:pPr>
              <w:jc w:val="center"/>
              <w:rPr>
                <w:color w:val="000000" w:themeColor="text1"/>
                <w:szCs w:val="21"/>
              </w:rPr>
            </w:pPr>
            <w:r>
              <w:rPr>
                <w:rFonts w:hint="eastAsia"/>
                <w:color w:val="000000" w:themeColor="text1"/>
                <w:szCs w:val="21"/>
              </w:rPr>
              <w:t>现场数据</w:t>
            </w:r>
          </w:p>
        </w:tc>
        <w:tc>
          <w:tcPr>
            <w:tcW w:w="1056" w:type="dxa"/>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tcPr>
          <w:p>
            <w:pPr>
              <w:jc w:val="center"/>
              <w:rPr>
                <w:rFonts w:hint="eastAsia" w:asciiTheme="minorEastAsia" w:hAnsiTheme="minorEastAsia" w:eastAsiaTheme="minorEastAsia" w:cstheme="minorEastAsia"/>
                <w:color w:val="000000" w:themeColor="text1"/>
                <w:sz w:val="21"/>
                <w:szCs w:val="21"/>
              </w:rPr>
            </w:pPr>
          </w:p>
        </w:tc>
        <w:tc>
          <w:tcPr>
            <w:tcW w:w="2231"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综合能耗</w:t>
            </w:r>
          </w:p>
        </w:tc>
        <w:tc>
          <w:tcPr>
            <w:tcW w:w="856"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highlight w:val="none"/>
              </w:rPr>
              <w:t>kg</w:t>
            </w:r>
            <w:r>
              <w:rPr>
                <w:rFonts w:hint="eastAsia" w:asciiTheme="minorEastAsia" w:hAnsiTheme="minorEastAsia" w:eastAsiaTheme="minorEastAsia" w:cstheme="minorEastAsia"/>
                <w:color w:val="000000" w:themeColor="text1"/>
                <w:sz w:val="21"/>
                <w:szCs w:val="21"/>
                <w:highlight w:val="none"/>
                <w:lang w:val="en-US" w:eastAsia="zh-CN"/>
              </w:rPr>
              <w:t>ce</w:t>
            </w:r>
            <w:r>
              <w:rPr>
                <w:rFonts w:hint="eastAsia" w:asciiTheme="minorEastAsia" w:hAnsiTheme="minorEastAsia" w:eastAsiaTheme="minorEastAsia" w:cstheme="minorEastAsia"/>
                <w:color w:val="000000" w:themeColor="text1"/>
                <w:sz w:val="21"/>
                <w:szCs w:val="21"/>
                <w:highlight w:val="none"/>
              </w:rPr>
              <w:t>/t</w:t>
            </w:r>
          </w:p>
        </w:tc>
        <w:tc>
          <w:tcPr>
            <w:tcW w:w="1305" w:type="dxa"/>
            <w:vAlign w:val="center"/>
          </w:tcPr>
          <w:p>
            <w:pPr>
              <w:jc w:val="center"/>
              <w:rPr>
                <w:color w:val="000000" w:themeColor="text1"/>
                <w:szCs w:val="21"/>
              </w:rPr>
            </w:pPr>
            <w:r>
              <w:rPr>
                <w:rFonts w:hint="eastAsia"/>
                <w:color w:val="000000" w:themeColor="text1"/>
                <w:szCs w:val="21"/>
              </w:rPr>
              <w:t>≤2677</w:t>
            </w:r>
          </w:p>
        </w:tc>
        <w:tc>
          <w:tcPr>
            <w:tcW w:w="2391" w:type="dxa"/>
          </w:tcPr>
          <w:p>
            <w:pPr>
              <w:jc w:val="center"/>
              <w:rPr>
                <w:color w:val="000000" w:themeColor="text1"/>
                <w:szCs w:val="21"/>
              </w:rPr>
            </w:pPr>
            <w:r>
              <w:rPr>
                <w:rFonts w:hint="eastAsia"/>
                <w:color w:val="000000" w:themeColor="text1"/>
                <w:szCs w:val="21"/>
              </w:rPr>
              <w:t>现场数据</w:t>
            </w:r>
          </w:p>
        </w:tc>
        <w:tc>
          <w:tcPr>
            <w:tcW w:w="1056" w:type="dxa"/>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restart"/>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质量属性</w:t>
            </w:r>
          </w:p>
        </w:tc>
        <w:tc>
          <w:tcPr>
            <w:tcW w:w="2231"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产品种类</w:t>
            </w:r>
          </w:p>
        </w:tc>
        <w:tc>
          <w:tcPr>
            <w:tcW w:w="4552" w:type="dxa"/>
            <w:gridSpan w:val="3"/>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满足GB/T 8766《单水氢氧化锂》、</w:t>
            </w:r>
          </w:p>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GB/T 26008《电池级单水氢氧化锂》产品要求</w:t>
            </w:r>
          </w:p>
        </w:tc>
        <w:tc>
          <w:tcPr>
            <w:tcW w:w="1056" w:type="dxa"/>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tcPr>
          <w:p>
            <w:pPr>
              <w:jc w:val="center"/>
              <w:rPr>
                <w:rFonts w:hint="eastAsia" w:asciiTheme="minorEastAsia" w:hAnsiTheme="minorEastAsia" w:eastAsiaTheme="minorEastAsia" w:cstheme="minorEastAsia"/>
                <w:color w:val="000000" w:themeColor="text1"/>
                <w:sz w:val="21"/>
                <w:szCs w:val="21"/>
              </w:rPr>
            </w:pPr>
          </w:p>
        </w:tc>
        <w:tc>
          <w:tcPr>
            <w:tcW w:w="2231" w:type="dxa"/>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产品合格率</w:t>
            </w:r>
          </w:p>
        </w:tc>
        <w:tc>
          <w:tcPr>
            <w:tcW w:w="856" w:type="dxa"/>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w:t>
            </w:r>
          </w:p>
        </w:tc>
        <w:tc>
          <w:tcPr>
            <w:tcW w:w="1305" w:type="dxa"/>
          </w:tcPr>
          <w:p>
            <w:pPr>
              <w:jc w:val="center"/>
              <w:rPr>
                <w:color w:val="000000" w:themeColor="text1"/>
                <w:szCs w:val="21"/>
              </w:rPr>
            </w:pPr>
            <w:r>
              <w:rPr>
                <w:rFonts w:hint="eastAsia"/>
                <w:color w:val="000000" w:themeColor="text1"/>
                <w:szCs w:val="21"/>
              </w:rPr>
              <w:t>100</w:t>
            </w:r>
          </w:p>
        </w:tc>
        <w:tc>
          <w:tcPr>
            <w:tcW w:w="2391" w:type="dxa"/>
          </w:tcPr>
          <w:p>
            <w:pPr>
              <w:jc w:val="center"/>
              <w:rPr>
                <w:color w:val="000000" w:themeColor="text1"/>
                <w:szCs w:val="21"/>
              </w:rPr>
            </w:pPr>
            <w:r>
              <w:rPr>
                <w:rFonts w:hint="eastAsia"/>
                <w:color w:val="000000" w:themeColor="text1"/>
                <w:szCs w:val="21"/>
              </w:rPr>
              <w:t>现场数据</w:t>
            </w:r>
          </w:p>
        </w:tc>
        <w:tc>
          <w:tcPr>
            <w:tcW w:w="1056" w:type="dxa"/>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restart"/>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环境属性</w:t>
            </w:r>
          </w:p>
        </w:tc>
        <w:tc>
          <w:tcPr>
            <w:tcW w:w="2231"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达标排放与总量控制率</w:t>
            </w:r>
          </w:p>
        </w:tc>
        <w:tc>
          <w:tcPr>
            <w:tcW w:w="856"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t>
            </w:r>
          </w:p>
        </w:tc>
        <w:tc>
          <w:tcPr>
            <w:tcW w:w="1305" w:type="dxa"/>
            <w:vAlign w:val="center"/>
          </w:tcPr>
          <w:p>
            <w:pPr>
              <w:jc w:val="center"/>
              <w:rPr>
                <w:color w:val="000000" w:themeColor="text1"/>
                <w:szCs w:val="21"/>
              </w:rPr>
            </w:pPr>
            <w:r>
              <w:rPr>
                <w:rFonts w:hint="eastAsia"/>
                <w:color w:val="000000" w:themeColor="text1"/>
                <w:szCs w:val="21"/>
              </w:rPr>
              <w:t>1</w:t>
            </w:r>
            <w:r>
              <w:rPr>
                <w:color w:val="000000" w:themeColor="text1"/>
                <w:szCs w:val="21"/>
              </w:rPr>
              <w:t>00</w:t>
            </w:r>
          </w:p>
        </w:tc>
        <w:tc>
          <w:tcPr>
            <w:tcW w:w="2391" w:type="dxa"/>
          </w:tcPr>
          <w:p>
            <w:pPr>
              <w:jc w:val="center"/>
              <w:rPr>
                <w:color w:val="000000" w:themeColor="text1"/>
                <w:szCs w:val="21"/>
              </w:rPr>
            </w:pPr>
            <w:r>
              <w:rPr>
                <w:rFonts w:hint="eastAsia"/>
                <w:color w:val="000000" w:themeColor="text1"/>
                <w:szCs w:val="21"/>
              </w:rPr>
              <w:t>现场数据</w:t>
            </w:r>
          </w:p>
        </w:tc>
        <w:tc>
          <w:tcPr>
            <w:tcW w:w="1056" w:type="dxa"/>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tcPr>
          <w:p>
            <w:pPr>
              <w:jc w:val="center"/>
              <w:rPr>
                <w:rFonts w:hint="eastAsia" w:asciiTheme="minorEastAsia" w:hAnsiTheme="minorEastAsia" w:eastAsiaTheme="minorEastAsia" w:cstheme="minorEastAsia"/>
                <w:color w:val="000000" w:themeColor="text1"/>
                <w:sz w:val="21"/>
                <w:szCs w:val="21"/>
              </w:rPr>
            </w:pPr>
          </w:p>
        </w:tc>
        <w:tc>
          <w:tcPr>
            <w:tcW w:w="2231"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污染物产生指标</w:t>
            </w:r>
          </w:p>
        </w:tc>
        <w:tc>
          <w:tcPr>
            <w:tcW w:w="856"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t>
            </w:r>
          </w:p>
        </w:tc>
        <w:tc>
          <w:tcPr>
            <w:tcW w:w="3696" w:type="dxa"/>
            <w:gridSpan w:val="2"/>
            <w:vAlign w:val="center"/>
          </w:tcPr>
          <w:p>
            <w:pPr>
              <w:jc w:val="center"/>
              <w:rPr>
                <w:color w:val="000000" w:themeColor="text1"/>
                <w:szCs w:val="21"/>
              </w:rPr>
            </w:pPr>
            <w:r>
              <w:rPr>
                <w:rFonts w:hint="eastAsia"/>
                <w:color w:val="000000" w:themeColor="text1"/>
                <w:sz w:val="21"/>
                <w:szCs w:val="21"/>
              </w:rPr>
              <w:t>符合</w:t>
            </w:r>
            <w:r>
              <w:rPr>
                <w:sz w:val="21"/>
                <w:szCs w:val="21"/>
              </w:rPr>
              <w:t>GB</w:t>
            </w:r>
            <w:r>
              <w:rPr>
                <w:rFonts w:hint="eastAsia"/>
                <w:sz w:val="21"/>
                <w:szCs w:val="21"/>
                <w:lang w:val="en-US" w:eastAsia="zh-CN"/>
              </w:rPr>
              <w:t xml:space="preserve"> 31573</w:t>
            </w:r>
            <w:r>
              <w:rPr>
                <w:rFonts w:hint="eastAsia"/>
                <w:sz w:val="21"/>
                <w:szCs w:val="21"/>
              </w:rPr>
              <w:t>《</w:t>
            </w:r>
            <w:r>
              <w:rPr>
                <w:rFonts w:hint="eastAsia"/>
                <w:sz w:val="21"/>
                <w:szCs w:val="21"/>
                <w:lang w:eastAsia="zh-CN"/>
              </w:rPr>
              <w:t>无机化学工业污染物排放标准</w:t>
            </w:r>
            <w:r>
              <w:rPr>
                <w:rFonts w:hint="eastAsia"/>
                <w:sz w:val="21"/>
                <w:szCs w:val="21"/>
              </w:rPr>
              <w:t>》</w:t>
            </w:r>
            <w:r>
              <w:rPr>
                <w:rFonts w:hint="eastAsia"/>
                <w:color w:val="000000" w:themeColor="text1"/>
                <w:sz w:val="21"/>
                <w:szCs w:val="21"/>
              </w:rPr>
              <w:t>、GB</w:t>
            </w:r>
            <w:r>
              <w:rPr>
                <w:rFonts w:hint="eastAsia"/>
                <w:color w:val="000000" w:themeColor="text1"/>
                <w:sz w:val="21"/>
                <w:szCs w:val="21"/>
                <w:lang w:val="en-US" w:eastAsia="zh-CN"/>
              </w:rPr>
              <w:t xml:space="preserve"> </w:t>
            </w:r>
            <w:r>
              <w:rPr>
                <w:rFonts w:hint="eastAsia"/>
                <w:color w:val="000000" w:themeColor="text1"/>
                <w:sz w:val="21"/>
                <w:szCs w:val="21"/>
              </w:rPr>
              <w:t>16297</w:t>
            </w:r>
            <w:r>
              <w:rPr>
                <w:rFonts w:hint="eastAsia"/>
                <w:color w:val="000000" w:themeColor="text1"/>
                <w:sz w:val="21"/>
                <w:szCs w:val="21"/>
                <w:lang w:eastAsia="zh-CN"/>
              </w:rPr>
              <w:t>《</w:t>
            </w:r>
            <w:r>
              <w:rPr>
                <w:rFonts w:hint="eastAsia" w:cs="Times New Roman"/>
                <w:sz w:val="21"/>
                <w:szCs w:val="21"/>
              </w:rPr>
              <w:t>大气污染物综合排放标准</w:t>
            </w:r>
            <w:r>
              <w:rPr>
                <w:rFonts w:hint="eastAsia" w:cs="Times New Roman"/>
                <w:sz w:val="21"/>
                <w:szCs w:val="21"/>
                <w:lang w:eastAsia="zh-CN"/>
              </w:rPr>
              <w:t>》</w:t>
            </w:r>
            <w:r>
              <w:rPr>
                <w:rFonts w:hint="eastAsia"/>
                <w:color w:val="000000" w:themeColor="text1"/>
                <w:sz w:val="21"/>
                <w:szCs w:val="21"/>
              </w:rPr>
              <w:t>、</w:t>
            </w:r>
            <w:r>
              <w:rPr>
                <w:color w:val="000000" w:themeColor="text1"/>
                <w:sz w:val="21"/>
                <w:szCs w:val="21"/>
              </w:rPr>
              <w:t>GB</w:t>
            </w:r>
            <w:r>
              <w:rPr>
                <w:rFonts w:hint="eastAsia"/>
                <w:color w:val="000000" w:themeColor="text1"/>
                <w:sz w:val="21"/>
                <w:szCs w:val="21"/>
                <w:lang w:val="en-US" w:eastAsia="zh-CN"/>
              </w:rPr>
              <w:t xml:space="preserve"> </w:t>
            </w:r>
            <w:r>
              <w:rPr>
                <w:rFonts w:hint="eastAsia"/>
                <w:color w:val="000000" w:themeColor="text1"/>
                <w:sz w:val="21"/>
                <w:szCs w:val="21"/>
              </w:rPr>
              <w:t>13271</w:t>
            </w:r>
            <w:r>
              <w:rPr>
                <w:rFonts w:hint="eastAsia"/>
                <w:color w:val="000000" w:themeColor="text1"/>
                <w:sz w:val="21"/>
                <w:szCs w:val="21"/>
                <w:lang w:eastAsia="zh-CN"/>
              </w:rPr>
              <w:t>《</w:t>
            </w:r>
            <w:r>
              <w:rPr>
                <w:rFonts w:hint="eastAsia" w:cs="Times New Roman"/>
                <w:sz w:val="21"/>
                <w:szCs w:val="21"/>
                <w:lang w:val="en-US" w:eastAsia="zh-CN"/>
              </w:rPr>
              <w:t>锅炉大气污染物排放标准》</w:t>
            </w:r>
            <w:r>
              <w:rPr>
                <w:rFonts w:hint="eastAsia"/>
                <w:color w:val="000000" w:themeColor="text1"/>
                <w:sz w:val="21"/>
                <w:szCs w:val="21"/>
              </w:rPr>
              <w:t>、</w:t>
            </w:r>
            <w:r>
              <w:rPr>
                <w:color w:val="000000" w:themeColor="text1"/>
                <w:sz w:val="21"/>
                <w:szCs w:val="21"/>
              </w:rPr>
              <w:t>GB</w:t>
            </w:r>
            <w:r>
              <w:rPr>
                <w:rFonts w:hint="eastAsia"/>
                <w:color w:val="000000" w:themeColor="text1"/>
                <w:sz w:val="21"/>
                <w:szCs w:val="21"/>
                <w:lang w:val="en-US" w:eastAsia="zh-CN"/>
              </w:rPr>
              <w:t xml:space="preserve"> </w:t>
            </w:r>
            <w:r>
              <w:rPr>
                <w:rFonts w:hint="eastAsia"/>
                <w:color w:val="000000" w:themeColor="text1"/>
                <w:sz w:val="21"/>
                <w:szCs w:val="21"/>
              </w:rPr>
              <w:t>9078</w:t>
            </w:r>
            <w:r>
              <w:rPr>
                <w:rFonts w:hint="eastAsia"/>
                <w:color w:val="000000" w:themeColor="text1"/>
                <w:sz w:val="21"/>
                <w:szCs w:val="21"/>
                <w:lang w:eastAsia="zh-CN"/>
              </w:rPr>
              <w:t>《工业炉窑大气污染物排放标准》</w:t>
            </w:r>
            <w:r>
              <w:rPr>
                <w:rFonts w:hint="eastAsia"/>
                <w:color w:val="000000" w:themeColor="text1"/>
                <w:sz w:val="21"/>
                <w:szCs w:val="21"/>
              </w:rPr>
              <w:t>相关排放标准要求</w:t>
            </w:r>
          </w:p>
        </w:tc>
        <w:tc>
          <w:tcPr>
            <w:tcW w:w="1056" w:type="dxa"/>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90" w:hRule="atLeast"/>
          <w:jc w:val="center"/>
        </w:trPr>
        <w:tc>
          <w:tcPr>
            <w:tcW w:w="1226" w:type="dxa"/>
            <w:vMerge w:val="continue"/>
          </w:tcPr>
          <w:p>
            <w:pPr>
              <w:jc w:val="center"/>
              <w:rPr>
                <w:rFonts w:hint="eastAsia" w:asciiTheme="minorEastAsia" w:hAnsiTheme="minorEastAsia" w:eastAsiaTheme="minorEastAsia" w:cstheme="minorEastAsia"/>
                <w:color w:val="000000" w:themeColor="text1"/>
                <w:sz w:val="21"/>
                <w:szCs w:val="21"/>
              </w:rPr>
            </w:pPr>
          </w:p>
        </w:tc>
        <w:tc>
          <w:tcPr>
            <w:tcW w:w="2231"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bookmarkStart w:id="8" w:name="OLE_LINK2"/>
            <w:bookmarkStart w:id="9" w:name="OLE_LINK1"/>
            <w:r>
              <w:rPr>
                <w:rFonts w:hint="eastAsia" w:asciiTheme="minorEastAsia" w:hAnsiTheme="minorEastAsia" w:eastAsiaTheme="minorEastAsia" w:cstheme="minorEastAsia"/>
                <w:color w:val="000000" w:themeColor="text1"/>
                <w:kern w:val="0"/>
                <w:sz w:val="21"/>
                <w:szCs w:val="21"/>
              </w:rPr>
              <w:t>单位产品废水产生总量</w:t>
            </w:r>
            <w:bookmarkEnd w:id="8"/>
            <w:bookmarkEnd w:id="9"/>
          </w:p>
        </w:tc>
        <w:tc>
          <w:tcPr>
            <w:tcW w:w="856"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t/t</w:t>
            </w:r>
          </w:p>
        </w:tc>
        <w:tc>
          <w:tcPr>
            <w:tcW w:w="3696" w:type="dxa"/>
            <w:gridSpan w:val="2"/>
            <w:vAlign w:val="center"/>
          </w:tcPr>
          <w:p>
            <w:pPr>
              <w:jc w:val="center"/>
              <w:rPr>
                <w:color w:val="000000" w:themeColor="text1"/>
                <w:szCs w:val="21"/>
              </w:rPr>
            </w:pPr>
            <w:r>
              <w:rPr>
                <w:rFonts w:hint="eastAsia" w:cs="宋体"/>
                <w:color w:val="000000" w:themeColor="text1"/>
                <w:kern w:val="0"/>
                <w:sz w:val="18"/>
                <w:szCs w:val="18"/>
              </w:rPr>
              <w:t>基准排水量</w:t>
            </w:r>
            <w:r>
              <w:rPr>
                <w:color w:val="000000" w:themeColor="text1"/>
                <w:kern w:val="0"/>
                <w:sz w:val="18"/>
                <w:szCs w:val="18"/>
                <w:vertAlign w:val="superscript"/>
              </w:rPr>
              <w:t>☼</w:t>
            </w:r>
            <w:r>
              <w:rPr>
                <w:rFonts w:hint="eastAsia" w:cs="宋体"/>
                <w:color w:val="000000" w:themeColor="text1"/>
                <w:kern w:val="0"/>
                <w:sz w:val="18"/>
                <w:szCs w:val="18"/>
              </w:rPr>
              <w:t>×</w:t>
            </w:r>
            <w:r>
              <w:rPr>
                <w:rFonts w:cs="宋体"/>
                <w:color w:val="000000" w:themeColor="text1"/>
                <w:kern w:val="0"/>
                <w:sz w:val="18"/>
                <w:szCs w:val="18"/>
              </w:rPr>
              <w:t>0.80</w:t>
            </w:r>
          </w:p>
        </w:tc>
        <w:tc>
          <w:tcPr>
            <w:tcW w:w="1056" w:type="dxa"/>
            <w:vAlign w:val="center"/>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tcPr>
          <w:p>
            <w:pPr>
              <w:jc w:val="center"/>
              <w:rPr>
                <w:rFonts w:hint="eastAsia" w:asciiTheme="minorEastAsia" w:hAnsiTheme="minorEastAsia" w:eastAsiaTheme="minorEastAsia" w:cstheme="minorEastAsia"/>
                <w:color w:val="000000" w:themeColor="text1"/>
                <w:sz w:val="21"/>
                <w:szCs w:val="21"/>
              </w:rPr>
            </w:pPr>
          </w:p>
        </w:tc>
        <w:tc>
          <w:tcPr>
            <w:tcW w:w="2231"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企业环境管理体系</w:t>
            </w:r>
          </w:p>
        </w:tc>
        <w:tc>
          <w:tcPr>
            <w:tcW w:w="856"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t>
            </w:r>
          </w:p>
        </w:tc>
        <w:tc>
          <w:tcPr>
            <w:tcW w:w="3696" w:type="dxa"/>
            <w:gridSpan w:val="2"/>
            <w:vAlign w:val="center"/>
          </w:tcPr>
          <w:p>
            <w:pPr>
              <w:jc w:val="center"/>
              <w:rPr>
                <w:color w:val="000000" w:themeColor="text1"/>
                <w:szCs w:val="21"/>
              </w:rPr>
            </w:pPr>
            <w:r>
              <w:rPr>
                <w:rFonts w:hint="eastAsia"/>
                <w:color w:val="000000" w:themeColor="text1"/>
                <w:kern w:val="0"/>
                <w:sz w:val="18"/>
                <w:szCs w:val="18"/>
              </w:rPr>
              <w:t xml:space="preserve">建立有GB/T </w:t>
            </w:r>
            <w:r>
              <w:rPr>
                <w:color w:val="000000" w:themeColor="text1"/>
                <w:kern w:val="0"/>
                <w:sz w:val="18"/>
                <w:szCs w:val="18"/>
              </w:rPr>
              <w:t>24001</w:t>
            </w:r>
            <w:r>
              <w:rPr>
                <w:rFonts w:hint="eastAsia"/>
                <w:color w:val="000000" w:themeColor="text1"/>
                <w:kern w:val="0"/>
                <w:sz w:val="18"/>
                <w:szCs w:val="18"/>
              </w:rPr>
              <w:t>环境管理体系，并取得认证，能有效运行；全部完成年度环境目标、指标和环境管理方案≥</w:t>
            </w:r>
            <w:r>
              <w:rPr>
                <w:color w:val="000000" w:themeColor="text1"/>
                <w:kern w:val="0"/>
                <w:sz w:val="18"/>
                <w:szCs w:val="18"/>
              </w:rPr>
              <w:t>90%</w:t>
            </w:r>
            <w:r>
              <w:rPr>
                <w:rFonts w:hint="eastAsia"/>
                <w:color w:val="000000" w:themeColor="text1"/>
                <w:kern w:val="0"/>
                <w:sz w:val="18"/>
                <w:szCs w:val="18"/>
              </w:rPr>
              <w:t>，并达到环境持续改进的要求；环境管理手册、程序文件及作业文件齐备、有效；应急预案完整。</w:t>
            </w:r>
          </w:p>
        </w:tc>
        <w:tc>
          <w:tcPr>
            <w:tcW w:w="1056" w:type="dxa"/>
            <w:vAlign w:val="center"/>
          </w:tcPr>
          <w:p>
            <w:pPr>
              <w:jc w:val="center"/>
              <w:rPr>
                <w:color w:val="000000" w:themeColor="text1"/>
                <w:szCs w:val="21"/>
              </w:rPr>
            </w:pPr>
            <w:r>
              <w:rPr>
                <w:rFonts w:hint="eastAsia"/>
                <w:color w:val="000000" w:themeColor="text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tcPr>
          <w:p>
            <w:pPr>
              <w:jc w:val="center"/>
              <w:rPr>
                <w:rFonts w:hint="eastAsia" w:asciiTheme="minorEastAsia" w:hAnsiTheme="minorEastAsia" w:eastAsiaTheme="minorEastAsia" w:cstheme="minorEastAsia"/>
                <w:color w:val="000000" w:themeColor="text1"/>
                <w:sz w:val="21"/>
                <w:szCs w:val="21"/>
              </w:rPr>
            </w:pPr>
          </w:p>
        </w:tc>
        <w:tc>
          <w:tcPr>
            <w:tcW w:w="2231"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危险废物安全处置率</w:t>
            </w:r>
          </w:p>
        </w:tc>
        <w:tc>
          <w:tcPr>
            <w:tcW w:w="856" w:type="dxa"/>
            <w:vAlign w:val="center"/>
          </w:tcPr>
          <w:p>
            <w:pPr>
              <w:adjustRightInd w:val="0"/>
              <w:snapToGrid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t>
            </w:r>
          </w:p>
        </w:tc>
        <w:tc>
          <w:tcPr>
            <w:tcW w:w="1305" w:type="dxa"/>
            <w:vAlign w:val="center"/>
          </w:tcPr>
          <w:p>
            <w:pPr>
              <w:jc w:val="center"/>
              <w:rPr>
                <w:color w:val="000000" w:themeColor="text1"/>
                <w:szCs w:val="21"/>
              </w:rPr>
            </w:pPr>
            <w:r>
              <w:rPr>
                <w:rFonts w:hint="eastAsia"/>
                <w:color w:val="000000" w:themeColor="text1"/>
                <w:szCs w:val="21"/>
              </w:rPr>
              <w:t>100</w:t>
            </w:r>
          </w:p>
        </w:tc>
        <w:tc>
          <w:tcPr>
            <w:tcW w:w="2391" w:type="dxa"/>
          </w:tcPr>
          <w:p>
            <w:pPr>
              <w:jc w:val="center"/>
              <w:rPr>
                <w:color w:val="000000" w:themeColor="text1"/>
                <w:szCs w:val="21"/>
              </w:rPr>
            </w:pPr>
            <w:r>
              <w:rPr>
                <w:rFonts w:hint="eastAsia"/>
                <w:color w:val="000000" w:themeColor="text1"/>
                <w:szCs w:val="21"/>
              </w:rPr>
              <w:t>现场数据</w:t>
            </w:r>
          </w:p>
        </w:tc>
        <w:tc>
          <w:tcPr>
            <w:tcW w:w="1056" w:type="dxa"/>
            <w:vAlign w:val="center"/>
          </w:tcPr>
          <w:p>
            <w:pPr>
              <w:jc w:val="center"/>
              <w:rPr>
                <w:color w:val="000000" w:themeColor="text1"/>
                <w:szCs w:val="21"/>
              </w:rPr>
            </w:pPr>
            <w:r>
              <w:rPr>
                <w:rFonts w:hint="eastAsia"/>
                <w:color w:val="000000" w:themeColor="text1"/>
                <w:szCs w:val="21"/>
              </w:rPr>
              <w:t>生产</w:t>
            </w:r>
          </w:p>
        </w:tc>
      </w:tr>
      <w:bookmarkEnd w:id="17"/>
    </w:tbl>
    <w:p>
      <w:pPr>
        <w:snapToGrid w:val="0"/>
        <w:spacing w:line="360" w:lineRule="auto"/>
        <w:rPr>
          <w:rFonts w:ascii="宋体" w:hAnsi="宋体" w:eastAsia="宋体" w:cs="Times New Roman"/>
          <w:szCs w:val="21"/>
        </w:rPr>
      </w:pPr>
      <w:r>
        <w:rPr>
          <w:rFonts w:hint="eastAsia" w:ascii="宋体" w:hAnsi="宋体" w:eastAsia="宋体" w:cs="Times New Roman"/>
          <w:szCs w:val="21"/>
        </w:rPr>
        <w:t>3.3产品基准值来源说明：</w:t>
      </w:r>
    </w:p>
    <w:p>
      <w:pPr>
        <w:widowControl/>
        <w:jc w:val="center"/>
        <w:rPr>
          <w:szCs w:val="21"/>
        </w:rPr>
      </w:pPr>
      <w:r>
        <w:rPr>
          <w:rFonts w:hint="eastAsia"/>
          <w:szCs w:val="21"/>
        </w:rPr>
        <w:t>表2  氢氧化锂产品评价指标来源</w:t>
      </w:r>
    </w:p>
    <w:tbl>
      <w:tblPr>
        <w:tblStyle w:val="19"/>
        <w:tblW w:w="9192"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56"/>
        <w:gridCol w:w="1212"/>
        <w:gridCol w:w="1344"/>
        <w:gridCol w:w="936"/>
        <w:gridCol w:w="1224"/>
        <w:gridCol w:w="98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44"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年份</w:t>
            </w:r>
          </w:p>
        </w:tc>
        <w:tc>
          <w:tcPr>
            <w:tcW w:w="3912" w:type="dxa"/>
            <w:gridSpan w:val="3"/>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单位产品</w:t>
            </w:r>
            <w:r>
              <w:rPr>
                <w:rFonts w:hint="eastAsia" w:asciiTheme="minorEastAsia" w:hAnsiTheme="minorEastAsia" w:eastAsiaTheme="minorEastAsia" w:cstheme="minorEastAsia"/>
                <w:color w:val="000000" w:themeColor="text1"/>
                <w:sz w:val="21"/>
                <w:szCs w:val="21"/>
              </w:rPr>
              <w:t>锂辉石利用率</w:t>
            </w:r>
          </w:p>
        </w:tc>
        <w:tc>
          <w:tcPr>
            <w:tcW w:w="4236"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044" w:type="dxa"/>
            <w:vMerge w:val="continue"/>
            <w:vAlign w:val="center"/>
          </w:tcPr>
          <w:p>
            <w:pPr>
              <w:jc w:val="center"/>
              <w:rPr>
                <w:rFonts w:hint="eastAsia" w:asciiTheme="minorEastAsia" w:hAnsiTheme="minorEastAsia" w:eastAsiaTheme="minorEastAsia" w:cstheme="minorEastAsia"/>
                <w:sz w:val="21"/>
                <w:szCs w:val="21"/>
              </w:rPr>
            </w:pPr>
          </w:p>
        </w:tc>
        <w:tc>
          <w:tcPr>
            <w:tcW w:w="135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火法工艺</w:t>
            </w:r>
            <w:r>
              <w:rPr>
                <w:rFonts w:hint="eastAsia" w:asciiTheme="minorEastAsia" w:hAnsiTheme="minorEastAsia" w:eastAsiaTheme="minorEastAsia" w:cstheme="minorEastAsia"/>
                <w:color w:val="000000" w:themeColor="text1"/>
                <w:sz w:val="21"/>
                <w:szCs w:val="21"/>
              </w:rPr>
              <w:t>锂辉石利用率</w:t>
            </w:r>
          </w:p>
        </w:tc>
        <w:tc>
          <w:tcPr>
            <w:tcW w:w="121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湿法工艺</w:t>
            </w:r>
            <w:r>
              <w:rPr>
                <w:rFonts w:hint="eastAsia" w:asciiTheme="minorEastAsia" w:hAnsiTheme="minorEastAsia" w:eastAsiaTheme="minorEastAsia" w:cstheme="minorEastAsia"/>
                <w:color w:val="000000" w:themeColor="text1"/>
                <w:sz w:val="21"/>
                <w:szCs w:val="21"/>
              </w:rPr>
              <w:t>锂辉石利用率</w:t>
            </w:r>
          </w:p>
        </w:tc>
        <w:tc>
          <w:tcPr>
            <w:tcW w:w="13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单位产品</w:t>
            </w:r>
            <w:r>
              <w:rPr>
                <w:rFonts w:hint="eastAsia" w:asciiTheme="minorEastAsia" w:hAnsiTheme="minorEastAsia" w:eastAsiaTheme="minorEastAsia" w:cstheme="minorEastAsia"/>
                <w:color w:val="000000" w:themeColor="text1"/>
                <w:sz w:val="21"/>
                <w:szCs w:val="21"/>
              </w:rPr>
              <w:t>锂辉石利用率</w:t>
            </w:r>
          </w:p>
        </w:tc>
        <w:tc>
          <w:tcPr>
            <w:tcW w:w="9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电耗（千瓦时/吨）</w:t>
            </w:r>
          </w:p>
        </w:tc>
        <w:tc>
          <w:tcPr>
            <w:tcW w:w="12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烟煤消耗（千克/吨）</w:t>
            </w:r>
          </w:p>
        </w:tc>
        <w:tc>
          <w:tcPr>
            <w:tcW w:w="9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无烟煤消耗（千克/吨）</w:t>
            </w:r>
          </w:p>
        </w:tc>
        <w:tc>
          <w:tcPr>
            <w:tcW w:w="109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综合能耗（千克标煤/吨）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w:t>
            </w:r>
          </w:p>
        </w:tc>
        <w:tc>
          <w:tcPr>
            <w:tcW w:w="135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92.1%</w:t>
            </w:r>
          </w:p>
        </w:tc>
        <w:tc>
          <w:tcPr>
            <w:tcW w:w="121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93.9%</w:t>
            </w:r>
          </w:p>
        </w:tc>
        <w:tc>
          <w:tcPr>
            <w:tcW w:w="13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86.5%</w:t>
            </w:r>
          </w:p>
        </w:tc>
        <w:tc>
          <w:tcPr>
            <w:tcW w:w="9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3274.3</w:t>
            </w:r>
          </w:p>
        </w:tc>
        <w:tc>
          <w:tcPr>
            <w:tcW w:w="12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695</w:t>
            </w:r>
          </w:p>
        </w:tc>
        <w:tc>
          <w:tcPr>
            <w:tcW w:w="9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843</w:t>
            </w:r>
          </w:p>
        </w:tc>
        <w:tc>
          <w:tcPr>
            <w:tcW w:w="109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w:t>
            </w:r>
          </w:p>
        </w:tc>
        <w:tc>
          <w:tcPr>
            <w:tcW w:w="135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w:t>
            </w:r>
          </w:p>
        </w:tc>
        <w:tc>
          <w:tcPr>
            <w:tcW w:w="121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94.1%</w:t>
            </w:r>
          </w:p>
        </w:tc>
        <w:tc>
          <w:tcPr>
            <w:tcW w:w="13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86.6%</w:t>
            </w:r>
          </w:p>
        </w:tc>
        <w:tc>
          <w:tcPr>
            <w:tcW w:w="9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3284.1</w:t>
            </w:r>
          </w:p>
        </w:tc>
        <w:tc>
          <w:tcPr>
            <w:tcW w:w="12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673</w:t>
            </w:r>
          </w:p>
        </w:tc>
        <w:tc>
          <w:tcPr>
            <w:tcW w:w="9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838</w:t>
            </w:r>
          </w:p>
        </w:tc>
        <w:tc>
          <w:tcPr>
            <w:tcW w:w="109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w:t>
            </w:r>
          </w:p>
        </w:tc>
        <w:tc>
          <w:tcPr>
            <w:tcW w:w="135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92.8%</w:t>
            </w:r>
          </w:p>
        </w:tc>
        <w:tc>
          <w:tcPr>
            <w:tcW w:w="121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94.2%</w:t>
            </w:r>
          </w:p>
        </w:tc>
        <w:tc>
          <w:tcPr>
            <w:tcW w:w="13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87.4%</w:t>
            </w:r>
          </w:p>
        </w:tc>
        <w:tc>
          <w:tcPr>
            <w:tcW w:w="9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3174.6</w:t>
            </w:r>
          </w:p>
        </w:tc>
        <w:tc>
          <w:tcPr>
            <w:tcW w:w="122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643</w:t>
            </w:r>
          </w:p>
        </w:tc>
        <w:tc>
          <w:tcPr>
            <w:tcW w:w="9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826</w:t>
            </w:r>
          </w:p>
        </w:tc>
        <w:tc>
          <w:tcPr>
            <w:tcW w:w="109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2479</w:t>
            </w:r>
          </w:p>
        </w:tc>
      </w:tr>
    </w:tbl>
    <w:p>
      <w:pPr>
        <w:snapToGrid w:val="0"/>
        <w:spacing w:line="360" w:lineRule="auto"/>
        <w:rPr>
          <w:rFonts w:ascii="宋体" w:hAnsi="宋体" w:eastAsia="宋体" w:cs="Times New Roman"/>
          <w:szCs w:val="21"/>
        </w:rPr>
      </w:pPr>
    </w:p>
    <w:p>
      <w:pPr>
        <w:snapToGrid w:val="0"/>
        <w:spacing w:line="360" w:lineRule="auto"/>
        <w:rPr>
          <w:rFonts w:ascii="宋体" w:hAnsi="宋体" w:eastAsia="宋体" w:cs="Times New Roman"/>
          <w:szCs w:val="21"/>
        </w:rPr>
      </w:pPr>
      <w:r>
        <w:rPr>
          <w:rFonts w:hint="eastAsia" w:ascii="宋体" w:hAnsi="宋体" w:eastAsia="宋体" w:cs="Times New Roman"/>
          <w:szCs w:val="21"/>
        </w:rPr>
        <w:t>3.3.1资源属性：</w:t>
      </w:r>
    </w:p>
    <w:p>
      <w:pPr>
        <w:snapToGrid w:val="0"/>
        <w:spacing w:line="360" w:lineRule="auto"/>
        <w:ind w:firstLine="405"/>
        <w:rPr>
          <w:color w:val="000000" w:themeColor="text1"/>
          <w:szCs w:val="21"/>
        </w:rPr>
      </w:pPr>
      <w:r>
        <w:rPr>
          <w:rFonts w:hint="eastAsia"/>
          <w:color w:val="000000" w:themeColor="text1"/>
          <w:szCs w:val="21"/>
        </w:rPr>
        <w:t>单位产品锂辉石利用率的基准值是86%。来源是根据氢氧化锂生产工艺中锂辉石火法工艺</w:t>
      </w:r>
      <w:r>
        <w:rPr>
          <w:rFonts w:hint="eastAsia" w:asciiTheme="minorEastAsia" w:hAnsiTheme="minorEastAsia"/>
          <w:color w:val="000000" w:themeColor="text1"/>
          <w:szCs w:val="21"/>
        </w:rPr>
        <w:t>锂辉石利用率92%和</w:t>
      </w:r>
      <w:r>
        <w:rPr>
          <w:rFonts w:hint="eastAsia" w:cs="Times New Roman" w:asciiTheme="minorEastAsia" w:hAnsiTheme="minorEastAsia"/>
          <w:szCs w:val="21"/>
        </w:rPr>
        <w:t>湿法工艺</w:t>
      </w:r>
      <w:r>
        <w:rPr>
          <w:rFonts w:hint="eastAsia" w:asciiTheme="minorEastAsia" w:hAnsiTheme="minorEastAsia"/>
          <w:color w:val="000000" w:themeColor="text1"/>
          <w:szCs w:val="21"/>
        </w:rPr>
        <w:t>锂辉石利用率94%</w:t>
      </w:r>
      <w:r>
        <w:rPr>
          <w:rFonts w:hint="eastAsia"/>
          <w:color w:val="000000" w:themeColor="text1"/>
          <w:szCs w:val="21"/>
        </w:rPr>
        <w:t>得出。</w:t>
      </w:r>
    </w:p>
    <w:p>
      <w:pPr>
        <w:snapToGrid w:val="0"/>
        <w:spacing w:line="360" w:lineRule="auto"/>
        <w:ind w:firstLine="405"/>
        <w:rPr>
          <w:color w:val="000000" w:themeColor="text1"/>
          <w:szCs w:val="21"/>
        </w:rPr>
      </w:pPr>
      <w:r>
        <w:rPr>
          <w:rFonts w:hint="eastAsia"/>
          <w:color w:val="000000" w:themeColor="text1"/>
          <w:szCs w:val="21"/>
        </w:rPr>
        <w:t>锂辉石吐渣料是锂辉石转型焙烧后经磨制工序排出的无法磨制的吐渣料。各个产地的吐渣料多少不一，主要成分是锂辉石中固有的杂质矿。已知纯净的锂辉石中氧化锂含量为8%，而工业生产的锂辉石氧化锂有6%和4%两种规格，可以得出氧化锂6%的锂辉石有四分之一的杂质矿，氧化锂4%的锂辉石有二分之一的杂质矿。杂质矿的主要成分有石英、角闪石、云母、长石等，其中石英和角闪石颗粒大、硬度大，无法进行破碎磨制，由磨制设备自动吐渣排出。各个产地锂辉石吐渣料含量差异很大，其中澳大利亚泰利森锂辉石吐渣料最少，损失最小，澳大利亚RIM、阿尔图拉、皮尔巴拉、郎泰锂辉石和中国江西宁都锂辉石均有数量不一的吐渣料，综合对比得出，吐渣料带走的氧化锂损失为1%。</w:t>
      </w:r>
    </w:p>
    <w:p>
      <w:pPr>
        <w:snapToGrid w:val="0"/>
        <w:spacing w:line="360" w:lineRule="auto"/>
        <w:ind w:firstLine="405"/>
        <w:rPr>
          <w:color w:val="000000" w:themeColor="text1"/>
          <w:szCs w:val="21"/>
        </w:rPr>
      </w:pPr>
      <w:r>
        <w:rPr>
          <w:rFonts w:hint="eastAsia"/>
          <w:color w:val="000000" w:themeColor="text1"/>
          <w:szCs w:val="21"/>
        </w:rPr>
        <w:t>锂辉石渣中的损失受锂辉石焙烧转型和酸化焙烧两方面影响。氧化锂6%锂辉石焙烧转型率为98%左右，受锂辉石矿石来源和杂质矿的影响，转型率稍有不同，氧化锂4%锂辉石焙烧转型率为98%左右。6%锂辉石焙烧转型率酸化焙烧的转化率为98%左右，主要受锂辉石磨制料粒度、拌酸混合均匀性、酸化焙烧工艺控制的影响，杂质矿含量高的锂辉石，磨制后锂辉石颗粒更大，转型率更低，4%锂辉石酸化焙烧的转化率96%，综合锂辉石焙烧转型率和酸化焙烧转化率，易得氧化锂6%锂辉石渣的锂损失为4%，而质量较差的氧化锂4%锂辉石得到的锂辉石渣锂损失为7%。</w:t>
      </w:r>
    </w:p>
    <w:p>
      <w:pPr>
        <w:snapToGrid w:val="0"/>
        <w:spacing w:line="360" w:lineRule="auto"/>
        <w:ind w:firstLine="405"/>
        <w:rPr>
          <w:color w:val="000000" w:themeColor="text1"/>
          <w:szCs w:val="21"/>
        </w:rPr>
      </w:pPr>
      <w:r>
        <w:rPr>
          <w:rFonts w:hint="eastAsia" w:cs="Times New Roman" w:asciiTheme="minorEastAsia" w:hAnsiTheme="minorEastAsia"/>
          <w:szCs w:val="21"/>
        </w:rPr>
        <w:t>火法工艺</w:t>
      </w:r>
      <w:r>
        <w:rPr>
          <w:rFonts w:hint="eastAsia"/>
          <w:color w:val="000000" w:themeColor="text1"/>
          <w:szCs w:val="21"/>
        </w:rPr>
        <w:t>锂单位产品辉石利用率9</w:t>
      </w:r>
      <w:r>
        <w:rPr>
          <w:rFonts w:hint="eastAsia" w:asciiTheme="minorEastAsia" w:hAnsiTheme="minorEastAsia"/>
          <w:color w:val="000000" w:themeColor="text1"/>
          <w:szCs w:val="21"/>
        </w:rPr>
        <w:t>2%</w:t>
      </w:r>
      <w:r>
        <w:rPr>
          <w:rFonts w:hint="eastAsia"/>
          <w:color w:val="000000" w:themeColor="text1"/>
          <w:szCs w:val="21"/>
        </w:rPr>
        <w:t>多年生产统计总结的数据，其中氧化锂6%锂辉石的</w:t>
      </w:r>
      <w:r>
        <w:rPr>
          <w:rFonts w:hint="eastAsia" w:cs="Times New Roman" w:asciiTheme="minorEastAsia" w:hAnsiTheme="minorEastAsia"/>
          <w:szCs w:val="21"/>
        </w:rPr>
        <w:t>单位产品</w:t>
      </w:r>
      <w:r>
        <w:rPr>
          <w:rFonts w:hint="eastAsia" w:asciiTheme="minorEastAsia" w:hAnsiTheme="minorEastAsia"/>
          <w:color w:val="000000" w:themeColor="text1"/>
          <w:szCs w:val="21"/>
        </w:rPr>
        <w:t>锂辉石利用率为95%,</w:t>
      </w:r>
      <w:r>
        <w:rPr>
          <w:rFonts w:hint="eastAsia"/>
          <w:color w:val="000000" w:themeColor="text1"/>
          <w:szCs w:val="21"/>
        </w:rPr>
        <w:t>氧化锂4%锂辉石的</w:t>
      </w:r>
      <w:r>
        <w:rPr>
          <w:rFonts w:hint="eastAsia" w:cs="Times New Roman" w:asciiTheme="minorEastAsia" w:hAnsiTheme="minorEastAsia"/>
          <w:szCs w:val="21"/>
        </w:rPr>
        <w:t>单位产品</w:t>
      </w:r>
      <w:r>
        <w:rPr>
          <w:rFonts w:hint="eastAsia" w:asciiTheme="minorEastAsia" w:hAnsiTheme="minorEastAsia"/>
          <w:color w:val="000000" w:themeColor="text1"/>
          <w:szCs w:val="21"/>
        </w:rPr>
        <w:t>锂辉石利用率为90%。其余损失为硫酸锂溶液除杂损失和机械损失</w:t>
      </w:r>
      <w:r>
        <w:rPr>
          <w:rFonts w:hint="eastAsia"/>
          <w:color w:val="000000" w:themeColor="text1"/>
          <w:szCs w:val="21"/>
        </w:rPr>
        <w:t>（物料跑冒滴漏及外排废水）。</w:t>
      </w:r>
    </w:p>
    <w:p>
      <w:pPr>
        <w:snapToGrid w:val="0"/>
        <w:spacing w:line="360" w:lineRule="auto"/>
        <w:ind w:firstLine="405"/>
        <w:rPr>
          <w:color w:val="000000" w:themeColor="text1"/>
          <w:szCs w:val="21"/>
        </w:rPr>
      </w:pPr>
      <w:r>
        <w:rPr>
          <w:rFonts w:hint="eastAsia" w:cs="Times New Roman" w:asciiTheme="minorEastAsia" w:hAnsiTheme="minorEastAsia"/>
          <w:szCs w:val="21"/>
        </w:rPr>
        <w:t>湿法工艺</w:t>
      </w:r>
      <w:r>
        <w:rPr>
          <w:rFonts w:hint="eastAsia"/>
          <w:color w:val="000000" w:themeColor="text1"/>
          <w:szCs w:val="21"/>
        </w:rPr>
        <w:t>锂单位产品辉石利用率9</w:t>
      </w:r>
      <w:r>
        <w:rPr>
          <w:rFonts w:hint="eastAsia" w:asciiTheme="minorEastAsia" w:hAnsiTheme="minorEastAsia"/>
          <w:color w:val="000000" w:themeColor="text1"/>
          <w:szCs w:val="21"/>
        </w:rPr>
        <w:t>4%</w:t>
      </w:r>
      <w:r>
        <w:rPr>
          <w:rFonts w:hint="eastAsia"/>
          <w:color w:val="000000" w:themeColor="text1"/>
          <w:szCs w:val="21"/>
        </w:rPr>
        <w:t>为多年生产统计总结的数据。主要损失是硫酸钠损失，机械损失（物料跑冒滴漏及外排废水）和退系统母液损失。</w:t>
      </w:r>
    </w:p>
    <w:p>
      <w:pPr>
        <w:snapToGrid w:val="0"/>
        <w:spacing w:line="360" w:lineRule="auto"/>
        <w:ind w:firstLine="405"/>
        <w:rPr>
          <w:color w:val="000000" w:themeColor="text1"/>
          <w:szCs w:val="21"/>
        </w:rPr>
      </w:pPr>
      <w:r>
        <w:rPr>
          <w:rFonts w:hint="eastAsia"/>
          <w:color w:val="000000" w:themeColor="text1"/>
          <w:szCs w:val="21"/>
        </w:rPr>
        <w:t>考虑到锂辉石来源地和品位差异，矿石来源质量好的锂辉石，具有吐渣料少、转型率高、磨制容易、酸化转化率高、溶液杂质少、硫酸锂溶液除杂渣损失少等特性，容易做出单位产品锂辉石利用率的基准值是88%以上的效果，而相反矿石来源质量差的锂辉石，具有吐渣料多、转型率低、磨制困难、酸化转化率低、溶液杂质多、硫酸锂溶液除杂渣损失高等特性，做出单位产品锂辉石利用率的基准值只有84%的效果。综合考虑各个矿石来源产地和品位不同的锂辉石的综合回收利用，将单位产品锂辉石利用率的基准值标准为86%是合乎情理的。</w:t>
      </w:r>
    </w:p>
    <w:p>
      <w:pPr>
        <w:snapToGrid w:val="0"/>
        <w:spacing w:line="360" w:lineRule="auto"/>
        <w:ind w:firstLine="405"/>
        <w:rPr>
          <w:color w:val="000000" w:themeColor="text1"/>
          <w:szCs w:val="21"/>
        </w:rPr>
      </w:pPr>
      <w:r>
        <w:rPr>
          <w:rFonts w:hint="eastAsia"/>
          <w:color w:val="000000" w:themeColor="text1"/>
          <w:szCs w:val="21"/>
        </w:rPr>
        <w:t>如表2所示，江西赣锋锂业股份有限公司</w:t>
      </w:r>
      <w:r>
        <w:rPr>
          <w:rFonts w:hint="eastAsia"/>
          <w:szCs w:val="21"/>
        </w:rPr>
        <w:t>氢氧化锂产品</w:t>
      </w:r>
      <w:r>
        <w:rPr>
          <w:rFonts w:hint="eastAsia" w:asciiTheme="minorEastAsia" w:hAnsiTheme="minorEastAsia"/>
          <w:color w:val="000000" w:themeColor="text1"/>
          <w:szCs w:val="21"/>
        </w:rPr>
        <w:t>在2016、2017、2018年的</w:t>
      </w:r>
      <w:r>
        <w:rPr>
          <w:rFonts w:hint="eastAsia" w:cs="Times New Roman" w:asciiTheme="minorEastAsia" w:hAnsiTheme="minorEastAsia"/>
          <w:szCs w:val="21"/>
        </w:rPr>
        <w:t>单位产品</w:t>
      </w:r>
      <w:r>
        <w:rPr>
          <w:rFonts w:hint="eastAsia" w:asciiTheme="minorEastAsia" w:hAnsiTheme="minorEastAsia"/>
          <w:color w:val="000000" w:themeColor="text1"/>
          <w:szCs w:val="21"/>
        </w:rPr>
        <w:t>锂辉石利用率分别为86.5%、86.6%、87.8%。不同年份收率主要受锂辉石矿石来源品位不同影响。</w:t>
      </w:r>
    </w:p>
    <w:p>
      <w:pPr>
        <w:snapToGrid w:val="0"/>
        <w:spacing w:line="360" w:lineRule="auto"/>
        <w:ind w:firstLine="405"/>
        <w:rPr>
          <w:color w:val="000000" w:themeColor="text1"/>
          <w:szCs w:val="21"/>
        </w:rPr>
      </w:pPr>
      <w:r>
        <w:rPr>
          <w:rFonts w:hint="eastAsia"/>
          <w:color w:val="000000" w:themeColor="text1"/>
          <w:szCs w:val="21"/>
        </w:rPr>
        <w:t>根据企业反馈，瑞福锂盐、四川雅化、四川天齐的单位产品锂辉石利用率的基准值是88%，容汇锂业的单位产品锂辉石利用率的基准值是90%。四家企业所采用的锂辉石均为氧化锂6%锂辉石，合乎生产氢氧化锂行业的行业水准。</w:t>
      </w:r>
    </w:p>
    <w:p>
      <w:pPr>
        <w:snapToGrid w:val="0"/>
        <w:spacing w:line="360" w:lineRule="auto"/>
        <w:rPr>
          <w:rFonts w:ascii="宋体" w:hAnsi="宋体" w:eastAsia="宋体" w:cs="Times New Roman"/>
          <w:szCs w:val="21"/>
        </w:rPr>
      </w:pPr>
      <w:r>
        <w:rPr>
          <w:rFonts w:hint="eastAsia" w:ascii="宋体" w:hAnsi="宋体" w:eastAsia="宋体" w:cs="Times New Roman"/>
          <w:szCs w:val="21"/>
        </w:rPr>
        <w:t>3.3.2能源属性：</w:t>
      </w:r>
    </w:p>
    <w:p>
      <w:pPr>
        <w:snapToGrid w:val="0"/>
        <w:spacing w:line="360" w:lineRule="auto"/>
        <w:ind w:firstLine="420" w:firstLineChars="200"/>
        <w:rPr>
          <w:rFonts w:ascii="宋体" w:hAnsi="宋体" w:eastAsia="宋体" w:cs="Times New Roman"/>
          <w:szCs w:val="21"/>
        </w:rPr>
      </w:pPr>
      <w:r>
        <w:rPr>
          <w:rFonts w:hint="eastAsia"/>
          <w:color w:val="000000" w:themeColor="text1"/>
          <w:szCs w:val="21"/>
        </w:rPr>
        <w:t>如表2所示，江西赣锋锂业股份有限公司</w:t>
      </w:r>
      <w:r>
        <w:rPr>
          <w:rFonts w:hint="eastAsia"/>
          <w:szCs w:val="21"/>
        </w:rPr>
        <w:t>氢氧化锂产品</w:t>
      </w:r>
      <w:r>
        <w:rPr>
          <w:rFonts w:hint="eastAsia" w:asciiTheme="minorEastAsia" w:hAnsiTheme="minorEastAsia"/>
          <w:color w:val="000000" w:themeColor="text1"/>
          <w:szCs w:val="21"/>
        </w:rPr>
        <w:t>在2016年的单位产品能耗为</w:t>
      </w:r>
      <w:r>
        <w:rPr>
          <w:rFonts w:hint="eastAsia" w:cs="Times New Roman" w:asciiTheme="minorEastAsia" w:hAnsiTheme="minorEastAsia"/>
          <w:szCs w:val="21"/>
        </w:rPr>
        <w:t>电耗3274.3千瓦时/吨，烟煤消耗695千克/吨，无烟煤消耗843千克/吨，综合能耗2580千克标煤/吨。</w:t>
      </w:r>
      <w:r>
        <w:rPr>
          <w:rFonts w:hint="eastAsia"/>
          <w:szCs w:val="21"/>
        </w:rPr>
        <w:t>氢氧化锂产品</w:t>
      </w:r>
      <w:r>
        <w:rPr>
          <w:rFonts w:hint="eastAsia" w:asciiTheme="minorEastAsia" w:hAnsiTheme="minorEastAsia"/>
          <w:color w:val="000000" w:themeColor="text1"/>
          <w:szCs w:val="21"/>
        </w:rPr>
        <w:t>在2017年的单位产品能耗为</w:t>
      </w:r>
      <w:r>
        <w:rPr>
          <w:rFonts w:hint="eastAsia" w:cs="Times New Roman" w:asciiTheme="minorEastAsia" w:hAnsiTheme="minorEastAsia"/>
          <w:szCs w:val="21"/>
        </w:rPr>
        <w:t>电耗3284.1千瓦时/吨，烟煤消耗673千克/吨，无烟煤消耗838千克/吨，综合能耗2560千克标煤/吨。</w:t>
      </w:r>
      <w:r>
        <w:rPr>
          <w:rFonts w:hint="eastAsia"/>
          <w:szCs w:val="21"/>
        </w:rPr>
        <w:t>氢氧化锂产品</w:t>
      </w:r>
      <w:r>
        <w:rPr>
          <w:rFonts w:hint="eastAsia" w:asciiTheme="minorEastAsia" w:hAnsiTheme="minorEastAsia"/>
          <w:color w:val="000000" w:themeColor="text1"/>
          <w:szCs w:val="21"/>
        </w:rPr>
        <w:t>在2018年的单位产品能耗为</w:t>
      </w:r>
      <w:r>
        <w:rPr>
          <w:rFonts w:hint="eastAsia" w:cs="Times New Roman" w:asciiTheme="minorEastAsia" w:hAnsiTheme="minorEastAsia"/>
          <w:szCs w:val="21"/>
        </w:rPr>
        <w:t>电耗3284.1千瓦时/吨，烟煤消耗643千克/吨，无烟煤消耗826千克/吨，综合能耗2479千克标煤/吨。</w:t>
      </w:r>
      <w:r>
        <w:rPr>
          <w:rFonts w:hint="eastAsia" w:ascii="宋体" w:hAnsi="宋体" w:eastAsia="宋体" w:cs="Times New Roman"/>
          <w:szCs w:val="21"/>
        </w:rPr>
        <w:t xml:space="preserve">                                                                                                                                                                                                 </w:t>
      </w:r>
    </w:p>
    <w:p>
      <w:pPr>
        <w:snapToGrid w:val="0"/>
        <w:spacing w:line="360" w:lineRule="auto"/>
        <w:rPr>
          <w:rFonts w:ascii="宋体" w:hAnsi="宋体" w:eastAsia="宋体" w:cs="Times New Roman"/>
          <w:szCs w:val="21"/>
        </w:rPr>
      </w:pPr>
      <w:r>
        <w:rPr>
          <w:rFonts w:hint="eastAsia" w:ascii="宋体" w:hAnsi="宋体" w:eastAsia="宋体" w:cs="Times New Roman"/>
          <w:szCs w:val="21"/>
        </w:rPr>
        <w:t>3.4 数据处理和计算方法的确定</w:t>
      </w:r>
    </w:p>
    <w:p>
      <w:pPr>
        <w:snapToGrid w:val="0"/>
        <w:spacing w:line="360" w:lineRule="auto"/>
        <w:rPr>
          <w:rFonts w:ascii="宋体" w:hAnsi="宋体" w:eastAsia="宋体" w:cs="Times New Roman"/>
          <w:szCs w:val="21"/>
        </w:rPr>
      </w:pPr>
      <w:r>
        <w:rPr>
          <w:rFonts w:hint="eastAsia" w:ascii="宋体" w:hAnsi="宋体" w:eastAsia="宋体" w:cs="Times New Roman"/>
          <w:szCs w:val="21"/>
        </w:rPr>
        <w:t xml:space="preserve">    表1中的各评价指标应按附录A的方法测定。     </w:t>
      </w:r>
    </w:p>
    <w:p>
      <w:pPr>
        <w:snapToGrid w:val="0"/>
        <w:spacing w:line="360" w:lineRule="auto"/>
        <w:rPr>
          <w:rFonts w:ascii="宋体" w:hAnsi="宋体" w:eastAsia="宋体" w:cs="Times New Roman"/>
          <w:szCs w:val="21"/>
        </w:rPr>
      </w:pPr>
      <w:r>
        <w:rPr>
          <w:rFonts w:hint="eastAsia" w:ascii="宋体" w:hAnsi="宋体" w:eastAsia="宋体" w:cs="Times New Roman"/>
          <w:szCs w:val="21"/>
        </w:rPr>
        <w:t>3.5 对产品生命周期评价报告编制方法作了规定</w:t>
      </w:r>
    </w:p>
    <w:p>
      <w:pPr>
        <w:snapToGrid w:val="0"/>
        <w:spacing w:line="360" w:lineRule="auto"/>
        <w:ind w:firstLine="420"/>
        <w:rPr>
          <w:rFonts w:ascii="宋体" w:hAnsi="宋体" w:eastAsia="宋体" w:cs="Times New Roman"/>
          <w:szCs w:val="21"/>
        </w:rPr>
      </w:pPr>
      <w:r>
        <w:rPr>
          <w:rFonts w:hint="eastAsia" w:ascii="宋体" w:hAnsi="宋体" w:eastAsia="宋体" w:cs="Times New Roman"/>
          <w:szCs w:val="21"/>
        </w:rPr>
        <w:t>内容包括：方法（参见附录B）、报告内容框架（基本信息、符合性评价、生命周期评价、评价报告主要结论、附件）。</w:t>
      </w:r>
    </w:p>
    <w:p>
      <w:pPr>
        <w:snapToGrid w:val="0"/>
        <w:spacing w:line="360" w:lineRule="auto"/>
        <w:rPr>
          <w:rFonts w:ascii="宋体" w:hAnsi="宋体" w:eastAsia="宋体" w:cs="Times New Roman"/>
          <w:szCs w:val="21"/>
        </w:rPr>
      </w:pPr>
      <w:r>
        <w:rPr>
          <w:rFonts w:hint="eastAsia" w:ascii="宋体" w:hAnsi="宋体" w:eastAsia="宋体" w:cs="Times New Roman"/>
          <w:szCs w:val="21"/>
        </w:rPr>
        <w:t>3.6 对绿色设计产品评价方法作了规定</w:t>
      </w:r>
    </w:p>
    <w:p>
      <w:pPr>
        <w:snapToGrid w:val="0"/>
        <w:spacing w:line="360" w:lineRule="auto"/>
        <w:rPr>
          <w:rFonts w:ascii="宋体" w:hAnsi="宋体" w:eastAsia="宋体" w:cs="Times New Roman"/>
          <w:szCs w:val="21"/>
        </w:rPr>
      </w:pPr>
      <w:r>
        <w:rPr>
          <w:rFonts w:hint="eastAsia" w:ascii="宋体" w:hAnsi="宋体" w:eastAsia="宋体" w:cs="Times New Roman"/>
          <w:szCs w:val="21"/>
        </w:rPr>
        <w:t xml:space="preserve">    内容包括：评价方法、评价流程。</w:t>
      </w:r>
    </w:p>
    <w:p>
      <w:pPr>
        <w:pStyle w:val="2"/>
        <w:spacing w:before="0" w:beforeAutospacing="0" w:after="0" w:afterAutospacing="0" w:line="360" w:lineRule="auto"/>
        <w:rPr>
          <w:rFonts w:cs="Times New Roman"/>
          <w:sz w:val="21"/>
          <w:szCs w:val="21"/>
        </w:rPr>
      </w:pPr>
      <w:bookmarkStart w:id="10" w:name="_Toc2844245"/>
      <w:r>
        <w:rPr>
          <w:rFonts w:hint="eastAsia"/>
          <w:sz w:val="24"/>
          <w:szCs w:val="24"/>
        </w:rPr>
        <w:t>四、采用国际标准和国外先进标准的情况</w:t>
      </w:r>
      <w:bookmarkEnd w:id="10"/>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标准根据我国情况首次制定，填补了我国氢氧化锂绿色设计产品评价技术规范标准的空白，其技术指标符合用户要求，先进合理。本标准在编制过程中进行了大量的数据收集工作，同时兼顾了国内大部分氢氧化锂生产厂家的情况。</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本标准没有采用国际标准；本标准在制定过程中未检测到同类国际标准。标准总体水平达到了国际先进水平。</w:t>
      </w:r>
    </w:p>
    <w:p>
      <w:pPr>
        <w:pStyle w:val="2"/>
        <w:spacing w:before="0" w:beforeAutospacing="0" w:after="0" w:afterAutospacing="0" w:line="360" w:lineRule="auto"/>
        <w:rPr>
          <w:sz w:val="24"/>
          <w:szCs w:val="24"/>
        </w:rPr>
      </w:pPr>
      <w:bookmarkStart w:id="11" w:name="_Toc2844246"/>
      <w:r>
        <w:rPr>
          <w:rFonts w:hint="eastAsia"/>
          <w:sz w:val="24"/>
          <w:szCs w:val="24"/>
        </w:rPr>
        <w:t>五、与有关现行法律、法规和强制性国家标准的关系</w:t>
      </w:r>
      <w:bookmarkEnd w:id="11"/>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本标准与相关法律、法规、规章及相关标准协调一致，没有冲突。</w:t>
      </w:r>
    </w:p>
    <w:p>
      <w:pPr>
        <w:pStyle w:val="2"/>
        <w:spacing w:before="0" w:beforeAutospacing="0" w:after="0" w:afterAutospacing="0" w:line="360" w:lineRule="auto"/>
        <w:rPr>
          <w:sz w:val="24"/>
          <w:szCs w:val="24"/>
        </w:rPr>
      </w:pPr>
      <w:bookmarkStart w:id="12" w:name="_Toc2844247"/>
      <w:r>
        <w:rPr>
          <w:rFonts w:hint="eastAsia"/>
          <w:sz w:val="24"/>
          <w:szCs w:val="24"/>
        </w:rPr>
        <w:t>六、重大分歧意见的处理经过和依据</w:t>
      </w:r>
      <w:bookmarkEnd w:id="12"/>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无。</w:t>
      </w:r>
    </w:p>
    <w:p>
      <w:pPr>
        <w:pStyle w:val="2"/>
        <w:spacing w:before="0" w:beforeAutospacing="0" w:after="0" w:afterAutospacing="0" w:line="360" w:lineRule="auto"/>
        <w:rPr>
          <w:sz w:val="24"/>
          <w:szCs w:val="24"/>
        </w:rPr>
      </w:pPr>
      <w:bookmarkStart w:id="13" w:name="_Toc2844248"/>
      <w:r>
        <w:rPr>
          <w:rFonts w:hint="eastAsia"/>
          <w:sz w:val="24"/>
          <w:szCs w:val="24"/>
        </w:rPr>
        <w:t>七、标准作为强制性标准或推荐性标准的建议</w:t>
      </w:r>
      <w:bookmarkEnd w:id="13"/>
    </w:p>
    <w:p>
      <w:pPr>
        <w:snapToGrid w:val="0"/>
        <w:spacing w:line="360" w:lineRule="auto"/>
        <w:ind w:firstLine="420" w:firstLineChars="200"/>
        <w:rPr>
          <w:rFonts w:ascii="宋体" w:hAnsi="宋体" w:eastAsia="宋体" w:cs="Times New Roman"/>
          <w:sz w:val="24"/>
          <w:szCs w:val="24"/>
        </w:rPr>
      </w:pPr>
      <w:r>
        <w:rPr>
          <w:rFonts w:hint="eastAsia" w:ascii="宋体" w:hAnsi="宋体" w:eastAsia="宋体" w:cs="Times New Roman"/>
          <w:szCs w:val="21"/>
        </w:rPr>
        <w:t>建议标准《绿色设计产品评价技术规范 氢氧化锂》作为推荐性标准颁布实施。</w:t>
      </w:r>
    </w:p>
    <w:p>
      <w:pPr>
        <w:pStyle w:val="2"/>
        <w:spacing w:before="0" w:beforeAutospacing="0" w:after="0" w:afterAutospacing="0" w:line="360" w:lineRule="auto"/>
        <w:rPr>
          <w:sz w:val="24"/>
          <w:szCs w:val="24"/>
        </w:rPr>
      </w:pPr>
      <w:bookmarkStart w:id="14" w:name="_Toc2844249"/>
      <w:r>
        <w:rPr>
          <w:rFonts w:hint="eastAsia"/>
          <w:sz w:val="24"/>
          <w:szCs w:val="24"/>
        </w:rPr>
        <w:t>八、贯彻标准的要求和措施建议</w:t>
      </w:r>
      <w:bookmarkEnd w:id="14"/>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建议本标准批准发布后，应加强对本标准的推广和宣传力度，促进更多企业和客户了解、掌握、科学使用《绿色设计产品评价技术规范 氢氧化锂》标准，促进标准的顺利实施。</w:t>
      </w:r>
    </w:p>
    <w:p>
      <w:pPr>
        <w:pStyle w:val="2"/>
        <w:spacing w:before="0" w:beforeAutospacing="0" w:after="0" w:afterAutospacing="0" w:line="360" w:lineRule="auto"/>
        <w:rPr>
          <w:sz w:val="24"/>
          <w:szCs w:val="24"/>
        </w:rPr>
      </w:pPr>
      <w:bookmarkStart w:id="15" w:name="_Toc2844250"/>
      <w:r>
        <w:rPr>
          <w:rFonts w:hint="eastAsia"/>
          <w:sz w:val="24"/>
          <w:szCs w:val="24"/>
        </w:rPr>
        <w:t>九、废止现行有关标准的建议</w:t>
      </w:r>
      <w:bookmarkEnd w:id="15"/>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无。</w:t>
      </w:r>
    </w:p>
    <w:p>
      <w:pPr>
        <w:pStyle w:val="2"/>
        <w:spacing w:before="0" w:beforeAutospacing="0" w:after="0" w:afterAutospacing="0" w:line="360" w:lineRule="auto"/>
        <w:rPr>
          <w:sz w:val="24"/>
          <w:szCs w:val="24"/>
        </w:rPr>
      </w:pPr>
      <w:bookmarkStart w:id="16" w:name="_Toc2844251"/>
      <w:r>
        <w:rPr>
          <w:rFonts w:hint="eastAsia"/>
          <w:sz w:val="24"/>
          <w:szCs w:val="24"/>
        </w:rPr>
        <w:t>十、其他应予说明的事项</w:t>
      </w:r>
      <w:bookmarkEnd w:id="16"/>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无。</w:t>
      </w:r>
    </w:p>
    <w:p>
      <w:pPr>
        <w:pStyle w:val="2"/>
        <w:spacing w:before="0" w:beforeAutospacing="0" w:after="0" w:afterAutospacing="0" w:line="360" w:lineRule="auto"/>
        <w:rPr>
          <w:sz w:val="28"/>
          <w:szCs w:val="28"/>
        </w:rPr>
      </w:pPr>
    </w:p>
    <w:sectPr>
      <w:pgSz w:w="11906" w:h="16838"/>
      <w:pgMar w:top="1157" w:right="1080" w:bottom="1043" w:left="108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SymbolMT">
    <w:altName w:val="Cambria"/>
    <w:panose1 w:val="00000000000000000000"/>
    <w:charset w:val="00"/>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SymbolMT">
    <w:altName w:val="Cambria"/>
    <w:panose1 w:val="00000000000000000000"/>
    <w:charset w:val="00"/>
    <w:family w:val="swiss"/>
    <w:pitch w:val="default"/>
    <w:sig w:usb0="00000000" w:usb1="00000000" w:usb2="00000000" w:usb3="00000000" w:csb0="00000000"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SymbolMT">
    <w:altName w:val="Cambria"/>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AngsanaUPC">
    <w:panose1 w:val="02020603050405020304"/>
    <w:charset w:val="00"/>
    <w:family w:val="roman"/>
    <w:pitch w:val="default"/>
    <w:sig w:usb0="81000003" w:usb1="00000000" w:usb2="00000000" w:usb3="00000000" w:csb0="00010001" w:csb1="00000000"/>
  </w:font>
  <w:font w:name="Cambria Math">
    <w:panose1 w:val="02040503050406030204"/>
    <w:charset w:val="00"/>
    <w:family w:val="modern"/>
    <w:pitch w:val="default"/>
    <w:sig w:usb0="E00002FF" w:usb1="420024FF" w:usb2="00000000" w:usb3="00000000" w:csb0="2000019F" w:csb1="00000000"/>
  </w:font>
  <w:font w:name="AngsanaUPC">
    <w:panose1 w:val="02020603050405020304"/>
    <w:charset w:val="00"/>
    <w:family w:val="modern"/>
    <w:pitch w:val="default"/>
    <w:sig w:usb0="81000003" w:usb1="00000000" w:usb2="00000000" w:usb3="00000000" w:csb0="00010001" w:csb1="00000000"/>
  </w:font>
  <w:font w:name="Cambria Math">
    <w:panose1 w:val="02040503050406030204"/>
    <w:charset w:val="00"/>
    <w:family w:val="swiss"/>
    <w:pitch w:val="default"/>
    <w:sig w:usb0="E00002FF" w:usb1="420024FF" w:usb2="00000000" w:usb3="00000000" w:csb0="2000019F" w:csb1="00000000"/>
  </w:font>
  <w:font w:name="AngsanaUPC">
    <w:panose1 w:val="02020603050405020304"/>
    <w:charset w:val="00"/>
    <w:family w:val="swiss"/>
    <w:pitch w:val="default"/>
    <w:sig w:usb0="81000003" w:usb1="00000000" w:usb2="00000000" w:usb3="00000000" w:csb0="00010001" w:csb1="00000000"/>
  </w:font>
  <w:font w:name="Cambria Math">
    <w:panose1 w:val="02040503050406030204"/>
    <w:charset w:val="00"/>
    <w:family w:val="decorative"/>
    <w:pitch w:val="default"/>
    <w:sig w:usb0="E00002FF" w:usb1="420024FF" w:usb2="00000000" w:usb3="00000000" w:csb0="2000019F" w:csb1="00000000"/>
  </w:font>
  <w:font w:name="AngsanaUPC">
    <w:panose1 w:val="02020603050405020304"/>
    <w:charset w:val="00"/>
    <w:family w:val="decorative"/>
    <w:pitch w:val="default"/>
    <w:sig w:usb0="81000003" w:usb1="00000000" w:usb2="00000000" w:usb3="00000000" w:csb0="00010001"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378"/>
    </w:sdtPr>
    <w:sdtContent>
      <w:p>
        <w:pPr>
          <w:pStyle w:val="9"/>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
    <w:nsid w:val="0000000C"/>
    <w:multiLevelType w:val="multilevel"/>
    <w:tmpl w:val="0000000C"/>
    <w:lvl w:ilvl="0" w:tentative="1">
      <w:start w:val="1"/>
      <w:numFmt w:val="none"/>
      <w:pStyle w:val="37"/>
      <w:lvlText w:val="%1示例"/>
      <w:lvlJc w:val="left"/>
      <w:pPr>
        <w:tabs>
          <w:tab w:val="left" w:pos="1120"/>
        </w:tabs>
        <w:ind w:left="0" w:firstLine="400"/>
      </w:pPr>
      <w:rPr>
        <w:rFonts w:hint="eastAsia" w:ascii="宋体" w:eastAsia="宋体"/>
        <w:b w:val="0"/>
        <w:i w:val="0"/>
        <w:sz w:val="18"/>
      </w:rPr>
    </w:lvl>
    <w:lvl w:ilvl="1" w:tentative="1">
      <w:start w:val="1"/>
      <w:numFmt w:val="lowerLetter"/>
      <w:pStyle w:val="36"/>
      <w:lvlText w:val="%2)"/>
      <w:lvlJc w:val="left"/>
      <w:pPr>
        <w:tabs>
          <w:tab w:val="left" w:pos="840"/>
        </w:tabs>
        <w:ind w:left="840" w:hanging="420"/>
      </w:pPr>
    </w:lvl>
    <w:lvl w:ilvl="2" w:tentative="1">
      <w:start w:val="1"/>
      <w:numFmt w:val="lowerRoman"/>
      <w:pStyle w:val="39"/>
      <w:lvlText w:val="%3."/>
      <w:lvlJc w:val="right"/>
      <w:pPr>
        <w:tabs>
          <w:tab w:val="left" w:pos="1260"/>
        </w:tabs>
        <w:ind w:left="1260" w:hanging="420"/>
      </w:pPr>
    </w:lvl>
    <w:lvl w:ilvl="3" w:tentative="1">
      <w:start w:val="1"/>
      <w:numFmt w:val="decimal"/>
      <w:pStyle w:val="34"/>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60935861">
    <w:nsid w:val="5D09FDB5"/>
    <w:multiLevelType w:val="singleLevel"/>
    <w:tmpl w:val="5D09FDB5"/>
    <w:lvl w:ilvl="0" w:tentative="1">
      <w:start w:val="3"/>
      <w:numFmt w:val="chineseCounting"/>
      <w:suff w:val="nothing"/>
      <w:lvlText w:val="%1、"/>
      <w:lvlJc w:val="left"/>
    </w:lvl>
  </w:abstractNum>
  <w:num w:numId="1">
    <w:abstractNumId w:val="12"/>
  </w:num>
  <w:num w:numId="2">
    <w:abstractNumId w:val="15609358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30F2"/>
    <w:rsid w:val="00000D8C"/>
    <w:rsid w:val="00001025"/>
    <w:rsid w:val="00006088"/>
    <w:rsid w:val="000150F8"/>
    <w:rsid w:val="0001552B"/>
    <w:rsid w:val="000160A7"/>
    <w:rsid w:val="00025048"/>
    <w:rsid w:val="00031BF0"/>
    <w:rsid w:val="00044101"/>
    <w:rsid w:val="00044546"/>
    <w:rsid w:val="00046FB7"/>
    <w:rsid w:val="000530B9"/>
    <w:rsid w:val="00064DB1"/>
    <w:rsid w:val="00085B94"/>
    <w:rsid w:val="00095124"/>
    <w:rsid w:val="00095AA7"/>
    <w:rsid w:val="000964DC"/>
    <w:rsid w:val="000A26E8"/>
    <w:rsid w:val="000A7AD4"/>
    <w:rsid w:val="000B05E7"/>
    <w:rsid w:val="000B1091"/>
    <w:rsid w:val="000B4D81"/>
    <w:rsid w:val="000B6D3A"/>
    <w:rsid w:val="000C2A61"/>
    <w:rsid w:val="000D0F34"/>
    <w:rsid w:val="000D27F2"/>
    <w:rsid w:val="000D78E0"/>
    <w:rsid w:val="000E6146"/>
    <w:rsid w:val="000F2EAA"/>
    <w:rsid w:val="000F5010"/>
    <w:rsid w:val="000F686F"/>
    <w:rsid w:val="000F7D9F"/>
    <w:rsid w:val="00106650"/>
    <w:rsid w:val="0010767A"/>
    <w:rsid w:val="00107D36"/>
    <w:rsid w:val="00117320"/>
    <w:rsid w:val="001326E4"/>
    <w:rsid w:val="00134581"/>
    <w:rsid w:val="00151991"/>
    <w:rsid w:val="0015479F"/>
    <w:rsid w:val="00155250"/>
    <w:rsid w:val="00157C27"/>
    <w:rsid w:val="0016338E"/>
    <w:rsid w:val="00163F02"/>
    <w:rsid w:val="001715E9"/>
    <w:rsid w:val="00174498"/>
    <w:rsid w:val="001773F4"/>
    <w:rsid w:val="00181053"/>
    <w:rsid w:val="00182302"/>
    <w:rsid w:val="00185D6F"/>
    <w:rsid w:val="00185FAD"/>
    <w:rsid w:val="0018636A"/>
    <w:rsid w:val="00191627"/>
    <w:rsid w:val="001929B9"/>
    <w:rsid w:val="00193633"/>
    <w:rsid w:val="00197F1C"/>
    <w:rsid w:val="001A20A0"/>
    <w:rsid w:val="001A2785"/>
    <w:rsid w:val="001A52FC"/>
    <w:rsid w:val="001B7473"/>
    <w:rsid w:val="001C0B29"/>
    <w:rsid w:val="001C5CAE"/>
    <w:rsid w:val="001D6138"/>
    <w:rsid w:val="001E1559"/>
    <w:rsid w:val="002036EB"/>
    <w:rsid w:val="002037C1"/>
    <w:rsid w:val="002060E2"/>
    <w:rsid w:val="00212C44"/>
    <w:rsid w:val="00213858"/>
    <w:rsid w:val="002240B4"/>
    <w:rsid w:val="00231EC3"/>
    <w:rsid w:val="0023676E"/>
    <w:rsid w:val="0023798A"/>
    <w:rsid w:val="00241825"/>
    <w:rsid w:val="00241BB1"/>
    <w:rsid w:val="00252D30"/>
    <w:rsid w:val="00255663"/>
    <w:rsid w:val="00262BB7"/>
    <w:rsid w:val="002638CA"/>
    <w:rsid w:val="00267707"/>
    <w:rsid w:val="002777CD"/>
    <w:rsid w:val="00281E7A"/>
    <w:rsid w:val="0028314C"/>
    <w:rsid w:val="00283EF4"/>
    <w:rsid w:val="0028447A"/>
    <w:rsid w:val="0028459D"/>
    <w:rsid w:val="002963A3"/>
    <w:rsid w:val="002A1A65"/>
    <w:rsid w:val="002C5BDA"/>
    <w:rsid w:val="002D39BC"/>
    <w:rsid w:val="002E1A7A"/>
    <w:rsid w:val="002E2E0E"/>
    <w:rsid w:val="002E60ED"/>
    <w:rsid w:val="002F106C"/>
    <w:rsid w:val="002F4845"/>
    <w:rsid w:val="002F6DC8"/>
    <w:rsid w:val="00306CD6"/>
    <w:rsid w:val="00307C88"/>
    <w:rsid w:val="00311E6E"/>
    <w:rsid w:val="00314E0B"/>
    <w:rsid w:val="003234F1"/>
    <w:rsid w:val="00324328"/>
    <w:rsid w:val="003305E7"/>
    <w:rsid w:val="0033352F"/>
    <w:rsid w:val="00334BEB"/>
    <w:rsid w:val="00335513"/>
    <w:rsid w:val="003404C8"/>
    <w:rsid w:val="00341B57"/>
    <w:rsid w:val="00343EC3"/>
    <w:rsid w:val="00351D47"/>
    <w:rsid w:val="003537B2"/>
    <w:rsid w:val="00354882"/>
    <w:rsid w:val="00360AF5"/>
    <w:rsid w:val="003612FA"/>
    <w:rsid w:val="0036180F"/>
    <w:rsid w:val="00364317"/>
    <w:rsid w:val="003659E3"/>
    <w:rsid w:val="00370DD6"/>
    <w:rsid w:val="00372555"/>
    <w:rsid w:val="00373A67"/>
    <w:rsid w:val="00376F0F"/>
    <w:rsid w:val="00384356"/>
    <w:rsid w:val="0038534E"/>
    <w:rsid w:val="0039081A"/>
    <w:rsid w:val="00391324"/>
    <w:rsid w:val="003A1E86"/>
    <w:rsid w:val="003A2034"/>
    <w:rsid w:val="003A48FD"/>
    <w:rsid w:val="003B38DB"/>
    <w:rsid w:val="003B44D6"/>
    <w:rsid w:val="003B47A3"/>
    <w:rsid w:val="003B7E48"/>
    <w:rsid w:val="003C2710"/>
    <w:rsid w:val="003C4E0A"/>
    <w:rsid w:val="003C5073"/>
    <w:rsid w:val="003D1652"/>
    <w:rsid w:val="003E051E"/>
    <w:rsid w:val="003E20BC"/>
    <w:rsid w:val="003E5B31"/>
    <w:rsid w:val="003F2BAE"/>
    <w:rsid w:val="003F7E4F"/>
    <w:rsid w:val="0040326A"/>
    <w:rsid w:val="0040636A"/>
    <w:rsid w:val="004136DD"/>
    <w:rsid w:val="00414A33"/>
    <w:rsid w:val="004222FA"/>
    <w:rsid w:val="00431930"/>
    <w:rsid w:val="004418FE"/>
    <w:rsid w:val="004461B5"/>
    <w:rsid w:val="004464CA"/>
    <w:rsid w:val="004502AB"/>
    <w:rsid w:val="00451A7A"/>
    <w:rsid w:val="004549AF"/>
    <w:rsid w:val="00456242"/>
    <w:rsid w:val="00460A0D"/>
    <w:rsid w:val="00461D9D"/>
    <w:rsid w:val="0046639B"/>
    <w:rsid w:val="00485E2E"/>
    <w:rsid w:val="00494062"/>
    <w:rsid w:val="00494512"/>
    <w:rsid w:val="0049643B"/>
    <w:rsid w:val="004A4F81"/>
    <w:rsid w:val="004A5C05"/>
    <w:rsid w:val="004B050E"/>
    <w:rsid w:val="004B13E7"/>
    <w:rsid w:val="004B4FF0"/>
    <w:rsid w:val="004C2A5E"/>
    <w:rsid w:val="004D0709"/>
    <w:rsid w:val="004D3E91"/>
    <w:rsid w:val="004D3F97"/>
    <w:rsid w:val="004E3DBB"/>
    <w:rsid w:val="004E4F53"/>
    <w:rsid w:val="004F06AF"/>
    <w:rsid w:val="004F0FA8"/>
    <w:rsid w:val="004F5A44"/>
    <w:rsid w:val="005006B8"/>
    <w:rsid w:val="00501A9A"/>
    <w:rsid w:val="00502A73"/>
    <w:rsid w:val="00506196"/>
    <w:rsid w:val="00510FDC"/>
    <w:rsid w:val="00515AE8"/>
    <w:rsid w:val="00516A45"/>
    <w:rsid w:val="00523E55"/>
    <w:rsid w:val="00525E0E"/>
    <w:rsid w:val="00533C8D"/>
    <w:rsid w:val="00540B13"/>
    <w:rsid w:val="00542A71"/>
    <w:rsid w:val="00551DD5"/>
    <w:rsid w:val="005542A2"/>
    <w:rsid w:val="005550CD"/>
    <w:rsid w:val="00562602"/>
    <w:rsid w:val="00563FED"/>
    <w:rsid w:val="005861D6"/>
    <w:rsid w:val="00596D14"/>
    <w:rsid w:val="005A06BE"/>
    <w:rsid w:val="005A31FC"/>
    <w:rsid w:val="005A34D3"/>
    <w:rsid w:val="005A426A"/>
    <w:rsid w:val="005A6C59"/>
    <w:rsid w:val="005B33D1"/>
    <w:rsid w:val="005B482D"/>
    <w:rsid w:val="005B7D5B"/>
    <w:rsid w:val="005D06A7"/>
    <w:rsid w:val="005D29E5"/>
    <w:rsid w:val="005D6FC4"/>
    <w:rsid w:val="005E7681"/>
    <w:rsid w:val="005F564B"/>
    <w:rsid w:val="005F618C"/>
    <w:rsid w:val="005F71AC"/>
    <w:rsid w:val="006028D8"/>
    <w:rsid w:val="00602F52"/>
    <w:rsid w:val="00624A9A"/>
    <w:rsid w:val="00624BA1"/>
    <w:rsid w:val="00627D5F"/>
    <w:rsid w:val="0063023C"/>
    <w:rsid w:val="00631317"/>
    <w:rsid w:val="00633C8B"/>
    <w:rsid w:val="006440C1"/>
    <w:rsid w:val="006450D8"/>
    <w:rsid w:val="00651024"/>
    <w:rsid w:val="00654188"/>
    <w:rsid w:val="006575D7"/>
    <w:rsid w:val="00671B1F"/>
    <w:rsid w:val="00672334"/>
    <w:rsid w:val="006763BC"/>
    <w:rsid w:val="00682BB9"/>
    <w:rsid w:val="0069162C"/>
    <w:rsid w:val="00692AC7"/>
    <w:rsid w:val="00693091"/>
    <w:rsid w:val="00696A72"/>
    <w:rsid w:val="0069773F"/>
    <w:rsid w:val="006A0E42"/>
    <w:rsid w:val="006C1E37"/>
    <w:rsid w:val="006C3EA9"/>
    <w:rsid w:val="006D1AEC"/>
    <w:rsid w:val="006D45A8"/>
    <w:rsid w:val="006E4827"/>
    <w:rsid w:val="006E68A4"/>
    <w:rsid w:val="006F0841"/>
    <w:rsid w:val="006F1D1E"/>
    <w:rsid w:val="006F4E66"/>
    <w:rsid w:val="006F7F63"/>
    <w:rsid w:val="00707195"/>
    <w:rsid w:val="007305E4"/>
    <w:rsid w:val="00733019"/>
    <w:rsid w:val="007347C6"/>
    <w:rsid w:val="007468C8"/>
    <w:rsid w:val="00746968"/>
    <w:rsid w:val="00753A00"/>
    <w:rsid w:val="00754AFD"/>
    <w:rsid w:val="00765C64"/>
    <w:rsid w:val="00767E36"/>
    <w:rsid w:val="00772A30"/>
    <w:rsid w:val="007817A0"/>
    <w:rsid w:val="007A4906"/>
    <w:rsid w:val="007A511E"/>
    <w:rsid w:val="007A7953"/>
    <w:rsid w:val="007B1064"/>
    <w:rsid w:val="007B1418"/>
    <w:rsid w:val="007B2B5A"/>
    <w:rsid w:val="007B4539"/>
    <w:rsid w:val="007B77D2"/>
    <w:rsid w:val="007C5CE5"/>
    <w:rsid w:val="007D1F32"/>
    <w:rsid w:val="007D3286"/>
    <w:rsid w:val="007E66ED"/>
    <w:rsid w:val="007E7101"/>
    <w:rsid w:val="007F58CB"/>
    <w:rsid w:val="007F5AF7"/>
    <w:rsid w:val="00800E33"/>
    <w:rsid w:val="008012CA"/>
    <w:rsid w:val="008076A5"/>
    <w:rsid w:val="008076AF"/>
    <w:rsid w:val="00810D54"/>
    <w:rsid w:val="00810D6B"/>
    <w:rsid w:val="00810F58"/>
    <w:rsid w:val="00814B39"/>
    <w:rsid w:val="00820BB9"/>
    <w:rsid w:val="0083674C"/>
    <w:rsid w:val="00837C03"/>
    <w:rsid w:val="00844A73"/>
    <w:rsid w:val="00847BA5"/>
    <w:rsid w:val="00860076"/>
    <w:rsid w:val="008635EE"/>
    <w:rsid w:val="00867959"/>
    <w:rsid w:val="00882DAF"/>
    <w:rsid w:val="00893B67"/>
    <w:rsid w:val="0089702B"/>
    <w:rsid w:val="008A3A87"/>
    <w:rsid w:val="008A3E56"/>
    <w:rsid w:val="008A6A1C"/>
    <w:rsid w:val="008B1389"/>
    <w:rsid w:val="008B2A01"/>
    <w:rsid w:val="008B4F0E"/>
    <w:rsid w:val="008C2D1B"/>
    <w:rsid w:val="008C48F4"/>
    <w:rsid w:val="008D15AF"/>
    <w:rsid w:val="008D412B"/>
    <w:rsid w:val="008D6423"/>
    <w:rsid w:val="008E07EB"/>
    <w:rsid w:val="008E1FA8"/>
    <w:rsid w:val="008E4379"/>
    <w:rsid w:val="008E7A88"/>
    <w:rsid w:val="008F148B"/>
    <w:rsid w:val="008F2DBA"/>
    <w:rsid w:val="0090061A"/>
    <w:rsid w:val="009025DB"/>
    <w:rsid w:val="00902B3E"/>
    <w:rsid w:val="0090583E"/>
    <w:rsid w:val="009060C9"/>
    <w:rsid w:val="009114E5"/>
    <w:rsid w:val="009162BA"/>
    <w:rsid w:val="009213B2"/>
    <w:rsid w:val="009247F3"/>
    <w:rsid w:val="009309AC"/>
    <w:rsid w:val="00933306"/>
    <w:rsid w:val="0093383B"/>
    <w:rsid w:val="00940A25"/>
    <w:rsid w:val="00944323"/>
    <w:rsid w:val="00944492"/>
    <w:rsid w:val="00947015"/>
    <w:rsid w:val="009502E9"/>
    <w:rsid w:val="00956CF8"/>
    <w:rsid w:val="009601BF"/>
    <w:rsid w:val="00961802"/>
    <w:rsid w:val="0096217C"/>
    <w:rsid w:val="00962EB6"/>
    <w:rsid w:val="00980250"/>
    <w:rsid w:val="00981EEE"/>
    <w:rsid w:val="0098430C"/>
    <w:rsid w:val="00995D15"/>
    <w:rsid w:val="009A29D1"/>
    <w:rsid w:val="009B6BA0"/>
    <w:rsid w:val="009B7C06"/>
    <w:rsid w:val="009B7E4D"/>
    <w:rsid w:val="009C2696"/>
    <w:rsid w:val="009C65A4"/>
    <w:rsid w:val="009C7EB2"/>
    <w:rsid w:val="009D4912"/>
    <w:rsid w:val="009D741B"/>
    <w:rsid w:val="009E5993"/>
    <w:rsid w:val="009F4508"/>
    <w:rsid w:val="00A02D0C"/>
    <w:rsid w:val="00A072BD"/>
    <w:rsid w:val="00A13998"/>
    <w:rsid w:val="00A14F87"/>
    <w:rsid w:val="00A223E7"/>
    <w:rsid w:val="00A23972"/>
    <w:rsid w:val="00A31FC8"/>
    <w:rsid w:val="00A33DEF"/>
    <w:rsid w:val="00A35098"/>
    <w:rsid w:val="00A56593"/>
    <w:rsid w:val="00A60B23"/>
    <w:rsid w:val="00A66223"/>
    <w:rsid w:val="00A674E2"/>
    <w:rsid w:val="00A7131A"/>
    <w:rsid w:val="00A72BB1"/>
    <w:rsid w:val="00A768F0"/>
    <w:rsid w:val="00A819B8"/>
    <w:rsid w:val="00A91D83"/>
    <w:rsid w:val="00A93DD8"/>
    <w:rsid w:val="00A9427A"/>
    <w:rsid w:val="00AA56A3"/>
    <w:rsid w:val="00AA5B5E"/>
    <w:rsid w:val="00AB363E"/>
    <w:rsid w:val="00AC0179"/>
    <w:rsid w:val="00AC7177"/>
    <w:rsid w:val="00AD1762"/>
    <w:rsid w:val="00AD30BE"/>
    <w:rsid w:val="00AD3B83"/>
    <w:rsid w:val="00AD67EE"/>
    <w:rsid w:val="00AE6FCE"/>
    <w:rsid w:val="00AF0D58"/>
    <w:rsid w:val="00AF2092"/>
    <w:rsid w:val="00AF6BFA"/>
    <w:rsid w:val="00B0018A"/>
    <w:rsid w:val="00B0100F"/>
    <w:rsid w:val="00B05E7A"/>
    <w:rsid w:val="00B11A11"/>
    <w:rsid w:val="00B21042"/>
    <w:rsid w:val="00B21432"/>
    <w:rsid w:val="00B237E9"/>
    <w:rsid w:val="00B37E17"/>
    <w:rsid w:val="00B42244"/>
    <w:rsid w:val="00B43EE9"/>
    <w:rsid w:val="00B47907"/>
    <w:rsid w:val="00B63A8C"/>
    <w:rsid w:val="00B63FDE"/>
    <w:rsid w:val="00B81D5B"/>
    <w:rsid w:val="00B95BEA"/>
    <w:rsid w:val="00BA17ED"/>
    <w:rsid w:val="00BA2616"/>
    <w:rsid w:val="00BA3B2F"/>
    <w:rsid w:val="00BA4105"/>
    <w:rsid w:val="00BB2784"/>
    <w:rsid w:val="00BC39D5"/>
    <w:rsid w:val="00BD7E36"/>
    <w:rsid w:val="00BE4DAB"/>
    <w:rsid w:val="00BE6FB7"/>
    <w:rsid w:val="00BF4A6A"/>
    <w:rsid w:val="00BF4CF2"/>
    <w:rsid w:val="00C0748F"/>
    <w:rsid w:val="00C15B52"/>
    <w:rsid w:val="00C22921"/>
    <w:rsid w:val="00C24662"/>
    <w:rsid w:val="00C312EE"/>
    <w:rsid w:val="00C31E5A"/>
    <w:rsid w:val="00C35566"/>
    <w:rsid w:val="00C3718E"/>
    <w:rsid w:val="00C45355"/>
    <w:rsid w:val="00C4775A"/>
    <w:rsid w:val="00C52BDE"/>
    <w:rsid w:val="00C54A6B"/>
    <w:rsid w:val="00C6082A"/>
    <w:rsid w:val="00C61BAC"/>
    <w:rsid w:val="00C87500"/>
    <w:rsid w:val="00CA131D"/>
    <w:rsid w:val="00CA29E4"/>
    <w:rsid w:val="00CB14B8"/>
    <w:rsid w:val="00CB26DD"/>
    <w:rsid w:val="00CB497B"/>
    <w:rsid w:val="00CB50F6"/>
    <w:rsid w:val="00CC0B1B"/>
    <w:rsid w:val="00CD0AEE"/>
    <w:rsid w:val="00CD19D2"/>
    <w:rsid w:val="00CD333B"/>
    <w:rsid w:val="00CE0574"/>
    <w:rsid w:val="00CE2734"/>
    <w:rsid w:val="00CE2D33"/>
    <w:rsid w:val="00CE3D2D"/>
    <w:rsid w:val="00CE45DE"/>
    <w:rsid w:val="00CF357C"/>
    <w:rsid w:val="00D03138"/>
    <w:rsid w:val="00D05931"/>
    <w:rsid w:val="00D15710"/>
    <w:rsid w:val="00D15DF0"/>
    <w:rsid w:val="00D16403"/>
    <w:rsid w:val="00D2588C"/>
    <w:rsid w:val="00D26FAB"/>
    <w:rsid w:val="00D34982"/>
    <w:rsid w:val="00D465F0"/>
    <w:rsid w:val="00D52A71"/>
    <w:rsid w:val="00D56273"/>
    <w:rsid w:val="00D56A6E"/>
    <w:rsid w:val="00D61113"/>
    <w:rsid w:val="00D62A49"/>
    <w:rsid w:val="00D62B78"/>
    <w:rsid w:val="00D65297"/>
    <w:rsid w:val="00D74F27"/>
    <w:rsid w:val="00D7571C"/>
    <w:rsid w:val="00D77EBC"/>
    <w:rsid w:val="00D80804"/>
    <w:rsid w:val="00D900FD"/>
    <w:rsid w:val="00D90697"/>
    <w:rsid w:val="00D962A2"/>
    <w:rsid w:val="00DB0558"/>
    <w:rsid w:val="00DB494C"/>
    <w:rsid w:val="00DB719E"/>
    <w:rsid w:val="00DC72E6"/>
    <w:rsid w:val="00DD7A4B"/>
    <w:rsid w:val="00DE00E3"/>
    <w:rsid w:val="00DE1BE9"/>
    <w:rsid w:val="00DF7447"/>
    <w:rsid w:val="00E0397F"/>
    <w:rsid w:val="00E1088B"/>
    <w:rsid w:val="00E16589"/>
    <w:rsid w:val="00E1788A"/>
    <w:rsid w:val="00E2749A"/>
    <w:rsid w:val="00E47C37"/>
    <w:rsid w:val="00E5632F"/>
    <w:rsid w:val="00E66E7E"/>
    <w:rsid w:val="00E70858"/>
    <w:rsid w:val="00E8321A"/>
    <w:rsid w:val="00E84E0B"/>
    <w:rsid w:val="00E86726"/>
    <w:rsid w:val="00E913CA"/>
    <w:rsid w:val="00E9177B"/>
    <w:rsid w:val="00E9240F"/>
    <w:rsid w:val="00E94B25"/>
    <w:rsid w:val="00EA428D"/>
    <w:rsid w:val="00EA4348"/>
    <w:rsid w:val="00EA5EB8"/>
    <w:rsid w:val="00EA6665"/>
    <w:rsid w:val="00EA6EC5"/>
    <w:rsid w:val="00EB65E8"/>
    <w:rsid w:val="00EC441D"/>
    <w:rsid w:val="00EC6C0D"/>
    <w:rsid w:val="00ED2694"/>
    <w:rsid w:val="00EE63AB"/>
    <w:rsid w:val="00F04759"/>
    <w:rsid w:val="00F0605F"/>
    <w:rsid w:val="00F11AB0"/>
    <w:rsid w:val="00F1401C"/>
    <w:rsid w:val="00F143D6"/>
    <w:rsid w:val="00F208CF"/>
    <w:rsid w:val="00F32EC2"/>
    <w:rsid w:val="00F34A1B"/>
    <w:rsid w:val="00F369B4"/>
    <w:rsid w:val="00F40584"/>
    <w:rsid w:val="00F4668A"/>
    <w:rsid w:val="00F520A0"/>
    <w:rsid w:val="00F52DC8"/>
    <w:rsid w:val="00F54017"/>
    <w:rsid w:val="00F55D9E"/>
    <w:rsid w:val="00F619A1"/>
    <w:rsid w:val="00F67320"/>
    <w:rsid w:val="00F730F2"/>
    <w:rsid w:val="00F768F7"/>
    <w:rsid w:val="00F83DDC"/>
    <w:rsid w:val="00F8692E"/>
    <w:rsid w:val="00F875AE"/>
    <w:rsid w:val="00F921E0"/>
    <w:rsid w:val="00F92E35"/>
    <w:rsid w:val="00F934A8"/>
    <w:rsid w:val="00F93D4C"/>
    <w:rsid w:val="00F95202"/>
    <w:rsid w:val="00FA149B"/>
    <w:rsid w:val="00FA65E5"/>
    <w:rsid w:val="00FB26BE"/>
    <w:rsid w:val="00FC0706"/>
    <w:rsid w:val="00FC141F"/>
    <w:rsid w:val="00FC34CE"/>
    <w:rsid w:val="00FC5E7B"/>
    <w:rsid w:val="00FC6E79"/>
    <w:rsid w:val="00FF0E7A"/>
    <w:rsid w:val="016F2B2A"/>
    <w:rsid w:val="066F25EE"/>
    <w:rsid w:val="06D467EE"/>
    <w:rsid w:val="07430A21"/>
    <w:rsid w:val="07CA74C3"/>
    <w:rsid w:val="0B280E6D"/>
    <w:rsid w:val="0C6235BC"/>
    <w:rsid w:val="0DA55F14"/>
    <w:rsid w:val="0E271DBF"/>
    <w:rsid w:val="128D7A3A"/>
    <w:rsid w:val="12D923BE"/>
    <w:rsid w:val="13ED7213"/>
    <w:rsid w:val="16D054F5"/>
    <w:rsid w:val="1A3C0DC8"/>
    <w:rsid w:val="1AAF7DA5"/>
    <w:rsid w:val="1C4153EC"/>
    <w:rsid w:val="1CA66400"/>
    <w:rsid w:val="1DBB5E2A"/>
    <w:rsid w:val="236D577A"/>
    <w:rsid w:val="2B3F6EFB"/>
    <w:rsid w:val="2D027197"/>
    <w:rsid w:val="30B66E1D"/>
    <w:rsid w:val="319B44DA"/>
    <w:rsid w:val="332A7564"/>
    <w:rsid w:val="35D23EB8"/>
    <w:rsid w:val="37D148E8"/>
    <w:rsid w:val="398D2075"/>
    <w:rsid w:val="4C0550CA"/>
    <w:rsid w:val="4D3D5D7A"/>
    <w:rsid w:val="4D5D3427"/>
    <w:rsid w:val="4EFC6687"/>
    <w:rsid w:val="52C97E03"/>
    <w:rsid w:val="57DD5F6A"/>
    <w:rsid w:val="57FD0B9A"/>
    <w:rsid w:val="5C642EFC"/>
    <w:rsid w:val="5E287CDE"/>
    <w:rsid w:val="61252998"/>
    <w:rsid w:val="62836BFC"/>
    <w:rsid w:val="641C7C5F"/>
    <w:rsid w:val="64B03CDC"/>
    <w:rsid w:val="6741397E"/>
    <w:rsid w:val="678A141A"/>
    <w:rsid w:val="69B9272B"/>
    <w:rsid w:val="6B18216D"/>
    <w:rsid w:val="6DC91971"/>
    <w:rsid w:val="701D21C0"/>
    <w:rsid w:val="71E5682A"/>
    <w:rsid w:val="78DD28BF"/>
    <w:rsid w:val="79BA357B"/>
    <w:rsid w:val="7AB51C6F"/>
    <w:rsid w:val="7D130538"/>
    <w:rsid w:val="7EA7266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6">
    <w:name w:val="Document Map"/>
    <w:basedOn w:val="1"/>
    <w:link w:val="25"/>
    <w:unhideWhenUsed/>
    <w:qFormat/>
    <w:uiPriority w:val="99"/>
    <w:rPr>
      <w:rFonts w:ascii="宋体" w:eastAsia="宋体"/>
      <w:sz w:val="18"/>
      <w:szCs w:val="18"/>
    </w:rPr>
  </w:style>
  <w:style w:type="paragraph" w:styleId="7">
    <w:name w:val="Date"/>
    <w:basedOn w:val="1"/>
    <w:next w:val="1"/>
    <w:link w:val="22"/>
    <w:unhideWhenUsed/>
    <w:qFormat/>
    <w:uiPriority w:val="99"/>
    <w:pPr>
      <w:ind w:left="100" w:leftChars="2500"/>
    </w:pPr>
  </w:style>
  <w:style w:type="paragraph" w:styleId="8">
    <w:name w:val="Balloon Text"/>
    <w:basedOn w:val="1"/>
    <w:link w:val="28"/>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toc 2"/>
    <w:basedOn w:val="1"/>
    <w:next w:val="1"/>
    <w:unhideWhenUsed/>
    <w:qFormat/>
    <w:uiPriority w:val="39"/>
    <w:pPr>
      <w:ind w:left="420" w:leftChars="200"/>
    </w:pPr>
  </w:style>
  <w:style w:type="character" w:styleId="15">
    <w:name w:val="FollowedHyperlink"/>
    <w:basedOn w:val="14"/>
    <w:unhideWhenUsed/>
    <w:qFormat/>
    <w:uiPriority w:val="99"/>
    <w:rPr>
      <w:color w:val="333333"/>
      <w:u w:val="none"/>
    </w:rPr>
  </w:style>
  <w:style w:type="character" w:styleId="16">
    <w:name w:val="Emphasis"/>
    <w:basedOn w:val="14"/>
    <w:qFormat/>
    <w:uiPriority w:val="20"/>
    <w:rPr>
      <w:i/>
      <w:iCs/>
    </w:rPr>
  </w:style>
  <w:style w:type="character" w:styleId="17">
    <w:name w:val="Hyperlink"/>
    <w:basedOn w:val="14"/>
    <w:unhideWhenUsed/>
    <w:qFormat/>
    <w:uiPriority w:val="99"/>
    <w:rPr>
      <w:color w:val="333333"/>
      <w:u w:val="none"/>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basedOn w:val="14"/>
    <w:link w:val="10"/>
    <w:semiHidden/>
    <w:qFormat/>
    <w:uiPriority w:val="99"/>
    <w:rPr>
      <w:sz w:val="18"/>
      <w:szCs w:val="18"/>
    </w:rPr>
  </w:style>
  <w:style w:type="character" w:customStyle="1" w:styleId="21">
    <w:name w:val="页脚 Char"/>
    <w:basedOn w:val="14"/>
    <w:link w:val="9"/>
    <w:qFormat/>
    <w:uiPriority w:val="99"/>
    <w:rPr>
      <w:sz w:val="18"/>
      <w:szCs w:val="18"/>
    </w:rPr>
  </w:style>
  <w:style w:type="character" w:customStyle="1" w:styleId="22">
    <w:name w:val="日期 Char"/>
    <w:basedOn w:val="14"/>
    <w:link w:val="7"/>
    <w:semiHidden/>
    <w:qFormat/>
    <w:uiPriority w:val="99"/>
  </w:style>
  <w:style w:type="character" w:customStyle="1" w:styleId="23">
    <w:name w:val="标题 1 Char"/>
    <w:basedOn w:val="14"/>
    <w:link w:val="2"/>
    <w:qFormat/>
    <w:uiPriority w:val="9"/>
    <w:rPr>
      <w:rFonts w:ascii="宋体" w:hAnsi="宋体" w:eastAsia="宋体" w:cs="宋体"/>
      <w:b/>
      <w:bCs/>
      <w:kern w:val="36"/>
      <w:sz w:val="48"/>
      <w:szCs w:val="48"/>
    </w:rPr>
  </w:style>
  <w:style w:type="paragraph" w:customStyle="1" w:styleId="24">
    <w:name w:val="列出段落1"/>
    <w:basedOn w:val="1"/>
    <w:qFormat/>
    <w:uiPriority w:val="34"/>
    <w:pPr>
      <w:ind w:firstLine="420" w:firstLineChars="200"/>
    </w:pPr>
  </w:style>
  <w:style w:type="character" w:customStyle="1" w:styleId="25">
    <w:name w:val="文档结构图 Char"/>
    <w:basedOn w:val="14"/>
    <w:link w:val="6"/>
    <w:semiHidden/>
    <w:qFormat/>
    <w:uiPriority w:val="99"/>
    <w:rPr>
      <w:rFonts w:ascii="宋体" w:eastAsia="宋体"/>
      <w:sz w:val="18"/>
      <w:szCs w:val="18"/>
    </w:rPr>
  </w:style>
  <w:style w:type="character" w:customStyle="1" w:styleId="26">
    <w:name w:val="标题 2 Char"/>
    <w:basedOn w:val="14"/>
    <w:link w:val="3"/>
    <w:qFormat/>
    <w:uiPriority w:val="9"/>
    <w:rPr>
      <w:rFonts w:asciiTheme="majorHAnsi" w:hAnsiTheme="majorHAnsi" w:eastAsiaTheme="majorEastAsia" w:cstheme="majorBidi"/>
      <w:b/>
      <w:bCs/>
      <w:sz w:val="32"/>
      <w:szCs w:val="32"/>
    </w:rPr>
  </w:style>
  <w:style w:type="character" w:customStyle="1" w:styleId="27">
    <w:name w:val="fontstyle21"/>
    <w:qFormat/>
    <w:uiPriority w:val="0"/>
    <w:rPr>
      <w:rFonts w:hint="eastAsia" w:ascii="宋体" w:hAnsi="宋体" w:eastAsia="宋体"/>
      <w:color w:val="000000"/>
      <w:sz w:val="22"/>
      <w:szCs w:val="22"/>
    </w:rPr>
  </w:style>
  <w:style w:type="character" w:customStyle="1" w:styleId="28">
    <w:name w:val="批注框文本 Char"/>
    <w:basedOn w:val="14"/>
    <w:link w:val="8"/>
    <w:semiHidden/>
    <w:qFormat/>
    <w:uiPriority w:val="99"/>
    <w:rPr>
      <w:sz w:val="18"/>
      <w:szCs w:val="18"/>
    </w:rPr>
  </w:style>
  <w:style w:type="character" w:customStyle="1" w:styleId="29">
    <w:name w:val="标题 3 Char"/>
    <w:basedOn w:val="14"/>
    <w:link w:val="4"/>
    <w:semiHidden/>
    <w:qFormat/>
    <w:uiPriority w:val="9"/>
    <w:rPr>
      <w:b/>
      <w:bCs/>
      <w:sz w:val="32"/>
      <w:szCs w:val="32"/>
    </w:rPr>
  </w:style>
  <w:style w:type="paragraph" w:customStyle="1" w:styleId="30">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章标题"/>
    <w:next w:val="1"/>
    <w:link w:val="32"/>
    <w:qFormat/>
    <w:uiPriority w:val="0"/>
    <w:pPr>
      <w:spacing w:beforeLines="50" w:afterLines="50"/>
      <w:ind w:left="142"/>
      <w:jc w:val="both"/>
      <w:outlineLvl w:val="1"/>
    </w:pPr>
    <w:rPr>
      <w:rFonts w:ascii="黑体" w:hAnsi="Times New Roman" w:eastAsia="黑体" w:cs="Times New Roman"/>
      <w:sz w:val="21"/>
      <w:lang w:val="en-US" w:eastAsia="zh-CN" w:bidi="ar-SA"/>
    </w:rPr>
  </w:style>
  <w:style w:type="character" w:customStyle="1" w:styleId="32">
    <w:name w:val="章标题 Char"/>
    <w:link w:val="31"/>
    <w:qFormat/>
    <w:uiPriority w:val="0"/>
    <w:rPr>
      <w:rFonts w:ascii="黑体" w:hAnsi="Times New Roman" w:eastAsia="黑体" w:cs="Times New Roman"/>
      <w:kern w:val="0"/>
      <w:szCs w:val="20"/>
    </w:rPr>
  </w:style>
  <w:style w:type="paragraph" w:customStyle="1" w:styleId="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4">
    <w:name w:val="实施日期"/>
    <w:basedOn w:val="35"/>
    <w:qFormat/>
    <w:uiPriority w:val="0"/>
    <w:pPr>
      <w:numPr>
        <w:ilvl w:val="3"/>
        <w:numId w:val="1"/>
      </w:numPr>
      <w:tabs>
        <w:tab w:val="left" w:pos="1680"/>
      </w:tabs>
      <w:ind w:left="0"/>
      <w:jc w:val="right"/>
    </w:pPr>
  </w:style>
  <w:style w:type="paragraph" w:customStyle="1" w:styleId="35">
    <w:name w:val="发布日期"/>
    <w:qFormat/>
    <w:uiPriority w:val="0"/>
    <w:rPr>
      <w:rFonts w:ascii="Times New Roman" w:hAnsi="Times New Roman" w:eastAsia="黑体" w:cs="Times New Roman"/>
      <w:sz w:val="28"/>
      <w:lang w:val="en-US" w:eastAsia="zh-CN" w:bidi="ar-SA"/>
    </w:rPr>
  </w:style>
  <w:style w:type="paragraph" w:customStyle="1" w:styleId="36">
    <w:name w:val="标准标志"/>
    <w:next w:val="1"/>
    <w:qFormat/>
    <w:uiPriority w:val="0"/>
    <w:pPr>
      <w:numPr>
        <w:ilvl w:val="1"/>
        <w:numId w:val="1"/>
      </w:numPr>
      <w:shd w:val="solid" w:color="FFFFFF" w:fill="FFFFFF"/>
      <w:spacing w:line="0" w:lineRule="atLeast"/>
      <w:ind w:left="0"/>
      <w:jc w:val="right"/>
    </w:pPr>
    <w:rPr>
      <w:rFonts w:ascii="Times New Roman" w:hAnsi="Times New Roman" w:eastAsia="宋体" w:cs="Times New Roman"/>
      <w:b/>
      <w:w w:val="130"/>
      <w:sz w:val="96"/>
      <w:lang w:val="en-US" w:eastAsia="zh-CN" w:bidi="ar-SA"/>
    </w:rPr>
  </w:style>
  <w:style w:type="paragraph" w:customStyle="1" w:styleId="37">
    <w:name w:val="其他标准称谓"/>
    <w:qFormat/>
    <w:uiPriority w:val="0"/>
    <w:pPr>
      <w:numPr>
        <w:ilvl w:val="0"/>
        <w:numId w:val="1"/>
      </w:numPr>
      <w:spacing w:line="0" w:lineRule="atLeast"/>
      <w:ind w:firstLine="0"/>
      <w:jc w:val="distribute"/>
    </w:pPr>
    <w:rPr>
      <w:rFonts w:ascii="黑体" w:hAnsi="宋体" w:eastAsia="黑体" w:cs="Times New Roman"/>
      <w:sz w:val="52"/>
      <w:lang w:val="en-US" w:eastAsia="zh-CN" w:bidi="ar-SA"/>
    </w:rPr>
  </w:style>
  <w:style w:type="paragraph" w:customStyle="1" w:styleId="38">
    <w:name w:val="数字编号列项（二级）"/>
    <w:qFormat/>
    <w:uiPriority w:val="0"/>
    <w:pPr>
      <w:tabs>
        <w:tab w:val="left" w:pos="1120"/>
      </w:tabs>
      <w:ind w:left="1260" w:leftChars="400" w:hanging="420" w:hangingChars="200"/>
      <w:jc w:val="both"/>
    </w:pPr>
    <w:rPr>
      <w:rFonts w:ascii="宋体" w:hAnsi="Times New Roman" w:eastAsia="宋体" w:cs="Times New Roman"/>
      <w:sz w:val="21"/>
      <w:lang w:val="en-US" w:eastAsia="zh-CN" w:bidi="ar-SA"/>
    </w:rPr>
  </w:style>
  <w:style w:type="paragraph" w:customStyle="1" w:styleId="39">
    <w:name w:val="示例"/>
    <w:next w:val="1"/>
    <w:qFormat/>
    <w:uiPriority w:val="0"/>
    <w:pPr>
      <w:numPr>
        <w:ilvl w:val="2"/>
        <w:numId w:val="1"/>
      </w:numPr>
      <w:tabs>
        <w:tab w:val="left" w:pos="816"/>
      </w:tabs>
      <w:ind w:left="0" w:firstLine="419" w:firstLineChars="233"/>
      <w:jc w:val="both"/>
    </w:pPr>
    <w:rPr>
      <w:rFonts w:ascii="宋体" w:hAnsi="Times New Roman" w:eastAsia="宋体" w:cs="Times New Roman"/>
      <w:sz w:val="18"/>
      <w:lang w:val="en-US" w:eastAsia="zh-CN" w:bidi="ar-SA"/>
    </w:rPr>
  </w:style>
  <w:style w:type="character" w:customStyle="1" w:styleId="40">
    <w:name w:val="标题 4 Char"/>
    <w:basedOn w:val="14"/>
    <w:link w:val="5"/>
    <w:semiHidden/>
    <w:qFormat/>
    <w:uiPriority w:val="9"/>
    <w:rPr>
      <w:rFonts w:asciiTheme="majorHAnsi" w:hAnsiTheme="majorHAnsi" w:eastAsiaTheme="majorEastAsia" w:cstheme="majorBidi"/>
      <w:b/>
      <w:bCs/>
      <w:sz w:val="28"/>
      <w:szCs w:val="28"/>
    </w:rPr>
  </w:style>
  <w:style w:type="paragraph" w:customStyle="1" w:styleId="41">
    <w:name w:val="列出段落11"/>
    <w:basedOn w:val="1"/>
    <w:qFormat/>
    <w:uiPriority w:val="34"/>
    <w:pPr>
      <w:spacing w:line="360" w:lineRule="auto"/>
      <w:ind w:firstLine="420" w:firstLineChars="200"/>
    </w:pPr>
    <w:rPr>
      <w:rFonts w:ascii="Times New Roman" w:hAnsi="Times New Roman" w:eastAsia="宋体"/>
      <w:sz w:val="24"/>
    </w:rPr>
  </w:style>
  <w:style w:type="character" w:customStyle="1" w:styleId="42">
    <w:name w:val="thisit"/>
    <w:basedOn w:val="14"/>
    <w:uiPriority w:val="0"/>
  </w:style>
  <w:style w:type="character" w:customStyle="1" w:styleId="43">
    <w:name w:val="f_r6"/>
    <w:basedOn w:val="14"/>
    <w:uiPriority w:val="0"/>
  </w:style>
  <w:style w:type="character" w:customStyle="1" w:styleId="44">
    <w:name w:val="bzmc"/>
    <w:basedOn w:val="14"/>
    <w:qFormat/>
    <w:uiPriority w:val="0"/>
  </w:style>
  <w:style w:type="character" w:customStyle="1" w:styleId="45">
    <w:name w:val="bzmc1"/>
    <w:basedOn w:val="14"/>
    <w:qFormat/>
    <w:uiPriority w:val="0"/>
  </w:style>
  <w:style w:type="character" w:customStyle="1" w:styleId="46">
    <w:name w:val="bzmc2"/>
    <w:basedOn w:val="14"/>
    <w:qFormat/>
    <w:uiPriority w:val="0"/>
  </w:style>
  <w:style w:type="character" w:customStyle="1" w:styleId="47">
    <w:name w:val="bzrq2"/>
    <w:basedOn w:val="14"/>
    <w:qFormat/>
    <w:uiPriority w:val="0"/>
  </w:style>
  <w:style w:type="character" w:customStyle="1" w:styleId="48">
    <w:name w:val="sysj"/>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28253-4E40-4A26-B1AD-5AF890A34A3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1074</Words>
  <Characters>6126</Characters>
  <Lines>51</Lines>
  <Paragraphs>14</Paragraphs>
  <ScaleCrop>false</ScaleCrop>
  <LinksUpToDate>false</LinksUpToDate>
  <CharactersWithSpaces>7186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2019-04-27T06:51:00Z</dcterms:created>
  <dc:creator>AutoBVT</dc:creator>
  <cp:lastModifiedBy>612705</cp:lastModifiedBy>
  <cp:lastPrinted>2019-06-15T00:37:00Z</cp:lastPrinted>
  <dcterms:modified xsi:type="dcterms:W3CDTF">2019-10-12T07:21:27Z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