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jc w:val="center"/>
        <w:rPr>
          <w:rFonts w:ascii="微软雅黑" w:hAnsi="微软雅黑" w:eastAsia="微软雅黑"/>
          <w:b/>
          <w:sz w:val="32"/>
          <w:szCs w:val="32"/>
        </w:rPr>
      </w:pPr>
    </w:p>
    <w:p>
      <w:pPr>
        <w:spacing w:beforeLines="50" w:afterLines="100"/>
        <w:jc w:val="center"/>
        <w:rPr>
          <w:rFonts w:ascii="微软雅黑" w:hAnsi="微软雅黑" w:eastAsia="微软雅黑"/>
          <w:b/>
          <w:sz w:val="44"/>
          <w:szCs w:val="44"/>
        </w:rPr>
      </w:pPr>
      <w:r>
        <w:rPr>
          <w:rFonts w:hint="eastAsia" w:ascii="微软雅黑" w:hAnsi="微软雅黑" w:eastAsia="微软雅黑"/>
          <w:b/>
          <w:sz w:val="44"/>
          <w:szCs w:val="44"/>
        </w:rPr>
        <w:t>《绿色设计产品评价技术规范 锂》</w:t>
      </w:r>
    </w:p>
    <w:p>
      <w:pPr>
        <w:spacing w:beforeLines="50" w:afterLines="100"/>
        <w:jc w:val="center"/>
        <w:rPr>
          <w:rFonts w:ascii="微软雅黑" w:hAnsi="微软雅黑" w:eastAsia="微软雅黑"/>
          <w:b/>
          <w:sz w:val="44"/>
          <w:szCs w:val="44"/>
        </w:rPr>
      </w:pPr>
      <w:r>
        <w:rPr>
          <w:rFonts w:hint="eastAsia" w:ascii="微软雅黑" w:hAnsi="微软雅黑" w:eastAsia="微软雅黑"/>
          <w:b/>
          <w:sz w:val="44"/>
          <w:szCs w:val="44"/>
        </w:rPr>
        <w:t>标准编制说明</w:t>
      </w:r>
    </w:p>
    <w:p>
      <w:pPr>
        <w:spacing w:beforeLines="50" w:afterLines="100"/>
        <w:jc w:val="center"/>
        <w:rPr>
          <w:rFonts w:ascii="微软雅黑" w:hAnsi="微软雅黑" w:eastAsia="微软雅黑"/>
          <w:b/>
          <w:sz w:val="32"/>
          <w:szCs w:val="32"/>
        </w:rPr>
      </w:pPr>
    </w:p>
    <w:p>
      <w:pPr>
        <w:spacing w:beforeLines="50" w:afterLines="100"/>
        <w:jc w:val="center"/>
        <w:rPr>
          <w:rFonts w:ascii="微软雅黑" w:hAnsi="微软雅黑" w:eastAsia="微软雅黑"/>
          <w:b/>
          <w:sz w:val="32"/>
          <w:szCs w:val="32"/>
        </w:rPr>
      </w:pPr>
    </w:p>
    <w:p>
      <w:pPr>
        <w:spacing w:beforeLines="50" w:afterLines="100"/>
        <w:jc w:val="center"/>
        <w:rPr>
          <w:rFonts w:ascii="微软雅黑" w:hAnsi="微软雅黑" w:eastAsia="微软雅黑"/>
          <w:b/>
          <w:sz w:val="44"/>
          <w:szCs w:val="44"/>
        </w:rPr>
      </w:pPr>
      <w:r>
        <w:rPr>
          <w:rFonts w:hint="eastAsia" w:ascii="微软雅黑" w:hAnsi="微软雅黑" w:eastAsia="微软雅黑"/>
          <w:b/>
          <w:sz w:val="44"/>
          <w:szCs w:val="44"/>
        </w:rPr>
        <w:t>（</w:t>
      </w:r>
      <w:r>
        <w:rPr>
          <w:rFonts w:hint="eastAsia" w:ascii="微软雅黑" w:hAnsi="微软雅黑" w:eastAsia="微软雅黑"/>
          <w:b/>
          <w:sz w:val="44"/>
          <w:szCs w:val="44"/>
          <w:lang w:eastAsia="zh-CN"/>
        </w:rPr>
        <w:t>预审</w:t>
      </w:r>
      <w:r>
        <w:rPr>
          <w:rFonts w:hint="eastAsia" w:ascii="微软雅黑" w:hAnsi="微软雅黑" w:eastAsia="微软雅黑"/>
          <w:b/>
          <w:sz w:val="44"/>
          <w:szCs w:val="44"/>
        </w:rPr>
        <w:t>稿）</w:t>
      </w:r>
    </w:p>
    <w:p>
      <w:pPr>
        <w:spacing w:beforeLines="50" w:afterLines="100"/>
        <w:jc w:val="center"/>
        <w:rPr>
          <w:rFonts w:ascii="微软雅黑" w:hAnsi="微软雅黑" w:eastAsia="微软雅黑"/>
          <w:b/>
          <w:sz w:val="32"/>
          <w:szCs w:val="32"/>
        </w:rPr>
      </w:pPr>
    </w:p>
    <w:p>
      <w:pPr>
        <w:spacing w:beforeLines="50" w:afterLines="100"/>
        <w:jc w:val="center"/>
        <w:rPr>
          <w:rFonts w:ascii="微软雅黑" w:hAnsi="微软雅黑" w:eastAsia="微软雅黑"/>
          <w:b/>
          <w:sz w:val="32"/>
          <w:szCs w:val="32"/>
        </w:rPr>
      </w:pPr>
    </w:p>
    <w:p>
      <w:pPr>
        <w:spacing w:beforeLines="50" w:afterLines="100"/>
        <w:jc w:val="center"/>
        <w:rPr>
          <w:rFonts w:ascii="微软雅黑" w:hAnsi="微软雅黑" w:eastAsia="微软雅黑"/>
          <w:b/>
          <w:sz w:val="32"/>
          <w:szCs w:val="32"/>
        </w:rPr>
      </w:pPr>
    </w:p>
    <w:p>
      <w:pPr>
        <w:spacing w:beforeLines="50" w:afterLines="100"/>
        <w:jc w:val="center"/>
        <w:rPr>
          <w:rFonts w:ascii="微软雅黑" w:hAnsi="微软雅黑" w:eastAsia="微软雅黑"/>
          <w:b/>
          <w:sz w:val="32"/>
          <w:szCs w:val="32"/>
        </w:rPr>
      </w:pPr>
    </w:p>
    <w:p>
      <w:pPr>
        <w:spacing w:beforeLines="50" w:afterLines="100"/>
        <w:jc w:val="center"/>
        <w:rPr>
          <w:rFonts w:ascii="黑体" w:hAnsi="黑体" w:eastAsia="黑体"/>
          <w:sz w:val="32"/>
          <w:szCs w:val="32"/>
        </w:rPr>
      </w:pPr>
      <w:r>
        <w:rPr>
          <w:rFonts w:hint="eastAsia" w:ascii="黑体" w:hAnsi="黑体" w:eastAsia="黑体"/>
          <w:sz w:val="32"/>
          <w:szCs w:val="32"/>
        </w:rPr>
        <w:t>《绿色设计产品评价技术规范 锂》编制组</w:t>
      </w:r>
    </w:p>
    <w:p>
      <w:pPr>
        <w:spacing w:beforeLines="50" w:afterLines="100"/>
        <w:jc w:val="center"/>
        <w:rPr>
          <w:rFonts w:ascii="黑体" w:hAnsi="黑体" w:eastAsia="黑体"/>
          <w:sz w:val="32"/>
          <w:szCs w:val="32"/>
        </w:rPr>
      </w:pPr>
      <w:r>
        <w:rPr>
          <w:rFonts w:hint="eastAsia" w:ascii="黑体" w:hAnsi="黑体" w:eastAsia="黑体"/>
          <w:sz w:val="32"/>
          <w:szCs w:val="32"/>
        </w:rPr>
        <w:t>主编单位：江西赣锋锂业有限公司</w:t>
      </w:r>
    </w:p>
    <w:p>
      <w:pPr>
        <w:widowControl/>
        <w:jc w:val="center"/>
        <w:rPr>
          <w:rFonts w:ascii="黑体" w:hAnsi="黑体" w:eastAsia="黑体"/>
          <w:sz w:val="32"/>
          <w:szCs w:val="32"/>
        </w:rPr>
      </w:pPr>
      <w:r>
        <w:rPr>
          <w:rFonts w:ascii="黑体" w:hAnsi="黑体" w:eastAsia="黑体"/>
          <w:sz w:val="32"/>
          <w:szCs w:val="32"/>
        </w:rPr>
        <w:t>201</w:t>
      </w:r>
      <w:r>
        <w:rPr>
          <w:rFonts w:hint="eastAsia" w:ascii="黑体" w:hAnsi="黑体" w:eastAsia="黑体"/>
          <w:sz w:val="32"/>
          <w:szCs w:val="32"/>
          <w:lang w:val="en-US" w:eastAsia="zh-CN"/>
        </w:rPr>
        <w:t>9</w:t>
      </w:r>
      <w:r>
        <w:rPr>
          <w:rFonts w:hint="eastAsia" w:ascii="黑体" w:hAnsi="黑体" w:eastAsia="黑体"/>
          <w:sz w:val="32"/>
          <w:szCs w:val="32"/>
        </w:rPr>
        <w:t>年10月10日</w:t>
      </w:r>
    </w:p>
    <w:p>
      <w:pPr>
        <w:widowControl/>
        <w:jc w:val="left"/>
        <w:rPr>
          <w:rFonts w:ascii="微软雅黑" w:hAnsi="微软雅黑" w:eastAsia="微软雅黑"/>
          <w:b/>
          <w:sz w:val="32"/>
          <w:szCs w:val="32"/>
        </w:rPr>
      </w:pPr>
      <w:r>
        <w:rPr>
          <w:rFonts w:ascii="微软雅黑" w:hAnsi="微软雅黑" w:eastAsia="微软雅黑"/>
          <w:b/>
          <w:sz w:val="32"/>
          <w:szCs w:val="32"/>
        </w:rPr>
        <w:br w:type="page"/>
      </w:r>
    </w:p>
    <w:p>
      <w:pPr>
        <w:pStyle w:val="10"/>
        <w:jc w:val="center"/>
        <w:rPr>
          <w:sz w:val="28"/>
          <w:szCs w:val="28"/>
        </w:rPr>
      </w:pPr>
      <w:r>
        <w:rPr>
          <w:rFonts w:hint="eastAsia"/>
          <w:sz w:val="28"/>
          <w:szCs w:val="28"/>
        </w:rPr>
        <w:t>目</w:t>
      </w:r>
      <w:r>
        <w:rPr>
          <w:sz w:val="28"/>
          <w:szCs w:val="28"/>
        </w:rPr>
        <w:t xml:space="preserve">     </w:t>
      </w:r>
      <w:r>
        <w:rPr>
          <w:rFonts w:hint="eastAsia"/>
          <w:sz w:val="28"/>
          <w:szCs w:val="28"/>
        </w:rPr>
        <w:t>录</w:t>
      </w:r>
    </w:p>
    <w:p>
      <w:pPr>
        <w:pStyle w:val="10"/>
        <w:tabs>
          <w:tab w:val="left" w:pos="840"/>
          <w:tab w:val="right" w:leader="dot" w:pos="8296"/>
        </w:tabs>
        <w:rPr>
          <w:rFonts w:ascii="Calibri" w:hAnsi="Calibri"/>
          <w:b w:val="0"/>
          <w:bCs w:val="0"/>
          <w:caps w:val="0"/>
          <w:szCs w:val="22"/>
        </w:rPr>
      </w:pPr>
      <w:r>
        <w:rPr>
          <w:rFonts w:ascii="微软雅黑" w:hAnsi="微软雅黑" w:eastAsia="微软雅黑"/>
          <w:b w:val="0"/>
          <w:sz w:val="28"/>
          <w:szCs w:val="32"/>
        </w:rPr>
        <w:fldChar w:fldCharType="begin"/>
      </w:r>
      <w:r>
        <w:rPr>
          <w:rFonts w:ascii="微软雅黑" w:hAnsi="微软雅黑" w:eastAsia="微软雅黑"/>
          <w:b w:val="0"/>
          <w:sz w:val="28"/>
          <w:szCs w:val="32"/>
        </w:rPr>
        <w:instrText xml:space="preserve"> TOC \o "1-1" \h \z \u </w:instrText>
      </w:r>
      <w:r>
        <w:rPr>
          <w:rFonts w:ascii="微软雅黑" w:hAnsi="微软雅黑" w:eastAsia="微软雅黑"/>
          <w:b w:val="0"/>
          <w:sz w:val="28"/>
          <w:szCs w:val="32"/>
        </w:rPr>
        <w:fldChar w:fldCharType="separate"/>
      </w:r>
      <w:r>
        <w:fldChar w:fldCharType="begin"/>
      </w:r>
      <w:r>
        <w:instrText xml:space="preserve"> HYPERLINK \l "_Toc508959272" </w:instrText>
      </w:r>
      <w:r>
        <w:fldChar w:fldCharType="separate"/>
      </w:r>
      <w:r>
        <w:rPr>
          <w:rStyle w:val="16"/>
          <w:rFonts w:hint="eastAsia" w:ascii="Times New Roman"/>
        </w:rPr>
        <w:t>一、</w:t>
      </w:r>
      <w:r>
        <w:rPr>
          <w:rFonts w:ascii="Calibri" w:hAnsi="Calibri"/>
          <w:b w:val="0"/>
          <w:bCs w:val="0"/>
          <w:caps w:val="0"/>
          <w:szCs w:val="22"/>
        </w:rPr>
        <w:tab/>
      </w:r>
      <w:r>
        <w:rPr>
          <w:rStyle w:val="16"/>
          <w:rFonts w:hint="eastAsia" w:ascii="Times New Roman"/>
        </w:rPr>
        <w:t>工作简况</w:t>
      </w:r>
      <w:r>
        <w:tab/>
      </w:r>
      <w:r>
        <w:fldChar w:fldCharType="begin"/>
      </w:r>
      <w:r>
        <w:instrText xml:space="preserve"> PAGEREF _Toc508959272 \h </w:instrText>
      </w:r>
      <w:r>
        <w:fldChar w:fldCharType="separate"/>
      </w:r>
      <w:r>
        <w:t>3</w:t>
      </w:r>
      <w:r>
        <w:fldChar w:fldCharType="end"/>
      </w:r>
      <w:r>
        <w:fldChar w:fldCharType="end"/>
      </w:r>
    </w:p>
    <w:p>
      <w:pPr>
        <w:pStyle w:val="10"/>
        <w:tabs>
          <w:tab w:val="left" w:pos="840"/>
          <w:tab w:val="right" w:leader="dot" w:pos="8296"/>
        </w:tabs>
        <w:rPr>
          <w:rFonts w:ascii="Calibri" w:hAnsi="Calibri"/>
          <w:b w:val="0"/>
          <w:bCs w:val="0"/>
          <w:caps w:val="0"/>
          <w:szCs w:val="22"/>
        </w:rPr>
      </w:pPr>
      <w:r>
        <w:fldChar w:fldCharType="begin"/>
      </w:r>
      <w:r>
        <w:instrText xml:space="preserve"> HYPERLINK \l "_Toc508959273" </w:instrText>
      </w:r>
      <w:r>
        <w:fldChar w:fldCharType="separate"/>
      </w:r>
      <w:r>
        <w:rPr>
          <w:rStyle w:val="16"/>
          <w:rFonts w:hint="eastAsia" w:ascii="Times New Roman"/>
        </w:rPr>
        <w:t>二、</w:t>
      </w:r>
      <w:r>
        <w:rPr>
          <w:rFonts w:ascii="Calibri" w:hAnsi="Calibri"/>
          <w:b w:val="0"/>
          <w:bCs w:val="0"/>
          <w:caps w:val="0"/>
          <w:szCs w:val="22"/>
        </w:rPr>
        <w:tab/>
      </w:r>
      <w:r>
        <w:rPr>
          <w:rStyle w:val="16"/>
          <w:rFonts w:hint="eastAsia" w:ascii="Times New Roman"/>
        </w:rPr>
        <w:t>标准编制原则和确定标准主要内容</w:t>
      </w:r>
      <w:r>
        <w:tab/>
      </w:r>
      <w:r>
        <w:fldChar w:fldCharType="begin"/>
      </w:r>
      <w:r>
        <w:instrText xml:space="preserve"> PAGEREF _Toc508959273 \h </w:instrText>
      </w:r>
      <w:r>
        <w:fldChar w:fldCharType="separate"/>
      </w:r>
      <w:r>
        <w:t>5</w:t>
      </w:r>
      <w:r>
        <w:fldChar w:fldCharType="end"/>
      </w:r>
      <w:r>
        <w:fldChar w:fldCharType="end"/>
      </w:r>
    </w:p>
    <w:p>
      <w:pPr>
        <w:pStyle w:val="10"/>
        <w:tabs>
          <w:tab w:val="left" w:pos="840"/>
          <w:tab w:val="right" w:leader="dot" w:pos="8296"/>
        </w:tabs>
        <w:rPr>
          <w:rFonts w:ascii="Calibri" w:hAnsi="Calibri"/>
          <w:b w:val="0"/>
          <w:bCs w:val="0"/>
          <w:caps w:val="0"/>
          <w:szCs w:val="22"/>
        </w:rPr>
      </w:pPr>
      <w:r>
        <w:fldChar w:fldCharType="begin"/>
      </w:r>
      <w:r>
        <w:instrText xml:space="preserve"> HYPERLINK \l "_Toc508959274" </w:instrText>
      </w:r>
      <w:r>
        <w:fldChar w:fldCharType="separate"/>
      </w:r>
      <w:r>
        <w:rPr>
          <w:rStyle w:val="16"/>
          <w:rFonts w:hint="eastAsia" w:ascii="Times New Roman"/>
        </w:rPr>
        <w:t>三、</w:t>
      </w:r>
      <w:r>
        <w:rPr>
          <w:rFonts w:ascii="Calibri" w:hAnsi="Calibri"/>
          <w:b w:val="0"/>
          <w:bCs w:val="0"/>
          <w:caps w:val="0"/>
          <w:szCs w:val="22"/>
        </w:rPr>
        <w:tab/>
      </w:r>
      <w:r>
        <w:rPr>
          <w:rStyle w:val="16"/>
          <w:rFonts w:hint="eastAsia" w:ascii="Times New Roman"/>
        </w:rPr>
        <w:t>标准的创新点</w:t>
      </w:r>
      <w:r>
        <w:tab/>
      </w:r>
      <w:r>
        <w:fldChar w:fldCharType="begin"/>
      </w:r>
      <w:r>
        <w:instrText xml:space="preserve"> PAGEREF _Toc508959274 \h </w:instrText>
      </w:r>
      <w:r>
        <w:fldChar w:fldCharType="separate"/>
      </w:r>
      <w:r>
        <w:t>12</w:t>
      </w:r>
      <w:r>
        <w:fldChar w:fldCharType="end"/>
      </w:r>
      <w:r>
        <w:fldChar w:fldCharType="end"/>
      </w:r>
    </w:p>
    <w:p>
      <w:pPr>
        <w:pStyle w:val="10"/>
        <w:tabs>
          <w:tab w:val="left" w:pos="840"/>
          <w:tab w:val="right" w:leader="dot" w:pos="8296"/>
        </w:tabs>
        <w:rPr>
          <w:rFonts w:ascii="Calibri" w:hAnsi="Calibri"/>
          <w:b w:val="0"/>
          <w:bCs w:val="0"/>
          <w:caps w:val="0"/>
          <w:szCs w:val="22"/>
        </w:rPr>
      </w:pPr>
      <w:r>
        <w:fldChar w:fldCharType="begin"/>
      </w:r>
      <w:r>
        <w:instrText xml:space="preserve"> HYPERLINK \l "_Toc508959275" </w:instrText>
      </w:r>
      <w:r>
        <w:fldChar w:fldCharType="separate"/>
      </w:r>
      <w:r>
        <w:rPr>
          <w:rStyle w:val="16"/>
          <w:rFonts w:hint="eastAsia" w:ascii="Times New Roman"/>
        </w:rPr>
        <w:t>四、</w:t>
      </w:r>
      <w:r>
        <w:rPr>
          <w:rFonts w:ascii="Calibri" w:hAnsi="Calibri"/>
          <w:b w:val="0"/>
          <w:bCs w:val="0"/>
          <w:caps w:val="0"/>
          <w:szCs w:val="22"/>
        </w:rPr>
        <w:tab/>
      </w:r>
      <w:r>
        <w:rPr>
          <w:rStyle w:val="16"/>
          <w:rFonts w:hint="eastAsia" w:ascii="Times New Roman"/>
        </w:rPr>
        <w:t>与现行相关法律、法规、规章及相关标准，特别是强制性标准的协调性</w:t>
      </w:r>
      <w:r>
        <w:tab/>
      </w:r>
      <w:r>
        <w:fldChar w:fldCharType="begin"/>
      </w:r>
      <w:r>
        <w:instrText xml:space="preserve"> PAGEREF _Toc508959275 \h </w:instrText>
      </w:r>
      <w:r>
        <w:fldChar w:fldCharType="separate"/>
      </w:r>
      <w:r>
        <w:t>13</w:t>
      </w:r>
      <w:r>
        <w:fldChar w:fldCharType="end"/>
      </w:r>
      <w:r>
        <w:fldChar w:fldCharType="end"/>
      </w:r>
    </w:p>
    <w:p>
      <w:pPr>
        <w:pStyle w:val="10"/>
        <w:tabs>
          <w:tab w:val="left" w:pos="840"/>
          <w:tab w:val="right" w:leader="dot" w:pos="8296"/>
        </w:tabs>
        <w:rPr>
          <w:rFonts w:ascii="Calibri" w:hAnsi="Calibri"/>
          <w:b w:val="0"/>
          <w:bCs w:val="0"/>
          <w:caps w:val="0"/>
          <w:szCs w:val="22"/>
        </w:rPr>
      </w:pPr>
      <w:r>
        <w:fldChar w:fldCharType="begin"/>
      </w:r>
      <w:r>
        <w:instrText xml:space="preserve"> HYPERLINK \l "_Toc508959276" </w:instrText>
      </w:r>
      <w:r>
        <w:fldChar w:fldCharType="separate"/>
      </w:r>
      <w:r>
        <w:rPr>
          <w:rStyle w:val="16"/>
          <w:rFonts w:hint="eastAsia" w:ascii="Times New Roman"/>
        </w:rPr>
        <w:t>五、</w:t>
      </w:r>
      <w:r>
        <w:rPr>
          <w:rFonts w:ascii="Calibri" w:hAnsi="Calibri"/>
          <w:b w:val="0"/>
          <w:bCs w:val="0"/>
          <w:caps w:val="0"/>
          <w:szCs w:val="22"/>
        </w:rPr>
        <w:tab/>
      </w:r>
      <w:r>
        <w:rPr>
          <w:rStyle w:val="16"/>
          <w:rFonts w:hint="eastAsia" w:ascii="Times New Roman"/>
        </w:rPr>
        <w:t>标准中涉及的专利或知识产权说明</w:t>
      </w:r>
      <w:r>
        <w:tab/>
      </w:r>
      <w:r>
        <w:fldChar w:fldCharType="begin"/>
      </w:r>
      <w:r>
        <w:instrText xml:space="preserve"> PAGEREF _Toc508959276 \h </w:instrText>
      </w:r>
      <w:r>
        <w:fldChar w:fldCharType="separate"/>
      </w:r>
      <w:r>
        <w:t>13</w:t>
      </w:r>
      <w:r>
        <w:fldChar w:fldCharType="end"/>
      </w:r>
      <w:r>
        <w:fldChar w:fldCharType="end"/>
      </w:r>
    </w:p>
    <w:p>
      <w:pPr>
        <w:pStyle w:val="10"/>
        <w:tabs>
          <w:tab w:val="left" w:pos="840"/>
          <w:tab w:val="right" w:leader="dot" w:pos="8296"/>
        </w:tabs>
        <w:rPr>
          <w:rFonts w:ascii="Calibri" w:hAnsi="Calibri"/>
          <w:b w:val="0"/>
          <w:bCs w:val="0"/>
          <w:caps w:val="0"/>
          <w:szCs w:val="22"/>
        </w:rPr>
      </w:pPr>
      <w:r>
        <w:fldChar w:fldCharType="begin"/>
      </w:r>
      <w:r>
        <w:instrText xml:space="preserve"> HYPERLINK \l "_Toc508959277" </w:instrText>
      </w:r>
      <w:r>
        <w:fldChar w:fldCharType="separate"/>
      </w:r>
      <w:r>
        <w:rPr>
          <w:rStyle w:val="16"/>
          <w:rFonts w:hint="eastAsia" w:ascii="Times New Roman"/>
        </w:rPr>
        <w:t>六、</w:t>
      </w:r>
      <w:r>
        <w:rPr>
          <w:rFonts w:ascii="Calibri" w:hAnsi="Calibri"/>
          <w:b w:val="0"/>
          <w:bCs w:val="0"/>
          <w:caps w:val="0"/>
          <w:szCs w:val="22"/>
        </w:rPr>
        <w:tab/>
      </w:r>
      <w:r>
        <w:rPr>
          <w:rStyle w:val="16"/>
          <w:rFonts w:hint="eastAsia" w:ascii="Times New Roman"/>
        </w:rPr>
        <w:t>重大分歧意见的处理经过和依据</w:t>
      </w:r>
      <w:r>
        <w:tab/>
      </w:r>
      <w:r>
        <w:fldChar w:fldCharType="begin"/>
      </w:r>
      <w:r>
        <w:instrText xml:space="preserve"> PAGEREF _Toc508959277 \h </w:instrText>
      </w:r>
      <w:r>
        <w:fldChar w:fldCharType="separate"/>
      </w:r>
      <w:r>
        <w:t>13</w:t>
      </w:r>
      <w:r>
        <w:fldChar w:fldCharType="end"/>
      </w:r>
      <w:r>
        <w:fldChar w:fldCharType="end"/>
      </w:r>
    </w:p>
    <w:p>
      <w:pPr>
        <w:pStyle w:val="10"/>
        <w:tabs>
          <w:tab w:val="left" w:pos="840"/>
          <w:tab w:val="right" w:leader="dot" w:pos="8296"/>
        </w:tabs>
        <w:rPr>
          <w:rFonts w:ascii="Calibri" w:hAnsi="Calibri"/>
          <w:b w:val="0"/>
          <w:bCs w:val="0"/>
          <w:caps w:val="0"/>
          <w:szCs w:val="22"/>
        </w:rPr>
      </w:pPr>
      <w:r>
        <w:fldChar w:fldCharType="begin"/>
      </w:r>
      <w:r>
        <w:instrText xml:space="preserve"> HYPERLINK \l "_Toc508959278" </w:instrText>
      </w:r>
      <w:r>
        <w:fldChar w:fldCharType="separate"/>
      </w:r>
      <w:r>
        <w:rPr>
          <w:rStyle w:val="16"/>
          <w:rFonts w:hint="eastAsia" w:ascii="Times New Roman"/>
        </w:rPr>
        <w:t>七、</w:t>
      </w:r>
      <w:r>
        <w:rPr>
          <w:rFonts w:ascii="Calibri" w:hAnsi="Calibri"/>
          <w:b w:val="0"/>
          <w:bCs w:val="0"/>
          <w:caps w:val="0"/>
          <w:szCs w:val="22"/>
        </w:rPr>
        <w:tab/>
      </w:r>
      <w:r>
        <w:rPr>
          <w:rStyle w:val="16"/>
          <w:rFonts w:hint="eastAsia" w:ascii="Times New Roman"/>
        </w:rPr>
        <w:t>标准作为强制性或推荐性行业标准的建议</w:t>
      </w:r>
      <w:r>
        <w:tab/>
      </w:r>
      <w:r>
        <w:fldChar w:fldCharType="begin"/>
      </w:r>
      <w:r>
        <w:instrText xml:space="preserve"> PAGEREF _Toc508959278 \h </w:instrText>
      </w:r>
      <w:r>
        <w:fldChar w:fldCharType="separate"/>
      </w:r>
      <w:r>
        <w:t>13</w:t>
      </w:r>
      <w:r>
        <w:fldChar w:fldCharType="end"/>
      </w:r>
      <w:r>
        <w:fldChar w:fldCharType="end"/>
      </w:r>
    </w:p>
    <w:p>
      <w:pPr>
        <w:pStyle w:val="10"/>
        <w:tabs>
          <w:tab w:val="left" w:pos="840"/>
          <w:tab w:val="right" w:leader="dot" w:pos="8296"/>
        </w:tabs>
        <w:rPr>
          <w:rFonts w:ascii="Calibri" w:hAnsi="Calibri"/>
          <w:b w:val="0"/>
          <w:bCs w:val="0"/>
          <w:caps w:val="0"/>
          <w:szCs w:val="22"/>
        </w:rPr>
      </w:pPr>
      <w:r>
        <w:fldChar w:fldCharType="begin"/>
      </w:r>
      <w:r>
        <w:instrText xml:space="preserve"> HYPERLINK \l "_Toc508959279" </w:instrText>
      </w:r>
      <w:r>
        <w:fldChar w:fldCharType="separate"/>
      </w:r>
      <w:r>
        <w:rPr>
          <w:rStyle w:val="16"/>
          <w:rFonts w:hint="eastAsia" w:ascii="Times New Roman"/>
        </w:rPr>
        <w:t>八、</w:t>
      </w:r>
      <w:r>
        <w:rPr>
          <w:rFonts w:ascii="Calibri" w:hAnsi="Calibri"/>
          <w:b w:val="0"/>
          <w:bCs w:val="0"/>
          <w:caps w:val="0"/>
          <w:szCs w:val="22"/>
        </w:rPr>
        <w:tab/>
      </w:r>
      <w:r>
        <w:rPr>
          <w:rStyle w:val="16"/>
          <w:rFonts w:hint="eastAsia" w:ascii="Times New Roman"/>
        </w:rPr>
        <w:t>贯彻标准的要求和措施建议</w:t>
      </w:r>
      <w:r>
        <w:tab/>
      </w:r>
      <w:r>
        <w:fldChar w:fldCharType="begin"/>
      </w:r>
      <w:r>
        <w:instrText xml:space="preserve"> PAGEREF _Toc508959279 \h </w:instrText>
      </w:r>
      <w:r>
        <w:fldChar w:fldCharType="separate"/>
      </w:r>
      <w:r>
        <w:t>13</w:t>
      </w:r>
      <w:r>
        <w:fldChar w:fldCharType="end"/>
      </w:r>
      <w:r>
        <w:fldChar w:fldCharType="end"/>
      </w:r>
    </w:p>
    <w:p>
      <w:pPr>
        <w:pStyle w:val="10"/>
        <w:tabs>
          <w:tab w:val="left" w:pos="840"/>
          <w:tab w:val="right" w:leader="dot" w:pos="8296"/>
        </w:tabs>
        <w:rPr>
          <w:rFonts w:ascii="Calibri" w:hAnsi="Calibri"/>
          <w:b w:val="0"/>
          <w:bCs w:val="0"/>
          <w:caps w:val="0"/>
          <w:szCs w:val="22"/>
        </w:rPr>
      </w:pPr>
      <w:r>
        <w:fldChar w:fldCharType="begin"/>
      </w:r>
      <w:r>
        <w:instrText xml:space="preserve"> HYPERLINK \l "_Toc508959280" </w:instrText>
      </w:r>
      <w:r>
        <w:fldChar w:fldCharType="separate"/>
      </w:r>
      <w:r>
        <w:rPr>
          <w:rStyle w:val="16"/>
          <w:rFonts w:hint="eastAsia" w:ascii="Times New Roman"/>
        </w:rPr>
        <w:t>九、</w:t>
      </w:r>
      <w:r>
        <w:rPr>
          <w:rFonts w:ascii="Calibri" w:hAnsi="Calibri"/>
          <w:b w:val="0"/>
          <w:bCs w:val="0"/>
          <w:caps w:val="0"/>
          <w:szCs w:val="22"/>
        </w:rPr>
        <w:tab/>
      </w:r>
      <w:r>
        <w:rPr>
          <w:rStyle w:val="16"/>
          <w:rFonts w:hint="eastAsia" w:ascii="Times New Roman"/>
        </w:rPr>
        <w:t>废止现行有关标准的建议</w:t>
      </w:r>
      <w:r>
        <w:tab/>
      </w:r>
      <w:r>
        <w:fldChar w:fldCharType="begin"/>
      </w:r>
      <w:r>
        <w:instrText xml:space="preserve"> PAGEREF _Toc508959280 \h </w:instrText>
      </w:r>
      <w:r>
        <w:fldChar w:fldCharType="separate"/>
      </w:r>
      <w:r>
        <w:t>13</w:t>
      </w:r>
      <w:r>
        <w:fldChar w:fldCharType="end"/>
      </w:r>
      <w:r>
        <w:fldChar w:fldCharType="end"/>
      </w:r>
    </w:p>
    <w:p>
      <w:pPr>
        <w:widowControl/>
        <w:jc w:val="center"/>
        <w:rPr>
          <w:rFonts w:ascii="微软雅黑" w:hAnsi="微软雅黑" w:eastAsia="微软雅黑"/>
          <w:b/>
          <w:sz w:val="32"/>
          <w:szCs w:val="32"/>
        </w:rPr>
      </w:pPr>
      <w:r>
        <w:rPr>
          <w:rFonts w:ascii="微软雅黑" w:hAnsi="微软雅黑" w:eastAsia="微软雅黑"/>
          <w:b/>
          <w:sz w:val="28"/>
          <w:szCs w:val="32"/>
        </w:rPr>
        <w:fldChar w:fldCharType="end"/>
      </w:r>
    </w:p>
    <w:p>
      <w:pPr>
        <w:widowControl/>
        <w:jc w:val="left"/>
        <w:rPr>
          <w:rFonts w:ascii="微软雅黑" w:hAnsi="微软雅黑" w:eastAsia="微软雅黑"/>
          <w:b/>
          <w:sz w:val="32"/>
          <w:szCs w:val="32"/>
        </w:rPr>
      </w:pPr>
      <w:r>
        <w:rPr>
          <w:rFonts w:ascii="微软雅黑" w:hAnsi="微软雅黑" w:eastAsia="微软雅黑"/>
          <w:b/>
          <w:sz w:val="32"/>
          <w:szCs w:val="32"/>
        </w:rPr>
        <w:br w:type="page"/>
      </w:r>
    </w:p>
    <w:p>
      <w:pPr>
        <w:widowControl/>
        <w:jc w:val="center"/>
        <w:rPr>
          <w:rFonts w:ascii="微软雅黑" w:hAnsi="微软雅黑" w:eastAsia="微软雅黑"/>
          <w:b/>
          <w:sz w:val="32"/>
          <w:szCs w:val="32"/>
        </w:rPr>
      </w:pPr>
    </w:p>
    <w:p>
      <w:pPr>
        <w:spacing w:beforeLines="50" w:afterLines="100"/>
        <w:jc w:val="center"/>
        <w:rPr>
          <w:rFonts w:ascii="微软雅黑" w:hAnsi="微软雅黑" w:eastAsia="微软雅黑"/>
          <w:b/>
          <w:sz w:val="44"/>
          <w:szCs w:val="44"/>
        </w:rPr>
      </w:pPr>
      <w:r>
        <w:rPr>
          <w:rFonts w:hint="eastAsia" w:ascii="微软雅黑" w:hAnsi="微软雅黑" w:eastAsia="微软雅黑"/>
          <w:b/>
          <w:sz w:val="32"/>
          <w:szCs w:val="32"/>
        </w:rPr>
        <w:t>《绿色设计产品评价技术规范 锂》协会标准</w:t>
      </w:r>
      <w:r>
        <w:rPr>
          <w:rFonts w:ascii="微软雅黑" w:hAnsi="微软雅黑" w:eastAsia="微软雅黑"/>
          <w:b/>
          <w:sz w:val="32"/>
          <w:szCs w:val="32"/>
        </w:rPr>
        <w:br w:type="textWrapping"/>
      </w:r>
      <w:r>
        <w:rPr>
          <w:rFonts w:hint="eastAsia" w:ascii="微软雅黑" w:hAnsi="微软雅黑" w:eastAsia="微软雅黑"/>
          <w:b/>
          <w:sz w:val="36"/>
          <w:szCs w:val="36"/>
        </w:rPr>
        <w:t>编</w:t>
      </w:r>
      <w:r>
        <w:rPr>
          <w:rFonts w:ascii="微软雅黑" w:hAnsi="微软雅黑" w:eastAsia="微软雅黑"/>
          <w:b/>
          <w:sz w:val="36"/>
          <w:szCs w:val="36"/>
        </w:rPr>
        <w:t xml:space="preserve"> </w:t>
      </w:r>
      <w:r>
        <w:rPr>
          <w:rFonts w:hint="eastAsia" w:ascii="微软雅黑" w:hAnsi="微软雅黑" w:eastAsia="微软雅黑"/>
          <w:b/>
          <w:sz w:val="36"/>
          <w:szCs w:val="36"/>
        </w:rPr>
        <w:t>制</w:t>
      </w:r>
      <w:r>
        <w:rPr>
          <w:rFonts w:ascii="微软雅黑" w:hAnsi="微软雅黑" w:eastAsia="微软雅黑"/>
          <w:b/>
          <w:sz w:val="36"/>
          <w:szCs w:val="36"/>
        </w:rPr>
        <w:t xml:space="preserve"> </w:t>
      </w:r>
      <w:r>
        <w:rPr>
          <w:rFonts w:hint="eastAsia" w:ascii="微软雅黑" w:hAnsi="微软雅黑" w:eastAsia="微软雅黑"/>
          <w:b/>
          <w:sz w:val="36"/>
          <w:szCs w:val="36"/>
        </w:rPr>
        <w:t>说</w:t>
      </w:r>
      <w:r>
        <w:rPr>
          <w:rFonts w:ascii="微软雅黑" w:hAnsi="微软雅黑" w:eastAsia="微软雅黑"/>
          <w:b/>
          <w:sz w:val="36"/>
          <w:szCs w:val="36"/>
        </w:rPr>
        <w:t xml:space="preserve"> </w:t>
      </w:r>
      <w:r>
        <w:rPr>
          <w:rFonts w:hint="eastAsia" w:ascii="微软雅黑" w:hAnsi="微软雅黑" w:eastAsia="微软雅黑"/>
          <w:b/>
          <w:sz w:val="36"/>
          <w:szCs w:val="36"/>
        </w:rPr>
        <w:t>明</w:t>
      </w:r>
    </w:p>
    <w:p>
      <w:pPr>
        <w:pStyle w:val="29"/>
        <w:numPr>
          <w:ilvl w:val="0"/>
          <w:numId w:val="2"/>
        </w:numPr>
        <w:tabs>
          <w:tab w:val="left" w:pos="426"/>
        </w:tabs>
        <w:spacing w:beforeLines="100" w:afterLines="100"/>
        <w:ind w:hangingChars="200"/>
        <w:jc w:val="left"/>
        <w:rPr>
          <w:rFonts w:ascii="Times New Roman"/>
          <w:sz w:val="24"/>
          <w:szCs w:val="24"/>
        </w:rPr>
      </w:pPr>
      <w:bookmarkStart w:id="0" w:name="_Toc508203288"/>
      <w:bookmarkStart w:id="1" w:name="_Toc508959272"/>
      <w:r>
        <w:rPr>
          <w:rFonts w:hint="eastAsia" w:ascii="Times New Roman"/>
          <w:sz w:val="24"/>
          <w:szCs w:val="24"/>
        </w:rPr>
        <w:t>工作简况</w:t>
      </w:r>
      <w:bookmarkEnd w:id="0"/>
      <w:bookmarkEnd w:id="1"/>
    </w:p>
    <w:p>
      <w:pPr>
        <w:pStyle w:val="26"/>
        <w:spacing w:before="156" w:after="156" w:line="300" w:lineRule="auto"/>
        <w:ind w:left="0"/>
        <w:contextualSpacing/>
        <w:outlineLvl w:val="9"/>
        <w:rPr>
          <w:rFonts w:ascii="Times New Roman"/>
          <w:sz w:val="24"/>
          <w:szCs w:val="24"/>
        </w:rPr>
      </w:pPr>
      <w:bookmarkStart w:id="2" w:name="_Toc508203289"/>
      <w:r>
        <w:rPr>
          <w:rFonts w:hint="eastAsia" w:ascii="Times New Roman"/>
          <w:sz w:val="24"/>
          <w:szCs w:val="24"/>
        </w:rPr>
        <w:t>立项目的</w:t>
      </w:r>
      <w:bookmarkEnd w:id="2"/>
    </w:p>
    <w:p>
      <w:pPr>
        <w:spacing w:beforeLines="50" w:line="360" w:lineRule="auto"/>
        <w:ind w:firstLine="420" w:firstLineChars="200"/>
        <w:contextualSpacing/>
        <w:rPr>
          <w:szCs w:val="21"/>
        </w:rPr>
      </w:pPr>
      <w:r>
        <w:rPr>
          <w:rFonts w:hint="eastAsia"/>
          <w:szCs w:val="21"/>
        </w:rPr>
        <w:t>《中国制造</w:t>
      </w:r>
      <w:r>
        <w:rPr>
          <w:szCs w:val="21"/>
        </w:rPr>
        <w:t>2025</w:t>
      </w:r>
      <w:r>
        <w:rPr>
          <w:rFonts w:hint="eastAsia"/>
          <w:szCs w:val="21"/>
        </w:rPr>
        <w:t>》提出要全面推行绿色制造，加快构建科技含量高、资源消耗低、环境污染少的产业结构和生产方式，积极打造绿色制造体系。工业绿色发展规划（</w:t>
      </w:r>
      <w:r>
        <w:rPr>
          <w:szCs w:val="21"/>
        </w:rPr>
        <w:t>2016-2020</w:t>
      </w:r>
      <w:r>
        <w:rPr>
          <w:rFonts w:hint="eastAsia"/>
          <w:szCs w:val="21"/>
        </w:rPr>
        <w:t>年）进一步明确提出以传统工业绿色化改造为重点，以绿色科技创新为支撑，以法规标准制度建设为保障，实施绿色制造工程，加快构建绿色制造体系，大力发展绿色制造产业。</w:t>
      </w:r>
    </w:p>
    <w:p>
      <w:pPr>
        <w:spacing w:beforeLines="50" w:line="360" w:lineRule="auto"/>
        <w:ind w:firstLine="420" w:firstLineChars="200"/>
        <w:contextualSpacing/>
        <w:rPr>
          <w:rFonts w:ascii="宋体" w:hAnsi="宋体"/>
          <w:szCs w:val="21"/>
        </w:rPr>
      </w:pPr>
      <w:r>
        <w:rPr>
          <w:rFonts w:hint="eastAsia" w:ascii="宋体" w:hAnsi="宋体"/>
          <w:szCs w:val="21"/>
        </w:rPr>
        <w:t>伴随着全球不可再生资源的不断消耗以及新能源产业的崛起，我国锂行业得到了空前的发展，锂加工企业产量不断提高，规模不断扩大，每年都有不少新兴的锂加工企业加入，这意味着我国将会有大量的锂及其辅助资源将被消耗。为了使我国有限的资源得到充分的利用，促进行业协调发展、绿色发展，响应国家节能减排的号召，化解结构性产能过剩显得尤为重要。</w:t>
      </w:r>
    </w:p>
    <w:p>
      <w:pPr>
        <w:spacing w:beforeLines="50" w:line="360" w:lineRule="auto"/>
        <w:ind w:firstLine="420" w:firstLineChars="200"/>
        <w:contextualSpacing/>
        <w:rPr>
          <w:szCs w:val="21"/>
        </w:rPr>
      </w:pPr>
      <w:r>
        <w:rPr>
          <w:rFonts w:hint="eastAsia"/>
          <w:szCs w:val="21"/>
        </w:rPr>
        <w:t>在此大背景之下，锂行业迫切需要加速淘汰落后产能，大力促进行业整体技术进步和节能减排进程，进一步提升产业集中度。为此，以产品生命周期评价理论为指导，以提升产品在其生命周期中的综合环境绩效为目标，针对重点产品环境安全问题，选择锂产品为研究目标，制订《绿色设计产品评价技术规范</w:t>
      </w:r>
      <w:r>
        <w:rPr>
          <w:szCs w:val="21"/>
        </w:rPr>
        <w:t xml:space="preserve"> </w:t>
      </w:r>
      <w:r>
        <w:rPr>
          <w:rFonts w:hint="eastAsia"/>
          <w:szCs w:val="21"/>
        </w:rPr>
        <w:t>锂》标准，成为锂行业实现绿色发展的必要选择。</w:t>
      </w:r>
    </w:p>
    <w:p>
      <w:pPr>
        <w:pStyle w:val="26"/>
        <w:spacing w:before="156" w:after="156" w:line="300" w:lineRule="auto"/>
        <w:ind w:left="0"/>
        <w:contextualSpacing/>
        <w:outlineLvl w:val="9"/>
        <w:rPr>
          <w:rFonts w:ascii="Times New Roman"/>
          <w:sz w:val="24"/>
          <w:szCs w:val="24"/>
        </w:rPr>
      </w:pPr>
      <w:bookmarkStart w:id="3" w:name="_Toc508203290"/>
      <w:r>
        <w:rPr>
          <w:rFonts w:hint="eastAsia" w:ascii="Times New Roman"/>
          <w:sz w:val="24"/>
          <w:szCs w:val="24"/>
        </w:rPr>
        <w:t>任务来源</w:t>
      </w:r>
      <w:bookmarkEnd w:id="3"/>
    </w:p>
    <w:p>
      <w:pPr>
        <w:pStyle w:val="22"/>
        <w:spacing w:line="360" w:lineRule="auto"/>
        <w:ind w:firstLine="420"/>
        <w:contextualSpacing/>
        <w:rPr>
          <w:rFonts w:ascii="Times New Roman"/>
          <w:szCs w:val="21"/>
        </w:rPr>
      </w:pPr>
      <w:r>
        <w:rPr>
          <w:rFonts w:hint="eastAsia" w:ascii="Times New Roman"/>
          <w:szCs w:val="21"/>
        </w:rPr>
        <w:t>根据中国有色金属工业协会文件，标准《绿色设计产品评价技术规范</w:t>
      </w:r>
      <w:r>
        <w:rPr>
          <w:rFonts w:ascii="Times New Roman"/>
          <w:szCs w:val="21"/>
        </w:rPr>
        <w:t xml:space="preserve"> </w:t>
      </w:r>
      <w:r>
        <w:rPr>
          <w:rFonts w:hint="eastAsia" w:ascii="Times New Roman"/>
          <w:szCs w:val="21"/>
        </w:rPr>
        <w:t>锂》，计划号为：</w:t>
      </w:r>
      <w:r>
        <w:rPr>
          <w:rFonts w:ascii="Times New Roman"/>
          <w:szCs w:val="21"/>
        </w:rPr>
        <w:t>201</w:t>
      </w:r>
      <w:r>
        <w:rPr>
          <w:rFonts w:hint="eastAsia" w:ascii="Times New Roman"/>
          <w:szCs w:val="21"/>
        </w:rPr>
        <w:t>8</w:t>
      </w:r>
      <w:r>
        <w:rPr>
          <w:rFonts w:ascii="Times New Roman"/>
          <w:szCs w:val="21"/>
        </w:rPr>
        <w:t>-0</w:t>
      </w:r>
      <w:r>
        <w:rPr>
          <w:rFonts w:hint="eastAsia" w:ascii="Times New Roman"/>
          <w:szCs w:val="21"/>
          <w:lang w:val="en-US" w:eastAsia="zh-CN"/>
        </w:rPr>
        <w:t>57</w:t>
      </w:r>
      <w:r>
        <w:rPr>
          <w:rFonts w:ascii="Times New Roman"/>
          <w:szCs w:val="21"/>
        </w:rPr>
        <w:t>-T/CNIA</w:t>
      </w:r>
      <w:r>
        <w:rPr>
          <w:rFonts w:hint="eastAsia" w:ascii="Times New Roman"/>
          <w:szCs w:val="21"/>
        </w:rPr>
        <w:t>，列入2018年第三批有色金属协会标准计划项目，由江西赣锋锂业股份有限公司牵头负责《绿色设计产品评价技术规范</w:t>
      </w:r>
      <w:r>
        <w:rPr>
          <w:rFonts w:ascii="Times New Roman"/>
          <w:szCs w:val="21"/>
        </w:rPr>
        <w:t xml:space="preserve"> </w:t>
      </w:r>
      <w:r>
        <w:rPr>
          <w:rFonts w:hint="eastAsia" w:ascii="Times New Roman"/>
          <w:szCs w:val="21"/>
        </w:rPr>
        <w:t>锂》的制定，邀请宜春赣锋锂业有限公司等参与制定工作，技术归口单位是全国有色金属标准化技术委员会。</w:t>
      </w:r>
    </w:p>
    <w:p>
      <w:pPr>
        <w:pStyle w:val="26"/>
        <w:spacing w:before="156" w:after="156" w:line="300" w:lineRule="auto"/>
        <w:ind w:left="0"/>
        <w:contextualSpacing/>
        <w:outlineLvl w:val="9"/>
        <w:rPr>
          <w:rFonts w:ascii="Times New Roman"/>
          <w:sz w:val="24"/>
          <w:szCs w:val="24"/>
        </w:rPr>
      </w:pPr>
      <w:bookmarkStart w:id="4" w:name="_Toc508203293"/>
      <w:r>
        <w:rPr>
          <w:rFonts w:hint="eastAsia" w:ascii="Times New Roman"/>
          <w:sz w:val="24"/>
          <w:szCs w:val="24"/>
        </w:rPr>
        <w:t>项目编制组单位简况</w:t>
      </w:r>
      <w:bookmarkEnd w:id="4"/>
    </w:p>
    <w:p>
      <w:pPr>
        <w:pStyle w:val="25"/>
        <w:spacing w:beforeLines="50" w:afterLines="50"/>
        <w:ind w:left="0"/>
        <w:contextualSpacing/>
        <w:jc w:val="left"/>
        <w:outlineLvl w:val="9"/>
        <w:rPr>
          <w:rFonts w:ascii="Times New Roman"/>
          <w:color w:val="auto"/>
        </w:rPr>
      </w:pPr>
      <w:bookmarkStart w:id="5" w:name="_Toc508203294"/>
      <w:bookmarkStart w:id="6" w:name="_Toc458287585"/>
      <w:r>
        <w:rPr>
          <w:rFonts w:hint="eastAsia" w:ascii="Times New Roman"/>
          <w:color w:val="auto"/>
        </w:rPr>
        <w:t>编制组成员单位</w:t>
      </w:r>
      <w:bookmarkEnd w:id="5"/>
      <w:bookmarkEnd w:id="6"/>
    </w:p>
    <w:p>
      <w:pPr>
        <w:pStyle w:val="22"/>
        <w:spacing w:line="360" w:lineRule="auto"/>
        <w:ind w:firstLine="420"/>
        <w:contextualSpacing/>
        <w:rPr>
          <w:rFonts w:ascii="Times New Roman"/>
        </w:rPr>
      </w:pPr>
      <w:r>
        <w:rPr>
          <w:rFonts w:hint="eastAsia" w:ascii="Times New Roman"/>
        </w:rPr>
        <w:t>本项目由江西赣锋锂业股份有限公司、宜春赣锋锂业有限公司共同起草，江西赣锋锂业股份有限公司是主编单位。</w:t>
      </w:r>
    </w:p>
    <w:p>
      <w:pPr>
        <w:pStyle w:val="25"/>
        <w:spacing w:beforeLines="50" w:afterLines="50"/>
        <w:ind w:left="0"/>
        <w:contextualSpacing/>
        <w:outlineLvl w:val="9"/>
        <w:rPr>
          <w:rFonts w:ascii="Times New Roman"/>
          <w:color w:val="auto"/>
        </w:rPr>
      </w:pPr>
      <w:bookmarkStart w:id="7" w:name="_Toc508203295"/>
      <w:bookmarkStart w:id="8" w:name="_Toc458287586"/>
      <w:r>
        <w:rPr>
          <w:rFonts w:hint="eastAsia" w:ascii="Times New Roman"/>
          <w:color w:val="auto"/>
        </w:rPr>
        <w:t>主编单位简介</w:t>
      </w:r>
      <w:bookmarkEnd w:id="7"/>
      <w:bookmarkEnd w:id="8"/>
    </w:p>
    <w:p>
      <w:pPr>
        <w:spacing w:line="360" w:lineRule="auto"/>
        <w:ind w:firstLine="420" w:firstLineChars="200"/>
        <w:jc w:val="left"/>
        <w:rPr>
          <w:color w:val="000000"/>
          <w:szCs w:val="21"/>
        </w:rPr>
      </w:pPr>
      <w:r>
        <w:rPr>
          <w:rFonts w:hint="eastAsia"/>
          <w:color w:val="000000"/>
          <w:szCs w:val="21"/>
        </w:rPr>
        <w:t>江西赣锋锂业股份有限公司（以下简称赣锋锂业）为全球最大的金属锂生产商、全球第三大、国内最大的锂化合物供应商。金属锂产品占全球市场占有率的</w:t>
      </w:r>
      <w:r>
        <w:rPr>
          <w:rFonts w:hint="eastAsia" w:ascii="宋体" w:hAnsi="宋体"/>
          <w:color w:val="000000"/>
          <w:szCs w:val="21"/>
        </w:rPr>
        <w:t>47%，全国市场占有率的70%。赣锋锂业经过十几年的发展已然成为全国锂行业的龙头企业、国家火炬计划重点高新技术企业、国家锂材料及应用高新技术产业化基地龙头企业，并于2010年在深圳中小企业版上市，成为我国锂行业首家上市公司。经过多年</w:t>
      </w:r>
      <w:r>
        <w:rPr>
          <w:rFonts w:hint="eastAsia"/>
          <w:color w:val="000000"/>
          <w:szCs w:val="21"/>
        </w:rPr>
        <w:t>的研究开发，赣锋锂业已然成为国内锂产品种类最全、技术最全、最先进的一家高新技术企业。公司注册资本11.15亿元人民币，在职员工4000余人。拥有14家全资子公司和7大生产基地。公司专业从事锂及锂化合物研发、生产和销售。产品涵盖锂及锂系列合金、锂盐、锂电材料、有机锂和锂电池五大类三十多种，是国内锂系列产品种类最全、产品加工链最长、工艺技术最全面的专业生产商。</w:t>
      </w:r>
    </w:p>
    <w:p>
      <w:pPr>
        <w:pStyle w:val="22"/>
        <w:spacing w:line="360" w:lineRule="auto"/>
        <w:ind w:firstLine="420"/>
        <w:contextualSpacing/>
        <w:rPr>
          <w:color w:val="000000"/>
          <w:szCs w:val="21"/>
        </w:rPr>
      </w:pPr>
      <w:r>
        <w:rPr>
          <w:rFonts w:hint="eastAsia"/>
          <w:color w:val="000000"/>
          <w:szCs w:val="21"/>
        </w:rPr>
        <w:t>赣锋锂业现有宜春赣锋锂业有限公司和奉新赣锋锂业有限公司两大金属锂生产基地，总占地面积达400亩，在职员工500余人。现有</w:t>
      </w:r>
      <w:r>
        <w:rPr>
          <w:rFonts w:hint="eastAsia" w:hAnsi="宋体"/>
          <w:color w:val="000000"/>
          <w:szCs w:val="21"/>
        </w:rPr>
        <w:t>48台电解槽生产线，12条电池级金属锂生产线，6条工业级金属锂生产线。</w:t>
      </w:r>
      <w:r>
        <w:rPr>
          <w:rFonts w:hint="eastAsia"/>
          <w:color w:val="000000"/>
          <w:szCs w:val="21"/>
        </w:rPr>
        <w:t>两大生产基地生产产品包含金属锂、锂粒子、锂片、锂带和锂系列合金产品，产品种类及规格多样，满足各种不同客户需求。赣锋锂业金属锂年产能达1800多吨，产品远销美国、欧盟、日本、印度等国家和地区。</w:t>
      </w:r>
    </w:p>
    <w:p>
      <w:pPr>
        <w:spacing w:line="360" w:lineRule="auto"/>
        <w:ind w:firstLine="420" w:firstLineChars="200"/>
        <w:jc w:val="left"/>
        <w:rPr>
          <w:rFonts w:ascii="宋体" w:hAnsi="宋体"/>
          <w:color w:val="000000"/>
          <w:szCs w:val="21"/>
        </w:rPr>
      </w:pPr>
      <w:r>
        <w:rPr>
          <w:rFonts w:hint="eastAsia"/>
          <w:color w:val="000000"/>
          <w:szCs w:val="21"/>
        </w:rPr>
        <w:t>赣锋锂业经过十余年对锂产品的开发和研究，不断地进行技术革新，使得赣锋锂业的技术一直处于行业前列。在不断地技术革新过程中，企业拥有</w:t>
      </w:r>
      <w:r>
        <w:rPr>
          <w:rFonts w:hint="eastAsia" w:ascii="宋体" w:hAnsi="宋体"/>
          <w:color w:val="000000"/>
          <w:szCs w:val="21"/>
        </w:rPr>
        <w:t>“低温真空蒸馏制备电池级金属锂”、“手套箱内三元气体下垂直挤压制备超薄锂带”、“多阳极熔盐电解制备金属锂”、“自动剪切高钠金属锂粒子”等多项独创技术，填补了多项国内技术空白，并处于国内锂行业技术研发的领先地位。</w:t>
      </w:r>
    </w:p>
    <w:p>
      <w:pPr>
        <w:pStyle w:val="22"/>
        <w:spacing w:line="360" w:lineRule="auto"/>
        <w:ind w:firstLine="420"/>
        <w:contextualSpacing/>
        <w:rPr>
          <w:color w:val="000000"/>
          <w:szCs w:val="21"/>
        </w:rPr>
      </w:pPr>
      <w:r>
        <w:rPr>
          <w:rFonts w:hint="eastAsia"/>
          <w:szCs w:val="21"/>
        </w:rPr>
        <w:t>公司目前已申请了专利163项，其中发明专利</w:t>
      </w:r>
      <w:r>
        <w:rPr>
          <w:szCs w:val="21"/>
        </w:rPr>
        <w:t>90</w:t>
      </w:r>
      <w:r>
        <w:rPr>
          <w:rFonts w:hint="eastAsia"/>
          <w:szCs w:val="21"/>
        </w:rPr>
        <w:t>项，实用新型专利</w:t>
      </w:r>
      <w:r>
        <w:rPr>
          <w:szCs w:val="21"/>
        </w:rPr>
        <w:t>73</w:t>
      </w:r>
      <w:r>
        <w:rPr>
          <w:rFonts w:hint="eastAsia"/>
          <w:szCs w:val="21"/>
        </w:rPr>
        <w:t>项；获授权专利共计</w:t>
      </w:r>
      <w:r>
        <w:rPr>
          <w:szCs w:val="21"/>
        </w:rPr>
        <w:t>107</w:t>
      </w:r>
      <w:r>
        <w:rPr>
          <w:rFonts w:hint="eastAsia"/>
          <w:szCs w:val="21"/>
        </w:rPr>
        <w:t>项，其中发明</w:t>
      </w:r>
      <w:r>
        <w:rPr>
          <w:szCs w:val="21"/>
        </w:rPr>
        <w:t>51</w:t>
      </w:r>
      <w:r>
        <w:rPr>
          <w:rFonts w:hint="eastAsia"/>
          <w:szCs w:val="21"/>
        </w:rPr>
        <w:t>项，实用新型</w:t>
      </w:r>
      <w:r>
        <w:rPr>
          <w:szCs w:val="21"/>
        </w:rPr>
        <w:t>56</w:t>
      </w:r>
      <w:r>
        <w:rPr>
          <w:rFonts w:hint="eastAsia"/>
          <w:szCs w:val="21"/>
        </w:rPr>
        <w:t>项；拥有计算机软件著作权</w:t>
      </w:r>
      <w:r>
        <w:rPr>
          <w:szCs w:val="21"/>
        </w:rPr>
        <w:t>3</w:t>
      </w:r>
      <w:r>
        <w:rPr>
          <w:rFonts w:hint="eastAsia"/>
          <w:szCs w:val="21"/>
        </w:rPr>
        <w:t>项。研发出国家级重点新产品3个，省级重点新产品30多个，承担国家火炬计划、国家振兴与技术改造项目等国家级项目13项，省科技重大专项，省高新技术产业化重大项目等省级项目20多项。公司主持或参与起草或修订《锂》、《锂带》和《氢化锂》等国家、行业标准18项。</w:t>
      </w:r>
    </w:p>
    <w:p>
      <w:pPr>
        <w:pStyle w:val="25"/>
        <w:spacing w:beforeLines="50" w:afterLines="50"/>
        <w:ind w:left="0"/>
        <w:contextualSpacing/>
        <w:outlineLvl w:val="9"/>
        <w:rPr>
          <w:rFonts w:ascii="Times New Roman"/>
          <w:color w:val="auto"/>
        </w:rPr>
      </w:pPr>
      <w:bookmarkStart w:id="9" w:name="_Toc508203296"/>
      <w:bookmarkStart w:id="10" w:name="_Toc458287587"/>
      <w:r>
        <w:rPr>
          <w:rFonts w:hint="eastAsia" w:ascii="Times New Roman"/>
          <w:color w:val="auto"/>
        </w:rPr>
        <w:t>协作单位简介</w:t>
      </w:r>
      <w:bookmarkEnd w:id="9"/>
      <w:bookmarkEnd w:id="10"/>
    </w:p>
    <w:p>
      <w:pPr>
        <w:spacing w:line="360" w:lineRule="auto"/>
        <w:ind w:firstLine="420" w:firstLineChars="200"/>
        <w:rPr>
          <w:kern w:val="0"/>
          <w:szCs w:val="20"/>
        </w:rPr>
      </w:pPr>
      <w:r>
        <w:rPr>
          <w:rFonts w:hint="eastAsia"/>
          <w:kern w:val="0"/>
          <w:szCs w:val="20"/>
        </w:rPr>
        <w:t>宜春赣锋锂业有限公司成立于2008年7月，位于宜春市经济技术开发区春一路9号，总占地193亩,注册资本5000万元人民币，在职员工250余人。系江西赣锋锂业股份有限公司的全资子公司，是集金属锂及锂材产品研发、生产、经营、销售于一体的高新技术企业。公司有32台电解槽生产线，8条电池级金属锂生产线，4条工业级金属锂生产线，实现年产1000吨金属锂及锂材产品。获授权国家发明专利3项，实用新型专利10项，省级重点新产品2个，荣获市级以上奖励1项。</w:t>
      </w:r>
    </w:p>
    <w:p>
      <w:pPr>
        <w:spacing w:line="360" w:lineRule="auto"/>
        <w:ind w:firstLine="420" w:firstLineChars="200"/>
        <w:rPr>
          <w:kern w:val="0"/>
          <w:szCs w:val="20"/>
        </w:rPr>
      </w:pPr>
      <w:r>
        <w:rPr>
          <w:rFonts w:hint="eastAsia"/>
          <w:kern w:val="0"/>
          <w:szCs w:val="20"/>
        </w:rPr>
        <w:t>本单位在整个标准编制过程中，积极参加编制组各次工作会议，积极组织、协调有关单位，配合主编单位编制本标准文本，积极提供编制组所需相关资料，多次组织对标准的初稿和修改稿进行认真的讨论和审议，提出大量有益的意见和建议，在编制组中发挥了重要的骨干作用。</w:t>
      </w:r>
    </w:p>
    <w:p>
      <w:pPr>
        <w:pStyle w:val="25"/>
        <w:spacing w:beforeLines="50" w:afterLines="50"/>
        <w:ind w:left="0"/>
        <w:contextualSpacing/>
        <w:outlineLvl w:val="9"/>
        <w:rPr>
          <w:rFonts w:ascii="Times New Roman"/>
          <w:color w:val="auto"/>
        </w:rPr>
      </w:pPr>
      <w:bookmarkStart w:id="11" w:name="_Toc508203314"/>
      <w:r>
        <w:rPr>
          <w:rFonts w:hint="eastAsia" w:ascii="Times New Roman"/>
          <w:color w:val="auto"/>
        </w:rPr>
        <w:t>主要工作过程</w:t>
      </w:r>
      <w:bookmarkEnd w:id="11"/>
    </w:p>
    <w:p>
      <w:pPr>
        <w:pStyle w:val="22"/>
        <w:spacing w:line="360" w:lineRule="auto"/>
        <w:ind w:firstLine="420"/>
        <w:contextualSpacing/>
        <w:rPr>
          <w:rFonts w:hint="eastAsia" w:ascii="Times New Roman"/>
          <w:szCs w:val="21"/>
        </w:rPr>
      </w:pPr>
      <w:r>
        <w:rPr>
          <w:rFonts w:hint="eastAsia" w:ascii="Times New Roman"/>
          <w:szCs w:val="21"/>
        </w:rPr>
        <w:t>由中国有色金属工业协会主持在北京召开了《绿色设计产品评价技术规范</w:t>
      </w:r>
      <w:r>
        <w:rPr>
          <w:rFonts w:ascii="Times New Roman"/>
          <w:szCs w:val="21"/>
        </w:rPr>
        <w:t xml:space="preserve"> </w:t>
      </w:r>
      <w:r>
        <w:rPr>
          <w:rFonts w:hint="eastAsia" w:ascii="Times New Roman"/>
          <w:szCs w:val="21"/>
        </w:rPr>
        <w:t>锂》协会标准的启动会及第一次编制组工作会，中国有色金属标委会、中国有色金属工业协会、江西赣锋锂业股份有限公司、宜春赣锋锂业有限公司参会，会议明确了标准编制进度和标准涉及的范围，上述单位均表示积极参加编制组的各项活动和配合编制组进行各项工作，确定了</w:t>
      </w:r>
      <w:r>
        <w:rPr>
          <w:rFonts w:hint="eastAsia" w:ascii="Times New Roman"/>
          <w:szCs w:val="21"/>
          <w:highlight w:val="none"/>
        </w:rPr>
        <w:t>标准初稿的编制时间</w:t>
      </w:r>
      <w:r>
        <w:rPr>
          <w:rFonts w:hint="eastAsia" w:ascii="Times New Roman"/>
          <w:szCs w:val="21"/>
        </w:rPr>
        <w:t>。</w:t>
      </w:r>
    </w:p>
    <w:p>
      <w:pPr>
        <w:snapToGrid w:val="0"/>
        <w:spacing w:line="360" w:lineRule="auto"/>
        <w:ind w:firstLine="480" w:firstLineChars="200"/>
        <w:rPr>
          <w:rFonts w:ascii="宋体" w:hAnsi="宋体" w:eastAsia="宋体" w:cs="Times New Roman"/>
          <w:sz w:val="21"/>
          <w:szCs w:val="21"/>
        </w:rPr>
      </w:pPr>
      <w:r>
        <w:rPr>
          <w:rFonts w:hint="eastAsia" w:ascii="宋体" w:hAnsi="宋体" w:eastAsia="宋体" w:cs="Times New Roman"/>
          <w:sz w:val="21"/>
          <w:szCs w:val="21"/>
        </w:rPr>
        <w:t>2018年10月初，江西赣锋锂业股份有限公司接到《绿色设计产品评价技术规范 锂》的制定任务后，成立了标准编制工作组，确认了各成员的工作任务和职责，制定了工作计划和进度安排，确定了制定原则。</w:t>
      </w:r>
    </w:p>
    <w:p>
      <w:pPr>
        <w:snapToGrid w:val="0"/>
        <w:spacing w:line="360" w:lineRule="auto"/>
        <w:ind w:firstLine="480" w:firstLineChars="200"/>
        <w:rPr>
          <w:rFonts w:hint="eastAsia" w:ascii="宋体" w:hAnsi="宋体" w:eastAsia="宋体" w:cs="Times New Roman"/>
          <w:sz w:val="21"/>
          <w:szCs w:val="21"/>
        </w:rPr>
      </w:pPr>
      <w:r>
        <w:rPr>
          <w:rFonts w:hint="eastAsia" w:ascii="宋体" w:hAnsi="宋体" w:eastAsia="宋体" w:cs="Times New Roman"/>
          <w:sz w:val="21"/>
          <w:szCs w:val="21"/>
        </w:rPr>
        <w:t>2018年12月底，公司内部组织标准编写培训，同时确定所要编写标准的基本框架。本标准在编制过程中，查阅了大量国内外相关文献资料及相关企业的企业标准，咨询企业的使用要求，进行了资料收集，经过综合考虑</w:t>
      </w:r>
      <w:r>
        <w:rPr>
          <w:rFonts w:hint="eastAsia" w:ascii="宋体" w:hAnsi="宋体" w:eastAsia="宋体" w:cs="Times New Roman"/>
          <w:sz w:val="21"/>
          <w:szCs w:val="21"/>
          <w:lang w:eastAsia="zh-CN"/>
        </w:rPr>
        <w:t>与讨论</w:t>
      </w:r>
      <w:r>
        <w:rPr>
          <w:rFonts w:hint="eastAsia" w:ascii="宋体" w:hAnsi="宋体" w:eastAsia="宋体" w:cs="Times New Roman"/>
          <w:sz w:val="21"/>
          <w:szCs w:val="21"/>
        </w:rPr>
        <w:t>，最后形成了该标准的</w:t>
      </w:r>
      <w:r>
        <w:rPr>
          <w:rFonts w:hint="eastAsia" w:ascii="宋体" w:hAnsi="宋体" w:eastAsia="宋体" w:cs="Times New Roman"/>
          <w:sz w:val="21"/>
          <w:szCs w:val="21"/>
          <w:lang w:eastAsia="zh-CN"/>
        </w:rPr>
        <w:t>讨论</w:t>
      </w:r>
      <w:r>
        <w:rPr>
          <w:rFonts w:hint="eastAsia" w:ascii="宋体" w:hAnsi="宋体" w:eastAsia="宋体" w:cs="Times New Roman"/>
          <w:sz w:val="21"/>
          <w:szCs w:val="21"/>
        </w:rPr>
        <w:t>稿。</w:t>
      </w:r>
    </w:p>
    <w:p>
      <w:pPr>
        <w:snapToGrid w:val="0"/>
        <w:spacing w:line="360" w:lineRule="auto"/>
        <w:ind w:firstLine="480" w:firstLineChars="200"/>
        <w:rPr>
          <w:rFonts w:hint="eastAsia"/>
          <w:b w:val="0"/>
          <w:kern w:val="2"/>
          <w:sz w:val="21"/>
          <w:szCs w:val="21"/>
          <w:lang w:eastAsia="zh-CN"/>
        </w:rPr>
      </w:pPr>
      <w:r>
        <w:rPr>
          <w:rFonts w:hint="eastAsia" w:ascii="宋体" w:hAnsi="宋体" w:eastAsia="宋体" w:cs="Times New Roman"/>
          <w:sz w:val="21"/>
          <w:szCs w:val="21"/>
          <w:lang w:val="en-US" w:eastAsia="zh-CN"/>
        </w:rPr>
        <w:t>2019年6月18日，由全国有色金属标准化技术委员会组织在江西宜春召开本标准的征求意见讨论会。与会单位有江西赣锋锂业股份有限公司、天齐锂业股份有限公司、</w:t>
      </w:r>
      <w:r>
        <w:rPr>
          <w:rFonts w:hint="eastAsia" w:eastAsiaTheme="minorEastAsia"/>
          <w:b w:val="0"/>
          <w:kern w:val="2"/>
          <w:sz w:val="21"/>
          <w:szCs w:val="21"/>
        </w:rPr>
        <w:t>新疆有色金属研究所、</w:t>
      </w:r>
      <w:r>
        <w:fldChar w:fldCharType="begin"/>
      </w:r>
      <w:r>
        <w:instrText xml:space="preserve"> HYPERLINK "http://www.baidu.com/link?url=OMxGyIHCaMsHD9EfmYlyRejf4MfI5bt3C-boDfTOts5gxT0JyxFw8xeVDc7YwTfX" \t "_blank" </w:instrText>
      </w:r>
      <w:r>
        <w:fldChar w:fldCharType="separate"/>
      </w:r>
      <w:r>
        <w:rPr>
          <w:rFonts w:eastAsiaTheme="minorEastAsia"/>
          <w:b w:val="0"/>
          <w:bCs w:val="0"/>
          <w:kern w:val="2"/>
          <w:sz w:val="21"/>
          <w:szCs w:val="21"/>
        </w:rPr>
        <w:t>江西东鹏新材料有限责任公司</w:t>
      </w:r>
      <w:r>
        <w:rPr>
          <w:rFonts w:eastAsiaTheme="minorEastAsia"/>
          <w:b w:val="0"/>
          <w:bCs w:val="0"/>
          <w:kern w:val="2"/>
          <w:sz w:val="21"/>
          <w:szCs w:val="21"/>
        </w:rPr>
        <w:fldChar w:fldCharType="end"/>
      </w:r>
      <w:r>
        <w:rPr>
          <w:rFonts w:hint="eastAsia" w:eastAsiaTheme="minorEastAsia"/>
          <w:b w:val="0"/>
          <w:bCs w:val="0"/>
          <w:kern w:val="2"/>
          <w:sz w:val="21"/>
          <w:szCs w:val="21"/>
        </w:rPr>
        <w:t>、</w:t>
      </w:r>
      <w:r>
        <w:fldChar w:fldCharType="begin"/>
      </w:r>
      <w:r>
        <w:instrText xml:space="preserve"> HYPERLINK "http://www.baidu.com/link?url=w3S61SOzkw7WTkY5fdFUyHVBUXA5z9v35OGyphenY_VwiRveDC61pqeRSOykLCTW0gwvjpvs32tSJ6SpvsYPeJ_jWb1tbxchcTEtQcrQD43" \t "_blank" </w:instrText>
      </w:r>
      <w:r>
        <w:fldChar w:fldCharType="separate"/>
      </w:r>
      <w:r>
        <w:rPr>
          <w:rFonts w:eastAsiaTheme="minorEastAsia"/>
          <w:b w:val="0"/>
          <w:bCs w:val="0"/>
          <w:kern w:val="2"/>
          <w:sz w:val="21"/>
          <w:szCs w:val="21"/>
        </w:rPr>
        <w:t>江西南氏锂电新材料有限公司</w:t>
      </w:r>
      <w:r>
        <w:rPr>
          <w:rFonts w:eastAsiaTheme="minorEastAsia"/>
          <w:b w:val="0"/>
          <w:bCs w:val="0"/>
          <w:kern w:val="2"/>
          <w:sz w:val="21"/>
          <w:szCs w:val="21"/>
        </w:rPr>
        <w:fldChar w:fldCharType="end"/>
      </w:r>
      <w:r>
        <w:rPr>
          <w:rFonts w:hint="eastAsia" w:eastAsiaTheme="minorEastAsia"/>
          <w:b w:val="0"/>
          <w:bCs w:val="0"/>
          <w:kern w:val="2"/>
          <w:sz w:val="21"/>
          <w:szCs w:val="21"/>
        </w:rPr>
        <w:t>、</w:t>
      </w:r>
      <w:r>
        <w:fldChar w:fldCharType="begin"/>
      </w:r>
      <w:r>
        <w:instrText xml:space="preserve"> HYPERLINK "http://www.baidu.com/link?url=AfOs9lDjrUbLV5xUviK0TsIv38EYP3kF3ZGDgeY15RQcf-oFfADgJVRcDMBTkvPl" \t "_blank" </w:instrText>
      </w:r>
      <w:r>
        <w:fldChar w:fldCharType="separate"/>
      </w:r>
      <w:r>
        <w:rPr>
          <w:rFonts w:eastAsiaTheme="minorEastAsia"/>
          <w:b w:val="0"/>
          <w:bCs w:val="0"/>
          <w:kern w:val="2"/>
          <w:sz w:val="21"/>
          <w:szCs w:val="21"/>
        </w:rPr>
        <w:t>四川雅化实业集团股份有限公司</w:t>
      </w:r>
      <w:r>
        <w:rPr>
          <w:rFonts w:eastAsiaTheme="minorEastAsia"/>
          <w:b w:val="0"/>
          <w:bCs w:val="0"/>
          <w:kern w:val="2"/>
          <w:sz w:val="21"/>
          <w:szCs w:val="21"/>
        </w:rPr>
        <w:fldChar w:fldCharType="end"/>
      </w:r>
      <w:r>
        <w:rPr>
          <w:rFonts w:hint="eastAsia" w:eastAsiaTheme="minorEastAsia"/>
          <w:b w:val="0"/>
          <w:bCs w:val="0"/>
          <w:kern w:val="2"/>
          <w:sz w:val="21"/>
          <w:szCs w:val="21"/>
        </w:rPr>
        <w:t>、</w:t>
      </w:r>
      <w:r>
        <w:fldChar w:fldCharType="begin"/>
      </w:r>
      <w:r>
        <w:instrText xml:space="preserve"> HYPERLINK "http://www.baidu.com/link?url=w86L014RsagYqBvSsOK3saCZtU4CQdR8M4hM-ApidfO" \t "_blank" </w:instrText>
      </w:r>
      <w:r>
        <w:fldChar w:fldCharType="separate"/>
      </w:r>
      <w:r>
        <w:rPr>
          <w:rFonts w:eastAsiaTheme="minorEastAsia"/>
          <w:b w:val="0"/>
          <w:bCs w:val="0"/>
          <w:kern w:val="2"/>
          <w:sz w:val="21"/>
          <w:szCs w:val="21"/>
        </w:rPr>
        <w:t>江苏容汇通用锂业股份有限公司</w:t>
      </w:r>
      <w:r>
        <w:rPr>
          <w:rFonts w:eastAsiaTheme="minorEastAsia"/>
          <w:b w:val="0"/>
          <w:bCs w:val="0"/>
          <w:kern w:val="2"/>
          <w:sz w:val="21"/>
          <w:szCs w:val="21"/>
        </w:rPr>
        <w:fldChar w:fldCharType="end"/>
      </w:r>
      <w:r>
        <w:rPr>
          <w:rFonts w:hint="eastAsia" w:eastAsiaTheme="minorEastAsia"/>
          <w:b w:val="0"/>
          <w:bCs w:val="0"/>
          <w:kern w:val="2"/>
          <w:sz w:val="21"/>
          <w:szCs w:val="21"/>
        </w:rPr>
        <w:t>、浙江衢州永正锂电科技有限公司</w:t>
      </w:r>
      <w:r>
        <w:rPr>
          <w:rFonts w:hint="eastAsia" w:eastAsiaTheme="minorEastAsia"/>
          <w:b w:val="0"/>
          <w:kern w:val="2"/>
          <w:sz w:val="21"/>
          <w:szCs w:val="21"/>
        </w:rPr>
        <w:t>、宜春银锂新能源有限责任公司</w:t>
      </w:r>
      <w:r>
        <w:rPr>
          <w:rFonts w:hint="eastAsia"/>
          <w:b w:val="0"/>
          <w:kern w:val="2"/>
          <w:sz w:val="21"/>
          <w:szCs w:val="21"/>
          <w:lang w:eastAsia="zh-CN"/>
        </w:rPr>
        <w:t>等多家锂盐制造生产企业以及</w:t>
      </w:r>
      <w:r>
        <w:rPr>
          <w:rFonts w:hint="eastAsia" w:ascii="宋体" w:hAnsi="宋体" w:eastAsia="宋体" w:cs="Times New Roman"/>
          <w:sz w:val="21"/>
          <w:szCs w:val="21"/>
          <w:lang w:val="en-US" w:eastAsia="zh-CN"/>
        </w:rPr>
        <w:t>江西赣锋循环科技有限公司、</w:t>
      </w:r>
      <w:r>
        <w:fldChar w:fldCharType="begin"/>
      </w:r>
      <w:r>
        <w:instrText xml:space="preserve"> HYPERLINK "http://www.baidu.com/link?url=naMA4HvNXtmOaXsPHnH3ZiRNwAXLXzKTH8_XBkVavwPCABkKVixA1zjxsfNvK08O" \t "_blank" </w:instrText>
      </w:r>
      <w:r>
        <w:fldChar w:fldCharType="separate"/>
      </w:r>
      <w:r>
        <w:rPr>
          <w:rFonts w:eastAsiaTheme="minorEastAsia"/>
          <w:b w:val="0"/>
          <w:kern w:val="2"/>
          <w:sz w:val="21"/>
          <w:szCs w:val="21"/>
        </w:rPr>
        <w:t>广东邦普循环科技有限公司</w:t>
      </w:r>
      <w:r>
        <w:rPr>
          <w:rFonts w:eastAsiaTheme="minorEastAsia"/>
          <w:b w:val="0"/>
          <w:kern w:val="2"/>
          <w:sz w:val="21"/>
          <w:szCs w:val="21"/>
        </w:rPr>
        <w:fldChar w:fldCharType="end"/>
      </w:r>
      <w:r>
        <w:rPr>
          <w:rFonts w:hint="eastAsia"/>
          <w:b w:val="0"/>
          <w:kern w:val="2"/>
          <w:sz w:val="21"/>
          <w:szCs w:val="21"/>
          <w:lang w:eastAsia="zh-CN"/>
        </w:rPr>
        <w:t>等电池、废料回收单位就本标准的征求意见稿进行了讨论。</w:t>
      </w:r>
    </w:p>
    <w:p>
      <w:pPr>
        <w:pStyle w:val="22"/>
        <w:spacing w:line="360" w:lineRule="auto"/>
        <w:ind w:firstLine="420"/>
        <w:contextualSpacing/>
        <w:rPr>
          <w:rFonts w:hint="eastAsia" w:ascii="Times New Roman"/>
          <w:szCs w:val="21"/>
        </w:rPr>
      </w:pPr>
      <w:r>
        <w:rPr>
          <w:rFonts w:hint="eastAsia"/>
          <w:b w:val="0"/>
          <w:kern w:val="2"/>
          <w:sz w:val="21"/>
          <w:szCs w:val="21"/>
          <w:lang w:val="en-US" w:eastAsia="zh-CN"/>
        </w:rPr>
        <w:t>2019年6月～9月，</w:t>
      </w:r>
      <w:r>
        <w:rPr>
          <w:rFonts w:hint="eastAsia" w:ascii="宋体" w:hAnsi="宋体" w:eastAsia="宋体" w:cs="Times New Roman"/>
          <w:sz w:val="21"/>
          <w:szCs w:val="21"/>
        </w:rPr>
        <w:t>标准编制工作组</w:t>
      </w:r>
      <w:r>
        <w:rPr>
          <w:rFonts w:hint="eastAsia" w:ascii="宋体" w:hAnsi="宋体" w:eastAsia="宋体" w:cs="Times New Roman"/>
          <w:sz w:val="21"/>
          <w:szCs w:val="21"/>
          <w:lang w:eastAsia="zh-CN"/>
        </w:rPr>
        <w:t>根据宜春会议讨论情况，并结合各家生产单位提出的意见和建议，整理后形成《绿色设计产品评价技术规范</w:t>
      </w:r>
      <w:r>
        <w:rPr>
          <w:rFonts w:hint="eastAsia" w:ascii="宋体" w:hAnsi="宋体" w:eastAsia="宋体" w:cs="Times New Roman"/>
          <w:sz w:val="21"/>
          <w:szCs w:val="21"/>
          <w:lang w:val="en-US" w:eastAsia="zh-CN"/>
        </w:rPr>
        <w:t xml:space="preserve"> 锂》协会标准的预审稿。</w:t>
      </w:r>
    </w:p>
    <w:p>
      <w:pPr>
        <w:pStyle w:val="29"/>
        <w:numPr>
          <w:ilvl w:val="0"/>
          <w:numId w:val="2"/>
        </w:numPr>
        <w:tabs>
          <w:tab w:val="left" w:pos="426"/>
        </w:tabs>
        <w:spacing w:beforeLines="100" w:afterLines="100"/>
        <w:ind w:hangingChars="200"/>
        <w:jc w:val="left"/>
        <w:rPr>
          <w:rFonts w:ascii="Times New Roman"/>
          <w:sz w:val="24"/>
          <w:szCs w:val="24"/>
        </w:rPr>
      </w:pPr>
      <w:bookmarkStart w:id="12" w:name="_Toc497309525"/>
      <w:bookmarkStart w:id="13" w:name="_Toc508959273"/>
      <w:r>
        <w:rPr>
          <w:rFonts w:hint="eastAsia" w:ascii="Times New Roman"/>
          <w:sz w:val="24"/>
          <w:szCs w:val="24"/>
        </w:rPr>
        <w:t>标准编制原则和确定标准主要内容</w:t>
      </w:r>
      <w:bookmarkEnd w:id="12"/>
      <w:bookmarkEnd w:id="13"/>
    </w:p>
    <w:p>
      <w:pPr>
        <w:rPr>
          <w:rFonts w:ascii="黑体" w:hAnsi="黑体" w:eastAsia="黑体"/>
          <w:b/>
          <w:sz w:val="24"/>
          <w:szCs w:val="24"/>
        </w:rPr>
      </w:pPr>
      <w:r>
        <w:rPr>
          <w:rFonts w:hint="eastAsia" w:ascii="黑体" w:hAnsi="黑体" w:eastAsia="黑体"/>
          <w:b/>
          <w:sz w:val="24"/>
          <w:szCs w:val="24"/>
        </w:rPr>
        <w:t>（一）编制原则</w:t>
      </w:r>
    </w:p>
    <w:p>
      <w:pPr>
        <w:spacing w:line="360" w:lineRule="auto"/>
        <w:ind w:firstLine="420" w:firstLineChars="200"/>
        <w:rPr>
          <w:rFonts w:ascii="Times New Roman" w:hAnsi="Times New Roman"/>
          <w:szCs w:val="21"/>
        </w:rPr>
      </w:pPr>
      <w:r>
        <w:rPr>
          <w:rFonts w:ascii="Times New Roman" w:hAnsi="Times New Roman"/>
          <w:szCs w:val="21"/>
        </w:rPr>
        <w:t>1.</w:t>
      </w:r>
      <w:r>
        <w:rPr>
          <w:rFonts w:ascii="Times New Roman" w:hAnsi="Times New Roman"/>
          <w:kern w:val="0"/>
          <w:szCs w:val="21"/>
        </w:rPr>
        <w:t xml:space="preserve"> </w:t>
      </w:r>
      <w:r>
        <w:rPr>
          <w:rFonts w:hint="eastAsia" w:ascii="Times New Roman" w:hAnsi="宋体"/>
          <w:kern w:val="0"/>
          <w:szCs w:val="21"/>
        </w:rPr>
        <w:t>实用性。本标准评价的产品是符合国标</w:t>
      </w:r>
      <w:r>
        <w:rPr>
          <w:rFonts w:ascii="Times New Roman" w:hAnsi="Times New Roman"/>
          <w:kern w:val="0"/>
          <w:szCs w:val="21"/>
        </w:rPr>
        <w:t>GB/T</w:t>
      </w:r>
      <w:r>
        <w:rPr>
          <w:rFonts w:hint="eastAsia" w:ascii="Times New Roman" w:hAnsi="Times New Roman"/>
          <w:kern w:val="0"/>
          <w:szCs w:val="21"/>
        </w:rPr>
        <w:t xml:space="preserve"> 4369</w:t>
      </w:r>
      <w:r>
        <w:rPr>
          <w:rFonts w:hint="eastAsia" w:ascii="Times New Roman" w:hAnsi="宋体"/>
          <w:kern w:val="0"/>
          <w:szCs w:val="21"/>
        </w:rPr>
        <w:t>的锂，</w:t>
      </w:r>
      <w:r>
        <w:rPr>
          <w:rFonts w:hint="eastAsia" w:ascii="Times New Roman" w:hAnsi="宋体"/>
          <w:szCs w:val="21"/>
        </w:rPr>
        <w:t>包括</w:t>
      </w:r>
      <w:r>
        <w:rPr>
          <w:rFonts w:hint="eastAsia" w:ascii="Times New Roman" w:hAnsi="Times New Roman"/>
          <w:szCs w:val="21"/>
        </w:rPr>
        <w:t>Li—1（</w:t>
      </w:r>
      <w:r>
        <w:rPr>
          <w:rFonts w:ascii="Times New Roman" w:hAnsi="Times New Roman"/>
          <w:szCs w:val="21"/>
        </w:rPr>
        <w:t>99.9</w:t>
      </w:r>
      <w:r>
        <w:rPr>
          <w:rFonts w:hint="eastAsia" w:ascii="Times New Roman" w:hAnsi="Times New Roman"/>
          <w:szCs w:val="21"/>
        </w:rPr>
        <w:t>9）</w:t>
      </w:r>
      <w:r>
        <w:rPr>
          <w:rFonts w:hint="eastAsia" w:ascii="Times New Roman" w:hAnsi="宋体"/>
          <w:szCs w:val="21"/>
        </w:rPr>
        <w:t>、</w:t>
      </w:r>
      <w:r>
        <w:rPr>
          <w:rFonts w:hint="eastAsia" w:ascii="Times New Roman" w:hAnsi="Times New Roman"/>
          <w:szCs w:val="21"/>
        </w:rPr>
        <w:t>Li—2（</w:t>
      </w:r>
      <w:r>
        <w:rPr>
          <w:rFonts w:ascii="Times New Roman" w:hAnsi="Times New Roman"/>
          <w:szCs w:val="21"/>
        </w:rPr>
        <w:t>99.9</w:t>
      </w:r>
      <w:r>
        <w:rPr>
          <w:rFonts w:hint="eastAsia" w:ascii="Times New Roman" w:hAnsi="Times New Roman"/>
          <w:szCs w:val="21"/>
        </w:rPr>
        <w:t>5）</w:t>
      </w:r>
      <w:r>
        <w:rPr>
          <w:rFonts w:hint="eastAsia" w:ascii="Times New Roman" w:hAnsi="宋体"/>
          <w:szCs w:val="21"/>
        </w:rPr>
        <w:t>、</w:t>
      </w:r>
      <w:r>
        <w:rPr>
          <w:rFonts w:hint="eastAsia" w:ascii="Times New Roman" w:hAnsi="Times New Roman"/>
          <w:szCs w:val="21"/>
        </w:rPr>
        <w:t>Li—3（</w:t>
      </w:r>
      <w:r>
        <w:rPr>
          <w:rFonts w:ascii="Times New Roman" w:hAnsi="Times New Roman"/>
          <w:szCs w:val="21"/>
        </w:rPr>
        <w:t>99.9</w:t>
      </w:r>
      <w:r>
        <w:rPr>
          <w:rFonts w:hint="eastAsia" w:ascii="Times New Roman" w:hAnsi="Times New Roman"/>
          <w:szCs w:val="21"/>
        </w:rPr>
        <w:t>0）</w:t>
      </w:r>
      <w:r>
        <w:rPr>
          <w:rFonts w:hint="eastAsia" w:ascii="Times New Roman" w:hAnsi="宋体"/>
          <w:szCs w:val="21"/>
        </w:rPr>
        <w:t>、</w:t>
      </w:r>
      <w:r>
        <w:rPr>
          <w:rFonts w:hint="eastAsia" w:ascii="Times New Roman" w:hAnsi="Times New Roman"/>
          <w:szCs w:val="21"/>
        </w:rPr>
        <w:t>Li—4（</w:t>
      </w:r>
      <w:r>
        <w:rPr>
          <w:rFonts w:ascii="Times New Roman" w:hAnsi="Times New Roman"/>
          <w:szCs w:val="21"/>
        </w:rPr>
        <w:t>99.</w:t>
      </w:r>
      <w:r>
        <w:rPr>
          <w:rFonts w:hint="eastAsia" w:ascii="Times New Roman" w:hAnsi="Times New Roman"/>
          <w:szCs w:val="21"/>
        </w:rPr>
        <w:t>00）</w:t>
      </w:r>
      <w:r>
        <w:rPr>
          <w:rFonts w:hint="eastAsia" w:ascii="Times New Roman" w:hAnsi="宋体"/>
          <w:szCs w:val="21"/>
        </w:rPr>
        <w:t>、</w:t>
      </w:r>
      <w:r>
        <w:rPr>
          <w:rFonts w:hint="eastAsia" w:ascii="Times New Roman" w:hAnsi="Times New Roman"/>
          <w:szCs w:val="21"/>
        </w:rPr>
        <w:t>Li—5（</w:t>
      </w:r>
      <w:r>
        <w:rPr>
          <w:rFonts w:ascii="Times New Roman" w:hAnsi="Times New Roman"/>
          <w:szCs w:val="21"/>
        </w:rPr>
        <w:t>9</w:t>
      </w: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50）</w:t>
      </w:r>
      <w:r>
        <w:rPr>
          <w:rFonts w:hint="eastAsia" w:ascii="Times New Roman" w:hAnsi="宋体"/>
          <w:szCs w:val="21"/>
        </w:rPr>
        <w:t>、</w:t>
      </w:r>
      <w:r>
        <w:rPr>
          <w:rFonts w:hint="eastAsia" w:ascii="Times New Roman" w:hAnsi="Times New Roman"/>
          <w:szCs w:val="21"/>
        </w:rPr>
        <w:t>Li—6（</w:t>
      </w:r>
      <w:r>
        <w:rPr>
          <w:rFonts w:ascii="Times New Roman" w:hAnsi="Times New Roman"/>
          <w:szCs w:val="21"/>
        </w:rPr>
        <w:t>9</w:t>
      </w: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50）</w:t>
      </w:r>
      <w:r>
        <w:rPr>
          <w:rFonts w:hint="eastAsia" w:ascii="Times New Roman" w:hAnsi="宋体"/>
          <w:szCs w:val="21"/>
        </w:rPr>
        <w:t>，包含了我国锂产品的绝大部分，符合实用性要求。</w:t>
      </w:r>
    </w:p>
    <w:p>
      <w:pPr>
        <w:spacing w:line="360" w:lineRule="auto"/>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宋体"/>
          <w:szCs w:val="21"/>
        </w:rPr>
        <w:t>科学性。对于锂产品生命周期中影响环境的主要指标均列出，并进行分类评价，能够科学反映锂产品对环境造成的综合影响。</w:t>
      </w:r>
    </w:p>
    <w:p>
      <w:pPr>
        <w:spacing w:line="360" w:lineRule="auto"/>
        <w:ind w:firstLine="420" w:firstLineChars="200"/>
        <w:rPr>
          <w:rFonts w:ascii="Times New Roman" w:hAnsi="宋体"/>
          <w:szCs w:val="21"/>
        </w:rPr>
      </w:pPr>
      <w:r>
        <w:rPr>
          <w:rFonts w:ascii="Times New Roman" w:hAnsi="Times New Roman"/>
          <w:szCs w:val="21"/>
        </w:rPr>
        <w:t xml:space="preserve">3. </w:t>
      </w:r>
      <w:r>
        <w:rPr>
          <w:rFonts w:hint="eastAsia" w:ascii="Times New Roman" w:hAnsi="宋体"/>
          <w:szCs w:val="21"/>
        </w:rPr>
        <w:t>先进性。本标准中的评价指标主要选取行业的先进值，具体来说是处于顶部的</w:t>
      </w:r>
      <w:r>
        <w:rPr>
          <w:rFonts w:ascii="Times New Roman" w:hAnsi="宋体"/>
          <w:szCs w:val="21"/>
        </w:rPr>
        <w:t>20%</w:t>
      </w:r>
      <w:r>
        <w:rPr>
          <w:rFonts w:hint="eastAsia" w:ascii="Times New Roman" w:hAnsi="宋体"/>
          <w:szCs w:val="21"/>
        </w:rPr>
        <w:t xml:space="preserve">产能所代表的先进水平，符合先进性原则，同时对现有企业技术进步有很好地促进作用。 </w:t>
      </w:r>
    </w:p>
    <w:p>
      <w:pPr>
        <w:spacing w:line="360" w:lineRule="auto"/>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宋体"/>
          <w:szCs w:val="21"/>
        </w:rPr>
        <w:t>可操作性。对于标准中提及的评价指标、数据来源及确定等事项，均在附录中进行详细说明，具有可操作性。</w:t>
      </w:r>
    </w:p>
    <w:p>
      <w:pPr>
        <w:rPr>
          <w:rFonts w:ascii="黑体" w:hAnsi="黑体" w:eastAsia="黑体"/>
          <w:b/>
          <w:sz w:val="24"/>
          <w:szCs w:val="24"/>
        </w:rPr>
      </w:pPr>
      <w:r>
        <w:rPr>
          <w:rFonts w:hint="eastAsia" w:ascii="黑体" w:hAnsi="黑体" w:eastAsia="黑体"/>
          <w:b/>
          <w:sz w:val="24"/>
          <w:szCs w:val="24"/>
        </w:rPr>
        <w:t>（二）确定标准主要内容</w:t>
      </w:r>
    </w:p>
    <w:p>
      <w:pPr>
        <w:spacing w:line="360" w:lineRule="auto"/>
        <w:rPr>
          <w:b/>
          <w:sz w:val="24"/>
          <w:szCs w:val="24"/>
        </w:rPr>
      </w:pPr>
      <w:r>
        <w:rPr>
          <w:b/>
          <w:sz w:val="24"/>
          <w:szCs w:val="24"/>
        </w:rPr>
        <w:t xml:space="preserve">1. </w:t>
      </w:r>
      <w:r>
        <w:rPr>
          <w:rFonts w:hint="eastAsia"/>
          <w:b/>
          <w:sz w:val="24"/>
          <w:szCs w:val="24"/>
        </w:rPr>
        <w:t>范围</w:t>
      </w:r>
    </w:p>
    <w:p>
      <w:pPr>
        <w:spacing w:line="360" w:lineRule="auto"/>
        <w:ind w:firstLine="420" w:firstLineChars="200"/>
        <w:rPr>
          <w:rFonts w:ascii="Times New Roman" w:hAnsi="Times New Roman"/>
          <w:szCs w:val="21"/>
        </w:rPr>
      </w:pPr>
      <w:r>
        <w:rPr>
          <w:rFonts w:hint="eastAsia" w:ascii="Times New Roman"/>
          <w:szCs w:val="21"/>
        </w:rPr>
        <w:t>本标准适用于锂的绿色设计产品评价。</w:t>
      </w:r>
    </w:p>
    <w:p>
      <w:pPr>
        <w:spacing w:line="360" w:lineRule="auto"/>
        <w:ind w:firstLine="420" w:firstLineChars="200"/>
        <w:rPr>
          <w:rFonts w:ascii="Times New Roman" w:hAnsi="Times New Roman"/>
          <w:szCs w:val="21"/>
        </w:rPr>
      </w:pPr>
      <w:r>
        <w:rPr>
          <w:rFonts w:hint="eastAsia" w:ascii="Times New Roman" w:hAnsi="宋体"/>
          <w:kern w:val="0"/>
          <w:szCs w:val="21"/>
        </w:rPr>
        <w:t>锂产品要符合国标</w:t>
      </w:r>
      <w:r>
        <w:rPr>
          <w:rFonts w:ascii="Times New Roman" w:hAnsi="Times New Roman"/>
          <w:kern w:val="0"/>
          <w:szCs w:val="21"/>
        </w:rPr>
        <w:t>GB/T</w:t>
      </w:r>
      <w:r>
        <w:rPr>
          <w:rFonts w:hint="eastAsia" w:ascii="Times New Roman" w:hAnsi="Times New Roman"/>
          <w:kern w:val="0"/>
          <w:szCs w:val="21"/>
        </w:rPr>
        <w:t xml:space="preserve"> 4369</w:t>
      </w:r>
      <w:r>
        <w:rPr>
          <w:rFonts w:hint="eastAsia" w:ascii="Times New Roman" w:hAnsi="宋体"/>
          <w:kern w:val="0"/>
          <w:szCs w:val="21"/>
        </w:rPr>
        <w:t>的锂，</w:t>
      </w:r>
      <w:r>
        <w:rPr>
          <w:rFonts w:hint="eastAsia" w:ascii="Times New Roman" w:hAnsi="宋体"/>
          <w:szCs w:val="21"/>
        </w:rPr>
        <w:t>包括</w:t>
      </w:r>
      <w:r>
        <w:rPr>
          <w:rFonts w:hint="eastAsia" w:ascii="Times New Roman" w:hAnsi="Times New Roman"/>
          <w:szCs w:val="21"/>
        </w:rPr>
        <w:t>Li—1（</w:t>
      </w:r>
      <w:r>
        <w:rPr>
          <w:rFonts w:ascii="Times New Roman" w:hAnsi="Times New Roman"/>
          <w:szCs w:val="21"/>
        </w:rPr>
        <w:t>99.9</w:t>
      </w:r>
      <w:r>
        <w:rPr>
          <w:rFonts w:hint="eastAsia" w:ascii="Times New Roman" w:hAnsi="Times New Roman"/>
          <w:szCs w:val="21"/>
        </w:rPr>
        <w:t>9）</w:t>
      </w:r>
      <w:r>
        <w:rPr>
          <w:rFonts w:hint="eastAsia" w:ascii="Times New Roman" w:hAnsi="宋体"/>
          <w:szCs w:val="21"/>
        </w:rPr>
        <w:t>、</w:t>
      </w:r>
      <w:r>
        <w:rPr>
          <w:rFonts w:hint="eastAsia" w:ascii="Times New Roman" w:hAnsi="Times New Roman"/>
          <w:szCs w:val="21"/>
        </w:rPr>
        <w:t>Li—2（</w:t>
      </w:r>
      <w:r>
        <w:rPr>
          <w:rFonts w:ascii="Times New Roman" w:hAnsi="Times New Roman"/>
          <w:szCs w:val="21"/>
        </w:rPr>
        <w:t>99.9</w:t>
      </w:r>
      <w:r>
        <w:rPr>
          <w:rFonts w:hint="eastAsia" w:ascii="Times New Roman" w:hAnsi="Times New Roman"/>
          <w:szCs w:val="21"/>
        </w:rPr>
        <w:t>5）</w:t>
      </w:r>
      <w:r>
        <w:rPr>
          <w:rFonts w:hint="eastAsia" w:ascii="Times New Roman" w:hAnsi="宋体"/>
          <w:szCs w:val="21"/>
        </w:rPr>
        <w:t>、</w:t>
      </w:r>
      <w:r>
        <w:rPr>
          <w:rFonts w:hint="eastAsia" w:ascii="Times New Roman" w:hAnsi="Times New Roman"/>
          <w:szCs w:val="21"/>
        </w:rPr>
        <w:t>Li—3（</w:t>
      </w:r>
      <w:r>
        <w:rPr>
          <w:rFonts w:ascii="Times New Roman" w:hAnsi="Times New Roman"/>
          <w:szCs w:val="21"/>
        </w:rPr>
        <w:t>99.9</w:t>
      </w:r>
      <w:r>
        <w:rPr>
          <w:rFonts w:hint="eastAsia" w:ascii="Times New Roman" w:hAnsi="Times New Roman"/>
          <w:szCs w:val="21"/>
        </w:rPr>
        <w:t>0）</w:t>
      </w:r>
      <w:r>
        <w:rPr>
          <w:rFonts w:hint="eastAsia" w:ascii="Times New Roman" w:hAnsi="宋体"/>
          <w:szCs w:val="21"/>
        </w:rPr>
        <w:t>、</w:t>
      </w:r>
      <w:r>
        <w:rPr>
          <w:rFonts w:hint="eastAsia" w:ascii="Times New Roman" w:hAnsi="Times New Roman"/>
          <w:szCs w:val="21"/>
        </w:rPr>
        <w:t>Li—4（</w:t>
      </w:r>
      <w:r>
        <w:rPr>
          <w:rFonts w:ascii="Times New Roman" w:hAnsi="Times New Roman"/>
          <w:szCs w:val="21"/>
        </w:rPr>
        <w:t>99.</w:t>
      </w:r>
      <w:r>
        <w:rPr>
          <w:rFonts w:hint="eastAsia" w:ascii="Times New Roman" w:hAnsi="Times New Roman"/>
          <w:szCs w:val="21"/>
        </w:rPr>
        <w:t>00）</w:t>
      </w:r>
      <w:r>
        <w:rPr>
          <w:rFonts w:hint="eastAsia" w:ascii="Times New Roman" w:hAnsi="宋体"/>
          <w:szCs w:val="21"/>
        </w:rPr>
        <w:t>、</w:t>
      </w:r>
      <w:r>
        <w:rPr>
          <w:rFonts w:hint="eastAsia" w:ascii="Times New Roman" w:hAnsi="Times New Roman"/>
          <w:szCs w:val="21"/>
        </w:rPr>
        <w:t>Li—5（</w:t>
      </w:r>
      <w:r>
        <w:rPr>
          <w:rFonts w:ascii="Times New Roman" w:hAnsi="Times New Roman"/>
          <w:szCs w:val="21"/>
        </w:rPr>
        <w:t>9</w:t>
      </w: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50）</w:t>
      </w:r>
      <w:r>
        <w:rPr>
          <w:rFonts w:hint="eastAsia" w:ascii="Times New Roman" w:hAnsi="宋体"/>
          <w:szCs w:val="21"/>
        </w:rPr>
        <w:t>、</w:t>
      </w:r>
      <w:r>
        <w:rPr>
          <w:rFonts w:hint="eastAsia" w:ascii="Times New Roman" w:hAnsi="Times New Roman"/>
          <w:szCs w:val="21"/>
        </w:rPr>
        <w:t>Li—6（</w:t>
      </w:r>
      <w:r>
        <w:rPr>
          <w:rFonts w:ascii="Times New Roman" w:hAnsi="Times New Roman"/>
          <w:szCs w:val="21"/>
        </w:rPr>
        <w:t>9</w:t>
      </w: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50）</w:t>
      </w:r>
      <w:r>
        <w:rPr>
          <w:rFonts w:hint="eastAsia" w:ascii="Times New Roman" w:hAnsi="宋体"/>
          <w:szCs w:val="21"/>
        </w:rPr>
        <w:t>六种产品规格，即采用LiCl—KCl熔盐生产的锂和二次物料综合回收生产的锂均可以申请评价。</w:t>
      </w:r>
    </w:p>
    <w:p>
      <w:pPr>
        <w:spacing w:line="360" w:lineRule="auto"/>
        <w:rPr>
          <w:b/>
          <w:sz w:val="24"/>
          <w:szCs w:val="24"/>
        </w:rPr>
      </w:pPr>
      <w:r>
        <w:rPr>
          <w:b/>
          <w:sz w:val="24"/>
          <w:szCs w:val="24"/>
        </w:rPr>
        <w:t xml:space="preserve">2. </w:t>
      </w:r>
      <w:r>
        <w:rPr>
          <w:rFonts w:hint="eastAsia"/>
          <w:b/>
          <w:sz w:val="24"/>
          <w:szCs w:val="24"/>
        </w:rPr>
        <w:t>规范性引用文件</w:t>
      </w:r>
    </w:p>
    <w:p>
      <w:pPr>
        <w:spacing w:line="360" w:lineRule="auto"/>
        <w:ind w:firstLine="420" w:firstLineChars="200"/>
        <w:rPr>
          <w:rFonts w:ascii="Times New Roman"/>
          <w:szCs w:val="21"/>
        </w:rPr>
      </w:pPr>
      <w:r>
        <w:rPr>
          <w:rFonts w:hint="eastAsia" w:ascii="Times New Roman"/>
          <w:szCs w:val="21"/>
        </w:rPr>
        <w:t>本标准引用的文件涉及锂行业准入、产品质量、产品生产过程各个方面的管理要求、污染物排放及分析检测方法等方面的要求，文件有：</w:t>
      </w:r>
    </w:p>
    <w:tbl>
      <w:tblPr>
        <w:tblStyle w:val="17"/>
        <w:tblW w:w="8966" w:type="dxa"/>
        <w:tblInd w:w="250" w:type="dxa"/>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
      <w:tblGrid>
        <w:gridCol w:w="2977"/>
        <w:gridCol w:w="5989"/>
      </w:tblGrid>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PrEx>
        <w:tc>
          <w:tcPr>
            <w:tcW w:w="2977" w:type="dxa"/>
          </w:tcPr>
          <w:p>
            <w:pPr>
              <w:jc w:val="left"/>
              <w:rPr>
                <w:szCs w:val="21"/>
              </w:rPr>
            </w:pPr>
            <w:r>
              <w:rPr>
                <w:szCs w:val="21"/>
              </w:rPr>
              <w:t xml:space="preserve">GB/T </w:t>
            </w:r>
            <w:r>
              <w:rPr>
                <w:rFonts w:hint="eastAsia"/>
                <w:szCs w:val="21"/>
              </w:rPr>
              <w:t>4369</w:t>
            </w:r>
          </w:p>
        </w:tc>
        <w:tc>
          <w:tcPr>
            <w:tcW w:w="5989" w:type="dxa"/>
          </w:tcPr>
          <w:p>
            <w:pPr>
              <w:jc w:val="left"/>
              <w:rPr>
                <w:szCs w:val="21"/>
              </w:rPr>
            </w:pPr>
            <w:r>
              <w:rPr>
                <w:rFonts w:hint="eastAsia"/>
                <w:szCs w:val="21"/>
              </w:rPr>
              <w:t>锂</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PrEx>
        <w:tc>
          <w:tcPr>
            <w:tcW w:w="2977" w:type="dxa"/>
            <w:textDirection w:val="lrTb"/>
            <w:vAlign w:val="top"/>
          </w:tcPr>
          <w:p>
            <w:pPr>
              <w:jc w:val="left"/>
              <w:rPr>
                <w:szCs w:val="21"/>
              </w:rPr>
            </w:pPr>
            <w:r>
              <w:rPr>
                <w:rFonts w:hint="eastAsia" w:ascii="宋体" w:cs="宋体"/>
                <w:szCs w:val="21"/>
              </w:rPr>
              <w:t>GB</w:t>
            </w:r>
            <w:r>
              <w:rPr>
                <w:rFonts w:hint="eastAsia" w:ascii="宋体" w:cs="宋体"/>
                <w:szCs w:val="21"/>
                <w:lang w:val="en-US" w:eastAsia="zh-CN"/>
              </w:rPr>
              <w:t xml:space="preserve"> </w:t>
            </w:r>
            <w:r>
              <w:rPr>
                <w:rFonts w:hint="eastAsia" w:ascii="宋体" w:cs="宋体"/>
                <w:szCs w:val="21"/>
              </w:rPr>
              <w:t>8978</w:t>
            </w:r>
          </w:p>
        </w:tc>
        <w:tc>
          <w:tcPr>
            <w:tcW w:w="5989" w:type="dxa"/>
            <w:textDirection w:val="lrTb"/>
            <w:vAlign w:val="top"/>
          </w:tcPr>
          <w:p>
            <w:pPr>
              <w:jc w:val="left"/>
              <w:rPr>
                <w:rFonts w:hint="eastAsia"/>
                <w:szCs w:val="21"/>
              </w:rPr>
            </w:pPr>
            <w:r>
              <w:rPr>
                <w:rFonts w:hint="eastAsia"/>
                <w:szCs w:val="21"/>
              </w:rPr>
              <w:t>污水综合排放标准</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rFonts w:hint="eastAsia" w:ascii="宋体" w:cs="宋体"/>
                <w:szCs w:val="21"/>
              </w:rPr>
            </w:pPr>
            <w:r>
              <w:rPr>
                <w:szCs w:val="21"/>
              </w:rPr>
              <w:t xml:space="preserve">GB/T </w:t>
            </w:r>
            <w:r>
              <w:rPr>
                <w:rFonts w:hint="eastAsia"/>
                <w:szCs w:val="21"/>
              </w:rPr>
              <w:t>16157</w:t>
            </w:r>
          </w:p>
        </w:tc>
        <w:tc>
          <w:tcPr>
            <w:tcW w:w="5989" w:type="dxa"/>
            <w:textDirection w:val="lrTb"/>
            <w:vAlign w:val="top"/>
          </w:tcPr>
          <w:p>
            <w:pPr>
              <w:jc w:val="left"/>
              <w:rPr>
                <w:rFonts w:hint="eastAsia"/>
                <w:szCs w:val="21"/>
              </w:rPr>
            </w:pPr>
            <w:r>
              <w:rPr>
                <w:rFonts w:hint="eastAsia"/>
                <w:szCs w:val="21"/>
              </w:rPr>
              <w:t>固定污染源排气中颗粒物测定与气态污染物采样方法</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rFonts w:hint="eastAsia" w:ascii="宋体" w:cs="宋体"/>
                <w:szCs w:val="21"/>
              </w:rPr>
            </w:pPr>
            <w:r>
              <w:rPr>
                <w:szCs w:val="21"/>
              </w:rPr>
              <w:t xml:space="preserve">GB/T </w:t>
            </w:r>
            <w:r>
              <w:rPr>
                <w:rFonts w:hint="eastAsia"/>
                <w:szCs w:val="21"/>
              </w:rPr>
              <w:t>16297</w:t>
            </w:r>
          </w:p>
        </w:tc>
        <w:tc>
          <w:tcPr>
            <w:tcW w:w="5989" w:type="dxa"/>
            <w:textDirection w:val="lrTb"/>
            <w:vAlign w:val="top"/>
          </w:tcPr>
          <w:p>
            <w:pPr>
              <w:jc w:val="left"/>
              <w:rPr>
                <w:rFonts w:hint="eastAsia"/>
                <w:szCs w:val="21"/>
              </w:rPr>
            </w:pPr>
            <w:r>
              <w:rPr>
                <w:rFonts w:hint="eastAsia"/>
                <w:szCs w:val="21"/>
              </w:rPr>
              <w:t>大气污染物综合排放标准</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 17167</w:t>
            </w:r>
          </w:p>
        </w:tc>
        <w:tc>
          <w:tcPr>
            <w:tcW w:w="5989" w:type="dxa"/>
          </w:tcPr>
          <w:p>
            <w:pPr>
              <w:jc w:val="left"/>
              <w:rPr>
                <w:szCs w:val="21"/>
              </w:rPr>
            </w:pPr>
            <w:r>
              <w:rPr>
                <w:rFonts w:hint="eastAsia"/>
                <w:szCs w:val="21"/>
              </w:rPr>
              <w:t>用能单位能源计量器具配比和管理通则</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19001</w:t>
            </w:r>
          </w:p>
        </w:tc>
        <w:tc>
          <w:tcPr>
            <w:tcW w:w="5989" w:type="dxa"/>
          </w:tcPr>
          <w:p>
            <w:pPr>
              <w:jc w:val="left"/>
              <w:rPr>
                <w:szCs w:val="21"/>
              </w:rPr>
            </w:pPr>
            <w:r>
              <w:rPr>
                <w:rFonts w:hint="eastAsia"/>
                <w:szCs w:val="21"/>
              </w:rPr>
              <w:t>质量管理体系</w:t>
            </w:r>
            <w:r>
              <w:rPr>
                <w:szCs w:val="21"/>
              </w:rPr>
              <w:t xml:space="preserve"> </w:t>
            </w:r>
            <w:r>
              <w:rPr>
                <w:rFonts w:hint="eastAsia"/>
                <w:szCs w:val="21"/>
              </w:rPr>
              <w:t>要求</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23331</w:t>
            </w:r>
          </w:p>
        </w:tc>
        <w:tc>
          <w:tcPr>
            <w:tcW w:w="5989" w:type="dxa"/>
          </w:tcPr>
          <w:p>
            <w:pPr>
              <w:jc w:val="left"/>
              <w:rPr>
                <w:szCs w:val="21"/>
              </w:rPr>
            </w:pPr>
            <w:r>
              <w:rPr>
                <w:rFonts w:hint="eastAsia"/>
                <w:szCs w:val="21"/>
              </w:rPr>
              <w:t>能源管理体系</w:t>
            </w:r>
            <w:r>
              <w:rPr>
                <w:szCs w:val="21"/>
              </w:rPr>
              <w:t xml:space="preserve"> </w:t>
            </w:r>
            <w:r>
              <w:rPr>
                <w:rFonts w:hint="eastAsia"/>
                <w:szCs w:val="21"/>
              </w:rPr>
              <w:t>要求</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24001</w:t>
            </w:r>
          </w:p>
        </w:tc>
        <w:tc>
          <w:tcPr>
            <w:tcW w:w="5989" w:type="dxa"/>
          </w:tcPr>
          <w:p>
            <w:pPr>
              <w:jc w:val="left"/>
              <w:rPr>
                <w:szCs w:val="21"/>
              </w:rPr>
            </w:pPr>
            <w:r>
              <w:rPr>
                <w:rFonts w:hint="eastAsia"/>
                <w:szCs w:val="21"/>
              </w:rPr>
              <w:t>环境管理体系</w:t>
            </w:r>
            <w:r>
              <w:rPr>
                <w:szCs w:val="21"/>
              </w:rPr>
              <w:t xml:space="preserve"> </w:t>
            </w:r>
            <w:r>
              <w:rPr>
                <w:rFonts w:hint="eastAsia"/>
                <w:szCs w:val="21"/>
              </w:rPr>
              <w:t>要求及使用指南</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240</w:t>
            </w:r>
            <w:r>
              <w:rPr>
                <w:rFonts w:hint="eastAsia"/>
                <w:szCs w:val="21"/>
              </w:rPr>
              <w:t>20</w:t>
            </w:r>
          </w:p>
        </w:tc>
        <w:tc>
          <w:tcPr>
            <w:tcW w:w="5989" w:type="dxa"/>
          </w:tcPr>
          <w:p>
            <w:pPr>
              <w:jc w:val="left"/>
              <w:rPr>
                <w:szCs w:val="21"/>
              </w:rPr>
            </w:pPr>
            <w:r>
              <w:rPr>
                <w:rFonts w:hint="eastAsia"/>
                <w:szCs w:val="21"/>
              </w:rPr>
              <w:t xml:space="preserve">环境管理环境标志和声明 </w:t>
            </w:r>
            <w:r>
              <w:rPr>
                <w:rFonts w:hint="eastAsia"/>
                <w:szCs w:val="21"/>
                <w:lang w:eastAsia="zh-CN"/>
              </w:rPr>
              <w:t>通用原则</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240</w:t>
            </w:r>
            <w:r>
              <w:rPr>
                <w:rFonts w:hint="eastAsia"/>
                <w:szCs w:val="21"/>
              </w:rPr>
              <w:t>25</w:t>
            </w:r>
          </w:p>
        </w:tc>
        <w:tc>
          <w:tcPr>
            <w:tcW w:w="5989" w:type="dxa"/>
          </w:tcPr>
          <w:p>
            <w:pPr>
              <w:jc w:val="left"/>
              <w:rPr>
                <w:szCs w:val="21"/>
              </w:rPr>
            </w:pPr>
            <w:r>
              <w:rPr>
                <w:rFonts w:hint="eastAsia"/>
                <w:szCs w:val="21"/>
              </w:rPr>
              <w:t>环境标志和声明Ⅲ型环境声明 原则和程序</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24040</w:t>
            </w:r>
          </w:p>
        </w:tc>
        <w:tc>
          <w:tcPr>
            <w:tcW w:w="5989" w:type="dxa"/>
          </w:tcPr>
          <w:p>
            <w:pPr>
              <w:jc w:val="left"/>
              <w:rPr>
                <w:szCs w:val="21"/>
              </w:rPr>
            </w:pPr>
            <w:r>
              <w:rPr>
                <w:rFonts w:hint="eastAsia"/>
                <w:szCs w:val="21"/>
              </w:rPr>
              <w:t>环境管理</w:t>
            </w:r>
            <w:r>
              <w:rPr>
                <w:szCs w:val="21"/>
              </w:rPr>
              <w:t xml:space="preserve"> </w:t>
            </w:r>
            <w:r>
              <w:rPr>
                <w:rFonts w:hint="eastAsia"/>
                <w:szCs w:val="21"/>
              </w:rPr>
              <w:t>生命周期评价</w:t>
            </w:r>
            <w:r>
              <w:rPr>
                <w:szCs w:val="21"/>
              </w:rPr>
              <w:t xml:space="preserve"> </w:t>
            </w:r>
            <w:r>
              <w:rPr>
                <w:rFonts w:hint="eastAsia"/>
                <w:szCs w:val="21"/>
              </w:rPr>
              <w:t>原则与框架</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24044</w:t>
            </w:r>
          </w:p>
        </w:tc>
        <w:tc>
          <w:tcPr>
            <w:tcW w:w="5989" w:type="dxa"/>
          </w:tcPr>
          <w:p>
            <w:pPr>
              <w:jc w:val="left"/>
              <w:rPr>
                <w:szCs w:val="21"/>
              </w:rPr>
            </w:pPr>
            <w:r>
              <w:rPr>
                <w:rFonts w:hint="eastAsia"/>
                <w:szCs w:val="21"/>
              </w:rPr>
              <w:t>环境管理</w:t>
            </w:r>
            <w:r>
              <w:rPr>
                <w:szCs w:val="21"/>
              </w:rPr>
              <w:t xml:space="preserve"> </w:t>
            </w:r>
            <w:r>
              <w:rPr>
                <w:rFonts w:hint="eastAsia"/>
                <w:szCs w:val="21"/>
              </w:rPr>
              <w:t>生命周期评价</w:t>
            </w:r>
            <w:r>
              <w:rPr>
                <w:szCs w:val="21"/>
              </w:rPr>
              <w:t xml:space="preserve"> </w:t>
            </w:r>
            <w:r>
              <w:rPr>
                <w:rFonts w:hint="eastAsia"/>
                <w:szCs w:val="21"/>
              </w:rPr>
              <w:t>要求与指南</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szCs w:val="21"/>
              </w:rPr>
            </w:pPr>
            <w:r>
              <w:rPr>
                <w:szCs w:val="21"/>
              </w:rPr>
              <w:t>GB/T 24</w:t>
            </w:r>
            <w:r>
              <w:rPr>
                <w:rFonts w:hint="eastAsia"/>
                <w:szCs w:val="21"/>
              </w:rPr>
              <w:t>289</w:t>
            </w:r>
          </w:p>
        </w:tc>
        <w:tc>
          <w:tcPr>
            <w:tcW w:w="5989" w:type="dxa"/>
            <w:textDirection w:val="lrTb"/>
            <w:vAlign w:val="top"/>
          </w:tcPr>
          <w:p>
            <w:pPr>
              <w:jc w:val="left"/>
              <w:rPr>
                <w:rFonts w:hint="eastAsia"/>
                <w:szCs w:val="21"/>
              </w:rPr>
            </w:pPr>
            <w:r>
              <w:rPr>
                <w:rFonts w:hint="eastAsia"/>
                <w:szCs w:val="21"/>
              </w:rPr>
              <w:t>用水单位水计量器具配备和管理通则</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szCs w:val="21"/>
              </w:rPr>
            </w:pPr>
            <w:r>
              <w:rPr>
                <w:szCs w:val="21"/>
              </w:rPr>
              <w:t>GB/T</w:t>
            </w:r>
            <w:r>
              <w:rPr>
                <w:rFonts w:hint="eastAsia"/>
                <w:szCs w:val="21"/>
                <w:lang w:val="en-US" w:eastAsia="zh-CN"/>
              </w:rPr>
              <w:t xml:space="preserve"> 26125</w:t>
            </w:r>
          </w:p>
        </w:tc>
        <w:tc>
          <w:tcPr>
            <w:tcW w:w="5989" w:type="dxa"/>
            <w:textDirection w:val="lrTb"/>
            <w:vAlign w:val="top"/>
          </w:tcPr>
          <w:p>
            <w:pPr>
              <w:jc w:val="left"/>
              <w:rPr>
                <w:rFonts w:hint="eastAsia"/>
                <w:szCs w:val="21"/>
              </w:rPr>
            </w:pPr>
            <w:r>
              <w:rPr>
                <w:rFonts w:hint="eastAsia"/>
                <w:szCs w:val="21"/>
                <w:lang w:eastAsia="zh-CN"/>
              </w:rPr>
              <w:t>电子电气产品</w:t>
            </w:r>
            <w:r>
              <w:rPr>
                <w:rFonts w:hint="eastAsia"/>
                <w:szCs w:val="21"/>
                <w:lang w:val="en-US" w:eastAsia="zh-CN"/>
              </w:rPr>
              <w:t xml:space="preserve"> 六种限用物质（铅、汞、镉、六价铬、多溴联苯和多溴二苯醚）的测定</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szCs w:val="21"/>
              </w:rPr>
            </w:pPr>
            <w:r>
              <w:rPr>
                <w:szCs w:val="21"/>
              </w:rPr>
              <w:t>GB/T 28001</w:t>
            </w:r>
          </w:p>
        </w:tc>
        <w:tc>
          <w:tcPr>
            <w:tcW w:w="5989" w:type="dxa"/>
            <w:textDirection w:val="lrTb"/>
            <w:vAlign w:val="top"/>
          </w:tcPr>
          <w:p>
            <w:pPr>
              <w:jc w:val="left"/>
              <w:rPr>
                <w:rFonts w:hint="eastAsia"/>
                <w:szCs w:val="21"/>
              </w:rPr>
            </w:pPr>
            <w:r>
              <w:rPr>
                <w:rFonts w:hint="eastAsia"/>
                <w:szCs w:val="21"/>
              </w:rPr>
              <w:t>职业健康安全管理体系</w:t>
            </w:r>
            <w:r>
              <w:rPr>
                <w:szCs w:val="21"/>
              </w:rPr>
              <w:t xml:space="preserve"> </w:t>
            </w:r>
            <w:r>
              <w:rPr>
                <w:rFonts w:hint="eastAsia"/>
                <w:szCs w:val="21"/>
              </w:rPr>
              <w:t>要求</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szCs w:val="21"/>
              </w:rPr>
            </w:pPr>
            <w:r>
              <w:rPr>
                <w:szCs w:val="21"/>
              </w:rPr>
              <w:t xml:space="preserve">GB </w:t>
            </w:r>
            <w:r>
              <w:rPr>
                <w:rFonts w:hint="eastAsia"/>
                <w:szCs w:val="21"/>
              </w:rPr>
              <w:t>31573</w:t>
            </w:r>
          </w:p>
        </w:tc>
        <w:tc>
          <w:tcPr>
            <w:tcW w:w="5989" w:type="dxa"/>
            <w:textDirection w:val="lrTb"/>
            <w:vAlign w:val="top"/>
          </w:tcPr>
          <w:p>
            <w:pPr>
              <w:jc w:val="left"/>
              <w:rPr>
                <w:rFonts w:hint="eastAsia"/>
                <w:szCs w:val="21"/>
              </w:rPr>
            </w:pPr>
            <w:r>
              <w:rPr>
                <w:rFonts w:hint="eastAsia"/>
                <w:szCs w:val="21"/>
              </w:rPr>
              <w:t>无机化学工业污染物排放标准</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 xml:space="preserve">GB/T </w:t>
            </w:r>
            <w:r>
              <w:rPr>
                <w:rFonts w:hint="eastAsia"/>
                <w:szCs w:val="21"/>
              </w:rPr>
              <w:t>32161</w:t>
            </w:r>
          </w:p>
        </w:tc>
        <w:tc>
          <w:tcPr>
            <w:tcW w:w="5989" w:type="dxa"/>
          </w:tcPr>
          <w:p>
            <w:pPr>
              <w:jc w:val="left"/>
              <w:rPr>
                <w:szCs w:val="21"/>
              </w:rPr>
            </w:pPr>
            <w:r>
              <w:rPr>
                <w:rFonts w:hint="eastAsia"/>
                <w:szCs w:val="21"/>
              </w:rPr>
              <w:t>生态设计产品评价通则</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 xml:space="preserve">GB/T </w:t>
            </w:r>
            <w:r>
              <w:rPr>
                <w:rFonts w:hint="eastAsia"/>
                <w:szCs w:val="21"/>
              </w:rPr>
              <w:t>32162</w:t>
            </w:r>
          </w:p>
        </w:tc>
        <w:tc>
          <w:tcPr>
            <w:tcW w:w="5989" w:type="dxa"/>
          </w:tcPr>
          <w:p>
            <w:pPr>
              <w:jc w:val="left"/>
              <w:rPr>
                <w:szCs w:val="21"/>
              </w:rPr>
            </w:pPr>
            <w:r>
              <w:rPr>
                <w:rFonts w:hint="eastAsia"/>
                <w:szCs w:val="21"/>
              </w:rPr>
              <w:t>生态设计产品标识</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PrEx>
        <w:trPr>
          <w:trHeight w:val="334" w:hRule="atLeast"/>
        </w:trPr>
        <w:tc>
          <w:tcPr>
            <w:tcW w:w="2977" w:type="dxa"/>
          </w:tcPr>
          <w:p>
            <w:pPr>
              <w:jc w:val="left"/>
              <w:rPr>
                <w:szCs w:val="21"/>
              </w:rPr>
            </w:pPr>
            <w:r>
              <w:rPr>
                <w:szCs w:val="21"/>
                <w:lang w:val="de-DE"/>
              </w:rPr>
              <w:t>GB/T</w:t>
            </w:r>
            <w:r>
              <w:rPr>
                <w:szCs w:val="21"/>
              </w:rPr>
              <w:t xml:space="preserve"> 33000</w:t>
            </w:r>
          </w:p>
        </w:tc>
        <w:tc>
          <w:tcPr>
            <w:tcW w:w="5989" w:type="dxa"/>
          </w:tcPr>
          <w:p>
            <w:pPr>
              <w:jc w:val="left"/>
              <w:rPr>
                <w:szCs w:val="21"/>
              </w:rPr>
            </w:pPr>
            <w:r>
              <w:rPr>
                <w:rFonts w:hint="eastAsia"/>
                <w:szCs w:val="21"/>
              </w:rPr>
              <w:t>企业安全生产标准化基本规范</w:t>
            </w:r>
          </w:p>
        </w:tc>
      </w:tr>
    </w:tbl>
    <w:p>
      <w:pPr>
        <w:spacing w:line="360" w:lineRule="auto"/>
        <w:rPr>
          <w:b/>
          <w:sz w:val="24"/>
          <w:szCs w:val="24"/>
        </w:rPr>
      </w:pPr>
      <w:r>
        <w:rPr>
          <w:b/>
          <w:sz w:val="24"/>
          <w:szCs w:val="24"/>
        </w:rPr>
        <w:t xml:space="preserve">3. </w:t>
      </w:r>
      <w:r>
        <w:rPr>
          <w:rFonts w:hint="eastAsia"/>
          <w:b/>
          <w:sz w:val="24"/>
          <w:szCs w:val="24"/>
        </w:rPr>
        <w:t>术语和定义</w:t>
      </w:r>
    </w:p>
    <w:p>
      <w:pPr>
        <w:spacing w:line="360" w:lineRule="auto"/>
        <w:ind w:firstLine="420" w:firstLineChars="200"/>
        <w:rPr>
          <w:rFonts w:ascii="Times New Roman" w:hAnsi="Times New Roman"/>
          <w:szCs w:val="21"/>
        </w:rPr>
      </w:pPr>
      <w:r>
        <w:rPr>
          <w:rFonts w:hint="eastAsia" w:ascii="Times New Roman"/>
          <w:szCs w:val="21"/>
        </w:rPr>
        <w:t>对于绿色设计产品评价中涉及的术语进行了说明，</w:t>
      </w:r>
      <w:r>
        <w:rPr>
          <w:szCs w:val="21"/>
          <w:lang w:val="de-DE"/>
        </w:rPr>
        <w:t>GB/T 32161</w:t>
      </w:r>
      <w:r>
        <w:rPr>
          <w:rFonts w:hint="eastAsia" w:ascii="Times New Roman"/>
          <w:szCs w:val="21"/>
          <w:lang w:val="de-DE" w:eastAsia="zh-CN"/>
        </w:rPr>
        <w:t>《</w:t>
      </w:r>
      <w:r>
        <w:rPr>
          <w:rFonts w:hint="eastAsia" w:ascii="Times New Roman"/>
          <w:szCs w:val="21"/>
        </w:rPr>
        <w:t>生态设计产品评价通则</w:t>
      </w:r>
      <w:r>
        <w:rPr>
          <w:rFonts w:hint="eastAsia" w:ascii="Times New Roman"/>
          <w:szCs w:val="21"/>
          <w:lang w:eastAsia="zh-CN"/>
        </w:rPr>
        <w:t>》</w:t>
      </w:r>
      <w:r>
        <w:rPr>
          <w:rFonts w:hint="eastAsia"/>
          <w:szCs w:val="21"/>
          <w:lang w:val="de-DE"/>
        </w:rPr>
        <w:t>界定的术语均适用于本标准，另明确了生命周期范围、</w:t>
      </w:r>
      <w:r>
        <w:rPr>
          <w:rFonts w:hint="eastAsia" w:ascii="Times New Roman"/>
          <w:szCs w:val="21"/>
        </w:rPr>
        <w:t>生命周期清单分析、生命周期影响评价和锂等术语。</w:t>
      </w:r>
    </w:p>
    <w:p>
      <w:pPr>
        <w:spacing w:line="360" w:lineRule="auto"/>
        <w:rPr>
          <w:b/>
          <w:sz w:val="24"/>
          <w:szCs w:val="24"/>
        </w:rPr>
      </w:pPr>
      <w:r>
        <w:rPr>
          <w:b/>
          <w:sz w:val="24"/>
          <w:szCs w:val="24"/>
        </w:rPr>
        <w:t xml:space="preserve">4. </w:t>
      </w:r>
      <w:r>
        <w:rPr>
          <w:rFonts w:hint="eastAsia"/>
          <w:b/>
          <w:sz w:val="24"/>
          <w:szCs w:val="24"/>
        </w:rPr>
        <w:t>评价要求</w:t>
      </w:r>
    </w:p>
    <w:p>
      <w:pPr>
        <w:spacing w:line="360" w:lineRule="auto"/>
        <w:rPr>
          <w:b/>
          <w:sz w:val="24"/>
          <w:szCs w:val="24"/>
        </w:rPr>
      </w:pPr>
      <w:r>
        <w:rPr>
          <w:b/>
          <w:sz w:val="24"/>
          <w:szCs w:val="24"/>
        </w:rPr>
        <w:t xml:space="preserve">4.1 </w:t>
      </w:r>
      <w:r>
        <w:rPr>
          <w:rFonts w:hint="eastAsia"/>
          <w:b/>
          <w:sz w:val="24"/>
          <w:szCs w:val="24"/>
        </w:rPr>
        <w:t>基本要求</w:t>
      </w:r>
    </w:p>
    <w:p>
      <w:pPr>
        <w:spacing w:line="360" w:lineRule="auto"/>
        <w:ind w:firstLine="420" w:firstLineChars="200"/>
        <w:rPr>
          <w:rFonts w:ascii="Times New Roman"/>
          <w:szCs w:val="21"/>
        </w:rPr>
      </w:pPr>
      <w:r>
        <w:rPr>
          <w:rFonts w:hint="eastAsia" w:ascii="Times New Roman"/>
          <w:szCs w:val="21"/>
        </w:rPr>
        <w:t>评价的基本要求也是基于整个行业的先进水平，不是平均水平，具体而言是整个行业产能的</w:t>
      </w:r>
      <w:r>
        <w:rPr>
          <w:rFonts w:ascii="Times New Roman"/>
          <w:szCs w:val="21"/>
        </w:rPr>
        <w:t>20%</w:t>
      </w:r>
      <w:r>
        <w:rPr>
          <w:rFonts w:hint="eastAsia" w:ascii="Times New Roman"/>
          <w:szCs w:val="21"/>
        </w:rPr>
        <w:t>所能达到的先进指标。</w:t>
      </w:r>
    </w:p>
    <w:p>
      <w:pPr>
        <w:spacing w:line="360" w:lineRule="auto"/>
        <w:ind w:firstLine="420" w:firstLineChars="200"/>
        <w:rPr>
          <w:rFonts w:ascii="Times New Roman" w:hAnsi="Times New Roman"/>
          <w:szCs w:val="21"/>
        </w:rPr>
      </w:pPr>
      <w:r>
        <w:rPr>
          <w:rFonts w:hint="eastAsia" w:ascii="Times New Roman"/>
          <w:szCs w:val="21"/>
        </w:rPr>
        <w:t>生产企业要满足以下要求，包括但不限于：</w:t>
      </w:r>
    </w:p>
    <w:p>
      <w:pPr>
        <w:jc w:val="left"/>
        <w:rPr>
          <w:rFonts w:ascii="黑体" w:hAnsi="黑体" w:eastAsia="黑体"/>
          <w:szCs w:val="21"/>
        </w:rPr>
      </w:pPr>
      <w:r>
        <w:rPr>
          <w:rFonts w:ascii="Times New Roman" w:hAnsi="Times New Roman"/>
          <w:szCs w:val="21"/>
        </w:rPr>
        <w:t xml:space="preserve">4.1.1 </w:t>
      </w:r>
      <w:r>
        <w:rPr>
          <w:rFonts w:hint="eastAsia" w:ascii="黑体" w:hAnsi="黑体" w:eastAsia="黑体"/>
          <w:szCs w:val="21"/>
        </w:rPr>
        <w:t>基本条件</w:t>
      </w:r>
    </w:p>
    <w:p>
      <w:pPr>
        <w:ind w:firstLine="420" w:firstLineChars="200"/>
        <w:jc w:val="left"/>
        <w:rPr>
          <w:szCs w:val="21"/>
        </w:rPr>
      </w:pPr>
      <w:r>
        <w:rPr>
          <w:rFonts w:hint="eastAsia"/>
          <w:szCs w:val="21"/>
        </w:rPr>
        <w:t>企业在行业内属于龙头企业，各项行业标准、指标均属于行业最优，产品质量要达到</w:t>
      </w:r>
      <w:r>
        <w:rPr>
          <w:szCs w:val="21"/>
        </w:rPr>
        <w:t xml:space="preserve">GB/T </w:t>
      </w:r>
      <w:r>
        <w:rPr>
          <w:rFonts w:hint="eastAsia"/>
          <w:szCs w:val="21"/>
        </w:rPr>
        <w:t>4369《锂》的要求。</w:t>
      </w:r>
    </w:p>
    <w:p>
      <w:pPr>
        <w:spacing w:line="360" w:lineRule="auto"/>
        <w:ind w:firstLine="420" w:firstLineChars="200"/>
        <w:jc w:val="left"/>
        <w:rPr>
          <w:szCs w:val="21"/>
        </w:rPr>
      </w:pPr>
      <w:r>
        <w:rPr>
          <w:rFonts w:ascii="Times New Roman" w:hAnsi="Times New Roman"/>
          <w:szCs w:val="21"/>
        </w:rPr>
        <w:t>——</w:t>
      </w:r>
      <w:r>
        <w:rPr>
          <w:rFonts w:hint="eastAsia" w:ascii="Times New Roman" w:hAnsi="Times New Roman"/>
          <w:szCs w:val="21"/>
        </w:rPr>
        <w:t>这两点是申请绿色设计产品评价的最基本条件，首先要具有行业准入的资格，然后是生产的产品质量要符合国家标准的要求。</w:t>
      </w:r>
    </w:p>
    <w:p>
      <w:pPr>
        <w:jc w:val="left"/>
        <w:rPr>
          <w:rFonts w:ascii="黑体" w:hAnsi="黑体" w:eastAsia="黑体"/>
          <w:szCs w:val="21"/>
        </w:rPr>
      </w:pPr>
      <w:r>
        <w:rPr>
          <w:rFonts w:ascii="Times New Roman" w:hAnsi="Times New Roman"/>
          <w:szCs w:val="21"/>
        </w:rPr>
        <w:t>4.1.2</w:t>
      </w:r>
      <w:r>
        <w:rPr>
          <w:rFonts w:hint="eastAsia" w:ascii="黑体" w:hAnsi="黑体" w:eastAsia="黑体"/>
          <w:szCs w:val="21"/>
        </w:rPr>
        <w:t>污染物排放控制要求</w:t>
      </w:r>
    </w:p>
    <w:p>
      <w:pPr>
        <w:spacing w:line="360" w:lineRule="auto"/>
        <w:ind w:firstLine="420" w:firstLineChars="200"/>
        <w:jc w:val="left"/>
        <w:rPr>
          <w:szCs w:val="21"/>
        </w:rPr>
      </w:pPr>
      <w:r>
        <w:rPr>
          <w:rFonts w:hint="eastAsia"/>
          <w:szCs w:val="21"/>
        </w:rPr>
        <w:t>近三年无重大安全、环境污染和质量事故；污染物的排放要达到</w:t>
      </w:r>
      <w:r>
        <w:rPr>
          <w:szCs w:val="21"/>
        </w:rPr>
        <w:t xml:space="preserve">GB </w:t>
      </w:r>
      <w:r>
        <w:rPr>
          <w:rFonts w:hint="eastAsia"/>
          <w:szCs w:val="21"/>
        </w:rPr>
        <w:t>31573《无机化学工业污染物排放标准》的要求，拥有完善的“三废”处理设施；污染物排放总量要达到排污许可证的要求。</w:t>
      </w:r>
    </w:p>
    <w:p>
      <w:pPr>
        <w:spacing w:line="360" w:lineRule="auto"/>
        <w:ind w:firstLine="420" w:firstLineChars="200"/>
        <w:jc w:val="left"/>
        <w:rPr>
          <w:rFonts w:ascii="Times New Roman"/>
          <w:szCs w:val="21"/>
        </w:rPr>
      </w:pPr>
      <w:r>
        <w:rPr>
          <w:rFonts w:ascii="Times New Roman" w:hAnsi="Times New Roman"/>
          <w:szCs w:val="21"/>
        </w:rPr>
        <w:t>——</w:t>
      </w:r>
      <w:r>
        <w:rPr>
          <w:rFonts w:hint="eastAsia"/>
          <w:szCs w:val="21"/>
        </w:rPr>
        <w:t>近三年无重大安全、环境污染和质量事故，这点是对企业过去三年来管理能力的基本反映，若出现重大事故，则企业管理体系存在重大缺陷，不能参加评价。其余</w:t>
      </w:r>
      <w:r>
        <w:rPr>
          <w:rFonts w:hint="eastAsia" w:ascii="Times New Roman" w:hAnsi="Times New Roman"/>
          <w:szCs w:val="21"/>
        </w:rPr>
        <w:t>三</w:t>
      </w:r>
      <w:r>
        <w:rPr>
          <w:rFonts w:hint="eastAsia" w:ascii="Times New Roman"/>
          <w:szCs w:val="21"/>
        </w:rPr>
        <w:t>点是污染物排放控制的基本要求，不但污染物排放浓度要达到国家标准，而且要达到行业清洁生产的要求，同时污染物排放总量也必须达到排污许可证的控制指标，对于原料中有害物质含量也是一种约束，有害物质必须实现资源化利用、无害化处理。</w:t>
      </w:r>
    </w:p>
    <w:p>
      <w:pPr>
        <w:spacing w:line="360" w:lineRule="auto"/>
        <w:ind w:firstLine="420" w:firstLineChars="200"/>
        <w:jc w:val="left"/>
        <w:rPr>
          <w:szCs w:val="21"/>
        </w:rPr>
      </w:pPr>
      <w:r>
        <w:rPr>
          <w:rFonts w:hint="eastAsia" w:ascii="Times New Roman"/>
          <w:szCs w:val="21"/>
        </w:rPr>
        <w:t>作为污染物排放浓度的控制要求，</w:t>
      </w:r>
      <w:r>
        <w:rPr>
          <w:szCs w:val="21"/>
        </w:rPr>
        <w:t xml:space="preserve">GB </w:t>
      </w:r>
      <w:r>
        <w:rPr>
          <w:rFonts w:hint="eastAsia"/>
          <w:szCs w:val="21"/>
        </w:rPr>
        <w:t>31573《无机化学工业污染物排放标准》已经有明确的要求；对于污染物的排放总量，同样可以由</w:t>
      </w:r>
      <w:r>
        <w:rPr>
          <w:szCs w:val="21"/>
        </w:rPr>
        <w:t xml:space="preserve">GB </w:t>
      </w:r>
      <w:r>
        <w:rPr>
          <w:rFonts w:hint="eastAsia"/>
          <w:szCs w:val="21"/>
        </w:rPr>
        <w:t xml:space="preserve">31573《无机化学工业污染物排放标准》得出结论。 </w:t>
      </w:r>
    </w:p>
    <w:p>
      <w:pPr>
        <w:jc w:val="left"/>
        <w:rPr>
          <w:rFonts w:ascii="黑体" w:hAnsi="黑体" w:eastAsia="黑体"/>
          <w:szCs w:val="21"/>
        </w:rPr>
      </w:pPr>
      <w:r>
        <w:rPr>
          <w:rFonts w:ascii="Times New Roman" w:hAnsi="Times New Roman"/>
          <w:szCs w:val="21"/>
        </w:rPr>
        <w:t>4.1.3</w:t>
      </w:r>
      <w:r>
        <w:rPr>
          <w:rFonts w:hint="eastAsia" w:ascii="黑体" w:hAnsi="黑体" w:eastAsia="黑体"/>
          <w:szCs w:val="21"/>
        </w:rPr>
        <w:t>生产管理体系要求</w:t>
      </w:r>
    </w:p>
    <w:p>
      <w:pPr>
        <w:spacing w:line="360" w:lineRule="auto"/>
        <w:ind w:firstLine="420" w:firstLineChars="200"/>
        <w:jc w:val="left"/>
        <w:rPr>
          <w:szCs w:val="21"/>
        </w:rPr>
      </w:pPr>
      <w:r>
        <w:rPr>
          <w:rFonts w:hint="eastAsia"/>
          <w:szCs w:val="21"/>
        </w:rPr>
        <w:t>安全管理达到</w:t>
      </w:r>
      <w:r>
        <w:rPr>
          <w:szCs w:val="21"/>
        </w:rPr>
        <w:t>GB/T 33000</w:t>
      </w:r>
      <w:r>
        <w:rPr>
          <w:rFonts w:hint="eastAsia"/>
          <w:szCs w:val="21"/>
        </w:rPr>
        <w:t>《企业安全生产标准化基本规范》的要求；应按照</w:t>
      </w:r>
      <w:r>
        <w:rPr>
          <w:szCs w:val="21"/>
        </w:rPr>
        <w:t>GB/T 24001</w:t>
      </w:r>
      <w:r>
        <w:rPr>
          <w:rFonts w:hint="eastAsia"/>
          <w:szCs w:val="21"/>
        </w:rPr>
        <w:t>、</w:t>
      </w:r>
      <w:r>
        <w:rPr>
          <w:szCs w:val="21"/>
        </w:rPr>
        <w:t>GB/T 19001</w:t>
      </w:r>
      <w:r>
        <w:rPr>
          <w:rFonts w:hint="eastAsia"/>
          <w:szCs w:val="21"/>
        </w:rPr>
        <w:t>和</w:t>
      </w:r>
      <w:r>
        <w:rPr>
          <w:szCs w:val="21"/>
        </w:rPr>
        <w:t>GB/T 28001</w:t>
      </w:r>
      <w:r>
        <w:rPr>
          <w:rFonts w:hint="eastAsia"/>
          <w:szCs w:val="21"/>
        </w:rPr>
        <w:t>分别建立并运行环境管理体系、质量管理体系和职业健康安全管理体系。</w:t>
      </w:r>
    </w:p>
    <w:p>
      <w:pPr>
        <w:spacing w:line="360" w:lineRule="auto"/>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前一点对过去管理能力提出了要求，这点是对企业未来的管理能力提出了详细而具体的要求，明确锂生产过程中环境管理体系、质量管理体系和职业健康安全管理体系所要达到的基本要求，若这几个管理体系有问题，毫无疑问不能称之为绿色设计产品。</w:t>
      </w:r>
    </w:p>
    <w:p>
      <w:pPr>
        <w:spacing w:line="360" w:lineRule="auto"/>
        <w:jc w:val="left"/>
        <w:rPr>
          <w:rFonts w:ascii="Times New Roman" w:hAnsi="Times New Roman"/>
          <w:szCs w:val="21"/>
        </w:rPr>
      </w:pPr>
      <w:r>
        <w:rPr>
          <w:rFonts w:ascii="Times New Roman" w:hAnsi="Times New Roman"/>
          <w:szCs w:val="21"/>
        </w:rPr>
        <w:t>4.1.4</w:t>
      </w:r>
      <w:r>
        <w:rPr>
          <w:rFonts w:ascii="黑体" w:hAnsi="黑体" w:eastAsia="黑体"/>
          <w:szCs w:val="21"/>
        </w:rPr>
        <w:t xml:space="preserve"> </w:t>
      </w:r>
      <w:r>
        <w:rPr>
          <w:rFonts w:hint="eastAsia" w:ascii="黑体" w:hAnsi="黑体" w:eastAsia="黑体"/>
          <w:szCs w:val="21"/>
        </w:rPr>
        <w:t>能源消耗及控制要求</w:t>
      </w:r>
    </w:p>
    <w:p>
      <w:pPr>
        <w:spacing w:line="360" w:lineRule="auto"/>
        <w:ind w:firstLine="420" w:firstLineChars="200"/>
        <w:jc w:val="left"/>
        <w:rPr>
          <w:rFonts w:ascii="Times New Roman" w:hAnsi="Times New Roman"/>
          <w:szCs w:val="21"/>
        </w:rPr>
      </w:pPr>
      <w:r>
        <w:rPr>
          <w:rFonts w:hint="eastAsia" w:ascii="Times New Roman" w:hAnsi="Times New Roman"/>
          <w:szCs w:val="21"/>
        </w:rPr>
        <w:t>应按照</w:t>
      </w:r>
      <w:r>
        <w:rPr>
          <w:rFonts w:ascii="Times New Roman" w:hAnsi="Times New Roman"/>
          <w:szCs w:val="21"/>
        </w:rPr>
        <w:t>GB 17167</w:t>
      </w:r>
      <w:r>
        <w:rPr>
          <w:rFonts w:hint="eastAsia" w:ascii="Times New Roman" w:hAnsi="Times New Roman"/>
          <w:szCs w:val="21"/>
        </w:rPr>
        <w:t>配备能源计量器具，并根据环保法律法规和标准要求配备污染物检测和在线监控设备。</w:t>
      </w:r>
    </w:p>
    <w:p>
      <w:pPr>
        <w:spacing w:line="360" w:lineRule="auto"/>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锂产品的能源属性是其重要属性之一，同时生产过程所消耗的能源对于环境的影响是巨大的，许多污染物的排放指标是与能源消耗直接相关的，因此单列</w:t>
      </w:r>
      <w:r>
        <w:rPr>
          <w:rFonts w:hint="eastAsia" w:ascii="Times New Roman" w:hAnsi="Times New Roman"/>
          <w:szCs w:val="21"/>
          <w:lang w:eastAsia="zh-CN"/>
        </w:rPr>
        <w:t>此</w:t>
      </w:r>
      <w:r>
        <w:rPr>
          <w:rFonts w:hint="eastAsia" w:ascii="Times New Roman" w:hAnsi="Times New Roman"/>
          <w:szCs w:val="21"/>
        </w:rPr>
        <w:t>条进行规范。</w:t>
      </w:r>
    </w:p>
    <w:p>
      <w:pPr>
        <w:jc w:val="left"/>
        <w:rPr>
          <w:rFonts w:ascii="黑体" w:hAnsi="黑体" w:eastAsia="黑体"/>
          <w:szCs w:val="21"/>
        </w:rPr>
      </w:pPr>
      <w:r>
        <w:rPr>
          <w:rFonts w:ascii="Times New Roman" w:hAnsi="Times New Roman"/>
          <w:szCs w:val="21"/>
        </w:rPr>
        <w:t xml:space="preserve">4.1.5 </w:t>
      </w:r>
      <w:r>
        <w:rPr>
          <w:rFonts w:hint="eastAsia" w:ascii="黑体" w:hAnsi="黑体" w:eastAsia="黑体"/>
          <w:szCs w:val="21"/>
        </w:rPr>
        <w:t>对土壤潜在影响控制</w:t>
      </w:r>
    </w:p>
    <w:p>
      <w:pPr>
        <w:spacing w:line="360" w:lineRule="auto"/>
        <w:ind w:firstLine="420" w:firstLineChars="200"/>
        <w:jc w:val="left"/>
        <w:rPr>
          <w:rFonts w:ascii="Times New Roman" w:hAnsi="Times New Roman"/>
          <w:szCs w:val="21"/>
        </w:rPr>
      </w:pPr>
      <w:r>
        <w:rPr>
          <w:rFonts w:hint="eastAsia"/>
          <w:szCs w:val="21"/>
        </w:rPr>
        <w:t>所产锂冶炼锂渣进行无害化</w:t>
      </w:r>
      <w:r>
        <w:rPr>
          <w:szCs w:val="21"/>
        </w:rPr>
        <w:t>/</w:t>
      </w:r>
      <w:r>
        <w:rPr>
          <w:rFonts w:hint="eastAsia"/>
          <w:szCs w:val="21"/>
        </w:rPr>
        <w:t>资源化处理；固体废物应有符合要求的专门储存场所或交第三方处置；产品包装材料应采用可再生利用或可降解材料。</w:t>
      </w:r>
    </w:p>
    <w:p>
      <w:pPr>
        <w:spacing w:line="360" w:lineRule="auto"/>
        <w:ind w:firstLine="420" w:firstLineChars="200"/>
        <w:jc w:val="left"/>
        <w:rPr>
          <w:rFonts w:ascii="Times New Roman"/>
          <w:szCs w:val="21"/>
        </w:rPr>
      </w:pPr>
      <w:r>
        <w:rPr>
          <w:rFonts w:ascii="Times New Roman" w:hAnsi="Times New Roman"/>
          <w:szCs w:val="21"/>
        </w:rPr>
        <w:t>——</w:t>
      </w:r>
      <w:r>
        <w:rPr>
          <w:rFonts w:hint="eastAsia" w:ascii="Times New Roman" w:hAnsi="Times New Roman"/>
          <w:szCs w:val="21"/>
        </w:rPr>
        <w:t>这三</w:t>
      </w:r>
      <w:r>
        <w:rPr>
          <w:rFonts w:hint="eastAsia" w:ascii="Times New Roman"/>
          <w:szCs w:val="21"/>
        </w:rPr>
        <w:t>点是对于固体废物所做的专门要求，由于锂冶炼锂渣堆存存在的环境风险，因此锂渣必须进行无害化处理或者资源化利用，以达到控制土壤潜在危害的目的。</w:t>
      </w:r>
    </w:p>
    <w:p>
      <w:pPr>
        <w:spacing w:line="360" w:lineRule="auto"/>
        <w:rPr>
          <w:rFonts w:ascii="黑体" w:hAnsi="黑体" w:eastAsia="黑体"/>
          <w:szCs w:val="21"/>
        </w:rPr>
      </w:pPr>
      <w:r>
        <w:rPr>
          <w:rFonts w:ascii="Times New Roman" w:hAnsi="Times New Roman"/>
          <w:szCs w:val="21"/>
        </w:rPr>
        <w:t xml:space="preserve">4.1.6 </w:t>
      </w:r>
      <w:r>
        <w:rPr>
          <w:rFonts w:hint="eastAsia" w:ascii="黑体" w:hAnsi="黑体" w:eastAsia="黑体"/>
          <w:szCs w:val="21"/>
        </w:rPr>
        <w:t>关于采用新工艺的问题</w:t>
      </w:r>
    </w:p>
    <w:p>
      <w:pPr>
        <w:spacing w:line="360" w:lineRule="auto"/>
        <w:ind w:firstLine="420" w:firstLineChars="200"/>
        <w:jc w:val="left"/>
        <w:rPr>
          <w:szCs w:val="21"/>
        </w:rPr>
      </w:pPr>
      <w:r>
        <w:rPr>
          <w:rFonts w:hint="eastAsia"/>
          <w:szCs w:val="21"/>
        </w:rPr>
        <w:t>生产过程中应采用国家鼓励的先进技术和工艺，不能采取国家明令禁止、淘汰的工艺和设备。</w:t>
      </w:r>
    </w:p>
    <w:p>
      <w:pPr>
        <w:spacing w:line="360" w:lineRule="auto"/>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这点是要求各个企业要积极采用先进技术和工艺，</w:t>
      </w:r>
      <w:r>
        <w:rPr>
          <w:rFonts w:hint="eastAsia"/>
          <w:szCs w:val="21"/>
        </w:rPr>
        <w:t>以达到减少资源消耗，</w:t>
      </w:r>
      <w:r>
        <w:rPr>
          <w:rFonts w:hint="eastAsia" w:ascii="Times New Roman"/>
          <w:szCs w:val="21"/>
        </w:rPr>
        <w:t>大幅降低能源消耗，减少温室气体的排放的目的。</w:t>
      </w:r>
    </w:p>
    <w:p>
      <w:pPr>
        <w:spacing w:line="360" w:lineRule="auto"/>
        <w:ind w:firstLine="420" w:firstLineChars="200"/>
        <w:rPr>
          <w:rFonts w:ascii="Times New Roman" w:hAnsi="Times New Roman"/>
          <w:szCs w:val="21"/>
        </w:rPr>
      </w:pPr>
      <w:r>
        <w:rPr>
          <w:rFonts w:hint="eastAsia" w:ascii="Times New Roman" w:hAnsi="Times New Roman"/>
          <w:szCs w:val="21"/>
        </w:rPr>
        <w:t>以上六点是锂生产企业必须同时满足的基本要求，缺一不可。</w:t>
      </w:r>
    </w:p>
    <w:p>
      <w:pPr>
        <w:spacing w:line="360" w:lineRule="auto"/>
        <w:ind w:firstLine="420" w:firstLineChars="200"/>
        <w:rPr>
          <w:rFonts w:ascii="Times New Roman" w:hAnsi="Times New Roman"/>
          <w:szCs w:val="21"/>
        </w:rPr>
      </w:pPr>
    </w:p>
    <w:p>
      <w:pPr>
        <w:spacing w:line="360" w:lineRule="auto"/>
        <w:rPr>
          <w:b/>
          <w:sz w:val="24"/>
          <w:szCs w:val="24"/>
        </w:rPr>
      </w:pPr>
      <w:r>
        <w:rPr>
          <w:b/>
          <w:sz w:val="24"/>
          <w:szCs w:val="24"/>
        </w:rPr>
        <w:t xml:space="preserve">4.2 </w:t>
      </w:r>
      <w:r>
        <w:rPr>
          <w:rFonts w:hint="eastAsia"/>
          <w:b/>
          <w:sz w:val="24"/>
          <w:szCs w:val="24"/>
        </w:rPr>
        <w:t>评价指标要求</w:t>
      </w:r>
    </w:p>
    <w:p>
      <w:pPr>
        <w:spacing w:line="360" w:lineRule="auto"/>
        <w:ind w:firstLine="420" w:firstLineChars="200"/>
        <w:jc w:val="left"/>
        <w:rPr>
          <w:szCs w:val="21"/>
        </w:rPr>
      </w:pPr>
      <w:r>
        <w:rPr>
          <w:rFonts w:hint="eastAsia"/>
          <w:szCs w:val="21"/>
        </w:rPr>
        <w:t>评价指标分成两级，由一级指标和二级指标组成。一级指标包括资源属性指标、能源属性指标、环境属性指标和产品质量属性指标。二级指标是对一级指标要求的具体化，明确规定了数值范围，同时应标明所属的生命周期阶段，即原材料获取、产品生产、产品包装等阶段。二级指标所规定的要求是要达到锂行业先进水平，不是平均水平，更加明确则是锂行业</w:t>
      </w:r>
      <w:r>
        <w:rPr>
          <w:szCs w:val="21"/>
        </w:rPr>
        <w:t>20%</w:t>
      </w:r>
      <w:r>
        <w:rPr>
          <w:rFonts w:hint="eastAsia"/>
          <w:szCs w:val="21"/>
        </w:rPr>
        <w:t>的先进产能所能够达到的水平。</w:t>
      </w:r>
    </w:p>
    <w:p>
      <w:pPr>
        <w:spacing w:line="360" w:lineRule="auto"/>
        <w:ind w:firstLine="420" w:firstLineChars="200"/>
        <w:jc w:val="left"/>
        <w:rPr>
          <w:rFonts w:ascii="Times New Roman" w:hAnsi="Times New Roman"/>
          <w:szCs w:val="21"/>
        </w:rPr>
      </w:pPr>
      <w:r>
        <w:rPr>
          <w:rFonts w:hint="eastAsia"/>
          <w:szCs w:val="21"/>
        </w:rPr>
        <w:t>锂生产过程中，各种消耗，如能源、原料、材料等，最终均会分配到吨锂产品中，因此本标准的功能单位为</w:t>
      </w:r>
      <w:r>
        <w:rPr>
          <w:szCs w:val="21"/>
        </w:rPr>
        <w:t>t</w:t>
      </w:r>
      <w:r>
        <w:rPr>
          <w:rFonts w:hint="eastAsia"/>
          <w:szCs w:val="21"/>
        </w:rPr>
        <w:t xml:space="preserve">（锂），不但便于计算，也利于与生产实际相结合。锂是满足国标要求的，其最低锂含量为 </w:t>
      </w:r>
      <w:r>
        <w:rPr>
          <w:rFonts w:ascii="Times New Roman" w:hAnsi="Times New Roman"/>
          <w:szCs w:val="21"/>
        </w:rPr>
        <w:t>9</w:t>
      </w:r>
      <w:r>
        <w:rPr>
          <w:rFonts w:hint="eastAsia" w:ascii="Times New Roman" w:hAnsi="Times New Roman"/>
          <w:szCs w:val="21"/>
        </w:rPr>
        <w:t>6</w:t>
      </w:r>
      <w:r>
        <w:rPr>
          <w:rFonts w:ascii="Times New Roman" w:hAnsi="Times New Roman"/>
          <w:szCs w:val="21"/>
        </w:rPr>
        <w:t>.50%</w:t>
      </w:r>
      <w:r>
        <w:rPr>
          <w:rFonts w:hint="eastAsia" w:ascii="Times New Roman" w:hAnsi="Times New Roman"/>
          <w:szCs w:val="21"/>
        </w:rPr>
        <w:t>，因此以锂产品重量吨为功能单位，有必要再折算成吨锂金属量。</w:t>
      </w:r>
    </w:p>
    <w:p>
      <w:pPr>
        <w:spacing w:line="360" w:lineRule="auto"/>
        <w:ind w:firstLine="420" w:firstLineChars="200"/>
        <w:jc w:val="left"/>
        <w:rPr>
          <w:rFonts w:hint="eastAsia" w:ascii="Times New Roman" w:hAnsi="Times New Roman"/>
          <w:szCs w:val="21"/>
        </w:rPr>
      </w:pPr>
      <w:r>
        <w:rPr>
          <w:rFonts w:hint="eastAsia" w:ascii="Times New Roman" w:hAnsi="Times New Roman"/>
          <w:szCs w:val="21"/>
        </w:rPr>
        <w:t>辅助过程，如“三废”处理、锂渣综合回收利用等过程所消耗的资源、能源不在此指标评价范围内，因为辅助过程的区别很大，资源、能源的消耗也难以比较，但是对环境排放的污染物则必须计算在之内，即要考虑辅助过程的环境属性，因为这些过程所排放的污染物也是源头带入的，对环境的综合影响是本标准的重点和根本。</w:t>
      </w:r>
    </w:p>
    <w:p>
      <w:pPr>
        <w:spacing w:line="360" w:lineRule="auto"/>
        <w:ind w:firstLine="420" w:firstLineChars="200"/>
        <w:jc w:val="left"/>
        <w:rPr>
          <w:rFonts w:hint="eastAsia" w:ascii="Times New Roman" w:hAnsi="Times New Roman"/>
          <w:szCs w:val="21"/>
        </w:rPr>
      </w:pPr>
      <w:r>
        <w:rPr>
          <w:rFonts w:hint="eastAsia" w:ascii="Times New Roman" w:hAnsi="Times New Roman"/>
          <w:szCs w:val="21"/>
        </w:rPr>
        <w:t>锂产品的评价指标、基准值、判定依据等要求见表1。</w:t>
      </w:r>
    </w:p>
    <w:p>
      <w:pPr>
        <w:spacing w:line="360" w:lineRule="auto"/>
        <w:ind w:firstLine="420" w:firstLineChars="200"/>
        <w:jc w:val="center"/>
        <w:rPr>
          <w:rFonts w:hint="eastAsia" w:ascii="Times New Roman" w:hAnsi="Times New Roman"/>
          <w:szCs w:val="21"/>
        </w:rPr>
      </w:pPr>
      <w:r>
        <w:rPr>
          <w:rFonts w:hint="eastAsia" w:ascii="Times New Roman" w:hAnsi="Times New Roman"/>
          <w:szCs w:val="21"/>
        </w:rPr>
        <w:t>表1  锂产品评价指标</w:t>
      </w:r>
    </w:p>
    <w:tbl>
      <w:tblPr>
        <w:tblStyle w:val="17"/>
        <w:tblW w:w="84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27"/>
        <w:gridCol w:w="2232"/>
        <w:gridCol w:w="851"/>
        <w:gridCol w:w="1306"/>
        <w:gridCol w:w="111"/>
        <w:gridCol w:w="1291"/>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blHeader/>
          <w:jc w:val="center"/>
        </w:trPr>
        <w:tc>
          <w:tcPr>
            <w:tcW w:w="1227"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一级指标</w:t>
            </w:r>
          </w:p>
        </w:tc>
        <w:tc>
          <w:tcPr>
            <w:tcW w:w="2232"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二级指标</w:t>
            </w:r>
          </w:p>
        </w:tc>
        <w:tc>
          <w:tcPr>
            <w:tcW w:w="851"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w:t>
            </w:r>
          </w:p>
        </w:tc>
        <w:tc>
          <w:tcPr>
            <w:tcW w:w="1417" w:type="dxa"/>
            <w:gridSpan w:val="2"/>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基准值</w:t>
            </w:r>
          </w:p>
        </w:tc>
        <w:tc>
          <w:tcPr>
            <w:tcW w:w="1291"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判断依据</w:t>
            </w:r>
          </w:p>
        </w:tc>
        <w:tc>
          <w:tcPr>
            <w:tcW w:w="1402"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227" w:type="dxa"/>
            <w:vMerge w:val="restart"/>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资源属性</w:t>
            </w:r>
          </w:p>
        </w:tc>
        <w:tc>
          <w:tcPr>
            <w:tcW w:w="2232"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氯化锂</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t/t</w:t>
            </w:r>
          </w:p>
        </w:tc>
        <w:tc>
          <w:tcPr>
            <w:tcW w:w="1417"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c>
          <w:tcPr>
            <w:tcW w:w="12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现场</w:t>
            </w:r>
            <w:r>
              <w:rPr>
                <w:rFonts w:hint="eastAsia" w:asciiTheme="minorEastAsia" w:hAnsiTheme="minorEastAsia" w:eastAsiaTheme="minorEastAsia" w:cstheme="minorEastAsia"/>
                <w:sz w:val="21"/>
                <w:szCs w:val="21"/>
              </w:rPr>
              <w:t>数据</w:t>
            </w:r>
          </w:p>
        </w:tc>
        <w:tc>
          <w:tcPr>
            <w:tcW w:w="1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227" w:type="dxa"/>
            <w:vMerge w:val="continue"/>
            <w:vAlign w:val="center"/>
          </w:tcPr>
          <w:p>
            <w:pPr>
              <w:jc w:val="center"/>
              <w:rPr>
                <w:rFonts w:hint="eastAsia" w:asciiTheme="minorEastAsia" w:hAnsiTheme="minorEastAsia" w:eastAsiaTheme="minorEastAsia" w:cstheme="minorEastAsia"/>
                <w:sz w:val="21"/>
                <w:szCs w:val="21"/>
              </w:rPr>
            </w:pPr>
          </w:p>
        </w:tc>
        <w:tc>
          <w:tcPr>
            <w:tcW w:w="2232"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氯化钾</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t/t</w:t>
            </w:r>
          </w:p>
        </w:tc>
        <w:tc>
          <w:tcPr>
            <w:tcW w:w="1417"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≤0.03</w:t>
            </w:r>
          </w:p>
        </w:tc>
        <w:tc>
          <w:tcPr>
            <w:tcW w:w="12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现场</w:t>
            </w:r>
            <w:r>
              <w:rPr>
                <w:rFonts w:hint="eastAsia" w:asciiTheme="minorEastAsia" w:hAnsiTheme="minorEastAsia" w:eastAsiaTheme="minorEastAsia" w:cstheme="minorEastAsia"/>
                <w:sz w:val="21"/>
                <w:szCs w:val="21"/>
              </w:rPr>
              <w:t>数据</w:t>
            </w:r>
          </w:p>
        </w:tc>
        <w:tc>
          <w:tcPr>
            <w:tcW w:w="1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227" w:type="dxa"/>
            <w:vMerge w:val="continue"/>
            <w:vAlign w:val="center"/>
          </w:tcPr>
          <w:p>
            <w:pPr>
              <w:jc w:val="center"/>
              <w:rPr>
                <w:rFonts w:hint="eastAsia" w:asciiTheme="minorEastAsia" w:hAnsiTheme="minorEastAsia" w:eastAsiaTheme="minorEastAsia" w:cstheme="minorEastAsia"/>
                <w:sz w:val="21"/>
                <w:szCs w:val="21"/>
              </w:rPr>
            </w:pPr>
          </w:p>
        </w:tc>
        <w:tc>
          <w:tcPr>
            <w:tcW w:w="2232"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水</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t/t</w:t>
            </w:r>
          </w:p>
        </w:tc>
        <w:tc>
          <w:tcPr>
            <w:tcW w:w="1417"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2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现场</w:t>
            </w:r>
            <w:r>
              <w:rPr>
                <w:rFonts w:hint="eastAsia" w:asciiTheme="minorEastAsia" w:hAnsiTheme="minorEastAsia" w:eastAsiaTheme="minorEastAsia" w:cstheme="minorEastAsia"/>
                <w:sz w:val="21"/>
                <w:szCs w:val="21"/>
              </w:rPr>
              <w:t>数据</w:t>
            </w:r>
          </w:p>
        </w:tc>
        <w:tc>
          <w:tcPr>
            <w:tcW w:w="1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227"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能源属性</w:t>
            </w:r>
          </w:p>
        </w:tc>
        <w:tc>
          <w:tcPr>
            <w:tcW w:w="223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kgce/t</w:t>
            </w:r>
          </w:p>
        </w:tc>
        <w:tc>
          <w:tcPr>
            <w:tcW w:w="1417"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rPr>
              <w:t>5161.80</w:t>
            </w:r>
          </w:p>
        </w:tc>
        <w:tc>
          <w:tcPr>
            <w:tcW w:w="1291" w:type="dxa"/>
            <w:vAlign w:val="center"/>
          </w:tcPr>
          <w:p>
            <w:pPr>
              <w:jc w:val="center"/>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sz w:val="21"/>
                <w:szCs w:val="21"/>
                <w:lang w:eastAsia="zh-CN"/>
              </w:rPr>
              <w:t>现场</w:t>
            </w:r>
            <w:r>
              <w:rPr>
                <w:rFonts w:hint="eastAsia" w:asciiTheme="minorEastAsia" w:hAnsiTheme="minorEastAsia" w:eastAsiaTheme="minorEastAsia" w:cstheme="minorEastAsia"/>
                <w:sz w:val="21"/>
                <w:szCs w:val="21"/>
              </w:rPr>
              <w:t>数据</w:t>
            </w:r>
          </w:p>
        </w:tc>
        <w:tc>
          <w:tcPr>
            <w:tcW w:w="1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227" w:type="dxa"/>
            <w:vMerge w:val="restart"/>
            <w:vAlign w:val="center"/>
          </w:tcPr>
          <w:p>
            <w:pPr>
              <w:jc w:val="center"/>
              <w:rPr>
                <w:rFonts w:hint="eastAsia" w:asciiTheme="minorEastAsia" w:hAnsiTheme="minorEastAsia" w:eastAsiaTheme="minorEastAsia" w:cstheme="minorEastAsia"/>
                <w:b/>
                <w:sz w:val="21"/>
                <w:szCs w:val="21"/>
              </w:rPr>
            </w:pPr>
          </w:p>
          <w:p>
            <w:pPr>
              <w:jc w:val="center"/>
              <w:rPr>
                <w:rFonts w:hint="eastAsia" w:asciiTheme="minorEastAsia" w:hAnsiTheme="minorEastAsia" w:eastAsiaTheme="minorEastAsia" w:cstheme="minorEastAsia"/>
                <w:b/>
                <w:sz w:val="21"/>
                <w:szCs w:val="21"/>
              </w:rPr>
            </w:pPr>
          </w:p>
          <w:p>
            <w:pPr>
              <w:jc w:val="center"/>
              <w:rPr>
                <w:rFonts w:hint="eastAsia" w:asciiTheme="minorEastAsia" w:hAnsiTheme="minorEastAsia" w:eastAsiaTheme="minorEastAsia" w:cstheme="minorEastAsia"/>
                <w:b/>
                <w:sz w:val="21"/>
                <w:szCs w:val="21"/>
              </w:rPr>
            </w:pPr>
          </w:p>
          <w:p>
            <w:pPr>
              <w:jc w:val="center"/>
              <w:rPr>
                <w:rFonts w:hint="eastAsia" w:asciiTheme="minorEastAsia" w:hAnsiTheme="minorEastAsia" w:eastAsiaTheme="minorEastAsia" w:cstheme="minorEastAsia"/>
                <w:b/>
                <w:sz w:val="21"/>
                <w:szCs w:val="21"/>
              </w:rPr>
            </w:pPr>
          </w:p>
          <w:p>
            <w:pPr>
              <w:jc w:val="center"/>
              <w:rPr>
                <w:rFonts w:hint="eastAsia" w:asciiTheme="minorEastAsia" w:hAnsiTheme="minorEastAsia" w:eastAsiaTheme="minorEastAsia" w:cstheme="minorEastAsia"/>
                <w:b/>
                <w:sz w:val="21"/>
                <w:szCs w:val="21"/>
              </w:rPr>
            </w:pPr>
          </w:p>
          <w:p>
            <w:pPr>
              <w:jc w:val="center"/>
              <w:rPr>
                <w:rFonts w:hint="eastAsia" w:asciiTheme="minorEastAsia" w:hAnsiTheme="minorEastAsia" w:eastAsiaTheme="minorEastAsia" w:cstheme="minorEastAsia"/>
                <w:b/>
                <w:sz w:val="21"/>
                <w:szCs w:val="21"/>
              </w:rPr>
            </w:pPr>
          </w:p>
          <w:p>
            <w:pPr>
              <w:jc w:val="center"/>
              <w:rPr>
                <w:rFonts w:hint="eastAsia" w:asciiTheme="minorEastAsia" w:hAnsiTheme="minorEastAsia" w:eastAsiaTheme="minorEastAsia" w:cstheme="minorEastAsia"/>
                <w:b/>
                <w:sz w:val="21"/>
                <w:szCs w:val="21"/>
              </w:rPr>
            </w:pPr>
          </w:p>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环境属性</w:t>
            </w:r>
          </w:p>
        </w:tc>
        <w:tc>
          <w:tcPr>
            <w:tcW w:w="223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达标排放与总量控制率</w:t>
            </w:r>
          </w:p>
        </w:tc>
        <w:tc>
          <w:tcPr>
            <w:tcW w:w="851" w:type="dxa"/>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w:t>
            </w:r>
          </w:p>
        </w:tc>
        <w:tc>
          <w:tcPr>
            <w:tcW w:w="1417" w:type="dxa"/>
            <w:gridSpan w:val="2"/>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100</w:t>
            </w:r>
          </w:p>
        </w:tc>
        <w:tc>
          <w:tcPr>
            <w:tcW w:w="1291" w:type="dxa"/>
            <w:vAlign w:val="center"/>
          </w:tcPr>
          <w:p>
            <w:pPr>
              <w:jc w:val="center"/>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sz w:val="21"/>
                <w:szCs w:val="21"/>
                <w:lang w:eastAsia="zh-CN"/>
              </w:rPr>
              <w:t>现场</w:t>
            </w:r>
            <w:r>
              <w:rPr>
                <w:rFonts w:hint="eastAsia" w:asciiTheme="minorEastAsia" w:hAnsiTheme="minorEastAsia" w:eastAsiaTheme="minorEastAsia" w:cstheme="minorEastAsia"/>
                <w:sz w:val="21"/>
                <w:szCs w:val="21"/>
              </w:rPr>
              <w:t>数据</w:t>
            </w:r>
          </w:p>
        </w:tc>
        <w:tc>
          <w:tcPr>
            <w:tcW w:w="1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227" w:type="dxa"/>
            <w:vMerge w:val="continue"/>
            <w:vAlign w:val="center"/>
          </w:tcPr>
          <w:p>
            <w:pPr>
              <w:jc w:val="center"/>
              <w:rPr>
                <w:rFonts w:hint="eastAsia" w:asciiTheme="minorEastAsia" w:hAnsiTheme="minorEastAsia" w:eastAsiaTheme="minorEastAsia" w:cstheme="minorEastAsia"/>
                <w:sz w:val="21"/>
                <w:szCs w:val="21"/>
              </w:rPr>
            </w:pPr>
          </w:p>
        </w:tc>
        <w:tc>
          <w:tcPr>
            <w:tcW w:w="223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污染物生产指标</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708" w:type="dxa"/>
            <w:gridSpan w:val="3"/>
            <w:vAlign w:val="center"/>
          </w:tcPr>
          <w:p>
            <w:pPr>
              <w:jc w:val="center"/>
              <w:rPr>
                <w:rFonts w:hint="eastAsia" w:asciiTheme="minorEastAsia" w:hAnsiTheme="minorEastAsia" w:eastAsiaTheme="minorEastAsia" w:cstheme="minorEastAsia"/>
                <w:color w:val="0070C0"/>
                <w:sz w:val="21"/>
                <w:szCs w:val="21"/>
              </w:rPr>
            </w:pPr>
            <w:r>
              <w:rPr>
                <w:rFonts w:hint="eastAsia" w:ascii="宋体" w:cs="宋体"/>
                <w:szCs w:val="21"/>
              </w:rPr>
              <w:t>符合GB</w:t>
            </w:r>
            <w:r>
              <w:rPr>
                <w:rFonts w:hint="eastAsia" w:ascii="宋体" w:cs="宋体"/>
                <w:szCs w:val="21"/>
                <w:lang w:val="en-US" w:eastAsia="zh-CN"/>
              </w:rPr>
              <w:t xml:space="preserve"> </w:t>
            </w:r>
            <w:r>
              <w:rPr>
                <w:rFonts w:hint="eastAsia" w:ascii="宋体" w:cs="宋体"/>
                <w:szCs w:val="21"/>
              </w:rPr>
              <w:t>8978</w:t>
            </w:r>
            <w:r>
              <w:rPr>
                <w:rFonts w:hint="eastAsia" w:ascii="宋体" w:cs="宋体"/>
                <w:szCs w:val="21"/>
                <w:lang w:eastAsia="zh-CN"/>
              </w:rPr>
              <w:t>《</w:t>
            </w:r>
            <w:r>
              <w:rPr>
                <w:rFonts w:hint="eastAsia"/>
                <w:szCs w:val="21"/>
              </w:rPr>
              <w:t>污水综合排放标准</w:t>
            </w:r>
            <w:r>
              <w:rPr>
                <w:rFonts w:hint="eastAsia"/>
                <w:szCs w:val="21"/>
                <w:lang w:eastAsia="zh-CN"/>
              </w:rPr>
              <w:t>》</w:t>
            </w:r>
            <w:r>
              <w:rPr>
                <w:rFonts w:hint="eastAsia" w:ascii="宋体" w:cs="宋体"/>
                <w:szCs w:val="21"/>
              </w:rPr>
              <w:t>、GB16297</w:t>
            </w:r>
            <w:r>
              <w:rPr>
                <w:rFonts w:hint="eastAsia" w:ascii="宋体" w:cs="宋体"/>
                <w:szCs w:val="21"/>
                <w:lang w:eastAsia="zh-CN"/>
              </w:rPr>
              <w:t>《</w:t>
            </w:r>
            <w:r>
              <w:rPr>
                <w:rFonts w:hint="eastAsia"/>
                <w:szCs w:val="21"/>
              </w:rPr>
              <w:t>大气污染物综合排放标准</w:t>
            </w:r>
            <w:r>
              <w:rPr>
                <w:rFonts w:hint="eastAsia"/>
                <w:szCs w:val="21"/>
                <w:lang w:eastAsia="zh-CN"/>
              </w:rPr>
              <w:t>》</w:t>
            </w:r>
            <w:r>
              <w:rPr>
                <w:rFonts w:hint="eastAsia" w:ascii="宋体" w:cs="宋体"/>
                <w:szCs w:val="21"/>
              </w:rPr>
              <w:t>相关排放标准要求</w:t>
            </w:r>
          </w:p>
        </w:tc>
        <w:tc>
          <w:tcPr>
            <w:tcW w:w="1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227" w:type="dxa"/>
            <w:vMerge w:val="continue"/>
            <w:vAlign w:val="center"/>
          </w:tcPr>
          <w:p>
            <w:pPr>
              <w:jc w:val="center"/>
              <w:rPr>
                <w:rFonts w:hint="eastAsia" w:asciiTheme="minorEastAsia" w:hAnsiTheme="minorEastAsia" w:eastAsiaTheme="minorEastAsia" w:cstheme="minorEastAsia"/>
                <w:sz w:val="21"/>
                <w:szCs w:val="21"/>
              </w:rPr>
            </w:pPr>
          </w:p>
        </w:tc>
        <w:tc>
          <w:tcPr>
            <w:tcW w:w="223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单位产品废水生产总量</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t/t</w:t>
            </w:r>
          </w:p>
        </w:tc>
        <w:tc>
          <w:tcPr>
            <w:tcW w:w="2708" w:type="dxa"/>
            <w:gridSpan w:val="3"/>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227" w:type="dxa"/>
            <w:vMerge w:val="continue"/>
            <w:vAlign w:val="center"/>
          </w:tcPr>
          <w:p>
            <w:pPr>
              <w:jc w:val="center"/>
              <w:rPr>
                <w:rFonts w:hint="eastAsia" w:asciiTheme="minorEastAsia" w:hAnsiTheme="minorEastAsia" w:eastAsiaTheme="minorEastAsia" w:cstheme="minorEastAsia"/>
                <w:sz w:val="21"/>
                <w:szCs w:val="21"/>
              </w:rPr>
            </w:pPr>
          </w:p>
        </w:tc>
        <w:tc>
          <w:tcPr>
            <w:tcW w:w="223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企业环境管理体系</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708" w:type="dxa"/>
            <w:gridSpan w:val="3"/>
            <w:vAlign w:val="center"/>
          </w:tcPr>
          <w:p>
            <w:pPr>
              <w:jc w:val="center"/>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sz w:val="21"/>
                <w:szCs w:val="21"/>
              </w:rPr>
              <w:t>建立有GB/T 24001环境管理体系，并取得认证，能行之有效；全部完成年度环境目</w:t>
            </w:r>
            <w:r>
              <w:rPr>
                <w:rFonts w:hint="eastAsia" w:asciiTheme="minorEastAsia" w:hAnsiTheme="minorEastAsia" w:eastAsiaTheme="minorEastAsia" w:cstheme="minorEastAsia"/>
                <w:color w:val="000000" w:themeColor="text1"/>
                <w:sz w:val="21"/>
                <w:szCs w:val="21"/>
              </w:rPr>
              <w:t>标、指标和环境管理方案≥90%，并达到环境持续改进的要求；环境管理手册、程序文件及作业文件齐备、有效；应急预案完整</w:t>
            </w:r>
          </w:p>
        </w:tc>
        <w:tc>
          <w:tcPr>
            <w:tcW w:w="1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01" w:hRule="atLeast"/>
          <w:jc w:val="center"/>
        </w:trPr>
        <w:tc>
          <w:tcPr>
            <w:tcW w:w="1227" w:type="dxa"/>
            <w:vMerge w:val="restart"/>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质量</w:t>
            </w:r>
            <w:r>
              <w:rPr>
                <w:rFonts w:hint="eastAsia" w:asciiTheme="minorEastAsia" w:hAnsiTheme="minorEastAsia" w:eastAsiaTheme="minorEastAsia" w:cstheme="minorEastAsia"/>
                <w:b/>
                <w:sz w:val="21"/>
                <w:szCs w:val="21"/>
              </w:rPr>
              <w:t>属性</w:t>
            </w:r>
          </w:p>
        </w:tc>
        <w:tc>
          <w:tcPr>
            <w:tcW w:w="223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产品种类</w:t>
            </w:r>
          </w:p>
        </w:tc>
        <w:tc>
          <w:tcPr>
            <w:tcW w:w="3559" w:type="dxa"/>
            <w:gridSpan w:val="4"/>
            <w:vAlign w:val="center"/>
          </w:tcPr>
          <w:p>
            <w:pPr>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满足GB/T 4369 锂 产品要求</w:t>
            </w:r>
          </w:p>
        </w:tc>
        <w:tc>
          <w:tcPr>
            <w:tcW w:w="1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hint="eastAsia" w:asciiTheme="minorEastAsia" w:hAnsiTheme="minorEastAsia" w:eastAsiaTheme="minorEastAsia" w:cstheme="minorEastAsia"/>
                <w:color w:val="0070C0"/>
                <w:sz w:val="21"/>
                <w:szCs w:val="21"/>
              </w:rPr>
            </w:pPr>
          </w:p>
        </w:tc>
        <w:tc>
          <w:tcPr>
            <w:tcW w:w="223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产品合格率</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30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w:t>
            </w:r>
          </w:p>
        </w:tc>
        <w:tc>
          <w:tcPr>
            <w:tcW w:w="1402" w:type="dxa"/>
            <w:gridSpan w:val="2"/>
            <w:vAlign w:val="center"/>
          </w:tcPr>
          <w:p>
            <w:pPr>
              <w:jc w:val="center"/>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sz w:val="21"/>
                <w:szCs w:val="21"/>
                <w:lang w:eastAsia="zh-CN"/>
              </w:rPr>
              <w:t>现场</w:t>
            </w:r>
            <w:r>
              <w:rPr>
                <w:rFonts w:hint="eastAsia" w:asciiTheme="minorEastAsia" w:hAnsiTheme="minorEastAsia" w:eastAsiaTheme="minorEastAsia" w:cstheme="minorEastAsia"/>
                <w:sz w:val="21"/>
                <w:szCs w:val="21"/>
              </w:rPr>
              <w:t>数据</w:t>
            </w:r>
          </w:p>
        </w:tc>
        <w:tc>
          <w:tcPr>
            <w:tcW w:w="1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tc>
      </w:tr>
    </w:tbl>
    <w:p>
      <w:pPr>
        <w:spacing w:line="360" w:lineRule="auto"/>
        <w:jc w:val="left"/>
        <w:rPr>
          <w:b/>
          <w:szCs w:val="21"/>
        </w:rPr>
      </w:pPr>
      <w:r>
        <w:rPr>
          <w:b/>
          <w:szCs w:val="21"/>
        </w:rPr>
        <w:t xml:space="preserve">4.2.1 </w:t>
      </w:r>
      <w:r>
        <w:rPr>
          <w:rFonts w:hint="eastAsia"/>
          <w:b/>
          <w:szCs w:val="21"/>
        </w:rPr>
        <w:t>资源属性指标</w:t>
      </w:r>
    </w:p>
    <w:p>
      <w:pPr>
        <w:spacing w:line="360" w:lineRule="auto"/>
        <w:ind w:firstLine="420" w:firstLineChars="200"/>
        <w:jc w:val="left"/>
        <w:rPr>
          <w:rFonts w:ascii="Times New Roman" w:hAnsi="Times New Roman"/>
          <w:szCs w:val="21"/>
        </w:rPr>
      </w:pPr>
      <w:r>
        <w:rPr>
          <w:rFonts w:hint="eastAsia"/>
          <w:szCs w:val="21"/>
        </w:rPr>
        <w:t>一级指标资源属性是描述锂生命周期中所消耗的资源，二级指标说明具体所消耗的资源，有</w:t>
      </w:r>
      <w:r>
        <w:rPr>
          <w:rFonts w:hint="eastAsia"/>
          <w:szCs w:val="21"/>
          <w:highlight w:val="none"/>
          <w:lang w:eastAsia="zh-CN"/>
        </w:rPr>
        <w:t>氯化</w:t>
      </w:r>
      <w:r>
        <w:rPr>
          <w:rFonts w:hint="eastAsia"/>
          <w:color w:val="000000"/>
          <w:szCs w:val="21"/>
          <w:highlight w:val="none"/>
        </w:rPr>
        <w:t>锂</w:t>
      </w:r>
      <w:r>
        <w:rPr>
          <w:rFonts w:hint="eastAsia"/>
          <w:color w:val="000000"/>
          <w:szCs w:val="21"/>
        </w:rPr>
        <w:t>、水</w:t>
      </w:r>
      <w:r>
        <w:rPr>
          <w:rFonts w:hint="eastAsia"/>
          <w:szCs w:val="21"/>
        </w:rPr>
        <w:t>等资源的消耗，还规定了氯化锂的化学成分要符合</w:t>
      </w:r>
      <w:r>
        <w:rPr>
          <w:rFonts w:hint="eastAsia"/>
          <w:szCs w:val="21"/>
          <w:lang w:val="de-DE"/>
        </w:rPr>
        <w:t>GB/T 10575</w:t>
      </w:r>
      <w:r>
        <w:rPr>
          <w:rFonts w:hint="eastAsia"/>
          <w:szCs w:val="21"/>
          <w:lang w:val="de-DE" w:eastAsia="zh-CN"/>
        </w:rPr>
        <w:t>《无水氯化锂》</w:t>
      </w:r>
      <w:r>
        <w:rPr>
          <w:rFonts w:hint="eastAsia"/>
          <w:szCs w:val="21"/>
          <w:lang w:val="de-DE"/>
        </w:rPr>
        <w:t>标准中的要求，</w:t>
      </w:r>
      <w:r>
        <w:rPr>
          <w:rFonts w:hint="eastAsia" w:ascii="Times New Roman" w:hAnsi="Times New Roman"/>
          <w:szCs w:val="21"/>
        </w:rPr>
        <w:t>主要是考虑从源头上减少有害元素进入生产体系，后续减少有害元素的处理和影响。</w:t>
      </w:r>
    </w:p>
    <w:p>
      <w:pPr>
        <w:spacing w:line="360" w:lineRule="auto"/>
        <w:ind w:firstLine="420" w:firstLineChars="200"/>
        <w:jc w:val="left"/>
        <w:rPr>
          <w:rFonts w:ascii="Times New Roman" w:hAnsi="Times New Roman"/>
          <w:szCs w:val="21"/>
        </w:rPr>
      </w:pPr>
      <w:r>
        <w:rPr>
          <w:rFonts w:hint="eastAsia" w:ascii="Times New Roman" w:hAnsi="Times New Roman"/>
          <w:szCs w:val="21"/>
        </w:rPr>
        <w:t>此只需要考虑最终消耗了多少LiCl—KCl熔盐即可；氯化锂及氯化钾纯度毫无疑问对资源的消耗量是有影响的，因此对于熔盐电解过程则有必要开展新技术研究来提高冶炼回收率，以减少资源消耗，或者通过开展电解新技术研究来提高电解产能，以提高回收率减少资源消耗。</w:t>
      </w:r>
    </w:p>
    <w:p>
      <w:pPr>
        <w:spacing w:line="360" w:lineRule="auto"/>
        <w:ind w:firstLine="420" w:firstLineChars="200"/>
        <w:rPr>
          <w:rFonts w:ascii="Times New Roman" w:hAnsi="Times New Roman"/>
          <w:szCs w:val="21"/>
        </w:rPr>
      </w:pPr>
      <w:r>
        <w:rPr>
          <w:rFonts w:hint="eastAsia" w:ascii="Times New Roman" w:hAnsi="Times New Roman"/>
          <w:szCs w:val="21"/>
        </w:rPr>
        <w:t>目前国内金属锂生产企业吨锂消耗新鲜水资源先进基准值为≤30</w:t>
      </w:r>
      <w:r>
        <w:rPr>
          <w:rFonts w:ascii="Times New Roman" w:hAnsi="Times New Roman"/>
          <w:szCs w:val="21"/>
        </w:rPr>
        <w:t>t</w:t>
      </w:r>
      <w:r>
        <w:rPr>
          <w:rFonts w:hint="eastAsia" w:ascii="Times New Roman" w:hAnsi="Times New Roman"/>
          <w:szCs w:val="21"/>
        </w:rPr>
        <w:t>，为该评价体系的最优值，也是锂行业先进指标，故吨锂产品的新鲜水消耗取该值。</w:t>
      </w:r>
    </w:p>
    <w:p>
      <w:pPr>
        <w:spacing w:line="360" w:lineRule="auto"/>
        <w:ind w:firstLine="420" w:firstLineChars="200"/>
        <w:rPr>
          <w:rFonts w:hint="eastAsia" w:ascii="Times New Roman" w:hAnsi="Times New Roman"/>
          <w:szCs w:val="21"/>
        </w:rPr>
      </w:pPr>
      <w:r>
        <w:rPr>
          <w:rFonts w:hint="eastAsia" w:ascii="Times New Roman" w:hAnsi="Times New Roman"/>
          <w:szCs w:val="21"/>
        </w:rPr>
        <w:t>吨锂产品的熔盐消耗量和新鲜水消耗量，判断依据都是现场采集的数据。</w:t>
      </w:r>
    </w:p>
    <w:p>
      <w:pPr>
        <w:spacing w:line="360" w:lineRule="auto"/>
        <w:ind w:firstLine="440" w:firstLineChars="200"/>
        <w:rPr>
          <w:rFonts w:ascii="宋体" w:cs="宋体"/>
          <w:color w:val="000000"/>
          <w:sz w:val="22"/>
        </w:rPr>
      </w:pPr>
      <w:r>
        <w:rPr>
          <w:rFonts w:hint="eastAsia" w:ascii="宋体" w:cs="宋体"/>
          <w:color w:val="000000"/>
          <w:sz w:val="22"/>
        </w:rPr>
        <w:t>1、吨锂产品氯化锂消耗量：生产一吨金属锂产品所消耗氯化锂的量，根据市场调研提供的数据，吨锂产品氯化锂消耗量均在6.5t/t左右，故将吨锂产品氯化锂消耗量指标的基准值定为6.5t/t。</w:t>
      </w:r>
    </w:p>
    <w:p>
      <w:pPr>
        <w:spacing w:line="360" w:lineRule="auto"/>
        <w:ind w:firstLine="440" w:firstLineChars="200"/>
        <w:rPr>
          <w:rFonts w:ascii="宋体" w:cs="宋体"/>
          <w:color w:val="000000"/>
          <w:sz w:val="22"/>
        </w:rPr>
      </w:pPr>
      <w:r>
        <w:rPr>
          <w:rFonts w:hint="eastAsia" w:ascii="宋体" w:cs="宋体"/>
          <w:color w:val="000000"/>
          <w:sz w:val="22"/>
        </w:rPr>
        <w:t>2、吨锂产品氯化钾消耗量：生产一吨金属锂产品所消耗氯化钾的量，理论上氯化钾是不会产生消耗的，但实际生产过程中，由于锂渣的产生会吸附电解质而导致氯化钾的消耗，根据市场调研提供的数据，吨锂产品氯化锂消耗量均在0.03t/t左右，故将吨锂产品氯化钾消耗量指标的基准值定为0.03t/t。</w:t>
      </w:r>
    </w:p>
    <w:p>
      <w:pPr>
        <w:spacing w:line="360" w:lineRule="auto"/>
        <w:ind w:firstLine="440" w:firstLineChars="200"/>
        <w:rPr>
          <w:rFonts w:hint="eastAsia" w:ascii="Times New Roman" w:hAnsi="Times New Roman"/>
          <w:szCs w:val="21"/>
        </w:rPr>
      </w:pPr>
      <w:r>
        <w:rPr>
          <w:rFonts w:hint="eastAsia" w:ascii="宋体" w:cs="宋体"/>
          <w:color w:val="000000"/>
          <w:sz w:val="22"/>
        </w:rPr>
        <w:t>3、吨锂产品新水消耗量：生产一吨金属锂产品所消耗的新水量，目前国内外工业化生产金属锂都是采用熔盐电解化，在生产金属锂的同时还会产生氯气，而氯气需要用稀释的液碱进行处理，液碱的稀释就需要用水，另金属锂的提纯过程需要用凉水塔进行散热，而凉水塔在散热过程中需要通过蒸发水份来进行降温，根据市场调研提供的数据，吨锂产品新水消耗量均在30t/t左右，故将吨锂产品新水消耗量指标的基准值定为30t/t。</w:t>
      </w:r>
    </w:p>
    <w:p>
      <w:pPr>
        <w:spacing w:line="360" w:lineRule="auto"/>
        <w:jc w:val="left"/>
        <w:rPr>
          <w:b/>
          <w:szCs w:val="21"/>
        </w:rPr>
      </w:pPr>
      <w:r>
        <w:rPr>
          <w:b/>
          <w:szCs w:val="21"/>
        </w:rPr>
        <w:t xml:space="preserve">4.2.2 </w:t>
      </w:r>
      <w:r>
        <w:rPr>
          <w:rFonts w:hint="eastAsia"/>
          <w:b/>
          <w:szCs w:val="21"/>
        </w:rPr>
        <w:t>能源属性指标</w:t>
      </w:r>
    </w:p>
    <w:p>
      <w:pPr>
        <w:spacing w:line="360" w:lineRule="auto"/>
        <w:rPr>
          <w:szCs w:val="21"/>
        </w:rPr>
      </w:pPr>
      <w:r>
        <w:rPr>
          <w:rFonts w:hint="eastAsia"/>
          <w:szCs w:val="21"/>
          <w:lang w:val="en-US" w:eastAsia="zh-CN"/>
        </w:rPr>
        <w:t xml:space="preserve">    </w:t>
      </w:r>
      <w:r>
        <w:rPr>
          <w:rFonts w:hint="eastAsia"/>
          <w:szCs w:val="21"/>
        </w:rPr>
        <w:t>一级指标</w:t>
      </w:r>
      <w:r>
        <w:rPr>
          <w:rFonts w:hint="eastAsia"/>
          <w:szCs w:val="21"/>
          <w:lang w:eastAsia="zh-CN"/>
        </w:rPr>
        <w:t>能源</w:t>
      </w:r>
      <w:r>
        <w:rPr>
          <w:rFonts w:hint="eastAsia"/>
          <w:szCs w:val="21"/>
        </w:rPr>
        <w:t>属性是描述锂生命周期中所消耗的各种能源，二级指标说明吨锂产品所消耗的标煤当量。</w:t>
      </w:r>
    </w:p>
    <w:p>
      <w:pPr>
        <w:spacing w:line="360" w:lineRule="auto"/>
        <w:ind w:firstLine="420" w:firstLineChars="200"/>
        <w:jc w:val="left"/>
        <w:rPr>
          <w:rFonts w:hint="eastAsia" w:ascii="Times New Roman" w:hAnsi="Times New Roman"/>
          <w:szCs w:val="21"/>
        </w:rPr>
      </w:pPr>
      <w:r>
        <w:rPr>
          <w:rFonts w:hint="eastAsia" w:ascii="Times New Roman" w:hAnsi="Times New Roman"/>
          <w:szCs w:val="21"/>
        </w:rPr>
        <w:t>锂产品能源单耗：在锂的冶炼过程中单位产品的能源消耗量，根据锂单位产品能源消耗限额标准要求，锂单位产品能耗主要分为电解工序和提纯工序，电解工序能源单耗新建准入值为5901kgce/t</w:t>
      </w:r>
      <w:r>
        <w:rPr>
          <w:rFonts w:hint="eastAsia" w:ascii="Times New Roman" w:hAnsi="Times New Roman"/>
          <w:szCs w:val="21"/>
        </w:rPr>
        <w:t>，先进值为4672kgce/t</w:t>
      </w:r>
      <w:r>
        <w:rPr>
          <w:rFonts w:hint="eastAsia" w:ascii="Times New Roman" w:hAnsi="Times New Roman"/>
          <w:szCs w:val="21"/>
        </w:rPr>
        <w:t>，限定值为7131kgce/t</w:t>
      </w:r>
      <w:r>
        <w:rPr>
          <w:rFonts w:hint="eastAsia" w:ascii="Times New Roman" w:hAnsi="Times New Roman"/>
          <w:szCs w:val="21"/>
        </w:rPr>
        <w:t>。根据调研单位提供的数据，电解工序能源单耗大部分低于先进值，故将电解工序能源单耗指标的基准值定为4672kgce/t</w:t>
      </w:r>
      <w:r>
        <w:rPr>
          <w:rFonts w:hint="eastAsia" w:ascii="Times New Roman" w:hAnsi="Times New Roman"/>
          <w:szCs w:val="21"/>
        </w:rPr>
        <w:t>。提纯工序能源单耗新建准入值为553kgce/t</w:t>
      </w:r>
      <w:r>
        <w:rPr>
          <w:rFonts w:hint="eastAsia" w:ascii="Times New Roman" w:hAnsi="Times New Roman"/>
          <w:szCs w:val="21"/>
        </w:rPr>
        <w:t>，先进值为460kgce/t</w:t>
      </w:r>
      <w:r>
        <w:rPr>
          <w:rFonts w:hint="eastAsia" w:ascii="Times New Roman" w:hAnsi="Times New Roman"/>
          <w:szCs w:val="21"/>
        </w:rPr>
        <w:t>，限定值为675kgce/t</w:t>
      </w:r>
      <w:r>
        <w:rPr>
          <w:rFonts w:hint="eastAsia" w:ascii="Times New Roman" w:hAnsi="Times New Roman"/>
          <w:szCs w:val="21"/>
        </w:rPr>
        <w:t>。根据调研单位提供的数据，提纯工序能源单耗大部分低于先进值，故将电解工序能源单耗指标的基准值定为460kgce/t</w:t>
      </w:r>
      <w:r>
        <w:rPr>
          <w:rFonts w:hint="eastAsia" w:ascii="Times New Roman" w:hAnsi="Times New Roman"/>
          <w:szCs w:val="21"/>
        </w:rPr>
        <w:t>。结合产品综合能耗，现有企业单位产品综合能耗新建准入值6513.70kgce/t，</w:t>
      </w:r>
      <w:r>
        <w:rPr>
          <w:rFonts w:hint="eastAsia" w:ascii="Times New Roman" w:hAnsi="Times New Roman"/>
          <w:szCs w:val="21"/>
        </w:rPr>
        <w:t>先进值5132.80kgce/t，</w:t>
      </w:r>
      <w:r>
        <w:rPr>
          <w:rFonts w:hint="eastAsia" w:ascii="Times New Roman" w:hAnsi="Times New Roman"/>
          <w:szCs w:val="21"/>
        </w:rPr>
        <w:t>限定值7131.20kgce/t，</w:t>
      </w:r>
      <w:r>
        <w:rPr>
          <w:rFonts w:hint="eastAsia" w:ascii="Times New Roman" w:hAnsi="Times New Roman"/>
          <w:szCs w:val="21"/>
        </w:rPr>
        <w:t>故锂单位产品能源单耗指标的基准值定为5132.80kgce/t。</w:t>
      </w:r>
    </w:p>
    <w:p>
      <w:pPr>
        <w:spacing w:line="360" w:lineRule="auto"/>
        <w:jc w:val="left"/>
        <w:rPr>
          <w:b/>
          <w:szCs w:val="21"/>
        </w:rPr>
      </w:pPr>
      <w:r>
        <w:rPr>
          <w:b/>
          <w:szCs w:val="21"/>
        </w:rPr>
        <w:t xml:space="preserve">4.2.3 </w:t>
      </w:r>
      <w:r>
        <w:rPr>
          <w:rFonts w:hint="eastAsia"/>
          <w:b/>
          <w:szCs w:val="21"/>
        </w:rPr>
        <w:t>环境属性指标</w:t>
      </w:r>
    </w:p>
    <w:p>
      <w:pPr>
        <w:spacing w:line="360" w:lineRule="auto"/>
        <w:ind w:firstLine="420" w:firstLineChars="200"/>
        <w:rPr>
          <w:color w:val="000000"/>
        </w:rPr>
      </w:pPr>
      <w:r>
        <w:rPr>
          <w:rFonts w:hint="eastAsia"/>
          <w:szCs w:val="21"/>
        </w:rPr>
        <w:t>一级指标</w:t>
      </w:r>
      <w:r>
        <w:rPr>
          <w:rFonts w:hint="eastAsia" w:ascii="Times New Roman" w:hAnsi="Times New Roman"/>
          <w:szCs w:val="21"/>
        </w:rPr>
        <w:t>环境属性是描述锂生命周期中向环境排放的各种污染物，是本标准的核心指标，因为资源属性、能源属性指标最终在评价报告中都会转化为对环境排放的污染物数量，来考察其环境影响。二级指标主要是说明对环境排放的水污染物和大气污染物的排放限值，水污染物排放的种类为生活污水，无工业污水，大气污染物排放的种类有：氯气、</w:t>
      </w:r>
      <w:r>
        <w:rPr>
          <w:rFonts w:hint="eastAsia" w:ascii="Times New Roman" w:hAnsi="Times New Roman"/>
          <w:szCs w:val="21"/>
          <w:highlight w:val="none"/>
        </w:rPr>
        <w:t>氯化氢</w:t>
      </w:r>
      <w:r>
        <w:rPr>
          <w:rFonts w:hint="eastAsia"/>
          <w:color w:val="000000"/>
        </w:rPr>
        <w:t>。因为</w:t>
      </w:r>
      <w:r>
        <w:rPr>
          <w:rFonts w:hint="eastAsia" w:ascii="Times New Roman" w:hAnsi="Times New Roman"/>
          <w:szCs w:val="21"/>
        </w:rPr>
        <w:t>水污染物和大气污染物最终会影响土壤，同时作为与土壤最可能直接接触的废渣，已经在评价基本要求中进行了明确，要求对锂冶炼锂渣进行资源化利用、无害化处理，这是评价的基础，因此</w:t>
      </w:r>
      <w:r>
        <w:rPr>
          <w:rFonts w:hint="eastAsia"/>
          <w:color w:val="000000"/>
        </w:rPr>
        <w:t>二级指标环境资指标没有涉及土壤污染物排放。</w:t>
      </w:r>
    </w:p>
    <w:p>
      <w:pPr>
        <w:widowControl/>
        <w:spacing w:line="360" w:lineRule="auto"/>
        <w:ind w:firstLine="420" w:firstLineChars="200"/>
        <w:rPr>
          <w:rFonts w:ascii="宋体" w:hAnsi="宋体"/>
          <w:sz w:val="24"/>
          <w:szCs w:val="24"/>
        </w:rPr>
      </w:pPr>
      <w:r>
        <w:rPr>
          <w:rFonts w:hint="eastAsia"/>
          <w:color w:val="000000"/>
          <w:szCs w:val="21"/>
        </w:rPr>
        <w:t>水污染物排放限值和大气污染物排放浓度限值控制指标全部引用</w:t>
      </w:r>
      <w:bookmarkStart w:id="27" w:name="_GoBack"/>
      <w:bookmarkEnd w:id="27"/>
      <w:r>
        <w:rPr>
          <w:rFonts w:hint="eastAsia"/>
          <w:szCs w:val="21"/>
        </w:rPr>
        <w:t>GB</w:t>
      </w:r>
      <w:r>
        <w:rPr>
          <w:rFonts w:hint="eastAsia"/>
          <w:szCs w:val="21"/>
          <w:lang w:val="en-US" w:eastAsia="zh-CN"/>
        </w:rPr>
        <w:t xml:space="preserve"> </w:t>
      </w:r>
      <w:r>
        <w:rPr>
          <w:rFonts w:hint="eastAsia"/>
          <w:szCs w:val="21"/>
        </w:rPr>
        <w:t>8978《污水综合排放标准》、GB</w:t>
      </w:r>
      <w:r>
        <w:rPr>
          <w:rFonts w:hint="eastAsia"/>
          <w:szCs w:val="21"/>
          <w:lang w:val="en-US" w:eastAsia="zh-CN"/>
        </w:rPr>
        <w:t xml:space="preserve"> </w:t>
      </w:r>
      <w:r>
        <w:rPr>
          <w:rFonts w:hint="eastAsia"/>
          <w:szCs w:val="21"/>
        </w:rPr>
        <w:t>16297《大气污染物综合排放标准》规定的新建企业排放限值控制指标，因此本标准主要持行其新建企业排放指标的</w:t>
      </w:r>
      <w:r>
        <w:rPr>
          <w:rFonts w:hint="eastAsia" w:ascii="Times New Roman" w:hAnsi="Times New Roman"/>
          <w:szCs w:val="21"/>
        </w:rPr>
        <w:t>规定，故将环境属性指标基准值不进行具体量化，直接</w:t>
      </w:r>
      <w:r>
        <w:rPr>
          <w:rFonts w:ascii="Times New Roman" w:hAnsi="Times New Roman"/>
          <w:szCs w:val="21"/>
        </w:rPr>
        <w:t>符合</w:t>
      </w:r>
      <w:r>
        <w:rPr>
          <w:szCs w:val="21"/>
        </w:rPr>
        <w:t>GB</w:t>
      </w:r>
      <w:r>
        <w:rPr>
          <w:rFonts w:hint="eastAsia"/>
          <w:szCs w:val="21"/>
          <w:lang w:val="en-US" w:eastAsia="zh-CN"/>
        </w:rPr>
        <w:t xml:space="preserve"> </w:t>
      </w:r>
      <w:r>
        <w:rPr>
          <w:rFonts w:hint="eastAsia"/>
          <w:szCs w:val="21"/>
        </w:rPr>
        <w:t>31573、GB</w:t>
      </w:r>
      <w:r>
        <w:rPr>
          <w:rFonts w:hint="eastAsia"/>
          <w:szCs w:val="21"/>
          <w:lang w:val="en-US" w:eastAsia="zh-CN"/>
        </w:rPr>
        <w:t xml:space="preserve"> </w:t>
      </w:r>
      <w:r>
        <w:rPr>
          <w:rFonts w:hint="eastAsia"/>
          <w:szCs w:val="21"/>
        </w:rPr>
        <w:t>8978</w:t>
      </w:r>
      <w:r>
        <w:rPr>
          <w:rFonts w:hint="eastAsia" w:ascii="Times New Roman" w:hAnsi="Times New Roman"/>
          <w:szCs w:val="21"/>
        </w:rPr>
        <w:t>和</w:t>
      </w:r>
      <w:r>
        <w:rPr>
          <w:rFonts w:hint="eastAsia"/>
          <w:szCs w:val="21"/>
        </w:rPr>
        <w:t>GB</w:t>
      </w:r>
      <w:r>
        <w:rPr>
          <w:rFonts w:hint="eastAsia"/>
          <w:szCs w:val="21"/>
          <w:lang w:val="en-US" w:eastAsia="zh-CN"/>
        </w:rPr>
        <w:t xml:space="preserve"> </w:t>
      </w:r>
      <w:r>
        <w:rPr>
          <w:rFonts w:hint="eastAsia"/>
          <w:szCs w:val="21"/>
        </w:rPr>
        <w:t>16297</w:t>
      </w:r>
      <w:r>
        <w:rPr>
          <w:rFonts w:ascii="Times New Roman" w:hAnsi="Times New Roman"/>
          <w:szCs w:val="21"/>
        </w:rPr>
        <w:t>的规定</w:t>
      </w:r>
      <w:r>
        <w:rPr>
          <w:rFonts w:hint="eastAsia" w:ascii="Times New Roman" w:hAnsi="Times New Roman"/>
          <w:szCs w:val="21"/>
        </w:rPr>
        <w:t>。</w:t>
      </w:r>
    </w:p>
    <w:p>
      <w:pPr>
        <w:spacing w:line="360" w:lineRule="auto"/>
        <w:jc w:val="left"/>
        <w:rPr>
          <w:b/>
          <w:szCs w:val="21"/>
        </w:rPr>
      </w:pPr>
      <w:r>
        <w:rPr>
          <w:b/>
          <w:szCs w:val="21"/>
        </w:rPr>
        <w:t xml:space="preserve">4.2.4 </w:t>
      </w:r>
      <w:r>
        <w:rPr>
          <w:rFonts w:hint="eastAsia"/>
          <w:b/>
          <w:szCs w:val="21"/>
        </w:rPr>
        <w:t>质量属性指标</w:t>
      </w:r>
    </w:p>
    <w:p>
      <w:pPr>
        <w:spacing w:line="360" w:lineRule="auto"/>
        <w:ind w:firstLine="420" w:firstLineChars="200"/>
        <w:rPr>
          <w:szCs w:val="21"/>
        </w:rPr>
      </w:pPr>
      <w:r>
        <w:rPr>
          <w:rFonts w:hint="eastAsia"/>
          <w:szCs w:val="21"/>
        </w:rPr>
        <w:t>一级指标质量</w:t>
      </w:r>
      <w:r>
        <w:rPr>
          <w:rFonts w:hint="eastAsia" w:ascii="Times New Roman" w:hAnsi="Times New Roman"/>
          <w:szCs w:val="21"/>
        </w:rPr>
        <w:t>属性是描述锂产品可能向环境排放的有害物质。</w:t>
      </w:r>
      <w:r>
        <w:rPr>
          <w:rFonts w:hint="eastAsia"/>
          <w:szCs w:val="21"/>
        </w:rPr>
        <w:t>二级指标说明具体的有害物质，有镍、镁、铅和铜，这些元素都是原料中带入，因此在精炼过程必须尽可能脱除，同时要从源头减少带入。</w:t>
      </w:r>
    </w:p>
    <w:p>
      <w:pPr>
        <w:widowControl/>
        <w:spacing w:line="360" w:lineRule="auto"/>
        <w:ind w:firstLine="420" w:firstLineChars="200"/>
        <w:rPr>
          <w:rFonts w:ascii="Times New Roman" w:hAnsi="Times New Roman"/>
          <w:szCs w:val="21"/>
        </w:rPr>
      </w:pPr>
      <w:r>
        <w:rPr>
          <w:rFonts w:hint="eastAsia"/>
          <w:szCs w:val="21"/>
        </w:rPr>
        <w:t>在</w:t>
      </w:r>
      <w:r>
        <w:rPr>
          <w:rFonts w:ascii="Times New Roman" w:hAnsi="Times New Roman"/>
          <w:szCs w:val="21"/>
        </w:rPr>
        <w:t>GB/T</w:t>
      </w:r>
      <w:r>
        <w:rPr>
          <w:rFonts w:hint="eastAsia" w:ascii="Times New Roman" w:hAnsi="Times New Roman"/>
          <w:szCs w:val="21"/>
        </w:rPr>
        <w:t>4369《锂》中，对锂产品品级进行了分类，分为6个级品，对锂产品中所含的杂质元素进行了规定，故将产品质量指标基准值不进行具体量化，</w:t>
      </w:r>
      <w:r>
        <w:rPr>
          <w:rFonts w:hint="eastAsia"/>
          <w:szCs w:val="21"/>
        </w:rPr>
        <w:t>锂产品的化学成分要直接符合</w:t>
      </w:r>
      <w:r>
        <w:rPr>
          <w:rFonts w:ascii="Times New Roman" w:hAnsi="Times New Roman"/>
          <w:szCs w:val="21"/>
        </w:rPr>
        <w:t>GB/T</w:t>
      </w:r>
      <w:r>
        <w:rPr>
          <w:rFonts w:hint="eastAsia" w:ascii="Times New Roman" w:hAnsi="Times New Roman"/>
          <w:szCs w:val="21"/>
        </w:rPr>
        <w:t>4369《锂》规定，关于</w:t>
      </w:r>
      <w:r>
        <w:rPr>
          <w:rFonts w:hint="eastAsia"/>
          <w:szCs w:val="21"/>
        </w:rPr>
        <w:t>锂产品各级品的要求，Li—3（</w:t>
      </w:r>
      <w:r>
        <w:rPr>
          <w:szCs w:val="21"/>
        </w:rPr>
        <w:t>99.</w:t>
      </w:r>
      <w:r>
        <w:rPr>
          <w:rFonts w:hint="eastAsia"/>
          <w:szCs w:val="21"/>
        </w:rPr>
        <w:t>9</w:t>
      </w:r>
      <w:r>
        <w:rPr>
          <w:szCs w:val="21"/>
        </w:rPr>
        <w:t>0</w:t>
      </w:r>
      <w:r>
        <w:rPr>
          <w:rFonts w:hint="eastAsia"/>
          <w:szCs w:val="21"/>
        </w:rPr>
        <w:t>）、Li—4（</w:t>
      </w:r>
      <w:r>
        <w:rPr>
          <w:szCs w:val="21"/>
        </w:rPr>
        <w:t>99.</w:t>
      </w:r>
      <w:r>
        <w:rPr>
          <w:rFonts w:hint="eastAsia"/>
          <w:szCs w:val="21"/>
        </w:rPr>
        <w:t>0</w:t>
      </w:r>
      <w:r>
        <w:rPr>
          <w:szCs w:val="21"/>
        </w:rPr>
        <w:t>0</w:t>
      </w:r>
      <w:r>
        <w:rPr>
          <w:rFonts w:hint="eastAsia"/>
          <w:szCs w:val="21"/>
        </w:rPr>
        <w:t>）、Li—5（</w:t>
      </w:r>
      <w:r>
        <w:rPr>
          <w:szCs w:val="21"/>
        </w:rPr>
        <w:t>9</w:t>
      </w:r>
      <w:r>
        <w:rPr>
          <w:rFonts w:hint="eastAsia"/>
          <w:szCs w:val="21"/>
        </w:rPr>
        <w:t>8</w:t>
      </w:r>
      <w:r>
        <w:rPr>
          <w:szCs w:val="21"/>
        </w:rPr>
        <w:t>.</w:t>
      </w:r>
      <w:r>
        <w:rPr>
          <w:rFonts w:hint="eastAsia"/>
          <w:szCs w:val="21"/>
        </w:rPr>
        <w:t>5</w:t>
      </w:r>
      <w:r>
        <w:rPr>
          <w:szCs w:val="21"/>
        </w:rPr>
        <w:t>0</w:t>
      </w:r>
      <w:r>
        <w:rPr>
          <w:rFonts w:hint="eastAsia"/>
          <w:szCs w:val="21"/>
        </w:rPr>
        <w:t>）级品的锂产品是最主要产品。</w:t>
      </w:r>
    </w:p>
    <w:p>
      <w:pPr>
        <w:spacing w:line="360" w:lineRule="auto"/>
        <w:rPr>
          <w:b/>
          <w:sz w:val="24"/>
          <w:szCs w:val="24"/>
        </w:rPr>
      </w:pPr>
      <w:bookmarkStart w:id="14" w:name="_Toc508797682"/>
      <w:r>
        <w:rPr>
          <w:b/>
          <w:sz w:val="24"/>
          <w:szCs w:val="24"/>
        </w:rPr>
        <w:t xml:space="preserve">5 </w:t>
      </w:r>
      <w:r>
        <w:rPr>
          <w:rFonts w:hint="eastAsia"/>
          <w:b/>
          <w:sz w:val="24"/>
          <w:szCs w:val="24"/>
        </w:rPr>
        <w:t>生命周期评价报告编制方法</w:t>
      </w:r>
      <w:bookmarkEnd w:id="14"/>
    </w:p>
    <w:p>
      <w:pPr>
        <w:spacing w:line="360" w:lineRule="auto"/>
        <w:jc w:val="left"/>
        <w:rPr>
          <w:b/>
          <w:sz w:val="24"/>
          <w:szCs w:val="24"/>
        </w:rPr>
      </w:pPr>
      <w:r>
        <w:rPr>
          <w:b/>
          <w:sz w:val="24"/>
          <w:szCs w:val="24"/>
        </w:rPr>
        <w:t xml:space="preserve">5.1 </w:t>
      </w:r>
      <w:r>
        <w:rPr>
          <w:rFonts w:hint="eastAsia"/>
          <w:b/>
          <w:sz w:val="24"/>
          <w:szCs w:val="24"/>
        </w:rPr>
        <w:t>生命周期评价方法</w:t>
      </w:r>
    </w:p>
    <w:p>
      <w:pPr>
        <w:spacing w:line="360" w:lineRule="auto"/>
        <w:ind w:firstLine="420" w:firstLineChars="200"/>
        <w:rPr>
          <w:b/>
          <w:sz w:val="24"/>
          <w:szCs w:val="24"/>
        </w:rPr>
      </w:pPr>
      <w:r>
        <w:rPr>
          <w:rFonts w:hint="eastAsia" w:ascii="Times New Roman" w:hAnsi="Times New Roman"/>
          <w:szCs w:val="21"/>
        </w:rPr>
        <w:t>应依据附录B中生命周期评价方法，来对锂产品进行生命周期评价。</w:t>
      </w:r>
    </w:p>
    <w:p>
      <w:pPr>
        <w:spacing w:line="360" w:lineRule="auto"/>
        <w:rPr>
          <w:b/>
          <w:sz w:val="24"/>
          <w:szCs w:val="24"/>
        </w:rPr>
      </w:pPr>
      <w:r>
        <w:rPr>
          <w:b/>
          <w:sz w:val="24"/>
          <w:szCs w:val="24"/>
        </w:rPr>
        <w:t xml:space="preserve">5.2 </w:t>
      </w:r>
      <w:r>
        <w:rPr>
          <w:rFonts w:hint="eastAsia"/>
          <w:b/>
          <w:sz w:val="24"/>
          <w:szCs w:val="24"/>
        </w:rPr>
        <w:t>评价范围的确定</w:t>
      </w:r>
    </w:p>
    <w:p>
      <w:pPr>
        <w:spacing w:line="360" w:lineRule="auto"/>
        <w:ind w:firstLine="420" w:firstLineChars="200"/>
        <w:jc w:val="left"/>
        <w:rPr>
          <w:szCs w:val="21"/>
        </w:rPr>
      </w:pPr>
      <w:r>
        <w:rPr>
          <w:rFonts w:hint="eastAsia"/>
          <w:szCs w:val="21"/>
        </w:rPr>
        <w:t>在锂产品的整个生命周期中，生产阶段活动对环境的影响是最大的。目前锂产品主要用于锂电池生产，无废水、废气产生，对环境的影响很小；其他的用途都是相对较少的，且分散，难以回收处理，因此锂产品的生命周期评价以生产阶段为主。</w:t>
      </w:r>
    </w:p>
    <w:p>
      <w:pPr>
        <w:spacing w:line="360" w:lineRule="auto"/>
        <w:ind w:firstLine="420" w:firstLineChars="200"/>
        <w:jc w:val="left"/>
        <w:rPr>
          <w:szCs w:val="21"/>
        </w:rPr>
      </w:pPr>
      <w:r>
        <w:rPr>
          <w:rFonts w:hint="eastAsia"/>
          <w:szCs w:val="21"/>
        </w:rPr>
        <w:t>锂产品生命周期评价范围包括锂生产和锂包装阶段。锂生产包括LiCl—KCl熔盐电解生产粗锂、粗锂精炼生产锂两个过程。</w:t>
      </w:r>
    </w:p>
    <w:p>
      <w:pPr>
        <w:spacing w:line="360" w:lineRule="auto"/>
        <w:ind w:firstLine="420" w:firstLineChars="200"/>
        <w:rPr>
          <w:szCs w:val="21"/>
        </w:rPr>
      </w:pPr>
      <w:r>
        <w:rPr>
          <w:rFonts w:hint="eastAsia" w:ascii="Times New Roman" w:hAnsi="Times New Roman"/>
          <w:szCs w:val="21"/>
        </w:rPr>
        <w:t>评价范围</w:t>
      </w:r>
      <w:r>
        <w:rPr>
          <w:rFonts w:hint="eastAsia"/>
          <w:szCs w:val="21"/>
        </w:rPr>
        <w:t>单元过程数据的取舍原则如下：</w:t>
      </w:r>
    </w:p>
    <w:p>
      <w:pPr>
        <w:spacing w:line="360" w:lineRule="auto"/>
        <w:ind w:firstLine="420" w:firstLineChars="200"/>
        <w:jc w:val="left"/>
        <w:rPr>
          <w:szCs w:val="21"/>
        </w:rPr>
      </w:pPr>
      <w:r>
        <w:rPr>
          <w:szCs w:val="21"/>
        </w:rPr>
        <w:t>a</w:t>
      </w:r>
      <w:r>
        <w:rPr>
          <w:rFonts w:hint="eastAsia"/>
          <w:szCs w:val="21"/>
        </w:rPr>
        <w:t>）能源的所有输入均列出；</w:t>
      </w:r>
    </w:p>
    <w:p>
      <w:pPr>
        <w:spacing w:line="360" w:lineRule="auto"/>
        <w:ind w:firstLine="420" w:firstLineChars="200"/>
        <w:jc w:val="left"/>
        <w:rPr>
          <w:szCs w:val="21"/>
        </w:rPr>
      </w:pPr>
      <w:r>
        <w:rPr>
          <w:szCs w:val="21"/>
        </w:rPr>
        <w:t>b</w:t>
      </w:r>
      <w:r>
        <w:rPr>
          <w:rFonts w:hint="eastAsia"/>
          <w:szCs w:val="21"/>
        </w:rPr>
        <w:t>）原料的所有输入均列出；</w:t>
      </w:r>
    </w:p>
    <w:p>
      <w:pPr>
        <w:spacing w:line="360" w:lineRule="auto"/>
        <w:ind w:firstLine="420" w:firstLineChars="200"/>
        <w:jc w:val="left"/>
        <w:rPr>
          <w:szCs w:val="21"/>
        </w:rPr>
      </w:pPr>
      <w:r>
        <w:rPr>
          <w:szCs w:val="21"/>
        </w:rPr>
        <w:t>c</w:t>
      </w:r>
      <w:r>
        <w:rPr>
          <w:rFonts w:hint="eastAsia"/>
          <w:szCs w:val="21"/>
        </w:rPr>
        <w:t>）辅助材料质量小于原料总耗</w:t>
      </w:r>
      <w:r>
        <w:rPr>
          <w:szCs w:val="21"/>
        </w:rPr>
        <w:t>0.1%</w:t>
      </w:r>
      <w:r>
        <w:rPr>
          <w:rFonts w:hint="eastAsia"/>
          <w:szCs w:val="21"/>
        </w:rPr>
        <w:t>的项目输入可以忽略；</w:t>
      </w:r>
    </w:p>
    <w:p>
      <w:pPr>
        <w:spacing w:line="360" w:lineRule="auto"/>
        <w:ind w:firstLine="420" w:firstLineChars="200"/>
        <w:jc w:val="left"/>
        <w:rPr>
          <w:szCs w:val="21"/>
        </w:rPr>
      </w:pPr>
      <w:r>
        <w:rPr>
          <w:szCs w:val="21"/>
        </w:rPr>
        <w:t>d</w:t>
      </w:r>
      <w:r>
        <w:rPr>
          <w:rFonts w:hint="eastAsia"/>
          <w:szCs w:val="21"/>
        </w:rPr>
        <w:t>）大气、水、土壤的各种排放均列出；</w:t>
      </w:r>
    </w:p>
    <w:p>
      <w:pPr>
        <w:spacing w:line="360" w:lineRule="auto"/>
        <w:ind w:firstLine="420" w:firstLineChars="200"/>
        <w:jc w:val="left"/>
        <w:rPr>
          <w:szCs w:val="21"/>
        </w:rPr>
      </w:pPr>
      <w:r>
        <w:rPr>
          <w:szCs w:val="21"/>
        </w:rPr>
        <w:t>e</w:t>
      </w:r>
      <w:r>
        <w:rPr>
          <w:rFonts w:hint="eastAsia"/>
          <w:szCs w:val="21"/>
        </w:rPr>
        <w:t>）厂房的基础设施、各工序的设备、厂区内人</w:t>
      </w:r>
      <w:r>
        <w:rPr>
          <w:rFonts w:hint="eastAsia"/>
          <w:szCs w:val="21"/>
          <w:lang w:eastAsia="zh-CN"/>
        </w:rPr>
        <w:t>员</w:t>
      </w:r>
      <w:r>
        <w:rPr>
          <w:rFonts w:hint="eastAsia"/>
          <w:szCs w:val="21"/>
        </w:rPr>
        <w:t>及生活设施的消耗和排放，均忽略；</w:t>
      </w:r>
    </w:p>
    <w:p>
      <w:pPr>
        <w:spacing w:line="360" w:lineRule="auto"/>
        <w:ind w:firstLine="420" w:firstLineChars="200"/>
        <w:jc w:val="left"/>
        <w:rPr>
          <w:szCs w:val="21"/>
        </w:rPr>
      </w:pPr>
      <w:r>
        <w:rPr>
          <w:szCs w:val="21"/>
        </w:rPr>
        <w:t>f</w:t>
      </w:r>
      <w:r>
        <w:rPr>
          <w:rFonts w:hint="eastAsia"/>
          <w:szCs w:val="21"/>
        </w:rPr>
        <w:t>）取舍原则不适用于有毒有害物质，任何有毒有害的材料和物质均应包含于清单中。</w:t>
      </w:r>
    </w:p>
    <w:p>
      <w:pPr>
        <w:spacing w:line="360" w:lineRule="auto"/>
        <w:rPr>
          <w:b/>
          <w:sz w:val="24"/>
          <w:szCs w:val="24"/>
        </w:rPr>
      </w:pPr>
      <w:r>
        <w:rPr>
          <w:b/>
          <w:sz w:val="24"/>
          <w:szCs w:val="24"/>
        </w:rPr>
        <w:t xml:space="preserve">5.3 </w:t>
      </w:r>
      <w:r>
        <w:rPr>
          <w:rFonts w:hint="eastAsia"/>
          <w:b/>
          <w:sz w:val="24"/>
          <w:szCs w:val="24"/>
        </w:rPr>
        <w:t>数据清单分析</w:t>
      </w:r>
    </w:p>
    <w:p>
      <w:pPr>
        <w:spacing w:line="360" w:lineRule="auto"/>
        <w:ind w:firstLine="420" w:firstLineChars="200"/>
        <w:rPr>
          <w:rFonts w:ascii="Times New Roman" w:hAnsi="Times New Roman"/>
          <w:szCs w:val="21"/>
        </w:rPr>
      </w:pPr>
      <w:r>
        <w:rPr>
          <w:rFonts w:hint="eastAsia" w:ascii="Times New Roman" w:hAnsi="Times New Roman"/>
          <w:szCs w:val="21"/>
        </w:rPr>
        <w:t>根据“附录B</w:t>
      </w:r>
      <w:r>
        <w:rPr>
          <w:rFonts w:ascii="Times New Roman" w:hAnsi="Times New Roman"/>
          <w:szCs w:val="21"/>
        </w:rPr>
        <w:t>.3</w:t>
      </w:r>
      <w:r>
        <w:rPr>
          <w:rFonts w:hint="eastAsia" w:ascii="Times New Roman" w:hAnsi="Times New Roman"/>
          <w:szCs w:val="21"/>
        </w:rPr>
        <w:t>”对数据清单进行分析，明确数据范围，采集各个阶段的现场数据和背景数据，对采集的数据进行计算，合并相同类型数据，有多个产品的，还要基于一定原则对数据进行分配。</w:t>
      </w:r>
    </w:p>
    <w:p>
      <w:pPr>
        <w:spacing w:line="360" w:lineRule="auto"/>
        <w:rPr>
          <w:rFonts w:ascii="Times New Roman" w:hAnsi="Times New Roman"/>
          <w:szCs w:val="21"/>
        </w:rPr>
      </w:pPr>
      <w:r>
        <w:rPr>
          <w:b/>
          <w:sz w:val="24"/>
          <w:szCs w:val="24"/>
        </w:rPr>
        <w:t xml:space="preserve">5.4 </w:t>
      </w:r>
      <w:r>
        <w:rPr>
          <w:rFonts w:hint="eastAsia"/>
          <w:b/>
          <w:sz w:val="24"/>
          <w:szCs w:val="24"/>
        </w:rPr>
        <w:t>生命周期影响评价</w:t>
      </w:r>
    </w:p>
    <w:p>
      <w:pPr>
        <w:spacing w:line="360" w:lineRule="auto"/>
        <w:ind w:firstLine="420" w:firstLineChars="200"/>
        <w:rPr>
          <w:szCs w:val="21"/>
        </w:rPr>
      </w:pPr>
      <w:r>
        <w:rPr>
          <w:rFonts w:hint="eastAsia" w:ascii="Times New Roman" w:hAnsi="Times New Roman"/>
          <w:szCs w:val="21"/>
        </w:rPr>
        <w:t>根据“附录B</w:t>
      </w:r>
      <w:r>
        <w:rPr>
          <w:rFonts w:ascii="Times New Roman" w:hAnsi="Times New Roman"/>
          <w:szCs w:val="21"/>
        </w:rPr>
        <w:t xml:space="preserve">.4 </w:t>
      </w:r>
      <w:r>
        <w:rPr>
          <w:rFonts w:hint="eastAsia" w:ascii="Times New Roman" w:hAnsi="Times New Roman"/>
          <w:szCs w:val="21"/>
        </w:rPr>
        <w:t>”对前述所整理的数据开展锂产品生命周期影响评价，对潜在的环境影响进行评价。</w:t>
      </w:r>
      <w:r>
        <w:rPr>
          <w:rFonts w:hint="eastAsia"/>
          <w:szCs w:val="21"/>
        </w:rPr>
        <w:t>环境影响类型可分为资源消耗、气候变化、酸化、富营养化、光化学烟雾、固体废弃物以及可吸入颗粒物等</w:t>
      </w:r>
      <w:r>
        <w:rPr>
          <w:szCs w:val="21"/>
        </w:rPr>
        <w:t>7</w:t>
      </w:r>
      <w:r>
        <w:rPr>
          <w:rFonts w:hint="eastAsia"/>
          <w:szCs w:val="21"/>
        </w:rPr>
        <w:t>种，对环境影响类型的影响区域也进行了说明，具有全球影响的有资源消耗和气候变化，具有区域性影响的有酸化、富营养化和光化学烟雾，具有局地性影响的有固体废弃物和可吸入颗粒物。</w:t>
      </w:r>
    </w:p>
    <w:p>
      <w:pPr>
        <w:spacing w:line="360" w:lineRule="auto"/>
        <w:ind w:firstLine="420" w:firstLineChars="200"/>
        <w:rPr>
          <w:rFonts w:ascii="Times New Roman" w:hAnsi="Times New Roman"/>
          <w:szCs w:val="21"/>
        </w:rPr>
      </w:pPr>
      <w:r>
        <w:rPr>
          <w:rFonts w:hint="eastAsia" w:ascii="Times New Roman" w:hAnsi="Times New Roman"/>
          <w:szCs w:val="21"/>
        </w:rPr>
        <w:t>资源消耗的清单因子主要是考虑氯化锂，因为相对于其他消耗资源而言，氯化锂是最主要和最重要的资源；其他资源消耗种类繁多，在目前生命周期评价数据库不完善的条件下，也难以评估其资源消耗当量，因此最终考虑资源消耗的清单因子为氯化锂，其特征化因子为</w:t>
      </w:r>
      <w:r>
        <w:rPr>
          <w:rFonts w:ascii="Times New Roman" w:hAnsi="Times New Roman"/>
          <w:szCs w:val="21"/>
        </w:rPr>
        <w:t>1</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hint="eastAsia" w:ascii="Times New Roman" w:hAnsi="Times New Roman"/>
          <w:szCs w:val="21"/>
        </w:rPr>
        <w:t>其他的</w:t>
      </w:r>
      <w:r>
        <w:rPr>
          <w:rFonts w:hint="eastAsia"/>
          <w:szCs w:val="21"/>
        </w:rPr>
        <w:t>气候变化、酸化、富营养化、光化学烟雾的清单因子，根据锂冶炼的实际情况和特点，分别选取了不同的物质。固体废弃物的清单因子，主要是考锂渣，因为锂渣是必须要进行资源化或无害化处理的，所以这是产品评价的前提。</w:t>
      </w:r>
    </w:p>
    <w:p>
      <w:pPr>
        <w:spacing w:line="360" w:lineRule="auto"/>
        <w:ind w:firstLine="420" w:firstLineChars="200"/>
        <w:rPr>
          <w:rFonts w:ascii="Times New Roman" w:hAnsi="Times New Roman"/>
          <w:szCs w:val="21"/>
        </w:rPr>
      </w:pPr>
      <w:r>
        <w:rPr>
          <w:rFonts w:hint="eastAsia" w:ascii="Times New Roman" w:hAnsi="Times New Roman"/>
          <w:szCs w:val="21"/>
        </w:rPr>
        <w:t>对于各个影响类别的特征化因子也进行了进一步说明，以便进行分类汇总，特征化因子见下表：</w:t>
      </w:r>
    </w:p>
    <w:tbl>
      <w:tblPr>
        <w:tblStyle w:val="17"/>
        <w:tblW w:w="99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blHeader/>
        </w:trPr>
        <w:tc>
          <w:tcPr>
            <w:tcW w:w="2490" w:type="dxa"/>
            <w:vAlign w:val="center"/>
          </w:tcPr>
          <w:p>
            <w:pPr>
              <w:jc w:val="center"/>
              <w:rPr>
                <w:color w:val="000000" w:themeColor="text1"/>
                <w:szCs w:val="21"/>
              </w:rPr>
            </w:pPr>
            <w:r>
              <w:rPr>
                <w:rFonts w:hint="eastAsia"/>
                <w:color w:val="000000" w:themeColor="text1"/>
                <w:szCs w:val="21"/>
              </w:rPr>
              <w:t>影响类别</w:t>
            </w:r>
          </w:p>
        </w:tc>
        <w:tc>
          <w:tcPr>
            <w:tcW w:w="2490" w:type="dxa"/>
            <w:vAlign w:val="center"/>
          </w:tcPr>
          <w:p>
            <w:pPr>
              <w:jc w:val="center"/>
              <w:rPr>
                <w:color w:val="000000" w:themeColor="text1"/>
                <w:szCs w:val="21"/>
              </w:rPr>
            </w:pPr>
            <w:r>
              <w:rPr>
                <w:rFonts w:hint="eastAsia"/>
                <w:color w:val="000000" w:themeColor="text1"/>
                <w:szCs w:val="21"/>
              </w:rPr>
              <w:t>单位</w:t>
            </w:r>
          </w:p>
        </w:tc>
        <w:tc>
          <w:tcPr>
            <w:tcW w:w="2491" w:type="dxa"/>
            <w:vAlign w:val="center"/>
          </w:tcPr>
          <w:p>
            <w:pPr>
              <w:jc w:val="center"/>
              <w:rPr>
                <w:color w:val="000000" w:themeColor="text1"/>
                <w:szCs w:val="21"/>
              </w:rPr>
            </w:pPr>
            <w:r>
              <w:rPr>
                <w:rFonts w:hint="eastAsia"/>
                <w:color w:val="000000" w:themeColor="text1"/>
                <w:szCs w:val="21"/>
              </w:rPr>
              <w:t>指标参数</w:t>
            </w:r>
          </w:p>
        </w:tc>
        <w:tc>
          <w:tcPr>
            <w:tcW w:w="2491" w:type="dxa"/>
            <w:vAlign w:val="center"/>
          </w:tcPr>
          <w:p>
            <w:pPr>
              <w:jc w:val="center"/>
              <w:rPr>
                <w:color w:val="000000" w:themeColor="text1"/>
                <w:szCs w:val="21"/>
              </w:rPr>
            </w:pPr>
            <w:r>
              <w:rPr>
                <w:rFonts w:hint="eastAsia"/>
                <w:color w:val="000000" w:themeColor="text1"/>
                <w:szCs w:val="21"/>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vAlign w:val="center"/>
          </w:tcPr>
          <w:p>
            <w:pPr>
              <w:jc w:val="center"/>
              <w:rPr>
                <w:color w:val="000000" w:themeColor="text1"/>
                <w:szCs w:val="21"/>
              </w:rPr>
            </w:pPr>
            <w:r>
              <w:rPr>
                <w:rFonts w:hint="eastAsia"/>
                <w:color w:val="000000" w:themeColor="text1"/>
                <w:szCs w:val="21"/>
              </w:rPr>
              <w:t>资源消耗</w:t>
            </w:r>
          </w:p>
        </w:tc>
        <w:tc>
          <w:tcPr>
            <w:tcW w:w="2490" w:type="dxa"/>
            <w:vAlign w:val="center"/>
          </w:tcPr>
          <w:p>
            <w:pPr>
              <w:jc w:val="center"/>
              <w:rPr>
                <w:color w:val="000000" w:themeColor="text1"/>
                <w:szCs w:val="21"/>
              </w:rPr>
            </w:pPr>
            <w:r>
              <w:rPr>
                <w:color w:val="000000" w:themeColor="text1"/>
                <w:szCs w:val="21"/>
              </w:rPr>
              <w:t>Kg</w:t>
            </w:r>
            <w:r>
              <w:rPr>
                <w:rFonts w:hint="eastAsia"/>
                <w:color w:val="000000" w:themeColor="text1"/>
                <w:szCs w:val="21"/>
              </w:rPr>
              <w:t>，</w:t>
            </w:r>
            <w:r>
              <w:rPr>
                <w:color w:val="000000" w:themeColor="text1"/>
                <w:szCs w:val="21"/>
              </w:rPr>
              <w:t>Sb</w:t>
            </w:r>
            <w:r>
              <w:rPr>
                <w:color w:val="000000" w:themeColor="text1"/>
                <w:szCs w:val="21"/>
                <w:vertAlign w:val="subscript"/>
              </w:rPr>
              <w:t>eq./kg</w:t>
            </w:r>
          </w:p>
        </w:tc>
        <w:tc>
          <w:tcPr>
            <w:tcW w:w="2491" w:type="dxa"/>
            <w:vAlign w:val="center"/>
          </w:tcPr>
          <w:p>
            <w:pPr>
              <w:jc w:val="center"/>
              <w:rPr>
                <w:color w:val="000000" w:themeColor="text1"/>
                <w:szCs w:val="21"/>
              </w:rPr>
            </w:pPr>
            <w:r>
              <w:rPr>
                <w:rFonts w:hint="eastAsia"/>
                <w:color w:val="000000" w:themeColor="text1"/>
                <w:szCs w:val="21"/>
              </w:rPr>
              <w:t>LiCl</w:t>
            </w:r>
          </w:p>
        </w:tc>
        <w:tc>
          <w:tcPr>
            <w:tcW w:w="2491" w:type="dxa"/>
            <w:vAlign w:val="center"/>
          </w:tcPr>
          <w:p>
            <w:pPr>
              <w:jc w:val="center"/>
              <w:rPr>
                <w:color w:val="000000" w:themeColor="text1"/>
                <w:szCs w:val="21"/>
              </w:rPr>
            </w:pPr>
            <w:r>
              <w:rPr>
                <w:color w:val="000000" w:themeColor="text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490" w:type="dxa"/>
            <w:vAlign w:val="center"/>
          </w:tcPr>
          <w:p>
            <w:pPr>
              <w:jc w:val="center"/>
              <w:rPr>
                <w:color w:val="000000" w:themeColor="text1"/>
                <w:szCs w:val="21"/>
              </w:rPr>
            </w:pPr>
            <w:r>
              <w:rPr>
                <w:rFonts w:hint="eastAsia"/>
                <w:color w:val="000000" w:themeColor="text1"/>
                <w:szCs w:val="21"/>
              </w:rPr>
              <w:t>气候变化</w:t>
            </w:r>
          </w:p>
        </w:tc>
        <w:tc>
          <w:tcPr>
            <w:tcW w:w="2490" w:type="dxa"/>
            <w:vAlign w:val="center"/>
          </w:tcPr>
          <w:p>
            <w:pPr>
              <w:jc w:val="center"/>
              <w:rPr>
                <w:color w:val="000000" w:themeColor="text1"/>
                <w:szCs w:val="21"/>
              </w:rPr>
            </w:pPr>
            <w:r>
              <w:rPr>
                <w:color w:val="000000" w:themeColor="text1"/>
                <w:szCs w:val="21"/>
              </w:rPr>
              <w:t>Kg</w:t>
            </w:r>
            <w:r>
              <w:rPr>
                <w:rFonts w:hint="eastAsia"/>
                <w:color w:val="000000" w:themeColor="text1"/>
                <w:szCs w:val="21"/>
              </w:rPr>
              <w:t>，</w:t>
            </w:r>
            <w:r>
              <w:rPr>
                <w:color w:val="000000" w:themeColor="text1"/>
                <w:szCs w:val="21"/>
              </w:rPr>
              <w:t>CO</w:t>
            </w:r>
            <w:r>
              <w:rPr>
                <w:color w:val="000000" w:themeColor="text1"/>
                <w:szCs w:val="21"/>
                <w:vertAlign w:val="subscript"/>
              </w:rPr>
              <w:t>2 eq./kg</w:t>
            </w:r>
          </w:p>
        </w:tc>
        <w:tc>
          <w:tcPr>
            <w:tcW w:w="2491" w:type="dxa"/>
            <w:vAlign w:val="center"/>
          </w:tcPr>
          <w:p>
            <w:pPr>
              <w:jc w:val="center"/>
              <w:rPr>
                <w:color w:val="000000" w:themeColor="text1"/>
                <w:szCs w:val="21"/>
              </w:rPr>
            </w:pPr>
            <w:r>
              <w:rPr>
                <w:rFonts w:hint="eastAsia"/>
                <w:color w:val="000000" w:themeColor="text1"/>
                <w:szCs w:val="21"/>
              </w:rPr>
              <w:t>——</w:t>
            </w:r>
          </w:p>
        </w:tc>
        <w:tc>
          <w:tcPr>
            <w:tcW w:w="2491" w:type="dxa"/>
            <w:vAlign w:val="center"/>
          </w:tcPr>
          <w:p>
            <w:pPr>
              <w:jc w:val="center"/>
              <w:rPr>
                <w:color w:val="000000" w:themeColor="text1"/>
                <w:szCs w:val="21"/>
              </w:rPr>
            </w:pPr>
            <w:r>
              <w:rPr>
                <w:rFonts w:hint="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490" w:type="dxa"/>
            <w:vAlign w:val="center"/>
          </w:tcPr>
          <w:p>
            <w:pPr>
              <w:jc w:val="center"/>
              <w:rPr>
                <w:color w:val="000000" w:themeColor="text1"/>
                <w:szCs w:val="21"/>
              </w:rPr>
            </w:pPr>
            <w:r>
              <w:rPr>
                <w:rFonts w:hint="eastAsia"/>
                <w:color w:val="000000" w:themeColor="text1"/>
                <w:szCs w:val="21"/>
              </w:rPr>
              <w:t>酸化</w:t>
            </w:r>
          </w:p>
        </w:tc>
        <w:tc>
          <w:tcPr>
            <w:tcW w:w="2490" w:type="dxa"/>
            <w:vAlign w:val="center"/>
          </w:tcPr>
          <w:p>
            <w:pPr>
              <w:jc w:val="center"/>
              <w:rPr>
                <w:color w:val="000000" w:themeColor="text1"/>
                <w:szCs w:val="21"/>
              </w:rPr>
            </w:pPr>
            <w:r>
              <w:rPr>
                <w:color w:val="000000" w:themeColor="text1"/>
                <w:szCs w:val="21"/>
              </w:rPr>
              <w:t>Kg</w:t>
            </w:r>
            <w:r>
              <w:rPr>
                <w:rFonts w:hint="eastAsia"/>
                <w:color w:val="000000" w:themeColor="text1"/>
                <w:szCs w:val="21"/>
              </w:rPr>
              <w:t>，</w:t>
            </w:r>
            <w:r>
              <w:rPr>
                <w:color w:val="000000" w:themeColor="text1"/>
                <w:szCs w:val="21"/>
              </w:rPr>
              <w:t>SO</w:t>
            </w:r>
            <w:r>
              <w:rPr>
                <w:color w:val="000000" w:themeColor="text1"/>
                <w:szCs w:val="21"/>
                <w:vertAlign w:val="subscript"/>
              </w:rPr>
              <w:t>2 eq./kg</w:t>
            </w:r>
          </w:p>
        </w:tc>
        <w:tc>
          <w:tcPr>
            <w:tcW w:w="2491" w:type="dxa"/>
            <w:vAlign w:val="center"/>
          </w:tcPr>
          <w:p>
            <w:pPr>
              <w:jc w:val="center"/>
              <w:rPr>
                <w:color w:val="000000" w:themeColor="text1"/>
                <w:szCs w:val="21"/>
              </w:rPr>
            </w:pPr>
            <w:r>
              <w:rPr>
                <w:rFonts w:hint="eastAsia"/>
                <w:color w:val="000000" w:themeColor="text1"/>
                <w:szCs w:val="21"/>
              </w:rPr>
              <w:t>——</w:t>
            </w:r>
          </w:p>
        </w:tc>
        <w:tc>
          <w:tcPr>
            <w:tcW w:w="2491" w:type="dxa"/>
            <w:vAlign w:val="center"/>
          </w:tcPr>
          <w:p>
            <w:pPr>
              <w:jc w:val="center"/>
              <w:rPr>
                <w:color w:val="000000" w:themeColor="text1"/>
                <w:szCs w:val="21"/>
              </w:rPr>
            </w:pPr>
            <w:r>
              <w:rPr>
                <w:rFonts w:hint="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490" w:type="dxa"/>
            <w:vMerge w:val="restart"/>
            <w:vAlign w:val="center"/>
          </w:tcPr>
          <w:p>
            <w:pPr>
              <w:jc w:val="center"/>
              <w:rPr>
                <w:color w:val="000000" w:themeColor="text1"/>
                <w:szCs w:val="21"/>
              </w:rPr>
            </w:pPr>
            <w:r>
              <w:rPr>
                <w:rFonts w:hint="eastAsia"/>
                <w:color w:val="000000" w:themeColor="text1"/>
                <w:szCs w:val="21"/>
              </w:rPr>
              <w:t>富营养化</w:t>
            </w:r>
          </w:p>
        </w:tc>
        <w:tc>
          <w:tcPr>
            <w:tcW w:w="2490" w:type="dxa"/>
            <w:vMerge w:val="restart"/>
            <w:vAlign w:val="center"/>
          </w:tcPr>
          <w:p>
            <w:pPr>
              <w:jc w:val="center"/>
              <w:rPr>
                <w:color w:val="000000" w:themeColor="text1"/>
                <w:szCs w:val="21"/>
              </w:rPr>
            </w:pPr>
            <w:r>
              <w:rPr>
                <w:color w:val="000000" w:themeColor="text1"/>
                <w:szCs w:val="21"/>
              </w:rPr>
              <w:t>Kg</w:t>
            </w:r>
            <w:r>
              <w:rPr>
                <w:rFonts w:hint="eastAsia"/>
                <w:color w:val="000000" w:themeColor="text1"/>
                <w:szCs w:val="21"/>
              </w:rPr>
              <w:t>，</w:t>
            </w:r>
            <w:r>
              <w:rPr>
                <w:color w:val="000000" w:themeColor="text1"/>
                <w:szCs w:val="21"/>
              </w:rPr>
              <w:t>PO</w:t>
            </w:r>
            <w:r>
              <w:rPr>
                <w:color w:val="000000" w:themeColor="text1"/>
                <w:szCs w:val="21"/>
                <w:vertAlign w:val="subscript"/>
              </w:rPr>
              <w:t>4</w:t>
            </w:r>
            <w:r>
              <w:rPr>
                <w:color w:val="000000" w:themeColor="text1"/>
                <w:szCs w:val="21"/>
                <w:vertAlign w:val="superscript"/>
              </w:rPr>
              <w:t>3-</w:t>
            </w:r>
            <w:r>
              <w:rPr>
                <w:color w:val="000000" w:themeColor="text1"/>
                <w:szCs w:val="21"/>
                <w:vertAlign w:val="subscript"/>
              </w:rPr>
              <w:t xml:space="preserve"> eq./kg</w:t>
            </w:r>
          </w:p>
        </w:tc>
        <w:tc>
          <w:tcPr>
            <w:tcW w:w="2491" w:type="dxa"/>
            <w:vAlign w:val="center"/>
          </w:tcPr>
          <w:p>
            <w:pPr>
              <w:jc w:val="center"/>
              <w:rPr>
                <w:color w:val="000000" w:themeColor="text1"/>
                <w:szCs w:val="21"/>
              </w:rPr>
            </w:pPr>
            <w:r>
              <w:rPr>
                <w:color w:val="000000" w:themeColor="text1"/>
                <w:szCs w:val="21"/>
              </w:rPr>
              <w:t>P</w:t>
            </w:r>
          </w:p>
        </w:tc>
        <w:tc>
          <w:tcPr>
            <w:tcW w:w="2491" w:type="dxa"/>
            <w:vAlign w:val="center"/>
          </w:tcPr>
          <w:p>
            <w:pPr>
              <w:jc w:val="center"/>
              <w:rPr>
                <w:color w:val="000000" w:themeColor="text1"/>
                <w:szCs w:val="21"/>
              </w:rPr>
            </w:pPr>
            <w:r>
              <w:rPr>
                <w:rFonts w:hint="eastAsia"/>
                <w:color w:val="000000" w:themeColor="text1"/>
                <w:szCs w:val="21"/>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490" w:type="dxa"/>
            <w:vMerge w:val="continue"/>
            <w:vAlign w:val="center"/>
          </w:tcPr>
          <w:p>
            <w:pPr>
              <w:jc w:val="center"/>
              <w:rPr>
                <w:color w:val="000000" w:themeColor="text1"/>
                <w:szCs w:val="21"/>
              </w:rPr>
            </w:pPr>
          </w:p>
        </w:tc>
        <w:tc>
          <w:tcPr>
            <w:tcW w:w="2490" w:type="dxa"/>
            <w:vMerge w:val="continue"/>
            <w:vAlign w:val="center"/>
          </w:tcPr>
          <w:p>
            <w:pPr>
              <w:jc w:val="center"/>
              <w:rPr>
                <w:color w:val="000000" w:themeColor="text1"/>
                <w:szCs w:val="21"/>
              </w:rPr>
            </w:pPr>
          </w:p>
        </w:tc>
        <w:tc>
          <w:tcPr>
            <w:tcW w:w="2491" w:type="dxa"/>
            <w:vAlign w:val="center"/>
          </w:tcPr>
          <w:p>
            <w:pPr>
              <w:jc w:val="center"/>
              <w:rPr>
                <w:color w:val="000000" w:themeColor="text1"/>
                <w:szCs w:val="21"/>
              </w:rPr>
            </w:pPr>
            <w:r>
              <w:rPr>
                <w:color w:val="000000" w:themeColor="text1"/>
                <w:szCs w:val="21"/>
              </w:rPr>
              <w:t>NO</w:t>
            </w:r>
            <w:r>
              <w:rPr>
                <w:color w:val="000000" w:themeColor="text1"/>
                <w:szCs w:val="21"/>
                <w:vertAlign w:val="subscript"/>
              </w:rPr>
              <w:t>x</w:t>
            </w:r>
          </w:p>
        </w:tc>
        <w:tc>
          <w:tcPr>
            <w:tcW w:w="2491" w:type="dxa"/>
            <w:vAlign w:val="center"/>
          </w:tcPr>
          <w:p>
            <w:pPr>
              <w:jc w:val="center"/>
              <w:rPr>
                <w:color w:val="000000" w:themeColor="text1"/>
                <w:szCs w:val="21"/>
              </w:rPr>
            </w:pPr>
            <w:r>
              <w:rPr>
                <w:color w:val="000000" w:themeColor="text1"/>
                <w:szCs w:val="21"/>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490" w:type="dxa"/>
            <w:vMerge w:val="continue"/>
            <w:vAlign w:val="center"/>
          </w:tcPr>
          <w:p>
            <w:pPr>
              <w:jc w:val="center"/>
              <w:rPr>
                <w:color w:val="000000" w:themeColor="text1"/>
                <w:szCs w:val="21"/>
              </w:rPr>
            </w:pPr>
          </w:p>
        </w:tc>
        <w:tc>
          <w:tcPr>
            <w:tcW w:w="2490" w:type="dxa"/>
            <w:vMerge w:val="continue"/>
            <w:vAlign w:val="center"/>
          </w:tcPr>
          <w:p>
            <w:pPr>
              <w:jc w:val="center"/>
              <w:rPr>
                <w:color w:val="000000" w:themeColor="text1"/>
                <w:szCs w:val="21"/>
              </w:rPr>
            </w:pPr>
          </w:p>
        </w:tc>
        <w:tc>
          <w:tcPr>
            <w:tcW w:w="2491" w:type="dxa"/>
            <w:vAlign w:val="center"/>
          </w:tcPr>
          <w:p>
            <w:pPr>
              <w:jc w:val="center"/>
              <w:rPr>
                <w:color w:val="000000" w:themeColor="text1"/>
                <w:szCs w:val="21"/>
              </w:rPr>
            </w:pPr>
            <w:r>
              <w:rPr>
                <w:color w:val="000000" w:themeColor="text1"/>
                <w:szCs w:val="21"/>
              </w:rPr>
              <w:t>N</w:t>
            </w:r>
          </w:p>
        </w:tc>
        <w:tc>
          <w:tcPr>
            <w:tcW w:w="2491" w:type="dxa"/>
            <w:vAlign w:val="center"/>
          </w:tcPr>
          <w:p>
            <w:pPr>
              <w:jc w:val="center"/>
              <w:rPr>
                <w:color w:val="000000" w:themeColor="text1"/>
                <w:szCs w:val="21"/>
              </w:rPr>
            </w:pPr>
            <w:r>
              <w:rPr>
                <w:color w:val="000000" w:themeColor="text1"/>
                <w:szCs w:val="21"/>
              </w:rPr>
              <w:t>0.042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vMerge w:val="continue"/>
            <w:vAlign w:val="center"/>
          </w:tcPr>
          <w:p>
            <w:pPr>
              <w:jc w:val="center"/>
              <w:rPr>
                <w:color w:val="000000" w:themeColor="text1"/>
                <w:szCs w:val="21"/>
              </w:rPr>
            </w:pPr>
          </w:p>
        </w:tc>
        <w:tc>
          <w:tcPr>
            <w:tcW w:w="2490" w:type="dxa"/>
            <w:vMerge w:val="continue"/>
            <w:vAlign w:val="center"/>
          </w:tcPr>
          <w:p>
            <w:pPr>
              <w:jc w:val="center"/>
              <w:rPr>
                <w:color w:val="000000" w:themeColor="text1"/>
                <w:szCs w:val="21"/>
              </w:rPr>
            </w:pPr>
          </w:p>
        </w:tc>
        <w:tc>
          <w:tcPr>
            <w:tcW w:w="2491" w:type="dxa"/>
            <w:vAlign w:val="center"/>
          </w:tcPr>
          <w:p>
            <w:pPr>
              <w:jc w:val="center"/>
              <w:rPr>
                <w:color w:val="000000" w:themeColor="text1"/>
                <w:szCs w:val="21"/>
              </w:rPr>
            </w:pPr>
            <w:r>
              <w:rPr>
                <w:color w:val="000000" w:themeColor="text1"/>
                <w:szCs w:val="21"/>
              </w:rPr>
              <w:t>COD</w:t>
            </w:r>
          </w:p>
        </w:tc>
        <w:tc>
          <w:tcPr>
            <w:tcW w:w="2491" w:type="dxa"/>
            <w:vAlign w:val="center"/>
          </w:tcPr>
          <w:p>
            <w:pPr>
              <w:jc w:val="center"/>
              <w:rPr>
                <w:color w:val="000000" w:themeColor="text1"/>
                <w:szCs w:val="21"/>
              </w:rPr>
            </w:pPr>
            <w:r>
              <w:rPr>
                <w:color w:val="000000" w:themeColor="text1"/>
                <w:szCs w:val="21"/>
              </w:rPr>
              <w:t>0.022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90" w:type="dxa"/>
            <w:vAlign w:val="center"/>
          </w:tcPr>
          <w:p>
            <w:pPr>
              <w:jc w:val="center"/>
              <w:rPr>
                <w:color w:val="000000" w:themeColor="text1"/>
                <w:szCs w:val="21"/>
              </w:rPr>
            </w:pPr>
            <w:r>
              <w:rPr>
                <w:rFonts w:hint="eastAsia"/>
                <w:color w:val="000000" w:themeColor="text1"/>
                <w:szCs w:val="21"/>
              </w:rPr>
              <w:t>光化学烟雾</w:t>
            </w:r>
          </w:p>
        </w:tc>
        <w:tc>
          <w:tcPr>
            <w:tcW w:w="2490" w:type="dxa"/>
            <w:vAlign w:val="center"/>
          </w:tcPr>
          <w:p>
            <w:pPr>
              <w:jc w:val="center"/>
              <w:rPr>
                <w:color w:val="000000" w:themeColor="text1"/>
                <w:szCs w:val="21"/>
              </w:rPr>
            </w:pPr>
            <w:r>
              <w:rPr>
                <w:color w:val="000000" w:themeColor="text1"/>
                <w:szCs w:val="21"/>
              </w:rPr>
              <w:t>Kg</w:t>
            </w:r>
            <w:r>
              <w:rPr>
                <w:rFonts w:hint="eastAsia"/>
                <w:color w:val="000000" w:themeColor="text1"/>
                <w:szCs w:val="21"/>
              </w:rPr>
              <w:t>，</w:t>
            </w:r>
            <w:r>
              <w:rPr>
                <w:color w:val="000000" w:themeColor="text1"/>
                <w:szCs w:val="21"/>
              </w:rPr>
              <w:t>C</w:t>
            </w:r>
            <w:r>
              <w:rPr>
                <w:color w:val="000000" w:themeColor="text1"/>
                <w:szCs w:val="21"/>
                <w:vertAlign w:val="subscript"/>
              </w:rPr>
              <w:t>2</w:t>
            </w:r>
            <w:r>
              <w:rPr>
                <w:color w:val="000000" w:themeColor="text1"/>
                <w:szCs w:val="21"/>
              </w:rPr>
              <w:t>H</w:t>
            </w:r>
            <w:r>
              <w:rPr>
                <w:color w:val="000000" w:themeColor="text1"/>
                <w:szCs w:val="21"/>
                <w:vertAlign w:val="subscript"/>
              </w:rPr>
              <w:t>4  eq./kg</w:t>
            </w:r>
          </w:p>
        </w:tc>
        <w:tc>
          <w:tcPr>
            <w:tcW w:w="2491" w:type="dxa"/>
            <w:vAlign w:val="center"/>
          </w:tcPr>
          <w:p>
            <w:pPr>
              <w:jc w:val="center"/>
              <w:rPr>
                <w:color w:val="000000" w:themeColor="text1"/>
                <w:szCs w:val="21"/>
              </w:rPr>
            </w:pPr>
            <w:r>
              <w:rPr>
                <w:rFonts w:hint="eastAsia"/>
                <w:color w:val="000000" w:themeColor="text1"/>
                <w:szCs w:val="21"/>
              </w:rPr>
              <w:t>——</w:t>
            </w:r>
          </w:p>
        </w:tc>
        <w:tc>
          <w:tcPr>
            <w:tcW w:w="2491" w:type="dxa"/>
            <w:vAlign w:val="center"/>
          </w:tcPr>
          <w:p>
            <w:pPr>
              <w:jc w:val="center"/>
              <w:rPr>
                <w:color w:val="000000" w:themeColor="text1"/>
                <w:szCs w:val="21"/>
              </w:rPr>
            </w:pPr>
            <w:r>
              <w:rPr>
                <w:rFonts w:hint="eastAsia"/>
                <w:color w:val="000000" w:themeColor="text1"/>
                <w:szCs w:val="21"/>
              </w:rPr>
              <w:t>——</w:t>
            </w:r>
          </w:p>
        </w:tc>
      </w:tr>
    </w:tbl>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hint="eastAsia" w:ascii="Times New Roman" w:hAnsi="Times New Roman"/>
          <w:szCs w:val="21"/>
        </w:rPr>
        <w:t>本标准没有要求对环境影响类型进行归一化处理。</w:t>
      </w:r>
    </w:p>
    <w:p>
      <w:pPr>
        <w:spacing w:line="360" w:lineRule="auto"/>
        <w:rPr>
          <w:b/>
          <w:sz w:val="24"/>
          <w:szCs w:val="24"/>
        </w:rPr>
      </w:pPr>
      <w:r>
        <w:rPr>
          <w:b/>
          <w:sz w:val="24"/>
          <w:szCs w:val="24"/>
        </w:rPr>
        <w:t xml:space="preserve">5.5 </w:t>
      </w:r>
      <w:r>
        <w:rPr>
          <w:rFonts w:hint="eastAsia"/>
          <w:b/>
          <w:sz w:val="24"/>
          <w:szCs w:val="24"/>
        </w:rPr>
        <w:t>生态设计改进方案</w:t>
      </w:r>
    </w:p>
    <w:p>
      <w:pPr>
        <w:spacing w:line="360" w:lineRule="auto"/>
        <w:ind w:firstLine="420" w:firstLineChars="200"/>
        <w:rPr>
          <w:rFonts w:ascii="Times New Roman" w:hAnsi="Times New Roman"/>
          <w:szCs w:val="21"/>
        </w:rPr>
      </w:pPr>
      <w:r>
        <w:rPr>
          <w:rFonts w:hint="eastAsia" w:ascii="Times New Roman" w:hAnsi="Times New Roman"/>
          <w:szCs w:val="21"/>
        </w:rPr>
        <w:t>根据附录B评价的锂产品生命周期评价方法开展生态设计改进。</w:t>
      </w:r>
    </w:p>
    <w:p>
      <w:pPr>
        <w:spacing w:line="360" w:lineRule="auto"/>
        <w:rPr>
          <w:b/>
          <w:sz w:val="24"/>
          <w:szCs w:val="24"/>
        </w:rPr>
      </w:pPr>
      <w:r>
        <w:rPr>
          <w:b/>
          <w:sz w:val="24"/>
          <w:szCs w:val="24"/>
        </w:rPr>
        <w:t xml:space="preserve">5.6 </w:t>
      </w:r>
      <w:r>
        <w:rPr>
          <w:rFonts w:hint="eastAsia"/>
          <w:b/>
          <w:sz w:val="24"/>
          <w:szCs w:val="24"/>
        </w:rPr>
        <w:t>评价报告主要结论</w:t>
      </w:r>
    </w:p>
    <w:p>
      <w:pPr>
        <w:spacing w:line="360" w:lineRule="auto"/>
        <w:ind w:firstLine="420" w:firstLineChars="200"/>
        <w:rPr>
          <w:rFonts w:ascii="Times New Roman" w:hAnsi="Times New Roman"/>
          <w:szCs w:val="21"/>
        </w:rPr>
      </w:pPr>
      <w:r>
        <w:rPr>
          <w:rFonts w:hint="eastAsia" w:ascii="Times New Roman" w:hAnsi="Times New Roman"/>
          <w:szCs w:val="21"/>
        </w:rPr>
        <w:t>根据前述内容，并根据评价结论初步判断该产品是否为绿色设计产品。</w:t>
      </w:r>
    </w:p>
    <w:p>
      <w:pPr>
        <w:spacing w:line="360" w:lineRule="auto"/>
        <w:rPr>
          <w:b/>
          <w:sz w:val="24"/>
          <w:szCs w:val="24"/>
        </w:rPr>
      </w:pPr>
      <w:r>
        <w:rPr>
          <w:b/>
          <w:sz w:val="24"/>
          <w:szCs w:val="24"/>
        </w:rPr>
        <w:t xml:space="preserve">6 </w:t>
      </w:r>
      <w:r>
        <w:rPr>
          <w:rFonts w:hint="eastAsia"/>
          <w:b/>
          <w:sz w:val="24"/>
          <w:szCs w:val="24"/>
        </w:rPr>
        <w:t>评价方法</w:t>
      </w:r>
    </w:p>
    <w:p>
      <w:pPr>
        <w:spacing w:line="360" w:lineRule="auto"/>
        <w:ind w:firstLine="420" w:firstLineChars="200"/>
        <w:rPr>
          <w:rFonts w:ascii="Times New Roman" w:hAnsi="Times New Roman"/>
          <w:szCs w:val="21"/>
        </w:rPr>
      </w:pPr>
      <w:r>
        <w:rPr>
          <w:rFonts w:hint="eastAsia" w:ascii="Times New Roman" w:hAnsi="Times New Roman"/>
          <w:szCs w:val="21"/>
        </w:rPr>
        <w:t>本标准采用指标评价与生命周期评价相结合的方法，锂产品同时满足以下两个条件，即可判断为绿色设计产品：</w:t>
      </w:r>
    </w:p>
    <w:p>
      <w:pPr>
        <w:spacing w:line="360" w:lineRule="auto"/>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szCs w:val="21"/>
        </w:rPr>
        <w:t>）满足基本要求（见</w:t>
      </w:r>
      <w:r>
        <w:rPr>
          <w:rFonts w:ascii="Times New Roman" w:hAnsi="Times New Roman"/>
          <w:szCs w:val="21"/>
        </w:rPr>
        <w:t>4.1</w:t>
      </w:r>
      <w:r>
        <w:rPr>
          <w:rFonts w:hint="eastAsia" w:ascii="Times New Roman" w:hAnsi="Times New Roman"/>
          <w:szCs w:val="21"/>
        </w:rPr>
        <w:t>）和评价指标要求（见</w:t>
      </w:r>
      <w:r>
        <w:rPr>
          <w:rFonts w:ascii="Times New Roman" w:hAnsi="Times New Roman"/>
          <w:szCs w:val="21"/>
        </w:rPr>
        <w:t>4.2</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B</w:t>
      </w:r>
      <w:r>
        <w:rPr>
          <w:rFonts w:hint="eastAsia" w:ascii="Times New Roman" w:hAnsi="Times New Roman"/>
          <w:szCs w:val="21"/>
        </w:rPr>
        <w:t>）提供锂产品生命周期评价报告（见</w:t>
      </w:r>
      <w:r>
        <w:rPr>
          <w:rFonts w:ascii="Times New Roman" w:hAnsi="Times New Roman"/>
          <w:szCs w:val="21"/>
        </w:rPr>
        <w:t>5.2</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hint="eastAsia" w:ascii="Times New Roman" w:hAnsi="Times New Roman"/>
          <w:szCs w:val="21"/>
        </w:rPr>
        <w:t>锂绿色设计产品的评价按照以下流程进行。</w:t>
      </w:r>
    </w:p>
    <w:p>
      <w:pPr>
        <w:spacing w:line="360" w:lineRule="auto"/>
        <w:ind w:firstLine="480" w:firstLineChars="200"/>
        <w:rPr>
          <w:rFonts w:ascii="Times New Roman" w:hAnsi="Times New Roman" w:eastAsiaTheme="minorEastAsia"/>
          <w:szCs w:val="21"/>
        </w:rPr>
      </w:pPr>
      <w:r>
        <w:rPr>
          <w:sz w:val="24"/>
          <w:szCs w:val="24"/>
        </w:rPr>
        <w:pict>
          <v:group id="画布 2" o:spid="_x0000_s1057" o:spt="203" style="height:350.6pt;width:416.5pt;" coordsize="52895,44526" editas="canvas">
            <o:lock v:ext="edit"/>
            <v:shape id="画布 2" o:spid="_x0000_s1058" o:spt="75" type="#_x0000_t75" style="position:absolute;left:0;top:0;height:44526;width:52895;" filled="f" o:preferrelative="t" stroked="f" coordsize="21600,21600">
              <v:path/>
              <v:fill on="f" focussize="0,0"/>
              <v:stroke on="f" joinstyle="miter"/>
              <v:imagedata o:title=""/>
              <o:lock v:ext="edit" aspectratio="t"/>
            </v:shape>
            <v:group id="Group 4" o:spid="_x0000_s1059" o:spt="203" style="position:absolute;left:5283;top:1085;height:42526;width:42500;" coordorigin="2291,1680" coordsize="6693,6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o:lock v:ext="edit"/>
              <v:rect id="Rectangle 5" o:spid="_x0000_s1060" o:spt="1" style="position:absolute;left:2291;top:1680;height:476;width:1716;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LiMQA&#10;AADaAAAADwAAAGRycy9kb3ducmV2LnhtbESPQWvCQBSE7wX/w/IEL8Vs6qGU6EZCUaq0hyZ66e2R&#10;fc2GZt+G7BrTf98tCB6HmfmG2Wwn24mRBt86VvCUpCCIa6dbbhScT/vlCwgfkDV2jknBL3nY5rOH&#10;DWbaXbmksQqNiBD2GSowIfSZlL42ZNEnrieO3rcbLIYoh0bqAa8Rbju5StNnabHluGCwp1dD9U91&#10;sQq+3IfbFSm99eZ0DONjUb5/VqVSi/lUrEEEmsI9fGsftIIV/F+JN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MS4jEAAAA2gAAAA8AAAAAAAAAAAAAAAAAmAIAAGRycy9k&#10;b3ducmV2LnhtbFBLBQYAAAAABAAEAPUAAACJAwAAAAA=&#10;">
                <v:path/>
                <v:fill focussize="0,0"/>
                <v:stroke/>
                <v:imagedata o:title=""/>
                <o:lock v:ext="edit"/>
                <v:textbox>
                  <w:txbxContent>
                    <w:p>
                      <w:pPr>
                        <w:jc w:val="center"/>
                        <w:rPr>
                          <w:sz w:val="18"/>
                          <w:szCs w:val="18"/>
                        </w:rPr>
                      </w:pPr>
                      <w:r>
                        <w:rPr>
                          <w:rFonts w:hint="eastAsia"/>
                          <w:sz w:val="18"/>
                          <w:szCs w:val="18"/>
                        </w:rPr>
                        <w:t>范围确定</w:t>
                      </w:r>
                    </w:p>
                  </w:txbxContent>
                </v:textbox>
              </v:rect>
              <v:rect id="Rectangle 6" o:spid="_x0000_s1061" o:spt="1" style="position:absolute;left:7037;top:1680;height:476;width:1941;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uE8QA&#10;AADaAAAADwAAAGRycy9kb3ducmV2LnhtbESPQWvCQBSE74X+h+UVvEjdWEF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A7hPEAAAA2gAAAA8AAAAAAAAAAAAAAAAAmAIAAGRycy9k&#10;b3ducmV2LnhtbFBLBQYAAAAABAAEAPUAAACJAwAAAAA=&#10;">
                <v:path/>
                <v:fill focussize="0,0"/>
                <v:stroke/>
                <v:imagedata o:title=""/>
                <o:lock v:ext="edit"/>
                <v:textbox>
                  <w:txbxContent>
                    <w:p>
                      <w:pPr>
                        <w:jc w:val="center"/>
                        <w:rPr>
                          <w:sz w:val="18"/>
                          <w:szCs w:val="18"/>
                        </w:rPr>
                      </w:pPr>
                      <w:r>
                        <w:rPr>
                          <w:rFonts w:hint="eastAsia"/>
                          <w:sz w:val="18"/>
                          <w:szCs w:val="18"/>
                        </w:rPr>
                        <w:t>生命周期清单分析</w:t>
                      </w:r>
                    </w:p>
                  </w:txbxContent>
                </v:textbox>
              </v:rect>
              <v:shape id="AutoShape 7" o:spid="_x0000_s1062" o:spt="32" type="#_x0000_t32" style="position:absolute;left:4007;top:1918;height:1;width:303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path arrowok="t"/>
                <v:fill on="f" focussize="0,0"/>
                <v:stroke endarrow="block"/>
                <v:imagedata o:title=""/>
                <o:lock v:ext="edit"/>
              </v:shape>
              <v:rect id="Rectangle 8" o:spid="_x0000_s1063" o:spt="1" style="position:absolute;left:2297;top:2726;height:476;width:1716;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MQA&#10;AADaAAAADwAAAGRycy9kb3ducmV2LnhtbESPQWvCQBSE74X+h+UVvEjdWFB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0/zEAAAA2gAAAA8AAAAAAAAAAAAAAAAAmAIAAGRycy9k&#10;b3ducmV2LnhtbFBLBQYAAAAABAAEAPUAAACJAwAAAAA=&#10;">
                <v:path/>
                <v:fill focussize="0,0"/>
                <v:stroke/>
                <v:imagedata o:title=""/>
                <o:lock v:ext="edit"/>
                <v:textbox>
                  <w:txbxContent>
                    <w:p>
                      <w:pPr>
                        <w:jc w:val="center"/>
                        <w:rPr>
                          <w:sz w:val="18"/>
                          <w:szCs w:val="18"/>
                        </w:rPr>
                      </w:pPr>
                      <w:r>
                        <w:rPr>
                          <w:rFonts w:hint="eastAsia"/>
                          <w:sz w:val="18"/>
                          <w:szCs w:val="18"/>
                        </w:rPr>
                        <w:t>基本要求</w:t>
                      </w:r>
                    </w:p>
                  </w:txbxContent>
                </v:textbox>
              </v:rect>
              <v:rect id="Rectangle 9" o:spid="_x0000_s1064" o:spt="1" style="position:absolute;left:7043;top:2726;height:476;width:1941;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Ni8QA&#10;AADaAAAADwAAAGRycy9kb3ducmV2LnhtbESPQWvCQBSE74L/YXlCL2I27UEkupFQlFrag4leentk&#10;X7Oh2bchu8b033cLhR6HmfmG2e0n24mRBt86VvCYpCCIa6dbbhRcL8fVBoQPyBo7x6Tgmzzs8/ls&#10;h5l2dy5prEIjIoR9hgpMCH0mpa8NWfSJ64mj9+kGiyHKoZF6wHuE204+pelaWmw5Lhjs6dlQ/VXd&#10;rIIP9+4ORUovvbm8hnFZlG/nqlTqYTEVWxCBpvAf/muftII1/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TYvEAAAA2gAAAA8AAAAAAAAAAAAAAAAAmAIAAGRycy9k&#10;b3ducmV2LnhtbFBLBQYAAAAABAAEAPUAAACJAwAAAAA=&#10;">
                <v:path/>
                <v:fill focussize="0,0"/>
                <v:stroke/>
                <v:imagedata o:title=""/>
                <o:lock v:ext="edit"/>
                <v:textbox>
                  <w:txbxContent>
                    <w:p>
                      <w:pPr>
                        <w:jc w:val="center"/>
                        <w:rPr>
                          <w:sz w:val="18"/>
                          <w:szCs w:val="18"/>
                        </w:rPr>
                      </w:pPr>
                      <w:r>
                        <w:rPr>
                          <w:rFonts w:hint="eastAsia"/>
                          <w:sz w:val="18"/>
                          <w:szCs w:val="18"/>
                        </w:rPr>
                        <w:t>生命周期影响评价</w:t>
                      </w:r>
                    </w:p>
                  </w:txbxContent>
                </v:textbox>
              </v:rect>
              <v:shape id="AutoShape 10" o:spid="_x0000_s1065" o:spt="32" type="#_x0000_t32" style="position:absolute;left:3149;top:2156;height:570;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path arrowok="t"/>
                <v:fill on="f" focussize="0,0"/>
                <v:stroke endarrow="block"/>
                <v:imagedata o:title=""/>
                <o:lock v:ext="edit"/>
              </v:shape>
              <v:shape id="AutoShape 11" o:spid="_x0000_s1066" o:spt="32" type="#_x0000_t32" style="position:absolute;left:8008;top:2156;height:570;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path arrowok="t"/>
                <v:fill on="f" focussize="0,0"/>
                <v:stroke endarrow="block"/>
                <v:imagedata o:title=""/>
                <o:lock v:ext="edit"/>
              </v:shape>
              <v:rect id="Rectangle 12" o:spid="_x0000_s1067" o:spt="1" style="position:absolute;left:2291;top:4737;height:476;width:1716;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Z+cQA&#10;AADaAAAADwAAAGRycy9kb3ducmV2LnhtbESPQWvCQBSE74X+h+UVvEjd2IPY1FVCUarYg0l66e2R&#10;fc2GZt+G7Brjv3eFQo/DzHzDrDajbcVAvW8cK5jPEhDEldMN1wq+yt3zEoQPyBpbx6TgSh4268eH&#10;FabaXTinoQi1iBD2KSowIXSplL4yZNHPXEccvR/XWwxR9rXUPV4i3LbyJUkW0mLDccFgR++Gqt/i&#10;bBV8u0+3zRL66Ex5CMM0y4+nIldq8jRmbyACjeE//NfeawWv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2fnEAAAA2gAAAA8AAAAAAAAAAAAAAAAAmAIAAGRycy9k&#10;b3ducmV2LnhtbFBLBQYAAAAABAAEAPUAAACJAwAAAAA=&#10;">
                <v:path/>
                <v:fill focussize="0,0"/>
                <v:stroke/>
                <v:imagedata o:title=""/>
                <o:lock v:ext="edit"/>
                <v:textbox>
                  <w:txbxContent>
                    <w:p>
                      <w:pPr>
                        <w:jc w:val="center"/>
                        <w:rPr>
                          <w:sz w:val="18"/>
                          <w:szCs w:val="18"/>
                        </w:rPr>
                      </w:pPr>
                      <w:r>
                        <w:rPr>
                          <w:rFonts w:hint="eastAsia"/>
                          <w:sz w:val="18"/>
                          <w:szCs w:val="18"/>
                        </w:rPr>
                        <w:t>评价指标要求</w:t>
                      </w:r>
                    </w:p>
                  </w:txbxContent>
                </v:textbox>
              </v:rect>
              <v:rect id="Rectangle 13" o:spid="_x0000_s1068" o:spt="1" style="position:absolute;left:7037;top:4737;height:476;width:1941;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B2MUA&#10;AADbAAAADwAAAGRycy9kb3ducmV2LnhtbESPQWvDMAyF74P9B6NBL6N12sMYad0SSks3tsOS9rKb&#10;iLU4NJZD7KXZv58Og90k3tN7nza7yXdqpCG2gQ0sFxko4jrYlhsDl/Nx/gwqJmSLXWAy8EMRdtv7&#10;uw3mNty4pLFKjZIQjjkacCn1udaxduQxLkJPLNpXGDwmWYdG2wFvEu47vcqyJ+2xZWlw2NPeUX2t&#10;vr2Bz/AeDkVGp96dX9P4WJRvH1VpzOxhKtagEk3p3/x3/WIFX+j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sHYxQAAANsAAAAPAAAAAAAAAAAAAAAAAJgCAABkcnMv&#10;ZG93bnJldi54bWxQSwUGAAAAAAQABAD1AAAAigMAAAAA&#10;">
                <v:path/>
                <v:fill focussize="0,0"/>
                <v:stroke/>
                <v:imagedata o:title=""/>
                <o:lock v:ext="edit"/>
                <v:textbox>
                  <w:txbxContent>
                    <w:p>
                      <w:pPr>
                        <w:jc w:val="center"/>
                        <w:rPr>
                          <w:sz w:val="18"/>
                          <w:szCs w:val="18"/>
                        </w:rPr>
                      </w:pPr>
                      <w:r>
                        <w:rPr>
                          <w:rFonts w:hint="eastAsia"/>
                          <w:sz w:val="18"/>
                          <w:szCs w:val="18"/>
                        </w:rPr>
                        <w:t>生命周期评价报告</w:t>
                      </w:r>
                    </w:p>
                  </w:txbxContent>
                </v:textbox>
              </v:rect>
              <v:shape id="AutoShape 14" o:spid="_x0000_s1069" o:spt="32" type="#_x0000_t32" style="position:absolute;left:3149;top:3202;flip:x;height:1535;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path arrowok="t"/>
                <v:fill on="f" focussize="0,0"/>
                <v:stroke endarrow="block"/>
                <v:imagedata o:title=""/>
                <o:lock v:ext="edit"/>
              </v:shape>
              <v:shape id="Text Box 15" o:spid="_x0000_s1070" o:spt="202" type="#_x0000_t202" style="position:absolute;left:3247;top:3332;height:915;width:394;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m/sEA&#10;AADbAAAADwAAAGRycy9kb3ducmV2LnhtbERPzYrCMBC+C75DGMGLrKkiunaNIoK4sBetPsDYjG3X&#10;ZlKa1Na33ywI3ubj+53VpjOleFDtCssKJuMIBHFqdcGZgst5//EJwnlkjaVlUvAkB5t1v7fCWNuW&#10;T/RIfCZCCLsYFeTeV7GULs3JoBvbijhwN1sb9AHWmdQ1tiHclHIaRXNpsODQkGNFu5zSe9IYBbNy&#10;MbtlzXK+M1d9PPw+R8f2p1FqOOi2XyA8df4tfrm/dZg/hf9fw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qpv7BAAAA2wAAAA8AAAAAAAAAAAAAAAAAmAIAAGRycy9kb3du&#10;cmV2LnhtbFBLBQYAAAAABAAEAPUAAACGAwAAAAA=&#10;">
                <v:path/>
                <v:fill focussize="0,0"/>
                <v:stroke on="f" joinstyle="miter"/>
                <v:imagedata o:title=""/>
                <o:lock v:ext="edit"/>
                <v:textbox inset="0.5mm,0.3mm,0.5mm,0.3mm" style="layout-flow:vertical-ideographic;">
                  <w:txbxContent>
                    <w:p>
                      <w:pPr>
                        <w:rPr>
                          <w:sz w:val="18"/>
                          <w:szCs w:val="18"/>
                        </w:rPr>
                      </w:pPr>
                      <w:r>
                        <w:rPr>
                          <w:rFonts w:hint="eastAsia"/>
                          <w:sz w:val="18"/>
                          <w:szCs w:val="18"/>
                        </w:rPr>
                        <w:t>符合要求</w:t>
                      </w:r>
                    </w:p>
                  </w:txbxContent>
                </v:textbox>
              </v:shape>
              <v:shape id="Oval 16" o:spid="_x0000_s1071" o:spt="3" type="#_x0000_t3" style="position:absolute;left:4458;top:3501;height:850;width:15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u8MA&#10;AADbAAAADwAAAGRycy9kb3ducmV2LnhtbERPS2vCQBC+F/wPywi9lLppBQnRVaS0pZ58HnocsmMS&#10;zc6mu9sk7a93BcHbfHzPmS16U4uWnK8sK3gZJSCIc6srLhQc9h/PKQgfkDXWlknBH3lYzAcPM8y0&#10;7XhL7S4UIoawz1BBGUKTSenzkgz6kW2II3e0zmCI0BVSO+xiuKnla5JMpMGKY0OJDb2VlJ93v0bB&#10;e2o36fbJ/Xy678lqefov2n7dKfU47JdTEIH6cBff3F86zh/D9Zd4gJ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qu8MAAADbAAAADwAAAAAAAAAAAAAAAACYAgAAZHJzL2Rv&#10;d25yZXYueG1sUEsFBgAAAAAEAAQA9QAAAIgDAAAAAA==&#10;">
                <v:path/>
                <v:fill focussize="0,0"/>
                <v:stroke/>
                <v:imagedata o:title=""/>
                <o:lock v:ext="edit"/>
                <v:textbox inset="0.5mm,0.3mm,0.5mm,0.3mm">
                  <w:txbxContent>
                    <w:p>
                      <w:pPr>
                        <w:rPr>
                          <w:sz w:val="18"/>
                          <w:szCs w:val="18"/>
                        </w:rPr>
                      </w:pPr>
                      <w:r>
                        <w:rPr>
                          <w:rFonts w:hint="eastAsia"/>
                          <w:sz w:val="18"/>
                          <w:szCs w:val="18"/>
                        </w:rPr>
                        <w:t>非绿色设计产品</w:t>
                      </w:r>
                    </w:p>
                  </w:txbxContent>
                </v:textbox>
              </v:shape>
              <v:shape id="AutoShape 17" o:spid="_x0000_s1072" o:spt="33" type="#_x0000_t33" style="position:absolute;left:4013;top:2964;height:537;width:1203;"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1bMEAAADbAAAADwAAAGRycy9kb3ducmV2LnhtbERPTWvCQBC9F/wPywje6sYiVqKriFCV&#10;3kx78DhmxySanY27q4n99W6h0Ns83ufMl52pxZ2crywrGA0TEMS51RUXCr6/Pl6nIHxA1lhbJgUP&#10;8rBc9F7mmGrb8p7uWShEDGGfooIyhCaV0uclGfRD2xBH7mSdwRChK6R22MZwU8u3JJlIgxXHhhIb&#10;WpeUX7KbUbBdnVsnfw7v1+PoprHdTD6zKyo16HerGYhAXfgX/7l3Os4fw+8v8Q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fjVswQAAANsAAAAPAAAAAAAAAAAAAAAA&#10;AKECAABkcnMvZG93bnJldi54bWxQSwUGAAAAAAQABAD5AAAAjwMAAAAA&#10;">
                <v:path arrowok="t"/>
                <v:fill on="f" focussize="0,0"/>
                <v:stroke endarrow="block"/>
                <v:imagedata o:title=""/>
                <o:lock v:ext="edit"/>
              </v:shape>
              <v:shape id="AutoShape 18" o:spid="_x0000_s1073" o:spt="33" type="#_x0000_t33" style="position:absolute;left:4007;top:4351;flip:y;height:624;width:1209;"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Oi8AAAADbAAAADwAAAGRycy9kb3ducmV2LnhtbERP3WrCMBS+F/YO4Qx2p6mVdaMaS5GJ&#10;Xq5uD3Bojk2xOSlJpt3bG2Gwu/Px/Z5NNdlBXMmH3rGC5SIDQdw63XOn4PtrP38HESKyxsExKfil&#10;ANX2abbBUrsbN3Q9xU6kEA4lKjAxjqWUoTVkMSzcSJy4s/MWY4K+k9rjLYXbQeZZVkiLPacGgyPt&#10;DLWX049VUK/e9k3rD6tgdp9FPuWX8dx/KPXyPNVrEJGm+C/+cx91mv8Kj1/SAXJ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jovAAAAA2wAAAA8AAAAAAAAAAAAAAAAA&#10;oQIAAGRycy9kb3ducmV2LnhtbFBLBQYAAAAABAAEAPkAAACOAwAAAAA=&#10;">
                <v:path arrowok="t"/>
                <v:fill on="f" focussize="0,0"/>
                <v:stroke endarrow="block"/>
                <v:imagedata o:title=""/>
                <o:lock v:ext="edit"/>
              </v:shape>
              <v:shape id="AutoShape 19" o:spid="_x0000_s1074" o:spt="32" type="#_x0000_t32" style="position:absolute;left:8008;top:3202;flip:x;height:1535;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path arrowok="t"/>
                <v:fill on="f" focussize="0,0"/>
                <v:stroke endarrow="block"/>
                <v:imagedata o:title=""/>
                <o:lock v:ext="edit"/>
              </v:shape>
              <v:shape id="AutoShape 20" o:spid="_x0000_s1075" o:spt="34" type="#_x0000_t34" style="position:absolute;left:5960;top:3926;height:1049;width:1064;rotation:1179648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4LML4AAADbAAAADwAAAGRycy9kb3ducmV2LnhtbERPS4vCMBC+C/sfwizsTdOtoNI1lrIg&#10;ePTV+9CMbdlkUpKo9d+bBcHbfHzPWZejNeJGPvSOFXzPMhDEjdM9twrOp+10BSJEZI3GMSl4UIBy&#10;8zFZY6HdnQ90O8ZWpBAOBSroYhwKKUPTkcUwcwNx4i7OW4wJ+lZqj/cUbo3Ms2whLfacGjoc6Lej&#10;5u94tQqqfV5vq93yMT9Xvja4vx7MSEp9fY7VD4hIY3yLX+6dTvOX8P9LOkBun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TgswvgAAANsAAAAPAAAAAAAAAAAAAAAAAKEC&#10;AABkcnMvZG93bnJldi54bWxQSwUGAAAAAAQABAD5AAAAjAMAAAAA&#10;" adj="5460">
                <v:path arrowok="t"/>
                <v:fill on="f" focussize="0,0"/>
                <v:stroke endarrow="block"/>
                <v:imagedata o:title=""/>
                <o:lock v:ext="edit"/>
              </v:shape>
              <v:shape id="Text Box 21" o:spid="_x0000_s1076" o:spt="202" type="#_x0000_t202" style="position:absolute;left:4132;top:2647;height:279;width:1084;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pJ8UA&#10;AADbAAAADwAAAGRycy9kb3ducmV2LnhtbESPS2/CMBCE75X4D9ZW6q047YFHikEIqVUPXHgIOK7i&#10;bRIRryPbgZRfzx6QuO1qZme+nS1616gLhVh7NvAxzEARF97WXBrY777fJ6BiQrbYeCYD/xRhMR+8&#10;zDC3/sobumxTqSSEY44GqpTaXOtYVOQwDn1LLNqfDw6TrKHUNuBVwl2jP7NspB3WLA0VtrSqqDhv&#10;O2fgkE2PdvrTjU5lEY7drZnUY1ob8/baL79AJerT0/y4/rWCL7Dyiwy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iknxQAAANsAAAAPAAAAAAAAAAAAAAAAAJgCAABkcnMv&#10;ZG93bnJldi54bWxQSwUGAAAAAAQABAD1AAAAigMAAAAA&#10;">
                <v:path/>
                <v:fill focussize="0,0"/>
                <v:stroke on="f" joinstyle="miter"/>
                <v:imagedata o:title=""/>
                <o:lock v:ext="edit"/>
                <v:textbox inset="0.5mm,0.3mm,0.5mm,0.3mm">
                  <w:txbxContent>
                    <w:p>
                      <w:pPr>
                        <w:rPr>
                          <w:sz w:val="18"/>
                          <w:szCs w:val="18"/>
                        </w:rPr>
                      </w:pPr>
                      <w:r>
                        <w:rPr>
                          <w:rFonts w:hint="eastAsia"/>
                          <w:sz w:val="18"/>
                          <w:szCs w:val="18"/>
                        </w:rPr>
                        <w:t>未符合要求</w:t>
                      </w:r>
                    </w:p>
                  </w:txbxContent>
                </v:textbox>
              </v:shape>
              <v:shape id="Text Box 22" o:spid="_x0000_s1077" o:spt="202" type="#_x0000_t202" style="position:absolute;left:4093;top:4657;height:279;width:1084;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MvMEA&#10;AADbAAAADwAAAGRycy9kb3ducmV2LnhtbERPTYvCMBC9C/6HMII3TfWgthpFBMXDXnSX1ePQjG2x&#10;mZQk1e7++o0g7G0e73NWm87U4kHOV5YVTMYJCOLc6ooLBV+f+9EChA/IGmvLpOCHPGzW/d4KM22f&#10;fKLHORQihrDPUEEZQpNJ6fOSDPqxbYgjd7POYIjQFVI7fMZwU8tpksykwYpjQ4kN7UrK7+fWKPhO&#10;0otOD+3sWuTu0v7Wi2pOH0oNB912CSJQF/7Fb/dRx/kpvH6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mjLzBAAAA2wAAAA8AAAAAAAAAAAAAAAAAmAIAAGRycy9kb3du&#10;cmV2LnhtbFBLBQYAAAAABAAEAPUAAACGAwAAAAA=&#10;">
                <v:path/>
                <v:fill focussize="0,0"/>
                <v:stroke on="f" joinstyle="miter"/>
                <v:imagedata o:title=""/>
                <o:lock v:ext="edit"/>
                <v:textbox inset="0.5mm,0.3mm,0.5mm,0.3mm">
                  <w:txbxContent>
                    <w:p>
                      <w:pPr>
                        <w:rPr>
                          <w:sz w:val="18"/>
                          <w:szCs w:val="18"/>
                        </w:rPr>
                      </w:pPr>
                      <w:r>
                        <w:rPr>
                          <w:rFonts w:hint="eastAsia"/>
                          <w:sz w:val="18"/>
                          <w:szCs w:val="18"/>
                        </w:rPr>
                        <w:t>未符合要求</w:t>
                      </w:r>
                    </w:p>
                  </w:txbxContent>
                </v:textbox>
              </v:shape>
              <v:shape id="Text Box 23" o:spid="_x0000_s1078" o:spt="202" type="#_x0000_t202" style="position:absolute;left:6277;top:4021;height:1049;width:394;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Xr8IA&#10;AADbAAAADwAAAGRycy9kb3ducmV2LnhtbERPzWrCQBC+C77DMkIvUjcNQWt0lRIoLXiJ2geYZsck&#10;mp0N2Y2Jb+8eCj1+fP/b/WgacafO1ZYVvC0iEMSF1TWXCn7On6/vIJxH1thYJgUPcrDfTSdbTLUd&#10;+Ej3ky9FCGGXooLK+zaV0hUVGXQL2xIH7mI7gz7ArpS6wyGEm0bGUbSUBmsODRW2lFVU3E69UZA0&#10;q+RS9utlZn51/nV9zPPh0Cv1Mhs/NiA8jf5f/Of+1grisD58C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FevwgAAANsAAAAPAAAAAAAAAAAAAAAAAJgCAABkcnMvZG93&#10;bnJldi54bWxQSwUGAAAAAAQABAD1AAAAhwMAAAAA&#10;">
                <v:path/>
                <v:fill focussize="0,0"/>
                <v:stroke on="f" joinstyle="miter"/>
                <v:imagedata o:title=""/>
                <o:lock v:ext="edit"/>
                <v:textbox inset="0.5mm,0.3mm,0.5mm,0.3mm" style="layout-flow:vertical-ideographic;">
                  <w:txbxContent>
                    <w:p>
                      <w:pPr>
                        <w:rPr>
                          <w:sz w:val="18"/>
                          <w:szCs w:val="18"/>
                        </w:rPr>
                      </w:pPr>
                      <w:r>
                        <w:rPr>
                          <w:rFonts w:hint="eastAsia"/>
                          <w:sz w:val="18"/>
                          <w:szCs w:val="18"/>
                        </w:rPr>
                        <w:t>未通过审核</w:t>
                      </w:r>
                    </w:p>
                  </w:txbxContent>
                </v:textbox>
              </v:shape>
              <v:shape id="AutoShape 24" o:spid="_x0000_s1079" o:spt="4" type="#_x0000_t4" style="position:absolute;left:4067;top:5781;height:903;width:234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TpsEA&#10;AADbAAAADwAAAGRycy9kb3ducmV2LnhtbESPzYvCMBTE7wv+D+EJXhZNK7JINYqf4GEv68f90Tyb&#10;YvNSm6j1vzcLgsdhZn7DTOetrcSdGl86VpAOEhDEudMlFwqOh21/DMIHZI2VY1LwJA/zWedripl2&#10;D/6j+z4UIkLYZ6jAhFBnUvrckEU/cDVx9M6usRiibAqpG3xEuK3kMEl+pMWS44LBmlaG8sv+ZhVc&#10;qSjTk/z+XcrdZr21piIepUr1uu1iAiJQGz7hd3unFQxT+P8Sf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TU6bBAAAA2wAAAA8AAAAAAAAAAAAAAAAAmAIAAGRycy9kb3du&#10;cmV2LnhtbFBLBQYAAAAABAAEAPUAAACGAwAAAAA=&#10;">
                <v:path/>
                <v:fill focussize="0,0"/>
                <v:stroke joinstyle="miter"/>
                <v:imagedata o:title=""/>
                <o:lock v:ext="edit"/>
                <v:textbox inset="0.5mm,0.3mm,0.5mm,0.3mm">
                  <w:txbxContent>
                    <w:p>
                      <w:pPr>
                        <w:jc w:val="center"/>
                        <w:rPr>
                          <w:sz w:val="18"/>
                          <w:szCs w:val="18"/>
                        </w:rPr>
                      </w:pPr>
                      <w:r>
                        <w:rPr>
                          <w:rFonts w:hint="eastAsia"/>
                          <w:sz w:val="18"/>
                          <w:szCs w:val="18"/>
                        </w:rPr>
                        <w:t>同时满足</w:t>
                      </w:r>
                    </w:p>
                  </w:txbxContent>
                </v:textbox>
              </v:shape>
              <v:shape id="AutoShape 25" o:spid="_x0000_s1080" o:spt="33" type="#_x0000_t33" style="position:absolute;left:3098;top:5264;flip:x;height:918;width:1020;rotation:589824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gO5MEAAADbAAAADwAAAGRycy9kb3ducmV2LnhtbESPS6vCMBSE94L/IRzh7jS1C7lUo4gP&#10;EMSFD9DloTltis1JaaL2/nsjXHA5zMw3zGzR2Vo8qfWVYwXjUQKCOHe64lLB5bwd/oLwAVlj7ZgU&#10;/JGHxbzfm2Gm3YuP9DyFUkQI+wwVmBCaTEqfG7LoR64hjl7hWoshyraUusVXhNtapkkykRYrjgsG&#10;G1oZyu+nh1WwdzdZuJtZFWtz9Xf/2Ojr4aLUz6BbTkEE6sI3/N/eaQVpCp8v8Qf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A7kwQAAANsAAAAPAAAAAAAAAAAAAAAA&#10;AKECAABkcnMvZG93bnJldi54bWxQSwUGAAAAAAQABAD5AAAAjwMAAAAA&#10;">
                <v:path arrowok="t"/>
                <v:fill on="f" focussize="0,0"/>
                <v:stroke endarrow="block"/>
                <v:imagedata o:title=""/>
                <o:lock v:ext="edit"/>
              </v:shape>
              <v:shape id="AutoShape 26" o:spid="_x0000_s1081" o:spt="33" type="#_x0000_t33" style="position:absolute;left:6699;top:4924;height:1598;width:1020;rotation:589824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Bp98MAAADbAAAADwAAAGRycy9kb3ducmV2LnhtbESP3WoCMRSE7wu+QziCdzVbBSlbo4g/&#10;uHhR6uoDHDanm6WbkyWJ6/r2plDo5TAz3zDL9WBb0ZMPjWMFb9MMBHHldMO1guvl8PoOIkRkja1j&#10;UvCgAOvV6GWJuXZ3PlNfxlokCIccFZgYu1zKUBmyGKauI07et/MWY5K+ltrjPcFtK2dZtpAWG04L&#10;BjvaGqp+yptVsJhvsuPtc2cLU5zIlv3W778apSbjYfMBItIQ/8N/7UIrmM3h90v6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waffDAAAA2wAAAA8AAAAAAAAAAAAA&#10;AAAAoQIAAGRycy9kb3ducmV2LnhtbFBLBQYAAAAABAAEAPkAAACRAwAAAAA=&#10;">
                <v:path arrowok="t"/>
                <v:fill on="f" focussize="0,0"/>
                <v:stroke endarrow="block"/>
                <v:imagedata o:title=""/>
                <o:lock v:ext="edit"/>
              </v:shape>
              <v:shape id="Text Box 27" o:spid="_x0000_s1082" o:spt="202" type="#_x0000_t202" style="position:absolute;left:3199;top:5868;height:279;width:823;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pn8UA&#10;AADbAAAADwAAAGRycy9kb3ducmV2LnhtbESPQWvCQBSE70L/w/IK3uqmQVKNrkGElh56aRT1+Mg+&#10;k9Ds27C70bS/vlsoeBxm5htmXYymE1dyvrWs4HmWgCCurG65VnDYvz4tQPiArLGzTAq+yUOxeZis&#10;Mdf2xp90LUMtIoR9jgqaEPpcSl81ZNDPbE8cvYt1BkOUrpba4S3CTSfTJMmkwZbjQoM97RqqvsrB&#10;KDgmy5Nevg3Zua7cafjpFu0LfSg1fRy3KxCBxnAP/7fftYJ0D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mfxQAAANsAAAAPAAAAAAAAAAAAAAAAAJgCAABkcnMv&#10;ZG93bnJldi54bWxQSwUGAAAAAAQABAD1AAAAigMAAAAA&#10;">
                <v:path/>
                <v:fill focussize="0,0"/>
                <v:stroke on="f" joinstyle="miter"/>
                <v:imagedata o:title=""/>
                <o:lock v:ext="edit"/>
                <v:textbox inset="0.5mm,0.3mm,0.5mm,0.3mm">
                  <w:txbxContent>
                    <w:p>
                      <w:pPr>
                        <w:rPr>
                          <w:sz w:val="18"/>
                          <w:szCs w:val="18"/>
                        </w:rPr>
                      </w:pPr>
                      <w:r>
                        <w:rPr>
                          <w:rFonts w:hint="eastAsia"/>
                          <w:sz w:val="18"/>
                          <w:szCs w:val="18"/>
                        </w:rPr>
                        <w:t>符合要求</w:t>
                      </w:r>
                    </w:p>
                  </w:txbxContent>
                </v:textbox>
              </v:shape>
              <v:shape id="Text Box 28" o:spid="_x0000_s1083" o:spt="202" type="#_x0000_t202" style="position:absolute;left:6868;top:5868;height:279;width:823;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MBMUA&#10;AADbAAAADwAAAGRycy9kb3ducmV2LnhtbESPQWvCQBSE70L/w/IK3uqmAVONrkGElh56aRT1+Mg+&#10;k9Ds27C70bS/vlsoeBxm5htmXYymE1dyvrWs4HmWgCCurG65VnDYvz4tQPiArLGzTAq+yUOxeZis&#10;Mdf2xp90LUMtIoR9jgqaEPpcSl81ZNDPbE8cvYt1BkOUrpba4S3CTSfTJMmkwZbjQoM97RqqvsrB&#10;KDgmy5Nevg3Zua7cafjpFu0LfSg1fRy3KxCBxnAP/7fftYJ0D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0wExQAAANsAAAAPAAAAAAAAAAAAAAAAAJgCAABkcnMv&#10;ZG93bnJldi54bWxQSwUGAAAAAAQABAD1AAAAigMAAAAA&#10;">
                <v:path/>
                <v:fill focussize="0,0"/>
                <v:stroke on="f" joinstyle="miter"/>
                <v:imagedata o:title=""/>
                <o:lock v:ext="edit"/>
                <v:textbox inset="0.5mm,0.3mm,0.5mm,0.3mm">
                  <w:txbxContent>
                    <w:p>
                      <w:pPr>
                        <w:jc w:val="center"/>
                        <w:rPr>
                          <w:sz w:val="18"/>
                          <w:szCs w:val="18"/>
                        </w:rPr>
                      </w:pPr>
                      <w:r>
                        <w:rPr>
                          <w:rFonts w:hint="eastAsia"/>
                          <w:sz w:val="18"/>
                          <w:szCs w:val="18"/>
                        </w:rPr>
                        <w:t>提供</w:t>
                      </w:r>
                    </w:p>
                  </w:txbxContent>
                </v:textbox>
              </v:shape>
              <v:shape id="Oval 29" o:spid="_x0000_s1084" o:spt="3" type="#_x0000_t3" style="position:absolute;left:4320;top:7527;height:850;width:1865;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1pcMA&#10;AADbAAAADwAAAGRycy9kb3ducmV2LnhtbESPQWsCMRSE7wX/Q3hCbzWrh6WsRikFwZNStZ6fm9fd&#10;rcnLksTd1V9vCkKPw8x8wyxWgzWiIx8axwqmkwwEcel0w5WC42H99g4iRGSNxjEpuFGA1XL0ssBC&#10;u56/qNvHSiQIhwIV1DG2hZShrMlimLiWOHk/zluMSfpKao99glsjZ1mWS4sNp4UaW/qsqbzsr1bB&#10;9tubPJzM2dzvl3bXV7vt4bdT6nU8fMxBRBrif/jZ3mgFsxz+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1pcMAAADbAAAADwAAAAAAAAAAAAAAAACYAgAAZHJzL2Rv&#10;d25yZXYueG1sUEsFBgAAAAAEAAQA9QAAAIgDAAAAAA==&#10;">
                <v:path/>
                <v:fill focussize="0,0"/>
                <v:stroke/>
                <v:imagedata o:title=""/>
                <o:lock v:ext="edit"/>
                <v:textbox inset="0.5mm,0.3mm,0.5mm,0.3mm">
                  <w:txbxContent>
                    <w:p>
                      <w:pPr>
                        <w:jc w:val="center"/>
                        <w:rPr>
                          <w:sz w:val="18"/>
                          <w:szCs w:val="18"/>
                        </w:rPr>
                      </w:pPr>
                      <w:r>
                        <w:rPr>
                          <w:rFonts w:hint="eastAsia"/>
                          <w:sz w:val="18"/>
                          <w:szCs w:val="18"/>
                        </w:rPr>
                        <w:t>绿色设计产品</w:t>
                      </w:r>
                    </w:p>
                  </w:txbxContent>
                </v:textbox>
              </v:shape>
              <v:shape id="AutoShape 30" o:spid="_x0000_s1085" o:spt="32" type="#_x0000_t32" style="position:absolute;left:5239;top:6684;height:843;width:1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path arrowok="t"/>
                <v:fill on="f" focussize="0,0"/>
                <v:stroke endarrow="block"/>
                <v:imagedata o:title=""/>
                <o:lock v:ext="edit"/>
              </v:shape>
              <v:shape id="Text Box 31" o:spid="_x0000_s1086" o:spt="202" type="#_x0000_t202" style="position:absolute;left:5285;top:6905;height:385;width:394;v-text-anchor:middle;"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bqcIA&#10;AADbAAAADwAAAGRycy9kb3ducmV2LnhtbERPzWrCQBC+C77DMkIvUjcNQWt0lRIoLXiJ2geYZsck&#10;mp0N2Y2Jb+8eCj1+fP/b/WgacafO1ZYVvC0iEMSF1TWXCn7On6/vIJxH1thYJgUPcrDfTSdbTLUd&#10;+Ej3ky9FCGGXooLK+zaV0hUVGXQL2xIH7mI7gz7ArpS6wyGEm0bGUbSUBmsODRW2lFVU3E69UZA0&#10;q+RS9utlZn51/nV9zPPh0Cv1Mhs/NiA8jf5f/Of+1griMDZ8C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LlupwgAAANsAAAAPAAAAAAAAAAAAAAAAAJgCAABkcnMvZG93&#10;bnJldi54bWxQSwUGAAAAAAQABAD1AAAAhwMAAAAA&#10;">
                <v:path/>
                <v:fill focussize="0,0"/>
                <v:stroke on="f" joinstyle="miter"/>
                <v:imagedata o:title=""/>
                <o:lock v:ext="edit"/>
                <v:textbox inset="0.5mm,0.3mm,0.5mm,0.3mm" style="layout-flow:vertical-ideographic;">
                  <w:txbxContent>
                    <w:p>
                      <w:pPr/>
                      <w:r>
                        <w:rPr>
                          <w:rFonts w:hint="eastAsia"/>
                        </w:rPr>
                        <w:t>是</w:t>
                      </w:r>
                    </w:p>
                  </w:txbxContent>
                </v:textbox>
              </v:shape>
            </v:group>
            <w10:wrap type="none"/>
            <w10:anchorlock/>
          </v:group>
        </w:pict>
      </w:r>
    </w:p>
    <w:p>
      <w:pPr>
        <w:pStyle w:val="29"/>
        <w:numPr>
          <w:ilvl w:val="0"/>
          <w:numId w:val="2"/>
        </w:numPr>
        <w:tabs>
          <w:tab w:val="left" w:pos="426"/>
        </w:tabs>
        <w:spacing w:beforeLines="100" w:afterLines="100"/>
        <w:ind w:hangingChars="200"/>
        <w:jc w:val="left"/>
        <w:rPr>
          <w:rFonts w:ascii="Times New Roman"/>
          <w:sz w:val="24"/>
          <w:szCs w:val="24"/>
        </w:rPr>
      </w:pPr>
      <w:bookmarkStart w:id="15" w:name="_Toc508959274"/>
      <w:r>
        <w:rPr>
          <w:rFonts w:hint="eastAsia" w:ascii="Times New Roman"/>
          <w:sz w:val="24"/>
          <w:szCs w:val="24"/>
        </w:rPr>
        <w:t>标准的创新点</w:t>
      </w:r>
      <w:bookmarkEnd w:id="15"/>
    </w:p>
    <w:p>
      <w:pPr>
        <w:spacing w:line="360" w:lineRule="auto"/>
        <w:ind w:firstLine="420" w:firstLineChars="200"/>
        <w:rPr>
          <w:rFonts w:ascii="Times New Roman"/>
        </w:rPr>
      </w:pPr>
      <w:r>
        <w:rPr>
          <w:rFonts w:hint="eastAsia" w:ascii="Times New Roman"/>
        </w:rPr>
        <w:t>第一、本标准属首次制定，填补了我国锂行业锂绿色设计产品评价技术规范标准的空白，第一次能够量化分析锂对环境的综合影响。</w:t>
      </w:r>
    </w:p>
    <w:p>
      <w:pPr>
        <w:spacing w:line="360" w:lineRule="auto"/>
        <w:ind w:firstLine="420" w:firstLineChars="200"/>
        <w:rPr>
          <w:rFonts w:ascii="Times New Roman"/>
        </w:rPr>
      </w:pPr>
      <w:r>
        <w:rPr>
          <w:rFonts w:hint="eastAsia" w:ascii="Times New Roman"/>
        </w:rPr>
        <w:t>第二、从资源、能源、环境、质量属性等</w:t>
      </w:r>
      <w:r>
        <w:rPr>
          <w:rFonts w:ascii="Times New Roman"/>
        </w:rPr>
        <w:t>4</w:t>
      </w:r>
      <w:r>
        <w:rPr>
          <w:rFonts w:hint="eastAsia" w:ascii="Times New Roman"/>
        </w:rPr>
        <w:t>个方面首次提出了锂绿色设计产品要达到的要求。</w:t>
      </w:r>
    </w:p>
    <w:p>
      <w:pPr>
        <w:spacing w:line="360" w:lineRule="auto"/>
        <w:ind w:firstLine="420" w:firstLineChars="200"/>
        <w:rPr>
          <w:rFonts w:ascii="Times New Roman" w:hAnsi="Times New Roman"/>
          <w:szCs w:val="21"/>
        </w:rPr>
      </w:pPr>
      <w:r>
        <w:rPr>
          <w:rFonts w:hint="eastAsia" w:ascii="Times New Roman" w:hAnsi="Times New Roman"/>
          <w:szCs w:val="21"/>
        </w:rPr>
        <w:t>第三、对于锂原料中的有害杂质元素提出了具体的限制条件，从源头上减少了有害物质进入系统的机会。</w:t>
      </w:r>
    </w:p>
    <w:p>
      <w:pPr>
        <w:spacing w:line="360" w:lineRule="auto"/>
        <w:ind w:firstLine="420" w:firstLineChars="200"/>
        <w:rPr>
          <w:rFonts w:ascii="Times New Roman" w:hAnsi="Times New Roman"/>
          <w:szCs w:val="21"/>
        </w:rPr>
      </w:pPr>
      <w:r>
        <w:rPr>
          <w:rFonts w:hint="eastAsia" w:ascii="Times New Roman" w:hAnsi="Times New Roman"/>
          <w:szCs w:val="21"/>
        </w:rPr>
        <w:t>第四、环境属性的指标要严于现有的污染物排放标准，体现锂绿色设计产品的基本要求。</w:t>
      </w:r>
    </w:p>
    <w:p>
      <w:pPr>
        <w:pStyle w:val="29"/>
        <w:numPr>
          <w:ilvl w:val="0"/>
          <w:numId w:val="2"/>
        </w:numPr>
        <w:tabs>
          <w:tab w:val="left" w:pos="426"/>
        </w:tabs>
        <w:spacing w:beforeLines="100" w:afterLines="100"/>
        <w:ind w:hangingChars="200"/>
        <w:jc w:val="left"/>
        <w:rPr>
          <w:rFonts w:ascii="Times New Roman"/>
          <w:sz w:val="24"/>
          <w:szCs w:val="24"/>
        </w:rPr>
      </w:pPr>
      <w:bookmarkStart w:id="16" w:name="_Toc508959275"/>
      <w:r>
        <w:rPr>
          <w:rFonts w:hint="eastAsia" w:ascii="Times New Roman"/>
          <w:sz w:val="24"/>
          <w:szCs w:val="24"/>
        </w:rPr>
        <w:t>与现行相关法律、法规、规章及相关标准，特别是强制性标准的协调性</w:t>
      </w:r>
      <w:bookmarkEnd w:id="16"/>
    </w:p>
    <w:p>
      <w:pPr>
        <w:pStyle w:val="22"/>
        <w:spacing w:line="300" w:lineRule="auto"/>
        <w:ind w:firstLine="420"/>
        <w:rPr>
          <w:rFonts w:ascii="Times New Roman"/>
        </w:rPr>
      </w:pPr>
      <w:r>
        <w:rPr>
          <w:rFonts w:hint="eastAsia" w:ascii="Times New Roman"/>
        </w:rPr>
        <w:t>目前我国无锂绿色设计产品评价的标准，本标准是新制定的协会标准。本标准是现有国家或行业标准不可替代的，本标准的制定是我国锂行业标准体系的完善和补充。本标准的制定与现行的相关法律、法规、规章及相关标准的关系不矛盾、不冲突，其相互关系非常协调。</w:t>
      </w:r>
    </w:p>
    <w:p>
      <w:pPr>
        <w:pStyle w:val="29"/>
        <w:numPr>
          <w:ilvl w:val="0"/>
          <w:numId w:val="2"/>
        </w:numPr>
        <w:tabs>
          <w:tab w:val="left" w:pos="426"/>
        </w:tabs>
        <w:spacing w:beforeLines="100" w:afterLines="100"/>
        <w:ind w:hangingChars="200"/>
        <w:jc w:val="left"/>
        <w:rPr>
          <w:rFonts w:ascii="Times New Roman"/>
          <w:sz w:val="24"/>
          <w:szCs w:val="24"/>
        </w:rPr>
      </w:pPr>
      <w:bookmarkStart w:id="17" w:name="_Toc497309558"/>
      <w:bookmarkStart w:id="18" w:name="_Toc508959276"/>
      <w:r>
        <w:rPr>
          <w:rFonts w:hint="eastAsia" w:ascii="Times New Roman"/>
          <w:sz w:val="24"/>
          <w:szCs w:val="24"/>
        </w:rPr>
        <w:t>标准中涉及的专利或知识产权说明</w:t>
      </w:r>
      <w:bookmarkEnd w:id="17"/>
      <w:bookmarkEnd w:id="18"/>
    </w:p>
    <w:p>
      <w:pPr>
        <w:pStyle w:val="22"/>
        <w:spacing w:line="300" w:lineRule="auto"/>
        <w:ind w:firstLine="420"/>
        <w:contextualSpacing/>
        <w:rPr>
          <w:rFonts w:ascii="Times New Roman"/>
        </w:rPr>
      </w:pPr>
      <w:r>
        <w:rPr>
          <w:rFonts w:hint="eastAsia" w:ascii="Times New Roman"/>
        </w:rPr>
        <w:t>本标准不涉及任何专利或知识产权。</w:t>
      </w:r>
    </w:p>
    <w:p>
      <w:pPr>
        <w:pStyle w:val="29"/>
        <w:numPr>
          <w:ilvl w:val="0"/>
          <w:numId w:val="2"/>
        </w:numPr>
        <w:tabs>
          <w:tab w:val="left" w:pos="426"/>
        </w:tabs>
        <w:spacing w:beforeLines="100" w:afterLines="100"/>
        <w:ind w:hangingChars="200"/>
        <w:jc w:val="left"/>
        <w:rPr>
          <w:rFonts w:ascii="Times New Roman"/>
          <w:sz w:val="24"/>
          <w:szCs w:val="24"/>
        </w:rPr>
      </w:pPr>
      <w:bookmarkStart w:id="19" w:name="_Toc497309559"/>
      <w:bookmarkStart w:id="20" w:name="_Toc508959277"/>
      <w:r>
        <w:rPr>
          <w:rFonts w:hint="eastAsia" w:ascii="Times New Roman"/>
          <w:sz w:val="24"/>
          <w:szCs w:val="24"/>
        </w:rPr>
        <w:t>重大分歧意见的处理经过和依据</w:t>
      </w:r>
      <w:bookmarkEnd w:id="19"/>
      <w:bookmarkEnd w:id="20"/>
    </w:p>
    <w:p>
      <w:pPr>
        <w:pStyle w:val="22"/>
        <w:spacing w:line="300" w:lineRule="auto"/>
        <w:ind w:firstLine="420"/>
        <w:contextualSpacing/>
        <w:rPr>
          <w:rFonts w:ascii="Times New Roman"/>
          <w:szCs w:val="21"/>
        </w:rPr>
      </w:pPr>
      <w:r>
        <w:rPr>
          <w:rFonts w:hint="eastAsia" w:ascii="Times New Roman"/>
          <w:szCs w:val="21"/>
        </w:rPr>
        <w:t>无</w:t>
      </w:r>
      <w:r>
        <w:rPr>
          <w:rFonts w:hint="eastAsia" w:ascii="Times New Roman"/>
          <w:szCs w:val="21"/>
          <w:lang w:eastAsia="zh-CN"/>
        </w:rPr>
        <w:t>。</w:t>
      </w:r>
    </w:p>
    <w:p>
      <w:pPr>
        <w:pStyle w:val="29"/>
        <w:numPr>
          <w:ilvl w:val="0"/>
          <w:numId w:val="2"/>
        </w:numPr>
        <w:tabs>
          <w:tab w:val="left" w:pos="426"/>
        </w:tabs>
        <w:spacing w:beforeLines="100" w:afterLines="100"/>
        <w:ind w:hangingChars="200"/>
        <w:jc w:val="left"/>
        <w:rPr>
          <w:rFonts w:ascii="Times New Roman"/>
          <w:sz w:val="24"/>
          <w:szCs w:val="24"/>
        </w:rPr>
      </w:pPr>
      <w:bookmarkStart w:id="21" w:name="_Toc508959278"/>
      <w:bookmarkStart w:id="22" w:name="_Toc497309560"/>
      <w:r>
        <w:rPr>
          <w:rFonts w:hint="eastAsia" w:ascii="Times New Roman"/>
          <w:sz w:val="24"/>
          <w:szCs w:val="24"/>
        </w:rPr>
        <w:t>标准作为强制性或推荐性行业标准的建议</w:t>
      </w:r>
      <w:bookmarkEnd w:id="21"/>
      <w:bookmarkEnd w:id="22"/>
    </w:p>
    <w:p>
      <w:pPr>
        <w:pStyle w:val="22"/>
        <w:spacing w:line="300" w:lineRule="auto"/>
        <w:ind w:firstLine="420"/>
        <w:contextualSpacing/>
        <w:rPr>
          <w:rFonts w:ascii="Times New Roman"/>
        </w:rPr>
      </w:pPr>
      <w:r>
        <w:rPr>
          <w:rFonts w:hint="eastAsia" w:ascii="Times New Roman"/>
        </w:rPr>
        <w:t>本标准建议不作为强制性标准，而建议作为推荐性标准。</w:t>
      </w:r>
    </w:p>
    <w:p>
      <w:pPr>
        <w:pStyle w:val="29"/>
        <w:numPr>
          <w:ilvl w:val="0"/>
          <w:numId w:val="2"/>
        </w:numPr>
        <w:tabs>
          <w:tab w:val="left" w:pos="426"/>
        </w:tabs>
        <w:spacing w:beforeLines="100" w:afterLines="100"/>
        <w:ind w:hangingChars="200"/>
        <w:jc w:val="left"/>
        <w:rPr>
          <w:rFonts w:ascii="Times New Roman"/>
          <w:sz w:val="24"/>
          <w:szCs w:val="24"/>
        </w:rPr>
      </w:pPr>
      <w:bookmarkStart w:id="23" w:name="_Toc497309561"/>
      <w:bookmarkStart w:id="24" w:name="_Toc508959279"/>
      <w:r>
        <w:rPr>
          <w:rFonts w:hint="eastAsia" w:ascii="Times New Roman"/>
          <w:sz w:val="24"/>
          <w:szCs w:val="24"/>
        </w:rPr>
        <w:t>贯彻标准的要求和措施建议</w:t>
      </w:r>
      <w:bookmarkEnd w:id="23"/>
      <w:bookmarkEnd w:id="24"/>
    </w:p>
    <w:p>
      <w:pPr>
        <w:pStyle w:val="22"/>
        <w:spacing w:line="300" w:lineRule="auto"/>
        <w:ind w:firstLine="420"/>
        <w:contextualSpacing/>
        <w:rPr>
          <w:rFonts w:ascii="Times New Roman"/>
          <w:szCs w:val="21"/>
        </w:rPr>
      </w:pPr>
      <w:r>
        <w:rPr>
          <w:rFonts w:hint="eastAsia" w:ascii="Times New Roman"/>
          <w:szCs w:val="21"/>
        </w:rPr>
        <w:t>本标准发布后，中国有色金属工业协会锂业分会和全国有色金属标准化技术委员会应加强对本标准的宣传力度，积极推进整个锂行业的技术进步，鼓励有条件的锂冶炼企业积极按照本标准的要求组织生产，在合适时候开展锂绿色设计产品技术评价，以促进锂业技术进步，减少锂业生产活动和锂产品生命周期对环境的影响，有效保护涉锂企业周边的环境，促进锂业持续健康发展。</w:t>
      </w:r>
    </w:p>
    <w:p>
      <w:pPr>
        <w:pStyle w:val="29"/>
        <w:numPr>
          <w:ilvl w:val="0"/>
          <w:numId w:val="2"/>
        </w:numPr>
        <w:tabs>
          <w:tab w:val="left" w:pos="426"/>
        </w:tabs>
        <w:spacing w:beforeLines="100" w:afterLines="100"/>
        <w:ind w:hangingChars="200"/>
        <w:jc w:val="left"/>
        <w:rPr>
          <w:rFonts w:ascii="Times New Roman"/>
          <w:sz w:val="24"/>
          <w:szCs w:val="24"/>
        </w:rPr>
      </w:pPr>
      <w:bookmarkStart w:id="25" w:name="_Toc497309562"/>
      <w:bookmarkStart w:id="26" w:name="_Toc508959280"/>
      <w:r>
        <w:rPr>
          <w:rFonts w:hint="eastAsia" w:ascii="Times New Roman"/>
          <w:sz w:val="24"/>
          <w:szCs w:val="24"/>
        </w:rPr>
        <w:t>废止现行有关标准的建议</w:t>
      </w:r>
      <w:bookmarkEnd w:id="25"/>
      <w:bookmarkEnd w:id="26"/>
    </w:p>
    <w:p>
      <w:pPr>
        <w:pStyle w:val="22"/>
        <w:spacing w:line="300" w:lineRule="auto"/>
        <w:ind w:firstLine="420"/>
        <w:contextualSpacing/>
        <w:rPr>
          <w:rFonts w:ascii="Times New Roman"/>
          <w:szCs w:val="21"/>
        </w:rPr>
      </w:pPr>
      <w:r>
        <w:rPr>
          <w:rFonts w:hint="eastAsia" w:ascii="Times New Roman"/>
          <w:szCs w:val="21"/>
        </w:rPr>
        <w:t>无。</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黑体">
    <w:panose1 w:val="02010609060101010101"/>
    <w:charset w:val="86"/>
    <w:family w:val="decorative"/>
    <w:pitch w:val="default"/>
    <w:sig w:usb0="800002BF" w:usb1="38CF7CFA" w:usb2="00000016" w:usb3="00000000" w:csb0="00040001" w:csb1="00000000"/>
  </w:font>
  <w:font w:name="Cambria Math">
    <w:panose1 w:val="02040503050406030204"/>
    <w:charset w:val="00"/>
    <w:family w:val="swiss"/>
    <w:pitch w:val="default"/>
    <w:sig w:usb0="E00002FF" w:usb1="420024FF" w:usb2="00000000" w:usb3="00000000" w:csb0="2000019F" w:csb1="00000000"/>
  </w:font>
  <w:font w:name="AngsanaUPC">
    <w:panose1 w:val="02020603050405020304"/>
    <w:charset w:val="00"/>
    <w:family w:val="swiss"/>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0"/>
    <w:family w:val="decorative"/>
    <w:pitch w:val="default"/>
    <w:sig w:usb0="E00002FF" w:usb1="420024FF" w:usb2="00000000" w:usb3="00000000" w:csb0="2000019F" w:csb1="00000000"/>
  </w:font>
  <w:font w:name="AngsanaUPC">
    <w:panose1 w:val="02020603050405020304"/>
    <w:charset w:val="00"/>
    <w:family w:val="decorative"/>
    <w:pitch w:val="default"/>
    <w:sig w:usb0="81000003" w:usb1="00000000" w:usb2="00000000" w:usb3="00000000" w:csb0="00010001" w:csb1="00000000"/>
  </w:font>
  <w:font w:name="黑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ngsanaUPC">
    <w:panose1 w:val="02020603050405020304"/>
    <w:charset w:val="00"/>
    <w:family w:val="roman"/>
    <w:pitch w:val="default"/>
    <w:sig w:usb0="81000003" w:usb1="00000000" w:usb2="00000000" w:usb3="00000000" w:csb0="00010001" w:csb1="00000000"/>
  </w:font>
  <w:font w:name="黑体">
    <w:panose1 w:val="02010609060101010101"/>
    <w:charset w:val="86"/>
    <w:family w:val="swiss"/>
    <w:pitch w:val="default"/>
    <w:sig w:usb0="800002BF" w:usb1="38CF7CFA" w:usb2="00000016" w:usb3="00000000" w:csb0="00040001" w:csb1="00000000"/>
  </w:font>
  <w:font w:name="Cambria Math">
    <w:panose1 w:val="02040503050406030204"/>
    <w:charset w:val="00"/>
    <w:family w:val="modern"/>
    <w:pitch w:val="default"/>
    <w:sig w:usb0="E00002FF" w:usb1="420024FF" w:usb2="00000000" w:usb3="00000000" w:csb0="2000019F" w:csb1="00000000"/>
  </w:font>
  <w:font w:name="AngsanaUPC">
    <w:panose1 w:val="02020603050405020304"/>
    <w:charset w:val="00"/>
    <w:family w:val="modern"/>
    <w:pitch w:val="default"/>
    <w:sig w:usb0="81000003" w:usb1="00000000" w:usb2="00000000" w:usb3="00000000" w:csb0="00010001"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decorative"/>
    <w:pitch w:val="default"/>
    <w:sig w:usb0="00000000" w:usb1="00000000" w:usb2="00000000" w:usb3="00000000" w:csb0="00000000" w:csb1="00000000"/>
  </w:font>
  <w:font w:name="TimesNewRomanPS-ItalicMT">
    <w:altName w:val="Times New Roman"/>
    <w:panose1 w:val="00000000000000000000"/>
    <w:charset w:val="00"/>
    <w:family w:val="decorative"/>
    <w:pitch w:val="default"/>
    <w:sig w:usb0="00000000" w:usb1="00000000" w:usb2="00000000" w:usb3="00000000" w:csb0="00000000" w:csb1="00000000"/>
  </w:font>
  <w:font w:name="FzBookMaker8DlFont80536871322">
    <w:altName w:val="Cambria"/>
    <w:panose1 w:val="00000000000000000000"/>
    <w:charset w:val="00"/>
    <w:family w:val="decorative"/>
    <w:pitch w:val="default"/>
    <w:sig w:usb0="00000000" w:usb1="00000000" w:usb2="00000000" w:usb3="00000000" w:csb0="00000000" w:csb1="00000000"/>
  </w:font>
  <w:font w:name="E-BZ-PK7482d0-Identity-H">
    <w:altName w:val="Cambria"/>
    <w:panose1 w:val="00000000000000000000"/>
    <w:charset w:val="00"/>
    <w:family w:val="decorative"/>
    <w:pitch w:val="default"/>
    <w:sig w:usb0="00000000" w:usb1="00000000" w:usb2="00000000" w:usb3="00000000" w:csb0="00000000" w:csb1="00000000"/>
  </w:font>
  <w:font w:name="FzBookMaker6DlFont60536871319">
    <w:altName w:val="Cambria"/>
    <w:panose1 w:val="00000000000000000000"/>
    <w:charset w:val="00"/>
    <w:family w:val="decorative"/>
    <w:pitch w:val="default"/>
    <w:sig w:usb0="00000000" w:usb1="00000000" w:usb2="00000000" w:usb3="00000000" w:csb0="00000000" w:csb1="00000000"/>
  </w:font>
  <w:font w:name="SymbolMT">
    <w:altName w:val="Cambria"/>
    <w:panose1 w:val="00000000000000000000"/>
    <w:charset w:val="00"/>
    <w:family w:val="decorative"/>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Cambria"/>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modern"/>
    <w:pitch w:val="default"/>
    <w:sig w:usb0="00000000" w:usb1="00000000" w:usb2="00000000" w:usb3="00000000" w:csb0="00000000" w:csb1="00000000"/>
  </w:font>
  <w:font w:name="TimesNewRomanPS-ItalicMT">
    <w:altName w:val="Times New Roman"/>
    <w:panose1 w:val="00000000000000000000"/>
    <w:charset w:val="00"/>
    <w:family w:val="modern"/>
    <w:pitch w:val="default"/>
    <w:sig w:usb0="00000000" w:usb1="00000000" w:usb2="00000000" w:usb3="00000000" w:csb0="00000000" w:csb1="00000000"/>
  </w:font>
  <w:font w:name="SymbolMT">
    <w:altName w:val="Cambria"/>
    <w:panose1 w:val="00000000000000000000"/>
    <w:charset w:val="00"/>
    <w:family w:val="modern"/>
    <w:pitch w:val="default"/>
    <w:sig w:usb0="00000000" w:usb1="00000000" w:usb2="00000000" w:usb3="00000000" w:csb0="00000000" w:csb1="00000000"/>
  </w:font>
  <w:font w:name="FzBookMaker8DlFont80536871322">
    <w:altName w:val="Cambria"/>
    <w:panose1 w:val="00000000000000000000"/>
    <w:charset w:val="00"/>
    <w:family w:val="roman"/>
    <w:pitch w:val="default"/>
    <w:sig w:usb0="00000000" w:usb1="00000000" w:usb2="00000000" w:usb3="00000000" w:csb0="00000000" w:csb1="00000000"/>
  </w:font>
  <w:font w:name="E-BZ-PK7482d0-Identity-H">
    <w:altName w:val="Cambria"/>
    <w:panose1 w:val="00000000000000000000"/>
    <w:charset w:val="00"/>
    <w:family w:val="roman"/>
    <w:pitch w:val="default"/>
    <w:sig w:usb0="00000000" w:usb1="00000000" w:usb2="00000000" w:usb3="00000000" w:csb0="00000000" w:csb1="00000000"/>
  </w:font>
  <w:font w:name="FzBookMaker6DlFont60536871319">
    <w:altName w:val="Cambria"/>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swiss"/>
    <w:pitch w:val="default"/>
    <w:sig w:usb0="00000000" w:usb1="00000000" w:usb2="00000000" w:usb3="00000000" w:csb0="00000000" w:csb1="00000000"/>
  </w:font>
  <w:font w:name="TimesNewRomanPS-ItalicMT">
    <w:altName w:val="Times New Roman"/>
    <w:panose1 w:val="00000000000000000000"/>
    <w:charset w:val="00"/>
    <w:family w:val="swiss"/>
    <w:pitch w:val="default"/>
    <w:sig w:usb0="00000000" w:usb1="00000000" w:usb2="00000000" w:usb3="00000000" w:csb0="00000000" w:csb1="00000000"/>
  </w:font>
  <w:font w:name="SymbolMT">
    <w:altName w:val="Cambria"/>
    <w:panose1 w:val="00000000000000000000"/>
    <w:charset w:val="00"/>
    <w:family w:val="swiss"/>
    <w:pitch w:val="default"/>
    <w:sig w:usb0="00000000" w:usb1="00000000" w:usb2="00000000" w:usb3="00000000" w:csb0="00000000" w:csb1="00000000"/>
  </w:font>
  <w:font w:name="FzBookMaker8DlFont80536871322">
    <w:altName w:val="Cambria"/>
    <w:panose1 w:val="00000000000000000000"/>
    <w:charset w:val="00"/>
    <w:family w:val="modern"/>
    <w:pitch w:val="default"/>
    <w:sig w:usb0="00000000" w:usb1="00000000" w:usb2="00000000" w:usb3="00000000" w:csb0="00000000" w:csb1="00000000"/>
  </w:font>
  <w:font w:name="E-BZ-PK7482d0-Identity-H">
    <w:altName w:val="Cambria"/>
    <w:panose1 w:val="00000000000000000000"/>
    <w:charset w:val="00"/>
    <w:family w:val="modern"/>
    <w:pitch w:val="default"/>
    <w:sig w:usb0="00000000" w:usb1="00000000" w:usb2="00000000" w:usb3="00000000" w:csb0="00000000" w:csb1="00000000"/>
  </w:font>
  <w:font w:name="FzBookMaker6DlFont60536871319">
    <w:altName w:val="Cambria"/>
    <w:panose1 w:val="00000000000000000000"/>
    <w:charset w:val="00"/>
    <w:family w:val="modern"/>
    <w:pitch w:val="default"/>
    <w:sig w:usb0="00000000" w:usb1="00000000" w:usb2="00000000" w:usb3="00000000" w:csb0="00000000" w:csb1="00000000"/>
  </w:font>
  <w:font w:name="FzBookMaker8DlFont80536871322">
    <w:altName w:val="Cambria"/>
    <w:panose1 w:val="00000000000000000000"/>
    <w:charset w:val="00"/>
    <w:family w:val="swiss"/>
    <w:pitch w:val="default"/>
    <w:sig w:usb0="00000000" w:usb1="00000000" w:usb2="00000000" w:usb3="00000000" w:csb0="00000000" w:csb1="00000000"/>
  </w:font>
  <w:font w:name="E-BZ-PK7482d0-Identity-H">
    <w:altName w:val="Cambria"/>
    <w:panose1 w:val="00000000000000000000"/>
    <w:charset w:val="00"/>
    <w:family w:val="swiss"/>
    <w:pitch w:val="default"/>
    <w:sig w:usb0="00000000" w:usb1="00000000" w:usb2="00000000" w:usb3="00000000" w:csb0="00000000" w:csb1="00000000"/>
  </w:font>
  <w:font w:name="FzBookMaker6DlFont60536871319">
    <w:altName w:val="Cambria"/>
    <w:panose1 w:val="00000000000000000000"/>
    <w:charset w:val="00"/>
    <w:family w:val="swiss"/>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
    <w:nsid w:val="00000025"/>
    <w:multiLevelType w:val="multilevel"/>
    <w:tmpl w:val="00000025"/>
    <w:lvl w:ilvl="0" w:tentative="1">
      <w:start w:val="1"/>
      <w:numFmt w:val="none"/>
      <w:pStyle w:val="30"/>
      <w:suff w:val="nothing"/>
      <w:lvlText w:val="%1"/>
      <w:lvlJc w:val="left"/>
      <w:rPr>
        <w:rFonts w:hint="default" w:ascii="Times New Roman" w:hAnsi="Times New Roman" w:cs="Times New Roman"/>
        <w:b/>
        <w:i w:val="0"/>
        <w:sz w:val="21"/>
      </w:rPr>
    </w:lvl>
    <w:lvl w:ilvl="1" w:tentative="1">
      <w:start w:val="1"/>
      <w:numFmt w:val="decimal"/>
      <w:pStyle w:val="26"/>
      <w:suff w:val="nothing"/>
      <w:lvlText w:val="%1%2　"/>
      <w:lvlJc w:val="left"/>
      <w:pPr>
        <w:ind w:left="2127"/>
      </w:pPr>
      <w:rPr>
        <w:rFonts w:hint="eastAsia" w:ascii="黑体" w:hAnsi="Times New Roman" w:eastAsia="黑体" w:cs="Times New Roman"/>
        <w:b w:val="0"/>
        <w:i w:val="0"/>
        <w:sz w:val="21"/>
      </w:rPr>
    </w:lvl>
    <w:lvl w:ilvl="2" w:tentative="1">
      <w:start w:val="1"/>
      <w:numFmt w:val="decimal"/>
      <w:pStyle w:val="25"/>
      <w:suff w:val="nothing"/>
      <w:lvlText w:val="%1%2.%3　"/>
      <w:lvlJc w:val="left"/>
      <w:pPr>
        <w:ind w:left="284"/>
      </w:pPr>
      <w:rPr>
        <w:rFonts w:hint="eastAsia" w:ascii="黑体" w:hAnsi="Times New Roman" w:eastAsia="黑体" w:cs="Times New Roman"/>
        <w:b w:val="0"/>
        <w:i w:val="0"/>
        <w:sz w:val="21"/>
      </w:rPr>
    </w:lvl>
    <w:lvl w:ilvl="3" w:tentative="1">
      <w:start w:val="1"/>
      <w:numFmt w:val="decimal"/>
      <w:pStyle w:val="24"/>
      <w:suff w:val="nothing"/>
      <w:lvlText w:val="%1%2.%3.%4　"/>
      <w:lvlJc w:val="left"/>
      <w:pPr>
        <w:ind w:left="568"/>
      </w:pPr>
      <w:rPr>
        <w:rFonts w:hint="eastAsia" w:ascii="黑体" w:hAnsi="Times New Roman" w:eastAsia="黑体" w:cs="Times New Roman"/>
        <w:b w:val="0"/>
        <w:i w:val="0"/>
        <w:sz w:val="21"/>
      </w:rPr>
    </w:lvl>
    <w:lvl w:ilvl="4" w:tentative="1">
      <w:start w:val="1"/>
      <w:numFmt w:val="decimal"/>
      <w:pStyle w:val="28"/>
      <w:suff w:val="nothing"/>
      <w:lvlText w:val="%1%2.%3.%4.%5　"/>
      <w:lvlJc w:val="left"/>
      <w:pPr>
        <w:ind w:left="1276"/>
      </w:pPr>
      <w:rPr>
        <w:rFonts w:hint="eastAsia" w:ascii="黑体" w:hAnsi="Times New Roman" w:eastAsia="黑体" w:cs="Times New Roman"/>
        <w:b w:val="0"/>
        <w:i w:val="0"/>
        <w:sz w:val="21"/>
      </w:rPr>
    </w:lvl>
    <w:lvl w:ilvl="5" w:tentative="1">
      <w:start w:val="1"/>
      <w:numFmt w:val="decimal"/>
      <w:pStyle w:val="27"/>
      <w:suff w:val="nothing"/>
      <w:lvlText w:val="%1%2.%3.%4.%5.%6　"/>
      <w:lvlJc w:val="left"/>
      <w:rPr>
        <w:rFonts w:hint="eastAsia" w:ascii="黑体" w:hAnsi="Times New Roman" w:eastAsia="黑体" w:cs="Times New Roman"/>
        <w:b w:val="0"/>
        <w:i w:val="0"/>
        <w:color w:val="auto"/>
        <w:sz w:val="21"/>
      </w:rPr>
    </w:lvl>
    <w:lvl w:ilvl="6" w:tentative="1">
      <w:start w:val="1"/>
      <w:numFmt w:val="decimal"/>
      <w:pStyle w:val="31"/>
      <w:suff w:val="nothing"/>
      <w:lvlText w:val="%1%2.%3.%4.%5.%6.%7　"/>
      <w:lvlJc w:val="left"/>
      <w:rPr>
        <w:rFonts w:hint="eastAsia" w:ascii="黑体" w:hAnsi="Times New Roman" w:eastAsia="黑体" w:cs="Times New Roman"/>
        <w:b w:val="0"/>
        <w:i w:val="0"/>
        <w:sz w:val="21"/>
      </w:rPr>
    </w:lvl>
    <w:lvl w:ilvl="7" w:tentative="1">
      <w:start w:val="1"/>
      <w:numFmt w:val="decimal"/>
      <w:lvlText w:val="%1.%2.%3.%4.%5.%6.%7.%8"/>
      <w:lvlJc w:val="left"/>
      <w:pPr>
        <w:tabs>
          <w:tab w:val="left" w:pos="4351"/>
        </w:tabs>
        <w:ind w:left="3969" w:hanging="1418"/>
      </w:pPr>
      <w:rPr>
        <w:rFonts w:hint="eastAsia" w:cs="Times New Roman"/>
      </w:rPr>
    </w:lvl>
    <w:lvl w:ilvl="8" w:tentative="1">
      <w:start w:val="1"/>
      <w:numFmt w:val="decimal"/>
      <w:lvlText w:val="%1.%2.%3.%4.%5.%6.%7.%8.%9"/>
      <w:lvlJc w:val="left"/>
      <w:pPr>
        <w:tabs>
          <w:tab w:val="left" w:pos="4777"/>
        </w:tabs>
        <w:ind w:left="4677" w:hanging="1700"/>
      </w:pPr>
      <w:rPr>
        <w:rFonts w:hint="eastAsia" w:cs="Times New Roman"/>
      </w:rPr>
    </w:lvl>
  </w:abstractNum>
  <w:abstractNum w:abstractNumId="10105510">
    <w:nsid w:val="009A32A6"/>
    <w:multiLevelType w:val="multilevel"/>
    <w:tmpl w:val="009A32A6"/>
    <w:lvl w:ilvl="0" w:tentative="1">
      <w:start w:val="1"/>
      <w:numFmt w:val="japaneseCounting"/>
      <w:lvlText w:val="%1、"/>
      <w:lvlJc w:val="left"/>
      <w:pPr>
        <w:ind w:left="480" w:hanging="480"/>
      </w:pPr>
      <w:rPr>
        <w:rFonts w:hint="default" w:cs="Times New Roman"/>
        <w:b w:val="0"/>
      </w:rPr>
    </w:lvl>
    <w:lvl w:ilvl="1" w:tentative="1">
      <w:start w:val="1"/>
      <w:numFmt w:val="japaneseCounting"/>
      <w:lvlText w:val="（%2）"/>
      <w:lvlJc w:val="left"/>
      <w:pPr>
        <w:ind w:left="1140" w:hanging="720"/>
      </w:pPr>
      <w:rPr>
        <w:rFonts w:hint="default"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37"/>
  </w:num>
  <w:num w:numId="2">
    <w:abstractNumId w:val="101055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3B4DCD"/>
    <w:rsid w:val="00004F93"/>
    <w:rsid w:val="00011F9C"/>
    <w:rsid w:val="00015445"/>
    <w:rsid w:val="0001689B"/>
    <w:rsid w:val="00016F8A"/>
    <w:rsid w:val="000215D7"/>
    <w:rsid w:val="00023767"/>
    <w:rsid w:val="00023D11"/>
    <w:rsid w:val="000269F8"/>
    <w:rsid w:val="00030322"/>
    <w:rsid w:val="00037D55"/>
    <w:rsid w:val="0004221F"/>
    <w:rsid w:val="000435D9"/>
    <w:rsid w:val="00046F4E"/>
    <w:rsid w:val="00050157"/>
    <w:rsid w:val="000524D0"/>
    <w:rsid w:val="00053579"/>
    <w:rsid w:val="00053A19"/>
    <w:rsid w:val="00055414"/>
    <w:rsid w:val="00067113"/>
    <w:rsid w:val="00076A1B"/>
    <w:rsid w:val="00077BC7"/>
    <w:rsid w:val="00080EBF"/>
    <w:rsid w:val="00082FC0"/>
    <w:rsid w:val="000903E0"/>
    <w:rsid w:val="0009253E"/>
    <w:rsid w:val="00092D1C"/>
    <w:rsid w:val="000A6D59"/>
    <w:rsid w:val="000B3455"/>
    <w:rsid w:val="000C3A1B"/>
    <w:rsid w:val="000D2B0C"/>
    <w:rsid w:val="000E0D4C"/>
    <w:rsid w:val="000E6C76"/>
    <w:rsid w:val="000F0D26"/>
    <w:rsid w:val="000F610C"/>
    <w:rsid w:val="0010150A"/>
    <w:rsid w:val="00103541"/>
    <w:rsid w:val="001061B8"/>
    <w:rsid w:val="00116CB6"/>
    <w:rsid w:val="00120FBA"/>
    <w:rsid w:val="00124835"/>
    <w:rsid w:val="0013380A"/>
    <w:rsid w:val="001426CF"/>
    <w:rsid w:val="001448F0"/>
    <w:rsid w:val="00147DA6"/>
    <w:rsid w:val="00155085"/>
    <w:rsid w:val="00155F55"/>
    <w:rsid w:val="00156AFC"/>
    <w:rsid w:val="00160C86"/>
    <w:rsid w:val="00173054"/>
    <w:rsid w:val="00174BD3"/>
    <w:rsid w:val="00175B28"/>
    <w:rsid w:val="001761CB"/>
    <w:rsid w:val="00183708"/>
    <w:rsid w:val="001A747F"/>
    <w:rsid w:val="001B2295"/>
    <w:rsid w:val="001B2329"/>
    <w:rsid w:val="001B2617"/>
    <w:rsid w:val="001C3718"/>
    <w:rsid w:val="001C64C4"/>
    <w:rsid w:val="001C6F6F"/>
    <w:rsid w:val="001D2F9C"/>
    <w:rsid w:val="001E3DDF"/>
    <w:rsid w:val="001F3067"/>
    <w:rsid w:val="002009E0"/>
    <w:rsid w:val="00201D0A"/>
    <w:rsid w:val="00204C69"/>
    <w:rsid w:val="002121D9"/>
    <w:rsid w:val="002151DC"/>
    <w:rsid w:val="0022261F"/>
    <w:rsid w:val="0022267D"/>
    <w:rsid w:val="00226962"/>
    <w:rsid w:val="00231D09"/>
    <w:rsid w:val="0023348A"/>
    <w:rsid w:val="002349A5"/>
    <w:rsid w:val="00241753"/>
    <w:rsid w:val="00242073"/>
    <w:rsid w:val="00242DDA"/>
    <w:rsid w:val="00245FF9"/>
    <w:rsid w:val="00246083"/>
    <w:rsid w:val="00246104"/>
    <w:rsid w:val="0025171C"/>
    <w:rsid w:val="00262910"/>
    <w:rsid w:val="0026397D"/>
    <w:rsid w:val="00272636"/>
    <w:rsid w:val="00276B5B"/>
    <w:rsid w:val="002821FA"/>
    <w:rsid w:val="00287494"/>
    <w:rsid w:val="00294050"/>
    <w:rsid w:val="002A5279"/>
    <w:rsid w:val="002A7F19"/>
    <w:rsid w:val="002B72C0"/>
    <w:rsid w:val="002D4B89"/>
    <w:rsid w:val="002E1977"/>
    <w:rsid w:val="002E546B"/>
    <w:rsid w:val="002F6979"/>
    <w:rsid w:val="002F6C36"/>
    <w:rsid w:val="0030080F"/>
    <w:rsid w:val="0030128A"/>
    <w:rsid w:val="00303E72"/>
    <w:rsid w:val="00310FBD"/>
    <w:rsid w:val="00322E4B"/>
    <w:rsid w:val="00324FA2"/>
    <w:rsid w:val="00325CF2"/>
    <w:rsid w:val="0033276B"/>
    <w:rsid w:val="00333483"/>
    <w:rsid w:val="0033656E"/>
    <w:rsid w:val="0034061D"/>
    <w:rsid w:val="003417A0"/>
    <w:rsid w:val="0035176C"/>
    <w:rsid w:val="00353C70"/>
    <w:rsid w:val="003677C5"/>
    <w:rsid w:val="00372E15"/>
    <w:rsid w:val="003774E4"/>
    <w:rsid w:val="00381B5E"/>
    <w:rsid w:val="00385DD4"/>
    <w:rsid w:val="00393455"/>
    <w:rsid w:val="00396C00"/>
    <w:rsid w:val="003B2896"/>
    <w:rsid w:val="003B4DCD"/>
    <w:rsid w:val="003B53FB"/>
    <w:rsid w:val="003C6E06"/>
    <w:rsid w:val="003D26A4"/>
    <w:rsid w:val="003D2C30"/>
    <w:rsid w:val="003D2F5C"/>
    <w:rsid w:val="003E6F4B"/>
    <w:rsid w:val="004028A3"/>
    <w:rsid w:val="004329EA"/>
    <w:rsid w:val="00433180"/>
    <w:rsid w:val="00434D79"/>
    <w:rsid w:val="0044711C"/>
    <w:rsid w:val="004645C5"/>
    <w:rsid w:val="004657C0"/>
    <w:rsid w:val="00472131"/>
    <w:rsid w:val="00481D9C"/>
    <w:rsid w:val="00482439"/>
    <w:rsid w:val="00483282"/>
    <w:rsid w:val="00485E78"/>
    <w:rsid w:val="004970D3"/>
    <w:rsid w:val="004B65FC"/>
    <w:rsid w:val="004C1ACA"/>
    <w:rsid w:val="004C3D7F"/>
    <w:rsid w:val="004C5446"/>
    <w:rsid w:val="004C7017"/>
    <w:rsid w:val="004C77C8"/>
    <w:rsid w:val="004C79E8"/>
    <w:rsid w:val="004D003A"/>
    <w:rsid w:val="004D027C"/>
    <w:rsid w:val="004D14A9"/>
    <w:rsid w:val="004D362C"/>
    <w:rsid w:val="004D4C4D"/>
    <w:rsid w:val="004D5CB6"/>
    <w:rsid w:val="004E730A"/>
    <w:rsid w:val="005029A8"/>
    <w:rsid w:val="005078DD"/>
    <w:rsid w:val="00517E16"/>
    <w:rsid w:val="00517F4C"/>
    <w:rsid w:val="00520113"/>
    <w:rsid w:val="0052330C"/>
    <w:rsid w:val="00523619"/>
    <w:rsid w:val="00525DE0"/>
    <w:rsid w:val="00531544"/>
    <w:rsid w:val="0053195D"/>
    <w:rsid w:val="00535188"/>
    <w:rsid w:val="0053544D"/>
    <w:rsid w:val="00536CBD"/>
    <w:rsid w:val="00537D39"/>
    <w:rsid w:val="005442E2"/>
    <w:rsid w:val="00546B11"/>
    <w:rsid w:val="005523C6"/>
    <w:rsid w:val="00560752"/>
    <w:rsid w:val="00562133"/>
    <w:rsid w:val="00564C12"/>
    <w:rsid w:val="005752E9"/>
    <w:rsid w:val="00577B48"/>
    <w:rsid w:val="00581661"/>
    <w:rsid w:val="00583467"/>
    <w:rsid w:val="005A6577"/>
    <w:rsid w:val="005B3CDE"/>
    <w:rsid w:val="005B5FF2"/>
    <w:rsid w:val="005B7A41"/>
    <w:rsid w:val="005C1651"/>
    <w:rsid w:val="005C214A"/>
    <w:rsid w:val="005C2529"/>
    <w:rsid w:val="005F16B6"/>
    <w:rsid w:val="005F2FA2"/>
    <w:rsid w:val="005F31FD"/>
    <w:rsid w:val="005F5A7C"/>
    <w:rsid w:val="005F7281"/>
    <w:rsid w:val="005F7749"/>
    <w:rsid w:val="006012A7"/>
    <w:rsid w:val="00606FE0"/>
    <w:rsid w:val="0062094D"/>
    <w:rsid w:val="0063050B"/>
    <w:rsid w:val="00631018"/>
    <w:rsid w:val="006349A5"/>
    <w:rsid w:val="00634E04"/>
    <w:rsid w:val="00636BCD"/>
    <w:rsid w:val="00642CC5"/>
    <w:rsid w:val="00647E96"/>
    <w:rsid w:val="00651324"/>
    <w:rsid w:val="00656260"/>
    <w:rsid w:val="00656A4B"/>
    <w:rsid w:val="00657F92"/>
    <w:rsid w:val="00662528"/>
    <w:rsid w:val="00675576"/>
    <w:rsid w:val="00677595"/>
    <w:rsid w:val="00693E58"/>
    <w:rsid w:val="006966C6"/>
    <w:rsid w:val="006A1745"/>
    <w:rsid w:val="006A3069"/>
    <w:rsid w:val="006A3212"/>
    <w:rsid w:val="006A6393"/>
    <w:rsid w:val="006C078E"/>
    <w:rsid w:val="006D0C02"/>
    <w:rsid w:val="006D7A79"/>
    <w:rsid w:val="006E4C2B"/>
    <w:rsid w:val="006E6D77"/>
    <w:rsid w:val="006E6F45"/>
    <w:rsid w:val="006F5F29"/>
    <w:rsid w:val="006F67B0"/>
    <w:rsid w:val="006F7B03"/>
    <w:rsid w:val="00702352"/>
    <w:rsid w:val="00704AF5"/>
    <w:rsid w:val="007064E1"/>
    <w:rsid w:val="007164A0"/>
    <w:rsid w:val="007175AA"/>
    <w:rsid w:val="00722095"/>
    <w:rsid w:val="007340E8"/>
    <w:rsid w:val="007356EC"/>
    <w:rsid w:val="007436A4"/>
    <w:rsid w:val="00746072"/>
    <w:rsid w:val="00747FAD"/>
    <w:rsid w:val="007720DB"/>
    <w:rsid w:val="007729A3"/>
    <w:rsid w:val="007772F9"/>
    <w:rsid w:val="00777E3E"/>
    <w:rsid w:val="007811AD"/>
    <w:rsid w:val="00783D16"/>
    <w:rsid w:val="00796867"/>
    <w:rsid w:val="0079798B"/>
    <w:rsid w:val="007B04E3"/>
    <w:rsid w:val="007B0AD1"/>
    <w:rsid w:val="007B21AC"/>
    <w:rsid w:val="007C1553"/>
    <w:rsid w:val="007C4C7B"/>
    <w:rsid w:val="007D22FB"/>
    <w:rsid w:val="007D762F"/>
    <w:rsid w:val="0080101E"/>
    <w:rsid w:val="00802871"/>
    <w:rsid w:val="00804258"/>
    <w:rsid w:val="00807470"/>
    <w:rsid w:val="00807557"/>
    <w:rsid w:val="0081774F"/>
    <w:rsid w:val="008210E1"/>
    <w:rsid w:val="00826167"/>
    <w:rsid w:val="0083399D"/>
    <w:rsid w:val="00833E65"/>
    <w:rsid w:val="008345D9"/>
    <w:rsid w:val="00843C39"/>
    <w:rsid w:val="00853477"/>
    <w:rsid w:val="00860659"/>
    <w:rsid w:val="00865122"/>
    <w:rsid w:val="00871655"/>
    <w:rsid w:val="00871876"/>
    <w:rsid w:val="008912B3"/>
    <w:rsid w:val="008B1964"/>
    <w:rsid w:val="008B4022"/>
    <w:rsid w:val="008C4287"/>
    <w:rsid w:val="008C4A9E"/>
    <w:rsid w:val="008D1AAC"/>
    <w:rsid w:val="008D259D"/>
    <w:rsid w:val="008D49AA"/>
    <w:rsid w:val="008D5B57"/>
    <w:rsid w:val="008E0178"/>
    <w:rsid w:val="008E0F81"/>
    <w:rsid w:val="008E51B5"/>
    <w:rsid w:val="008F583A"/>
    <w:rsid w:val="008F72AD"/>
    <w:rsid w:val="008F7561"/>
    <w:rsid w:val="008F7649"/>
    <w:rsid w:val="0090079D"/>
    <w:rsid w:val="00903821"/>
    <w:rsid w:val="00905881"/>
    <w:rsid w:val="00923D8F"/>
    <w:rsid w:val="009244D2"/>
    <w:rsid w:val="00926C01"/>
    <w:rsid w:val="0093322E"/>
    <w:rsid w:val="00940A21"/>
    <w:rsid w:val="009459A1"/>
    <w:rsid w:val="00946C37"/>
    <w:rsid w:val="009574D7"/>
    <w:rsid w:val="009636EC"/>
    <w:rsid w:val="00963BC9"/>
    <w:rsid w:val="00964549"/>
    <w:rsid w:val="009756FF"/>
    <w:rsid w:val="009840D9"/>
    <w:rsid w:val="00984F1B"/>
    <w:rsid w:val="00986A27"/>
    <w:rsid w:val="00993939"/>
    <w:rsid w:val="00996CE9"/>
    <w:rsid w:val="009A02FB"/>
    <w:rsid w:val="009B0EC7"/>
    <w:rsid w:val="009B385B"/>
    <w:rsid w:val="009B3B39"/>
    <w:rsid w:val="009B74B4"/>
    <w:rsid w:val="009C4772"/>
    <w:rsid w:val="009C6632"/>
    <w:rsid w:val="009C6B89"/>
    <w:rsid w:val="009F240B"/>
    <w:rsid w:val="009F4F7A"/>
    <w:rsid w:val="009F5BB2"/>
    <w:rsid w:val="00A068A0"/>
    <w:rsid w:val="00A1050F"/>
    <w:rsid w:val="00A1483F"/>
    <w:rsid w:val="00A22398"/>
    <w:rsid w:val="00A37AF2"/>
    <w:rsid w:val="00A4057C"/>
    <w:rsid w:val="00A43E65"/>
    <w:rsid w:val="00A446E6"/>
    <w:rsid w:val="00A44B4C"/>
    <w:rsid w:val="00A46990"/>
    <w:rsid w:val="00A47ACA"/>
    <w:rsid w:val="00A51F5C"/>
    <w:rsid w:val="00A54A11"/>
    <w:rsid w:val="00A54E37"/>
    <w:rsid w:val="00A55B4A"/>
    <w:rsid w:val="00A56F97"/>
    <w:rsid w:val="00A603DE"/>
    <w:rsid w:val="00A60432"/>
    <w:rsid w:val="00A636AB"/>
    <w:rsid w:val="00A64DAB"/>
    <w:rsid w:val="00A72D9B"/>
    <w:rsid w:val="00A8181A"/>
    <w:rsid w:val="00A91847"/>
    <w:rsid w:val="00AA3F25"/>
    <w:rsid w:val="00AB44F2"/>
    <w:rsid w:val="00AB6E93"/>
    <w:rsid w:val="00AB7524"/>
    <w:rsid w:val="00AB7C39"/>
    <w:rsid w:val="00AC6364"/>
    <w:rsid w:val="00AC6CE6"/>
    <w:rsid w:val="00AD0EDB"/>
    <w:rsid w:val="00AD2D88"/>
    <w:rsid w:val="00AD5E63"/>
    <w:rsid w:val="00AE06A8"/>
    <w:rsid w:val="00AF640B"/>
    <w:rsid w:val="00B02246"/>
    <w:rsid w:val="00B04ED1"/>
    <w:rsid w:val="00B06EE0"/>
    <w:rsid w:val="00B12B2D"/>
    <w:rsid w:val="00B22F3A"/>
    <w:rsid w:val="00B241C8"/>
    <w:rsid w:val="00B31D08"/>
    <w:rsid w:val="00B40B86"/>
    <w:rsid w:val="00B51674"/>
    <w:rsid w:val="00B6370B"/>
    <w:rsid w:val="00B727CA"/>
    <w:rsid w:val="00B863C7"/>
    <w:rsid w:val="00BB6428"/>
    <w:rsid w:val="00BB7B26"/>
    <w:rsid w:val="00BC0CEF"/>
    <w:rsid w:val="00BC4217"/>
    <w:rsid w:val="00BD4ACE"/>
    <w:rsid w:val="00BE0368"/>
    <w:rsid w:val="00BE2F28"/>
    <w:rsid w:val="00BE33D8"/>
    <w:rsid w:val="00BE398B"/>
    <w:rsid w:val="00BE7984"/>
    <w:rsid w:val="00C05F39"/>
    <w:rsid w:val="00C07C0A"/>
    <w:rsid w:val="00C15724"/>
    <w:rsid w:val="00C23BD2"/>
    <w:rsid w:val="00C24A81"/>
    <w:rsid w:val="00C26DE8"/>
    <w:rsid w:val="00C26E47"/>
    <w:rsid w:val="00C3004F"/>
    <w:rsid w:val="00C30204"/>
    <w:rsid w:val="00C313B1"/>
    <w:rsid w:val="00C47448"/>
    <w:rsid w:val="00C650BE"/>
    <w:rsid w:val="00C65958"/>
    <w:rsid w:val="00C76410"/>
    <w:rsid w:val="00C77AB5"/>
    <w:rsid w:val="00C80DD4"/>
    <w:rsid w:val="00C9468C"/>
    <w:rsid w:val="00CA334E"/>
    <w:rsid w:val="00CB391A"/>
    <w:rsid w:val="00CD2EC5"/>
    <w:rsid w:val="00CE258C"/>
    <w:rsid w:val="00CF3B55"/>
    <w:rsid w:val="00D05291"/>
    <w:rsid w:val="00D07494"/>
    <w:rsid w:val="00D13241"/>
    <w:rsid w:val="00D14F7E"/>
    <w:rsid w:val="00D17451"/>
    <w:rsid w:val="00D434F6"/>
    <w:rsid w:val="00D44EB6"/>
    <w:rsid w:val="00D51087"/>
    <w:rsid w:val="00D52A4B"/>
    <w:rsid w:val="00D53759"/>
    <w:rsid w:val="00D54D3C"/>
    <w:rsid w:val="00D55FCA"/>
    <w:rsid w:val="00D634EA"/>
    <w:rsid w:val="00D637C4"/>
    <w:rsid w:val="00D65024"/>
    <w:rsid w:val="00D731B0"/>
    <w:rsid w:val="00D813E6"/>
    <w:rsid w:val="00D85DDD"/>
    <w:rsid w:val="00DA0226"/>
    <w:rsid w:val="00DB40F0"/>
    <w:rsid w:val="00DC1464"/>
    <w:rsid w:val="00DC1EE0"/>
    <w:rsid w:val="00DC3AB2"/>
    <w:rsid w:val="00DC7F74"/>
    <w:rsid w:val="00E11A24"/>
    <w:rsid w:val="00E13761"/>
    <w:rsid w:val="00E15787"/>
    <w:rsid w:val="00E177B7"/>
    <w:rsid w:val="00E21CB7"/>
    <w:rsid w:val="00E53DDB"/>
    <w:rsid w:val="00E555F2"/>
    <w:rsid w:val="00E56433"/>
    <w:rsid w:val="00E6018F"/>
    <w:rsid w:val="00E61C3D"/>
    <w:rsid w:val="00E64B84"/>
    <w:rsid w:val="00E71633"/>
    <w:rsid w:val="00E7460D"/>
    <w:rsid w:val="00E86A8C"/>
    <w:rsid w:val="00EA264B"/>
    <w:rsid w:val="00EC0DA0"/>
    <w:rsid w:val="00EC2174"/>
    <w:rsid w:val="00EC38CA"/>
    <w:rsid w:val="00EC4CE2"/>
    <w:rsid w:val="00EC6AD0"/>
    <w:rsid w:val="00EC72DF"/>
    <w:rsid w:val="00ED2254"/>
    <w:rsid w:val="00ED6BAD"/>
    <w:rsid w:val="00ED6BBC"/>
    <w:rsid w:val="00EE44DE"/>
    <w:rsid w:val="00EF3DD5"/>
    <w:rsid w:val="00F10728"/>
    <w:rsid w:val="00F12AE5"/>
    <w:rsid w:val="00F21232"/>
    <w:rsid w:val="00F217F8"/>
    <w:rsid w:val="00F22B11"/>
    <w:rsid w:val="00F24154"/>
    <w:rsid w:val="00F331E5"/>
    <w:rsid w:val="00F370E1"/>
    <w:rsid w:val="00F3725E"/>
    <w:rsid w:val="00F37C8E"/>
    <w:rsid w:val="00F425D0"/>
    <w:rsid w:val="00F43031"/>
    <w:rsid w:val="00F61C92"/>
    <w:rsid w:val="00F63634"/>
    <w:rsid w:val="00F6378D"/>
    <w:rsid w:val="00F7077C"/>
    <w:rsid w:val="00F70781"/>
    <w:rsid w:val="00F76BE4"/>
    <w:rsid w:val="00F7712B"/>
    <w:rsid w:val="00F81848"/>
    <w:rsid w:val="00F95110"/>
    <w:rsid w:val="00F95DEF"/>
    <w:rsid w:val="00F97AF0"/>
    <w:rsid w:val="00FA122B"/>
    <w:rsid w:val="00FA2142"/>
    <w:rsid w:val="00FA630E"/>
    <w:rsid w:val="00FB23C9"/>
    <w:rsid w:val="00FB3711"/>
    <w:rsid w:val="00FD26A6"/>
    <w:rsid w:val="00FD5CA3"/>
    <w:rsid w:val="00FE1C1B"/>
    <w:rsid w:val="00FE26BA"/>
    <w:rsid w:val="00FF47DB"/>
    <w:rsid w:val="00FF73DB"/>
    <w:rsid w:val="01B16033"/>
    <w:rsid w:val="0DC415F1"/>
    <w:rsid w:val="0FD65375"/>
    <w:rsid w:val="116A14B9"/>
    <w:rsid w:val="15953850"/>
    <w:rsid w:val="1FC7735E"/>
    <w:rsid w:val="26FC1204"/>
    <w:rsid w:val="280034D3"/>
    <w:rsid w:val="3AD67541"/>
    <w:rsid w:val="4FB36340"/>
    <w:rsid w:val="5B260813"/>
    <w:rsid w:val="65EB45E0"/>
    <w:rsid w:val="712672AB"/>
    <w:rsid w:val="71E43784"/>
    <w:rsid w:val="75DA24D8"/>
    <w:rsid w:val="7781224A"/>
    <w:rsid w:val="7E8C11FB"/>
    <w:rsid w:val="7FB5652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7"/>
        <o:r id="V:Rule2" type="connector" idref="#AutoShape 10"/>
        <o:r id="V:Rule3" type="connector" idref="#AutoShape 11"/>
        <o:r id="V:Rule4" type="connector" idref="#AutoShape 14"/>
        <o:r id="V:Rule5" type="connector" idref="#AutoShape 17"/>
        <o:r id="V:Rule6" type="connector" idref="#AutoShape 18"/>
        <o:r id="V:Rule7" type="connector" idref="#AutoShape 19"/>
        <o:r id="V:Rule8" type="connector" idref="#AutoShape 20"/>
        <o:r id="V:Rule9" type="connector" idref="#AutoShape 25"/>
        <o:r id="V:Rule10" type="connector" idref="#AutoShape 26"/>
        <o:r id="V:Rule11" type="connector" idref="#AutoShape 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toc 7"/>
    <w:basedOn w:val="1"/>
    <w:next w:val="1"/>
    <w:qFormat/>
    <w:uiPriority w:val="99"/>
    <w:pPr>
      <w:ind w:left="1050"/>
      <w:jc w:val="left"/>
    </w:pPr>
    <w:rPr>
      <w:rFonts w:cs="Calibri"/>
      <w:sz w:val="20"/>
      <w:szCs w:val="20"/>
    </w:rPr>
  </w:style>
  <w:style w:type="paragraph" w:styleId="4">
    <w:name w:val="toc 5"/>
    <w:basedOn w:val="1"/>
    <w:next w:val="1"/>
    <w:qFormat/>
    <w:uiPriority w:val="99"/>
    <w:pPr>
      <w:ind w:left="630"/>
      <w:jc w:val="left"/>
    </w:pPr>
    <w:rPr>
      <w:rFonts w:cs="Calibri"/>
      <w:sz w:val="20"/>
      <w:szCs w:val="20"/>
    </w:rPr>
  </w:style>
  <w:style w:type="paragraph" w:styleId="5">
    <w:name w:val="toc 3"/>
    <w:basedOn w:val="1"/>
    <w:next w:val="1"/>
    <w:qFormat/>
    <w:uiPriority w:val="99"/>
    <w:pPr>
      <w:ind w:left="210"/>
      <w:jc w:val="left"/>
    </w:pPr>
    <w:rPr>
      <w:rFonts w:cs="Calibri"/>
      <w:sz w:val="20"/>
      <w:szCs w:val="20"/>
    </w:rPr>
  </w:style>
  <w:style w:type="paragraph" w:styleId="6">
    <w:name w:val="toc 8"/>
    <w:basedOn w:val="1"/>
    <w:next w:val="1"/>
    <w:qFormat/>
    <w:uiPriority w:val="99"/>
    <w:pPr>
      <w:ind w:left="1260"/>
      <w:jc w:val="left"/>
    </w:pPr>
    <w:rPr>
      <w:rFonts w:cs="Calibri"/>
      <w:sz w:val="20"/>
      <w:szCs w:val="20"/>
    </w:rPr>
  </w:style>
  <w:style w:type="paragraph" w:styleId="7">
    <w:name w:val="Balloon Text"/>
    <w:basedOn w:val="1"/>
    <w:link w:val="35"/>
    <w:semiHidden/>
    <w:qFormat/>
    <w:uiPriority w:val="99"/>
    <w:rPr>
      <w:sz w:val="18"/>
      <w:szCs w:val="18"/>
    </w:rPr>
  </w:style>
  <w:style w:type="paragraph" w:styleId="8">
    <w:name w:val="footer"/>
    <w:basedOn w:val="1"/>
    <w:link w:val="20"/>
    <w:semiHidden/>
    <w:qFormat/>
    <w:uiPriority w:val="99"/>
    <w:pPr>
      <w:tabs>
        <w:tab w:val="center" w:pos="4153"/>
        <w:tab w:val="right" w:pos="8306"/>
      </w:tabs>
      <w:snapToGrid w:val="0"/>
      <w:jc w:val="left"/>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pPr>
      <w:spacing w:before="360"/>
      <w:jc w:val="left"/>
    </w:pPr>
    <w:rPr>
      <w:rFonts w:ascii="Cambria" w:hAnsi="Cambria"/>
      <w:b/>
      <w:bCs/>
      <w:caps/>
      <w:szCs w:val="24"/>
    </w:rPr>
  </w:style>
  <w:style w:type="paragraph" w:styleId="11">
    <w:name w:val="toc 4"/>
    <w:basedOn w:val="1"/>
    <w:next w:val="1"/>
    <w:qFormat/>
    <w:uiPriority w:val="99"/>
    <w:pPr>
      <w:ind w:left="420"/>
      <w:jc w:val="left"/>
    </w:pPr>
    <w:rPr>
      <w:rFonts w:cs="Calibri"/>
      <w:sz w:val="20"/>
      <w:szCs w:val="20"/>
    </w:rPr>
  </w:style>
  <w:style w:type="paragraph" w:styleId="12">
    <w:name w:val="toc 6"/>
    <w:basedOn w:val="1"/>
    <w:next w:val="1"/>
    <w:qFormat/>
    <w:uiPriority w:val="99"/>
    <w:pPr>
      <w:ind w:left="840"/>
      <w:jc w:val="left"/>
    </w:pPr>
    <w:rPr>
      <w:rFonts w:cs="Calibri"/>
      <w:sz w:val="20"/>
      <w:szCs w:val="20"/>
    </w:rPr>
  </w:style>
  <w:style w:type="paragraph" w:styleId="13">
    <w:name w:val="toc 2"/>
    <w:basedOn w:val="1"/>
    <w:next w:val="1"/>
    <w:qFormat/>
    <w:uiPriority w:val="99"/>
    <w:pPr>
      <w:spacing w:before="240"/>
      <w:jc w:val="left"/>
    </w:pPr>
    <w:rPr>
      <w:rFonts w:cs="Calibri"/>
      <w:b/>
      <w:bCs/>
      <w:sz w:val="20"/>
      <w:szCs w:val="20"/>
    </w:rPr>
  </w:style>
  <w:style w:type="paragraph" w:styleId="14">
    <w:name w:val="toc 9"/>
    <w:basedOn w:val="1"/>
    <w:next w:val="1"/>
    <w:qFormat/>
    <w:uiPriority w:val="99"/>
    <w:pPr>
      <w:ind w:left="1470"/>
      <w:jc w:val="left"/>
    </w:pPr>
    <w:rPr>
      <w:rFonts w:cs="Calibri"/>
      <w:sz w:val="20"/>
      <w:szCs w:val="20"/>
    </w:rPr>
  </w:style>
  <w:style w:type="character" w:styleId="16">
    <w:name w:val="Hyperlink"/>
    <w:basedOn w:val="15"/>
    <w:qFormat/>
    <w:uiPriority w:val="99"/>
    <w:rPr>
      <w:rFonts w:cs="Times New Roman"/>
      <w:color w:val="0000FF"/>
      <w:u w:val="single"/>
    </w:rPr>
  </w:style>
  <w:style w:type="character" w:customStyle="1" w:styleId="18">
    <w:name w:val="标题 1 Char"/>
    <w:basedOn w:val="15"/>
    <w:link w:val="2"/>
    <w:qFormat/>
    <w:locked/>
    <w:uiPriority w:val="99"/>
    <w:rPr>
      <w:rFonts w:cs="Times New Roman"/>
      <w:b/>
      <w:bCs/>
      <w:kern w:val="44"/>
      <w:sz w:val="44"/>
      <w:szCs w:val="44"/>
    </w:rPr>
  </w:style>
  <w:style w:type="character" w:customStyle="1" w:styleId="19">
    <w:name w:val="页眉 Char"/>
    <w:basedOn w:val="15"/>
    <w:link w:val="9"/>
    <w:semiHidden/>
    <w:qFormat/>
    <w:locked/>
    <w:uiPriority w:val="99"/>
    <w:rPr>
      <w:rFonts w:cs="Times New Roman"/>
      <w:sz w:val="18"/>
      <w:szCs w:val="18"/>
    </w:rPr>
  </w:style>
  <w:style w:type="character" w:customStyle="1" w:styleId="20">
    <w:name w:val="页脚 Char"/>
    <w:basedOn w:val="15"/>
    <w:link w:val="8"/>
    <w:semiHidden/>
    <w:qFormat/>
    <w:locked/>
    <w:uiPriority w:val="99"/>
    <w:rPr>
      <w:rFonts w:cs="Times New Roman"/>
      <w:sz w:val="18"/>
      <w:szCs w:val="18"/>
    </w:rPr>
  </w:style>
  <w:style w:type="character" w:customStyle="1" w:styleId="21">
    <w:name w:val="段 Char"/>
    <w:link w:val="22"/>
    <w:qFormat/>
    <w:locked/>
    <w:uiPriority w:val="99"/>
    <w:rPr>
      <w:rFonts w:ascii="宋体"/>
      <w:kern w:val="2"/>
      <w:sz w:val="22"/>
      <w:lang w:val="en-US" w:eastAsia="zh-CN"/>
    </w:rPr>
  </w:style>
  <w:style w:type="paragraph" w:customStyle="1" w:styleId="22">
    <w:name w:val="段"/>
    <w:link w:val="21"/>
    <w:qFormat/>
    <w:uiPriority w:val="99"/>
    <w:pPr>
      <w:autoSpaceDE w:val="0"/>
      <w:autoSpaceDN w:val="0"/>
      <w:ind w:firstLine="200" w:firstLineChars="200"/>
      <w:jc w:val="both"/>
    </w:pPr>
    <w:rPr>
      <w:rFonts w:ascii="宋体" w:hAnsi="Calibri" w:eastAsia="宋体" w:cs="Times New Roman"/>
      <w:kern w:val="2"/>
      <w:sz w:val="21"/>
      <w:szCs w:val="22"/>
      <w:lang w:val="en-US" w:eastAsia="zh-CN" w:bidi="ar-SA"/>
    </w:rPr>
  </w:style>
  <w:style w:type="character" w:customStyle="1" w:styleId="23">
    <w:name w:val="二级条标题 Char"/>
    <w:link w:val="24"/>
    <w:qFormat/>
    <w:locked/>
    <w:uiPriority w:val="99"/>
    <w:rPr>
      <w:rFonts w:ascii="黑体" w:eastAsia="黑体"/>
      <w:color w:val="FF0000"/>
      <w:spacing w:val="-4"/>
      <w:sz w:val="24"/>
    </w:rPr>
  </w:style>
  <w:style w:type="paragraph" w:customStyle="1" w:styleId="24">
    <w:name w:val="二级条标题"/>
    <w:basedOn w:val="25"/>
    <w:next w:val="22"/>
    <w:link w:val="23"/>
    <w:qFormat/>
    <w:uiPriority w:val="99"/>
    <w:pPr>
      <w:numPr>
        <w:ilvl w:val="3"/>
      </w:numPr>
      <w:outlineLvl w:val="3"/>
    </w:pPr>
    <w:rPr>
      <w:kern w:val="0"/>
    </w:rPr>
  </w:style>
  <w:style w:type="paragraph" w:customStyle="1" w:styleId="25">
    <w:name w:val="一级条标题"/>
    <w:basedOn w:val="26"/>
    <w:next w:val="22"/>
    <w:link w:val="33"/>
    <w:qFormat/>
    <w:uiPriority w:val="99"/>
    <w:pPr>
      <w:numPr>
        <w:ilvl w:val="2"/>
      </w:numPr>
      <w:spacing w:beforeLines="0" w:afterLines="0" w:line="300" w:lineRule="auto"/>
      <w:outlineLvl w:val="2"/>
    </w:pPr>
    <w:rPr>
      <w:rFonts w:hAnsi="Calibri"/>
      <w:color w:val="FF0000"/>
      <w:spacing w:val="-4"/>
      <w:sz w:val="24"/>
      <w:szCs w:val="20"/>
    </w:rPr>
  </w:style>
  <w:style w:type="paragraph" w:customStyle="1" w:styleId="26">
    <w:name w:val="章标题"/>
    <w:next w:val="22"/>
    <w:link w:val="32"/>
    <w:qFormat/>
    <w:uiPriority w:val="99"/>
    <w:pPr>
      <w:numPr>
        <w:ilvl w:val="1"/>
        <w:numId w:val="1"/>
      </w:numPr>
      <w:spacing w:beforeLines="50" w:afterLines="50"/>
      <w:ind w:left="142"/>
      <w:jc w:val="both"/>
      <w:outlineLvl w:val="1"/>
    </w:pPr>
    <w:rPr>
      <w:rFonts w:ascii="黑体" w:hAnsi="Times New Roman" w:eastAsia="黑体" w:cs="Times New Roman"/>
      <w:kern w:val="2"/>
      <w:sz w:val="22"/>
      <w:szCs w:val="22"/>
      <w:lang w:val="en-US" w:eastAsia="zh-CN" w:bidi="ar-SA"/>
    </w:rPr>
  </w:style>
  <w:style w:type="paragraph" w:customStyle="1" w:styleId="27">
    <w:name w:val="四级条标题"/>
    <w:basedOn w:val="28"/>
    <w:next w:val="22"/>
    <w:qFormat/>
    <w:uiPriority w:val="99"/>
    <w:pPr>
      <w:numPr>
        <w:ilvl w:val="5"/>
      </w:numPr>
      <w:ind w:left="0"/>
      <w:outlineLvl w:val="5"/>
    </w:pPr>
  </w:style>
  <w:style w:type="paragraph" w:customStyle="1" w:styleId="28">
    <w:name w:val="三级条标题"/>
    <w:basedOn w:val="24"/>
    <w:next w:val="22"/>
    <w:qFormat/>
    <w:uiPriority w:val="99"/>
    <w:pPr>
      <w:numPr>
        <w:ilvl w:val="4"/>
      </w:numPr>
      <w:outlineLvl w:val="4"/>
    </w:pPr>
  </w:style>
  <w:style w:type="paragraph" w:customStyle="1" w:styleId="29">
    <w:name w:val="参考文献、索引标题"/>
    <w:basedOn w:val="30"/>
    <w:next w:val="1"/>
    <w:qFormat/>
    <w:uiPriority w:val="99"/>
    <w:pPr>
      <w:numPr>
        <w:numId w:val="0"/>
      </w:numPr>
      <w:spacing w:after="200"/>
    </w:pPr>
    <w:rPr>
      <w:sz w:val="21"/>
    </w:rPr>
  </w:style>
  <w:style w:type="paragraph" w:customStyle="1" w:styleId="30">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五级条标题"/>
    <w:basedOn w:val="27"/>
    <w:next w:val="22"/>
    <w:qFormat/>
    <w:uiPriority w:val="99"/>
    <w:pPr>
      <w:numPr>
        <w:ilvl w:val="6"/>
      </w:numPr>
      <w:ind w:left="2940" w:hanging="420"/>
      <w:outlineLvl w:val="6"/>
    </w:pPr>
  </w:style>
  <w:style w:type="character" w:customStyle="1" w:styleId="32">
    <w:name w:val="章标题 Char"/>
    <w:link w:val="26"/>
    <w:qFormat/>
    <w:locked/>
    <w:uiPriority w:val="99"/>
    <w:rPr>
      <w:rFonts w:ascii="黑体" w:hAnsi="Times New Roman" w:eastAsia="黑体"/>
      <w:kern w:val="2"/>
      <w:sz w:val="22"/>
      <w:lang w:val="en-US" w:eastAsia="zh-CN"/>
    </w:rPr>
  </w:style>
  <w:style w:type="character" w:customStyle="1" w:styleId="33">
    <w:name w:val="一级条标题 Char"/>
    <w:link w:val="25"/>
    <w:qFormat/>
    <w:locked/>
    <w:uiPriority w:val="99"/>
    <w:rPr>
      <w:rFonts w:ascii="黑体" w:eastAsia="黑体"/>
      <w:color w:val="FF0000"/>
      <w:spacing w:val="-4"/>
      <w:kern w:val="2"/>
      <w:sz w:val="24"/>
      <w:lang w:val="en-US" w:eastAsia="zh-CN"/>
    </w:rPr>
  </w:style>
  <w:style w:type="paragraph" w:customStyle="1" w:styleId="34">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5">
    <w:name w:val="批注框文本 Char"/>
    <w:basedOn w:val="15"/>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8"/>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59"/>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1339</Words>
  <Characters>7637</Characters>
  <Lines>63</Lines>
  <Paragraphs>17</Paragraphs>
  <ScaleCrop>false</ScaleCrop>
  <LinksUpToDate>false</LinksUpToDate>
  <CharactersWithSpaces>8959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2018-05-02T02:50:00Z</dcterms:created>
  <dc:creator>Administrator</dc:creator>
  <cp:lastModifiedBy>612705</cp:lastModifiedBy>
  <dcterms:modified xsi:type="dcterms:W3CDTF">2019-10-12T07:29:56Z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