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png" Extension="png"/>
  <Default ContentType="image/x-wmf" Extension="wmf"/>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1"/>
        <w:rPr>
          <w:rFonts w:ascii="Times New Roman" w:cs="Times New Roman"/>
          <w:color w:val="auto"/>
        </w:rPr>
      </w:pPr>
      <w:bookmarkStart w:id="0" w:name="_Toc48717817"/>
      <w:bookmarkStart w:id="1" w:name="_Toc49776953"/>
      <w:bookmarkStart w:id="2" w:name="SectionMark0"/>
    </w:p>
    <w:p>
      <w:pPr>
        <w:pStyle w:val="11"/>
        <w:rPr>
          <w:rFonts w:ascii="Times New Roman" w:cs="Times New Roman"/>
          <w:color w:val="auto"/>
        </w:rPr>
        <w:sectPr>
          <w:headerReference r:id="rId5" w:type="first"/>
          <w:headerReference r:id="rId4" w:type="default"/>
          <w:footerReference r:id="rId6" w:type="default"/>
          <w:pgSz w:w="11906" w:h="16838"/>
          <w:pgMar w:top="567" w:right="1134" w:bottom="1361" w:left="1418" w:header="0" w:footer="0" w:gutter="0"/>
          <w:pgNumType w:fmt="upperRoman" w:start="1"/>
          <w:cols w:space="720" w:num="1"/>
          <w:titlePg/>
          <w:docGrid w:type="linesAndChars" w:linePitch="312" w:charSpace="0"/>
        </w:sectPr>
      </w:pPr>
      <w:r>
        <w:rPr>
          <w:rFonts w:ascii="宋体" w:hAnsi="Times New Roman" w:eastAsia="宋体" w:cs="宋体"/>
          <w:color w:val="auto"/>
          <w:kern w:val="2"/>
          <w:sz w:val="21"/>
          <w:szCs w:val="21"/>
          <w:lang w:val="en-US" w:eastAsia="zh-CN" w:bidi="ar-SA"/>
        </w:rPr>
        <w:pict>
          <v:line id="Line 15" o:spid="_x0000_s1026" style="position:absolute;left:0;margin-left:-2.5pt;margin-top:176.65pt;height:0.05pt;width:476.85pt;rotation:0f;z-index:25166540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宋体" w:hAnsi="Times New Roman" w:eastAsia="宋体" w:cs="宋体"/>
          <w:color w:val="auto"/>
          <w:kern w:val="2"/>
          <w:sz w:val="21"/>
          <w:szCs w:val="21"/>
          <w:lang w:val="en-US" w:eastAsia="zh-CN" w:bidi="ar-SA"/>
        </w:rPr>
        <w:pict>
          <v:line id="Line 68" o:spid="_x0000_s1027" style="position:absolute;left:0;margin-left:-7.75pt;margin-top:685.3pt;height:0.05pt;width:476.85pt;rotation:0f;z-index:25166233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宋体" w:hAnsi="Times New Roman" w:eastAsia="宋体" w:cs="宋体"/>
          <w:color w:val="auto"/>
          <w:kern w:val="2"/>
          <w:sz w:val="21"/>
          <w:szCs w:val="21"/>
          <w:lang w:val="en-US" w:eastAsia="zh-CN" w:bidi="ar-SA"/>
        </w:rPr>
        <w:pict>
          <v:shape id="fmFrame3" o:spid="_x0000_s1028" type="#_x0000_t202" style="position:absolute;left:0;margin-left:8.8pt;margin-top:152.3pt;height:69.1pt;width:456.9pt;mso-position-horizontal-relative:margin;mso-position-vertical-relative:margin;rotation:0f;z-index:251664384;" o:ole="f" fillcolor="#FFFFFF" filled="t" o:preferrelative="t" stroked="f" coordorigin="0,0" coordsize="21600,21600">
            <v:imagedata gain="65536f" blacklevel="0f" gamma="0"/>
            <o:lock v:ext="edit" position="f" selection="f" grouping="f" rotation="f" cropping="f" text="f" aspectratio="f"/>
            <v:textbox inset="0.00pt,0.00pt,0.00pt,0.00pt">
              <w:txbxContent>
                <w:p>
                  <w:pPr>
                    <w:kinsoku w:val="0"/>
                    <w:overflowPunct w:val="0"/>
                    <w:autoSpaceDE w:val="0"/>
                    <w:autoSpaceDN w:val="0"/>
                    <w:spacing w:line="0" w:lineRule="atLeast"/>
                    <w:jc w:val="center"/>
                    <w:rPr>
                      <w:rFonts w:ascii="黑体" w:hAnsi="黑体" w:eastAsia="黑体" w:cs="黑体"/>
                      <w:sz w:val="28"/>
                      <w:szCs w:val="28"/>
                    </w:rPr>
                  </w:pPr>
                  <w:r>
                    <w:rPr>
                      <w:rFonts w:hint="eastAsia" w:eastAsia="黑体"/>
                      <w:sz w:val="28"/>
                      <w:szCs w:val="28"/>
                    </w:rPr>
                    <w:t xml:space="preserve">                                               </w:t>
                  </w:r>
                  <w:r>
                    <w:rPr>
                      <w:rFonts w:hint="eastAsia" w:ascii="黑体" w:hAnsi="黑体" w:eastAsia="黑体" w:cs="黑体"/>
                      <w:sz w:val="28"/>
                      <w:szCs w:val="28"/>
                    </w:rPr>
                    <w:t>YS/T XX-20xx</w:t>
                  </w:r>
                </w:p>
                <w:p>
                  <w:pPr>
                    <w:pStyle w:val="34"/>
                    <w:spacing w:before="0" w:line="0" w:lineRule="atLeast"/>
                    <w:jc w:val="left"/>
                    <w:rPr>
                      <w:sz w:val="21"/>
                      <w:szCs w:val="21"/>
                    </w:rPr>
                  </w:pPr>
                </w:p>
                <w:p>
                  <w:pPr>
                    <w:pStyle w:val="67"/>
                    <w:wordWrap w:val="0"/>
                    <w:ind w:right="1120"/>
                    <w:jc w:val="both"/>
                  </w:pPr>
                </w:p>
              </w:txbxContent>
            </v:textbox>
            <w10:anchorlock/>
          </v:shape>
        </w:pict>
      </w:r>
      <w:r>
        <w:rPr>
          <w:rFonts w:ascii="宋体" w:hAnsi="Times New Roman" w:eastAsia="宋体" w:cs="Times New Roman"/>
          <w:color w:val="auto"/>
          <w:kern w:val="2"/>
          <w:sz w:val="21"/>
          <w:szCs w:val="21"/>
          <w:lang w:val="en-US" w:eastAsia="zh-CN" w:bidi="ar-SA"/>
        </w:rPr>
        <w:pict>
          <v:shape id="Picture 1" o:spid="_x0000_s1029" type="#_x0000_t75" style="height:124.5pt;width:467.1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r>
        <w:rPr>
          <w:rFonts w:ascii="宋体" w:hAnsi="Times New Roman" w:eastAsia="宋体" w:cs="宋体"/>
          <w:color w:val="auto"/>
          <w:kern w:val="2"/>
          <w:sz w:val="21"/>
          <w:szCs w:val="21"/>
          <w:lang w:val="en-US" w:eastAsia="zh-CN" w:bidi="ar-SA"/>
        </w:rPr>
        <w:pict>
          <v:shape id="fmFrame1" o:spid="_x0000_s1030" type="#_x0000_t202" style="position:absolute;left:0;margin-left:0pt;margin-top:4.2pt;height:40.5pt;width:189.5pt;mso-position-horizontal-relative:margin;mso-position-vertical-relative:margin;rotation:0f;z-index:251663360;"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38"/>
                    <w:rPr>
                      <w:rFonts w:ascii="黑体"/>
                    </w:rPr>
                  </w:pPr>
                  <w:r>
                    <w:rPr>
                      <w:rFonts w:ascii="黑体" w:hAnsi="黑体" w:cs="黑体"/>
                    </w:rPr>
                    <w:t>ICS 77.120.</w:t>
                  </w:r>
                  <w:r>
                    <w:rPr>
                      <w:rFonts w:hint="eastAsia" w:ascii="黑体" w:hAnsi="黑体" w:cs="黑体"/>
                    </w:rPr>
                    <w:t>99</w:t>
                  </w:r>
                </w:p>
                <w:p>
                  <w:pPr>
                    <w:pStyle w:val="38"/>
                    <w:rPr>
                      <w:rFonts w:ascii="黑体"/>
                    </w:rPr>
                  </w:pPr>
                  <w:r>
                    <w:rPr>
                      <w:rFonts w:ascii="黑体" w:hAnsi="黑体" w:cs="黑体"/>
                    </w:rPr>
                    <w:t xml:space="preserve">H </w:t>
                  </w:r>
                  <w:r>
                    <w:rPr>
                      <w:rFonts w:hint="eastAsia" w:ascii="黑体" w:hAnsi="黑体" w:cs="黑体"/>
                    </w:rPr>
                    <w:t>15</w:t>
                  </w:r>
                </w:p>
                <w:p>
                  <w:pPr>
                    <w:pStyle w:val="38"/>
                  </w:pPr>
                </w:p>
              </w:txbxContent>
            </v:textbox>
            <w10:anchorlock/>
          </v:shape>
        </w:pict>
      </w:r>
      <w:r>
        <w:rPr>
          <w:rFonts w:ascii="宋体" w:hAnsi="Times New Roman" w:eastAsia="宋体" w:cs="宋体"/>
          <w:color w:val="auto"/>
          <w:kern w:val="2"/>
          <w:sz w:val="21"/>
          <w:szCs w:val="21"/>
          <w:lang w:val="en-US" w:eastAsia="zh-CN" w:bidi="ar-SA"/>
        </w:rPr>
        <w:pict>
          <v:shape id="fmFrame7" o:spid="_x0000_s1031" type="#_x0000_t202" style="position:absolute;left:0;margin-left:-12.8pt;margin-top:695pt;height:50.1pt;width:481.9pt;mso-position-horizontal-relative:margin;mso-position-vertical-relative:margin;rotation:0f;z-index:251661312;"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48"/>
                    <w:spacing w:line="340" w:lineRule="exact"/>
                    <w:jc w:val="both"/>
                    <w:rPr>
                      <w:rFonts w:ascii="黑体" w:eastAsia="黑体" w:cs="Times New Roman"/>
                      <w:b w:val="0"/>
                      <w:bCs w:val="0"/>
                      <w:sz w:val="28"/>
                      <w:szCs w:val="28"/>
                    </w:rPr>
                  </w:pPr>
                </w:p>
                <w:p>
                  <w:pPr>
                    <w:pStyle w:val="71"/>
                  </w:pPr>
                  <w:r>
                    <w:rPr>
                      <w:rFonts w:hint="eastAsia"/>
                    </w:rPr>
                    <w:t>中华人民共和国工业和信息化部</w:t>
                  </w:r>
                  <w:r>
                    <w:rPr>
                      <w:rStyle w:val="86"/>
                      <w:rFonts w:hint="eastAsia"/>
                    </w:rPr>
                    <w:t xml:space="preserve"> 发布</w:t>
                  </w:r>
                </w:p>
                <w:p>
                  <w:pPr>
                    <w:pStyle w:val="39"/>
                    <w:ind w:firstLine="440"/>
                  </w:pPr>
                </w:p>
              </w:txbxContent>
            </v:textbox>
            <w10:anchorlock/>
          </v:shape>
        </w:pict>
      </w:r>
      <w:r>
        <w:rPr>
          <w:rFonts w:ascii="宋体" w:hAnsi="Times New Roman" w:eastAsia="宋体" w:cs="宋体"/>
          <w:color w:val="auto"/>
          <w:kern w:val="2"/>
          <w:sz w:val="21"/>
          <w:szCs w:val="21"/>
          <w:lang w:val="en-US" w:eastAsia="zh-CN" w:bidi="ar-SA"/>
        </w:rPr>
        <w:pict>
          <v:shape id="fmFrame6" o:spid="_x0000_s1032" type="#_x0000_t202" style="position:absolute;left:0;margin-left:301.1pt;margin-top:670.4pt;height:24.6pt;width:159pt;mso-position-horizontal-relative:margin;mso-position-vertical-relative:margin;rotation:0f;z-index:251660288;" o:ole="f" fillcolor="#FFFFFF" filled="t" o:preferrelative="t" stroked="f" coordorigin="0,0" coordsize="21600,21600">
            <v:imagedata gain="65536f" blacklevel="0f" gamma="0"/>
            <o:lock v:ext="edit" position="f" selection="f" grouping="f" rotation="f" cropping="f" text="f" aspectratio="f"/>
            <v:textbox inset="0.00pt,0.00pt,0.00pt,0.00pt">
              <w:txbxContent>
                <w:p>
                  <w:pPr>
                    <w:jc w:val="right"/>
                    <w:rPr>
                      <w:rFonts w:ascii="黑体" w:hAnsi="黑体" w:eastAsia="黑体" w:cs="黑体"/>
                      <w:sz w:val="28"/>
                      <w:szCs w:val="28"/>
                    </w:rPr>
                  </w:pPr>
                  <w:r>
                    <w:rPr>
                      <w:rFonts w:ascii="黑体" w:hAnsi="黑体" w:eastAsia="黑体" w:cs="黑体"/>
                      <w:sz w:val="28"/>
                      <w:szCs w:val="28"/>
                    </w:rPr>
                    <w:t>XXXX-XX-XX</w:t>
                  </w:r>
                  <w:r>
                    <w:rPr>
                      <w:rFonts w:hint="eastAsia" w:ascii="黑体" w:hAnsi="黑体" w:eastAsia="黑体" w:cs="黑体"/>
                      <w:sz w:val="28"/>
                      <w:szCs w:val="28"/>
                    </w:rPr>
                    <w:t>实施</w:t>
                  </w:r>
                  <w:r>
                    <w:rPr>
                      <w:rFonts w:ascii="黑体" w:hAnsi="黑体" w:eastAsia="黑体" w:cs="黑体"/>
                      <w:sz w:val="28"/>
                      <w:szCs w:val="28"/>
                    </w:rPr>
                    <w:t xml:space="preserve">   </w:t>
                  </w:r>
                </w:p>
              </w:txbxContent>
            </v:textbox>
            <w10:anchorlock/>
          </v:shape>
        </w:pict>
      </w:r>
      <w:r>
        <w:rPr>
          <w:rFonts w:ascii="宋体" w:hAnsi="Times New Roman" w:eastAsia="宋体" w:cs="宋体"/>
          <w:color w:val="auto"/>
          <w:kern w:val="2"/>
          <w:sz w:val="21"/>
          <w:szCs w:val="21"/>
          <w:lang w:val="en-US" w:eastAsia="zh-CN" w:bidi="ar-SA"/>
        </w:rPr>
        <w:pict>
          <v:shape id="fmFrame5" o:spid="_x0000_s1033" type="#_x0000_t202" style="position:absolute;left:0;margin-left:0pt;margin-top:670.6pt;height:24.6pt;width:159pt;mso-position-horizontal-relative:margin;mso-position-vertical-relative:margin;rotation:0f;z-index:251659264;"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60"/>
                    <w:rPr>
                      <w:rFonts w:ascii="黑体"/>
                    </w:rPr>
                  </w:pPr>
                  <w:r>
                    <w:rPr>
                      <w:rFonts w:ascii="黑体" w:cs="黑体"/>
                    </w:rPr>
                    <w:t>XXXX-XX-XX</w:t>
                  </w:r>
                  <w:r>
                    <w:rPr>
                      <w:rFonts w:hint="eastAsia" w:ascii="黑体" w:cs="黑体"/>
                    </w:rPr>
                    <w:t>发布</w:t>
                  </w:r>
                </w:p>
                <w:p/>
              </w:txbxContent>
            </v:textbox>
            <w10:anchorlock/>
          </v:shape>
        </w:pict>
      </w:r>
      <w:r>
        <w:rPr>
          <w:rFonts w:ascii="宋体" w:hAnsi="Times New Roman" w:eastAsia="宋体" w:cs="宋体"/>
          <w:color w:val="auto"/>
          <w:kern w:val="2"/>
          <w:sz w:val="21"/>
          <w:szCs w:val="21"/>
          <w:lang w:val="en-US" w:eastAsia="zh-CN" w:bidi="ar-SA"/>
        </w:rPr>
        <w:pict>
          <v:shape id="fmFrame4" o:spid="_x0000_s1034" type="#_x0000_t202" style="position:absolute;left:0;margin-left:-0.9pt;margin-top:218.8pt;height:436.3pt;width:470pt;mso-position-horizontal-relative:margin;mso-position-vertical-relative:margin;rotation:0f;z-index:251658240;" o:ole="f" fillcolor="#FFFFFF" filled="t" o:preferrelative="t" stroked="f" coordorigin="0,0" coordsize="21600,21600">
            <v:imagedata gain="65536f" blacklevel="0f" gamma="0"/>
            <o:lock v:ext="edit" position="f" selection="f" grouping="f" rotation="f" cropping="f" text="f" aspectratio="f"/>
            <v:textbox inset="0.00pt,0.00pt,0.00pt,0.00pt">
              <w:txbxContent>
                <w:p>
                  <w:pPr>
                    <w:jc w:val="center"/>
                    <w:rPr>
                      <w:rFonts w:ascii="黑体" w:eastAsia="黑体"/>
                      <w:sz w:val="52"/>
                      <w:szCs w:val="52"/>
                    </w:rPr>
                  </w:pPr>
                </w:p>
                <w:p>
                  <w:pPr>
                    <w:jc w:val="center"/>
                    <w:rPr>
                      <w:rFonts w:ascii="黑体" w:hAnsi="黑体" w:eastAsia="黑体" w:cs="黑体"/>
                      <w:sz w:val="52"/>
                      <w:szCs w:val="52"/>
                    </w:rPr>
                  </w:pPr>
                  <w:r>
                    <w:rPr>
                      <w:rFonts w:hint="eastAsia" w:ascii="黑体" w:hAnsi="黑体" w:eastAsia="黑体" w:cs="黑体"/>
                      <w:sz w:val="52"/>
                      <w:szCs w:val="52"/>
                    </w:rPr>
                    <w:t xml:space="preserve">二氯四氨铂化学分析方法 </w:t>
                  </w:r>
                </w:p>
                <w:p>
                  <w:pPr>
                    <w:jc w:val="center"/>
                    <w:rPr>
                      <w:rFonts w:ascii="黑体" w:hAnsi="黑体" w:eastAsia="黑体" w:cs="黑体"/>
                      <w:sz w:val="52"/>
                      <w:szCs w:val="52"/>
                    </w:rPr>
                  </w:pPr>
                  <w:r>
                    <w:rPr>
                      <w:rFonts w:hint="eastAsia" w:ascii="黑体" w:hAnsi="黑体" w:eastAsia="黑体" w:cs="黑体"/>
                      <w:sz w:val="52"/>
                      <w:szCs w:val="52"/>
                    </w:rPr>
                    <w:t>第1部分：铂</w:t>
                  </w:r>
                  <w:r>
                    <w:rPr>
                      <w:rFonts w:hint="eastAsia" w:ascii="黑体" w:hAnsi="黑体" w:eastAsia="黑体" w:cs="黑体"/>
                      <w:sz w:val="52"/>
                      <w:szCs w:val="52"/>
                      <w:lang w:eastAsia="zh-CN"/>
                    </w:rPr>
                    <w:t>含</w:t>
                  </w:r>
                  <w:r>
                    <w:rPr>
                      <w:rFonts w:hint="eastAsia" w:ascii="黑体" w:hAnsi="黑体" w:eastAsia="黑体" w:cs="黑体"/>
                      <w:sz w:val="52"/>
                      <w:szCs w:val="52"/>
                    </w:rPr>
                    <w:t xml:space="preserve">量的测定 </w:t>
                  </w:r>
                </w:p>
                <w:p>
                  <w:pPr>
                    <w:jc w:val="center"/>
                    <w:rPr>
                      <w:rFonts w:eastAsia="黑体"/>
                      <w:bCs/>
                      <w:sz w:val="52"/>
                      <w:szCs w:val="52"/>
                    </w:rPr>
                  </w:pPr>
                  <w:r>
                    <w:rPr>
                      <w:rFonts w:hint="eastAsia" w:ascii="黑体" w:hAnsi="黑体" w:eastAsia="黑体" w:cs="黑体"/>
                      <w:sz w:val="52"/>
                      <w:szCs w:val="52"/>
                    </w:rPr>
                    <w:t>重量法</w:t>
                  </w:r>
                </w:p>
                <w:p>
                  <w:pPr>
                    <w:widowControl/>
                    <w:spacing w:before="300" w:line="23" w:lineRule="atLeast"/>
                    <w:jc w:val="center"/>
                  </w:pPr>
                  <w:r>
                    <w:rPr>
                      <w:sz w:val="28"/>
                      <w:szCs w:val="28"/>
                    </w:rPr>
                    <w:t>Method</w:t>
                  </w:r>
                  <w:r>
                    <w:rPr>
                      <w:rFonts w:hint="eastAsia"/>
                      <w:sz w:val="28"/>
                      <w:szCs w:val="28"/>
                    </w:rPr>
                    <w:t>s</w:t>
                  </w:r>
                  <w:r>
                    <w:rPr>
                      <w:sz w:val="28"/>
                      <w:szCs w:val="28"/>
                    </w:rPr>
                    <w:t xml:space="preserve"> for chemical analysis of</w:t>
                  </w:r>
                  <w:r>
                    <w:rPr>
                      <w:rFonts w:hint="eastAsia"/>
                      <w:sz w:val="28"/>
                      <w:szCs w:val="28"/>
                    </w:rPr>
                    <w:t xml:space="preserve"> </w:t>
                  </w:r>
                  <w:r>
                    <w:rPr>
                      <w:sz w:val="28"/>
                      <w:szCs w:val="28"/>
                      <w:shd w:val="clear" w:color="020000" w:fill="FFFFFF"/>
                    </w:rPr>
                    <w:t>Tetrammineplatinum(II) chloride</w:t>
                  </w:r>
                  <w:r>
                    <w:t>—</w:t>
                  </w:r>
                </w:p>
                <w:p>
                  <w:pPr>
                    <w:pStyle w:val="69"/>
                    <w:spacing w:before="0" w:line="160" w:lineRule="atLeast"/>
                    <w:ind w:firstLine="0" w:firstLineChars="0"/>
                    <w:rPr>
                      <w:shd w:val="clear" w:color="030000" w:fill="FFFFFF"/>
                    </w:rPr>
                  </w:pPr>
                  <w:r>
                    <w:rPr>
                      <w:rFonts w:hint="eastAsia"/>
                    </w:rPr>
                    <w:t xml:space="preserve">Part 1: Determination of </w:t>
                  </w:r>
                  <w:r>
                    <w:rPr>
                      <w:shd w:val="clear" w:color="020000" w:fill="FFFFFF"/>
                    </w:rPr>
                    <w:t>platinum</w:t>
                  </w:r>
                  <w:r>
                    <w:rPr>
                      <w:rFonts w:hint="eastAsia"/>
                    </w:rPr>
                    <w:t xml:space="preserve"> content</w:t>
                  </w:r>
                  <w:r>
                    <w:t>—</w:t>
                  </w:r>
                </w:p>
                <w:p>
                  <w:pPr>
                    <w:pStyle w:val="69"/>
                    <w:spacing w:before="0" w:line="160" w:lineRule="atLeast"/>
                    <w:ind w:firstLine="0" w:firstLineChars="0"/>
                  </w:pPr>
                  <w:r>
                    <w:rPr>
                      <w:rFonts w:hint="eastAsia"/>
                    </w:rPr>
                    <w:t>Gravimetric method</w:t>
                  </w:r>
                </w:p>
                <w:p>
                  <w:pPr>
                    <w:pStyle w:val="69"/>
                    <w:spacing w:before="0" w:line="160" w:lineRule="atLeast"/>
                    <w:ind w:firstLine="0" w:firstLineChars="0"/>
                  </w:pPr>
                </w:p>
                <w:p>
                  <w:pPr>
                    <w:tabs>
                      <w:tab w:val="left" w:pos="3822"/>
                      <w:tab w:val="left" w:pos="5400"/>
                    </w:tabs>
                    <w:spacing w:before="50" w:after="50"/>
                    <w:jc w:val="center"/>
                    <w:rPr>
                      <w:b/>
                      <w:bCs/>
                      <w:sz w:val="30"/>
                      <w:szCs w:val="30"/>
                    </w:rPr>
                  </w:pPr>
                  <w:r>
                    <w:rPr>
                      <w:rFonts w:ascii="黑体" w:hAnsi="宋体" w:eastAsia="黑体" w:cs="黑体"/>
                      <w:spacing w:val="6"/>
                      <w:sz w:val="28"/>
                      <w:szCs w:val="28"/>
                    </w:rPr>
                    <w:t>(</w:t>
                  </w:r>
                  <w:r>
                    <w:rPr>
                      <w:rFonts w:hint="eastAsia" w:ascii="黑体" w:hAnsi="宋体" w:eastAsia="黑体" w:cs="黑体"/>
                      <w:spacing w:val="6"/>
                      <w:sz w:val="28"/>
                      <w:szCs w:val="28"/>
                      <w:lang w:eastAsia="zh-CN"/>
                    </w:rPr>
                    <w:t>送审</w:t>
                  </w:r>
                  <w:r>
                    <w:rPr>
                      <w:rFonts w:hint="eastAsia" w:ascii="黑体" w:hAnsi="宋体" w:eastAsia="黑体" w:cs="黑体"/>
                      <w:spacing w:val="6"/>
                      <w:sz w:val="28"/>
                      <w:szCs w:val="28"/>
                    </w:rPr>
                    <w:t>稿</w:t>
                  </w:r>
                  <w:r>
                    <w:rPr>
                      <w:rFonts w:ascii="黑体" w:hAnsi="宋体" w:eastAsia="黑体" w:cs="黑体"/>
                      <w:spacing w:val="6"/>
                      <w:sz w:val="28"/>
                      <w:szCs w:val="28"/>
                    </w:rPr>
                    <w:t>)</w:t>
                  </w:r>
                </w:p>
                <w:p>
                  <w:pPr>
                    <w:pStyle w:val="56"/>
                    <w:rPr>
                      <w:rFonts w:cs="Times New Roman"/>
                      <w:b/>
                      <w:bCs/>
                      <w:sz w:val="30"/>
                      <w:szCs w:val="30"/>
                    </w:rPr>
                  </w:pPr>
                </w:p>
                <w:p>
                  <w:pPr>
                    <w:pStyle w:val="56"/>
                    <w:rPr>
                      <w:rFonts w:cs="Times New Roman"/>
                      <w:b/>
                      <w:bCs/>
                      <w:sz w:val="30"/>
                      <w:szCs w:val="30"/>
                    </w:rPr>
                  </w:pPr>
                </w:p>
                <w:p>
                  <w:pPr>
                    <w:pStyle w:val="47"/>
                    <w:rPr>
                      <w:rFonts w:cs="Times New Roman"/>
                    </w:rPr>
                  </w:pPr>
                </w:p>
              </w:txbxContent>
            </v:textbox>
            <w10:anchorlock/>
          </v:shape>
        </w:pict>
      </w:r>
      <w:bookmarkEnd w:id="0"/>
      <w:bookmarkEnd w:id="1"/>
    </w:p>
    <w:bookmarkEnd w:id="2"/>
    <w:p>
      <w:pPr>
        <w:pStyle w:val="35"/>
        <w:spacing w:line="340" w:lineRule="exact"/>
        <w:rPr>
          <w:rFonts w:cs="Times New Roman"/>
          <w:color w:val="auto"/>
        </w:rPr>
      </w:pPr>
      <w:r>
        <w:rPr>
          <w:rFonts w:hint="eastAsia"/>
          <w:color w:val="auto"/>
        </w:rPr>
        <w:t>前</w:t>
      </w:r>
      <w:r>
        <w:rPr>
          <w:color w:val="auto"/>
        </w:rPr>
        <w:t xml:space="preserve">    </w:t>
      </w:r>
      <w:r>
        <w:rPr>
          <w:rFonts w:hint="eastAsia"/>
          <w:color w:val="auto"/>
        </w:rPr>
        <w:t>言</w:t>
      </w:r>
    </w:p>
    <w:p>
      <w:pPr>
        <w:snapToGrid w:val="0"/>
        <w:spacing w:line="340" w:lineRule="exact"/>
        <w:ind w:firstLine="420" w:firstLineChars="0"/>
        <w:rPr>
          <w:color w:val="auto"/>
        </w:rPr>
      </w:pPr>
      <w:r>
        <w:rPr>
          <w:rFonts w:hint="eastAsia"/>
          <w:color w:val="auto"/>
        </w:rPr>
        <w:t>YS/T XX</w:t>
      </w:r>
      <w:r>
        <w:rPr>
          <w:color w:val="auto"/>
        </w:rPr>
        <w:t>XX</w:t>
      </w:r>
      <w:r>
        <w:rPr>
          <w:rFonts w:hint="eastAsia"/>
          <w:color w:val="auto"/>
        </w:rPr>
        <w:t xml:space="preserve"> 《二氯四氨铂化学分析方法》分为2个部分：</w:t>
      </w:r>
    </w:p>
    <w:p>
      <w:pPr>
        <w:snapToGrid w:val="0"/>
        <w:spacing w:line="340" w:lineRule="exact"/>
        <w:ind w:firstLine="420" w:firstLineChars="0"/>
        <w:rPr>
          <w:color w:val="auto"/>
        </w:rPr>
      </w:pPr>
      <w:r>
        <w:rPr>
          <w:color w:val="auto"/>
        </w:rPr>
        <w:t>——</w:t>
      </w:r>
      <w:r>
        <w:rPr>
          <w:rFonts w:hint="eastAsia"/>
          <w:color w:val="auto"/>
        </w:rPr>
        <w:t>第1部分：铂</w:t>
      </w:r>
      <w:r>
        <w:rPr>
          <w:rFonts w:hint="eastAsia"/>
          <w:color w:val="auto"/>
          <w:lang w:eastAsia="zh-CN"/>
        </w:rPr>
        <w:t>含</w:t>
      </w:r>
      <w:r>
        <w:rPr>
          <w:rFonts w:hint="eastAsia"/>
          <w:color w:val="auto"/>
        </w:rPr>
        <w:t>量的测定 重量法</w:t>
      </w:r>
    </w:p>
    <w:p>
      <w:pPr>
        <w:snapToGrid w:val="0"/>
        <w:spacing w:line="340" w:lineRule="exact"/>
        <w:ind w:left="0" w:leftChars="0" w:firstLine="420" w:firstLineChars="200"/>
        <w:rPr>
          <w:color w:val="auto"/>
        </w:rPr>
      </w:pPr>
      <w:r>
        <w:rPr>
          <w:color w:val="auto"/>
        </w:rPr>
        <w:t>——</w:t>
      </w:r>
      <w:r>
        <w:rPr>
          <w:rFonts w:hint="eastAsia"/>
          <w:color w:val="auto"/>
        </w:rPr>
        <w:t>第2部分：镁、钙、铁、镍、铜、铑、钯、银、铱、金、铅</w:t>
      </w:r>
      <w:r>
        <w:rPr>
          <w:rFonts w:hint="eastAsia"/>
          <w:color w:val="auto"/>
          <w:lang w:eastAsia="zh-CN"/>
        </w:rPr>
        <w:t>含</w:t>
      </w:r>
      <w:r>
        <w:rPr>
          <w:rFonts w:hint="eastAsia"/>
          <w:color w:val="auto"/>
        </w:rPr>
        <w:t>量的测定 电感耦合等离子体发射光谱法</w:t>
      </w:r>
    </w:p>
    <w:p>
      <w:pPr>
        <w:snapToGrid w:val="0"/>
        <w:spacing w:line="340" w:lineRule="exact"/>
        <w:ind w:firstLine="420" w:firstLineChars="0"/>
        <w:rPr>
          <w:color w:val="auto"/>
        </w:rPr>
      </w:pPr>
      <w:r>
        <w:rPr>
          <w:rFonts w:hint="eastAsia"/>
          <w:color w:val="auto"/>
        </w:rPr>
        <w:t>本部分为YS/T XXXX 的第1部分。</w:t>
      </w:r>
    </w:p>
    <w:p>
      <w:pPr>
        <w:snapToGrid w:val="0"/>
        <w:spacing w:line="340" w:lineRule="exact"/>
        <w:ind w:firstLine="420" w:firstLineChars="0"/>
        <w:rPr>
          <w:color w:val="auto"/>
        </w:rPr>
      </w:pPr>
      <w:r>
        <w:rPr>
          <w:color w:val="auto"/>
        </w:rPr>
        <w:t>本</w:t>
      </w:r>
      <w:r>
        <w:rPr>
          <w:rFonts w:hint="eastAsia"/>
          <w:color w:val="auto"/>
        </w:rPr>
        <w:t>部分</w:t>
      </w:r>
      <w:r>
        <w:rPr>
          <w:color w:val="auto"/>
        </w:rPr>
        <w:t>按照GB/T 1.1—2009给出的规则起草。</w:t>
      </w:r>
    </w:p>
    <w:p>
      <w:pPr>
        <w:snapToGrid w:val="0"/>
        <w:spacing w:line="340" w:lineRule="exact"/>
        <w:ind w:firstLine="420" w:firstLineChars="0"/>
        <w:rPr>
          <w:color w:val="auto"/>
        </w:rPr>
      </w:pPr>
      <w:r>
        <w:rPr>
          <w:color w:val="auto"/>
        </w:rPr>
        <w:t>本</w:t>
      </w:r>
      <w:r>
        <w:rPr>
          <w:rFonts w:hint="eastAsia"/>
          <w:color w:val="auto"/>
        </w:rPr>
        <w:t>部分</w:t>
      </w:r>
      <w:r>
        <w:rPr>
          <w:color w:val="auto"/>
        </w:rPr>
        <w:t>由全国有色金属标准化技术委员会（SAC/TC 243）提出并归口。</w:t>
      </w:r>
    </w:p>
    <w:p>
      <w:pPr>
        <w:ind w:firstLine="420" w:firstLineChars="0"/>
        <w:jc w:val="left"/>
        <w:rPr>
          <w:rFonts w:hint="eastAsia"/>
          <w:color w:val="auto"/>
          <w:highlight w:val="none"/>
          <w:lang w:eastAsia="zh-CN"/>
        </w:rPr>
      </w:pPr>
      <w:r>
        <w:rPr>
          <w:color w:val="auto"/>
        </w:rPr>
        <w:t>本</w:t>
      </w:r>
      <w:r>
        <w:rPr>
          <w:rFonts w:hint="eastAsia"/>
          <w:color w:val="auto"/>
        </w:rPr>
        <w:t>部分</w:t>
      </w:r>
      <w:r>
        <w:rPr>
          <w:color w:val="auto"/>
        </w:rPr>
        <w:t>起草单位：徐州浩通新材料科技</w:t>
      </w:r>
      <w:r>
        <w:rPr>
          <w:color w:val="auto"/>
          <w:highlight w:val="none"/>
        </w:rPr>
        <w:t>股份有限公司</w:t>
      </w:r>
      <w:r>
        <w:rPr>
          <w:rFonts w:hint="eastAsia"/>
          <w:color w:val="auto"/>
          <w:highlight w:val="none"/>
        </w:rPr>
        <w:t>、贵研铂业股份有限公司</w:t>
      </w:r>
      <w:r>
        <w:rPr>
          <w:rFonts w:hint="eastAsia"/>
          <w:color w:val="auto"/>
          <w:highlight w:val="none"/>
          <w:lang w:eastAsia="zh-CN"/>
        </w:rPr>
        <w:t>、</w:t>
      </w:r>
      <w:r>
        <w:rPr>
          <w:rFonts w:hint="eastAsia"/>
          <w:color w:val="auto"/>
          <w:highlight w:val="none"/>
        </w:rPr>
        <w:t>广东省工业分析检测中心、</w:t>
      </w:r>
      <w:r>
        <w:rPr>
          <w:rFonts w:hint="eastAsia"/>
          <w:color w:val="auto"/>
          <w:highlight w:val="none"/>
          <w:lang w:eastAsia="zh-CN"/>
        </w:rPr>
        <w:t>西安凯立新材料股份有限公司、</w:t>
      </w:r>
      <w:r>
        <w:rPr>
          <w:rFonts w:hint="eastAsia"/>
          <w:color w:val="auto"/>
          <w:highlight w:val="none"/>
        </w:rPr>
        <w:t>国标（北京）检验认证有限公司</w:t>
      </w:r>
      <w:r>
        <w:rPr>
          <w:rFonts w:hint="eastAsia"/>
          <w:color w:val="auto"/>
          <w:highlight w:val="none"/>
          <w:lang w:eastAsia="zh-CN"/>
        </w:rPr>
        <w:t>、有色金属技术经济研究院、北矿检测技术有限公司、</w:t>
      </w:r>
      <w:r>
        <w:rPr>
          <w:rFonts w:hint="eastAsia" w:ascii="宋体" w:hAnsi="宋体" w:eastAsia="宋体" w:cs="宋体"/>
          <w:color w:val="auto"/>
          <w:szCs w:val="21"/>
          <w:highlight w:val="none"/>
        </w:rPr>
        <w:t>浙江微通催化新材料有限公司</w:t>
      </w:r>
      <w:r>
        <w:rPr>
          <w:rFonts w:hint="eastAsia" w:ascii="宋体" w:hAnsi="宋体" w:cs="宋体"/>
          <w:color w:val="auto"/>
          <w:szCs w:val="21"/>
          <w:highlight w:val="none"/>
          <w:lang w:eastAsia="zh-CN"/>
        </w:rPr>
        <w:t>、</w:t>
      </w:r>
      <w:r>
        <w:rPr>
          <w:rFonts w:hint="eastAsia"/>
          <w:color w:val="auto"/>
          <w:highlight w:val="none"/>
        </w:rPr>
        <w:t>深圳市中金岭南有色金属股份有限公司</w:t>
      </w:r>
      <w:r>
        <w:rPr>
          <w:rFonts w:hint="eastAsia"/>
          <w:color w:val="auto"/>
          <w:highlight w:val="none"/>
          <w:lang w:eastAsia="zh-CN"/>
        </w:rPr>
        <w:t>、紫金矿业集团股份有限公司。</w:t>
      </w:r>
    </w:p>
    <w:p>
      <w:pPr>
        <w:ind w:firstLine="420" w:firstLineChars="0"/>
        <w:rPr>
          <w:rFonts w:hint="eastAsia"/>
          <w:color w:val="auto"/>
          <w:highlight w:val="none"/>
        </w:rPr>
      </w:pPr>
      <w:r>
        <w:rPr>
          <w:color w:val="auto"/>
          <w:highlight w:val="none"/>
        </w:rPr>
        <w:t>本</w:t>
      </w:r>
      <w:r>
        <w:rPr>
          <w:rFonts w:hint="eastAsia"/>
          <w:color w:val="auto"/>
          <w:highlight w:val="none"/>
        </w:rPr>
        <w:t>部分</w:t>
      </w:r>
      <w:r>
        <w:rPr>
          <w:color w:val="auto"/>
          <w:highlight w:val="none"/>
        </w:rPr>
        <w:t>主要起草人：</w:t>
      </w:r>
      <w:r>
        <w:rPr>
          <w:rFonts w:hint="eastAsia"/>
          <w:color w:val="auto"/>
          <w:highlight w:val="none"/>
          <w:lang w:eastAsia="zh-CN"/>
        </w:rPr>
        <w:t>夏军、奚红杰、巩伟龙、向磊、</w:t>
      </w:r>
      <w:r>
        <w:rPr>
          <w:rFonts w:hint="eastAsia"/>
          <w:color w:val="auto"/>
          <w:highlight w:val="none"/>
        </w:rPr>
        <w:t>金娅秋</w:t>
      </w:r>
      <w:r>
        <w:rPr>
          <w:rFonts w:hint="eastAsia"/>
          <w:color w:val="auto"/>
          <w:highlight w:val="none"/>
          <w:lang w:eastAsia="zh-CN"/>
        </w:rPr>
        <w:t>、</w:t>
      </w:r>
      <w:r>
        <w:rPr>
          <w:rFonts w:hint="eastAsia"/>
          <w:color w:val="auto"/>
          <w:highlight w:val="none"/>
        </w:rPr>
        <w:t>陈小兰</w:t>
      </w:r>
      <w:r>
        <w:rPr>
          <w:rFonts w:hint="eastAsia"/>
          <w:color w:val="auto"/>
          <w:highlight w:val="none"/>
          <w:lang w:eastAsia="zh-CN"/>
        </w:rPr>
        <w:t>、</w:t>
      </w:r>
      <w:r>
        <w:rPr>
          <w:rFonts w:hint="eastAsia"/>
          <w:color w:val="auto"/>
          <w:highlight w:val="none"/>
          <w:lang w:val="en-US" w:eastAsia="zh-CN"/>
        </w:rPr>
        <w:t>李娜、</w:t>
      </w:r>
      <w:r>
        <w:rPr>
          <w:rFonts w:hint="eastAsia"/>
          <w:color w:val="auto"/>
          <w:highlight w:val="none"/>
          <w:lang w:eastAsia="zh-CN"/>
        </w:rPr>
        <w:t>汤淑芳、</w:t>
      </w:r>
      <w:r>
        <w:rPr>
          <w:rFonts w:hint="eastAsia"/>
          <w:color w:val="auto"/>
          <w:highlight w:val="none"/>
        </w:rPr>
        <w:t>曾荷峰</w:t>
      </w:r>
      <w:r>
        <w:rPr>
          <w:rFonts w:hint="eastAsia"/>
          <w:color w:val="auto"/>
          <w:highlight w:val="none"/>
          <w:lang w:eastAsia="zh-CN"/>
        </w:rPr>
        <w:t>、</w:t>
      </w:r>
      <w:r>
        <w:rPr>
          <w:rFonts w:hint="eastAsia"/>
          <w:color w:val="auto"/>
          <w:highlight w:val="none"/>
          <w:lang w:val="en-US" w:eastAsia="zh-CN"/>
        </w:rPr>
        <w:t>王飞、万克柔、谭小艳、</w:t>
      </w:r>
      <w:r>
        <w:rPr>
          <w:rFonts w:hint="eastAsia"/>
          <w:color w:val="auto"/>
          <w:highlight w:val="none"/>
        </w:rPr>
        <w:t>王芳</w:t>
      </w:r>
      <w:r>
        <w:rPr>
          <w:rFonts w:hint="eastAsia"/>
          <w:color w:val="auto"/>
          <w:highlight w:val="none"/>
          <w:lang w:eastAsia="zh-CN"/>
        </w:rPr>
        <w:t>、</w:t>
      </w:r>
      <w:r>
        <w:rPr>
          <w:rFonts w:hint="eastAsia"/>
          <w:color w:val="auto"/>
          <w:highlight w:val="none"/>
          <w:lang w:val="en-US" w:eastAsia="zh-CN"/>
        </w:rPr>
        <w:t>侯川、张丽、</w:t>
      </w:r>
      <w:r>
        <w:rPr>
          <w:rFonts w:hint="eastAsia"/>
          <w:color w:val="auto"/>
          <w:highlight w:val="none"/>
          <w:lang w:eastAsia="zh-CN"/>
        </w:rPr>
        <w:t>王冠群、</w:t>
      </w:r>
      <w:r>
        <w:rPr>
          <w:rFonts w:hint="eastAsia"/>
          <w:b w:val="0"/>
          <w:bCs w:val="0"/>
          <w:color w:val="auto"/>
          <w:kern w:val="0"/>
          <w:sz w:val="21"/>
          <w:szCs w:val="21"/>
          <w:highlight w:val="none"/>
        </w:rPr>
        <w:t>左鸿毅</w:t>
      </w:r>
      <w:r>
        <w:rPr>
          <w:rFonts w:hint="eastAsia"/>
          <w:b w:val="0"/>
          <w:bCs w:val="0"/>
          <w:color w:val="auto"/>
          <w:kern w:val="0"/>
          <w:sz w:val="21"/>
          <w:szCs w:val="21"/>
          <w:highlight w:val="none"/>
          <w:lang w:eastAsia="zh-CN"/>
        </w:rPr>
        <w:t>、罗荣根。</w:t>
      </w:r>
    </w:p>
    <w:p>
      <w:pPr>
        <w:snapToGrid w:val="0"/>
        <w:spacing w:line="340" w:lineRule="exact"/>
        <w:rPr>
          <w:rFonts w:hint="eastAsia"/>
          <w:color w:val="auto"/>
          <w:highlight w:val="none"/>
          <w:lang w:val="en-US" w:eastAsia="zh-CN"/>
        </w:rPr>
      </w:pPr>
    </w:p>
    <w:p>
      <w:pPr>
        <w:spacing w:line="340" w:lineRule="exact"/>
        <w:rPr>
          <w:rFonts w:ascii="宋体" w:hAnsi="宋体" w:cs="宋体"/>
          <w:color w:val="auto"/>
        </w:rPr>
      </w:pPr>
    </w:p>
    <w:p>
      <w:pPr>
        <w:jc w:val="both"/>
        <w:rPr>
          <w:rFonts w:ascii="黑体" w:eastAsia="黑体"/>
          <w:b/>
          <w:bCs/>
          <w:color w:val="auto"/>
          <w:sz w:val="32"/>
          <w:szCs w:val="32"/>
        </w:rPr>
      </w:pPr>
    </w:p>
    <w:p>
      <w:pPr>
        <w:ind w:firstLine="435"/>
        <w:rPr>
          <w:rFonts w:ascii="宋体"/>
          <w:color w:val="auto"/>
        </w:rPr>
      </w:pPr>
    </w:p>
    <w:p>
      <w:pPr>
        <w:spacing w:line="340" w:lineRule="exact"/>
        <w:ind w:left="420" w:leftChars="200"/>
        <w:rPr>
          <w:rFonts w:ascii="宋体"/>
          <w:color w:val="auto"/>
        </w:rPr>
      </w:pPr>
    </w:p>
    <w:p>
      <w:pPr>
        <w:spacing w:line="340" w:lineRule="exact"/>
        <w:ind w:left="420" w:leftChars="200"/>
        <w:rPr>
          <w:rFonts w:ascii="宋体"/>
          <w:color w:val="auto"/>
        </w:rPr>
        <w:sectPr>
          <w:footerReference r:id="rId7" w:type="default"/>
          <w:pgSz w:w="11906" w:h="16838"/>
          <w:pgMar w:top="1418" w:right="1134" w:bottom="1440" w:left="1418" w:header="851" w:footer="992" w:gutter="0"/>
          <w:pgNumType w:fmt="upperRoman" w:start="1"/>
          <w:cols w:space="720" w:num="1"/>
          <w:docGrid w:type="linesAndChars" w:linePitch="312" w:charSpace="0"/>
        </w:sectPr>
      </w:pPr>
    </w:p>
    <w:p>
      <w:pPr>
        <w:jc w:val="center"/>
        <w:rPr>
          <w:rFonts w:ascii="黑体" w:hAnsi="黑体" w:eastAsia="黑体" w:cs="黑体"/>
          <w:color w:val="auto"/>
          <w:sz w:val="32"/>
          <w:szCs w:val="32"/>
        </w:rPr>
      </w:pPr>
      <w:r>
        <w:rPr>
          <w:rFonts w:hint="eastAsia" w:ascii="黑体" w:hAnsi="黑体" w:eastAsia="黑体" w:cs="黑体"/>
          <w:color w:val="auto"/>
          <w:sz w:val="32"/>
          <w:szCs w:val="32"/>
        </w:rPr>
        <w:t xml:space="preserve">二氯四氨铂化学分析方法 </w:t>
      </w:r>
    </w:p>
    <w:p>
      <w:pPr>
        <w:jc w:val="center"/>
        <w:rPr>
          <w:rFonts w:ascii="黑体" w:hAnsi="黑体" w:eastAsia="黑体" w:cs="黑体"/>
          <w:color w:val="auto"/>
          <w:sz w:val="32"/>
          <w:szCs w:val="32"/>
        </w:rPr>
      </w:pPr>
      <w:r>
        <w:rPr>
          <w:rFonts w:hint="eastAsia" w:ascii="黑体" w:hAnsi="黑体" w:eastAsia="黑体" w:cs="黑体"/>
          <w:color w:val="auto"/>
          <w:sz w:val="32"/>
          <w:szCs w:val="32"/>
        </w:rPr>
        <w:t>第1部分：铂</w:t>
      </w:r>
      <w:r>
        <w:rPr>
          <w:rFonts w:hint="eastAsia" w:ascii="黑体" w:hAnsi="黑体" w:eastAsia="黑体" w:cs="黑体"/>
          <w:color w:val="auto"/>
          <w:sz w:val="32"/>
          <w:szCs w:val="32"/>
          <w:lang w:eastAsia="zh-CN"/>
        </w:rPr>
        <w:t>含</w:t>
      </w:r>
      <w:r>
        <w:rPr>
          <w:rFonts w:hint="eastAsia" w:ascii="黑体" w:hAnsi="黑体" w:eastAsia="黑体" w:cs="黑体"/>
          <w:color w:val="auto"/>
          <w:sz w:val="32"/>
          <w:szCs w:val="32"/>
        </w:rPr>
        <w:t xml:space="preserve">量的测定 </w:t>
      </w:r>
    </w:p>
    <w:p>
      <w:pPr>
        <w:jc w:val="center"/>
        <w:rPr>
          <w:rFonts w:eastAsia="黑体"/>
          <w:bCs/>
          <w:color w:val="auto"/>
          <w:sz w:val="32"/>
          <w:szCs w:val="32"/>
        </w:rPr>
      </w:pPr>
      <w:r>
        <w:rPr>
          <w:rFonts w:hint="eastAsia" w:ascii="黑体" w:hAnsi="黑体" w:eastAsia="黑体" w:cs="黑体"/>
          <w:color w:val="auto"/>
          <w:sz w:val="32"/>
          <w:szCs w:val="32"/>
        </w:rPr>
        <w:t>重量法</w:t>
      </w:r>
    </w:p>
    <w:p>
      <w:pPr>
        <w:pStyle w:val="46"/>
        <w:spacing w:beforeLines="100" w:afterLines="100"/>
        <w:rPr>
          <w:rFonts w:hAnsi="黑体"/>
          <w:bCs/>
          <w:color w:val="auto"/>
        </w:rPr>
      </w:pPr>
      <w:r>
        <w:rPr>
          <w:rFonts w:hint="eastAsia" w:hAnsi="黑体"/>
          <w:bCs/>
          <w:color w:val="auto"/>
        </w:rPr>
        <w:t>1 范围</w:t>
      </w:r>
    </w:p>
    <w:p>
      <w:pPr>
        <w:pStyle w:val="39"/>
        <w:ind w:firstLine="420"/>
        <w:rPr>
          <w:rFonts w:ascii="Times New Roman"/>
          <w:color w:val="auto"/>
          <w:sz w:val="21"/>
          <w:szCs w:val="21"/>
        </w:rPr>
      </w:pPr>
      <w:r>
        <w:rPr>
          <w:rFonts w:ascii="Times New Roman"/>
          <w:color w:val="auto"/>
          <w:sz w:val="21"/>
          <w:szCs w:val="21"/>
        </w:rPr>
        <w:t>YS/T XXXX</w:t>
      </w:r>
      <w:r>
        <w:rPr>
          <w:rFonts w:hint="eastAsia" w:ascii="Times New Roman"/>
          <w:color w:val="auto"/>
          <w:sz w:val="21"/>
          <w:szCs w:val="21"/>
        </w:rPr>
        <w:t>的</w:t>
      </w:r>
      <w:r>
        <w:rPr>
          <w:rFonts w:ascii="Times New Roman"/>
          <w:color w:val="auto"/>
          <w:sz w:val="21"/>
          <w:szCs w:val="21"/>
        </w:rPr>
        <w:t>本</w:t>
      </w:r>
      <w:r>
        <w:rPr>
          <w:rFonts w:hint="eastAsia" w:ascii="Times New Roman"/>
          <w:color w:val="auto"/>
          <w:sz w:val="21"/>
          <w:szCs w:val="21"/>
        </w:rPr>
        <w:t>部分</w:t>
      </w:r>
      <w:r>
        <w:rPr>
          <w:rFonts w:ascii="Times New Roman"/>
          <w:color w:val="auto"/>
          <w:sz w:val="21"/>
          <w:szCs w:val="21"/>
        </w:rPr>
        <w:t>规定了</w:t>
      </w:r>
      <w:r>
        <w:rPr>
          <w:rFonts w:hint="eastAsia" w:ascii="Times New Roman"/>
          <w:color w:val="auto"/>
          <w:sz w:val="21"/>
          <w:szCs w:val="21"/>
        </w:rPr>
        <w:t>二氯四氨铂中铂</w:t>
      </w:r>
      <w:r>
        <w:rPr>
          <w:rFonts w:hint="eastAsia" w:ascii="Times New Roman"/>
          <w:color w:val="auto"/>
          <w:sz w:val="21"/>
          <w:szCs w:val="21"/>
          <w:lang w:eastAsia="zh-CN"/>
        </w:rPr>
        <w:t>含</w:t>
      </w:r>
      <w:r>
        <w:rPr>
          <w:rFonts w:hint="eastAsia" w:ascii="Times New Roman"/>
          <w:color w:val="auto"/>
          <w:sz w:val="21"/>
          <w:szCs w:val="21"/>
        </w:rPr>
        <w:t>量</w:t>
      </w:r>
      <w:r>
        <w:rPr>
          <w:rFonts w:ascii="Times New Roman"/>
          <w:color w:val="auto"/>
          <w:sz w:val="21"/>
          <w:szCs w:val="21"/>
        </w:rPr>
        <w:t>的测定方法。</w:t>
      </w:r>
    </w:p>
    <w:p>
      <w:pPr>
        <w:pStyle w:val="39"/>
        <w:ind w:firstLine="420"/>
        <w:rPr>
          <w:rFonts w:ascii="Times New Roman"/>
          <w:color w:val="auto"/>
          <w:sz w:val="21"/>
          <w:szCs w:val="21"/>
        </w:rPr>
      </w:pPr>
      <w:r>
        <w:rPr>
          <w:rFonts w:ascii="Times New Roman"/>
          <w:color w:val="auto"/>
          <w:sz w:val="21"/>
          <w:szCs w:val="21"/>
        </w:rPr>
        <w:t>本</w:t>
      </w:r>
      <w:r>
        <w:rPr>
          <w:rFonts w:hint="eastAsia" w:ascii="Times New Roman"/>
          <w:color w:val="auto"/>
          <w:sz w:val="21"/>
          <w:szCs w:val="21"/>
        </w:rPr>
        <w:t>部分</w:t>
      </w:r>
      <w:r>
        <w:rPr>
          <w:rFonts w:ascii="Times New Roman"/>
          <w:color w:val="auto"/>
          <w:sz w:val="21"/>
          <w:szCs w:val="21"/>
        </w:rPr>
        <w:t>适用于</w:t>
      </w:r>
      <w:r>
        <w:rPr>
          <w:rFonts w:hint="eastAsia" w:ascii="Times New Roman"/>
          <w:color w:val="auto"/>
          <w:sz w:val="21"/>
          <w:szCs w:val="21"/>
        </w:rPr>
        <w:t>二氯四氨铂中铂</w:t>
      </w:r>
      <w:r>
        <w:rPr>
          <w:rFonts w:hint="eastAsia" w:ascii="Times New Roman"/>
          <w:color w:val="auto"/>
          <w:sz w:val="21"/>
          <w:szCs w:val="21"/>
          <w:lang w:eastAsia="zh-CN"/>
        </w:rPr>
        <w:t>含</w:t>
      </w:r>
      <w:r>
        <w:rPr>
          <w:rFonts w:hint="eastAsia" w:ascii="Times New Roman"/>
          <w:color w:val="auto"/>
          <w:sz w:val="21"/>
          <w:szCs w:val="21"/>
        </w:rPr>
        <w:t>量的测定</w:t>
      </w:r>
      <w:r>
        <w:rPr>
          <w:rFonts w:ascii="Times New Roman"/>
          <w:color w:val="auto"/>
          <w:sz w:val="21"/>
          <w:szCs w:val="21"/>
        </w:rPr>
        <w:t>。</w:t>
      </w:r>
      <w:r>
        <w:rPr>
          <w:rFonts w:hint="eastAsia" w:ascii="Times New Roman"/>
          <w:color w:val="auto"/>
          <w:sz w:val="21"/>
          <w:szCs w:val="21"/>
        </w:rPr>
        <w:t>测定范围：</w:t>
      </w:r>
      <w:r>
        <w:rPr>
          <w:rFonts w:hint="eastAsia" w:ascii="Times New Roman"/>
          <w:color w:val="auto"/>
          <w:sz w:val="21"/>
          <w:szCs w:val="21"/>
          <w:lang w:val="en-US" w:eastAsia="zh-CN"/>
        </w:rPr>
        <w:t>50</w:t>
      </w:r>
      <w:r>
        <w:rPr>
          <w:rFonts w:ascii="Times New Roman"/>
          <w:color w:val="auto"/>
          <w:sz w:val="21"/>
          <w:szCs w:val="21"/>
        </w:rPr>
        <w:t>.00%</w:t>
      </w:r>
      <w:r>
        <w:rPr>
          <w:rFonts w:hint="eastAsia" w:ascii="Times New Roman"/>
          <w:color w:val="auto"/>
          <w:sz w:val="21"/>
          <w:szCs w:val="21"/>
        </w:rPr>
        <w:t xml:space="preserve"> </w:t>
      </w:r>
      <w:r>
        <w:rPr>
          <w:rFonts w:ascii="Times New Roman"/>
          <w:color w:val="auto"/>
          <w:sz w:val="21"/>
          <w:szCs w:val="21"/>
        </w:rPr>
        <w:t>~</w:t>
      </w:r>
      <w:r>
        <w:rPr>
          <w:rFonts w:hint="eastAsia" w:ascii="Times New Roman"/>
          <w:color w:val="auto"/>
          <w:sz w:val="21"/>
          <w:szCs w:val="21"/>
        </w:rPr>
        <w:t xml:space="preserve"> </w:t>
      </w:r>
      <w:r>
        <w:rPr>
          <w:rFonts w:ascii="Times New Roman"/>
          <w:color w:val="auto"/>
          <w:sz w:val="21"/>
          <w:szCs w:val="21"/>
        </w:rPr>
        <w:t>5</w:t>
      </w:r>
      <w:r>
        <w:rPr>
          <w:rFonts w:hint="eastAsia" w:ascii="Times New Roman"/>
          <w:color w:val="auto"/>
          <w:sz w:val="21"/>
          <w:szCs w:val="21"/>
        </w:rPr>
        <w:t>9</w:t>
      </w:r>
      <w:r>
        <w:rPr>
          <w:rFonts w:ascii="Times New Roman"/>
          <w:color w:val="auto"/>
          <w:sz w:val="21"/>
          <w:szCs w:val="21"/>
        </w:rPr>
        <w:t>.</w:t>
      </w:r>
      <w:r>
        <w:rPr>
          <w:rFonts w:hint="eastAsia" w:ascii="Times New Roman"/>
          <w:color w:val="auto"/>
          <w:sz w:val="21"/>
          <w:szCs w:val="21"/>
        </w:rPr>
        <w:t>00</w:t>
      </w:r>
      <w:r>
        <w:rPr>
          <w:rFonts w:ascii="Times New Roman"/>
          <w:color w:val="auto"/>
          <w:sz w:val="21"/>
          <w:szCs w:val="21"/>
        </w:rPr>
        <w:t>%。</w:t>
      </w:r>
    </w:p>
    <w:p>
      <w:pPr>
        <w:pStyle w:val="46"/>
        <w:spacing w:beforeLines="100" w:afterLines="100"/>
        <w:rPr>
          <w:rFonts w:hAnsi="黑体"/>
          <w:bCs/>
          <w:color w:val="auto"/>
        </w:rPr>
      </w:pPr>
      <w:r>
        <w:rPr>
          <w:rFonts w:hint="eastAsia" w:hAnsi="黑体"/>
          <w:bCs/>
          <w:color w:val="auto"/>
        </w:rPr>
        <w:t>2 方法提要</w:t>
      </w:r>
    </w:p>
    <w:p>
      <w:pPr>
        <w:pStyle w:val="39"/>
        <w:ind w:firstLine="420"/>
        <w:rPr>
          <w:rFonts w:hAnsi="宋体"/>
          <w:bCs/>
          <w:color w:val="auto"/>
          <w:kern w:val="0"/>
          <w:sz w:val="21"/>
          <w:szCs w:val="21"/>
          <w:lang w:val="zh-CN"/>
        </w:rPr>
      </w:pPr>
      <w:r>
        <w:rPr>
          <w:rFonts w:hAnsi="宋体"/>
          <w:bCs/>
          <w:color w:val="auto"/>
          <w:kern w:val="0"/>
          <w:sz w:val="21"/>
          <w:szCs w:val="21"/>
          <w:lang w:val="zh-CN"/>
        </w:rPr>
        <w:t>试</w:t>
      </w:r>
      <w:r>
        <w:rPr>
          <w:rFonts w:hint="eastAsia" w:hAnsi="宋体"/>
          <w:bCs/>
          <w:color w:val="auto"/>
          <w:kern w:val="0"/>
          <w:sz w:val="21"/>
          <w:szCs w:val="21"/>
          <w:lang w:val="zh-CN"/>
        </w:rPr>
        <w:t>料</w:t>
      </w:r>
      <w:r>
        <w:rPr>
          <w:rFonts w:hAnsi="宋体"/>
          <w:bCs/>
          <w:color w:val="auto"/>
          <w:kern w:val="0"/>
          <w:sz w:val="21"/>
          <w:szCs w:val="21"/>
          <w:lang w:val="zh-CN"/>
        </w:rPr>
        <w:t>经高温</w:t>
      </w:r>
      <w:r>
        <w:rPr>
          <w:rFonts w:hint="eastAsia" w:hAnsi="宋体"/>
          <w:bCs/>
          <w:color w:val="auto"/>
          <w:kern w:val="0"/>
          <w:sz w:val="21"/>
          <w:szCs w:val="21"/>
          <w:lang w:val="zh-CN"/>
        </w:rPr>
        <w:t>灼烧</w:t>
      </w:r>
      <w:r>
        <w:rPr>
          <w:rFonts w:hAnsi="宋体"/>
          <w:bCs/>
          <w:color w:val="auto"/>
          <w:kern w:val="0"/>
          <w:sz w:val="21"/>
          <w:szCs w:val="21"/>
          <w:lang w:val="zh-CN"/>
        </w:rPr>
        <w:t>破坏铂离子的配位结构，形成海绵铂，</w:t>
      </w:r>
      <w:r>
        <w:rPr>
          <w:rFonts w:hint="eastAsia" w:hAnsi="宋体"/>
          <w:bCs/>
          <w:color w:val="auto"/>
          <w:kern w:val="0"/>
          <w:sz w:val="21"/>
          <w:szCs w:val="21"/>
          <w:lang w:val="zh-CN"/>
        </w:rPr>
        <w:t>用电感耦合等离子体原子发射光谱仪</w:t>
      </w:r>
      <w:r>
        <w:rPr>
          <w:rFonts w:hint="eastAsia" w:hAnsi="宋体"/>
          <w:bCs/>
          <w:color w:val="auto"/>
          <w:kern w:val="0"/>
          <w:sz w:val="21"/>
          <w:szCs w:val="21"/>
          <w:lang w:val="zh-CN" w:eastAsia="zh-CN"/>
        </w:rPr>
        <w:t>测定灼烧恒重后海绵铂的杂质含量，计算海绵铂纯度，</w:t>
      </w:r>
      <w:r>
        <w:rPr>
          <w:rFonts w:hint="eastAsia"/>
          <w:bCs/>
          <w:color w:val="auto"/>
          <w:sz w:val="21"/>
          <w:szCs w:val="21"/>
          <w:lang w:eastAsia="zh-CN"/>
        </w:rPr>
        <w:t>以纯</w:t>
      </w:r>
      <w:r>
        <w:rPr>
          <w:rFonts w:hint="eastAsia"/>
          <w:bCs/>
          <w:color w:val="auto"/>
          <w:sz w:val="21"/>
          <w:szCs w:val="21"/>
        </w:rPr>
        <w:t>海绵铂的重量计算二氯四氨铂中的铂</w:t>
      </w:r>
      <w:r>
        <w:rPr>
          <w:rFonts w:hint="eastAsia"/>
          <w:bCs/>
          <w:color w:val="auto"/>
          <w:sz w:val="21"/>
          <w:szCs w:val="21"/>
          <w:lang w:eastAsia="zh-CN"/>
        </w:rPr>
        <w:t>含</w:t>
      </w:r>
      <w:r>
        <w:rPr>
          <w:rFonts w:hint="eastAsia"/>
          <w:bCs/>
          <w:color w:val="auto"/>
          <w:sz w:val="21"/>
          <w:szCs w:val="21"/>
        </w:rPr>
        <w:t>量</w:t>
      </w:r>
      <w:r>
        <w:rPr>
          <w:rFonts w:hAnsi="宋体"/>
          <w:bCs/>
          <w:color w:val="auto"/>
          <w:kern w:val="0"/>
          <w:sz w:val="21"/>
          <w:szCs w:val="21"/>
          <w:lang w:val="zh-CN"/>
        </w:rPr>
        <w:t>。</w:t>
      </w:r>
    </w:p>
    <w:p>
      <w:pPr>
        <w:pStyle w:val="39"/>
        <w:spacing w:beforeLines="100" w:afterLines="100"/>
        <w:ind w:firstLine="0" w:firstLineChars="0"/>
        <w:rPr>
          <w:rFonts w:ascii="黑体" w:hAnsi="黑体" w:eastAsia="黑体" w:cs="黑体"/>
          <w:bCs/>
          <w:color w:val="auto"/>
          <w:sz w:val="21"/>
          <w:szCs w:val="21"/>
        </w:rPr>
      </w:pPr>
      <w:r>
        <w:rPr>
          <w:rFonts w:hint="eastAsia" w:ascii="黑体" w:hAnsi="黑体" w:eastAsia="黑体" w:cs="黑体"/>
          <w:bCs/>
          <w:color w:val="auto"/>
          <w:sz w:val="21"/>
          <w:szCs w:val="21"/>
        </w:rPr>
        <w:t>3 试剂和材料</w:t>
      </w:r>
      <w:bookmarkStart w:id="3" w:name="_GoBack"/>
      <w:bookmarkEnd w:id="3"/>
    </w:p>
    <w:p>
      <w:pPr>
        <w:ind w:firstLine="420" w:firstLineChars="200"/>
        <w:rPr>
          <w:bCs/>
          <w:color w:val="auto"/>
        </w:rPr>
      </w:pPr>
      <w:r>
        <w:rPr>
          <w:rFonts w:hint="eastAsia"/>
          <w:color w:val="auto"/>
        </w:rPr>
        <w:t>除非另有说明，在分析中使用确认为分析纯或更高纯度的试剂和</w:t>
      </w:r>
      <w:r>
        <w:rPr>
          <w:rFonts w:hint="eastAsia"/>
          <w:color w:val="auto"/>
          <w:lang w:eastAsia="zh-CN"/>
        </w:rPr>
        <w:t>蒸馏</w:t>
      </w:r>
      <w:r>
        <w:rPr>
          <w:rFonts w:hint="eastAsia"/>
          <w:color w:val="auto"/>
        </w:rPr>
        <w:t>水</w:t>
      </w:r>
      <w:r>
        <w:rPr>
          <w:rFonts w:hint="eastAsia"/>
          <w:color w:val="auto"/>
          <w:lang w:eastAsia="zh-CN"/>
        </w:rPr>
        <w:t>或相当纯度的水</w:t>
      </w:r>
      <w:r>
        <w:rPr>
          <w:rFonts w:hint="eastAsia"/>
          <w:color w:val="auto"/>
        </w:rPr>
        <w:t>。</w:t>
      </w:r>
    </w:p>
    <w:p>
      <w:pPr>
        <w:rPr>
          <w:rFonts w:hint="eastAsia"/>
          <w:bCs/>
          <w:color w:val="auto"/>
          <w:lang w:eastAsia="zh-CN"/>
        </w:rPr>
      </w:pPr>
      <w:r>
        <w:rPr>
          <w:rFonts w:hint="eastAsia" w:ascii="黑体" w:hAnsi="黑体" w:eastAsia="黑体" w:cs="黑体"/>
          <w:bCs/>
          <w:color w:val="auto"/>
          <w:lang w:val="en-US" w:eastAsia="zh-CN"/>
        </w:rPr>
        <w:t>3.1</w:t>
      </w:r>
      <w:r>
        <w:rPr>
          <w:rFonts w:hint="eastAsia"/>
          <w:bCs/>
          <w:color w:val="auto"/>
          <w:lang w:val="en-US" w:eastAsia="zh-CN"/>
        </w:rPr>
        <w:t xml:space="preserve"> 硝酸</w:t>
      </w:r>
      <w:r>
        <w:rPr>
          <w:rFonts w:hint="eastAsia"/>
          <w:bCs/>
          <w:color w:val="auto"/>
        </w:rPr>
        <w:t>（</w:t>
      </w:r>
      <w:r>
        <w:rPr>
          <w:color w:val="auto"/>
          <w:kern w:val="0"/>
        </w:rPr>
        <w:t>ρ</w:t>
      </w:r>
      <w:r>
        <w:rPr>
          <w:rFonts w:hint="eastAsia"/>
          <w:color w:val="auto"/>
          <w:kern w:val="0"/>
          <w:lang w:val="en-US" w:eastAsia="zh-CN"/>
        </w:rPr>
        <w:t xml:space="preserve">=1.42 </w:t>
      </w:r>
      <w:r>
        <w:rPr>
          <w:rFonts w:hint="eastAsia"/>
          <w:color w:val="auto"/>
          <w:kern w:val="0"/>
        </w:rPr>
        <w:t>g/mL</w:t>
      </w:r>
      <w:r>
        <w:rPr>
          <w:rFonts w:hint="eastAsia"/>
          <w:bCs/>
          <w:color w:val="auto"/>
        </w:rPr>
        <w:t>）</w:t>
      </w:r>
      <w:r>
        <w:rPr>
          <w:rFonts w:hint="eastAsia"/>
          <w:bCs/>
          <w:color w:val="auto"/>
          <w:lang w:eastAsia="zh-CN"/>
        </w:rPr>
        <w:t>。</w:t>
      </w:r>
    </w:p>
    <w:p>
      <w:pPr>
        <w:rPr>
          <w:rFonts w:hint="eastAsia"/>
          <w:bCs/>
          <w:color w:val="auto"/>
          <w:lang w:eastAsia="zh-CN"/>
        </w:rPr>
      </w:pPr>
      <w:r>
        <w:rPr>
          <w:rFonts w:hint="eastAsia" w:ascii="黑体" w:hAnsi="黑体" w:eastAsia="黑体" w:cs="黑体"/>
          <w:bCs/>
          <w:color w:val="auto"/>
          <w:lang w:val="en-US" w:eastAsia="zh-CN"/>
        </w:rPr>
        <w:t>3.2</w:t>
      </w:r>
      <w:r>
        <w:rPr>
          <w:rFonts w:hint="eastAsia"/>
          <w:bCs/>
          <w:color w:val="auto"/>
          <w:lang w:val="en-US" w:eastAsia="zh-CN"/>
        </w:rPr>
        <w:t xml:space="preserve"> 盐酸</w:t>
      </w:r>
      <w:r>
        <w:rPr>
          <w:rFonts w:hint="eastAsia"/>
          <w:bCs/>
          <w:color w:val="auto"/>
        </w:rPr>
        <w:t>（</w:t>
      </w:r>
      <w:r>
        <w:rPr>
          <w:color w:val="auto"/>
          <w:kern w:val="0"/>
        </w:rPr>
        <w:t>ρ</w:t>
      </w:r>
      <w:r>
        <w:rPr>
          <w:rFonts w:hint="eastAsia"/>
          <w:color w:val="auto"/>
          <w:kern w:val="0"/>
          <w:lang w:val="en-US" w:eastAsia="zh-CN"/>
        </w:rPr>
        <w:t>=1</w:t>
      </w:r>
      <w:r>
        <w:rPr>
          <w:rFonts w:hint="eastAsia"/>
          <w:color w:val="auto"/>
          <w:kern w:val="0"/>
        </w:rPr>
        <w:t>.</w:t>
      </w:r>
      <w:r>
        <w:rPr>
          <w:rFonts w:hint="eastAsia"/>
          <w:color w:val="auto"/>
          <w:kern w:val="0"/>
          <w:lang w:val="en-US" w:eastAsia="zh-CN"/>
        </w:rPr>
        <w:t>17</w:t>
      </w:r>
      <w:r>
        <w:rPr>
          <w:rFonts w:hint="eastAsia"/>
          <w:color w:val="auto"/>
          <w:kern w:val="0"/>
        </w:rPr>
        <w:t xml:space="preserve"> g/mL</w:t>
      </w:r>
      <w:r>
        <w:rPr>
          <w:rFonts w:hint="eastAsia"/>
          <w:bCs/>
          <w:color w:val="auto"/>
        </w:rPr>
        <w:t>）</w:t>
      </w:r>
      <w:r>
        <w:rPr>
          <w:rFonts w:hint="eastAsia"/>
          <w:bCs/>
          <w:color w:val="auto"/>
          <w:lang w:eastAsia="zh-CN"/>
        </w:rPr>
        <w:t>。</w:t>
      </w:r>
    </w:p>
    <w:p>
      <w:pPr>
        <w:rPr>
          <w:rFonts w:hint="eastAsia"/>
          <w:bCs/>
          <w:color w:val="auto"/>
          <w:lang w:val="en-US" w:eastAsia="zh-CN"/>
        </w:rPr>
      </w:pPr>
      <w:r>
        <w:rPr>
          <w:rFonts w:hint="eastAsia" w:ascii="黑体" w:hAnsi="黑体" w:eastAsia="黑体" w:cs="黑体"/>
          <w:bCs/>
          <w:color w:val="auto"/>
          <w:lang w:val="en-US" w:eastAsia="zh-CN"/>
        </w:rPr>
        <w:t>3.3</w:t>
      </w:r>
      <w:r>
        <w:rPr>
          <w:rFonts w:hint="eastAsia"/>
          <w:bCs/>
          <w:color w:val="auto"/>
          <w:lang w:val="en-US" w:eastAsia="zh-CN"/>
        </w:rPr>
        <w:t xml:space="preserve"> 混合标准溶液：钯、铑、铱、钌、铝、镁、金、银、锡、铋、锌、锰、铅、铜、镍、铬、铁混合标准溶液，此溶液1 mL含50 ug上述元素。</w:t>
      </w:r>
    </w:p>
    <w:p>
      <w:pPr>
        <w:rPr>
          <w:rFonts w:hint="eastAsia"/>
          <w:bCs/>
          <w:color w:val="auto"/>
          <w:lang w:val="en-US" w:eastAsia="zh-CN"/>
        </w:rPr>
      </w:pPr>
      <w:r>
        <w:rPr>
          <w:rFonts w:hint="eastAsia" w:ascii="黑体" w:hAnsi="黑体" w:eastAsia="黑体" w:cs="黑体"/>
          <w:bCs/>
          <w:color w:val="auto"/>
          <w:lang w:val="en-US" w:eastAsia="zh-CN"/>
        </w:rPr>
        <w:t>3.4</w:t>
      </w:r>
      <w:r>
        <w:rPr>
          <w:rFonts w:hint="eastAsia"/>
          <w:bCs/>
          <w:color w:val="auto"/>
          <w:lang w:val="en-US" w:eastAsia="zh-CN"/>
        </w:rPr>
        <w:t xml:space="preserve"> 硅标准溶液：1 mL含100 ug硅。</w:t>
      </w:r>
    </w:p>
    <w:p>
      <w:pPr>
        <w:rPr>
          <w:rFonts w:hint="eastAsia"/>
          <w:bCs/>
          <w:color w:val="auto"/>
        </w:rPr>
      </w:pPr>
      <w:r>
        <w:rPr>
          <w:rFonts w:hint="eastAsia" w:ascii="黑体" w:hAnsi="黑体" w:eastAsia="黑体" w:cs="黑体"/>
          <w:bCs/>
          <w:color w:val="auto"/>
          <w:lang w:val="en-US" w:eastAsia="zh-CN"/>
        </w:rPr>
        <w:t>3.5</w:t>
      </w:r>
      <w:r>
        <w:rPr>
          <w:rFonts w:hint="eastAsia"/>
          <w:bCs/>
          <w:color w:val="auto"/>
          <w:lang w:val="en-US" w:eastAsia="zh-CN"/>
        </w:rPr>
        <w:t xml:space="preserve"> </w:t>
      </w:r>
      <w:r>
        <w:rPr>
          <w:color w:val="auto"/>
          <w:kern w:val="0"/>
        </w:rPr>
        <w:t>氩气</w:t>
      </w:r>
      <w:r>
        <w:rPr>
          <w:color w:val="auto"/>
        </w:rPr>
        <w:t>（质量分数≥99.99%</w:t>
      </w:r>
      <w:r>
        <w:rPr>
          <w:rFonts w:hint="eastAsia"/>
          <w:bCs/>
          <w:color w:val="auto"/>
        </w:rPr>
        <w:t>）。</w:t>
      </w:r>
    </w:p>
    <w:p>
      <w:pPr>
        <w:pStyle w:val="46"/>
        <w:spacing w:beforeLines="100" w:afterLines="100"/>
        <w:rPr>
          <w:rFonts w:eastAsia="宋体"/>
          <w:color w:val="auto"/>
        </w:rPr>
      </w:pPr>
      <w:r>
        <w:rPr>
          <w:rFonts w:hint="eastAsia" w:hAnsi="黑体"/>
          <w:bCs/>
          <w:color w:val="auto"/>
        </w:rPr>
        <w:t>4 仪器</w:t>
      </w:r>
    </w:p>
    <w:p>
      <w:pPr>
        <w:autoSpaceDE w:val="0"/>
        <w:autoSpaceDN w:val="0"/>
        <w:ind w:firstLine="420" w:firstLineChars="0"/>
        <w:rPr>
          <w:color w:val="auto"/>
          <w:kern w:val="0"/>
          <w:lang w:val="zh-CN"/>
        </w:rPr>
      </w:pPr>
      <w:r>
        <w:rPr>
          <w:color w:val="auto"/>
          <w:kern w:val="0"/>
          <w:lang w:val="zh-CN"/>
        </w:rPr>
        <w:t>电感耦合等离子体原子发射光谱仪。在仪器最佳工作条件下</w:t>
      </w:r>
      <w:r>
        <w:rPr>
          <w:rFonts w:hint="eastAsia"/>
          <w:color w:val="auto"/>
          <w:kern w:val="0"/>
          <w:lang w:val="zh-CN"/>
        </w:rPr>
        <w:t>，</w:t>
      </w:r>
      <w:r>
        <w:rPr>
          <w:color w:val="auto"/>
          <w:kern w:val="0"/>
          <w:lang w:val="zh-CN"/>
        </w:rPr>
        <w:t>凡是能达到下列指标者均可使用</w:t>
      </w:r>
      <w:r>
        <w:rPr>
          <w:rFonts w:hint="eastAsia"/>
          <w:color w:val="auto"/>
          <w:kern w:val="0"/>
          <w:lang w:val="zh-CN"/>
        </w:rPr>
        <w:t>。</w:t>
      </w:r>
    </w:p>
    <w:p>
      <w:pPr>
        <w:autoSpaceDE w:val="0"/>
        <w:autoSpaceDN w:val="0"/>
        <w:ind w:firstLine="420"/>
        <w:rPr>
          <w:color w:val="auto"/>
          <w:kern w:val="0"/>
          <w:lang w:val="zh-CN"/>
        </w:rPr>
      </w:pPr>
      <w:r>
        <w:rPr>
          <w:color w:val="auto"/>
        </w:rPr>
        <w:t>——</w:t>
      </w:r>
      <w:r>
        <w:rPr>
          <w:color w:val="auto"/>
          <w:kern w:val="0"/>
          <w:lang w:val="zh-CN"/>
        </w:rPr>
        <w:t>光源：氩</w:t>
      </w:r>
      <w:r>
        <w:rPr>
          <w:rFonts w:hint="eastAsia"/>
          <w:color w:val="auto"/>
          <w:kern w:val="0"/>
          <w:lang w:val="zh-CN"/>
        </w:rPr>
        <w:t>气</w:t>
      </w:r>
      <w:r>
        <w:rPr>
          <w:color w:val="auto"/>
          <w:kern w:val="0"/>
          <w:lang w:val="zh-CN"/>
        </w:rPr>
        <w:t>等离子体光源，发生器最大输出功率不小于1.30</w:t>
      </w:r>
      <w:r>
        <w:rPr>
          <w:rFonts w:hint="eastAsia"/>
          <w:color w:val="auto"/>
          <w:kern w:val="0"/>
        </w:rPr>
        <w:t xml:space="preserve"> </w:t>
      </w:r>
      <w:r>
        <w:rPr>
          <w:color w:val="auto"/>
          <w:kern w:val="0"/>
          <w:lang w:val="zh-CN"/>
        </w:rPr>
        <w:t>kW。</w:t>
      </w:r>
    </w:p>
    <w:p>
      <w:pPr>
        <w:autoSpaceDE w:val="0"/>
        <w:autoSpaceDN w:val="0"/>
        <w:ind w:firstLine="420" w:firstLineChars="0"/>
        <w:rPr>
          <w:color w:val="auto"/>
          <w:kern w:val="0"/>
          <w:lang w:val="zh-CN"/>
        </w:rPr>
      </w:pPr>
      <w:r>
        <w:rPr>
          <w:color w:val="auto"/>
        </w:rPr>
        <w:t>——</w:t>
      </w:r>
      <w:r>
        <w:rPr>
          <w:color w:val="auto"/>
          <w:kern w:val="0"/>
          <w:lang w:val="zh-CN"/>
        </w:rPr>
        <w:t>分辨率：200</w:t>
      </w:r>
      <w:r>
        <w:rPr>
          <w:rFonts w:hint="eastAsia"/>
          <w:color w:val="auto"/>
          <w:kern w:val="0"/>
          <w:lang w:val="en-US" w:eastAsia="zh-CN"/>
        </w:rPr>
        <w:t xml:space="preserve"> </w:t>
      </w:r>
      <w:r>
        <w:rPr>
          <w:color w:val="auto"/>
          <w:kern w:val="0"/>
          <w:lang w:val="zh-CN"/>
        </w:rPr>
        <w:t>nm时光学分辨率不大于0.010</w:t>
      </w:r>
      <w:r>
        <w:rPr>
          <w:rFonts w:hint="eastAsia"/>
          <w:color w:val="auto"/>
          <w:kern w:val="0"/>
        </w:rPr>
        <w:t xml:space="preserve"> </w:t>
      </w:r>
      <w:r>
        <w:rPr>
          <w:color w:val="auto"/>
          <w:kern w:val="0"/>
          <w:lang w:val="zh-CN"/>
        </w:rPr>
        <w:t>nm；400</w:t>
      </w:r>
      <w:r>
        <w:rPr>
          <w:rFonts w:hint="eastAsia"/>
          <w:color w:val="auto"/>
          <w:kern w:val="0"/>
        </w:rPr>
        <w:t xml:space="preserve"> </w:t>
      </w:r>
      <w:r>
        <w:rPr>
          <w:color w:val="auto"/>
          <w:kern w:val="0"/>
          <w:lang w:val="zh-CN"/>
        </w:rPr>
        <w:t>nm时光学分辨率不大于0.020</w:t>
      </w:r>
      <w:r>
        <w:rPr>
          <w:rFonts w:hint="eastAsia"/>
          <w:color w:val="auto"/>
          <w:kern w:val="0"/>
        </w:rPr>
        <w:t xml:space="preserve"> </w:t>
      </w:r>
      <w:r>
        <w:rPr>
          <w:color w:val="auto"/>
          <w:kern w:val="0"/>
          <w:lang w:val="zh-CN"/>
        </w:rPr>
        <w:t>nm。</w:t>
      </w:r>
    </w:p>
    <w:p>
      <w:pPr>
        <w:autoSpaceDE w:val="0"/>
        <w:autoSpaceDN w:val="0"/>
        <w:ind w:firstLine="420" w:firstLineChars="200"/>
        <w:rPr>
          <w:rFonts w:hint="eastAsia"/>
          <w:bCs/>
          <w:color w:val="auto"/>
          <w:lang w:val="zh-CN"/>
        </w:rPr>
      </w:pPr>
      <w:r>
        <w:rPr>
          <w:color w:val="auto"/>
        </w:rPr>
        <w:t>——</w:t>
      </w:r>
      <w:r>
        <w:rPr>
          <w:color w:val="auto"/>
          <w:kern w:val="0"/>
          <w:lang w:val="zh-CN"/>
        </w:rPr>
        <w:t>仪器稳定性：</w:t>
      </w:r>
      <w:r>
        <w:rPr>
          <w:rFonts w:hint="eastAsia"/>
          <w:color w:val="auto"/>
          <w:kern w:val="0"/>
          <w:lang w:val="zh-CN"/>
        </w:rPr>
        <w:t>在仪器的最佳工作条件下，用</w:t>
      </w:r>
      <w:r>
        <w:rPr>
          <w:rFonts w:hint="eastAsia"/>
          <w:color w:val="auto"/>
          <w:kern w:val="0"/>
        </w:rPr>
        <w:t xml:space="preserve">1 </w:t>
      </w:r>
      <w:r>
        <w:rPr>
          <w:rFonts w:hint="eastAsia"/>
          <w:color w:val="auto"/>
          <w:kern w:val="0"/>
        </w:rPr>
        <w:sym w:font="Symbol" w:char="006D"/>
      </w:r>
      <w:r>
        <w:rPr>
          <w:rFonts w:hint="eastAsia"/>
          <w:color w:val="auto"/>
          <w:kern w:val="0"/>
        </w:rPr>
        <w:t>g/mL的铜标准溶液测量11次，其光强度的相对标准偏差不超过2.5%。</w:t>
      </w:r>
    </w:p>
    <w:p>
      <w:pPr>
        <w:autoSpaceDE w:val="0"/>
        <w:autoSpaceDN w:val="0"/>
        <w:spacing w:beforeLines="100" w:afterLines="100"/>
        <w:jc w:val="left"/>
        <w:rPr>
          <w:rFonts w:ascii="黑体" w:hAnsi="黑体" w:eastAsia="黑体" w:cs="黑体"/>
          <w:bCs/>
          <w:color w:val="auto"/>
          <w:kern w:val="0"/>
        </w:rPr>
      </w:pPr>
      <w:r>
        <w:rPr>
          <w:rFonts w:hint="eastAsia" w:ascii="黑体" w:hAnsi="黑体" w:eastAsia="黑体" w:cs="黑体"/>
          <w:bCs/>
          <w:color w:val="auto"/>
          <w:kern w:val="0"/>
          <w:lang w:val="en-US" w:eastAsia="zh-CN"/>
        </w:rPr>
        <w:t>5</w:t>
      </w:r>
      <w:r>
        <w:rPr>
          <w:rFonts w:hint="eastAsia" w:ascii="黑体" w:hAnsi="黑体" w:eastAsia="黑体" w:cs="黑体"/>
          <w:bCs/>
          <w:color w:val="auto"/>
          <w:kern w:val="0"/>
        </w:rPr>
        <w:t xml:space="preserve"> 试样</w:t>
      </w:r>
    </w:p>
    <w:p>
      <w:pPr>
        <w:pStyle w:val="46"/>
        <w:spacing w:beforeLines="0" w:afterLines="0"/>
        <w:ind w:firstLine="420" w:firstLineChars="200"/>
        <w:rPr>
          <w:rFonts w:ascii="宋体" w:hAnsi="宋体" w:eastAsia="宋体" w:cs="宋体"/>
          <w:color w:val="auto"/>
          <w:kern w:val="0"/>
        </w:rPr>
      </w:pPr>
      <w:r>
        <w:rPr>
          <w:rFonts w:hint="eastAsia" w:ascii="宋体" w:hAnsi="宋体" w:eastAsia="宋体" w:cs="宋体"/>
          <w:color w:val="auto"/>
          <w:kern w:val="0"/>
        </w:rPr>
        <w:t>试样密封于塑料袋或塑料瓶中，并置于干燥器中备用。</w:t>
      </w:r>
    </w:p>
    <w:p>
      <w:pPr>
        <w:pStyle w:val="46"/>
        <w:spacing w:beforeLines="100" w:afterLines="100"/>
        <w:rPr>
          <w:rFonts w:hAnsi="黑体"/>
          <w:bCs/>
          <w:color w:val="auto"/>
        </w:rPr>
      </w:pPr>
      <w:r>
        <w:rPr>
          <w:rFonts w:hint="eastAsia" w:hAnsi="黑体"/>
          <w:bCs/>
          <w:color w:val="auto"/>
          <w:lang w:val="en-US" w:eastAsia="zh-CN"/>
        </w:rPr>
        <w:t>6</w:t>
      </w:r>
      <w:r>
        <w:rPr>
          <w:rFonts w:hint="eastAsia" w:hAnsi="黑体"/>
          <w:bCs/>
          <w:color w:val="auto"/>
        </w:rPr>
        <w:t xml:space="preserve"> 分析步骤</w:t>
      </w:r>
    </w:p>
    <w:p>
      <w:pPr>
        <w:pStyle w:val="45"/>
        <w:rPr>
          <w:rFonts w:eastAsia="宋体"/>
          <w:color w:val="auto"/>
        </w:rPr>
      </w:pPr>
      <w:r>
        <w:rPr>
          <w:rFonts w:hint="eastAsia" w:eastAsia="宋体"/>
          <w:color w:val="auto"/>
          <w:lang w:val="en-US" w:eastAsia="zh-CN"/>
        </w:rPr>
        <w:t>6</w:t>
      </w:r>
      <w:r>
        <w:rPr>
          <w:rFonts w:eastAsia="宋体"/>
          <w:color w:val="auto"/>
        </w:rPr>
        <w:t xml:space="preserve">.1 </w:t>
      </w:r>
      <w:r>
        <w:rPr>
          <w:rFonts w:hint="eastAsia" w:hAnsi="黑体"/>
          <w:color w:val="auto"/>
        </w:rPr>
        <w:t>试料</w:t>
      </w:r>
    </w:p>
    <w:p>
      <w:pPr>
        <w:autoSpaceDE w:val="0"/>
        <w:autoSpaceDN w:val="0"/>
        <w:ind w:firstLine="420" w:firstLineChars="200"/>
        <w:rPr>
          <w:color w:val="auto"/>
          <w:kern w:val="0"/>
          <w:lang w:val="zh-CN"/>
        </w:rPr>
      </w:pPr>
      <w:r>
        <w:rPr>
          <w:color w:val="auto"/>
          <w:kern w:val="0"/>
          <w:lang w:val="zh-CN"/>
        </w:rPr>
        <w:t>称取</w:t>
      </w:r>
      <w:r>
        <w:rPr>
          <w:rFonts w:hint="eastAsia"/>
          <w:color w:val="auto"/>
          <w:kern w:val="0"/>
        </w:rPr>
        <w:t>2</w:t>
      </w:r>
      <w:r>
        <w:rPr>
          <w:color w:val="auto"/>
          <w:kern w:val="0"/>
          <w:lang w:val="zh-CN"/>
        </w:rPr>
        <w:t>.0</w:t>
      </w:r>
      <w:r>
        <w:rPr>
          <w:rFonts w:hint="eastAsia"/>
          <w:color w:val="auto"/>
          <w:kern w:val="0"/>
          <w:lang w:val="en-US" w:eastAsia="zh-CN"/>
        </w:rPr>
        <w:t xml:space="preserve"> </w:t>
      </w:r>
      <w:r>
        <w:rPr>
          <w:color w:val="auto"/>
          <w:kern w:val="0"/>
          <w:lang w:val="zh-CN"/>
        </w:rPr>
        <w:t>g试样，精确至0.0001</w:t>
      </w:r>
      <w:r>
        <w:rPr>
          <w:rFonts w:hint="eastAsia"/>
          <w:color w:val="auto"/>
          <w:kern w:val="0"/>
          <w:lang w:val="en-US" w:eastAsia="zh-CN"/>
        </w:rPr>
        <w:t xml:space="preserve"> </w:t>
      </w:r>
      <w:r>
        <w:rPr>
          <w:color w:val="auto"/>
          <w:kern w:val="0"/>
          <w:lang w:val="zh-CN"/>
        </w:rPr>
        <w:t>g。</w:t>
      </w:r>
    </w:p>
    <w:p>
      <w:pPr>
        <w:pStyle w:val="45"/>
        <w:rPr>
          <w:rFonts w:eastAsia="宋体"/>
          <w:color w:val="auto"/>
        </w:rPr>
      </w:pPr>
      <w:r>
        <w:rPr>
          <w:rFonts w:hint="eastAsia" w:hAnsi="黑体"/>
          <w:color w:val="auto"/>
          <w:lang w:val="en-US" w:eastAsia="zh-CN"/>
        </w:rPr>
        <w:t>6</w:t>
      </w:r>
      <w:r>
        <w:rPr>
          <w:rFonts w:hint="eastAsia" w:hAnsi="黑体"/>
          <w:color w:val="auto"/>
        </w:rPr>
        <w:t>.2 平行试验</w:t>
      </w:r>
    </w:p>
    <w:p>
      <w:pPr>
        <w:autoSpaceDE w:val="0"/>
        <w:autoSpaceDN w:val="0"/>
        <w:ind w:firstLine="435"/>
        <w:rPr>
          <w:color w:val="auto"/>
          <w:kern w:val="0"/>
          <w:lang w:val="zh-CN"/>
        </w:rPr>
      </w:pPr>
      <w:r>
        <w:rPr>
          <w:rFonts w:hint="eastAsia"/>
          <w:color w:val="auto"/>
          <w:kern w:val="0"/>
          <w:lang w:val="zh-CN"/>
        </w:rPr>
        <w:t>平行做两份试验</w:t>
      </w:r>
      <w:r>
        <w:rPr>
          <w:color w:val="auto"/>
          <w:kern w:val="0"/>
          <w:lang w:val="zh-CN"/>
        </w:rPr>
        <w:t>，取其平均值。</w:t>
      </w:r>
    </w:p>
    <w:p>
      <w:pPr>
        <w:pStyle w:val="45"/>
        <w:rPr>
          <w:rFonts w:eastAsia="宋体"/>
          <w:color w:val="auto"/>
        </w:rPr>
      </w:pPr>
      <w:r>
        <w:rPr>
          <w:rFonts w:hint="eastAsia" w:hAnsi="黑体"/>
          <w:color w:val="auto"/>
          <w:lang w:val="en-US" w:eastAsia="zh-CN"/>
        </w:rPr>
        <w:t>6</w:t>
      </w:r>
      <w:r>
        <w:rPr>
          <w:rFonts w:hint="eastAsia" w:hAnsi="黑体"/>
          <w:color w:val="auto"/>
        </w:rPr>
        <w:t>.3 测定</w:t>
      </w:r>
    </w:p>
    <w:p>
      <w:pPr>
        <w:rPr>
          <w:bCs/>
          <w:color w:val="auto"/>
          <w:lang w:val="zh-CN"/>
        </w:rPr>
      </w:pPr>
      <w:r>
        <w:rPr>
          <w:rFonts w:hint="eastAsia" w:ascii="黑体" w:hAnsi="黑体" w:eastAsia="黑体" w:cs="黑体"/>
          <w:bCs/>
          <w:color w:val="auto"/>
          <w:lang w:val="en-US" w:eastAsia="zh-CN"/>
        </w:rPr>
        <w:t>6</w:t>
      </w:r>
      <w:r>
        <w:rPr>
          <w:rFonts w:hint="eastAsia" w:ascii="黑体" w:hAnsi="黑体" w:eastAsia="黑体" w:cs="黑体"/>
          <w:bCs/>
          <w:color w:val="auto"/>
        </w:rPr>
        <w:t xml:space="preserve">.3.1 </w:t>
      </w:r>
      <w:r>
        <w:rPr>
          <w:color w:val="auto"/>
          <w:kern w:val="0"/>
        </w:rPr>
        <w:t>将</w:t>
      </w:r>
      <w:r>
        <w:rPr>
          <w:rFonts w:hint="eastAsia"/>
          <w:color w:val="auto"/>
          <w:kern w:val="0"/>
          <w:lang w:val="en-US" w:eastAsia="zh-CN"/>
        </w:rPr>
        <w:t>3</w:t>
      </w:r>
      <w:r>
        <w:rPr>
          <w:rFonts w:hint="eastAsia"/>
          <w:color w:val="auto"/>
          <w:kern w:val="0"/>
        </w:rPr>
        <w:t>0</w:t>
      </w:r>
      <w:r>
        <w:rPr>
          <w:rFonts w:hint="eastAsia"/>
          <w:color w:val="auto"/>
          <w:kern w:val="0"/>
          <w:lang w:val="en-US" w:eastAsia="zh-CN"/>
        </w:rPr>
        <w:t xml:space="preserve"> </w:t>
      </w:r>
      <w:r>
        <w:rPr>
          <w:rFonts w:hint="eastAsia"/>
          <w:color w:val="auto"/>
          <w:kern w:val="0"/>
        </w:rPr>
        <w:t>mL带盖</w:t>
      </w:r>
      <w:r>
        <w:rPr>
          <w:color w:val="auto"/>
          <w:kern w:val="0"/>
        </w:rPr>
        <w:t>瓷坩埚置于</w:t>
      </w:r>
      <w:r>
        <w:rPr>
          <w:rFonts w:hint="eastAsia"/>
          <w:color w:val="auto"/>
          <w:kern w:val="0"/>
        </w:rPr>
        <w:t>马弗炉</w:t>
      </w:r>
      <w:r>
        <w:rPr>
          <w:rFonts w:hint="eastAsia"/>
          <w:color w:val="auto"/>
          <w:kern w:val="0"/>
          <w:lang w:eastAsia="zh-CN"/>
        </w:rPr>
        <w:t>（</w:t>
      </w:r>
      <w:r>
        <w:rPr>
          <w:rFonts w:hint="eastAsia"/>
          <w:color w:val="auto"/>
          <w:kern w:val="0"/>
          <w:lang w:val="en-US" w:eastAsia="zh-CN"/>
        </w:rPr>
        <w:t>4.1</w:t>
      </w:r>
      <w:r>
        <w:rPr>
          <w:rFonts w:hint="eastAsia"/>
          <w:color w:val="auto"/>
          <w:kern w:val="0"/>
          <w:lang w:eastAsia="zh-CN"/>
        </w:rPr>
        <w:t>）</w:t>
      </w:r>
      <w:r>
        <w:rPr>
          <w:color w:val="auto"/>
          <w:kern w:val="0"/>
        </w:rPr>
        <w:t>中，控制温度于800℃灼烧30</w:t>
      </w:r>
      <w:r>
        <w:rPr>
          <w:rFonts w:hint="eastAsia"/>
          <w:color w:val="auto"/>
          <w:kern w:val="0"/>
          <w:lang w:val="en-US" w:eastAsia="zh-CN"/>
        </w:rPr>
        <w:t xml:space="preserve"> min</w:t>
      </w:r>
      <w:r>
        <w:rPr>
          <w:color w:val="auto"/>
          <w:kern w:val="0"/>
        </w:rPr>
        <w:t>。取出稍冷，置于干燥器中，冷却至室温，称量，重复</w:t>
      </w:r>
      <w:r>
        <w:rPr>
          <w:rFonts w:hint="eastAsia"/>
          <w:color w:val="auto"/>
          <w:kern w:val="0"/>
        </w:rPr>
        <w:t>以上步骤</w:t>
      </w:r>
      <w:r>
        <w:rPr>
          <w:color w:val="auto"/>
          <w:kern w:val="0"/>
        </w:rPr>
        <w:t>至恒重</w:t>
      </w:r>
      <w:r>
        <w:rPr>
          <w:color w:val="auto"/>
          <w:kern w:val="0"/>
          <w:szCs w:val="21"/>
          <w:highlight w:val="none"/>
        </w:rPr>
        <w:t>（两次称量</w:t>
      </w:r>
      <w:r>
        <w:rPr>
          <w:rFonts w:hint="eastAsia"/>
          <w:color w:val="auto"/>
          <w:kern w:val="0"/>
          <w:szCs w:val="21"/>
          <w:highlight w:val="none"/>
          <w:lang w:eastAsia="zh-CN"/>
        </w:rPr>
        <w:t>的</w:t>
      </w:r>
      <w:r>
        <w:rPr>
          <w:color w:val="auto"/>
          <w:kern w:val="0"/>
          <w:szCs w:val="21"/>
          <w:highlight w:val="none"/>
        </w:rPr>
        <w:t>质量差</w:t>
      </w:r>
      <w:r>
        <w:rPr>
          <w:rFonts w:hint="eastAsia"/>
          <w:color w:val="auto"/>
          <w:kern w:val="0"/>
          <w:szCs w:val="21"/>
          <w:highlight w:val="none"/>
          <w:lang w:eastAsia="zh-CN"/>
        </w:rPr>
        <w:t>小于</w:t>
      </w:r>
      <w:r>
        <w:rPr>
          <w:color w:val="auto"/>
          <w:kern w:val="0"/>
          <w:szCs w:val="21"/>
          <w:highlight w:val="none"/>
        </w:rPr>
        <w:t>0.0005</w:t>
      </w:r>
      <w:r>
        <w:rPr>
          <w:rFonts w:hint="eastAsia"/>
          <w:color w:val="auto"/>
          <w:kern w:val="0"/>
          <w:szCs w:val="21"/>
          <w:highlight w:val="none"/>
          <w:lang w:val="en-US" w:eastAsia="zh-CN"/>
        </w:rPr>
        <w:t xml:space="preserve"> </w:t>
      </w:r>
      <w:r>
        <w:rPr>
          <w:color w:val="auto"/>
          <w:kern w:val="0"/>
          <w:szCs w:val="21"/>
          <w:highlight w:val="none"/>
        </w:rPr>
        <w:t>g）</w:t>
      </w:r>
      <w:r>
        <w:rPr>
          <w:rFonts w:hint="eastAsia" w:ascii="宋体" w:hAnsi="宋体"/>
          <w:color w:val="auto"/>
          <w:kern w:val="0"/>
        </w:rPr>
        <w:t>。</w:t>
      </w:r>
    </w:p>
    <w:p>
      <w:pPr>
        <w:rPr>
          <w:rFonts w:ascii="黑体" w:hAnsi="黑体" w:eastAsia="黑体" w:cs="黑体"/>
          <w:bCs/>
          <w:color w:val="auto"/>
        </w:rPr>
      </w:pPr>
      <w:r>
        <w:rPr>
          <w:rFonts w:hint="eastAsia" w:ascii="黑体" w:hAnsi="黑体" w:eastAsia="黑体" w:cs="黑体"/>
          <w:bCs/>
          <w:color w:val="auto"/>
          <w:lang w:val="en-US" w:eastAsia="zh-CN"/>
        </w:rPr>
        <w:t>6</w:t>
      </w:r>
      <w:r>
        <w:rPr>
          <w:rFonts w:hint="eastAsia" w:ascii="黑体" w:hAnsi="黑体" w:eastAsia="黑体" w:cs="黑体"/>
          <w:bCs/>
          <w:color w:val="auto"/>
        </w:rPr>
        <w:t xml:space="preserve">.3.2 </w:t>
      </w:r>
      <w:r>
        <w:rPr>
          <w:color w:val="auto"/>
          <w:kern w:val="0"/>
        </w:rPr>
        <w:t>将试料（</w:t>
      </w:r>
      <w:r>
        <w:rPr>
          <w:rFonts w:hint="eastAsia"/>
          <w:color w:val="auto"/>
          <w:kern w:val="0"/>
          <w:lang w:val="en-US" w:eastAsia="zh-CN"/>
        </w:rPr>
        <w:t>6</w:t>
      </w:r>
      <w:r>
        <w:rPr>
          <w:color w:val="auto"/>
          <w:kern w:val="0"/>
        </w:rPr>
        <w:t>.1）</w:t>
      </w:r>
      <w:r>
        <w:rPr>
          <w:rFonts w:hint="eastAsia"/>
          <w:color w:val="auto"/>
          <w:kern w:val="0"/>
        </w:rPr>
        <w:t>置入已恒重的瓷坩埚中</w:t>
      </w:r>
      <w:r>
        <w:rPr>
          <w:color w:val="auto"/>
          <w:kern w:val="0"/>
        </w:rPr>
        <w:t>，</w:t>
      </w:r>
      <w:r>
        <w:rPr>
          <w:rFonts w:hint="eastAsia"/>
          <w:color w:val="auto"/>
          <w:kern w:val="0"/>
        </w:rPr>
        <w:t>将瓷坩埚置于马弗炉（</w:t>
      </w:r>
      <w:r>
        <w:rPr>
          <w:rFonts w:hint="eastAsia"/>
          <w:color w:val="auto"/>
          <w:kern w:val="0"/>
          <w:lang w:val="en-US" w:eastAsia="zh-CN"/>
        </w:rPr>
        <w:t>4.1</w:t>
      </w:r>
      <w:r>
        <w:rPr>
          <w:rFonts w:hint="eastAsia"/>
          <w:color w:val="auto"/>
          <w:kern w:val="0"/>
        </w:rPr>
        <w:t>）中，加盖（留有缝隙），</w:t>
      </w:r>
      <w:r>
        <w:rPr>
          <w:rFonts w:hint="eastAsia"/>
          <w:bCs/>
          <w:color w:val="auto"/>
          <w:lang w:val="zh-CN"/>
        </w:rPr>
        <w:t>按照表</w:t>
      </w:r>
      <w:r>
        <w:rPr>
          <w:rFonts w:hint="eastAsia"/>
          <w:bCs/>
          <w:color w:val="auto"/>
        </w:rPr>
        <w:t>1灼烧升温程序进行灼烧</w:t>
      </w:r>
      <w:r>
        <w:rPr>
          <w:color w:val="auto"/>
          <w:kern w:val="0"/>
        </w:rPr>
        <w:t>。</w:t>
      </w:r>
    </w:p>
    <w:p>
      <w:pPr>
        <w:rPr>
          <w:color w:val="auto"/>
          <w:kern w:val="0"/>
        </w:rPr>
      </w:pPr>
      <w:r>
        <w:rPr>
          <w:rFonts w:hint="eastAsia" w:ascii="黑体" w:hAnsi="黑体" w:eastAsia="黑体" w:cs="黑体"/>
          <w:bCs/>
          <w:color w:val="auto"/>
          <w:lang w:val="en-US" w:eastAsia="zh-CN"/>
        </w:rPr>
        <w:t>6</w:t>
      </w:r>
      <w:r>
        <w:rPr>
          <w:rFonts w:hint="eastAsia" w:ascii="黑体" w:hAnsi="黑体" w:eastAsia="黑体" w:cs="黑体"/>
          <w:bCs/>
          <w:color w:val="auto"/>
        </w:rPr>
        <w:t xml:space="preserve">.3.3 </w:t>
      </w:r>
      <w:r>
        <w:rPr>
          <w:color w:val="auto"/>
          <w:kern w:val="0"/>
        </w:rPr>
        <w:t>取出稍冷，</w:t>
      </w:r>
      <w:r>
        <w:rPr>
          <w:rFonts w:hint="eastAsia"/>
          <w:color w:val="auto"/>
          <w:kern w:val="0"/>
        </w:rPr>
        <w:t>加盖</w:t>
      </w:r>
      <w:r>
        <w:rPr>
          <w:color w:val="auto"/>
          <w:kern w:val="0"/>
        </w:rPr>
        <w:t>置于干燥器中，冷却至室温，</w:t>
      </w:r>
      <w:r>
        <w:rPr>
          <w:rFonts w:hint="eastAsia"/>
          <w:color w:val="auto"/>
          <w:kern w:val="0"/>
        </w:rPr>
        <w:t>重复</w:t>
      </w:r>
      <w:r>
        <w:rPr>
          <w:color w:val="auto"/>
          <w:kern w:val="0"/>
        </w:rPr>
        <w:t>称</w:t>
      </w:r>
      <w:r>
        <w:rPr>
          <w:rFonts w:hint="eastAsia"/>
          <w:color w:val="auto"/>
          <w:kern w:val="0"/>
        </w:rPr>
        <w:t>量至恒重</w:t>
      </w:r>
      <w:r>
        <w:rPr>
          <w:color w:val="auto"/>
          <w:kern w:val="0"/>
          <w:szCs w:val="21"/>
          <w:highlight w:val="none"/>
        </w:rPr>
        <w:t>（两次称量</w:t>
      </w:r>
      <w:r>
        <w:rPr>
          <w:rFonts w:hint="eastAsia"/>
          <w:color w:val="auto"/>
          <w:kern w:val="0"/>
          <w:szCs w:val="21"/>
          <w:highlight w:val="none"/>
          <w:lang w:eastAsia="zh-CN"/>
        </w:rPr>
        <w:t>的</w:t>
      </w:r>
      <w:r>
        <w:rPr>
          <w:color w:val="auto"/>
          <w:kern w:val="0"/>
          <w:szCs w:val="21"/>
          <w:highlight w:val="none"/>
        </w:rPr>
        <w:t>质量差</w:t>
      </w:r>
      <w:r>
        <w:rPr>
          <w:rFonts w:hint="eastAsia"/>
          <w:color w:val="auto"/>
          <w:kern w:val="0"/>
          <w:szCs w:val="21"/>
          <w:highlight w:val="none"/>
          <w:lang w:eastAsia="zh-CN"/>
        </w:rPr>
        <w:t>小于</w:t>
      </w:r>
      <w:r>
        <w:rPr>
          <w:color w:val="auto"/>
          <w:kern w:val="0"/>
          <w:szCs w:val="21"/>
          <w:highlight w:val="none"/>
        </w:rPr>
        <w:t>0.0005</w:t>
      </w:r>
      <w:r>
        <w:rPr>
          <w:rFonts w:hint="eastAsia"/>
          <w:color w:val="auto"/>
          <w:kern w:val="0"/>
          <w:szCs w:val="21"/>
          <w:highlight w:val="none"/>
          <w:lang w:val="en-US" w:eastAsia="zh-CN"/>
        </w:rPr>
        <w:t xml:space="preserve"> </w:t>
      </w:r>
      <w:r>
        <w:rPr>
          <w:color w:val="auto"/>
          <w:kern w:val="0"/>
          <w:szCs w:val="21"/>
          <w:highlight w:val="none"/>
        </w:rPr>
        <w:t>g）</w:t>
      </w:r>
      <w:r>
        <w:rPr>
          <w:color w:val="auto"/>
          <w:kern w:val="0"/>
        </w:rPr>
        <w:t>。</w:t>
      </w:r>
    </w:p>
    <w:p>
      <w:pPr>
        <w:rPr>
          <w:rFonts w:hint="eastAsia" w:ascii="Times New Roman" w:hAnsi="Times New Roman" w:cs="Times New Roman"/>
          <w:color w:val="auto"/>
          <w:kern w:val="0"/>
          <w:lang w:val="en-US" w:eastAsia="zh-CN"/>
        </w:rPr>
      </w:pPr>
      <w:r>
        <w:rPr>
          <w:rFonts w:hint="eastAsia" w:ascii="黑体" w:hAnsi="黑体" w:eastAsia="黑体" w:cs="黑体"/>
          <w:bCs/>
          <w:color w:val="auto"/>
          <w:lang w:val="en-US" w:eastAsia="zh-CN"/>
        </w:rPr>
        <w:t xml:space="preserve">6.3.4 </w:t>
      </w:r>
      <w:r>
        <w:rPr>
          <w:rFonts w:hint="eastAsia" w:ascii="Times New Roman" w:hAnsi="Times New Roman" w:cs="Times New Roman"/>
          <w:color w:val="auto"/>
          <w:kern w:val="0"/>
          <w:lang w:val="en-US" w:eastAsia="zh-CN"/>
        </w:rPr>
        <w:t>灼烧海绵铂纯度测定</w:t>
      </w:r>
    </w:p>
    <w:p>
      <w:pPr>
        <w:rPr>
          <w:rFonts w:hint="eastAsia"/>
          <w:bCs/>
          <w:color w:val="auto"/>
          <w:lang w:val="en-US" w:eastAsia="zh-CN"/>
        </w:rPr>
      </w:pPr>
      <w:r>
        <w:rPr>
          <w:rFonts w:hint="eastAsia" w:ascii="黑体" w:hAnsi="黑体" w:eastAsia="黑体" w:cs="黑体"/>
          <w:bCs/>
          <w:color w:val="auto"/>
          <w:lang w:val="en-US" w:eastAsia="zh-CN"/>
        </w:rPr>
        <w:t>6.3.4.1</w:t>
      </w:r>
      <w:r>
        <w:rPr>
          <w:rFonts w:hint="eastAsia"/>
          <w:bCs/>
          <w:color w:val="auto"/>
          <w:lang w:val="en-US" w:eastAsia="zh-CN"/>
        </w:rPr>
        <w:t xml:space="preserve"> 称取两份各1.0 g恒重后的海绵铂，置于300 mL聚四氟乙烯烧杯中，加入18 mL盐酸（3.2）与6 mL硝酸（3.1），盖上表面皿，低温溶解至完全。取下，冷却至室温，转入100 mL容量瓶中，用水稀释至刻度，摇匀待测，随同试料做空白试验。</w:t>
      </w:r>
    </w:p>
    <w:p>
      <w:pPr>
        <w:rPr>
          <w:rFonts w:hint="default"/>
          <w:bCs/>
          <w:color w:val="auto"/>
          <w:lang w:val="en-US" w:eastAsia="zh-CN"/>
        </w:rPr>
      </w:pPr>
      <w:r>
        <w:rPr>
          <w:rFonts w:hint="eastAsia" w:ascii="黑体" w:hAnsi="黑体" w:eastAsia="黑体" w:cs="黑体"/>
          <w:bCs/>
          <w:color w:val="auto"/>
          <w:lang w:val="en-US" w:eastAsia="zh-CN"/>
        </w:rPr>
        <w:t>6.3.4.2</w:t>
      </w:r>
      <w:r>
        <w:rPr>
          <w:rFonts w:hint="eastAsia"/>
          <w:bCs/>
          <w:color w:val="auto"/>
          <w:lang w:val="en-US" w:eastAsia="zh-CN"/>
        </w:rPr>
        <w:t xml:space="preserve"> 分别移取0 mL、0.10 mL、0.50 mL、1.00 mL、5.00 mL、10.00 mL混合标准溶液（3.3）于一组100 mL容量瓶内，各加入10 mL盐酸（3.2），用水稀释至刻度，摇匀，此标准系列溶液1 mL含钯、铑、铱、钌、铝、镁、金、银、锡、铋、锌、锰、铅、铜、镍、铬、铁依次为0 ug、0.05 ug、0.25 ug、0.50 ug、2.50 ug、5.00 ug；分别移取0 mL、0.10 mL、0.50 mL、1.00 mL、5.00 mL、10.00 mL硅标准溶液（3.4）于一组100 mL塑料容量瓶内，各加入10 mL盐酸（3.2），用水稀释至刻度，摇匀，此标准系列溶液1 mL含硅依次为0 ug、0.10 ug、0.50 ug、1.00 ug、5.00 ug、10.00 ug。</w:t>
      </w:r>
    </w:p>
    <w:p>
      <w:pPr>
        <w:rPr>
          <w:rFonts w:hint="eastAsia"/>
          <w:bCs/>
          <w:color w:val="auto"/>
          <w:kern w:val="0"/>
          <w:lang w:val="zh-CN"/>
        </w:rPr>
      </w:pPr>
      <w:r>
        <w:rPr>
          <w:rFonts w:hint="eastAsia" w:ascii="黑体" w:hAnsi="黑体" w:eastAsia="黑体" w:cs="黑体"/>
          <w:bCs/>
          <w:color w:val="auto"/>
          <w:lang w:val="en-US" w:eastAsia="zh-CN"/>
        </w:rPr>
        <w:t xml:space="preserve">6.3.4.3 </w:t>
      </w:r>
      <w:r>
        <w:rPr>
          <w:rFonts w:hint="eastAsia"/>
          <w:bCs/>
          <w:color w:val="auto"/>
          <w:lang w:val="en-US" w:eastAsia="zh-CN"/>
        </w:rPr>
        <w:t>于电感耦合等离子体原子发射光谱仪上，在推荐的仪器工作条件（表2）与波长（表3）下，先用配制好的系列标准溶液（6.3.4.2）进行标准化，各杂质元素工作曲线相关系数不得小于0.999，再</w:t>
      </w:r>
      <w:r>
        <w:rPr>
          <w:rFonts w:hint="eastAsia" w:hAnsi="宋体"/>
          <w:color w:val="auto"/>
          <w:kern w:val="0"/>
        </w:rPr>
        <w:t>测定</w:t>
      </w:r>
      <w:r>
        <w:rPr>
          <w:rFonts w:hint="eastAsia" w:hAnsi="宋体"/>
          <w:color w:val="auto"/>
          <w:kern w:val="0"/>
          <w:lang w:eastAsia="zh-CN"/>
        </w:rPr>
        <w:t>分析试液（</w:t>
      </w:r>
      <w:r>
        <w:rPr>
          <w:rFonts w:hint="eastAsia" w:hAnsi="宋体"/>
          <w:color w:val="auto"/>
          <w:kern w:val="0"/>
          <w:lang w:val="en-US" w:eastAsia="zh-CN"/>
        </w:rPr>
        <w:t>6.3.4.1</w:t>
      </w:r>
      <w:r>
        <w:rPr>
          <w:rFonts w:hint="eastAsia" w:hAnsi="宋体"/>
          <w:color w:val="auto"/>
          <w:kern w:val="0"/>
          <w:lang w:eastAsia="zh-CN"/>
        </w:rPr>
        <w:t>）和</w:t>
      </w:r>
      <w:r>
        <w:rPr>
          <w:rFonts w:hint="eastAsia"/>
          <w:bCs/>
          <w:color w:val="auto"/>
          <w:kern w:val="0"/>
          <w:lang w:val="zh-CN"/>
        </w:rPr>
        <w:t>空白溶液（</w:t>
      </w:r>
      <w:r>
        <w:rPr>
          <w:rFonts w:hint="eastAsia"/>
          <w:bCs/>
          <w:color w:val="auto"/>
          <w:kern w:val="0"/>
          <w:lang w:val="en-US" w:eastAsia="zh-CN"/>
        </w:rPr>
        <w:t>6.3.4.1</w:t>
      </w:r>
      <w:r>
        <w:rPr>
          <w:rFonts w:hint="eastAsia"/>
          <w:bCs/>
          <w:color w:val="auto"/>
          <w:kern w:val="0"/>
          <w:lang w:val="zh-CN"/>
        </w:rPr>
        <w:t>）。仪器根据工作曲线，自动进行数据处理，输出各杂质元素质量浓度，计算海绵铂纯度（海绵铂纯度为</w:t>
      </w:r>
      <w:r>
        <w:rPr>
          <w:rFonts w:hint="eastAsia"/>
          <w:bCs/>
          <w:color w:val="auto"/>
          <w:kern w:val="0"/>
          <w:lang w:val="en-US" w:eastAsia="zh-CN"/>
        </w:rPr>
        <w:t>100%减去各杂质元素实测总和的余量</w:t>
      </w:r>
      <w:r>
        <w:rPr>
          <w:rFonts w:hint="eastAsia"/>
          <w:bCs/>
          <w:color w:val="auto"/>
          <w:kern w:val="0"/>
          <w:lang w:val="zh-CN"/>
        </w:rPr>
        <w:t>）。</w:t>
      </w:r>
    </w:p>
    <w:p>
      <w:pPr>
        <w:spacing w:line="360" w:lineRule="auto"/>
        <w:jc w:val="center"/>
        <w:rPr>
          <w:bCs/>
          <w:color w:val="auto"/>
        </w:rPr>
      </w:pPr>
      <w:r>
        <w:rPr>
          <w:rFonts w:hint="eastAsia" w:ascii="黑体" w:hAnsi="黑体" w:eastAsia="黑体" w:cs="黑体"/>
          <w:bCs/>
          <w:color w:val="auto"/>
          <w:kern w:val="0"/>
          <w:lang w:val="zh-CN" w:eastAsia="zh-CN"/>
        </w:rPr>
        <w:t>表</w:t>
      </w:r>
      <w:r>
        <w:rPr>
          <w:rFonts w:hint="eastAsia" w:ascii="黑体" w:hAnsi="黑体" w:eastAsia="黑体" w:cs="黑体"/>
          <w:bCs/>
          <w:color w:val="auto"/>
          <w:kern w:val="0"/>
          <w:lang w:val="en-US" w:eastAsia="zh-CN"/>
        </w:rPr>
        <w:t>1 灼烧升温程序</w:t>
      </w:r>
    </w:p>
    <w:tbl>
      <w:tblPr>
        <w:tblStyle w:val="31"/>
        <w:tblW w:w="9197" w:type="dxa"/>
        <w:jc w:val="center"/>
        <w:tblInd w:w="-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2"/>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4662"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温度℃</w:t>
            </w:r>
          </w:p>
        </w:tc>
        <w:tc>
          <w:tcPr>
            <w:tcW w:w="453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时间min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4662"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室温～200</w:t>
            </w:r>
          </w:p>
        </w:tc>
        <w:tc>
          <w:tcPr>
            <w:tcW w:w="453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4662"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200～400</w:t>
            </w:r>
          </w:p>
        </w:tc>
        <w:tc>
          <w:tcPr>
            <w:tcW w:w="453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4662"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400</w:t>
            </w:r>
          </w:p>
        </w:tc>
        <w:tc>
          <w:tcPr>
            <w:tcW w:w="453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4662"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400～800</w:t>
            </w:r>
          </w:p>
        </w:tc>
        <w:tc>
          <w:tcPr>
            <w:tcW w:w="453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4662"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800</w:t>
            </w:r>
          </w:p>
        </w:tc>
        <w:tc>
          <w:tcPr>
            <w:tcW w:w="453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30</w:t>
            </w:r>
          </w:p>
        </w:tc>
      </w:tr>
    </w:tbl>
    <w:p>
      <w:pPr>
        <w:jc w:val="center"/>
        <w:rPr>
          <w:rFonts w:hint="eastAsia"/>
          <w:bCs/>
          <w:color w:val="auto"/>
          <w:kern w:val="0"/>
          <w:lang w:val="en-US" w:eastAsia="zh-CN"/>
        </w:rPr>
      </w:pPr>
    </w:p>
    <w:p>
      <w:pPr>
        <w:jc w:val="center"/>
        <w:rPr>
          <w:rFonts w:hint="eastAsia" w:ascii="黑体" w:hAnsi="黑体" w:eastAsia="黑体" w:cs="黑体"/>
          <w:bCs/>
          <w:color w:val="auto"/>
          <w:kern w:val="0"/>
          <w:lang w:val="en-US" w:eastAsia="zh-CN"/>
        </w:rPr>
      </w:pPr>
      <w:r>
        <w:rPr>
          <w:rFonts w:hint="eastAsia" w:ascii="黑体" w:hAnsi="黑体" w:eastAsia="黑体" w:cs="黑体"/>
          <w:bCs/>
          <w:color w:val="auto"/>
          <w:kern w:val="0"/>
          <w:lang w:val="en-US" w:eastAsia="zh-CN"/>
        </w:rPr>
        <w:t>表2 推荐仪器工作条件</w:t>
      </w:r>
    </w:p>
    <w:tbl>
      <w:tblPr>
        <w:tblStyle w:val="32"/>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368"/>
        <w:gridCol w:w="1162"/>
        <w:gridCol w:w="1140"/>
        <w:gridCol w:w="1439"/>
        <w:gridCol w:w="1367"/>
        <w:gridCol w:w="1091"/>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848" w:type="dxa"/>
            <w:vAlign w:val="top"/>
          </w:tcPr>
          <w:p>
            <w:pPr>
              <w:jc w:val="center"/>
              <w:rPr>
                <w:rFonts w:hint="eastAsia"/>
                <w:bCs/>
                <w:color w:val="auto"/>
                <w:kern w:val="0"/>
                <w:sz w:val="18"/>
                <w:szCs w:val="18"/>
                <w:lang w:val="en-US" w:eastAsia="zh-CN"/>
              </w:rPr>
            </w:pPr>
            <w:r>
              <w:rPr>
                <w:rFonts w:hint="eastAsia"/>
                <w:bCs/>
                <w:color w:val="auto"/>
                <w:kern w:val="0"/>
                <w:sz w:val="18"/>
                <w:szCs w:val="18"/>
                <w:lang w:val="en-US" w:eastAsia="zh-CN"/>
              </w:rPr>
              <w:t>功率/</w:t>
            </w:r>
          </w:p>
          <w:p>
            <w:pPr>
              <w:jc w:val="center"/>
              <w:rPr>
                <w:rFonts w:hint="default"/>
                <w:bCs/>
                <w:color w:val="auto"/>
                <w:kern w:val="0"/>
                <w:sz w:val="18"/>
                <w:szCs w:val="18"/>
                <w:lang w:val="en-US" w:eastAsia="zh-CN"/>
              </w:rPr>
            </w:pPr>
            <w:r>
              <w:rPr>
                <w:rFonts w:hint="eastAsia"/>
                <w:bCs/>
                <w:color w:val="auto"/>
                <w:kern w:val="0"/>
                <w:sz w:val="18"/>
                <w:szCs w:val="18"/>
                <w:lang w:val="en-US" w:eastAsia="zh-CN"/>
              </w:rPr>
              <w:t>W</w:t>
            </w:r>
          </w:p>
        </w:tc>
        <w:tc>
          <w:tcPr>
            <w:tcW w:w="1368" w:type="dxa"/>
            <w:vAlign w:val="top"/>
          </w:tcPr>
          <w:p>
            <w:pPr>
              <w:jc w:val="center"/>
              <w:rPr>
                <w:rFonts w:hint="default" w:eastAsia="宋体"/>
                <w:bCs/>
                <w:color w:val="auto"/>
                <w:kern w:val="0"/>
                <w:sz w:val="18"/>
                <w:szCs w:val="18"/>
                <w:lang w:val="en-US" w:eastAsia="zh-CN"/>
              </w:rPr>
            </w:pPr>
            <w:r>
              <w:rPr>
                <w:rFonts w:hint="eastAsia"/>
                <w:bCs/>
                <w:color w:val="auto"/>
                <w:kern w:val="0"/>
                <w:sz w:val="18"/>
                <w:szCs w:val="18"/>
                <w:lang w:val="en-US" w:eastAsia="zh-CN"/>
              </w:rPr>
              <w:t>雾化室气流量/（L/min）</w:t>
            </w:r>
          </w:p>
        </w:tc>
        <w:tc>
          <w:tcPr>
            <w:tcW w:w="1162" w:type="dxa"/>
            <w:vAlign w:val="top"/>
          </w:tcPr>
          <w:p>
            <w:pPr>
              <w:jc w:val="center"/>
              <w:rPr>
                <w:rFonts w:hint="eastAsia"/>
                <w:bCs/>
                <w:color w:val="auto"/>
                <w:kern w:val="0"/>
                <w:sz w:val="18"/>
                <w:szCs w:val="18"/>
                <w:lang w:val="en-US" w:eastAsia="zh-CN"/>
              </w:rPr>
            </w:pPr>
            <w:r>
              <w:rPr>
                <w:rFonts w:hint="eastAsia"/>
                <w:bCs/>
                <w:color w:val="auto"/>
                <w:kern w:val="0"/>
                <w:sz w:val="18"/>
                <w:szCs w:val="18"/>
                <w:lang w:val="en-US" w:eastAsia="zh-CN"/>
              </w:rPr>
              <w:t>观测高度/</w:t>
            </w:r>
          </w:p>
          <w:p>
            <w:pPr>
              <w:jc w:val="center"/>
              <w:rPr>
                <w:rFonts w:hint="default"/>
                <w:bCs/>
                <w:color w:val="auto"/>
                <w:kern w:val="0"/>
                <w:sz w:val="18"/>
                <w:szCs w:val="18"/>
                <w:lang w:val="en-US" w:eastAsia="zh-CN"/>
              </w:rPr>
            </w:pPr>
            <w:r>
              <w:rPr>
                <w:rFonts w:hint="eastAsia"/>
                <w:bCs/>
                <w:color w:val="auto"/>
                <w:kern w:val="0"/>
                <w:sz w:val="18"/>
                <w:szCs w:val="18"/>
                <w:lang w:val="en-US" w:eastAsia="zh-CN"/>
              </w:rPr>
              <w:t>mm</w:t>
            </w:r>
          </w:p>
        </w:tc>
        <w:tc>
          <w:tcPr>
            <w:tcW w:w="1140" w:type="dxa"/>
            <w:vAlign w:val="top"/>
          </w:tcPr>
          <w:p>
            <w:pPr>
              <w:jc w:val="center"/>
              <w:rPr>
                <w:rFonts w:hint="default"/>
                <w:bCs/>
                <w:color w:val="auto"/>
                <w:kern w:val="0"/>
                <w:sz w:val="18"/>
                <w:szCs w:val="18"/>
                <w:lang w:val="en-US" w:eastAsia="zh-CN"/>
              </w:rPr>
            </w:pPr>
            <w:r>
              <w:rPr>
                <w:rFonts w:hint="eastAsia"/>
                <w:bCs/>
                <w:color w:val="auto"/>
                <w:kern w:val="0"/>
                <w:sz w:val="18"/>
                <w:szCs w:val="18"/>
                <w:lang w:val="en-US" w:eastAsia="zh-CN"/>
              </w:rPr>
              <w:t>泵流量/（mL/min）</w:t>
            </w:r>
          </w:p>
        </w:tc>
        <w:tc>
          <w:tcPr>
            <w:tcW w:w="1439" w:type="dxa"/>
            <w:vAlign w:val="top"/>
          </w:tcPr>
          <w:p>
            <w:pPr>
              <w:jc w:val="center"/>
              <w:rPr>
                <w:rFonts w:hint="default"/>
                <w:bCs/>
                <w:color w:val="auto"/>
                <w:kern w:val="0"/>
                <w:sz w:val="18"/>
                <w:szCs w:val="18"/>
                <w:lang w:val="en-US" w:eastAsia="zh-CN"/>
              </w:rPr>
            </w:pPr>
            <w:r>
              <w:rPr>
                <w:rFonts w:hint="eastAsia"/>
                <w:bCs/>
                <w:color w:val="auto"/>
                <w:kern w:val="0"/>
                <w:sz w:val="18"/>
                <w:szCs w:val="18"/>
                <w:lang w:val="en-US" w:eastAsia="zh-CN"/>
              </w:rPr>
              <w:t>等离子体流量/（L/min）</w:t>
            </w:r>
          </w:p>
        </w:tc>
        <w:tc>
          <w:tcPr>
            <w:tcW w:w="1367" w:type="dxa"/>
            <w:vAlign w:val="top"/>
          </w:tcPr>
          <w:p>
            <w:pPr>
              <w:jc w:val="center"/>
              <w:rPr>
                <w:rFonts w:hint="default"/>
                <w:bCs/>
                <w:color w:val="auto"/>
                <w:kern w:val="0"/>
                <w:sz w:val="18"/>
                <w:szCs w:val="18"/>
                <w:lang w:val="en-US" w:eastAsia="zh-CN"/>
              </w:rPr>
            </w:pPr>
            <w:r>
              <w:rPr>
                <w:rFonts w:hint="eastAsia"/>
                <w:bCs/>
                <w:color w:val="auto"/>
                <w:kern w:val="0"/>
                <w:sz w:val="18"/>
                <w:szCs w:val="18"/>
                <w:lang w:val="en-US" w:eastAsia="zh-CN"/>
              </w:rPr>
              <w:t>辅助气体流量/（L/min）</w:t>
            </w:r>
          </w:p>
        </w:tc>
        <w:tc>
          <w:tcPr>
            <w:tcW w:w="1091" w:type="dxa"/>
            <w:vAlign w:val="top"/>
          </w:tcPr>
          <w:p>
            <w:pPr>
              <w:jc w:val="center"/>
              <w:rPr>
                <w:rFonts w:hint="eastAsia"/>
                <w:bCs/>
                <w:color w:val="auto"/>
                <w:kern w:val="0"/>
                <w:sz w:val="18"/>
                <w:szCs w:val="18"/>
                <w:lang w:val="en-US" w:eastAsia="zh-CN"/>
              </w:rPr>
            </w:pPr>
            <w:r>
              <w:rPr>
                <w:rFonts w:hint="eastAsia"/>
                <w:bCs/>
                <w:color w:val="auto"/>
                <w:kern w:val="0"/>
                <w:sz w:val="18"/>
                <w:szCs w:val="18"/>
                <w:lang w:val="en-US" w:eastAsia="zh-CN"/>
              </w:rPr>
              <w:t>积分时间/</w:t>
            </w:r>
          </w:p>
          <w:p>
            <w:pPr>
              <w:jc w:val="center"/>
              <w:rPr>
                <w:rFonts w:hint="default"/>
                <w:bCs/>
                <w:color w:val="auto"/>
                <w:kern w:val="0"/>
                <w:sz w:val="18"/>
                <w:szCs w:val="18"/>
                <w:lang w:val="en-US" w:eastAsia="zh-CN"/>
              </w:rPr>
            </w:pPr>
            <w:r>
              <w:rPr>
                <w:rFonts w:hint="eastAsia"/>
                <w:bCs/>
                <w:color w:val="auto"/>
                <w:kern w:val="0"/>
                <w:sz w:val="18"/>
                <w:szCs w:val="18"/>
                <w:lang w:val="en-US" w:eastAsia="zh-CN"/>
              </w:rPr>
              <w:t>s</w:t>
            </w:r>
          </w:p>
        </w:tc>
        <w:tc>
          <w:tcPr>
            <w:tcW w:w="785" w:type="dxa"/>
            <w:vAlign w:val="top"/>
          </w:tcPr>
          <w:p>
            <w:pPr>
              <w:jc w:val="center"/>
              <w:rPr>
                <w:rFonts w:hint="eastAsia"/>
                <w:bCs/>
                <w:color w:val="auto"/>
                <w:kern w:val="0"/>
                <w:sz w:val="18"/>
                <w:szCs w:val="18"/>
                <w:lang w:val="en-US" w:eastAsia="zh-CN"/>
              </w:rPr>
            </w:pPr>
            <w:r>
              <w:rPr>
                <w:rFonts w:hint="eastAsia"/>
                <w:bCs/>
                <w:color w:val="auto"/>
                <w:kern w:val="0"/>
                <w:sz w:val="18"/>
                <w:szCs w:val="18"/>
                <w:lang w:val="en-US" w:eastAsia="zh-CN"/>
              </w:rPr>
              <w:t>观测</w:t>
            </w:r>
          </w:p>
          <w:p>
            <w:pPr>
              <w:jc w:val="center"/>
              <w:rPr>
                <w:rFonts w:hint="default"/>
                <w:bCs/>
                <w:color w:val="auto"/>
                <w:kern w:val="0"/>
                <w:sz w:val="18"/>
                <w:szCs w:val="18"/>
                <w:lang w:val="en-US" w:eastAsia="zh-CN"/>
              </w:rPr>
            </w:pPr>
            <w:r>
              <w:rPr>
                <w:rFonts w:hint="eastAsia"/>
                <w:bCs/>
                <w:color w:val="auto"/>
                <w:kern w:val="0"/>
                <w:sz w:val="18"/>
                <w:szCs w:val="18"/>
                <w:lang w:val="en-US"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848"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1300</w:t>
            </w:r>
          </w:p>
        </w:tc>
        <w:tc>
          <w:tcPr>
            <w:tcW w:w="1368"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0.80</w:t>
            </w:r>
          </w:p>
        </w:tc>
        <w:tc>
          <w:tcPr>
            <w:tcW w:w="1162"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15</w:t>
            </w:r>
          </w:p>
        </w:tc>
        <w:tc>
          <w:tcPr>
            <w:tcW w:w="1140"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1.50</w:t>
            </w:r>
          </w:p>
        </w:tc>
        <w:tc>
          <w:tcPr>
            <w:tcW w:w="1439"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15</w:t>
            </w:r>
          </w:p>
        </w:tc>
        <w:tc>
          <w:tcPr>
            <w:tcW w:w="1367"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0.20</w:t>
            </w:r>
          </w:p>
        </w:tc>
        <w:tc>
          <w:tcPr>
            <w:tcW w:w="1091"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5</w:t>
            </w:r>
          </w:p>
        </w:tc>
        <w:tc>
          <w:tcPr>
            <w:tcW w:w="785"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轴向</w:t>
            </w:r>
          </w:p>
        </w:tc>
      </w:tr>
    </w:tbl>
    <w:p>
      <w:pPr>
        <w:jc w:val="center"/>
        <w:rPr>
          <w:rFonts w:hint="eastAsia"/>
          <w:bCs/>
          <w:color w:val="auto"/>
          <w:kern w:val="0"/>
          <w:lang w:val="en-US" w:eastAsia="zh-CN"/>
        </w:rPr>
      </w:pPr>
    </w:p>
    <w:p>
      <w:pPr>
        <w:jc w:val="center"/>
        <w:rPr>
          <w:rFonts w:hint="eastAsia"/>
          <w:bCs/>
          <w:color w:val="auto"/>
          <w:kern w:val="0"/>
          <w:lang w:val="en-US" w:eastAsia="zh-CN"/>
        </w:rPr>
      </w:pPr>
      <w:r>
        <w:rPr>
          <w:rFonts w:hint="eastAsia" w:ascii="黑体" w:hAnsi="黑体" w:eastAsia="黑体" w:cs="黑体"/>
          <w:bCs/>
          <w:color w:val="auto"/>
          <w:kern w:val="0"/>
          <w:lang w:val="en-US" w:eastAsia="zh-CN"/>
        </w:rPr>
        <w:t>表3 推荐杂质元素分析线</w:t>
      </w:r>
    </w:p>
    <w:tbl>
      <w:tblPr>
        <w:tblStyle w:val="3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2294"/>
        <w:gridCol w:w="2296"/>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295"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元素</w:t>
            </w:r>
          </w:p>
        </w:tc>
        <w:tc>
          <w:tcPr>
            <w:tcW w:w="2294"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检测波长/nm</w:t>
            </w:r>
          </w:p>
        </w:tc>
        <w:tc>
          <w:tcPr>
            <w:tcW w:w="2296"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元素</w:t>
            </w:r>
          </w:p>
        </w:tc>
        <w:tc>
          <w:tcPr>
            <w:tcW w:w="2295"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检测波长/nm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295"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Pd</w:t>
            </w:r>
          </w:p>
        </w:tc>
        <w:tc>
          <w:tcPr>
            <w:tcW w:w="2294"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340.458</w:t>
            </w:r>
          </w:p>
        </w:tc>
        <w:tc>
          <w:tcPr>
            <w:tcW w:w="2296"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Al</w:t>
            </w:r>
          </w:p>
        </w:tc>
        <w:tc>
          <w:tcPr>
            <w:tcW w:w="2295"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396.153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295"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Rh</w:t>
            </w:r>
          </w:p>
        </w:tc>
        <w:tc>
          <w:tcPr>
            <w:tcW w:w="2294"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343.489</w:t>
            </w:r>
          </w:p>
        </w:tc>
        <w:tc>
          <w:tcPr>
            <w:tcW w:w="2296"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Mg</w:t>
            </w:r>
          </w:p>
        </w:tc>
        <w:tc>
          <w:tcPr>
            <w:tcW w:w="2295"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285.213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295"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Ir</w:t>
            </w:r>
          </w:p>
        </w:tc>
        <w:tc>
          <w:tcPr>
            <w:tcW w:w="2294"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224.268，215.268</w:t>
            </w:r>
          </w:p>
        </w:tc>
        <w:tc>
          <w:tcPr>
            <w:tcW w:w="2296"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Mn</w:t>
            </w:r>
          </w:p>
        </w:tc>
        <w:tc>
          <w:tcPr>
            <w:tcW w:w="2295"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257.610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295"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Ag</w:t>
            </w:r>
          </w:p>
        </w:tc>
        <w:tc>
          <w:tcPr>
            <w:tcW w:w="2294"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338.289，328.068</w:t>
            </w:r>
          </w:p>
        </w:tc>
        <w:tc>
          <w:tcPr>
            <w:tcW w:w="2296"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Zn</w:t>
            </w:r>
          </w:p>
        </w:tc>
        <w:tc>
          <w:tcPr>
            <w:tcW w:w="2295"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206.200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295"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Fe</w:t>
            </w:r>
          </w:p>
        </w:tc>
        <w:tc>
          <w:tcPr>
            <w:tcW w:w="2294"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259.939</w:t>
            </w:r>
          </w:p>
        </w:tc>
        <w:tc>
          <w:tcPr>
            <w:tcW w:w="2296"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Si</w:t>
            </w:r>
          </w:p>
        </w:tc>
        <w:tc>
          <w:tcPr>
            <w:tcW w:w="2295"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251.611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295"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Ni</w:t>
            </w:r>
          </w:p>
        </w:tc>
        <w:tc>
          <w:tcPr>
            <w:tcW w:w="2294"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231.604</w:t>
            </w:r>
          </w:p>
        </w:tc>
        <w:tc>
          <w:tcPr>
            <w:tcW w:w="2296"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Au</w:t>
            </w:r>
          </w:p>
        </w:tc>
        <w:tc>
          <w:tcPr>
            <w:tcW w:w="2295"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267.595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295"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Cu</w:t>
            </w:r>
          </w:p>
        </w:tc>
        <w:tc>
          <w:tcPr>
            <w:tcW w:w="2294"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327.393</w:t>
            </w:r>
          </w:p>
        </w:tc>
        <w:tc>
          <w:tcPr>
            <w:tcW w:w="2296"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Ru</w:t>
            </w:r>
          </w:p>
        </w:tc>
        <w:tc>
          <w:tcPr>
            <w:tcW w:w="2295"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349.894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295"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Cr</w:t>
            </w:r>
          </w:p>
        </w:tc>
        <w:tc>
          <w:tcPr>
            <w:tcW w:w="2294"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357.869</w:t>
            </w:r>
          </w:p>
        </w:tc>
        <w:tc>
          <w:tcPr>
            <w:tcW w:w="2296"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Sn</w:t>
            </w:r>
          </w:p>
        </w:tc>
        <w:tc>
          <w:tcPr>
            <w:tcW w:w="2295"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283.998，189.927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295"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Bi</w:t>
            </w:r>
          </w:p>
        </w:tc>
        <w:tc>
          <w:tcPr>
            <w:tcW w:w="2294"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223.061</w:t>
            </w:r>
          </w:p>
        </w:tc>
        <w:tc>
          <w:tcPr>
            <w:tcW w:w="2296"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Pb</w:t>
            </w:r>
          </w:p>
        </w:tc>
        <w:tc>
          <w:tcPr>
            <w:tcW w:w="2295"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283.306，220.353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180" w:type="dxa"/>
            <w:gridSpan w:val="4"/>
            <w:vAlign w:val="center"/>
          </w:tcPr>
          <w:p>
            <w:pPr>
              <w:jc w:val="left"/>
              <w:rPr>
                <w:rFonts w:hint="default"/>
                <w:bCs/>
                <w:color w:val="auto"/>
                <w:kern w:val="0"/>
                <w:sz w:val="18"/>
                <w:szCs w:val="18"/>
                <w:lang w:val="en-US" w:eastAsia="zh-CN"/>
              </w:rPr>
            </w:pPr>
            <w:r>
              <w:rPr>
                <w:rFonts w:hint="eastAsia"/>
                <w:bCs/>
                <w:color w:val="auto"/>
                <w:kern w:val="0"/>
                <w:sz w:val="18"/>
                <w:szCs w:val="18"/>
                <w:lang w:val="en-US" w:eastAsia="zh-CN"/>
              </w:rPr>
              <w:t>注：分析线根据仪器分辨率和共存元素干扰情况而确定。</w:t>
            </w:r>
          </w:p>
        </w:tc>
      </w:tr>
    </w:tbl>
    <w:p>
      <w:pPr>
        <w:pStyle w:val="46"/>
        <w:spacing w:beforeLines="100" w:afterLines="100"/>
        <w:rPr>
          <w:rFonts w:hAnsi="黑体"/>
          <w:bCs/>
          <w:color w:val="auto"/>
        </w:rPr>
      </w:pPr>
      <w:r>
        <w:rPr>
          <w:rFonts w:hint="eastAsia" w:hAnsi="黑体"/>
          <w:bCs/>
          <w:color w:val="auto"/>
          <w:lang w:val="en-US" w:eastAsia="zh-CN"/>
        </w:rPr>
        <w:t>7</w:t>
      </w:r>
      <w:r>
        <w:rPr>
          <w:rFonts w:hint="eastAsia" w:hAnsi="黑体"/>
          <w:bCs/>
          <w:color w:val="auto"/>
        </w:rPr>
        <w:t xml:space="preserve"> </w:t>
      </w:r>
      <w:r>
        <w:rPr>
          <w:rFonts w:hint="eastAsia" w:hAnsi="黑体"/>
          <w:bCs/>
          <w:color w:val="auto"/>
          <w:lang w:eastAsia="zh-CN"/>
        </w:rPr>
        <w:t>试验数据处理</w:t>
      </w:r>
    </w:p>
    <w:p>
      <w:pPr>
        <w:spacing w:line="360" w:lineRule="auto"/>
        <w:ind w:firstLine="420" w:firstLineChars="200"/>
        <w:rPr>
          <w:bCs/>
          <w:color w:val="auto"/>
          <w:lang w:val="zh-CN"/>
        </w:rPr>
      </w:pPr>
      <w:r>
        <w:rPr>
          <w:rFonts w:hint="eastAsia"/>
          <w:bCs/>
          <w:color w:val="auto"/>
          <w:lang w:val="zh-CN"/>
        </w:rPr>
        <w:t>铂含量以铂的质量百分数</w:t>
      </w:r>
      <w:r>
        <w:rPr>
          <w:rFonts w:hint="eastAsia"/>
          <w:i/>
          <w:color w:val="auto"/>
          <w:lang w:val="zh-CN"/>
        </w:rPr>
        <w:t>w</w:t>
      </w:r>
      <w:r>
        <w:rPr>
          <w:color w:val="auto"/>
          <w:vertAlign w:val="subscript"/>
        </w:rPr>
        <w:t>pt</w:t>
      </w:r>
      <w:r>
        <w:rPr>
          <w:rFonts w:hint="eastAsia"/>
          <w:color w:val="auto"/>
        </w:rPr>
        <w:t>计</w:t>
      </w:r>
      <w:r>
        <w:rPr>
          <w:rFonts w:hint="eastAsia"/>
          <w:bCs/>
          <w:color w:val="auto"/>
          <w:lang w:val="zh-CN"/>
        </w:rPr>
        <w:t>，按公式（</w:t>
      </w:r>
      <w:r>
        <w:rPr>
          <w:rFonts w:hint="eastAsia"/>
          <w:bCs/>
          <w:color w:val="auto"/>
        </w:rPr>
        <w:t>1</w:t>
      </w:r>
      <w:r>
        <w:rPr>
          <w:rFonts w:hint="eastAsia"/>
          <w:bCs/>
          <w:color w:val="auto"/>
          <w:lang w:val="zh-CN"/>
        </w:rPr>
        <w:t>）计算：</w:t>
      </w:r>
    </w:p>
    <w:p>
      <w:pPr>
        <w:spacing w:line="360" w:lineRule="auto"/>
        <w:ind w:firstLine="2730" w:firstLineChars="1300"/>
        <w:rPr>
          <w:bCs/>
          <w:color w:val="auto"/>
        </w:rPr>
      </w:pPr>
      <w:r>
        <w:rPr>
          <w:rFonts w:hint="eastAsia" w:ascii="Times New Roman" w:hAnsi="Times New Roman" w:eastAsia="宋体" w:cs="Times New Roman"/>
          <w:bCs/>
          <w:color w:val="auto"/>
          <w:kern w:val="2"/>
          <w:position w:val="-24"/>
          <w:sz w:val="21"/>
          <w:szCs w:val="21"/>
          <w:lang w:val="en-US" w:eastAsia="zh-CN" w:bidi="ar-SA"/>
        </w:rPr>
        <w:object>
          <v:shape id="Picture 2" type="#_x0000_t75" style="height:31pt;width:125.35pt;rotation:0f;" o:ole="t"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o:OLEObject Type="Embed" ProgID="Equation.3" ShapeID="Picture 2" DrawAspect="Content" ObjectID="_10" r:id="rId11"/>
        </w:object>
      </w:r>
      <w:r>
        <w:rPr>
          <w:rFonts w:hint="eastAsia"/>
          <w:bCs/>
          <w:color w:val="auto"/>
        </w:rPr>
        <w:t xml:space="preserve">  ……………………………………………(1)</w:t>
      </w:r>
    </w:p>
    <w:p>
      <w:pPr>
        <w:ind w:firstLine="420" w:firstLineChars="200"/>
        <w:rPr>
          <w:bCs/>
          <w:color w:val="auto"/>
          <w:lang w:val="zh-CN"/>
        </w:rPr>
      </w:pPr>
      <w:r>
        <w:rPr>
          <w:rFonts w:hint="eastAsia"/>
          <w:bCs/>
          <w:color w:val="auto"/>
          <w:lang w:val="zh-CN"/>
        </w:rPr>
        <w:t>式中：</w:t>
      </w:r>
    </w:p>
    <w:p>
      <w:pPr>
        <w:ind w:firstLine="420" w:firstLineChars="200"/>
        <w:rPr>
          <w:bCs/>
          <w:color w:val="auto"/>
          <w:lang w:val="zh-CN"/>
        </w:rPr>
      </w:pPr>
      <w:r>
        <w:rPr>
          <w:rFonts w:hint="eastAsia"/>
          <w:bCs/>
          <w:i/>
          <w:iCs/>
          <w:color w:val="auto"/>
          <w:lang w:val="en-US" w:eastAsia="zh-CN"/>
        </w:rPr>
        <w:t xml:space="preserve">m </w:t>
      </w:r>
      <w:r>
        <w:rPr>
          <w:color w:val="auto"/>
        </w:rPr>
        <w:t>—</w:t>
      </w:r>
      <w:r>
        <w:rPr>
          <w:rFonts w:hint="eastAsia"/>
          <w:bCs/>
          <w:color w:val="auto"/>
          <w:lang w:val="zh-CN"/>
        </w:rPr>
        <w:t>试料的质量，单位为克（g）；</w:t>
      </w:r>
    </w:p>
    <w:p>
      <w:pPr>
        <w:ind w:firstLine="420" w:firstLineChars="200"/>
        <w:rPr>
          <w:bCs/>
          <w:color w:val="auto"/>
          <w:lang w:val="zh-CN"/>
        </w:rPr>
      </w:pPr>
      <w:r>
        <w:rPr>
          <w:rFonts w:hint="eastAsia"/>
          <w:bCs/>
          <w:i/>
          <w:iCs/>
          <w:color w:val="auto"/>
        </w:rPr>
        <w:t>m</w:t>
      </w:r>
      <w:r>
        <w:rPr>
          <w:rFonts w:hint="eastAsia"/>
          <w:bCs/>
          <w:color w:val="auto"/>
          <w:vertAlign w:val="subscript"/>
        </w:rPr>
        <w:t>1</w:t>
      </w:r>
      <w:r>
        <w:rPr>
          <w:color w:val="auto"/>
        </w:rPr>
        <w:t>——</w:t>
      </w:r>
      <w:r>
        <w:rPr>
          <w:rFonts w:hint="eastAsia"/>
          <w:bCs/>
          <w:color w:val="auto"/>
          <w:lang w:val="zh-CN"/>
        </w:rPr>
        <w:t>恒重后瓷坩埚的质量，单位为克（g）；</w:t>
      </w:r>
    </w:p>
    <w:p>
      <w:pPr>
        <w:ind w:firstLine="420" w:firstLineChars="200"/>
        <w:rPr>
          <w:rFonts w:hint="eastAsia"/>
          <w:bCs/>
          <w:color w:val="auto"/>
          <w:lang w:val="zh-CN"/>
        </w:rPr>
      </w:pPr>
      <w:r>
        <w:rPr>
          <w:rFonts w:hint="eastAsia"/>
          <w:bCs/>
          <w:i/>
          <w:iCs/>
          <w:color w:val="auto"/>
        </w:rPr>
        <w:t>m</w:t>
      </w:r>
      <w:r>
        <w:rPr>
          <w:rFonts w:hint="eastAsia"/>
          <w:bCs/>
          <w:color w:val="auto"/>
          <w:vertAlign w:val="subscript"/>
        </w:rPr>
        <w:t>2</w:t>
      </w:r>
      <w:r>
        <w:rPr>
          <w:color w:val="auto"/>
        </w:rPr>
        <w:t>——</w:t>
      </w:r>
      <w:r>
        <w:rPr>
          <w:color w:val="auto"/>
          <w:kern w:val="0"/>
        </w:rPr>
        <w:t>灼烧后</w:t>
      </w:r>
      <w:r>
        <w:rPr>
          <w:rFonts w:hint="eastAsia"/>
          <w:color w:val="auto"/>
          <w:kern w:val="0"/>
        </w:rPr>
        <w:t>恒重海绵铂</w:t>
      </w:r>
      <w:r>
        <w:rPr>
          <w:color w:val="auto"/>
          <w:kern w:val="0"/>
        </w:rPr>
        <w:t>和瓷坩埚的质量</w:t>
      </w:r>
      <w:r>
        <w:rPr>
          <w:rFonts w:hint="eastAsia"/>
          <w:bCs/>
          <w:color w:val="auto"/>
          <w:lang w:val="zh-CN"/>
        </w:rPr>
        <w:t>，单位为克（g）；</w:t>
      </w:r>
    </w:p>
    <w:p>
      <w:pPr>
        <w:ind w:firstLine="420" w:firstLineChars="200"/>
        <w:rPr>
          <w:rFonts w:hint="eastAsia"/>
          <w:bCs/>
          <w:color w:val="auto"/>
          <w:lang w:val="zh-CN"/>
        </w:rPr>
      </w:pPr>
      <w:r>
        <w:rPr>
          <w:rFonts w:hint="default" w:ascii="Times New Roman" w:hAnsi="Times New Roman" w:cs="Times New Roman"/>
          <w:bCs/>
          <w:color w:val="auto"/>
          <w:lang w:val="zh-CN"/>
        </w:rPr>
        <w:t>η</w:t>
      </w:r>
      <w:r>
        <w:rPr>
          <w:rFonts w:hint="eastAsia" w:ascii="Times New Roman" w:hAnsi="Times New Roman" w:cs="Times New Roman"/>
          <w:bCs/>
          <w:color w:val="auto"/>
          <w:lang w:val="en-US" w:eastAsia="zh-CN"/>
        </w:rPr>
        <w:t xml:space="preserve"> </w:t>
      </w:r>
      <w:r>
        <w:rPr>
          <w:color w:val="auto"/>
        </w:rPr>
        <w:t>——</w:t>
      </w:r>
      <w:r>
        <w:rPr>
          <w:rFonts w:hint="eastAsia"/>
          <w:color w:val="auto"/>
          <w:lang w:eastAsia="zh-CN"/>
        </w:rPr>
        <w:t>恒重后海绵铂的纯度，单位为</w:t>
      </w:r>
      <w:r>
        <w:rPr>
          <w:rFonts w:hint="eastAsia"/>
          <w:color w:val="auto"/>
          <w:lang w:val="en-US" w:eastAsia="zh-CN"/>
        </w:rPr>
        <w:t>%</w:t>
      </w:r>
      <w:r>
        <w:rPr>
          <w:rFonts w:hint="eastAsia"/>
          <w:color w:val="auto"/>
          <w:lang w:eastAsia="zh-CN"/>
        </w:rPr>
        <w:t>。</w:t>
      </w:r>
    </w:p>
    <w:p>
      <w:pPr>
        <w:ind w:firstLine="420" w:firstLineChars="200"/>
        <w:rPr>
          <w:bCs/>
          <w:color w:val="auto"/>
          <w:lang w:val="zh-CN"/>
        </w:rPr>
      </w:pPr>
      <w:r>
        <w:rPr>
          <w:rFonts w:hint="eastAsia"/>
          <w:color w:val="auto"/>
          <w:kern w:val="0"/>
        </w:rPr>
        <w:t>计算</w:t>
      </w:r>
      <w:r>
        <w:rPr>
          <w:color w:val="auto"/>
          <w:kern w:val="0"/>
        </w:rPr>
        <w:t>结果表示到小数点后</w:t>
      </w:r>
      <w:r>
        <w:rPr>
          <w:rFonts w:hint="eastAsia"/>
          <w:color w:val="auto"/>
          <w:kern w:val="0"/>
        </w:rPr>
        <w:t>二</w:t>
      </w:r>
      <w:r>
        <w:rPr>
          <w:color w:val="auto"/>
          <w:kern w:val="0"/>
        </w:rPr>
        <w:t>位。</w:t>
      </w:r>
    </w:p>
    <w:p>
      <w:pPr>
        <w:pStyle w:val="46"/>
        <w:spacing w:beforeLines="100" w:afterLines="100"/>
        <w:rPr>
          <w:rFonts w:hAnsi="黑体"/>
          <w:bCs/>
          <w:color w:val="auto"/>
        </w:rPr>
      </w:pPr>
      <w:r>
        <w:rPr>
          <w:rFonts w:hint="eastAsia" w:hAnsi="黑体"/>
          <w:bCs/>
          <w:color w:val="auto"/>
          <w:lang w:val="en-US" w:eastAsia="zh-CN"/>
        </w:rPr>
        <w:t>8</w:t>
      </w:r>
      <w:r>
        <w:rPr>
          <w:rFonts w:hint="eastAsia" w:hAnsi="黑体"/>
          <w:bCs/>
          <w:color w:val="auto"/>
        </w:rPr>
        <w:t xml:space="preserve"> 精密度</w:t>
      </w:r>
    </w:p>
    <w:p>
      <w:pPr>
        <w:autoSpaceDE w:val="0"/>
        <w:autoSpaceDN w:val="0"/>
        <w:spacing w:beforeLines="50" w:afterLines="50"/>
        <w:rPr>
          <w:rFonts w:ascii="黑体" w:hAnsi="黑体" w:eastAsia="黑体" w:cs="黑体"/>
          <w:color w:val="auto"/>
          <w:kern w:val="0"/>
        </w:rPr>
      </w:pPr>
      <w:r>
        <w:rPr>
          <w:rFonts w:hint="eastAsia" w:ascii="黑体" w:hAnsi="黑体" w:eastAsia="黑体" w:cs="黑体"/>
          <w:color w:val="auto"/>
          <w:kern w:val="0"/>
          <w:lang w:val="en-US" w:eastAsia="zh-CN"/>
        </w:rPr>
        <w:t>8</w:t>
      </w:r>
      <w:r>
        <w:rPr>
          <w:rFonts w:hint="eastAsia" w:ascii="黑体" w:hAnsi="黑体" w:eastAsia="黑体" w:cs="黑体"/>
          <w:color w:val="auto"/>
          <w:kern w:val="0"/>
        </w:rPr>
        <w:t>.1 重复性</w:t>
      </w:r>
    </w:p>
    <w:p>
      <w:pPr>
        <w:autoSpaceDE w:val="0"/>
        <w:autoSpaceDN w:val="0"/>
        <w:ind w:firstLine="420" w:firstLineChars="200"/>
        <w:rPr>
          <w:color w:val="auto"/>
          <w:kern w:val="0"/>
        </w:rPr>
      </w:pPr>
      <w:r>
        <w:rPr>
          <w:rFonts w:hint="eastAsia"/>
          <w:color w:val="auto"/>
          <w:kern w:val="0"/>
        </w:rPr>
        <w:t>在重复性条件下获得的两次独立测试结果的测定值，在以下给出的平均值范围内，这两个测试结果的绝对差值不超过重复性限（</w:t>
      </w:r>
      <w:r>
        <w:rPr>
          <w:rFonts w:hint="eastAsia"/>
          <w:i/>
          <w:iCs/>
          <w:color w:val="auto"/>
          <w:kern w:val="0"/>
        </w:rPr>
        <w:t>r</w:t>
      </w:r>
      <w:r>
        <w:rPr>
          <w:rFonts w:hint="eastAsia"/>
          <w:color w:val="auto"/>
          <w:kern w:val="0"/>
        </w:rPr>
        <w:t>），超过重复性限（</w:t>
      </w:r>
      <w:r>
        <w:rPr>
          <w:rFonts w:hint="eastAsia"/>
          <w:i/>
          <w:iCs/>
          <w:color w:val="auto"/>
          <w:kern w:val="0"/>
        </w:rPr>
        <w:t>r</w:t>
      </w:r>
      <w:r>
        <w:rPr>
          <w:rFonts w:hint="eastAsia"/>
          <w:color w:val="auto"/>
          <w:kern w:val="0"/>
        </w:rPr>
        <w:t>）的情况下应不超过5%。重复性限（</w:t>
      </w:r>
      <w:r>
        <w:rPr>
          <w:rFonts w:hint="eastAsia"/>
          <w:i/>
          <w:iCs/>
          <w:color w:val="auto"/>
          <w:kern w:val="0"/>
        </w:rPr>
        <w:t>r</w:t>
      </w:r>
      <w:r>
        <w:rPr>
          <w:rFonts w:hint="eastAsia"/>
          <w:color w:val="auto"/>
          <w:kern w:val="0"/>
        </w:rPr>
        <w:t>）按表</w:t>
      </w:r>
      <w:r>
        <w:rPr>
          <w:rFonts w:hint="eastAsia"/>
          <w:color w:val="auto"/>
          <w:kern w:val="0"/>
          <w:lang w:val="en-US" w:eastAsia="zh-CN"/>
        </w:rPr>
        <w:t>4</w:t>
      </w:r>
      <w:r>
        <w:rPr>
          <w:rFonts w:hint="eastAsia"/>
          <w:color w:val="auto"/>
          <w:kern w:val="0"/>
        </w:rPr>
        <w:t>数据采用内线性内插法求得。</w:t>
      </w:r>
    </w:p>
    <w:p>
      <w:pPr>
        <w:autoSpaceDE w:val="0"/>
        <w:autoSpaceDN w:val="0"/>
        <w:jc w:val="center"/>
        <w:rPr>
          <w:rFonts w:ascii="黑体" w:hAnsi="黑体" w:eastAsia="黑体" w:cs="黑体"/>
          <w:color w:val="auto"/>
          <w:kern w:val="0"/>
        </w:rPr>
      </w:pPr>
      <w:r>
        <w:rPr>
          <w:rFonts w:hint="default" w:ascii="Times New Roman" w:hAnsi="Times New Roman" w:eastAsia="黑体" w:cs="Times New Roman"/>
          <w:color w:val="auto"/>
          <w:kern w:val="0"/>
        </w:rPr>
        <w:t>表</w:t>
      </w:r>
      <w:r>
        <w:rPr>
          <w:rFonts w:hint="default" w:ascii="Times New Roman" w:hAnsi="Times New Roman" w:eastAsia="黑体" w:cs="Times New Roman"/>
          <w:color w:val="auto"/>
          <w:kern w:val="0"/>
          <w:lang w:val="en-US" w:eastAsia="zh-CN"/>
        </w:rPr>
        <w:t>4</w:t>
      </w:r>
      <w:r>
        <w:rPr>
          <w:rFonts w:hint="default" w:ascii="Times New Roman" w:hAnsi="Times New Roman" w:eastAsia="黑体" w:cs="Times New Roman"/>
          <w:color w:val="auto"/>
          <w:kern w:val="0"/>
        </w:rPr>
        <w:t xml:space="preserve"> 重复性限</w:t>
      </w:r>
    </w:p>
    <w:tbl>
      <w:tblPr>
        <w:tblStyle w:val="31"/>
        <w:tblW w:w="9178" w:type="dxa"/>
        <w:jc w:val="center"/>
        <w:tblInd w:w="-16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10"/>
        <w:gridCol w:w="2245"/>
        <w:gridCol w:w="2245"/>
        <w:gridCol w:w="21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10" w:type="dxa"/>
            <w:vAlign w:val="top"/>
          </w:tcPr>
          <w:p>
            <w:pPr>
              <w:jc w:val="center"/>
              <w:rPr>
                <w:color w:val="auto"/>
              </w:rPr>
            </w:pPr>
            <w:r>
              <w:rPr>
                <w:rFonts w:hint="eastAsia"/>
                <w:i/>
                <w:color w:val="auto"/>
                <w:lang w:val="zh-CN"/>
              </w:rPr>
              <w:t>w</w:t>
            </w:r>
            <w:r>
              <w:rPr>
                <w:color w:val="auto"/>
                <w:vertAlign w:val="subscript"/>
              </w:rPr>
              <w:t>pt</w:t>
            </w:r>
            <w:r>
              <w:rPr>
                <w:rFonts w:hint="eastAsia"/>
                <w:color w:val="auto"/>
              </w:rPr>
              <w:t>%</w:t>
            </w:r>
          </w:p>
        </w:tc>
        <w:tc>
          <w:tcPr>
            <w:tcW w:w="2245" w:type="dxa"/>
            <w:vAlign w:val="bottom"/>
          </w:tcPr>
          <w:p>
            <w:pPr>
              <w:widowControl/>
              <w:jc w:val="center"/>
              <w:rPr>
                <w:rFonts w:hint="default" w:eastAsia="宋体"/>
                <w:color w:val="auto"/>
                <w:sz w:val="18"/>
                <w:szCs w:val="18"/>
                <w:lang w:val="en-US" w:eastAsia="zh-CN"/>
              </w:rPr>
            </w:pPr>
            <w:r>
              <w:rPr>
                <w:rFonts w:hint="eastAsia"/>
                <w:color w:val="auto"/>
                <w:sz w:val="18"/>
                <w:szCs w:val="18"/>
                <w:lang w:val="en-US" w:eastAsia="zh-CN"/>
              </w:rPr>
              <w:t>52.80</w:t>
            </w:r>
          </w:p>
        </w:tc>
        <w:tc>
          <w:tcPr>
            <w:tcW w:w="2245" w:type="dxa"/>
            <w:vAlign w:val="bottom"/>
          </w:tcPr>
          <w:p>
            <w:pPr>
              <w:widowControl/>
              <w:jc w:val="center"/>
              <w:rPr>
                <w:rFonts w:hint="default" w:eastAsia="宋体"/>
                <w:color w:val="auto"/>
                <w:sz w:val="18"/>
                <w:szCs w:val="18"/>
                <w:lang w:val="en-US" w:eastAsia="zh-CN"/>
              </w:rPr>
            </w:pPr>
            <w:r>
              <w:rPr>
                <w:rFonts w:hint="eastAsia"/>
                <w:color w:val="auto"/>
                <w:sz w:val="18"/>
                <w:szCs w:val="18"/>
                <w:lang w:val="en-US" w:eastAsia="zh-CN"/>
              </w:rPr>
              <w:t>55.92</w:t>
            </w:r>
          </w:p>
        </w:tc>
        <w:tc>
          <w:tcPr>
            <w:tcW w:w="2178" w:type="dxa"/>
            <w:vAlign w:val="top"/>
          </w:tcPr>
          <w:p>
            <w:pPr>
              <w:widowControl/>
              <w:jc w:val="center"/>
              <w:rPr>
                <w:rFonts w:hint="default" w:eastAsia="宋体"/>
                <w:color w:val="auto"/>
                <w:sz w:val="18"/>
                <w:szCs w:val="18"/>
                <w:lang w:val="en-US" w:eastAsia="zh-CN"/>
              </w:rPr>
            </w:pPr>
            <w:r>
              <w:rPr>
                <w:rFonts w:hint="eastAsia"/>
                <w:color w:val="auto"/>
                <w:sz w:val="18"/>
                <w:szCs w:val="18"/>
                <w:lang w:val="en-US" w:eastAsia="zh-CN"/>
              </w:rPr>
              <w:t>58.32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7" w:hRule="atLeast"/>
          <w:jc w:val="center"/>
        </w:trPr>
        <w:tc>
          <w:tcPr>
            <w:tcW w:w="2510" w:type="dxa"/>
            <w:vAlign w:val="top"/>
          </w:tcPr>
          <w:p>
            <w:pPr>
              <w:jc w:val="center"/>
              <w:rPr>
                <w:color w:val="auto"/>
              </w:rPr>
            </w:pPr>
            <w:r>
              <w:rPr>
                <w:rFonts w:hint="eastAsia"/>
                <w:i/>
                <w:iCs/>
                <w:color w:val="auto"/>
              </w:rPr>
              <w:t>r</w:t>
            </w:r>
            <w:r>
              <w:rPr>
                <w:color w:val="auto"/>
              </w:rPr>
              <w:t>/%</w:t>
            </w:r>
          </w:p>
        </w:tc>
        <w:tc>
          <w:tcPr>
            <w:tcW w:w="2245" w:type="dxa"/>
            <w:vAlign w:val="center"/>
          </w:tcPr>
          <w:p>
            <w:pPr>
              <w:jc w:val="center"/>
              <w:rPr>
                <w:rFonts w:hint="default" w:eastAsia="宋体"/>
                <w:color w:val="auto"/>
                <w:sz w:val="18"/>
                <w:szCs w:val="18"/>
                <w:lang w:val="en-US" w:eastAsia="zh-CN"/>
              </w:rPr>
            </w:pPr>
            <w:r>
              <w:rPr>
                <w:rFonts w:hint="eastAsia"/>
                <w:color w:val="auto"/>
                <w:sz w:val="18"/>
                <w:szCs w:val="18"/>
                <w:lang w:val="en-US" w:eastAsia="zh-CN"/>
              </w:rPr>
              <w:t>0.10</w:t>
            </w:r>
          </w:p>
        </w:tc>
        <w:tc>
          <w:tcPr>
            <w:tcW w:w="2245" w:type="dxa"/>
            <w:vAlign w:val="center"/>
          </w:tcPr>
          <w:p>
            <w:pPr>
              <w:jc w:val="center"/>
              <w:rPr>
                <w:rFonts w:hint="eastAsia" w:eastAsia="宋体"/>
                <w:color w:val="auto"/>
                <w:sz w:val="18"/>
                <w:szCs w:val="18"/>
                <w:lang w:val="en-US" w:eastAsia="zh-CN"/>
              </w:rPr>
            </w:pPr>
            <w:r>
              <w:rPr>
                <w:rFonts w:hint="eastAsia"/>
                <w:color w:val="auto"/>
                <w:sz w:val="18"/>
                <w:szCs w:val="18"/>
              </w:rPr>
              <w:t>0.1</w:t>
            </w:r>
            <w:r>
              <w:rPr>
                <w:rFonts w:hint="eastAsia"/>
                <w:color w:val="auto"/>
                <w:sz w:val="18"/>
                <w:szCs w:val="18"/>
                <w:lang w:val="en-US" w:eastAsia="zh-CN"/>
              </w:rPr>
              <w:t>1</w:t>
            </w:r>
          </w:p>
        </w:tc>
        <w:tc>
          <w:tcPr>
            <w:tcW w:w="2178" w:type="dxa"/>
            <w:vAlign w:val="center"/>
          </w:tcPr>
          <w:p>
            <w:pPr>
              <w:jc w:val="center"/>
              <w:rPr>
                <w:rFonts w:hint="eastAsia" w:eastAsia="宋体"/>
                <w:color w:val="auto"/>
                <w:sz w:val="18"/>
                <w:szCs w:val="18"/>
                <w:lang w:eastAsia="zh-CN"/>
              </w:rPr>
            </w:pPr>
            <w:r>
              <w:rPr>
                <w:rFonts w:hint="eastAsia"/>
                <w:color w:val="auto"/>
                <w:sz w:val="18"/>
                <w:szCs w:val="18"/>
              </w:rPr>
              <w:t>0.1</w:t>
            </w:r>
            <w:r>
              <w:rPr>
                <w:rFonts w:hint="eastAsia"/>
                <w:color w:val="auto"/>
                <w:sz w:val="18"/>
                <w:szCs w:val="18"/>
                <w:lang w:val="en-US" w:eastAsia="zh-CN"/>
              </w:rPr>
              <w:t>3</w:t>
            </w:r>
          </w:p>
        </w:tc>
      </w:tr>
    </w:tbl>
    <w:p>
      <w:pPr>
        <w:autoSpaceDE w:val="0"/>
        <w:autoSpaceDN w:val="0"/>
        <w:spacing w:beforeLines="50" w:afterLines="50"/>
        <w:rPr>
          <w:rFonts w:ascii="黑体" w:hAnsi="黑体" w:eastAsia="黑体" w:cs="黑体"/>
          <w:color w:val="auto"/>
          <w:kern w:val="0"/>
        </w:rPr>
      </w:pPr>
      <w:r>
        <w:rPr>
          <w:rFonts w:hint="eastAsia" w:ascii="黑体" w:hAnsi="黑体" w:eastAsia="黑体" w:cs="黑体"/>
          <w:color w:val="auto"/>
          <w:kern w:val="0"/>
          <w:lang w:val="en-US" w:eastAsia="zh-CN"/>
        </w:rPr>
        <w:t>8</w:t>
      </w:r>
      <w:r>
        <w:rPr>
          <w:rFonts w:hint="eastAsia" w:ascii="黑体" w:hAnsi="黑体" w:eastAsia="黑体" w:cs="黑体"/>
          <w:color w:val="auto"/>
          <w:kern w:val="0"/>
        </w:rPr>
        <w:t>.2 再现性</w:t>
      </w:r>
    </w:p>
    <w:p>
      <w:pPr>
        <w:autoSpaceDE w:val="0"/>
        <w:autoSpaceDN w:val="0"/>
        <w:ind w:firstLine="420" w:firstLineChars="200"/>
        <w:rPr>
          <w:rFonts w:ascii="黑体" w:hAnsi="黑体" w:eastAsia="黑体" w:cs="黑体"/>
          <w:color w:val="auto"/>
          <w:kern w:val="0"/>
        </w:rPr>
      </w:pPr>
      <w:r>
        <w:rPr>
          <w:rFonts w:hint="eastAsia"/>
          <w:color w:val="auto"/>
          <w:kern w:val="0"/>
        </w:rPr>
        <w:t>在再现性条件下获得的两次独立测试结果的绝对差值不超过再现性限（</w:t>
      </w:r>
      <w:r>
        <w:rPr>
          <w:rFonts w:hint="eastAsia"/>
          <w:i/>
          <w:iCs/>
          <w:color w:val="auto"/>
          <w:kern w:val="0"/>
        </w:rPr>
        <w:t>R</w:t>
      </w:r>
      <w:r>
        <w:rPr>
          <w:rFonts w:hint="eastAsia"/>
          <w:color w:val="auto"/>
          <w:kern w:val="0"/>
        </w:rPr>
        <w:t>），超过再现性限（</w:t>
      </w:r>
      <w:r>
        <w:rPr>
          <w:rFonts w:hint="eastAsia"/>
          <w:i/>
          <w:iCs/>
          <w:color w:val="auto"/>
          <w:kern w:val="0"/>
        </w:rPr>
        <w:t>R</w:t>
      </w:r>
      <w:r>
        <w:rPr>
          <w:rFonts w:hint="eastAsia"/>
          <w:color w:val="auto"/>
          <w:kern w:val="0"/>
        </w:rPr>
        <w:t>）的情况下不超过5%。再现性限（</w:t>
      </w:r>
      <w:r>
        <w:rPr>
          <w:rFonts w:hint="eastAsia"/>
          <w:i/>
          <w:iCs/>
          <w:color w:val="auto"/>
          <w:kern w:val="0"/>
        </w:rPr>
        <w:t>R</w:t>
      </w:r>
      <w:r>
        <w:rPr>
          <w:rFonts w:hint="eastAsia"/>
          <w:color w:val="auto"/>
          <w:kern w:val="0"/>
        </w:rPr>
        <w:t>）按表</w:t>
      </w:r>
      <w:r>
        <w:rPr>
          <w:rFonts w:hint="eastAsia"/>
          <w:color w:val="auto"/>
          <w:kern w:val="0"/>
          <w:lang w:val="en-US" w:eastAsia="zh-CN"/>
        </w:rPr>
        <w:t>5</w:t>
      </w:r>
      <w:r>
        <w:rPr>
          <w:rFonts w:hint="eastAsia"/>
          <w:color w:val="auto"/>
          <w:kern w:val="0"/>
        </w:rPr>
        <w:t>数据采用内线性内插法求得。</w:t>
      </w:r>
    </w:p>
    <w:p>
      <w:pPr>
        <w:autoSpaceDE w:val="0"/>
        <w:autoSpaceDN w:val="0"/>
        <w:jc w:val="center"/>
        <w:rPr>
          <w:rFonts w:ascii="黑体" w:hAnsi="黑体" w:eastAsia="黑体" w:cs="黑体"/>
          <w:color w:val="auto"/>
          <w:kern w:val="0"/>
        </w:rPr>
      </w:pPr>
      <w:r>
        <w:rPr>
          <w:rFonts w:hint="default" w:ascii="Times New Roman" w:hAnsi="Times New Roman" w:eastAsia="黑体" w:cs="Times New Roman"/>
          <w:color w:val="auto"/>
          <w:kern w:val="0"/>
        </w:rPr>
        <w:t>表</w:t>
      </w:r>
      <w:r>
        <w:rPr>
          <w:rFonts w:hint="default" w:ascii="Times New Roman" w:hAnsi="Times New Roman" w:eastAsia="黑体" w:cs="Times New Roman"/>
          <w:color w:val="auto"/>
          <w:kern w:val="0"/>
          <w:lang w:val="en-US" w:eastAsia="zh-CN"/>
        </w:rPr>
        <w:t>5</w:t>
      </w:r>
      <w:r>
        <w:rPr>
          <w:rFonts w:hint="default" w:ascii="Times New Roman" w:hAnsi="Times New Roman" w:eastAsia="黑体" w:cs="Times New Roman"/>
          <w:color w:val="auto"/>
          <w:kern w:val="0"/>
        </w:rPr>
        <w:t xml:space="preserve"> 再</w:t>
      </w:r>
      <w:r>
        <w:rPr>
          <w:rFonts w:hint="eastAsia" w:ascii="黑体" w:hAnsi="黑体" w:eastAsia="黑体" w:cs="黑体"/>
          <w:color w:val="auto"/>
          <w:kern w:val="0"/>
        </w:rPr>
        <w:t>现性限</w:t>
      </w:r>
    </w:p>
    <w:tbl>
      <w:tblPr>
        <w:tblStyle w:val="31"/>
        <w:tblW w:w="9105" w:type="dxa"/>
        <w:jc w:val="center"/>
        <w:tblInd w:w="-170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59"/>
        <w:gridCol w:w="2248"/>
        <w:gridCol w:w="2248"/>
        <w:gridCol w:w="22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59" w:type="dxa"/>
            <w:vAlign w:val="top"/>
          </w:tcPr>
          <w:p>
            <w:pPr>
              <w:jc w:val="center"/>
              <w:rPr>
                <w:color w:val="auto"/>
              </w:rPr>
            </w:pPr>
            <w:r>
              <w:rPr>
                <w:rFonts w:hint="eastAsia"/>
                <w:i/>
                <w:color w:val="auto"/>
                <w:lang w:val="zh-CN"/>
              </w:rPr>
              <w:t>w</w:t>
            </w:r>
            <w:r>
              <w:rPr>
                <w:color w:val="auto"/>
                <w:vertAlign w:val="subscript"/>
              </w:rPr>
              <w:t>pt</w:t>
            </w:r>
            <w:r>
              <w:rPr>
                <w:rFonts w:hint="eastAsia"/>
                <w:color w:val="auto"/>
              </w:rPr>
              <w:t>%</w:t>
            </w:r>
          </w:p>
        </w:tc>
        <w:tc>
          <w:tcPr>
            <w:tcW w:w="2248" w:type="dxa"/>
            <w:vAlign w:val="bottom"/>
          </w:tcPr>
          <w:p>
            <w:pPr>
              <w:widowControl/>
              <w:jc w:val="center"/>
              <w:rPr>
                <w:color w:val="auto"/>
                <w:sz w:val="18"/>
                <w:szCs w:val="18"/>
              </w:rPr>
            </w:pPr>
            <w:r>
              <w:rPr>
                <w:rFonts w:hint="eastAsia"/>
                <w:color w:val="auto"/>
                <w:sz w:val="18"/>
                <w:szCs w:val="18"/>
                <w:lang w:val="en-US" w:eastAsia="zh-CN"/>
              </w:rPr>
              <w:t>52.80</w:t>
            </w:r>
          </w:p>
        </w:tc>
        <w:tc>
          <w:tcPr>
            <w:tcW w:w="2248" w:type="dxa"/>
            <w:vAlign w:val="bottom"/>
          </w:tcPr>
          <w:p>
            <w:pPr>
              <w:widowControl/>
              <w:jc w:val="center"/>
              <w:rPr>
                <w:color w:val="auto"/>
                <w:sz w:val="18"/>
                <w:szCs w:val="18"/>
              </w:rPr>
            </w:pPr>
            <w:r>
              <w:rPr>
                <w:rFonts w:hint="eastAsia"/>
                <w:color w:val="auto"/>
                <w:sz w:val="18"/>
                <w:szCs w:val="18"/>
                <w:lang w:val="en-US" w:eastAsia="zh-CN"/>
              </w:rPr>
              <w:t>55.92</w:t>
            </w:r>
          </w:p>
        </w:tc>
        <w:tc>
          <w:tcPr>
            <w:tcW w:w="2250" w:type="dxa"/>
            <w:vAlign w:val="top"/>
          </w:tcPr>
          <w:p>
            <w:pPr>
              <w:widowControl/>
              <w:jc w:val="center"/>
              <w:rPr>
                <w:color w:val="auto"/>
                <w:sz w:val="18"/>
                <w:szCs w:val="18"/>
              </w:rPr>
            </w:pPr>
            <w:r>
              <w:rPr>
                <w:rFonts w:hint="eastAsia"/>
                <w:color w:val="auto"/>
                <w:sz w:val="18"/>
                <w:szCs w:val="18"/>
                <w:lang w:val="en-US" w:eastAsia="zh-CN"/>
              </w:rPr>
              <w:t>58.32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59" w:type="dxa"/>
            <w:vAlign w:val="top"/>
          </w:tcPr>
          <w:p>
            <w:pPr>
              <w:jc w:val="center"/>
              <w:rPr>
                <w:color w:val="auto"/>
              </w:rPr>
            </w:pPr>
            <w:r>
              <w:rPr>
                <w:rFonts w:hint="eastAsia"/>
                <w:i/>
                <w:iCs/>
                <w:color w:val="auto"/>
              </w:rPr>
              <w:t>R</w:t>
            </w:r>
            <w:r>
              <w:rPr>
                <w:color w:val="auto"/>
              </w:rPr>
              <w:t>/%</w:t>
            </w:r>
          </w:p>
        </w:tc>
        <w:tc>
          <w:tcPr>
            <w:tcW w:w="2248" w:type="dxa"/>
            <w:vAlign w:val="center"/>
          </w:tcPr>
          <w:p>
            <w:pPr>
              <w:jc w:val="center"/>
              <w:rPr>
                <w:rFonts w:hint="default" w:eastAsia="宋体"/>
                <w:color w:val="auto"/>
                <w:sz w:val="18"/>
                <w:szCs w:val="18"/>
                <w:lang w:val="en-US" w:eastAsia="zh-CN"/>
              </w:rPr>
            </w:pPr>
            <w:r>
              <w:rPr>
                <w:rFonts w:hint="eastAsia"/>
                <w:color w:val="auto"/>
                <w:sz w:val="18"/>
                <w:szCs w:val="18"/>
                <w:lang w:val="en-US" w:eastAsia="zh-CN"/>
              </w:rPr>
              <w:t>0.11</w:t>
            </w:r>
          </w:p>
        </w:tc>
        <w:tc>
          <w:tcPr>
            <w:tcW w:w="2248" w:type="dxa"/>
            <w:vAlign w:val="center"/>
          </w:tcPr>
          <w:p>
            <w:pPr>
              <w:jc w:val="center"/>
              <w:rPr>
                <w:rFonts w:hint="default" w:eastAsia="宋体"/>
                <w:color w:val="auto"/>
                <w:sz w:val="18"/>
                <w:szCs w:val="18"/>
                <w:lang w:val="en-US" w:eastAsia="zh-CN"/>
              </w:rPr>
            </w:pPr>
            <w:r>
              <w:rPr>
                <w:rFonts w:hint="eastAsia"/>
                <w:color w:val="auto"/>
                <w:sz w:val="18"/>
                <w:szCs w:val="18"/>
                <w:lang w:val="en-US" w:eastAsia="zh-CN"/>
              </w:rPr>
              <w:t>0.13</w:t>
            </w:r>
          </w:p>
        </w:tc>
        <w:tc>
          <w:tcPr>
            <w:tcW w:w="2250" w:type="dxa"/>
            <w:vAlign w:val="center"/>
          </w:tcPr>
          <w:p>
            <w:pPr>
              <w:jc w:val="center"/>
              <w:rPr>
                <w:rFonts w:hint="default" w:eastAsia="宋体"/>
                <w:color w:val="auto"/>
                <w:sz w:val="18"/>
                <w:szCs w:val="18"/>
                <w:lang w:val="en-US" w:eastAsia="zh-CN"/>
              </w:rPr>
            </w:pPr>
            <w:r>
              <w:rPr>
                <w:rFonts w:hint="eastAsia"/>
                <w:color w:val="auto"/>
                <w:sz w:val="18"/>
                <w:szCs w:val="18"/>
                <w:lang w:val="en-US" w:eastAsia="zh-CN"/>
              </w:rPr>
              <w:t>0.15</w:t>
            </w:r>
          </w:p>
        </w:tc>
      </w:tr>
    </w:tbl>
    <w:p>
      <w:pPr>
        <w:pStyle w:val="46"/>
        <w:spacing w:beforeLines="100" w:afterLines="100"/>
        <w:rPr>
          <w:rFonts w:hAnsi="黑体"/>
          <w:bCs/>
          <w:color w:val="auto"/>
        </w:rPr>
      </w:pPr>
      <w:r>
        <w:rPr>
          <w:rFonts w:hint="eastAsia" w:hAnsi="黑体"/>
          <w:bCs/>
          <w:color w:val="auto"/>
          <w:lang w:val="en-US" w:eastAsia="zh-CN"/>
        </w:rPr>
        <w:t>9</w:t>
      </w:r>
      <w:r>
        <w:rPr>
          <w:rFonts w:hint="eastAsia" w:hAnsi="黑体"/>
          <w:bCs/>
          <w:color w:val="auto"/>
        </w:rPr>
        <w:t xml:space="preserve"> 试验报告</w:t>
      </w:r>
    </w:p>
    <w:p>
      <w:pPr>
        <w:autoSpaceDE w:val="0"/>
        <w:autoSpaceDN w:val="0"/>
        <w:ind w:firstLine="420" w:firstLineChars="200"/>
        <w:rPr>
          <w:color w:val="auto"/>
          <w:kern w:val="0"/>
        </w:rPr>
      </w:pPr>
      <w:r>
        <w:rPr>
          <w:rFonts w:hint="eastAsia"/>
          <w:color w:val="auto"/>
          <w:kern w:val="0"/>
        </w:rPr>
        <w:t>试验报告至少应给出以下几个方面的内容：</w:t>
      </w:r>
    </w:p>
    <w:p>
      <w:pPr>
        <w:autoSpaceDE w:val="0"/>
        <w:autoSpaceDN w:val="0"/>
        <w:ind w:firstLine="420" w:firstLineChars="200"/>
        <w:rPr>
          <w:color w:val="auto"/>
          <w:kern w:val="0"/>
        </w:rPr>
      </w:pPr>
      <w:r>
        <w:rPr>
          <w:color w:val="auto"/>
        </w:rPr>
        <w:t>——</w:t>
      </w:r>
      <w:r>
        <w:rPr>
          <w:rFonts w:hint="eastAsia"/>
          <w:color w:val="auto"/>
          <w:kern w:val="0"/>
        </w:rPr>
        <w:t>试样；</w:t>
      </w:r>
    </w:p>
    <w:p>
      <w:pPr>
        <w:tabs>
          <w:tab w:val="left" w:pos="501"/>
        </w:tabs>
        <w:autoSpaceDE w:val="0"/>
        <w:autoSpaceDN w:val="0"/>
        <w:ind w:firstLine="420" w:firstLineChars="200"/>
        <w:rPr>
          <w:color w:val="auto"/>
          <w:kern w:val="0"/>
        </w:rPr>
      </w:pPr>
      <w:r>
        <w:rPr>
          <w:color w:val="auto"/>
        </w:rPr>
        <w:t>——</w:t>
      </w:r>
      <w:r>
        <w:rPr>
          <w:rFonts w:hint="eastAsia"/>
          <w:color w:val="auto"/>
          <w:kern w:val="0"/>
        </w:rPr>
        <w:t>使用的标准；</w:t>
      </w:r>
    </w:p>
    <w:p>
      <w:pPr>
        <w:tabs>
          <w:tab w:val="left" w:pos="501"/>
        </w:tabs>
        <w:autoSpaceDE w:val="0"/>
        <w:autoSpaceDN w:val="0"/>
        <w:ind w:firstLine="420" w:firstLineChars="200"/>
        <w:rPr>
          <w:color w:val="auto"/>
          <w:kern w:val="0"/>
        </w:rPr>
      </w:pPr>
      <w:r>
        <w:rPr>
          <w:color w:val="auto"/>
        </w:rPr>
        <w:t>——</w:t>
      </w:r>
      <w:r>
        <w:rPr>
          <w:rFonts w:hint="eastAsia"/>
          <w:color w:val="auto"/>
          <w:kern w:val="0"/>
        </w:rPr>
        <w:t>分析结果及其表示；</w:t>
      </w:r>
    </w:p>
    <w:p>
      <w:pPr>
        <w:autoSpaceDE w:val="0"/>
        <w:autoSpaceDN w:val="0"/>
        <w:ind w:firstLine="420" w:firstLineChars="200"/>
        <w:rPr>
          <w:color w:val="auto"/>
          <w:kern w:val="0"/>
        </w:rPr>
      </w:pPr>
      <w:r>
        <w:rPr>
          <w:color w:val="auto"/>
        </w:rPr>
        <w:t>——</w:t>
      </w:r>
      <w:r>
        <w:rPr>
          <w:rFonts w:hint="eastAsia"/>
          <w:color w:val="auto"/>
          <w:kern w:val="0"/>
        </w:rPr>
        <w:t>与基本分析步骤的差异；</w:t>
      </w:r>
    </w:p>
    <w:p>
      <w:pPr>
        <w:autoSpaceDE w:val="0"/>
        <w:autoSpaceDN w:val="0"/>
        <w:ind w:firstLine="420" w:firstLineChars="200"/>
        <w:rPr>
          <w:color w:val="auto"/>
          <w:kern w:val="0"/>
        </w:rPr>
      </w:pPr>
      <w:r>
        <w:rPr>
          <w:color w:val="auto"/>
        </w:rPr>
        <w:t>——</w:t>
      </w:r>
      <w:r>
        <w:rPr>
          <w:rFonts w:hint="eastAsia"/>
          <w:color w:val="auto"/>
          <w:kern w:val="0"/>
        </w:rPr>
        <w:t>测定中观察到的异常现象；</w:t>
      </w:r>
    </w:p>
    <w:p>
      <w:pPr>
        <w:autoSpaceDE w:val="0"/>
        <w:autoSpaceDN w:val="0"/>
        <w:ind w:firstLine="420" w:firstLineChars="200"/>
        <w:rPr>
          <w:color w:val="auto"/>
          <w:kern w:val="0"/>
        </w:rPr>
      </w:pPr>
      <w:r>
        <w:rPr>
          <w:color w:val="auto"/>
        </w:rPr>
        <w:t>——</w:t>
      </w:r>
      <w:r>
        <w:rPr>
          <w:rFonts w:hint="eastAsia"/>
          <w:color w:val="auto"/>
          <w:kern w:val="0"/>
        </w:rPr>
        <w:t>试验日期。</w:t>
      </w:r>
    </w:p>
    <w:p>
      <w:pPr>
        <w:autoSpaceDE w:val="0"/>
        <w:autoSpaceDN w:val="0"/>
        <w:rPr>
          <w:rFonts w:hint="eastAsia"/>
          <w:color w:val="auto"/>
          <w:kern w:val="0"/>
        </w:rPr>
      </w:pPr>
    </w:p>
    <w:p>
      <w:pPr>
        <w:autoSpaceDE w:val="0"/>
        <w:autoSpaceDN w:val="0"/>
        <w:rPr>
          <w:color w:val="auto"/>
          <w:kern w:val="0"/>
        </w:rPr>
      </w:pPr>
    </w:p>
    <w:p>
      <w:pPr>
        <w:spacing w:line="360" w:lineRule="auto"/>
        <w:outlineLvl w:val="0"/>
        <w:rPr>
          <w:rFonts w:ascii="黑体" w:hAnsi="黑体" w:eastAsia="黑体" w:cs="黑体"/>
          <w:color w:val="auto"/>
          <w:spacing w:val="6"/>
        </w:rPr>
      </w:pPr>
      <w:r>
        <w:rPr>
          <w:rFonts w:hint="eastAsia"/>
          <w:color w:val="auto"/>
          <w:spacing w:val="6"/>
        </w:rPr>
        <w:t xml:space="preserve">                            </w:t>
      </w:r>
      <w:r>
        <w:rPr>
          <w:rFonts w:hint="eastAsia"/>
          <w:b/>
          <w:bCs/>
          <w:color w:val="auto"/>
          <w:spacing w:val="6"/>
          <w:u w:val="single"/>
        </w:rPr>
        <w:t xml:space="preserve">                      </w:t>
      </w:r>
      <w:r>
        <w:rPr>
          <w:rFonts w:hint="eastAsia"/>
          <w:color w:val="auto"/>
          <w:spacing w:val="6"/>
        </w:rPr>
        <w:t xml:space="preserve">           </w:t>
      </w:r>
    </w:p>
    <w:sectPr>
      <w:headerReference r:id="rId8" w:type="default"/>
      <w:pgSz w:w="11906" w:h="16838"/>
      <w:pgMar w:top="1418" w:right="1134" w:bottom="1440"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9"/>
      <w:rPr>
        <w:rStyle w:val="19"/>
      </w:rPr>
    </w:pPr>
    <w:r>
      <w:fldChar w:fldCharType="begin"/>
    </w:r>
    <w:r>
      <w:instrText xml:space="preserve">PAGE  </w:instrText>
    </w:r>
    <w:r>
      <w:fldChar w:fldCharType="separate"/>
    </w:r>
    <w:r>
      <w:t>I</w:t>
    </w:r>
    <w:r>
      <w:rPr>
        <w:rStyle w:val="1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ind w:left="5760" w:right="360" w:hanging="5760" w:hangingChars="3200"/>
      <w:jc w:val="right"/>
      <w:rPr>
        <w:rFonts w:ascii="宋体" w:hAnsi="宋体" w:cs="宋体"/>
      </w:rPr>
    </w:pPr>
    <w:r>
      <w:rPr>
        <w:rFonts w:hint="eastAsia" w:ascii="宋体" w:hAnsi="宋体" w:cs="宋体"/>
      </w:rPr>
      <w:fldChar w:fldCharType="begin"/>
    </w:r>
    <w:r>
      <w:rPr>
        <w:rFonts w:hint="eastAsia" w:ascii="宋体" w:hAnsi="宋体" w:cs="宋体"/>
      </w:rPr>
      <w:instrText xml:space="preserve"> PAGE </w:instrText>
    </w:r>
    <w:r>
      <w:rPr>
        <w:rFonts w:hint="eastAsia" w:ascii="宋体" w:hAnsi="宋体" w:cs="宋体"/>
      </w:rPr>
      <w:fldChar w:fldCharType="separate"/>
    </w:r>
    <w:r>
      <w:rPr>
        <w:rFonts w:ascii="宋体" w:hAnsi="宋体" w:cs="宋体"/>
      </w:rPr>
      <w:t>2</w:t>
    </w:r>
    <w:r>
      <w:rPr>
        <w:rFonts w:hint="eastAsia" w:ascii="宋体" w:hAnsi="宋体" w:cs="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6"/>
      <w:wordWrap w:val="0"/>
      <w:rPr>
        <w:rFonts w:ascii="黑体" w:hAnsi="黑体" w:eastAsia="黑体" w:cs="黑体"/>
      </w:rPr>
    </w:pPr>
    <w:r>
      <w:rPr>
        <w:rFonts w:hint="eastAsia" w:ascii="黑体" w:hAnsi="黑体" w:eastAsia="黑体" w:cs="黑体"/>
      </w:rPr>
      <w:t>YS/T XX—20XX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6"/>
      <w:wordWrap w:val="0"/>
      <w:rPr>
        <w:rFonts w:ascii="黑体" w:eastAsia="黑体"/>
      </w:rPr>
    </w:pPr>
  </w:p>
  <w:p>
    <w:pPr>
      <w:pStyle w:val="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6"/>
      <w:wordWrap w:val="0"/>
      <w:rPr>
        <w:rFonts w:ascii="黑体" w:hAnsi="黑体" w:eastAsia="黑体" w:cs="黑体"/>
      </w:rPr>
    </w:pPr>
    <w:r>
      <w:rPr>
        <w:rFonts w:hint="eastAsia" w:ascii="黑体" w:hAnsi="黑体" w:eastAsia="黑体" w:cs="黑体"/>
      </w:rPr>
      <w:t>YS/T XX—20XX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F1E08"/>
    <w:rsid w:val="00001B4C"/>
    <w:rsid w:val="00020C6F"/>
    <w:rsid w:val="000226CE"/>
    <w:rsid w:val="00025CAC"/>
    <w:rsid w:val="00027EC5"/>
    <w:rsid w:val="00036E47"/>
    <w:rsid w:val="00044B6C"/>
    <w:rsid w:val="00047117"/>
    <w:rsid w:val="0006521B"/>
    <w:rsid w:val="00072465"/>
    <w:rsid w:val="00085BFE"/>
    <w:rsid w:val="0009196D"/>
    <w:rsid w:val="0009235A"/>
    <w:rsid w:val="00094712"/>
    <w:rsid w:val="000A0871"/>
    <w:rsid w:val="000A2233"/>
    <w:rsid w:val="000B0AEB"/>
    <w:rsid w:val="000B400C"/>
    <w:rsid w:val="000C45D9"/>
    <w:rsid w:val="000D6DC6"/>
    <w:rsid w:val="000E2073"/>
    <w:rsid w:val="000E4C95"/>
    <w:rsid w:val="000F0DA1"/>
    <w:rsid w:val="000F1E08"/>
    <w:rsid w:val="00101F7A"/>
    <w:rsid w:val="00106436"/>
    <w:rsid w:val="00111E54"/>
    <w:rsid w:val="00112888"/>
    <w:rsid w:val="00121280"/>
    <w:rsid w:val="00122BAB"/>
    <w:rsid w:val="001303EE"/>
    <w:rsid w:val="00132043"/>
    <w:rsid w:val="001344B9"/>
    <w:rsid w:val="00137C48"/>
    <w:rsid w:val="00141170"/>
    <w:rsid w:val="0014609B"/>
    <w:rsid w:val="00155319"/>
    <w:rsid w:val="00162F84"/>
    <w:rsid w:val="00170A6D"/>
    <w:rsid w:val="00174FEA"/>
    <w:rsid w:val="00175740"/>
    <w:rsid w:val="001845C0"/>
    <w:rsid w:val="00192C4F"/>
    <w:rsid w:val="00194684"/>
    <w:rsid w:val="001A05FF"/>
    <w:rsid w:val="001A1F39"/>
    <w:rsid w:val="001B32FE"/>
    <w:rsid w:val="001B46B1"/>
    <w:rsid w:val="001B4CFC"/>
    <w:rsid w:val="001C1340"/>
    <w:rsid w:val="001F42C8"/>
    <w:rsid w:val="0020334F"/>
    <w:rsid w:val="00204D90"/>
    <w:rsid w:val="0020611F"/>
    <w:rsid w:val="00211F4A"/>
    <w:rsid w:val="00217F9C"/>
    <w:rsid w:val="00232148"/>
    <w:rsid w:val="00241DCE"/>
    <w:rsid w:val="00242B78"/>
    <w:rsid w:val="0025163F"/>
    <w:rsid w:val="00270618"/>
    <w:rsid w:val="00274D57"/>
    <w:rsid w:val="0028203A"/>
    <w:rsid w:val="00286E21"/>
    <w:rsid w:val="0029112A"/>
    <w:rsid w:val="00292F26"/>
    <w:rsid w:val="00297BCF"/>
    <w:rsid w:val="002B1AFD"/>
    <w:rsid w:val="002B7603"/>
    <w:rsid w:val="002C1F9F"/>
    <w:rsid w:val="002C3880"/>
    <w:rsid w:val="002D0A39"/>
    <w:rsid w:val="002E0A4F"/>
    <w:rsid w:val="002F777D"/>
    <w:rsid w:val="00301C3A"/>
    <w:rsid w:val="003379F6"/>
    <w:rsid w:val="0034161A"/>
    <w:rsid w:val="00343E52"/>
    <w:rsid w:val="003452D4"/>
    <w:rsid w:val="003527A9"/>
    <w:rsid w:val="00356573"/>
    <w:rsid w:val="003662A5"/>
    <w:rsid w:val="00370378"/>
    <w:rsid w:val="00373167"/>
    <w:rsid w:val="0037491E"/>
    <w:rsid w:val="00377EA3"/>
    <w:rsid w:val="00387DBF"/>
    <w:rsid w:val="00394450"/>
    <w:rsid w:val="003A2EC5"/>
    <w:rsid w:val="003A7B82"/>
    <w:rsid w:val="003C6A22"/>
    <w:rsid w:val="003D69EA"/>
    <w:rsid w:val="003E021D"/>
    <w:rsid w:val="003E12E8"/>
    <w:rsid w:val="003F0B44"/>
    <w:rsid w:val="00402FA2"/>
    <w:rsid w:val="0040344B"/>
    <w:rsid w:val="0040444D"/>
    <w:rsid w:val="00430770"/>
    <w:rsid w:val="00432BB6"/>
    <w:rsid w:val="00443ED9"/>
    <w:rsid w:val="004470A4"/>
    <w:rsid w:val="00472462"/>
    <w:rsid w:val="00474C86"/>
    <w:rsid w:val="00476C9F"/>
    <w:rsid w:val="004905C2"/>
    <w:rsid w:val="00493869"/>
    <w:rsid w:val="00495FF2"/>
    <w:rsid w:val="004A7247"/>
    <w:rsid w:val="004C6DC4"/>
    <w:rsid w:val="004D3976"/>
    <w:rsid w:val="004E4C8E"/>
    <w:rsid w:val="004E4D12"/>
    <w:rsid w:val="00507C47"/>
    <w:rsid w:val="005123F2"/>
    <w:rsid w:val="0051494D"/>
    <w:rsid w:val="005364F3"/>
    <w:rsid w:val="0053758F"/>
    <w:rsid w:val="00541772"/>
    <w:rsid w:val="00550239"/>
    <w:rsid w:val="00551AE0"/>
    <w:rsid w:val="005608A9"/>
    <w:rsid w:val="005764C5"/>
    <w:rsid w:val="00580C1D"/>
    <w:rsid w:val="00581635"/>
    <w:rsid w:val="005A5663"/>
    <w:rsid w:val="005A6101"/>
    <w:rsid w:val="005C0D53"/>
    <w:rsid w:val="005C5ADC"/>
    <w:rsid w:val="005D30F1"/>
    <w:rsid w:val="005E6494"/>
    <w:rsid w:val="005F0004"/>
    <w:rsid w:val="005F1C92"/>
    <w:rsid w:val="00604796"/>
    <w:rsid w:val="00610C50"/>
    <w:rsid w:val="006135FE"/>
    <w:rsid w:val="00613731"/>
    <w:rsid w:val="00626962"/>
    <w:rsid w:val="0063121D"/>
    <w:rsid w:val="00637A0D"/>
    <w:rsid w:val="00646BC7"/>
    <w:rsid w:val="00646FFF"/>
    <w:rsid w:val="0067402B"/>
    <w:rsid w:val="0067728B"/>
    <w:rsid w:val="00677D84"/>
    <w:rsid w:val="006927D0"/>
    <w:rsid w:val="0069308A"/>
    <w:rsid w:val="006B3E88"/>
    <w:rsid w:val="006B5013"/>
    <w:rsid w:val="006C2B13"/>
    <w:rsid w:val="006D1869"/>
    <w:rsid w:val="006D1F04"/>
    <w:rsid w:val="006D7C9B"/>
    <w:rsid w:val="006F0AD6"/>
    <w:rsid w:val="006F0DB3"/>
    <w:rsid w:val="006F747A"/>
    <w:rsid w:val="00704B3B"/>
    <w:rsid w:val="00706BDC"/>
    <w:rsid w:val="007148AA"/>
    <w:rsid w:val="0071491B"/>
    <w:rsid w:val="00717B5F"/>
    <w:rsid w:val="00723401"/>
    <w:rsid w:val="00734B93"/>
    <w:rsid w:val="00741BAF"/>
    <w:rsid w:val="00741EDD"/>
    <w:rsid w:val="0074229E"/>
    <w:rsid w:val="00743941"/>
    <w:rsid w:val="007465B4"/>
    <w:rsid w:val="00747EB9"/>
    <w:rsid w:val="00752B56"/>
    <w:rsid w:val="007567C2"/>
    <w:rsid w:val="00773A3D"/>
    <w:rsid w:val="0078373D"/>
    <w:rsid w:val="00791FC6"/>
    <w:rsid w:val="007A4B5A"/>
    <w:rsid w:val="007B36C5"/>
    <w:rsid w:val="007E3D2E"/>
    <w:rsid w:val="007E5517"/>
    <w:rsid w:val="007F0881"/>
    <w:rsid w:val="007F1D56"/>
    <w:rsid w:val="007F28D5"/>
    <w:rsid w:val="00804BF8"/>
    <w:rsid w:val="00804F83"/>
    <w:rsid w:val="0081461C"/>
    <w:rsid w:val="0081736E"/>
    <w:rsid w:val="00821FC4"/>
    <w:rsid w:val="00823515"/>
    <w:rsid w:val="00826403"/>
    <w:rsid w:val="00837021"/>
    <w:rsid w:val="00840C37"/>
    <w:rsid w:val="00841D4A"/>
    <w:rsid w:val="00841DFE"/>
    <w:rsid w:val="00846CB8"/>
    <w:rsid w:val="0085417F"/>
    <w:rsid w:val="00874B46"/>
    <w:rsid w:val="00896067"/>
    <w:rsid w:val="008A2005"/>
    <w:rsid w:val="008B3609"/>
    <w:rsid w:val="008B450B"/>
    <w:rsid w:val="008C6C3D"/>
    <w:rsid w:val="008C7C6B"/>
    <w:rsid w:val="008D4C01"/>
    <w:rsid w:val="008F3389"/>
    <w:rsid w:val="0092792F"/>
    <w:rsid w:val="009519A7"/>
    <w:rsid w:val="00970ABA"/>
    <w:rsid w:val="00973567"/>
    <w:rsid w:val="0097371E"/>
    <w:rsid w:val="00982AD2"/>
    <w:rsid w:val="00986C64"/>
    <w:rsid w:val="00992464"/>
    <w:rsid w:val="009953DC"/>
    <w:rsid w:val="009A40D1"/>
    <w:rsid w:val="009A6CD0"/>
    <w:rsid w:val="009B3A8D"/>
    <w:rsid w:val="009B5E5C"/>
    <w:rsid w:val="009C6558"/>
    <w:rsid w:val="009D262B"/>
    <w:rsid w:val="009D3C98"/>
    <w:rsid w:val="009D63F7"/>
    <w:rsid w:val="009F517E"/>
    <w:rsid w:val="00A35C3E"/>
    <w:rsid w:val="00A47CF2"/>
    <w:rsid w:val="00A530B6"/>
    <w:rsid w:val="00A56B1D"/>
    <w:rsid w:val="00A60610"/>
    <w:rsid w:val="00A72F4D"/>
    <w:rsid w:val="00A7601E"/>
    <w:rsid w:val="00A77884"/>
    <w:rsid w:val="00A862DD"/>
    <w:rsid w:val="00AA0F1A"/>
    <w:rsid w:val="00AA55C8"/>
    <w:rsid w:val="00AA655A"/>
    <w:rsid w:val="00AB195F"/>
    <w:rsid w:val="00AB25EE"/>
    <w:rsid w:val="00AD580A"/>
    <w:rsid w:val="00AE13C2"/>
    <w:rsid w:val="00AE62D6"/>
    <w:rsid w:val="00AF2E87"/>
    <w:rsid w:val="00B06E4D"/>
    <w:rsid w:val="00B101B0"/>
    <w:rsid w:val="00B22D38"/>
    <w:rsid w:val="00B26FC5"/>
    <w:rsid w:val="00B36977"/>
    <w:rsid w:val="00B40FDC"/>
    <w:rsid w:val="00B53CA4"/>
    <w:rsid w:val="00B63168"/>
    <w:rsid w:val="00B671B4"/>
    <w:rsid w:val="00B67211"/>
    <w:rsid w:val="00B7224B"/>
    <w:rsid w:val="00B722B1"/>
    <w:rsid w:val="00B7731F"/>
    <w:rsid w:val="00B8029B"/>
    <w:rsid w:val="00B8337C"/>
    <w:rsid w:val="00B840F0"/>
    <w:rsid w:val="00B90406"/>
    <w:rsid w:val="00BA5DA6"/>
    <w:rsid w:val="00BB1665"/>
    <w:rsid w:val="00BC3E2B"/>
    <w:rsid w:val="00BC4F7A"/>
    <w:rsid w:val="00BD39B4"/>
    <w:rsid w:val="00BD6A47"/>
    <w:rsid w:val="00BF2C98"/>
    <w:rsid w:val="00BF75A3"/>
    <w:rsid w:val="00C06317"/>
    <w:rsid w:val="00C06E7D"/>
    <w:rsid w:val="00C30480"/>
    <w:rsid w:val="00C3188F"/>
    <w:rsid w:val="00C3242A"/>
    <w:rsid w:val="00C46B3D"/>
    <w:rsid w:val="00C531AD"/>
    <w:rsid w:val="00C65AE6"/>
    <w:rsid w:val="00C67205"/>
    <w:rsid w:val="00C70602"/>
    <w:rsid w:val="00C72C7A"/>
    <w:rsid w:val="00C91227"/>
    <w:rsid w:val="00C92CD0"/>
    <w:rsid w:val="00CA4C1A"/>
    <w:rsid w:val="00CD2AE4"/>
    <w:rsid w:val="00CE6A3E"/>
    <w:rsid w:val="00CE71AE"/>
    <w:rsid w:val="00D02AEE"/>
    <w:rsid w:val="00D1231B"/>
    <w:rsid w:val="00D27588"/>
    <w:rsid w:val="00D36077"/>
    <w:rsid w:val="00D45D59"/>
    <w:rsid w:val="00D75BA3"/>
    <w:rsid w:val="00D824C6"/>
    <w:rsid w:val="00D82938"/>
    <w:rsid w:val="00D85FE4"/>
    <w:rsid w:val="00D95856"/>
    <w:rsid w:val="00DA4273"/>
    <w:rsid w:val="00DB7F1C"/>
    <w:rsid w:val="00DC3B39"/>
    <w:rsid w:val="00DC7B26"/>
    <w:rsid w:val="00DD0857"/>
    <w:rsid w:val="00DF5E1B"/>
    <w:rsid w:val="00E00902"/>
    <w:rsid w:val="00E24F74"/>
    <w:rsid w:val="00E24F83"/>
    <w:rsid w:val="00E378F8"/>
    <w:rsid w:val="00E448BD"/>
    <w:rsid w:val="00E51AAE"/>
    <w:rsid w:val="00E51E78"/>
    <w:rsid w:val="00E75416"/>
    <w:rsid w:val="00E8609A"/>
    <w:rsid w:val="00E9760C"/>
    <w:rsid w:val="00EA2BB0"/>
    <w:rsid w:val="00EB23C2"/>
    <w:rsid w:val="00EB61F1"/>
    <w:rsid w:val="00EC647A"/>
    <w:rsid w:val="00ED7A5C"/>
    <w:rsid w:val="00EE3E5E"/>
    <w:rsid w:val="00EF1180"/>
    <w:rsid w:val="00EF2822"/>
    <w:rsid w:val="00EF6509"/>
    <w:rsid w:val="00F01445"/>
    <w:rsid w:val="00F02997"/>
    <w:rsid w:val="00F0304F"/>
    <w:rsid w:val="00F12C24"/>
    <w:rsid w:val="00F278FF"/>
    <w:rsid w:val="00F27C6B"/>
    <w:rsid w:val="00F40E1A"/>
    <w:rsid w:val="00F462A0"/>
    <w:rsid w:val="00F6230C"/>
    <w:rsid w:val="00F624E7"/>
    <w:rsid w:val="00F736F5"/>
    <w:rsid w:val="00F82EA4"/>
    <w:rsid w:val="00F86D35"/>
    <w:rsid w:val="00F9282A"/>
    <w:rsid w:val="00FA359B"/>
    <w:rsid w:val="00FA4EC0"/>
    <w:rsid w:val="00FA59E6"/>
    <w:rsid w:val="00FB1F8B"/>
    <w:rsid w:val="00FB4104"/>
    <w:rsid w:val="00FB4905"/>
    <w:rsid w:val="00FC360B"/>
    <w:rsid w:val="00FC5417"/>
    <w:rsid w:val="00FE2ECA"/>
    <w:rsid w:val="00FE2FD8"/>
    <w:rsid w:val="00FF20B1"/>
    <w:rsid w:val="0102732C"/>
    <w:rsid w:val="01FE6BD3"/>
    <w:rsid w:val="02211133"/>
    <w:rsid w:val="024F1E56"/>
    <w:rsid w:val="025B6F6D"/>
    <w:rsid w:val="02AD6E1B"/>
    <w:rsid w:val="02EB2B3C"/>
    <w:rsid w:val="0306591B"/>
    <w:rsid w:val="041F7ED2"/>
    <w:rsid w:val="042C71E8"/>
    <w:rsid w:val="04656FC2"/>
    <w:rsid w:val="055C535C"/>
    <w:rsid w:val="058C52DE"/>
    <w:rsid w:val="06B663AB"/>
    <w:rsid w:val="07FE1258"/>
    <w:rsid w:val="08353B79"/>
    <w:rsid w:val="08A53B3F"/>
    <w:rsid w:val="08E61B30"/>
    <w:rsid w:val="09186479"/>
    <w:rsid w:val="09D4019B"/>
    <w:rsid w:val="09E30FC8"/>
    <w:rsid w:val="09EE765F"/>
    <w:rsid w:val="0A5D616A"/>
    <w:rsid w:val="0BEB6DD8"/>
    <w:rsid w:val="0DA5781F"/>
    <w:rsid w:val="0DCA58EB"/>
    <w:rsid w:val="0FDF4796"/>
    <w:rsid w:val="107668EC"/>
    <w:rsid w:val="10A77268"/>
    <w:rsid w:val="120370C0"/>
    <w:rsid w:val="13BC2814"/>
    <w:rsid w:val="13C90C52"/>
    <w:rsid w:val="140D420D"/>
    <w:rsid w:val="14E01F86"/>
    <w:rsid w:val="14F70FF5"/>
    <w:rsid w:val="15684174"/>
    <w:rsid w:val="164853A6"/>
    <w:rsid w:val="16A55615"/>
    <w:rsid w:val="16DC468E"/>
    <w:rsid w:val="179756AA"/>
    <w:rsid w:val="17D932AC"/>
    <w:rsid w:val="190B2724"/>
    <w:rsid w:val="19DB1778"/>
    <w:rsid w:val="19DE4A1C"/>
    <w:rsid w:val="1B6202FA"/>
    <w:rsid w:val="1C332BD1"/>
    <w:rsid w:val="1C461BF2"/>
    <w:rsid w:val="1CB51EA5"/>
    <w:rsid w:val="1CD74D5A"/>
    <w:rsid w:val="1D0D74C1"/>
    <w:rsid w:val="1D4E3E71"/>
    <w:rsid w:val="1DA543CC"/>
    <w:rsid w:val="1E206EF9"/>
    <w:rsid w:val="1E566681"/>
    <w:rsid w:val="1ED03040"/>
    <w:rsid w:val="1FAD5F14"/>
    <w:rsid w:val="204D2411"/>
    <w:rsid w:val="207E013C"/>
    <w:rsid w:val="20D40A6C"/>
    <w:rsid w:val="211E4B10"/>
    <w:rsid w:val="21633438"/>
    <w:rsid w:val="21764BB4"/>
    <w:rsid w:val="22AB4DEF"/>
    <w:rsid w:val="235F610B"/>
    <w:rsid w:val="243F4048"/>
    <w:rsid w:val="24EC6623"/>
    <w:rsid w:val="261D00C3"/>
    <w:rsid w:val="2701248A"/>
    <w:rsid w:val="27624D47"/>
    <w:rsid w:val="27692637"/>
    <w:rsid w:val="277F0B5A"/>
    <w:rsid w:val="279142F8"/>
    <w:rsid w:val="279A4C07"/>
    <w:rsid w:val="27D97F6F"/>
    <w:rsid w:val="28C23E11"/>
    <w:rsid w:val="29334D29"/>
    <w:rsid w:val="293E6506"/>
    <w:rsid w:val="29DC1B3A"/>
    <w:rsid w:val="2AD576A6"/>
    <w:rsid w:val="2D27472E"/>
    <w:rsid w:val="2D862153"/>
    <w:rsid w:val="2E637B29"/>
    <w:rsid w:val="328A223A"/>
    <w:rsid w:val="332735FA"/>
    <w:rsid w:val="33537941"/>
    <w:rsid w:val="33553CA6"/>
    <w:rsid w:val="33D03731"/>
    <w:rsid w:val="34234796"/>
    <w:rsid w:val="35A116E5"/>
    <w:rsid w:val="35FB56C9"/>
    <w:rsid w:val="368C5E7A"/>
    <w:rsid w:val="374A7542"/>
    <w:rsid w:val="37AA5F07"/>
    <w:rsid w:val="38E21624"/>
    <w:rsid w:val="394919D0"/>
    <w:rsid w:val="396B765C"/>
    <w:rsid w:val="3A374711"/>
    <w:rsid w:val="3A9202A3"/>
    <w:rsid w:val="3C07613E"/>
    <w:rsid w:val="3C3957E1"/>
    <w:rsid w:val="3C7A1448"/>
    <w:rsid w:val="3D593035"/>
    <w:rsid w:val="3D6B17FA"/>
    <w:rsid w:val="3E5541D1"/>
    <w:rsid w:val="3E800899"/>
    <w:rsid w:val="3E886B03"/>
    <w:rsid w:val="3FD234FE"/>
    <w:rsid w:val="416567B0"/>
    <w:rsid w:val="416E7C67"/>
    <w:rsid w:val="4186196B"/>
    <w:rsid w:val="41EA2E34"/>
    <w:rsid w:val="420B423B"/>
    <w:rsid w:val="42F17DE3"/>
    <w:rsid w:val="43C113B5"/>
    <w:rsid w:val="44513222"/>
    <w:rsid w:val="450C3955"/>
    <w:rsid w:val="450E3550"/>
    <w:rsid w:val="452F2840"/>
    <w:rsid w:val="4635159D"/>
    <w:rsid w:val="466B6D95"/>
    <w:rsid w:val="46E74160"/>
    <w:rsid w:val="48094A8B"/>
    <w:rsid w:val="480F5868"/>
    <w:rsid w:val="48416280"/>
    <w:rsid w:val="485522CA"/>
    <w:rsid w:val="49F308E0"/>
    <w:rsid w:val="4AA96F28"/>
    <w:rsid w:val="4B405D3D"/>
    <w:rsid w:val="4BE64593"/>
    <w:rsid w:val="4C3568F6"/>
    <w:rsid w:val="4C4C16A7"/>
    <w:rsid w:val="4C522C8E"/>
    <w:rsid w:val="4D5521EB"/>
    <w:rsid w:val="4D8570E2"/>
    <w:rsid w:val="4D9F5EA6"/>
    <w:rsid w:val="4EE90083"/>
    <w:rsid w:val="4F3C608F"/>
    <w:rsid w:val="4FF36326"/>
    <w:rsid w:val="4FFB4A48"/>
    <w:rsid w:val="505C6771"/>
    <w:rsid w:val="50D40EA8"/>
    <w:rsid w:val="5204289F"/>
    <w:rsid w:val="53691F9B"/>
    <w:rsid w:val="53AD09FD"/>
    <w:rsid w:val="542B0B31"/>
    <w:rsid w:val="54E426CC"/>
    <w:rsid w:val="55086302"/>
    <w:rsid w:val="55FC469E"/>
    <w:rsid w:val="5617074A"/>
    <w:rsid w:val="568432FD"/>
    <w:rsid w:val="56BF51AB"/>
    <w:rsid w:val="57622CEB"/>
    <w:rsid w:val="57BE7B82"/>
    <w:rsid w:val="57C71D36"/>
    <w:rsid w:val="584B15C9"/>
    <w:rsid w:val="59797E57"/>
    <w:rsid w:val="59820767"/>
    <w:rsid w:val="59BD50C9"/>
    <w:rsid w:val="5AE4044F"/>
    <w:rsid w:val="5B271CAD"/>
    <w:rsid w:val="5C00657C"/>
    <w:rsid w:val="5CB03044"/>
    <w:rsid w:val="5DA62B63"/>
    <w:rsid w:val="5DAA6A4F"/>
    <w:rsid w:val="5DD32D75"/>
    <w:rsid w:val="5E2B5A01"/>
    <w:rsid w:val="5E73581B"/>
    <w:rsid w:val="5ED959F6"/>
    <w:rsid w:val="5F252E0D"/>
    <w:rsid w:val="5F2A7D2E"/>
    <w:rsid w:val="5FAC6111"/>
    <w:rsid w:val="5FB0128C"/>
    <w:rsid w:val="60A16616"/>
    <w:rsid w:val="60ED2D8C"/>
    <w:rsid w:val="61E04DA4"/>
    <w:rsid w:val="61FA050C"/>
    <w:rsid w:val="62D35631"/>
    <w:rsid w:val="62FA5C22"/>
    <w:rsid w:val="634642EB"/>
    <w:rsid w:val="63883E5B"/>
    <w:rsid w:val="63D351D4"/>
    <w:rsid w:val="63FB2B15"/>
    <w:rsid w:val="64211850"/>
    <w:rsid w:val="65786B89"/>
    <w:rsid w:val="66D1483C"/>
    <w:rsid w:val="66DF36A0"/>
    <w:rsid w:val="67FF52AE"/>
    <w:rsid w:val="68442558"/>
    <w:rsid w:val="687916F5"/>
    <w:rsid w:val="6A9A721C"/>
    <w:rsid w:val="6AC75841"/>
    <w:rsid w:val="6BF25FB3"/>
    <w:rsid w:val="6CFE584D"/>
    <w:rsid w:val="6D1B720F"/>
    <w:rsid w:val="6D4633D4"/>
    <w:rsid w:val="6E40376F"/>
    <w:rsid w:val="6EB624BC"/>
    <w:rsid w:val="6EE9485F"/>
    <w:rsid w:val="6F5013AD"/>
    <w:rsid w:val="709E1739"/>
    <w:rsid w:val="71640E18"/>
    <w:rsid w:val="71BD7CCF"/>
    <w:rsid w:val="72486910"/>
    <w:rsid w:val="72DB5C6F"/>
    <w:rsid w:val="73370F84"/>
    <w:rsid w:val="73992F13"/>
    <w:rsid w:val="73CA3785"/>
    <w:rsid w:val="743C4BB0"/>
    <w:rsid w:val="74CF0070"/>
    <w:rsid w:val="74D015E5"/>
    <w:rsid w:val="753C2362"/>
    <w:rsid w:val="769E4528"/>
    <w:rsid w:val="79224C5E"/>
    <w:rsid w:val="79CC46E0"/>
    <w:rsid w:val="79F849F1"/>
    <w:rsid w:val="7C372F4A"/>
    <w:rsid w:val="7DD94785"/>
    <w:rsid w:val="7E1D3082"/>
    <w:rsid w:val="7EA50156"/>
    <w:rsid w:val="7F2E5E61"/>
    <w:rsid w:val="7FF66147"/>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99" w:name="toc 7"/>
    <w:lsdException w:qFormat="1" w:unhideWhenUsed="0" w:uiPriority="99" w:name="toc 8"/>
    <w:lsdException w:unhideWhenUsed="0" w:uiPriority="0" w:semiHidden="0"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qFormat="1" w:unhideWhenUsed="0" w:uiPriority="99" w:name="footnote reference"/>
    <w:lsdException w:qFormat="1" w:unhideWhenUsed="0" w:uiPriority="99" w:name="annotation reference"/>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iPriority="1" w:semiHidden="0" w:name="Default Paragraph Font"/>
    <w:lsdException w:qFormat="1" w:uiPriority="0"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qFormat="1" w:uiPriority="0" w:semiHidden="0"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0" w:name="E-mail Signature" w:locked="1"/>
    <w:lsdException w:uiPriority="0" w:name="Normal (Web)" w:locked="1"/>
    <w:lsdException w:uiPriority="0" w:name="HTML Acronym" w:locked="1"/>
    <w:lsdException w:uiPriority="0" w:name="HTML Address" w:locked="1"/>
    <w:lsdException w:qFormat="1" w:uiPriority="0" w:semiHidden="0" w:name="HTML Cite" w:locked="1"/>
    <w:lsdException w:qFormat="1" w:uiPriority="0" w:semiHidden="0" w:name="HTML Code" w:locked="1"/>
    <w:lsdException w:qFormat="1" w:uiPriority="0" w:semiHidden="0" w:name="HTML Definition" w:locked="1"/>
    <w:lsdException w:qFormat="1" w:uiPriority="0" w:semiHidden="0" w:name="HTML Keyboard" w:locked="1"/>
    <w:lsdException w:uiPriority="0" w:name="HTML Preformatted" w:locked="1"/>
    <w:lsdException w:qFormat="1" w:uiPriority="0" w:semiHidden="0" w:name="HTML Sample" w:locked="1"/>
    <w:lsdException w:uiPriority="0" w:name="HTML Typewriter" w:locked="1"/>
    <w:lsdException w:qFormat="1" w:uiPriority="0" w:semiHidden="0" w:name="HTML Variable" w:locked="1"/>
    <w:lsdException w:qFormat="1" w:uiPriority="99" w:semiHidden="0" w:name="Normal Table"/>
    <w:lsdException w:qFormat="1" w:unhideWhenUsed="0"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72"/>
    <w:qFormat/>
    <w:uiPriority w:val="99"/>
    <w:pPr>
      <w:keepNext/>
      <w:keepLines/>
      <w:spacing w:before="260" w:after="260" w:line="413" w:lineRule="auto"/>
      <w:outlineLvl w:val="1"/>
    </w:pPr>
    <w:rPr>
      <w:rFonts w:ascii="Arial" w:hAnsi="Arial" w:eastAsia="黑体"/>
      <w:b/>
      <w:bCs/>
      <w:kern w:val="0"/>
      <w:sz w:val="20"/>
      <w:szCs w:val="20"/>
    </w:rPr>
  </w:style>
  <w:style w:type="character" w:default="1" w:styleId="17">
    <w:name w:val="Default Paragraph Font"/>
    <w:unhideWhenUsed/>
    <w:qFormat/>
    <w:uiPriority w:val="1"/>
  </w:style>
  <w:style w:type="table" w:default="1" w:styleId="31">
    <w:name w:val="Normal Table"/>
    <w:unhideWhenUsed/>
    <w:qFormat/>
    <w:uiPriority w:val="99"/>
    <w:tblPr>
      <w:tblStyle w:val="31"/>
      <w:tblLayout w:type="fixed"/>
      <w:tblCellMar>
        <w:top w:w="0" w:type="dxa"/>
        <w:left w:w="108" w:type="dxa"/>
        <w:bottom w:w="0" w:type="dxa"/>
        <w:right w:w="108" w:type="dxa"/>
      </w:tblCellMar>
    </w:tblPr>
    <w:tcPr>
      <w:textDirection w:val="lrTb"/>
    </w:tcPr>
  </w:style>
  <w:style w:type="paragraph" w:styleId="3">
    <w:name w:val="annotation subject"/>
    <w:basedOn w:val="4"/>
    <w:next w:val="4"/>
    <w:link w:val="74"/>
    <w:semiHidden/>
    <w:qFormat/>
    <w:uiPriority w:val="99"/>
    <w:rPr>
      <w:b/>
      <w:bCs/>
    </w:rPr>
  </w:style>
  <w:style w:type="paragraph" w:styleId="4">
    <w:name w:val="annotation text"/>
    <w:basedOn w:val="1"/>
    <w:link w:val="73"/>
    <w:semiHidden/>
    <w:qFormat/>
    <w:uiPriority w:val="99"/>
    <w:pPr>
      <w:jc w:val="left"/>
    </w:pPr>
    <w:rPr>
      <w:kern w:val="0"/>
      <w:sz w:val="20"/>
      <w:szCs w:val="20"/>
    </w:rPr>
  </w:style>
  <w:style w:type="paragraph" w:styleId="5">
    <w:name w:val="toc 7"/>
    <w:basedOn w:val="1"/>
    <w:next w:val="1"/>
    <w:semiHidden/>
    <w:qFormat/>
    <w:uiPriority w:val="99"/>
    <w:pPr>
      <w:ind w:left="2520" w:leftChars="1200"/>
    </w:pPr>
  </w:style>
  <w:style w:type="paragraph" w:styleId="6">
    <w:name w:val="Normal Indent"/>
    <w:basedOn w:val="1"/>
    <w:qFormat/>
    <w:uiPriority w:val="99"/>
    <w:pPr>
      <w:ind w:firstLine="420" w:firstLineChars="200"/>
    </w:pPr>
  </w:style>
  <w:style w:type="paragraph" w:styleId="7">
    <w:name w:val="Document Map"/>
    <w:basedOn w:val="1"/>
    <w:link w:val="75"/>
    <w:semiHidden/>
    <w:qFormat/>
    <w:uiPriority w:val="99"/>
    <w:pPr>
      <w:shd w:val="clear" w:color="auto" w:fill="000080"/>
    </w:pPr>
    <w:rPr>
      <w:kern w:val="0"/>
      <w:sz w:val="20"/>
      <w:szCs w:val="20"/>
    </w:rPr>
  </w:style>
  <w:style w:type="paragraph" w:styleId="8">
    <w:name w:val="Body Text"/>
    <w:basedOn w:val="1"/>
    <w:unhideWhenUsed/>
    <w:qFormat/>
    <w:locked/>
    <w:uiPriority w:val="0"/>
  </w:style>
  <w:style w:type="paragraph" w:styleId="9">
    <w:name w:val="Body Text Indent"/>
    <w:basedOn w:val="1"/>
    <w:link w:val="76"/>
    <w:qFormat/>
    <w:uiPriority w:val="99"/>
    <w:pPr>
      <w:ind w:firstLine="480" w:firstLineChars="200"/>
    </w:pPr>
    <w:rPr>
      <w:kern w:val="0"/>
      <w:sz w:val="20"/>
      <w:szCs w:val="20"/>
    </w:rPr>
  </w:style>
  <w:style w:type="paragraph" w:styleId="10">
    <w:name w:val="Plain Text"/>
    <w:basedOn w:val="1"/>
    <w:link w:val="77"/>
    <w:qFormat/>
    <w:uiPriority w:val="99"/>
    <w:rPr>
      <w:rFonts w:ascii="宋体" w:hAnsi="Courier New"/>
      <w:kern w:val="0"/>
    </w:rPr>
  </w:style>
  <w:style w:type="paragraph" w:styleId="11">
    <w:name w:val="toc 8"/>
    <w:basedOn w:val="5"/>
    <w:next w:val="1"/>
    <w:semiHidden/>
    <w:qFormat/>
    <w:uiPriority w:val="99"/>
    <w:pPr>
      <w:widowControl/>
      <w:tabs>
        <w:tab w:val="left" w:pos="9000"/>
      </w:tabs>
      <w:ind w:left="0" w:leftChars="0"/>
    </w:pPr>
    <w:rPr>
      <w:rFonts w:ascii="宋体" w:cs="宋体"/>
    </w:rPr>
  </w:style>
  <w:style w:type="paragraph" w:styleId="12">
    <w:name w:val="Date"/>
    <w:basedOn w:val="1"/>
    <w:next w:val="1"/>
    <w:link w:val="78"/>
    <w:qFormat/>
    <w:uiPriority w:val="99"/>
    <w:pPr>
      <w:ind w:left="100" w:leftChars="2500"/>
    </w:pPr>
    <w:rPr>
      <w:kern w:val="0"/>
      <w:sz w:val="20"/>
      <w:szCs w:val="20"/>
    </w:rPr>
  </w:style>
  <w:style w:type="paragraph" w:styleId="13">
    <w:name w:val="Balloon Text"/>
    <w:basedOn w:val="1"/>
    <w:link w:val="79"/>
    <w:semiHidden/>
    <w:qFormat/>
    <w:uiPriority w:val="99"/>
    <w:rPr>
      <w:kern w:val="0"/>
      <w:sz w:val="20"/>
      <w:szCs w:val="20"/>
    </w:rPr>
  </w:style>
  <w:style w:type="paragraph" w:styleId="14">
    <w:name w:val="footer"/>
    <w:basedOn w:val="1"/>
    <w:link w:val="80"/>
    <w:qFormat/>
    <w:uiPriority w:val="99"/>
    <w:pPr>
      <w:tabs>
        <w:tab w:val="center" w:pos="4153"/>
        <w:tab w:val="right" w:pos="8306"/>
      </w:tabs>
      <w:snapToGrid w:val="0"/>
      <w:jc w:val="left"/>
    </w:pPr>
    <w:rPr>
      <w:kern w:val="0"/>
      <w:sz w:val="18"/>
      <w:szCs w:val="18"/>
    </w:rPr>
  </w:style>
  <w:style w:type="paragraph" w:styleId="15">
    <w:name w:val="header"/>
    <w:basedOn w:val="1"/>
    <w:link w:val="81"/>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footnote text"/>
    <w:basedOn w:val="1"/>
    <w:link w:val="82"/>
    <w:semiHidden/>
    <w:qFormat/>
    <w:uiPriority w:val="99"/>
    <w:pPr>
      <w:snapToGrid w:val="0"/>
      <w:jc w:val="left"/>
    </w:pPr>
    <w:rPr>
      <w:kern w:val="0"/>
      <w:sz w:val="20"/>
      <w:szCs w:val="20"/>
    </w:rPr>
  </w:style>
  <w:style w:type="character" w:styleId="18">
    <w:name w:val="Strong"/>
    <w:basedOn w:val="17"/>
    <w:qFormat/>
    <w:uiPriority w:val="0"/>
    <w:rPr>
      <w:b/>
    </w:rPr>
  </w:style>
  <w:style w:type="character" w:styleId="19">
    <w:name w:val="page number"/>
    <w:basedOn w:val="17"/>
    <w:qFormat/>
    <w:uiPriority w:val="99"/>
    <w:rPr/>
  </w:style>
  <w:style w:type="character" w:styleId="20">
    <w:name w:val="FollowedHyperlink"/>
    <w:basedOn w:val="17"/>
    <w:unhideWhenUsed/>
    <w:qFormat/>
    <w:locked/>
    <w:uiPriority w:val="0"/>
    <w:rPr>
      <w:color w:val="338DE6"/>
      <w:u w:val="none"/>
    </w:rPr>
  </w:style>
  <w:style w:type="character" w:styleId="21">
    <w:name w:val="Emphasis"/>
    <w:basedOn w:val="17"/>
    <w:qFormat/>
    <w:uiPriority w:val="0"/>
    <w:rPr/>
  </w:style>
  <w:style w:type="character" w:styleId="22">
    <w:name w:val="HTML Definition"/>
    <w:basedOn w:val="17"/>
    <w:unhideWhenUsed/>
    <w:qFormat/>
    <w:locked/>
    <w:uiPriority w:val="0"/>
    <w:rPr/>
  </w:style>
  <w:style w:type="character" w:styleId="23">
    <w:name w:val="HTML Variable"/>
    <w:basedOn w:val="17"/>
    <w:unhideWhenUsed/>
    <w:qFormat/>
    <w:locked/>
    <w:uiPriority w:val="0"/>
    <w:rPr/>
  </w:style>
  <w:style w:type="character" w:styleId="24">
    <w:name w:val="Hyperlink"/>
    <w:qFormat/>
    <w:uiPriority w:val="99"/>
    <w:rPr>
      <w:color w:val="auto"/>
      <w:u w:val="single"/>
    </w:rPr>
  </w:style>
  <w:style w:type="character" w:styleId="25">
    <w:name w:val="HTML Code"/>
    <w:basedOn w:val="17"/>
    <w:unhideWhenUsed/>
    <w:qFormat/>
    <w:locked/>
    <w:uiPriority w:val="0"/>
    <w:rPr>
      <w:rFonts w:hint="default" w:ascii="serif" w:hAnsi="serif" w:eastAsia="serif" w:cs="serif"/>
      <w:sz w:val="21"/>
      <w:szCs w:val="21"/>
    </w:rPr>
  </w:style>
  <w:style w:type="character" w:styleId="26">
    <w:name w:val="annotation reference"/>
    <w:semiHidden/>
    <w:qFormat/>
    <w:uiPriority w:val="99"/>
    <w:rPr>
      <w:sz w:val="21"/>
      <w:szCs w:val="21"/>
    </w:rPr>
  </w:style>
  <w:style w:type="character" w:styleId="27">
    <w:name w:val="HTML Cite"/>
    <w:basedOn w:val="17"/>
    <w:unhideWhenUsed/>
    <w:qFormat/>
    <w:locked/>
    <w:uiPriority w:val="0"/>
    <w:rPr/>
  </w:style>
  <w:style w:type="character" w:styleId="28">
    <w:name w:val="footnote reference"/>
    <w:semiHidden/>
    <w:qFormat/>
    <w:uiPriority w:val="99"/>
    <w:rPr>
      <w:vertAlign w:val="superscript"/>
    </w:rPr>
  </w:style>
  <w:style w:type="character" w:styleId="29">
    <w:name w:val="HTML Keyboard"/>
    <w:basedOn w:val="17"/>
    <w:unhideWhenUsed/>
    <w:qFormat/>
    <w:locked/>
    <w:uiPriority w:val="0"/>
    <w:rPr>
      <w:rFonts w:hint="default" w:ascii="serif" w:hAnsi="serif" w:eastAsia="serif" w:cs="serif"/>
      <w:sz w:val="21"/>
      <w:szCs w:val="21"/>
    </w:rPr>
  </w:style>
  <w:style w:type="character" w:styleId="30">
    <w:name w:val="HTML Sample"/>
    <w:basedOn w:val="17"/>
    <w:unhideWhenUsed/>
    <w:qFormat/>
    <w:locked/>
    <w:uiPriority w:val="0"/>
    <w:rPr>
      <w:rFonts w:ascii="serif" w:hAnsi="serif" w:eastAsia="serif" w:cs="serif"/>
      <w:sz w:val="21"/>
      <w:szCs w:val="21"/>
    </w:rPr>
  </w:style>
  <w:style w:type="table" w:styleId="32">
    <w:name w:val="Table Grid"/>
    <w:basedOn w:val="31"/>
    <w:qFormat/>
    <w:uiPriority w:val="99"/>
    <w:pPr/>
    <w:tblPr>
      <w:tblStyle w:val="3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33">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bCs/>
      <w:w w:val="130"/>
      <w:kern w:val="2"/>
      <w:sz w:val="96"/>
      <w:szCs w:val="96"/>
      <w:lang w:val="en-US" w:eastAsia="zh-CN" w:bidi="ar-SA"/>
    </w:rPr>
  </w:style>
  <w:style w:type="paragraph" w:customStyle="1" w:styleId="34">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2"/>
      <w:sz w:val="28"/>
      <w:szCs w:val="28"/>
      <w:lang w:val="en-US" w:eastAsia="zh-CN" w:bidi="ar-SA"/>
    </w:rPr>
  </w:style>
  <w:style w:type="paragraph" w:customStyle="1" w:styleId="35">
    <w:name w:val="前言、引言标题"/>
    <w:next w:val="1"/>
    <w:qFormat/>
    <w:uiPriority w:val="99"/>
    <w:pPr>
      <w:shd w:val="clear" w:color="FFFFFF" w:fill="FFFFFF"/>
      <w:tabs>
        <w:tab w:val="left" w:pos="720"/>
      </w:tabs>
      <w:spacing w:before="640" w:after="560"/>
      <w:ind w:left="720" w:hanging="720"/>
      <w:jc w:val="center"/>
      <w:outlineLvl w:val="0"/>
    </w:pPr>
    <w:rPr>
      <w:rFonts w:ascii="黑体" w:hAnsi="Times New Roman" w:eastAsia="黑体" w:cs="黑体"/>
      <w:kern w:val="2"/>
      <w:sz w:val="32"/>
      <w:szCs w:val="32"/>
      <w:lang w:val="en-US" w:eastAsia="zh-CN" w:bidi="ar-SA"/>
    </w:rPr>
  </w:style>
  <w:style w:type="paragraph" w:customStyle="1" w:styleId="36">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2"/>
      <w:sz w:val="21"/>
      <w:szCs w:val="21"/>
      <w:lang w:val="en-US" w:eastAsia="zh-CN" w:bidi="ar-SA"/>
    </w:rPr>
  </w:style>
  <w:style w:type="paragraph" w:customStyle="1" w:styleId="37">
    <w:name w:val="标准称谓"/>
    <w:next w:val="1"/>
    <w:qFormat/>
    <w:uiPriority w:val="99"/>
    <w:pPr>
      <w:widowControl w:val="0"/>
      <w:kinsoku w:val="0"/>
      <w:overflowPunct w:val="0"/>
      <w:autoSpaceDE w:val="0"/>
      <w:autoSpaceDN w:val="0"/>
      <w:spacing w:line="240" w:lineRule="atLeast"/>
      <w:jc w:val="distribute"/>
    </w:pPr>
    <w:rPr>
      <w:rFonts w:ascii="宋体" w:hAnsi="Times New Roman" w:eastAsia="宋体" w:cs="宋体"/>
      <w:b/>
      <w:bCs/>
      <w:spacing w:val="20"/>
      <w:w w:val="148"/>
      <w:kern w:val="2"/>
      <w:sz w:val="52"/>
      <w:szCs w:val="52"/>
      <w:lang w:val="en-US" w:eastAsia="zh-CN" w:bidi="ar-SA"/>
    </w:rPr>
  </w:style>
  <w:style w:type="paragraph" w:customStyle="1" w:styleId="38">
    <w:name w:val="文献分类号"/>
    <w:qFormat/>
    <w:uiPriority w:val="99"/>
    <w:pPr>
      <w:widowControl w:val="0"/>
      <w:textAlignment w:val="center"/>
    </w:pPr>
    <w:rPr>
      <w:rFonts w:ascii="Times New Roman" w:hAnsi="Times New Roman" w:eastAsia="黑体" w:cs="Times New Roman"/>
      <w:kern w:val="2"/>
      <w:sz w:val="21"/>
      <w:szCs w:val="21"/>
      <w:lang w:val="en-US" w:eastAsia="zh-CN" w:bidi="ar-SA"/>
    </w:rPr>
  </w:style>
  <w:style w:type="paragraph" w:customStyle="1" w:styleId="39">
    <w:name w:val="段"/>
    <w:link w:val="83"/>
    <w:qFormat/>
    <w:uiPriority w:val="99"/>
    <w:pPr>
      <w:autoSpaceDE w:val="0"/>
      <w:autoSpaceDN w:val="0"/>
      <w:ind w:firstLine="200" w:firstLineChars="200"/>
      <w:jc w:val="both"/>
    </w:pPr>
    <w:rPr>
      <w:rFonts w:ascii="宋体" w:hAnsi="Times New Roman" w:eastAsia="宋体" w:cs="Times New Roman"/>
      <w:kern w:val="2"/>
      <w:sz w:val="22"/>
      <w:szCs w:val="22"/>
      <w:lang w:val="en-US" w:eastAsia="zh-CN" w:bidi="ar-SA"/>
    </w:rPr>
  </w:style>
  <w:style w:type="paragraph" w:customStyle="1" w:styleId="40">
    <w:name w:val="附录三级条标题"/>
    <w:basedOn w:val="41"/>
    <w:next w:val="39"/>
    <w:qFormat/>
    <w:uiPriority w:val="99"/>
    <w:pPr>
      <w:outlineLvl w:val="4"/>
    </w:pPr>
  </w:style>
  <w:style w:type="paragraph" w:customStyle="1" w:styleId="41">
    <w:name w:val="附录二级条标题"/>
    <w:basedOn w:val="42"/>
    <w:next w:val="39"/>
    <w:qFormat/>
    <w:uiPriority w:val="99"/>
    <w:pPr>
      <w:outlineLvl w:val="3"/>
    </w:pPr>
  </w:style>
  <w:style w:type="paragraph" w:customStyle="1" w:styleId="42">
    <w:name w:val="附录一级条标题"/>
    <w:basedOn w:val="1"/>
    <w:next w:val="39"/>
    <w:qFormat/>
    <w:uiPriority w:val="99"/>
    <w:pPr>
      <w:widowControl/>
      <w:wordWrap w:val="0"/>
      <w:overflowPunct w:val="0"/>
      <w:autoSpaceDE w:val="0"/>
      <w:autoSpaceDN w:val="0"/>
      <w:textAlignment w:val="baseline"/>
      <w:outlineLvl w:val="2"/>
    </w:pPr>
    <w:rPr>
      <w:rFonts w:ascii="黑体" w:eastAsia="黑体" w:cs="黑体"/>
      <w:kern w:val="21"/>
    </w:rPr>
  </w:style>
  <w:style w:type="paragraph" w:customStyle="1" w:styleId="43">
    <w:name w:val="附录标识"/>
    <w:basedOn w:val="35"/>
    <w:qFormat/>
    <w:uiPriority w:val="99"/>
    <w:pPr>
      <w:tabs>
        <w:tab w:val="left" w:pos="6405"/>
        <w:tab w:val="clear" w:pos="720"/>
      </w:tabs>
      <w:spacing w:after="200"/>
    </w:pPr>
    <w:rPr>
      <w:sz w:val="21"/>
      <w:szCs w:val="21"/>
    </w:rPr>
  </w:style>
  <w:style w:type="paragraph" w:customStyle="1" w:styleId="44">
    <w:name w:val="二级条标题"/>
    <w:basedOn w:val="45"/>
    <w:next w:val="39"/>
    <w:qFormat/>
    <w:uiPriority w:val="99"/>
  </w:style>
  <w:style w:type="paragraph" w:customStyle="1" w:styleId="45">
    <w:name w:val="一级条标题"/>
    <w:basedOn w:val="46"/>
    <w:next w:val="39"/>
    <w:qFormat/>
    <w:uiPriority w:val="99"/>
    <w:pPr>
      <w:spacing w:beforeLines="0" w:afterLines="0"/>
      <w:outlineLvl w:val="2"/>
    </w:pPr>
  </w:style>
  <w:style w:type="paragraph" w:customStyle="1" w:styleId="46">
    <w:name w:val="章标题"/>
    <w:next w:val="39"/>
    <w:qFormat/>
    <w:uiPriority w:val="99"/>
    <w:pPr>
      <w:spacing w:beforeLines="50" w:afterLines="50"/>
      <w:jc w:val="both"/>
      <w:outlineLvl w:val="1"/>
    </w:pPr>
    <w:rPr>
      <w:rFonts w:ascii="黑体" w:hAnsi="Times New Roman" w:eastAsia="黑体" w:cs="黑体"/>
      <w:kern w:val="2"/>
      <w:sz w:val="21"/>
      <w:szCs w:val="21"/>
      <w:lang w:val="en-US" w:eastAsia="zh-CN" w:bidi="ar-SA"/>
    </w:rPr>
  </w:style>
  <w:style w:type="paragraph" w:customStyle="1" w:styleId="47">
    <w:name w:val="封面标准文稿编辑信息"/>
    <w:qFormat/>
    <w:uiPriority w:val="99"/>
    <w:pPr>
      <w:spacing w:before="180" w:line="180" w:lineRule="exact"/>
      <w:jc w:val="center"/>
    </w:pPr>
    <w:rPr>
      <w:rFonts w:ascii="宋体" w:hAnsi="Times New Roman" w:eastAsia="宋体" w:cs="宋体"/>
      <w:kern w:val="2"/>
      <w:sz w:val="21"/>
      <w:szCs w:val="21"/>
      <w:lang w:val="en-US" w:eastAsia="zh-CN" w:bidi="ar-SA"/>
    </w:rPr>
  </w:style>
  <w:style w:type="paragraph" w:customStyle="1" w:styleId="48">
    <w:name w:val="发布部门"/>
    <w:next w:val="39"/>
    <w:qFormat/>
    <w:uiPriority w:val="99"/>
    <w:pPr>
      <w:jc w:val="center"/>
    </w:pPr>
    <w:rPr>
      <w:rFonts w:ascii="宋体" w:hAnsi="Times New Roman" w:eastAsia="宋体" w:cs="宋体"/>
      <w:b/>
      <w:bCs/>
      <w:spacing w:val="20"/>
      <w:w w:val="135"/>
      <w:kern w:val="2"/>
      <w:sz w:val="36"/>
      <w:szCs w:val="36"/>
      <w:lang w:val="en-US" w:eastAsia="zh-CN" w:bidi="ar-SA"/>
    </w:rPr>
  </w:style>
  <w:style w:type="paragraph" w:customStyle="1" w:styleId="49">
    <w:name w:val="标准书脚_奇数页"/>
    <w:qFormat/>
    <w:uiPriority w:val="99"/>
    <w:pPr>
      <w:spacing w:before="120"/>
      <w:jc w:val="right"/>
    </w:pPr>
    <w:rPr>
      <w:rFonts w:ascii="Times New Roman" w:hAnsi="Times New Roman" w:eastAsia="宋体" w:cs="Times New Roman"/>
      <w:kern w:val="2"/>
      <w:sz w:val="18"/>
      <w:szCs w:val="18"/>
      <w:lang w:val="en-US" w:eastAsia="zh-CN" w:bidi="ar-SA"/>
    </w:rPr>
  </w:style>
  <w:style w:type="paragraph" w:customStyle="1" w:styleId="50">
    <w:name w:val="标准书眉_偶数页"/>
    <w:basedOn w:val="36"/>
    <w:next w:val="1"/>
    <w:qFormat/>
    <w:uiPriority w:val="99"/>
    <w:pPr>
      <w:jc w:val="left"/>
    </w:pPr>
  </w:style>
  <w:style w:type="paragraph" w:customStyle="1" w:styleId="51">
    <w:name w:val="三级条标题"/>
    <w:basedOn w:val="1"/>
    <w:next w:val="39"/>
    <w:qFormat/>
    <w:uiPriority w:val="99"/>
    <w:pPr>
      <w:widowControl/>
      <w:outlineLvl w:val="4"/>
    </w:pPr>
    <w:rPr>
      <w:rFonts w:ascii="黑体" w:hAnsi="宋体" w:eastAsia="黑体" w:cs="黑体"/>
    </w:rPr>
  </w:style>
  <w:style w:type="paragraph" w:customStyle="1" w:styleId="52">
    <w:name w:val="四级条标题"/>
    <w:basedOn w:val="51"/>
    <w:next w:val="39"/>
    <w:qFormat/>
    <w:uiPriority w:val="99"/>
    <w:pPr>
      <w:outlineLvl w:val="5"/>
    </w:pPr>
  </w:style>
  <w:style w:type="paragraph" w:customStyle="1" w:styleId="53">
    <w:name w:val="Char Char Char1 Char Char Char Char Char Char Char Char Char Char"/>
    <w:basedOn w:val="1"/>
    <w:qFormat/>
    <w:uiPriority w:val="99"/>
    <w:pPr>
      <w:widowControl/>
      <w:spacing w:after="160" w:line="240" w:lineRule="exact"/>
      <w:jc w:val="left"/>
    </w:pPr>
    <w:rPr>
      <w:rFonts w:ascii="Verdana" w:hAnsi="Verdana" w:cs="Verdana"/>
      <w:sz w:val="18"/>
      <w:szCs w:val="18"/>
      <w:lang w:eastAsia="en-US"/>
    </w:rPr>
  </w:style>
  <w:style w:type="paragraph" w:customStyle="1" w:styleId="54">
    <w:name w:val="附录图标题"/>
    <w:next w:val="39"/>
    <w:qFormat/>
    <w:uiPriority w:val="99"/>
    <w:pPr>
      <w:tabs>
        <w:tab w:val="left" w:pos="360"/>
      </w:tabs>
      <w:jc w:val="center"/>
    </w:pPr>
    <w:rPr>
      <w:rFonts w:ascii="黑体" w:hAnsi="Times New Roman" w:eastAsia="黑体" w:cs="黑体"/>
      <w:kern w:val="2"/>
      <w:sz w:val="21"/>
      <w:szCs w:val="21"/>
      <w:lang w:val="en-US" w:eastAsia="zh-CN" w:bidi="ar-SA"/>
    </w:rPr>
  </w:style>
  <w:style w:type="paragraph" w:customStyle="1" w:styleId="55">
    <w:name w:val="图表脚注"/>
    <w:next w:val="39"/>
    <w:qFormat/>
    <w:uiPriority w:val="99"/>
    <w:pPr>
      <w:ind w:left="200" w:leftChars="200" w:hanging="100" w:hangingChars="100"/>
      <w:jc w:val="both"/>
    </w:pPr>
    <w:rPr>
      <w:rFonts w:ascii="宋体" w:hAnsi="Times New Roman" w:eastAsia="宋体" w:cs="宋体"/>
      <w:kern w:val="2"/>
      <w:sz w:val="18"/>
      <w:szCs w:val="18"/>
      <w:lang w:val="en-US" w:eastAsia="zh-CN" w:bidi="ar-SA"/>
    </w:rPr>
  </w:style>
  <w:style w:type="paragraph" w:customStyle="1" w:styleId="56">
    <w:name w:val="封面标准文稿类别"/>
    <w:qFormat/>
    <w:uiPriority w:val="99"/>
    <w:pPr>
      <w:spacing w:before="440" w:line="400" w:lineRule="exact"/>
      <w:jc w:val="center"/>
    </w:pPr>
    <w:rPr>
      <w:rFonts w:ascii="宋体" w:hAnsi="Times New Roman" w:eastAsia="宋体" w:cs="宋体"/>
      <w:kern w:val="2"/>
      <w:sz w:val="24"/>
      <w:szCs w:val="24"/>
      <w:lang w:val="en-US" w:eastAsia="zh-CN" w:bidi="ar-SA"/>
    </w:rPr>
  </w:style>
  <w:style w:type="paragraph" w:customStyle="1" w:styleId="57">
    <w:name w:val="标准书眉一"/>
    <w:qFormat/>
    <w:uiPriority w:val="99"/>
    <w:pPr>
      <w:jc w:val="both"/>
    </w:pPr>
    <w:rPr>
      <w:rFonts w:ascii="Times New Roman" w:hAnsi="Times New Roman" w:eastAsia="宋体" w:cs="Times New Roman"/>
      <w:kern w:val="2"/>
      <w:lang w:val="en-US" w:eastAsia="zh-CN" w:bidi="ar-SA"/>
    </w:rPr>
  </w:style>
  <w:style w:type="paragraph" w:customStyle="1" w:styleId="58">
    <w:name w:val="Char Char Char Char"/>
    <w:basedOn w:val="1"/>
    <w:qFormat/>
    <w:uiPriority w:val="99"/>
    <w:pPr>
      <w:widowControl/>
      <w:spacing w:after="160" w:line="240" w:lineRule="exact"/>
      <w:jc w:val="left"/>
    </w:pPr>
    <w:rPr>
      <w:rFonts w:ascii="Verdana" w:hAnsi="Verdana" w:cs="Verdana"/>
      <w:sz w:val="20"/>
      <w:szCs w:val="20"/>
      <w:lang w:eastAsia="en-US"/>
    </w:rPr>
  </w:style>
  <w:style w:type="paragraph" w:customStyle="1" w:styleId="59">
    <w:name w:val="标准书脚_偶数页"/>
    <w:qFormat/>
    <w:uiPriority w:val="99"/>
    <w:pPr>
      <w:spacing w:before="120"/>
    </w:pPr>
    <w:rPr>
      <w:rFonts w:ascii="Times New Roman" w:hAnsi="Times New Roman" w:eastAsia="宋体" w:cs="Times New Roman"/>
      <w:kern w:val="2"/>
      <w:sz w:val="18"/>
      <w:szCs w:val="18"/>
      <w:lang w:val="en-US" w:eastAsia="zh-CN" w:bidi="ar-SA"/>
    </w:rPr>
  </w:style>
  <w:style w:type="paragraph" w:customStyle="1" w:styleId="60">
    <w:name w:val="发布日期"/>
    <w:qFormat/>
    <w:uiPriority w:val="99"/>
    <w:rPr>
      <w:rFonts w:ascii="Times New Roman" w:hAnsi="Times New Roman" w:eastAsia="黑体" w:cs="Times New Roman"/>
      <w:kern w:val="2"/>
      <w:sz w:val="28"/>
      <w:szCs w:val="28"/>
      <w:lang w:val="en-US" w:eastAsia="zh-CN" w:bidi="ar-SA"/>
    </w:rPr>
  </w:style>
  <w:style w:type="paragraph" w:customStyle="1" w:styleId="61">
    <w:name w:val="五级条标题"/>
    <w:basedOn w:val="52"/>
    <w:next w:val="39"/>
    <w:qFormat/>
    <w:uiPriority w:val="99"/>
    <w:pPr>
      <w:outlineLvl w:val="6"/>
    </w:pPr>
  </w:style>
  <w:style w:type="paragraph" w:customStyle="1" w:styleId="62">
    <w:name w:val="附录四级条标题"/>
    <w:basedOn w:val="40"/>
    <w:next w:val="39"/>
    <w:qFormat/>
    <w:uiPriority w:val="99"/>
    <w:pPr>
      <w:outlineLvl w:val="5"/>
    </w:pPr>
  </w:style>
  <w:style w:type="paragraph" w:customStyle="1" w:styleId="63">
    <w:name w:val="附录表标题"/>
    <w:next w:val="39"/>
    <w:qFormat/>
    <w:uiPriority w:val="99"/>
    <w:pPr>
      <w:tabs>
        <w:tab w:val="left" w:pos="360"/>
      </w:tabs>
      <w:jc w:val="center"/>
      <w:textAlignment w:val="baseline"/>
    </w:pPr>
    <w:rPr>
      <w:rFonts w:ascii="黑体" w:hAnsi="Times New Roman" w:eastAsia="黑体" w:cs="黑体"/>
      <w:kern w:val="21"/>
      <w:sz w:val="21"/>
      <w:szCs w:val="21"/>
      <w:lang w:val="en-US" w:eastAsia="zh-CN" w:bidi="ar-SA"/>
    </w:rPr>
  </w:style>
  <w:style w:type="paragraph" w:customStyle="1" w:styleId="64">
    <w:name w:val="封面一致性程度标识"/>
    <w:qFormat/>
    <w:uiPriority w:val="99"/>
    <w:pPr>
      <w:spacing w:before="440" w:line="400" w:lineRule="exact"/>
      <w:jc w:val="center"/>
    </w:pPr>
    <w:rPr>
      <w:rFonts w:ascii="宋体" w:hAnsi="Times New Roman" w:eastAsia="宋体" w:cs="宋体"/>
      <w:kern w:val="2"/>
      <w:sz w:val="28"/>
      <w:szCs w:val="28"/>
      <w:lang w:val="en-US" w:eastAsia="zh-CN" w:bidi="ar-SA"/>
    </w:rPr>
  </w:style>
  <w:style w:type="paragraph" w:customStyle="1" w:styleId="65">
    <w:name w:val="实施日期"/>
    <w:basedOn w:val="60"/>
    <w:qFormat/>
    <w:uiPriority w:val="99"/>
    <w:pPr>
      <w:jc w:val="right"/>
    </w:pPr>
  </w:style>
  <w:style w:type="paragraph" w:customStyle="1" w:styleId="66">
    <w:name w:val="列出段落1"/>
    <w:basedOn w:val="1"/>
    <w:qFormat/>
    <w:uiPriority w:val="99"/>
    <w:pPr>
      <w:ind w:firstLine="420" w:firstLineChars="200"/>
    </w:pPr>
  </w:style>
  <w:style w:type="paragraph" w:customStyle="1" w:styleId="67">
    <w:name w:val="封面标准号2"/>
    <w:basedOn w:val="34"/>
    <w:qFormat/>
    <w:uiPriority w:val="99"/>
    <w:pPr>
      <w:framePr w:w="9138" w:h="1244" w:hRule="exact" w:wrap="around" w:vAnchor="page" w:hAnchor="margin" w:y="2908" w:anchorLock="1"/>
      <w:adjustRightInd w:val="0"/>
      <w:spacing w:before="357" w:line="280" w:lineRule="exact"/>
    </w:pPr>
  </w:style>
  <w:style w:type="paragraph" w:customStyle="1" w:styleId="68">
    <w:name w:val="封面标准代替信息"/>
    <w:basedOn w:val="67"/>
    <w:qFormat/>
    <w:uiPriority w:val="99"/>
    <w:pPr>
      <w:spacing w:before="57"/>
    </w:pPr>
    <w:rPr>
      <w:rFonts w:ascii="宋体" w:cs="宋体"/>
      <w:sz w:val="21"/>
      <w:szCs w:val="21"/>
    </w:rPr>
  </w:style>
  <w:style w:type="paragraph" w:customStyle="1" w:styleId="69">
    <w:name w:val="封面标准英文名称"/>
    <w:qFormat/>
    <w:uiPriority w:val="99"/>
    <w:pPr>
      <w:widowControl w:val="0"/>
      <w:spacing w:before="370" w:line="400" w:lineRule="exact"/>
      <w:ind w:firstLine="200" w:firstLineChars="200"/>
      <w:jc w:val="center"/>
    </w:pPr>
    <w:rPr>
      <w:rFonts w:ascii="Times New Roman" w:hAnsi="Times New Roman" w:eastAsia="宋体" w:cs="Times New Roman"/>
      <w:kern w:val="2"/>
      <w:sz w:val="28"/>
      <w:szCs w:val="28"/>
      <w:lang w:val="en-US" w:eastAsia="zh-CN" w:bidi="ar-SA"/>
    </w:rPr>
  </w:style>
  <w:style w:type="paragraph" w:customStyle="1" w:styleId="70">
    <w:name w:val="列出段落2"/>
    <w:basedOn w:val="1"/>
    <w:qFormat/>
    <w:uiPriority w:val="0"/>
    <w:pPr>
      <w:ind w:firstLine="420" w:firstLineChars="200"/>
    </w:pPr>
    <w:rPr>
      <w:b/>
      <w:bCs/>
      <w:kern w:val="44"/>
      <w:sz w:val="32"/>
      <w:szCs w:val="32"/>
    </w:rPr>
  </w:style>
  <w:style w:type="paragraph" w:customStyle="1" w:styleId="71">
    <w:name w:val="其他发布部门"/>
    <w:basedOn w:val="1"/>
    <w:qFormat/>
    <w:uiPriority w:val="0"/>
    <w:pPr>
      <w:widowControl/>
      <w:spacing w:line="0" w:lineRule="atLeast"/>
      <w:jc w:val="center"/>
    </w:pPr>
    <w:rPr>
      <w:rFonts w:ascii="黑体" w:eastAsia="黑体"/>
      <w:spacing w:val="20"/>
      <w:w w:val="135"/>
      <w:kern w:val="0"/>
      <w:sz w:val="36"/>
    </w:rPr>
  </w:style>
  <w:style w:type="character" w:customStyle="1" w:styleId="72">
    <w:name w:val="标题 2 Char"/>
    <w:link w:val="2"/>
    <w:qFormat/>
    <w:locked/>
    <w:uiPriority w:val="99"/>
    <w:rPr>
      <w:rFonts w:ascii="Arial" w:hAnsi="Arial" w:eastAsia="黑体" w:cs="Arial"/>
      <w:b/>
      <w:bCs/>
      <w:sz w:val="20"/>
      <w:szCs w:val="20"/>
    </w:rPr>
  </w:style>
  <w:style w:type="character" w:customStyle="1" w:styleId="73">
    <w:name w:val="批注文字 Char"/>
    <w:link w:val="4"/>
    <w:qFormat/>
    <w:locked/>
    <w:uiPriority w:val="99"/>
    <w:rPr>
      <w:rFonts w:ascii="Times New Roman" w:hAnsi="Times New Roman" w:eastAsia="宋体" w:cs="Times New Roman"/>
      <w:sz w:val="20"/>
      <w:szCs w:val="20"/>
    </w:rPr>
  </w:style>
  <w:style w:type="character" w:customStyle="1" w:styleId="74">
    <w:name w:val="批注主题 Char"/>
    <w:link w:val="3"/>
    <w:qFormat/>
    <w:locked/>
    <w:uiPriority w:val="99"/>
    <w:rPr>
      <w:rFonts w:ascii="Times New Roman" w:hAnsi="Times New Roman" w:eastAsia="宋体" w:cs="Times New Roman"/>
      <w:b/>
      <w:bCs/>
      <w:sz w:val="20"/>
      <w:szCs w:val="20"/>
    </w:rPr>
  </w:style>
  <w:style w:type="character" w:customStyle="1" w:styleId="75">
    <w:name w:val="文档结构图 Char"/>
    <w:link w:val="7"/>
    <w:qFormat/>
    <w:locked/>
    <w:uiPriority w:val="99"/>
    <w:rPr>
      <w:rFonts w:ascii="Times New Roman" w:hAnsi="Times New Roman" w:eastAsia="宋体" w:cs="Times New Roman"/>
      <w:sz w:val="20"/>
      <w:szCs w:val="20"/>
      <w:shd w:val="clear" w:color="auto" w:fill="000080"/>
    </w:rPr>
  </w:style>
  <w:style w:type="character" w:customStyle="1" w:styleId="76">
    <w:name w:val="正文文本缩进 Char"/>
    <w:link w:val="9"/>
    <w:qFormat/>
    <w:locked/>
    <w:uiPriority w:val="99"/>
    <w:rPr>
      <w:rFonts w:ascii="Times New Roman" w:hAnsi="Times New Roman" w:eastAsia="宋体" w:cs="Times New Roman"/>
      <w:sz w:val="20"/>
      <w:szCs w:val="20"/>
    </w:rPr>
  </w:style>
  <w:style w:type="character" w:customStyle="1" w:styleId="77">
    <w:name w:val="纯文本 Char"/>
    <w:link w:val="10"/>
    <w:qFormat/>
    <w:locked/>
    <w:uiPriority w:val="99"/>
    <w:rPr>
      <w:rFonts w:ascii="宋体" w:hAnsi="Courier New" w:eastAsia="宋体" w:cs="宋体"/>
      <w:sz w:val="21"/>
      <w:szCs w:val="21"/>
    </w:rPr>
  </w:style>
  <w:style w:type="character" w:customStyle="1" w:styleId="78">
    <w:name w:val="日期 Char"/>
    <w:link w:val="12"/>
    <w:qFormat/>
    <w:locked/>
    <w:uiPriority w:val="99"/>
    <w:rPr>
      <w:rFonts w:ascii="Times New Roman" w:hAnsi="Times New Roman" w:eastAsia="宋体" w:cs="Times New Roman"/>
      <w:sz w:val="20"/>
      <w:szCs w:val="20"/>
    </w:rPr>
  </w:style>
  <w:style w:type="character" w:customStyle="1" w:styleId="79">
    <w:name w:val="批注框文本 Char"/>
    <w:link w:val="13"/>
    <w:qFormat/>
    <w:locked/>
    <w:uiPriority w:val="99"/>
    <w:rPr>
      <w:rFonts w:ascii="Times New Roman" w:hAnsi="Times New Roman" w:eastAsia="宋体" w:cs="Times New Roman"/>
      <w:sz w:val="20"/>
      <w:szCs w:val="20"/>
    </w:rPr>
  </w:style>
  <w:style w:type="character" w:customStyle="1" w:styleId="80">
    <w:name w:val="页脚 Char"/>
    <w:link w:val="14"/>
    <w:qFormat/>
    <w:locked/>
    <w:uiPriority w:val="99"/>
    <w:rPr>
      <w:sz w:val="18"/>
      <w:szCs w:val="18"/>
    </w:rPr>
  </w:style>
  <w:style w:type="character" w:customStyle="1" w:styleId="81">
    <w:name w:val="页眉 Char"/>
    <w:link w:val="15"/>
    <w:qFormat/>
    <w:locked/>
    <w:uiPriority w:val="99"/>
    <w:rPr>
      <w:sz w:val="18"/>
      <w:szCs w:val="18"/>
    </w:rPr>
  </w:style>
  <w:style w:type="character" w:customStyle="1" w:styleId="82">
    <w:name w:val="脚注文本 Char"/>
    <w:link w:val="16"/>
    <w:qFormat/>
    <w:locked/>
    <w:uiPriority w:val="99"/>
    <w:rPr>
      <w:rFonts w:ascii="Times New Roman" w:hAnsi="Times New Roman" w:eastAsia="宋体" w:cs="Times New Roman"/>
      <w:sz w:val="20"/>
      <w:szCs w:val="20"/>
    </w:rPr>
  </w:style>
  <w:style w:type="character" w:customStyle="1" w:styleId="83">
    <w:name w:val="段 Char"/>
    <w:link w:val="39"/>
    <w:qFormat/>
    <w:locked/>
    <w:uiPriority w:val="99"/>
    <w:rPr>
      <w:rFonts w:ascii="宋体"/>
      <w:kern w:val="2"/>
      <w:sz w:val="22"/>
      <w:szCs w:val="22"/>
      <w:lang w:val="en-US" w:eastAsia="zh-CN" w:bidi="ar-SA"/>
    </w:rPr>
  </w:style>
  <w:style w:type="character" w:customStyle="1" w:styleId="84">
    <w:name w:val="sh141"/>
    <w:qFormat/>
    <w:uiPriority w:val="99"/>
    <w:rPr>
      <w:color w:val="auto"/>
      <w:sz w:val="18"/>
      <w:szCs w:val="18"/>
    </w:rPr>
  </w:style>
  <w:style w:type="character" w:customStyle="1" w:styleId="85">
    <w:name w:val="占位符文本1"/>
    <w:semiHidden/>
    <w:qFormat/>
    <w:uiPriority w:val="99"/>
    <w:rPr>
      <w:color w:val="808080"/>
    </w:rPr>
  </w:style>
  <w:style w:type="character" w:customStyle="1" w:styleId="86">
    <w:name w:val="发布"/>
    <w:basedOn w:val="17"/>
    <w:qFormat/>
    <w:uiPriority w:val="0"/>
    <w:rPr>
      <w:rFonts w:ascii="黑体" w:eastAsia="黑体"/>
      <w:spacing w:val="22"/>
      <w:w w:val="100"/>
      <w:position w:val="3"/>
      <w:sz w:val="28"/>
    </w:rPr>
  </w:style>
  <w:style w:type="character" w:customStyle="1" w:styleId="87">
    <w:name w:val="fontborder"/>
    <w:basedOn w:val="17"/>
    <w:qFormat/>
    <w:uiPriority w:val="0"/>
    <w:rPr>
      <w:bdr w:val="single" w:color="000000" w:sz="6" w:space="0"/>
    </w:rPr>
  </w:style>
  <w:style w:type="character" w:customStyle="1" w:styleId="88">
    <w:name w:val="fontstrikethrough"/>
    <w:basedOn w:val="17"/>
    <w:qFormat/>
    <w:uiPriority w:val="0"/>
    <w:rPr>
      <w:strik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customXml" Target="../customXml/item1.xml"/><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210</Words>
  <Characters>1199</Characters>
  <Lines>9</Lines>
  <Paragraphs>2</Paragraphs>
  <ScaleCrop>false</ScaleCrop>
  <LinksUpToDate>false</LinksUpToDate>
  <CharactersWithSpaces>0</CharactersWithSpaces>
  <Application>WPS Office_9.1.0.5087_{F1E327BC-269C-435d-A152-05C5408002CA}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2017-05-04T14:16:00Z</dcterms:created>
  <dc:creator>俞金生</dc:creator>
  <cp:lastModifiedBy>02.0195 奚红杰</cp:lastModifiedBy>
  <cp:lastPrinted>2018-03-09T05:46:00Z</cp:lastPrinted>
  <dcterms:modified xsi:type="dcterms:W3CDTF">2019-10-17T07:32:58Z</dcterms:modified>
  <dc:title>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