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</w:rPr>
        <w:t>标准征求意见稿汇总处理表</w:t>
      </w:r>
    </w:p>
    <w:p>
      <w:pPr>
        <w:spacing w:line="360" w:lineRule="auto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标准项目名称：</w:t>
      </w:r>
      <w:r>
        <w:rPr>
          <w:rFonts w:hint="eastAsia" w:ascii="宋体" w:hAnsi="宋体" w:eastAsia="宋体" w:cs="Times New Roman"/>
          <w:szCs w:val="24"/>
          <w:lang w:eastAsia="zh-CN"/>
        </w:rPr>
        <w:t>铜冶炼</w:t>
      </w:r>
      <w:r>
        <w:rPr>
          <w:rFonts w:hint="eastAsia" w:ascii="宋体" w:hAnsi="宋体" w:eastAsia="宋体" w:cs="Times New Roman"/>
          <w:szCs w:val="24"/>
        </w:rPr>
        <w:t>分银渣</w:t>
      </w:r>
    </w:p>
    <w:p>
      <w:pPr>
        <w:spacing w:line="360" w:lineRule="auto"/>
        <w:rPr>
          <w:rFonts w:hint="default" w:ascii="宋体" w:hAnsi="宋体" w:eastAsia="宋体" w:cs="Times New Roman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Cs w:val="24"/>
        </w:rPr>
        <w:t>承办人：彭青伟</w:t>
      </w:r>
      <w:r>
        <w:rPr>
          <w:rFonts w:hint="eastAsia" w:ascii="宋体" w:hAnsi="宋体" w:eastAsia="宋体" w:cs="Times New Roman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Cs w:val="24"/>
        </w:rPr>
        <w:t>共</w:t>
      </w:r>
      <w:r>
        <w:rPr>
          <w:rFonts w:ascii="宋体" w:hAnsi="宋体" w:eastAsia="宋体" w:cs="Times New Roman"/>
          <w:szCs w:val="24"/>
        </w:rPr>
        <w:t>3</w:t>
      </w:r>
      <w:r>
        <w:rPr>
          <w:rFonts w:hint="eastAsia" w:ascii="宋体" w:hAnsi="宋体" w:eastAsia="宋体" w:cs="Times New Roman"/>
          <w:szCs w:val="24"/>
        </w:rPr>
        <w:t>页</w:t>
      </w:r>
      <w:r>
        <w:rPr>
          <w:rFonts w:hint="eastAsia" w:ascii="宋体" w:hAnsi="宋体" w:eastAsia="宋体" w:cs="Times New Roman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Times New Roman"/>
          <w:szCs w:val="24"/>
        </w:rPr>
        <w:t xml:space="preserve"> 手机：13597629092</w:t>
      </w:r>
    </w:p>
    <w:p>
      <w:pPr>
        <w:spacing w:line="360" w:lineRule="auto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标准项目负责起草单位：大冶有色金属有限责任公司</w:t>
      </w:r>
    </w:p>
    <w:p>
      <w:pPr>
        <w:spacing w:line="360" w:lineRule="auto"/>
      </w:pPr>
      <w:r>
        <w:rPr>
          <w:rFonts w:hint="eastAsia" w:ascii="宋体" w:hAnsi="宋体" w:eastAsia="宋体" w:cs="Times New Roman"/>
          <w:szCs w:val="24"/>
          <w:lang w:eastAsia="zh-CN"/>
        </w:rPr>
        <w:t>时间：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01</w:t>
      </w:r>
      <w:r>
        <w:rPr>
          <w:rFonts w:hint="eastAsia" w:ascii="宋体" w:hAnsi="宋体" w:eastAsia="宋体"/>
          <w:szCs w:val="21"/>
        </w:rPr>
        <w:t>9年</w:t>
      </w:r>
      <w:r>
        <w:rPr>
          <w:rFonts w:hint="eastAsia" w:ascii="宋体" w:hAnsi="宋体" w:eastAsia="宋体"/>
          <w:szCs w:val="21"/>
          <w:lang w:val="en-US" w:eastAsia="zh-CN"/>
        </w:rPr>
        <w:t>8</w:t>
      </w:r>
      <w:r>
        <w:rPr>
          <w:rFonts w:hint="eastAsia" w:ascii="宋体" w:hAnsi="宋体" w:eastAsia="宋体"/>
          <w:szCs w:val="21"/>
        </w:rPr>
        <w:t>月22日填写</w:t>
      </w:r>
    </w:p>
    <w:tbl>
      <w:tblPr>
        <w:tblStyle w:val="7"/>
        <w:tblpPr w:leftFromText="180" w:rightFromText="180" w:vertAnchor="text" w:horzAnchor="page" w:tblpXSpec="center" w:tblpY="894"/>
        <w:tblOverlap w:val="never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49"/>
        <w:gridCol w:w="3692"/>
        <w:gridCol w:w="1834"/>
        <w:gridCol w:w="766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标准章条编号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意见内容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提出单位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处理意见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铜冶炼分银渣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云南铜业股份有限公司西南铜业分公司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将范围“本标准适用于由铜阳极泥中分离铜、金、银后的产物，供提炼贵金属和其它有价元素使用”更改为“本标准适用于由铜阳极泥中分离铜、金、银后的中间物料，供再次综合回收金、银、铅、锡、锑等有价金属使用。”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永兴鑫裕环保镍业有限公司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部分采纳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更改为“本标准适用于由铜阳极泥中分离铜、金、银后的产物，供提炼贵金属和其它有价元素等金属冶炼系统使用”。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改为铜阳极泥分银渣化学分析方法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中条山有色金属集团有限公司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标准暂时没有，沿用老标准，待新标准出台后修订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baidu.com/s?wd=%E3%80%8A%E5%8D%B1%E9%99%A9%E5%8C%96%E5%AD%A6%E5%93%81%E5%AE%89%E5%85%A8%E7%AE%A1%E7%90%86%E6%9D%A1%E4%BE%8B%E3%80%8B&amp;tn=44039180_cpr&amp;fenlei=mv6quAkxTZn0IZRqIHckPjm4nH00T1dBPhnvPWn4uj-hm1u9nyuB0ZwV5Hcvrjm3rH6sPfKWUMw85HfYnjn4nH6sgvPsT6KdThsqpZwYTjCEQLGCpyw9Uz4Bmy-bIi4WUvYETgN-TLwGUv3En1RYrj0sPHfL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《危险化学品安全管理条例》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（中华人民共和国国务院令第591号）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铜陵有色金属集团控股有限公司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采用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369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As指标设置偏高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中条山有色金属集团有限公司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1、以Pb附带</w:t>
            </w:r>
            <w:bookmarkStart w:id="0" w:name="OLE_LINK9"/>
            <w:bookmarkStart w:id="1" w:name="OLE_LINK7"/>
            <w:bookmarkStart w:id="2" w:name="OLE_LINK8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Sn+Sb+Bi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为分级主要依据，以Au、Ag、As为杂质含量，分为二个品级：一级品和二级品。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或Sn+Sb+Bi为一项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铜陵有色金属集团控股有限公司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铜陵的铜阳极泥中铋品位相差较大，分银渣含铋1-10%之间波动。考虑普遍实际。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</w:t>
            </w:r>
          </w:p>
        </w:tc>
        <w:tc>
          <w:tcPr>
            <w:tcW w:w="3692" w:type="dxa"/>
            <w:vAlign w:val="center"/>
          </w:tcPr>
          <w:tbl>
            <w:tblPr>
              <w:tblStyle w:val="7"/>
              <w:tblpPr w:leftFromText="180" w:rightFromText="180" w:vertAnchor="text" w:horzAnchor="page" w:tblpX="58" w:tblpY="-731"/>
              <w:tblOverlap w:val="never"/>
              <w:tblW w:w="30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5"/>
              <w:gridCol w:w="1117"/>
              <w:gridCol w:w="8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957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一级品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二级品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锡（Sn）（不小于%）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shd w:val="clear" w:color="auto" w:fill="FFFFFF"/>
                    </w:rPr>
                    <w:t>锑（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Sb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shd w:val="clear" w:color="auto" w:fill="FFFFFF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（不小于%）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砷（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As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）（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不大于%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111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84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5.0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（江铜）贵溪冶炼厂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采纳</w:t>
            </w:r>
          </w:p>
        </w:tc>
        <w:tc>
          <w:tcPr>
            <w:tcW w:w="2753" w:type="dxa"/>
            <w:vAlign w:val="center"/>
          </w:tcPr>
          <w:tbl>
            <w:tblPr>
              <w:tblStyle w:val="7"/>
              <w:tblpPr w:leftFromText="180" w:rightFromText="180" w:vertAnchor="text" w:horzAnchor="page" w:tblpX="58" w:tblpY="-731"/>
              <w:tblOverlap w:val="never"/>
              <w:tblW w:w="23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5"/>
              <w:gridCol w:w="655"/>
              <w:gridCol w:w="6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Merge w:val="restart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（原）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Merge w:val="continue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一级品</w:t>
                  </w:r>
                </w:p>
              </w:tc>
              <w:tc>
                <w:tcPr>
                  <w:tcW w:w="63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二级品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锡（Sn）（不小于%）</w:t>
                  </w:r>
                </w:p>
              </w:tc>
              <w:tc>
                <w:tcPr>
                  <w:tcW w:w="6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6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shd w:val="clear" w:color="auto" w:fill="FFFFFF"/>
                    </w:rPr>
                    <w:t>锑（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Sb</w:t>
                  </w: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shd w:val="clear" w:color="auto" w:fill="FFFFFF"/>
                    </w:rPr>
                    <w:t>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（不小于%）</w:t>
                  </w:r>
                </w:p>
              </w:tc>
              <w:tc>
                <w:tcPr>
                  <w:tcW w:w="6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6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砷（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As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）（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不大于%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6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</w:t>
                  </w:r>
                </w:p>
              </w:tc>
              <w:tc>
                <w:tcPr>
                  <w:tcW w:w="63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5.0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28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5.4.2</w:t>
            </w:r>
          </w:p>
        </w:tc>
        <w:tc>
          <w:tcPr>
            <w:tcW w:w="3692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将所制样品分成3份：一份为供方样，一分为需方样，一份为仲裁样。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（江铜）贵溪冶炼厂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5.4.2（原）将所制样品分成4份：一份为供方样，一分为需方样，一份为仲裁样，一份为复检样。复检样为防止出现化验失误时备份需要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285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规范包装要求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云南铜业股份有限公司西南铜业分公司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将包装内容更改为“产品包装要求</w:t>
            </w:r>
            <w:r>
              <w:rPr>
                <w:rFonts w:hint="eastAsia" w:ascii="宋体" w:hAnsi="宋体" w:eastAsia="宋体"/>
                <w:kern w:val="2"/>
                <w:szCs w:val="24"/>
              </w:rPr>
              <w:t>应符合</w: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begin"/>
            </w:r>
            <w:r>
              <w:rPr>
                <w:rFonts w:ascii="宋体" w:hAnsi="宋体" w:eastAsia="宋体"/>
                <w:kern w:val="2"/>
                <w:szCs w:val="24"/>
              </w:rPr>
              <w:instrText xml:space="preserve"> HYPERLINK "http://www.baidu.com/s?wd=%E3%80%8A%E5%8D%B1%E9%99%A9%E5%8C%96%E5%AD%A6%E5%93%81%E5%AE%89%E5%85%A8%E7%AE%A1%E7%90%86%E6%9D%A1%E4%BE%8B%E3%80%8B&amp;tn=44039180_cpr&amp;fenlei=mv6quAkxTZn0IZRqIHckPjm4nH00T1dBPhnvPWn4uj-hm1u9nyuB0ZwV5Hcvrjm3rH6sPfKWUMw85HfYnjn4nH6sgvPsT6KdThsqpZwYTjCEQLGCpyw9Uz4Bmy-bIi4WUvYETgN-TLwGUv3En1RYrj0sPHfL" \t "_blank" </w:instrTex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kern w:val="2"/>
                <w:szCs w:val="24"/>
              </w:rPr>
              <w:t>《危险化学品安全管理条例》</w: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kern w:val="2"/>
                <w:szCs w:val="24"/>
              </w:rPr>
              <w:t>的要求。</w:t>
            </w:r>
            <w:r>
              <w:rPr>
                <w:rFonts w:hint="eastAsia" w:ascii="宋体" w:hAnsi="宋体" w:eastAsia="宋体"/>
                <w:kern w:val="2"/>
                <w:szCs w:val="24"/>
                <w:lang w:eastAsia="zh-CN"/>
              </w:rPr>
              <w:t>”更符合法律规定。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left" w:pos="285"/>
              </w:tabs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添加“标志”内容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贵研铂业股份有限公司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采纳</w:t>
            </w:r>
          </w:p>
        </w:tc>
        <w:tc>
          <w:tcPr>
            <w:tcW w:w="275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增加内容“产品包装应有牢固清晰的标志，内容包括：“腐蚀品”、“怕雨”、“防晒”标签、生产日期、厂家名称、批号、质量。”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6.3</w:t>
            </w:r>
          </w:p>
        </w:tc>
        <w:tc>
          <w:tcPr>
            <w:tcW w:w="3692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去掉d）金、银等计价元素含量；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3.2.1表1中增加Bi含量：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中条山有色金属集团有限公司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产品综合利用提取有价金属；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铋含量在所收集资料内Bi≤2.0%，化学元素过多不利于定品级。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3692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建议删除“或防腐容器”，描述更加通畅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永兴鑫裕环保镍业有限公司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部分采纳</w:t>
            </w:r>
          </w:p>
        </w:tc>
        <w:tc>
          <w:tcPr>
            <w:tcW w:w="275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Cs w:val="24"/>
                <w:lang w:eastAsia="zh-CN"/>
              </w:rPr>
              <w:t>将</w:t>
            </w:r>
            <w:r>
              <w:rPr>
                <w:rFonts w:hint="eastAsia" w:ascii="宋体" w:hAnsi="宋体" w:eastAsia="宋体"/>
                <w:kern w:val="2"/>
                <w:szCs w:val="24"/>
                <w:lang w:val="en-US" w:eastAsia="zh-CN"/>
              </w:rPr>
              <w:t>6.3运输和</w:t>
            </w:r>
            <w:r>
              <w:rPr>
                <w:rFonts w:hint="eastAsia" w:ascii="宋体" w:hAnsi="宋体" w:eastAsia="宋体"/>
                <w:kern w:val="2"/>
                <w:szCs w:val="24"/>
              </w:rPr>
              <w:t>贮存</w:t>
            </w:r>
            <w:r>
              <w:rPr>
                <w:rFonts w:hint="eastAsia" w:ascii="宋体" w:hAnsi="宋体" w:eastAsia="宋体"/>
                <w:kern w:val="2"/>
                <w:szCs w:val="24"/>
                <w:lang w:eastAsia="zh-CN"/>
              </w:rPr>
              <w:t>内容更改为“</w:t>
            </w:r>
            <w:r>
              <w:rPr>
                <w:rFonts w:hint="eastAsia" w:ascii="宋体" w:hAnsi="宋体" w:eastAsia="宋体"/>
                <w:kern w:val="2"/>
                <w:szCs w:val="24"/>
              </w:rPr>
              <w:t>产品运输、贮存应符合</w: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begin"/>
            </w:r>
            <w:r>
              <w:rPr>
                <w:rFonts w:ascii="宋体" w:hAnsi="宋体" w:eastAsia="宋体"/>
                <w:kern w:val="2"/>
                <w:szCs w:val="24"/>
              </w:rPr>
              <w:instrText xml:space="preserve"> HYPERLINK "http://www.baidu.com/s?wd=%E3%80%8A%E5%8D%B1%E9%99%A9%E5%8C%96%E5%AD%A6%E5%93%81%E5%AE%89%E5%85%A8%E7%AE%A1%E7%90%86%E6%9D%A1%E4%BE%8B%E3%80%8B&amp;tn=44039180_cpr&amp;fenlei=mv6quAkxTZn0IZRqIHckPjm4nH00T1dBPhnvPWn4uj-hm1u9nyuB0ZwV5Hcvrjm3rH6sPfKWUMw85HfYnjn4nH6sgvPsT6KdThsqpZwYTjCEQLGCpyw9Uz4Bmy-bIi4WUvYETgN-TLwGUv3En1RYrj0sPHfL" \t "_blank" </w:instrTex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separate"/>
            </w:r>
            <w:r>
              <w:rPr>
                <w:rFonts w:hint="eastAsia" w:ascii="宋体" w:hAnsi="宋体" w:eastAsia="宋体"/>
                <w:kern w:val="2"/>
                <w:szCs w:val="24"/>
              </w:rPr>
              <w:t>《危险化学品安全管理条例》</w:t>
            </w:r>
            <w:r>
              <w:rPr>
                <w:rFonts w:ascii="宋体" w:hAnsi="宋体" w:eastAsia="宋体"/>
                <w:kern w:val="2"/>
                <w:szCs w:val="24"/>
              </w:rPr>
              <w:fldChar w:fldCharType="end"/>
            </w:r>
            <w:r>
              <w:rPr>
                <w:rFonts w:hint="eastAsia" w:ascii="宋体" w:hAnsi="宋体" w:eastAsia="宋体"/>
                <w:kern w:val="2"/>
                <w:szCs w:val="24"/>
              </w:rPr>
              <w:t>的要求。</w:t>
            </w:r>
            <w:r>
              <w:rPr>
                <w:rFonts w:hint="eastAsia" w:ascii="宋体" w:hAnsi="宋体" w:eastAsia="宋体"/>
                <w:kern w:val="2"/>
                <w:szCs w:val="24"/>
                <w:lang w:eastAsia="zh-CN"/>
              </w:rPr>
              <w:t>”更符合法律规定。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1、因工艺不同，现云铜铜阳极泥处理工艺不存在如标准中涉及的分银渣生产流程，故无基于该流程产出的分银渣；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云铜现有类似于分银渣的中间物料（浮选尾矿），其杂质成分Pb15~30%、Sb4~7%、Au＜100g/t、Ag＜10kg/t，As1~3%，主金属铅、锑及贵金属金、银含量优于标准中制定的一级品，建议纳入一并考虑，故不应限定分银渣的产出工艺（Sn含量受原料限制，云铜阳极泥中为低含量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云南铜业股份有限公司西南铜业分公司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考虑目前工艺普遍实际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3、应对分银渣做术语解释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云南铜业股份有限公司西南铜业分公司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不采纳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1.标准名称《铜阳极泥分银渣》已经规范了物料来源                              2.本标准适用于由铜阳极泥中分离铜、金、银后的产物，供提炼贵金属和其他有价元素使用。规范了标准使用范围。</w:t>
            </w:r>
          </w:p>
        </w:tc>
      </w:tr>
    </w:tbl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</w:t>
      </w:r>
      <w:r>
        <w:rPr>
          <w:rFonts w:ascii="宋体" w:hAnsi="宋体" w:eastAsia="宋体"/>
          <w:szCs w:val="21"/>
        </w:rPr>
        <w:fldChar w:fldCharType="begin"/>
      </w:r>
      <w:r>
        <w:rPr>
          <w:rFonts w:hint="eastAsia" w:ascii="宋体" w:hAnsi="宋体" w:eastAsia="宋体"/>
          <w:szCs w:val="21"/>
        </w:rPr>
        <w:instrText xml:space="preserve">= 1 \* GB2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⑴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发送《征求意见稿》的单位数：8个；</w:t>
      </w:r>
    </w:p>
    <w:p>
      <w:pPr>
        <w:spacing w:line="360" w:lineRule="auto"/>
        <w:ind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hint="eastAsia" w:ascii="宋体" w:hAnsi="宋体" w:eastAsia="宋体"/>
          <w:szCs w:val="21"/>
        </w:rPr>
        <w:instrText xml:space="preserve">= 2 \* GB2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⑵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收到《征求意见稿》后，回函的单位数：6个；</w:t>
      </w:r>
    </w:p>
    <w:p>
      <w:pPr>
        <w:spacing w:line="360" w:lineRule="auto"/>
        <w:ind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hint="eastAsia" w:ascii="宋体" w:hAnsi="宋体" w:eastAsia="宋体"/>
          <w:szCs w:val="21"/>
        </w:rPr>
        <w:instrText xml:space="preserve">= 3 \* GB2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⑶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没有回函的单位数：2个。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bookmarkStart w:id="3" w:name="_GoBack"/>
      <w:bookmarkEnd w:id="3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2" w:tentative="0">
      <w:start w:val="1"/>
      <w:numFmt w:val="decimal"/>
      <w:pStyle w:val="14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pStyle w:val="13"/>
      <w:suff w:val="nothing"/>
      <w:lvlText w:val="%1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AE9DF44"/>
    <w:multiLevelType w:val="singleLevel"/>
    <w:tmpl w:val="0AE9D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8EF1A6"/>
    <w:multiLevelType w:val="singleLevel"/>
    <w:tmpl w:val="468EF1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12E"/>
    <w:rsid w:val="000514C9"/>
    <w:rsid w:val="0008512E"/>
    <w:rsid w:val="00140CDC"/>
    <w:rsid w:val="001A22C7"/>
    <w:rsid w:val="00265CE5"/>
    <w:rsid w:val="0043217D"/>
    <w:rsid w:val="00523511"/>
    <w:rsid w:val="005B4C9C"/>
    <w:rsid w:val="005D4599"/>
    <w:rsid w:val="0080381D"/>
    <w:rsid w:val="0090218B"/>
    <w:rsid w:val="009F0460"/>
    <w:rsid w:val="00A736BE"/>
    <w:rsid w:val="00A94679"/>
    <w:rsid w:val="00AB5FFC"/>
    <w:rsid w:val="00AB6603"/>
    <w:rsid w:val="00AD3CA2"/>
    <w:rsid w:val="00D22083"/>
    <w:rsid w:val="00D40CB6"/>
    <w:rsid w:val="00DF3E66"/>
    <w:rsid w:val="00DF6B73"/>
    <w:rsid w:val="00EA6876"/>
    <w:rsid w:val="00EF60F4"/>
    <w:rsid w:val="00F51FA3"/>
    <w:rsid w:val="00F52699"/>
    <w:rsid w:val="00FD5208"/>
    <w:rsid w:val="0F6C20A0"/>
    <w:rsid w:val="1A2C04A9"/>
    <w:rsid w:val="21737C7D"/>
    <w:rsid w:val="2E5D4761"/>
    <w:rsid w:val="31881597"/>
    <w:rsid w:val="3689252D"/>
    <w:rsid w:val="391D3956"/>
    <w:rsid w:val="3962703B"/>
    <w:rsid w:val="470F1FF7"/>
    <w:rsid w:val="557B2975"/>
    <w:rsid w:val="5E96736B"/>
    <w:rsid w:val="61504B3B"/>
    <w:rsid w:val="62B45EE8"/>
    <w:rsid w:val="6F6E2839"/>
    <w:rsid w:val="731C01C1"/>
    <w:rsid w:val="7C53757B"/>
    <w:rsid w:val="7F070E21"/>
    <w:rsid w:val="7F5047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微软雅黑" w:cstheme="minorBidi"/>
      <w:sz w:val="22"/>
      <w:szCs w:val="22"/>
      <w:lang w:val="en-US" w:eastAsia="zh-CN" w:bidi="ar-SA"/>
    </w:rPr>
  </w:style>
  <w:style w:type="paragraph" w:customStyle="1" w:styleId="13">
    <w:name w:val="二级条标题"/>
    <w:basedOn w:val="14"/>
    <w:next w:val="12"/>
    <w:uiPriority w:val="0"/>
    <w:pPr>
      <w:numPr>
        <w:ilvl w:val="3"/>
        <w:numId w:val="1"/>
      </w:numPr>
      <w:outlineLvl w:val="3"/>
    </w:pPr>
  </w:style>
  <w:style w:type="paragraph" w:customStyle="1" w:styleId="14">
    <w:name w:val="一级条标题"/>
    <w:next w:val="12"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197</Words>
  <Characters>1125</Characters>
  <Lines>9</Lines>
  <Paragraphs>2</Paragraphs>
  <TotalTime>0</TotalTime>
  <ScaleCrop>false</ScaleCrop>
  <LinksUpToDate>false</LinksUpToDate>
  <CharactersWithSpaces>1320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2018-06-27T19:42:00Z</dcterms:created>
  <dc:creator>mdf</dc:creator>
  <cp:lastModifiedBy>谢辉</cp:lastModifiedBy>
  <dcterms:modified xsi:type="dcterms:W3CDTF">2019-10-14T08:48:16Z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