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第32部分：铋含量的测定</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第32部分：铋含量的测定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第32部分：铋含量的测定</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r>
        <w:rPr>
          <w:rFonts w:hint="eastAsia" w:ascii="黑体" w:eastAsia="黑体"/>
          <w:sz w:val="32"/>
          <w:szCs w:val="32"/>
          <w:lang w:eastAsia="zh-CN"/>
        </w:rPr>
        <w:t>）</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ascii="宋体" w:hAnsi="宋体"/>
          <w:szCs w:val="21"/>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20975.32—201X《铝及铝合金化学分析方法 第32部分：铋含量的测定》进行了讨论，并进行了制修订任务落实，会上确定了《铝及铝合金化学分析方法 第32部分：铋含量的测定》的起草基本思路。根据会议讨论安排，制修订</w:t>
      </w:r>
      <w:r>
        <w:rPr>
          <w:rFonts w:hint="eastAsia" w:ascii="宋体" w:hAnsi="宋体"/>
          <w:bCs/>
          <w:color w:val="000000"/>
          <w:szCs w:val="21"/>
        </w:rPr>
        <w:t>GB/T 20975.32-201X《铝及铝合金化学分析方法 第32部分：铋含量的测定》时，</w:t>
      </w:r>
      <w:r>
        <w:rPr>
          <w:rFonts w:hint="eastAsia" w:ascii="宋体" w:hAnsi="宋体"/>
          <w:szCs w:val="21"/>
        </w:rPr>
        <w:t>将YS/T 807.9-2012《铝中间合金化学分析方法  第9部分：铋含量的测定　</w:t>
      </w:r>
      <w:r>
        <w:rPr>
          <w:rFonts w:hint="eastAsia" w:ascii="宋体" w:hAnsi="宋体"/>
        </w:rPr>
        <w:t>碘化钾分光光度法</w:t>
      </w:r>
      <w:r>
        <w:rPr>
          <w:rFonts w:hint="eastAsia" w:ascii="宋体" w:hAnsi="宋体"/>
          <w:szCs w:val="21"/>
        </w:rPr>
        <w:t>》作为新起草标准中GB/T 20975.32-201X中“方法一：</w:t>
      </w:r>
      <w:r>
        <w:rPr>
          <w:rFonts w:hint="eastAsia" w:ascii="宋体" w:hAnsi="宋体"/>
        </w:rPr>
        <w:t>碘化钾分光光度法</w:t>
      </w:r>
      <w:r>
        <w:rPr>
          <w:rFonts w:hint="eastAsia" w:ascii="宋体" w:hAnsi="宋体"/>
          <w:szCs w:val="21"/>
        </w:rPr>
        <w:t>”，铋的测定范围由1.00%～11.00%修改为0.01%～2.5%，适用于一般铝及铝合金中铋含量的测定，由中国铝业郑州有色金属研究院有限公司负责；广东省工业分析检测中心起草标准中“方法二：EDTA络合滴定法”，铋测定范围为2.5%～11.0%，适用于铝中间合金中AlBi3、AlBi5、AlBi10等牌号中铋含量的测定。</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全国有色金属标准化技术委员会2019年下达标准制（修）定计划（国标委发〔2018〕60号），本标准项目计划编号为20182000-T-610，项目完成时间为2020年9月。</w:t>
      </w:r>
    </w:p>
    <w:p>
      <w:pPr>
        <w:spacing w:line="360" w:lineRule="auto"/>
        <w:ind w:firstLine="420" w:firstLineChars="200"/>
        <w:jc w:val="left"/>
        <w:rPr>
          <w:rFonts w:hint="eastAsia" w:ascii="宋体" w:hAnsi="宋体"/>
          <w:szCs w:val="21"/>
        </w:rPr>
      </w:pPr>
      <w:r>
        <w:rPr>
          <w:rFonts w:hint="eastAsia" w:ascii="宋体" w:hAnsi="宋体"/>
          <w:szCs w:val="21"/>
        </w:rPr>
        <w:t>2019年6月24</w:t>
      </w:r>
      <w:r>
        <w:rPr>
          <w:rFonts w:ascii="宋体" w:hAnsi="宋体"/>
          <w:szCs w:val="21"/>
        </w:rPr>
        <w:t>日～</w:t>
      </w:r>
      <w:r>
        <w:rPr>
          <w:rFonts w:hint="eastAsia" w:ascii="宋体" w:hAnsi="宋体"/>
          <w:szCs w:val="21"/>
        </w:rPr>
        <w:t>26</w:t>
      </w:r>
      <w:r>
        <w:rPr>
          <w:rFonts w:ascii="宋体" w:hAnsi="宋体"/>
          <w:szCs w:val="21"/>
        </w:rPr>
        <w:t>日</w:t>
      </w:r>
      <w:r>
        <w:rPr>
          <w:rFonts w:hint="eastAsia" w:ascii="宋体" w:hAnsi="宋体"/>
          <w:szCs w:val="21"/>
        </w:rPr>
        <w:t>在山东省青岛市召开的GB/T 20975系列标准预审会上，为了与其他</w:t>
      </w:r>
      <w:r>
        <w:rPr>
          <w:rFonts w:hint="eastAsia" w:ascii="宋体" w:hAnsi="宋体"/>
          <w:szCs w:val="21"/>
          <w:lang w:eastAsia="zh-CN"/>
        </w:rPr>
        <w:t>部分</w:t>
      </w:r>
      <w:r>
        <w:rPr>
          <w:rFonts w:hint="eastAsia" w:ascii="宋体" w:hAnsi="宋体"/>
          <w:szCs w:val="21"/>
        </w:rPr>
        <w:t>名称保持一致，会议建议将本</w:t>
      </w:r>
      <w:r>
        <w:rPr>
          <w:rFonts w:hint="eastAsia" w:ascii="宋体" w:hAnsi="宋体"/>
          <w:szCs w:val="21"/>
          <w:lang w:eastAsia="zh-CN"/>
        </w:rPr>
        <w:t>部分</w:t>
      </w:r>
      <w:r>
        <w:rPr>
          <w:rFonts w:hint="eastAsia" w:ascii="宋体" w:hAnsi="宋体"/>
          <w:szCs w:val="21"/>
        </w:rPr>
        <w:t>名称修改为：GB/T 20975.</w:t>
      </w:r>
      <w:r>
        <w:rPr>
          <w:rFonts w:hint="eastAsia" w:ascii="宋体" w:hAnsi="宋体"/>
          <w:szCs w:val="21"/>
          <w:lang w:val="en-US" w:eastAsia="zh-CN"/>
        </w:rPr>
        <w:t>32</w:t>
      </w:r>
      <w:r>
        <w:rPr>
          <w:rFonts w:ascii="宋体" w:hAnsi="宋体"/>
          <w:szCs w:val="21"/>
        </w:rPr>
        <w:t>《</w:t>
      </w:r>
      <w:r>
        <w:rPr>
          <w:rFonts w:hint="eastAsia" w:ascii="宋体" w:hAnsi="宋体"/>
          <w:bCs/>
          <w:color w:val="000000"/>
          <w:szCs w:val="21"/>
        </w:rPr>
        <w:t>铝及铝合金化学分析方法 第</w:t>
      </w:r>
      <w:r>
        <w:rPr>
          <w:rFonts w:hint="eastAsia" w:ascii="宋体" w:hAnsi="宋体"/>
          <w:bCs/>
          <w:color w:val="000000"/>
          <w:szCs w:val="21"/>
          <w:lang w:val="en-US" w:eastAsia="zh-CN"/>
        </w:rPr>
        <w:t>32</w:t>
      </w:r>
      <w:r>
        <w:rPr>
          <w:rFonts w:hint="eastAsia" w:ascii="宋体" w:hAnsi="宋体"/>
          <w:bCs/>
          <w:color w:val="000000"/>
          <w:szCs w:val="21"/>
        </w:rPr>
        <w:t>部分：</w:t>
      </w:r>
      <w:r>
        <w:rPr>
          <w:rFonts w:hint="eastAsia" w:ascii="宋体" w:hAnsi="宋体"/>
          <w:bCs/>
          <w:color w:val="000000"/>
          <w:szCs w:val="21"/>
          <w:lang w:eastAsia="zh-CN"/>
        </w:rPr>
        <w:t>铋</w:t>
      </w:r>
      <w:r>
        <w:rPr>
          <w:rFonts w:hint="eastAsia" w:ascii="宋体" w:hAnsi="宋体"/>
          <w:bCs/>
          <w:color w:val="000000"/>
          <w:szCs w:val="21"/>
        </w:rPr>
        <w:t>含量的测定</w:t>
      </w:r>
      <w:r>
        <w:rPr>
          <w:rFonts w:ascii="宋体" w:hAnsi="宋体"/>
          <w:szCs w:val="21"/>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宋体" w:hAnsi="宋体"/>
          <w:lang w:eastAsia="zh-CN"/>
        </w:rPr>
      </w:pPr>
      <w:r>
        <w:rPr>
          <w:rFonts w:hint="eastAsia" w:ascii="宋体" w:hAnsi="宋体"/>
          <w:lang w:eastAsia="zh-CN"/>
        </w:rPr>
        <w:t>根据在云南省昆明市召开的任务落实会议确定情况，本部分方法一</w:t>
      </w:r>
      <w:r>
        <w:rPr>
          <w:rFonts w:hint="eastAsia" w:ascii="宋体" w:hAnsi="宋体"/>
          <w:szCs w:val="21"/>
        </w:rPr>
        <w:t>：</w:t>
      </w:r>
      <w:r>
        <w:rPr>
          <w:rFonts w:hint="eastAsia" w:ascii="宋体" w:hAnsi="宋体"/>
        </w:rPr>
        <w:t>碘化钾分光光度法</w:t>
      </w:r>
      <w:r>
        <w:rPr>
          <w:rFonts w:hint="eastAsia" w:ascii="宋体" w:hAnsi="宋体"/>
          <w:lang w:eastAsia="zh-CN"/>
        </w:rPr>
        <w:t>，由中铝郑州有色金属研究院有限公司负责起草，由</w:t>
      </w:r>
      <w:r>
        <w:rPr>
          <w:rFonts w:hint="eastAsia" w:ascii="宋体" w:hAnsi="宋体"/>
          <w:szCs w:val="21"/>
        </w:rPr>
        <w:t>长沙矿冶研究院有限责任公司、</w:t>
      </w:r>
      <w:r>
        <w:rPr>
          <w:rFonts w:hint="eastAsia" w:ascii="宋体" w:hAnsi="宋体"/>
        </w:rPr>
        <w:t>贵州省分析测试研究院、山东兖矿轻合金有限公司、辽宁忠旺集团有限公司、山东南山铝业股份有限公司、深圳市中金岭南有色金属股份有限公司</w:t>
      </w:r>
      <w:r>
        <w:rPr>
          <w:rFonts w:hint="eastAsia" w:ascii="宋体" w:hAnsi="宋体"/>
          <w:szCs w:val="21"/>
        </w:rPr>
        <w:t>等</w:t>
      </w:r>
      <w:r>
        <w:rPr>
          <w:rFonts w:hint="eastAsia" w:ascii="宋体" w:hAnsi="宋体"/>
          <w:szCs w:val="21"/>
          <w:lang w:eastAsia="zh-CN"/>
        </w:rPr>
        <w:t>七</w:t>
      </w:r>
      <w:r>
        <w:rPr>
          <w:rFonts w:hint="eastAsia" w:ascii="宋体" w:hAnsi="宋体"/>
          <w:lang w:eastAsia="zh-CN"/>
        </w:rPr>
        <w:t>家单位共同编制。</w:t>
      </w:r>
    </w:p>
    <w:p>
      <w:pPr>
        <w:spacing w:line="360" w:lineRule="auto"/>
        <w:ind w:firstLine="420" w:firstLineChars="200"/>
        <w:rPr>
          <w:rFonts w:hint="eastAsia" w:ascii="黑体" w:hAnsi="宋体" w:eastAsia="黑体"/>
          <w:sz w:val="24"/>
        </w:rPr>
      </w:pPr>
      <w:r>
        <w:rPr>
          <w:rFonts w:hint="eastAsia" w:ascii="宋体" w:hAnsi="宋体"/>
          <w:lang w:eastAsia="zh-CN"/>
        </w:rPr>
        <w:t>根据在云南省昆明市召开的任务落实会议确定情况，本部分</w:t>
      </w:r>
      <w:r>
        <w:rPr>
          <w:rFonts w:hint="eastAsia" w:ascii="宋体" w:hAnsi="宋体"/>
          <w:szCs w:val="21"/>
        </w:rPr>
        <w:t>二:EDTA滴定法</w:t>
      </w:r>
      <w:r>
        <w:rPr>
          <w:rFonts w:hint="eastAsia" w:ascii="宋体" w:hAnsi="宋体"/>
          <w:szCs w:val="21"/>
          <w:lang w:eastAsia="zh-CN"/>
        </w:rPr>
        <w:t>，</w:t>
      </w:r>
      <w:r>
        <w:rPr>
          <w:rFonts w:ascii="宋体" w:hAnsi="宋体"/>
          <w:kern w:val="1"/>
          <w:szCs w:val="21"/>
        </w:rPr>
        <w:t>由广东省工业分析检测中心</w:t>
      </w:r>
      <w:r>
        <w:rPr>
          <w:rFonts w:hint="eastAsia" w:ascii="宋体" w:hAnsi="宋体"/>
          <w:kern w:val="1"/>
          <w:szCs w:val="21"/>
        </w:rPr>
        <w:t>负责</w:t>
      </w:r>
      <w:r>
        <w:rPr>
          <w:rFonts w:ascii="宋体" w:hAnsi="宋体"/>
          <w:kern w:val="1"/>
          <w:szCs w:val="21"/>
        </w:rPr>
        <w:t>起草，</w:t>
      </w:r>
      <w:r>
        <w:rPr>
          <w:rFonts w:hint="eastAsia" w:ascii="宋体" w:hAnsi="宋体"/>
          <w:kern w:val="1"/>
          <w:szCs w:val="21"/>
          <w:lang w:eastAsia="zh-CN"/>
        </w:rPr>
        <w:t>由</w:t>
      </w:r>
      <w:r>
        <w:rPr>
          <w:rFonts w:hint="eastAsia" w:ascii="宋体" w:hAnsi="宋体"/>
          <w:kern w:val="1"/>
          <w:szCs w:val="21"/>
        </w:rPr>
        <w:t>长沙矿冶研究院有限责任公司、贵州省分析测试研究院、中铝郑州有色金属研究院有限公司、山东南山铝业股份有限公司、深圳市中金岭南有色金属股份有限公司、北矿检测技术有限公司、有研亿金新材料有限公司</w:t>
      </w:r>
      <w:r>
        <w:rPr>
          <w:rFonts w:hint="eastAsia" w:ascii="宋体" w:hAnsi="宋体"/>
          <w:szCs w:val="21"/>
        </w:rPr>
        <w:t>等</w:t>
      </w:r>
      <w:r>
        <w:rPr>
          <w:rFonts w:hint="eastAsia" w:ascii="宋体" w:hAnsi="宋体"/>
          <w:szCs w:val="21"/>
          <w:lang w:eastAsia="zh-CN"/>
        </w:rPr>
        <w:t>八</w:t>
      </w:r>
      <w:r>
        <w:rPr>
          <w:rFonts w:hint="eastAsia" w:ascii="宋体" w:hAnsi="宋体"/>
          <w:lang w:eastAsia="zh-CN"/>
        </w:rPr>
        <w:t>家单位共同编制。</w:t>
      </w:r>
    </w:p>
    <w:p>
      <w:pPr>
        <w:widowControl/>
        <w:spacing w:line="360" w:lineRule="auto"/>
        <w:jc w:val="left"/>
        <w:rPr>
          <w:rFonts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ascii="宋体" w:hAnsi="宋体"/>
          <w:bCs/>
          <w:szCs w:val="21"/>
        </w:rPr>
        <w:t>中铝郑州有色金属研究院有限公司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r>
        <w:rPr>
          <w:rFonts w:hint="eastAsia" w:ascii="宋体" w:hAnsi="宋体"/>
          <w:szCs w:val="21"/>
        </w:rPr>
        <w:t>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2004年通过了中国质量认证中心(CQC)质量、健康安全、环境三大体系认证。依托研究院设立的国家轻金属质量监督检验中心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spacing w:line="360" w:lineRule="auto"/>
        <w:rPr>
          <w:rFonts w:ascii="宋体" w:hAnsi="宋体"/>
          <w:b/>
          <w:szCs w:val="21"/>
        </w:rPr>
      </w:pPr>
      <w:bookmarkStart w:id="0" w:name="ref_[1]"/>
      <w:bookmarkEnd w:id="0"/>
      <w:r>
        <w:rPr>
          <w:rFonts w:hint="eastAsia" w:ascii="宋体" w:hAnsi="宋体"/>
          <w:b/>
          <w:szCs w:val="21"/>
        </w:rPr>
        <w:t>2.2 广东省工业分析检测中心</w:t>
      </w:r>
    </w:p>
    <w:p>
      <w:pPr>
        <w:spacing w:line="360" w:lineRule="auto"/>
        <w:ind w:firstLine="435"/>
        <w:rPr>
          <w:rFonts w:ascii="宋体" w:hAnsi="宋体"/>
          <w:szCs w:val="21"/>
        </w:rPr>
      </w:pPr>
      <w:r>
        <w:rPr>
          <w:rFonts w:hint="eastAsia" w:ascii="宋体" w:hAnsi="宋体"/>
          <w:szCs w:val="21"/>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w:t>
      </w:r>
      <w:r>
        <w:rPr>
          <w:rFonts w:ascii="宋体" w:hAnsi="宋体"/>
          <w:szCs w:val="21"/>
        </w:rPr>
        <w:t>3</w:t>
      </w:r>
      <w:r>
        <w:rPr>
          <w:rFonts w:hint="eastAsia" w:ascii="宋体" w:hAnsi="宋体"/>
          <w:szCs w:val="21"/>
        </w:rPr>
        <w:t>00余项，发表专著5部，发表论文300余篇。</w:t>
      </w:r>
    </w:p>
    <w:p>
      <w:pPr>
        <w:spacing w:line="360" w:lineRule="auto"/>
        <w:rPr>
          <w:rFonts w:ascii="宋体" w:hAnsi="宋体"/>
          <w:b/>
          <w:szCs w:val="21"/>
        </w:rPr>
      </w:pPr>
      <w:r>
        <w:rPr>
          <w:rFonts w:hint="eastAsia" w:ascii="宋体" w:hAnsi="宋体"/>
          <w:b/>
          <w:szCs w:val="21"/>
        </w:rPr>
        <w:t>2.3长沙矿冶研究院有限责任公司</w:t>
      </w:r>
    </w:p>
    <w:p>
      <w:pPr>
        <w:spacing w:line="360" w:lineRule="auto"/>
        <w:rPr>
          <w:rFonts w:ascii="宋体" w:hAnsi="宋体"/>
          <w:szCs w:val="21"/>
        </w:rPr>
      </w:pPr>
      <w:r>
        <w:rPr>
          <w:rFonts w:hint="eastAsia" w:ascii="宋体" w:hAnsi="宋体" w:cs="宋体"/>
          <w:szCs w:val="21"/>
        </w:rPr>
        <w:t xml:space="preserve">    长沙矿冶研究院有限责任公司2003年通过湖南省质量技术监督局计量认证，2011年通过国家实验室认可</w:t>
      </w:r>
      <w:r>
        <w:rPr>
          <w:rFonts w:hint="eastAsia" w:ascii="宋体" w:hAnsi="宋体" w:cs="宋体"/>
          <w:color w:val="000000"/>
          <w:szCs w:val="21"/>
        </w:rPr>
        <w:t>。</w:t>
      </w:r>
      <w:r>
        <w:rPr>
          <w:rFonts w:hint="eastAsia" w:ascii="宋体" w:hAnsi="宋体" w:cs="宋体"/>
          <w:szCs w:val="21"/>
        </w:rPr>
        <w:t>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X-射线衍射仪、扫描电子显微镜、电感耦合等离子体发射光谱质谱联用仪、电感耦合等离子体发射光谱等先进大型精密分析仪器设备。</w:t>
      </w:r>
    </w:p>
    <w:p>
      <w:pPr>
        <w:spacing w:line="360" w:lineRule="auto"/>
        <w:rPr>
          <w:rFonts w:ascii="宋体" w:hAnsi="宋体"/>
          <w:b/>
        </w:rPr>
      </w:pPr>
      <w:r>
        <w:rPr>
          <w:rFonts w:hint="eastAsia" w:ascii="宋体" w:hAnsi="宋体"/>
          <w:b/>
        </w:rPr>
        <w:t>2.4 贵州省分析测试研究院</w:t>
      </w:r>
    </w:p>
    <w:p>
      <w:pPr>
        <w:widowControl/>
        <w:spacing w:line="360" w:lineRule="auto"/>
        <w:ind w:firstLine="420" w:firstLineChars="200"/>
        <w:jc w:val="left"/>
        <w:rPr>
          <w:rFonts w:ascii="宋体" w:hAnsi="宋体" w:cs="宋体"/>
          <w:szCs w:val="21"/>
        </w:rPr>
      </w:pPr>
      <w:r>
        <w:rPr>
          <w:rFonts w:hint="eastAsia" w:ascii="宋体" w:hAnsi="宋体" w:cs="宋体"/>
          <w:szCs w:val="21"/>
        </w:rPr>
        <w:t>贵州省分析测试研究院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spacing w:line="360" w:lineRule="auto"/>
        <w:rPr>
          <w:rFonts w:ascii="宋体" w:hAnsi="宋体"/>
          <w:b/>
        </w:rPr>
      </w:pPr>
      <w:r>
        <w:rPr>
          <w:rFonts w:hint="eastAsia" w:ascii="宋体" w:hAnsi="宋体"/>
          <w:b/>
        </w:rPr>
        <w:t>2.5 山东南山铝业股份有限公司</w:t>
      </w:r>
    </w:p>
    <w:p>
      <w:pPr>
        <w:pStyle w:val="33"/>
        <w:spacing w:line="360" w:lineRule="auto"/>
        <w:ind w:firstLine="420" w:firstLineChars="200"/>
        <w:rPr>
          <w:rFonts w:cs="Times New Roman"/>
          <w:color w:val="auto"/>
          <w:kern w:val="2"/>
          <w:sz w:val="21"/>
          <w:szCs w:val="21"/>
          <w:lang w:bidi="he-IL"/>
        </w:rPr>
      </w:pPr>
      <w:r>
        <w:rPr>
          <w:rFonts w:hint="eastAsia"/>
          <w:bCs/>
          <w:sz w:val="21"/>
          <w:szCs w:val="21"/>
        </w:rPr>
        <w:t>山东南山铝业股份有限公司</w:t>
      </w:r>
      <w:r>
        <w:rPr>
          <w:rFonts w:hint="eastAsia" w:cs="Times New Roman"/>
          <w:bCs/>
          <w:color w:val="auto"/>
          <w:kern w:val="2"/>
          <w:sz w:val="21"/>
          <w:szCs w:val="21"/>
          <w:lang w:bidi="he-IL"/>
        </w:rPr>
        <w:t>形成了</w:t>
      </w:r>
      <w:r>
        <w:rPr>
          <w:rFonts w:hint="eastAsia" w:cs="Times New Roman"/>
          <w:color w:val="auto"/>
          <w:kern w:val="2"/>
          <w:sz w:val="21"/>
          <w:szCs w:val="21"/>
          <w:lang w:bidi="he-IL"/>
        </w:rPr>
        <w:t>从能源-热电-氧化铝-电解铝-铝型材、熔铸-热轧-冷轧-箔轧的完整铝加工产业链，成为世界唯一一家短距离内拥有完整产业链的铝加工企业。 南山铝业中心实验室</w:t>
      </w:r>
      <w:r>
        <w:rPr>
          <w:rFonts w:cs="Times New Roman"/>
          <w:color w:val="auto"/>
          <w:kern w:val="2"/>
          <w:sz w:val="21"/>
          <w:szCs w:val="21"/>
          <w:lang w:bidi="he-IL"/>
        </w:rPr>
        <w:t>承担山东南山铝业股份有限公司氧化铝、氢氧化铝、铝及铝合金、高精度铝板带箔制品、铝型材、碳素制品、铝土矿、石灰石等产品、原材料的质量检测工作及水、大气、噪声等环境条件的监测。实验室作为氧化铝和铝锭生产控制过程及生产用原材料质量检测的专门机构。</w:t>
      </w:r>
    </w:p>
    <w:p>
      <w:pPr>
        <w:spacing w:line="360" w:lineRule="auto"/>
        <w:rPr>
          <w:rFonts w:ascii="宋体" w:hAnsi="宋体"/>
          <w:b/>
        </w:rPr>
      </w:pPr>
      <w:r>
        <w:rPr>
          <w:rFonts w:hint="eastAsia" w:ascii="宋体" w:hAnsi="宋体"/>
          <w:b/>
        </w:rPr>
        <w:t>2.6 深圳市中金岭南有色金属股份有限公司</w:t>
      </w:r>
    </w:p>
    <w:p>
      <w:pPr>
        <w:spacing w:line="360" w:lineRule="auto"/>
        <w:rPr>
          <w:rFonts w:ascii="宋体" w:hAnsi="宋体"/>
        </w:rPr>
      </w:pPr>
      <w:r>
        <w:rPr>
          <w:rFonts w:hint="eastAsia" w:ascii="宋体" w:hAnsi="宋体"/>
        </w:rPr>
        <w:t xml:space="preserve">    深圳市中金岭南有色金属股份有限公司是中国铅行业龙头企业、世界铅锌矿业旗舰企业之一。拥有亚洲最大的铅锌银矿山—凡口铅锌矿，拥有按照世界最先进采、选技术建设的特大型现代化矿山—广西中金岭南矿业公司，拥有国内最早的ISP工厂—韶关冶炼厂及最先进的锌湿法冶炼企业—丹霞冶炼厂，拥有高端工业铝型材生产企业—深圳华加日公司，拥有高新材料科研生产企业—深圳中金岭南科技公司。公司共获得省部级以上科技奖励超100项，其中国家级奖励13项：科技进步一等奖二项、二等奖七项、三等奖三项，技术发明二等奖一项。</w:t>
      </w:r>
    </w:p>
    <w:p>
      <w:pPr>
        <w:spacing w:line="360" w:lineRule="auto"/>
        <w:rPr>
          <w:rFonts w:ascii="宋体" w:hAnsi="宋体"/>
          <w:b/>
        </w:rPr>
      </w:pPr>
      <w:r>
        <w:rPr>
          <w:rFonts w:hint="eastAsia" w:ascii="宋体" w:hAnsi="宋体"/>
          <w:b/>
        </w:rPr>
        <w:t>2.7 山东兖矿轻合金有限公司</w:t>
      </w:r>
    </w:p>
    <w:p>
      <w:pPr>
        <w:spacing w:line="360" w:lineRule="auto"/>
        <w:ind w:firstLine="420" w:firstLineChars="200"/>
        <w:rPr>
          <w:rFonts w:ascii="宋体" w:hAnsi="宋体"/>
        </w:rPr>
      </w:pPr>
      <w:r>
        <w:rPr>
          <w:rFonts w:hint="eastAsia" w:ascii="宋体" w:hAnsi="宋体"/>
          <w:bCs/>
          <w:szCs w:val="21"/>
        </w:rPr>
        <w:t>山东兖矿轻合金有限公司配</w:t>
      </w:r>
      <w:r>
        <w:rPr>
          <w:rFonts w:hint="eastAsia" w:ascii="宋体" w:hAnsi="宋体"/>
          <w:szCs w:val="21"/>
        </w:rPr>
        <w:t>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外径达700mm的无缝管材，最大直径达450mm的挤压棒材等各种铝合金工业用管、棒、型材，满足不同客户对各类工业铝挤压材的需求。与国内外知名科研院所和公司企业合作，研发新型铝合金制品、探索研究新型工艺技术，不断开发铝合金挤压材的新工艺、新技术、新市场。主编过多项国家标准和行业标准，具有起草本国家标准的基础和条件。</w:t>
      </w:r>
    </w:p>
    <w:p>
      <w:pPr>
        <w:spacing w:line="360" w:lineRule="auto"/>
        <w:rPr>
          <w:rFonts w:ascii="宋体" w:hAnsi="宋体"/>
          <w:b/>
        </w:rPr>
      </w:pPr>
      <w:r>
        <w:rPr>
          <w:rFonts w:hint="eastAsia" w:ascii="宋体" w:hAnsi="宋体"/>
          <w:b/>
        </w:rPr>
        <w:t>2.8 辽宁忠旺集团有限公司</w:t>
      </w:r>
    </w:p>
    <w:p>
      <w:pPr>
        <w:spacing w:line="360" w:lineRule="auto"/>
        <w:ind w:firstLine="420" w:firstLineChars="200"/>
        <w:rPr>
          <w:rFonts w:ascii="宋体" w:hAnsi="宋体" w:cs="宋体"/>
          <w:szCs w:val="21"/>
        </w:rPr>
      </w:pPr>
      <w:r>
        <w:rPr>
          <w:rFonts w:hint="eastAsia" w:ascii="宋体" w:hAnsi="宋体" w:cs="宋体"/>
          <w:szCs w:val="21"/>
        </w:rPr>
        <w:t>辽宁忠旺集团有限公司始创于1993年，为全球领先的铝加工产品研发制造商，主要从事于多元化的优质工业铝加工产品的研发、生产及销售，形成了以工业铝挤压、深加工以及铝压延三大核心业务并举的发展格局，并获得挪威船级社认证、欧洲铁路行业协会的IRIS认证、汽车行业质量管理体系认证（TS16949）、航空航天质量管理体系认证（AS9100）、欧盟的CE认证等一系列国际权威认证。目前，集团拥有国家级企业技术中心、国家地方联合工程研究中心、国家级博士后工作站、省级工程技术研究中心及重点实验室等机构，先后投入资金1.5亿元，建筑面积16378m</w:t>
      </w:r>
      <w:r>
        <w:rPr>
          <w:rFonts w:hint="eastAsia" w:ascii="宋体" w:hAnsi="宋体" w:cs="宋体"/>
          <w:szCs w:val="21"/>
          <w:vertAlign w:val="superscript"/>
        </w:rPr>
        <w:t>2</w:t>
      </w:r>
      <w:r>
        <w:rPr>
          <w:rFonts w:hint="eastAsia" w:ascii="宋体" w:hAnsi="宋体" w:cs="宋体"/>
          <w:szCs w:val="21"/>
        </w:rPr>
        <w:t>，包括8个专业研究室、22个分析实验室，配有来自德、日、美、瑞士等国际先进科研设备和仪器200多台/套配备。先后承担了省部级以上科技计划项目40余项，获得科技成果40项，获得国家及省市各级科技奖励50余项，参与制修订标准60余项，获得国家专利467项，为“国家高新技术企业”。</w:t>
      </w:r>
    </w:p>
    <w:p>
      <w:pPr>
        <w:spacing w:line="360" w:lineRule="auto"/>
        <w:rPr>
          <w:rFonts w:ascii="宋体" w:hAnsi="宋体"/>
          <w:b/>
          <w:kern w:val="1"/>
          <w:szCs w:val="21"/>
        </w:rPr>
      </w:pPr>
      <w:r>
        <w:rPr>
          <w:rFonts w:hint="eastAsia" w:ascii="宋体" w:hAnsi="宋体"/>
          <w:b/>
          <w:kern w:val="1"/>
          <w:szCs w:val="21"/>
        </w:rPr>
        <w:t>2.9 北矿检测技术有限公司</w:t>
      </w:r>
    </w:p>
    <w:p>
      <w:pPr>
        <w:spacing w:line="360" w:lineRule="auto"/>
        <w:rPr>
          <w:rFonts w:ascii="宋体" w:hAnsi="宋体"/>
          <w:kern w:val="1"/>
          <w:szCs w:val="21"/>
        </w:rPr>
      </w:pPr>
      <w:r>
        <w:rPr>
          <w:rFonts w:hint="eastAsia"/>
          <w:bCs/>
          <w:szCs w:val="21"/>
        </w:rPr>
        <w:t xml:space="preserve">    北矿检测技术有限公司</w:t>
      </w:r>
      <w:r>
        <w:rPr>
          <w:rFonts w:hint="eastAsia"/>
          <w:szCs w:val="21"/>
        </w:rPr>
        <w:t>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spacing w:line="360" w:lineRule="auto"/>
        <w:rPr>
          <w:rFonts w:ascii="宋体" w:hAnsi="宋体"/>
          <w:b/>
          <w:kern w:val="1"/>
          <w:szCs w:val="21"/>
        </w:rPr>
      </w:pPr>
      <w:r>
        <w:rPr>
          <w:rFonts w:hint="eastAsia" w:ascii="宋体" w:hAnsi="宋体"/>
          <w:b/>
          <w:kern w:val="1"/>
          <w:szCs w:val="21"/>
        </w:rPr>
        <w:t>2.10 有研亿金新材料有限公司</w:t>
      </w:r>
    </w:p>
    <w:p>
      <w:pPr>
        <w:spacing w:line="360" w:lineRule="auto"/>
        <w:rPr>
          <w:rFonts w:ascii="宋体" w:hAnsi="宋体"/>
          <w:szCs w:val="21"/>
        </w:rPr>
      </w:pPr>
      <w:r>
        <w:rPr>
          <w:rFonts w:hint="eastAsia" w:ascii="宋体" w:hAnsi="宋体"/>
        </w:rPr>
        <w:t xml:space="preserve">    有研亿金新材料有限公司现为北京有研科技集团有限公司控股公司有研新材料股份有限公司全资子公司。</w:t>
      </w:r>
      <w:r>
        <w:rPr>
          <w:rFonts w:ascii="宋体" w:hAnsi="宋体"/>
        </w:rPr>
        <w:t>有研亿金主要研发、生产、销售微电子光电子用薄膜新材料、贵金属材料及制品，并开展稀有及贵金属材料信息咨询、技术服务和套期保值等业务。有研亿金是国内规模最大、门类最全、技术能力最强的高纯金属溅射靶材制造企业，也是国内唯一具备从超高纯原材料到溅射靶材、蒸发膜材垂直一体化研发和生产的产业化平台。有研亿金历年承担国家级、省部级科技开发项目近百项，获部级奖56项，国家专利81项，国家科技进步奖3项，国家发明奖9项，全国科学大会奖2项，国家科技进步奖特等奖子项奖1项。公司承担了国家02专项、国家国际重点合作项目、国家高技术产业化项目以及国家科技支撑项目，863项目等36项国家重点项目。</w:t>
      </w:r>
      <w:r>
        <w:rPr>
          <w:rFonts w:hint="eastAsia" w:ascii="宋体" w:hAnsi="宋体"/>
        </w:rPr>
        <w:t>测试中心通过CNAS认可，</w:t>
      </w:r>
      <w:r>
        <w:rPr>
          <w:rFonts w:hint="eastAsia" w:ascii="宋体"/>
        </w:rPr>
        <w:t>拥有各类检测设备1</w:t>
      </w:r>
      <w:r>
        <w:rPr>
          <w:rFonts w:ascii="宋体"/>
        </w:rPr>
        <w:t>8台套</w:t>
      </w:r>
      <w:r>
        <w:rPr>
          <w:rFonts w:hint="eastAsia" w:ascii="宋体"/>
        </w:rPr>
        <w:t>，涉及金属材料化学分析、金属材料机械性能及物理性能检测，</w:t>
      </w:r>
      <w:r>
        <w:rPr>
          <w:rFonts w:hint="eastAsia" w:ascii="宋体" w:hAnsi="宋体"/>
        </w:rPr>
        <w:t>认可涉及的检测能力包含17个检测对象，37个检测项目，可以开展金属材料的杂质含量、气体含量、微观组织形貌、金相组织分析、硬度及材料取向方面的检测业务，检测设备齐全，具备了按照国际认可准则开展检测服务的技术能力。</w:t>
      </w:r>
    </w:p>
    <w:p>
      <w:pPr>
        <w:spacing w:beforeLines="50" w:afterLines="50" w:line="360" w:lineRule="auto"/>
        <w:rPr>
          <w:rFonts w:ascii="黑体" w:hAnsi="宋体" w:eastAsia="黑体"/>
          <w:sz w:val="24"/>
        </w:rPr>
      </w:pPr>
      <w:r>
        <w:rPr>
          <w:rFonts w:hint="eastAsia" w:ascii="黑体" w:hAnsi="宋体" w:eastAsia="黑体"/>
          <w:sz w:val="24"/>
        </w:rPr>
        <w:t>二、主要工作过程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2.1 征求意见过程 </w:t>
      </w:r>
    </w:p>
    <w:p>
      <w:pPr>
        <w:spacing w:line="360" w:lineRule="auto"/>
        <w:ind w:firstLine="420" w:firstLineChars="200"/>
        <w:rPr>
          <w:rFonts w:ascii="宋体" w:hAnsi="宋体"/>
          <w:szCs w:val="21"/>
        </w:rPr>
      </w:pPr>
      <w:r>
        <w:rPr>
          <w:rFonts w:hint="eastAsia" w:ascii="宋体" w:hAnsi="宋体"/>
          <w:szCs w:val="21"/>
        </w:rPr>
        <w:t>从项目申报开始，项目负责单位组建了</w:t>
      </w:r>
      <w:r>
        <w:rPr>
          <w:rFonts w:hint="eastAsia" w:ascii="宋体" w:hAnsi="宋体"/>
          <w:bCs/>
          <w:color w:val="000000"/>
          <w:szCs w:val="21"/>
        </w:rPr>
        <w:t>GB/T 20975.32-201X《铝及铝合金化学分析方法 第32部分：铋含量的测定》</w:t>
      </w:r>
      <w:r>
        <w:rPr>
          <w:rFonts w:hint="eastAsia" w:ascii="宋体" w:hAnsi="宋体"/>
          <w:szCs w:val="21"/>
        </w:rPr>
        <w:t>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2.2  讨论会情况</w:t>
      </w:r>
    </w:p>
    <w:p>
      <w:pPr>
        <w:spacing w:line="360" w:lineRule="auto"/>
        <w:ind w:firstLine="420" w:firstLineChars="200"/>
        <w:rPr>
          <w:rFonts w:ascii="宋体" w:hAnsi="宋体"/>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20975.25、GB/T 20975.32、GB/T 20975.33等10个部分进行了讨论，对各个标准测定范围、方法提要、测定步骤、精</w:t>
      </w:r>
      <w:r>
        <w:rPr>
          <w:rFonts w:hint="eastAsia" w:ascii="宋体" w:hAnsi="宋体"/>
          <w:szCs w:val="21"/>
        </w:rPr>
        <w:t>密度等部分进行了详细的论证，基本达成了统一。</w:t>
      </w:r>
    </w:p>
    <w:p>
      <w:pPr>
        <w:spacing w:line="360" w:lineRule="auto"/>
        <w:ind w:firstLine="420" w:firstLineChars="200"/>
        <w:rPr>
          <w:rFonts w:ascii="宋体" w:hAnsi="宋体"/>
          <w:szCs w:val="21"/>
        </w:rPr>
      </w:pPr>
      <w:r>
        <w:rPr>
          <w:rFonts w:hint="eastAsia" w:ascii="宋体" w:hAnsi="宋体"/>
          <w:szCs w:val="21"/>
        </w:rPr>
        <w:t>2018年7月全国有色金属标准化技术委员会在内蒙古自治区省霍林郭勒市召开了GB/T 20975《铝及铝合金化学分析方法》系列国家标准中GB/T 20975.28、GB/T 20975.29、GB/T 20975.30、20975.31等4个部分的审定会议，同时对其余部分进行了讨论。</w:t>
      </w:r>
    </w:p>
    <w:p>
      <w:pPr>
        <w:spacing w:line="360" w:lineRule="auto"/>
        <w:rPr>
          <w:rFonts w:ascii="宋体" w:hAnsi="宋体"/>
          <w:szCs w:val="21"/>
        </w:rPr>
      </w:pPr>
      <w:r>
        <w:rPr>
          <w:rFonts w:hint="eastAsia" w:ascii="宋体" w:hAnsi="宋体"/>
          <w:szCs w:val="21"/>
        </w:rPr>
        <w:t xml:space="preserve">    编制组对铝企业、用户进行了调研，征求对《铝及铝合金化学分析方法 第</w:t>
      </w:r>
      <w:r>
        <w:rPr>
          <w:rFonts w:ascii="宋体" w:hAnsi="宋体"/>
          <w:szCs w:val="21"/>
        </w:rPr>
        <w:t>3</w:t>
      </w:r>
      <w:r>
        <w:rPr>
          <w:rFonts w:hint="eastAsia" w:ascii="宋体" w:hAnsi="宋体"/>
          <w:szCs w:val="21"/>
        </w:rPr>
        <w:t>2部分：铋含量的测定》的意见，广泛收集国内外关于铝及铝合金中铋</w:t>
      </w:r>
      <w:r>
        <w:rPr>
          <w:rFonts w:ascii="宋体" w:hAnsi="宋体"/>
          <w:szCs w:val="21"/>
        </w:rPr>
        <w:t>的测定</w:t>
      </w:r>
      <w:r>
        <w:rPr>
          <w:rFonts w:hint="eastAsia" w:ascii="宋体" w:hAnsi="宋体"/>
          <w:szCs w:val="21"/>
        </w:rPr>
        <w:t>技术资料，进行汇总整理，经过认真分析、研究和讨论，于2018年12月形成标准草案稿。草案稿形成后及时发送相关生产企业、用户和科研机构征求意见，相关专家对本标准的草案稿提出了宝贵意见和建议，标准编制小组对所有反馈的意见和建议讨论后进行了修改完善，形成了讨论稿。</w:t>
      </w:r>
    </w:p>
    <w:p>
      <w:pPr>
        <w:spacing w:line="360" w:lineRule="auto"/>
        <w:ind w:firstLine="315" w:firstLineChars="150"/>
        <w:rPr>
          <w:rFonts w:hint="eastAsia"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9</w:t>
      </w:r>
      <w:r>
        <w:rPr>
          <w:rFonts w:hint="eastAsia" w:ascii="宋体" w:hAnsi="宋体"/>
          <w:szCs w:val="21"/>
        </w:rPr>
        <w:t>日～10日，全国有色金属标准化技术委员会在黑龙江省哈尔滨市召开了《铝及铝合金化学分析方法》系列</w:t>
      </w:r>
      <w:r>
        <w:rPr>
          <w:rFonts w:ascii="宋体" w:hAnsi="宋体"/>
          <w:szCs w:val="21"/>
        </w:rPr>
        <w:t>标准工作会议，</w:t>
      </w:r>
      <w:r>
        <w:rPr>
          <w:rFonts w:hint="eastAsia" w:ascii="宋体" w:hAnsi="宋体"/>
          <w:szCs w:val="21"/>
        </w:rPr>
        <w:t>就</w:t>
      </w:r>
      <w:r>
        <w:rPr>
          <w:rFonts w:ascii="宋体" w:hAnsi="宋体"/>
          <w:szCs w:val="21"/>
        </w:rPr>
        <w:t>标准存在的问题及后续工作进行了充分的讨论</w:t>
      </w:r>
      <w:r>
        <w:rPr>
          <w:rFonts w:hint="eastAsia" w:ascii="宋体" w:hAnsi="宋体"/>
          <w:szCs w:val="21"/>
        </w:rPr>
        <w:t>。</w:t>
      </w:r>
      <w:bookmarkStart w:id="1" w:name="_Hlk521841089"/>
      <w:r>
        <w:rPr>
          <w:rFonts w:hint="eastAsia" w:ascii="宋体" w:hAnsi="宋体"/>
          <w:szCs w:val="21"/>
        </w:rPr>
        <w:t>会后，根据会议精神，对讨论稿和</w:t>
      </w:r>
      <w:r>
        <w:rPr>
          <w:rFonts w:ascii="宋体" w:hAnsi="宋体"/>
          <w:szCs w:val="21"/>
        </w:rPr>
        <w:t>编制说明</w:t>
      </w:r>
      <w:r>
        <w:rPr>
          <w:rFonts w:hint="eastAsia" w:ascii="宋体" w:hAnsi="宋体"/>
          <w:szCs w:val="21"/>
        </w:rPr>
        <w:t>进行了认真修改、补充、完善，形成了</w:t>
      </w:r>
      <w:bookmarkStart w:id="2" w:name="_Hlk521835568"/>
      <w:r>
        <w:rPr>
          <w:rFonts w:hint="eastAsia" w:ascii="宋体" w:hAnsi="宋体"/>
          <w:szCs w:val="21"/>
        </w:rPr>
        <w:t>征求意见稿</w:t>
      </w:r>
      <w:bookmarkEnd w:id="2"/>
      <w:r>
        <w:rPr>
          <w:rFonts w:hint="eastAsia" w:ascii="宋体" w:hAnsi="宋体"/>
          <w:szCs w:val="21"/>
        </w:rPr>
        <w:t>，并发送到</w:t>
      </w:r>
      <w:bookmarkStart w:id="3" w:name="_Hlk521835611"/>
      <w:r>
        <w:rPr>
          <w:rFonts w:hint="eastAsia" w:ascii="宋体" w:hAnsi="宋体"/>
          <w:szCs w:val="21"/>
        </w:rPr>
        <w:t>相关生产企业、用户和科研机构</w:t>
      </w:r>
      <w:bookmarkEnd w:id="3"/>
      <w:r>
        <w:rPr>
          <w:rFonts w:hint="eastAsia" w:ascii="宋体" w:hAnsi="宋体"/>
          <w:szCs w:val="21"/>
        </w:rPr>
        <w:t>征集意见。</w:t>
      </w:r>
      <w:bookmarkEnd w:id="1"/>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t>.</w:t>
      </w: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32</w:t>
      </w:r>
      <w:r>
        <w:rPr>
          <w:rFonts w:hint="eastAsia" w:ascii="宋体" w:hAnsi="宋体"/>
          <w:szCs w:val="21"/>
        </w:rPr>
        <w:t>《铝及铝合金化学分析方法 第</w:t>
      </w:r>
      <w:r>
        <w:rPr>
          <w:rFonts w:hint="eastAsia" w:ascii="宋体" w:hAnsi="宋体"/>
          <w:szCs w:val="21"/>
          <w:lang w:val="en-US" w:eastAsia="zh-CN"/>
        </w:rPr>
        <w:t>32</w:t>
      </w:r>
      <w:r>
        <w:rPr>
          <w:rFonts w:hint="eastAsia" w:ascii="宋体" w:hAnsi="宋体"/>
          <w:szCs w:val="21"/>
        </w:rPr>
        <w:t>部分：</w:t>
      </w:r>
      <w:r>
        <w:rPr>
          <w:rFonts w:hint="eastAsia" w:ascii="宋体" w:hAnsi="宋体"/>
          <w:szCs w:val="21"/>
          <w:lang w:eastAsia="zh-CN"/>
        </w:rPr>
        <w:t>铋</w:t>
      </w:r>
      <w:r>
        <w:rPr>
          <w:rFonts w:hint="eastAsia" w:ascii="宋体" w:hAnsi="宋体"/>
          <w:szCs w:val="21"/>
        </w:rPr>
        <w:t>含量的测定》</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p>
    <w:p>
      <w:pPr>
        <w:spacing w:line="360" w:lineRule="auto"/>
        <w:ind w:firstLine="315" w:firstLineChars="150"/>
        <w:rPr>
          <w:rFonts w:hint="eastAsia" w:ascii="宋体" w:hAnsi="宋体"/>
          <w:szCs w:val="21"/>
        </w:rPr>
      </w:pPr>
    </w:p>
    <w:p>
      <w:pPr>
        <w:spacing w:line="360" w:lineRule="auto"/>
        <w:rPr>
          <w:rFonts w:ascii="黑体" w:hAnsi="宋体" w:eastAsia="黑体"/>
          <w:sz w:val="24"/>
        </w:rPr>
      </w:pPr>
      <w:r>
        <w:rPr>
          <w:rFonts w:hint="eastAsia" w:ascii="黑体" w:hAnsi="宋体" w:eastAsia="黑体"/>
          <w:sz w:val="24"/>
        </w:rPr>
        <w:t>2.</w:t>
      </w:r>
      <w:r>
        <w:rPr>
          <w:rFonts w:hint="eastAsia" w:ascii="黑体" w:hAnsi="宋体" w:eastAsia="黑体"/>
          <w:sz w:val="24"/>
          <w:lang w:val="en-US" w:eastAsia="zh-CN"/>
        </w:rPr>
        <w:t>4</w:t>
      </w:r>
      <w:r>
        <w:rPr>
          <w:rFonts w:hint="eastAsia" w:ascii="黑体" w:hAnsi="宋体" w:eastAsia="黑体"/>
          <w:sz w:val="24"/>
        </w:rPr>
        <w:t xml:space="preserve"> 主要工作过程</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w:t>
      </w:r>
      <w:r>
        <w:rPr>
          <w:rFonts w:hint="eastAsia" w:ascii="宋体" w:hAnsi="宋体"/>
          <w:bCs/>
          <w:color w:val="000000"/>
          <w:szCs w:val="21"/>
        </w:rPr>
        <w:t>GB/T 20975.32-201X《铝及铝合金化学分析方法 第32部分：铋含量的测定》中方法一：</w:t>
      </w:r>
      <w:r>
        <w:rPr>
          <w:rFonts w:hint="eastAsia" w:ascii="宋体" w:hAnsi="宋体"/>
        </w:rPr>
        <w:t>碘化钾分光光度法</w:t>
      </w:r>
      <w:r>
        <w:rPr>
          <w:rFonts w:hint="eastAsia" w:ascii="宋体" w:hAnsi="宋体"/>
          <w:szCs w:val="21"/>
        </w:rPr>
        <w:t>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w:t>
      </w:r>
      <w:r>
        <w:rPr>
          <w:rFonts w:hint="eastAsia" w:ascii="宋体" w:hAnsi="宋体"/>
          <w:bCs/>
          <w:color w:val="000000"/>
          <w:szCs w:val="21"/>
        </w:rPr>
        <w:t>GB/T 20975.32-201X《铝及铝合金化学分析方法 第32部分：铋含量的测定》</w:t>
      </w:r>
      <w:r>
        <w:rPr>
          <w:rFonts w:hint="eastAsia" w:ascii="宋体" w:hAnsi="宋体"/>
          <w:szCs w:val="21"/>
        </w:rPr>
        <w:t>起草第一次工作会议，会上确定了GB/T 20975.32-201X的起草思路，中国铝业郑州有色金属研究院有限公司负责</w:t>
      </w:r>
      <w:r>
        <w:rPr>
          <w:rFonts w:hint="eastAsia" w:ascii="宋体" w:hAnsi="宋体"/>
          <w:bCs/>
          <w:color w:val="000000"/>
          <w:szCs w:val="21"/>
        </w:rPr>
        <w:t>起草GB/T 20975.32-201X《铝及铝合金化学分析方法 第32部分：铋含量的测定》中方法一：</w:t>
      </w:r>
      <w:r>
        <w:rPr>
          <w:rFonts w:hint="eastAsia" w:ascii="宋体" w:hAnsi="宋体"/>
        </w:rPr>
        <w:t>碘化钾分光光度法</w:t>
      </w:r>
      <w:r>
        <w:rPr>
          <w:rFonts w:hint="eastAsia" w:ascii="宋体" w:hAnsi="宋体"/>
          <w:szCs w:val="21"/>
        </w:rPr>
        <w:t>，铋的测定范围为0.01%～2.5%。</w:t>
      </w:r>
    </w:p>
    <w:p>
      <w:pPr>
        <w:spacing w:line="360" w:lineRule="auto"/>
        <w:ind w:firstLine="420" w:firstLineChars="200"/>
        <w:rPr>
          <w:rFonts w:ascii="宋体" w:hAnsi="宋体"/>
          <w:szCs w:val="21"/>
        </w:rPr>
      </w:pPr>
      <w:r>
        <w:rPr>
          <w:rFonts w:hint="eastAsia" w:ascii="宋体" w:hAnsi="宋体"/>
          <w:szCs w:val="21"/>
        </w:rPr>
        <w:t>我们在总结过去工作经验的基础上，认真地进行了条件试验，对共存离子进行了干扰试验，对方法进行了样品分析，在此基础上我们编制完成了《实验报告》，并进行了充实完善。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szCs w:val="21"/>
        </w:rPr>
        <w:t>2018年10月，项目组编制了</w:t>
      </w:r>
      <w:r>
        <w:rPr>
          <w:rFonts w:hint="eastAsia" w:ascii="宋体" w:hAnsi="宋体"/>
          <w:bCs/>
          <w:color w:val="000000"/>
          <w:szCs w:val="21"/>
        </w:rPr>
        <w:t>GB/T 20975.32-201X《铝及铝合金化学分析方法 第32部分：铋含量的测定》中方法一：</w:t>
      </w:r>
      <w:r>
        <w:rPr>
          <w:rFonts w:hint="eastAsia" w:ascii="宋体" w:hAnsi="宋体"/>
        </w:rPr>
        <w:t>碘化钾分光光度法</w:t>
      </w:r>
      <w:r>
        <w:rPr>
          <w:rFonts w:hint="eastAsia" w:ascii="宋体" w:hAnsi="宋体"/>
          <w:szCs w:val="21"/>
        </w:rPr>
        <w:t>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苏州有色院等科研院所，还包括</w:t>
      </w:r>
      <w:r>
        <w:rPr>
          <w:rFonts w:hint="eastAsia" w:ascii="宋体" w:hAnsi="宋体"/>
          <w:szCs w:val="21"/>
        </w:rPr>
        <w:t>中铝洛阳铜业有限公司、包头铝业有限公司、中铝矿业有限公司等企业，以及郑州大学、中南大学等高等院校。</w:t>
      </w:r>
    </w:p>
    <w:tbl>
      <w:tblPr>
        <w:tblStyle w:val="21"/>
        <w:tblW w:w="8372" w:type="dxa"/>
        <w:jc w:val="center"/>
        <w:tblInd w:w="1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1"/>
        <w:gridCol w:w="2808"/>
        <w:gridCol w:w="1701"/>
        <w:gridCol w:w="8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09" w:type="dxa"/>
            <w:tcBorders>
              <w:top w:val="single" w:color="auto" w:sz="8" w:space="0"/>
              <w:left w:val="single" w:color="auto" w:sz="8" w:space="0"/>
              <w:bottom w:val="single" w:color="auto" w:sz="8" w:space="0"/>
            </w:tcBorders>
            <w:vAlign w:val="center"/>
          </w:tcPr>
          <w:p>
            <w:pPr>
              <w:jc w:val="center"/>
              <w:rPr>
                <w:sz w:val="18"/>
                <w:szCs w:val="18"/>
              </w:rPr>
            </w:pPr>
            <w:r>
              <w:rPr>
                <w:rFonts w:hint="eastAsia"/>
                <w:sz w:val="18"/>
                <w:szCs w:val="18"/>
              </w:rPr>
              <w:t>序号</w:t>
            </w:r>
          </w:p>
        </w:tc>
        <w:tc>
          <w:tcPr>
            <w:tcW w:w="1451" w:type="dxa"/>
            <w:tcBorders>
              <w:top w:val="single" w:color="auto" w:sz="8" w:space="0"/>
              <w:bottom w:val="single" w:color="auto" w:sz="8" w:space="0"/>
            </w:tcBorders>
            <w:vAlign w:val="center"/>
          </w:tcPr>
          <w:p>
            <w:pPr>
              <w:jc w:val="center"/>
              <w:rPr>
                <w:sz w:val="18"/>
                <w:szCs w:val="18"/>
              </w:rPr>
            </w:pPr>
            <w:r>
              <w:rPr>
                <w:rFonts w:hint="eastAsia"/>
                <w:sz w:val="18"/>
                <w:szCs w:val="18"/>
              </w:rPr>
              <w:t>标准章条编号</w:t>
            </w:r>
          </w:p>
        </w:tc>
        <w:tc>
          <w:tcPr>
            <w:tcW w:w="2808" w:type="dxa"/>
            <w:tcBorders>
              <w:top w:val="single" w:color="auto" w:sz="8" w:space="0"/>
              <w:bottom w:val="single" w:color="auto" w:sz="8" w:space="0"/>
            </w:tcBorders>
            <w:vAlign w:val="center"/>
          </w:tcPr>
          <w:p>
            <w:pPr>
              <w:jc w:val="center"/>
              <w:rPr>
                <w:sz w:val="18"/>
                <w:szCs w:val="18"/>
              </w:rPr>
            </w:pPr>
            <w:r>
              <w:rPr>
                <w:rFonts w:hint="eastAsia"/>
                <w:sz w:val="18"/>
                <w:szCs w:val="18"/>
              </w:rPr>
              <w:t>意见内容</w:t>
            </w:r>
          </w:p>
        </w:tc>
        <w:tc>
          <w:tcPr>
            <w:tcW w:w="1701" w:type="dxa"/>
            <w:tcBorders>
              <w:top w:val="single" w:color="auto" w:sz="8" w:space="0"/>
              <w:bottom w:val="single" w:color="auto" w:sz="8" w:space="0"/>
            </w:tcBorders>
            <w:vAlign w:val="center"/>
          </w:tcPr>
          <w:p>
            <w:pPr>
              <w:jc w:val="center"/>
              <w:rPr>
                <w:sz w:val="18"/>
                <w:szCs w:val="18"/>
              </w:rPr>
            </w:pPr>
            <w:r>
              <w:rPr>
                <w:rFonts w:hint="eastAsia"/>
                <w:sz w:val="18"/>
                <w:szCs w:val="18"/>
              </w:rPr>
              <w:t>提出单位</w:t>
            </w:r>
          </w:p>
        </w:tc>
        <w:tc>
          <w:tcPr>
            <w:tcW w:w="850" w:type="dxa"/>
            <w:tcBorders>
              <w:top w:val="single" w:color="auto" w:sz="8" w:space="0"/>
              <w:bottom w:val="single" w:color="auto" w:sz="8" w:space="0"/>
            </w:tcBorders>
            <w:vAlign w:val="center"/>
          </w:tcPr>
          <w:p>
            <w:pPr>
              <w:jc w:val="center"/>
              <w:rPr>
                <w:sz w:val="18"/>
                <w:szCs w:val="18"/>
              </w:rPr>
            </w:pPr>
            <w:r>
              <w:rPr>
                <w:rFonts w:hint="eastAsia"/>
                <w:sz w:val="18"/>
                <w:szCs w:val="18"/>
              </w:rPr>
              <w:t>处理</w:t>
            </w:r>
          </w:p>
          <w:p>
            <w:pPr>
              <w:jc w:val="center"/>
              <w:rPr>
                <w:sz w:val="18"/>
                <w:szCs w:val="18"/>
              </w:rPr>
            </w:pPr>
            <w:r>
              <w:rPr>
                <w:rFonts w:hint="eastAsia"/>
                <w:sz w:val="18"/>
                <w:szCs w:val="18"/>
              </w:rPr>
              <w:t>意见</w:t>
            </w:r>
          </w:p>
        </w:tc>
        <w:tc>
          <w:tcPr>
            <w:tcW w:w="853" w:type="dxa"/>
            <w:tcBorders>
              <w:top w:val="single" w:color="auto" w:sz="8" w:space="0"/>
              <w:bottom w:val="single" w:color="auto" w:sz="8" w:space="0"/>
            </w:tcBorders>
            <w:vAlign w:val="center"/>
          </w:tcPr>
          <w:p>
            <w:p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封面</w:t>
            </w:r>
          </w:p>
        </w:tc>
        <w:tc>
          <w:tcPr>
            <w:tcW w:w="2808"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2808" w:type="dxa"/>
            <w:tcBorders>
              <w:top w:val="single" w:color="auto" w:sz="8" w:space="0"/>
              <w:bottom w:val="single" w:color="auto" w:sz="4" w:space="0"/>
            </w:tcBorders>
            <w:vAlign w:val="center"/>
          </w:tcPr>
          <w:p>
            <w:pPr>
              <w:rPr>
                <w:rFonts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部分：每个部分的名称进行重新确认修改。</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 xml:space="preserve">1 </w:t>
            </w:r>
          </w:p>
        </w:tc>
        <w:tc>
          <w:tcPr>
            <w:tcW w:w="2808" w:type="dxa"/>
            <w:tcBorders>
              <w:top w:val="single" w:color="auto" w:sz="8" w:space="0"/>
              <w:bottom w:val="single" w:color="auto" w:sz="4" w:space="0"/>
            </w:tcBorders>
            <w:vAlign w:val="center"/>
          </w:tcPr>
          <w:p>
            <w:pPr>
              <w:pStyle w:val="4"/>
              <w:ind w:firstLine="360"/>
              <w:rPr>
                <w:rFonts w:ascii="宋体" w:hAnsi="宋体" w:cs="宋体"/>
                <w:sz w:val="18"/>
                <w:szCs w:val="18"/>
              </w:rPr>
            </w:pPr>
            <w:r>
              <w:rPr>
                <w:rFonts w:hint="eastAsia" w:ascii="宋体" w:hAnsi="宋体" w:cs="宋体"/>
                <w:sz w:val="18"/>
                <w:szCs w:val="18"/>
              </w:rPr>
              <w:t>修改为“GB/T 20975的本</w:t>
            </w:r>
            <w:r>
              <w:rPr>
                <w:rFonts w:hint="eastAsia" w:ascii="宋体" w:hAnsi="宋体"/>
                <w:sz w:val="18"/>
                <w:szCs w:val="18"/>
              </w:rPr>
              <w:t>部分规定了采用碘化钾分光光度法和EDTA</w:t>
            </w:r>
            <w:r>
              <w:rPr>
                <w:rFonts w:ascii="宋体" w:hAnsi="宋体"/>
                <w:sz w:val="18"/>
                <w:szCs w:val="18"/>
              </w:rPr>
              <w:t>滴定法</w:t>
            </w:r>
            <w:r>
              <w:rPr>
                <w:rFonts w:hint="eastAsia" w:ascii="宋体" w:hAnsi="宋体"/>
                <w:sz w:val="18"/>
                <w:szCs w:val="18"/>
              </w:rPr>
              <w:t>测定铝及铝合金中铋含量的方法</w:t>
            </w:r>
            <w:r>
              <w:rPr>
                <w:rFonts w:hint="eastAsia" w:ascii="宋体" w:hAnsi="宋体" w:cs="宋体"/>
                <w:sz w:val="18"/>
                <w:szCs w:val="18"/>
              </w:rPr>
              <w:t>。”</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3</w:t>
            </w:r>
          </w:p>
        </w:tc>
        <w:tc>
          <w:tcPr>
            <w:tcW w:w="2808" w:type="dxa"/>
            <w:tcBorders>
              <w:top w:val="single" w:color="auto" w:sz="8" w:space="0"/>
              <w:bottom w:val="single" w:color="auto" w:sz="4" w:space="0"/>
            </w:tcBorders>
            <w:vAlign w:val="center"/>
          </w:tcPr>
          <w:p>
            <w:pPr>
              <w:jc w:val="left"/>
              <w:rPr>
                <w:bCs/>
                <w:sz w:val="18"/>
                <w:szCs w:val="18"/>
              </w:rPr>
            </w:pPr>
            <w:r>
              <w:rPr>
                <w:rFonts w:hint="eastAsia"/>
                <w:bCs/>
                <w:sz w:val="18"/>
                <w:szCs w:val="18"/>
              </w:rPr>
              <w:t>新增加：</w:t>
            </w:r>
          </w:p>
          <w:p>
            <w:pPr>
              <w:jc w:val="left"/>
              <w:rPr>
                <w:rFonts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ascii="宋体" w:hAnsi="宋体" w:cs="黑体"/>
                <w:sz w:val="18"/>
                <w:szCs w:val="18"/>
              </w:rPr>
            </w:pPr>
            <w:r>
              <w:rPr>
                <w:rFonts w:hint="eastAsia" w:ascii="宋体" w:hAnsi="宋体" w:cs="黑体"/>
                <w:sz w:val="18"/>
                <w:szCs w:val="18"/>
              </w:rPr>
              <w:t>GB/T 20000.1界定的术语和定于适用于本文件。</w:t>
            </w:r>
          </w:p>
          <w:p>
            <w:pPr>
              <w:jc w:val="left"/>
              <w:rPr>
                <w:bCs/>
                <w:sz w:val="18"/>
                <w:szCs w:val="18"/>
              </w:rPr>
            </w:pPr>
            <w:r>
              <w:rPr>
                <w:rFonts w:hint="eastAsia" w:ascii="宋体" w:hAnsi="宋体" w:cs="黑体"/>
                <w:sz w:val="18"/>
                <w:szCs w:val="18"/>
              </w:rPr>
              <w:t>后面的</w:t>
            </w:r>
            <w:r>
              <w:rPr>
                <w:rFonts w:hint="eastAsia"/>
                <w:sz w:val="18"/>
                <w:szCs w:val="18"/>
              </w:rPr>
              <w:t>章条号依次增加。</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5</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sz w:val="18"/>
                <w:szCs w:val="18"/>
              </w:rPr>
              <w:t>4.5.2</w:t>
            </w:r>
          </w:p>
        </w:tc>
        <w:tc>
          <w:tcPr>
            <w:tcW w:w="2808" w:type="dxa"/>
            <w:tcBorders>
              <w:top w:val="single" w:color="auto" w:sz="8" w:space="0"/>
              <w:bottom w:val="single" w:color="auto" w:sz="4" w:space="0"/>
            </w:tcBorders>
            <w:vAlign w:val="center"/>
          </w:tcPr>
          <w:p>
            <w:pPr>
              <w:spacing w:line="400" w:lineRule="exact"/>
              <w:rPr>
                <w:rFonts w:ascii="宋体" w:hAnsi="宋体" w:cs="宋体"/>
                <w:sz w:val="18"/>
                <w:szCs w:val="18"/>
              </w:rPr>
            </w:pPr>
            <w:r>
              <w:rPr>
                <w:rFonts w:hint="eastAsia" w:ascii="宋体" w:hAnsi="宋体"/>
                <w:sz w:val="18"/>
                <w:szCs w:val="18"/>
              </w:rPr>
              <w:t>平行试验修改为“平行做两份试验。”</w:t>
            </w:r>
          </w:p>
        </w:tc>
        <w:tc>
          <w:tcPr>
            <w:tcW w:w="1701" w:type="dxa"/>
            <w:tcBorders>
              <w:top w:val="single" w:color="auto" w:sz="8"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cs="宋体"/>
                <w:sz w:val="18"/>
                <w:szCs w:val="18"/>
              </w:rPr>
              <w:t>北矿检测技术有限公司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1451"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sz w:val="18"/>
                <w:szCs w:val="18"/>
              </w:rPr>
              <w:t>4.6.2</w:t>
            </w:r>
          </w:p>
        </w:tc>
        <w:tc>
          <w:tcPr>
            <w:tcW w:w="2808"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hint="eastAsia" w:hAnsi="宋体"/>
                <w:sz w:val="18"/>
                <w:szCs w:val="18"/>
              </w:rPr>
              <w:t>铋</w:t>
            </w:r>
            <w:r>
              <w:rPr>
                <w:rFonts w:ascii="宋体" w:hAnsi="宋体"/>
                <w:sz w:val="18"/>
                <w:szCs w:val="18"/>
              </w:rPr>
              <w:t>含量＜</w:t>
            </w:r>
            <w:r>
              <w:rPr>
                <w:rFonts w:hint="eastAsia" w:ascii="宋体" w:hAnsi="宋体"/>
                <w:sz w:val="18"/>
                <w:szCs w:val="18"/>
              </w:rPr>
              <w:t>1 %</w:t>
            </w:r>
            <w:r>
              <w:rPr>
                <w:rFonts w:ascii="宋体" w:hAnsi="宋体"/>
                <w:sz w:val="18"/>
                <w:szCs w:val="18"/>
              </w:rPr>
              <w:t>时，计算结果表示</w:t>
            </w:r>
            <w:r>
              <w:rPr>
                <w:rFonts w:hint="eastAsia" w:ascii="宋体" w:hAnsi="宋体"/>
                <w:sz w:val="18"/>
                <w:szCs w:val="18"/>
              </w:rPr>
              <w:t>保留两</w:t>
            </w:r>
            <w:r>
              <w:rPr>
                <w:rFonts w:ascii="宋体" w:hAnsi="宋体"/>
                <w:sz w:val="18"/>
                <w:szCs w:val="18"/>
              </w:rPr>
              <w:t>位</w:t>
            </w:r>
            <w:r>
              <w:rPr>
                <w:rFonts w:hint="eastAsia" w:ascii="宋体" w:hAnsi="宋体"/>
                <w:sz w:val="18"/>
                <w:szCs w:val="18"/>
              </w:rPr>
              <w:t>有效数字</w:t>
            </w:r>
            <w:r>
              <w:rPr>
                <w:rFonts w:ascii="宋体" w:hAnsi="宋体"/>
                <w:sz w:val="18"/>
                <w:szCs w:val="18"/>
              </w:rPr>
              <w:t>；</w:t>
            </w:r>
            <w:r>
              <w:rPr>
                <w:rFonts w:hint="eastAsia" w:hAnsi="宋体"/>
                <w:sz w:val="18"/>
                <w:szCs w:val="18"/>
              </w:rPr>
              <w:t>铋</w:t>
            </w:r>
            <w:r>
              <w:rPr>
                <w:rFonts w:ascii="宋体" w:hAnsi="宋体"/>
                <w:sz w:val="18"/>
                <w:szCs w:val="18"/>
              </w:rPr>
              <w:t>含量</w:t>
            </w:r>
            <w:r>
              <w:rPr>
                <w:rFonts w:hint="eastAsia" w:ascii="宋体" w:hAnsi="宋体"/>
                <w:sz w:val="18"/>
                <w:szCs w:val="18"/>
              </w:rPr>
              <w:t>≥1 %</w:t>
            </w:r>
            <w:r>
              <w:rPr>
                <w:rFonts w:ascii="宋体" w:hAnsi="宋体"/>
                <w:sz w:val="18"/>
                <w:szCs w:val="18"/>
              </w:rPr>
              <w:t>时，计算结果表示至小数点后</w:t>
            </w:r>
            <w:r>
              <w:rPr>
                <w:rFonts w:hint="eastAsia" w:ascii="宋体" w:hAnsi="宋体"/>
                <w:sz w:val="18"/>
                <w:szCs w:val="18"/>
              </w:rPr>
              <w:t>二</w:t>
            </w:r>
            <w:r>
              <w:rPr>
                <w:rFonts w:ascii="宋体" w:hAnsi="宋体"/>
                <w:sz w:val="18"/>
                <w:szCs w:val="18"/>
              </w:rPr>
              <w:t>位。数值修约执行GB/T 8170。</w:t>
            </w:r>
            <w:r>
              <w:rPr>
                <w:rFonts w:hint="eastAsia" w:ascii="宋体" w:hAnsi="宋体"/>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451"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cs="黑体"/>
                <w:sz w:val="18"/>
                <w:szCs w:val="18"/>
              </w:rPr>
              <w:t>4.6.3</w:t>
            </w:r>
          </w:p>
        </w:tc>
        <w:tc>
          <w:tcPr>
            <w:tcW w:w="280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4.6.3 </w:t>
            </w:r>
            <w:r>
              <w:rPr>
                <w:rFonts w:hint="eastAsia" w:ascii="宋体" w:hAnsi="宋体"/>
                <w:sz w:val="18"/>
                <w:szCs w:val="18"/>
              </w:rPr>
              <w:t>取两次测试结果的平均值。</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4.5.4.2、4.7、5.6</w:t>
            </w:r>
          </w:p>
        </w:tc>
        <w:tc>
          <w:tcPr>
            <w:tcW w:w="280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表格均取消标题</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4.5.4.2</w:t>
            </w:r>
          </w:p>
        </w:tc>
        <w:tc>
          <w:tcPr>
            <w:tcW w:w="2808"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表1中“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p>
            <w:pPr>
              <w:rPr>
                <w:rFonts w:ascii="宋体" w:hAnsi="宋体" w:cs="Arial"/>
                <w:color w:val="000000"/>
                <w:sz w:val="18"/>
                <w:szCs w:val="18"/>
              </w:rPr>
            </w:pPr>
            <w:r>
              <w:rPr>
                <w:rFonts w:hint="eastAsia" w:ascii="宋体" w:hAnsi="宋体"/>
                <w:sz w:val="18"/>
                <w:szCs w:val="18"/>
              </w:rPr>
              <w:t>“稀释倍数R”</w:t>
            </w:r>
            <w:r>
              <w:rPr>
                <w:rFonts w:hint="eastAsia" w:ascii="宋体" w:hAnsi="宋体" w:cs="Arial"/>
                <w:color w:val="000000"/>
                <w:sz w:val="18"/>
                <w:szCs w:val="18"/>
              </w:rPr>
              <w:t xml:space="preserve"> 修改为“</w:t>
            </w:r>
            <w:r>
              <w:rPr>
                <w:rFonts w:hint="eastAsia" w:ascii="宋体" w:hAnsi="宋体"/>
                <w:sz w:val="18"/>
                <w:szCs w:val="18"/>
              </w:rPr>
              <w:t>稀释倍数T</w:t>
            </w:r>
            <w:r>
              <w:rPr>
                <w:rFonts w:hint="eastAsia" w:ascii="宋体" w:hAnsi="宋体" w:cs="Arial"/>
                <w:color w:val="000000"/>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sz w:val="18"/>
                <w:szCs w:val="18"/>
              </w:rPr>
              <w:t>中国铝业连城分公司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45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5.2.10.2</w:t>
            </w:r>
          </w:p>
        </w:tc>
        <w:tc>
          <w:tcPr>
            <w:tcW w:w="2808" w:type="dxa"/>
            <w:tcBorders>
              <w:top w:val="single" w:color="auto" w:sz="8" w:space="0"/>
              <w:bottom w:val="single" w:color="auto" w:sz="4" w:space="0"/>
            </w:tcBorders>
            <w:vAlign w:val="center"/>
          </w:tcPr>
          <w:p>
            <w:pPr>
              <w:rPr>
                <w:rFonts w:ascii="宋体" w:hAnsi="宋体"/>
                <w:sz w:val="18"/>
                <w:szCs w:val="18"/>
              </w:rPr>
            </w:pPr>
            <w:r>
              <w:rPr>
                <w:rFonts w:hint="eastAsia"/>
                <w:sz w:val="18"/>
                <w:szCs w:val="18"/>
              </w:rPr>
              <w:t>增加：“计算结果保留四位有效数字，</w:t>
            </w:r>
            <w:r>
              <w:rPr>
                <w:rFonts w:ascii="宋体" w:hAnsi="宋体"/>
                <w:sz w:val="18"/>
                <w:szCs w:val="18"/>
              </w:rPr>
              <w:t>数值修约执行GB/T 8170。</w:t>
            </w:r>
          </w:p>
          <w:p>
            <w:pPr>
              <w:rPr>
                <w:rFonts w:ascii="宋体" w:hAnsi="宋体" w:cs="Arial"/>
                <w:color w:val="000000"/>
                <w:sz w:val="18"/>
                <w:szCs w:val="18"/>
              </w:rPr>
            </w:pPr>
            <w:r>
              <w:rPr>
                <w:rFonts w:ascii="宋体" w:hAnsi="宋体"/>
                <w:sz w:val="18"/>
                <w:szCs w:val="18"/>
              </w:rPr>
              <w:t>平行标定四份</w:t>
            </w:r>
            <w:r>
              <w:rPr>
                <w:rFonts w:hint="eastAsia" w:ascii="宋体" w:hAnsi="宋体"/>
                <w:sz w:val="18"/>
                <w:szCs w:val="18"/>
              </w:rPr>
              <w:t>，</w:t>
            </w:r>
            <w:r>
              <w:rPr>
                <w:rFonts w:ascii="宋体" w:hAnsi="宋体"/>
                <w:sz w:val="18"/>
                <w:szCs w:val="18"/>
              </w:rPr>
              <w:t>其极差值不大于</w:t>
            </w:r>
            <w:r>
              <w:rPr>
                <w:rFonts w:hint="eastAsia" w:ascii="宋体" w:hAnsi="宋体"/>
                <w:sz w:val="18"/>
                <w:szCs w:val="18"/>
              </w:rPr>
              <w:t>3</w:t>
            </w:r>
            <w:r>
              <w:rPr>
                <w:rFonts w:ascii="宋体" w:hAnsi="宋体"/>
                <w:sz w:val="18"/>
                <w:szCs w:val="18"/>
              </w:rPr>
              <w:t>×10</w:t>
            </w:r>
            <w:r>
              <w:rPr>
                <w:rFonts w:hint="eastAsia" w:ascii="宋体" w:hAnsi="宋体"/>
                <w:sz w:val="18"/>
                <w:szCs w:val="18"/>
                <w:vertAlign w:val="superscript"/>
              </w:rPr>
              <w:t>-</w:t>
            </w:r>
            <w:r>
              <w:rPr>
                <w:rFonts w:ascii="宋体" w:hAnsi="宋体"/>
                <w:sz w:val="18"/>
                <w:szCs w:val="18"/>
                <w:vertAlign w:val="superscript"/>
              </w:rPr>
              <w:t>5</w:t>
            </w:r>
            <w:r>
              <w:rPr>
                <w:rFonts w:hint="eastAsia" w:ascii="宋体" w:hAnsi="宋体"/>
                <w:sz w:val="18"/>
                <w:szCs w:val="18"/>
              </w:rPr>
              <w:t xml:space="preserve"> </w:t>
            </w:r>
            <w:r>
              <w:rPr>
                <w:rFonts w:ascii="宋体" w:hAnsi="宋体"/>
                <w:sz w:val="18"/>
                <w:szCs w:val="18"/>
              </w:rPr>
              <w:t>mol/L时</w:t>
            </w:r>
            <w:r>
              <w:rPr>
                <w:rFonts w:hint="eastAsia" w:ascii="宋体" w:hAnsi="宋体"/>
                <w:sz w:val="18"/>
                <w:szCs w:val="18"/>
              </w:rPr>
              <w:t>，</w:t>
            </w:r>
            <w:r>
              <w:rPr>
                <w:rFonts w:ascii="宋体" w:hAnsi="宋体"/>
                <w:sz w:val="18"/>
                <w:szCs w:val="18"/>
              </w:rPr>
              <w:t>取其平均值</w:t>
            </w:r>
            <w:r>
              <w:rPr>
                <w:rFonts w:hint="eastAsia" w:ascii="宋体" w:hAnsi="宋体"/>
                <w:sz w:val="18"/>
                <w:szCs w:val="18"/>
              </w:rPr>
              <w:t>，</w:t>
            </w:r>
            <w:r>
              <w:rPr>
                <w:rFonts w:ascii="宋体" w:hAnsi="宋体"/>
                <w:sz w:val="18"/>
                <w:szCs w:val="18"/>
              </w:rPr>
              <w:t>否则重新标定</w:t>
            </w:r>
            <w:r>
              <w:rPr>
                <w:rFonts w:hint="eastAsia" w:ascii="宋体" w:hAnsi="宋体"/>
                <w:sz w:val="18"/>
                <w:szCs w:val="18"/>
              </w:rPr>
              <w:t>。”</w:t>
            </w:r>
          </w:p>
        </w:tc>
        <w:tc>
          <w:tcPr>
            <w:tcW w:w="1701" w:type="dxa"/>
            <w:tcBorders>
              <w:top w:val="single" w:color="auto" w:sz="8" w:space="0"/>
              <w:bottom w:val="single" w:color="auto" w:sz="4" w:space="0"/>
            </w:tcBorders>
            <w:vAlign w:val="center"/>
          </w:tcPr>
          <w:p>
            <w:pPr>
              <w:jc w:val="left"/>
              <w:rPr>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451"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5.5</w:t>
            </w:r>
            <w:r>
              <w:rPr>
                <w:rFonts w:ascii="宋体" w:hAnsi="宋体"/>
                <w:sz w:val="18"/>
                <w:szCs w:val="18"/>
              </w:rPr>
              <w:t>.2</w:t>
            </w:r>
          </w:p>
        </w:tc>
        <w:tc>
          <w:tcPr>
            <w:tcW w:w="2808"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修改为“</w:t>
            </w:r>
            <w:r>
              <w:rPr>
                <w:rFonts w:hint="eastAsia"/>
                <w:sz w:val="18"/>
                <w:szCs w:val="18"/>
              </w:rPr>
              <w:t>计算结果保留小数点后两位</w:t>
            </w:r>
            <w:r>
              <w:rPr>
                <w:rFonts w:hint="eastAsia" w:ascii="宋体" w:hAnsi="宋体"/>
                <w:sz w:val="18"/>
                <w:szCs w:val="18"/>
              </w:rPr>
              <w:t>，</w:t>
            </w:r>
            <w:r>
              <w:rPr>
                <w:rFonts w:ascii="宋体" w:hAnsi="宋体"/>
                <w:sz w:val="18"/>
                <w:szCs w:val="18"/>
              </w:rPr>
              <w:t>数值修约执行GB/T 8170。</w:t>
            </w:r>
            <w:r>
              <w:rPr>
                <w:rFonts w:hint="eastAsia" w:ascii="宋体" w:hAnsi="宋体"/>
                <w:sz w:val="18"/>
                <w:szCs w:val="18"/>
              </w:rPr>
              <w:t>”</w:t>
            </w:r>
          </w:p>
        </w:tc>
        <w:tc>
          <w:tcPr>
            <w:tcW w:w="1701" w:type="dxa"/>
            <w:tcBorders>
              <w:top w:val="single" w:color="auto" w:sz="4" w:space="0"/>
              <w:bottom w:val="single" w:color="auto" w:sz="4" w:space="0"/>
            </w:tcBorders>
            <w:vAlign w:val="center"/>
          </w:tcPr>
          <w:p>
            <w:pPr>
              <w:jc w:val="left"/>
              <w:rPr>
                <w:rFonts w:ascii="宋体" w:hAnsi="宋体" w:cs="宋体"/>
                <w:sz w:val="18"/>
                <w:szCs w:val="18"/>
              </w:rPr>
            </w:pPr>
            <w:r>
              <w:rPr>
                <w:rFonts w:hint="eastAsia"/>
                <w:sz w:val="18"/>
                <w:szCs w:val="18"/>
              </w:rPr>
              <w:t>焦作万方铝业有限公司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12</w:t>
            </w:r>
          </w:p>
        </w:tc>
        <w:tc>
          <w:tcPr>
            <w:tcW w:w="1451"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5.5</w:t>
            </w:r>
            <w:r>
              <w:rPr>
                <w:rFonts w:ascii="宋体" w:hAnsi="宋体"/>
                <w:sz w:val="18"/>
                <w:szCs w:val="18"/>
              </w:rPr>
              <w:t>.</w:t>
            </w:r>
            <w:r>
              <w:rPr>
                <w:rFonts w:hint="eastAsia" w:ascii="宋体" w:hAnsi="宋体"/>
                <w:sz w:val="18"/>
                <w:szCs w:val="18"/>
              </w:rPr>
              <w:t>3</w:t>
            </w:r>
          </w:p>
        </w:tc>
        <w:tc>
          <w:tcPr>
            <w:tcW w:w="280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sz w:val="18"/>
                <w:szCs w:val="18"/>
              </w:rPr>
              <w:t xml:space="preserve">5.5.3 </w:t>
            </w:r>
            <w:r>
              <w:rPr>
                <w:rFonts w:ascii="宋体" w:hAnsi="宋体"/>
                <w:sz w:val="18"/>
                <w:szCs w:val="18"/>
              </w:rPr>
              <w:t xml:space="preserve"> </w:t>
            </w:r>
            <w:r>
              <w:rPr>
                <w:rFonts w:hint="eastAsia" w:ascii="宋体" w:hAnsi="宋体"/>
                <w:sz w:val="18"/>
                <w:szCs w:val="18"/>
              </w:rPr>
              <w:t>取两次测试结果的平均值。</w:t>
            </w:r>
          </w:p>
        </w:tc>
        <w:tc>
          <w:tcPr>
            <w:tcW w:w="1701" w:type="dxa"/>
            <w:tcBorders>
              <w:top w:val="single" w:color="auto" w:sz="4" w:space="0"/>
              <w:bottom w:val="single" w:color="auto" w:sz="4" w:space="0"/>
            </w:tcBorders>
            <w:vAlign w:val="center"/>
          </w:tcPr>
          <w:p>
            <w:pPr>
              <w:jc w:val="left"/>
              <w:rPr>
                <w:rFonts w:ascii="宋体" w:hAnsi="宋体" w:cs="宋体"/>
                <w:sz w:val="18"/>
                <w:szCs w:val="18"/>
              </w:rPr>
            </w:pPr>
            <w:r>
              <w:rPr>
                <w:rFonts w:hint="eastAsia"/>
                <w:sz w:val="18"/>
                <w:szCs w:val="18"/>
              </w:rPr>
              <w:t>焦作万方铝业有限公司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13</w:t>
            </w:r>
          </w:p>
        </w:tc>
        <w:tc>
          <w:tcPr>
            <w:tcW w:w="1451"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5.6</w:t>
            </w:r>
          </w:p>
        </w:tc>
        <w:tc>
          <w:tcPr>
            <w:tcW w:w="2808"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bCs/>
                <w:sz w:val="18"/>
                <w:szCs w:val="18"/>
              </w:rPr>
              <w:t>完善精密度数据，补充试验数据。</w:t>
            </w:r>
          </w:p>
        </w:tc>
        <w:tc>
          <w:tcPr>
            <w:tcW w:w="1701" w:type="dxa"/>
            <w:tcBorders>
              <w:top w:val="single" w:color="auto" w:sz="4"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14</w:t>
            </w:r>
          </w:p>
        </w:tc>
        <w:tc>
          <w:tcPr>
            <w:tcW w:w="1451"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文本格式</w:t>
            </w:r>
          </w:p>
        </w:tc>
        <w:tc>
          <w:tcPr>
            <w:tcW w:w="2808"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sz w:val="18"/>
                <w:szCs w:val="18"/>
              </w:rPr>
              <w:t>严格按照最新国家标准编写规范撰写。</w:t>
            </w:r>
          </w:p>
        </w:tc>
        <w:tc>
          <w:tcPr>
            <w:tcW w:w="1701" w:type="dxa"/>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center"/>
              <w:rPr>
                <w:sz w:val="18"/>
                <w:szCs w:val="18"/>
              </w:rPr>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2018年10月至2019年6月，标准编制小组与</w:t>
      </w:r>
      <w:r>
        <w:rPr>
          <w:rFonts w:hint="eastAsia" w:ascii="宋体" w:hAnsi="宋体"/>
        </w:rPr>
        <w:t>贵州省分析测试研究院、长沙矿冶研究院有限责任公司等验证单位</w:t>
      </w:r>
      <w:r>
        <w:rPr>
          <w:rFonts w:hint="eastAsia" w:ascii="宋体" w:hAnsi="宋体"/>
          <w:szCs w:val="21"/>
        </w:rPr>
        <w:t>联系，对标准进行复验和复核验证，</w:t>
      </w:r>
      <w:r>
        <w:rPr>
          <w:rFonts w:hint="eastAsia" w:ascii="宋体" w:hAnsi="宋体"/>
        </w:rPr>
        <w:t>起草项目组汇总上述意见和建议，</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rPr>
        <w:t>贵州省分析测试研究院、长沙矿冶研究院有限责任公司</w:t>
      </w:r>
      <w:r>
        <w:rPr>
          <w:rFonts w:hint="eastAsia" w:hAnsi="宋体"/>
          <w:szCs w:val="21"/>
        </w:rPr>
        <w:t>等单位的复验、复核结果，以及征求意见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tabs>
          <w:tab w:val="left" w:pos="540"/>
        </w:tabs>
        <w:adjustRightInd w:val="0"/>
        <w:snapToGrid w:val="0"/>
        <w:spacing w:beforeLines="50" w:afterLines="50"/>
        <w:rPr>
          <w:rFonts w:ascii="黑体" w:hAnsi="黑体" w:eastAsia="黑体"/>
          <w:sz w:val="24"/>
        </w:rPr>
      </w:pPr>
      <w:r>
        <w:rPr>
          <w:rFonts w:hint="eastAsia" w:ascii="黑体" w:hAnsi="黑体" w:eastAsia="黑体"/>
          <w:sz w:val="24"/>
        </w:rPr>
        <w:t>三、标准的编制原则</w:t>
      </w:r>
    </w:p>
    <w:p>
      <w:pPr>
        <w:spacing w:line="360" w:lineRule="auto"/>
        <w:rPr>
          <w:rFonts w:ascii="宋体" w:hAnsi="宋体" w:cs="宋体"/>
          <w:szCs w:val="21"/>
        </w:rPr>
      </w:pPr>
      <w:r>
        <w:rPr>
          <w:rFonts w:hint="eastAsia" w:ascii="黑体" w:hAnsi="黑体" w:eastAsia="黑体" w:cs="宋体"/>
          <w:szCs w:val="21"/>
        </w:rPr>
        <w:t xml:space="preserve">    </w:t>
      </w:r>
      <w:r>
        <w:rPr>
          <w:rFonts w:hint="eastAsia" w:ascii="宋体" w:hAnsi="宋体" w:cs="宋体"/>
          <w:szCs w:val="21"/>
        </w:rPr>
        <w:t xml:space="preserve">1、符合性：该标准按照GB/T 1.1—2009《标准化工作导则 第1部分：标准的结构和编写》、GB/T </w:t>
      </w:r>
      <w:r>
        <w:rPr>
          <w:rFonts w:ascii="宋体" w:hAnsi="宋体" w:cs="宋体"/>
          <w:szCs w:val="21"/>
        </w:rPr>
        <w:t>20001.4-2015</w:t>
      </w:r>
      <w:r>
        <w:rPr>
          <w:rFonts w:hint="eastAsia" w:ascii="宋体" w:hAnsi="宋体" w:cs="宋体"/>
          <w:szCs w:val="21"/>
        </w:rPr>
        <w:t>《标准编写规则 第4部分：试验方法标准》的要求对本部分进行了编写。</w:t>
      </w:r>
    </w:p>
    <w:p>
      <w:pPr>
        <w:spacing w:line="360" w:lineRule="auto"/>
        <w:rPr>
          <w:rFonts w:ascii="宋体" w:hAnsi="宋体" w:cs="宋体"/>
          <w:szCs w:val="21"/>
        </w:rPr>
      </w:pPr>
      <w:r>
        <w:rPr>
          <w:rFonts w:hint="eastAsia" w:ascii="宋体" w:hAnsi="宋体" w:cs="宋体"/>
          <w:szCs w:val="21"/>
        </w:rPr>
        <w:t xml:space="preserve">    2、合理性：</w:t>
      </w:r>
      <w:r>
        <w:rPr>
          <w:rFonts w:ascii="宋体" w:hAnsi="宋体"/>
          <w:szCs w:val="21"/>
        </w:rPr>
        <w:t>以满足我国</w:t>
      </w:r>
      <w:r>
        <w:rPr>
          <w:rFonts w:hint="eastAsia" w:ascii="宋体" w:hAnsi="宋体" w:cs="宋体"/>
          <w:szCs w:val="21"/>
        </w:rPr>
        <w:t>铝及铝合金产品</w:t>
      </w:r>
      <w:r>
        <w:rPr>
          <w:rFonts w:ascii="宋体" w:hAnsi="宋体"/>
          <w:szCs w:val="21"/>
        </w:rPr>
        <w:t>实际生产和使用的需要为原则</w:t>
      </w:r>
      <w:r>
        <w:rPr>
          <w:rFonts w:hint="eastAsia" w:ascii="宋体" w:hAnsi="宋体"/>
          <w:szCs w:val="21"/>
        </w:rPr>
        <w:t>，</w:t>
      </w:r>
      <w:r>
        <w:rPr>
          <w:rFonts w:ascii="宋体" w:hAnsi="宋体"/>
          <w:szCs w:val="21"/>
        </w:rPr>
        <w:t>与实际相结合</w:t>
      </w:r>
      <w:r>
        <w:rPr>
          <w:rFonts w:hint="eastAsia" w:ascii="宋体" w:hAnsi="宋体"/>
          <w:szCs w:val="21"/>
        </w:rPr>
        <w:t>，</w:t>
      </w:r>
      <w:r>
        <w:rPr>
          <w:rFonts w:ascii="宋体" w:hAnsi="宋体"/>
          <w:szCs w:val="21"/>
        </w:rPr>
        <w:t>提高标准的适用性。</w:t>
      </w:r>
      <w:r>
        <w:rPr>
          <w:rFonts w:hint="eastAsia" w:ascii="宋体" w:hAnsi="宋体" w:cs="宋体"/>
          <w:szCs w:val="21"/>
        </w:rPr>
        <w:t>反映当前国内各生产企业的技术水平，宜于应用，经济上合理，兼顾现有资源的合理配置，提高了标准的可操作性。</w:t>
      </w:r>
    </w:p>
    <w:p>
      <w:pPr>
        <w:spacing w:line="360" w:lineRule="auto"/>
        <w:rPr>
          <w:rFonts w:ascii="宋体" w:hAnsi="宋体" w:cs="宋体"/>
          <w:szCs w:val="21"/>
        </w:rPr>
      </w:pPr>
      <w:r>
        <w:rPr>
          <w:rFonts w:hint="eastAsia" w:ascii="宋体" w:hAnsi="宋体" w:cs="宋体"/>
          <w:szCs w:val="21"/>
        </w:rPr>
        <w:t xml:space="preserve">    3、先进性：该方法操作</w:t>
      </w:r>
      <w:r>
        <w:rPr>
          <w:rFonts w:ascii="宋体" w:hAnsi="宋体" w:cs="宋体"/>
          <w:szCs w:val="21"/>
        </w:rPr>
        <w:t>简</w:t>
      </w:r>
      <w:r>
        <w:rPr>
          <w:rFonts w:hint="eastAsia" w:ascii="宋体" w:hAnsi="宋体" w:cs="宋体"/>
          <w:szCs w:val="21"/>
        </w:rPr>
        <w:t>便</w:t>
      </w:r>
      <w:r>
        <w:rPr>
          <w:rFonts w:ascii="宋体" w:hAnsi="宋体" w:cs="宋体"/>
          <w:szCs w:val="21"/>
        </w:rPr>
        <w:t>，</w:t>
      </w:r>
      <w:r>
        <w:rPr>
          <w:rFonts w:hint="eastAsia" w:ascii="宋体" w:hAnsi="宋体" w:cs="宋体"/>
          <w:szCs w:val="21"/>
        </w:rPr>
        <w:t>系统稳定，工作效率高，精密度和准确度好，</w:t>
      </w:r>
      <w:r>
        <w:rPr>
          <w:rFonts w:ascii="宋体" w:hAnsi="宋体" w:cs="宋体"/>
          <w:szCs w:val="21"/>
        </w:rPr>
        <w:t>能很好</w:t>
      </w:r>
      <w:r>
        <w:rPr>
          <w:rFonts w:hint="eastAsia" w:ascii="宋体" w:hAnsi="宋体" w:cs="宋体"/>
          <w:szCs w:val="21"/>
        </w:rPr>
        <w:t>地满足产品的需要</w:t>
      </w:r>
      <w:r>
        <w:rPr>
          <w:rFonts w:hint="eastAsia" w:ascii="宋体" w:hAnsi="宋体"/>
          <w:kern w:val="1"/>
          <w:szCs w:val="21"/>
        </w:rPr>
        <w:t>。</w:t>
      </w:r>
    </w:p>
    <w:p>
      <w:pPr>
        <w:pStyle w:val="2"/>
        <w:keepNext w:val="0"/>
        <w:spacing w:beforeLines="50" w:afterLines="50" w:line="360" w:lineRule="auto"/>
        <w:jc w:val="left"/>
        <w:rPr>
          <w:rFonts w:ascii="黑体" w:hAnsi="黑体" w:eastAsia="黑体"/>
          <w:sz w:val="24"/>
        </w:rPr>
      </w:pPr>
      <w:r>
        <w:rPr>
          <w:rFonts w:hint="eastAsia" w:ascii="黑体" w:hAnsi="黑体" w:eastAsia="黑体"/>
          <w:sz w:val="24"/>
        </w:rPr>
        <w:t>四、确定标准主要内容的依据</w:t>
      </w:r>
    </w:p>
    <w:p>
      <w:pPr>
        <w:spacing w:line="360" w:lineRule="auto"/>
        <w:rPr>
          <w:rFonts w:ascii="黑体" w:hAnsi="宋体" w:eastAsia="黑体"/>
          <w:b/>
          <w:szCs w:val="21"/>
        </w:rPr>
      </w:pPr>
      <w:r>
        <w:rPr>
          <w:rFonts w:hint="eastAsia" w:ascii="宋体" w:hAnsi="宋体"/>
          <w:b/>
          <w:szCs w:val="21"/>
        </w:rPr>
        <w:t>方法一：</w:t>
      </w:r>
      <w:r>
        <w:rPr>
          <w:rFonts w:hint="eastAsia" w:ascii="宋体" w:hAnsi="宋体"/>
          <w:b/>
        </w:rPr>
        <w:t>碘化钾分光光度法</w:t>
      </w:r>
    </w:p>
    <w:p>
      <w:pPr>
        <w:spacing w:line="360" w:lineRule="auto"/>
        <w:rPr>
          <w:rFonts w:ascii="黑体" w:hAnsi="宋体" w:eastAsia="黑体"/>
          <w:szCs w:val="21"/>
        </w:rPr>
      </w:pPr>
      <w:r>
        <w:rPr>
          <w:rFonts w:hint="eastAsia" w:ascii="黑体" w:hAnsi="宋体" w:eastAsia="黑体"/>
          <w:szCs w:val="21"/>
        </w:rPr>
        <w:t>3.1  条件试验</w:t>
      </w:r>
    </w:p>
    <w:p>
      <w:pPr>
        <w:spacing w:line="360" w:lineRule="auto"/>
        <w:rPr>
          <w:rFonts w:ascii="宋体" w:hAnsi="宋体"/>
          <w:szCs w:val="21"/>
        </w:rPr>
      </w:pPr>
      <w:r>
        <w:rPr>
          <w:rFonts w:hint="eastAsia" w:ascii="宋体" w:hAnsi="宋体"/>
          <w:szCs w:val="21"/>
        </w:rPr>
        <w:t>3.1.1  络合物吸收光谱</w:t>
      </w:r>
    </w:p>
    <w:p>
      <w:pPr>
        <w:spacing w:line="360" w:lineRule="auto"/>
        <w:ind w:firstLine="315" w:firstLineChars="150"/>
        <w:rPr>
          <w:rFonts w:ascii="宋体" w:hAnsi="宋体"/>
          <w:szCs w:val="21"/>
        </w:rPr>
      </w:pPr>
      <w:r>
        <w:rPr>
          <w:rFonts w:hint="eastAsia" w:ascii="宋体" w:hAnsi="宋体"/>
          <w:szCs w:val="21"/>
        </w:rPr>
        <w:t>于100mL容量瓶中，加入10.00mL铋标准溶液(2.1.9)，加入15mL硫酸（2.1.1</w:t>
      </w:r>
      <w:r>
        <w:rPr>
          <w:rFonts w:ascii="宋体" w:hAnsi="宋体"/>
          <w:szCs w:val="21"/>
        </w:rPr>
        <w:t>）</w:t>
      </w:r>
      <w:r>
        <w:rPr>
          <w:rFonts w:hint="eastAsia" w:ascii="宋体" w:hAnsi="宋体"/>
          <w:szCs w:val="21"/>
        </w:rPr>
        <w:t>，加水使体积约50mL，加入10mL硫脲溶液（2.1.6</w:t>
      </w:r>
      <w:r>
        <w:rPr>
          <w:rFonts w:ascii="宋体" w:hAnsi="宋体"/>
          <w:szCs w:val="21"/>
        </w:rPr>
        <w:t>）</w:t>
      </w:r>
      <w:r>
        <w:rPr>
          <w:rFonts w:hint="eastAsia" w:ascii="宋体" w:hAnsi="宋体"/>
          <w:szCs w:val="21"/>
        </w:rPr>
        <w:t>及10mL碘化钾溶液（2.1.7</w:t>
      </w:r>
      <w:r>
        <w:rPr>
          <w:rFonts w:ascii="宋体" w:hAnsi="宋体"/>
          <w:szCs w:val="21"/>
        </w:rPr>
        <w:t>）</w:t>
      </w:r>
      <w:r>
        <w:rPr>
          <w:rFonts w:hint="eastAsia" w:ascii="宋体" w:hAnsi="宋体"/>
          <w:szCs w:val="21"/>
        </w:rPr>
        <w:t>，以水稀释至刻度，混匀。放置20min，取部分试液于分光光度计上，用1cm比色皿，以水为参比，在不同波长下测定溶液的吸光值，所得结果列于表1。以不同波长对应的吸光值，绘制吸收曲线。见图1。</w:t>
      </w:r>
    </w:p>
    <w:p>
      <w:pPr>
        <w:ind w:firstLine="2520" w:firstLineChars="1200"/>
        <w:rPr>
          <w:rFonts w:ascii="宋体" w:hAnsi="宋体"/>
          <w:szCs w:val="21"/>
        </w:rPr>
      </w:pPr>
      <w:r>
        <w:rPr>
          <w:rFonts w:hint="eastAsia" w:ascii="宋体" w:hAnsi="宋体"/>
          <w:szCs w:val="21"/>
        </w:rPr>
        <w:t>表1  络合物在不同波长下的吸光值</w:t>
      </w:r>
    </w:p>
    <w:tbl>
      <w:tblPr>
        <w:tblStyle w:val="2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02"/>
        <w:gridCol w:w="1003"/>
        <w:gridCol w:w="1003"/>
        <w:gridCol w:w="1003"/>
        <w:gridCol w:w="1003"/>
        <w:gridCol w:w="100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60" w:type="dxa"/>
          </w:tcPr>
          <w:p>
            <w:pPr>
              <w:jc w:val="center"/>
              <w:rPr>
                <w:rFonts w:ascii="宋体" w:hAnsi="宋体"/>
                <w:szCs w:val="21"/>
              </w:rPr>
            </w:pPr>
            <w:bookmarkStart w:id="4" w:name="OLE_LINK1" w:colFirst="0" w:colLast="14"/>
            <w:r>
              <w:rPr>
                <w:rFonts w:hint="eastAsia" w:ascii="宋体" w:hAnsi="宋体"/>
                <w:szCs w:val="21"/>
              </w:rPr>
              <w:t>波长（nm）</w:t>
            </w:r>
          </w:p>
        </w:tc>
        <w:tc>
          <w:tcPr>
            <w:tcW w:w="1002" w:type="dxa"/>
            <w:tcBorders>
              <w:left w:val="single" w:color="auto" w:sz="4" w:space="0"/>
            </w:tcBorders>
          </w:tcPr>
          <w:p>
            <w:pPr>
              <w:jc w:val="center"/>
              <w:rPr>
                <w:rFonts w:ascii="宋体" w:hAnsi="宋体"/>
                <w:szCs w:val="21"/>
              </w:rPr>
            </w:pPr>
            <w:r>
              <w:rPr>
                <w:rFonts w:hint="eastAsia" w:ascii="宋体" w:hAnsi="宋体"/>
                <w:szCs w:val="21"/>
              </w:rPr>
              <w:t>400</w:t>
            </w:r>
          </w:p>
        </w:tc>
        <w:tc>
          <w:tcPr>
            <w:tcW w:w="1003" w:type="dxa"/>
          </w:tcPr>
          <w:p>
            <w:pPr>
              <w:jc w:val="center"/>
              <w:rPr>
                <w:rFonts w:ascii="宋体" w:hAnsi="宋体"/>
                <w:szCs w:val="21"/>
              </w:rPr>
            </w:pPr>
            <w:r>
              <w:rPr>
                <w:rFonts w:hint="eastAsia" w:ascii="宋体" w:hAnsi="宋体"/>
                <w:szCs w:val="21"/>
              </w:rPr>
              <w:t>410</w:t>
            </w:r>
          </w:p>
        </w:tc>
        <w:tc>
          <w:tcPr>
            <w:tcW w:w="1003" w:type="dxa"/>
          </w:tcPr>
          <w:p>
            <w:pPr>
              <w:jc w:val="center"/>
              <w:rPr>
                <w:rFonts w:ascii="宋体" w:hAnsi="宋体"/>
                <w:szCs w:val="21"/>
              </w:rPr>
            </w:pPr>
            <w:r>
              <w:rPr>
                <w:rFonts w:hint="eastAsia" w:ascii="宋体" w:hAnsi="宋体"/>
                <w:szCs w:val="21"/>
              </w:rPr>
              <w:t>420</w:t>
            </w:r>
          </w:p>
        </w:tc>
        <w:tc>
          <w:tcPr>
            <w:tcW w:w="1003" w:type="dxa"/>
          </w:tcPr>
          <w:p>
            <w:pPr>
              <w:jc w:val="center"/>
              <w:rPr>
                <w:rFonts w:ascii="宋体" w:hAnsi="宋体"/>
                <w:szCs w:val="21"/>
              </w:rPr>
            </w:pPr>
            <w:r>
              <w:rPr>
                <w:rFonts w:hint="eastAsia" w:ascii="宋体" w:hAnsi="宋体"/>
                <w:szCs w:val="21"/>
              </w:rPr>
              <w:t>430</w:t>
            </w:r>
          </w:p>
        </w:tc>
        <w:tc>
          <w:tcPr>
            <w:tcW w:w="1003" w:type="dxa"/>
          </w:tcPr>
          <w:p>
            <w:pPr>
              <w:jc w:val="center"/>
              <w:rPr>
                <w:rFonts w:ascii="宋体" w:hAnsi="宋体"/>
                <w:szCs w:val="21"/>
              </w:rPr>
            </w:pPr>
            <w:r>
              <w:rPr>
                <w:rFonts w:hint="eastAsia" w:ascii="宋体" w:hAnsi="宋体"/>
                <w:szCs w:val="21"/>
              </w:rPr>
              <w:t>440</w:t>
            </w:r>
          </w:p>
        </w:tc>
        <w:tc>
          <w:tcPr>
            <w:tcW w:w="1003" w:type="dxa"/>
          </w:tcPr>
          <w:p>
            <w:pPr>
              <w:jc w:val="center"/>
              <w:rPr>
                <w:rFonts w:ascii="宋体" w:hAnsi="宋体"/>
                <w:szCs w:val="21"/>
              </w:rPr>
            </w:pPr>
            <w:r>
              <w:rPr>
                <w:rFonts w:hint="eastAsia" w:ascii="宋体" w:hAnsi="宋体"/>
                <w:szCs w:val="21"/>
              </w:rPr>
              <w:t>450</w:t>
            </w:r>
          </w:p>
        </w:tc>
        <w:tc>
          <w:tcPr>
            <w:tcW w:w="1003" w:type="dxa"/>
          </w:tcPr>
          <w:p>
            <w:pPr>
              <w:jc w:val="center"/>
              <w:rPr>
                <w:rFonts w:ascii="宋体" w:hAnsi="宋体"/>
                <w:szCs w:val="21"/>
              </w:rPr>
            </w:pPr>
            <w:r>
              <w:rPr>
                <w:rFonts w:hint="eastAsia" w:ascii="宋体" w:hAnsi="宋体"/>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tcPr>
          <w:p>
            <w:pPr>
              <w:jc w:val="center"/>
              <w:rPr>
                <w:rFonts w:ascii="宋体" w:hAnsi="宋体"/>
                <w:szCs w:val="21"/>
              </w:rPr>
            </w:pPr>
            <w:r>
              <w:rPr>
                <w:rFonts w:hint="eastAsia" w:ascii="宋体" w:hAnsi="宋体"/>
                <w:szCs w:val="21"/>
              </w:rPr>
              <w:t>吸光值A</w:t>
            </w:r>
          </w:p>
        </w:tc>
        <w:tc>
          <w:tcPr>
            <w:tcW w:w="1002" w:type="dxa"/>
            <w:tcBorders>
              <w:left w:val="single" w:color="auto" w:sz="4" w:space="0"/>
            </w:tcBorders>
          </w:tcPr>
          <w:p>
            <w:pPr>
              <w:jc w:val="center"/>
              <w:rPr>
                <w:rFonts w:ascii="宋体" w:hAnsi="宋体"/>
                <w:szCs w:val="21"/>
              </w:rPr>
            </w:pPr>
            <w:r>
              <w:rPr>
                <w:rFonts w:hint="eastAsia" w:ascii="宋体" w:hAnsi="宋体"/>
                <w:szCs w:val="21"/>
              </w:rPr>
              <w:t>0.271</w:t>
            </w:r>
          </w:p>
        </w:tc>
        <w:tc>
          <w:tcPr>
            <w:tcW w:w="1003" w:type="dxa"/>
          </w:tcPr>
          <w:p>
            <w:pPr>
              <w:jc w:val="center"/>
              <w:rPr>
                <w:rFonts w:ascii="宋体" w:hAnsi="宋体"/>
                <w:szCs w:val="21"/>
              </w:rPr>
            </w:pPr>
            <w:r>
              <w:rPr>
                <w:rFonts w:hint="eastAsia" w:ascii="宋体" w:hAnsi="宋体"/>
                <w:szCs w:val="21"/>
              </w:rPr>
              <w:t>0.203</w:t>
            </w:r>
          </w:p>
        </w:tc>
        <w:tc>
          <w:tcPr>
            <w:tcW w:w="1003" w:type="dxa"/>
          </w:tcPr>
          <w:p>
            <w:pPr>
              <w:jc w:val="center"/>
              <w:rPr>
                <w:rFonts w:ascii="宋体" w:hAnsi="宋体"/>
                <w:szCs w:val="21"/>
              </w:rPr>
            </w:pPr>
            <w:r>
              <w:rPr>
                <w:rFonts w:hint="eastAsia" w:ascii="宋体" w:hAnsi="宋体"/>
                <w:szCs w:val="21"/>
              </w:rPr>
              <w:t>0.158</w:t>
            </w:r>
          </w:p>
        </w:tc>
        <w:tc>
          <w:tcPr>
            <w:tcW w:w="1003" w:type="dxa"/>
          </w:tcPr>
          <w:p>
            <w:pPr>
              <w:jc w:val="center"/>
              <w:rPr>
                <w:rFonts w:ascii="宋体" w:hAnsi="宋体"/>
                <w:szCs w:val="21"/>
              </w:rPr>
            </w:pPr>
            <w:r>
              <w:rPr>
                <w:rFonts w:hint="eastAsia" w:ascii="宋体" w:hAnsi="宋体"/>
                <w:szCs w:val="21"/>
              </w:rPr>
              <w:t>0.153</w:t>
            </w:r>
          </w:p>
        </w:tc>
        <w:tc>
          <w:tcPr>
            <w:tcW w:w="1003" w:type="dxa"/>
          </w:tcPr>
          <w:p>
            <w:pPr>
              <w:jc w:val="center"/>
              <w:rPr>
                <w:rFonts w:ascii="宋体" w:hAnsi="宋体"/>
                <w:szCs w:val="21"/>
              </w:rPr>
            </w:pPr>
            <w:r>
              <w:rPr>
                <w:rFonts w:hint="eastAsia" w:ascii="宋体" w:hAnsi="宋体"/>
                <w:szCs w:val="21"/>
              </w:rPr>
              <w:t>0.216</w:t>
            </w:r>
          </w:p>
        </w:tc>
        <w:tc>
          <w:tcPr>
            <w:tcW w:w="1003" w:type="dxa"/>
          </w:tcPr>
          <w:p>
            <w:pPr>
              <w:jc w:val="center"/>
              <w:rPr>
                <w:rFonts w:ascii="宋体" w:hAnsi="宋体"/>
                <w:szCs w:val="21"/>
              </w:rPr>
            </w:pPr>
            <w:r>
              <w:rPr>
                <w:rFonts w:hint="eastAsia" w:ascii="宋体" w:hAnsi="宋体"/>
                <w:szCs w:val="21"/>
              </w:rPr>
              <w:t>0.361</w:t>
            </w:r>
          </w:p>
        </w:tc>
        <w:tc>
          <w:tcPr>
            <w:tcW w:w="1003" w:type="dxa"/>
          </w:tcPr>
          <w:p>
            <w:pPr>
              <w:jc w:val="center"/>
              <w:rPr>
                <w:rFonts w:ascii="宋体" w:hAnsi="宋体"/>
                <w:szCs w:val="21"/>
              </w:rPr>
            </w:pPr>
            <w:r>
              <w:rPr>
                <w:rFonts w:hint="eastAsia" w:ascii="宋体" w:hAnsi="宋体"/>
                <w:szCs w:val="21"/>
              </w:rPr>
              <w:t>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tcPr>
          <w:p>
            <w:pPr>
              <w:jc w:val="center"/>
              <w:rPr>
                <w:rFonts w:ascii="宋体" w:hAnsi="宋体"/>
                <w:szCs w:val="21"/>
              </w:rPr>
            </w:pPr>
            <w:r>
              <w:rPr>
                <w:rFonts w:hint="eastAsia" w:ascii="宋体" w:hAnsi="宋体"/>
                <w:szCs w:val="21"/>
              </w:rPr>
              <w:t>波长（nm）</w:t>
            </w:r>
          </w:p>
        </w:tc>
        <w:tc>
          <w:tcPr>
            <w:tcW w:w="1002" w:type="dxa"/>
            <w:tcBorders>
              <w:left w:val="single" w:color="auto" w:sz="4" w:space="0"/>
            </w:tcBorders>
          </w:tcPr>
          <w:p>
            <w:pPr>
              <w:jc w:val="center"/>
              <w:rPr>
                <w:rFonts w:ascii="宋体" w:hAnsi="宋体"/>
                <w:szCs w:val="21"/>
              </w:rPr>
            </w:pPr>
            <w:r>
              <w:rPr>
                <w:rFonts w:hint="eastAsia" w:ascii="宋体" w:hAnsi="宋体"/>
                <w:szCs w:val="21"/>
              </w:rPr>
              <w:t>460</w:t>
            </w:r>
          </w:p>
        </w:tc>
        <w:tc>
          <w:tcPr>
            <w:tcW w:w="1003" w:type="dxa"/>
          </w:tcPr>
          <w:p>
            <w:pPr>
              <w:jc w:val="center"/>
              <w:rPr>
                <w:rFonts w:ascii="宋体" w:hAnsi="宋体"/>
                <w:szCs w:val="21"/>
              </w:rPr>
            </w:pPr>
            <w:r>
              <w:rPr>
                <w:rFonts w:hint="eastAsia" w:ascii="宋体" w:hAnsi="宋体"/>
                <w:szCs w:val="21"/>
              </w:rPr>
              <w:t>465</w:t>
            </w:r>
          </w:p>
        </w:tc>
        <w:tc>
          <w:tcPr>
            <w:tcW w:w="1003" w:type="dxa"/>
          </w:tcPr>
          <w:p>
            <w:pPr>
              <w:jc w:val="center"/>
              <w:rPr>
                <w:rFonts w:ascii="宋体" w:hAnsi="宋体"/>
                <w:szCs w:val="21"/>
              </w:rPr>
            </w:pPr>
            <w:r>
              <w:rPr>
                <w:rFonts w:hint="eastAsia" w:ascii="宋体" w:hAnsi="宋体"/>
                <w:szCs w:val="21"/>
              </w:rPr>
              <w:t>470</w:t>
            </w:r>
          </w:p>
        </w:tc>
        <w:tc>
          <w:tcPr>
            <w:tcW w:w="1003" w:type="dxa"/>
          </w:tcPr>
          <w:p>
            <w:pPr>
              <w:jc w:val="center"/>
              <w:rPr>
                <w:rFonts w:ascii="宋体" w:hAnsi="宋体"/>
                <w:szCs w:val="21"/>
              </w:rPr>
            </w:pPr>
            <w:r>
              <w:rPr>
                <w:rFonts w:hint="eastAsia" w:ascii="宋体" w:hAnsi="宋体"/>
                <w:szCs w:val="21"/>
              </w:rPr>
              <w:t>480</w:t>
            </w:r>
          </w:p>
        </w:tc>
        <w:tc>
          <w:tcPr>
            <w:tcW w:w="1003" w:type="dxa"/>
          </w:tcPr>
          <w:p>
            <w:pPr>
              <w:jc w:val="center"/>
              <w:rPr>
                <w:rFonts w:ascii="宋体" w:hAnsi="宋体"/>
                <w:szCs w:val="21"/>
              </w:rPr>
            </w:pPr>
            <w:r>
              <w:rPr>
                <w:rFonts w:hint="eastAsia" w:ascii="宋体" w:hAnsi="宋体"/>
                <w:szCs w:val="21"/>
              </w:rPr>
              <w:t>490</w:t>
            </w:r>
          </w:p>
        </w:tc>
        <w:tc>
          <w:tcPr>
            <w:tcW w:w="1003" w:type="dxa"/>
          </w:tcPr>
          <w:p>
            <w:pPr>
              <w:jc w:val="center"/>
              <w:rPr>
                <w:rFonts w:ascii="宋体" w:hAnsi="宋体"/>
                <w:szCs w:val="21"/>
              </w:rPr>
            </w:pPr>
            <w:r>
              <w:rPr>
                <w:rFonts w:hint="eastAsia" w:ascii="宋体" w:hAnsi="宋体"/>
                <w:szCs w:val="21"/>
              </w:rPr>
              <w:t>500</w:t>
            </w:r>
          </w:p>
        </w:tc>
        <w:tc>
          <w:tcPr>
            <w:tcW w:w="1003" w:type="dxa"/>
          </w:tcPr>
          <w:p>
            <w:pPr>
              <w:jc w:val="center"/>
              <w:rPr>
                <w:rFonts w:ascii="宋体" w:hAnsi="宋体"/>
                <w:szCs w:val="21"/>
              </w:rPr>
            </w:pPr>
            <w:r>
              <w:rPr>
                <w:rFonts w:hint="eastAsia" w:ascii="宋体" w:hAnsi="宋体"/>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60" w:type="dxa"/>
          </w:tcPr>
          <w:p>
            <w:pPr>
              <w:jc w:val="center"/>
              <w:rPr>
                <w:rFonts w:ascii="宋体" w:hAnsi="宋体"/>
                <w:szCs w:val="21"/>
              </w:rPr>
            </w:pPr>
            <w:r>
              <w:rPr>
                <w:rFonts w:hint="eastAsia" w:ascii="宋体" w:hAnsi="宋体"/>
                <w:szCs w:val="21"/>
              </w:rPr>
              <w:t>吸光值A</w:t>
            </w:r>
          </w:p>
        </w:tc>
        <w:tc>
          <w:tcPr>
            <w:tcW w:w="1002" w:type="dxa"/>
            <w:tcBorders>
              <w:left w:val="single" w:color="auto" w:sz="4" w:space="0"/>
            </w:tcBorders>
          </w:tcPr>
          <w:p>
            <w:pPr>
              <w:jc w:val="center"/>
              <w:rPr>
                <w:rFonts w:ascii="宋体" w:hAnsi="宋体"/>
                <w:szCs w:val="21"/>
              </w:rPr>
            </w:pPr>
            <w:r>
              <w:rPr>
                <w:rFonts w:hint="eastAsia" w:ascii="宋体" w:hAnsi="宋体"/>
                <w:szCs w:val="21"/>
              </w:rPr>
              <w:t>0.522</w:t>
            </w:r>
          </w:p>
        </w:tc>
        <w:tc>
          <w:tcPr>
            <w:tcW w:w="1003" w:type="dxa"/>
          </w:tcPr>
          <w:p>
            <w:pPr>
              <w:jc w:val="center"/>
              <w:rPr>
                <w:rFonts w:ascii="宋体" w:hAnsi="宋体"/>
                <w:szCs w:val="21"/>
              </w:rPr>
            </w:pPr>
            <w:r>
              <w:rPr>
                <w:rFonts w:hint="eastAsia" w:ascii="宋体" w:hAnsi="宋体"/>
                <w:szCs w:val="21"/>
              </w:rPr>
              <w:t>0.542</w:t>
            </w:r>
          </w:p>
        </w:tc>
        <w:tc>
          <w:tcPr>
            <w:tcW w:w="1003" w:type="dxa"/>
          </w:tcPr>
          <w:p>
            <w:pPr>
              <w:jc w:val="center"/>
              <w:rPr>
                <w:rFonts w:ascii="宋体" w:hAnsi="宋体"/>
                <w:szCs w:val="21"/>
              </w:rPr>
            </w:pPr>
            <w:r>
              <w:rPr>
                <w:rFonts w:hint="eastAsia" w:ascii="宋体" w:hAnsi="宋体"/>
                <w:szCs w:val="21"/>
              </w:rPr>
              <w:t>0.517</w:t>
            </w:r>
          </w:p>
        </w:tc>
        <w:tc>
          <w:tcPr>
            <w:tcW w:w="1003" w:type="dxa"/>
          </w:tcPr>
          <w:p>
            <w:pPr>
              <w:jc w:val="center"/>
              <w:rPr>
                <w:rFonts w:ascii="宋体" w:hAnsi="宋体"/>
                <w:szCs w:val="21"/>
              </w:rPr>
            </w:pPr>
            <w:r>
              <w:rPr>
                <w:rFonts w:hint="eastAsia" w:ascii="宋体" w:hAnsi="宋体"/>
                <w:szCs w:val="21"/>
              </w:rPr>
              <w:t>0.361</w:t>
            </w:r>
          </w:p>
        </w:tc>
        <w:tc>
          <w:tcPr>
            <w:tcW w:w="1003" w:type="dxa"/>
          </w:tcPr>
          <w:p>
            <w:pPr>
              <w:jc w:val="center"/>
              <w:rPr>
                <w:rFonts w:ascii="宋体" w:hAnsi="宋体"/>
                <w:szCs w:val="21"/>
              </w:rPr>
            </w:pPr>
            <w:r>
              <w:rPr>
                <w:rFonts w:hint="eastAsia" w:ascii="宋体" w:hAnsi="宋体"/>
                <w:szCs w:val="21"/>
              </w:rPr>
              <w:t>0.199</w:t>
            </w:r>
          </w:p>
        </w:tc>
        <w:tc>
          <w:tcPr>
            <w:tcW w:w="1003" w:type="dxa"/>
          </w:tcPr>
          <w:p>
            <w:pPr>
              <w:jc w:val="center"/>
              <w:rPr>
                <w:rFonts w:ascii="宋体" w:hAnsi="宋体"/>
                <w:szCs w:val="21"/>
              </w:rPr>
            </w:pPr>
            <w:r>
              <w:rPr>
                <w:rFonts w:hint="eastAsia" w:ascii="宋体" w:hAnsi="宋体"/>
                <w:szCs w:val="21"/>
              </w:rPr>
              <w:t>0.089</w:t>
            </w:r>
          </w:p>
        </w:tc>
        <w:tc>
          <w:tcPr>
            <w:tcW w:w="1003" w:type="dxa"/>
          </w:tcPr>
          <w:p>
            <w:pPr>
              <w:jc w:val="center"/>
              <w:rPr>
                <w:rFonts w:ascii="宋体" w:hAnsi="宋体"/>
                <w:szCs w:val="21"/>
              </w:rPr>
            </w:pPr>
            <w:r>
              <w:rPr>
                <w:rFonts w:hint="eastAsia" w:ascii="宋体" w:hAnsi="宋体"/>
                <w:szCs w:val="21"/>
              </w:rPr>
              <w:t>0.033</w:t>
            </w:r>
          </w:p>
        </w:tc>
      </w:tr>
      <w:bookmarkEnd w:id="4"/>
    </w:tbl>
    <w:p>
      <w:pPr>
        <w:ind w:firstLine="525" w:firstLineChars="250"/>
        <w:jc w:val="center"/>
        <w:rPr>
          <w:rFonts w:ascii="宋体" w:hAnsi="宋体"/>
          <w:szCs w:val="21"/>
        </w:rPr>
      </w:pPr>
      <w:r>
        <w:rPr>
          <w:lang w:bidi="ar-SA"/>
        </w:rPr>
        <w:drawing>
          <wp:inline distT="0" distB="0" distL="0" distR="0">
            <wp:extent cx="4467225" cy="240982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rPr>
          <w:rFonts w:ascii="宋体" w:hAnsi="宋体"/>
          <w:szCs w:val="21"/>
        </w:rPr>
      </w:pPr>
      <w:r>
        <w:rPr>
          <w:rFonts w:hint="eastAsia" w:ascii="宋体" w:hAnsi="宋体"/>
          <w:szCs w:val="21"/>
        </w:rPr>
        <w:t>图1  络合物吸收曲线(Bi-硫脲-KI络合物对水)</w:t>
      </w:r>
    </w:p>
    <w:p>
      <w:pPr>
        <w:spacing w:line="360" w:lineRule="auto"/>
        <w:ind w:firstLine="420" w:firstLineChars="200"/>
        <w:rPr>
          <w:rFonts w:ascii="宋体" w:hAnsi="宋体"/>
          <w:szCs w:val="21"/>
        </w:rPr>
      </w:pPr>
      <w:r>
        <w:rPr>
          <w:rFonts w:hint="eastAsia" w:ascii="宋体" w:hAnsi="宋体"/>
          <w:szCs w:val="21"/>
        </w:rPr>
        <w:t>实验结果表明：Bi（Ⅲ）与碘化钾形成的络合物在465nm处有最大吸收，本方法采用在波长465nm处进行光度测量。</w:t>
      </w:r>
    </w:p>
    <w:p>
      <w:pPr>
        <w:spacing w:line="360" w:lineRule="auto"/>
        <w:rPr>
          <w:rFonts w:ascii="宋体" w:hAnsi="宋体"/>
          <w:szCs w:val="21"/>
        </w:rPr>
      </w:pPr>
      <w:r>
        <w:rPr>
          <w:rFonts w:hint="eastAsia" w:ascii="宋体" w:hAnsi="宋体"/>
          <w:szCs w:val="21"/>
        </w:rPr>
        <w:t>3.1.2  硫酸用量度对络合物吸光度的影响</w:t>
      </w:r>
    </w:p>
    <w:p>
      <w:pPr>
        <w:spacing w:line="360" w:lineRule="auto"/>
        <w:ind w:firstLine="420" w:firstLineChars="200"/>
        <w:rPr>
          <w:rFonts w:ascii="宋体" w:hAnsi="宋体"/>
          <w:szCs w:val="21"/>
        </w:rPr>
      </w:pPr>
      <w:r>
        <w:rPr>
          <w:rFonts w:hint="eastAsia" w:ascii="宋体" w:hAnsi="宋体"/>
          <w:szCs w:val="21"/>
        </w:rPr>
        <w:t>于一系列100mL容量瓶中，加入一定量的铋标准溶液（2.1.9），加入不同量的硫酸（2.1.1）后加水使体积约为50mL，加入10mL硫脲溶液（2.1.6</w:t>
      </w:r>
      <w:r>
        <w:rPr>
          <w:rFonts w:ascii="宋体" w:hAnsi="宋体"/>
          <w:szCs w:val="21"/>
        </w:rPr>
        <w:t>）</w:t>
      </w:r>
      <w:r>
        <w:rPr>
          <w:rFonts w:hint="eastAsia" w:ascii="宋体" w:hAnsi="宋体"/>
          <w:szCs w:val="21"/>
        </w:rPr>
        <w:t>及10mL碘化钾溶液（2.1.7</w:t>
      </w:r>
      <w:r>
        <w:rPr>
          <w:rFonts w:ascii="宋体" w:hAnsi="宋体"/>
          <w:szCs w:val="21"/>
        </w:rPr>
        <w:t>）</w:t>
      </w:r>
      <w:r>
        <w:rPr>
          <w:rFonts w:hint="eastAsia" w:ascii="宋体" w:hAnsi="宋体"/>
          <w:szCs w:val="21"/>
        </w:rPr>
        <w:t>，用水稀释至刻度，混匀。放置20min，取部分试液于分光光度计上，于波长465nm处，用1cm比色皿，以水为参比，测量其吸光值，试验结果列于表2。</w:t>
      </w:r>
    </w:p>
    <w:p>
      <w:pPr>
        <w:ind w:firstLine="2520" w:firstLineChars="1200"/>
        <w:rPr>
          <w:rFonts w:ascii="宋体" w:hAnsi="宋体"/>
          <w:szCs w:val="21"/>
        </w:rPr>
      </w:pPr>
      <w:r>
        <w:rPr>
          <w:rFonts w:hint="eastAsia" w:ascii="宋体" w:hAnsi="宋体"/>
          <w:szCs w:val="21"/>
        </w:rPr>
        <w:t>表2  显色酸度对吸光值的影响</w:t>
      </w:r>
    </w:p>
    <w:tbl>
      <w:tblPr>
        <w:tblStyle w:val="2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63"/>
        <w:gridCol w:w="900"/>
        <w:gridCol w:w="90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088" w:type="dxa"/>
            <w:gridSpan w:val="2"/>
            <w:tcBorders>
              <w:right w:val="single" w:color="auto" w:sz="4" w:space="0"/>
              <w:tl2br w:val="single" w:color="auto" w:sz="4" w:space="0"/>
            </w:tcBorders>
          </w:tcPr>
          <w:p>
            <w:pPr>
              <w:ind w:firstLine="630" w:firstLineChars="300"/>
              <w:rPr>
                <w:rFonts w:ascii="宋体" w:hAnsi="宋体"/>
                <w:szCs w:val="21"/>
              </w:rPr>
            </w:pPr>
            <w:r>
              <w:rPr>
                <w:rFonts w:hint="eastAsia" w:ascii="宋体" w:hAnsi="宋体"/>
                <w:szCs w:val="21"/>
              </w:rPr>
              <w:t>硫酸(1+1)mL</w:t>
            </w:r>
          </w:p>
          <w:p>
            <w:pPr>
              <w:rPr>
                <w:rFonts w:ascii="宋体" w:hAnsi="宋体"/>
                <w:szCs w:val="21"/>
              </w:rPr>
            </w:pPr>
            <w:r>
              <w:rPr>
                <w:rFonts w:hint="eastAsia" w:ascii="宋体" w:hAnsi="宋体"/>
                <w:szCs w:val="21"/>
              </w:rPr>
              <w:t>吸光度A</w:t>
            </w:r>
          </w:p>
        </w:tc>
        <w:tc>
          <w:tcPr>
            <w:tcW w:w="900" w:type="dxa"/>
            <w:tcBorders>
              <w:left w:val="single" w:color="auto" w:sz="4" w:space="0"/>
            </w:tcBorders>
            <w:vAlign w:val="center"/>
          </w:tcPr>
          <w:p>
            <w:pPr>
              <w:jc w:val="center"/>
              <w:rPr>
                <w:rFonts w:ascii="宋体" w:hAnsi="宋体"/>
                <w:szCs w:val="21"/>
              </w:rPr>
            </w:pPr>
            <w:r>
              <w:rPr>
                <w:rFonts w:hint="eastAsia" w:ascii="宋体" w:hAnsi="宋体"/>
                <w:szCs w:val="21"/>
              </w:rPr>
              <w:t>0</w:t>
            </w:r>
          </w:p>
        </w:tc>
        <w:tc>
          <w:tcPr>
            <w:tcW w:w="900" w:type="dxa"/>
            <w:tcBorders>
              <w:left w:val="single" w:color="auto" w:sz="4" w:space="0"/>
            </w:tcBorders>
            <w:vAlign w:val="center"/>
          </w:tcPr>
          <w:p>
            <w:pPr>
              <w:jc w:val="center"/>
              <w:rPr>
                <w:rFonts w:ascii="宋体" w:hAnsi="宋体"/>
                <w:szCs w:val="21"/>
              </w:rPr>
            </w:pPr>
            <w:r>
              <w:rPr>
                <w:rFonts w:hint="eastAsia" w:ascii="宋体" w:hAnsi="宋体"/>
                <w:szCs w:val="21"/>
              </w:rPr>
              <w:t>5</w:t>
            </w:r>
          </w:p>
        </w:tc>
        <w:tc>
          <w:tcPr>
            <w:tcW w:w="900" w:type="dxa"/>
            <w:vAlign w:val="center"/>
          </w:tcPr>
          <w:p>
            <w:pPr>
              <w:jc w:val="center"/>
              <w:rPr>
                <w:rFonts w:ascii="宋体" w:hAnsi="宋体"/>
                <w:szCs w:val="21"/>
              </w:rPr>
            </w:pPr>
            <w:r>
              <w:rPr>
                <w:rFonts w:hint="eastAsia" w:ascii="宋体" w:hAnsi="宋体"/>
                <w:szCs w:val="21"/>
              </w:rPr>
              <w:t>10</w:t>
            </w:r>
          </w:p>
        </w:tc>
        <w:tc>
          <w:tcPr>
            <w:tcW w:w="900" w:type="dxa"/>
            <w:vAlign w:val="center"/>
          </w:tcPr>
          <w:p>
            <w:pPr>
              <w:jc w:val="center"/>
              <w:rPr>
                <w:rFonts w:ascii="宋体" w:hAnsi="宋体"/>
                <w:szCs w:val="21"/>
              </w:rPr>
            </w:pPr>
            <w:r>
              <w:rPr>
                <w:rFonts w:hint="eastAsia" w:ascii="宋体" w:hAnsi="宋体"/>
                <w:szCs w:val="21"/>
              </w:rPr>
              <w:t>12.5</w:t>
            </w:r>
          </w:p>
        </w:tc>
        <w:tc>
          <w:tcPr>
            <w:tcW w:w="900" w:type="dxa"/>
            <w:vAlign w:val="center"/>
          </w:tcPr>
          <w:p>
            <w:pPr>
              <w:jc w:val="center"/>
              <w:rPr>
                <w:rFonts w:ascii="宋体" w:hAnsi="宋体"/>
                <w:szCs w:val="21"/>
              </w:rPr>
            </w:pPr>
            <w:r>
              <w:rPr>
                <w:rFonts w:hint="eastAsia" w:ascii="宋体" w:hAnsi="宋体"/>
                <w:szCs w:val="21"/>
              </w:rPr>
              <w:t>15</w:t>
            </w:r>
          </w:p>
        </w:tc>
        <w:tc>
          <w:tcPr>
            <w:tcW w:w="900" w:type="dxa"/>
            <w:vAlign w:val="center"/>
          </w:tcPr>
          <w:p>
            <w:pPr>
              <w:jc w:val="center"/>
              <w:rPr>
                <w:rFonts w:ascii="宋体" w:hAnsi="宋体"/>
                <w:szCs w:val="21"/>
              </w:rPr>
            </w:pPr>
            <w:r>
              <w:rPr>
                <w:rFonts w:hint="eastAsia" w:ascii="宋体" w:hAnsi="宋体"/>
                <w:szCs w:val="21"/>
              </w:rPr>
              <w:t>17.5</w:t>
            </w:r>
          </w:p>
        </w:tc>
        <w:tc>
          <w:tcPr>
            <w:tcW w:w="900" w:type="dxa"/>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25" w:type="dxa"/>
            <w:vMerge w:val="restart"/>
          </w:tcPr>
          <w:p>
            <w:pPr>
              <w:jc w:val="center"/>
              <w:rPr>
                <w:rFonts w:ascii="宋体" w:hAnsi="宋体"/>
                <w:szCs w:val="21"/>
              </w:rPr>
            </w:pPr>
            <w:r>
              <w:rPr>
                <w:rFonts w:hint="eastAsia" w:ascii="宋体" w:hAnsi="宋体"/>
                <w:szCs w:val="21"/>
              </w:rPr>
              <w:t>Bi量</w:t>
            </w:r>
          </w:p>
          <w:p>
            <w:pPr>
              <w:jc w:val="center"/>
              <w:rPr>
                <w:rFonts w:ascii="宋体" w:hAnsi="宋体"/>
                <w:szCs w:val="21"/>
              </w:rPr>
            </w:pPr>
            <w:r>
              <w:rPr>
                <w:rFonts w:hint="eastAsia" w:ascii="宋体" w:hAnsi="宋体"/>
                <w:szCs w:val="21"/>
              </w:rPr>
              <w:t>(mg)</w:t>
            </w:r>
          </w:p>
        </w:tc>
        <w:tc>
          <w:tcPr>
            <w:tcW w:w="1263" w:type="dxa"/>
          </w:tcPr>
          <w:p>
            <w:pPr>
              <w:jc w:val="center"/>
              <w:rPr>
                <w:rFonts w:ascii="宋体" w:hAnsi="宋体"/>
                <w:szCs w:val="21"/>
              </w:rPr>
            </w:pPr>
            <w:r>
              <w:rPr>
                <w:rFonts w:hint="eastAsia" w:ascii="宋体" w:hAnsi="宋体"/>
                <w:szCs w:val="21"/>
              </w:rPr>
              <w:t>0.500</w:t>
            </w:r>
          </w:p>
        </w:tc>
        <w:tc>
          <w:tcPr>
            <w:tcW w:w="900" w:type="dxa"/>
            <w:tcBorders>
              <w:left w:val="single" w:color="auto" w:sz="4" w:space="0"/>
            </w:tcBorders>
          </w:tcPr>
          <w:p>
            <w:pPr>
              <w:jc w:val="center"/>
              <w:rPr>
                <w:rFonts w:ascii="宋体" w:hAnsi="宋体"/>
                <w:szCs w:val="21"/>
              </w:rPr>
            </w:pPr>
            <w:r>
              <w:rPr>
                <w:rFonts w:hint="eastAsia" w:ascii="宋体" w:hAnsi="宋体"/>
                <w:szCs w:val="21"/>
              </w:rPr>
              <w:t>0.260</w:t>
            </w:r>
          </w:p>
        </w:tc>
        <w:tc>
          <w:tcPr>
            <w:tcW w:w="900" w:type="dxa"/>
            <w:tcBorders>
              <w:left w:val="single" w:color="auto" w:sz="4" w:space="0"/>
            </w:tcBorders>
          </w:tcPr>
          <w:p>
            <w:pPr>
              <w:jc w:val="center"/>
              <w:rPr>
                <w:rFonts w:ascii="宋体" w:hAnsi="宋体"/>
                <w:szCs w:val="21"/>
              </w:rPr>
            </w:pPr>
            <w:r>
              <w:rPr>
                <w:rFonts w:hint="eastAsia" w:ascii="宋体" w:hAnsi="宋体"/>
                <w:szCs w:val="21"/>
              </w:rPr>
              <w:t>0.263</w:t>
            </w:r>
          </w:p>
        </w:tc>
        <w:tc>
          <w:tcPr>
            <w:tcW w:w="900" w:type="dxa"/>
          </w:tcPr>
          <w:p>
            <w:pPr>
              <w:jc w:val="center"/>
              <w:rPr>
                <w:rFonts w:ascii="宋体" w:hAnsi="宋体"/>
                <w:szCs w:val="21"/>
              </w:rPr>
            </w:pPr>
            <w:r>
              <w:rPr>
                <w:rFonts w:hint="eastAsia" w:ascii="宋体" w:hAnsi="宋体"/>
                <w:szCs w:val="21"/>
              </w:rPr>
              <w:t>0.265</w:t>
            </w:r>
          </w:p>
        </w:tc>
        <w:tc>
          <w:tcPr>
            <w:tcW w:w="900" w:type="dxa"/>
          </w:tcPr>
          <w:p>
            <w:pPr>
              <w:jc w:val="center"/>
              <w:rPr>
                <w:rFonts w:ascii="宋体" w:hAnsi="宋体"/>
                <w:szCs w:val="21"/>
              </w:rPr>
            </w:pPr>
            <w:r>
              <w:rPr>
                <w:rFonts w:hint="eastAsia" w:ascii="宋体" w:hAnsi="宋体"/>
                <w:szCs w:val="21"/>
              </w:rPr>
              <w:t>0.265</w:t>
            </w:r>
          </w:p>
        </w:tc>
        <w:tc>
          <w:tcPr>
            <w:tcW w:w="900" w:type="dxa"/>
          </w:tcPr>
          <w:p>
            <w:pPr>
              <w:jc w:val="center"/>
              <w:rPr>
                <w:rFonts w:ascii="宋体" w:hAnsi="宋体"/>
                <w:szCs w:val="21"/>
              </w:rPr>
            </w:pPr>
            <w:r>
              <w:rPr>
                <w:rFonts w:hint="eastAsia" w:ascii="宋体" w:hAnsi="宋体"/>
                <w:szCs w:val="21"/>
              </w:rPr>
              <w:t>0.267</w:t>
            </w:r>
          </w:p>
        </w:tc>
        <w:tc>
          <w:tcPr>
            <w:tcW w:w="900" w:type="dxa"/>
          </w:tcPr>
          <w:p>
            <w:pPr>
              <w:jc w:val="center"/>
              <w:rPr>
                <w:rFonts w:ascii="宋体" w:hAnsi="宋体"/>
                <w:szCs w:val="21"/>
              </w:rPr>
            </w:pPr>
            <w:r>
              <w:rPr>
                <w:rFonts w:hint="eastAsia" w:ascii="宋体" w:hAnsi="宋体"/>
                <w:szCs w:val="21"/>
              </w:rPr>
              <w:t>0.267</w:t>
            </w:r>
          </w:p>
        </w:tc>
        <w:tc>
          <w:tcPr>
            <w:tcW w:w="900" w:type="dxa"/>
          </w:tcPr>
          <w:p>
            <w:pPr>
              <w:jc w:val="center"/>
              <w:rPr>
                <w:rFonts w:ascii="宋体" w:hAnsi="宋体"/>
                <w:szCs w:val="21"/>
              </w:rPr>
            </w:pPr>
            <w:r>
              <w:rPr>
                <w:rFonts w:hint="eastAsia" w:ascii="宋体" w:hAnsi="宋体"/>
                <w:szCs w:val="21"/>
              </w:rPr>
              <w:t>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25" w:type="dxa"/>
            <w:vMerge w:val="continue"/>
          </w:tcPr>
          <w:p>
            <w:pPr>
              <w:jc w:val="center"/>
              <w:rPr>
                <w:rFonts w:ascii="宋体" w:hAnsi="宋体"/>
                <w:szCs w:val="21"/>
              </w:rPr>
            </w:pPr>
          </w:p>
        </w:tc>
        <w:tc>
          <w:tcPr>
            <w:tcW w:w="1263" w:type="dxa"/>
          </w:tcPr>
          <w:p>
            <w:pPr>
              <w:jc w:val="center"/>
              <w:rPr>
                <w:rFonts w:ascii="宋体" w:hAnsi="宋体"/>
                <w:szCs w:val="21"/>
              </w:rPr>
            </w:pPr>
            <w:r>
              <w:rPr>
                <w:rFonts w:hint="eastAsia" w:ascii="宋体" w:hAnsi="宋体"/>
                <w:szCs w:val="21"/>
              </w:rPr>
              <w:t>1.000</w:t>
            </w:r>
          </w:p>
        </w:tc>
        <w:tc>
          <w:tcPr>
            <w:tcW w:w="900" w:type="dxa"/>
            <w:tcBorders>
              <w:left w:val="single" w:color="auto" w:sz="4" w:space="0"/>
            </w:tcBorders>
          </w:tcPr>
          <w:p>
            <w:pPr>
              <w:jc w:val="center"/>
              <w:rPr>
                <w:rFonts w:ascii="宋体" w:hAnsi="宋体"/>
                <w:szCs w:val="21"/>
              </w:rPr>
            </w:pPr>
            <w:r>
              <w:rPr>
                <w:rFonts w:hint="eastAsia" w:ascii="宋体" w:hAnsi="宋体"/>
                <w:szCs w:val="21"/>
              </w:rPr>
              <w:t>0.520</w:t>
            </w:r>
          </w:p>
        </w:tc>
        <w:tc>
          <w:tcPr>
            <w:tcW w:w="900" w:type="dxa"/>
            <w:tcBorders>
              <w:left w:val="single" w:color="auto" w:sz="4" w:space="0"/>
            </w:tcBorders>
          </w:tcPr>
          <w:p>
            <w:pPr>
              <w:jc w:val="center"/>
              <w:rPr>
                <w:rFonts w:ascii="宋体" w:hAnsi="宋体"/>
                <w:szCs w:val="21"/>
              </w:rPr>
            </w:pPr>
            <w:r>
              <w:rPr>
                <w:rFonts w:hint="eastAsia" w:ascii="宋体" w:hAnsi="宋体"/>
                <w:szCs w:val="21"/>
              </w:rPr>
              <w:t>0.524</w:t>
            </w:r>
          </w:p>
        </w:tc>
        <w:tc>
          <w:tcPr>
            <w:tcW w:w="900" w:type="dxa"/>
          </w:tcPr>
          <w:p>
            <w:pPr>
              <w:jc w:val="center"/>
              <w:rPr>
                <w:rFonts w:ascii="宋体" w:hAnsi="宋体"/>
                <w:szCs w:val="21"/>
              </w:rPr>
            </w:pPr>
            <w:r>
              <w:rPr>
                <w:rFonts w:hint="eastAsia" w:ascii="宋体" w:hAnsi="宋体"/>
                <w:szCs w:val="21"/>
              </w:rPr>
              <w:t>0.535</w:t>
            </w:r>
          </w:p>
        </w:tc>
        <w:tc>
          <w:tcPr>
            <w:tcW w:w="900" w:type="dxa"/>
          </w:tcPr>
          <w:p>
            <w:pPr>
              <w:jc w:val="center"/>
              <w:rPr>
                <w:rFonts w:ascii="宋体" w:hAnsi="宋体"/>
                <w:szCs w:val="21"/>
              </w:rPr>
            </w:pPr>
            <w:r>
              <w:rPr>
                <w:rFonts w:hint="eastAsia" w:ascii="宋体" w:hAnsi="宋体"/>
                <w:szCs w:val="21"/>
              </w:rPr>
              <w:t>0.535</w:t>
            </w:r>
          </w:p>
        </w:tc>
        <w:tc>
          <w:tcPr>
            <w:tcW w:w="900" w:type="dxa"/>
          </w:tcPr>
          <w:p>
            <w:pPr>
              <w:jc w:val="center"/>
              <w:rPr>
                <w:rFonts w:ascii="宋体" w:hAnsi="宋体"/>
                <w:szCs w:val="21"/>
              </w:rPr>
            </w:pPr>
            <w:r>
              <w:rPr>
                <w:rFonts w:hint="eastAsia" w:ascii="宋体" w:hAnsi="宋体"/>
                <w:szCs w:val="21"/>
              </w:rPr>
              <w:t>0.544</w:t>
            </w:r>
          </w:p>
        </w:tc>
        <w:tc>
          <w:tcPr>
            <w:tcW w:w="900" w:type="dxa"/>
          </w:tcPr>
          <w:p>
            <w:pPr>
              <w:jc w:val="center"/>
              <w:rPr>
                <w:rFonts w:ascii="宋体" w:hAnsi="宋体"/>
                <w:szCs w:val="21"/>
              </w:rPr>
            </w:pPr>
            <w:r>
              <w:rPr>
                <w:rFonts w:hint="eastAsia" w:ascii="宋体" w:hAnsi="宋体"/>
                <w:szCs w:val="21"/>
              </w:rPr>
              <w:t>0.540</w:t>
            </w:r>
          </w:p>
        </w:tc>
        <w:tc>
          <w:tcPr>
            <w:tcW w:w="900" w:type="dxa"/>
          </w:tcPr>
          <w:p>
            <w:pPr>
              <w:jc w:val="center"/>
              <w:rPr>
                <w:rFonts w:ascii="宋体" w:hAnsi="宋体"/>
                <w:szCs w:val="21"/>
              </w:rPr>
            </w:pPr>
            <w:r>
              <w:rPr>
                <w:rFonts w:hint="eastAsia" w:ascii="宋体" w:hAnsi="宋体"/>
                <w:szCs w:val="21"/>
              </w:rPr>
              <w:t>0.540</w:t>
            </w:r>
          </w:p>
        </w:tc>
      </w:tr>
    </w:tbl>
    <w:p>
      <w:pPr>
        <w:spacing w:line="360" w:lineRule="auto"/>
        <w:ind w:firstLine="420"/>
        <w:rPr>
          <w:rFonts w:ascii="宋体" w:hAnsi="宋体"/>
          <w:szCs w:val="21"/>
        </w:rPr>
      </w:pPr>
      <w:r>
        <w:rPr>
          <w:rFonts w:hint="eastAsia" w:ascii="宋体" w:hAnsi="宋体"/>
          <w:szCs w:val="21"/>
        </w:rPr>
        <w:t>实验结果表明：硫酸(2.1.1)加入量在10mL</w:t>
      </w:r>
      <w:r>
        <w:rPr>
          <w:rFonts w:hint="eastAsia" w:ascii="宋体" w:hAnsi="宋体"/>
        </w:rPr>
        <w:t>～</w:t>
      </w:r>
      <w:r>
        <w:rPr>
          <w:rFonts w:hint="eastAsia" w:ascii="宋体" w:hAnsi="宋体"/>
          <w:szCs w:val="21"/>
        </w:rPr>
        <w:t>20mL，即硫酸酸度在1mol/L</w:t>
      </w:r>
      <w:r>
        <w:rPr>
          <w:rFonts w:hint="eastAsia" w:ascii="宋体" w:hAnsi="宋体"/>
        </w:rPr>
        <w:t>～2</w:t>
      </w:r>
      <w:r>
        <w:rPr>
          <w:rFonts w:hint="eastAsia" w:ascii="宋体" w:hAnsi="宋体"/>
          <w:szCs w:val="21"/>
        </w:rPr>
        <w:t xml:space="preserve"> mol/L之间，吸光度一致，选择加入15mL的硫酸（2.1.1）。</w:t>
      </w:r>
    </w:p>
    <w:p>
      <w:pPr>
        <w:spacing w:line="360" w:lineRule="auto"/>
        <w:rPr>
          <w:rFonts w:ascii="宋体" w:hAnsi="宋体"/>
          <w:szCs w:val="21"/>
        </w:rPr>
      </w:pPr>
      <w:r>
        <w:rPr>
          <w:rFonts w:hint="eastAsia" w:ascii="宋体" w:hAnsi="宋体"/>
          <w:szCs w:val="21"/>
        </w:rPr>
        <w:t>3.1.3  硫脲用量对吸光值的影响</w:t>
      </w:r>
    </w:p>
    <w:p>
      <w:pPr>
        <w:spacing w:line="360" w:lineRule="auto"/>
        <w:ind w:firstLine="420"/>
        <w:rPr>
          <w:rFonts w:ascii="宋体" w:hAnsi="宋体"/>
          <w:szCs w:val="21"/>
        </w:rPr>
      </w:pPr>
      <w:r>
        <w:rPr>
          <w:rFonts w:hint="eastAsia" w:ascii="宋体" w:hAnsi="宋体"/>
          <w:szCs w:val="21"/>
        </w:rPr>
        <w:t>于一系列100mL容量瓶中，加入10.00mL的铋标准溶液（2.1.9），加入15mL硫酸（2.1.1），加水使体积约为50mL，加入不同量的硫脲溶液（2.1.6</w:t>
      </w:r>
      <w:r>
        <w:rPr>
          <w:rFonts w:ascii="宋体" w:hAnsi="宋体"/>
          <w:szCs w:val="21"/>
        </w:rPr>
        <w:t>）</w:t>
      </w:r>
      <w:r>
        <w:rPr>
          <w:rFonts w:hint="eastAsia" w:ascii="宋体" w:hAnsi="宋体"/>
          <w:szCs w:val="21"/>
        </w:rPr>
        <w:t>及10mL碘化钾溶液（2.1.7</w:t>
      </w:r>
      <w:r>
        <w:rPr>
          <w:rFonts w:ascii="宋体" w:hAnsi="宋体"/>
          <w:szCs w:val="21"/>
        </w:rPr>
        <w:t>）</w:t>
      </w:r>
      <w:r>
        <w:rPr>
          <w:rFonts w:hint="eastAsia" w:ascii="宋体" w:hAnsi="宋体"/>
          <w:szCs w:val="21"/>
        </w:rPr>
        <w:t>，用水稀释至刻度，混匀。放置20min，取部分试液于分光光度计上，于波长465nm处，用1cm比色皿，以水为参比，测量其吸光值，试验结果列于表3。</w:t>
      </w:r>
    </w:p>
    <w:p>
      <w:pPr>
        <w:ind w:firstLine="2520" w:firstLineChars="1200"/>
        <w:rPr>
          <w:rFonts w:ascii="宋体" w:hAnsi="宋体"/>
          <w:szCs w:val="21"/>
        </w:rPr>
      </w:pPr>
      <w:r>
        <w:rPr>
          <w:rFonts w:hint="eastAsia" w:ascii="宋体" w:hAnsi="宋体"/>
          <w:szCs w:val="21"/>
        </w:rPr>
        <w:t>表3  硫脲用量对吸光值的影响</w:t>
      </w:r>
    </w:p>
    <w:tbl>
      <w:tblPr>
        <w:tblStyle w:val="2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74"/>
        <w:gridCol w:w="874"/>
        <w:gridCol w:w="874"/>
        <w:gridCol w:w="875"/>
        <w:gridCol w:w="874"/>
        <w:gridCol w:w="8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160" w:type="dxa"/>
          </w:tcPr>
          <w:p>
            <w:pPr>
              <w:jc w:val="center"/>
              <w:rPr>
                <w:rFonts w:ascii="宋体" w:hAnsi="宋体"/>
                <w:szCs w:val="21"/>
              </w:rPr>
            </w:pPr>
            <w:r>
              <w:rPr>
                <w:rFonts w:hint="eastAsia" w:ascii="宋体" w:hAnsi="宋体"/>
                <w:szCs w:val="21"/>
              </w:rPr>
              <w:t>硫脲用量/mL</w:t>
            </w:r>
          </w:p>
        </w:tc>
        <w:tc>
          <w:tcPr>
            <w:tcW w:w="874" w:type="dxa"/>
          </w:tcPr>
          <w:p>
            <w:pPr>
              <w:jc w:val="center"/>
              <w:rPr>
                <w:rFonts w:ascii="宋体" w:hAnsi="宋体"/>
                <w:szCs w:val="21"/>
              </w:rPr>
            </w:pPr>
            <w:r>
              <w:rPr>
                <w:rFonts w:hint="eastAsia" w:ascii="宋体" w:hAnsi="宋体"/>
                <w:szCs w:val="21"/>
              </w:rPr>
              <w:t>1</w:t>
            </w:r>
          </w:p>
        </w:tc>
        <w:tc>
          <w:tcPr>
            <w:tcW w:w="874" w:type="dxa"/>
          </w:tcPr>
          <w:p>
            <w:pPr>
              <w:jc w:val="center"/>
              <w:rPr>
                <w:rFonts w:ascii="宋体" w:hAnsi="宋体"/>
                <w:szCs w:val="21"/>
              </w:rPr>
            </w:pPr>
            <w:r>
              <w:rPr>
                <w:rFonts w:hint="eastAsia" w:ascii="宋体" w:hAnsi="宋体"/>
                <w:szCs w:val="21"/>
              </w:rPr>
              <w:t>3</w:t>
            </w:r>
          </w:p>
        </w:tc>
        <w:tc>
          <w:tcPr>
            <w:tcW w:w="874" w:type="dxa"/>
          </w:tcPr>
          <w:p>
            <w:pPr>
              <w:jc w:val="center"/>
              <w:rPr>
                <w:rFonts w:ascii="宋体" w:hAnsi="宋体"/>
                <w:szCs w:val="21"/>
              </w:rPr>
            </w:pPr>
            <w:r>
              <w:rPr>
                <w:rFonts w:hint="eastAsia" w:ascii="宋体" w:hAnsi="宋体"/>
                <w:szCs w:val="21"/>
              </w:rPr>
              <w:t>5</w:t>
            </w:r>
          </w:p>
        </w:tc>
        <w:tc>
          <w:tcPr>
            <w:tcW w:w="875" w:type="dxa"/>
          </w:tcPr>
          <w:p>
            <w:pPr>
              <w:jc w:val="center"/>
              <w:rPr>
                <w:rFonts w:ascii="宋体" w:hAnsi="宋体"/>
                <w:szCs w:val="21"/>
              </w:rPr>
            </w:pPr>
            <w:r>
              <w:rPr>
                <w:rFonts w:hint="eastAsia" w:ascii="宋体" w:hAnsi="宋体"/>
                <w:szCs w:val="21"/>
              </w:rPr>
              <w:t>7</w:t>
            </w:r>
          </w:p>
        </w:tc>
        <w:tc>
          <w:tcPr>
            <w:tcW w:w="874" w:type="dxa"/>
          </w:tcPr>
          <w:p>
            <w:pPr>
              <w:jc w:val="center"/>
              <w:rPr>
                <w:rFonts w:ascii="宋体" w:hAnsi="宋体"/>
                <w:szCs w:val="21"/>
              </w:rPr>
            </w:pPr>
            <w:r>
              <w:rPr>
                <w:rFonts w:hint="eastAsia" w:ascii="宋体" w:hAnsi="宋体"/>
                <w:szCs w:val="21"/>
              </w:rPr>
              <w:t>10</w:t>
            </w:r>
          </w:p>
        </w:tc>
        <w:tc>
          <w:tcPr>
            <w:tcW w:w="874" w:type="dxa"/>
          </w:tcPr>
          <w:p>
            <w:pPr>
              <w:jc w:val="center"/>
              <w:rPr>
                <w:rFonts w:ascii="宋体" w:hAnsi="宋体"/>
                <w:szCs w:val="21"/>
              </w:rPr>
            </w:pPr>
            <w:r>
              <w:rPr>
                <w:rFonts w:hint="eastAsia" w:ascii="宋体" w:hAnsi="宋体"/>
                <w:szCs w:val="21"/>
              </w:rPr>
              <w:t>12</w:t>
            </w:r>
          </w:p>
        </w:tc>
        <w:tc>
          <w:tcPr>
            <w:tcW w:w="875" w:type="dxa"/>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160" w:type="dxa"/>
          </w:tcPr>
          <w:p>
            <w:pPr>
              <w:jc w:val="center"/>
              <w:rPr>
                <w:rFonts w:ascii="宋体" w:hAnsi="宋体"/>
                <w:szCs w:val="21"/>
              </w:rPr>
            </w:pPr>
            <w:r>
              <w:rPr>
                <w:rFonts w:hint="eastAsia" w:ascii="宋体" w:hAnsi="宋体"/>
                <w:szCs w:val="21"/>
              </w:rPr>
              <w:t>吸光值A</w:t>
            </w:r>
          </w:p>
        </w:tc>
        <w:tc>
          <w:tcPr>
            <w:tcW w:w="874" w:type="dxa"/>
          </w:tcPr>
          <w:p>
            <w:pPr>
              <w:jc w:val="center"/>
              <w:rPr>
                <w:rFonts w:ascii="宋体" w:hAnsi="宋体"/>
                <w:szCs w:val="21"/>
              </w:rPr>
            </w:pPr>
            <w:r>
              <w:rPr>
                <w:rFonts w:hint="eastAsia" w:ascii="宋体" w:hAnsi="宋体"/>
                <w:szCs w:val="21"/>
              </w:rPr>
              <w:t>0.205</w:t>
            </w:r>
          </w:p>
        </w:tc>
        <w:tc>
          <w:tcPr>
            <w:tcW w:w="874" w:type="dxa"/>
          </w:tcPr>
          <w:p>
            <w:pPr>
              <w:jc w:val="center"/>
              <w:rPr>
                <w:rFonts w:ascii="宋体" w:hAnsi="宋体"/>
                <w:szCs w:val="21"/>
              </w:rPr>
            </w:pPr>
            <w:r>
              <w:rPr>
                <w:rFonts w:hint="eastAsia" w:ascii="宋体" w:hAnsi="宋体"/>
                <w:szCs w:val="21"/>
              </w:rPr>
              <w:t>0.422</w:t>
            </w:r>
          </w:p>
        </w:tc>
        <w:tc>
          <w:tcPr>
            <w:tcW w:w="874" w:type="dxa"/>
          </w:tcPr>
          <w:p>
            <w:pPr>
              <w:jc w:val="center"/>
              <w:rPr>
                <w:rFonts w:ascii="宋体" w:hAnsi="宋体"/>
                <w:szCs w:val="21"/>
              </w:rPr>
            </w:pPr>
            <w:r>
              <w:rPr>
                <w:rFonts w:hint="eastAsia" w:ascii="宋体" w:hAnsi="宋体"/>
                <w:szCs w:val="21"/>
              </w:rPr>
              <w:t>0.525</w:t>
            </w:r>
          </w:p>
        </w:tc>
        <w:tc>
          <w:tcPr>
            <w:tcW w:w="875" w:type="dxa"/>
          </w:tcPr>
          <w:p>
            <w:pPr>
              <w:jc w:val="center"/>
              <w:rPr>
                <w:rFonts w:ascii="宋体" w:hAnsi="宋体"/>
                <w:szCs w:val="21"/>
              </w:rPr>
            </w:pPr>
            <w:r>
              <w:rPr>
                <w:rFonts w:hint="eastAsia" w:ascii="宋体" w:hAnsi="宋体"/>
                <w:szCs w:val="21"/>
              </w:rPr>
              <w:t>0.539</w:t>
            </w:r>
          </w:p>
        </w:tc>
        <w:tc>
          <w:tcPr>
            <w:tcW w:w="874" w:type="dxa"/>
          </w:tcPr>
          <w:p>
            <w:pPr>
              <w:jc w:val="center"/>
              <w:rPr>
                <w:rFonts w:ascii="宋体" w:hAnsi="宋体"/>
                <w:szCs w:val="21"/>
              </w:rPr>
            </w:pPr>
            <w:r>
              <w:rPr>
                <w:rFonts w:hint="eastAsia" w:ascii="宋体" w:hAnsi="宋体"/>
                <w:szCs w:val="21"/>
              </w:rPr>
              <w:t>0.539</w:t>
            </w:r>
          </w:p>
        </w:tc>
        <w:tc>
          <w:tcPr>
            <w:tcW w:w="874" w:type="dxa"/>
          </w:tcPr>
          <w:p>
            <w:pPr>
              <w:jc w:val="center"/>
              <w:rPr>
                <w:rFonts w:ascii="宋体" w:hAnsi="宋体"/>
                <w:szCs w:val="21"/>
              </w:rPr>
            </w:pPr>
            <w:r>
              <w:rPr>
                <w:rFonts w:hint="eastAsia" w:ascii="宋体" w:hAnsi="宋体"/>
                <w:szCs w:val="21"/>
              </w:rPr>
              <w:t>0.540</w:t>
            </w:r>
          </w:p>
        </w:tc>
        <w:tc>
          <w:tcPr>
            <w:tcW w:w="875" w:type="dxa"/>
          </w:tcPr>
          <w:p>
            <w:pPr>
              <w:jc w:val="center"/>
              <w:rPr>
                <w:rFonts w:ascii="宋体" w:hAnsi="宋体"/>
                <w:szCs w:val="21"/>
              </w:rPr>
            </w:pPr>
            <w:r>
              <w:rPr>
                <w:rFonts w:hint="eastAsia" w:ascii="宋体" w:hAnsi="宋体"/>
                <w:szCs w:val="21"/>
              </w:rPr>
              <w:t>0.540</w:t>
            </w:r>
          </w:p>
        </w:tc>
      </w:tr>
    </w:tbl>
    <w:p>
      <w:pPr>
        <w:spacing w:line="360" w:lineRule="auto"/>
        <w:ind w:firstLine="420" w:firstLineChars="200"/>
        <w:rPr>
          <w:rFonts w:ascii="宋体" w:hAnsi="宋体"/>
          <w:szCs w:val="21"/>
        </w:rPr>
      </w:pPr>
      <w:r>
        <w:rPr>
          <w:rFonts w:hint="eastAsia" w:ascii="宋体" w:hAnsi="宋体"/>
          <w:szCs w:val="21"/>
        </w:rPr>
        <w:t>实验结果表明：硫脲溶液（2.1.6）用量在7mL</w:t>
      </w:r>
      <w:r>
        <w:rPr>
          <w:rFonts w:hint="eastAsia" w:ascii="宋体" w:hAnsi="宋体"/>
        </w:rPr>
        <w:t>～</w:t>
      </w:r>
      <w:r>
        <w:rPr>
          <w:rFonts w:hint="eastAsia" w:ascii="宋体" w:hAnsi="宋体"/>
          <w:szCs w:val="21"/>
        </w:rPr>
        <w:t>15mL吸光值没有变化。本方法采用硫脲（2.1.6）加入量为10mL。</w:t>
      </w:r>
    </w:p>
    <w:p>
      <w:pPr>
        <w:spacing w:line="360" w:lineRule="auto"/>
        <w:rPr>
          <w:rFonts w:ascii="宋体" w:hAnsi="宋体"/>
          <w:szCs w:val="21"/>
        </w:rPr>
      </w:pPr>
      <w:r>
        <w:rPr>
          <w:rFonts w:hint="eastAsia" w:ascii="宋体" w:hAnsi="宋体"/>
          <w:szCs w:val="21"/>
        </w:rPr>
        <w:t>3.1.4  碘化钾用量对吸光度的影响</w:t>
      </w:r>
    </w:p>
    <w:p>
      <w:pPr>
        <w:spacing w:line="360" w:lineRule="auto"/>
        <w:ind w:firstLine="420"/>
        <w:rPr>
          <w:rFonts w:ascii="宋体" w:hAnsi="宋体"/>
          <w:szCs w:val="21"/>
        </w:rPr>
      </w:pPr>
      <w:r>
        <w:rPr>
          <w:rFonts w:hint="eastAsia" w:ascii="宋体" w:hAnsi="宋体"/>
          <w:szCs w:val="21"/>
        </w:rPr>
        <w:t xml:space="preserve">  于一系列100mL容量瓶中，加入10.00mL铋标准溶液（2.1.9），加入15mL硫酸（2.1.1），加水使体积约为50mL，加入10mL硫脲溶液（2.1.6），加入不同量的碘化钾溶液（2.1.7），以水稀释至刻度，混匀。放置20min后，取部分试液于分光光度计上，于波长465nm处，用1cm比色皿，以水为参比，测量其吸光值，试验结果列于表4。</w:t>
      </w:r>
    </w:p>
    <w:p>
      <w:pPr>
        <w:ind w:firstLine="2520" w:firstLineChars="1200"/>
        <w:rPr>
          <w:rFonts w:ascii="宋体" w:hAnsi="宋体"/>
          <w:szCs w:val="21"/>
        </w:rPr>
      </w:pPr>
      <w:r>
        <w:rPr>
          <w:rFonts w:hint="eastAsia" w:ascii="宋体" w:hAnsi="宋体"/>
          <w:szCs w:val="21"/>
        </w:rPr>
        <w:t>表4   碘化钾用量对吸光值的影响</w:t>
      </w:r>
    </w:p>
    <w:tbl>
      <w:tblPr>
        <w:tblStyle w:val="2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951"/>
        <w:gridCol w:w="951"/>
        <w:gridCol w:w="952"/>
        <w:gridCol w:w="951"/>
        <w:gridCol w:w="952"/>
        <w:gridCol w:w="95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20" w:type="dxa"/>
          </w:tcPr>
          <w:p>
            <w:pPr>
              <w:jc w:val="center"/>
              <w:rPr>
                <w:rFonts w:ascii="宋体" w:hAnsi="宋体"/>
                <w:szCs w:val="21"/>
              </w:rPr>
            </w:pPr>
            <w:r>
              <w:rPr>
                <w:rFonts w:hint="eastAsia" w:ascii="宋体" w:hAnsi="宋体"/>
                <w:szCs w:val="21"/>
              </w:rPr>
              <w:t>KI用量/mL</w:t>
            </w:r>
          </w:p>
        </w:tc>
        <w:tc>
          <w:tcPr>
            <w:tcW w:w="951" w:type="dxa"/>
          </w:tcPr>
          <w:p>
            <w:pPr>
              <w:jc w:val="center"/>
              <w:rPr>
                <w:rFonts w:ascii="宋体" w:hAnsi="宋体"/>
                <w:szCs w:val="21"/>
              </w:rPr>
            </w:pPr>
            <w:r>
              <w:rPr>
                <w:rFonts w:hint="eastAsia" w:ascii="宋体" w:hAnsi="宋体"/>
                <w:szCs w:val="21"/>
              </w:rPr>
              <w:t>0</w:t>
            </w:r>
          </w:p>
        </w:tc>
        <w:tc>
          <w:tcPr>
            <w:tcW w:w="951" w:type="dxa"/>
          </w:tcPr>
          <w:p>
            <w:pPr>
              <w:jc w:val="center"/>
              <w:rPr>
                <w:rFonts w:ascii="宋体" w:hAnsi="宋体"/>
                <w:szCs w:val="21"/>
              </w:rPr>
            </w:pPr>
            <w:r>
              <w:rPr>
                <w:rFonts w:hint="eastAsia" w:ascii="宋体" w:hAnsi="宋体"/>
                <w:szCs w:val="21"/>
              </w:rPr>
              <w:t>1</w:t>
            </w:r>
          </w:p>
        </w:tc>
        <w:tc>
          <w:tcPr>
            <w:tcW w:w="952" w:type="dxa"/>
          </w:tcPr>
          <w:p>
            <w:pPr>
              <w:jc w:val="center"/>
              <w:rPr>
                <w:rFonts w:ascii="宋体" w:hAnsi="宋体"/>
                <w:szCs w:val="21"/>
              </w:rPr>
            </w:pPr>
            <w:r>
              <w:rPr>
                <w:rFonts w:hint="eastAsia" w:ascii="宋体" w:hAnsi="宋体"/>
                <w:szCs w:val="21"/>
              </w:rPr>
              <w:t>5</w:t>
            </w:r>
          </w:p>
        </w:tc>
        <w:tc>
          <w:tcPr>
            <w:tcW w:w="951" w:type="dxa"/>
          </w:tcPr>
          <w:p>
            <w:pPr>
              <w:jc w:val="center"/>
              <w:rPr>
                <w:rFonts w:ascii="宋体" w:hAnsi="宋体"/>
                <w:szCs w:val="21"/>
              </w:rPr>
            </w:pPr>
            <w:r>
              <w:rPr>
                <w:rFonts w:hint="eastAsia" w:ascii="宋体" w:hAnsi="宋体"/>
                <w:szCs w:val="21"/>
              </w:rPr>
              <w:t>9</w:t>
            </w:r>
          </w:p>
        </w:tc>
        <w:tc>
          <w:tcPr>
            <w:tcW w:w="952" w:type="dxa"/>
          </w:tcPr>
          <w:p>
            <w:pPr>
              <w:jc w:val="center"/>
              <w:rPr>
                <w:rFonts w:ascii="宋体" w:hAnsi="宋体"/>
                <w:szCs w:val="21"/>
              </w:rPr>
            </w:pPr>
            <w:r>
              <w:rPr>
                <w:rFonts w:hint="eastAsia" w:ascii="宋体" w:hAnsi="宋体"/>
                <w:szCs w:val="21"/>
              </w:rPr>
              <w:t>10</w:t>
            </w:r>
          </w:p>
        </w:tc>
        <w:tc>
          <w:tcPr>
            <w:tcW w:w="951" w:type="dxa"/>
          </w:tcPr>
          <w:p>
            <w:pPr>
              <w:jc w:val="center"/>
              <w:rPr>
                <w:rFonts w:ascii="宋体" w:hAnsi="宋体"/>
                <w:szCs w:val="21"/>
              </w:rPr>
            </w:pPr>
            <w:r>
              <w:rPr>
                <w:rFonts w:hint="eastAsia" w:ascii="宋体" w:hAnsi="宋体"/>
                <w:szCs w:val="21"/>
              </w:rPr>
              <w:t>12</w:t>
            </w:r>
          </w:p>
        </w:tc>
        <w:tc>
          <w:tcPr>
            <w:tcW w:w="952" w:type="dxa"/>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620" w:type="dxa"/>
          </w:tcPr>
          <w:p>
            <w:pPr>
              <w:jc w:val="center"/>
              <w:rPr>
                <w:rFonts w:ascii="宋体" w:hAnsi="宋体"/>
                <w:szCs w:val="21"/>
              </w:rPr>
            </w:pPr>
            <w:r>
              <w:rPr>
                <w:rFonts w:hint="eastAsia" w:ascii="宋体" w:hAnsi="宋体"/>
                <w:szCs w:val="21"/>
              </w:rPr>
              <w:t>吸光值A</w:t>
            </w:r>
          </w:p>
        </w:tc>
        <w:tc>
          <w:tcPr>
            <w:tcW w:w="951" w:type="dxa"/>
          </w:tcPr>
          <w:p>
            <w:pPr>
              <w:jc w:val="center"/>
              <w:rPr>
                <w:rFonts w:ascii="宋体" w:hAnsi="宋体"/>
                <w:szCs w:val="21"/>
              </w:rPr>
            </w:pPr>
            <w:r>
              <w:rPr>
                <w:rFonts w:hint="eastAsia" w:ascii="宋体" w:hAnsi="宋体"/>
                <w:szCs w:val="21"/>
              </w:rPr>
              <w:t>0.105</w:t>
            </w:r>
          </w:p>
        </w:tc>
        <w:tc>
          <w:tcPr>
            <w:tcW w:w="951" w:type="dxa"/>
          </w:tcPr>
          <w:p>
            <w:pPr>
              <w:jc w:val="center"/>
              <w:rPr>
                <w:rFonts w:ascii="宋体" w:hAnsi="宋体"/>
                <w:szCs w:val="21"/>
              </w:rPr>
            </w:pPr>
            <w:r>
              <w:rPr>
                <w:rFonts w:hint="eastAsia" w:ascii="宋体" w:hAnsi="宋体"/>
                <w:szCs w:val="21"/>
              </w:rPr>
              <w:t>408</w:t>
            </w:r>
          </w:p>
        </w:tc>
        <w:tc>
          <w:tcPr>
            <w:tcW w:w="952" w:type="dxa"/>
          </w:tcPr>
          <w:p>
            <w:pPr>
              <w:jc w:val="center"/>
              <w:rPr>
                <w:rFonts w:ascii="宋体" w:hAnsi="宋体"/>
                <w:szCs w:val="21"/>
              </w:rPr>
            </w:pPr>
            <w:r>
              <w:rPr>
                <w:rFonts w:hint="eastAsia" w:ascii="宋体" w:hAnsi="宋体"/>
                <w:szCs w:val="21"/>
              </w:rPr>
              <w:t>500</w:t>
            </w:r>
          </w:p>
        </w:tc>
        <w:tc>
          <w:tcPr>
            <w:tcW w:w="951" w:type="dxa"/>
          </w:tcPr>
          <w:p>
            <w:pPr>
              <w:jc w:val="center"/>
              <w:rPr>
                <w:rFonts w:ascii="宋体" w:hAnsi="宋体"/>
                <w:szCs w:val="21"/>
              </w:rPr>
            </w:pPr>
            <w:r>
              <w:rPr>
                <w:rFonts w:hint="eastAsia" w:ascii="宋体" w:hAnsi="宋体"/>
                <w:szCs w:val="21"/>
              </w:rPr>
              <w:t>0.538</w:t>
            </w:r>
          </w:p>
        </w:tc>
        <w:tc>
          <w:tcPr>
            <w:tcW w:w="952" w:type="dxa"/>
          </w:tcPr>
          <w:p>
            <w:pPr>
              <w:jc w:val="center"/>
              <w:rPr>
                <w:rFonts w:ascii="宋体" w:hAnsi="宋体"/>
                <w:szCs w:val="21"/>
              </w:rPr>
            </w:pPr>
            <w:r>
              <w:rPr>
                <w:rFonts w:hint="eastAsia" w:ascii="宋体" w:hAnsi="宋体"/>
                <w:szCs w:val="21"/>
              </w:rPr>
              <w:t>0.550</w:t>
            </w:r>
          </w:p>
        </w:tc>
        <w:tc>
          <w:tcPr>
            <w:tcW w:w="951" w:type="dxa"/>
          </w:tcPr>
          <w:p>
            <w:pPr>
              <w:jc w:val="center"/>
              <w:rPr>
                <w:rFonts w:ascii="宋体" w:hAnsi="宋体"/>
                <w:szCs w:val="21"/>
              </w:rPr>
            </w:pPr>
            <w:r>
              <w:rPr>
                <w:rFonts w:hint="eastAsia" w:ascii="宋体" w:hAnsi="宋体"/>
                <w:szCs w:val="21"/>
              </w:rPr>
              <w:t>0.539</w:t>
            </w:r>
          </w:p>
        </w:tc>
        <w:tc>
          <w:tcPr>
            <w:tcW w:w="952" w:type="dxa"/>
          </w:tcPr>
          <w:p>
            <w:pPr>
              <w:jc w:val="center"/>
              <w:rPr>
                <w:rFonts w:ascii="宋体" w:hAnsi="宋体"/>
                <w:szCs w:val="21"/>
              </w:rPr>
            </w:pPr>
            <w:r>
              <w:rPr>
                <w:rFonts w:hint="eastAsia" w:ascii="宋体" w:hAnsi="宋体"/>
                <w:szCs w:val="21"/>
              </w:rPr>
              <w:t>0.540</w:t>
            </w:r>
          </w:p>
        </w:tc>
      </w:tr>
    </w:tbl>
    <w:p>
      <w:pPr>
        <w:spacing w:line="360" w:lineRule="auto"/>
        <w:ind w:firstLine="420" w:firstLineChars="200"/>
        <w:rPr>
          <w:rFonts w:ascii="宋体" w:hAnsi="宋体"/>
          <w:szCs w:val="21"/>
        </w:rPr>
      </w:pPr>
      <w:r>
        <w:rPr>
          <w:rFonts w:hint="eastAsia" w:ascii="宋体" w:hAnsi="宋体"/>
          <w:szCs w:val="21"/>
        </w:rPr>
        <w:t>实验结果表明：碘化钾-抗坏血酸溶液（2.1.7</w:t>
      </w:r>
      <w:r>
        <w:rPr>
          <w:rFonts w:ascii="宋体" w:hAnsi="宋体"/>
          <w:szCs w:val="21"/>
        </w:rPr>
        <w:t>）</w:t>
      </w:r>
      <w:r>
        <w:rPr>
          <w:rFonts w:hint="eastAsia" w:ascii="宋体" w:hAnsi="宋体"/>
          <w:szCs w:val="21"/>
        </w:rPr>
        <w:t>用量在7</w:t>
      </w:r>
      <w:r>
        <w:rPr>
          <w:rFonts w:hint="eastAsia" w:ascii="宋体" w:hAnsi="宋体"/>
        </w:rPr>
        <w:t>～</w:t>
      </w:r>
      <w:r>
        <w:rPr>
          <w:rFonts w:hint="eastAsia" w:ascii="宋体" w:hAnsi="宋体"/>
          <w:szCs w:val="21"/>
        </w:rPr>
        <w:t>15mL吸光值没有变化，本方法选择加入10mL。</w:t>
      </w:r>
    </w:p>
    <w:p>
      <w:pPr>
        <w:spacing w:line="360" w:lineRule="auto"/>
        <w:rPr>
          <w:rFonts w:ascii="宋体" w:hAnsi="宋体"/>
          <w:szCs w:val="21"/>
        </w:rPr>
      </w:pPr>
      <w:r>
        <w:rPr>
          <w:rFonts w:hint="eastAsia" w:ascii="宋体" w:hAnsi="宋体"/>
          <w:szCs w:val="21"/>
        </w:rPr>
        <w:t>3.1.5  硝酸对显色反应的影响</w:t>
      </w:r>
    </w:p>
    <w:p>
      <w:pPr>
        <w:spacing w:line="360" w:lineRule="auto"/>
        <w:ind w:firstLine="420"/>
        <w:rPr>
          <w:rFonts w:ascii="宋体" w:hAnsi="宋体"/>
          <w:szCs w:val="21"/>
        </w:rPr>
      </w:pPr>
      <w:r>
        <w:rPr>
          <w:rFonts w:hint="eastAsia" w:ascii="宋体" w:hAnsi="宋体"/>
          <w:szCs w:val="21"/>
        </w:rPr>
        <w:t>于一系列100mL容量瓶中，加入5.00mL铋标准溶液（2.1.9），加入15mL硫酸（2.1.1），分别加入不同量的硝酸（2.1.2），加水使体积约为50mL，加入10mL硫脲溶液（2.1.6</w:t>
      </w:r>
      <w:r>
        <w:rPr>
          <w:rFonts w:ascii="宋体" w:hAnsi="宋体"/>
          <w:szCs w:val="21"/>
        </w:rPr>
        <w:t>）</w:t>
      </w:r>
      <w:r>
        <w:rPr>
          <w:rFonts w:hint="eastAsia" w:ascii="宋体" w:hAnsi="宋体"/>
          <w:szCs w:val="21"/>
        </w:rPr>
        <w:t>及10mL碘化钾溶液（2.1.7</w:t>
      </w:r>
      <w:r>
        <w:rPr>
          <w:rFonts w:ascii="宋体" w:hAnsi="宋体"/>
          <w:szCs w:val="21"/>
        </w:rPr>
        <w:t>）</w:t>
      </w:r>
      <w:r>
        <w:rPr>
          <w:rFonts w:hint="eastAsia" w:ascii="宋体" w:hAnsi="宋体"/>
          <w:szCs w:val="21"/>
        </w:rPr>
        <w:t>，以水稀释至刻度，混匀。放置20min，取部分试液于分光光度计上，于波长465nm处，用1cm比色皿，以水为参比，测量其吸光值，试验结果列于表5。</w:t>
      </w:r>
    </w:p>
    <w:p>
      <w:pPr>
        <w:spacing w:line="360" w:lineRule="auto"/>
        <w:ind w:firstLine="2520" w:firstLineChars="1200"/>
        <w:rPr>
          <w:rFonts w:ascii="宋体" w:hAnsi="宋体"/>
          <w:szCs w:val="21"/>
        </w:rPr>
      </w:pPr>
      <w:r>
        <w:rPr>
          <w:rFonts w:hint="eastAsia" w:ascii="宋体" w:hAnsi="宋体"/>
          <w:szCs w:val="21"/>
        </w:rPr>
        <w:t xml:space="preserve">   表5  硝酸用量对吸光值影响</w:t>
      </w:r>
    </w:p>
    <w:tbl>
      <w:tblPr>
        <w:tblStyle w:val="2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24"/>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160" w:type="dxa"/>
          </w:tcPr>
          <w:p>
            <w:pPr>
              <w:jc w:val="center"/>
              <w:rPr>
                <w:rFonts w:ascii="宋体" w:hAnsi="宋体"/>
                <w:szCs w:val="21"/>
              </w:rPr>
            </w:pPr>
            <w:r>
              <w:rPr>
                <w:rFonts w:hint="eastAsia" w:ascii="宋体" w:hAnsi="宋体"/>
                <w:szCs w:val="21"/>
              </w:rPr>
              <w:t>硝酸用量/mL</w:t>
            </w:r>
          </w:p>
        </w:tc>
        <w:tc>
          <w:tcPr>
            <w:tcW w:w="1224" w:type="dxa"/>
          </w:tcPr>
          <w:p>
            <w:pPr>
              <w:jc w:val="center"/>
              <w:rPr>
                <w:rFonts w:ascii="宋体" w:hAnsi="宋体"/>
                <w:szCs w:val="21"/>
              </w:rPr>
            </w:pPr>
            <w:r>
              <w:rPr>
                <w:rFonts w:hint="eastAsia" w:ascii="宋体" w:hAnsi="宋体"/>
                <w:szCs w:val="21"/>
              </w:rPr>
              <w:t>0</w:t>
            </w:r>
          </w:p>
        </w:tc>
        <w:tc>
          <w:tcPr>
            <w:tcW w:w="1224" w:type="dxa"/>
          </w:tcPr>
          <w:p>
            <w:pPr>
              <w:jc w:val="center"/>
              <w:rPr>
                <w:rFonts w:ascii="宋体" w:hAnsi="宋体"/>
                <w:szCs w:val="21"/>
              </w:rPr>
            </w:pPr>
            <w:r>
              <w:rPr>
                <w:rFonts w:hint="eastAsia" w:ascii="宋体" w:hAnsi="宋体"/>
                <w:szCs w:val="21"/>
              </w:rPr>
              <w:t>0.5</w:t>
            </w:r>
          </w:p>
        </w:tc>
        <w:tc>
          <w:tcPr>
            <w:tcW w:w="1224" w:type="dxa"/>
          </w:tcPr>
          <w:p>
            <w:pPr>
              <w:jc w:val="center"/>
              <w:rPr>
                <w:rFonts w:ascii="宋体" w:hAnsi="宋体"/>
                <w:szCs w:val="21"/>
              </w:rPr>
            </w:pPr>
            <w:r>
              <w:rPr>
                <w:rFonts w:hint="eastAsia" w:ascii="宋体" w:hAnsi="宋体"/>
                <w:szCs w:val="21"/>
              </w:rPr>
              <w:t>1</w:t>
            </w:r>
          </w:p>
        </w:tc>
        <w:tc>
          <w:tcPr>
            <w:tcW w:w="1224" w:type="dxa"/>
          </w:tcPr>
          <w:p>
            <w:pPr>
              <w:jc w:val="center"/>
              <w:rPr>
                <w:rFonts w:ascii="宋体" w:hAnsi="宋体"/>
                <w:szCs w:val="21"/>
              </w:rPr>
            </w:pPr>
            <w:r>
              <w:rPr>
                <w:rFonts w:hint="eastAsia" w:ascii="宋体" w:hAnsi="宋体"/>
                <w:szCs w:val="21"/>
              </w:rPr>
              <w:t>3</w:t>
            </w:r>
          </w:p>
        </w:tc>
        <w:tc>
          <w:tcPr>
            <w:tcW w:w="1224" w:type="dxa"/>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160" w:type="dxa"/>
          </w:tcPr>
          <w:p>
            <w:pPr>
              <w:jc w:val="center"/>
              <w:rPr>
                <w:rFonts w:ascii="宋体" w:hAnsi="宋体"/>
                <w:szCs w:val="21"/>
              </w:rPr>
            </w:pPr>
            <w:r>
              <w:rPr>
                <w:rFonts w:hint="eastAsia" w:ascii="宋体" w:hAnsi="宋体"/>
                <w:szCs w:val="21"/>
              </w:rPr>
              <w:t>吸光值A</w:t>
            </w:r>
          </w:p>
        </w:tc>
        <w:tc>
          <w:tcPr>
            <w:tcW w:w="1224" w:type="dxa"/>
          </w:tcPr>
          <w:p>
            <w:pPr>
              <w:jc w:val="center"/>
              <w:rPr>
                <w:rFonts w:ascii="宋体" w:hAnsi="宋体"/>
                <w:szCs w:val="21"/>
              </w:rPr>
            </w:pPr>
            <w:r>
              <w:rPr>
                <w:rFonts w:hint="eastAsia" w:ascii="宋体" w:hAnsi="宋体"/>
                <w:szCs w:val="21"/>
              </w:rPr>
              <w:t>0.270</w:t>
            </w:r>
          </w:p>
        </w:tc>
        <w:tc>
          <w:tcPr>
            <w:tcW w:w="1224" w:type="dxa"/>
          </w:tcPr>
          <w:p>
            <w:pPr>
              <w:jc w:val="center"/>
              <w:rPr>
                <w:rFonts w:ascii="宋体" w:hAnsi="宋体"/>
                <w:szCs w:val="21"/>
              </w:rPr>
            </w:pPr>
            <w:r>
              <w:rPr>
                <w:rFonts w:hint="eastAsia" w:ascii="宋体" w:hAnsi="宋体"/>
                <w:szCs w:val="21"/>
              </w:rPr>
              <w:t>0.270</w:t>
            </w:r>
          </w:p>
        </w:tc>
        <w:tc>
          <w:tcPr>
            <w:tcW w:w="1224" w:type="dxa"/>
          </w:tcPr>
          <w:p>
            <w:pPr>
              <w:jc w:val="center"/>
              <w:rPr>
                <w:rFonts w:ascii="宋体" w:hAnsi="宋体"/>
                <w:szCs w:val="21"/>
              </w:rPr>
            </w:pPr>
            <w:r>
              <w:rPr>
                <w:rFonts w:hint="eastAsia" w:ascii="宋体" w:hAnsi="宋体"/>
                <w:szCs w:val="21"/>
              </w:rPr>
              <w:t>0.270</w:t>
            </w:r>
          </w:p>
        </w:tc>
        <w:tc>
          <w:tcPr>
            <w:tcW w:w="1224" w:type="dxa"/>
          </w:tcPr>
          <w:p>
            <w:pPr>
              <w:jc w:val="center"/>
              <w:rPr>
                <w:rFonts w:ascii="宋体" w:hAnsi="宋体"/>
                <w:szCs w:val="21"/>
              </w:rPr>
            </w:pPr>
            <w:r>
              <w:rPr>
                <w:rFonts w:hint="eastAsia" w:ascii="宋体" w:hAnsi="宋体"/>
                <w:szCs w:val="21"/>
              </w:rPr>
              <w:t>0.270</w:t>
            </w:r>
          </w:p>
        </w:tc>
        <w:tc>
          <w:tcPr>
            <w:tcW w:w="1224" w:type="dxa"/>
          </w:tcPr>
          <w:p>
            <w:pPr>
              <w:jc w:val="center"/>
              <w:rPr>
                <w:rFonts w:ascii="宋体" w:hAnsi="宋体"/>
                <w:szCs w:val="21"/>
              </w:rPr>
            </w:pPr>
            <w:r>
              <w:rPr>
                <w:rFonts w:hint="eastAsia" w:ascii="宋体" w:hAnsi="宋体"/>
                <w:szCs w:val="21"/>
              </w:rPr>
              <w:t>0.270</w:t>
            </w:r>
          </w:p>
        </w:tc>
      </w:tr>
    </w:tbl>
    <w:p>
      <w:pPr>
        <w:spacing w:line="360" w:lineRule="auto"/>
        <w:ind w:firstLine="420" w:firstLineChars="200"/>
        <w:rPr>
          <w:rFonts w:ascii="宋体" w:hAnsi="宋体"/>
          <w:szCs w:val="21"/>
        </w:rPr>
      </w:pPr>
      <w:r>
        <w:rPr>
          <w:rFonts w:hint="eastAsia" w:ascii="宋体" w:hAnsi="宋体"/>
          <w:szCs w:val="21"/>
        </w:rPr>
        <w:t>实验结果表明：显色体系中含有5mL以下的硝酸（2.1.2），均不影响显色反应。</w:t>
      </w:r>
    </w:p>
    <w:p>
      <w:pPr>
        <w:spacing w:line="360" w:lineRule="auto"/>
        <w:rPr>
          <w:rFonts w:ascii="宋体" w:hAnsi="宋体"/>
          <w:szCs w:val="21"/>
        </w:rPr>
      </w:pPr>
      <w:r>
        <w:rPr>
          <w:rFonts w:hint="eastAsia" w:ascii="宋体" w:hAnsi="宋体"/>
          <w:szCs w:val="21"/>
        </w:rPr>
        <w:t>3.1.6  有色络合物形成和的稳定时间</w:t>
      </w:r>
    </w:p>
    <w:p>
      <w:pPr>
        <w:spacing w:line="360" w:lineRule="auto"/>
        <w:ind w:firstLine="420"/>
        <w:rPr>
          <w:rFonts w:ascii="宋体" w:hAnsi="宋体"/>
          <w:szCs w:val="21"/>
        </w:rPr>
      </w:pPr>
      <w:r>
        <w:rPr>
          <w:rFonts w:hint="eastAsia" w:ascii="宋体" w:hAnsi="宋体"/>
          <w:szCs w:val="21"/>
        </w:rPr>
        <w:t>于100mL的容量瓶中，加入一定量的铋标准溶液及15mL硫酸（2.1.1</w:t>
      </w:r>
      <w:r>
        <w:rPr>
          <w:rFonts w:ascii="宋体" w:hAnsi="宋体"/>
          <w:szCs w:val="21"/>
        </w:rPr>
        <w:t>）</w:t>
      </w:r>
      <w:r>
        <w:rPr>
          <w:rFonts w:hint="eastAsia" w:ascii="宋体" w:hAnsi="宋体"/>
          <w:szCs w:val="21"/>
        </w:rPr>
        <w:t>，加水使体积约50mL， 加入10mL硫脲溶液（2.1.6</w:t>
      </w:r>
      <w:r>
        <w:rPr>
          <w:rFonts w:ascii="宋体" w:hAnsi="宋体"/>
          <w:szCs w:val="21"/>
        </w:rPr>
        <w:t>）</w:t>
      </w:r>
      <w:r>
        <w:rPr>
          <w:rFonts w:hint="eastAsia" w:ascii="宋体" w:hAnsi="宋体"/>
          <w:szCs w:val="21"/>
        </w:rPr>
        <w:t>及10mL碘化钾溶液（2.1.7</w:t>
      </w:r>
      <w:r>
        <w:rPr>
          <w:rFonts w:ascii="宋体" w:hAnsi="宋体"/>
          <w:szCs w:val="21"/>
        </w:rPr>
        <w:t>）</w:t>
      </w:r>
      <w:r>
        <w:rPr>
          <w:rFonts w:hint="eastAsia" w:ascii="宋体" w:hAnsi="宋体"/>
          <w:szCs w:val="21"/>
        </w:rPr>
        <w:t>，以水稀释至刻度，混匀。在分光光度计上，于波长465nm处，用1cm比色皿，以水为参比，测量其不同反应时间下的吸光值，结果列于表6。</w:t>
      </w:r>
    </w:p>
    <w:p>
      <w:pPr>
        <w:ind w:firstLine="2520" w:firstLineChars="1200"/>
        <w:rPr>
          <w:rFonts w:ascii="宋体" w:hAnsi="宋体"/>
          <w:szCs w:val="21"/>
        </w:rPr>
      </w:pPr>
      <w:r>
        <w:rPr>
          <w:rFonts w:hint="eastAsia" w:ascii="宋体" w:hAnsi="宋体"/>
          <w:szCs w:val="21"/>
        </w:rPr>
        <w:t>表6  有色络合物的稳定性</w:t>
      </w:r>
    </w:p>
    <w:tbl>
      <w:tblPr>
        <w:tblStyle w:val="21"/>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600"/>
        <w:gridCol w:w="780"/>
        <w:gridCol w:w="780"/>
        <w:gridCol w:w="780"/>
        <w:gridCol w:w="780"/>
        <w:gridCol w:w="780"/>
        <w:gridCol w:w="780"/>
        <w:gridCol w:w="8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980" w:type="dxa"/>
            <w:gridSpan w:val="2"/>
            <w:tcBorders>
              <w:right w:val="single" w:color="auto" w:sz="4" w:space="0"/>
              <w:tl2br w:val="single" w:color="auto" w:sz="4" w:space="0"/>
            </w:tcBorders>
          </w:tcPr>
          <w:p>
            <w:pPr>
              <w:ind w:firstLine="525" w:firstLineChars="250"/>
              <w:rPr>
                <w:rFonts w:ascii="宋体" w:hAnsi="宋体"/>
                <w:szCs w:val="21"/>
              </w:rPr>
            </w:pPr>
            <w:r>
              <w:rPr>
                <w:rFonts w:hint="eastAsia" w:ascii="宋体" w:hAnsi="宋体"/>
                <w:szCs w:val="21"/>
              </w:rPr>
              <w:t>放置时间min</w:t>
            </w:r>
          </w:p>
          <w:p>
            <w:pPr>
              <w:rPr>
                <w:rFonts w:ascii="宋体" w:hAnsi="宋体"/>
                <w:szCs w:val="21"/>
              </w:rPr>
            </w:pPr>
            <w:r>
              <w:rPr>
                <w:rFonts w:hint="eastAsia" w:ascii="宋体" w:hAnsi="宋体"/>
                <w:szCs w:val="21"/>
              </w:rPr>
              <w:t>吸光度A</w:t>
            </w:r>
          </w:p>
        </w:tc>
        <w:tc>
          <w:tcPr>
            <w:tcW w:w="600" w:type="dxa"/>
            <w:tcBorders>
              <w:left w:val="single" w:color="auto" w:sz="4" w:space="0"/>
            </w:tcBorders>
            <w:vAlign w:val="center"/>
          </w:tcPr>
          <w:p>
            <w:pPr>
              <w:jc w:val="center"/>
              <w:rPr>
                <w:rFonts w:ascii="宋体" w:hAnsi="宋体"/>
                <w:szCs w:val="21"/>
              </w:rPr>
            </w:pPr>
            <w:r>
              <w:rPr>
                <w:rFonts w:hint="eastAsia" w:ascii="宋体" w:hAnsi="宋体"/>
                <w:szCs w:val="21"/>
              </w:rPr>
              <w:t>5</w:t>
            </w:r>
          </w:p>
        </w:tc>
        <w:tc>
          <w:tcPr>
            <w:tcW w:w="780" w:type="dxa"/>
            <w:vAlign w:val="center"/>
          </w:tcPr>
          <w:p>
            <w:pPr>
              <w:jc w:val="center"/>
              <w:rPr>
                <w:rFonts w:ascii="宋体" w:hAnsi="宋体"/>
                <w:szCs w:val="21"/>
              </w:rPr>
            </w:pPr>
            <w:r>
              <w:rPr>
                <w:rFonts w:hint="eastAsia" w:ascii="宋体" w:hAnsi="宋体"/>
                <w:szCs w:val="21"/>
              </w:rPr>
              <w:t>10</w:t>
            </w:r>
          </w:p>
        </w:tc>
        <w:tc>
          <w:tcPr>
            <w:tcW w:w="780" w:type="dxa"/>
            <w:vAlign w:val="center"/>
          </w:tcPr>
          <w:p>
            <w:pPr>
              <w:jc w:val="center"/>
              <w:rPr>
                <w:rFonts w:ascii="宋体" w:hAnsi="宋体"/>
                <w:szCs w:val="21"/>
              </w:rPr>
            </w:pPr>
            <w:r>
              <w:rPr>
                <w:rFonts w:hint="eastAsia" w:ascii="宋体" w:hAnsi="宋体"/>
                <w:szCs w:val="21"/>
              </w:rPr>
              <w:t>15</w:t>
            </w:r>
          </w:p>
        </w:tc>
        <w:tc>
          <w:tcPr>
            <w:tcW w:w="780" w:type="dxa"/>
            <w:vAlign w:val="center"/>
          </w:tcPr>
          <w:p>
            <w:pPr>
              <w:jc w:val="center"/>
              <w:rPr>
                <w:rFonts w:ascii="宋体" w:hAnsi="宋体"/>
                <w:szCs w:val="21"/>
              </w:rPr>
            </w:pPr>
            <w:r>
              <w:rPr>
                <w:rFonts w:hint="eastAsia" w:ascii="宋体" w:hAnsi="宋体"/>
                <w:szCs w:val="21"/>
              </w:rPr>
              <w:t>20</w:t>
            </w:r>
          </w:p>
        </w:tc>
        <w:tc>
          <w:tcPr>
            <w:tcW w:w="780" w:type="dxa"/>
            <w:vAlign w:val="center"/>
          </w:tcPr>
          <w:p>
            <w:pPr>
              <w:jc w:val="center"/>
              <w:rPr>
                <w:rFonts w:ascii="宋体" w:hAnsi="宋体"/>
                <w:szCs w:val="21"/>
              </w:rPr>
            </w:pPr>
            <w:r>
              <w:rPr>
                <w:rFonts w:hint="eastAsia" w:ascii="宋体" w:hAnsi="宋体"/>
                <w:szCs w:val="21"/>
              </w:rPr>
              <w:t>30</w:t>
            </w:r>
          </w:p>
        </w:tc>
        <w:tc>
          <w:tcPr>
            <w:tcW w:w="780" w:type="dxa"/>
            <w:vAlign w:val="center"/>
          </w:tcPr>
          <w:p>
            <w:pPr>
              <w:jc w:val="center"/>
              <w:rPr>
                <w:rFonts w:ascii="宋体" w:hAnsi="宋体"/>
                <w:szCs w:val="21"/>
              </w:rPr>
            </w:pPr>
            <w:r>
              <w:rPr>
                <w:rFonts w:hint="eastAsia" w:ascii="宋体" w:hAnsi="宋体"/>
                <w:szCs w:val="21"/>
              </w:rPr>
              <w:t>45</w:t>
            </w:r>
          </w:p>
        </w:tc>
        <w:tc>
          <w:tcPr>
            <w:tcW w:w="780" w:type="dxa"/>
            <w:vAlign w:val="center"/>
          </w:tcPr>
          <w:p>
            <w:pPr>
              <w:jc w:val="center"/>
              <w:rPr>
                <w:rFonts w:ascii="宋体" w:hAnsi="宋体"/>
                <w:szCs w:val="21"/>
              </w:rPr>
            </w:pPr>
            <w:r>
              <w:rPr>
                <w:rFonts w:hint="eastAsia" w:ascii="宋体" w:hAnsi="宋体"/>
                <w:szCs w:val="21"/>
              </w:rPr>
              <w:t>60</w:t>
            </w:r>
          </w:p>
        </w:tc>
        <w:tc>
          <w:tcPr>
            <w:tcW w:w="840" w:type="dxa"/>
            <w:vAlign w:val="center"/>
          </w:tcPr>
          <w:p>
            <w:pPr>
              <w:jc w:val="center"/>
              <w:rPr>
                <w:rFonts w:ascii="宋体" w:hAnsi="宋体"/>
                <w:szCs w:val="21"/>
              </w:rPr>
            </w:pPr>
            <w:r>
              <w:rPr>
                <w:rFonts w:hint="eastAsia" w:ascii="宋体" w:hAnsi="宋体"/>
                <w:szCs w:val="21"/>
              </w:rPr>
              <w:t>90</w:t>
            </w:r>
          </w:p>
        </w:tc>
        <w:tc>
          <w:tcPr>
            <w:tcW w:w="900" w:type="dxa"/>
            <w:vAlign w:val="center"/>
          </w:tcPr>
          <w:p>
            <w:pPr>
              <w:jc w:val="center"/>
              <w:rPr>
                <w:rFonts w:ascii="宋体" w:hAnsi="宋体"/>
                <w:szCs w:val="21"/>
              </w:rPr>
            </w:pPr>
            <w:r>
              <w:rPr>
                <w:rFonts w:hint="eastAsia" w:ascii="宋体" w:hAnsi="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00" w:type="dxa"/>
          </w:tcPr>
          <w:p>
            <w:pPr>
              <w:jc w:val="center"/>
              <w:rPr>
                <w:rFonts w:ascii="宋体" w:hAnsi="宋体"/>
                <w:szCs w:val="21"/>
              </w:rPr>
            </w:pPr>
            <w:r>
              <w:rPr>
                <w:rFonts w:hint="eastAsia" w:ascii="宋体" w:hAnsi="宋体"/>
                <w:szCs w:val="21"/>
              </w:rPr>
              <w:t>Bi量</w:t>
            </w:r>
          </w:p>
        </w:tc>
        <w:tc>
          <w:tcPr>
            <w:tcW w:w="1080" w:type="dxa"/>
          </w:tcPr>
          <w:p>
            <w:pPr>
              <w:jc w:val="center"/>
              <w:rPr>
                <w:rFonts w:ascii="宋体" w:hAnsi="宋体"/>
                <w:szCs w:val="21"/>
              </w:rPr>
            </w:pPr>
            <w:r>
              <w:rPr>
                <w:rFonts w:hint="eastAsia" w:ascii="宋体" w:hAnsi="宋体"/>
                <w:szCs w:val="21"/>
              </w:rPr>
              <w:t>1000ug</w:t>
            </w:r>
          </w:p>
        </w:tc>
        <w:tc>
          <w:tcPr>
            <w:tcW w:w="600" w:type="dxa"/>
            <w:tcBorders>
              <w:left w:val="single" w:color="auto" w:sz="4" w:space="0"/>
            </w:tcBorders>
          </w:tcPr>
          <w:p>
            <w:pPr>
              <w:jc w:val="center"/>
              <w:rPr>
                <w:rFonts w:ascii="宋体" w:hAnsi="宋体"/>
                <w:szCs w:val="21"/>
              </w:rPr>
            </w:pPr>
            <w:r>
              <w:rPr>
                <w:rFonts w:hint="eastAsia" w:ascii="宋体" w:hAnsi="宋体"/>
                <w:szCs w:val="21"/>
              </w:rPr>
              <w:t>530</w:t>
            </w:r>
          </w:p>
        </w:tc>
        <w:tc>
          <w:tcPr>
            <w:tcW w:w="780" w:type="dxa"/>
          </w:tcPr>
          <w:p>
            <w:pPr>
              <w:jc w:val="center"/>
              <w:rPr>
                <w:rFonts w:ascii="宋体" w:hAnsi="宋体"/>
                <w:szCs w:val="21"/>
              </w:rPr>
            </w:pPr>
            <w:r>
              <w:rPr>
                <w:rFonts w:hint="eastAsia" w:ascii="宋体" w:hAnsi="宋体"/>
                <w:szCs w:val="21"/>
              </w:rPr>
              <w:t>0.539</w:t>
            </w:r>
          </w:p>
        </w:tc>
        <w:tc>
          <w:tcPr>
            <w:tcW w:w="780" w:type="dxa"/>
          </w:tcPr>
          <w:p>
            <w:pPr>
              <w:jc w:val="center"/>
              <w:rPr>
                <w:rFonts w:ascii="宋体" w:hAnsi="宋体"/>
                <w:szCs w:val="21"/>
              </w:rPr>
            </w:pPr>
            <w:r>
              <w:rPr>
                <w:rFonts w:hint="eastAsia" w:ascii="宋体" w:hAnsi="宋体"/>
                <w:szCs w:val="21"/>
              </w:rPr>
              <w:t>0.537</w:t>
            </w:r>
          </w:p>
        </w:tc>
        <w:tc>
          <w:tcPr>
            <w:tcW w:w="780" w:type="dxa"/>
          </w:tcPr>
          <w:p>
            <w:pPr>
              <w:jc w:val="center"/>
              <w:rPr>
                <w:rFonts w:ascii="宋体" w:hAnsi="宋体"/>
                <w:szCs w:val="21"/>
              </w:rPr>
            </w:pPr>
            <w:r>
              <w:rPr>
                <w:rFonts w:hint="eastAsia" w:ascii="宋体" w:hAnsi="宋体"/>
                <w:szCs w:val="21"/>
              </w:rPr>
              <w:t>0.540</w:t>
            </w:r>
          </w:p>
        </w:tc>
        <w:tc>
          <w:tcPr>
            <w:tcW w:w="780" w:type="dxa"/>
          </w:tcPr>
          <w:p>
            <w:pPr>
              <w:jc w:val="center"/>
              <w:rPr>
                <w:rFonts w:ascii="宋体" w:hAnsi="宋体"/>
                <w:szCs w:val="21"/>
              </w:rPr>
            </w:pPr>
            <w:r>
              <w:rPr>
                <w:rFonts w:hint="eastAsia" w:ascii="宋体" w:hAnsi="宋体"/>
                <w:szCs w:val="21"/>
              </w:rPr>
              <w:t>0.538</w:t>
            </w:r>
          </w:p>
        </w:tc>
        <w:tc>
          <w:tcPr>
            <w:tcW w:w="780" w:type="dxa"/>
          </w:tcPr>
          <w:p>
            <w:pPr>
              <w:jc w:val="center"/>
              <w:rPr>
                <w:rFonts w:ascii="宋体" w:hAnsi="宋体"/>
                <w:szCs w:val="21"/>
              </w:rPr>
            </w:pPr>
            <w:r>
              <w:rPr>
                <w:rFonts w:hint="eastAsia" w:ascii="宋体" w:hAnsi="宋体"/>
                <w:szCs w:val="21"/>
              </w:rPr>
              <w:t>0.539</w:t>
            </w:r>
          </w:p>
        </w:tc>
        <w:tc>
          <w:tcPr>
            <w:tcW w:w="780" w:type="dxa"/>
          </w:tcPr>
          <w:p>
            <w:pPr>
              <w:jc w:val="center"/>
              <w:rPr>
                <w:rFonts w:ascii="宋体" w:hAnsi="宋体"/>
                <w:szCs w:val="21"/>
              </w:rPr>
            </w:pPr>
            <w:r>
              <w:rPr>
                <w:rFonts w:hint="eastAsia" w:ascii="宋体" w:hAnsi="宋体"/>
                <w:szCs w:val="21"/>
              </w:rPr>
              <w:t>0.540</w:t>
            </w:r>
          </w:p>
        </w:tc>
        <w:tc>
          <w:tcPr>
            <w:tcW w:w="840" w:type="dxa"/>
          </w:tcPr>
          <w:p>
            <w:pPr>
              <w:jc w:val="center"/>
              <w:rPr>
                <w:rFonts w:ascii="宋体" w:hAnsi="宋体"/>
                <w:szCs w:val="21"/>
              </w:rPr>
            </w:pPr>
            <w:r>
              <w:rPr>
                <w:rFonts w:hint="eastAsia" w:ascii="宋体" w:hAnsi="宋体"/>
                <w:szCs w:val="21"/>
              </w:rPr>
              <w:t>0.539</w:t>
            </w:r>
          </w:p>
        </w:tc>
        <w:tc>
          <w:tcPr>
            <w:tcW w:w="900" w:type="dxa"/>
          </w:tcPr>
          <w:p>
            <w:pPr>
              <w:jc w:val="center"/>
              <w:rPr>
                <w:rFonts w:ascii="宋体" w:hAnsi="宋体"/>
                <w:szCs w:val="21"/>
              </w:rPr>
            </w:pPr>
            <w:r>
              <w:rPr>
                <w:rFonts w:hint="eastAsia" w:ascii="宋体" w:hAnsi="宋体"/>
                <w:szCs w:val="21"/>
              </w:rPr>
              <w:t>0.538</w:t>
            </w:r>
          </w:p>
        </w:tc>
      </w:tr>
    </w:tbl>
    <w:p>
      <w:pPr>
        <w:spacing w:line="360" w:lineRule="auto"/>
        <w:ind w:firstLine="420"/>
        <w:rPr>
          <w:rFonts w:ascii="宋体" w:hAnsi="宋体"/>
          <w:szCs w:val="21"/>
        </w:rPr>
      </w:pPr>
      <w:r>
        <w:rPr>
          <w:rFonts w:hint="eastAsia" w:ascii="宋体" w:hAnsi="宋体"/>
          <w:szCs w:val="21"/>
        </w:rPr>
        <w:t>实验结果表明：铋与碘化钾反应速度很快，10min后显色完全。显色完全后吸光度很稳定，在2个小时内吸光值不变，本方法选择放置20nim测定吸光度。</w:t>
      </w:r>
    </w:p>
    <w:p>
      <w:pPr>
        <w:spacing w:line="360" w:lineRule="auto"/>
        <w:rPr>
          <w:rFonts w:ascii="宋体" w:hAnsi="宋体"/>
          <w:szCs w:val="21"/>
        </w:rPr>
      </w:pPr>
      <w:r>
        <w:rPr>
          <w:rFonts w:hint="eastAsia" w:ascii="宋体" w:hAnsi="宋体"/>
          <w:szCs w:val="21"/>
        </w:rPr>
        <w:t>3.1.7  显色温度对吸光值的影响</w:t>
      </w:r>
    </w:p>
    <w:p>
      <w:pPr>
        <w:spacing w:line="360" w:lineRule="auto"/>
        <w:ind w:firstLine="420"/>
        <w:rPr>
          <w:rFonts w:ascii="宋体" w:hAnsi="宋体"/>
          <w:szCs w:val="21"/>
        </w:rPr>
      </w:pPr>
      <w:r>
        <w:rPr>
          <w:rFonts w:hint="eastAsia" w:ascii="宋体" w:hAnsi="宋体"/>
          <w:szCs w:val="21"/>
        </w:rPr>
        <w:t>在不同室温下（30℃和35℃在水浴锅中进行的显色反应），于100mL容量瓶中，加入一定量的铋标准溶液（2.1.9），加入15mL硫酸（2.1.1），在不同温度下，加入10mL硫脲溶液（2.1.6</w:t>
      </w:r>
      <w:r>
        <w:rPr>
          <w:rFonts w:ascii="宋体" w:hAnsi="宋体"/>
          <w:szCs w:val="21"/>
        </w:rPr>
        <w:t>）</w:t>
      </w:r>
      <w:r>
        <w:rPr>
          <w:rFonts w:hint="eastAsia" w:ascii="宋体" w:hAnsi="宋体"/>
          <w:szCs w:val="21"/>
        </w:rPr>
        <w:t>，10mL碘化钾溶液（2.1.7），以水稀释至刻度，混匀。在分光光度计上，于波长465nm处，用1cm比色皿，以水为参比，测量其吸光值。试验结果列于表7。</w:t>
      </w:r>
    </w:p>
    <w:p>
      <w:pPr>
        <w:ind w:firstLine="2520" w:firstLineChars="1200"/>
        <w:rPr>
          <w:rFonts w:ascii="宋体" w:hAnsi="宋体"/>
          <w:szCs w:val="21"/>
        </w:rPr>
      </w:pPr>
      <w:r>
        <w:rPr>
          <w:rFonts w:hint="eastAsia" w:ascii="宋体" w:hAnsi="宋体"/>
          <w:szCs w:val="21"/>
        </w:rPr>
        <w:t>表7  显色温度对吸光值得影响</w:t>
      </w:r>
    </w:p>
    <w:tbl>
      <w:tblPr>
        <w:tblStyle w:val="2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1224"/>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0" w:type="dxa"/>
            <w:gridSpan w:val="2"/>
            <w:tcBorders>
              <w:right w:val="single" w:color="auto" w:sz="4" w:space="0"/>
              <w:tl2br w:val="single" w:color="auto" w:sz="4" w:space="0"/>
            </w:tcBorders>
          </w:tcPr>
          <w:p>
            <w:pPr>
              <w:ind w:firstLine="840" w:firstLineChars="400"/>
              <w:rPr>
                <w:rFonts w:ascii="宋体" w:hAnsi="宋体"/>
                <w:szCs w:val="21"/>
              </w:rPr>
            </w:pPr>
            <w:r>
              <w:rPr>
                <w:rFonts w:hint="eastAsia" w:ascii="宋体" w:hAnsi="宋体"/>
                <w:szCs w:val="21"/>
              </w:rPr>
              <w:t>显色温度℃</w:t>
            </w:r>
          </w:p>
          <w:p>
            <w:pPr>
              <w:rPr>
                <w:rFonts w:ascii="宋体" w:hAnsi="宋体"/>
                <w:szCs w:val="21"/>
              </w:rPr>
            </w:pPr>
            <w:r>
              <w:rPr>
                <w:rFonts w:hint="eastAsia" w:ascii="宋体" w:hAnsi="宋体"/>
                <w:szCs w:val="21"/>
              </w:rPr>
              <w:t>吸光度A</w:t>
            </w:r>
          </w:p>
        </w:tc>
        <w:tc>
          <w:tcPr>
            <w:tcW w:w="1224" w:type="dxa"/>
            <w:tcBorders>
              <w:left w:val="single" w:color="auto" w:sz="4" w:space="0"/>
            </w:tcBorders>
            <w:vAlign w:val="center"/>
          </w:tcPr>
          <w:p>
            <w:pPr>
              <w:jc w:val="center"/>
              <w:rPr>
                <w:rFonts w:ascii="宋体" w:hAnsi="宋体"/>
                <w:szCs w:val="21"/>
              </w:rPr>
            </w:pPr>
            <w:r>
              <w:rPr>
                <w:rFonts w:hint="eastAsia" w:ascii="宋体" w:hAnsi="宋体"/>
                <w:szCs w:val="21"/>
              </w:rPr>
              <w:t>15</w:t>
            </w:r>
          </w:p>
        </w:tc>
        <w:tc>
          <w:tcPr>
            <w:tcW w:w="1224" w:type="dxa"/>
            <w:vAlign w:val="center"/>
          </w:tcPr>
          <w:p>
            <w:pPr>
              <w:jc w:val="center"/>
              <w:rPr>
                <w:rFonts w:ascii="宋体" w:hAnsi="宋体"/>
                <w:szCs w:val="21"/>
              </w:rPr>
            </w:pPr>
            <w:r>
              <w:rPr>
                <w:rFonts w:hint="eastAsia" w:ascii="宋体" w:hAnsi="宋体"/>
                <w:szCs w:val="21"/>
              </w:rPr>
              <w:t>18</w:t>
            </w:r>
          </w:p>
        </w:tc>
        <w:tc>
          <w:tcPr>
            <w:tcW w:w="1224" w:type="dxa"/>
            <w:vAlign w:val="center"/>
          </w:tcPr>
          <w:p>
            <w:pPr>
              <w:jc w:val="center"/>
              <w:rPr>
                <w:rFonts w:ascii="宋体" w:hAnsi="宋体"/>
                <w:szCs w:val="21"/>
              </w:rPr>
            </w:pPr>
            <w:r>
              <w:rPr>
                <w:rFonts w:hint="eastAsia" w:ascii="宋体" w:hAnsi="宋体"/>
                <w:szCs w:val="21"/>
              </w:rPr>
              <w:t>20</w:t>
            </w:r>
          </w:p>
        </w:tc>
        <w:tc>
          <w:tcPr>
            <w:tcW w:w="1224" w:type="dxa"/>
            <w:vAlign w:val="center"/>
          </w:tcPr>
          <w:p>
            <w:pPr>
              <w:jc w:val="center"/>
              <w:rPr>
                <w:rFonts w:ascii="宋体" w:hAnsi="宋体"/>
                <w:szCs w:val="21"/>
              </w:rPr>
            </w:pPr>
            <w:r>
              <w:rPr>
                <w:rFonts w:hint="eastAsia" w:ascii="宋体" w:hAnsi="宋体"/>
                <w:szCs w:val="21"/>
              </w:rPr>
              <w:t>25</w:t>
            </w:r>
          </w:p>
        </w:tc>
        <w:tc>
          <w:tcPr>
            <w:tcW w:w="1224" w:type="dxa"/>
            <w:vAlign w:val="center"/>
          </w:tcPr>
          <w:p>
            <w:pPr>
              <w:jc w:val="center"/>
              <w:rPr>
                <w:rFonts w:ascii="宋体" w:hAnsi="宋体"/>
                <w:szCs w:val="21"/>
              </w:rPr>
            </w:pP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260" w:type="dxa"/>
          </w:tcPr>
          <w:p>
            <w:pPr>
              <w:jc w:val="center"/>
              <w:rPr>
                <w:rFonts w:ascii="宋体" w:hAnsi="宋体"/>
                <w:szCs w:val="21"/>
              </w:rPr>
            </w:pPr>
            <w:r>
              <w:rPr>
                <w:rFonts w:hint="eastAsia" w:ascii="宋体" w:hAnsi="宋体"/>
                <w:szCs w:val="21"/>
              </w:rPr>
              <w:t>Bi量(mg)</w:t>
            </w:r>
          </w:p>
        </w:tc>
        <w:tc>
          <w:tcPr>
            <w:tcW w:w="900" w:type="dxa"/>
          </w:tcPr>
          <w:p>
            <w:pPr>
              <w:jc w:val="center"/>
              <w:rPr>
                <w:rFonts w:ascii="宋体" w:hAnsi="宋体"/>
                <w:szCs w:val="21"/>
              </w:rPr>
            </w:pPr>
            <w:r>
              <w:rPr>
                <w:rFonts w:hint="eastAsia" w:ascii="宋体" w:hAnsi="宋体"/>
                <w:szCs w:val="21"/>
              </w:rPr>
              <w:t>1.00</w:t>
            </w:r>
          </w:p>
        </w:tc>
        <w:tc>
          <w:tcPr>
            <w:tcW w:w="1224" w:type="dxa"/>
            <w:tcBorders>
              <w:left w:val="single" w:color="auto" w:sz="4" w:space="0"/>
            </w:tcBorders>
            <w:vAlign w:val="center"/>
          </w:tcPr>
          <w:p>
            <w:pPr>
              <w:jc w:val="center"/>
              <w:rPr>
                <w:rFonts w:ascii="宋体" w:hAnsi="宋体"/>
                <w:szCs w:val="21"/>
              </w:rPr>
            </w:pPr>
            <w:r>
              <w:rPr>
                <w:rFonts w:hint="eastAsia" w:ascii="宋体" w:hAnsi="宋体"/>
                <w:szCs w:val="21"/>
              </w:rPr>
              <w:t>0.535</w:t>
            </w:r>
          </w:p>
        </w:tc>
        <w:tc>
          <w:tcPr>
            <w:tcW w:w="1224" w:type="dxa"/>
            <w:vAlign w:val="center"/>
          </w:tcPr>
          <w:p>
            <w:pPr>
              <w:jc w:val="center"/>
              <w:rPr>
                <w:rFonts w:ascii="宋体" w:hAnsi="宋体"/>
                <w:szCs w:val="21"/>
              </w:rPr>
            </w:pPr>
            <w:r>
              <w:rPr>
                <w:rFonts w:hint="eastAsia" w:ascii="宋体" w:hAnsi="宋体"/>
                <w:szCs w:val="21"/>
              </w:rPr>
              <w:t>0.539</w:t>
            </w:r>
          </w:p>
        </w:tc>
        <w:tc>
          <w:tcPr>
            <w:tcW w:w="1224" w:type="dxa"/>
            <w:vAlign w:val="center"/>
          </w:tcPr>
          <w:p>
            <w:pPr>
              <w:jc w:val="center"/>
              <w:rPr>
                <w:rFonts w:ascii="宋体" w:hAnsi="宋体"/>
                <w:szCs w:val="21"/>
              </w:rPr>
            </w:pPr>
            <w:r>
              <w:rPr>
                <w:rFonts w:hint="eastAsia" w:ascii="宋体" w:hAnsi="宋体"/>
                <w:szCs w:val="21"/>
              </w:rPr>
              <w:t>0.538</w:t>
            </w:r>
          </w:p>
        </w:tc>
        <w:tc>
          <w:tcPr>
            <w:tcW w:w="1224" w:type="dxa"/>
            <w:vAlign w:val="center"/>
          </w:tcPr>
          <w:p>
            <w:pPr>
              <w:jc w:val="center"/>
              <w:rPr>
                <w:rFonts w:ascii="宋体" w:hAnsi="宋体"/>
                <w:szCs w:val="21"/>
              </w:rPr>
            </w:pPr>
            <w:r>
              <w:rPr>
                <w:rFonts w:hint="eastAsia" w:ascii="宋体" w:hAnsi="宋体"/>
                <w:szCs w:val="21"/>
              </w:rPr>
              <w:t>0.539</w:t>
            </w:r>
          </w:p>
        </w:tc>
        <w:tc>
          <w:tcPr>
            <w:tcW w:w="1224" w:type="dxa"/>
            <w:vAlign w:val="center"/>
          </w:tcPr>
          <w:p>
            <w:pPr>
              <w:jc w:val="center"/>
              <w:rPr>
                <w:rFonts w:ascii="宋体" w:hAnsi="宋体"/>
                <w:szCs w:val="21"/>
              </w:rPr>
            </w:pPr>
            <w:r>
              <w:rPr>
                <w:rFonts w:hint="eastAsia" w:ascii="宋体" w:hAnsi="宋体"/>
                <w:szCs w:val="21"/>
              </w:rPr>
              <w:t>0.540</w:t>
            </w:r>
          </w:p>
        </w:tc>
      </w:tr>
    </w:tbl>
    <w:p>
      <w:pPr>
        <w:spacing w:line="360" w:lineRule="auto"/>
        <w:ind w:firstLine="420" w:firstLineChars="200"/>
        <w:rPr>
          <w:rFonts w:ascii="宋体" w:hAnsi="宋体"/>
          <w:szCs w:val="21"/>
        </w:rPr>
      </w:pPr>
      <w:r>
        <w:rPr>
          <w:rFonts w:hint="eastAsia" w:ascii="宋体" w:hAnsi="宋体"/>
          <w:szCs w:val="21"/>
        </w:rPr>
        <w:t>实验结果表明：在正常的室温条件下，显色反应正常进行，不需要苛刻的显色温度。</w:t>
      </w:r>
    </w:p>
    <w:p>
      <w:pPr>
        <w:spacing w:line="360" w:lineRule="auto"/>
        <w:rPr>
          <w:rFonts w:ascii="宋体" w:hAnsi="宋体"/>
          <w:szCs w:val="21"/>
        </w:rPr>
      </w:pPr>
      <w:r>
        <w:rPr>
          <w:rFonts w:hint="eastAsia" w:ascii="宋体" w:hAnsi="宋体"/>
          <w:szCs w:val="21"/>
        </w:rPr>
        <w:t>3.2  共存元素的干扰试验</w:t>
      </w:r>
    </w:p>
    <w:p>
      <w:pPr>
        <w:spacing w:line="360" w:lineRule="auto"/>
        <w:ind w:firstLine="420" w:firstLineChars="200"/>
        <w:rPr>
          <w:rFonts w:ascii="宋体" w:hAnsi="宋体"/>
          <w:szCs w:val="21"/>
        </w:rPr>
      </w:pPr>
      <w:r>
        <w:rPr>
          <w:rFonts w:hint="eastAsia" w:ascii="宋体" w:hAnsi="宋体"/>
          <w:szCs w:val="21"/>
        </w:rPr>
        <w:t>标准起草项目组通过对GB/T 8733－2016《铸造铝合金锭》、GB/T 3190－201X《变形铝及铝合金化学成分》、GB/T 1196－2017《重熔用铝锭》、YS/T 275－2008《高纯铝》、YS/T 665－2009《重熔用精铝锭》等相关铝及铝合金产品标准中分析检测铋含量的牌号进行查对，在不考虑高含量Si对铋元素的干扰时，方法需要考虑的铝及铝合金牌号为：6.0%Cu（2111）对Bi（0.20%）的影响；6.5%Zn（7032）对Bi（0.01%）的影响；2.5%Mg（7032）对Bi（0.01%）的影响；1.2%Mn（5043）对Bi（0.05%）的影响；2.0%Pb（2005）对Bi（0.20%）的影响；1.9%Sn（2007B）对Bi（0.10%）的影响；0.25%Cr（7032）对Bi（0.01%）的影响等7种情况。按照YS/T 807.9-2012《铝中间合金化学分析方法  第9部分：铋含量的测定　</w:t>
      </w:r>
      <w:r>
        <w:rPr>
          <w:rFonts w:hint="eastAsia" w:ascii="宋体" w:hAnsi="宋体"/>
        </w:rPr>
        <w:t>碘化钾分光光度法</w:t>
      </w:r>
      <w:r>
        <w:rPr>
          <w:rFonts w:hint="eastAsia" w:ascii="宋体" w:hAnsi="宋体"/>
          <w:szCs w:val="21"/>
        </w:rPr>
        <w:t>》</w:t>
      </w:r>
      <w:r>
        <w:rPr>
          <w:rFonts w:hint="eastAsia" w:ascii="宋体" w:hAnsi="宋体"/>
          <w:bCs/>
          <w:color w:val="000000"/>
          <w:szCs w:val="21"/>
        </w:rPr>
        <w:t>中的规定，称样量为1.00g。</w:t>
      </w:r>
      <w:r>
        <w:rPr>
          <w:rFonts w:hint="eastAsia" w:ascii="宋体" w:hAnsi="宋体"/>
          <w:szCs w:val="21"/>
        </w:rPr>
        <w:t>按照表8计算的共存元素最大加入量见表9。</w:t>
      </w:r>
    </w:p>
    <w:p>
      <w:pPr>
        <w:jc w:val="center"/>
        <w:rPr>
          <w:rFonts w:ascii="宋体" w:hAnsi="宋体"/>
          <w:bCs/>
          <w:color w:val="000000"/>
          <w:szCs w:val="21"/>
        </w:rPr>
      </w:pPr>
      <w:r>
        <w:rPr>
          <w:rFonts w:hint="eastAsia" w:ascii="宋体" w:hAnsi="宋体"/>
          <w:bCs/>
          <w:color w:val="000000"/>
          <w:szCs w:val="21"/>
        </w:rPr>
        <w:t>表8</w:t>
      </w:r>
    </w:p>
    <w:tbl>
      <w:tblPr>
        <w:tblStyle w:val="2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tcPr>
          <w:p>
            <w:pPr>
              <w:jc w:val="center"/>
              <w:rPr>
                <w:rFonts w:ascii="宋体" w:hAnsi="宋体"/>
                <w:bCs/>
                <w:color w:val="000000"/>
                <w:szCs w:val="21"/>
              </w:rPr>
            </w:pPr>
            <w:r>
              <w:rPr>
                <w:rFonts w:hint="eastAsia" w:ascii="宋体" w:hAnsi="宋体"/>
                <w:bCs/>
                <w:color w:val="000000"/>
                <w:szCs w:val="21"/>
              </w:rPr>
              <w:t>铋的质量分数/%</w:t>
            </w:r>
          </w:p>
        </w:tc>
        <w:tc>
          <w:tcPr>
            <w:tcW w:w="2552" w:type="dxa"/>
          </w:tcPr>
          <w:p>
            <w:pPr>
              <w:jc w:val="center"/>
              <w:rPr>
                <w:rFonts w:ascii="宋体" w:hAnsi="宋体"/>
                <w:bCs/>
                <w:color w:val="000000"/>
                <w:szCs w:val="21"/>
              </w:rPr>
            </w:pPr>
            <w:r>
              <w:rPr>
                <w:rFonts w:hint="eastAsia" w:ascii="宋体" w:hAnsi="宋体"/>
                <w:bCs/>
                <w:color w:val="000000"/>
                <w:szCs w:val="21"/>
              </w:rPr>
              <w:t>容量瓶体积/mL</w:t>
            </w:r>
          </w:p>
        </w:tc>
        <w:tc>
          <w:tcPr>
            <w:tcW w:w="2693" w:type="dxa"/>
          </w:tcPr>
          <w:p>
            <w:pPr>
              <w:jc w:val="center"/>
              <w:rPr>
                <w:rFonts w:ascii="宋体" w:hAnsi="宋体"/>
                <w:bCs/>
                <w:color w:val="000000"/>
                <w:szCs w:val="21"/>
              </w:rPr>
            </w:pPr>
            <w:r>
              <w:rPr>
                <w:rFonts w:hint="eastAsia" w:ascii="宋体" w:hAnsi="宋体"/>
                <w:bCs/>
                <w:color w:val="000000"/>
                <w:szCs w:val="21"/>
              </w:rPr>
              <w:t>移取体积/mL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Cs w:val="21"/>
              </w:rPr>
            </w:pPr>
            <w:r>
              <w:rPr>
                <w:rFonts w:hint="eastAsia" w:ascii="宋体" w:hAnsi="宋体"/>
                <w:szCs w:val="21"/>
              </w:rPr>
              <w:t>0.010～0.040</w:t>
            </w:r>
          </w:p>
        </w:tc>
        <w:tc>
          <w:tcPr>
            <w:tcW w:w="2552" w:type="dxa"/>
          </w:tcPr>
          <w:p>
            <w:pPr>
              <w:jc w:val="center"/>
              <w:rPr>
                <w:rFonts w:ascii="宋体" w:hAnsi="宋体"/>
                <w:color w:val="000000"/>
                <w:szCs w:val="21"/>
              </w:rPr>
            </w:pPr>
            <w:r>
              <w:rPr>
                <w:rFonts w:hint="eastAsia" w:ascii="宋体" w:hAnsi="宋体"/>
                <w:color w:val="000000"/>
                <w:szCs w:val="21"/>
              </w:rPr>
              <w:t>——</w:t>
            </w:r>
          </w:p>
        </w:tc>
        <w:tc>
          <w:tcPr>
            <w:tcW w:w="2693" w:type="dxa"/>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Cs w:val="21"/>
              </w:rPr>
            </w:pPr>
            <w:r>
              <w:rPr>
                <w:rFonts w:hint="eastAsia" w:ascii="宋体" w:hAnsi="宋体"/>
                <w:szCs w:val="21"/>
              </w:rPr>
              <w:t>＞0.040～0.40</w:t>
            </w:r>
          </w:p>
        </w:tc>
        <w:tc>
          <w:tcPr>
            <w:tcW w:w="2552" w:type="dxa"/>
          </w:tcPr>
          <w:p>
            <w:pPr>
              <w:jc w:val="center"/>
              <w:rPr>
                <w:rFonts w:ascii="宋体" w:hAnsi="宋体"/>
                <w:color w:val="000000"/>
                <w:szCs w:val="21"/>
              </w:rPr>
            </w:pPr>
            <w:r>
              <w:rPr>
                <w:rFonts w:hint="eastAsia" w:ascii="宋体" w:hAnsi="宋体"/>
                <w:color w:val="000000"/>
                <w:szCs w:val="21"/>
              </w:rPr>
              <w:t>100</w:t>
            </w:r>
          </w:p>
        </w:tc>
        <w:tc>
          <w:tcPr>
            <w:tcW w:w="2693" w:type="dxa"/>
          </w:tcPr>
          <w:p>
            <w:pPr>
              <w:jc w:val="center"/>
              <w:rPr>
                <w:rFonts w:ascii="宋体" w:hAnsi="宋体"/>
                <w:color w:val="000000"/>
                <w:szCs w:val="21"/>
              </w:rPr>
            </w:pPr>
            <w:r>
              <w:rPr>
                <w:rFonts w:hint="eastAsia" w:ascii="宋体" w:hAnsi="宋体"/>
                <w:color w:val="00000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Cs w:val="21"/>
              </w:rPr>
            </w:pPr>
            <w:r>
              <w:rPr>
                <w:rFonts w:hint="eastAsia" w:ascii="宋体" w:hAnsi="宋体"/>
                <w:szCs w:val="21"/>
              </w:rPr>
              <w:t>＞0.40～1.0</w:t>
            </w:r>
          </w:p>
        </w:tc>
        <w:tc>
          <w:tcPr>
            <w:tcW w:w="2552" w:type="dxa"/>
          </w:tcPr>
          <w:p>
            <w:pPr>
              <w:jc w:val="center"/>
              <w:rPr>
                <w:rFonts w:ascii="宋体" w:hAnsi="宋体"/>
                <w:color w:val="000000"/>
                <w:szCs w:val="21"/>
              </w:rPr>
            </w:pPr>
            <w:r>
              <w:rPr>
                <w:rFonts w:hint="eastAsia" w:ascii="宋体" w:hAnsi="宋体"/>
                <w:color w:val="000000"/>
                <w:szCs w:val="21"/>
              </w:rPr>
              <w:t>100</w:t>
            </w:r>
          </w:p>
        </w:tc>
        <w:tc>
          <w:tcPr>
            <w:tcW w:w="2693" w:type="dxa"/>
          </w:tcPr>
          <w:p>
            <w:pPr>
              <w:jc w:val="center"/>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Cs w:val="21"/>
              </w:rPr>
            </w:pPr>
            <w:r>
              <w:rPr>
                <w:rFonts w:hint="eastAsia" w:ascii="宋体" w:hAnsi="宋体"/>
                <w:szCs w:val="21"/>
              </w:rPr>
              <w:t>＞1.0～2.5</w:t>
            </w:r>
          </w:p>
        </w:tc>
        <w:tc>
          <w:tcPr>
            <w:tcW w:w="2552" w:type="dxa"/>
          </w:tcPr>
          <w:p>
            <w:pPr>
              <w:jc w:val="center"/>
              <w:rPr>
                <w:rFonts w:ascii="宋体" w:hAnsi="宋体"/>
                <w:color w:val="000000"/>
                <w:szCs w:val="21"/>
              </w:rPr>
            </w:pPr>
            <w:r>
              <w:rPr>
                <w:rFonts w:hint="eastAsia" w:ascii="宋体" w:hAnsi="宋体"/>
                <w:color w:val="000000"/>
                <w:szCs w:val="21"/>
              </w:rPr>
              <w:t>250</w:t>
            </w:r>
          </w:p>
        </w:tc>
        <w:tc>
          <w:tcPr>
            <w:tcW w:w="2693" w:type="dxa"/>
          </w:tcPr>
          <w:p>
            <w:pPr>
              <w:jc w:val="center"/>
              <w:rPr>
                <w:rFonts w:ascii="宋体" w:hAnsi="宋体"/>
                <w:color w:val="000000"/>
                <w:szCs w:val="21"/>
              </w:rPr>
            </w:pPr>
            <w:r>
              <w:rPr>
                <w:rFonts w:hint="eastAsia" w:ascii="宋体" w:hAnsi="宋体"/>
                <w:color w:val="000000"/>
                <w:szCs w:val="21"/>
              </w:rPr>
              <w:t>10.00</w:t>
            </w:r>
          </w:p>
        </w:tc>
      </w:tr>
    </w:tbl>
    <w:p>
      <w:pPr>
        <w:jc w:val="center"/>
        <w:rPr>
          <w:rFonts w:ascii="宋体" w:hAnsi="宋体"/>
          <w:bCs/>
          <w:color w:val="000000"/>
          <w:szCs w:val="21"/>
        </w:rPr>
      </w:pPr>
    </w:p>
    <w:p>
      <w:pPr>
        <w:jc w:val="center"/>
        <w:rPr>
          <w:rFonts w:ascii="宋体" w:hAnsi="宋体"/>
          <w:bCs/>
          <w:color w:val="000000"/>
          <w:szCs w:val="21"/>
        </w:rPr>
      </w:pPr>
      <w:r>
        <w:rPr>
          <w:rFonts w:hint="eastAsia" w:ascii="宋体" w:hAnsi="宋体"/>
          <w:bCs/>
          <w:color w:val="000000"/>
          <w:szCs w:val="21"/>
        </w:rPr>
        <w:t>表9</w:t>
      </w:r>
    </w:p>
    <w:tbl>
      <w:tblPr>
        <w:tblStyle w:val="2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bCs/>
                <w:color w:val="000000"/>
                <w:szCs w:val="21"/>
              </w:rPr>
              <w:t>最大量共存元素合金牌号</w:t>
            </w:r>
          </w:p>
        </w:tc>
        <w:tc>
          <w:tcPr>
            <w:tcW w:w="1984" w:type="dxa"/>
          </w:tcPr>
          <w:p>
            <w:pPr>
              <w:jc w:val="center"/>
              <w:rPr>
                <w:rFonts w:ascii="宋体" w:hAnsi="宋体"/>
                <w:bCs/>
                <w:color w:val="000000"/>
                <w:szCs w:val="21"/>
              </w:rPr>
            </w:pPr>
            <w:r>
              <w:rPr>
                <w:rFonts w:hint="eastAsia" w:ascii="宋体" w:hAnsi="宋体"/>
                <w:bCs/>
                <w:color w:val="000000"/>
                <w:szCs w:val="21"/>
              </w:rPr>
              <w:t>锆的质量分数/%</w:t>
            </w:r>
          </w:p>
        </w:tc>
        <w:tc>
          <w:tcPr>
            <w:tcW w:w="1418" w:type="dxa"/>
          </w:tcPr>
          <w:p>
            <w:pPr>
              <w:jc w:val="center"/>
              <w:rPr>
                <w:rFonts w:ascii="宋体" w:hAnsi="宋体"/>
                <w:bCs/>
                <w:color w:val="000000"/>
                <w:szCs w:val="21"/>
              </w:rPr>
            </w:pPr>
            <w:r>
              <w:rPr>
                <w:rFonts w:hint="eastAsia" w:ascii="宋体" w:hAnsi="宋体"/>
                <w:bCs/>
                <w:color w:val="000000"/>
                <w:szCs w:val="21"/>
              </w:rPr>
              <w:t>试料量/g</w:t>
            </w:r>
          </w:p>
        </w:tc>
        <w:tc>
          <w:tcPr>
            <w:tcW w:w="2126" w:type="dxa"/>
          </w:tcPr>
          <w:p>
            <w:pPr>
              <w:jc w:val="center"/>
              <w:rPr>
                <w:rFonts w:ascii="宋体" w:hAnsi="宋体"/>
                <w:bCs/>
                <w:color w:val="000000"/>
                <w:szCs w:val="21"/>
              </w:rPr>
            </w:pPr>
            <w:r>
              <w:rPr>
                <w:rFonts w:hint="eastAsia" w:ascii="宋体" w:hAnsi="宋体"/>
                <w:bCs/>
                <w:color w:val="000000"/>
                <w:szCs w:val="21"/>
              </w:rPr>
              <w:t>共存元素最大量/mg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6.0%Cu（2111）</w:t>
            </w:r>
          </w:p>
        </w:tc>
        <w:tc>
          <w:tcPr>
            <w:tcW w:w="1984" w:type="dxa"/>
          </w:tcPr>
          <w:p>
            <w:pPr>
              <w:jc w:val="center"/>
              <w:rPr>
                <w:rFonts w:ascii="宋体" w:hAnsi="宋体"/>
                <w:bCs/>
                <w:color w:val="000000"/>
                <w:szCs w:val="21"/>
              </w:rPr>
            </w:pPr>
            <w:r>
              <w:rPr>
                <w:rFonts w:hint="eastAsia" w:ascii="宋体" w:hAnsi="宋体"/>
                <w:szCs w:val="21"/>
              </w:rPr>
              <w:t>0.20</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6.5%Zn（7032）</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2.5%Mg（7032）</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1.2%Mn（5043）</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2.0%Pb（2005）</w:t>
            </w:r>
          </w:p>
        </w:tc>
        <w:tc>
          <w:tcPr>
            <w:tcW w:w="1984" w:type="dxa"/>
          </w:tcPr>
          <w:p>
            <w:pPr>
              <w:jc w:val="center"/>
              <w:rPr>
                <w:rFonts w:ascii="宋体" w:hAnsi="宋体"/>
                <w:bCs/>
                <w:color w:val="000000"/>
                <w:szCs w:val="21"/>
              </w:rPr>
            </w:pPr>
            <w:r>
              <w:rPr>
                <w:rFonts w:hint="eastAsia" w:ascii="宋体" w:hAnsi="宋体"/>
                <w:szCs w:val="21"/>
              </w:rPr>
              <w:t>0.20</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1.9%Sn（2007B）</w:t>
            </w:r>
          </w:p>
        </w:tc>
        <w:tc>
          <w:tcPr>
            <w:tcW w:w="1984" w:type="dxa"/>
          </w:tcPr>
          <w:p>
            <w:pPr>
              <w:jc w:val="center"/>
              <w:rPr>
                <w:rFonts w:ascii="宋体" w:hAnsi="宋体"/>
                <w:bCs/>
                <w:color w:val="000000"/>
                <w:szCs w:val="21"/>
              </w:rPr>
            </w:pPr>
            <w:r>
              <w:rPr>
                <w:rFonts w:hint="eastAsia" w:ascii="宋体" w:hAnsi="宋体"/>
                <w:szCs w:val="21"/>
              </w:rPr>
              <w:t>0.10</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0.25%Cr（7032）</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2.5</w:t>
            </w:r>
          </w:p>
        </w:tc>
      </w:tr>
    </w:tbl>
    <w:p>
      <w:pPr>
        <w:spacing w:line="360" w:lineRule="auto"/>
        <w:ind w:firstLine="420" w:firstLineChars="200"/>
        <w:rPr>
          <w:rFonts w:ascii="宋体" w:hAnsi="宋体"/>
          <w:szCs w:val="21"/>
        </w:rPr>
      </w:pPr>
      <w:r>
        <w:rPr>
          <w:rFonts w:hint="eastAsia" w:ascii="宋体" w:hAnsi="宋体"/>
          <w:szCs w:val="21"/>
        </w:rPr>
        <w:t>按照YS/T  807.9-2012《铝中间合金化学分析方法  第9部分：铋含量的测定　</w:t>
      </w:r>
      <w:r>
        <w:rPr>
          <w:rFonts w:hint="eastAsia" w:ascii="宋体" w:hAnsi="宋体"/>
        </w:rPr>
        <w:t>碘化钾分光光度法</w:t>
      </w:r>
      <w:r>
        <w:rPr>
          <w:rFonts w:hint="eastAsia" w:ascii="宋体" w:hAnsi="宋体"/>
          <w:szCs w:val="21"/>
        </w:rPr>
        <w:t>》</w:t>
      </w:r>
      <w:r>
        <w:rPr>
          <w:rFonts w:hint="eastAsia" w:ascii="宋体" w:hAnsi="宋体"/>
          <w:bCs/>
          <w:color w:val="000000"/>
          <w:szCs w:val="21"/>
        </w:rPr>
        <w:t>进行</w:t>
      </w:r>
      <w:r>
        <w:rPr>
          <w:rFonts w:hint="eastAsia" w:ascii="宋体" w:hAnsi="宋体"/>
          <w:szCs w:val="21"/>
        </w:rPr>
        <w:t>单元素干扰试验，结果见表10。</w:t>
      </w:r>
    </w:p>
    <w:p>
      <w:pPr>
        <w:jc w:val="center"/>
        <w:rPr>
          <w:rFonts w:ascii="宋体" w:hAnsi="宋体"/>
          <w:szCs w:val="21"/>
        </w:rPr>
      </w:pPr>
      <w:r>
        <w:rPr>
          <w:rFonts w:hint="eastAsia" w:ascii="宋体" w:hAnsi="宋体"/>
          <w:szCs w:val="21"/>
        </w:rPr>
        <w:t>表10  共存元素干扰试验（1000μg铋）</w:t>
      </w:r>
    </w:p>
    <w:tbl>
      <w:tblPr>
        <w:tblStyle w:val="21"/>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37"/>
        <w:gridCol w:w="1386"/>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共存离子</w:t>
            </w:r>
          </w:p>
        </w:tc>
        <w:tc>
          <w:tcPr>
            <w:tcW w:w="2537" w:type="dxa"/>
          </w:tcPr>
          <w:p>
            <w:pPr>
              <w:jc w:val="center"/>
              <w:rPr>
                <w:rFonts w:ascii="宋体" w:hAnsi="宋体"/>
                <w:szCs w:val="21"/>
              </w:rPr>
            </w:pPr>
            <w:r>
              <w:rPr>
                <w:rFonts w:hint="eastAsia" w:ascii="宋体" w:hAnsi="宋体"/>
                <w:szCs w:val="21"/>
              </w:rPr>
              <w:t>共存离子加入量（mg）</w:t>
            </w:r>
          </w:p>
        </w:tc>
        <w:tc>
          <w:tcPr>
            <w:tcW w:w="1386" w:type="dxa"/>
          </w:tcPr>
          <w:p>
            <w:pPr>
              <w:jc w:val="center"/>
              <w:rPr>
                <w:rFonts w:ascii="宋体" w:hAnsi="宋体"/>
                <w:szCs w:val="21"/>
              </w:rPr>
            </w:pPr>
            <w:r>
              <w:rPr>
                <w:rFonts w:hint="eastAsia" w:ascii="宋体" w:hAnsi="宋体"/>
                <w:szCs w:val="21"/>
              </w:rPr>
              <w:t>加入形式</w:t>
            </w:r>
          </w:p>
        </w:tc>
        <w:tc>
          <w:tcPr>
            <w:tcW w:w="1791" w:type="dxa"/>
          </w:tcPr>
          <w:p>
            <w:pPr>
              <w:jc w:val="center"/>
              <w:rPr>
                <w:rFonts w:ascii="宋体" w:hAnsi="宋体"/>
                <w:szCs w:val="21"/>
              </w:rPr>
            </w:pPr>
            <w:r>
              <w:rPr>
                <w:rFonts w:hint="eastAsia" w:ascii="宋体" w:hAnsi="宋体"/>
                <w:szCs w:val="21"/>
              </w:rPr>
              <w:t>测得铋量（μg）</w:t>
            </w:r>
          </w:p>
        </w:tc>
        <w:tc>
          <w:tcPr>
            <w:tcW w:w="1265" w:type="dxa"/>
          </w:tcPr>
          <w:p>
            <w:pPr>
              <w:jc w:val="center"/>
              <w:rPr>
                <w:rFonts w:ascii="宋体" w:hAnsi="宋体"/>
                <w:szCs w:val="21"/>
              </w:rPr>
            </w:pPr>
            <w:r>
              <w:rPr>
                <w:rFonts w:hint="eastAsia" w:ascii="宋体" w:hAnsi="宋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Na</w:t>
            </w:r>
            <w:r>
              <w:rPr>
                <w:rFonts w:hint="eastAsia" w:ascii="宋体" w:hAnsi="宋体"/>
                <w:szCs w:val="21"/>
                <w:vertAlign w:val="subscript"/>
              </w:rPr>
              <w:t>2</w:t>
            </w:r>
            <w:r>
              <w:rPr>
                <w:rFonts w:hint="eastAsia" w:ascii="宋体" w:hAnsi="宋体"/>
                <w:szCs w:val="21"/>
              </w:rPr>
              <w:t>SiO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1002</w:t>
            </w:r>
          </w:p>
        </w:tc>
        <w:tc>
          <w:tcPr>
            <w:tcW w:w="1265" w:type="dxa"/>
          </w:tcPr>
          <w:p>
            <w:pPr>
              <w:jc w:val="center"/>
              <w:rPr>
                <w:rFonts w:ascii="宋体" w:hAnsi="宋体"/>
                <w:szCs w:val="21"/>
              </w:rPr>
            </w:pPr>
            <w:r>
              <w:rPr>
                <w:rFonts w:hint="eastAsia" w:ascii="宋体" w:hAnsi="宋体"/>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Cu</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60</w:t>
            </w:r>
          </w:p>
        </w:tc>
        <w:tc>
          <w:tcPr>
            <w:tcW w:w="1386" w:type="dxa"/>
          </w:tcPr>
          <w:p>
            <w:pPr>
              <w:jc w:val="center"/>
              <w:rPr>
                <w:rFonts w:ascii="宋体" w:hAnsi="宋体"/>
                <w:szCs w:val="21"/>
              </w:rPr>
            </w:pPr>
            <w:r>
              <w:rPr>
                <w:rFonts w:hint="eastAsia" w:ascii="宋体" w:hAnsi="宋体"/>
                <w:szCs w:val="21"/>
              </w:rPr>
              <w:t>CuSO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995</w:t>
            </w:r>
          </w:p>
        </w:tc>
        <w:tc>
          <w:tcPr>
            <w:tcW w:w="1265" w:type="dxa"/>
          </w:tcPr>
          <w:p>
            <w:pPr>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Mg</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MgSO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998</w:t>
            </w:r>
          </w:p>
        </w:tc>
        <w:tc>
          <w:tcPr>
            <w:tcW w:w="1265" w:type="dxa"/>
          </w:tcPr>
          <w:p>
            <w:pPr>
              <w:jc w:val="center"/>
              <w:rPr>
                <w:rFonts w:ascii="宋体" w:hAnsi="宋体"/>
                <w:szCs w:val="21"/>
              </w:rPr>
            </w:pPr>
            <w:r>
              <w:rPr>
                <w:rFonts w:hint="eastAsia" w:ascii="宋体" w:hAnsi="宋体"/>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12</w:t>
            </w:r>
          </w:p>
        </w:tc>
        <w:tc>
          <w:tcPr>
            <w:tcW w:w="1386" w:type="dxa"/>
          </w:tcPr>
          <w:p>
            <w:pPr>
              <w:jc w:val="center"/>
              <w:rPr>
                <w:rFonts w:ascii="宋体" w:hAnsi="宋体"/>
                <w:szCs w:val="21"/>
              </w:rPr>
            </w:pPr>
            <w:r>
              <w:rPr>
                <w:rFonts w:hint="eastAsia" w:ascii="宋体" w:hAnsi="宋体"/>
                <w:szCs w:val="21"/>
              </w:rPr>
              <w:t>MnSO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65</w:t>
            </w:r>
          </w:p>
        </w:tc>
        <w:tc>
          <w:tcPr>
            <w:tcW w:w="1386" w:type="dxa"/>
          </w:tcPr>
          <w:p>
            <w:pPr>
              <w:jc w:val="center"/>
              <w:rPr>
                <w:rFonts w:ascii="宋体" w:hAnsi="宋体"/>
                <w:szCs w:val="21"/>
              </w:rPr>
            </w:pPr>
            <w:r>
              <w:rPr>
                <w:rFonts w:hint="eastAsia" w:ascii="宋体" w:hAnsi="宋体"/>
                <w:szCs w:val="21"/>
              </w:rPr>
              <w:t>ZnSO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Pb</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20</w:t>
            </w:r>
          </w:p>
        </w:tc>
        <w:tc>
          <w:tcPr>
            <w:tcW w:w="1386" w:type="dxa"/>
          </w:tcPr>
          <w:p>
            <w:pPr>
              <w:jc w:val="center"/>
              <w:rPr>
                <w:rFonts w:ascii="宋体" w:hAnsi="宋体"/>
                <w:szCs w:val="21"/>
              </w:rPr>
            </w:pPr>
            <w:r>
              <w:rPr>
                <w:rFonts w:hint="eastAsia" w:ascii="宋体" w:hAnsi="宋体"/>
                <w:szCs w:val="21"/>
              </w:rPr>
              <w:t>PbCl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992</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19</w:t>
            </w:r>
          </w:p>
        </w:tc>
        <w:tc>
          <w:tcPr>
            <w:tcW w:w="1386" w:type="dxa"/>
          </w:tcPr>
          <w:p>
            <w:pPr>
              <w:jc w:val="center"/>
              <w:rPr>
                <w:rFonts w:ascii="宋体" w:hAnsi="宋体"/>
                <w:szCs w:val="21"/>
              </w:rPr>
            </w:pPr>
            <w:r>
              <w:rPr>
                <w:rFonts w:hint="eastAsia" w:ascii="宋体" w:hAnsi="宋体"/>
                <w:szCs w:val="21"/>
              </w:rPr>
              <w:t>SnCl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1002</w:t>
            </w:r>
          </w:p>
        </w:tc>
        <w:tc>
          <w:tcPr>
            <w:tcW w:w="1265" w:type="dxa"/>
          </w:tcPr>
          <w:p>
            <w:pPr>
              <w:jc w:val="center"/>
              <w:rPr>
                <w:rFonts w:ascii="宋体" w:hAnsi="宋体"/>
                <w:szCs w:val="21"/>
              </w:rPr>
            </w:pPr>
            <w:r>
              <w:rPr>
                <w:rFonts w:hint="eastAsia" w:ascii="宋体" w:hAnsi="宋体"/>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Cr</w:t>
            </w:r>
            <w:r>
              <w:rPr>
                <w:rFonts w:hint="eastAsia" w:ascii="宋体" w:hAnsi="宋体"/>
                <w:szCs w:val="21"/>
                <w:vertAlign w:val="superscript"/>
              </w:rPr>
              <w:t>7+</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K</w:t>
            </w:r>
            <w:r>
              <w:rPr>
                <w:rFonts w:hint="eastAsia" w:ascii="宋体" w:hAnsi="宋体"/>
                <w:szCs w:val="21"/>
                <w:vertAlign w:val="subscript"/>
              </w:rPr>
              <w:t>2</w:t>
            </w:r>
            <w:r>
              <w:rPr>
                <w:rFonts w:hint="eastAsia" w:ascii="宋体" w:hAnsi="宋体"/>
                <w:szCs w:val="21"/>
              </w:rPr>
              <w:t>CrO</w:t>
            </w:r>
            <w:r>
              <w:rPr>
                <w:rFonts w:hint="eastAsia" w:ascii="宋体" w:hAnsi="宋体"/>
                <w:szCs w:val="21"/>
                <w:vertAlign w:val="subscript"/>
              </w:rPr>
              <w:t>7</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bl>
    <w:p>
      <w:pPr>
        <w:spacing w:line="360" w:lineRule="auto"/>
        <w:ind w:firstLine="420" w:firstLineChars="200"/>
        <w:rPr>
          <w:rFonts w:ascii="宋体" w:hAnsi="宋体"/>
          <w:szCs w:val="21"/>
        </w:rPr>
      </w:pPr>
      <w:r>
        <w:rPr>
          <w:rFonts w:hint="eastAsia" w:ascii="宋体" w:hAnsi="宋体"/>
          <w:szCs w:val="21"/>
        </w:rPr>
        <w:t>由表3可以看出：试液中10mg硅，60mg铜，12mg锰，25mg镁，65mg锌，20mg铅，19mg锡，2.5mg铬（以上非最大量），对1000μg铋的测定无干扰。铝及铝合金中共存的其他元素含量很低，不干扰测定。</w:t>
      </w:r>
    </w:p>
    <w:p>
      <w:pPr>
        <w:spacing w:line="360" w:lineRule="auto"/>
        <w:rPr>
          <w:rFonts w:ascii="宋体" w:hAnsi="宋体"/>
          <w:szCs w:val="21"/>
        </w:rPr>
      </w:pPr>
      <w:r>
        <w:rPr>
          <w:rFonts w:hint="eastAsia" w:ascii="宋体" w:hAnsi="宋体"/>
          <w:szCs w:val="21"/>
        </w:rPr>
        <w:t>3.3  工作曲线</w:t>
      </w:r>
    </w:p>
    <w:p>
      <w:pPr>
        <w:spacing w:line="360" w:lineRule="auto"/>
        <w:rPr>
          <w:rFonts w:ascii="宋体" w:hAnsi="宋体"/>
          <w:szCs w:val="21"/>
        </w:rPr>
      </w:pPr>
      <w:r>
        <w:rPr>
          <w:rFonts w:hint="eastAsia" w:ascii="宋体" w:hAnsi="宋体"/>
          <w:szCs w:val="21"/>
        </w:rPr>
        <w:t>3.3.1 有铝基体的工作曲线：</w:t>
      </w:r>
    </w:p>
    <w:p>
      <w:pPr>
        <w:spacing w:line="360" w:lineRule="auto"/>
        <w:ind w:firstLine="420" w:firstLineChars="200"/>
        <w:rPr>
          <w:rFonts w:ascii="宋体" w:hAnsi="宋体"/>
          <w:szCs w:val="21"/>
        </w:rPr>
      </w:pPr>
      <w:r>
        <w:rPr>
          <w:rFonts w:hint="eastAsia" w:ascii="宋体" w:hAnsi="宋体"/>
          <w:szCs w:val="21"/>
        </w:rPr>
        <w:t>移取10.00mL铝基体溶液（2.1.10）于一组100mL容量瓶中，分别加入0，1.00，2.00， 3.00，4.00，5.00，6.00，8.00，10.00mL铋标准溶液（100ug/mL），各加入15mL硫酸（2.1.1</w:t>
      </w:r>
      <w:r>
        <w:rPr>
          <w:rFonts w:ascii="宋体" w:hAnsi="宋体"/>
          <w:szCs w:val="21"/>
        </w:rPr>
        <w:t>）</w:t>
      </w:r>
      <w:r>
        <w:rPr>
          <w:rFonts w:hint="eastAsia" w:ascii="宋体" w:hAnsi="宋体"/>
          <w:szCs w:val="21"/>
        </w:rPr>
        <w:t>，加水使体积约50mL左右，加入10mL硫脲溶液（2.1.6）和10mL碘化钾溶液（2.1.7），混匀，加水至刻度，摇匀。放置20min，将部分溶液移入1cm吸收池中，</w:t>
      </w:r>
      <w:r>
        <w:rPr>
          <w:rFonts w:hint="eastAsia" w:ascii="宋体" w:hAnsi="宋体"/>
        </w:rPr>
        <w:t>以水为参比</w:t>
      </w:r>
      <w:r>
        <w:rPr>
          <w:rFonts w:hint="eastAsia" w:ascii="宋体" w:hAnsi="宋体"/>
          <w:szCs w:val="21"/>
        </w:rPr>
        <w:t>，在分光光度计波长465nm处，测量其吸光度。以铋量为横坐标，以减去空白值后的吸光度为纵坐标，绘制工作曲线。结果见图2。</w:t>
      </w:r>
    </w:p>
    <w:p>
      <w:pPr>
        <w:spacing w:line="360" w:lineRule="auto"/>
        <w:rPr>
          <w:rFonts w:ascii="宋体" w:hAnsi="宋体"/>
          <w:szCs w:val="21"/>
        </w:rPr>
      </w:pPr>
      <w:r>
        <w:rPr>
          <w:rFonts w:hint="eastAsia" w:ascii="宋体" w:hAnsi="宋体"/>
          <w:szCs w:val="21"/>
        </w:rPr>
        <w:t>3.3.2 无铝基体的工作曲线：</w:t>
      </w:r>
    </w:p>
    <w:p>
      <w:pPr>
        <w:spacing w:line="360" w:lineRule="auto"/>
        <w:ind w:firstLine="420" w:firstLineChars="200"/>
        <w:rPr>
          <w:rFonts w:ascii="宋体" w:hAnsi="宋体"/>
          <w:szCs w:val="21"/>
        </w:rPr>
      </w:pPr>
      <w:r>
        <w:rPr>
          <w:rFonts w:hint="eastAsia" w:ascii="宋体" w:hAnsi="宋体"/>
          <w:szCs w:val="21"/>
        </w:rPr>
        <w:t>于一组100mL容量瓶中，分别加入0.00，1.00，2.00，4.00，6.00，8.00，10.00mL铋标准溶液（2.1.9），各加入15mL硫酸（2.1.1</w:t>
      </w:r>
      <w:r>
        <w:rPr>
          <w:rFonts w:ascii="宋体" w:hAnsi="宋体"/>
          <w:szCs w:val="21"/>
        </w:rPr>
        <w:t>）</w:t>
      </w:r>
      <w:r>
        <w:rPr>
          <w:rFonts w:hint="eastAsia" w:ascii="宋体" w:hAnsi="宋体"/>
          <w:szCs w:val="21"/>
        </w:rPr>
        <w:t>，加水使体积约50mL左右，加入10mL硫脲溶液（2.1.6）和10mL碘化钾溶液（2.1.7），混匀，加水至刻度，摇匀。放置20min，将部分溶液移入1cm吸收池中，</w:t>
      </w:r>
      <w:r>
        <w:rPr>
          <w:rFonts w:hint="eastAsia" w:ascii="宋体" w:hAnsi="宋体"/>
        </w:rPr>
        <w:t>以水为参比</w:t>
      </w:r>
      <w:r>
        <w:rPr>
          <w:rFonts w:hint="eastAsia" w:ascii="宋体" w:hAnsi="宋体"/>
          <w:szCs w:val="21"/>
        </w:rPr>
        <w:t>，在分光光度计波长465nm处，测量其吸光度。以铋量为横坐标，以减去空白值后的吸光度为纵坐标，绘制工作曲线。结果见图2。</w:t>
      </w:r>
    </w:p>
    <w:p>
      <w:pPr>
        <w:jc w:val="center"/>
        <w:rPr>
          <w:rFonts w:ascii="宋体" w:hAnsi="宋体"/>
          <w:szCs w:val="21"/>
        </w:rPr>
      </w:pPr>
      <w:r>
        <w:rPr>
          <w:rFonts w:hint="eastAsia" w:ascii="宋体" w:hAnsi="宋体"/>
          <w:szCs w:val="21"/>
        </w:rPr>
        <w:t>表11  工作曲线标准溶液吸光值</w:t>
      </w:r>
    </w:p>
    <w:tbl>
      <w:tblPr>
        <w:tblStyle w:val="21"/>
        <w:tblW w:w="8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4"/>
        <w:gridCol w:w="795"/>
        <w:gridCol w:w="795"/>
        <w:gridCol w:w="795"/>
        <w:gridCol w:w="795"/>
        <w:gridCol w:w="795"/>
        <w:gridCol w:w="795"/>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20" w:type="dxa"/>
          </w:tcPr>
          <w:p>
            <w:pPr>
              <w:rPr>
                <w:rFonts w:ascii="宋体" w:hAnsi="宋体"/>
                <w:szCs w:val="21"/>
              </w:rPr>
            </w:pPr>
            <w:r>
              <w:rPr>
                <w:rFonts w:hint="eastAsia" w:ascii="宋体" w:hAnsi="宋体"/>
                <w:szCs w:val="21"/>
              </w:rPr>
              <w:t>Bi量/mg</w:t>
            </w:r>
          </w:p>
        </w:tc>
        <w:tc>
          <w:tcPr>
            <w:tcW w:w="794" w:type="dxa"/>
          </w:tcPr>
          <w:p>
            <w:pPr>
              <w:jc w:val="center"/>
              <w:rPr>
                <w:rFonts w:ascii="宋体" w:hAnsi="宋体"/>
                <w:szCs w:val="21"/>
              </w:rPr>
            </w:pPr>
            <w:r>
              <w:rPr>
                <w:rFonts w:hint="eastAsia" w:ascii="宋体" w:hAnsi="宋体"/>
                <w:szCs w:val="21"/>
              </w:rPr>
              <w:t>0</w:t>
            </w:r>
          </w:p>
        </w:tc>
        <w:tc>
          <w:tcPr>
            <w:tcW w:w="795" w:type="dxa"/>
          </w:tcPr>
          <w:p>
            <w:pPr>
              <w:jc w:val="center"/>
              <w:rPr>
                <w:rFonts w:ascii="宋体" w:hAnsi="宋体"/>
                <w:szCs w:val="21"/>
              </w:rPr>
            </w:pPr>
            <w:r>
              <w:rPr>
                <w:rFonts w:hint="eastAsia" w:ascii="宋体" w:hAnsi="宋体"/>
                <w:szCs w:val="21"/>
              </w:rPr>
              <w:t>0.100</w:t>
            </w:r>
          </w:p>
        </w:tc>
        <w:tc>
          <w:tcPr>
            <w:tcW w:w="795" w:type="dxa"/>
          </w:tcPr>
          <w:p>
            <w:pPr>
              <w:jc w:val="center"/>
              <w:rPr>
                <w:rFonts w:ascii="宋体" w:hAnsi="宋体"/>
                <w:szCs w:val="21"/>
              </w:rPr>
            </w:pPr>
            <w:r>
              <w:rPr>
                <w:rFonts w:hint="eastAsia" w:ascii="宋体" w:hAnsi="宋体"/>
                <w:szCs w:val="21"/>
              </w:rPr>
              <w:t>0.200</w:t>
            </w:r>
          </w:p>
        </w:tc>
        <w:tc>
          <w:tcPr>
            <w:tcW w:w="795" w:type="dxa"/>
          </w:tcPr>
          <w:p>
            <w:pPr>
              <w:jc w:val="center"/>
              <w:rPr>
                <w:rFonts w:ascii="宋体" w:hAnsi="宋体"/>
                <w:szCs w:val="21"/>
              </w:rPr>
            </w:pPr>
            <w:r>
              <w:rPr>
                <w:rFonts w:hint="eastAsia" w:ascii="宋体" w:hAnsi="宋体"/>
                <w:szCs w:val="21"/>
              </w:rPr>
              <w:t>0.300</w:t>
            </w:r>
          </w:p>
        </w:tc>
        <w:tc>
          <w:tcPr>
            <w:tcW w:w="795" w:type="dxa"/>
          </w:tcPr>
          <w:p>
            <w:pPr>
              <w:jc w:val="center"/>
              <w:rPr>
                <w:rFonts w:ascii="宋体" w:hAnsi="宋体"/>
                <w:szCs w:val="21"/>
              </w:rPr>
            </w:pPr>
            <w:r>
              <w:rPr>
                <w:rFonts w:hint="eastAsia" w:ascii="宋体" w:hAnsi="宋体"/>
                <w:szCs w:val="21"/>
              </w:rPr>
              <w:t>0.400</w:t>
            </w:r>
          </w:p>
        </w:tc>
        <w:tc>
          <w:tcPr>
            <w:tcW w:w="795" w:type="dxa"/>
          </w:tcPr>
          <w:p>
            <w:pPr>
              <w:jc w:val="center"/>
              <w:rPr>
                <w:rFonts w:ascii="宋体" w:hAnsi="宋体"/>
                <w:szCs w:val="21"/>
              </w:rPr>
            </w:pPr>
            <w:r>
              <w:rPr>
                <w:rFonts w:hint="eastAsia" w:ascii="宋体" w:hAnsi="宋体"/>
                <w:szCs w:val="21"/>
              </w:rPr>
              <w:t>0.500</w:t>
            </w:r>
          </w:p>
        </w:tc>
        <w:tc>
          <w:tcPr>
            <w:tcW w:w="795" w:type="dxa"/>
          </w:tcPr>
          <w:p>
            <w:pPr>
              <w:jc w:val="center"/>
              <w:rPr>
                <w:rFonts w:ascii="宋体" w:hAnsi="宋体"/>
                <w:szCs w:val="21"/>
              </w:rPr>
            </w:pPr>
            <w:r>
              <w:rPr>
                <w:rFonts w:hint="eastAsia" w:ascii="宋体" w:hAnsi="宋体"/>
                <w:szCs w:val="21"/>
              </w:rPr>
              <w:t>0.600</w:t>
            </w:r>
          </w:p>
        </w:tc>
        <w:tc>
          <w:tcPr>
            <w:tcW w:w="795" w:type="dxa"/>
          </w:tcPr>
          <w:p>
            <w:pPr>
              <w:jc w:val="center"/>
              <w:rPr>
                <w:rFonts w:ascii="宋体" w:hAnsi="宋体"/>
                <w:szCs w:val="21"/>
              </w:rPr>
            </w:pPr>
            <w:r>
              <w:rPr>
                <w:rFonts w:hint="eastAsia" w:ascii="宋体" w:hAnsi="宋体"/>
                <w:szCs w:val="21"/>
              </w:rPr>
              <w:t>0.800</w:t>
            </w:r>
          </w:p>
        </w:tc>
        <w:tc>
          <w:tcPr>
            <w:tcW w:w="79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20" w:type="dxa"/>
          </w:tcPr>
          <w:p>
            <w:pPr>
              <w:rPr>
                <w:rFonts w:ascii="宋体" w:hAnsi="宋体"/>
                <w:szCs w:val="21"/>
              </w:rPr>
            </w:pPr>
            <w:r>
              <w:rPr>
                <w:rFonts w:hint="eastAsia" w:ascii="宋体" w:hAnsi="宋体"/>
                <w:szCs w:val="21"/>
              </w:rPr>
              <w:t>有铝吸光值A</w:t>
            </w:r>
          </w:p>
        </w:tc>
        <w:tc>
          <w:tcPr>
            <w:tcW w:w="794" w:type="dxa"/>
          </w:tcPr>
          <w:p>
            <w:pPr>
              <w:jc w:val="center"/>
              <w:rPr>
                <w:rFonts w:ascii="宋体" w:hAnsi="宋体"/>
                <w:szCs w:val="21"/>
              </w:rPr>
            </w:pPr>
            <w:r>
              <w:rPr>
                <w:rFonts w:hint="eastAsia" w:ascii="宋体" w:hAnsi="宋体"/>
                <w:szCs w:val="21"/>
              </w:rPr>
              <w:t>0.002</w:t>
            </w:r>
          </w:p>
        </w:tc>
        <w:tc>
          <w:tcPr>
            <w:tcW w:w="795" w:type="dxa"/>
          </w:tcPr>
          <w:p>
            <w:pPr>
              <w:jc w:val="center"/>
              <w:rPr>
                <w:rFonts w:ascii="宋体" w:hAnsi="宋体"/>
                <w:szCs w:val="21"/>
              </w:rPr>
            </w:pPr>
            <w:r>
              <w:rPr>
                <w:rFonts w:hint="eastAsia" w:ascii="宋体" w:hAnsi="宋体"/>
                <w:szCs w:val="21"/>
              </w:rPr>
              <w:t>0.054</w:t>
            </w:r>
          </w:p>
        </w:tc>
        <w:tc>
          <w:tcPr>
            <w:tcW w:w="795" w:type="dxa"/>
          </w:tcPr>
          <w:p>
            <w:pPr>
              <w:jc w:val="center"/>
              <w:rPr>
                <w:rFonts w:ascii="宋体" w:hAnsi="宋体"/>
                <w:szCs w:val="21"/>
              </w:rPr>
            </w:pPr>
            <w:r>
              <w:rPr>
                <w:rFonts w:hint="eastAsia" w:ascii="宋体" w:hAnsi="宋体"/>
                <w:szCs w:val="21"/>
              </w:rPr>
              <w:t>0.108</w:t>
            </w:r>
          </w:p>
        </w:tc>
        <w:tc>
          <w:tcPr>
            <w:tcW w:w="795" w:type="dxa"/>
          </w:tcPr>
          <w:p>
            <w:pPr>
              <w:jc w:val="center"/>
              <w:rPr>
                <w:rFonts w:ascii="宋体" w:hAnsi="宋体"/>
                <w:szCs w:val="21"/>
              </w:rPr>
            </w:pPr>
            <w:r>
              <w:rPr>
                <w:rFonts w:hint="eastAsia" w:ascii="宋体" w:hAnsi="宋体"/>
                <w:szCs w:val="21"/>
              </w:rPr>
              <w:t>0.163</w:t>
            </w:r>
          </w:p>
        </w:tc>
        <w:tc>
          <w:tcPr>
            <w:tcW w:w="795" w:type="dxa"/>
          </w:tcPr>
          <w:p>
            <w:pPr>
              <w:jc w:val="center"/>
              <w:rPr>
                <w:rFonts w:ascii="宋体" w:hAnsi="宋体"/>
                <w:szCs w:val="21"/>
              </w:rPr>
            </w:pPr>
            <w:r>
              <w:rPr>
                <w:rFonts w:hint="eastAsia" w:ascii="宋体" w:hAnsi="宋体"/>
                <w:szCs w:val="21"/>
              </w:rPr>
              <w:t>0.215</w:t>
            </w:r>
          </w:p>
        </w:tc>
        <w:tc>
          <w:tcPr>
            <w:tcW w:w="795" w:type="dxa"/>
          </w:tcPr>
          <w:p>
            <w:pPr>
              <w:jc w:val="center"/>
              <w:rPr>
                <w:rFonts w:ascii="宋体" w:hAnsi="宋体"/>
                <w:szCs w:val="21"/>
              </w:rPr>
            </w:pPr>
            <w:r>
              <w:rPr>
                <w:rFonts w:hint="eastAsia" w:ascii="宋体" w:hAnsi="宋体"/>
                <w:szCs w:val="21"/>
              </w:rPr>
              <w:t>0.260</w:t>
            </w:r>
          </w:p>
        </w:tc>
        <w:tc>
          <w:tcPr>
            <w:tcW w:w="795" w:type="dxa"/>
          </w:tcPr>
          <w:p>
            <w:pPr>
              <w:jc w:val="center"/>
              <w:rPr>
                <w:rFonts w:ascii="宋体" w:hAnsi="宋体"/>
                <w:szCs w:val="21"/>
              </w:rPr>
            </w:pPr>
            <w:r>
              <w:rPr>
                <w:rFonts w:hint="eastAsia" w:ascii="宋体" w:hAnsi="宋体"/>
                <w:szCs w:val="21"/>
              </w:rPr>
              <w:t>0.325</w:t>
            </w:r>
          </w:p>
        </w:tc>
        <w:tc>
          <w:tcPr>
            <w:tcW w:w="795" w:type="dxa"/>
          </w:tcPr>
          <w:p>
            <w:pPr>
              <w:jc w:val="center"/>
              <w:rPr>
                <w:rFonts w:ascii="宋体" w:hAnsi="宋体"/>
                <w:szCs w:val="21"/>
              </w:rPr>
            </w:pPr>
            <w:r>
              <w:rPr>
                <w:rFonts w:hint="eastAsia" w:ascii="宋体" w:hAnsi="宋体"/>
                <w:szCs w:val="21"/>
              </w:rPr>
              <w:t>0.431</w:t>
            </w:r>
          </w:p>
        </w:tc>
        <w:tc>
          <w:tcPr>
            <w:tcW w:w="795" w:type="dxa"/>
          </w:tcPr>
          <w:p>
            <w:pPr>
              <w:jc w:val="center"/>
              <w:rPr>
                <w:rFonts w:ascii="宋体" w:hAnsi="宋体"/>
                <w:szCs w:val="21"/>
              </w:rPr>
            </w:pPr>
            <w:r>
              <w:rPr>
                <w:rFonts w:hint="eastAsia" w:ascii="宋体" w:hAnsi="宋体"/>
                <w:szCs w:val="21"/>
              </w:rPr>
              <w:t>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20" w:type="dxa"/>
          </w:tcPr>
          <w:p>
            <w:pPr>
              <w:rPr>
                <w:rFonts w:ascii="宋体" w:hAnsi="宋体"/>
                <w:szCs w:val="21"/>
              </w:rPr>
            </w:pPr>
            <w:r>
              <w:rPr>
                <w:rFonts w:hint="eastAsia" w:ascii="宋体" w:hAnsi="宋体"/>
                <w:szCs w:val="21"/>
              </w:rPr>
              <w:t>无铝吸光值A</w:t>
            </w:r>
          </w:p>
        </w:tc>
        <w:tc>
          <w:tcPr>
            <w:tcW w:w="794" w:type="dxa"/>
          </w:tcPr>
          <w:p>
            <w:pPr>
              <w:jc w:val="center"/>
              <w:rPr>
                <w:rFonts w:ascii="宋体" w:hAnsi="宋体"/>
                <w:szCs w:val="21"/>
              </w:rPr>
            </w:pPr>
            <w:r>
              <w:rPr>
                <w:rFonts w:hint="eastAsia" w:ascii="宋体" w:hAnsi="宋体"/>
                <w:szCs w:val="21"/>
              </w:rPr>
              <w:t>0.003</w:t>
            </w:r>
          </w:p>
        </w:tc>
        <w:tc>
          <w:tcPr>
            <w:tcW w:w="795" w:type="dxa"/>
          </w:tcPr>
          <w:p>
            <w:pPr>
              <w:jc w:val="center"/>
              <w:rPr>
                <w:rFonts w:ascii="宋体" w:hAnsi="宋体"/>
                <w:szCs w:val="21"/>
              </w:rPr>
            </w:pPr>
            <w:r>
              <w:rPr>
                <w:rFonts w:hint="eastAsia" w:ascii="宋体" w:hAnsi="宋体"/>
                <w:szCs w:val="21"/>
              </w:rPr>
              <w:t>0.055</w:t>
            </w:r>
          </w:p>
        </w:tc>
        <w:tc>
          <w:tcPr>
            <w:tcW w:w="795" w:type="dxa"/>
          </w:tcPr>
          <w:p>
            <w:pPr>
              <w:jc w:val="center"/>
              <w:rPr>
                <w:rFonts w:ascii="宋体" w:hAnsi="宋体"/>
                <w:szCs w:val="21"/>
              </w:rPr>
            </w:pPr>
            <w:r>
              <w:rPr>
                <w:rFonts w:hint="eastAsia" w:ascii="宋体" w:hAnsi="宋体"/>
                <w:szCs w:val="21"/>
              </w:rPr>
              <w:t>0.109</w:t>
            </w:r>
          </w:p>
        </w:tc>
        <w:tc>
          <w:tcPr>
            <w:tcW w:w="795" w:type="dxa"/>
          </w:tcPr>
          <w:p>
            <w:pPr>
              <w:jc w:val="center"/>
              <w:rPr>
                <w:rFonts w:ascii="宋体" w:hAnsi="宋体"/>
                <w:szCs w:val="21"/>
              </w:rPr>
            </w:pPr>
          </w:p>
        </w:tc>
        <w:tc>
          <w:tcPr>
            <w:tcW w:w="795" w:type="dxa"/>
          </w:tcPr>
          <w:p>
            <w:pPr>
              <w:jc w:val="center"/>
              <w:rPr>
                <w:rFonts w:ascii="宋体" w:hAnsi="宋体"/>
                <w:szCs w:val="21"/>
              </w:rPr>
            </w:pPr>
            <w:r>
              <w:rPr>
                <w:rFonts w:hint="eastAsia" w:ascii="宋体" w:hAnsi="宋体"/>
                <w:szCs w:val="21"/>
              </w:rPr>
              <w:t>0.217</w:t>
            </w:r>
          </w:p>
        </w:tc>
        <w:tc>
          <w:tcPr>
            <w:tcW w:w="795" w:type="dxa"/>
          </w:tcPr>
          <w:p>
            <w:pPr>
              <w:jc w:val="center"/>
              <w:rPr>
                <w:rFonts w:ascii="宋体" w:hAnsi="宋体"/>
                <w:szCs w:val="21"/>
              </w:rPr>
            </w:pPr>
          </w:p>
        </w:tc>
        <w:tc>
          <w:tcPr>
            <w:tcW w:w="795" w:type="dxa"/>
          </w:tcPr>
          <w:p>
            <w:pPr>
              <w:jc w:val="center"/>
              <w:rPr>
                <w:rFonts w:ascii="宋体" w:hAnsi="宋体"/>
                <w:szCs w:val="21"/>
              </w:rPr>
            </w:pPr>
            <w:r>
              <w:rPr>
                <w:rFonts w:hint="eastAsia" w:ascii="宋体" w:hAnsi="宋体"/>
                <w:szCs w:val="21"/>
              </w:rPr>
              <w:t>0.324</w:t>
            </w:r>
          </w:p>
        </w:tc>
        <w:tc>
          <w:tcPr>
            <w:tcW w:w="795" w:type="dxa"/>
          </w:tcPr>
          <w:p>
            <w:pPr>
              <w:jc w:val="center"/>
              <w:rPr>
                <w:rFonts w:ascii="宋体" w:hAnsi="宋体"/>
                <w:szCs w:val="21"/>
              </w:rPr>
            </w:pPr>
            <w:r>
              <w:rPr>
                <w:rFonts w:hint="eastAsia" w:ascii="宋体" w:hAnsi="宋体"/>
                <w:szCs w:val="21"/>
              </w:rPr>
              <w:t>0.431</w:t>
            </w:r>
          </w:p>
        </w:tc>
        <w:tc>
          <w:tcPr>
            <w:tcW w:w="795" w:type="dxa"/>
          </w:tcPr>
          <w:p>
            <w:pPr>
              <w:jc w:val="center"/>
              <w:rPr>
                <w:rFonts w:ascii="宋体" w:hAnsi="宋体"/>
                <w:szCs w:val="21"/>
              </w:rPr>
            </w:pPr>
            <w:r>
              <w:rPr>
                <w:rFonts w:hint="eastAsia" w:ascii="宋体" w:hAnsi="宋体"/>
                <w:szCs w:val="21"/>
              </w:rPr>
              <w:t>0.539</w:t>
            </w:r>
          </w:p>
        </w:tc>
      </w:tr>
    </w:tbl>
    <w:p>
      <w:pPr>
        <w:rPr>
          <w:rFonts w:ascii="宋体" w:hAnsi="宋体"/>
          <w:szCs w:val="21"/>
        </w:rPr>
      </w:pPr>
    </w:p>
    <w:p>
      <w:pPr>
        <w:rPr>
          <w:rFonts w:ascii="宋体" w:hAnsi="宋体"/>
          <w:szCs w:val="21"/>
        </w:rPr>
      </w:pPr>
    </w:p>
    <w:p>
      <w:pPr>
        <w:jc w:val="center"/>
        <w:rPr>
          <w:rFonts w:ascii="宋体" w:hAnsi="宋体"/>
          <w:szCs w:val="21"/>
        </w:rPr>
      </w:pPr>
      <w:r>
        <w:rPr>
          <w:lang w:bidi="ar-SA"/>
        </w:rPr>
        <w:drawing>
          <wp:inline distT="0" distB="0" distL="0" distR="0">
            <wp:extent cx="4872990" cy="2628900"/>
            <wp:effectExtent l="19050" t="0" r="22514" b="0"/>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宋体" w:hAnsi="宋体"/>
          <w:szCs w:val="21"/>
        </w:rPr>
      </w:pPr>
      <w:r>
        <w:rPr>
          <w:rFonts w:hint="eastAsia" w:ascii="宋体" w:hAnsi="宋体"/>
          <w:szCs w:val="21"/>
        </w:rPr>
        <w:t>图2  工作曲线图</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试验结果表明：无铝基体存在和有10mg铝基体存在的工作曲线是重合的。本方法工作曲线采用无铝基体，在选定条件下，0～1000ugBi/100mL符合朗伯-比尔定律。</w:t>
      </w:r>
    </w:p>
    <w:p>
      <w:pPr>
        <w:spacing w:line="360" w:lineRule="auto"/>
        <w:rPr>
          <w:rFonts w:ascii="宋体" w:hAnsi="宋体"/>
          <w:szCs w:val="21"/>
        </w:rPr>
      </w:pPr>
      <w:r>
        <w:rPr>
          <w:rFonts w:hint="eastAsia" w:ascii="宋体" w:hAnsi="宋体"/>
          <w:szCs w:val="21"/>
        </w:rPr>
        <w:t>3.4 试样分解</w:t>
      </w:r>
    </w:p>
    <w:p>
      <w:pPr>
        <w:spacing w:line="360" w:lineRule="auto"/>
        <w:ind w:firstLine="420" w:firstLineChars="200"/>
        <w:rPr>
          <w:rFonts w:ascii="宋体" w:hAnsi="宋体"/>
          <w:szCs w:val="21"/>
        </w:rPr>
      </w:pPr>
      <w:r>
        <w:rPr>
          <w:rFonts w:hint="eastAsia" w:ascii="宋体" w:hAnsi="宋体"/>
          <w:szCs w:val="21"/>
        </w:rPr>
        <w:t>铋易溶于硝酸，不溶于盐酸，铝在硝酸中溶解很慢。我们选用氢氧化钠溶解试样，用硝酸酸化的溶样方法：称取1.00g试样于300mL聚四氟乙烯烧杯中，加入10mL氢氧化钠溶液（2.1.3），剧烈反应停止后，加入1mL过氧化氢（2.1.4）使硅化物分解，加热使样品完全溶解，取下冷却，加入50mL硝酸（2.1.2），加热使盐类溶解使溶液澄清，加少许尿素（2.1.5），冷却。移入容量瓶中，用水稀释至刻度，摇匀。分取部分试液按实验方法进行。</w:t>
      </w:r>
    </w:p>
    <w:p>
      <w:pPr>
        <w:spacing w:line="360" w:lineRule="auto"/>
        <w:rPr>
          <w:rFonts w:ascii="宋体" w:hAnsi="宋体"/>
          <w:szCs w:val="21"/>
        </w:rPr>
      </w:pPr>
      <w:r>
        <w:rPr>
          <w:rFonts w:hint="eastAsia" w:ascii="宋体" w:hAnsi="宋体"/>
          <w:szCs w:val="21"/>
        </w:rPr>
        <w:t>3.5  分析结果统计</w:t>
      </w:r>
    </w:p>
    <w:p>
      <w:pPr>
        <w:spacing w:line="360" w:lineRule="auto"/>
        <w:rPr>
          <w:rFonts w:ascii="宋体" w:hAnsi="宋体"/>
          <w:szCs w:val="21"/>
        </w:rPr>
      </w:pPr>
      <w:r>
        <w:rPr>
          <w:rFonts w:hint="eastAsia" w:ascii="宋体" w:hAnsi="宋体"/>
          <w:szCs w:val="21"/>
        </w:rPr>
        <w:t xml:space="preserve">   按分析方法，对含不同铋含量的铝及铝合金，进行样品分析，测定结果见表12。</w:t>
      </w:r>
    </w:p>
    <w:p>
      <w:pPr>
        <w:spacing w:line="360" w:lineRule="auto"/>
        <w:rPr>
          <w:rFonts w:ascii="宋体" w:hAnsi="宋体"/>
          <w:szCs w:val="21"/>
        </w:rPr>
      </w:pPr>
    </w:p>
    <w:p>
      <w:pPr>
        <w:ind w:firstLine="2520" w:firstLineChars="1200"/>
        <w:rPr>
          <w:rFonts w:ascii="宋体" w:hAnsi="宋体"/>
          <w:szCs w:val="21"/>
        </w:rPr>
      </w:pPr>
      <w:r>
        <w:rPr>
          <w:rFonts w:hint="eastAsia" w:ascii="宋体" w:hAnsi="宋体"/>
          <w:szCs w:val="21"/>
        </w:rPr>
        <w:t>表12  分析结果与误差统计</w:t>
      </w:r>
    </w:p>
    <w:tbl>
      <w:tblPr>
        <w:tblStyle w:val="2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701"/>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34" w:type="dxa"/>
            <w:tcBorders>
              <w:right w:val="single" w:color="auto" w:sz="4" w:space="0"/>
            </w:tcBorders>
            <w:vAlign w:val="center"/>
          </w:tcPr>
          <w:p>
            <w:pPr>
              <w:jc w:val="center"/>
              <w:rPr>
                <w:rFonts w:ascii="宋体" w:hAnsi="宋体"/>
                <w:szCs w:val="21"/>
              </w:rPr>
            </w:pPr>
            <w:r>
              <w:rPr>
                <w:rFonts w:hint="eastAsia" w:ascii="宋体" w:hAnsi="宋体"/>
                <w:szCs w:val="21"/>
              </w:rPr>
              <w:t>样品编号</w:t>
            </w:r>
          </w:p>
        </w:tc>
        <w:tc>
          <w:tcPr>
            <w:tcW w:w="1701" w:type="dxa"/>
            <w:tcBorders>
              <w:right w:val="single" w:color="auto" w:sz="4" w:space="0"/>
            </w:tcBorders>
            <w:vAlign w:val="center"/>
          </w:tcPr>
          <w:p>
            <w:pPr>
              <w:jc w:val="center"/>
              <w:rPr>
                <w:rFonts w:ascii="宋体" w:hAnsi="宋体"/>
                <w:szCs w:val="21"/>
              </w:rPr>
            </w:pPr>
            <w:r>
              <w:rPr>
                <w:rFonts w:hint="eastAsia" w:ascii="宋体" w:hAnsi="宋体"/>
                <w:szCs w:val="21"/>
              </w:rPr>
              <w:t>193#</w:t>
            </w:r>
          </w:p>
        </w:tc>
        <w:tc>
          <w:tcPr>
            <w:tcW w:w="1701" w:type="dxa"/>
            <w:tcBorders>
              <w:left w:val="single" w:color="auto" w:sz="4" w:space="0"/>
            </w:tcBorders>
            <w:vAlign w:val="center"/>
          </w:tcPr>
          <w:p>
            <w:pPr>
              <w:jc w:val="center"/>
              <w:rPr>
                <w:rFonts w:ascii="宋体" w:hAnsi="宋体"/>
                <w:szCs w:val="21"/>
              </w:rPr>
            </w:pPr>
            <w:r>
              <w:rPr>
                <w:rFonts w:hint="eastAsia" w:ascii="宋体" w:hAnsi="宋体"/>
                <w:szCs w:val="21"/>
              </w:rPr>
              <w:t>ZL-4#</w:t>
            </w:r>
          </w:p>
        </w:tc>
        <w:tc>
          <w:tcPr>
            <w:tcW w:w="1843" w:type="dxa"/>
            <w:vAlign w:val="center"/>
          </w:tcPr>
          <w:p>
            <w:pPr>
              <w:jc w:val="center"/>
              <w:rPr>
                <w:rFonts w:ascii="宋体" w:hAnsi="宋体"/>
                <w:szCs w:val="21"/>
              </w:rPr>
            </w:pPr>
            <w:r>
              <w:rPr>
                <w:rFonts w:hint="eastAsia" w:ascii="宋体" w:hAnsi="宋体"/>
                <w:szCs w:val="21"/>
              </w:rPr>
              <w:t>ZL-5#</w:t>
            </w:r>
          </w:p>
        </w:tc>
        <w:tc>
          <w:tcPr>
            <w:tcW w:w="1843" w:type="dxa"/>
            <w:vAlign w:val="center"/>
          </w:tcPr>
          <w:p>
            <w:pPr>
              <w:jc w:val="center"/>
              <w:rPr>
                <w:rFonts w:ascii="宋体" w:hAnsi="宋体"/>
                <w:szCs w:val="21"/>
              </w:rPr>
            </w:pPr>
            <w:r>
              <w:rPr>
                <w:rFonts w:hint="eastAsia" w:ascii="宋体" w:hAnsi="宋体"/>
                <w:szCs w:val="21"/>
              </w:rPr>
              <w:t>AlBi3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134" w:type="dxa"/>
            <w:vAlign w:val="center"/>
          </w:tcPr>
          <w:p>
            <w:pPr>
              <w:jc w:val="center"/>
              <w:rPr>
                <w:rFonts w:ascii="宋体" w:hAnsi="宋体"/>
                <w:szCs w:val="21"/>
              </w:rPr>
            </w:pPr>
            <w:r>
              <w:rPr>
                <w:rFonts w:hint="eastAsia" w:ascii="宋体" w:hAnsi="宋体"/>
                <w:szCs w:val="21"/>
              </w:rPr>
              <w:t>分析结果</w:t>
            </w:r>
          </w:p>
          <w:p>
            <w:pPr>
              <w:jc w:val="center"/>
              <w:rPr>
                <w:rFonts w:ascii="宋体" w:hAnsi="宋体"/>
                <w:szCs w:val="21"/>
              </w:rPr>
            </w:pPr>
            <w:r>
              <w:rPr>
                <w:rFonts w:hint="eastAsia" w:ascii="宋体" w:hAnsi="宋体"/>
                <w:szCs w:val="21"/>
              </w:rPr>
              <w:t>%</w:t>
            </w:r>
          </w:p>
        </w:tc>
        <w:tc>
          <w:tcPr>
            <w:tcW w:w="1701" w:type="dxa"/>
            <w:tcBorders>
              <w:right w:val="single" w:color="auto" w:sz="4" w:space="0"/>
            </w:tcBorders>
            <w:vAlign w:val="center"/>
          </w:tcPr>
          <w:p>
            <w:pPr>
              <w:jc w:val="left"/>
              <w:rPr>
                <w:rFonts w:ascii="宋体" w:hAnsi="宋体"/>
                <w:szCs w:val="21"/>
              </w:rPr>
            </w:pPr>
            <w:r>
              <w:rPr>
                <w:rFonts w:hint="eastAsia" w:ascii="宋体" w:hAnsi="宋体"/>
                <w:szCs w:val="21"/>
              </w:rPr>
              <w:t>0.0644、0.0642、0.0638、0.0640、0.0644、0.0642、0.0641、0.0644、0.0642、0.0645、0.0644</w:t>
            </w:r>
          </w:p>
        </w:tc>
        <w:tc>
          <w:tcPr>
            <w:tcW w:w="1701" w:type="dxa"/>
            <w:tcBorders>
              <w:left w:val="single" w:color="auto" w:sz="4" w:space="0"/>
            </w:tcBorders>
            <w:vAlign w:val="center"/>
          </w:tcPr>
          <w:p>
            <w:pPr>
              <w:jc w:val="left"/>
              <w:rPr>
                <w:rFonts w:ascii="宋体" w:hAnsi="宋体"/>
                <w:szCs w:val="21"/>
              </w:rPr>
            </w:pPr>
            <w:r>
              <w:rPr>
                <w:rFonts w:hint="eastAsia" w:ascii="宋体" w:hAnsi="宋体"/>
                <w:szCs w:val="21"/>
              </w:rPr>
              <w:t>0.355、0.354、0.349、0.352、0.354、0.351、0.347、0.356、0.352、0.354、0.354</w:t>
            </w:r>
          </w:p>
        </w:tc>
        <w:tc>
          <w:tcPr>
            <w:tcW w:w="1843" w:type="dxa"/>
            <w:vAlign w:val="center"/>
          </w:tcPr>
          <w:p>
            <w:pPr>
              <w:jc w:val="left"/>
              <w:rPr>
                <w:rFonts w:ascii="宋体" w:hAnsi="宋体"/>
                <w:szCs w:val="21"/>
              </w:rPr>
            </w:pPr>
            <w:r>
              <w:rPr>
                <w:rFonts w:hint="eastAsia" w:ascii="宋体" w:hAnsi="宋体"/>
                <w:szCs w:val="21"/>
              </w:rPr>
              <w:t>0.968、0.960、0.961、0.962、0.965、0.960、0.962、0.954、0.955、0.951、0.958</w:t>
            </w:r>
          </w:p>
        </w:tc>
        <w:tc>
          <w:tcPr>
            <w:tcW w:w="1843" w:type="dxa"/>
            <w:vAlign w:val="center"/>
          </w:tcPr>
          <w:p>
            <w:pPr>
              <w:jc w:val="left"/>
              <w:rPr>
                <w:rFonts w:ascii="宋体" w:hAnsi="宋体"/>
                <w:szCs w:val="21"/>
              </w:rPr>
            </w:pPr>
            <w:r>
              <w:rPr>
                <w:rFonts w:hint="eastAsia" w:ascii="宋体" w:hAnsi="宋体"/>
                <w:szCs w:val="21"/>
              </w:rPr>
              <w:t>2.347、2.436、2.436、2.382、2.400、2.382、2.400、2.382、2.400、2.382、2.382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134" w:type="dxa"/>
            <w:vAlign w:val="center"/>
          </w:tcPr>
          <w:p>
            <w:pPr>
              <w:jc w:val="center"/>
              <w:rPr>
                <w:rFonts w:ascii="宋体" w:hAnsi="宋体"/>
                <w:szCs w:val="21"/>
              </w:rPr>
            </w:pPr>
            <w:r>
              <w:rPr>
                <w:rFonts w:hint="eastAsia" w:ascii="宋体" w:hAnsi="宋体"/>
                <w:szCs w:val="21"/>
              </w:rPr>
              <w:t>平均值</w:t>
            </w:r>
          </w:p>
          <w:p>
            <w:pPr>
              <w:jc w:val="center"/>
              <w:rPr>
                <w:rFonts w:ascii="宋体" w:hAnsi="宋体"/>
                <w:szCs w:val="21"/>
              </w:rPr>
            </w:pPr>
            <w:r>
              <w:rPr>
                <w:rFonts w:hint="eastAsia" w:ascii="宋体" w:hAnsi="宋体"/>
                <w:szCs w:val="21"/>
              </w:rPr>
              <w:t>%</w:t>
            </w:r>
          </w:p>
        </w:tc>
        <w:tc>
          <w:tcPr>
            <w:tcW w:w="1701" w:type="dxa"/>
            <w:tcBorders>
              <w:right w:val="single" w:color="auto" w:sz="4" w:space="0"/>
            </w:tcBorders>
            <w:vAlign w:val="center"/>
          </w:tcPr>
          <w:p>
            <w:pPr>
              <w:jc w:val="center"/>
              <w:rPr>
                <w:rFonts w:ascii="宋体" w:hAnsi="宋体"/>
                <w:szCs w:val="21"/>
              </w:rPr>
            </w:pPr>
            <w:r>
              <w:rPr>
                <w:rFonts w:hint="eastAsia" w:ascii="宋体" w:hAnsi="宋体"/>
                <w:szCs w:val="21"/>
              </w:rPr>
              <w:t>0.0642</w:t>
            </w:r>
          </w:p>
        </w:tc>
        <w:tc>
          <w:tcPr>
            <w:tcW w:w="1701" w:type="dxa"/>
            <w:tcBorders>
              <w:left w:val="single" w:color="auto" w:sz="4" w:space="0"/>
            </w:tcBorders>
            <w:vAlign w:val="center"/>
          </w:tcPr>
          <w:p>
            <w:pPr>
              <w:jc w:val="center"/>
              <w:rPr>
                <w:rFonts w:ascii="宋体" w:hAnsi="宋体"/>
                <w:szCs w:val="21"/>
              </w:rPr>
            </w:pPr>
            <w:r>
              <w:rPr>
                <w:rFonts w:hint="eastAsia" w:ascii="宋体" w:hAnsi="宋体"/>
                <w:szCs w:val="21"/>
              </w:rPr>
              <w:t>0.353</w:t>
            </w:r>
          </w:p>
        </w:tc>
        <w:tc>
          <w:tcPr>
            <w:tcW w:w="1843" w:type="dxa"/>
            <w:vAlign w:val="center"/>
          </w:tcPr>
          <w:p>
            <w:pPr>
              <w:jc w:val="center"/>
              <w:rPr>
                <w:rFonts w:ascii="宋体" w:hAnsi="宋体"/>
                <w:szCs w:val="21"/>
              </w:rPr>
            </w:pPr>
            <w:r>
              <w:rPr>
                <w:rFonts w:hint="eastAsia" w:ascii="宋体" w:hAnsi="宋体"/>
                <w:szCs w:val="21"/>
              </w:rPr>
              <w:t>0.960</w:t>
            </w:r>
          </w:p>
        </w:tc>
        <w:tc>
          <w:tcPr>
            <w:tcW w:w="1843" w:type="dxa"/>
            <w:vAlign w:val="center"/>
          </w:tcPr>
          <w:p>
            <w:pPr>
              <w:jc w:val="center"/>
              <w:rPr>
                <w:rFonts w:ascii="宋体" w:hAnsi="宋体"/>
                <w:szCs w:val="21"/>
              </w:rPr>
            </w:pPr>
            <w:r>
              <w:rPr>
                <w:rFonts w:hint="eastAsia" w:ascii="宋体" w:hAnsi="宋体"/>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34" w:type="dxa"/>
            <w:vAlign w:val="center"/>
          </w:tcPr>
          <w:p>
            <w:pPr>
              <w:jc w:val="center"/>
              <w:rPr>
                <w:rFonts w:ascii="宋体" w:hAnsi="宋体"/>
                <w:szCs w:val="21"/>
              </w:rPr>
            </w:pPr>
            <w:r>
              <w:rPr>
                <w:rFonts w:hint="eastAsia" w:ascii="宋体" w:hAnsi="宋体"/>
                <w:szCs w:val="21"/>
              </w:rPr>
              <w:t>标准偏差</w:t>
            </w:r>
          </w:p>
          <w:p>
            <w:pPr>
              <w:jc w:val="center"/>
              <w:rPr>
                <w:rFonts w:ascii="宋体" w:hAnsi="宋体"/>
                <w:szCs w:val="21"/>
              </w:rPr>
            </w:pPr>
            <w:r>
              <w:rPr>
                <w:rFonts w:hint="eastAsia" w:ascii="宋体" w:hAnsi="宋体"/>
                <w:szCs w:val="21"/>
              </w:rPr>
              <w:t>S</w:t>
            </w:r>
          </w:p>
        </w:tc>
        <w:tc>
          <w:tcPr>
            <w:tcW w:w="1701" w:type="dxa"/>
            <w:tcBorders>
              <w:right w:val="single" w:color="auto" w:sz="4" w:space="0"/>
            </w:tcBorders>
            <w:vAlign w:val="center"/>
          </w:tcPr>
          <w:p>
            <w:pPr>
              <w:jc w:val="center"/>
              <w:rPr>
                <w:rFonts w:ascii="宋体" w:hAnsi="宋体"/>
                <w:szCs w:val="21"/>
              </w:rPr>
            </w:pPr>
            <w:r>
              <w:rPr>
                <w:rFonts w:hint="eastAsia" w:ascii="宋体" w:hAnsi="宋体"/>
                <w:szCs w:val="21"/>
              </w:rPr>
              <w:t>0.0002</w:t>
            </w:r>
          </w:p>
        </w:tc>
        <w:tc>
          <w:tcPr>
            <w:tcW w:w="1701" w:type="dxa"/>
            <w:tcBorders>
              <w:left w:val="single" w:color="auto" w:sz="4" w:space="0"/>
            </w:tcBorders>
            <w:vAlign w:val="center"/>
          </w:tcPr>
          <w:p>
            <w:pPr>
              <w:jc w:val="center"/>
              <w:rPr>
                <w:rFonts w:ascii="宋体" w:hAnsi="宋体"/>
                <w:szCs w:val="21"/>
              </w:rPr>
            </w:pPr>
            <w:r>
              <w:rPr>
                <w:rFonts w:hint="eastAsia" w:ascii="宋体" w:hAnsi="宋体"/>
                <w:szCs w:val="21"/>
              </w:rPr>
              <w:t>0.0027</w:t>
            </w:r>
          </w:p>
        </w:tc>
        <w:tc>
          <w:tcPr>
            <w:tcW w:w="1843" w:type="dxa"/>
            <w:vAlign w:val="center"/>
          </w:tcPr>
          <w:p>
            <w:pPr>
              <w:jc w:val="center"/>
              <w:rPr>
                <w:rFonts w:ascii="宋体" w:hAnsi="宋体"/>
                <w:szCs w:val="21"/>
              </w:rPr>
            </w:pPr>
            <w:r>
              <w:rPr>
                <w:rFonts w:hint="eastAsia" w:ascii="宋体" w:hAnsi="宋体"/>
                <w:szCs w:val="21"/>
              </w:rPr>
              <w:t>0.0049</w:t>
            </w:r>
          </w:p>
        </w:tc>
        <w:tc>
          <w:tcPr>
            <w:tcW w:w="1843" w:type="dxa"/>
            <w:vAlign w:val="center"/>
          </w:tcPr>
          <w:p>
            <w:pPr>
              <w:jc w:val="center"/>
              <w:rPr>
                <w:rFonts w:ascii="宋体" w:hAnsi="宋体"/>
                <w:szCs w:val="21"/>
              </w:rPr>
            </w:pPr>
            <w:r>
              <w:rPr>
                <w:rFonts w:hint="eastAsia" w:ascii="宋体" w:hAnsi="宋体"/>
                <w:szCs w:val="21"/>
              </w:rPr>
              <w:t>0.026</w:t>
            </w:r>
          </w:p>
        </w:tc>
      </w:tr>
    </w:tbl>
    <w:p>
      <w:pPr>
        <w:spacing w:line="360" w:lineRule="auto"/>
        <w:ind w:firstLine="420" w:firstLineChars="200"/>
        <w:rPr>
          <w:rFonts w:ascii="宋体" w:hAnsi="宋体"/>
          <w:szCs w:val="21"/>
        </w:rPr>
      </w:pPr>
    </w:p>
    <w:p>
      <w:pPr>
        <w:spacing w:line="360" w:lineRule="auto"/>
        <w:rPr>
          <w:rFonts w:ascii="宋体" w:hAnsi="宋体"/>
          <w:b/>
          <w:szCs w:val="21"/>
        </w:rPr>
      </w:pPr>
      <w:r>
        <w:rPr>
          <w:rFonts w:hint="eastAsia" w:ascii="宋体" w:hAnsi="宋体"/>
          <w:b/>
          <w:szCs w:val="21"/>
        </w:rPr>
        <w:t>方法二：EDTA滴定法</w:t>
      </w:r>
    </w:p>
    <w:p>
      <w:pPr>
        <w:spacing w:line="360" w:lineRule="auto"/>
        <w:ind w:firstLine="420" w:firstLineChars="200"/>
        <w:rPr>
          <w:rFonts w:ascii="宋体" w:hAnsi="宋体" w:cs="宋体"/>
          <w:szCs w:val="21"/>
        </w:rPr>
      </w:pPr>
      <w:r>
        <w:rPr>
          <w:rFonts w:hint="eastAsia" w:ascii="宋体" w:hAnsi="宋体"/>
          <w:szCs w:val="21"/>
        </w:rPr>
        <w:t>EDTA滴定法</w:t>
      </w:r>
      <w:r>
        <w:rPr>
          <w:rFonts w:hint="eastAsia" w:ascii="宋体" w:hAnsi="宋体" w:cs="宋体"/>
          <w:szCs w:val="21"/>
        </w:rPr>
        <w:t>具有测定结果准确度高、操作简便的特点，</w:t>
      </w:r>
      <w:r>
        <w:rPr>
          <w:rFonts w:hint="eastAsia" w:ascii="宋体" w:hAnsi="宋体"/>
          <w:szCs w:val="21"/>
        </w:rPr>
        <w:t>对铝及铝合金中铋的EDTA滴定法测定条件和测定方法进行系统研究，并确定方法的准确度及精密度，最终形成国家标准。方法测定范围为2.50 %～12.00 %。</w:t>
      </w:r>
      <w:r>
        <w:rPr>
          <w:rFonts w:hint="eastAsia" w:ascii="宋体" w:hAnsi="宋体" w:cs="宋体"/>
          <w:szCs w:val="21"/>
        </w:rPr>
        <w:t>主要</w:t>
      </w:r>
      <w:r>
        <w:rPr>
          <w:rFonts w:ascii="宋体" w:hAnsi="宋体" w:cs="宋体"/>
          <w:szCs w:val="21"/>
        </w:rPr>
        <w:t>内容</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1、测定范围的确定</w:t>
      </w:r>
    </w:p>
    <w:p>
      <w:pPr>
        <w:pStyle w:val="30"/>
        <w:spacing w:line="360" w:lineRule="auto"/>
        <w:ind w:firstLine="420"/>
        <w:rPr>
          <w:rFonts w:hAnsi="宋体"/>
        </w:rPr>
      </w:pPr>
      <w:r>
        <w:rPr>
          <w:rFonts w:hAnsi="宋体"/>
        </w:rPr>
        <w:t>现有的</w:t>
      </w:r>
      <w:r>
        <w:rPr>
          <w:rFonts w:hint="eastAsia" w:hAnsi="宋体"/>
        </w:rPr>
        <w:t>GB/T20975系列《 铝及铝合金化学分析方法》中没有铋的检测方法，而现有的涉及铝及铝合金中铋元素的检测方法是YS/T 807.9-2012 《铝中间合金化学分析方法 第9部分：铋含量的测定 碘化钾分光光度法》，测定范围为1.00 %～11.00 %，相较于分光光度法，化学滴定法更适用于常量铋的测定，因此有必要制定铝及铝合金中铋的化学滴定法检测标准。通过试验表明：铝及</w:t>
      </w:r>
      <w:r>
        <w:rPr>
          <w:rFonts w:hAnsi="宋体"/>
        </w:rPr>
        <w:t>铝合金</w:t>
      </w:r>
      <w:r>
        <w:rPr>
          <w:rFonts w:hint="eastAsia" w:hAnsi="宋体"/>
        </w:rPr>
        <w:t>中铋含量最高约为11.0%，因而确定EDTA滴定法的测定范围为2.50 %～12.00 %，能够更好地满足铝及</w:t>
      </w:r>
      <w:r>
        <w:rPr>
          <w:rFonts w:hAnsi="宋体"/>
        </w:rPr>
        <w:t>铝合金</w:t>
      </w:r>
      <w:r>
        <w:rPr>
          <w:rFonts w:hint="eastAsia" w:hAnsi="宋体"/>
        </w:rPr>
        <w:t>中铋</w:t>
      </w:r>
      <w:r>
        <w:rPr>
          <w:rFonts w:hAnsi="宋体"/>
        </w:rPr>
        <w:t>含量的检测要求</w:t>
      </w:r>
      <w:r>
        <w:rPr>
          <w:rFonts w:hint="eastAsia" w:hAnsi="宋体"/>
        </w:rPr>
        <w:t>。</w:t>
      </w:r>
    </w:p>
    <w:p>
      <w:pPr>
        <w:spacing w:line="360" w:lineRule="auto"/>
        <w:rPr>
          <w:rFonts w:ascii="宋体" w:hAnsi="宋体"/>
          <w:szCs w:val="21"/>
        </w:rPr>
      </w:pPr>
      <w:r>
        <w:rPr>
          <w:rFonts w:hint="eastAsia" w:ascii="宋体" w:hAnsi="宋体"/>
          <w:szCs w:val="21"/>
        </w:rPr>
        <w:t>2、试样溶解条件的</w:t>
      </w:r>
      <w:r>
        <w:rPr>
          <w:rFonts w:ascii="宋体" w:hAnsi="宋体"/>
          <w:szCs w:val="21"/>
        </w:rPr>
        <w:t>确定</w:t>
      </w:r>
    </w:p>
    <w:p>
      <w:pPr>
        <w:autoSpaceDE w:val="0"/>
        <w:autoSpaceDN w:val="0"/>
        <w:adjustRightInd w:val="0"/>
        <w:spacing w:line="360" w:lineRule="auto"/>
        <w:jc w:val="left"/>
        <w:rPr>
          <w:rFonts w:ascii="宋体" w:hAnsi="宋体"/>
          <w:szCs w:val="21"/>
        </w:rPr>
      </w:pPr>
      <w:r>
        <w:rPr>
          <w:rFonts w:hint="eastAsia" w:ascii="宋体" w:hAnsi="宋体"/>
          <w:szCs w:val="21"/>
        </w:rPr>
        <w:t xml:space="preserve">2.1 </w:t>
      </w:r>
      <w:r>
        <w:rPr>
          <w:rFonts w:hint="eastAsia" w:ascii="宋体" w:hAnsi="宋体"/>
          <w:kern w:val="0"/>
          <w:szCs w:val="21"/>
        </w:rPr>
        <w:t>盐酸加入量的选择</w:t>
      </w:r>
    </w:p>
    <w:p>
      <w:pPr>
        <w:autoSpaceDE w:val="0"/>
        <w:autoSpaceDN w:val="0"/>
        <w:adjustRightInd w:val="0"/>
        <w:spacing w:line="360" w:lineRule="auto"/>
        <w:ind w:firstLine="482" w:firstLineChars="230"/>
        <w:jc w:val="left"/>
        <w:rPr>
          <w:rFonts w:ascii="宋体" w:hAnsi="宋体"/>
          <w:kern w:val="0"/>
          <w:szCs w:val="21"/>
        </w:rPr>
      </w:pPr>
      <w:r>
        <w:rPr>
          <w:rFonts w:hint="eastAsia" w:ascii="宋体" w:hAnsi="宋体"/>
          <w:kern w:val="0"/>
          <w:szCs w:val="21"/>
        </w:rPr>
        <w:t>铝</w:t>
      </w:r>
      <w:r>
        <w:rPr>
          <w:rFonts w:ascii="宋体" w:hAnsi="宋体"/>
          <w:kern w:val="0"/>
          <w:szCs w:val="21"/>
        </w:rPr>
        <w:t>合金</w:t>
      </w:r>
      <w:r>
        <w:rPr>
          <w:rFonts w:hint="eastAsia" w:ascii="宋体" w:hAnsi="宋体"/>
          <w:kern w:val="0"/>
          <w:szCs w:val="21"/>
        </w:rPr>
        <w:t>在浓硝酸介质中易钝化，分解试样的时候应先加入盐酸，</w:t>
      </w:r>
      <w:r>
        <w:rPr>
          <w:rFonts w:ascii="宋体" w:hAnsi="宋体"/>
          <w:szCs w:val="21"/>
        </w:rPr>
        <w:t>分别在样品中加入不同量的</w:t>
      </w:r>
      <w:r>
        <w:rPr>
          <w:rFonts w:hint="eastAsia" w:ascii="宋体" w:hAnsi="宋体"/>
          <w:kern w:val="0"/>
          <w:szCs w:val="21"/>
        </w:rPr>
        <w:t>盐</w:t>
      </w:r>
      <w:r>
        <w:rPr>
          <w:rFonts w:ascii="宋体" w:hAnsi="宋体"/>
          <w:szCs w:val="21"/>
        </w:rPr>
        <w:t>酸，考察不同量的</w:t>
      </w:r>
      <w:r>
        <w:rPr>
          <w:rFonts w:hint="eastAsia" w:ascii="宋体" w:hAnsi="宋体"/>
          <w:kern w:val="0"/>
          <w:szCs w:val="21"/>
        </w:rPr>
        <w:t>盐</w:t>
      </w:r>
      <w:r>
        <w:rPr>
          <w:rFonts w:ascii="宋体" w:hAnsi="宋体"/>
          <w:szCs w:val="21"/>
        </w:rPr>
        <w:t>酸对样品分解的影响</w:t>
      </w:r>
      <w:r>
        <w:rPr>
          <w:rFonts w:hint="eastAsia" w:ascii="宋体" w:hAnsi="宋体"/>
          <w:szCs w:val="21"/>
        </w:rPr>
        <w:t xml:space="preserve">。试验结果表明，盐酸加入量少于5 </w:t>
      </w:r>
      <w:r>
        <w:rPr>
          <w:rFonts w:hint="eastAsia" w:ascii="宋体" w:hAnsi="宋体"/>
          <w:kern w:val="0"/>
          <w:szCs w:val="21"/>
        </w:rPr>
        <w:t>mL时，样品不容易快速溶解，且</w:t>
      </w:r>
      <w:r>
        <w:rPr>
          <w:rFonts w:hint="eastAsia" w:ascii="宋体" w:hAnsi="宋体"/>
          <w:szCs w:val="21"/>
        </w:rPr>
        <w:t>铋容易在盐酸介质易水解，盐酸加入量不宜太大，</w:t>
      </w:r>
      <w:r>
        <w:rPr>
          <w:rFonts w:hint="eastAsia" w:ascii="宋体" w:hAnsi="宋体"/>
          <w:kern w:val="0"/>
          <w:szCs w:val="21"/>
        </w:rPr>
        <w:t>因此选择盐酸加入量为10 mL。</w:t>
      </w:r>
    </w:p>
    <w:p>
      <w:pPr>
        <w:tabs>
          <w:tab w:val="left" w:pos="6918"/>
        </w:tabs>
        <w:autoSpaceDE w:val="0"/>
        <w:autoSpaceDN w:val="0"/>
        <w:adjustRightInd w:val="0"/>
        <w:spacing w:line="360" w:lineRule="auto"/>
        <w:jc w:val="left"/>
        <w:rPr>
          <w:rFonts w:ascii="宋体" w:hAnsi="宋体"/>
          <w:b/>
          <w:szCs w:val="21"/>
        </w:rPr>
      </w:pPr>
      <w:r>
        <w:rPr>
          <w:rFonts w:hint="eastAsia" w:ascii="宋体" w:hAnsi="宋体"/>
          <w:szCs w:val="21"/>
        </w:rPr>
        <w:t xml:space="preserve">2.2 </w:t>
      </w:r>
      <w:r>
        <w:rPr>
          <w:rFonts w:hint="eastAsia" w:ascii="宋体" w:hAnsi="宋体"/>
          <w:kern w:val="0"/>
          <w:szCs w:val="21"/>
        </w:rPr>
        <w:t>硝酸加入量的选择</w:t>
      </w:r>
      <w:r>
        <w:rPr>
          <w:rFonts w:ascii="宋体" w:hAnsi="宋体"/>
          <w:b/>
          <w:kern w:val="0"/>
          <w:szCs w:val="21"/>
        </w:rPr>
        <w:tab/>
      </w:r>
    </w:p>
    <w:p>
      <w:pPr>
        <w:spacing w:line="360" w:lineRule="auto"/>
        <w:ind w:firstLine="480"/>
        <w:rPr>
          <w:rFonts w:ascii="宋体" w:hAnsi="宋体"/>
          <w:szCs w:val="21"/>
        </w:rPr>
      </w:pPr>
      <w:r>
        <w:rPr>
          <w:rFonts w:hint="eastAsia" w:ascii="宋体" w:hAnsi="宋体"/>
          <w:szCs w:val="21"/>
        </w:rPr>
        <w:t>铋的测定需在硝酸介质中进行，</w:t>
      </w:r>
      <w:r>
        <w:rPr>
          <w:rFonts w:ascii="宋体" w:hAnsi="宋体"/>
          <w:szCs w:val="21"/>
        </w:rPr>
        <w:t>考察不同量的</w:t>
      </w:r>
      <w:r>
        <w:rPr>
          <w:rFonts w:hint="eastAsia" w:ascii="宋体" w:hAnsi="宋体"/>
          <w:szCs w:val="21"/>
        </w:rPr>
        <w:t>硝酸</w:t>
      </w:r>
      <w:r>
        <w:rPr>
          <w:rFonts w:ascii="宋体" w:hAnsi="宋体"/>
          <w:szCs w:val="21"/>
        </w:rPr>
        <w:t>酸对样品</w:t>
      </w:r>
      <w:r>
        <w:rPr>
          <w:rFonts w:hint="eastAsia" w:ascii="宋体" w:hAnsi="宋体"/>
          <w:szCs w:val="21"/>
        </w:rPr>
        <w:t>测定</w:t>
      </w:r>
      <w:r>
        <w:rPr>
          <w:rFonts w:ascii="宋体" w:hAnsi="宋体"/>
          <w:szCs w:val="21"/>
        </w:rPr>
        <w:t>的影响</w:t>
      </w:r>
      <w:r>
        <w:rPr>
          <w:rFonts w:hint="eastAsia" w:ascii="宋体" w:hAnsi="宋体"/>
          <w:szCs w:val="21"/>
        </w:rPr>
        <w:t>。</w:t>
      </w:r>
      <w:r>
        <w:rPr>
          <w:rFonts w:ascii="宋体" w:hAnsi="宋体"/>
          <w:szCs w:val="21"/>
        </w:rPr>
        <w:t>称取</w:t>
      </w:r>
      <w:r>
        <w:rPr>
          <w:rFonts w:hint="eastAsia" w:ascii="宋体" w:hAnsi="宋体"/>
          <w:szCs w:val="21"/>
        </w:rPr>
        <w:t>样品（AlBi10）</w:t>
      </w:r>
      <w:r>
        <w:rPr>
          <w:rFonts w:ascii="宋体" w:hAnsi="宋体"/>
          <w:szCs w:val="21"/>
        </w:rPr>
        <w:t>0.</w:t>
      </w:r>
      <w:r>
        <w:rPr>
          <w:rFonts w:hint="eastAsia" w:ascii="宋体" w:hAnsi="宋体"/>
          <w:szCs w:val="21"/>
        </w:rPr>
        <w:t xml:space="preserve">5 </w:t>
      </w:r>
      <w:r>
        <w:rPr>
          <w:rFonts w:ascii="宋体" w:hAnsi="宋体"/>
          <w:szCs w:val="21"/>
        </w:rPr>
        <w:t>g（精确至0.0001 g）</w:t>
      </w:r>
      <w:r>
        <w:rPr>
          <w:rFonts w:hint="eastAsia" w:ascii="宋体" w:hAnsi="宋体"/>
          <w:szCs w:val="21"/>
        </w:rPr>
        <w:t xml:space="preserve">于250 </w:t>
      </w:r>
      <w:r>
        <w:rPr>
          <w:rFonts w:ascii="宋体" w:hAnsi="宋体"/>
          <w:szCs w:val="21"/>
        </w:rPr>
        <w:t>mL</w:t>
      </w:r>
      <w:r>
        <w:rPr>
          <w:rFonts w:hint="eastAsia" w:ascii="宋体" w:hAnsi="宋体"/>
          <w:szCs w:val="21"/>
        </w:rPr>
        <w:t xml:space="preserve">烧杯中，加少量水润湿，加10 </w:t>
      </w:r>
      <w:r>
        <w:rPr>
          <w:rFonts w:ascii="宋体" w:hAnsi="宋体"/>
          <w:szCs w:val="21"/>
        </w:rPr>
        <w:t>mL</w:t>
      </w:r>
      <w:r>
        <w:rPr>
          <w:rFonts w:hint="eastAsia" w:ascii="宋体" w:hAnsi="宋体"/>
          <w:szCs w:val="21"/>
        </w:rPr>
        <w:t>盐酸，低温加热片刻，分别加入2 mL、5 mL、8 mL、10 mL、15 mL硝酸，</w:t>
      </w:r>
      <w:r>
        <w:rPr>
          <w:rFonts w:ascii="宋体" w:hAnsi="宋体"/>
          <w:szCs w:val="21"/>
        </w:rPr>
        <w:t>其他条件不变</w:t>
      </w:r>
      <w:r>
        <w:rPr>
          <w:rFonts w:hint="eastAsia" w:ascii="宋体" w:hAnsi="宋体"/>
          <w:szCs w:val="21"/>
        </w:rPr>
        <w:t>。</w:t>
      </w:r>
      <w:r>
        <w:rPr>
          <w:rFonts w:ascii="宋体" w:hAnsi="宋体"/>
          <w:szCs w:val="21"/>
        </w:rPr>
        <w:t>结果表明，</w:t>
      </w:r>
      <w:r>
        <w:rPr>
          <w:rFonts w:hint="eastAsia" w:ascii="宋体" w:hAnsi="宋体"/>
          <w:szCs w:val="21"/>
        </w:rPr>
        <w:t>硝酸</w:t>
      </w:r>
      <w:r>
        <w:rPr>
          <w:rFonts w:ascii="宋体" w:hAnsi="宋体"/>
          <w:szCs w:val="21"/>
        </w:rPr>
        <w:t>的加入量</w:t>
      </w:r>
      <w:r>
        <w:rPr>
          <w:rFonts w:hint="eastAsia" w:ascii="宋体" w:hAnsi="宋体"/>
          <w:szCs w:val="21"/>
        </w:rPr>
        <w:t>小于8</w:t>
      </w:r>
      <w:r>
        <w:rPr>
          <w:rFonts w:ascii="宋体" w:hAnsi="宋体"/>
          <w:szCs w:val="21"/>
        </w:rPr>
        <w:t xml:space="preserve"> mL</w:t>
      </w:r>
      <w:r>
        <w:rPr>
          <w:rFonts w:hint="eastAsia" w:ascii="宋体" w:hAnsi="宋体"/>
          <w:szCs w:val="21"/>
        </w:rPr>
        <w:t>，铋的测定结果略偏低，选择硝酸的加入量为10 mL。</w:t>
      </w:r>
    </w:p>
    <w:p>
      <w:pPr>
        <w:spacing w:line="360" w:lineRule="auto"/>
        <w:rPr>
          <w:rFonts w:ascii="宋体" w:hAnsi="宋体"/>
          <w:szCs w:val="21"/>
        </w:rPr>
      </w:pPr>
      <w:r>
        <w:rPr>
          <w:rFonts w:hint="eastAsia" w:ascii="宋体" w:hAnsi="宋体" w:cs="宋体"/>
        </w:rPr>
        <w:t>3、</w:t>
      </w:r>
      <w:r>
        <w:rPr>
          <w:rFonts w:hint="eastAsia" w:ascii="宋体" w:hAnsi="宋体"/>
          <w:kern w:val="0"/>
          <w:szCs w:val="21"/>
        </w:rPr>
        <w:t>饱和硫脲溶液加入量的选择</w:t>
      </w:r>
    </w:p>
    <w:p>
      <w:pPr>
        <w:autoSpaceDE w:val="0"/>
        <w:autoSpaceDN w:val="0"/>
        <w:adjustRightInd w:val="0"/>
        <w:spacing w:line="360" w:lineRule="auto"/>
        <w:jc w:val="left"/>
        <w:rPr>
          <w:rFonts w:ascii="宋体" w:hAnsi="宋体"/>
          <w:szCs w:val="21"/>
        </w:rPr>
      </w:pPr>
      <w:r>
        <w:rPr>
          <w:rFonts w:hint="eastAsia" w:ascii="宋体" w:hAnsi="宋体" w:cs="宋体"/>
        </w:rPr>
        <w:t xml:space="preserve">   </w:t>
      </w:r>
      <w:r>
        <w:rPr>
          <w:rFonts w:hint="eastAsia" w:ascii="宋体" w:hAnsi="宋体"/>
          <w:szCs w:val="21"/>
        </w:rPr>
        <w:t>铜的干扰可用硫脲消除。在AlBi10样品中，分别加入1 mL、2 mL、3 mL、5 mL、8 mL的饱和硫脲溶液，考察饱和硫脲溶液加入量对测定结果的影响。</w:t>
      </w:r>
      <w:r>
        <w:rPr>
          <w:rFonts w:ascii="宋体" w:hAnsi="宋体"/>
          <w:szCs w:val="21"/>
        </w:rPr>
        <w:t>试验表明，</w:t>
      </w:r>
      <w:r>
        <w:rPr>
          <w:rFonts w:hint="eastAsia" w:ascii="宋体" w:hAnsi="宋体"/>
          <w:szCs w:val="21"/>
        </w:rPr>
        <w:t>饱和硫脲溶液加入</w:t>
      </w:r>
      <w:r>
        <w:rPr>
          <w:rFonts w:ascii="宋体" w:hAnsi="宋体"/>
          <w:szCs w:val="21"/>
        </w:rPr>
        <w:t>量大于</w:t>
      </w:r>
      <w:r>
        <w:rPr>
          <w:rFonts w:hint="eastAsia" w:ascii="宋体" w:hAnsi="宋体"/>
          <w:szCs w:val="21"/>
        </w:rPr>
        <w:t>1</w:t>
      </w:r>
      <w:r>
        <w:rPr>
          <w:rFonts w:ascii="宋体" w:hAnsi="宋体"/>
          <w:szCs w:val="21"/>
        </w:rPr>
        <w:t>mL</w:t>
      </w:r>
      <w:r>
        <w:rPr>
          <w:rFonts w:hint="eastAsia" w:ascii="宋体" w:hAnsi="宋体"/>
          <w:szCs w:val="21"/>
        </w:rPr>
        <w:t>，</w:t>
      </w:r>
      <w:r>
        <w:rPr>
          <w:rFonts w:ascii="宋体" w:hAnsi="宋体"/>
          <w:szCs w:val="21"/>
        </w:rPr>
        <w:t>对</w:t>
      </w:r>
      <w:r>
        <w:rPr>
          <w:rFonts w:hint="eastAsia" w:ascii="宋体" w:hAnsi="宋体"/>
          <w:szCs w:val="21"/>
        </w:rPr>
        <w:t>铋</w:t>
      </w:r>
      <w:r>
        <w:rPr>
          <w:rFonts w:ascii="宋体" w:hAnsi="宋体"/>
          <w:szCs w:val="21"/>
        </w:rPr>
        <w:t>的测定无影响，本方法选择加入</w:t>
      </w:r>
      <w:r>
        <w:rPr>
          <w:rFonts w:hint="eastAsia" w:ascii="宋体" w:hAnsi="宋体"/>
          <w:szCs w:val="21"/>
        </w:rPr>
        <w:t>3</w:t>
      </w:r>
      <w:r>
        <w:rPr>
          <w:rFonts w:ascii="宋体" w:hAnsi="宋体"/>
          <w:szCs w:val="21"/>
        </w:rPr>
        <w:t>mL</w:t>
      </w:r>
      <w:r>
        <w:rPr>
          <w:rFonts w:hint="eastAsia" w:ascii="宋体" w:hAnsi="宋体"/>
          <w:szCs w:val="21"/>
        </w:rPr>
        <w:t>饱和硫脲溶液</w:t>
      </w:r>
      <w:r>
        <w:rPr>
          <w:rFonts w:ascii="宋体" w:hAnsi="宋体"/>
          <w:szCs w:val="21"/>
        </w:rPr>
        <w:t>。</w:t>
      </w:r>
    </w:p>
    <w:p>
      <w:pPr>
        <w:spacing w:line="360" w:lineRule="auto"/>
        <w:rPr>
          <w:rFonts w:ascii="宋体" w:hAnsi="宋体"/>
          <w:szCs w:val="21"/>
        </w:rPr>
      </w:pPr>
      <w:r>
        <w:rPr>
          <w:rFonts w:hint="eastAsia" w:ascii="宋体" w:hAnsi="宋体"/>
          <w:szCs w:val="21"/>
        </w:rPr>
        <w:t>4、酒石</w:t>
      </w:r>
      <w:r>
        <w:rPr>
          <w:rFonts w:hint="eastAsia" w:ascii="宋体" w:hAnsi="宋体"/>
          <w:kern w:val="0"/>
          <w:szCs w:val="21"/>
        </w:rPr>
        <w:t>酸钾钠溶液(</w:t>
      </w:r>
      <w:r>
        <w:rPr>
          <w:rFonts w:hint="eastAsia" w:ascii="宋体" w:hAnsi="宋体"/>
          <w:szCs w:val="21"/>
        </w:rPr>
        <w:t>200 g/L</w:t>
      </w:r>
      <w:r>
        <w:rPr>
          <w:rFonts w:hint="eastAsia" w:ascii="宋体" w:hAnsi="宋体"/>
          <w:kern w:val="0"/>
          <w:szCs w:val="21"/>
        </w:rPr>
        <w:t>)加入量的选择</w:t>
      </w:r>
    </w:p>
    <w:p>
      <w:pPr>
        <w:spacing w:line="360" w:lineRule="auto"/>
        <w:ind w:firstLine="420" w:firstLineChars="200"/>
        <w:rPr>
          <w:rFonts w:ascii="宋体" w:hAnsi="宋体"/>
          <w:szCs w:val="21"/>
        </w:rPr>
      </w:pPr>
      <w:r>
        <w:rPr>
          <w:rFonts w:hint="eastAsia" w:ascii="宋体" w:hAnsi="宋体"/>
          <w:szCs w:val="21"/>
        </w:rPr>
        <w:t>酒石</w:t>
      </w:r>
      <w:r>
        <w:rPr>
          <w:rFonts w:hint="eastAsia" w:ascii="宋体" w:hAnsi="宋体"/>
          <w:kern w:val="0"/>
          <w:szCs w:val="21"/>
        </w:rPr>
        <w:t>酸钾钠溶液可消除钛的影响。</w:t>
      </w:r>
      <w:r>
        <w:rPr>
          <w:rFonts w:hint="eastAsia" w:ascii="宋体" w:hAnsi="宋体"/>
          <w:szCs w:val="21"/>
        </w:rPr>
        <w:t>由于本批AlBi样品中，几乎不含钛，为了考察酒石</w:t>
      </w:r>
      <w:r>
        <w:rPr>
          <w:rFonts w:hint="eastAsia" w:ascii="宋体" w:hAnsi="宋体"/>
          <w:kern w:val="0"/>
          <w:szCs w:val="21"/>
        </w:rPr>
        <w:t>酸钾钠溶液</w:t>
      </w:r>
      <w:r>
        <w:rPr>
          <w:rFonts w:hint="eastAsia" w:ascii="宋体" w:hAnsi="宋体"/>
          <w:szCs w:val="21"/>
        </w:rPr>
        <w:t>加入量对测定结果的影响，在AlBi10样品中，加入4mg的钛，分别加入1 mL、2 mL、3 mL、5 mL、8 mL、10 mL的酒石</w:t>
      </w:r>
      <w:r>
        <w:rPr>
          <w:rFonts w:hint="eastAsia" w:ascii="宋体" w:hAnsi="宋体"/>
          <w:kern w:val="0"/>
          <w:szCs w:val="21"/>
        </w:rPr>
        <w:t>酸钾钠溶液，结果表明，</w:t>
      </w:r>
      <w:r>
        <w:rPr>
          <w:rFonts w:hint="eastAsia" w:ascii="宋体" w:hAnsi="宋体"/>
          <w:szCs w:val="21"/>
        </w:rPr>
        <w:t>酒石</w:t>
      </w:r>
      <w:r>
        <w:rPr>
          <w:rFonts w:hint="eastAsia" w:ascii="宋体" w:hAnsi="宋体"/>
          <w:kern w:val="0"/>
          <w:szCs w:val="21"/>
        </w:rPr>
        <w:t>酸钾钠溶液加入量小于2 mL，铋的测定结果偏高，本方法选择加入5 mL</w:t>
      </w:r>
      <w:r>
        <w:rPr>
          <w:rFonts w:hint="eastAsia" w:ascii="宋体" w:hAnsi="宋体"/>
          <w:szCs w:val="21"/>
        </w:rPr>
        <w:t>酒石</w:t>
      </w:r>
      <w:r>
        <w:rPr>
          <w:rFonts w:hint="eastAsia" w:ascii="宋体" w:hAnsi="宋体"/>
          <w:kern w:val="0"/>
          <w:szCs w:val="21"/>
        </w:rPr>
        <w:t>酸钾钠溶液。</w:t>
      </w:r>
    </w:p>
    <w:p>
      <w:pPr>
        <w:spacing w:line="360" w:lineRule="auto"/>
        <w:rPr>
          <w:rFonts w:ascii="宋体" w:hAnsi="宋体"/>
        </w:rPr>
      </w:pPr>
      <w:r>
        <w:rPr>
          <w:rFonts w:hint="eastAsia" w:ascii="宋体" w:hAnsi="宋体"/>
          <w:szCs w:val="21"/>
        </w:rPr>
        <w:t>5、</w:t>
      </w:r>
      <w:r>
        <w:rPr>
          <w:rFonts w:hint="eastAsia" w:ascii="宋体" w:hAnsi="宋体"/>
        </w:rPr>
        <w:t>pH值对测定结果</w:t>
      </w:r>
      <w:r>
        <w:rPr>
          <w:rFonts w:ascii="宋体" w:hAnsi="宋体"/>
        </w:rPr>
        <w:t>的</w:t>
      </w:r>
      <w:r>
        <w:rPr>
          <w:rFonts w:hint="eastAsia" w:ascii="宋体" w:hAnsi="宋体"/>
        </w:rPr>
        <w:t>选择</w:t>
      </w:r>
    </w:p>
    <w:p>
      <w:pPr>
        <w:spacing w:line="360" w:lineRule="auto"/>
        <w:ind w:firstLine="315" w:firstLineChars="150"/>
        <w:rPr>
          <w:rFonts w:ascii="宋体" w:hAnsi="宋体"/>
        </w:rPr>
      </w:pPr>
      <w:r>
        <w:rPr>
          <w:rFonts w:hint="eastAsia" w:ascii="宋体" w:hAnsi="宋体"/>
          <w:szCs w:val="21"/>
        </w:rPr>
        <w:t>铋需要在较低的pH值进行测定，避免铝、镁、锌、铬等对测定的干扰。在不同的pH值下，测定AlBi10样品，</w:t>
      </w:r>
      <w:r>
        <w:rPr>
          <w:rFonts w:ascii="宋体" w:hAnsi="宋体"/>
        </w:rPr>
        <w:t>结果表明，</w:t>
      </w:r>
      <w:r>
        <w:rPr>
          <w:rFonts w:hint="eastAsia" w:ascii="宋体" w:hAnsi="宋体"/>
          <w:szCs w:val="21"/>
        </w:rPr>
        <w:t xml:space="preserve">pH值为1.5和2.0 </w:t>
      </w:r>
      <w:r>
        <w:rPr>
          <w:rFonts w:hint="eastAsia" w:ascii="宋体" w:hAnsi="宋体"/>
        </w:rPr>
        <w:t>时，测定结果均与精密度测定结果一致</w:t>
      </w:r>
      <w:r>
        <w:rPr>
          <w:rFonts w:ascii="宋体" w:hAnsi="宋体"/>
        </w:rPr>
        <w:t>。</w:t>
      </w:r>
      <w:r>
        <w:rPr>
          <w:rFonts w:hint="eastAsia" w:ascii="宋体" w:hAnsi="宋体"/>
          <w:kern w:val="0"/>
          <w:szCs w:val="21"/>
        </w:rPr>
        <w:t>本方法选择的</w:t>
      </w:r>
      <w:r>
        <w:rPr>
          <w:rFonts w:hint="eastAsia" w:ascii="宋体" w:hAnsi="宋体"/>
          <w:szCs w:val="21"/>
        </w:rPr>
        <w:t>pH值为1.5</w:t>
      </w:r>
      <w:r>
        <w:rPr>
          <w:rFonts w:hint="eastAsia" w:ascii="宋体" w:hAnsi="宋体"/>
          <w:kern w:val="0"/>
          <w:szCs w:val="21"/>
        </w:rPr>
        <w:t>。</w:t>
      </w:r>
    </w:p>
    <w:p>
      <w:pPr>
        <w:spacing w:afterLines="50"/>
        <w:rPr>
          <w:rFonts w:ascii="宋体" w:hAnsi="宋体"/>
          <w:szCs w:val="21"/>
        </w:rPr>
      </w:pPr>
      <w:r>
        <w:rPr>
          <w:rFonts w:hint="eastAsia" w:ascii="宋体" w:hAnsi="宋体"/>
          <w:szCs w:val="21"/>
        </w:rPr>
        <w:t>6、共存元素干扰试验</w:t>
      </w:r>
    </w:p>
    <w:p>
      <w:pPr>
        <w:widowControl/>
        <w:autoSpaceDE w:val="0"/>
        <w:autoSpaceDN w:val="0"/>
        <w:spacing w:line="360" w:lineRule="auto"/>
        <w:ind w:firstLine="420" w:firstLineChars="200"/>
        <w:rPr>
          <w:szCs w:val="21"/>
        </w:rPr>
      </w:pPr>
      <w:r>
        <w:rPr>
          <w:rFonts w:hint="eastAsia" w:ascii="宋体" w:hAnsi="宋体"/>
          <w:szCs w:val="21"/>
        </w:rPr>
        <w:t>查阅了GB/T 3190（草案稿）；GB/T 8733-2016；GB/T 27677-2017；GB/T 1196-2017；YS/T 665-2008；YS/T 275-2009等7个成分标准，及部分产品标准，确定了干扰元素的种类以及其</w:t>
      </w:r>
      <w:r>
        <w:rPr>
          <w:rFonts w:hint="eastAsia" w:ascii="宋体" w:hAnsi="宋体"/>
          <w:color w:val="000000"/>
        </w:rPr>
        <w:t>最大</w:t>
      </w:r>
      <w:r>
        <w:rPr>
          <w:rFonts w:hint="eastAsia" w:ascii="宋体" w:hAnsi="宋体"/>
          <w:szCs w:val="21"/>
        </w:rPr>
        <w:t>含量：</w:t>
      </w:r>
      <w:r>
        <w:rPr>
          <w:rFonts w:hint="eastAsia" w:ascii="宋体" w:hAnsi="宋体"/>
          <w:color w:val="000000"/>
        </w:rPr>
        <w:t>Si0.8%、Fe0.7%、Cu0.4%、 Mn0.15%、 Mg1.2%、 Cr0.35%、 Zn0.25%、Ti0.15%。</w:t>
      </w:r>
      <w:r>
        <w:rPr>
          <w:rFonts w:hint="eastAsia" w:ascii="宋体" w:hAnsi="宋体"/>
        </w:rPr>
        <w:t>加入相当0.50g试样中可能存在的</w:t>
      </w:r>
      <w:r>
        <w:rPr>
          <w:rFonts w:hint="eastAsia" w:ascii="宋体" w:hAnsi="宋体"/>
          <w:szCs w:val="21"/>
        </w:rPr>
        <w:t>干扰元素</w:t>
      </w:r>
      <w:r>
        <w:rPr>
          <w:rFonts w:hint="eastAsia" w:ascii="宋体" w:hAnsi="宋体"/>
        </w:rPr>
        <w:t>最大量，考察</w:t>
      </w:r>
      <w:r>
        <w:rPr>
          <w:rFonts w:hint="eastAsia" w:ascii="宋体" w:hAnsi="宋体"/>
          <w:szCs w:val="21"/>
        </w:rPr>
        <w:t>共存元素</w:t>
      </w:r>
      <w:r>
        <w:rPr>
          <w:rFonts w:hint="eastAsia" w:ascii="宋体" w:hAnsi="宋体"/>
        </w:rPr>
        <w:t>对20mg铋测定的影响，进行</w:t>
      </w:r>
      <w:r>
        <w:rPr>
          <w:rFonts w:hint="eastAsia" w:ascii="宋体" w:hAnsi="宋体"/>
          <w:szCs w:val="21"/>
        </w:rPr>
        <w:t>干扰试验。结果表明：存在的干扰元素最大量对铋的测定均无影响。</w:t>
      </w:r>
    </w:p>
    <w:p>
      <w:pPr>
        <w:spacing w:line="360" w:lineRule="auto"/>
        <w:rPr>
          <w:rFonts w:ascii="宋体" w:hAnsi="宋体"/>
          <w:szCs w:val="21"/>
        </w:rPr>
      </w:pPr>
      <w:r>
        <w:rPr>
          <w:rFonts w:hint="eastAsia" w:ascii="宋体" w:hAnsi="宋体"/>
          <w:szCs w:val="21"/>
        </w:rPr>
        <w:t>7、</w:t>
      </w:r>
      <w:r>
        <w:rPr>
          <w:rFonts w:hint="eastAsia" w:ascii="宋体" w:hAnsi="宋体" w:cs="黑体"/>
          <w:bCs/>
          <w:szCs w:val="21"/>
        </w:rPr>
        <w:t>加标回收实验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cs="宋体"/>
          <w:kern w:val="0"/>
          <w:szCs w:val="21"/>
        </w:rPr>
        <w:t>分别对</w:t>
      </w:r>
      <w:r>
        <w:rPr>
          <w:rFonts w:ascii="宋体" w:hAnsi="宋体"/>
          <w:szCs w:val="21"/>
        </w:rPr>
        <w:t>AlBi3</w:t>
      </w:r>
      <w:r>
        <w:rPr>
          <w:rFonts w:hint="eastAsia" w:ascii="宋体" w:hAnsi="宋体"/>
          <w:szCs w:val="21"/>
        </w:rPr>
        <w:t>、</w:t>
      </w:r>
      <w:r>
        <w:rPr>
          <w:rFonts w:ascii="宋体" w:hAnsi="宋体"/>
          <w:szCs w:val="21"/>
        </w:rPr>
        <w:t>AlBi</w:t>
      </w:r>
      <w:r>
        <w:rPr>
          <w:rFonts w:hint="eastAsia" w:ascii="宋体" w:hAnsi="宋体"/>
          <w:szCs w:val="21"/>
        </w:rPr>
        <w:t>5、</w:t>
      </w:r>
      <w:r>
        <w:rPr>
          <w:rFonts w:ascii="宋体" w:hAnsi="宋体"/>
          <w:szCs w:val="21"/>
        </w:rPr>
        <w:t>AlBi</w:t>
      </w:r>
      <w:r>
        <w:rPr>
          <w:rFonts w:hint="eastAsia" w:ascii="宋体" w:hAnsi="宋体"/>
          <w:szCs w:val="21"/>
        </w:rPr>
        <w:t>10三</w:t>
      </w:r>
      <w:r>
        <w:rPr>
          <w:rFonts w:hint="eastAsia" w:ascii="宋体" w:hAnsi="宋体" w:cs="宋体"/>
          <w:kern w:val="0"/>
          <w:szCs w:val="21"/>
        </w:rPr>
        <w:t>个样品进行加标，分别加入10mg 和20mg铋，</w:t>
      </w:r>
      <w:r>
        <w:rPr>
          <w:rFonts w:hint="eastAsia" w:ascii="宋体" w:hAnsi="宋体"/>
          <w:szCs w:val="21"/>
        </w:rPr>
        <w:t>按本方法的分析步骤进行加标回收试验</w:t>
      </w:r>
      <w:r>
        <w:rPr>
          <w:rFonts w:hint="eastAsia" w:ascii="宋体" w:hAnsi="宋体" w:cs="宋体"/>
          <w:kern w:val="0"/>
          <w:szCs w:val="21"/>
        </w:rPr>
        <w:t>。</w:t>
      </w:r>
      <w:r>
        <w:rPr>
          <w:rFonts w:hint="eastAsia" w:ascii="宋体" w:hAnsi="宋体"/>
          <w:szCs w:val="21"/>
        </w:rPr>
        <w:t>结果见表13</w:t>
      </w:r>
      <w:r>
        <w:rPr>
          <w:rFonts w:ascii="宋体" w:hAnsi="宋体"/>
          <w:szCs w:val="21"/>
        </w:rPr>
        <w:t>。</w:t>
      </w:r>
    </w:p>
    <w:p>
      <w:pPr>
        <w:autoSpaceDE w:val="0"/>
        <w:autoSpaceDN w:val="0"/>
        <w:adjustRightInd w:val="0"/>
        <w:spacing w:line="360" w:lineRule="auto"/>
        <w:jc w:val="center"/>
        <w:rPr>
          <w:rFonts w:ascii="宋体" w:hAnsi="宋体"/>
          <w:b/>
          <w:kern w:val="0"/>
          <w:szCs w:val="21"/>
        </w:rPr>
      </w:pPr>
      <w:r>
        <w:rPr>
          <w:rFonts w:ascii="宋体" w:hAnsi="宋体"/>
          <w:b/>
          <w:kern w:val="0"/>
          <w:szCs w:val="21"/>
        </w:rPr>
        <w:t>表</w:t>
      </w:r>
      <w:r>
        <w:rPr>
          <w:rFonts w:hint="eastAsia" w:ascii="宋体" w:hAnsi="宋体"/>
          <w:b/>
          <w:kern w:val="0"/>
          <w:szCs w:val="21"/>
        </w:rPr>
        <w:t>13</w:t>
      </w:r>
      <w:r>
        <w:rPr>
          <w:rFonts w:ascii="宋体" w:hAnsi="宋体"/>
          <w:b/>
          <w:kern w:val="0"/>
          <w:szCs w:val="21"/>
        </w:rPr>
        <w:t xml:space="preserve"> 加标回收试验</w:t>
      </w:r>
    </w:p>
    <w:tbl>
      <w:tblPr>
        <w:tblStyle w:val="21"/>
        <w:tblW w:w="8272"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76"/>
        <w:gridCol w:w="1418"/>
        <w:gridCol w:w="1701"/>
        <w:gridCol w:w="163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样品</w:t>
            </w:r>
          </w:p>
          <w:p>
            <w:pPr>
              <w:autoSpaceDE w:val="0"/>
              <w:autoSpaceDN w:val="0"/>
              <w:adjustRightInd w:val="0"/>
              <w:spacing w:line="360" w:lineRule="auto"/>
              <w:jc w:val="center"/>
              <w:rPr>
                <w:rFonts w:ascii="宋体" w:hAnsi="宋体"/>
                <w:kern w:val="0"/>
                <w:szCs w:val="21"/>
              </w:rPr>
            </w:pPr>
            <w:r>
              <w:rPr>
                <w:rFonts w:ascii="宋体" w:hAnsi="宋体"/>
                <w:kern w:val="0"/>
                <w:szCs w:val="21"/>
              </w:rPr>
              <w:t>编号</w:t>
            </w: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称样量</w:t>
            </w:r>
          </w:p>
          <w:p>
            <w:pPr>
              <w:autoSpaceDE w:val="0"/>
              <w:autoSpaceDN w:val="0"/>
              <w:adjustRightInd w:val="0"/>
              <w:spacing w:line="360" w:lineRule="auto"/>
              <w:jc w:val="center"/>
              <w:rPr>
                <w:rFonts w:ascii="宋体" w:hAnsi="宋体"/>
                <w:kern w:val="0"/>
                <w:szCs w:val="21"/>
              </w:rPr>
            </w:pPr>
            <w:r>
              <w:rPr>
                <w:rFonts w:ascii="宋体" w:hAnsi="宋体"/>
                <w:kern w:val="0"/>
                <w:szCs w:val="21"/>
              </w:rPr>
              <w:t>(g)</w:t>
            </w:r>
          </w:p>
        </w:tc>
        <w:tc>
          <w:tcPr>
            <w:tcW w:w="1418"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本底值</w:t>
            </w:r>
          </w:p>
          <w:p>
            <w:pPr>
              <w:autoSpaceDE w:val="0"/>
              <w:autoSpaceDN w:val="0"/>
              <w:adjustRightInd w:val="0"/>
              <w:spacing w:line="360" w:lineRule="auto"/>
              <w:jc w:val="center"/>
              <w:rPr>
                <w:rFonts w:ascii="宋体" w:hAnsi="宋体"/>
                <w:kern w:val="0"/>
                <w:szCs w:val="21"/>
              </w:rPr>
            </w:pPr>
            <w:r>
              <w:rPr>
                <w:rFonts w:ascii="宋体" w:hAnsi="宋体"/>
                <w:kern w:val="0"/>
                <w:szCs w:val="21"/>
              </w:rPr>
              <w:t>（mg）</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加入铋量</w:t>
            </w:r>
          </w:p>
          <w:p>
            <w:pPr>
              <w:autoSpaceDE w:val="0"/>
              <w:autoSpaceDN w:val="0"/>
              <w:adjustRightInd w:val="0"/>
              <w:spacing w:line="360" w:lineRule="auto"/>
              <w:jc w:val="center"/>
              <w:rPr>
                <w:rFonts w:ascii="宋体" w:hAnsi="宋体"/>
                <w:kern w:val="0"/>
                <w:szCs w:val="21"/>
              </w:rPr>
            </w:pPr>
            <w:r>
              <w:rPr>
                <w:rFonts w:ascii="宋体" w:hAnsi="宋体"/>
                <w:kern w:val="0"/>
                <w:szCs w:val="21"/>
              </w:rPr>
              <w:t>（mg）</w:t>
            </w:r>
          </w:p>
        </w:tc>
        <w:tc>
          <w:tcPr>
            <w:tcW w:w="1639"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测得铋量</w:t>
            </w:r>
          </w:p>
          <w:p>
            <w:pPr>
              <w:autoSpaceDE w:val="0"/>
              <w:autoSpaceDN w:val="0"/>
              <w:adjustRightInd w:val="0"/>
              <w:spacing w:line="360" w:lineRule="auto"/>
              <w:jc w:val="center"/>
              <w:rPr>
                <w:rFonts w:ascii="宋体" w:hAnsi="宋体"/>
                <w:kern w:val="0"/>
                <w:szCs w:val="21"/>
              </w:rPr>
            </w:pPr>
            <w:r>
              <w:rPr>
                <w:rFonts w:ascii="宋体" w:hAnsi="宋体"/>
                <w:kern w:val="0"/>
                <w:szCs w:val="21"/>
              </w:rPr>
              <w:t>（mg）</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回收率</w:t>
            </w:r>
          </w:p>
          <w:p>
            <w:pPr>
              <w:autoSpaceDE w:val="0"/>
              <w:autoSpaceDN w:val="0"/>
              <w:adjustRightInd w:val="0"/>
              <w:spacing w:line="360" w:lineRule="auto"/>
              <w:jc w:val="center"/>
              <w:rPr>
                <w:rFonts w:ascii="宋体" w:hAnsi="宋体"/>
                <w:kern w:val="0"/>
                <w:szCs w:val="21"/>
              </w:rPr>
            </w:pP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restart"/>
            <w:vAlign w:val="center"/>
          </w:tcPr>
          <w:p>
            <w:pPr>
              <w:autoSpaceDE w:val="0"/>
              <w:autoSpaceDN w:val="0"/>
              <w:adjustRightInd w:val="0"/>
              <w:spacing w:line="360" w:lineRule="auto"/>
              <w:jc w:val="center"/>
              <w:rPr>
                <w:rFonts w:ascii="宋体" w:hAnsi="宋体"/>
                <w:kern w:val="0"/>
                <w:szCs w:val="21"/>
              </w:rPr>
            </w:pPr>
            <w:r>
              <w:rPr>
                <w:rFonts w:ascii="宋体" w:hAnsi="宋体"/>
                <w:szCs w:val="21"/>
              </w:rPr>
              <w:t>AlBi3</w:t>
            </w: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0.5055</w:t>
            </w:r>
          </w:p>
        </w:tc>
        <w:tc>
          <w:tcPr>
            <w:tcW w:w="1418"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17</w:t>
            </w:r>
            <w:r>
              <w:rPr>
                <w:rFonts w:ascii="宋体" w:hAnsi="宋体"/>
                <w:kern w:val="0"/>
                <w:szCs w:val="21"/>
              </w:rPr>
              <w:t>.</w:t>
            </w:r>
            <w:r>
              <w:rPr>
                <w:rFonts w:hint="eastAsia" w:ascii="宋体" w:hAnsi="宋体"/>
                <w:kern w:val="0"/>
                <w:szCs w:val="21"/>
              </w:rPr>
              <w:t>24</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10</w:t>
            </w:r>
          </w:p>
        </w:tc>
        <w:tc>
          <w:tcPr>
            <w:tcW w:w="1639"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27</w:t>
            </w:r>
            <w:r>
              <w:rPr>
                <w:rFonts w:ascii="宋体" w:hAnsi="宋体"/>
                <w:kern w:val="0"/>
                <w:szCs w:val="21"/>
              </w:rPr>
              <w:t>.</w:t>
            </w:r>
            <w:r>
              <w:rPr>
                <w:rFonts w:hint="eastAsia" w:ascii="宋体" w:hAnsi="宋体"/>
                <w:kern w:val="0"/>
                <w:szCs w:val="21"/>
              </w:rPr>
              <w:t>0</w:t>
            </w:r>
            <w:r>
              <w:rPr>
                <w:rFonts w:ascii="宋体" w:hAnsi="宋体"/>
                <w:kern w:val="0"/>
                <w:szCs w:val="21"/>
              </w:rPr>
              <w:t>3</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9</w:t>
            </w:r>
            <w:r>
              <w:rPr>
                <w:rFonts w:hint="eastAsia" w:ascii="宋体" w:hAnsi="宋体"/>
                <w:kern w:val="0"/>
                <w:szCs w:val="21"/>
              </w:rPr>
              <w:t>9</w:t>
            </w:r>
            <w:r>
              <w:rPr>
                <w:rFonts w:ascii="宋体" w:hAnsi="宋体"/>
                <w:kern w:val="0"/>
                <w:szCs w:val="21"/>
              </w:rPr>
              <w:t>.</w:t>
            </w: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autoSpaceDE w:val="0"/>
              <w:autoSpaceDN w:val="0"/>
              <w:adjustRightInd w:val="0"/>
              <w:spacing w:line="360" w:lineRule="auto"/>
              <w:jc w:val="center"/>
              <w:rPr>
                <w:rFonts w:ascii="宋体" w:hAnsi="宋体"/>
                <w:kern w:val="0"/>
                <w:szCs w:val="21"/>
              </w:rPr>
            </w:pP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0.5029</w:t>
            </w:r>
          </w:p>
        </w:tc>
        <w:tc>
          <w:tcPr>
            <w:tcW w:w="1418"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17</w:t>
            </w:r>
            <w:r>
              <w:rPr>
                <w:rFonts w:ascii="宋体" w:hAnsi="宋体"/>
                <w:kern w:val="0"/>
                <w:szCs w:val="21"/>
              </w:rPr>
              <w:t>.</w:t>
            </w:r>
            <w:r>
              <w:rPr>
                <w:rFonts w:hint="eastAsia" w:ascii="宋体" w:hAnsi="宋体"/>
                <w:kern w:val="0"/>
                <w:szCs w:val="21"/>
              </w:rPr>
              <w:t>15</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20</w:t>
            </w:r>
          </w:p>
        </w:tc>
        <w:tc>
          <w:tcPr>
            <w:tcW w:w="1639"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37</w:t>
            </w:r>
            <w:r>
              <w:rPr>
                <w:rFonts w:ascii="宋体" w:hAnsi="宋体"/>
                <w:kern w:val="0"/>
                <w:szCs w:val="21"/>
              </w:rPr>
              <w:t>.</w:t>
            </w:r>
            <w:r>
              <w:rPr>
                <w:rFonts w:hint="eastAsia" w:ascii="宋体" w:hAnsi="宋体"/>
                <w:kern w:val="0"/>
                <w:szCs w:val="21"/>
              </w:rPr>
              <w:t>00</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99.</w:t>
            </w:r>
            <w:r>
              <w:rPr>
                <w:rFonts w:hint="eastAsia" w:ascii="宋体" w:hAnsi="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restart"/>
            <w:vAlign w:val="center"/>
          </w:tcPr>
          <w:p>
            <w:pPr>
              <w:autoSpaceDE w:val="0"/>
              <w:autoSpaceDN w:val="0"/>
              <w:adjustRightInd w:val="0"/>
              <w:spacing w:line="360" w:lineRule="auto"/>
              <w:jc w:val="center"/>
              <w:rPr>
                <w:rFonts w:ascii="宋体" w:hAnsi="宋体"/>
                <w:kern w:val="0"/>
                <w:szCs w:val="21"/>
              </w:rPr>
            </w:pPr>
            <w:r>
              <w:rPr>
                <w:rFonts w:ascii="宋体" w:hAnsi="宋体"/>
                <w:szCs w:val="21"/>
              </w:rPr>
              <w:t>AlBi5</w:t>
            </w: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0.5134</w:t>
            </w:r>
          </w:p>
        </w:tc>
        <w:tc>
          <w:tcPr>
            <w:tcW w:w="1418"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23.17</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10</w:t>
            </w:r>
          </w:p>
        </w:tc>
        <w:tc>
          <w:tcPr>
            <w:tcW w:w="1639"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33.40</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100.69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autoSpaceDE w:val="0"/>
              <w:autoSpaceDN w:val="0"/>
              <w:adjustRightInd w:val="0"/>
              <w:spacing w:line="360" w:lineRule="auto"/>
              <w:jc w:val="center"/>
              <w:rPr>
                <w:rFonts w:ascii="宋体" w:hAnsi="宋体"/>
                <w:kern w:val="0"/>
                <w:szCs w:val="21"/>
              </w:rPr>
            </w:pP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0.5008</w:t>
            </w:r>
          </w:p>
        </w:tc>
        <w:tc>
          <w:tcPr>
            <w:tcW w:w="1418"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22.61</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20</w:t>
            </w:r>
          </w:p>
        </w:tc>
        <w:tc>
          <w:tcPr>
            <w:tcW w:w="1639"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42.27</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restart"/>
            <w:vAlign w:val="center"/>
          </w:tcPr>
          <w:p>
            <w:pPr>
              <w:autoSpaceDE w:val="0"/>
              <w:autoSpaceDN w:val="0"/>
              <w:adjustRightInd w:val="0"/>
              <w:spacing w:line="360" w:lineRule="auto"/>
              <w:jc w:val="center"/>
              <w:rPr>
                <w:rFonts w:ascii="宋体" w:hAnsi="宋体"/>
                <w:kern w:val="0"/>
                <w:szCs w:val="21"/>
              </w:rPr>
            </w:pPr>
            <w:r>
              <w:rPr>
                <w:rFonts w:ascii="宋体" w:hAnsi="宋体"/>
                <w:szCs w:val="21"/>
              </w:rPr>
              <w:t>AlBi10</w:t>
            </w: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0.5025</w:t>
            </w:r>
          </w:p>
        </w:tc>
        <w:tc>
          <w:tcPr>
            <w:tcW w:w="1418"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48.20</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10</w:t>
            </w:r>
          </w:p>
        </w:tc>
        <w:tc>
          <w:tcPr>
            <w:tcW w:w="1639"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57.37</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autoSpaceDE w:val="0"/>
              <w:autoSpaceDN w:val="0"/>
              <w:adjustRightInd w:val="0"/>
              <w:spacing w:line="360" w:lineRule="auto"/>
              <w:jc w:val="center"/>
              <w:rPr>
                <w:rFonts w:ascii="宋体" w:hAnsi="宋体"/>
                <w:szCs w:val="21"/>
              </w:rPr>
            </w:pPr>
          </w:p>
        </w:tc>
        <w:tc>
          <w:tcPr>
            <w:tcW w:w="1276"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0.5110</w:t>
            </w:r>
          </w:p>
        </w:tc>
        <w:tc>
          <w:tcPr>
            <w:tcW w:w="1418"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49.02</w:t>
            </w:r>
          </w:p>
        </w:tc>
        <w:tc>
          <w:tcPr>
            <w:tcW w:w="170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20</w:t>
            </w:r>
          </w:p>
        </w:tc>
        <w:tc>
          <w:tcPr>
            <w:tcW w:w="1639"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68.62</w:t>
            </w:r>
          </w:p>
        </w:tc>
        <w:tc>
          <w:tcPr>
            <w:tcW w:w="1121" w:type="dxa"/>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99.42</w:t>
            </w:r>
          </w:p>
        </w:tc>
      </w:tr>
    </w:tbl>
    <w:p>
      <w:pPr>
        <w:widowControl/>
        <w:autoSpaceDE w:val="0"/>
        <w:autoSpaceDN w:val="0"/>
        <w:spacing w:line="360" w:lineRule="auto"/>
        <w:rPr>
          <w:rFonts w:ascii="宋体" w:hAnsi="宋体" w:cs="宋体"/>
          <w:kern w:val="0"/>
          <w:szCs w:val="21"/>
        </w:rPr>
      </w:pPr>
    </w:p>
    <w:p>
      <w:pPr>
        <w:widowControl/>
        <w:autoSpaceDE w:val="0"/>
        <w:autoSpaceDN w:val="0"/>
        <w:spacing w:line="360" w:lineRule="auto"/>
        <w:rPr>
          <w:rFonts w:ascii="宋体" w:hAnsi="宋体" w:cs="宋体"/>
          <w:kern w:val="0"/>
          <w:szCs w:val="21"/>
        </w:rPr>
      </w:pPr>
      <w:r>
        <w:rPr>
          <w:rFonts w:hint="eastAsia" w:ascii="黑体" w:hAnsi="黑体" w:eastAsia="黑体" w:cs="黑体"/>
          <w:bCs/>
          <w:sz w:val="24"/>
        </w:rPr>
        <w:t>五、标准的水平分析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GB/T20975.32—201X《铝及铝合金化学分析方法 第32部分：铋含量的测定》是完全基于我国分析检测技术，国际标准和国外先进国家或组织均没有相同标准和规范。</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szCs w:val="21"/>
        </w:rPr>
      </w:pPr>
      <w:r>
        <w:rPr>
          <w:rFonts w:hint="eastAsia" w:ascii="宋体" w:hAnsi="宋体"/>
          <w:szCs w:val="21"/>
        </w:rPr>
        <w:t>GB/T20975.32—201X《铝及铝合金化学分析方法 第32部分：铋含量的测定》完全基于我国分析检测技术。</w:t>
      </w:r>
      <w:r>
        <w:rPr>
          <w:rFonts w:hint="eastAsia" w:ascii="宋体" w:hAnsi="宋体" w:cs="宋体"/>
          <w:szCs w:val="21"/>
        </w:rPr>
        <w:t>本</w:t>
      </w:r>
      <w:r>
        <w:rPr>
          <w:rFonts w:hint="eastAsia"/>
          <w:szCs w:val="21"/>
        </w:rPr>
        <w:t>标准涉及内容全面、条款详细，在制定过程中吸纳了国内最新相关技术，</w:t>
      </w:r>
      <w:r>
        <w:rPr>
          <w:rFonts w:hint="eastAsia" w:ascii="宋体" w:hAnsi="宋体"/>
          <w:szCs w:val="21"/>
        </w:rPr>
        <w:t>达到了国内先进水平。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3190-2008《变形铝及铝合金化学成分》等标准相配套，主要应用于分析铝及铝合金产品中铋含量；同时又与GB/T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六、与有关的现行法律、法规和强制性国家标准的关系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ascii="黑体" w:hAnsi="宋体" w:eastAsia="黑体"/>
          <w:sz w:val="24"/>
        </w:rPr>
      </w:pPr>
      <w:r>
        <w:rPr>
          <w:rFonts w:hint="eastAsia" w:ascii="黑体" w:hAnsi="黑体" w:eastAsia="黑体" w:cs="黑体"/>
          <w:sz w:val="24"/>
        </w:rPr>
        <w:t>七、</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八、重大分歧意见的处理经过和依据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九、标准作为强制性或推荐性的建议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ascii="黑体" w:hAnsi="宋体" w:eastAsia="黑体"/>
          <w:sz w:val="24"/>
        </w:rPr>
      </w:pPr>
      <w:r>
        <w:rPr>
          <w:rFonts w:hint="eastAsia" w:ascii="黑体" w:hAnsi="宋体" w:eastAsia="黑体"/>
          <w:sz w:val="24"/>
        </w:rPr>
        <w:t>十、贯彻标准的要求和措施建议</w:t>
      </w:r>
    </w:p>
    <w:p>
      <w:pPr>
        <w:tabs>
          <w:tab w:val="left" w:pos="525"/>
        </w:tabs>
        <w:spacing w:line="360" w:lineRule="auto"/>
        <w:ind w:firstLine="465"/>
        <w:outlineLvl w:val="0"/>
        <w:rPr>
          <w:rFonts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十一、</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 xml:space="preserve">YS/T 807.9-2012《铝中间合金化学分析方法 第9部分：铋含量的测定 </w:t>
      </w:r>
      <w:r>
        <w:rPr>
          <w:rFonts w:hint="eastAsia" w:ascii="宋体" w:hAnsi="宋体"/>
        </w:rPr>
        <w:t>碘化钾分光光度法</w:t>
      </w:r>
      <w:r>
        <w:rPr>
          <w:rFonts w:hint="eastAsia" w:ascii="宋体" w:hAnsi="宋体"/>
          <w:szCs w:val="21"/>
        </w:rPr>
        <w:t>》</w:t>
      </w:r>
      <w:r>
        <w:rPr>
          <w:rFonts w:hint="eastAsia" w:ascii="宋体" w:hAnsi="宋体" w:cs="宋体"/>
          <w:szCs w:val="21"/>
        </w:rPr>
        <w:t>。</w:t>
      </w:r>
    </w:p>
    <w:p>
      <w:pPr>
        <w:spacing w:beforeLines="50" w:afterLines="50" w:line="360" w:lineRule="auto"/>
        <w:rPr>
          <w:rFonts w:ascii="黑体" w:hAnsi="黑体" w:eastAsia="黑体" w:cs="黑体"/>
          <w:sz w:val="24"/>
        </w:rPr>
      </w:pPr>
      <w:r>
        <w:rPr>
          <w:rFonts w:hint="eastAsia" w:ascii="黑体" w:hAnsi="黑体" w:eastAsia="黑体" w:cs="黑体"/>
          <w:sz w:val="24"/>
        </w:rPr>
        <w:t>十二、其他应予说明的事项</w:t>
      </w:r>
    </w:p>
    <w:p>
      <w:pPr>
        <w:spacing w:line="360" w:lineRule="auto"/>
        <w:rPr>
          <w:rFonts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十三、预期效果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20975.32-201X《</w:t>
      </w:r>
      <w:r>
        <w:rPr>
          <w:rFonts w:hint="eastAsia" w:ascii="宋体" w:hAnsi="宋体"/>
        </w:rPr>
        <w:t>铝及铝合金化学分析方法</w:t>
      </w:r>
      <w:r>
        <w:rPr>
          <w:rFonts w:hint="eastAsia" w:ascii="宋体" w:hAnsi="宋体"/>
          <w:szCs w:val="21"/>
        </w:rPr>
        <w:t xml:space="preserve"> 第32部分：铋含量的测定》是我国铝及铝合金中铋含量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第32部分：铋含量的测定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bookmarkStart w:id="5" w:name="_GoBack"/>
      <w:bookmarkEnd w:id="5"/>
      <w:r>
        <w:rPr>
          <w:rFonts w:hint="eastAsia" w:ascii="宋体" w:hAnsi="宋体"/>
          <w:szCs w:val="21"/>
        </w:rPr>
        <w:t>月</w:t>
      </w:r>
    </w:p>
    <w:p>
      <w:pPr>
        <w:spacing w:beforeLines="50" w:afterLines="50"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4422"/>
    <w:rsid w:val="00016859"/>
    <w:rsid w:val="0002265D"/>
    <w:rsid w:val="00023C42"/>
    <w:rsid w:val="0002404C"/>
    <w:rsid w:val="00035D32"/>
    <w:rsid w:val="000375F1"/>
    <w:rsid w:val="0004625A"/>
    <w:rsid w:val="00047B62"/>
    <w:rsid w:val="00050A11"/>
    <w:rsid w:val="00054EFF"/>
    <w:rsid w:val="00060870"/>
    <w:rsid w:val="000624D8"/>
    <w:rsid w:val="000721C6"/>
    <w:rsid w:val="00082608"/>
    <w:rsid w:val="00085A44"/>
    <w:rsid w:val="00090D00"/>
    <w:rsid w:val="00094B9E"/>
    <w:rsid w:val="000B4296"/>
    <w:rsid w:val="000B4BF7"/>
    <w:rsid w:val="000B7E4D"/>
    <w:rsid w:val="000C478E"/>
    <w:rsid w:val="000D04D2"/>
    <w:rsid w:val="000D73BA"/>
    <w:rsid w:val="000F0F78"/>
    <w:rsid w:val="00100A90"/>
    <w:rsid w:val="0010388F"/>
    <w:rsid w:val="001046EF"/>
    <w:rsid w:val="00110F49"/>
    <w:rsid w:val="00116CFC"/>
    <w:rsid w:val="0012233F"/>
    <w:rsid w:val="001375F5"/>
    <w:rsid w:val="00146175"/>
    <w:rsid w:val="0016223B"/>
    <w:rsid w:val="001643C9"/>
    <w:rsid w:val="001716D6"/>
    <w:rsid w:val="0017379F"/>
    <w:rsid w:val="00177531"/>
    <w:rsid w:val="00177E7A"/>
    <w:rsid w:val="001825F3"/>
    <w:rsid w:val="001828F0"/>
    <w:rsid w:val="00196789"/>
    <w:rsid w:val="00197170"/>
    <w:rsid w:val="001975D9"/>
    <w:rsid w:val="00197859"/>
    <w:rsid w:val="001B3667"/>
    <w:rsid w:val="001B5494"/>
    <w:rsid w:val="001C0902"/>
    <w:rsid w:val="001C156A"/>
    <w:rsid w:val="001C2607"/>
    <w:rsid w:val="001D0F66"/>
    <w:rsid w:val="001D6D6F"/>
    <w:rsid w:val="001E12BC"/>
    <w:rsid w:val="001E6584"/>
    <w:rsid w:val="001E6934"/>
    <w:rsid w:val="001F2CDB"/>
    <w:rsid w:val="001F6706"/>
    <w:rsid w:val="001F73C2"/>
    <w:rsid w:val="00207F38"/>
    <w:rsid w:val="00224D32"/>
    <w:rsid w:val="002265C0"/>
    <w:rsid w:val="00232940"/>
    <w:rsid w:val="00236B29"/>
    <w:rsid w:val="00241348"/>
    <w:rsid w:val="00246805"/>
    <w:rsid w:val="00247BF1"/>
    <w:rsid w:val="002542F9"/>
    <w:rsid w:val="00256AB2"/>
    <w:rsid w:val="002706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2FEC"/>
    <w:rsid w:val="00345BBE"/>
    <w:rsid w:val="003521FF"/>
    <w:rsid w:val="00354AE8"/>
    <w:rsid w:val="00356BE5"/>
    <w:rsid w:val="00382BAD"/>
    <w:rsid w:val="00391ECD"/>
    <w:rsid w:val="00393F42"/>
    <w:rsid w:val="003A324E"/>
    <w:rsid w:val="003A5D8C"/>
    <w:rsid w:val="003A6C97"/>
    <w:rsid w:val="003B2C2A"/>
    <w:rsid w:val="003C77D0"/>
    <w:rsid w:val="003D4635"/>
    <w:rsid w:val="003D5760"/>
    <w:rsid w:val="003F2929"/>
    <w:rsid w:val="003F312B"/>
    <w:rsid w:val="003F787A"/>
    <w:rsid w:val="00400780"/>
    <w:rsid w:val="00400A8F"/>
    <w:rsid w:val="00417AF6"/>
    <w:rsid w:val="00425D4B"/>
    <w:rsid w:val="004271A9"/>
    <w:rsid w:val="00434902"/>
    <w:rsid w:val="00441093"/>
    <w:rsid w:val="00444A4F"/>
    <w:rsid w:val="004457BB"/>
    <w:rsid w:val="004561A3"/>
    <w:rsid w:val="0046042B"/>
    <w:rsid w:val="0047022D"/>
    <w:rsid w:val="00470F59"/>
    <w:rsid w:val="0048151F"/>
    <w:rsid w:val="00486C0C"/>
    <w:rsid w:val="00493C12"/>
    <w:rsid w:val="00497AA1"/>
    <w:rsid w:val="004A05CE"/>
    <w:rsid w:val="004A3D77"/>
    <w:rsid w:val="004A60A0"/>
    <w:rsid w:val="004B1673"/>
    <w:rsid w:val="004B3265"/>
    <w:rsid w:val="004C158C"/>
    <w:rsid w:val="004C2582"/>
    <w:rsid w:val="004C33ED"/>
    <w:rsid w:val="004D1C5C"/>
    <w:rsid w:val="004D2FEA"/>
    <w:rsid w:val="004E08E1"/>
    <w:rsid w:val="004F0373"/>
    <w:rsid w:val="005016F4"/>
    <w:rsid w:val="00501810"/>
    <w:rsid w:val="00511596"/>
    <w:rsid w:val="00513A01"/>
    <w:rsid w:val="00515387"/>
    <w:rsid w:val="00524238"/>
    <w:rsid w:val="00525150"/>
    <w:rsid w:val="00530065"/>
    <w:rsid w:val="005410C6"/>
    <w:rsid w:val="00541DAE"/>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4151"/>
    <w:rsid w:val="006422C6"/>
    <w:rsid w:val="00645DC0"/>
    <w:rsid w:val="00654522"/>
    <w:rsid w:val="0065521A"/>
    <w:rsid w:val="006573B7"/>
    <w:rsid w:val="00662FE7"/>
    <w:rsid w:val="0066686D"/>
    <w:rsid w:val="0066734B"/>
    <w:rsid w:val="0067726D"/>
    <w:rsid w:val="00677770"/>
    <w:rsid w:val="00681A04"/>
    <w:rsid w:val="006A4ADE"/>
    <w:rsid w:val="006B501B"/>
    <w:rsid w:val="006C324C"/>
    <w:rsid w:val="006C5B25"/>
    <w:rsid w:val="006D0354"/>
    <w:rsid w:val="006D3154"/>
    <w:rsid w:val="006E5491"/>
    <w:rsid w:val="006F3371"/>
    <w:rsid w:val="007100CB"/>
    <w:rsid w:val="00714D5E"/>
    <w:rsid w:val="007250E9"/>
    <w:rsid w:val="00733D1B"/>
    <w:rsid w:val="00746E03"/>
    <w:rsid w:val="00756C1C"/>
    <w:rsid w:val="00767A6E"/>
    <w:rsid w:val="00771AB5"/>
    <w:rsid w:val="007729F7"/>
    <w:rsid w:val="00786918"/>
    <w:rsid w:val="007900AC"/>
    <w:rsid w:val="007A04F8"/>
    <w:rsid w:val="007A0720"/>
    <w:rsid w:val="007A7464"/>
    <w:rsid w:val="007A79D7"/>
    <w:rsid w:val="007B0B25"/>
    <w:rsid w:val="007C1C5D"/>
    <w:rsid w:val="007C1FFD"/>
    <w:rsid w:val="007C753A"/>
    <w:rsid w:val="007E535E"/>
    <w:rsid w:val="007F7B74"/>
    <w:rsid w:val="0081160B"/>
    <w:rsid w:val="00816614"/>
    <w:rsid w:val="0082438C"/>
    <w:rsid w:val="00852EC7"/>
    <w:rsid w:val="00871E2C"/>
    <w:rsid w:val="008A41E5"/>
    <w:rsid w:val="008A5838"/>
    <w:rsid w:val="008B4B0F"/>
    <w:rsid w:val="008B5A4B"/>
    <w:rsid w:val="008C1527"/>
    <w:rsid w:val="008C74CD"/>
    <w:rsid w:val="008D3540"/>
    <w:rsid w:val="008E0D3B"/>
    <w:rsid w:val="008E649A"/>
    <w:rsid w:val="008E7AC1"/>
    <w:rsid w:val="008F1A89"/>
    <w:rsid w:val="008F3CE4"/>
    <w:rsid w:val="008F57BB"/>
    <w:rsid w:val="008F6103"/>
    <w:rsid w:val="00900981"/>
    <w:rsid w:val="00904487"/>
    <w:rsid w:val="00910BC1"/>
    <w:rsid w:val="00911B81"/>
    <w:rsid w:val="00943762"/>
    <w:rsid w:val="0095638D"/>
    <w:rsid w:val="0095697F"/>
    <w:rsid w:val="00962B03"/>
    <w:rsid w:val="0096716B"/>
    <w:rsid w:val="00971670"/>
    <w:rsid w:val="00973F70"/>
    <w:rsid w:val="0097543E"/>
    <w:rsid w:val="00981EB1"/>
    <w:rsid w:val="009A31F0"/>
    <w:rsid w:val="009B7199"/>
    <w:rsid w:val="009C03AD"/>
    <w:rsid w:val="009C5B0B"/>
    <w:rsid w:val="009E0BF8"/>
    <w:rsid w:val="009E1908"/>
    <w:rsid w:val="009F0B0F"/>
    <w:rsid w:val="00A22E8D"/>
    <w:rsid w:val="00A23751"/>
    <w:rsid w:val="00A261DC"/>
    <w:rsid w:val="00A267A5"/>
    <w:rsid w:val="00A32453"/>
    <w:rsid w:val="00A325FF"/>
    <w:rsid w:val="00A37DE9"/>
    <w:rsid w:val="00A42A4E"/>
    <w:rsid w:val="00A44B52"/>
    <w:rsid w:val="00A45DEB"/>
    <w:rsid w:val="00A66D38"/>
    <w:rsid w:val="00A7165B"/>
    <w:rsid w:val="00A755DD"/>
    <w:rsid w:val="00A80BC1"/>
    <w:rsid w:val="00A839E3"/>
    <w:rsid w:val="00A93BA3"/>
    <w:rsid w:val="00A945B1"/>
    <w:rsid w:val="00AA049B"/>
    <w:rsid w:val="00AA5CA2"/>
    <w:rsid w:val="00AA77F5"/>
    <w:rsid w:val="00AB59B4"/>
    <w:rsid w:val="00AC0117"/>
    <w:rsid w:val="00AD2AAF"/>
    <w:rsid w:val="00AD3E14"/>
    <w:rsid w:val="00AD6213"/>
    <w:rsid w:val="00AE6C83"/>
    <w:rsid w:val="00AF0BF6"/>
    <w:rsid w:val="00AF1E80"/>
    <w:rsid w:val="00AF363D"/>
    <w:rsid w:val="00AF3729"/>
    <w:rsid w:val="00AF54E3"/>
    <w:rsid w:val="00B00E99"/>
    <w:rsid w:val="00B03413"/>
    <w:rsid w:val="00B042BF"/>
    <w:rsid w:val="00B05801"/>
    <w:rsid w:val="00B10373"/>
    <w:rsid w:val="00B159C6"/>
    <w:rsid w:val="00B224D5"/>
    <w:rsid w:val="00B27C93"/>
    <w:rsid w:val="00B34563"/>
    <w:rsid w:val="00B34ABE"/>
    <w:rsid w:val="00B35CA6"/>
    <w:rsid w:val="00B368D0"/>
    <w:rsid w:val="00B5418F"/>
    <w:rsid w:val="00B54D0A"/>
    <w:rsid w:val="00B63D8F"/>
    <w:rsid w:val="00B656BD"/>
    <w:rsid w:val="00B66714"/>
    <w:rsid w:val="00B70EE1"/>
    <w:rsid w:val="00B73A59"/>
    <w:rsid w:val="00B87CD8"/>
    <w:rsid w:val="00BB262A"/>
    <w:rsid w:val="00BB5878"/>
    <w:rsid w:val="00BC1BCD"/>
    <w:rsid w:val="00BC29A5"/>
    <w:rsid w:val="00BC79EC"/>
    <w:rsid w:val="00BF3947"/>
    <w:rsid w:val="00C043EC"/>
    <w:rsid w:val="00C10E8A"/>
    <w:rsid w:val="00C16C94"/>
    <w:rsid w:val="00C25978"/>
    <w:rsid w:val="00C2754A"/>
    <w:rsid w:val="00C3034B"/>
    <w:rsid w:val="00C36BEE"/>
    <w:rsid w:val="00C43FE8"/>
    <w:rsid w:val="00C616B3"/>
    <w:rsid w:val="00C62A57"/>
    <w:rsid w:val="00C62AC4"/>
    <w:rsid w:val="00C64E45"/>
    <w:rsid w:val="00C66B47"/>
    <w:rsid w:val="00C72121"/>
    <w:rsid w:val="00C72573"/>
    <w:rsid w:val="00C80E14"/>
    <w:rsid w:val="00C85C30"/>
    <w:rsid w:val="00C956C9"/>
    <w:rsid w:val="00CA1615"/>
    <w:rsid w:val="00CD4B0F"/>
    <w:rsid w:val="00CE0AAE"/>
    <w:rsid w:val="00CE6238"/>
    <w:rsid w:val="00CE6DD6"/>
    <w:rsid w:val="00CF0FAD"/>
    <w:rsid w:val="00CF197C"/>
    <w:rsid w:val="00CF6B34"/>
    <w:rsid w:val="00CF7CED"/>
    <w:rsid w:val="00D02A98"/>
    <w:rsid w:val="00D07330"/>
    <w:rsid w:val="00D07633"/>
    <w:rsid w:val="00D10C50"/>
    <w:rsid w:val="00D12B75"/>
    <w:rsid w:val="00D13FEB"/>
    <w:rsid w:val="00D1659D"/>
    <w:rsid w:val="00D2134D"/>
    <w:rsid w:val="00D351B5"/>
    <w:rsid w:val="00D409F8"/>
    <w:rsid w:val="00D464AD"/>
    <w:rsid w:val="00D47306"/>
    <w:rsid w:val="00D71C63"/>
    <w:rsid w:val="00D77396"/>
    <w:rsid w:val="00D8200B"/>
    <w:rsid w:val="00D9103D"/>
    <w:rsid w:val="00D97D35"/>
    <w:rsid w:val="00DA257D"/>
    <w:rsid w:val="00DA42A9"/>
    <w:rsid w:val="00DB08FA"/>
    <w:rsid w:val="00DC24F6"/>
    <w:rsid w:val="00DC7E1F"/>
    <w:rsid w:val="00DD7F1A"/>
    <w:rsid w:val="00DE7B2D"/>
    <w:rsid w:val="00DF3865"/>
    <w:rsid w:val="00DF69D2"/>
    <w:rsid w:val="00E02DF2"/>
    <w:rsid w:val="00E06982"/>
    <w:rsid w:val="00E15899"/>
    <w:rsid w:val="00E16DE1"/>
    <w:rsid w:val="00E25B22"/>
    <w:rsid w:val="00E312CF"/>
    <w:rsid w:val="00E34892"/>
    <w:rsid w:val="00E53791"/>
    <w:rsid w:val="00E603F5"/>
    <w:rsid w:val="00E718C0"/>
    <w:rsid w:val="00E75E59"/>
    <w:rsid w:val="00E7625C"/>
    <w:rsid w:val="00E92857"/>
    <w:rsid w:val="00E97BA1"/>
    <w:rsid w:val="00EA523E"/>
    <w:rsid w:val="00EC29A1"/>
    <w:rsid w:val="00EC78AE"/>
    <w:rsid w:val="00ED7AB8"/>
    <w:rsid w:val="00ED7D53"/>
    <w:rsid w:val="00EE36C2"/>
    <w:rsid w:val="00F011A0"/>
    <w:rsid w:val="00F0148F"/>
    <w:rsid w:val="00F03F58"/>
    <w:rsid w:val="00F06F87"/>
    <w:rsid w:val="00F14CF1"/>
    <w:rsid w:val="00F15A68"/>
    <w:rsid w:val="00F23346"/>
    <w:rsid w:val="00F42BB4"/>
    <w:rsid w:val="00F43955"/>
    <w:rsid w:val="00F45A73"/>
    <w:rsid w:val="00F519BA"/>
    <w:rsid w:val="00F57AE9"/>
    <w:rsid w:val="00F6177E"/>
    <w:rsid w:val="00F747BC"/>
    <w:rsid w:val="00F74E08"/>
    <w:rsid w:val="00F76AD2"/>
    <w:rsid w:val="00F828AE"/>
    <w:rsid w:val="00F83C89"/>
    <w:rsid w:val="00F85106"/>
    <w:rsid w:val="00F860BD"/>
    <w:rsid w:val="00F9348F"/>
    <w:rsid w:val="00FA1CD9"/>
    <w:rsid w:val="00FB6641"/>
    <w:rsid w:val="00FD2213"/>
    <w:rsid w:val="00FE2F56"/>
    <w:rsid w:val="00FE4002"/>
    <w:rsid w:val="00FE63B6"/>
    <w:rsid w:val="00FF0B24"/>
    <w:rsid w:val="00FF3EFC"/>
    <w:rsid w:val="00FF7D3B"/>
    <w:rsid w:val="035134A2"/>
    <w:rsid w:val="036A6AA1"/>
    <w:rsid w:val="04F2687D"/>
    <w:rsid w:val="05DD1299"/>
    <w:rsid w:val="0C6C2530"/>
    <w:rsid w:val="133724DF"/>
    <w:rsid w:val="14244B4A"/>
    <w:rsid w:val="143F1847"/>
    <w:rsid w:val="14684EAB"/>
    <w:rsid w:val="149379FC"/>
    <w:rsid w:val="163F2801"/>
    <w:rsid w:val="166B531E"/>
    <w:rsid w:val="16C9252A"/>
    <w:rsid w:val="17EA708D"/>
    <w:rsid w:val="18792EE4"/>
    <w:rsid w:val="1AEB0B99"/>
    <w:rsid w:val="1B206F68"/>
    <w:rsid w:val="1D23592C"/>
    <w:rsid w:val="249A5370"/>
    <w:rsid w:val="24B26519"/>
    <w:rsid w:val="25726A45"/>
    <w:rsid w:val="272D26E6"/>
    <w:rsid w:val="292D7329"/>
    <w:rsid w:val="2ABA4A5E"/>
    <w:rsid w:val="2B380978"/>
    <w:rsid w:val="2B925F44"/>
    <w:rsid w:val="2CF63270"/>
    <w:rsid w:val="2E4F5B11"/>
    <w:rsid w:val="30214B65"/>
    <w:rsid w:val="34411F12"/>
    <w:rsid w:val="351E65CE"/>
    <w:rsid w:val="370101F8"/>
    <w:rsid w:val="3A1D1C2E"/>
    <w:rsid w:val="3F0B1936"/>
    <w:rsid w:val="40A655CC"/>
    <w:rsid w:val="4121698E"/>
    <w:rsid w:val="440F3CDD"/>
    <w:rsid w:val="444E1F02"/>
    <w:rsid w:val="44D91D94"/>
    <w:rsid w:val="44E96E87"/>
    <w:rsid w:val="468B50CB"/>
    <w:rsid w:val="478D0171"/>
    <w:rsid w:val="4B4C2F5C"/>
    <w:rsid w:val="4C956CC3"/>
    <w:rsid w:val="500B685D"/>
    <w:rsid w:val="51B06F7A"/>
    <w:rsid w:val="58037B52"/>
    <w:rsid w:val="5BBC7E6B"/>
    <w:rsid w:val="5C44483F"/>
    <w:rsid w:val="5D794C80"/>
    <w:rsid w:val="60603F1D"/>
    <w:rsid w:val="621223C3"/>
    <w:rsid w:val="6708487B"/>
    <w:rsid w:val="67FC3C0D"/>
    <w:rsid w:val="68025E0D"/>
    <w:rsid w:val="6D5A014F"/>
    <w:rsid w:val="6F3375FB"/>
    <w:rsid w:val="6FFC4FF8"/>
    <w:rsid w:val="70C1780D"/>
    <w:rsid w:val="76244B74"/>
    <w:rsid w:val="7BC71BAB"/>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qFormat/>
    <w:uiPriority w:val="0"/>
    <w:pPr>
      <w:jc w:val="left"/>
    </w:pPr>
    <w:rPr>
      <w:lang w:bidi="ar-SA"/>
    </w:rPr>
  </w:style>
  <w:style w:type="paragraph" w:styleId="6">
    <w:name w:val="Body Text"/>
    <w:basedOn w:val="1"/>
    <w:link w:val="28"/>
    <w:uiPriority w:val="0"/>
    <w:pPr>
      <w:spacing w:after="120"/>
    </w:pPr>
    <w:rPr>
      <w:lang w:bidi="ar-SA"/>
    </w:rPr>
  </w:style>
  <w:style w:type="paragraph" w:styleId="7">
    <w:name w:val="Body Text Indent"/>
    <w:basedOn w:val="1"/>
    <w:link w:val="26"/>
    <w:qFormat/>
    <w:uiPriority w:val="0"/>
    <w:pPr>
      <w:spacing w:after="120"/>
      <w:ind w:left="420" w:leftChars="200"/>
    </w:pPr>
    <w:rPr>
      <w:lang w:bidi="ar-SA"/>
    </w:rPr>
  </w:style>
  <w:style w:type="paragraph" w:styleId="8">
    <w:name w:val="List 2"/>
    <w:basedOn w:val="1"/>
    <w:uiPriority w:val="0"/>
    <w:pPr>
      <w:ind w:left="100" w:leftChars="200" w:hanging="200" w:hangingChars="200"/>
    </w:pPr>
    <w:rPr>
      <w:lang w:bidi="ar-SA"/>
    </w:rPr>
  </w:style>
  <w:style w:type="paragraph" w:styleId="9">
    <w:name w:val="Plain Text"/>
    <w:basedOn w:val="1"/>
    <w:link w:val="25"/>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uiPriority w:val="0"/>
    <w:pPr>
      <w:spacing w:after="120"/>
      <w:ind w:left="2100" w:leftChars="1000"/>
    </w:pPr>
    <w:rPr>
      <w:lang w:bidi="ar-SA"/>
    </w:rPr>
  </w:style>
  <w:style w:type="paragraph" w:styleId="12">
    <w:name w:val="Balloon Text"/>
    <w:basedOn w:val="1"/>
    <w:link w:val="45"/>
    <w:qFormat/>
    <w:uiPriority w:val="0"/>
    <w:rPr>
      <w:sz w:val="18"/>
      <w:szCs w:val="18"/>
    </w:rPr>
  </w:style>
  <w:style w:type="paragraph" w:styleId="13">
    <w:name w:val="footer"/>
    <w:basedOn w:val="1"/>
    <w:uiPriority w:val="0"/>
    <w:pPr>
      <w:tabs>
        <w:tab w:val="center" w:pos="4153"/>
        <w:tab w:val="right" w:pos="8306"/>
      </w:tabs>
      <w:snapToGrid w:val="0"/>
      <w:jc w:val="left"/>
    </w:pPr>
    <w:rPr>
      <w:sz w:val="18"/>
      <w:szCs w:val="18"/>
      <w:lang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5">
    <w:name w:val="List"/>
    <w:basedOn w:val="1"/>
    <w:uiPriority w:val="0"/>
    <w:pPr>
      <w:ind w:left="200" w:hanging="200" w:hangingChars="200"/>
    </w:pPr>
    <w:rPr>
      <w:lang w:bidi="ar-SA"/>
    </w:rPr>
  </w:style>
  <w:style w:type="paragraph" w:styleId="16">
    <w:name w:val="List 5"/>
    <w:basedOn w:val="1"/>
    <w:uiPriority w:val="0"/>
    <w:pPr>
      <w:ind w:left="100" w:leftChars="800" w:hanging="200" w:hangingChars="200"/>
    </w:pPr>
    <w:rPr>
      <w:lang w:bidi="ar-SA"/>
    </w:rPr>
  </w:style>
  <w:style w:type="paragraph" w:styleId="17">
    <w:name w:val="Body Text 2"/>
    <w:basedOn w:val="1"/>
    <w:qFormat/>
    <w:uiPriority w:val="0"/>
    <w:pPr>
      <w:jc w:val="center"/>
    </w:pPr>
    <w:rPr>
      <w:rFonts w:ascii="黑体" w:eastAsia="黑体"/>
      <w:sz w:val="48"/>
      <w:szCs w:val="32"/>
      <w:lang w:bidi="ar-SA"/>
    </w:rPr>
  </w:style>
  <w:style w:type="paragraph" w:styleId="18">
    <w:name w:val="List 4"/>
    <w:basedOn w:val="1"/>
    <w:uiPriority w:val="0"/>
    <w:pPr>
      <w:ind w:left="100" w:leftChars="600" w:hanging="200" w:hangingChars="200"/>
    </w:pPr>
    <w:rPr>
      <w:lang w:bidi="ar-SA"/>
    </w:rPr>
  </w:style>
  <w:style w:type="paragraph" w:styleId="19">
    <w:name w:val="Normal (Web)"/>
    <w:basedOn w:val="1"/>
    <w:uiPriority w:val="0"/>
    <w:pPr>
      <w:spacing w:before="100" w:beforeAutospacing="1" w:after="100" w:afterAutospacing="1"/>
      <w:jc w:val="left"/>
    </w:pPr>
    <w:rPr>
      <w:kern w:val="0"/>
      <w:sz w:val="24"/>
      <w:szCs w:val="20"/>
    </w:rPr>
  </w:style>
  <w:style w:type="paragraph" w:styleId="20">
    <w:name w:val="Body Text First Indent"/>
    <w:basedOn w:val="6"/>
    <w:link w:val="27"/>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HTML Code"/>
    <w:basedOn w:val="23"/>
    <w:uiPriority w:val="0"/>
    <w:rPr>
      <w:rFonts w:ascii="Courier New" w:hAnsi="Courier New"/>
      <w:sz w:val="20"/>
      <w:szCs w:val="20"/>
    </w:rPr>
  </w:style>
  <w:style w:type="character" w:customStyle="1" w:styleId="25">
    <w:name w:val="纯文本 Char"/>
    <w:basedOn w:val="23"/>
    <w:link w:val="9"/>
    <w:locked/>
    <w:uiPriority w:val="0"/>
    <w:rPr>
      <w:rFonts w:ascii="宋体" w:hAnsi="Courier New" w:eastAsia="宋体"/>
      <w:kern w:val="2"/>
      <w:sz w:val="21"/>
      <w:lang w:val="en-US" w:eastAsia="zh-CN" w:bidi="ar-SA"/>
    </w:rPr>
  </w:style>
  <w:style w:type="character" w:customStyle="1" w:styleId="26">
    <w:name w:val="正文文本缩进 Char"/>
    <w:basedOn w:val="23"/>
    <w:link w:val="7"/>
    <w:uiPriority w:val="0"/>
    <w:rPr>
      <w:kern w:val="2"/>
      <w:sz w:val="21"/>
      <w:szCs w:val="24"/>
    </w:rPr>
  </w:style>
  <w:style w:type="character" w:customStyle="1" w:styleId="27">
    <w:name w:val="正文首行缩进 Char"/>
    <w:basedOn w:val="28"/>
    <w:link w:val="20"/>
    <w:uiPriority w:val="0"/>
  </w:style>
  <w:style w:type="character" w:customStyle="1" w:styleId="28">
    <w:name w:val="正文文本 Char"/>
    <w:basedOn w:val="23"/>
    <w:link w:val="6"/>
    <w:uiPriority w:val="0"/>
    <w:rPr>
      <w:kern w:val="2"/>
      <w:sz w:val="21"/>
      <w:szCs w:val="24"/>
    </w:rPr>
  </w:style>
  <w:style w:type="character" w:customStyle="1" w:styleId="29">
    <w:name w:val="段 Char"/>
    <w:basedOn w:val="23"/>
    <w:link w:val="30"/>
    <w:uiPriority w:val="0"/>
    <w:rPr>
      <w:rFonts w:ascii="宋体"/>
      <w:sz w:val="21"/>
      <w:lang w:val="en-US" w:eastAsia="zh-CN" w:bidi="ar-SA"/>
    </w:rPr>
  </w:style>
  <w:style w:type="paragraph" w:customStyle="1" w:styleId="30">
    <w:name w:val="段"/>
    <w:link w:val="2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目次、标准名称标题"/>
    <w:basedOn w:val="32"/>
    <w:next w:val="30"/>
    <w:uiPriority w:val="0"/>
    <w:pPr>
      <w:spacing w:line="460" w:lineRule="exact"/>
    </w:pPr>
  </w:style>
  <w:style w:type="paragraph" w:customStyle="1" w:styleId="3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
    <w:name w:val="四级条标题"/>
    <w:basedOn w:val="35"/>
    <w:next w:val="30"/>
    <w:uiPriority w:val="0"/>
    <w:pPr>
      <w:outlineLvl w:val="5"/>
    </w:pPr>
  </w:style>
  <w:style w:type="paragraph" w:customStyle="1" w:styleId="35">
    <w:name w:val="三级条标题"/>
    <w:basedOn w:val="36"/>
    <w:next w:val="30"/>
    <w:qFormat/>
    <w:uiPriority w:val="0"/>
    <w:pPr>
      <w:outlineLvl w:val="4"/>
    </w:pPr>
  </w:style>
  <w:style w:type="paragraph" w:customStyle="1" w:styleId="36">
    <w:name w:val="二级条标题"/>
    <w:basedOn w:val="37"/>
    <w:next w:val="30"/>
    <w:uiPriority w:val="0"/>
    <w:pPr>
      <w:outlineLvl w:val="3"/>
    </w:pPr>
  </w:style>
  <w:style w:type="paragraph" w:customStyle="1" w:styleId="37">
    <w:name w:val="一级条标题"/>
    <w:basedOn w:val="38"/>
    <w:next w:val="30"/>
    <w:qFormat/>
    <w:uiPriority w:val="0"/>
    <w:pPr>
      <w:spacing w:beforeLines="0" w:afterLines="0"/>
      <w:outlineLvl w:val="2"/>
    </w:pPr>
  </w:style>
  <w:style w:type="paragraph" w:customStyle="1" w:styleId="38">
    <w:name w:val="章标题"/>
    <w:next w:val="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1">
    <w:name w:val="Char"/>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2">
    <w:name w:val="五级条标题"/>
    <w:basedOn w:val="34"/>
    <w:next w:val="30"/>
    <w:qFormat/>
    <w:uiPriority w:val="0"/>
    <w:pPr>
      <w:outlineLvl w:val="6"/>
    </w:p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Char1"/>
    <w:basedOn w:val="1"/>
    <w:qFormat/>
    <w:uiPriority w:val="0"/>
    <w:rPr>
      <w:lang w:bidi="ar-SA"/>
    </w:rPr>
  </w:style>
  <w:style w:type="character" w:customStyle="1" w:styleId="45">
    <w:name w:val="批注框文本 Char"/>
    <w:basedOn w:val="23"/>
    <w:link w:val="12"/>
    <w:uiPriority w:val="0"/>
    <w:rPr>
      <w:kern w:val="2"/>
      <w:sz w:val="18"/>
      <w:szCs w:val="18"/>
      <w:lang w:bidi="he-I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043956043956"/>
          <c:y val="0.0864197530864197"/>
          <c:w val="0.797802197802198"/>
          <c:h val="0.666666666666667"/>
        </c:manualLayout>
      </c:layout>
      <c:scatterChart>
        <c:scatterStyle val="smoothMarker"/>
        <c:varyColors val="0"/>
        <c:ser>
          <c:idx val="0"/>
          <c:order val="0"/>
          <c:spPr>
            <a:ln w="11470" cap="rnd" cmpd="sng" algn="ctr">
              <a:solidFill>
                <a:srgbClr val="000080"/>
              </a:solidFill>
              <a:prstDash val="solid"/>
              <a:round/>
            </a:ln>
          </c:spPr>
          <c:marker>
            <c:symbol val="diamond"/>
            <c:size val="4"/>
            <c:spPr>
              <a:solidFill>
                <a:srgbClr val="000080"/>
              </a:solidFill>
              <a:ln w="9525" cap="flat" cmpd="sng" algn="ctr">
                <a:solidFill>
                  <a:srgbClr val="000080"/>
                </a:solidFill>
                <a:prstDash val="solid"/>
                <a:round/>
              </a:ln>
            </c:spPr>
          </c:marker>
          <c:dLbls>
            <c:delete val="1"/>
          </c:dLbls>
          <c:xVal>
            <c:numRef>
              <c:f>Sheet1!$A$1:$N$1</c:f>
              <c:numCache>
                <c:formatCode>General</c:formatCode>
                <c:ptCount val="14"/>
                <c:pt idx="0">
                  <c:v>400</c:v>
                </c:pt>
                <c:pt idx="1">
                  <c:v>410</c:v>
                </c:pt>
                <c:pt idx="2">
                  <c:v>420</c:v>
                </c:pt>
                <c:pt idx="3">
                  <c:v>430</c:v>
                </c:pt>
                <c:pt idx="4">
                  <c:v>440</c:v>
                </c:pt>
                <c:pt idx="5">
                  <c:v>450</c:v>
                </c:pt>
                <c:pt idx="6">
                  <c:v>455</c:v>
                </c:pt>
                <c:pt idx="7">
                  <c:v>460</c:v>
                </c:pt>
                <c:pt idx="8">
                  <c:v>465</c:v>
                </c:pt>
                <c:pt idx="9">
                  <c:v>470</c:v>
                </c:pt>
                <c:pt idx="10">
                  <c:v>480</c:v>
                </c:pt>
                <c:pt idx="11">
                  <c:v>490</c:v>
                </c:pt>
                <c:pt idx="12">
                  <c:v>500</c:v>
                </c:pt>
                <c:pt idx="13">
                  <c:v>510</c:v>
                </c:pt>
              </c:numCache>
            </c:numRef>
          </c:xVal>
          <c:yVal>
            <c:numRef>
              <c:f>Sheet1!$A$2:$N$2</c:f>
              <c:numCache>
                <c:formatCode>General</c:formatCode>
                <c:ptCount val="14"/>
                <c:pt idx="0">
                  <c:v>0.271</c:v>
                </c:pt>
                <c:pt idx="1">
                  <c:v>0.203</c:v>
                </c:pt>
                <c:pt idx="2">
                  <c:v>0.158</c:v>
                </c:pt>
                <c:pt idx="3">
                  <c:v>0.153</c:v>
                </c:pt>
                <c:pt idx="4">
                  <c:v>0.216</c:v>
                </c:pt>
                <c:pt idx="5">
                  <c:v>0.361</c:v>
                </c:pt>
                <c:pt idx="6">
                  <c:v>0.442</c:v>
                </c:pt>
                <c:pt idx="7">
                  <c:v>0.522</c:v>
                </c:pt>
                <c:pt idx="8">
                  <c:v>0.542</c:v>
                </c:pt>
                <c:pt idx="9">
                  <c:v>0.517</c:v>
                </c:pt>
                <c:pt idx="10">
                  <c:v>0.361</c:v>
                </c:pt>
                <c:pt idx="11">
                  <c:v>0.199</c:v>
                </c:pt>
                <c:pt idx="12">
                  <c:v>0.0890000000000002</c:v>
                </c:pt>
                <c:pt idx="13">
                  <c:v>0.033</c:v>
                </c:pt>
              </c:numCache>
            </c:numRef>
          </c:yVal>
          <c:smooth val="1"/>
        </c:ser>
        <c:dLbls>
          <c:showLegendKey val="0"/>
          <c:showVal val="0"/>
          <c:showCatName val="0"/>
          <c:showSerName val="0"/>
          <c:showPercent val="0"/>
          <c:showBubbleSize val="0"/>
        </c:dLbls>
        <c:axId val="232072704"/>
        <c:axId val="235675648"/>
      </c:scatterChart>
      <c:valAx>
        <c:axId val="232072704"/>
        <c:scaling>
          <c:orientation val="minMax"/>
          <c:min val="400"/>
        </c:scaling>
        <c:delete val="0"/>
        <c:axPos val="b"/>
        <c:title>
          <c:tx>
            <c:rich>
              <a:bodyPr rot="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波长</a:t>
                </a:r>
                <a:r>
                  <a:rPr lang="en-US" altLang="zh-CN"/>
                  <a:t>(</a:t>
                </a:r>
                <a:r>
                  <a:rPr lang="en-US" altLang="en-US"/>
                  <a:t>mm)</a:t>
                </a:r>
                <a:endParaRPr lang="en-US" altLang="en-US"/>
              </a:p>
            </c:rich>
          </c:tx>
          <c:layout>
            <c:manualLayout>
              <c:xMode val="edge"/>
              <c:yMode val="edge"/>
              <c:x val="0.481318681318684"/>
              <c:y val="0.8641975308642"/>
            </c:manualLayout>
          </c:layout>
          <c:overlay val="0"/>
          <c:spPr>
            <a:noFill/>
            <a:ln w="22939">
              <a:noFill/>
            </a:ln>
          </c:spPr>
        </c:title>
        <c:numFmt formatCode="General" sourceLinked="1"/>
        <c:majorTickMark val="in"/>
        <c:minorTickMark val="none"/>
        <c:tickLblPos val="nextTo"/>
        <c:spPr>
          <a:ln w="2867" cap="flat" cmpd="sng" algn="ctr">
            <a:solidFill>
              <a:srgbClr val="000000"/>
            </a:solidFill>
            <a:prstDash val="solid"/>
            <a:round/>
          </a:ln>
        </c:spPr>
        <c:txPr>
          <a:bodyPr rot="0" spcFirstLastPara="0" vertOverflow="ellipsis" vert="horz" wrap="square" anchor="ctr" anchorCtr="1"/>
          <a:lstStyle/>
          <a:p>
            <a:pPr>
              <a:defRPr lang="zh-CN" sz="8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35675648"/>
        <c:crosses val="autoZero"/>
        <c:crossBetween val="midCat"/>
        <c:majorUnit val="10"/>
        <c:minorUnit val="5"/>
      </c:valAx>
      <c:valAx>
        <c:axId val="235675648"/>
        <c:scaling>
          <c:orientation val="minMax"/>
        </c:scaling>
        <c:delete val="0"/>
        <c:axPos val="l"/>
        <c:title>
          <c:tx>
            <c:rich>
              <a:bodyPr rot="-540000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吸光值</a:t>
                </a:r>
                <a:r>
                  <a:rPr lang="en-US" altLang="zh-CN"/>
                  <a:t>(</a:t>
                </a:r>
                <a:r>
                  <a:rPr lang="en-US" altLang="en-US"/>
                  <a:t>A)</a:t>
                </a:r>
                <a:endParaRPr lang="en-US" altLang="en-US"/>
              </a:p>
            </c:rich>
          </c:tx>
          <c:layout>
            <c:manualLayout>
              <c:xMode val="edge"/>
              <c:yMode val="edge"/>
              <c:x val="0.0241758241758242"/>
              <c:y val="0.271604938271605"/>
            </c:manualLayout>
          </c:layout>
          <c:overlay val="0"/>
          <c:spPr>
            <a:noFill/>
            <a:ln w="22939">
              <a:noFill/>
            </a:ln>
          </c:spPr>
        </c:title>
        <c:numFmt formatCode="General" sourceLinked="1"/>
        <c:majorTickMark val="in"/>
        <c:minorTickMark val="none"/>
        <c:tickLblPos val="nextTo"/>
        <c:spPr>
          <a:ln w="2867" cap="flat" cmpd="sng" algn="ctr">
            <a:solidFill>
              <a:srgbClr val="000000"/>
            </a:solidFill>
            <a:prstDash val="solid"/>
            <a:round/>
          </a:ln>
        </c:spPr>
        <c:txPr>
          <a:bodyPr rot="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32072704"/>
        <c:crosses val="autoZero"/>
        <c:crossBetween val="midCat"/>
      </c:valAx>
      <c:spPr>
        <a:noFill/>
        <a:ln w="22939">
          <a:noFill/>
        </a:ln>
      </c:spPr>
    </c:plotArea>
    <c:plotVisOnly val="1"/>
    <c:dispBlanksAs val="gap"/>
    <c:showDLblsOverMax val="0"/>
  </c:chart>
  <c:spPr>
    <a:solidFill>
      <a:srgbClr val="FFFFFF"/>
    </a:solidFill>
    <a:ln w="2867" cap="flat" cmpd="sng" algn="ctr">
      <a:solidFill>
        <a:srgbClr val="000000"/>
      </a:solidFill>
      <a:prstDash val="solid"/>
      <a:round/>
    </a:ln>
  </c:spPr>
  <c:txPr>
    <a:bodyPr/>
    <a:lstStyle/>
    <a:p>
      <a:pPr>
        <a:defRPr lang="zh-CN" sz="101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46153846155"/>
          <c:y val="0.0864197530864197"/>
          <c:w val="0.738461538461539"/>
          <c:h val="0.67078189300412"/>
        </c:manualLayout>
      </c:layout>
      <c:scatterChart>
        <c:scatterStyle val="lineMarker"/>
        <c:varyColors val="0"/>
        <c:ser>
          <c:idx val="0"/>
          <c:order val="0"/>
          <c:tx>
            <c:strRef>
              <c:f>Sheet1!$A$25</c:f>
              <c:strCache>
                <c:ptCount val="1"/>
                <c:pt idx="0">
                  <c:v>无基体</c:v>
                </c:pt>
              </c:strCache>
            </c:strRef>
          </c:tx>
          <c:spPr>
            <a:ln w="25807" cap="rnd" cmpd="sng" algn="ctr">
              <a:noFill/>
              <a:prstDash val="solid"/>
              <a:round/>
            </a:ln>
          </c:spPr>
          <c:marker>
            <c:symbol val="diamond"/>
            <c:size val="4"/>
            <c:spPr>
              <a:solidFill>
                <a:srgbClr val="000080"/>
              </a:solidFill>
              <a:ln w="9525" cap="flat" cmpd="sng" algn="ctr">
                <a:solidFill>
                  <a:srgbClr val="000080"/>
                </a:solidFill>
                <a:prstDash val="solid"/>
                <a:round/>
              </a:ln>
            </c:spPr>
          </c:marker>
          <c:dLbls>
            <c:delete val="1"/>
          </c:dLbls>
          <c:trendline>
            <c:spPr>
              <a:ln w="22939" cap="rnd" cmpd="sng" algn="ctr">
                <a:solidFill>
                  <a:srgbClr val="000000"/>
                </a:solidFill>
                <a:prstDash val="solid"/>
                <a:round/>
              </a:ln>
            </c:spPr>
            <c:trendlineType val="linear"/>
            <c:dispRSqr val="0"/>
            <c:dispEq val="0"/>
          </c:trendline>
          <c:xVal>
            <c:numRef>
              <c:f>Sheet1!$B$24:$J$24</c:f>
              <c:numCache>
                <c:formatCode>General</c:formatCode>
                <c:ptCount val="9"/>
                <c:pt idx="0">
                  <c:v>0</c:v>
                </c:pt>
                <c:pt idx="1">
                  <c:v>0.1</c:v>
                </c:pt>
                <c:pt idx="2">
                  <c:v>0.2</c:v>
                </c:pt>
                <c:pt idx="3">
                  <c:v>0.3</c:v>
                </c:pt>
                <c:pt idx="4">
                  <c:v>0.4</c:v>
                </c:pt>
                <c:pt idx="5">
                  <c:v>0.5</c:v>
                </c:pt>
                <c:pt idx="6">
                  <c:v>0.660000000000002</c:v>
                </c:pt>
                <c:pt idx="7">
                  <c:v>0.8</c:v>
                </c:pt>
                <c:pt idx="8">
                  <c:v>1</c:v>
                </c:pt>
              </c:numCache>
            </c:numRef>
          </c:xVal>
          <c:yVal>
            <c:numRef>
              <c:f>Sheet1!$B$25:$J$25</c:f>
              <c:numCache>
                <c:formatCode>General</c:formatCode>
                <c:ptCount val="9"/>
                <c:pt idx="0">
                  <c:v>0.00200000000000001</c:v>
                </c:pt>
                <c:pt idx="1">
                  <c:v>0.054</c:v>
                </c:pt>
                <c:pt idx="2">
                  <c:v>0.108</c:v>
                </c:pt>
                <c:pt idx="3">
                  <c:v>0.163</c:v>
                </c:pt>
                <c:pt idx="4">
                  <c:v>0.215</c:v>
                </c:pt>
                <c:pt idx="5">
                  <c:v>0.26</c:v>
                </c:pt>
                <c:pt idx="6">
                  <c:v>0.325000000000001</c:v>
                </c:pt>
                <c:pt idx="7">
                  <c:v>0.431</c:v>
                </c:pt>
                <c:pt idx="8">
                  <c:v>0.539</c:v>
                </c:pt>
              </c:numCache>
            </c:numRef>
          </c:yVal>
          <c:smooth val="0"/>
        </c:ser>
        <c:ser>
          <c:idx val="1"/>
          <c:order val="1"/>
          <c:tx>
            <c:strRef>
              <c:f>Sheet1!$A$26</c:f>
              <c:strCache>
                <c:ptCount val="1"/>
                <c:pt idx="0">
                  <c:v>有基体</c:v>
                </c:pt>
              </c:strCache>
            </c:strRef>
          </c:tx>
          <c:spPr>
            <a:ln w="25807" cap="rnd" cmpd="sng" algn="ctr">
              <a:noFill/>
              <a:prstDash val="solid"/>
              <a:round/>
            </a:ln>
          </c:spPr>
          <c:marker>
            <c:symbol val="square"/>
            <c:size val="4"/>
            <c:spPr>
              <a:solidFill>
                <a:srgbClr val="FF00FF"/>
              </a:solidFill>
              <a:ln w="9525" cap="flat" cmpd="sng" algn="ctr">
                <a:solidFill>
                  <a:srgbClr val="FF00FF"/>
                </a:solidFill>
                <a:prstDash val="solid"/>
                <a:round/>
              </a:ln>
            </c:spPr>
          </c:marker>
          <c:dLbls>
            <c:delete val="1"/>
          </c:dLbls>
          <c:trendline>
            <c:spPr>
              <a:ln w="22939" cap="rnd" cmpd="sng" algn="ctr">
                <a:solidFill>
                  <a:srgbClr val="000000"/>
                </a:solidFill>
                <a:prstDash val="solid"/>
                <a:round/>
              </a:ln>
            </c:spPr>
            <c:trendlineType val="linear"/>
            <c:dispRSqr val="0"/>
            <c:dispEq val="0"/>
          </c:trendline>
          <c:xVal>
            <c:numRef>
              <c:f>Sheet1!$B$24:$J$24</c:f>
              <c:numCache>
                <c:formatCode>General</c:formatCode>
                <c:ptCount val="9"/>
                <c:pt idx="0">
                  <c:v>0</c:v>
                </c:pt>
                <c:pt idx="1">
                  <c:v>0.1</c:v>
                </c:pt>
                <c:pt idx="2">
                  <c:v>0.2</c:v>
                </c:pt>
                <c:pt idx="3">
                  <c:v>0.3</c:v>
                </c:pt>
                <c:pt idx="4">
                  <c:v>0.4</c:v>
                </c:pt>
                <c:pt idx="5">
                  <c:v>0.5</c:v>
                </c:pt>
                <c:pt idx="6">
                  <c:v>0.660000000000002</c:v>
                </c:pt>
                <c:pt idx="7">
                  <c:v>0.8</c:v>
                </c:pt>
                <c:pt idx="8">
                  <c:v>1</c:v>
                </c:pt>
              </c:numCache>
            </c:numRef>
          </c:xVal>
          <c:yVal>
            <c:numRef>
              <c:f>Sheet1!$B$26:$J$26</c:f>
              <c:numCache>
                <c:formatCode>General</c:formatCode>
                <c:ptCount val="9"/>
                <c:pt idx="0">
                  <c:v>0.00300000000000001</c:v>
                </c:pt>
                <c:pt idx="1">
                  <c:v>0.055</c:v>
                </c:pt>
                <c:pt idx="2">
                  <c:v>0.109</c:v>
                </c:pt>
                <c:pt idx="3">
                  <c:v>0.165</c:v>
                </c:pt>
                <c:pt idx="4">
                  <c:v>0.217</c:v>
                </c:pt>
                <c:pt idx="5">
                  <c:v>0.263</c:v>
                </c:pt>
                <c:pt idx="6">
                  <c:v>0.324000000000001</c:v>
                </c:pt>
                <c:pt idx="7">
                  <c:v>0.431</c:v>
                </c:pt>
                <c:pt idx="8">
                  <c:v>0.539</c:v>
                </c:pt>
              </c:numCache>
            </c:numRef>
          </c:yVal>
          <c:smooth val="0"/>
        </c:ser>
        <c:dLbls>
          <c:showLegendKey val="0"/>
          <c:showVal val="0"/>
          <c:showCatName val="0"/>
          <c:showSerName val="0"/>
          <c:showPercent val="0"/>
          <c:showBubbleSize val="0"/>
        </c:dLbls>
        <c:axId val="131095168"/>
        <c:axId val="131101440"/>
      </c:scatterChart>
      <c:valAx>
        <c:axId val="131095168"/>
        <c:scaling>
          <c:orientation val="minMax"/>
        </c:scaling>
        <c:delete val="0"/>
        <c:axPos val="b"/>
        <c:title>
          <c:tx>
            <c:rich>
              <a:bodyPr rot="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浓度</a:t>
                </a:r>
                <a:r>
                  <a:rPr lang="en-US" altLang="zh-CN"/>
                  <a:t>(</a:t>
                </a:r>
                <a:r>
                  <a:rPr lang="en-US" altLang="en-US"/>
                  <a:t>mg/100ml)</a:t>
                </a:r>
                <a:endParaRPr lang="en-US" altLang="en-US"/>
              </a:p>
            </c:rich>
          </c:tx>
          <c:layout>
            <c:manualLayout>
              <c:xMode val="edge"/>
              <c:yMode val="edge"/>
              <c:x val="0.3978021978022"/>
              <c:y val="0.868312757201646"/>
            </c:manualLayout>
          </c:layout>
          <c:overlay val="0"/>
          <c:spPr>
            <a:noFill/>
            <a:ln w="22939">
              <a:noFill/>
            </a:ln>
          </c:spPr>
        </c:title>
        <c:numFmt formatCode="General" sourceLinked="1"/>
        <c:majorTickMark val="in"/>
        <c:minorTickMark val="none"/>
        <c:tickLblPos val="nextTo"/>
        <c:spPr>
          <a:ln w="2867" cap="flat" cmpd="sng" algn="ctr">
            <a:solidFill>
              <a:srgbClr val="000000"/>
            </a:solidFill>
            <a:prstDash val="solid"/>
            <a:round/>
          </a:ln>
        </c:spPr>
        <c:txPr>
          <a:bodyPr rot="0" spcFirstLastPara="0" vertOverflow="ellipsis" vert="horz" wrap="square" anchor="ctr" anchorCtr="1"/>
          <a:lstStyle/>
          <a:p>
            <a:pPr>
              <a:defRPr lang="zh-CN" sz="79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1101440"/>
        <c:crosses val="autoZero"/>
        <c:crossBetween val="midCat"/>
        <c:majorUnit val="0.1"/>
      </c:valAx>
      <c:valAx>
        <c:axId val="131101440"/>
        <c:scaling>
          <c:orientation val="minMax"/>
          <c:max val="0.600000000000001"/>
        </c:scaling>
        <c:delete val="0"/>
        <c:axPos val="l"/>
        <c:title>
          <c:tx>
            <c:rich>
              <a:bodyPr rot="-540000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吸光值</a:t>
                </a:r>
                <a:r>
                  <a:rPr lang="en-US" altLang="zh-CN"/>
                  <a:t>(</a:t>
                </a:r>
                <a:r>
                  <a:rPr lang="en-US" altLang="en-US"/>
                  <a:t>A)</a:t>
                </a:r>
                <a:endParaRPr lang="en-US" altLang="en-US"/>
              </a:p>
            </c:rich>
          </c:tx>
          <c:layout>
            <c:manualLayout>
              <c:xMode val="edge"/>
              <c:yMode val="edge"/>
              <c:x val="0.021978021978022"/>
              <c:y val="0.271604938271605"/>
            </c:manualLayout>
          </c:layout>
          <c:overlay val="0"/>
          <c:spPr>
            <a:noFill/>
            <a:ln w="22939">
              <a:noFill/>
            </a:ln>
          </c:spPr>
        </c:title>
        <c:numFmt formatCode="General" sourceLinked="1"/>
        <c:majorTickMark val="in"/>
        <c:minorTickMark val="none"/>
        <c:tickLblPos val="nextTo"/>
        <c:spPr>
          <a:ln w="2867" cap="flat" cmpd="sng" algn="ctr">
            <a:solidFill>
              <a:srgbClr val="000000"/>
            </a:solidFill>
            <a:prstDash val="solid"/>
            <a:round/>
          </a:ln>
        </c:spPr>
        <c:txPr>
          <a:bodyPr rot="0" spcFirstLastPara="0" vertOverflow="ellipsis" vert="horz" wrap="square" anchor="ctr" anchorCtr="1"/>
          <a:lstStyle/>
          <a:p>
            <a:pPr>
              <a:defRPr lang="zh-CN" sz="10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1095168"/>
        <c:crosses val="autoZero"/>
        <c:crossBetween val="midCat"/>
      </c:valAx>
      <c:spPr>
        <a:noFill/>
        <a:ln w="22939">
          <a:noFill/>
        </a:ln>
      </c:spPr>
    </c:plotArea>
    <c:legend>
      <c:legendPos val="r"/>
      <c:legendEntry>
        <c:idx val="2"/>
        <c:delete val="1"/>
      </c:legendEntry>
      <c:legendEntry>
        <c:idx val="3"/>
        <c:delete val="1"/>
      </c:legendEntry>
      <c:layout>
        <c:manualLayout>
          <c:xMode val="edge"/>
          <c:yMode val="edge"/>
          <c:x val="0.703296703296703"/>
          <c:y val="0.427983539094652"/>
          <c:w val="0.149450549450549"/>
          <c:h val="0.168724279835392"/>
        </c:manualLayout>
      </c:layout>
      <c:overlay val="0"/>
      <c:spPr>
        <a:solidFill>
          <a:srgbClr val="FFFFFF"/>
        </a:solidFill>
        <a:ln w="2867">
          <a:solidFill>
            <a:srgbClr val="000000"/>
          </a:solidFill>
          <a:prstDash val="solid"/>
        </a:ln>
      </c:spPr>
      <c:txPr>
        <a:bodyPr rot="0" spcFirstLastPara="0" vertOverflow="ellipsis" vert="horz" wrap="square" anchor="ctr" anchorCtr="1"/>
        <a:lstStyle/>
        <a:p>
          <a:pPr>
            <a:defRPr lang="zh-CN" sz="9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2867" cap="flat" cmpd="sng" algn="ctr">
      <a:solidFill>
        <a:srgbClr val="000000"/>
      </a:solidFill>
      <a:prstDash val="solid"/>
      <a:round/>
    </a:ln>
  </c:spPr>
  <c:txPr>
    <a:bodyPr/>
    <a:lstStyle/>
    <a:p>
      <a:pPr>
        <a:defRPr lang="zh-CN" sz="101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19</Pages>
  <Words>2640</Words>
  <Characters>15053</Characters>
  <Lines>125</Lines>
  <Paragraphs>35</Paragraphs>
  <TotalTime>1</TotalTime>
  <ScaleCrop>false</ScaleCrop>
  <LinksUpToDate>false</LinksUpToDate>
  <CharactersWithSpaces>17658</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2019-06-20T07:35:00Z</dcterms:created>
  <dc:creator>shilei</dc:creator>
  <cp:lastModifiedBy>Administrator</cp:lastModifiedBy>
  <cp:lastPrinted>2004-08-01T09:33:00Z</cp:lastPrinted>
  <dcterms:modified xsi:type="dcterms:W3CDTF">2019-09-15T18:24:39Z</dcterms:modified>
  <dc:title>编 制 说 明</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