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rPr>
      </w:pPr>
    </w:p>
    <w:p>
      <w:pPr>
        <w:jc w:val="center"/>
        <w:rPr>
          <w:rFonts w:eastAsia="黑体"/>
          <w:b/>
          <w:sz w:val="36"/>
        </w:rPr>
      </w:pPr>
    </w:p>
    <w:p>
      <w:pPr>
        <w:jc w:val="center"/>
        <w:rPr>
          <w:rFonts w:eastAsia="黑体"/>
          <w:b/>
          <w:sz w:val="36"/>
        </w:rPr>
      </w:pPr>
    </w:p>
    <w:p>
      <w:pPr>
        <w:spacing w:line="1000" w:lineRule="exact"/>
        <w:jc w:val="center"/>
        <w:rPr>
          <w:rFonts w:ascii="宋体" w:hAnsi="宋体"/>
          <w:b/>
          <w:bCs/>
          <w:color w:val="000000"/>
          <w:sz w:val="44"/>
          <w:szCs w:val="44"/>
        </w:rPr>
      </w:pPr>
      <w:r>
        <w:rPr>
          <w:rFonts w:hint="eastAsia" w:ascii="宋体" w:hAnsi="宋体"/>
          <w:b/>
          <w:bCs/>
          <w:color w:val="000000"/>
          <w:sz w:val="44"/>
          <w:szCs w:val="44"/>
        </w:rPr>
        <w:t>铝及铝合金化学分析方法</w:t>
      </w:r>
    </w:p>
    <w:p>
      <w:pPr>
        <w:spacing w:line="1000" w:lineRule="exact"/>
        <w:jc w:val="center"/>
        <w:rPr>
          <w:rFonts w:ascii="宋体" w:hAnsi="宋体"/>
          <w:b/>
          <w:bCs/>
          <w:color w:val="000000"/>
          <w:sz w:val="44"/>
          <w:szCs w:val="44"/>
        </w:rPr>
      </w:pPr>
      <w:r>
        <w:rPr>
          <w:rFonts w:hint="eastAsia" w:ascii="宋体" w:hAnsi="宋体"/>
          <w:b/>
          <w:bCs/>
          <w:color w:val="000000"/>
          <w:sz w:val="44"/>
          <w:szCs w:val="44"/>
        </w:rPr>
        <w:t xml:space="preserve"> 第19部分：锆含量的测定</w:t>
      </w:r>
    </w:p>
    <w:p>
      <w:pPr>
        <w:spacing w:line="1000" w:lineRule="exact"/>
        <w:jc w:val="center"/>
        <w:rPr>
          <w:rFonts w:ascii="宋体" w:hAnsi="宋体"/>
          <w:b/>
          <w:bCs/>
          <w:color w:val="000000"/>
          <w:sz w:val="44"/>
          <w:szCs w:val="44"/>
        </w:rPr>
      </w:pPr>
    </w:p>
    <w:p>
      <w:pPr>
        <w:spacing w:line="1000" w:lineRule="exact"/>
        <w:jc w:val="center"/>
        <w:rPr>
          <w:rFonts w:ascii="宋体" w:hAnsi="宋体"/>
          <w:b/>
          <w:bCs/>
          <w:color w:val="000000"/>
          <w:sz w:val="44"/>
          <w:szCs w:val="44"/>
        </w:rPr>
      </w:pPr>
    </w:p>
    <w:p>
      <w:pPr>
        <w:jc w:val="center"/>
        <w:rPr>
          <w:rFonts w:eastAsia="黑体"/>
          <w:b/>
          <w:bCs/>
          <w:sz w:val="32"/>
        </w:rPr>
      </w:pPr>
    </w:p>
    <w:p>
      <w:pPr>
        <w:jc w:val="center"/>
        <w:rPr>
          <w:rFonts w:eastAsia="黑体"/>
          <w:b/>
          <w:bCs/>
          <w:sz w:val="32"/>
        </w:rPr>
      </w:pPr>
    </w:p>
    <w:p>
      <w:pPr>
        <w:jc w:val="center"/>
        <w:rPr>
          <w:rFonts w:eastAsia="黑体"/>
          <w:bCs/>
          <w:sz w:val="52"/>
          <w:szCs w:val="52"/>
        </w:rPr>
      </w:pPr>
      <w:r>
        <w:rPr>
          <w:rFonts w:hint="eastAsia" w:eastAsia="黑体"/>
          <w:bCs/>
          <w:sz w:val="52"/>
          <w:szCs w:val="52"/>
          <w:lang w:eastAsia="zh-CN"/>
        </w:rPr>
        <w:t>送</w:t>
      </w:r>
      <w:r>
        <w:rPr>
          <w:rFonts w:hint="eastAsia" w:eastAsia="黑体"/>
          <w:bCs/>
          <w:sz w:val="52"/>
          <w:szCs w:val="52"/>
        </w:rPr>
        <w:t>审稿编制说明</w:t>
      </w:r>
    </w:p>
    <w:p>
      <w:pPr>
        <w:jc w:val="center"/>
        <w:rPr>
          <w:rFonts w:eastAsia="黑体"/>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hint="eastAsia" w:eastAsia="黑体"/>
          <w:b/>
          <w:bCs/>
          <w:sz w:val="44"/>
        </w:rPr>
      </w:pPr>
    </w:p>
    <w:p>
      <w:pPr>
        <w:jc w:val="center"/>
        <w:rPr>
          <w:rFonts w:eastAsia="黑体"/>
          <w:b/>
          <w:bCs/>
          <w:sz w:val="44"/>
        </w:rPr>
      </w:pPr>
    </w:p>
    <w:p>
      <w:pPr>
        <w:jc w:val="center"/>
        <w:rPr>
          <w:rFonts w:eastAsia="黑体"/>
          <w:sz w:val="28"/>
          <w:szCs w:val="28"/>
        </w:rPr>
      </w:pPr>
      <w:r>
        <w:rPr>
          <w:rFonts w:hint="eastAsia" w:eastAsia="黑体"/>
          <w:sz w:val="28"/>
          <w:szCs w:val="28"/>
        </w:rPr>
        <w:t xml:space="preserve">《铝及铝合金化学分析方法 </w:t>
      </w:r>
      <w:r>
        <w:rPr>
          <w:rFonts w:hint="eastAsia" w:ascii="黑体" w:hAnsi="宋体" w:eastAsia="黑体"/>
          <w:color w:val="000000"/>
          <w:sz w:val="28"/>
          <w:szCs w:val="28"/>
        </w:rPr>
        <w:t>第19部分：锆含量的测定</w:t>
      </w:r>
      <w:r>
        <w:rPr>
          <w:rFonts w:hint="eastAsia" w:eastAsia="黑体"/>
          <w:sz w:val="28"/>
          <w:szCs w:val="28"/>
        </w:rPr>
        <w:t>》编制组</w:t>
      </w:r>
    </w:p>
    <w:p>
      <w:pPr>
        <w:jc w:val="center"/>
        <w:rPr>
          <w:rFonts w:ascii="黑体" w:eastAsia="黑体"/>
          <w:sz w:val="28"/>
          <w:szCs w:val="28"/>
        </w:rPr>
      </w:pPr>
      <w:r>
        <w:rPr>
          <w:rFonts w:hint="eastAsia" w:eastAsia="黑体"/>
          <w:sz w:val="28"/>
          <w:szCs w:val="28"/>
        </w:rPr>
        <w:t>主编单位：</w:t>
      </w:r>
      <w:r>
        <w:rPr>
          <w:rFonts w:hint="eastAsia" w:ascii="黑体" w:eastAsia="黑体"/>
          <w:sz w:val="28"/>
          <w:szCs w:val="28"/>
        </w:rPr>
        <w:t>中铝郑州有色金属研究院有限公司</w:t>
      </w:r>
    </w:p>
    <w:p>
      <w:pPr>
        <w:pStyle w:val="10"/>
        <w:ind w:left="0" w:leftChars="0"/>
        <w:jc w:val="center"/>
        <w:rPr>
          <w:rFonts w:hint="eastAsia" w:ascii="黑体" w:eastAsia="黑体"/>
          <w:sz w:val="30"/>
          <w:szCs w:val="30"/>
        </w:rPr>
      </w:pPr>
      <w:r>
        <w:rPr>
          <w:rFonts w:hint="eastAsia" w:ascii="黑体" w:eastAsia="黑体"/>
          <w:sz w:val="30"/>
          <w:szCs w:val="30"/>
        </w:rPr>
        <w:t>2019年</w:t>
      </w:r>
      <w:r>
        <w:rPr>
          <w:rFonts w:hint="eastAsia" w:ascii="黑体" w:eastAsia="黑体"/>
          <w:sz w:val="30"/>
          <w:szCs w:val="30"/>
          <w:lang w:val="en-US" w:eastAsia="zh-CN"/>
        </w:rPr>
        <w:t>9</w:t>
      </w:r>
      <w:r>
        <w:rPr>
          <w:rFonts w:hint="eastAsia" w:ascii="黑体" w:eastAsia="黑体"/>
          <w:sz w:val="30"/>
          <w:szCs w:val="30"/>
        </w:rPr>
        <w:t>月</w:t>
      </w:r>
    </w:p>
    <w:p>
      <w:pPr>
        <w:rPr>
          <w:lang w:bidi="ar-SA"/>
        </w:rPr>
      </w:pPr>
    </w:p>
    <w:p>
      <w:pPr>
        <w:jc w:val="center"/>
        <w:rPr>
          <w:rFonts w:hint="eastAsia" w:ascii="黑体" w:hAnsi="宋体" w:eastAsia="黑体"/>
          <w:bCs/>
          <w:color w:val="000000"/>
          <w:sz w:val="32"/>
          <w:szCs w:val="32"/>
        </w:rPr>
      </w:pPr>
      <w:r>
        <w:rPr>
          <w:rFonts w:hint="eastAsia" w:ascii="黑体" w:hAnsi="宋体" w:eastAsia="黑体"/>
          <w:bCs/>
          <w:color w:val="000000"/>
          <w:sz w:val="32"/>
          <w:szCs w:val="32"/>
        </w:rPr>
        <w:t>铝及铝合金化学分析方法</w:t>
      </w:r>
    </w:p>
    <w:p>
      <w:pPr>
        <w:jc w:val="center"/>
        <w:rPr>
          <w:rFonts w:ascii="黑体" w:hAnsi="宋体" w:eastAsia="黑体"/>
          <w:bCs/>
          <w:color w:val="000000"/>
          <w:sz w:val="32"/>
          <w:szCs w:val="32"/>
        </w:rPr>
      </w:pPr>
      <w:r>
        <w:rPr>
          <w:rFonts w:hint="eastAsia" w:ascii="黑体" w:hAnsi="宋体" w:eastAsia="黑体"/>
          <w:bCs/>
          <w:color w:val="000000"/>
          <w:sz w:val="32"/>
          <w:szCs w:val="32"/>
        </w:rPr>
        <w:t>第19部分：锆含量的测定</w:t>
      </w:r>
    </w:p>
    <w:p>
      <w:pPr>
        <w:jc w:val="center"/>
        <w:rPr>
          <w:rFonts w:ascii="黑体" w:eastAsia="黑体"/>
          <w:sz w:val="32"/>
          <w:szCs w:val="32"/>
        </w:rPr>
      </w:pPr>
      <w:r>
        <w:rPr>
          <w:rFonts w:hint="eastAsia" w:ascii="黑体" w:eastAsia="黑体"/>
          <w:sz w:val="32"/>
          <w:szCs w:val="32"/>
          <w:lang w:eastAsia="zh-CN"/>
        </w:rPr>
        <w:t>送</w:t>
      </w:r>
      <w:r>
        <w:rPr>
          <w:rFonts w:hint="eastAsia" w:ascii="黑体" w:eastAsia="黑体"/>
          <w:sz w:val="32"/>
          <w:szCs w:val="32"/>
        </w:rPr>
        <w:t>审稿编制说明</w:t>
      </w:r>
    </w:p>
    <w:p>
      <w:pPr>
        <w:spacing w:line="360" w:lineRule="auto"/>
        <w:ind w:firstLine="420" w:firstLineChars="200"/>
        <w:rPr>
          <w:rFonts w:ascii="宋体" w:hAnsi="宋体"/>
          <w:szCs w:val="21"/>
        </w:rPr>
      </w:pPr>
    </w:p>
    <w:p>
      <w:pPr>
        <w:spacing w:line="360" w:lineRule="auto"/>
        <w:ind w:right="1176" w:rightChars="560"/>
        <w:rPr>
          <w:rFonts w:ascii="黑体" w:hAnsi="宋体" w:eastAsia="黑体"/>
          <w:sz w:val="24"/>
        </w:rPr>
      </w:pPr>
      <w:r>
        <w:rPr>
          <w:rFonts w:hint="eastAsia" w:ascii="黑体" w:hAnsi="宋体" w:eastAsia="黑体"/>
          <w:sz w:val="24"/>
        </w:rPr>
        <w:t>一、工作简况（包括任务来源、协作单位、主要工作过程）</w:t>
      </w:r>
    </w:p>
    <w:p>
      <w:pPr>
        <w:spacing w:beforeLines="50" w:afterLines="50" w:line="360" w:lineRule="auto"/>
        <w:rPr>
          <w:rFonts w:ascii="黑体" w:hAnsi="宋体" w:eastAsia="黑体"/>
          <w:sz w:val="24"/>
        </w:rPr>
      </w:pPr>
      <w:r>
        <w:rPr>
          <w:rFonts w:hint="eastAsia" w:ascii="黑体" w:hAnsi="宋体" w:eastAsia="黑体"/>
          <w:sz w:val="24"/>
        </w:rPr>
        <w:t>1  任务来源</w:t>
      </w:r>
    </w:p>
    <w:p>
      <w:pPr>
        <w:spacing w:line="360" w:lineRule="auto"/>
        <w:ind w:firstLine="420" w:firstLineChars="200"/>
        <w:rPr>
          <w:rFonts w:ascii="宋体" w:hAnsi="宋体"/>
          <w:szCs w:val="21"/>
        </w:rPr>
      </w:pPr>
      <w:r>
        <w:rPr>
          <w:rFonts w:hint="eastAsia" w:ascii="宋体" w:hAnsi="宋体"/>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pPr>
        <w:spacing w:line="360" w:lineRule="auto"/>
        <w:ind w:firstLine="420" w:firstLineChars="200"/>
        <w:rPr>
          <w:rFonts w:ascii="宋体" w:hAnsi="宋体"/>
          <w:szCs w:val="21"/>
        </w:rPr>
      </w:pPr>
      <w:r>
        <w:rPr>
          <w:rFonts w:hint="eastAsia" w:ascii="宋体" w:hAnsi="宋体"/>
          <w:szCs w:val="21"/>
        </w:rPr>
        <w:t xml:space="preserve">根据全国有色金属标准化技术委员会于2018年3月在云南省昆明市召开了《铝及铝合金化学分析方法》国家标准任务落实会，来自云南冶金研究院、广东省工业分析测试中心、贵州测试院、东北轻合金有限公司等30余家的50名代表对GB/T20975.19—201X《铝及铝合金化学分析方法 第19部分：锆含量的测定》进行了讨论，并进行了制修订任务落实，会上确定了《铝及铝合金化学分析方法 第19部分：锆含量的测定》的起草基本思路。根据会议讨论安排，由中国铝业郑州有色金属研究院有限公司负责起草GB/T 20975.19-201X《铝及铝合金化学分析方法 第19部分：锆含量的测定》，将GB/T 20975.19-2008《铝及铝合金化学分析方法  </w:t>
      </w:r>
      <w:r>
        <w:rPr>
          <w:rFonts w:hint="eastAsia" w:ascii="宋体" w:hAnsi="宋体"/>
          <w:bCs/>
          <w:color w:val="000000"/>
          <w:szCs w:val="21"/>
        </w:rPr>
        <w:t>第19部分：</w:t>
      </w:r>
      <w:r>
        <w:rPr>
          <w:rFonts w:hint="eastAsia" w:ascii="宋体" w:hAnsi="宋体"/>
          <w:szCs w:val="21"/>
        </w:rPr>
        <w:t>锆含量的测定》和YS/T 807.5-2012《铝中间合金化学分析方法 第5部分：锆含量的测定　EDTA络合滴定法》进行整合，将GB/T 20975.19-2008中“方法一：</w:t>
      </w:r>
      <w:r>
        <w:rPr>
          <w:rFonts w:hint="eastAsia"/>
          <w:szCs w:val="21"/>
        </w:rPr>
        <w:t>二甲酚橙分光光度法</w:t>
      </w:r>
      <w:r>
        <w:rPr>
          <w:rFonts w:hint="eastAsia" w:ascii="宋体" w:hAnsi="宋体"/>
          <w:szCs w:val="21"/>
        </w:rPr>
        <w:t>”作为新起草标准中“方法一：</w:t>
      </w:r>
      <w:r>
        <w:rPr>
          <w:rFonts w:hint="eastAsia"/>
          <w:szCs w:val="21"/>
        </w:rPr>
        <w:t>二甲酚橙分光光度法</w:t>
      </w:r>
      <w:r>
        <w:rPr>
          <w:rFonts w:hint="eastAsia" w:ascii="宋体" w:hAnsi="宋体"/>
          <w:szCs w:val="21"/>
        </w:rPr>
        <w:t>”，锆的测定范围为0.01%～1.0%，由中国铝业郑州有色金属研究院有限公司主起草；YS/T 807.5-2012作为新起草标准中“方法二：EDTA络合滴定法”，钒的测定范围为2.5%～18.0%，由</w:t>
      </w:r>
      <w:r>
        <w:rPr>
          <w:rFonts w:hint="eastAsia" w:ascii="宋体" w:hAnsi="宋体" w:cs="宋体"/>
          <w:bCs/>
        </w:rPr>
        <w:t>广东省工业分析检测中心</w:t>
      </w:r>
      <w:r>
        <w:rPr>
          <w:rFonts w:hint="eastAsia" w:ascii="宋体" w:hAnsi="宋体"/>
          <w:szCs w:val="21"/>
        </w:rPr>
        <w:t>主起草。</w:t>
      </w:r>
    </w:p>
    <w:p>
      <w:pPr>
        <w:spacing w:line="360" w:lineRule="auto"/>
        <w:ind w:firstLine="420" w:firstLineChars="200"/>
        <w:rPr>
          <w:rFonts w:hint="eastAsia" w:ascii="宋体" w:hAnsi="宋体"/>
          <w:szCs w:val="21"/>
        </w:rPr>
      </w:pPr>
      <w:r>
        <w:rPr>
          <w:rFonts w:hint="eastAsia" w:ascii="宋体" w:hAnsi="宋体"/>
          <w:szCs w:val="21"/>
        </w:rPr>
        <w:t>全国有色金属标准化技术委员会2017年下达标准制（修）定计划（国标委综合〔2017〕128号），本标准项目计划编号为20173494-T-610，项目完成时间为2019年12月。</w:t>
      </w:r>
    </w:p>
    <w:p>
      <w:pPr>
        <w:spacing w:line="360" w:lineRule="auto"/>
        <w:ind w:firstLine="420" w:firstLineChars="200"/>
        <w:jc w:val="left"/>
        <w:rPr>
          <w:rFonts w:hint="eastAsia" w:ascii="宋体" w:hAnsi="宋体"/>
          <w:szCs w:val="21"/>
        </w:rPr>
      </w:pPr>
      <w:r>
        <w:rPr>
          <w:rFonts w:hint="eastAsia" w:ascii="宋体" w:hAnsi="宋体"/>
          <w:szCs w:val="21"/>
        </w:rPr>
        <w:t>2019年6月24</w:t>
      </w:r>
      <w:r>
        <w:rPr>
          <w:rFonts w:ascii="宋体" w:hAnsi="宋体"/>
          <w:szCs w:val="21"/>
        </w:rPr>
        <w:t>日～</w:t>
      </w:r>
      <w:r>
        <w:rPr>
          <w:rFonts w:hint="eastAsia" w:ascii="宋体" w:hAnsi="宋体"/>
          <w:szCs w:val="21"/>
        </w:rPr>
        <w:t>26</w:t>
      </w:r>
      <w:r>
        <w:rPr>
          <w:rFonts w:ascii="宋体" w:hAnsi="宋体"/>
          <w:szCs w:val="21"/>
        </w:rPr>
        <w:t>日</w:t>
      </w:r>
      <w:r>
        <w:rPr>
          <w:rFonts w:hint="eastAsia" w:ascii="宋体" w:hAnsi="宋体"/>
          <w:szCs w:val="21"/>
        </w:rPr>
        <w:t>在山东省青岛市召开的GB/T 20975系列标准预审会上，为了与其他</w:t>
      </w:r>
      <w:r>
        <w:rPr>
          <w:rFonts w:hint="eastAsia" w:ascii="宋体" w:hAnsi="宋体"/>
          <w:szCs w:val="21"/>
          <w:lang w:eastAsia="zh-CN"/>
        </w:rPr>
        <w:t>部分</w:t>
      </w:r>
      <w:r>
        <w:rPr>
          <w:rFonts w:hint="eastAsia" w:ascii="宋体" w:hAnsi="宋体"/>
          <w:szCs w:val="21"/>
        </w:rPr>
        <w:t>名称保持一致，会议建议将本</w:t>
      </w:r>
      <w:r>
        <w:rPr>
          <w:rFonts w:hint="eastAsia" w:ascii="宋体" w:hAnsi="宋体"/>
          <w:szCs w:val="21"/>
          <w:lang w:eastAsia="zh-CN"/>
        </w:rPr>
        <w:t>部分</w:t>
      </w:r>
      <w:r>
        <w:rPr>
          <w:rFonts w:hint="eastAsia" w:ascii="宋体" w:hAnsi="宋体"/>
          <w:szCs w:val="21"/>
        </w:rPr>
        <w:t>名称修改为：GB/T 20975.</w:t>
      </w:r>
      <w:r>
        <w:rPr>
          <w:rFonts w:hint="eastAsia" w:ascii="宋体" w:hAnsi="宋体"/>
          <w:szCs w:val="21"/>
          <w:lang w:val="en-US" w:eastAsia="zh-CN"/>
        </w:rPr>
        <w:t>19</w:t>
      </w:r>
      <w:r>
        <w:rPr>
          <w:rFonts w:ascii="宋体" w:hAnsi="宋体"/>
          <w:szCs w:val="21"/>
        </w:rPr>
        <w:t>《</w:t>
      </w:r>
      <w:r>
        <w:rPr>
          <w:rFonts w:hint="eastAsia" w:ascii="宋体" w:hAnsi="宋体"/>
          <w:bCs/>
          <w:color w:val="000000"/>
          <w:szCs w:val="21"/>
        </w:rPr>
        <w:t>铝及铝合金化学分析方法 第</w:t>
      </w:r>
      <w:r>
        <w:rPr>
          <w:rFonts w:hint="eastAsia" w:ascii="宋体" w:hAnsi="宋体"/>
          <w:bCs/>
          <w:color w:val="000000"/>
          <w:szCs w:val="21"/>
          <w:lang w:val="en-US" w:eastAsia="zh-CN"/>
        </w:rPr>
        <w:t>19</w:t>
      </w:r>
      <w:r>
        <w:rPr>
          <w:rFonts w:hint="eastAsia" w:ascii="宋体" w:hAnsi="宋体"/>
          <w:bCs/>
          <w:color w:val="000000"/>
          <w:szCs w:val="21"/>
        </w:rPr>
        <w:t>部分：</w:t>
      </w:r>
      <w:r>
        <w:rPr>
          <w:rFonts w:hint="eastAsia" w:ascii="宋体" w:hAnsi="宋体"/>
          <w:bCs/>
          <w:color w:val="000000"/>
          <w:szCs w:val="21"/>
          <w:lang w:eastAsia="zh-CN"/>
        </w:rPr>
        <w:t>锆</w:t>
      </w:r>
      <w:r>
        <w:rPr>
          <w:rFonts w:hint="eastAsia" w:ascii="宋体" w:hAnsi="宋体"/>
          <w:bCs/>
          <w:color w:val="000000"/>
          <w:szCs w:val="21"/>
        </w:rPr>
        <w:t>含量的测定</w:t>
      </w:r>
      <w:r>
        <w:rPr>
          <w:rFonts w:ascii="宋体" w:hAnsi="宋体"/>
          <w:szCs w:val="21"/>
        </w:rPr>
        <w:t>》</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项目承担单位“中国铝业郑州有色金属研究院有限公司”名称于2019年6月10日变更为“中铝郑州有色金属研究院有限公司”，因此本</w:t>
      </w:r>
      <w:r>
        <w:rPr>
          <w:rFonts w:hint="eastAsia" w:ascii="宋体" w:hAnsi="宋体"/>
          <w:szCs w:val="21"/>
          <w:lang w:eastAsia="zh-CN"/>
        </w:rPr>
        <w:t>部分</w:t>
      </w:r>
      <w:r>
        <w:rPr>
          <w:rFonts w:hint="eastAsia" w:ascii="宋体" w:hAnsi="宋体"/>
          <w:szCs w:val="21"/>
        </w:rPr>
        <w:t>负责单位变更为：中铝郑州有色金属研究院有限公司。</w:t>
      </w:r>
    </w:p>
    <w:p>
      <w:pPr>
        <w:spacing w:beforeLines="50" w:afterLines="50" w:line="360" w:lineRule="auto"/>
        <w:rPr>
          <w:rFonts w:hint="eastAsia" w:ascii="黑体" w:hAnsi="宋体" w:eastAsia="黑体"/>
          <w:sz w:val="24"/>
        </w:rPr>
      </w:pPr>
      <w:r>
        <w:rPr>
          <w:rFonts w:hint="eastAsia" w:ascii="黑体" w:hAnsi="宋体" w:eastAsia="黑体"/>
          <w:sz w:val="24"/>
        </w:rPr>
        <w:t>2  项目编制工作组单位简介</w:t>
      </w:r>
    </w:p>
    <w:p>
      <w:pPr>
        <w:spacing w:line="360" w:lineRule="auto"/>
        <w:ind w:firstLine="420" w:firstLineChars="200"/>
        <w:rPr>
          <w:rFonts w:hint="eastAsia" w:ascii="宋体" w:hAnsi="宋体"/>
          <w:lang w:eastAsia="zh-CN"/>
        </w:rPr>
      </w:pPr>
      <w:r>
        <w:rPr>
          <w:rFonts w:hint="eastAsia" w:ascii="宋体" w:hAnsi="宋体"/>
          <w:lang w:eastAsia="zh-CN"/>
        </w:rPr>
        <w:t>根据在云南省昆明市召开的任务落实会议确定情况，本部分方法一：</w:t>
      </w:r>
      <w:r>
        <w:rPr>
          <w:rFonts w:hint="eastAsia" w:ascii="宋体" w:hAnsi="宋体"/>
          <w:szCs w:val="21"/>
        </w:rPr>
        <w:t>二甲酚橙分光光度法</w:t>
      </w:r>
      <w:r>
        <w:rPr>
          <w:rFonts w:hint="eastAsia" w:ascii="宋体" w:hAnsi="宋体"/>
          <w:lang w:eastAsia="zh-CN"/>
        </w:rPr>
        <w:t>，由中铝郑州有色金属研究院有限公司负责起草，由</w:t>
      </w:r>
      <w:r>
        <w:rPr>
          <w:rFonts w:hint="eastAsia" w:ascii="宋体" w:hAnsi="宋体"/>
          <w:szCs w:val="21"/>
        </w:rPr>
        <w:t>长沙矿冶研究院有限责任公司、</w:t>
      </w:r>
      <w:r>
        <w:rPr>
          <w:rFonts w:hint="eastAsia" w:ascii="宋体" w:hAnsi="宋体"/>
        </w:rPr>
        <w:t>贵州省分析测试研究院、中铝矿业有限公司、辽宁忠旺集团有限公司</w:t>
      </w:r>
      <w:r>
        <w:rPr>
          <w:rFonts w:hint="eastAsia" w:ascii="宋体" w:hAnsi="宋体"/>
          <w:lang w:eastAsia="zh-CN"/>
        </w:rPr>
        <w:t>等</w:t>
      </w:r>
      <w:r>
        <w:rPr>
          <w:rFonts w:hint="eastAsia" w:ascii="宋体" w:hAnsi="宋体"/>
          <w:lang w:val="en-US" w:eastAsia="zh-CN"/>
        </w:rPr>
        <w:t>五</w:t>
      </w:r>
      <w:r>
        <w:rPr>
          <w:rFonts w:hint="eastAsia" w:ascii="宋体" w:hAnsi="宋体"/>
          <w:lang w:eastAsia="zh-CN"/>
        </w:rPr>
        <w:t>家单位共同编制。</w:t>
      </w:r>
    </w:p>
    <w:p>
      <w:pPr>
        <w:spacing w:line="360" w:lineRule="auto"/>
        <w:ind w:firstLine="420" w:firstLineChars="200"/>
        <w:rPr>
          <w:rFonts w:hint="eastAsia" w:ascii="黑体" w:hAnsi="宋体" w:eastAsia="黑体"/>
          <w:sz w:val="24"/>
        </w:rPr>
      </w:pPr>
      <w:r>
        <w:rPr>
          <w:rFonts w:hint="eastAsia" w:ascii="宋体" w:hAnsi="宋体"/>
          <w:lang w:eastAsia="zh-CN"/>
        </w:rPr>
        <w:t>根据在云南省昆明市召开的任务落实会议确定情况，</w:t>
      </w:r>
      <w:r>
        <w:rPr>
          <w:rFonts w:hint="eastAsia" w:ascii="宋体" w:hAnsi="宋体"/>
          <w:szCs w:val="21"/>
          <w:lang w:eastAsia="zh-CN"/>
        </w:rPr>
        <w:t>本部分</w:t>
      </w:r>
      <w:r>
        <w:rPr>
          <w:rFonts w:hint="eastAsia" w:ascii="宋体" w:hAnsi="宋体"/>
        </w:rPr>
        <w:t>方法二：EDTA滴定法</w:t>
      </w:r>
      <w:r>
        <w:rPr>
          <w:rFonts w:ascii="宋体" w:hAnsi="宋体"/>
          <w:kern w:val="1"/>
          <w:szCs w:val="21"/>
        </w:rPr>
        <w:t>由广东省工业分析检测中心</w:t>
      </w:r>
      <w:r>
        <w:rPr>
          <w:rFonts w:hint="eastAsia" w:ascii="宋体" w:hAnsi="宋体"/>
          <w:kern w:val="1"/>
          <w:szCs w:val="21"/>
        </w:rPr>
        <w:t>负责</w:t>
      </w:r>
      <w:r>
        <w:rPr>
          <w:rFonts w:ascii="宋体" w:hAnsi="宋体"/>
          <w:kern w:val="1"/>
          <w:szCs w:val="21"/>
        </w:rPr>
        <w:t>起草，</w:t>
      </w:r>
      <w:r>
        <w:rPr>
          <w:rFonts w:hint="eastAsia" w:ascii="宋体" w:hAnsi="宋体"/>
          <w:kern w:val="1"/>
          <w:szCs w:val="21"/>
          <w:lang w:eastAsia="zh-CN"/>
        </w:rPr>
        <w:t>由</w:t>
      </w:r>
      <w:r>
        <w:rPr>
          <w:rFonts w:hint="eastAsia" w:ascii="宋体" w:hAnsi="宋体"/>
        </w:rPr>
        <w:t>长沙矿冶研究院有限责任公司</w:t>
      </w:r>
      <w:r>
        <w:rPr>
          <w:rFonts w:hint="eastAsia" w:ascii="宋体" w:hAnsi="宋体" w:cs="楷体"/>
        </w:rPr>
        <w:t>、</w:t>
      </w:r>
      <w:r>
        <w:rPr>
          <w:rFonts w:hint="eastAsia" w:ascii="宋体" w:hAnsi="宋体"/>
        </w:rPr>
        <w:t>贵州省分析测试研究院</w:t>
      </w:r>
      <w:r>
        <w:rPr>
          <w:rFonts w:hint="eastAsia" w:ascii="宋体" w:hAnsi="宋体" w:cs="楷体"/>
        </w:rPr>
        <w:t>、</w:t>
      </w:r>
      <w:r>
        <w:rPr>
          <w:rFonts w:hint="eastAsia" w:ascii="宋体" w:hAnsi="宋体"/>
        </w:rPr>
        <w:t>辽宁忠旺集团有限公司</w:t>
      </w:r>
      <w:r>
        <w:rPr>
          <w:rFonts w:hint="eastAsia" w:ascii="宋体" w:hAnsi="宋体" w:cs="楷体"/>
        </w:rPr>
        <w:t>、</w:t>
      </w:r>
      <w:r>
        <w:rPr>
          <w:rFonts w:hint="eastAsia" w:ascii="宋体" w:hAnsi="宋体"/>
          <w:bCs/>
        </w:rPr>
        <w:t>河北四通新型金属材料股份有限公司</w:t>
      </w:r>
      <w:r>
        <w:rPr>
          <w:rFonts w:hint="eastAsia" w:ascii="宋体" w:hAnsi="宋体" w:cs="楷体"/>
        </w:rPr>
        <w:t>、</w:t>
      </w:r>
      <w:r>
        <w:rPr>
          <w:rFonts w:hint="eastAsia" w:ascii="宋体" w:hAnsi="宋体"/>
        </w:rPr>
        <w:t>中铝郑州有色金属研究院有限公司</w:t>
      </w:r>
      <w:r>
        <w:rPr>
          <w:rFonts w:hint="eastAsia" w:ascii="宋体" w:hAnsi="宋体" w:cs="楷体"/>
        </w:rPr>
        <w:t>、</w:t>
      </w:r>
      <w:r>
        <w:rPr>
          <w:rFonts w:hint="eastAsia" w:ascii="宋体" w:hAnsi="宋体"/>
        </w:rPr>
        <w:t>山东南山铝业股份有限公司</w:t>
      </w:r>
      <w:r>
        <w:rPr>
          <w:rFonts w:hint="eastAsia" w:ascii="宋体" w:hAnsi="宋体" w:cs="楷体"/>
        </w:rPr>
        <w:t>、</w:t>
      </w:r>
      <w:r>
        <w:rPr>
          <w:rFonts w:hint="eastAsia" w:ascii="宋体" w:hAnsi="宋体"/>
          <w:kern w:val="1"/>
          <w:szCs w:val="21"/>
        </w:rPr>
        <w:t>山东兖矿轻合金有限公司</w:t>
      </w:r>
      <w:r>
        <w:rPr>
          <w:rFonts w:hint="eastAsia" w:ascii="宋体" w:hAnsi="宋体" w:cs="楷体"/>
        </w:rPr>
        <w:t>、有研亿金新材料有限公司</w:t>
      </w:r>
      <w:r>
        <w:rPr>
          <w:rFonts w:hint="eastAsia" w:ascii="宋体" w:hAnsi="宋体"/>
          <w:lang w:eastAsia="zh-CN"/>
        </w:rPr>
        <w:t>等</w:t>
      </w:r>
      <w:r>
        <w:rPr>
          <w:rFonts w:hint="eastAsia" w:ascii="宋体" w:hAnsi="宋体"/>
          <w:lang w:val="en-US" w:eastAsia="zh-CN"/>
        </w:rPr>
        <w:t>九</w:t>
      </w:r>
      <w:r>
        <w:rPr>
          <w:rFonts w:hint="eastAsia" w:ascii="宋体" w:hAnsi="宋体"/>
          <w:lang w:eastAsia="zh-CN"/>
        </w:rPr>
        <w:t>家单位共同编制。</w:t>
      </w:r>
    </w:p>
    <w:p>
      <w:pPr>
        <w:widowControl/>
        <w:spacing w:line="360" w:lineRule="auto"/>
        <w:jc w:val="left"/>
        <w:rPr>
          <w:rFonts w:hint="eastAsia" w:ascii="宋体" w:hAnsi="宋体"/>
          <w:b/>
          <w:bCs/>
          <w:szCs w:val="21"/>
        </w:rPr>
      </w:pPr>
      <w:r>
        <w:rPr>
          <w:rFonts w:hint="eastAsia" w:ascii="宋体" w:hAnsi="宋体"/>
          <w:b/>
          <w:bCs/>
          <w:szCs w:val="21"/>
        </w:rPr>
        <w:t xml:space="preserve">2.1 </w:t>
      </w:r>
      <w:r>
        <w:rPr>
          <w:rFonts w:ascii="宋体" w:hAnsi="宋体"/>
          <w:b/>
          <w:bCs/>
          <w:szCs w:val="21"/>
        </w:rPr>
        <w:t>中铝郑州有色金属研究院有限公司</w:t>
      </w:r>
    </w:p>
    <w:p>
      <w:pPr>
        <w:widowControl/>
        <w:spacing w:line="360" w:lineRule="auto"/>
        <w:jc w:val="left"/>
        <w:rPr>
          <w:rFonts w:ascii="宋体" w:hAnsi="宋体"/>
          <w:szCs w:val="21"/>
        </w:rPr>
      </w:pPr>
      <w:r>
        <w:rPr>
          <w:rFonts w:hint="eastAsia" w:ascii="宋体" w:hAnsi="宋体"/>
          <w:b/>
          <w:bCs/>
          <w:szCs w:val="21"/>
        </w:rPr>
        <w:t xml:space="preserve">    </w:t>
      </w:r>
      <w:r>
        <w:rPr>
          <w:rFonts w:ascii="宋体" w:hAnsi="宋体"/>
          <w:bCs/>
          <w:szCs w:val="21"/>
        </w:rPr>
        <w:t>中铝郑州有色金属研究院有限公司</w:t>
      </w:r>
      <w:r>
        <w:rPr>
          <w:rFonts w:ascii="宋体" w:hAnsi="宋体"/>
          <w:szCs w:val="21"/>
        </w:rPr>
        <w:t>是中国轻金属专业领域唯一的大型科研机构，是我国铝镁工业新技术、新工艺、新材料和新装备的重大、关键和前瞻技术的研发基地，基础研究及原创性技术成果的孵化与转化基地。拥有国内唯一的国家铝冶炼工程技术研究中心，中国铝业博士后科研工作站。</w:t>
      </w:r>
      <w:r>
        <w:rPr>
          <w:rFonts w:hint="eastAsia" w:ascii="宋体" w:hAnsi="宋体"/>
          <w:szCs w:val="21"/>
        </w:rPr>
        <w:t>具有完善的铝、镁冶炼基础理论研究技术平台，包括TEM、SEM、EDS、XRD、XRF、IC等在内的大型仪器设备80余套。</w:t>
      </w:r>
      <w:r>
        <w:rPr>
          <w:rFonts w:ascii="宋体" w:hAnsi="宋体"/>
          <w:szCs w:val="21"/>
        </w:rPr>
        <w:t>依托研究院设立的国家轻金属质量监督检验中心</w:t>
      </w:r>
      <w:r>
        <w:rPr>
          <w:rFonts w:hint="eastAsia" w:ascii="宋体" w:hAnsi="宋体"/>
          <w:szCs w:val="21"/>
        </w:rPr>
        <w:t>（郑州轻金属研究院检测实验室）</w:t>
      </w:r>
      <w:r>
        <w:rPr>
          <w:rFonts w:ascii="宋体" w:hAnsi="宋体"/>
          <w:szCs w:val="21"/>
        </w:rPr>
        <w:t>主要负责我国铝镁及其合金12类77种产品的质量监督检验、产品质量评价仲裁等工作，</w:t>
      </w:r>
      <w:r>
        <w:rPr>
          <w:rFonts w:hint="eastAsia" w:ascii="宋体" w:hAnsi="宋体"/>
          <w:szCs w:val="21"/>
        </w:rPr>
        <w:t>多年来一直为行业提供技术支持服务，承担了铝行业绝大部分分析检测等基础技术标准的具体起草工作，是国际标准化组织</w:t>
      </w:r>
      <w:r>
        <w:rPr>
          <w:rFonts w:ascii="宋体" w:hAnsi="宋体"/>
          <w:szCs w:val="21"/>
        </w:rPr>
        <w:t>ISO/TC226</w:t>
      </w:r>
      <w:r>
        <w:rPr>
          <w:rFonts w:hint="eastAsia" w:ascii="宋体" w:hAnsi="宋体"/>
          <w:szCs w:val="21"/>
        </w:rPr>
        <w:t>（铝用原材料技术委员会）</w:t>
      </w:r>
      <w:r>
        <w:rPr>
          <w:rFonts w:ascii="宋体" w:hAnsi="宋体"/>
          <w:szCs w:val="21"/>
        </w:rPr>
        <w:t>、ISO/TC79</w:t>
      </w:r>
      <w:r>
        <w:rPr>
          <w:rFonts w:hint="eastAsia" w:ascii="宋体" w:hAnsi="宋体"/>
          <w:szCs w:val="21"/>
        </w:rPr>
        <w:t>（轻金属及其合金）</w:t>
      </w:r>
      <w:r>
        <w:rPr>
          <w:rFonts w:ascii="宋体" w:hAnsi="宋体"/>
          <w:szCs w:val="21"/>
        </w:rPr>
        <w:t>在国内的技术支持单位</w:t>
      </w:r>
      <w:r>
        <w:rPr>
          <w:rFonts w:hint="eastAsia" w:ascii="宋体" w:hAnsi="宋体"/>
          <w:szCs w:val="21"/>
        </w:rPr>
        <w:t>，是ISO/TC79/SC5、ISO/TC79/SC12主席单位，是国家工业和信息化部确定的</w:t>
      </w:r>
      <w:r>
        <w:rPr>
          <w:rFonts w:ascii="宋体" w:hAnsi="宋体"/>
          <w:szCs w:val="21"/>
        </w:rPr>
        <w:t>有色金属标准样品</w:t>
      </w:r>
      <w:r>
        <w:rPr>
          <w:rFonts w:hint="eastAsia" w:ascii="宋体" w:hAnsi="宋体"/>
          <w:szCs w:val="21"/>
        </w:rPr>
        <w:t>定点研制单位，是全国有色金属标准化技术委员会铝用炭素材料工作组长单位。</w:t>
      </w:r>
    </w:p>
    <w:p>
      <w:pPr>
        <w:spacing w:line="360" w:lineRule="auto"/>
        <w:rPr>
          <w:rFonts w:hint="eastAsia" w:ascii="宋体" w:hAnsi="宋体"/>
          <w:b/>
          <w:szCs w:val="21"/>
        </w:rPr>
      </w:pPr>
      <w:r>
        <w:rPr>
          <w:rFonts w:hint="eastAsia" w:ascii="宋体" w:hAnsi="宋体"/>
          <w:b/>
          <w:szCs w:val="21"/>
        </w:rPr>
        <w:t>2.2 广东省工业分析检测中心</w:t>
      </w:r>
    </w:p>
    <w:p>
      <w:pPr>
        <w:spacing w:line="360" w:lineRule="auto"/>
        <w:ind w:firstLine="435"/>
        <w:rPr>
          <w:rFonts w:hint="eastAsia" w:ascii="宋体" w:hAnsi="宋体"/>
          <w:szCs w:val="21"/>
        </w:rPr>
      </w:pPr>
      <w:r>
        <w:rPr>
          <w:rFonts w:hint="eastAsia" w:ascii="宋体" w:hAnsi="宋体"/>
          <w:szCs w:val="21"/>
        </w:rPr>
        <w:t>广东省工业分析检测中心是我国南方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近十年来获得省部级科技进步奖20项。累计申请专利15件，其中授权发明专利5件、授权实用新型专利2件。承担国家、省级各类项目50余项，主持和参与国家、行业标准</w:t>
      </w:r>
      <w:r>
        <w:rPr>
          <w:rFonts w:ascii="宋体" w:hAnsi="宋体"/>
          <w:szCs w:val="21"/>
        </w:rPr>
        <w:t>3</w:t>
      </w:r>
      <w:r>
        <w:rPr>
          <w:rFonts w:hint="eastAsia" w:ascii="宋体" w:hAnsi="宋体"/>
          <w:szCs w:val="21"/>
        </w:rPr>
        <w:t>00余项，发表专著5部，发表论文300余篇。</w:t>
      </w:r>
    </w:p>
    <w:p>
      <w:pPr>
        <w:spacing w:line="360" w:lineRule="auto"/>
        <w:rPr>
          <w:rFonts w:ascii="宋体" w:hAnsi="宋体"/>
          <w:b/>
          <w:szCs w:val="21"/>
        </w:rPr>
      </w:pPr>
      <w:r>
        <w:rPr>
          <w:rFonts w:hint="eastAsia" w:ascii="宋体" w:hAnsi="宋体"/>
          <w:b/>
          <w:szCs w:val="21"/>
        </w:rPr>
        <w:t>2.3长沙矿冶研究院有限责任公司</w:t>
      </w:r>
    </w:p>
    <w:p>
      <w:pPr>
        <w:spacing w:line="360" w:lineRule="auto"/>
        <w:rPr>
          <w:rFonts w:ascii="宋体" w:hAnsi="宋体"/>
          <w:szCs w:val="21"/>
        </w:rPr>
      </w:pPr>
      <w:r>
        <w:rPr>
          <w:rFonts w:hint="eastAsia" w:ascii="宋体" w:hAnsi="宋体" w:cs="宋体"/>
          <w:szCs w:val="21"/>
        </w:rPr>
        <w:t xml:space="preserve">    长沙矿冶研究院有限责任公司2003年通过湖南省质量技术监督局计量认证，2011年通过国家实验室认可</w:t>
      </w:r>
      <w:r>
        <w:rPr>
          <w:rFonts w:hint="eastAsia" w:ascii="宋体" w:hAnsi="宋体" w:cs="宋体"/>
          <w:color w:val="000000"/>
          <w:szCs w:val="21"/>
        </w:rPr>
        <w:t>。</w:t>
      </w:r>
      <w:r>
        <w:rPr>
          <w:rFonts w:hint="eastAsia" w:ascii="宋体" w:hAnsi="宋体" w:cs="宋体"/>
          <w:szCs w:val="21"/>
        </w:rPr>
        <w:t>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力电池材料湖南省工程实验室、贵州省锰业工程技术研究中心等省级实验研发平台重要组成单元，是五矿矿产资源评价实验室的重要组成部分。中心设有化学物相分析实验室、大型仪器分析实验室、综合办公室。现有实验室1500平方米，仪器设备122台套，包括矿物参数自动分析仪、X-射线衍射仪、扫描电子显微镜、电感耦合等离子体发射光谱质谱联用仪、电感耦合等离子体发射光谱等先进大型精密分析仪器设备。</w:t>
      </w:r>
    </w:p>
    <w:p>
      <w:pPr>
        <w:spacing w:line="360" w:lineRule="auto"/>
        <w:rPr>
          <w:rFonts w:ascii="宋体" w:hAnsi="宋体"/>
          <w:b/>
        </w:rPr>
      </w:pPr>
      <w:r>
        <w:rPr>
          <w:rFonts w:hint="eastAsia" w:ascii="宋体" w:hAnsi="宋体"/>
          <w:b/>
        </w:rPr>
        <w:t>2.4 贵州省分析测试研究院</w:t>
      </w:r>
    </w:p>
    <w:p>
      <w:pPr>
        <w:widowControl/>
        <w:spacing w:line="360" w:lineRule="auto"/>
        <w:ind w:firstLine="420" w:firstLineChars="200"/>
        <w:jc w:val="left"/>
        <w:rPr>
          <w:rFonts w:ascii="宋体" w:hAnsi="宋体" w:cs="宋体"/>
          <w:szCs w:val="21"/>
        </w:rPr>
      </w:pPr>
      <w:r>
        <w:rPr>
          <w:rFonts w:hint="eastAsia" w:ascii="宋体" w:hAnsi="宋体" w:cs="宋体"/>
          <w:szCs w:val="21"/>
        </w:rPr>
        <w:t>贵州省分析测试研究院是依法设立的为社会提供公正科学数据的第三方检测机构，是政府财政全额拨款的公益型科研事业单位。创建于1935年9月，是由一批留学德、日等国从海外归国的爱国知识分子在贵州省自然科学领域最早建立的工科研究机构。在1990年通过省级《计量资格认证》（CMA）2700余项省级计量认证，2009年通过了《国家实验室认可》（CNAS资格认可）400多项。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pPr>
        <w:spacing w:line="360" w:lineRule="auto"/>
        <w:rPr>
          <w:rFonts w:ascii="宋体" w:hAnsi="宋体"/>
          <w:b/>
        </w:rPr>
      </w:pPr>
      <w:r>
        <w:rPr>
          <w:rFonts w:hint="eastAsia" w:ascii="宋体" w:hAnsi="宋体"/>
          <w:b/>
        </w:rPr>
        <w:t>2.5 山东南山铝业股份有限公司</w:t>
      </w:r>
    </w:p>
    <w:p>
      <w:pPr>
        <w:pStyle w:val="43"/>
        <w:spacing w:line="360" w:lineRule="auto"/>
        <w:ind w:firstLine="420" w:firstLineChars="200"/>
        <w:rPr>
          <w:rFonts w:cs="Times New Roman"/>
          <w:color w:val="auto"/>
          <w:kern w:val="2"/>
          <w:sz w:val="21"/>
          <w:szCs w:val="21"/>
          <w:lang w:bidi="he-IL"/>
        </w:rPr>
      </w:pPr>
      <w:r>
        <w:rPr>
          <w:rFonts w:hint="eastAsia"/>
          <w:bCs/>
          <w:sz w:val="21"/>
          <w:szCs w:val="21"/>
        </w:rPr>
        <w:t>山东南山铝业股份有限公司</w:t>
      </w:r>
      <w:r>
        <w:rPr>
          <w:rFonts w:hint="eastAsia" w:cs="Times New Roman"/>
          <w:bCs/>
          <w:color w:val="auto"/>
          <w:kern w:val="2"/>
          <w:sz w:val="21"/>
          <w:szCs w:val="21"/>
          <w:lang w:bidi="he-IL"/>
        </w:rPr>
        <w:t>形成了</w:t>
      </w:r>
      <w:r>
        <w:rPr>
          <w:rFonts w:hint="eastAsia" w:cs="Times New Roman"/>
          <w:color w:val="auto"/>
          <w:kern w:val="2"/>
          <w:sz w:val="21"/>
          <w:szCs w:val="21"/>
          <w:lang w:bidi="he-IL"/>
        </w:rPr>
        <w:t>从能源-热电-氧化铝-电解铝-铝型材、熔铸-热轧-冷轧-箔轧的完整铝加工产业链，成为世界唯一一家短距离内拥有完整产业链的铝加工企业。 南山铝业中心实验室</w:t>
      </w:r>
      <w:r>
        <w:rPr>
          <w:rFonts w:cs="Times New Roman"/>
          <w:color w:val="auto"/>
          <w:kern w:val="2"/>
          <w:sz w:val="21"/>
          <w:szCs w:val="21"/>
          <w:lang w:bidi="he-IL"/>
        </w:rPr>
        <w:t>承担山东南山铝业股份有限公司氧化铝、氢氧化铝、铝及铝合金、高精度铝板带箔制品、铝型材、碳素制品、铝土矿、石灰石等产品、原材料的质量检测工作及水、大气、噪声等环境条件的监测。实验室作为氧化铝和铝锭生产控制过程及生产用原材料质量检测的专门机构。</w:t>
      </w:r>
    </w:p>
    <w:p>
      <w:pPr>
        <w:spacing w:line="360" w:lineRule="auto"/>
        <w:rPr>
          <w:rFonts w:ascii="宋体" w:hAnsi="宋体"/>
          <w:b/>
        </w:rPr>
      </w:pPr>
      <w:r>
        <w:rPr>
          <w:rFonts w:hint="eastAsia" w:ascii="宋体" w:hAnsi="宋体"/>
          <w:b/>
        </w:rPr>
        <w:t>2.6 山东兖矿轻合金有限公司</w:t>
      </w:r>
    </w:p>
    <w:p>
      <w:pPr>
        <w:spacing w:line="360" w:lineRule="auto"/>
        <w:ind w:firstLine="420" w:firstLineChars="200"/>
        <w:rPr>
          <w:rFonts w:ascii="宋体" w:hAnsi="宋体"/>
        </w:rPr>
      </w:pPr>
      <w:r>
        <w:rPr>
          <w:rFonts w:hint="eastAsia" w:ascii="宋体" w:hAnsi="宋体"/>
          <w:bCs/>
          <w:szCs w:val="21"/>
        </w:rPr>
        <w:t>山东兖矿轻合金有限公司配</w:t>
      </w:r>
      <w:r>
        <w:rPr>
          <w:rFonts w:hint="eastAsia" w:ascii="宋体" w:hAnsi="宋体"/>
          <w:szCs w:val="21"/>
        </w:rPr>
        <w:t>置熔铸生产线4条、挤压生产线14条，具有最先进的模具加工设备，尤其是进口的150MN双动正向油压挤压机，为目前世界上吨位最大的同类挤压设备，属世界首台，配有目前国内最高的立式淬火炉（30m），最长的时效退火炉（30m）。可生产最大直径为φ800mm铸棒，最大宽度达1100mm的型材，最大外径达700mm的无缝管材，最大直径达450mm的挤压棒材等各种铝合金工业用管、棒、型材，满足不同客户对各类工业铝挤压材的需求。与国内外知名科研院所和公司企业合作，研发新型铝合金制品、探索研究新型工艺技术，不断开发铝合金挤压材的新工艺、新技术、新市场。主编过多项国家标准和行业标准，具有起草本国家标准的基础和条件。</w:t>
      </w:r>
    </w:p>
    <w:p>
      <w:pPr>
        <w:spacing w:line="360" w:lineRule="auto"/>
        <w:rPr>
          <w:rFonts w:ascii="宋体" w:hAnsi="宋体"/>
          <w:b/>
        </w:rPr>
      </w:pPr>
      <w:r>
        <w:rPr>
          <w:rFonts w:hint="eastAsia" w:ascii="宋体" w:hAnsi="宋体"/>
          <w:b/>
        </w:rPr>
        <w:t>2.7 辽宁忠旺集团有限公司</w:t>
      </w:r>
    </w:p>
    <w:p>
      <w:pPr>
        <w:spacing w:line="360" w:lineRule="auto"/>
        <w:ind w:firstLine="420" w:firstLineChars="200"/>
        <w:rPr>
          <w:rFonts w:ascii="宋体" w:hAnsi="宋体" w:cs="宋体"/>
          <w:szCs w:val="21"/>
        </w:rPr>
      </w:pPr>
      <w:r>
        <w:rPr>
          <w:rFonts w:hint="eastAsia" w:ascii="宋体" w:hAnsi="宋体" w:cs="宋体"/>
          <w:szCs w:val="21"/>
        </w:rPr>
        <w:t>辽宁忠旺集团有限公司始创于1993年，为全球领先的铝加工产品研发制造商，主要从事于多元化的优质工业铝加工产品的研发、生产及销售，形成了以工业铝挤压、深加工以及铝压延三大核心业务并举的发展格局，并获得挪威船级社认证、欧洲铁路行业协会的IRIS认证、汽车行业质量管理体系认证（TS16949）、航空航天质量管理体系认证（AS9100）、欧盟的CE认证等一系列国际权威认证。目前，集团拥有国家级企业技术中心、国家地方联合工程研究中心、国家级博士后工作站、省级工程技术研究中心及重点实验室等机构，先后投入资金1.5亿元，建筑面积16378m</w:t>
      </w:r>
      <w:r>
        <w:rPr>
          <w:rFonts w:hint="eastAsia" w:ascii="宋体" w:hAnsi="宋体" w:cs="宋体"/>
          <w:szCs w:val="21"/>
          <w:vertAlign w:val="superscript"/>
        </w:rPr>
        <w:t>2</w:t>
      </w:r>
      <w:r>
        <w:rPr>
          <w:rFonts w:hint="eastAsia" w:ascii="宋体" w:hAnsi="宋体" w:cs="宋体"/>
          <w:szCs w:val="21"/>
        </w:rPr>
        <w:t>，包括8个专业研究室、22个分析实验室，配有来自德、日、美、瑞士等国际先进科研设备和仪器200多台/套配备。先后承担了省部级以上科技计划项目40余项，获得科技成果40项，获得国家及省市各级科技奖励50余项，参与制修订标准60余项，获得国家专利467项，为“国家高新技术企业”。</w:t>
      </w:r>
    </w:p>
    <w:p>
      <w:pPr>
        <w:spacing w:line="360" w:lineRule="auto"/>
        <w:rPr>
          <w:rFonts w:ascii="宋体" w:hAnsi="宋体"/>
          <w:b/>
          <w:kern w:val="1"/>
          <w:szCs w:val="21"/>
        </w:rPr>
      </w:pPr>
      <w:r>
        <w:rPr>
          <w:rFonts w:hint="eastAsia" w:ascii="宋体" w:hAnsi="宋体"/>
          <w:b/>
          <w:kern w:val="1"/>
          <w:szCs w:val="21"/>
        </w:rPr>
        <w:t>2.8 有研亿金新材料有限公司</w:t>
      </w:r>
    </w:p>
    <w:p>
      <w:pPr>
        <w:spacing w:line="360" w:lineRule="auto"/>
        <w:rPr>
          <w:rFonts w:hint="eastAsia" w:ascii="宋体" w:hAnsi="宋体"/>
        </w:rPr>
      </w:pPr>
      <w:r>
        <w:rPr>
          <w:rFonts w:hint="eastAsia" w:ascii="宋体" w:hAnsi="宋体"/>
        </w:rPr>
        <w:t xml:space="preserve">    有研亿金新材料有限公司现为北京有研科技集团有限公司控股公司有研新材料股份有限公司全资子公司。</w:t>
      </w:r>
      <w:r>
        <w:rPr>
          <w:rFonts w:ascii="宋体" w:hAnsi="宋体"/>
        </w:rPr>
        <w:t>有研亿金主要研发、生产、销售微电子光电子用薄膜新材料、贵金属材料及制品，并开展稀有及贵金属材料信息咨询、技术服务和套期保值等业务。有研亿金是国内规模最大、门类最全、技术能力最强的高纯金属溅射靶材制造企业，也是国内唯一具备从超高纯原材料到溅射靶材、蒸发膜材垂直一体化研发和生产的产业化平台。有研亿金历年承担国家级、省部级科技开发项目近百项，获部级奖56项，国家专利81项，国家科技进步奖3项，国家发明奖9项，全国科学大会奖2项，国家科技进步奖特等奖子项奖1项。公司承担了国家02专项、国家国际重点合作项目、国家高技术产业化项目以及国家科技支撑项目，863项目等36项国家重点项目。</w:t>
      </w:r>
      <w:r>
        <w:rPr>
          <w:rFonts w:hint="eastAsia" w:ascii="宋体" w:hAnsi="宋体"/>
        </w:rPr>
        <w:t>测试中心通过CNAS认可，</w:t>
      </w:r>
      <w:r>
        <w:rPr>
          <w:rFonts w:hint="eastAsia" w:ascii="宋体"/>
        </w:rPr>
        <w:t>拥有各类检测设备1</w:t>
      </w:r>
      <w:r>
        <w:rPr>
          <w:rFonts w:ascii="宋体"/>
        </w:rPr>
        <w:t>8台套</w:t>
      </w:r>
      <w:r>
        <w:rPr>
          <w:rFonts w:hint="eastAsia" w:ascii="宋体"/>
        </w:rPr>
        <w:t>，涉及金属材料化学分析、金属材料机械性能及物理性能检测，</w:t>
      </w:r>
      <w:r>
        <w:rPr>
          <w:rFonts w:hint="eastAsia" w:ascii="宋体" w:hAnsi="宋体"/>
        </w:rPr>
        <w:t>认可涉及的检测能力包含17个检测对象，37个检测项目，可以开展金属材料的杂质含量、气体含量、微观组织形貌、金相组织分析、硬度及材料取向方面的检测业务，检测设备齐全，具备了按照国际认可准则开展检测服务的技术能力。</w:t>
      </w:r>
    </w:p>
    <w:p>
      <w:pPr>
        <w:widowControl/>
        <w:spacing w:line="360" w:lineRule="auto"/>
        <w:jc w:val="left"/>
        <w:rPr>
          <w:rFonts w:ascii="宋体" w:hAnsi="宋体"/>
          <w:b/>
          <w:szCs w:val="21"/>
        </w:rPr>
      </w:pPr>
      <w:bookmarkStart w:id="0" w:name="ref_[1]"/>
      <w:bookmarkEnd w:id="0"/>
      <w:r>
        <w:rPr>
          <w:rFonts w:hint="eastAsia" w:ascii="宋体" w:hAnsi="宋体"/>
          <w:b/>
          <w:szCs w:val="21"/>
        </w:rPr>
        <w:t>2.9 中铝矿业有限公司</w:t>
      </w:r>
    </w:p>
    <w:p>
      <w:pPr>
        <w:widowControl/>
        <w:spacing w:line="360" w:lineRule="auto"/>
        <w:jc w:val="left"/>
        <w:rPr>
          <w:rFonts w:ascii="宋体" w:hAnsi="宋体" w:cs="宋体"/>
          <w:b/>
          <w:szCs w:val="21"/>
        </w:rPr>
      </w:pPr>
      <w:r>
        <w:rPr>
          <w:rFonts w:hint="eastAsia" w:ascii="宋体" w:hAnsi="宋体"/>
          <w:b/>
          <w:szCs w:val="21"/>
        </w:rPr>
        <w:t xml:space="preserve">    </w:t>
      </w:r>
      <w:r>
        <w:rPr>
          <w:rFonts w:hint="eastAsia" w:ascii="宋体" w:hAnsi="宋体"/>
          <w:szCs w:val="21"/>
        </w:rPr>
        <w:t>中铝矿业有限公司</w:t>
      </w:r>
      <w:r>
        <w:rPr>
          <w:rFonts w:ascii="宋体" w:hAnsi="宋体"/>
          <w:szCs w:val="21"/>
        </w:rPr>
        <w:t>具有年供矿400万吨，年产氧化铝</w:t>
      </w:r>
      <w:r>
        <w:rPr>
          <w:rFonts w:hint="eastAsia" w:ascii="宋体" w:hAnsi="宋体"/>
          <w:szCs w:val="21"/>
        </w:rPr>
        <w:t>200</w:t>
      </w:r>
      <w:r>
        <w:rPr>
          <w:rFonts w:ascii="宋体" w:hAnsi="宋体"/>
          <w:szCs w:val="21"/>
        </w:rPr>
        <w:t>万吨、碳素制品12万吨、金属镓40吨，年自发电15亿千瓦时的生产能力。拥有铝土矿资源保有储量</w:t>
      </w:r>
      <w:r>
        <w:rPr>
          <w:rFonts w:hint="eastAsia" w:ascii="宋体" w:hAnsi="宋体"/>
          <w:szCs w:val="21"/>
        </w:rPr>
        <w:t>1.5</w:t>
      </w:r>
      <w:r>
        <w:rPr>
          <w:rFonts w:ascii="宋体" w:hAnsi="宋体"/>
          <w:szCs w:val="21"/>
        </w:rPr>
        <w:t>亿吨。</w:t>
      </w:r>
      <w:r>
        <w:rPr>
          <w:rFonts w:hint="eastAsia" w:ascii="宋体" w:hAnsi="宋体"/>
          <w:szCs w:val="21"/>
        </w:rPr>
        <w:t>生产指挥保障中心专职从事科技管理、技术开发、分析检测、高纯镓和超细氢氧化铝系列产品开发及生产。主要任务是围绕公司生产经营和科技发展，研究开发新工艺、新技术、新产品，组织科技计划项目的实施，承担进厂原燃料、出厂产品和部分过程样品的质量检测，承担公司大型窑炉的热工测定，负责金属镓深加工及其衍生产品的开发及生产。</w:t>
      </w:r>
    </w:p>
    <w:p>
      <w:pPr>
        <w:spacing w:line="360" w:lineRule="auto"/>
        <w:rPr>
          <w:b/>
          <w:szCs w:val="21"/>
        </w:rPr>
      </w:pPr>
      <w:r>
        <w:rPr>
          <w:rFonts w:hint="eastAsia" w:ascii="宋体" w:hAnsi="宋体"/>
          <w:b/>
          <w:bCs/>
        </w:rPr>
        <w:t xml:space="preserve">2.10 </w:t>
      </w:r>
      <w:r>
        <w:rPr>
          <w:rFonts w:hint="eastAsia"/>
          <w:b/>
          <w:szCs w:val="21"/>
        </w:rPr>
        <w:t>河北四通新型金属材料股份有限公司</w:t>
      </w:r>
    </w:p>
    <w:p>
      <w:pPr>
        <w:spacing w:line="360" w:lineRule="auto"/>
        <w:rPr>
          <w:rFonts w:ascii="宋体" w:hAnsi="宋体"/>
        </w:rPr>
      </w:pPr>
      <w:r>
        <w:rPr>
          <w:rFonts w:hint="eastAsia"/>
          <w:b/>
          <w:szCs w:val="21"/>
        </w:rPr>
        <w:t xml:space="preserve">    </w:t>
      </w:r>
      <w:r>
        <w:rPr>
          <w:rFonts w:hint="eastAsia"/>
          <w:szCs w:val="21"/>
        </w:rPr>
        <w:t>河北四通新型金属材料股份有限公司</w:t>
      </w:r>
      <w:r>
        <w:rPr>
          <w:rFonts w:hint="eastAsia" w:ascii="宋体"/>
          <w:kern w:val="0"/>
          <w:szCs w:val="21"/>
        </w:rPr>
        <w:t>专业从事功能性中间合金新材料的研发、制造和销售，是国内最大的中间合金生产企业之一；是国家火炬计划重点高新技术企业、河北省高新技术企业、河北省创新型企业、科技型中小企业和河北省首批“专精特新”企业；通过了ISO9001质量管理体系认证、ISO/TS 16949汽车行业质量管理体系认证、ISO14001环境管理体系认证和CNAS 实验室认证；是中国有色金属工业协会理事单位、钛工业进展常务理事单位、中国材料进展常务理事单位；拥有国家国际科技合作基地、河北省企业技术中心、省级航空航天金属材料工程技术研究中心和省级院士工作站；是“十二五”国家高技术发展计划（863计划）新材料技术领域“新型轻质与高强韧耐蚀合金及其构件精密制备技术”主题项目的牵头单位；国家国际科技合作项目“航空航天用新型铝合金晶粒细化剂制备技术联合研发”的承担单位；国家标准《铝中间合金》（GB/T 27677-XXXX）的起草单位。共拥有6项国家发明专利，15项实用新型专利，14项非专利技术，多项储备和研发产品项目。</w:t>
      </w:r>
    </w:p>
    <w:p>
      <w:pPr>
        <w:spacing w:beforeLines="50" w:afterLines="50" w:line="360" w:lineRule="auto"/>
        <w:rPr>
          <w:rFonts w:ascii="黑体" w:hAnsi="宋体" w:eastAsia="黑体"/>
          <w:sz w:val="24"/>
        </w:rPr>
      </w:pPr>
      <w:r>
        <w:rPr>
          <w:rFonts w:hint="eastAsia" w:ascii="黑体" w:hAnsi="宋体" w:eastAsia="黑体"/>
          <w:sz w:val="24"/>
        </w:rPr>
        <w:t>二、主要工作过程</w:t>
      </w:r>
      <w:r>
        <w:rPr>
          <w:rFonts w:hint="eastAsia" w:ascii="黑体" w:eastAsia="黑体"/>
          <w:sz w:val="24"/>
        </w:rPr>
        <w:t>（征求意见过程，讨论会情况）</w:t>
      </w:r>
      <w:r>
        <w:rPr>
          <w:rFonts w:hint="eastAsia" w:ascii="黑体" w:hAnsi="宋体" w:eastAsia="黑体"/>
          <w:sz w:val="24"/>
        </w:rPr>
        <w:t>和工作内容</w:t>
      </w:r>
    </w:p>
    <w:p>
      <w:pPr>
        <w:spacing w:line="360" w:lineRule="auto"/>
        <w:rPr>
          <w:rFonts w:ascii="黑体" w:eastAsia="黑体"/>
          <w:sz w:val="24"/>
        </w:rPr>
      </w:pPr>
      <w:r>
        <w:rPr>
          <w:rFonts w:hint="eastAsia" w:ascii="黑体" w:eastAsia="黑体"/>
          <w:sz w:val="24"/>
        </w:rPr>
        <w:t xml:space="preserve">2.1 征求意见过程 </w:t>
      </w:r>
    </w:p>
    <w:p>
      <w:pPr>
        <w:spacing w:line="360" w:lineRule="auto"/>
        <w:ind w:firstLine="420" w:firstLineChars="200"/>
        <w:rPr>
          <w:rFonts w:ascii="宋体" w:hAnsi="宋体"/>
          <w:szCs w:val="21"/>
        </w:rPr>
      </w:pPr>
      <w:r>
        <w:rPr>
          <w:rFonts w:hint="eastAsia" w:ascii="宋体" w:hAnsi="宋体"/>
          <w:szCs w:val="21"/>
        </w:rPr>
        <w:t>从项目申报开始，中国铝业郑州有色金属研究院有限公司（国家轻金属质量监督检验中心）就组建了</w:t>
      </w:r>
      <w:r>
        <w:rPr>
          <w:rFonts w:hint="eastAsia" w:ascii="宋体" w:hAnsi="宋体"/>
          <w:bCs/>
          <w:color w:val="000000"/>
          <w:szCs w:val="21"/>
        </w:rPr>
        <w:t>GB/T 20975.19-201X《铝及铝合金化学分析方法 第19部分：锆含量的测定》方法一：</w:t>
      </w:r>
      <w:r>
        <w:rPr>
          <w:rFonts w:hint="eastAsia" w:ascii="宋体" w:hAnsi="宋体"/>
          <w:szCs w:val="21"/>
        </w:rPr>
        <w:t>二甲酚橙分光光度法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pPr>
        <w:spacing w:line="360" w:lineRule="auto"/>
        <w:rPr>
          <w:rFonts w:ascii="黑体" w:eastAsia="黑体"/>
          <w:sz w:val="24"/>
        </w:rPr>
      </w:pPr>
      <w:r>
        <w:rPr>
          <w:rFonts w:hint="eastAsia" w:ascii="黑体" w:eastAsia="黑体"/>
          <w:sz w:val="24"/>
        </w:rPr>
        <w:t>2.2  讨论会情况</w:t>
      </w:r>
    </w:p>
    <w:p>
      <w:pPr>
        <w:spacing w:line="360" w:lineRule="auto"/>
        <w:ind w:firstLine="420" w:firstLineChars="200"/>
        <w:rPr>
          <w:rFonts w:ascii="宋体" w:hAnsi="宋体"/>
          <w:bCs/>
          <w:color w:val="000000"/>
          <w:szCs w:val="21"/>
        </w:rPr>
      </w:pPr>
      <w:r>
        <w:rPr>
          <w:rFonts w:hint="eastAsia" w:ascii="宋体" w:hAnsi="宋体"/>
          <w:szCs w:val="21"/>
        </w:rPr>
        <w:t>2017年12月郑州研究院在河南省郑州市组织召开专题会议，对郑州研究院负责制修订的</w:t>
      </w:r>
      <w:r>
        <w:rPr>
          <w:rFonts w:hint="eastAsia" w:ascii="宋体" w:hAnsi="宋体"/>
          <w:bCs/>
          <w:color w:val="000000"/>
          <w:szCs w:val="21"/>
        </w:rPr>
        <w:t>GB/T 20975.19、GB/T 20975.25、GB/T 20975.33等10个部分进行了讨论，对各个标准测定范围、方法提要、测定步骤、精密度等部分进行了详细的论证，基本达成了统一。</w:t>
      </w:r>
    </w:p>
    <w:p>
      <w:pPr>
        <w:spacing w:line="360" w:lineRule="auto"/>
        <w:ind w:firstLine="420" w:firstLineChars="200"/>
        <w:rPr>
          <w:rFonts w:ascii="宋体" w:hAnsi="宋体"/>
          <w:bCs/>
          <w:color w:val="000000"/>
          <w:szCs w:val="21"/>
        </w:rPr>
      </w:pPr>
      <w:r>
        <w:rPr>
          <w:rFonts w:hint="eastAsia" w:ascii="宋体" w:hAnsi="宋体"/>
          <w:bCs/>
          <w:color w:val="000000"/>
          <w:szCs w:val="21"/>
        </w:rPr>
        <w:t>2018年7月</w:t>
      </w:r>
      <w:r>
        <w:rPr>
          <w:rFonts w:hint="eastAsia" w:ascii="宋体" w:hAnsi="宋体"/>
          <w:szCs w:val="21"/>
        </w:rPr>
        <w:t>全国有色金属标准化技术委员会在</w:t>
      </w:r>
      <w:r>
        <w:rPr>
          <w:rFonts w:hint="eastAsia" w:ascii="宋体" w:hAnsi="宋体"/>
        </w:rPr>
        <w:t>内蒙古自治区省霍林郭勒市召开了</w:t>
      </w:r>
      <w:r>
        <w:rPr>
          <w:rFonts w:hint="eastAsia" w:ascii="宋体" w:hAnsi="宋体"/>
          <w:bCs/>
          <w:color w:val="000000"/>
          <w:szCs w:val="21"/>
        </w:rPr>
        <w:t>GB/T 20975</w:t>
      </w:r>
      <w:r>
        <w:rPr>
          <w:rFonts w:hint="eastAsia" w:ascii="宋体" w:hAnsi="宋体"/>
        </w:rPr>
        <w:t>《铝及铝合金化学分析方法》系列国家标准中</w:t>
      </w:r>
      <w:r>
        <w:rPr>
          <w:rFonts w:hint="eastAsia" w:ascii="宋体" w:hAnsi="宋体"/>
          <w:bCs/>
          <w:color w:val="000000"/>
          <w:szCs w:val="21"/>
        </w:rPr>
        <w:t>GB/T 20975.28、GB/T 20975.29、GB/T 20975.30、20975.31等4</w:t>
      </w:r>
      <w:r>
        <w:rPr>
          <w:rFonts w:hint="eastAsia" w:ascii="宋体" w:hAnsi="宋体"/>
        </w:rPr>
        <w:t>个部分的审定会议</w:t>
      </w:r>
      <w:r>
        <w:rPr>
          <w:rFonts w:hint="eastAsia" w:ascii="宋体" w:hAnsi="宋体"/>
          <w:bCs/>
          <w:color w:val="000000"/>
          <w:szCs w:val="21"/>
        </w:rPr>
        <w:t>，同时对其余部分进行了讨论。</w:t>
      </w:r>
    </w:p>
    <w:p>
      <w:pPr>
        <w:spacing w:line="360" w:lineRule="auto"/>
        <w:ind w:firstLine="420" w:firstLineChars="200"/>
        <w:rPr>
          <w:rFonts w:hint="eastAsia" w:ascii="宋体" w:hAnsi="宋体"/>
          <w:szCs w:val="21"/>
        </w:rPr>
      </w:pPr>
      <w:r>
        <w:rPr>
          <w:rFonts w:hint="eastAsia" w:ascii="宋体" w:hAnsi="宋体"/>
          <w:bCs/>
          <w:color w:val="000000"/>
          <w:szCs w:val="21"/>
        </w:rPr>
        <w:t>2019年1月，</w:t>
      </w:r>
      <w:r>
        <w:rPr>
          <w:rFonts w:hint="eastAsia" w:ascii="宋体" w:hAnsi="宋体"/>
          <w:szCs w:val="21"/>
        </w:rPr>
        <w:t>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lang w:val="en-US" w:eastAsia="zh-CN"/>
        </w:rPr>
        <w:t>2</w:t>
      </w:r>
      <w:r>
        <w:rPr>
          <w:rFonts w:hint="eastAsia" w:ascii="黑体" w:hAnsi="黑体" w:eastAsia="黑体" w:cs="黑体"/>
          <w:b w:val="0"/>
          <w:bCs w:val="0"/>
          <w:sz w:val="24"/>
          <w:szCs w:val="24"/>
        </w:rPr>
        <w:t>.</w:t>
      </w:r>
      <w:r>
        <w:rPr>
          <w:rFonts w:hint="eastAsia" w:ascii="黑体" w:hAnsi="黑体" w:eastAsia="黑体" w:cs="黑体"/>
          <w:b w:val="0"/>
          <w:bCs w:val="0"/>
          <w:sz w:val="24"/>
          <w:szCs w:val="24"/>
          <w:lang w:val="en-US" w:eastAsia="zh-CN"/>
        </w:rPr>
        <w:t xml:space="preserve">3  </w:t>
      </w:r>
      <w:r>
        <w:rPr>
          <w:rFonts w:hint="eastAsia" w:ascii="黑体" w:hAnsi="黑体" w:eastAsia="黑体" w:cs="黑体"/>
          <w:b w:val="0"/>
          <w:bCs w:val="0"/>
          <w:sz w:val="24"/>
          <w:szCs w:val="24"/>
        </w:rPr>
        <w:t>预审会议情况</w:t>
      </w:r>
    </w:p>
    <w:p>
      <w:pPr>
        <w:spacing w:line="360" w:lineRule="auto"/>
        <w:ind w:firstLine="420" w:firstLineChars="200"/>
        <w:rPr>
          <w:rFonts w:hint="eastAsia" w:ascii="宋体" w:hAnsi="宋体"/>
          <w:szCs w:val="21"/>
        </w:rPr>
      </w:pPr>
      <w:r>
        <w:rPr>
          <w:rFonts w:hint="eastAsia" w:ascii="宋体" w:hAnsi="宋体"/>
          <w:szCs w:val="21"/>
        </w:rPr>
        <w:t>2019年6月25日</w:t>
      </w:r>
      <w:r>
        <w:rPr>
          <w:rFonts w:ascii="宋体" w:hAnsi="宋体"/>
          <w:szCs w:val="21"/>
        </w:rPr>
        <w:t>～</w:t>
      </w:r>
      <w:r>
        <w:rPr>
          <w:rFonts w:hint="eastAsia" w:ascii="宋体" w:hAnsi="宋体"/>
          <w:szCs w:val="21"/>
        </w:rPr>
        <w:t>26日，全国有色金属标准化委员会在青岛召开标准预审会，来自东北轻合金有限责任公司、广州省工业分析检测中心、贵州省分析测试研究院、国标（北京）检验认证有限公司、中铝材料应用研究院有限公司、长沙矿冶研究院有限责任公司、昆明冶金研究院、河北四通新材料有限公司、中铝矿业有限公司等二十多家单位对GB/T 20975.</w:t>
      </w:r>
      <w:r>
        <w:rPr>
          <w:rFonts w:hint="eastAsia" w:ascii="宋体" w:hAnsi="宋体"/>
          <w:szCs w:val="21"/>
          <w:lang w:val="en-US" w:eastAsia="zh-CN"/>
        </w:rPr>
        <w:t>19</w:t>
      </w:r>
      <w:r>
        <w:rPr>
          <w:rFonts w:hint="eastAsia" w:ascii="宋体" w:hAnsi="宋体"/>
          <w:szCs w:val="21"/>
        </w:rPr>
        <w:t>《铝及铝合金化学分析方法 第</w:t>
      </w:r>
      <w:r>
        <w:rPr>
          <w:rFonts w:hint="eastAsia" w:ascii="宋体" w:hAnsi="宋体"/>
          <w:szCs w:val="21"/>
          <w:lang w:val="en-US" w:eastAsia="zh-CN"/>
        </w:rPr>
        <w:t>19</w:t>
      </w:r>
      <w:r>
        <w:rPr>
          <w:rFonts w:hint="eastAsia" w:ascii="宋体" w:hAnsi="宋体"/>
          <w:szCs w:val="21"/>
        </w:rPr>
        <w:t>部分：</w:t>
      </w:r>
      <w:r>
        <w:rPr>
          <w:rFonts w:hint="eastAsia" w:ascii="宋体" w:hAnsi="宋体"/>
          <w:szCs w:val="21"/>
          <w:lang w:eastAsia="zh-CN"/>
        </w:rPr>
        <w:t>锆</w:t>
      </w:r>
      <w:r>
        <w:rPr>
          <w:rFonts w:hint="eastAsia" w:ascii="宋体" w:hAnsi="宋体"/>
          <w:szCs w:val="21"/>
        </w:rPr>
        <w:t>含量的测定》</w:t>
      </w:r>
      <w:r>
        <w:rPr>
          <w:rFonts w:hint="eastAsia" w:ascii="宋体" w:hAnsi="宋体"/>
          <w:szCs w:val="21"/>
          <w:lang w:eastAsia="zh-CN"/>
        </w:rPr>
        <w:t>等</w:t>
      </w:r>
      <w:r>
        <w:rPr>
          <w:rFonts w:hint="eastAsia" w:ascii="宋体" w:hAnsi="宋体"/>
          <w:szCs w:val="21"/>
        </w:rPr>
        <w:t>标准进行了预审，经过与会专家认真仔细的讨论，针对标准名称一致性、标准文本格式、计算公式表达、重复性限与再现性限数据处理等内容提出了意见和建议。项目组根据意见和建议，结合国家标准委及全国有色金属标准化委员会对标准制修订的最新要求，编制了《送审稿》和《送审稿编制说明》。</w:t>
      </w:r>
    </w:p>
    <w:p>
      <w:pPr>
        <w:spacing w:beforeLines="50" w:afterLines="50" w:line="360" w:lineRule="auto"/>
        <w:rPr>
          <w:rFonts w:ascii="黑体" w:hAnsi="宋体" w:eastAsia="黑体"/>
          <w:sz w:val="24"/>
        </w:rPr>
      </w:pPr>
      <w:r>
        <w:rPr>
          <w:rFonts w:hint="eastAsia" w:ascii="黑体" w:hAnsi="宋体" w:eastAsia="黑体"/>
          <w:sz w:val="24"/>
        </w:rPr>
        <w:t>2.</w:t>
      </w:r>
      <w:r>
        <w:rPr>
          <w:rFonts w:hint="eastAsia" w:ascii="黑体" w:hAnsi="宋体" w:eastAsia="黑体"/>
          <w:sz w:val="24"/>
          <w:lang w:val="en-US" w:eastAsia="zh-CN"/>
        </w:rPr>
        <w:t>4</w:t>
      </w:r>
      <w:r>
        <w:rPr>
          <w:rFonts w:hint="eastAsia" w:ascii="黑体" w:hAnsi="宋体" w:eastAsia="黑体"/>
          <w:sz w:val="24"/>
        </w:rPr>
        <w:t xml:space="preserve"> 主要工作内容</w:t>
      </w:r>
    </w:p>
    <w:p>
      <w:pPr>
        <w:spacing w:line="360" w:lineRule="auto"/>
        <w:ind w:firstLine="420" w:firstLineChars="200"/>
        <w:rPr>
          <w:rFonts w:ascii="宋体" w:hAnsi="宋体"/>
          <w:szCs w:val="21"/>
        </w:rPr>
      </w:pPr>
      <w:r>
        <w:rPr>
          <w:rFonts w:hint="eastAsia" w:ascii="宋体" w:hAnsi="宋体"/>
          <w:szCs w:val="21"/>
        </w:rPr>
        <w:t>从该标准起草项目申报开始，中国铝业郑州有色金属研究院有限公司（国家轻金属质量监督检验中心）就组建了</w:t>
      </w:r>
      <w:r>
        <w:rPr>
          <w:rFonts w:hint="eastAsia" w:ascii="宋体" w:hAnsi="宋体"/>
          <w:bCs/>
          <w:color w:val="000000"/>
          <w:szCs w:val="21"/>
        </w:rPr>
        <w:t>GB/T 20975.19-201X《铝及铝合金化学分析方法 第19部分：锆含量的测定》方法一：</w:t>
      </w:r>
      <w:r>
        <w:rPr>
          <w:rFonts w:hint="eastAsia" w:ascii="宋体" w:hAnsi="宋体"/>
          <w:szCs w:val="21"/>
        </w:rPr>
        <w:t>二甲酚橙分光光度法起草项目组。项目组由长期负责标准制修订的教授级高工担任组长，高级工程师、工程师及硕士担任组员。</w:t>
      </w:r>
    </w:p>
    <w:p>
      <w:pPr>
        <w:spacing w:line="360" w:lineRule="auto"/>
        <w:ind w:firstLine="420"/>
        <w:rPr>
          <w:rFonts w:ascii="宋体" w:hAnsi="宋体"/>
          <w:szCs w:val="21"/>
        </w:rPr>
      </w:pPr>
      <w:r>
        <w:rPr>
          <w:rFonts w:hint="eastAsia" w:ascii="宋体" w:hAnsi="宋体"/>
          <w:szCs w:val="21"/>
        </w:rPr>
        <w:t>2018年3月全国有色金属标准化技术委员会在云南省昆明市召开了</w:t>
      </w:r>
      <w:r>
        <w:rPr>
          <w:rFonts w:hint="eastAsia" w:ascii="宋体" w:hAnsi="宋体"/>
          <w:bCs/>
          <w:color w:val="000000"/>
          <w:szCs w:val="21"/>
        </w:rPr>
        <w:t>GB/T 20975.19-201X《铝及铝合金化学分析方法 第19部分：锆含量的测定》</w:t>
      </w:r>
      <w:r>
        <w:rPr>
          <w:rFonts w:hint="eastAsia" w:ascii="宋体" w:hAnsi="宋体"/>
          <w:szCs w:val="21"/>
        </w:rPr>
        <w:t>起草第一次工作会议，会上确定了GB/T 20975.19-201X的起草思路，中国铝业郑州有色金属研究院有限公司负责</w:t>
      </w:r>
      <w:r>
        <w:rPr>
          <w:rFonts w:hint="eastAsia" w:ascii="宋体" w:hAnsi="宋体"/>
          <w:bCs/>
          <w:color w:val="000000"/>
          <w:szCs w:val="21"/>
        </w:rPr>
        <w:t>起草GB/T 20975.19-201X《铝及铝合金化学分析方法 第19部分：锆含量的测定》，</w:t>
      </w:r>
      <w:r>
        <w:rPr>
          <w:rFonts w:hint="eastAsia" w:ascii="宋体" w:hAnsi="宋体"/>
          <w:szCs w:val="21"/>
        </w:rPr>
        <w:t xml:space="preserve">将GB/T 20975.19-2008《铝及铝合金化学分析方法  </w:t>
      </w:r>
      <w:r>
        <w:rPr>
          <w:rFonts w:hint="eastAsia" w:ascii="宋体" w:hAnsi="宋体"/>
          <w:bCs/>
          <w:color w:val="000000"/>
          <w:szCs w:val="21"/>
        </w:rPr>
        <w:t>第19部分：</w:t>
      </w:r>
      <w:r>
        <w:rPr>
          <w:rFonts w:hint="eastAsia" w:ascii="宋体" w:hAnsi="宋体"/>
          <w:szCs w:val="21"/>
        </w:rPr>
        <w:t>锆含量的测定》和YS/T 807.5-2012《铝中间合金化学分析方法 第5部分：锆含量的测定　EDTA络合滴定法》进行整合，将GB/T 20975.19-2008中“方法一：</w:t>
      </w:r>
      <w:r>
        <w:rPr>
          <w:rFonts w:hint="eastAsia"/>
          <w:szCs w:val="21"/>
        </w:rPr>
        <w:t>二甲酚橙分光光度法</w:t>
      </w:r>
      <w:r>
        <w:rPr>
          <w:rFonts w:hint="eastAsia" w:ascii="宋体" w:hAnsi="宋体"/>
          <w:szCs w:val="21"/>
        </w:rPr>
        <w:t>”作为新起草标准中“方法一：</w:t>
      </w:r>
      <w:r>
        <w:rPr>
          <w:rFonts w:hint="eastAsia"/>
          <w:szCs w:val="21"/>
        </w:rPr>
        <w:t>二甲酚橙分光光度法</w:t>
      </w:r>
      <w:r>
        <w:rPr>
          <w:rFonts w:hint="eastAsia" w:ascii="宋体" w:hAnsi="宋体"/>
          <w:szCs w:val="21"/>
        </w:rPr>
        <w:t>”，锆的测定范围为0.01%～1.0%，由中国铝业郑州有色金属研究院有限公司</w:t>
      </w:r>
      <w:r>
        <w:rPr>
          <w:rFonts w:hint="eastAsia" w:ascii="宋体" w:hAnsi="宋体"/>
          <w:bCs/>
          <w:color w:val="000000"/>
          <w:szCs w:val="21"/>
        </w:rPr>
        <w:t>继续负责</w:t>
      </w:r>
      <w:r>
        <w:rPr>
          <w:rFonts w:hint="eastAsia" w:ascii="宋体" w:hAnsi="宋体"/>
          <w:szCs w:val="21"/>
        </w:rPr>
        <w:t>；YS/T 807.5-2012作为新起草标准中“方法二：EDTA络合滴定法”，钒的测定范围为2.5%～18.0%，由广东省工业分析检测中心负责。</w:t>
      </w:r>
    </w:p>
    <w:p>
      <w:pPr>
        <w:spacing w:line="360" w:lineRule="auto"/>
        <w:ind w:firstLine="420"/>
        <w:rPr>
          <w:rFonts w:ascii="宋体" w:hAnsi="宋体"/>
          <w:szCs w:val="21"/>
        </w:rPr>
      </w:pPr>
      <w:r>
        <w:rPr>
          <w:rFonts w:hint="eastAsia" w:ascii="宋体" w:hAnsi="宋体"/>
          <w:szCs w:val="21"/>
        </w:rPr>
        <w:t>编制组对铝企业、用户进行了调研，征求对</w:t>
      </w:r>
      <w:r>
        <w:rPr>
          <w:rFonts w:hint="eastAsia" w:ascii="宋体" w:hAnsi="宋体" w:cs="Tahoma"/>
          <w:color w:val="444444"/>
          <w:szCs w:val="21"/>
        </w:rPr>
        <w:t>《</w:t>
      </w:r>
      <w:r>
        <w:rPr>
          <w:rFonts w:hint="eastAsia" w:ascii="宋体" w:hAnsi="宋体"/>
          <w:szCs w:val="21"/>
        </w:rPr>
        <w:t>铝及铝合金化学分析方法 第19部分：锆含量的测定</w:t>
      </w:r>
      <w:r>
        <w:rPr>
          <w:rFonts w:hint="eastAsia" w:ascii="宋体" w:hAnsi="宋体" w:cs="Tahoma"/>
          <w:color w:val="444444"/>
          <w:szCs w:val="21"/>
        </w:rPr>
        <w:t>》</w:t>
      </w:r>
      <w:r>
        <w:rPr>
          <w:rFonts w:hint="eastAsia" w:ascii="宋体" w:hAnsi="宋体"/>
          <w:szCs w:val="21"/>
        </w:rPr>
        <w:t>的意见，广泛收集国内外关于铝及铝合金中锆</w:t>
      </w:r>
      <w:r>
        <w:rPr>
          <w:rFonts w:ascii="宋体" w:hAnsi="宋体"/>
          <w:szCs w:val="21"/>
        </w:rPr>
        <w:t>的测定</w:t>
      </w:r>
      <w:r>
        <w:rPr>
          <w:rFonts w:hint="eastAsia" w:ascii="宋体" w:hAnsi="宋体"/>
          <w:szCs w:val="21"/>
        </w:rPr>
        <w:t>技术资料，进行汇总整理，经过认真分析、研究和讨论，于2018年</w:t>
      </w:r>
      <w:r>
        <w:rPr>
          <w:rFonts w:ascii="宋体" w:hAnsi="宋体"/>
          <w:szCs w:val="21"/>
        </w:rPr>
        <w:t>9</w:t>
      </w:r>
      <w:r>
        <w:rPr>
          <w:rFonts w:hint="eastAsia" w:ascii="宋体" w:hAnsi="宋体"/>
          <w:szCs w:val="21"/>
        </w:rPr>
        <w:t>月形成标准草案稿。</w:t>
      </w:r>
    </w:p>
    <w:p>
      <w:pPr>
        <w:spacing w:line="360" w:lineRule="auto"/>
        <w:ind w:firstLine="420" w:firstLineChars="200"/>
        <w:rPr>
          <w:rFonts w:ascii="宋体" w:hAnsi="宋体"/>
          <w:szCs w:val="21"/>
        </w:rPr>
      </w:pPr>
      <w:r>
        <w:rPr>
          <w:rFonts w:hint="eastAsia" w:ascii="宋体" w:hAnsi="宋体"/>
          <w:szCs w:val="21"/>
        </w:rPr>
        <w:t>在总结过去工作经验的基础上，认真地进行了条件试验，对共存离子进行了干扰试验，对方法进行了样品分析，在此基础上我们编制完成了《实验报告》，并进行了充实完善。</w:t>
      </w:r>
    </w:p>
    <w:p>
      <w:pPr>
        <w:spacing w:line="360" w:lineRule="auto"/>
        <w:ind w:firstLine="420" w:firstLineChars="200"/>
        <w:rPr>
          <w:rFonts w:hint="eastAsia" w:ascii="宋体" w:hAnsi="宋体"/>
          <w:szCs w:val="21"/>
        </w:rPr>
      </w:pPr>
      <w:r>
        <w:rPr>
          <w:rFonts w:hint="eastAsia" w:ascii="宋体" w:hAnsi="宋体"/>
          <w:szCs w:val="21"/>
        </w:rPr>
        <w:t>2018年10月，项目组编制了</w:t>
      </w:r>
      <w:r>
        <w:rPr>
          <w:rFonts w:hint="eastAsia" w:ascii="宋体" w:hAnsi="宋体"/>
          <w:bCs/>
          <w:color w:val="000000"/>
          <w:szCs w:val="21"/>
        </w:rPr>
        <w:t>GB/T 20975.19-201X《铝及铝合金化学分析方法 第19部分：锆含量的测定》</w:t>
      </w:r>
      <w:r>
        <w:rPr>
          <w:rFonts w:hint="eastAsia" w:ascii="宋体" w:hAnsi="宋体"/>
          <w:szCs w:val="21"/>
        </w:rPr>
        <w:t>征求意见稿，通过会议、发函征求了数十家单位对征求意见稿的意见和建议，单位包括</w:t>
      </w:r>
      <w:r>
        <w:rPr>
          <w:rFonts w:hint="eastAsia" w:ascii="宋体" w:hAnsi="宋体"/>
        </w:rPr>
        <w:t>长沙矿冶研究院有限责任公司、贵州省分析测试研究院、</w:t>
      </w:r>
      <w:r>
        <w:rPr>
          <w:rFonts w:hint="eastAsia" w:ascii="宋体" w:hAnsi="宋体"/>
          <w:szCs w:val="21"/>
        </w:rPr>
        <w:t>昆明冶金研究院</w:t>
      </w:r>
      <w:r>
        <w:rPr>
          <w:rFonts w:hint="eastAsia" w:ascii="宋体" w:hAnsi="宋体" w:cs="宋体"/>
          <w:szCs w:val="21"/>
        </w:rPr>
        <w:t>等科研院所，还包括</w:t>
      </w:r>
      <w:r>
        <w:rPr>
          <w:rFonts w:hint="eastAsia" w:ascii="宋体" w:hAnsi="宋体"/>
          <w:szCs w:val="21"/>
        </w:rPr>
        <w:t>包头铝业有限公司、中铝矿业有限公司等企业，以及郑州大学、中南大学等高等院校，收集对征求意见稿的反馈信息，汇总、分析意见和建议，与提出建议和意见的实验室充分沟通，完善补充修改征求意见稿。收集到对征求意见稿的反馈信息，汇总、分析意见和建议见下表。</w:t>
      </w:r>
    </w:p>
    <w:tbl>
      <w:tblPr>
        <w:tblStyle w:val="20"/>
        <w:tblW w:w="8357" w:type="dxa"/>
        <w:jc w:val="center"/>
        <w:tblInd w:w="1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18"/>
        <w:gridCol w:w="3118"/>
        <w:gridCol w:w="1701"/>
        <w:gridCol w:w="709"/>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op w:val="single" w:color="auto" w:sz="8" w:space="0"/>
              <w:left w:val="single" w:color="auto" w:sz="8" w:space="0"/>
              <w:bottom w:val="single" w:color="auto" w:sz="8" w:space="0"/>
            </w:tcBorders>
            <w:vAlign w:val="center"/>
          </w:tcPr>
          <w:p>
            <w:pPr>
              <w:jc w:val="center"/>
              <w:rPr>
                <w:rFonts w:hint="eastAsia"/>
                <w:sz w:val="18"/>
                <w:szCs w:val="18"/>
              </w:rPr>
            </w:pPr>
            <w:r>
              <w:rPr>
                <w:rFonts w:hint="eastAsia"/>
                <w:sz w:val="18"/>
                <w:szCs w:val="18"/>
              </w:rPr>
              <w:t>序号</w:t>
            </w:r>
          </w:p>
        </w:tc>
        <w:tc>
          <w:tcPr>
            <w:tcW w:w="1418"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标准章条编号</w:t>
            </w:r>
          </w:p>
        </w:tc>
        <w:tc>
          <w:tcPr>
            <w:tcW w:w="3118"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意见内容</w:t>
            </w:r>
          </w:p>
        </w:tc>
        <w:tc>
          <w:tcPr>
            <w:tcW w:w="1701"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提出单位</w:t>
            </w:r>
          </w:p>
        </w:tc>
        <w:tc>
          <w:tcPr>
            <w:tcW w:w="709"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处理</w:t>
            </w:r>
          </w:p>
          <w:p>
            <w:pPr>
              <w:jc w:val="center"/>
              <w:rPr>
                <w:rFonts w:hint="eastAsia"/>
                <w:sz w:val="18"/>
                <w:szCs w:val="18"/>
              </w:rPr>
            </w:pPr>
            <w:r>
              <w:rPr>
                <w:rFonts w:hint="eastAsia"/>
                <w:sz w:val="18"/>
                <w:szCs w:val="18"/>
              </w:rPr>
              <w:t>意见</w:t>
            </w:r>
          </w:p>
        </w:tc>
        <w:tc>
          <w:tcPr>
            <w:tcW w:w="676"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w:t>
            </w:r>
          </w:p>
        </w:tc>
        <w:tc>
          <w:tcPr>
            <w:tcW w:w="1418"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封面</w:t>
            </w:r>
          </w:p>
        </w:tc>
        <w:tc>
          <w:tcPr>
            <w:tcW w:w="3118" w:type="dxa"/>
            <w:tcBorders>
              <w:top w:val="single" w:color="auto" w:sz="8" w:space="0"/>
              <w:bottom w:val="single" w:color="auto" w:sz="4" w:space="0"/>
            </w:tcBorders>
            <w:vAlign w:val="center"/>
          </w:tcPr>
          <w:p>
            <w:pPr>
              <w:rPr>
                <w:rFonts w:hint="eastAsia" w:ascii="宋体" w:hAnsi="宋体" w:cs="宋体"/>
                <w:sz w:val="18"/>
                <w:szCs w:val="18"/>
              </w:rPr>
            </w:pPr>
            <w:r>
              <w:rPr>
                <w:rFonts w:hint="eastAsia" w:ascii="宋体" w:hAnsi="宋体" w:cs="宋体"/>
                <w:sz w:val="18"/>
                <w:szCs w:val="18"/>
              </w:rPr>
              <w:t>标准封面格式（包括标准分类号、英文名称和发布单位字体及格式等）按GB/T 1.1-2009进行修改。</w:t>
            </w:r>
          </w:p>
        </w:tc>
        <w:tc>
          <w:tcPr>
            <w:tcW w:w="1701"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中国有色金属工业标准计量质量研究所</w:t>
            </w:r>
          </w:p>
        </w:tc>
        <w:tc>
          <w:tcPr>
            <w:tcW w:w="709"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w:t>
            </w:r>
          </w:p>
        </w:tc>
        <w:tc>
          <w:tcPr>
            <w:tcW w:w="1418"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bCs/>
                <w:sz w:val="18"/>
                <w:szCs w:val="18"/>
              </w:rPr>
              <w:t>前言</w:t>
            </w:r>
          </w:p>
        </w:tc>
        <w:tc>
          <w:tcPr>
            <w:tcW w:w="3118" w:type="dxa"/>
            <w:tcBorders>
              <w:top w:val="single" w:color="auto" w:sz="8" w:space="0"/>
              <w:bottom w:val="single" w:color="auto" w:sz="4" w:space="0"/>
            </w:tcBorders>
            <w:vAlign w:val="center"/>
          </w:tcPr>
          <w:p>
            <w:pPr>
              <w:rPr>
                <w:rFonts w:hint="eastAsia" w:hAnsi="宋体"/>
                <w:sz w:val="18"/>
                <w:szCs w:val="18"/>
              </w:rPr>
            </w:pPr>
            <w:r>
              <w:rPr>
                <w:rFonts w:hint="eastAsia" w:ascii="宋体" w:hAnsi="宋体"/>
                <w:sz w:val="18"/>
                <w:szCs w:val="18"/>
              </w:rPr>
              <w:t>GB/T 20975《铝及铝合金化学分析方法》分为3</w:t>
            </w:r>
            <w:r>
              <w:rPr>
                <w:rFonts w:ascii="宋体" w:hAnsi="宋体"/>
                <w:sz w:val="18"/>
                <w:szCs w:val="18"/>
              </w:rPr>
              <w:t>7</w:t>
            </w:r>
            <w:r>
              <w:rPr>
                <w:rFonts w:hint="eastAsia" w:ascii="宋体" w:hAnsi="宋体"/>
                <w:sz w:val="18"/>
                <w:szCs w:val="18"/>
              </w:rPr>
              <w:t>部分：每个部分的名称进行重新确认修改。</w:t>
            </w:r>
          </w:p>
        </w:tc>
        <w:tc>
          <w:tcPr>
            <w:tcW w:w="1701"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东北轻合金有限公司</w:t>
            </w:r>
          </w:p>
        </w:tc>
        <w:tc>
          <w:tcPr>
            <w:tcW w:w="709"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3</w:t>
            </w:r>
          </w:p>
        </w:tc>
        <w:tc>
          <w:tcPr>
            <w:tcW w:w="1418"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bCs/>
                <w:sz w:val="18"/>
                <w:szCs w:val="18"/>
              </w:rPr>
              <w:t>前言</w:t>
            </w:r>
          </w:p>
        </w:tc>
        <w:tc>
          <w:tcPr>
            <w:tcW w:w="3118" w:type="dxa"/>
            <w:tcBorders>
              <w:top w:val="single" w:color="auto" w:sz="8" w:space="0"/>
              <w:bottom w:val="single" w:color="auto" w:sz="4" w:space="0"/>
            </w:tcBorders>
            <w:vAlign w:val="center"/>
          </w:tcPr>
          <w:p>
            <w:pPr>
              <w:rPr>
                <w:rFonts w:hint="eastAsia" w:ascii="宋体" w:hAnsi="宋体" w:cs="宋体"/>
                <w:sz w:val="18"/>
                <w:szCs w:val="18"/>
              </w:rPr>
            </w:pPr>
            <w:r>
              <w:rPr>
                <w:rFonts w:hint="eastAsia" w:ascii="宋体" w:hAnsi="宋体" w:cs="宋体"/>
                <w:sz w:val="18"/>
                <w:szCs w:val="18"/>
              </w:rPr>
              <w:t>增加：</w:t>
            </w:r>
          </w:p>
          <w:p>
            <w:pPr>
              <w:rPr>
                <w:rFonts w:ascii="宋体" w:hAnsi="宋体"/>
                <w:sz w:val="18"/>
                <w:szCs w:val="18"/>
              </w:rPr>
            </w:pPr>
            <w:r>
              <w:rPr>
                <w:rFonts w:hint="eastAsia" w:ascii="宋体" w:hAnsi="宋体"/>
                <w:sz w:val="18"/>
                <w:szCs w:val="18"/>
              </w:rPr>
              <w:t>——增加</w:t>
            </w:r>
            <w:r>
              <w:rPr>
                <w:rFonts w:ascii="宋体" w:hAnsi="宋体"/>
                <w:sz w:val="18"/>
                <w:szCs w:val="18"/>
              </w:rPr>
              <w:t>了</w:t>
            </w:r>
            <w:r>
              <w:rPr>
                <w:rFonts w:hint="eastAsia" w:ascii="宋体" w:hAnsi="宋体"/>
                <w:sz w:val="18"/>
                <w:szCs w:val="18"/>
              </w:rPr>
              <w:t>标准使用安全警告</w:t>
            </w:r>
            <w:r>
              <w:rPr>
                <w:rFonts w:ascii="宋体" w:hAnsi="宋体"/>
                <w:sz w:val="18"/>
                <w:szCs w:val="18"/>
              </w:rPr>
              <w:t>；</w:t>
            </w:r>
          </w:p>
          <w:p>
            <w:pPr>
              <w:rPr>
                <w:rFonts w:hint="eastAsia" w:ascii="宋体" w:hAnsi="宋体"/>
                <w:sz w:val="18"/>
                <w:szCs w:val="18"/>
              </w:rPr>
            </w:pPr>
            <w:r>
              <w:rPr>
                <w:rFonts w:hint="eastAsia" w:ascii="宋体" w:hAnsi="宋体"/>
                <w:sz w:val="18"/>
                <w:szCs w:val="18"/>
              </w:rPr>
              <w:t>——增加</w:t>
            </w:r>
            <w:r>
              <w:rPr>
                <w:rFonts w:ascii="宋体" w:hAnsi="宋体"/>
                <w:sz w:val="18"/>
                <w:szCs w:val="18"/>
              </w:rPr>
              <w:t>了</w:t>
            </w:r>
            <w:r>
              <w:rPr>
                <w:rFonts w:hint="eastAsia" w:ascii="宋体" w:hAnsi="宋体"/>
                <w:sz w:val="18"/>
                <w:szCs w:val="18"/>
              </w:rPr>
              <w:t>规范性引用文件（见2）；</w:t>
            </w:r>
          </w:p>
          <w:p>
            <w:pPr>
              <w:rPr>
                <w:rFonts w:hint="eastAsia" w:ascii="宋体" w:hAnsi="宋体" w:cs="宋体"/>
                <w:sz w:val="18"/>
                <w:szCs w:val="18"/>
              </w:rPr>
            </w:pPr>
            <w:r>
              <w:rPr>
                <w:rFonts w:hint="eastAsia" w:ascii="宋体" w:hAnsi="宋体"/>
                <w:sz w:val="18"/>
                <w:szCs w:val="18"/>
              </w:rPr>
              <w:t>——增加</w:t>
            </w:r>
            <w:r>
              <w:rPr>
                <w:rFonts w:ascii="宋体" w:hAnsi="宋体"/>
                <w:sz w:val="18"/>
                <w:szCs w:val="18"/>
              </w:rPr>
              <w:t>了</w:t>
            </w:r>
            <w:r>
              <w:rPr>
                <w:rFonts w:hint="eastAsia"/>
                <w:sz w:val="18"/>
                <w:szCs w:val="18"/>
              </w:rPr>
              <w:t>术语和定义</w:t>
            </w:r>
            <w:r>
              <w:rPr>
                <w:rFonts w:hint="eastAsia" w:ascii="宋体" w:hAnsi="宋体"/>
                <w:sz w:val="18"/>
                <w:szCs w:val="18"/>
              </w:rPr>
              <w:t>（见3）；</w:t>
            </w:r>
          </w:p>
        </w:tc>
        <w:tc>
          <w:tcPr>
            <w:tcW w:w="1701"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中国有色金属工业标准计量质量研究所</w:t>
            </w:r>
          </w:p>
        </w:tc>
        <w:tc>
          <w:tcPr>
            <w:tcW w:w="709"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w:t>
            </w:r>
          </w:p>
        </w:tc>
        <w:tc>
          <w:tcPr>
            <w:tcW w:w="1418"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bCs/>
                <w:sz w:val="18"/>
                <w:szCs w:val="18"/>
              </w:rPr>
              <w:t xml:space="preserve">1 </w:t>
            </w:r>
          </w:p>
        </w:tc>
        <w:tc>
          <w:tcPr>
            <w:tcW w:w="3118" w:type="dxa"/>
            <w:tcBorders>
              <w:top w:val="single" w:color="auto" w:sz="8" w:space="0"/>
              <w:bottom w:val="single" w:color="auto" w:sz="4" w:space="0"/>
            </w:tcBorders>
            <w:vAlign w:val="center"/>
          </w:tcPr>
          <w:p>
            <w:pPr>
              <w:pStyle w:val="4"/>
              <w:ind w:firstLine="360"/>
              <w:rPr>
                <w:rFonts w:hint="eastAsia" w:ascii="宋体" w:hAnsi="宋体" w:cs="宋体"/>
                <w:sz w:val="18"/>
                <w:szCs w:val="18"/>
              </w:rPr>
            </w:pPr>
            <w:r>
              <w:rPr>
                <w:rFonts w:hint="eastAsia" w:ascii="宋体" w:hAnsi="宋体" w:cs="宋体"/>
                <w:sz w:val="18"/>
                <w:szCs w:val="18"/>
              </w:rPr>
              <w:t>修改为“GB/T 20975的本部分规定了采用二甲酚橙分光光度法和EDTA滴定法测定铝及铝合金中锆含量的方法。”</w:t>
            </w:r>
          </w:p>
        </w:tc>
        <w:tc>
          <w:tcPr>
            <w:tcW w:w="1701" w:type="dxa"/>
            <w:tcBorders>
              <w:top w:val="single" w:color="auto" w:sz="8" w:space="0"/>
              <w:bottom w:val="single" w:color="auto" w:sz="4" w:space="0"/>
            </w:tcBorders>
            <w:vAlign w:val="center"/>
          </w:tcPr>
          <w:p>
            <w:pPr>
              <w:jc w:val="left"/>
              <w:rPr>
                <w:rFonts w:hint="eastAsia" w:ascii="宋体" w:hAnsi="宋体" w:cs="宋体"/>
                <w:bCs/>
                <w:sz w:val="18"/>
                <w:szCs w:val="18"/>
              </w:rPr>
            </w:pPr>
            <w:r>
              <w:rPr>
                <w:rFonts w:hint="eastAsia" w:ascii="宋体" w:hAnsi="宋体" w:cs="宋体"/>
                <w:sz w:val="18"/>
                <w:szCs w:val="18"/>
              </w:rPr>
              <w:t>中国有色金属工业标准计量质量研究所</w:t>
            </w:r>
          </w:p>
        </w:tc>
        <w:tc>
          <w:tcPr>
            <w:tcW w:w="709" w:type="dxa"/>
            <w:tcBorders>
              <w:top w:val="single" w:color="auto" w:sz="8" w:space="0"/>
              <w:bottom w:val="single" w:color="auto" w:sz="4" w:space="0"/>
            </w:tcBorders>
            <w:vAlign w:val="center"/>
          </w:tcPr>
          <w:p>
            <w:pPr>
              <w:jc w:val="center"/>
              <w:rPr>
                <w:rFonts w:hint="eastAsia" w:ascii="宋体" w:hAnsi="宋体" w:cs="宋体"/>
                <w:bCs/>
                <w:sz w:val="18"/>
                <w:szCs w:val="18"/>
              </w:rPr>
            </w:pPr>
            <w:r>
              <w:rPr>
                <w:rFonts w:hint="eastAsia" w:ascii="宋体" w:hAnsi="宋体" w:cs="宋体"/>
                <w:bCs/>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5</w:t>
            </w:r>
          </w:p>
        </w:tc>
        <w:tc>
          <w:tcPr>
            <w:tcW w:w="1418"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bCs/>
                <w:sz w:val="18"/>
                <w:szCs w:val="18"/>
              </w:rPr>
              <w:t>3</w:t>
            </w:r>
          </w:p>
        </w:tc>
        <w:tc>
          <w:tcPr>
            <w:tcW w:w="3118" w:type="dxa"/>
            <w:tcBorders>
              <w:top w:val="single" w:color="auto" w:sz="8" w:space="0"/>
              <w:bottom w:val="single" w:color="auto" w:sz="4" w:space="0"/>
            </w:tcBorders>
            <w:vAlign w:val="center"/>
          </w:tcPr>
          <w:p>
            <w:pPr>
              <w:jc w:val="left"/>
              <w:rPr>
                <w:rFonts w:hint="eastAsia"/>
                <w:bCs/>
                <w:sz w:val="18"/>
                <w:szCs w:val="18"/>
              </w:rPr>
            </w:pPr>
            <w:r>
              <w:rPr>
                <w:rFonts w:hint="eastAsia"/>
                <w:bCs/>
                <w:sz w:val="18"/>
                <w:szCs w:val="18"/>
              </w:rPr>
              <w:t>新增加：</w:t>
            </w:r>
          </w:p>
          <w:p>
            <w:pPr>
              <w:jc w:val="left"/>
              <w:rPr>
                <w:rFonts w:hint="eastAsia" w:ascii="宋体" w:hAnsi="宋体"/>
                <w:bCs/>
                <w:sz w:val="18"/>
                <w:szCs w:val="18"/>
              </w:rPr>
            </w:pPr>
            <w:r>
              <w:rPr>
                <w:rFonts w:hint="eastAsia" w:ascii="宋体" w:hAnsi="宋体"/>
                <w:bCs/>
                <w:sz w:val="18"/>
                <w:szCs w:val="18"/>
              </w:rPr>
              <w:t xml:space="preserve">3 </w:t>
            </w:r>
            <w:r>
              <w:rPr>
                <w:rFonts w:hint="eastAsia" w:ascii="宋体" w:hAnsi="宋体" w:cs="宋体"/>
                <w:bCs/>
                <w:sz w:val="18"/>
                <w:szCs w:val="18"/>
              </w:rPr>
              <w:t>术语和定义</w:t>
            </w:r>
            <w:r>
              <w:rPr>
                <w:rFonts w:hint="eastAsia" w:ascii="宋体" w:hAnsi="宋体"/>
                <w:bCs/>
                <w:sz w:val="18"/>
                <w:szCs w:val="18"/>
              </w:rPr>
              <w:t xml:space="preserve"> </w:t>
            </w:r>
          </w:p>
          <w:p>
            <w:pPr>
              <w:jc w:val="left"/>
              <w:rPr>
                <w:rFonts w:hint="eastAsia" w:ascii="宋体" w:hAnsi="宋体" w:cs="黑体"/>
                <w:sz w:val="18"/>
                <w:szCs w:val="18"/>
              </w:rPr>
            </w:pPr>
            <w:r>
              <w:rPr>
                <w:rFonts w:hint="eastAsia" w:ascii="宋体" w:hAnsi="宋体" w:cs="黑体"/>
                <w:sz w:val="18"/>
                <w:szCs w:val="18"/>
              </w:rPr>
              <w:t>GB/T 20000.1界定的术语和定于适用于本文件。</w:t>
            </w:r>
          </w:p>
          <w:p>
            <w:pPr>
              <w:jc w:val="left"/>
              <w:rPr>
                <w:rFonts w:hint="eastAsia"/>
                <w:bCs/>
                <w:sz w:val="18"/>
                <w:szCs w:val="18"/>
              </w:rPr>
            </w:pPr>
            <w:r>
              <w:rPr>
                <w:rFonts w:hint="eastAsia" w:ascii="宋体" w:hAnsi="宋体" w:cs="黑体"/>
                <w:sz w:val="18"/>
                <w:szCs w:val="18"/>
              </w:rPr>
              <w:t>后面的</w:t>
            </w:r>
            <w:r>
              <w:rPr>
                <w:rFonts w:hint="eastAsia"/>
                <w:sz w:val="18"/>
                <w:szCs w:val="18"/>
              </w:rPr>
              <w:t>章条号依次增加。</w:t>
            </w:r>
          </w:p>
        </w:tc>
        <w:tc>
          <w:tcPr>
            <w:tcW w:w="1701" w:type="dxa"/>
            <w:tcBorders>
              <w:top w:val="single" w:color="auto" w:sz="8" w:space="0"/>
              <w:bottom w:val="single" w:color="auto" w:sz="4" w:space="0"/>
            </w:tcBorders>
            <w:vAlign w:val="center"/>
          </w:tcPr>
          <w:p>
            <w:pPr>
              <w:jc w:val="left"/>
              <w:rPr>
                <w:rFonts w:hint="eastAsia" w:ascii="宋体" w:hAnsi="宋体" w:cs="宋体"/>
                <w:bCs/>
                <w:sz w:val="18"/>
                <w:szCs w:val="18"/>
              </w:rPr>
            </w:pPr>
            <w:r>
              <w:rPr>
                <w:rFonts w:hint="eastAsia" w:ascii="宋体" w:hAnsi="宋体" w:cs="宋体"/>
                <w:sz w:val="18"/>
                <w:szCs w:val="18"/>
              </w:rPr>
              <w:t>中国有色金属工业标准计量质量研究所</w:t>
            </w:r>
          </w:p>
        </w:tc>
        <w:tc>
          <w:tcPr>
            <w:tcW w:w="709" w:type="dxa"/>
            <w:tcBorders>
              <w:top w:val="single" w:color="auto" w:sz="8" w:space="0"/>
              <w:bottom w:val="single" w:color="auto" w:sz="4" w:space="0"/>
            </w:tcBorders>
            <w:vAlign w:val="center"/>
          </w:tcPr>
          <w:p>
            <w:pPr>
              <w:jc w:val="center"/>
              <w:rPr>
                <w:rFonts w:hint="eastAsia" w:ascii="宋体" w:hAnsi="宋体" w:cs="宋体"/>
                <w:bCs/>
                <w:sz w:val="18"/>
                <w:szCs w:val="18"/>
              </w:rPr>
            </w:pPr>
            <w:r>
              <w:rPr>
                <w:rFonts w:hint="eastAsia" w:ascii="宋体" w:hAnsi="宋体" w:cs="宋体"/>
                <w:bCs/>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6</w:t>
            </w:r>
          </w:p>
        </w:tc>
        <w:tc>
          <w:tcPr>
            <w:tcW w:w="1418"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sz w:val="18"/>
                <w:szCs w:val="18"/>
              </w:rPr>
              <w:t>4.2.9和5.2.8</w:t>
            </w:r>
          </w:p>
        </w:tc>
        <w:tc>
          <w:tcPr>
            <w:tcW w:w="3118" w:type="dxa"/>
            <w:tcBorders>
              <w:top w:val="single" w:color="auto" w:sz="8" w:space="0"/>
              <w:bottom w:val="single" w:color="auto" w:sz="4" w:space="0"/>
            </w:tcBorders>
            <w:vAlign w:val="center"/>
          </w:tcPr>
          <w:p>
            <w:pPr>
              <w:spacing w:line="400" w:lineRule="exact"/>
              <w:rPr>
                <w:rFonts w:hint="eastAsia" w:ascii="宋体" w:hAnsi="宋体" w:cs="宋体"/>
                <w:sz w:val="18"/>
                <w:szCs w:val="18"/>
              </w:rPr>
            </w:pPr>
            <w:r>
              <w:rPr>
                <w:rFonts w:hint="eastAsia"/>
                <w:sz w:val="18"/>
                <w:szCs w:val="18"/>
              </w:rPr>
              <w:t>增加“计算结果保留四位有效数字，</w:t>
            </w:r>
            <w:r>
              <w:rPr>
                <w:rFonts w:ascii="宋体" w:hAnsi="宋体"/>
                <w:sz w:val="18"/>
                <w:szCs w:val="18"/>
              </w:rPr>
              <w:t>数值修约执行GB/T 8170。</w:t>
            </w:r>
            <w:r>
              <w:rPr>
                <w:rFonts w:hint="eastAsia" w:ascii="宋体" w:hAnsi="宋体"/>
                <w:sz w:val="18"/>
                <w:szCs w:val="18"/>
              </w:rPr>
              <w:t>”</w:t>
            </w:r>
          </w:p>
        </w:tc>
        <w:tc>
          <w:tcPr>
            <w:tcW w:w="1701" w:type="dxa"/>
            <w:tcBorders>
              <w:top w:val="single" w:color="auto" w:sz="8" w:space="0"/>
              <w:bottom w:val="single" w:color="auto" w:sz="4" w:space="0"/>
            </w:tcBorders>
            <w:vAlign w:val="center"/>
          </w:tcPr>
          <w:p>
            <w:pPr>
              <w:spacing w:line="240" w:lineRule="atLeast"/>
              <w:jc w:val="left"/>
              <w:rPr>
                <w:rFonts w:hint="eastAsia" w:ascii="宋体" w:hAnsi="宋体" w:cs="宋体"/>
                <w:sz w:val="18"/>
                <w:szCs w:val="18"/>
              </w:rPr>
            </w:pPr>
            <w:r>
              <w:rPr>
                <w:rFonts w:hint="eastAsia" w:ascii="宋体" w:hAnsi="宋体" w:cs="宋体"/>
                <w:sz w:val="18"/>
                <w:szCs w:val="18"/>
              </w:rPr>
              <w:t>北矿检测技术有限公司</w:t>
            </w:r>
          </w:p>
        </w:tc>
        <w:tc>
          <w:tcPr>
            <w:tcW w:w="709"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7</w:t>
            </w:r>
          </w:p>
        </w:tc>
        <w:tc>
          <w:tcPr>
            <w:tcW w:w="1418" w:type="dxa"/>
            <w:tcBorders>
              <w:top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4.5.2和5.4.2</w:t>
            </w:r>
          </w:p>
        </w:tc>
        <w:tc>
          <w:tcPr>
            <w:tcW w:w="3118" w:type="dxa"/>
            <w:tcBorders>
              <w:top w:val="single" w:color="auto" w:sz="8" w:space="0"/>
              <w:bottom w:val="single" w:color="auto" w:sz="4" w:space="0"/>
            </w:tcBorders>
            <w:vAlign w:val="center"/>
          </w:tcPr>
          <w:p>
            <w:pPr>
              <w:ind w:firstLine="420"/>
              <w:rPr>
                <w:rFonts w:hint="eastAsia" w:ascii="宋体" w:hAnsi="宋体" w:cs="宋体"/>
                <w:sz w:val="18"/>
                <w:szCs w:val="18"/>
              </w:rPr>
            </w:pPr>
            <w:r>
              <w:rPr>
                <w:rFonts w:hint="eastAsia" w:ascii="宋体" w:hAnsi="宋体"/>
                <w:sz w:val="18"/>
                <w:szCs w:val="18"/>
              </w:rPr>
              <w:t>平行试验修改为“平行做两份试验。”</w:t>
            </w:r>
          </w:p>
        </w:tc>
        <w:tc>
          <w:tcPr>
            <w:tcW w:w="1701"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包头铝业有限公司</w:t>
            </w:r>
          </w:p>
        </w:tc>
        <w:tc>
          <w:tcPr>
            <w:tcW w:w="709"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8</w:t>
            </w:r>
          </w:p>
        </w:tc>
        <w:tc>
          <w:tcPr>
            <w:tcW w:w="1418" w:type="dxa"/>
            <w:tcBorders>
              <w:top w:val="single" w:color="auto" w:sz="8" w:space="0"/>
              <w:bottom w:val="single" w:color="auto" w:sz="4" w:space="0"/>
            </w:tcBorders>
            <w:vAlign w:val="center"/>
          </w:tcPr>
          <w:p>
            <w:pPr>
              <w:spacing w:beforeLines="50" w:afterLines="50"/>
              <w:jc w:val="center"/>
              <w:rPr>
                <w:rFonts w:hint="eastAsia" w:ascii="宋体" w:hAnsi="宋体"/>
                <w:sz w:val="18"/>
                <w:szCs w:val="18"/>
              </w:rPr>
            </w:pPr>
            <w:r>
              <w:rPr>
                <w:rFonts w:hint="eastAsia" w:ascii="宋体" w:hAnsi="宋体"/>
                <w:sz w:val="18"/>
                <w:szCs w:val="18"/>
              </w:rPr>
              <w:t>4.6.2</w:t>
            </w:r>
          </w:p>
        </w:tc>
        <w:tc>
          <w:tcPr>
            <w:tcW w:w="3118" w:type="dxa"/>
            <w:tcBorders>
              <w:top w:val="single" w:color="auto" w:sz="8" w:space="0"/>
              <w:bottom w:val="single" w:color="auto" w:sz="4" w:space="0"/>
            </w:tcBorders>
            <w:vAlign w:val="center"/>
          </w:tcPr>
          <w:p>
            <w:pPr>
              <w:rPr>
                <w:rFonts w:hint="eastAsia" w:ascii="宋体" w:hAnsi="宋体" w:cs="Arial"/>
                <w:color w:val="000000"/>
                <w:sz w:val="18"/>
                <w:szCs w:val="18"/>
              </w:rPr>
            </w:pPr>
            <w:r>
              <w:rPr>
                <w:rFonts w:hint="eastAsia" w:ascii="宋体" w:hAnsi="宋体"/>
                <w:sz w:val="18"/>
                <w:szCs w:val="18"/>
              </w:rPr>
              <w:t>修改为</w:t>
            </w:r>
            <w:r>
              <w:rPr>
                <w:rFonts w:hint="eastAsia" w:ascii="宋体" w:hAnsi="宋体" w:cs="黑体"/>
                <w:sz w:val="18"/>
                <w:szCs w:val="18"/>
              </w:rPr>
              <w:t>“</w:t>
            </w:r>
            <w:r>
              <w:rPr>
                <w:rFonts w:ascii="宋体" w:hAnsi="宋体"/>
                <w:sz w:val="18"/>
                <w:szCs w:val="18"/>
              </w:rPr>
              <w:t>计算结果</w:t>
            </w:r>
            <w:r>
              <w:rPr>
                <w:rFonts w:hint="eastAsia" w:ascii="宋体" w:hAnsi="宋体"/>
                <w:sz w:val="18"/>
                <w:szCs w:val="18"/>
              </w:rPr>
              <w:t>保留两</w:t>
            </w:r>
            <w:r>
              <w:rPr>
                <w:rFonts w:ascii="宋体" w:hAnsi="宋体"/>
                <w:sz w:val="18"/>
                <w:szCs w:val="18"/>
              </w:rPr>
              <w:t>位</w:t>
            </w:r>
            <w:r>
              <w:rPr>
                <w:rFonts w:hint="eastAsia" w:ascii="宋体" w:hAnsi="宋体"/>
                <w:sz w:val="18"/>
                <w:szCs w:val="18"/>
              </w:rPr>
              <w:t>有效数字，</w:t>
            </w:r>
            <w:r>
              <w:rPr>
                <w:rFonts w:ascii="宋体" w:hAnsi="宋体"/>
                <w:sz w:val="18"/>
                <w:szCs w:val="18"/>
              </w:rPr>
              <w:t>数值修约执行GB/T 8170。</w:t>
            </w:r>
            <w:r>
              <w:rPr>
                <w:rFonts w:hint="eastAsia" w:ascii="宋体" w:hAnsi="宋体"/>
                <w:sz w:val="18"/>
                <w:szCs w:val="18"/>
              </w:rPr>
              <w:t>”</w:t>
            </w:r>
          </w:p>
        </w:tc>
        <w:tc>
          <w:tcPr>
            <w:tcW w:w="1701"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sz w:val="18"/>
                <w:szCs w:val="18"/>
              </w:rPr>
              <w:t>中金岭南有色金属股份有限公司</w:t>
            </w:r>
          </w:p>
        </w:tc>
        <w:tc>
          <w:tcPr>
            <w:tcW w:w="709"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9</w:t>
            </w:r>
          </w:p>
        </w:tc>
        <w:tc>
          <w:tcPr>
            <w:tcW w:w="1418" w:type="dxa"/>
            <w:tcBorders>
              <w:top w:val="single" w:color="auto" w:sz="8" w:space="0"/>
              <w:bottom w:val="single" w:color="auto" w:sz="4" w:space="0"/>
            </w:tcBorders>
            <w:vAlign w:val="center"/>
          </w:tcPr>
          <w:p>
            <w:pPr>
              <w:spacing w:beforeLines="50" w:afterLines="50"/>
              <w:jc w:val="center"/>
              <w:rPr>
                <w:rFonts w:hint="eastAsia" w:ascii="宋体" w:hAnsi="宋体"/>
                <w:sz w:val="18"/>
                <w:szCs w:val="18"/>
              </w:rPr>
            </w:pPr>
            <w:r>
              <w:rPr>
                <w:rFonts w:hint="eastAsia" w:ascii="宋体" w:hAnsi="宋体" w:cs="黑体"/>
                <w:sz w:val="18"/>
                <w:szCs w:val="18"/>
              </w:rPr>
              <w:t>4.6.3</w:t>
            </w:r>
          </w:p>
        </w:tc>
        <w:tc>
          <w:tcPr>
            <w:tcW w:w="3118" w:type="dxa"/>
            <w:tcBorders>
              <w:top w:val="single" w:color="auto" w:sz="8" w:space="0"/>
              <w:bottom w:val="single" w:color="auto" w:sz="4" w:space="0"/>
            </w:tcBorders>
            <w:vAlign w:val="center"/>
          </w:tcPr>
          <w:p>
            <w:pPr>
              <w:rPr>
                <w:rFonts w:hint="eastAsia" w:ascii="宋体" w:hAnsi="宋体"/>
                <w:sz w:val="18"/>
                <w:szCs w:val="18"/>
              </w:rPr>
            </w:pPr>
            <w:r>
              <w:rPr>
                <w:rFonts w:hint="eastAsia" w:ascii="宋体" w:hAnsi="宋体"/>
                <w:sz w:val="18"/>
                <w:szCs w:val="18"/>
              </w:rPr>
              <w:t>新增：</w:t>
            </w:r>
          </w:p>
          <w:p>
            <w:pPr>
              <w:rPr>
                <w:rFonts w:hint="eastAsia" w:ascii="宋体" w:hAnsi="宋体"/>
                <w:sz w:val="18"/>
                <w:szCs w:val="18"/>
              </w:rPr>
            </w:pPr>
            <w:r>
              <w:rPr>
                <w:rFonts w:hint="eastAsia" w:ascii="宋体" w:hAnsi="宋体" w:cs="黑体"/>
                <w:sz w:val="18"/>
                <w:szCs w:val="18"/>
              </w:rPr>
              <w:t xml:space="preserve"> 4.6.3 </w:t>
            </w:r>
            <w:r>
              <w:rPr>
                <w:rFonts w:hint="eastAsia" w:ascii="宋体" w:hAnsi="宋体"/>
                <w:sz w:val="18"/>
                <w:szCs w:val="18"/>
              </w:rPr>
              <w:t>取两次测试结果的平均值。</w:t>
            </w:r>
          </w:p>
        </w:tc>
        <w:tc>
          <w:tcPr>
            <w:tcW w:w="1701"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sz w:val="18"/>
                <w:szCs w:val="18"/>
              </w:rPr>
              <w:t>中金岭南有色金属股份有限公司</w:t>
            </w:r>
          </w:p>
        </w:tc>
        <w:tc>
          <w:tcPr>
            <w:tcW w:w="709"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10</w:t>
            </w:r>
          </w:p>
        </w:tc>
        <w:tc>
          <w:tcPr>
            <w:tcW w:w="1418"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4.5.1、4.7.1、4.7.2、5.4.3.1、5.6.1、5.6.2</w:t>
            </w:r>
          </w:p>
        </w:tc>
        <w:tc>
          <w:tcPr>
            <w:tcW w:w="3118" w:type="dxa"/>
            <w:tcBorders>
              <w:top w:val="single" w:color="auto" w:sz="8" w:space="0"/>
              <w:bottom w:val="single" w:color="auto" w:sz="4" w:space="0"/>
            </w:tcBorders>
            <w:vAlign w:val="center"/>
          </w:tcPr>
          <w:p>
            <w:pPr>
              <w:rPr>
                <w:rFonts w:hint="eastAsia" w:ascii="宋体" w:hAnsi="宋体"/>
                <w:sz w:val="18"/>
                <w:szCs w:val="18"/>
              </w:rPr>
            </w:pPr>
            <w:r>
              <w:rPr>
                <w:rFonts w:hint="eastAsia" w:ascii="宋体" w:hAnsi="宋体"/>
                <w:sz w:val="18"/>
                <w:szCs w:val="18"/>
              </w:rPr>
              <w:t>表格均取消标题</w:t>
            </w:r>
          </w:p>
        </w:tc>
        <w:tc>
          <w:tcPr>
            <w:tcW w:w="1701"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东北轻合金有限公司</w:t>
            </w:r>
          </w:p>
        </w:tc>
        <w:tc>
          <w:tcPr>
            <w:tcW w:w="709"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11</w:t>
            </w:r>
          </w:p>
        </w:tc>
        <w:tc>
          <w:tcPr>
            <w:tcW w:w="1418"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4.5.1和5.4.3.1</w:t>
            </w:r>
          </w:p>
        </w:tc>
        <w:tc>
          <w:tcPr>
            <w:tcW w:w="3118" w:type="dxa"/>
            <w:tcBorders>
              <w:top w:val="single" w:color="auto" w:sz="8" w:space="0"/>
              <w:bottom w:val="single" w:color="auto" w:sz="4" w:space="0"/>
            </w:tcBorders>
            <w:vAlign w:val="center"/>
          </w:tcPr>
          <w:p>
            <w:pPr>
              <w:rPr>
                <w:rFonts w:hint="eastAsia" w:ascii="宋体" w:hAnsi="宋体" w:cs="Arial"/>
                <w:color w:val="000000"/>
                <w:sz w:val="18"/>
                <w:szCs w:val="18"/>
              </w:rPr>
            </w:pPr>
            <w:r>
              <w:rPr>
                <w:rFonts w:hint="eastAsia" w:ascii="宋体" w:hAnsi="宋体" w:cs="Arial"/>
                <w:color w:val="000000"/>
                <w:sz w:val="18"/>
                <w:szCs w:val="18"/>
              </w:rPr>
              <w:t>表中“</w:t>
            </w:r>
            <w:r>
              <w:rPr>
                <w:rFonts w:hint="eastAsia" w:ascii="宋体" w:hAnsi="宋体"/>
                <w:sz w:val="18"/>
                <w:szCs w:val="18"/>
              </w:rPr>
              <w:t>≥</w:t>
            </w:r>
            <w:r>
              <w:rPr>
                <w:rFonts w:hint="eastAsia" w:ascii="宋体" w:hAnsi="宋体" w:cs="Arial"/>
                <w:color w:val="000000"/>
                <w:sz w:val="18"/>
                <w:szCs w:val="18"/>
              </w:rPr>
              <w:t>”修改为“</w:t>
            </w:r>
            <w:r>
              <w:rPr>
                <w:rFonts w:hint="eastAsia" w:ascii="宋体" w:hAnsi="宋体"/>
                <w:sz w:val="18"/>
                <w:szCs w:val="18"/>
              </w:rPr>
              <w:t>＞</w:t>
            </w:r>
            <w:r>
              <w:rPr>
                <w:rFonts w:hint="eastAsia" w:ascii="宋体" w:hAnsi="宋体" w:cs="Arial"/>
                <w:color w:val="000000"/>
                <w:sz w:val="18"/>
                <w:szCs w:val="18"/>
              </w:rPr>
              <w:t>”</w:t>
            </w:r>
          </w:p>
        </w:tc>
        <w:tc>
          <w:tcPr>
            <w:tcW w:w="1701"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sz w:val="18"/>
                <w:szCs w:val="18"/>
              </w:rPr>
              <w:t>中国铝业连城分公司</w:t>
            </w:r>
          </w:p>
        </w:tc>
        <w:tc>
          <w:tcPr>
            <w:tcW w:w="709"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4"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12</w:t>
            </w:r>
          </w:p>
        </w:tc>
        <w:tc>
          <w:tcPr>
            <w:tcW w:w="1418" w:type="dxa"/>
            <w:tcBorders>
              <w:top w:val="single" w:color="auto" w:sz="4"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5.5</w:t>
            </w:r>
            <w:r>
              <w:rPr>
                <w:rFonts w:ascii="宋体" w:hAnsi="宋体"/>
                <w:sz w:val="18"/>
                <w:szCs w:val="18"/>
              </w:rPr>
              <w:t>.2</w:t>
            </w:r>
          </w:p>
        </w:tc>
        <w:tc>
          <w:tcPr>
            <w:tcW w:w="3118" w:type="dxa"/>
            <w:tcBorders>
              <w:top w:val="single" w:color="auto" w:sz="4" w:space="0"/>
              <w:bottom w:val="single" w:color="auto" w:sz="4" w:space="0"/>
            </w:tcBorders>
            <w:vAlign w:val="center"/>
          </w:tcPr>
          <w:p>
            <w:pPr>
              <w:jc w:val="left"/>
              <w:rPr>
                <w:rFonts w:hint="eastAsia" w:ascii="宋体" w:hAnsi="宋体"/>
                <w:sz w:val="18"/>
                <w:szCs w:val="18"/>
              </w:rPr>
            </w:pPr>
            <w:r>
              <w:rPr>
                <w:rFonts w:hint="eastAsia" w:ascii="宋体" w:hAnsi="宋体"/>
                <w:sz w:val="18"/>
                <w:szCs w:val="18"/>
              </w:rPr>
              <w:t>修改为“</w:t>
            </w:r>
            <w:r>
              <w:rPr>
                <w:rFonts w:hint="eastAsia"/>
                <w:sz w:val="18"/>
                <w:szCs w:val="18"/>
              </w:rPr>
              <w:t>计算结果保留小数点后两位</w:t>
            </w:r>
            <w:r>
              <w:rPr>
                <w:rFonts w:hint="eastAsia" w:ascii="宋体" w:hAnsi="宋体"/>
                <w:sz w:val="18"/>
                <w:szCs w:val="18"/>
              </w:rPr>
              <w:t>，</w:t>
            </w:r>
            <w:r>
              <w:rPr>
                <w:rFonts w:ascii="宋体" w:hAnsi="宋体"/>
                <w:sz w:val="18"/>
                <w:szCs w:val="18"/>
              </w:rPr>
              <w:t>数值修约执行GB/T 8170。</w:t>
            </w:r>
            <w:r>
              <w:rPr>
                <w:rFonts w:hint="eastAsia" w:ascii="宋体" w:hAnsi="宋体"/>
                <w:sz w:val="18"/>
                <w:szCs w:val="18"/>
              </w:rPr>
              <w:t>”</w:t>
            </w:r>
          </w:p>
        </w:tc>
        <w:tc>
          <w:tcPr>
            <w:tcW w:w="1701" w:type="dxa"/>
            <w:tcBorders>
              <w:top w:val="single" w:color="auto" w:sz="4" w:space="0"/>
              <w:bottom w:val="single" w:color="auto" w:sz="4" w:space="0"/>
            </w:tcBorders>
            <w:vAlign w:val="center"/>
          </w:tcPr>
          <w:p>
            <w:pPr>
              <w:jc w:val="left"/>
              <w:rPr>
                <w:rFonts w:hint="eastAsia" w:ascii="宋体" w:hAnsi="宋体" w:cs="宋体"/>
                <w:sz w:val="18"/>
                <w:szCs w:val="18"/>
              </w:rPr>
            </w:pPr>
            <w:r>
              <w:rPr>
                <w:rFonts w:hint="eastAsia"/>
                <w:sz w:val="18"/>
                <w:szCs w:val="18"/>
              </w:rPr>
              <w:t>焦作万方铝业有限公司</w:t>
            </w:r>
          </w:p>
        </w:tc>
        <w:tc>
          <w:tcPr>
            <w:tcW w:w="709" w:type="dxa"/>
            <w:tcBorders>
              <w:top w:val="single" w:color="auto" w:sz="4"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4"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4"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13</w:t>
            </w:r>
          </w:p>
        </w:tc>
        <w:tc>
          <w:tcPr>
            <w:tcW w:w="1418" w:type="dxa"/>
            <w:tcBorders>
              <w:top w:val="single" w:color="auto" w:sz="4"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5.5</w:t>
            </w:r>
            <w:r>
              <w:rPr>
                <w:rFonts w:ascii="宋体" w:hAnsi="宋体"/>
                <w:sz w:val="18"/>
                <w:szCs w:val="18"/>
              </w:rPr>
              <w:t>.</w:t>
            </w:r>
            <w:r>
              <w:rPr>
                <w:rFonts w:hint="eastAsia" w:ascii="宋体" w:hAnsi="宋体"/>
                <w:sz w:val="18"/>
                <w:szCs w:val="18"/>
              </w:rPr>
              <w:t>3</w:t>
            </w:r>
          </w:p>
        </w:tc>
        <w:tc>
          <w:tcPr>
            <w:tcW w:w="3118" w:type="dxa"/>
            <w:tcBorders>
              <w:top w:val="single" w:color="auto" w:sz="4" w:space="0"/>
              <w:bottom w:val="single" w:color="auto" w:sz="4" w:space="0"/>
            </w:tcBorders>
            <w:vAlign w:val="center"/>
          </w:tcPr>
          <w:p>
            <w:pPr>
              <w:rPr>
                <w:rFonts w:hint="eastAsia" w:ascii="宋体" w:hAnsi="宋体"/>
                <w:sz w:val="18"/>
                <w:szCs w:val="18"/>
              </w:rPr>
            </w:pPr>
            <w:r>
              <w:rPr>
                <w:rFonts w:hint="eastAsia" w:ascii="宋体" w:hAnsi="宋体"/>
                <w:sz w:val="18"/>
                <w:szCs w:val="18"/>
              </w:rPr>
              <w:t>新增：</w:t>
            </w:r>
          </w:p>
          <w:p>
            <w:pPr>
              <w:rPr>
                <w:rFonts w:hint="eastAsia" w:ascii="宋体" w:hAnsi="宋体"/>
                <w:sz w:val="18"/>
                <w:szCs w:val="18"/>
              </w:rPr>
            </w:pPr>
            <w:r>
              <w:rPr>
                <w:rFonts w:hint="eastAsia" w:ascii="宋体" w:hAnsi="宋体"/>
                <w:sz w:val="18"/>
                <w:szCs w:val="18"/>
              </w:rPr>
              <w:t xml:space="preserve">5.5.3 </w:t>
            </w:r>
            <w:r>
              <w:rPr>
                <w:rFonts w:ascii="宋体" w:hAnsi="宋体"/>
                <w:sz w:val="18"/>
                <w:szCs w:val="18"/>
              </w:rPr>
              <w:t xml:space="preserve"> </w:t>
            </w:r>
            <w:r>
              <w:rPr>
                <w:rFonts w:hint="eastAsia" w:ascii="宋体" w:hAnsi="宋体"/>
                <w:sz w:val="18"/>
                <w:szCs w:val="18"/>
              </w:rPr>
              <w:t>取两次测试结果的平均值。</w:t>
            </w:r>
          </w:p>
        </w:tc>
        <w:tc>
          <w:tcPr>
            <w:tcW w:w="1701" w:type="dxa"/>
            <w:tcBorders>
              <w:top w:val="single" w:color="auto" w:sz="4" w:space="0"/>
              <w:bottom w:val="single" w:color="auto" w:sz="4" w:space="0"/>
            </w:tcBorders>
            <w:vAlign w:val="center"/>
          </w:tcPr>
          <w:p>
            <w:pPr>
              <w:jc w:val="left"/>
              <w:rPr>
                <w:rFonts w:hint="eastAsia" w:ascii="宋体" w:hAnsi="宋体" w:cs="宋体"/>
                <w:sz w:val="18"/>
                <w:szCs w:val="18"/>
              </w:rPr>
            </w:pPr>
            <w:r>
              <w:rPr>
                <w:rFonts w:hint="eastAsia"/>
                <w:sz w:val="18"/>
                <w:szCs w:val="18"/>
              </w:rPr>
              <w:t>焦作万方铝业有限公司</w:t>
            </w:r>
          </w:p>
        </w:tc>
        <w:tc>
          <w:tcPr>
            <w:tcW w:w="709" w:type="dxa"/>
            <w:tcBorders>
              <w:top w:val="single" w:color="auto" w:sz="4"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4"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4"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14</w:t>
            </w:r>
          </w:p>
        </w:tc>
        <w:tc>
          <w:tcPr>
            <w:tcW w:w="1418" w:type="dxa"/>
            <w:tcBorders>
              <w:top w:val="single" w:color="auto" w:sz="4"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5.6</w:t>
            </w:r>
          </w:p>
        </w:tc>
        <w:tc>
          <w:tcPr>
            <w:tcW w:w="3118" w:type="dxa"/>
            <w:tcBorders>
              <w:top w:val="single" w:color="auto" w:sz="4" w:space="0"/>
              <w:bottom w:val="single" w:color="auto" w:sz="4" w:space="0"/>
            </w:tcBorders>
            <w:vAlign w:val="center"/>
          </w:tcPr>
          <w:p>
            <w:pPr>
              <w:rPr>
                <w:rFonts w:hint="eastAsia" w:ascii="宋体" w:hAnsi="宋体" w:cs="宋体"/>
                <w:sz w:val="18"/>
                <w:szCs w:val="18"/>
              </w:rPr>
            </w:pPr>
            <w:r>
              <w:rPr>
                <w:rFonts w:hint="eastAsia" w:ascii="宋体" w:hAnsi="宋体" w:cs="宋体"/>
                <w:bCs/>
                <w:sz w:val="18"/>
                <w:szCs w:val="18"/>
              </w:rPr>
              <w:t>完善精密度数据，补充试验数据。</w:t>
            </w:r>
          </w:p>
        </w:tc>
        <w:tc>
          <w:tcPr>
            <w:tcW w:w="1701" w:type="dxa"/>
            <w:tcBorders>
              <w:top w:val="single" w:color="auto" w:sz="4" w:space="0"/>
              <w:bottom w:val="single" w:color="auto" w:sz="4" w:space="0"/>
            </w:tcBorders>
            <w:vAlign w:val="center"/>
          </w:tcPr>
          <w:p>
            <w:pPr>
              <w:spacing w:line="240" w:lineRule="atLeast"/>
              <w:jc w:val="left"/>
              <w:rPr>
                <w:rFonts w:hint="eastAsia" w:ascii="宋体" w:hAnsi="宋体" w:cs="宋体"/>
                <w:sz w:val="18"/>
                <w:szCs w:val="18"/>
              </w:rPr>
            </w:pPr>
            <w:r>
              <w:rPr>
                <w:rFonts w:hint="eastAsia" w:ascii="宋体" w:hAnsi="宋体"/>
                <w:sz w:val="18"/>
                <w:szCs w:val="18"/>
              </w:rPr>
              <w:t>中金岭南有色金属股份有限公司</w:t>
            </w:r>
          </w:p>
        </w:tc>
        <w:tc>
          <w:tcPr>
            <w:tcW w:w="709" w:type="dxa"/>
            <w:tcBorders>
              <w:top w:val="single" w:color="auto" w:sz="4"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4" w:space="0"/>
              <w:bottom w:val="single" w:color="auto" w:sz="4" w:space="0"/>
            </w:tcBorders>
            <w:vAlign w:val="center"/>
          </w:tcPr>
          <w:p>
            <w:pPr>
              <w:jc w:val="lef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5" w:type="dxa"/>
            <w:tcBorders>
              <w:top w:val="single" w:color="auto" w:sz="4"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15</w:t>
            </w:r>
          </w:p>
        </w:tc>
        <w:tc>
          <w:tcPr>
            <w:tcW w:w="1418" w:type="dxa"/>
            <w:tcBorders>
              <w:top w:val="single" w:color="auto" w:sz="4"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文本格式</w:t>
            </w:r>
          </w:p>
        </w:tc>
        <w:tc>
          <w:tcPr>
            <w:tcW w:w="3118" w:type="dxa"/>
            <w:tcBorders>
              <w:top w:val="single" w:color="auto" w:sz="4" w:space="0"/>
              <w:bottom w:val="single" w:color="auto" w:sz="4" w:space="0"/>
            </w:tcBorders>
            <w:vAlign w:val="center"/>
          </w:tcPr>
          <w:p>
            <w:pPr>
              <w:rPr>
                <w:rFonts w:hint="eastAsia" w:ascii="宋体" w:hAnsi="宋体" w:cs="宋体"/>
                <w:sz w:val="18"/>
                <w:szCs w:val="18"/>
              </w:rPr>
            </w:pPr>
            <w:r>
              <w:rPr>
                <w:rFonts w:hint="eastAsia" w:ascii="宋体" w:hAnsi="宋体" w:cs="宋体"/>
                <w:sz w:val="18"/>
                <w:szCs w:val="18"/>
              </w:rPr>
              <w:t>严格按照最新国家标准编写规范撰写。</w:t>
            </w:r>
          </w:p>
        </w:tc>
        <w:tc>
          <w:tcPr>
            <w:tcW w:w="1701" w:type="dxa"/>
            <w:tcBorders>
              <w:top w:val="single" w:color="auto" w:sz="4"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中国有色金属工业标准计量质量研究所</w:t>
            </w:r>
          </w:p>
        </w:tc>
        <w:tc>
          <w:tcPr>
            <w:tcW w:w="709" w:type="dxa"/>
            <w:tcBorders>
              <w:top w:val="single" w:color="auto" w:sz="4"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676" w:type="dxa"/>
            <w:tcBorders>
              <w:top w:val="single" w:color="auto" w:sz="4" w:space="0"/>
              <w:bottom w:val="single" w:color="auto" w:sz="4" w:space="0"/>
            </w:tcBorders>
            <w:vAlign w:val="center"/>
          </w:tcPr>
          <w:p>
            <w:pPr>
              <w:jc w:val="center"/>
              <w:rPr>
                <w:rFonts w:hint="eastAsia"/>
                <w:sz w:val="18"/>
                <w:szCs w:val="18"/>
              </w:rPr>
            </w:pPr>
          </w:p>
        </w:tc>
      </w:tr>
    </w:tbl>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2018年10月至2019年6月，标准编制小组与</w:t>
      </w:r>
      <w:r>
        <w:rPr>
          <w:rFonts w:hint="eastAsia" w:ascii="宋体" w:hAnsi="宋体"/>
        </w:rPr>
        <w:t>贵州省分析测试研究院、长沙矿冶研究院有限责任公司等验证单位</w:t>
      </w:r>
      <w:r>
        <w:rPr>
          <w:rFonts w:hint="eastAsia" w:ascii="宋体" w:hAnsi="宋体"/>
          <w:szCs w:val="21"/>
        </w:rPr>
        <w:t>联系，对标准进行复验和复核验证，</w:t>
      </w:r>
      <w:r>
        <w:rPr>
          <w:rFonts w:hint="eastAsia" w:ascii="宋体" w:hAnsi="宋体"/>
        </w:rPr>
        <w:t>起草项目组汇总上述意见和建议，</w:t>
      </w:r>
      <w:r>
        <w:rPr>
          <w:rFonts w:hint="eastAsia" w:ascii="宋体" w:hAnsi="宋体"/>
          <w:szCs w:val="21"/>
        </w:rPr>
        <w:t>结合国家标准委及全国有色金属标准化委员会对标准制修订的最新要求，</w:t>
      </w:r>
      <w:r>
        <w:rPr>
          <w:rFonts w:hint="eastAsia" w:hAnsi="宋体"/>
          <w:szCs w:val="21"/>
        </w:rPr>
        <w:t>汇总统计了</w:t>
      </w:r>
      <w:r>
        <w:rPr>
          <w:rFonts w:hint="eastAsia" w:ascii="宋体" w:hAnsi="宋体"/>
        </w:rPr>
        <w:t>贵州省分析测试研究院、长沙矿冶研究院有限责任公司</w:t>
      </w:r>
      <w:r>
        <w:rPr>
          <w:rFonts w:hint="eastAsia" w:hAnsi="宋体"/>
          <w:szCs w:val="21"/>
        </w:rPr>
        <w:t>等单位的复验、复核结果，以及征求意见</w:t>
      </w:r>
      <w:r>
        <w:rPr>
          <w:rFonts w:hAnsi="宋体"/>
          <w:szCs w:val="21"/>
        </w:rPr>
        <w:t>并</w:t>
      </w:r>
      <w:r>
        <w:rPr>
          <w:rFonts w:hint="eastAsia" w:hAnsi="宋体"/>
          <w:szCs w:val="21"/>
        </w:rPr>
        <w:t>吸纳合理建议的基础上，形成了</w:t>
      </w:r>
      <w:r>
        <w:rPr>
          <w:rFonts w:hint="eastAsia" w:ascii="宋体" w:hAnsi="宋体"/>
          <w:szCs w:val="21"/>
        </w:rPr>
        <w:t>《预审稿》和《预审稿编制说明》。</w:t>
      </w:r>
    </w:p>
    <w:p>
      <w:pPr>
        <w:tabs>
          <w:tab w:val="left" w:pos="540"/>
        </w:tabs>
        <w:adjustRightInd w:val="0"/>
        <w:snapToGrid w:val="0"/>
        <w:spacing w:beforeLines="50" w:afterLines="50" w:line="360" w:lineRule="auto"/>
        <w:rPr>
          <w:rFonts w:ascii="黑体" w:hAnsi="黑体" w:eastAsia="黑体"/>
          <w:sz w:val="24"/>
        </w:rPr>
      </w:pPr>
      <w:r>
        <w:rPr>
          <w:rFonts w:hint="eastAsia" w:ascii="黑体" w:hAnsi="宋体" w:eastAsia="黑体"/>
          <w:sz w:val="24"/>
        </w:rPr>
        <w:t>三、</w:t>
      </w:r>
      <w:r>
        <w:rPr>
          <w:rFonts w:hint="eastAsia" w:ascii="黑体" w:hAnsi="黑体" w:eastAsia="黑体"/>
          <w:sz w:val="24"/>
        </w:rPr>
        <w:t>标准的编制原则</w:t>
      </w:r>
    </w:p>
    <w:p>
      <w:pPr>
        <w:spacing w:line="360" w:lineRule="auto"/>
        <w:rPr>
          <w:rFonts w:ascii="宋体" w:hAnsi="宋体" w:cs="宋体"/>
          <w:szCs w:val="21"/>
        </w:rPr>
      </w:pPr>
      <w:r>
        <w:rPr>
          <w:rFonts w:hint="eastAsia" w:ascii="黑体" w:hAnsi="黑体" w:eastAsia="黑体" w:cs="宋体"/>
          <w:szCs w:val="21"/>
        </w:rPr>
        <w:t>1、</w:t>
      </w:r>
      <w:r>
        <w:rPr>
          <w:rFonts w:hint="eastAsia" w:ascii="宋体" w:hAnsi="宋体" w:cs="宋体"/>
          <w:szCs w:val="21"/>
        </w:rPr>
        <w:t xml:space="preserve">符合性：该标准按照GB/T 1.1—2009《标准化工作导则 第1部分：标准的结构和编写》、GB/T </w:t>
      </w:r>
      <w:r>
        <w:rPr>
          <w:rFonts w:ascii="宋体" w:hAnsi="宋体" w:cs="宋体"/>
          <w:szCs w:val="21"/>
        </w:rPr>
        <w:t>20001.4-2015</w:t>
      </w:r>
      <w:r>
        <w:rPr>
          <w:rFonts w:hint="eastAsia" w:ascii="宋体" w:hAnsi="宋体" w:cs="宋体"/>
          <w:szCs w:val="21"/>
        </w:rPr>
        <w:t>《标准编写规则 第4部分：试验方法标准》的要求对本部分进行了编写。</w:t>
      </w:r>
    </w:p>
    <w:p>
      <w:pPr>
        <w:spacing w:line="360" w:lineRule="auto"/>
        <w:rPr>
          <w:rFonts w:ascii="宋体" w:hAnsi="宋体" w:cs="宋体"/>
          <w:szCs w:val="21"/>
        </w:rPr>
      </w:pPr>
      <w:r>
        <w:rPr>
          <w:rFonts w:hint="eastAsia" w:ascii="黑体" w:hAnsi="黑体" w:eastAsia="黑体" w:cs="宋体"/>
          <w:szCs w:val="21"/>
        </w:rPr>
        <w:t>2、</w:t>
      </w:r>
      <w:r>
        <w:rPr>
          <w:rFonts w:hint="eastAsia" w:ascii="宋体" w:hAnsi="宋体" w:cs="宋体"/>
          <w:szCs w:val="21"/>
        </w:rPr>
        <w:t>合理性：</w:t>
      </w:r>
      <w:r>
        <w:rPr>
          <w:rFonts w:ascii="宋体" w:hAnsi="宋体"/>
          <w:szCs w:val="21"/>
        </w:rPr>
        <w:t>以满足我国</w:t>
      </w:r>
      <w:r>
        <w:rPr>
          <w:rFonts w:hint="eastAsia" w:ascii="Times New Roman" w:hAnsi="宋体" w:cs="宋体"/>
        </w:rPr>
        <w:t>铝及铝合金产品</w:t>
      </w:r>
      <w:r>
        <w:rPr>
          <w:rFonts w:ascii="宋体" w:hAnsi="宋体"/>
          <w:szCs w:val="21"/>
        </w:rPr>
        <w:t>实际生产和使用的需要为原则</w:t>
      </w:r>
      <w:r>
        <w:rPr>
          <w:rFonts w:hint="eastAsia" w:ascii="宋体" w:hAnsi="宋体"/>
          <w:szCs w:val="21"/>
        </w:rPr>
        <w:t>，</w:t>
      </w:r>
      <w:r>
        <w:rPr>
          <w:rFonts w:ascii="宋体" w:hAnsi="宋体"/>
          <w:szCs w:val="21"/>
        </w:rPr>
        <w:t>与实际相结合</w:t>
      </w:r>
      <w:r>
        <w:rPr>
          <w:rFonts w:hint="eastAsia" w:ascii="宋体" w:hAnsi="宋体"/>
          <w:szCs w:val="21"/>
        </w:rPr>
        <w:t>，</w:t>
      </w:r>
      <w:r>
        <w:rPr>
          <w:rFonts w:ascii="宋体" w:hAnsi="宋体"/>
          <w:szCs w:val="21"/>
        </w:rPr>
        <w:t>提高标准的适用性。</w:t>
      </w:r>
      <w:r>
        <w:rPr>
          <w:rFonts w:hint="eastAsia" w:ascii="宋体" w:hAnsi="宋体" w:cs="宋体"/>
          <w:szCs w:val="21"/>
        </w:rPr>
        <w:t>反映当前国内各生产企业的技术水平，宜于应用，经济上合理，兼顾现有资源的合理配置，提高了标准的可操作性。</w:t>
      </w:r>
    </w:p>
    <w:p>
      <w:pPr>
        <w:spacing w:line="360" w:lineRule="auto"/>
        <w:rPr>
          <w:rFonts w:ascii="宋体" w:hAnsi="宋体" w:cs="宋体"/>
          <w:szCs w:val="21"/>
        </w:rPr>
      </w:pPr>
      <w:r>
        <w:rPr>
          <w:rFonts w:hint="eastAsia" w:ascii="黑体" w:hAnsi="黑体" w:eastAsia="黑体" w:cs="宋体"/>
          <w:szCs w:val="21"/>
        </w:rPr>
        <w:t>3、</w:t>
      </w:r>
      <w:r>
        <w:rPr>
          <w:rFonts w:hint="eastAsia" w:ascii="宋体" w:hAnsi="宋体" w:cs="宋体"/>
          <w:szCs w:val="21"/>
        </w:rPr>
        <w:t>先进性：该方法操作</w:t>
      </w:r>
      <w:r>
        <w:rPr>
          <w:rFonts w:ascii="宋体" w:hAnsi="宋体" w:cs="宋体"/>
          <w:szCs w:val="21"/>
        </w:rPr>
        <w:t>简</w:t>
      </w:r>
      <w:r>
        <w:rPr>
          <w:rFonts w:hint="eastAsia" w:ascii="宋体" w:hAnsi="宋体" w:cs="宋体"/>
          <w:szCs w:val="21"/>
        </w:rPr>
        <w:t>便</w:t>
      </w:r>
      <w:r>
        <w:rPr>
          <w:rFonts w:ascii="宋体" w:hAnsi="宋体" w:cs="宋体"/>
          <w:szCs w:val="21"/>
        </w:rPr>
        <w:t>，</w:t>
      </w:r>
      <w:r>
        <w:rPr>
          <w:rFonts w:hint="eastAsia" w:ascii="宋体" w:hAnsi="宋体" w:cs="宋体"/>
          <w:szCs w:val="21"/>
        </w:rPr>
        <w:t>系统稳定，工作效率高，精密度和准确度好，</w:t>
      </w:r>
      <w:r>
        <w:rPr>
          <w:rFonts w:ascii="宋体" w:hAnsi="宋体" w:cs="宋体"/>
          <w:szCs w:val="21"/>
        </w:rPr>
        <w:t>能很好</w:t>
      </w:r>
      <w:r>
        <w:rPr>
          <w:rFonts w:hint="eastAsia" w:ascii="宋体" w:hAnsi="宋体" w:cs="宋体"/>
          <w:szCs w:val="21"/>
        </w:rPr>
        <w:t>地满足产品的需要</w:t>
      </w:r>
      <w:r>
        <w:rPr>
          <w:rFonts w:hint="eastAsia" w:hAnsi="宋体"/>
          <w:kern w:val="1"/>
          <w:szCs w:val="21"/>
        </w:rPr>
        <w:t>。</w:t>
      </w:r>
    </w:p>
    <w:p>
      <w:pPr>
        <w:pStyle w:val="2"/>
        <w:keepNext w:val="0"/>
        <w:spacing w:beforeLines="50" w:afterLines="50" w:line="360" w:lineRule="auto"/>
        <w:jc w:val="left"/>
        <w:rPr>
          <w:rFonts w:ascii="黑体" w:hAnsi="黑体" w:eastAsia="黑体"/>
          <w:sz w:val="24"/>
        </w:rPr>
      </w:pPr>
      <w:r>
        <w:rPr>
          <w:rFonts w:hint="eastAsia" w:ascii="黑体" w:hAnsi="黑体" w:eastAsia="黑体"/>
          <w:sz w:val="24"/>
        </w:rPr>
        <w:t>四、确定标准主要内容的依据</w:t>
      </w:r>
    </w:p>
    <w:p>
      <w:pPr>
        <w:spacing w:beforeLines="50" w:afterLines="50" w:line="360" w:lineRule="auto"/>
        <w:rPr>
          <w:rFonts w:ascii="宋体" w:hAnsi="宋体" w:eastAsia="黑体"/>
          <w:sz w:val="24"/>
        </w:rPr>
      </w:pPr>
      <w:r>
        <w:rPr>
          <w:rFonts w:hint="eastAsia" w:ascii="黑体" w:hAnsi="黑体" w:eastAsia="黑体"/>
          <w:sz w:val="24"/>
        </w:rPr>
        <w:t>方法一：二甲酚橙分光光度法研究过程</w:t>
      </w:r>
    </w:p>
    <w:p>
      <w:pPr>
        <w:spacing w:line="360" w:lineRule="auto"/>
        <w:rPr>
          <w:rFonts w:ascii="黑体" w:hAnsi="宋体" w:eastAsia="黑体"/>
          <w:szCs w:val="21"/>
        </w:rPr>
      </w:pPr>
      <w:r>
        <w:rPr>
          <w:rFonts w:hint="eastAsia" w:ascii="黑体" w:hAnsi="宋体" w:eastAsia="黑体"/>
          <w:szCs w:val="21"/>
        </w:rPr>
        <w:t>3.1 测定范围的选择</w:t>
      </w:r>
    </w:p>
    <w:p>
      <w:pPr>
        <w:spacing w:line="360" w:lineRule="auto"/>
        <w:ind w:firstLine="420"/>
        <w:rPr>
          <w:rFonts w:ascii="宋体" w:hAnsi="宋体"/>
          <w:szCs w:val="21"/>
        </w:rPr>
      </w:pPr>
      <w:r>
        <w:rPr>
          <w:rFonts w:hint="eastAsia" w:ascii="宋体" w:hAnsi="宋体"/>
          <w:szCs w:val="21"/>
        </w:rPr>
        <w:t>GB/T 20975.19-2008《铝及铝合金化学分析方法 第19部分：锆含量的测定》中“方法一：</w:t>
      </w:r>
      <w:r>
        <w:rPr>
          <w:rFonts w:hint="eastAsia"/>
          <w:szCs w:val="21"/>
        </w:rPr>
        <w:t>二甲酚橙分光光度法</w:t>
      </w:r>
      <w:r>
        <w:rPr>
          <w:rFonts w:hint="eastAsia" w:ascii="宋体" w:hAnsi="宋体"/>
          <w:szCs w:val="21"/>
        </w:rPr>
        <w:t>”规定锆的测定范围为0.040%～0.50%，能够满足标准颁布实施当时各种牌号铝及铝合金中锆含量分析需求。此次标准起草中，项目小组经过查询GB/T 8733－2016《铸造铝合金锭》、GB/T 3190－201X《变形铝及铝合金化学成分》、GB/T 1196－2017《重熔用铝锭》、YS/T 275－2008《高纯铝》、YS/T 665－2009《重熔用精铝锭》等相关铝及铝合金产品标准，发现在GB/T 3190－201X《变形铝及铝合金化学成分》中“8A07” 规定锆的质量分数要求为0.01%～0.50%、“2004”规定锆的质量分数要求为0.30%～0.50%、“211Z.1”规定锆的质量分数要求为0.05%～0.50%、“8077”规定锆的质量分数要求为0.02%～0.08%，为了满足上述牌号中测定锆含量的要求，将锆的测定范围定为0.01%～1.0%。</w:t>
      </w:r>
    </w:p>
    <w:p>
      <w:pPr>
        <w:spacing w:line="360" w:lineRule="auto"/>
        <w:rPr>
          <w:rFonts w:ascii="黑体" w:hAnsi="宋体" w:eastAsia="黑体"/>
          <w:szCs w:val="21"/>
        </w:rPr>
      </w:pPr>
      <w:r>
        <w:rPr>
          <w:rFonts w:hint="eastAsia" w:ascii="黑体" w:hAnsi="宋体" w:eastAsia="黑体"/>
          <w:szCs w:val="21"/>
        </w:rPr>
        <w:t>3.2共存离子的影响</w:t>
      </w:r>
    </w:p>
    <w:p>
      <w:pPr>
        <w:spacing w:line="360" w:lineRule="auto"/>
        <w:ind w:firstLine="420" w:firstLineChars="200"/>
        <w:rPr>
          <w:rFonts w:ascii="宋体" w:hAnsi="宋体"/>
          <w:szCs w:val="21"/>
        </w:rPr>
      </w:pPr>
      <w:r>
        <w:rPr>
          <w:rFonts w:hint="eastAsia" w:ascii="宋体" w:hAnsi="宋体"/>
          <w:szCs w:val="21"/>
        </w:rPr>
        <w:t>标准起草项目组通过对GB/T 8733－2016《铸造铝合金锭》、GB/T 3190－201X《变形铝及铝合金化学成分》、GB/T 1196－2017《重熔用铝锭》、YS/T 275－2008《高纯铝》、YS/T 665－2009《重熔用精铝锭》等相关铝及铝合金产品标准中分析检测锆含量的牌号进行查对，在不考虑高含量Si对锆元素的干扰时，方法需要考虑的铝及铝合金牌号为：16%Ti（AlTi15）对Zr（0.20%）的影响；11%Mg（520Z.1）对Zr（0.20%）的影响；8.4%Zn（7255）对Zr（0.10%）的影响；7.5%Cu（211Z.1）对Zr（0.05%）的影响；5.0%RE（907Z.1）对Zr（0.15%）的影响；4.2%Li（8024）对Zr（0.08%）的影响；1.8%Mn（3009）对Zr（0.05%）的影响；1.4%Ni（2618A）对Zr（0.05%）的影响；1.5%Bi（6065）对Zr（0.15%）的影响；0.7%Ag（2016）对Zr（0.10%）的影响；0.5%Cd（211Z.1）对Zr（0.05%）的影响等11种情况。按照GB/T 20975.19-2008《铝及铝合金化学分析方法 第19部分：锆含量的测定》</w:t>
      </w:r>
      <w:r>
        <w:rPr>
          <w:rFonts w:hint="eastAsia" w:ascii="宋体" w:hAnsi="宋体"/>
          <w:bCs/>
          <w:color w:val="000000"/>
          <w:szCs w:val="21"/>
        </w:rPr>
        <w:t>中的规定，不同锆含量采取不同的称样量，见表1。</w:t>
      </w:r>
      <w:r>
        <w:rPr>
          <w:rFonts w:hint="eastAsia" w:ascii="宋体" w:hAnsi="宋体"/>
          <w:szCs w:val="21"/>
        </w:rPr>
        <w:t>按照表1计算的共存元素最大加入量见表2。</w:t>
      </w:r>
    </w:p>
    <w:p>
      <w:pPr>
        <w:jc w:val="center"/>
        <w:rPr>
          <w:rFonts w:ascii="宋体" w:hAnsi="宋体"/>
          <w:bCs/>
          <w:color w:val="000000"/>
          <w:szCs w:val="21"/>
        </w:rPr>
      </w:pPr>
      <w:r>
        <w:rPr>
          <w:rFonts w:hint="eastAsia" w:ascii="宋体" w:hAnsi="宋体"/>
          <w:bCs/>
          <w:color w:val="000000"/>
          <w:szCs w:val="21"/>
        </w:rPr>
        <w:t>表1</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6"/>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tcPr>
          <w:p>
            <w:pPr>
              <w:jc w:val="center"/>
              <w:rPr>
                <w:rFonts w:ascii="宋体" w:hAnsi="宋体"/>
                <w:bCs/>
                <w:color w:val="000000"/>
                <w:szCs w:val="21"/>
              </w:rPr>
            </w:pPr>
            <w:r>
              <w:rPr>
                <w:rFonts w:hint="eastAsia" w:ascii="宋体" w:hAnsi="宋体"/>
                <w:bCs/>
                <w:color w:val="000000"/>
                <w:szCs w:val="21"/>
              </w:rPr>
              <w:t>锆的质量分数/%</w:t>
            </w:r>
          </w:p>
        </w:tc>
        <w:tc>
          <w:tcPr>
            <w:tcW w:w="4066" w:type="dxa"/>
          </w:tcPr>
          <w:p>
            <w:pPr>
              <w:jc w:val="center"/>
              <w:rPr>
                <w:rFonts w:ascii="宋体" w:hAnsi="宋体"/>
                <w:bCs/>
                <w:color w:val="000000"/>
                <w:szCs w:val="21"/>
              </w:rPr>
            </w:pPr>
            <w:r>
              <w:rPr>
                <w:rFonts w:hint="eastAsia" w:ascii="宋体" w:hAnsi="宋体"/>
                <w:bCs/>
                <w:color w:val="000000"/>
                <w:szCs w:val="21"/>
              </w:rPr>
              <w:t>试料量/g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szCs w:val="21"/>
              </w:rPr>
            </w:pPr>
            <w:r>
              <w:rPr>
                <w:rFonts w:hint="eastAsia" w:ascii="宋体" w:hAnsi="宋体"/>
                <w:szCs w:val="21"/>
              </w:rPr>
              <w:t>0.010～0.050</w:t>
            </w:r>
          </w:p>
        </w:tc>
        <w:tc>
          <w:tcPr>
            <w:tcW w:w="4066" w:type="dxa"/>
          </w:tcPr>
          <w:p>
            <w:pPr>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szCs w:val="21"/>
              </w:rPr>
            </w:pPr>
            <w:r>
              <w:rPr>
                <w:rFonts w:hint="eastAsia" w:ascii="宋体" w:hAnsi="宋体"/>
                <w:szCs w:val="21"/>
              </w:rPr>
              <w:t>＞0.050～0.50</w:t>
            </w:r>
          </w:p>
        </w:tc>
        <w:tc>
          <w:tcPr>
            <w:tcW w:w="4066" w:type="dxa"/>
          </w:tcPr>
          <w:p>
            <w:pPr>
              <w:jc w:val="center"/>
              <w:rPr>
                <w:rFonts w:ascii="宋体" w:hAnsi="宋体"/>
                <w:color w:val="000000"/>
                <w:szCs w:val="21"/>
              </w:rPr>
            </w:pPr>
            <w:r>
              <w:rPr>
                <w:rFonts w:hint="eastAsia" w:ascii="宋体" w:hAnsi="宋体"/>
                <w:color w:val="000000"/>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szCs w:val="21"/>
              </w:rPr>
            </w:pPr>
            <w:r>
              <w:rPr>
                <w:rFonts w:hint="eastAsia" w:ascii="宋体" w:hAnsi="宋体"/>
                <w:szCs w:val="21"/>
              </w:rPr>
              <w:t>＞0.50～1.0</w:t>
            </w:r>
          </w:p>
        </w:tc>
        <w:tc>
          <w:tcPr>
            <w:tcW w:w="4066" w:type="dxa"/>
          </w:tcPr>
          <w:p>
            <w:pPr>
              <w:jc w:val="center"/>
              <w:rPr>
                <w:rFonts w:ascii="宋体" w:hAnsi="宋体"/>
                <w:color w:val="000000"/>
                <w:szCs w:val="21"/>
              </w:rPr>
            </w:pPr>
            <w:r>
              <w:rPr>
                <w:rFonts w:hint="eastAsia" w:ascii="宋体" w:hAnsi="宋体"/>
                <w:color w:val="000000"/>
                <w:szCs w:val="21"/>
              </w:rPr>
              <w:t>0.25</w:t>
            </w:r>
          </w:p>
        </w:tc>
      </w:tr>
    </w:tbl>
    <w:p>
      <w:pPr>
        <w:jc w:val="center"/>
        <w:rPr>
          <w:rFonts w:ascii="宋体" w:hAnsi="宋体"/>
          <w:bCs/>
          <w:color w:val="000000"/>
          <w:szCs w:val="21"/>
        </w:rPr>
      </w:pPr>
    </w:p>
    <w:p>
      <w:pPr>
        <w:jc w:val="center"/>
        <w:rPr>
          <w:rFonts w:ascii="宋体" w:hAnsi="宋体"/>
          <w:bCs/>
          <w:color w:val="000000"/>
          <w:szCs w:val="21"/>
        </w:rPr>
      </w:pPr>
      <w:r>
        <w:rPr>
          <w:rFonts w:hint="eastAsia" w:ascii="宋体" w:hAnsi="宋体"/>
          <w:bCs/>
          <w:color w:val="000000"/>
          <w:szCs w:val="21"/>
        </w:rPr>
        <w:t>表2</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4"/>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bCs/>
                <w:color w:val="000000"/>
                <w:szCs w:val="21"/>
              </w:rPr>
              <w:t>最大量共存元素合金牌号</w:t>
            </w:r>
          </w:p>
        </w:tc>
        <w:tc>
          <w:tcPr>
            <w:tcW w:w="1984" w:type="dxa"/>
          </w:tcPr>
          <w:p>
            <w:pPr>
              <w:jc w:val="center"/>
              <w:rPr>
                <w:rFonts w:ascii="宋体" w:hAnsi="宋体"/>
                <w:bCs/>
                <w:color w:val="000000"/>
                <w:szCs w:val="21"/>
              </w:rPr>
            </w:pPr>
            <w:r>
              <w:rPr>
                <w:rFonts w:hint="eastAsia" w:ascii="宋体" w:hAnsi="宋体"/>
                <w:bCs/>
                <w:color w:val="000000"/>
                <w:szCs w:val="21"/>
              </w:rPr>
              <w:t>锆的质量分数/%</w:t>
            </w:r>
          </w:p>
        </w:tc>
        <w:tc>
          <w:tcPr>
            <w:tcW w:w="1418" w:type="dxa"/>
          </w:tcPr>
          <w:p>
            <w:pPr>
              <w:jc w:val="center"/>
              <w:rPr>
                <w:rFonts w:ascii="宋体" w:hAnsi="宋体"/>
                <w:bCs/>
                <w:color w:val="000000"/>
                <w:szCs w:val="21"/>
              </w:rPr>
            </w:pPr>
            <w:r>
              <w:rPr>
                <w:rFonts w:hint="eastAsia" w:ascii="宋体" w:hAnsi="宋体"/>
                <w:bCs/>
                <w:color w:val="000000"/>
                <w:szCs w:val="21"/>
              </w:rPr>
              <w:t>试料量/g</w:t>
            </w:r>
          </w:p>
        </w:tc>
        <w:tc>
          <w:tcPr>
            <w:tcW w:w="2126" w:type="dxa"/>
          </w:tcPr>
          <w:p>
            <w:pPr>
              <w:jc w:val="center"/>
              <w:rPr>
                <w:rFonts w:ascii="宋体" w:hAnsi="宋体"/>
                <w:bCs/>
                <w:color w:val="000000"/>
                <w:szCs w:val="21"/>
              </w:rPr>
            </w:pPr>
            <w:r>
              <w:rPr>
                <w:rFonts w:hint="eastAsia" w:ascii="宋体" w:hAnsi="宋体"/>
                <w:bCs/>
                <w:color w:val="000000"/>
                <w:szCs w:val="21"/>
              </w:rPr>
              <w:t>共存元素最大量/mg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16%Ti（AlTi15）</w:t>
            </w:r>
          </w:p>
        </w:tc>
        <w:tc>
          <w:tcPr>
            <w:tcW w:w="1984" w:type="dxa"/>
          </w:tcPr>
          <w:p>
            <w:pPr>
              <w:jc w:val="center"/>
              <w:rPr>
                <w:rFonts w:ascii="宋体" w:hAnsi="宋体"/>
                <w:bCs/>
                <w:color w:val="000000"/>
                <w:szCs w:val="21"/>
              </w:rPr>
            </w:pPr>
            <w:r>
              <w:rPr>
                <w:rFonts w:hint="eastAsia" w:ascii="宋体" w:hAnsi="宋体"/>
                <w:szCs w:val="21"/>
              </w:rPr>
              <w:t>0.20</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11%Mg（520Z.1）</w:t>
            </w:r>
          </w:p>
        </w:tc>
        <w:tc>
          <w:tcPr>
            <w:tcW w:w="1984" w:type="dxa"/>
          </w:tcPr>
          <w:p>
            <w:pPr>
              <w:jc w:val="center"/>
              <w:rPr>
                <w:rFonts w:ascii="宋体" w:hAnsi="宋体"/>
                <w:bCs/>
                <w:color w:val="000000"/>
                <w:szCs w:val="21"/>
              </w:rPr>
            </w:pPr>
            <w:r>
              <w:rPr>
                <w:rFonts w:hint="eastAsia" w:ascii="宋体" w:hAnsi="宋体"/>
                <w:szCs w:val="21"/>
              </w:rPr>
              <w:t>0.20</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8.4%Zn（7255）</w:t>
            </w:r>
          </w:p>
        </w:tc>
        <w:tc>
          <w:tcPr>
            <w:tcW w:w="1984" w:type="dxa"/>
          </w:tcPr>
          <w:p>
            <w:pPr>
              <w:jc w:val="center"/>
              <w:rPr>
                <w:rFonts w:ascii="宋体" w:hAnsi="宋体"/>
                <w:bCs/>
                <w:color w:val="000000"/>
                <w:szCs w:val="21"/>
              </w:rPr>
            </w:pPr>
            <w:r>
              <w:rPr>
                <w:rFonts w:hint="eastAsia" w:ascii="宋体" w:hAnsi="宋体"/>
                <w:szCs w:val="21"/>
              </w:rPr>
              <w:t>0.10</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7.5%Cu（211Z.1）</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5.0%RE（907Z.1）</w:t>
            </w:r>
          </w:p>
        </w:tc>
        <w:tc>
          <w:tcPr>
            <w:tcW w:w="1984" w:type="dxa"/>
          </w:tcPr>
          <w:p>
            <w:pPr>
              <w:jc w:val="center"/>
              <w:rPr>
                <w:rFonts w:ascii="宋体" w:hAnsi="宋体"/>
                <w:bCs/>
                <w:color w:val="000000"/>
                <w:szCs w:val="21"/>
              </w:rPr>
            </w:pPr>
            <w:r>
              <w:rPr>
                <w:rFonts w:hint="eastAsia" w:ascii="宋体" w:hAnsi="宋体"/>
                <w:szCs w:val="21"/>
              </w:rPr>
              <w:t>0.15</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4.2%Li（8024）</w:t>
            </w:r>
          </w:p>
        </w:tc>
        <w:tc>
          <w:tcPr>
            <w:tcW w:w="1984" w:type="dxa"/>
          </w:tcPr>
          <w:p>
            <w:pPr>
              <w:jc w:val="center"/>
              <w:rPr>
                <w:rFonts w:ascii="宋体" w:hAnsi="宋体"/>
                <w:bCs/>
                <w:color w:val="000000"/>
                <w:szCs w:val="21"/>
              </w:rPr>
            </w:pPr>
            <w:r>
              <w:rPr>
                <w:rFonts w:hint="eastAsia" w:ascii="宋体" w:hAnsi="宋体"/>
                <w:szCs w:val="21"/>
              </w:rPr>
              <w:t>0.08</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1.8%Mn（3009）</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1.4%Ni（2618A）</w:t>
            </w:r>
          </w:p>
        </w:tc>
        <w:tc>
          <w:tcPr>
            <w:tcW w:w="1984" w:type="dxa"/>
          </w:tcPr>
          <w:p>
            <w:pPr>
              <w:jc w:val="center"/>
              <w:rPr>
                <w:rFonts w:ascii="宋体" w:hAnsi="宋体"/>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1.5%Bi（6065）</w:t>
            </w:r>
          </w:p>
        </w:tc>
        <w:tc>
          <w:tcPr>
            <w:tcW w:w="1984" w:type="dxa"/>
          </w:tcPr>
          <w:p>
            <w:pPr>
              <w:jc w:val="center"/>
              <w:rPr>
                <w:rFonts w:ascii="宋体" w:hAnsi="宋体"/>
                <w:szCs w:val="21"/>
              </w:rPr>
            </w:pPr>
            <w:r>
              <w:rPr>
                <w:rFonts w:hint="eastAsia" w:ascii="宋体" w:hAnsi="宋体"/>
                <w:szCs w:val="21"/>
              </w:rPr>
              <w:t>0.15</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0.7%Ag（2016）</w:t>
            </w:r>
          </w:p>
        </w:tc>
        <w:tc>
          <w:tcPr>
            <w:tcW w:w="1984" w:type="dxa"/>
          </w:tcPr>
          <w:p>
            <w:pPr>
              <w:jc w:val="center"/>
              <w:rPr>
                <w:rFonts w:ascii="宋体" w:hAnsi="宋体"/>
                <w:szCs w:val="21"/>
              </w:rPr>
            </w:pPr>
            <w:r>
              <w:rPr>
                <w:rFonts w:hint="eastAsia" w:ascii="宋体" w:hAnsi="宋体"/>
                <w:szCs w:val="21"/>
              </w:rPr>
              <w:t>0.10</w:t>
            </w:r>
          </w:p>
        </w:tc>
        <w:tc>
          <w:tcPr>
            <w:tcW w:w="1418" w:type="dxa"/>
          </w:tcPr>
          <w:p>
            <w:pPr>
              <w:jc w:val="center"/>
              <w:rPr>
                <w:rFonts w:ascii="宋体" w:hAnsi="宋体"/>
                <w:bCs/>
                <w:color w:val="000000"/>
                <w:szCs w:val="21"/>
              </w:rPr>
            </w:pPr>
            <w:r>
              <w:rPr>
                <w:rFonts w:hint="eastAsia" w:ascii="宋体" w:hAnsi="宋体"/>
                <w:bCs/>
                <w:color w:val="000000"/>
                <w:szCs w:val="21"/>
              </w:rPr>
              <w:t>0.50</w:t>
            </w:r>
          </w:p>
        </w:tc>
        <w:tc>
          <w:tcPr>
            <w:tcW w:w="2126" w:type="dxa"/>
          </w:tcPr>
          <w:p>
            <w:pPr>
              <w:jc w:val="center"/>
              <w:rPr>
                <w:rFonts w:ascii="宋体" w:hAnsi="宋体"/>
                <w:bCs/>
                <w:color w:val="000000"/>
                <w:szCs w:val="21"/>
              </w:rPr>
            </w:pPr>
            <w:r>
              <w:rPr>
                <w:rFonts w:hint="eastAsia" w:ascii="宋体" w:hAnsi="宋体"/>
                <w:bCs/>
                <w:color w:val="00000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0.5%Cd（211Z.1）</w:t>
            </w:r>
          </w:p>
        </w:tc>
        <w:tc>
          <w:tcPr>
            <w:tcW w:w="1984" w:type="dxa"/>
          </w:tcPr>
          <w:p>
            <w:pPr>
              <w:jc w:val="center"/>
              <w:rPr>
                <w:rFonts w:ascii="宋体" w:hAnsi="宋体"/>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1.00</w:t>
            </w:r>
          </w:p>
        </w:tc>
        <w:tc>
          <w:tcPr>
            <w:tcW w:w="2126" w:type="dxa"/>
          </w:tcPr>
          <w:p>
            <w:pPr>
              <w:jc w:val="center"/>
              <w:rPr>
                <w:rFonts w:ascii="宋体" w:hAnsi="宋体"/>
                <w:bCs/>
                <w:color w:val="000000"/>
                <w:szCs w:val="21"/>
              </w:rPr>
            </w:pPr>
            <w:r>
              <w:rPr>
                <w:rFonts w:hint="eastAsia" w:ascii="宋体" w:hAnsi="宋体"/>
                <w:bCs/>
                <w:color w:val="000000"/>
                <w:szCs w:val="21"/>
              </w:rPr>
              <w:t>5</w:t>
            </w:r>
          </w:p>
        </w:tc>
      </w:tr>
    </w:tbl>
    <w:p>
      <w:pPr>
        <w:spacing w:line="360" w:lineRule="auto"/>
        <w:ind w:firstLine="420" w:firstLineChars="200"/>
        <w:rPr>
          <w:rFonts w:ascii="宋体" w:hAnsi="宋体"/>
          <w:szCs w:val="21"/>
        </w:rPr>
      </w:pPr>
      <w:r>
        <w:rPr>
          <w:rFonts w:hint="eastAsia" w:ascii="宋体" w:hAnsi="宋体"/>
          <w:szCs w:val="21"/>
        </w:rPr>
        <w:t>按照GB/T 20975.19-2008《铝及铝合金化学分析方法 第19部分：锆含量的测定》中“方法一：</w:t>
      </w:r>
      <w:r>
        <w:rPr>
          <w:rFonts w:hint="eastAsia"/>
          <w:szCs w:val="21"/>
        </w:rPr>
        <w:t>二甲酚橙分光光度法</w:t>
      </w:r>
      <w:r>
        <w:rPr>
          <w:rFonts w:hint="eastAsia" w:ascii="宋体" w:hAnsi="宋体"/>
          <w:szCs w:val="21"/>
        </w:rPr>
        <w:t>”</w:t>
      </w:r>
      <w:r>
        <w:rPr>
          <w:rFonts w:hint="eastAsia" w:ascii="宋体" w:hAnsi="宋体"/>
          <w:bCs/>
          <w:color w:val="000000"/>
          <w:szCs w:val="21"/>
        </w:rPr>
        <w:t>进行</w:t>
      </w:r>
      <w:r>
        <w:rPr>
          <w:rFonts w:hint="eastAsia" w:ascii="宋体" w:hAnsi="宋体"/>
          <w:szCs w:val="21"/>
        </w:rPr>
        <w:t>单元素干扰试验，结果见表3。</w:t>
      </w:r>
    </w:p>
    <w:p>
      <w:pPr>
        <w:jc w:val="center"/>
        <w:rPr>
          <w:rFonts w:ascii="宋体" w:hAnsi="宋体"/>
          <w:szCs w:val="21"/>
        </w:rPr>
      </w:pPr>
      <w:r>
        <w:rPr>
          <w:rFonts w:hint="eastAsia" w:ascii="宋体" w:hAnsi="宋体"/>
          <w:szCs w:val="21"/>
        </w:rPr>
        <w:t>表3  共存元素干扰试验（100μg锆）</w:t>
      </w:r>
    </w:p>
    <w:tbl>
      <w:tblPr>
        <w:tblStyle w:val="20"/>
        <w:tblW w:w="8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537"/>
        <w:gridCol w:w="1386"/>
        <w:gridCol w:w="179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共存离子</w:t>
            </w:r>
          </w:p>
        </w:tc>
        <w:tc>
          <w:tcPr>
            <w:tcW w:w="2537" w:type="dxa"/>
          </w:tcPr>
          <w:p>
            <w:pPr>
              <w:jc w:val="center"/>
              <w:rPr>
                <w:rFonts w:ascii="宋体" w:hAnsi="宋体"/>
                <w:szCs w:val="21"/>
              </w:rPr>
            </w:pPr>
            <w:r>
              <w:rPr>
                <w:rFonts w:hint="eastAsia" w:ascii="宋体" w:hAnsi="宋体"/>
                <w:szCs w:val="21"/>
              </w:rPr>
              <w:t>共存离子加入量（mg）</w:t>
            </w:r>
          </w:p>
        </w:tc>
        <w:tc>
          <w:tcPr>
            <w:tcW w:w="1386" w:type="dxa"/>
          </w:tcPr>
          <w:p>
            <w:pPr>
              <w:jc w:val="center"/>
              <w:rPr>
                <w:rFonts w:ascii="宋体" w:hAnsi="宋体"/>
                <w:szCs w:val="21"/>
              </w:rPr>
            </w:pPr>
            <w:r>
              <w:rPr>
                <w:rFonts w:hint="eastAsia" w:ascii="宋体" w:hAnsi="宋体"/>
                <w:szCs w:val="21"/>
              </w:rPr>
              <w:t>加入形式</w:t>
            </w:r>
          </w:p>
        </w:tc>
        <w:tc>
          <w:tcPr>
            <w:tcW w:w="1791" w:type="dxa"/>
          </w:tcPr>
          <w:p>
            <w:pPr>
              <w:jc w:val="center"/>
              <w:rPr>
                <w:rFonts w:ascii="宋体" w:hAnsi="宋体"/>
                <w:szCs w:val="21"/>
              </w:rPr>
            </w:pPr>
            <w:r>
              <w:rPr>
                <w:rFonts w:hint="eastAsia" w:ascii="宋体" w:hAnsi="宋体"/>
                <w:szCs w:val="21"/>
              </w:rPr>
              <w:t>测得锆量（μg）</w:t>
            </w:r>
          </w:p>
        </w:tc>
        <w:tc>
          <w:tcPr>
            <w:tcW w:w="1265" w:type="dxa"/>
          </w:tcPr>
          <w:p>
            <w:pPr>
              <w:jc w:val="center"/>
              <w:rPr>
                <w:rFonts w:ascii="宋体" w:hAnsi="宋体"/>
                <w:szCs w:val="21"/>
              </w:rPr>
            </w:pPr>
            <w:r>
              <w:rPr>
                <w:rFonts w:hint="eastAsia" w:ascii="宋体" w:hAnsi="宋体"/>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Si</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10</w:t>
            </w:r>
          </w:p>
        </w:tc>
        <w:tc>
          <w:tcPr>
            <w:tcW w:w="1386" w:type="dxa"/>
          </w:tcPr>
          <w:p>
            <w:pPr>
              <w:jc w:val="center"/>
              <w:rPr>
                <w:rFonts w:ascii="宋体" w:hAnsi="宋体"/>
                <w:szCs w:val="21"/>
              </w:rPr>
            </w:pPr>
            <w:r>
              <w:rPr>
                <w:rFonts w:hint="eastAsia" w:ascii="宋体" w:hAnsi="宋体"/>
                <w:szCs w:val="21"/>
              </w:rPr>
              <w:t>Na</w:t>
            </w:r>
            <w:r>
              <w:rPr>
                <w:rFonts w:hint="eastAsia" w:ascii="宋体" w:hAnsi="宋体"/>
                <w:szCs w:val="21"/>
                <w:vertAlign w:val="subscript"/>
              </w:rPr>
              <w:t>2</w:t>
            </w:r>
            <w:r>
              <w:rPr>
                <w:rFonts w:hint="eastAsia" w:ascii="宋体" w:hAnsi="宋体"/>
                <w:szCs w:val="21"/>
              </w:rPr>
              <w:t>SiO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100.2</w:t>
            </w:r>
          </w:p>
        </w:tc>
        <w:tc>
          <w:tcPr>
            <w:tcW w:w="1265" w:type="dxa"/>
          </w:tcPr>
          <w:p>
            <w:pPr>
              <w:jc w:val="center"/>
              <w:rPr>
                <w:rFonts w:ascii="宋体" w:hAnsi="宋体"/>
                <w:szCs w:val="21"/>
              </w:rPr>
            </w:pPr>
            <w:r>
              <w:rPr>
                <w:rFonts w:hint="eastAsia" w:ascii="宋体" w:hAnsi="宋体"/>
                <w:szCs w:val="21"/>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Cu</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75</w:t>
            </w:r>
          </w:p>
        </w:tc>
        <w:tc>
          <w:tcPr>
            <w:tcW w:w="1386" w:type="dxa"/>
          </w:tcPr>
          <w:p>
            <w:pPr>
              <w:jc w:val="center"/>
              <w:rPr>
                <w:rFonts w:ascii="宋体" w:hAnsi="宋体"/>
                <w:szCs w:val="21"/>
              </w:rPr>
            </w:pPr>
            <w:r>
              <w:rPr>
                <w:rFonts w:hint="eastAsia" w:ascii="宋体" w:hAnsi="宋体"/>
                <w:szCs w:val="21"/>
              </w:rPr>
              <w:t>CuSO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99.5</w:t>
            </w:r>
          </w:p>
        </w:tc>
        <w:tc>
          <w:tcPr>
            <w:tcW w:w="1265" w:type="dxa"/>
          </w:tcPr>
          <w:p>
            <w:pPr>
              <w:jc w:val="center"/>
              <w:rPr>
                <w:rFonts w:ascii="宋体" w:hAnsi="宋体"/>
                <w:szCs w:val="21"/>
              </w:rPr>
            </w:pPr>
            <w:r>
              <w:rPr>
                <w:rFonts w:hint="eastAsia" w:ascii="宋体" w:hAnsi="宋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Mg</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55</w:t>
            </w:r>
          </w:p>
        </w:tc>
        <w:tc>
          <w:tcPr>
            <w:tcW w:w="1386" w:type="dxa"/>
          </w:tcPr>
          <w:p>
            <w:pPr>
              <w:jc w:val="center"/>
              <w:rPr>
                <w:rFonts w:ascii="宋体" w:hAnsi="宋体"/>
                <w:szCs w:val="21"/>
              </w:rPr>
            </w:pPr>
            <w:r>
              <w:rPr>
                <w:rFonts w:hint="eastAsia" w:ascii="宋体" w:hAnsi="宋体"/>
                <w:szCs w:val="21"/>
              </w:rPr>
              <w:t>MgSO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99.8</w:t>
            </w:r>
          </w:p>
        </w:tc>
        <w:tc>
          <w:tcPr>
            <w:tcW w:w="1265" w:type="dxa"/>
          </w:tcPr>
          <w:p>
            <w:pPr>
              <w:jc w:val="center"/>
              <w:rPr>
                <w:rFonts w:ascii="宋体" w:hAnsi="宋体"/>
                <w:szCs w:val="21"/>
              </w:rPr>
            </w:pPr>
            <w:r>
              <w:rPr>
                <w:rFonts w:hint="eastAsia" w:ascii="宋体" w:hAnsi="宋体"/>
                <w:szCs w:val="21"/>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18</w:t>
            </w:r>
          </w:p>
        </w:tc>
        <w:tc>
          <w:tcPr>
            <w:tcW w:w="1386" w:type="dxa"/>
          </w:tcPr>
          <w:p>
            <w:pPr>
              <w:jc w:val="center"/>
              <w:rPr>
                <w:rFonts w:ascii="宋体" w:hAnsi="宋体"/>
                <w:szCs w:val="21"/>
              </w:rPr>
            </w:pPr>
            <w:r>
              <w:rPr>
                <w:rFonts w:hint="eastAsia" w:ascii="宋体" w:hAnsi="宋体"/>
                <w:szCs w:val="21"/>
              </w:rPr>
              <w:t>MnSO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Zn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42</w:t>
            </w:r>
          </w:p>
        </w:tc>
        <w:tc>
          <w:tcPr>
            <w:tcW w:w="1386" w:type="dxa"/>
          </w:tcPr>
          <w:p>
            <w:pPr>
              <w:jc w:val="center"/>
              <w:rPr>
                <w:rFonts w:ascii="宋体" w:hAnsi="宋体"/>
                <w:szCs w:val="21"/>
              </w:rPr>
            </w:pPr>
            <w:r>
              <w:rPr>
                <w:rFonts w:hint="eastAsia" w:ascii="宋体" w:hAnsi="宋体"/>
                <w:szCs w:val="21"/>
              </w:rPr>
              <w:t>ZnSO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Ni</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14</w:t>
            </w:r>
          </w:p>
        </w:tc>
        <w:tc>
          <w:tcPr>
            <w:tcW w:w="1386" w:type="dxa"/>
          </w:tcPr>
          <w:p>
            <w:pPr>
              <w:jc w:val="center"/>
              <w:rPr>
                <w:rFonts w:ascii="宋体" w:hAnsi="宋体"/>
                <w:szCs w:val="21"/>
              </w:rPr>
            </w:pPr>
            <w:r>
              <w:rPr>
                <w:rFonts w:hint="eastAsia" w:ascii="宋体" w:hAnsi="宋体"/>
                <w:szCs w:val="21"/>
              </w:rPr>
              <w:t>NiSO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99.2</w:t>
            </w:r>
          </w:p>
        </w:tc>
        <w:tc>
          <w:tcPr>
            <w:tcW w:w="1265" w:type="dxa"/>
          </w:tcPr>
          <w:p>
            <w:pPr>
              <w:jc w:val="center"/>
              <w:rPr>
                <w:rFonts w:ascii="宋体" w:hAnsi="宋体"/>
                <w:szCs w:val="21"/>
              </w:rPr>
            </w:pPr>
            <w:r>
              <w:rPr>
                <w:rFonts w:hint="eastAsia" w:ascii="宋体" w:hAnsi="宋体"/>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Cd</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5</w:t>
            </w:r>
          </w:p>
        </w:tc>
        <w:tc>
          <w:tcPr>
            <w:tcW w:w="1386" w:type="dxa"/>
          </w:tcPr>
          <w:p>
            <w:pPr>
              <w:jc w:val="center"/>
              <w:rPr>
                <w:rFonts w:ascii="宋体" w:hAnsi="宋体"/>
                <w:szCs w:val="21"/>
              </w:rPr>
            </w:pPr>
            <w:r>
              <w:rPr>
                <w:rFonts w:hint="eastAsia" w:ascii="宋体" w:hAnsi="宋体"/>
                <w:szCs w:val="21"/>
              </w:rPr>
              <w:t>CdSO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100.2</w:t>
            </w:r>
          </w:p>
        </w:tc>
        <w:tc>
          <w:tcPr>
            <w:tcW w:w="1265" w:type="dxa"/>
          </w:tcPr>
          <w:p>
            <w:pPr>
              <w:jc w:val="center"/>
              <w:rPr>
                <w:rFonts w:ascii="宋体" w:hAnsi="宋体"/>
                <w:szCs w:val="21"/>
              </w:rPr>
            </w:pPr>
            <w:r>
              <w:rPr>
                <w:rFonts w:hint="eastAsia" w:ascii="宋体" w:hAnsi="宋体"/>
                <w:szCs w:val="21"/>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Li</w:t>
            </w:r>
            <w:r>
              <w:rPr>
                <w:rFonts w:hint="eastAsia" w:ascii="宋体" w:hAnsi="宋体"/>
                <w:szCs w:val="21"/>
                <w:vertAlign w:val="superscript"/>
              </w:rPr>
              <w:t>+</w:t>
            </w:r>
          </w:p>
        </w:tc>
        <w:tc>
          <w:tcPr>
            <w:tcW w:w="2537" w:type="dxa"/>
          </w:tcPr>
          <w:p>
            <w:pPr>
              <w:jc w:val="center"/>
              <w:rPr>
                <w:rFonts w:ascii="宋体" w:hAnsi="宋体"/>
                <w:szCs w:val="21"/>
              </w:rPr>
            </w:pPr>
            <w:r>
              <w:rPr>
                <w:rFonts w:hint="eastAsia" w:ascii="宋体" w:hAnsi="宋体"/>
                <w:szCs w:val="21"/>
              </w:rPr>
              <w:t>21</w:t>
            </w:r>
          </w:p>
        </w:tc>
        <w:tc>
          <w:tcPr>
            <w:tcW w:w="1386" w:type="dxa"/>
          </w:tcPr>
          <w:p>
            <w:pPr>
              <w:jc w:val="center"/>
              <w:rPr>
                <w:rFonts w:ascii="宋体" w:hAnsi="宋体"/>
                <w:szCs w:val="21"/>
              </w:rPr>
            </w:pPr>
            <w:r>
              <w:rPr>
                <w:rFonts w:hint="eastAsia" w:ascii="宋体" w:hAnsi="宋体"/>
                <w:szCs w:val="21"/>
              </w:rPr>
              <w:t>Li</w:t>
            </w:r>
            <w:r>
              <w:rPr>
                <w:rFonts w:hint="eastAsia" w:ascii="宋体" w:hAnsi="宋体"/>
                <w:szCs w:val="21"/>
                <w:vertAlign w:val="subscript"/>
              </w:rPr>
              <w:t>2</w:t>
            </w:r>
            <w:r>
              <w:rPr>
                <w:rFonts w:hint="eastAsia" w:ascii="宋体" w:hAnsi="宋体"/>
                <w:szCs w:val="21"/>
              </w:rPr>
              <w:t>CO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Ti</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80</w:t>
            </w:r>
          </w:p>
        </w:tc>
        <w:tc>
          <w:tcPr>
            <w:tcW w:w="1386" w:type="dxa"/>
          </w:tcPr>
          <w:p>
            <w:pPr>
              <w:jc w:val="center"/>
              <w:rPr>
                <w:rFonts w:ascii="宋体" w:hAnsi="宋体"/>
                <w:szCs w:val="21"/>
              </w:rPr>
            </w:pPr>
            <w:r>
              <w:rPr>
                <w:rFonts w:hint="eastAsia" w:ascii="宋体" w:hAnsi="宋体"/>
                <w:szCs w:val="21"/>
              </w:rPr>
              <w:t>TiOSO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99.2</w:t>
            </w:r>
          </w:p>
        </w:tc>
        <w:tc>
          <w:tcPr>
            <w:tcW w:w="1265" w:type="dxa"/>
          </w:tcPr>
          <w:p>
            <w:pPr>
              <w:jc w:val="center"/>
              <w:rPr>
                <w:rFonts w:ascii="宋体" w:hAnsi="宋体"/>
                <w:szCs w:val="21"/>
              </w:rPr>
            </w:pPr>
            <w:r>
              <w:rPr>
                <w:rFonts w:hint="eastAsia" w:ascii="宋体" w:hAnsi="宋体"/>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Ag</w:t>
            </w:r>
            <w:r>
              <w:rPr>
                <w:rFonts w:hint="eastAsia" w:ascii="宋体" w:hAnsi="宋体"/>
                <w:szCs w:val="21"/>
                <w:vertAlign w:val="superscript"/>
              </w:rPr>
              <w:t>+</w:t>
            </w:r>
          </w:p>
        </w:tc>
        <w:tc>
          <w:tcPr>
            <w:tcW w:w="2537" w:type="dxa"/>
          </w:tcPr>
          <w:p>
            <w:pPr>
              <w:jc w:val="center"/>
              <w:rPr>
                <w:rFonts w:ascii="宋体" w:hAnsi="宋体"/>
                <w:szCs w:val="21"/>
              </w:rPr>
            </w:pPr>
            <w:r>
              <w:rPr>
                <w:rFonts w:hint="eastAsia" w:ascii="宋体" w:hAnsi="宋体"/>
                <w:szCs w:val="21"/>
              </w:rPr>
              <w:t>3.5</w:t>
            </w:r>
          </w:p>
        </w:tc>
        <w:tc>
          <w:tcPr>
            <w:tcW w:w="1386" w:type="dxa"/>
          </w:tcPr>
          <w:p>
            <w:pPr>
              <w:jc w:val="center"/>
              <w:rPr>
                <w:rFonts w:ascii="宋体" w:hAnsi="宋体"/>
                <w:szCs w:val="21"/>
              </w:rPr>
            </w:pPr>
            <w:r>
              <w:rPr>
                <w:rFonts w:hint="eastAsia" w:ascii="宋体" w:hAnsi="宋体"/>
                <w:szCs w:val="21"/>
              </w:rPr>
              <w:t>AgNO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Bi</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7.5</w:t>
            </w:r>
          </w:p>
        </w:tc>
        <w:tc>
          <w:tcPr>
            <w:tcW w:w="1386" w:type="dxa"/>
          </w:tcPr>
          <w:p>
            <w:pPr>
              <w:jc w:val="center"/>
              <w:rPr>
                <w:rFonts w:ascii="宋体" w:hAnsi="宋体"/>
                <w:szCs w:val="21"/>
              </w:rPr>
            </w:pPr>
            <w:r>
              <w:rPr>
                <w:rFonts w:hint="eastAsia" w:ascii="宋体" w:hAnsi="宋体"/>
                <w:szCs w:val="21"/>
              </w:rPr>
              <w:t>Bi(NO</w:t>
            </w:r>
            <w:r>
              <w:rPr>
                <w:rFonts w:hint="eastAsia" w:ascii="宋体" w:hAnsi="宋体"/>
                <w:szCs w:val="21"/>
                <w:vertAlign w:val="subscript"/>
              </w:rPr>
              <w:t>3</w:t>
            </w:r>
            <w:r>
              <w:rPr>
                <w:rFonts w:hint="eastAsia" w:ascii="宋体" w:hAnsi="宋体"/>
                <w:szCs w:val="21"/>
              </w:rPr>
              <w:t>)</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Re</w:t>
            </w:r>
          </w:p>
        </w:tc>
        <w:tc>
          <w:tcPr>
            <w:tcW w:w="2537" w:type="dxa"/>
          </w:tcPr>
          <w:p>
            <w:pPr>
              <w:jc w:val="center"/>
              <w:rPr>
                <w:rFonts w:ascii="宋体" w:hAnsi="宋体"/>
                <w:szCs w:val="21"/>
              </w:rPr>
            </w:pPr>
            <w:r>
              <w:rPr>
                <w:rFonts w:hint="eastAsia" w:ascii="宋体" w:hAnsi="宋体"/>
                <w:szCs w:val="21"/>
              </w:rPr>
              <w:t>25</w:t>
            </w:r>
          </w:p>
        </w:tc>
        <w:tc>
          <w:tcPr>
            <w:tcW w:w="1386" w:type="dxa"/>
          </w:tcPr>
          <w:p>
            <w:pPr>
              <w:jc w:val="center"/>
              <w:rPr>
                <w:rFonts w:ascii="宋体" w:hAnsi="宋体"/>
                <w:szCs w:val="21"/>
              </w:rPr>
            </w:pPr>
            <w:r>
              <w:rPr>
                <w:rFonts w:hint="eastAsia" w:ascii="宋体" w:hAnsi="宋体"/>
                <w:szCs w:val="21"/>
              </w:rPr>
              <w:t>Re(NO</w:t>
            </w:r>
            <w:r>
              <w:rPr>
                <w:rFonts w:hint="eastAsia" w:ascii="宋体" w:hAnsi="宋体"/>
                <w:szCs w:val="21"/>
                <w:vertAlign w:val="subscript"/>
              </w:rPr>
              <w:t>3</w:t>
            </w:r>
            <w:r>
              <w:rPr>
                <w:rFonts w:hint="eastAsia" w:ascii="宋体" w:hAnsi="宋体"/>
                <w:szCs w:val="21"/>
              </w:rPr>
              <w:t>)</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100.0</w:t>
            </w:r>
          </w:p>
        </w:tc>
        <w:tc>
          <w:tcPr>
            <w:tcW w:w="1265" w:type="dxa"/>
          </w:tcPr>
          <w:p>
            <w:pPr>
              <w:jc w:val="center"/>
              <w:rPr>
                <w:rFonts w:ascii="宋体" w:hAnsi="宋体"/>
                <w:szCs w:val="21"/>
              </w:rPr>
            </w:pPr>
            <w:r>
              <w:rPr>
                <w:rFonts w:hint="eastAsia" w:ascii="宋体" w:hAnsi="宋体"/>
                <w:szCs w:val="21"/>
              </w:rPr>
              <w:t>100</w:t>
            </w:r>
          </w:p>
        </w:tc>
      </w:tr>
    </w:tbl>
    <w:p>
      <w:pPr>
        <w:spacing w:line="360" w:lineRule="auto"/>
        <w:ind w:firstLine="420" w:firstLineChars="200"/>
        <w:rPr>
          <w:rFonts w:ascii="宋体" w:hAnsi="宋体"/>
          <w:szCs w:val="21"/>
        </w:rPr>
      </w:pPr>
      <w:r>
        <w:rPr>
          <w:rFonts w:hint="eastAsia" w:ascii="宋体" w:hAnsi="宋体"/>
          <w:szCs w:val="21"/>
        </w:rPr>
        <w:t>由表3可以看出：试液中10mg硅，75mg铜，18mg锰，21mg锂，80mg钛，55mg镁，14mg镍，5mg镉，3.5mg银，42mg锌，25mg稀土，7.5mg铋（以上非最大量），对100μg锆的测定无干扰。</w:t>
      </w:r>
    </w:p>
    <w:p>
      <w:pPr>
        <w:spacing w:line="360" w:lineRule="auto"/>
        <w:ind w:firstLine="420" w:firstLineChars="200"/>
        <w:rPr>
          <w:rFonts w:ascii="宋体" w:hAnsi="宋体"/>
          <w:szCs w:val="21"/>
        </w:rPr>
      </w:pPr>
      <w:r>
        <w:rPr>
          <w:rFonts w:hint="eastAsia" w:ascii="宋体" w:hAnsi="宋体"/>
          <w:szCs w:val="21"/>
        </w:rPr>
        <w:t>合金中共存的其他元素含量很低，基本都在微克量级，不干扰测定。</w:t>
      </w:r>
    </w:p>
    <w:p>
      <w:pPr>
        <w:spacing w:line="360" w:lineRule="auto"/>
        <w:rPr>
          <w:rFonts w:ascii="黑体" w:hAnsi="宋体" w:eastAsia="黑体"/>
          <w:szCs w:val="21"/>
        </w:rPr>
      </w:pPr>
      <w:r>
        <w:rPr>
          <w:rFonts w:hint="eastAsia" w:ascii="黑体" w:hAnsi="宋体" w:eastAsia="黑体"/>
          <w:szCs w:val="21"/>
        </w:rPr>
        <w:t>3.3  样品分析</w:t>
      </w:r>
    </w:p>
    <w:p>
      <w:pPr>
        <w:spacing w:line="360" w:lineRule="auto"/>
        <w:rPr>
          <w:rFonts w:ascii="黑体" w:hAnsi="黑体" w:eastAsia="黑体"/>
          <w:szCs w:val="21"/>
        </w:rPr>
      </w:pPr>
      <w:r>
        <w:rPr>
          <w:rFonts w:hint="eastAsia" w:ascii="黑体" w:hAnsi="黑体" w:eastAsia="黑体"/>
          <w:szCs w:val="21"/>
        </w:rPr>
        <w:t>3.3.1 分析步骤</w:t>
      </w:r>
    </w:p>
    <w:p>
      <w:pPr>
        <w:spacing w:line="360" w:lineRule="auto"/>
        <w:ind w:left="30" w:hanging="30"/>
        <w:rPr>
          <w:rFonts w:ascii="宋体" w:hAnsi="宋体"/>
          <w:color w:val="000000"/>
        </w:rPr>
      </w:pPr>
      <w:r>
        <w:rPr>
          <w:rFonts w:hint="eastAsia" w:ascii="宋体" w:hAnsi="宋体"/>
        </w:rPr>
        <w:t xml:space="preserve">3.3.1.1 </w:t>
      </w:r>
      <w:r>
        <w:rPr>
          <w:rFonts w:hint="eastAsia" w:ascii="宋体" w:hAnsi="宋体"/>
          <w:color w:val="000000"/>
        </w:rPr>
        <w:t>按表4称取试样置于250mL烧杯中，盖上表皿，分次加入总量为25mL盐酸(2.1.4)，待剧烈反应停止后，加入1mL过氧化氢(2.1.3)，缓慢加热至试样完全溶解，煮沸分解过量的过氧化氢，冷却。移入100mL容量瓶中，用水稀释至刻度，混匀。用中速滤纸干过滤。</w:t>
      </w:r>
    </w:p>
    <w:p>
      <w:pPr>
        <w:spacing w:line="360" w:lineRule="auto"/>
        <w:ind w:firstLine="180" w:firstLineChars="100"/>
        <w:rPr>
          <w:rFonts w:ascii="宋体" w:hAnsi="宋体"/>
          <w:color w:val="000000"/>
          <w:sz w:val="18"/>
          <w:szCs w:val="18"/>
        </w:rPr>
      </w:pPr>
      <w:r>
        <w:rPr>
          <w:rFonts w:hint="eastAsia" w:ascii="宋体" w:hAnsi="宋体"/>
          <w:color w:val="000000"/>
          <w:sz w:val="18"/>
          <w:szCs w:val="18"/>
        </w:rPr>
        <w:t xml:space="preserve">  注：对于试样中硅的质量分数大于1% 的铝合金试样，用下述方法进行：将试样置于300mL聚四氟乙烯烧杯中，盖上表皿，加入lOmL氢氧化钠溶液(400g/L)，待剧烈反应停止后，滴加lmL过氧化氢(2.1.3)，用少量水洗表皿和杯壁，加热蒸至浆状，取下冷却，用约30mL温水冲洗杯壁，缓慢加热使盐类溶解，取下稍冷。加入40mL盐酸(2.1.4)，摇匀后，加热至溶液清亮，取下冷却，移入100mL容量瓶中，以水稀释至刻度，混匀，用中速滤纸干过滤。</w:t>
      </w:r>
    </w:p>
    <w:p>
      <w:pPr>
        <w:jc w:val="center"/>
        <w:rPr>
          <w:rFonts w:ascii="黑体" w:hAnsi="宋体" w:eastAsia="黑体"/>
          <w:color w:val="000000"/>
          <w:szCs w:val="21"/>
        </w:rPr>
      </w:pPr>
      <w:r>
        <w:rPr>
          <w:rFonts w:hint="eastAsia" w:ascii="黑体" w:hAnsi="宋体" w:eastAsia="黑体"/>
          <w:color w:val="000000"/>
          <w:szCs w:val="21"/>
        </w:rPr>
        <w:t>表4</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8"/>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8" w:type="dxa"/>
          </w:tcPr>
          <w:p>
            <w:pPr>
              <w:jc w:val="center"/>
              <w:rPr>
                <w:rFonts w:ascii="宋体" w:hAnsi="宋体"/>
                <w:color w:val="000000"/>
                <w:szCs w:val="21"/>
              </w:rPr>
            </w:pPr>
            <w:r>
              <w:rPr>
                <w:rFonts w:hint="eastAsia" w:ascii="宋体" w:hAnsi="宋体"/>
                <w:color w:val="000000"/>
                <w:szCs w:val="21"/>
              </w:rPr>
              <w:t>锆的质量分数/%</w:t>
            </w:r>
          </w:p>
        </w:tc>
        <w:tc>
          <w:tcPr>
            <w:tcW w:w="3994" w:type="dxa"/>
          </w:tcPr>
          <w:p>
            <w:pPr>
              <w:jc w:val="center"/>
              <w:rPr>
                <w:rFonts w:ascii="宋体" w:hAnsi="宋体"/>
                <w:color w:val="000000"/>
                <w:szCs w:val="21"/>
              </w:rPr>
            </w:pPr>
            <w:r>
              <w:rPr>
                <w:rFonts w:hint="eastAsia" w:ascii="宋体" w:hAnsi="宋体"/>
                <w:color w:val="000000"/>
                <w:szCs w:val="21"/>
              </w:rPr>
              <w:t>试料/g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8" w:type="dxa"/>
            <w:vAlign w:val="center"/>
          </w:tcPr>
          <w:p>
            <w:pPr>
              <w:jc w:val="center"/>
              <w:rPr>
                <w:rFonts w:ascii="宋体" w:hAnsi="宋体"/>
                <w:szCs w:val="21"/>
              </w:rPr>
            </w:pPr>
            <w:r>
              <w:rPr>
                <w:rFonts w:hint="eastAsia" w:ascii="宋体" w:hAnsi="宋体"/>
                <w:szCs w:val="21"/>
              </w:rPr>
              <w:t>0.010～0.050</w:t>
            </w:r>
          </w:p>
        </w:tc>
        <w:tc>
          <w:tcPr>
            <w:tcW w:w="3994" w:type="dxa"/>
          </w:tcPr>
          <w:p>
            <w:pPr>
              <w:jc w:val="cente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8" w:type="dxa"/>
            <w:vAlign w:val="center"/>
          </w:tcPr>
          <w:p>
            <w:pPr>
              <w:jc w:val="center"/>
              <w:rPr>
                <w:rFonts w:ascii="宋体" w:hAnsi="宋体"/>
                <w:szCs w:val="21"/>
              </w:rPr>
            </w:pPr>
            <w:r>
              <w:rPr>
                <w:rFonts w:hint="eastAsia" w:ascii="宋体" w:hAnsi="宋体"/>
                <w:szCs w:val="21"/>
              </w:rPr>
              <w:t>＞0.050～0.50</w:t>
            </w:r>
          </w:p>
        </w:tc>
        <w:tc>
          <w:tcPr>
            <w:tcW w:w="3994" w:type="dxa"/>
          </w:tcPr>
          <w:p>
            <w:pPr>
              <w:jc w:val="center"/>
              <w:rPr>
                <w:rFonts w:ascii="宋体" w:hAnsi="宋体"/>
                <w:color w:val="000000"/>
                <w:szCs w:val="21"/>
              </w:rPr>
            </w:pPr>
            <w:r>
              <w:rPr>
                <w:rFonts w:hint="eastAsia" w:ascii="宋体" w:hAnsi="宋体"/>
                <w:color w:val="000000"/>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28" w:type="dxa"/>
            <w:vAlign w:val="center"/>
          </w:tcPr>
          <w:p>
            <w:pPr>
              <w:jc w:val="center"/>
              <w:rPr>
                <w:rFonts w:ascii="宋体" w:hAnsi="宋体"/>
                <w:szCs w:val="21"/>
              </w:rPr>
            </w:pPr>
            <w:r>
              <w:rPr>
                <w:rFonts w:hint="eastAsia" w:ascii="宋体" w:hAnsi="宋体"/>
                <w:szCs w:val="21"/>
              </w:rPr>
              <w:t>＞0.50～1.0</w:t>
            </w:r>
          </w:p>
        </w:tc>
        <w:tc>
          <w:tcPr>
            <w:tcW w:w="3994" w:type="dxa"/>
          </w:tcPr>
          <w:p>
            <w:pPr>
              <w:jc w:val="center"/>
              <w:rPr>
                <w:rFonts w:ascii="宋体" w:hAnsi="宋体"/>
                <w:color w:val="000000"/>
                <w:szCs w:val="21"/>
              </w:rPr>
            </w:pPr>
            <w:r>
              <w:rPr>
                <w:rFonts w:hint="eastAsia" w:ascii="宋体" w:hAnsi="宋体"/>
                <w:color w:val="000000"/>
                <w:szCs w:val="21"/>
              </w:rPr>
              <w:t>0.25</w:t>
            </w:r>
          </w:p>
        </w:tc>
      </w:tr>
    </w:tbl>
    <w:p>
      <w:pPr>
        <w:spacing w:line="360" w:lineRule="auto"/>
        <w:rPr>
          <w:rFonts w:ascii="宋体" w:hAnsi="宋体"/>
          <w:color w:val="000000"/>
        </w:rPr>
      </w:pPr>
      <w:r>
        <w:rPr>
          <w:rFonts w:hint="eastAsia" w:ascii="宋体" w:hAnsi="宋体"/>
        </w:rPr>
        <w:t>3.3.1.2 移取5.00mL滤液于100mL容量瓶中，加入10.OmL高氯酸(2.1.5)，混匀。加入5.00mL二甲酚橙溶液(2.1.6)，以水稀释至刻度，混匀。在室温下放置30min。</w:t>
      </w:r>
      <w:r>
        <w:rPr>
          <w:rFonts w:hint="eastAsia" w:ascii="宋体" w:hAnsi="宋体"/>
          <w:color w:val="000000"/>
        </w:rPr>
        <w:t>将部分试液移入1cm吸收池中，以随同试料所做的空白试验溶液为参比，在分光光度计波长535nm处，测量其吸光度。从工作曲线上查出相应的锆量。</w:t>
      </w:r>
    </w:p>
    <w:p>
      <w:pPr>
        <w:spacing w:line="360" w:lineRule="auto"/>
        <w:rPr>
          <w:rFonts w:ascii="宋体" w:hAnsi="宋体"/>
          <w:color w:val="000000"/>
        </w:rPr>
      </w:pPr>
      <w:r>
        <w:rPr>
          <w:rFonts w:hint="eastAsia" w:ascii="黑体" w:hAnsi="宋体" w:eastAsia="黑体"/>
          <w:color w:val="000000"/>
        </w:rPr>
        <w:t>3.3.2 工作曲线的绘制</w:t>
      </w:r>
    </w:p>
    <w:p>
      <w:pPr>
        <w:spacing w:line="360" w:lineRule="auto"/>
        <w:rPr>
          <w:rFonts w:ascii="宋体" w:hAnsi="宋体"/>
          <w:color w:val="000000"/>
        </w:rPr>
      </w:pPr>
      <w:r>
        <w:rPr>
          <w:rFonts w:hint="eastAsia" w:ascii="黑体" w:hAnsi="宋体" w:eastAsia="黑体"/>
          <w:color w:val="000000"/>
        </w:rPr>
        <w:t>3.3.2.1</w:t>
      </w:r>
      <w:r>
        <w:rPr>
          <w:rFonts w:hint="eastAsia" w:ascii="宋体" w:hAnsi="宋体"/>
          <w:color w:val="000000"/>
        </w:rPr>
        <w:t xml:space="preserve"> 按表4称取铝(2.1.1)，按分析步骤制备铝基体溶液。</w:t>
      </w:r>
    </w:p>
    <w:p>
      <w:pPr>
        <w:spacing w:line="360" w:lineRule="auto"/>
        <w:rPr>
          <w:rFonts w:ascii="宋体" w:hAnsi="宋体"/>
          <w:szCs w:val="21"/>
        </w:rPr>
      </w:pPr>
      <w:r>
        <w:rPr>
          <w:rFonts w:hint="eastAsia" w:ascii="黑体" w:hAnsi="宋体" w:eastAsia="黑体"/>
          <w:color w:val="000000"/>
        </w:rPr>
        <w:t xml:space="preserve">3.3.2.2 </w:t>
      </w:r>
      <w:r>
        <w:rPr>
          <w:rFonts w:hint="eastAsia" w:ascii="宋体" w:hAnsi="宋体"/>
          <w:color w:val="000000"/>
        </w:rPr>
        <w:t>移取5.00mL铝基体溶液于一组100mL容量瓶中，分别加入0</w:t>
      </w:r>
      <w:r>
        <w:rPr>
          <w:rFonts w:hint="eastAsia" w:ascii="宋体" w:hAnsi="宋体"/>
        </w:rPr>
        <w:t>mL</w:t>
      </w:r>
      <w:r>
        <w:rPr>
          <w:rFonts w:hint="eastAsia" w:ascii="宋体" w:hAnsi="宋体"/>
          <w:color w:val="000000"/>
        </w:rPr>
        <w:t>、0.50</w:t>
      </w:r>
      <w:r>
        <w:rPr>
          <w:rFonts w:hint="eastAsia" w:ascii="宋体" w:hAnsi="宋体"/>
        </w:rPr>
        <w:t>mL</w:t>
      </w:r>
      <w:r>
        <w:rPr>
          <w:rFonts w:hint="eastAsia" w:ascii="宋体" w:hAnsi="宋体"/>
          <w:color w:val="000000"/>
        </w:rPr>
        <w:t>、1.00</w:t>
      </w:r>
      <w:r>
        <w:rPr>
          <w:rFonts w:hint="eastAsia" w:ascii="宋体" w:hAnsi="宋体"/>
        </w:rPr>
        <w:t>mL</w:t>
      </w:r>
      <w:r>
        <w:rPr>
          <w:rFonts w:hint="eastAsia" w:ascii="宋体" w:hAnsi="宋体"/>
          <w:color w:val="000000"/>
        </w:rPr>
        <w:t>、2.00</w:t>
      </w:r>
      <w:r>
        <w:rPr>
          <w:rFonts w:hint="eastAsia" w:ascii="宋体" w:hAnsi="宋体"/>
        </w:rPr>
        <w:t>mL</w:t>
      </w:r>
      <w:r>
        <w:rPr>
          <w:rFonts w:hint="eastAsia" w:ascii="宋体" w:hAnsi="宋体"/>
          <w:color w:val="000000"/>
        </w:rPr>
        <w:t>、3.00</w:t>
      </w:r>
      <w:r>
        <w:rPr>
          <w:rFonts w:hint="eastAsia" w:ascii="宋体" w:hAnsi="宋体"/>
        </w:rPr>
        <w:t>mL</w:t>
      </w:r>
      <w:r>
        <w:rPr>
          <w:rFonts w:hint="eastAsia" w:ascii="宋体" w:hAnsi="宋体"/>
          <w:color w:val="000000"/>
        </w:rPr>
        <w:t>、4.00</w:t>
      </w:r>
      <w:r>
        <w:rPr>
          <w:rFonts w:hint="eastAsia" w:ascii="宋体" w:hAnsi="宋体"/>
        </w:rPr>
        <w:t>mL</w:t>
      </w:r>
      <w:r>
        <w:rPr>
          <w:rFonts w:hint="eastAsia" w:ascii="宋体" w:hAnsi="宋体"/>
          <w:color w:val="000000"/>
        </w:rPr>
        <w:t>、5.00</w:t>
      </w:r>
      <w:r>
        <w:rPr>
          <w:rFonts w:hint="eastAsia" w:ascii="宋体" w:hAnsi="宋体"/>
        </w:rPr>
        <w:t>mL</w:t>
      </w:r>
      <w:r>
        <w:rPr>
          <w:rFonts w:hint="eastAsia" w:ascii="宋体" w:hAnsi="宋体"/>
          <w:color w:val="000000"/>
        </w:rPr>
        <w:t>、6.00</w:t>
      </w:r>
      <w:r>
        <w:rPr>
          <w:rFonts w:hint="eastAsia" w:ascii="宋体" w:hAnsi="宋体"/>
        </w:rPr>
        <w:t>mL</w:t>
      </w:r>
      <w:r>
        <w:rPr>
          <w:rFonts w:hint="eastAsia" w:ascii="宋体" w:hAnsi="宋体"/>
          <w:color w:val="000000"/>
        </w:rPr>
        <w:t>、7.00mL锆标准溶液(2.1.11)，加入10.OmL高氯酸(2.1.5)，混匀。加入5.00mL二甲酚橙溶液(2.1.6)，以水稀释至刻度，混匀。放置30min。将部分系列标准溶液移入lcm吸收池中，以试剂空白溶液为参比，于分光光度计波长535nm处，测量其吸光度。以锆量为横坐标，以吸光度为纵坐标，绘制工作曲线。</w:t>
      </w:r>
    </w:p>
    <w:p>
      <w:pPr>
        <w:spacing w:line="360" w:lineRule="auto"/>
        <w:rPr>
          <w:rFonts w:ascii="宋体" w:hAnsi="宋体"/>
          <w:szCs w:val="21"/>
        </w:rPr>
      </w:pPr>
      <w:r>
        <w:rPr>
          <w:rFonts w:hint="eastAsia" w:ascii="宋体" w:hAnsi="宋体"/>
          <w:szCs w:val="21"/>
        </w:rPr>
        <w:t xml:space="preserve">     对不同含锆量的5个铝及铝合金样品进行独立的11次分析，分析结果见表5。</w:t>
      </w:r>
    </w:p>
    <w:p>
      <w:pPr>
        <w:jc w:val="center"/>
        <w:rPr>
          <w:rFonts w:ascii="宋体" w:hAnsi="宋体"/>
          <w:szCs w:val="21"/>
        </w:rPr>
      </w:pPr>
      <w:r>
        <w:rPr>
          <w:rFonts w:hint="eastAsia" w:ascii="宋体" w:hAnsi="宋体"/>
          <w:szCs w:val="21"/>
        </w:rPr>
        <w:t>表5  样品分析及结果对照</w:t>
      </w:r>
    </w:p>
    <w:tbl>
      <w:tblPr>
        <w:tblStyle w:val="20"/>
        <w:tblW w:w="8532" w:type="dxa"/>
        <w:jc w:val="center"/>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34"/>
        <w:gridCol w:w="3162"/>
        <w:gridCol w:w="1080"/>
        <w:gridCol w:w="103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jc w:val="center"/>
              <w:rPr>
                <w:rFonts w:ascii="宋体" w:hAnsi="宋体"/>
                <w:szCs w:val="21"/>
              </w:rPr>
            </w:pPr>
            <w:r>
              <w:rPr>
                <w:rFonts w:hint="eastAsia" w:ascii="宋体" w:hAnsi="宋体"/>
                <w:szCs w:val="21"/>
              </w:rPr>
              <w:t>序号</w:t>
            </w:r>
          </w:p>
        </w:tc>
        <w:tc>
          <w:tcPr>
            <w:tcW w:w="1134" w:type="dxa"/>
            <w:vAlign w:val="center"/>
          </w:tcPr>
          <w:p>
            <w:pPr>
              <w:jc w:val="center"/>
              <w:rPr>
                <w:rFonts w:ascii="宋体" w:hAnsi="宋体"/>
                <w:szCs w:val="21"/>
              </w:rPr>
            </w:pPr>
            <w:r>
              <w:rPr>
                <w:rFonts w:hint="eastAsia" w:ascii="宋体" w:hAnsi="宋体"/>
                <w:szCs w:val="21"/>
              </w:rPr>
              <w:t>样品编号</w:t>
            </w:r>
          </w:p>
        </w:tc>
        <w:tc>
          <w:tcPr>
            <w:tcW w:w="3162" w:type="dxa"/>
            <w:vAlign w:val="center"/>
          </w:tcPr>
          <w:p>
            <w:pPr>
              <w:jc w:val="center"/>
              <w:rPr>
                <w:rFonts w:ascii="宋体" w:hAnsi="宋体"/>
                <w:szCs w:val="21"/>
              </w:rPr>
            </w:pPr>
            <w:r>
              <w:rPr>
                <w:rFonts w:hint="eastAsia" w:ascii="宋体" w:hAnsi="宋体"/>
                <w:szCs w:val="21"/>
              </w:rPr>
              <w:t xml:space="preserve">测定结果/% </w:t>
            </w:r>
          </w:p>
        </w:tc>
        <w:tc>
          <w:tcPr>
            <w:tcW w:w="1080" w:type="dxa"/>
            <w:vAlign w:val="center"/>
          </w:tcPr>
          <w:p>
            <w:pPr>
              <w:jc w:val="center"/>
              <w:rPr>
                <w:rFonts w:ascii="宋体" w:hAnsi="宋体"/>
                <w:szCs w:val="21"/>
              </w:rPr>
            </w:pPr>
            <w:r>
              <w:rPr>
                <w:rFonts w:hint="eastAsia" w:ascii="宋体" w:hAnsi="宋体"/>
                <w:szCs w:val="21"/>
              </w:rPr>
              <w:t>平均值/%</w:t>
            </w:r>
          </w:p>
        </w:tc>
        <w:tc>
          <w:tcPr>
            <w:tcW w:w="1035" w:type="dxa"/>
            <w:vAlign w:val="center"/>
          </w:tcPr>
          <w:p>
            <w:pPr>
              <w:jc w:val="center"/>
              <w:rPr>
                <w:rFonts w:ascii="宋体" w:hAnsi="宋体"/>
                <w:szCs w:val="21"/>
              </w:rPr>
            </w:pPr>
            <w:r>
              <w:rPr>
                <w:rFonts w:hint="eastAsia" w:ascii="宋体" w:hAnsi="宋体"/>
                <w:szCs w:val="21"/>
              </w:rPr>
              <w:t>SD</w:t>
            </w:r>
          </w:p>
        </w:tc>
        <w:tc>
          <w:tcPr>
            <w:tcW w:w="1418"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703" w:type="dxa"/>
            <w:vAlign w:val="center"/>
          </w:tcPr>
          <w:p>
            <w:pPr>
              <w:jc w:val="center"/>
              <w:rPr>
                <w:rFonts w:ascii="宋体" w:hAnsi="宋体"/>
                <w:szCs w:val="21"/>
              </w:rPr>
            </w:pPr>
            <w:r>
              <w:rPr>
                <w:rFonts w:hint="eastAsia" w:ascii="宋体" w:hAnsi="宋体"/>
                <w:szCs w:val="21"/>
              </w:rPr>
              <w:t>1</w:t>
            </w:r>
          </w:p>
        </w:tc>
        <w:tc>
          <w:tcPr>
            <w:tcW w:w="1134" w:type="dxa"/>
            <w:vAlign w:val="center"/>
          </w:tcPr>
          <w:p>
            <w:pPr>
              <w:jc w:val="center"/>
              <w:rPr>
                <w:rFonts w:ascii="宋体" w:hAnsi="宋体"/>
                <w:szCs w:val="21"/>
              </w:rPr>
            </w:pPr>
            <w:r>
              <w:rPr>
                <w:rFonts w:hint="eastAsia" w:ascii="宋体" w:hAnsi="宋体"/>
                <w:szCs w:val="21"/>
              </w:rPr>
              <w:t>E914</w:t>
            </w:r>
          </w:p>
        </w:tc>
        <w:tc>
          <w:tcPr>
            <w:tcW w:w="3162" w:type="dxa"/>
          </w:tcPr>
          <w:p>
            <w:pPr>
              <w:rPr>
                <w:rFonts w:ascii="宋体" w:hAnsi="宋体"/>
                <w:szCs w:val="21"/>
              </w:rPr>
            </w:pPr>
            <w:r>
              <w:rPr>
                <w:rFonts w:hint="eastAsia" w:ascii="宋体" w:hAnsi="宋体"/>
                <w:szCs w:val="21"/>
              </w:rPr>
              <w:t>0.0140、0.0135、0.0140、0.0131、0.0137、0.0135、0.0135、0.0136、0.0135、0.0133、0.0132</w:t>
            </w:r>
          </w:p>
        </w:tc>
        <w:tc>
          <w:tcPr>
            <w:tcW w:w="1080" w:type="dxa"/>
            <w:vAlign w:val="center"/>
          </w:tcPr>
          <w:p>
            <w:pPr>
              <w:jc w:val="center"/>
              <w:rPr>
                <w:rFonts w:ascii="宋体" w:hAnsi="宋体"/>
                <w:szCs w:val="21"/>
              </w:rPr>
            </w:pPr>
            <w:r>
              <w:rPr>
                <w:rFonts w:hint="eastAsia" w:ascii="宋体" w:hAnsi="宋体"/>
                <w:szCs w:val="21"/>
              </w:rPr>
              <w:t>0.0135</w:t>
            </w:r>
          </w:p>
        </w:tc>
        <w:tc>
          <w:tcPr>
            <w:tcW w:w="1035" w:type="dxa"/>
            <w:vAlign w:val="center"/>
          </w:tcPr>
          <w:p>
            <w:pPr>
              <w:jc w:val="center"/>
              <w:rPr>
                <w:rFonts w:ascii="宋体" w:hAnsi="宋体"/>
                <w:szCs w:val="21"/>
              </w:rPr>
            </w:pPr>
            <w:r>
              <w:rPr>
                <w:rFonts w:hint="eastAsia" w:ascii="宋体" w:hAnsi="宋体"/>
                <w:szCs w:val="21"/>
              </w:rPr>
              <w:t>0.0003</w:t>
            </w:r>
          </w:p>
        </w:tc>
        <w:tc>
          <w:tcPr>
            <w:tcW w:w="1418" w:type="dxa"/>
            <w:vAlign w:val="center"/>
          </w:tcPr>
          <w:p>
            <w:pPr>
              <w:jc w:val="left"/>
              <w:rPr>
                <w:rFonts w:ascii="宋体" w:hAnsi="宋体"/>
                <w:szCs w:val="21"/>
              </w:rPr>
            </w:pPr>
            <w:r>
              <w:rPr>
                <w:rFonts w:hint="eastAsia" w:ascii="宋体" w:hAnsi="宋体"/>
                <w:szCs w:val="21"/>
              </w:rPr>
              <w:t>0.0132、0.0135、0.0135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03" w:type="dxa"/>
            <w:vAlign w:val="center"/>
          </w:tcPr>
          <w:p>
            <w:pPr>
              <w:jc w:val="center"/>
              <w:rPr>
                <w:rFonts w:ascii="宋体" w:hAnsi="宋体"/>
                <w:szCs w:val="21"/>
              </w:rPr>
            </w:pPr>
            <w:r>
              <w:rPr>
                <w:rFonts w:hint="eastAsia" w:ascii="宋体" w:hAnsi="宋体"/>
                <w:szCs w:val="21"/>
              </w:rPr>
              <w:t>2</w:t>
            </w:r>
          </w:p>
        </w:tc>
        <w:tc>
          <w:tcPr>
            <w:tcW w:w="1134" w:type="dxa"/>
            <w:vAlign w:val="center"/>
          </w:tcPr>
          <w:p>
            <w:pPr>
              <w:jc w:val="center"/>
              <w:rPr>
                <w:rFonts w:ascii="宋体" w:hAnsi="宋体"/>
                <w:szCs w:val="21"/>
              </w:rPr>
            </w:pPr>
            <w:r>
              <w:rPr>
                <w:rFonts w:ascii="宋体" w:hAnsi="宋体"/>
                <w:szCs w:val="21"/>
              </w:rPr>
              <w:t>KZ104</w:t>
            </w:r>
          </w:p>
        </w:tc>
        <w:tc>
          <w:tcPr>
            <w:tcW w:w="3162" w:type="dxa"/>
          </w:tcPr>
          <w:p>
            <w:pPr>
              <w:rPr>
                <w:rFonts w:ascii="宋体" w:hAnsi="宋体"/>
                <w:szCs w:val="21"/>
              </w:rPr>
            </w:pPr>
            <w:r>
              <w:rPr>
                <w:rFonts w:hint="eastAsia" w:ascii="宋体" w:hAnsi="宋体"/>
                <w:szCs w:val="21"/>
              </w:rPr>
              <w:t>0.0400、0.0403、0.0408、0.0402、0.0398、0.0402、0.0402、0.0403、0.0403、0.0398、0.0402</w:t>
            </w:r>
          </w:p>
        </w:tc>
        <w:tc>
          <w:tcPr>
            <w:tcW w:w="1080" w:type="dxa"/>
            <w:vAlign w:val="center"/>
          </w:tcPr>
          <w:p>
            <w:pPr>
              <w:jc w:val="center"/>
              <w:rPr>
                <w:rFonts w:ascii="宋体" w:hAnsi="宋体"/>
                <w:szCs w:val="21"/>
              </w:rPr>
            </w:pPr>
            <w:r>
              <w:rPr>
                <w:rFonts w:hint="eastAsia" w:ascii="宋体" w:hAnsi="宋体"/>
                <w:szCs w:val="21"/>
              </w:rPr>
              <w:t>0.0402</w:t>
            </w:r>
          </w:p>
        </w:tc>
        <w:tc>
          <w:tcPr>
            <w:tcW w:w="1035" w:type="dxa"/>
            <w:vAlign w:val="center"/>
          </w:tcPr>
          <w:p>
            <w:pPr>
              <w:jc w:val="center"/>
              <w:rPr>
                <w:rFonts w:ascii="宋体" w:hAnsi="宋体"/>
                <w:szCs w:val="21"/>
              </w:rPr>
            </w:pPr>
            <w:r>
              <w:rPr>
                <w:rFonts w:hint="eastAsia" w:ascii="宋体" w:hAnsi="宋体"/>
                <w:szCs w:val="21"/>
              </w:rPr>
              <w:t>0.0013</w:t>
            </w:r>
          </w:p>
        </w:tc>
        <w:tc>
          <w:tcPr>
            <w:tcW w:w="1418" w:type="dxa"/>
            <w:vAlign w:val="center"/>
          </w:tcPr>
          <w:p>
            <w:pPr>
              <w:jc w:val="left"/>
              <w:rPr>
                <w:rFonts w:ascii="宋体" w:hAnsi="宋体"/>
                <w:szCs w:val="21"/>
              </w:rPr>
            </w:pPr>
            <w:r>
              <w:rPr>
                <w:rFonts w:hint="eastAsia" w:ascii="宋体" w:hAnsi="宋体"/>
                <w:szCs w:val="21"/>
              </w:rPr>
              <w:t>0.0402、0.0402、0.0404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03" w:type="dxa"/>
            <w:vAlign w:val="center"/>
          </w:tcPr>
          <w:p>
            <w:pPr>
              <w:jc w:val="center"/>
              <w:rPr>
                <w:rFonts w:ascii="宋体" w:hAnsi="宋体"/>
                <w:szCs w:val="21"/>
              </w:rPr>
            </w:pPr>
            <w:r>
              <w:rPr>
                <w:rFonts w:hint="eastAsia" w:ascii="宋体" w:hAnsi="宋体"/>
                <w:szCs w:val="21"/>
              </w:rPr>
              <w:t>3</w:t>
            </w:r>
          </w:p>
        </w:tc>
        <w:tc>
          <w:tcPr>
            <w:tcW w:w="1134" w:type="dxa"/>
            <w:vAlign w:val="center"/>
          </w:tcPr>
          <w:p>
            <w:pPr>
              <w:jc w:val="center"/>
              <w:rPr>
                <w:rFonts w:ascii="宋体" w:hAnsi="宋体"/>
                <w:szCs w:val="21"/>
              </w:rPr>
            </w:pPr>
            <w:r>
              <w:rPr>
                <w:rFonts w:hint="eastAsia" w:ascii="宋体" w:hAnsi="宋体"/>
                <w:szCs w:val="21"/>
              </w:rPr>
              <w:t>7964</w:t>
            </w:r>
          </w:p>
        </w:tc>
        <w:tc>
          <w:tcPr>
            <w:tcW w:w="3162" w:type="dxa"/>
          </w:tcPr>
          <w:p>
            <w:pPr>
              <w:rPr>
                <w:rFonts w:ascii="宋体" w:hAnsi="宋体"/>
                <w:szCs w:val="21"/>
              </w:rPr>
            </w:pPr>
            <w:r>
              <w:rPr>
                <w:rFonts w:hint="eastAsia" w:ascii="宋体" w:hAnsi="宋体"/>
                <w:szCs w:val="21"/>
              </w:rPr>
              <w:t>0.191、0.195、0.197、0.199、0.195、0.194、0.192、0.198、0.205、0.196、0.197</w:t>
            </w:r>
          </w:p>
        </w:tc>
        <w:tc>
          <w:tcPr>
            <w:tcW w:w="1080" w:type="dxa"/>
            <w:vAlign w:val="center"/>
          </w:tcPr>
          <w:p>
            <w:pPr>
              <w:jc w:val="center"/>
              <w:rPr>
                <w:rFonts w:ascii="宋体" w:hAnsi="宋体"/>
                <w:szCs w:val="21"/>
              </w:rPr>
            </w:pPr>
            <w:r>
              <w:rPr>
                <w:rFonts w:hint="eastAsia" w:ascii="宋体" w:hAnsi="宋体"/>
                <w:szCs w:val="21"/>
              </w:rPr>
              <w:t>0.196</w:t>
            </w:r>
          </w:p>
        </w:tc>
        <w:tc>
          <w:tcPr>
            <w:tcW w:w="1035" w:type="dxa"/>
            <w:vAlign w:val="center"/>
          </w:tcPr>
          <w:p>
            <w:pPr>
              <w:jc w:val="center"/>
              <w:rPr>
                <w:rFonts w:ascii="宋体" w:hAnsi="宋体"/>
                <w:szCs w:val="21"/>
              </w:rPr>
            </w:pPr>
            <w:r>
              <w:rPr>
                <w:rFonts w:hint="eastAsia" w:ascii="宋体" w:hAnsi="宋体"/>
                <w:szCs w:val="21"/>
              </w:rPr>
              <w:t>0.0038</w:t>
            </w:r>
          </w:p>
        </w:tc>
        <w:tc>
          <w:tcPr>
            <w:tcW w:w="1418" w:type="dxa"/>
            <w:vAlign w:val="center"/>
          </w:tcPr>
          <w:p>
            <w:pPr>
              <w:jc w:val="left"/>
              <w:rPr>
                <w:rFonts w:ascii="宋体" w:hAnsi="宋体"/>
                <w:szCs w:val="21"/>
              </w:rPr>
            </w:pPr>
            <w:r>
              <w:rPr>
                <w:rFonts w:hint="eastAsia" w:ascii="宋体" w:hAnsi="宋体"/>
                <w:szCs w:val="21"/>
              </w:rPr>
              <w:t>0.199、0.195、0.196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03" w:type="dxa"/>
            <w:vAlign w:val="center"/>
          </w:tcPr>
          <w:p>
            <w:pPr>
              <w:jc w:val="center"/>
              <w:rPr>
                <w:rFonts w:ascii="宋体" w:hAnsi="宋体"/>
                <w:szCs w:val="21"/>
              </w:rPr>
            </w:pPr>
            <w:r>
              <w:rPr>
                <w:rFonts w:hint="eastAsia" w:ascii="宋体" w:hAnsi="宋体"/>
                <w:szCs w:val="21"/>
              </w:rPr>
              <w:t>4</w:t>
            </w:r>
          </w:p>
        </w:tc>
        <w:tc>
          <w:tcPr>
            <w:tcW w:w="1134" w:type="dxa"/>
            <w:vAlign w:val="center"/>
          </w:tcPr>
          <w:p>
            <w:pPr>
              <w:jc w:val="center"/>
              <w:rPr>
                <w:rFonts w:ascii="宋体" w:hAnsi="宋体"/>
                <w:szCs w:val="21"/>
              </w:rPr>
            </w:pPr>
            <w:r>
              <w:rPr>
                <w:rFonts w:hint="eastAsia" w:ascii="宋体" w:hAnsi="宋体"/>
                <w:szCs w:val="21"/>
              </w:rPr>
              <w:t>104-1</w:t>
            </w:r>
          </w:p>
        </w:tc>
        <w:tc>
          <w:tcPr>
            <w:tcW w:w="3162" w:type="dxa"/>
          </w:tcPr>
          <w:p>
            <w:pPr>
              <w:rPr>
                <w:rFonts w:ascii="宋体" w:hAnsi="宋体"/>
                <w:szCs w:val="21"/>
              </w:rPr>
            </w:pPr>
            <w:r>
              <w:rPr>
                <w:rFonts w:hint="eastAsia" w:ascii="宋体" w:hAnsi="宋体" w:cs="宋体"/>
                <w:color w:val="000000"/>
                <w:kern w:val="0"/>
                <w:szCs w:val="21"/>
              </w:rPr>
              <w:t>0.428、0.427、0.418、0.418、0.419、0.418、0.417、0.418、0.426、0.419、0.427</w:t>
            </w:r>
          </w:p>
        </w:tc>
        <w:tc>
          <w:tcPr>
            <w:tcW w:w="1080" w:type="dxa"/>
            <w:vAlign w:val="center"/>
          </w:tcPr>
          <w:p>
            <w:pPr>
              <w:jc w:val="center"/>
              <w:rPr>
                <w:rFonts w:ascii="宋体" w:hAnsi="宋体"/>
                <w:szCs w:val="21"/>
              </w:rPr>
            </w:pPr>
            <w:r>
              <w:rPr>
                <w:rFonts w:hint="eastAsia" w:ascii="宋体" w:hAnsi="宋体"/>
                <w:szCs w:val="21"/>
              </w:rPr>
              <w:t>0.421</w:t>
            </w:r>
          </w:p>
        </w:tc>
        <w:tc>
          <w:tcPr>
            <w:tcW w:w="1035" w:type="dxa"/>
            <w:vAlign w:val="center"/>
          </w:tcPr>
          <w:p>
            <w:pPr>
              <w:jc w:val="center"/>
              <w:rPr>
                <w:rFonts w:ascii="宋体" w:hAnsi="宋体"/>
                <w:szCs w:val="21"/>
              </w:rPr>
            </w:pPr>
            <w:r>
              <w:rPr>
                <w:rFonts w:hint="eastAsia" w:ascii="宋体" w:hAnsi="宋体"/>
                <w:szCs w:val="21"/>
              </w:rPr>
              <w:t>0.0045</w:t>
            </w:r>
          </w:p>
        </w:tc>
        <w:tc>
          <w:tcPr>
            <w:tcW w:w="1418" w:type="dxa"/>
            <w:vAlign w:val="center"/>
          </w:tcPr>
          <w:p>
            <w:pPr>
              <w:jc w:val="left"/>
              <w:rPr>
                <w:rFonts w:ascii="宋体" w:hAnsi="宋体"/>
                <w:szCs w:val="21"/>
              </w:rPr>
            </w:pPr>
            <w:r>
              <w:rPr>
                <w:rFonts w:hint="eastAsia" w:ascii="宋体" w:hAnsi="宋体"/>
                <w:szCs w:val="21"/>
              </w:rPr>
              <w:t>0.421、0.425、0.421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03" w:type="dxa"/>
            <w:vAlign w:val="center"/>
          </w:tcPr>
          <w:p>
            <w:pPr>
              <w:jc w:val="center"/>
              <w:rPr>
                <w:rFonts w:ascii="宋体" w:hAnsi="宋体"/>
                <w:szCs w:val="21"/>
              </w:rPr>
            </w:pPr>
            <w:r>
              <w:rPr>
                <w:rFonts w:hint="eastAsia" w:ascii="宋体" w:hAnsi="宋体"/>
                <w:szCs w:val="21"/>
              </w:rPr>
              <w:t>5</w:t>
            </w:r>
          </w:p>
        </w:tc>
        <w:tc>
          <w:tcPr>
            <w:tcW w:w="1134" w:type="dxa"/>
            <w:vAlign w:val="center"/>
          </w:tcPr>
          <w:p>
            <w:pPr>
              <w:jc w:val="center"/>
              <w:rPr>
                <w:rFonts w:ascii="宋体" w:hAnsi="宋体"/>
                <w:szCs w:val="21"/>
              </w:rPr>
            </w:pPr>
            <w:r>
              <w:rPr>
                <w:rFonts w:hint="eastAsia" w:ascii="宋体" w:hAnsi="宋体"/>
                <w:szCs w:val="21"/>
              </w:rPr>
              <w:t>模拟样</w:t>
            </w:r>
          </w:p>
        </w:tc>
        <w:tc>
          <w:tcPr>
            <w:tcW w:w="3162" w:type="dxa"/>
          </w:tcPr>
          <w:p>
            <w:pPr>
              <w:rPr>
                <w:rFonts w:ascii="宋体" w:hAnsi="宋体"/>
                <w:szCs w:val="21"/>
              </w:rPr>
            </w:pPr>
            <w:r>
              <w:rPr>
                <w:rFonts w:hint="eastAsia" w:ascii="宋体" w:hAnsi="宋体"/>
                <w:szCs w:val="21"/>
              </w:rPr>
              <w:t>0.938、0.942、0.932、0.946、0.934、0.948、0.942、0.940、0.938、0.946、0.936</w:t>
            </w:r>
          </w:p>
        </w:tc>
        <w:tc>
          <w:tcPr>
            <w:tcW w:w="1080" w:type="dxa"/>
            <w:vAlign w:val="center"/>
          </w:tcPr>
          <w:p>
            <w:pPr>
              <w:jc w:val="center"/>
              <w:rPr>
                <w:rFonts w:ascii="宋体" w:hAnsi="宋体"/>
                <w:szCs w:val="21"/>
              </w:rPr>
            </w:pPr>
            <w:r>
              <w:rPr>
                <w:rFonts w:hint="eastAsia" w:ascii="宋体" w:hAnsi="宋体"/>
                <w:szCs w:val="21"/>
              </w:rPr>
              <w:t>0.940</w:t>
            </w:r>
          </w:p>
        </w:tc>
        <w:tc>
          <w:tcPr>
            <w:tcW w:w="1035" w:type="dxa"/>
            <w:vAlign w:val="center"/>
          </w:tcPr>
          <w:p>
            <w:pPr>
              <w:jc w:val="center"/>
              <w:rPr>
                <w:rFonts w:ascii="宋体" w:hAnsi="宋体"/>
                <w:szCs w:val="21"/>
              </w:rPr>
            </w:pPr>
            <w:r>
              <w:rPr>
                <w:rFonts w:hint="eastAsia" w:ascii="宋体" w:hAnsi="宋体"/>
                <w:szCs w:val="21"/>
              </w:rPr>
              <w:t>0.0052</w:t>
            </w:r>
          </w:p>
        </w:tc>
        <w:tc>
          <w:tcPr>
            <w:tcW w:w="1418" w:type="dxa"/>
            <w:vAlign w:val="center"/>
          </w:tcPr>
          <w:p>
            <w:pPr>
              <w:jc w:val="left"/>
              <w:rPr>
                <w:rFonts w:ascii="宋体" w:hAnsi="宋体"/>
                <w:szCs w:val="21"/>
              </w:rPr>
            </w:pPr>
            <w:r>
              <w:rPr>
                <w:rFonts w:hint="eastAsia" w:ascii="宋体" w:hAnsi="宋体"/>
                <w:szCs w:val="21"/>
              </w:rPr>
              <w:t>0.935、0.941、0.941</w:t>
            </w:r>
          </w:p>
        </w:tc>
      </w:tr>
    </w:tbl>
    <w:p>
      <w:pPr>
        <w:spacing w:line="360" w:lineRule="auto"/>
        <w:rPr>
          <w:rFonts w:ascii="宋体" w:hAnsi="宋体"/>
          <w:szCs w:val="21"/>
        </w:rPr>
      </w:pPr>
      <w:r>
        <w:rPr>
          <w:rFonts w:hint="eastAsia" w:ascii="宋体" w:hAnsi="宋体"/>
          <w:szCs w:val="21"/>
        </w:rPr>
        <w:t xml:space="preserve"> 备注：模拟样是样品（104-1）+1.3mg锆。</w:t>
      </w:r>
    </w:p>
    <w:p>
      <w:pPr>
        <w:spacing w:beforeLines="50" w:afterLines="50" w:line="360" w:lineRule="auto"/>
        <w:rPr>
          <w:rFonts w:ascii="黑体" w:hAnsi="黑体" w:eastAsia="黑体"/>
          <w:sz w:val="24"/>
        </w:rPr>
      </w:pPr>
      <w:r>
        <w:rPr>
          <w:rFonts w:hint="eastAsia" w:ascii="黑体" w:hAnsi="黑体" w:eastAsia="黑体"/>
          <w:sz w:val="24"/>
        </w:rPr>
        <w:t>方法二：EDTA滴定法研究过程</w:t>
      </w:r>
    </w:p>
    <w:p>
      <w:pPr>
        <w:spacing w:line="360" w:lineRule="auto"/>
        <w:ind w:firstLine="420" w:firstLineChars="200"/>
        <w:rPr>
          <w:rFonts w:ascii="宋体" w:hAnsi="宋体" w:cs="宋体"/>
          <w:szCs w:val="21"/>
        </w:rPr>
      </w:pPr>
      <w:bookmarkStart w:id="1" w:name="OLE_LINK1"/>
      <w:r>
        <w:rPr>
          <w:rFonts w:hint="eastAsia" w:ascii="宋体" w:hAnsi="宋体"/>
        </w:rPr>
        <w:t xml:space="preserve"> EDTA滴定法</w:t>
      </w:r>
      <w:r>
        <w:rPr>
          <w:rFonts w:hint="eastAsia" w:ascii="宋体" w:hAnsi="宋体" w:cs="宋体"/>
          <w:szCs w:val="21"/>
        </w:rPr>
        <w:t>具有测定结果准确度高、操作简便、无需昂贵的分析仪器等特点，目前仍被国内外实验室广泛采用。因此考虑采用</w:t>
      </w:r>
      <w:r>
        <w:rPr>
          <w:rFonts w:hint="eastAsia" w:ascii="宋体" w:hAnsi="宋体"/>
        </w:rPr>
        <w:t>EDTA滴定法</w:t>
      </w:r>
      <w:r>
        <w:rPr>
          <w:rFonts w:hint="eastAsia" w:ascii="宋体" w:hAnsi="宋体" w:cs="宋体"/>
          <w:szCs w:val="21"/>
        </w:rPr>
        <w:t>测定锆。对铝及铝中间合金中锆的</w:t>
      </w:r>
      <w:r>
        <w:rPr>
          <w:rFonts w:hint="eastAsia" w:ascii="宋体" w:hAnsi="宋体"/>
        </w:rPr>
        <w:t>EDTA滴定法</w:t>
      </w:r>
      <w:r>
        <w:rPr>
          <w:rFonts w:hint="eastAsia" w:ascii="宋体" w:hAnsi="宋体" w:cs="宋体"/>
          <w:szCs w:val="21"/>
        </w:rPr>
        <w:t>测定条件和测定方法进行系统研究，并确定方法的准确度及精密度，最终形成国家标准。主要</w:t>
      </w:r>
      <w:r>
        <w:rPr>
          <w:rFonts w:ascii="宋体" w:hAnsi="宋体" w:cs="宋体"/>
          <w:szCs w:val="21"/>
        </w:rPr>
        <w:t>内容</w:t>
      </w:r>
      <w:r>
        <w:rPr>
          <w:rFonts w:hint="eastAsia" w:ascii="宋体" w:hAnsi="宋体" w:cs="宋体"/>
          <w:szCs w:val="21"/>
        </w:rPr>
        <w:t>：</w:t>
      </w:r>
    </w:p>
    <w:bookmarkEnd w:id="1"/>
    <w:p>
      <w:pPr>
        <w:spacing w:line="360" w:lineRule="auto"/>
        <w:rPr>
          <w:rFonts w:ascii="宋体" w:hAnsi="宋体" w:cs="宋体"/>
          <w:szCs w:val="21"/>
        </w:rPr>
      </w:pPr>
      <w:r>
        <w:rPr>
          <w:rFonts w:hint="eastAsia" w:ascii="宋体" w:hAnsi="宋体" w:cs="宋体"/>
          <w:szCs w:val="21"/>
        </w:rPr>
        <w:t>1、测定范围的确定</w:t>
      </w:r>
    </w:p>
    <w:p>
      <w:pPr>
        <w:spacing w:line="360" w:lineRule="auto"/>
        <w:ind w:firstLine="420" w:firstLineChars="200"/>
        <w:rPr>
          <w:rFonts w:hAnsi="宋体"/>
        </w:rPr>
      </w:pPr>
      <w:r>
        <w:rPr>
          <w:rFonts w:ascii="宋体" w:hAnsi="宋体" w:cs="宋体"/>
          <w:szCs w:val="21"/>
        </w:rPr>
        <w:t>随着铝工业的不断发展，产品质量的提高，用户需求的要求水平提高，出现了许多新增的</w:t>
      </w:r>
      <w:r>
        <w:rPr>
          <w:rFonts w:hint="eastAsia" w:ascii="宋体" w:hAnsi="宋体" w:cs="宋体"/>
          <w:szCs w:val="21"/>
        </w:rPr>
        <w:t>铝合金广泛应用于航空航天、国防军事装备领域及汽车等民用产品中。铝锆合金做为重要的铝中间合金，广泛应用于熔炼含锆铝合金。在起草标准时，我们广泛调研了河北省、黑龙江、辽宁省、山东省、安徽省等企业，收集到的样品中锆含量均集中于5%，10%和15%左右，而其他含量的样品未能收集到。</w:t>
      </w:r>
    </w:p>
    <w:p>
      <w:pPr>
        <w:spacing w:line="360" w:lineRule="auto"/>
        <w:rPr>
          <w:rFonts w:ascii="宋体" w:hAnsi="宋体"/>
          <w:szCs w:val="21"/>
        </w:rPr>
      </w:pPr>
      <w:r>
        <w:rPr>
          <w:rFonts w:hint="eastAsia" w:ascii="宋体" w:hAnsi="宋体"/>
          <w:szCs w:val="21"/>
        </w:rPr>
        <w:t>2、试样溶解条件的</w:t>
      </w:r>
      <w:r>
        <w:rPr>
          <w:rFonts w:ascii="宋体" w:hAnsi="宋体"/>
          <w:szCs w:val="21"/>
        </w:rPr>
        <w:t>确定</w:t>
      </w:r>
    </w:p>
    <w:p>
      <w:pPr>
        <w:spacing w:line="360" w:lineRule="auto"/>
        <w:ind w:firstLine="420" w:firstLineChars="200"/>
        <w:rPr>
          <w:rFonts w:ascii="宋体" w:hAnsi="宋体" w:cs="宋体"/>
          <w:szCs w:val="21"/>
        </w:rPr>
      </w:pPr>
      <w:r>
        <w:rPr>
          <w:rFonts w:hint="eastAsia" w:ascii="宋体" w:hAnsi="宋体" w:cs="宋体"/>
          <w:szCs w:val="21"/>
        </w:rPr>
        <w:t>铝锆合金用盐酸和过氧化氢溶解，在强酸介质中，锆与EDTA作用生成稳定的络合物，反应定量进行。用甲基百里酚蓝作指示剂、在0.8～1.5mol/L盐酸酸度并在煮沸溶液中趁热进行滴定。参考铝锆合金产品标准，考虑那些共存元素含量的情况，同时也考虑试验过程中可能引入的干扰元素以及那些与EDTA有较大络合常数的元素，铝锆合金产品中的共存元素和大量的基体铝均不干扰测定，铁（Ⅲ）在盐酸介质中呈黄色干扰测定，可采用加入10 mL盐酸羟胺（100g/L）或用氯化亚锡溶液（100g/L）滴至三价铁的黄色褪去，再过量2滴的方式将铁（Ⅲ）还原成铁（Ⅱ）而消除其干扰。</w:t>
      </w:r>
    </w:p>
    <w:p>
      <w:pPr>
        <w:spacing w:line="360" w:lineRule="auto"/>
        <w:rPr>
          <w:rFonts w:ascii="宋体" w:hAnsi="宋体"/>
          <w:bCs/>
          <w:color w:val="000000"/>
          <w:szCs w:val="21"/>
        </w:rPr>
      </w:pPr>
      <w:r>
        <w:rPr>
          <w:rFonts w:hint="eastAsia" w:ascii="宋体" w:hAnsi="宋体"/>
          <w:szCs w:val="21"/>
        </w:rPr>
        <w:t>3、</w:t>
      </w:r>
      <w:r>
        <w:rPr>
          <w:rFonts w:hint="eastAsia" w:ascii="宋体" w:hAnsi="宋体"/>
          <w:bCs/>
          <w:color w:val="000000"/>
          <w:szCs w:val="21"/>
        </w:rPr>
        <w:t>铝基体的干扰试验</w:t>
      </w:r>
    </w:p>
    <w:p>
      <w:pPr>
        <w:spacing w:line="360" w:lineRule="auto"/>
        <w:ind w:firstLine="420"/>
        <w:rPr>
          <w:rFonts w:ascii="宋体" w:hAnsi="宋体"/>
          <w:bCs/>
          <w:color w:val="000000"/>
          <w:szCs w:val="21"/>
        </w:rPr>
      </w:pPr>
      <w:r>
        <w:rPr>
          <w:rFonts w:hint="eastAsia" w:ascii="宋体" w:hAnsi="宋体"/>
          <w:bCs/>
          <w:color w:val="000000"/>
          <w:szCs w:val="21"/>
        </w:rPr>
        <w:t>分别称取一定量的纯铝于250mL烧杯中，用盐酸溶解后，低温蒸至近干呈湿盐状。加入10.00mL锆标准溶液和10mL浓盐酸，加水至100mL，以下按试验方法操作。结果见表6。</w:t>
      </w:r>
    </w:p>
    <w:p>
      <w:pPr>
        <w:spacing w:line="360" w:lineRule="auto"/>
        <w:jc w:val="center"/>
        <w:rPr>
          <w:rFonts w:ascii="宋体" w:hAnsi="宋体"/>
          <w:szCs w:val="21"/>
        </w:rPr>
      </w:pPr>
      <w:r>
        <w:rPr>
          <w:rFonts w:hint="eastAsia" w:ascii="宋体" w:hAnsi="宋体"/>
          <w:szCs w:val="21"/>
        </w:rPr>
        <w:t xml:space="preserve">表6 </w:t>
      </w:r>
      <w:r>
        <w:rPr>
          <w:rFonts w:hint="eastAsia" w:ascii="宋体" w:hAnsi="宋体"/>
          <w:bCs/>
          <w:color w:val="000000"/>
          <w:szCs w:val="21"/>
        </w:rPr>
        <w:t>铝基体的干扰试验</w:t>
      </w:r>
    </w:p>
    <w:tbl>
      <w:tblPr>
        <w:tblStyle w:val="20"/>
        <w:tblW w:w="840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2127"/>
        <w:gridCol w:w="2146"/>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2" w:type="dxa"/>
            <w:vAlign w:val="center"/>
          </w:tcPr>
          <w:p>
            <w:pPr>
              <w:spacing w:line="360" w:lineRule="auto"/>
              <w:jc w:val="center"/>
              <w:rPr>
                <w:rFonts w:ascii="宋体" w:hAnsi="宋体"/>
                <w:szCs w:val="21"/>
              </w:rPr>
            </w:pPr>
            <w:r>
              <w:rPr>
                <w:rFonts w:hint="eastAsia" w:ascii="宋体" w:hAnsi="宋体"/>
                <w:szCs w:val="21"/>
              </w:rPr>
              <w:t>移取锆标准溶液的</w:t>
            </w:r>
            <w:r>
              <w:rPr>
                <w:rFonts w:hint="eastAsia" w:ascii="宋体" w:hAnsi="宋体" w:cs="宋体"/>
                <w:szCs w:val="21"/>
              </w:rPr>
              <w:t>体积</w:t>
            </w:r>
            <w:r>
              <w:rPr>
                <w:rFonts w:hint="eastAsia" w:ascii="宋体" w:hAnsi="宋体"/>
                <w:szCs w:val="21"/>
              </w:rPr>
              <w:t>/mL</w:t>
            </w:r>
          </w:p>
        </w:tc>
        <w:tc>
          <w:tcPr>
            <w:tcW w:w="2127" w:type="dxa"/>
            <w:vAlign w:val="center"/>
          </w:tcPr>
          <w:p>
            <w:pPr>
              <w:spacing w:line="360" w:lineRule="auto"/>
              <w:jc w:val="center"/>
              <w:rPr>
                <w:rFonts w:ascii="宋体" w:hAnsi="宋体"/>
                <w:szCs w:val="21"/>
              </w:rPr>
            </w:pPr>
            <w:r>
              <w:rPr>
                <w:rFonts w:hint="eastAsia" w:ascii="宋体" w:hAnsi="宋体"/>
                <w:bCs/>
                <w:color w:val="000000"/>
                <w:szCs w:val="21"/>
              </w:rPr>
              <w:t>称取纯铝的量</w:t>
            </w:r>
            <w:r>
              <w:rPr>
                <w:rFonts w:hint="eastAsia" w:ascii="宋体" w:hAnsi="宋体"/>
                <w:szCs w:val="21"/>
              </w:rPr>
              <w:t>/g</w:t>
            </w:r>
          </w:p>
        </w:tc>
        <w:tc>
          <w:tcPr>
            <w:tcW w:w="2146" w:type="dxa"/>
          </w:tcPr>
          <w:p>
            <w:pPr>
              <w:spacing w:line="360" w:lineRule="auto"/>
              <w:jc w:val="center"/>
              <w:rPr>
                <w:rFonts w:ascii="宋体" w:hAnsi="宋体" w:cs="宋体-方正超大字符集"/>
                <w:szCs w:val="21"/>
              </w:rPr>
            </w:pPr>
            <w:r>
              <w:rPr>
                <w:rFonts w:hint="eastAsia" w:ascii="宋体" w:hAnsi="宋体"/>
                <w:szCs w:val="21"/>
              </w:rPr>
              <w:t>EDTA标准滴定溶液的滴定体积/mL</w:t>
            </w:r>
          </w:p>
        </w:tc>
        <w:tc>
          <w:tcPr>
            <w:tcW w:w="2395" w:type="dxa"/>
            <w:vAlign w:val="center"/>
          </w:tcPr>
          <w:p>
            <w:pPr>
              <w:spacing w:line="360" w:lineRule="auto"/>
              <w:jc w:val="center"/>
              <w:rPr>
                <w:rFonts w:ascii="宋体" w:hAnsi="宋体"/>
                <w:szCs w:val="21"/>
              </w:rPr>
            </w:pPr>
            <w:r>
              <w:rPr>
                <w:rFonts w:hint="eastAsia" w:ascii="宋体" w:hAnsi="宋体"/>
                <w:szCs w:val="21"/>
              </w:rPr>
              <w:t>滴定终点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2" w:type="dxa"/>
            <w:vMerge w:val="restart"/>
            <w:vAlign w:val="center"/>
          </w:tcPr>
          <w:p>
            <w:pPr>
              <w:spacing w:line="360" w:lineRule="auto"/>
              <w:jc w:val="center"/>
              <w:rPr>
                <w:rFonts w:ascii="宋体" w:hAnsi="宋体"/>
                <w:szCs w:val="21"/>
              </w:rPr>
            </w:pPr>
            <w:r>
              <w:rPr>
                <w:rFonts w:hint="eastAsia" w:ascii="宋体" w:hAnsi="宋体"/>
                <w:szCs w:val="21"/>
              </w:rPr>
              <w:t>10</w:t>
            </w:r>
            <w:r>
              <w:rPr>
                <w:rFonts w:ascii="宋体" w:hAnsi="宋体"/>
                <w:szCs w:val="21"/>
              </w:rPr>
              <w:t>.00</w:t>
            </w:r>
          </w:p>
          <w:p>
            <w:pPr>
              <w:spacing w:line="360" w:lineRule="auto"/>
              <w:jc w:val="center"/>
              <w:rPr>
                <w:rFonts w:ascii="宋体" w:hAnsi="宋体"/>
                <w:szCs w:val="21"/>
              </w:rPr>
            </w:pPr>
            <w:r>
              <w:rPr>
                <w:rFonts w:hint="eastAsia" w:ascii="宋体" w:hAnsi="宋体"/>
                <w:szCs w:val="21"/>
              </w:rPr>
              <w:t>（约20</w:t>
            </w:r>
            <w:r>
              <w:rPr>
                <w:rFonts w:hint="eastAsia" w:ascii="宋体" w:hAnsi="宋体"/>
                <w:color w:val="000000"/>
                <w:szCs w:val="21"/>
              </w:rPr>
              <w:t xml:space="preserve"> mg）</w:t>
            </w:r>
          </w:p>
        </w:tc>
        <w:tc>
          <w:tcPr>
            <w:tcW w:w="2127" w:type="dxa"/>
            <w:vAlign w:val="center"/>
          </w:tcPr>
          <w:p>
            <w:pPr>
              <w:spacing w:line="360" w:lineRule="auto"/>
              <w:jc w:val="center"/>
              <w:rPr>
                <w:rFonts w:ascii="宋体" w:hAnsi="宋体"/>
                <w:szCs w:val="21"/>
              </w:rPr>
            </w:pPr>
            <w:r>
              <w:rPr>
                <w:rFonts w:hint="eastAsia" w:ascii="宋体" w:hAnsi="宋体"/>
                <w:szCs w:val="21"/>
              </w:rPr>
              <w:t>0.0</w:t>
            </w:r>
          </w:p>
        </w:tc>
        <w:tc>
          <w:tcPr>
            <w:tcW w:w="2146" w:type="dxa"/>
            <w:vAlign w:val="center"/>
          </w:tcPr>
          <w:p>
            <w:pPr>
              <w:spacing w:line="360" w:lineRule="auto"/>
              <w:jc w:val="center"/>
              <w:rPr>
                <w:rFonts w:ascii="宋体" w:hAnsi="宋体"/>
                <w:szCs w:val="21"/>
              </w:rPr>
            </w:pPr>
            <w:r>
              <w:rPr>
                <w:rFonts w:hint="eastAsia" w:ascii="宋体" w:hAnsi="宋体"/>
                <w:szCs w:val="21"/>
              </w:rPr>
              <w:t>21.16</w:t>
            </w:r>
          </w:p>
        </w:tc>
        <w:tc>
          <w:tcPr>
            <w:tcW w:w="2395" w:type="dxa"/>
            <w:vAlign w:val="center"/>
          </w:tcPr>
          <w:p>
            <w:pPr>
              <w:spacing w:line="360" w:lineRule="auto"/>
              <w:jc w:val="center"/>
              <w:rPr>
                <w:rFonts w:ascii="宋体" w:hAnsi="宋体"/>
                <w:szCs w:val="21"/>
              </w:rPr>
            </w:pPr>
            <w:r>
              <w:rPr>
                <w:rFonts w:hint="eastAsia" w:ascii="宋体" w:hAnsi="宋体"/>
                <w:szCs w:val="21"/>
              </w:rPr>
              <w:t>终点明显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2" w:type="dxa"/>
            <w:vMerge w:val="continue"/>
            <w:vAlign w:val="center"/>
          </w:tcPr>
          <w:p>
            <w:pPr>
              <w:spacing w:line="360" w:lineRule="auto"/>
              <w:jc w:val="center"/>
              <w:rPr>
                <w:rFonts w:ascii="宋体" w:hAnsi="宋体"/>
                <w:szCs w:val="21"/>
              </w:rPr>
            </w:pPr>
          </w:p>
        </w:tc>
        <w:tc>
          <w:tcPr>
            <w:tcW w:w="2127" w:type="dxa"/>
            <w:vAlign w:val="center"/>
          </w:tcPr>
          <w:p>
            <w:pPr>
              <w:spacing w:line="360" w:lineRule="auto"/>
              <w:jc w:val="center"/>
              <w:rPr>
                <w:rFonts w:ascii="宋体" w:hAnsi="宋体"/>
                <w:szCs w:val="21"/>
              </w:rPr>
            </w:pPr>
            <w:r>
              <w:rPr>
                <w:rFonts w:hint="eastAsia" w:ascii="宋体" w:hAnsi="宋体"/>
                <w:szCs w:val="21"/>
              </w:rPr>
              <w:t>0.5</w:t>
            </w:r>
          </w:p>
        </w:tc>
        <w:tc>
          <w:tcPr>
            <w:tcW w:w="2146" w:type="dxa"/>
          </w:tcPr>
          <w:p>
            <w:pPr>
              <w:spacing w:line="360" w:lineRule="auto"/>
              <w:jc w:val="center"/>
              <w:rPr>
                <w:rFonts w:ascii="宋体" w:hAnsi="宋体"/>
                <w:szCs w:val="21"/>
              </w:rPr>
            </w:pPr>
            <w:r>
              <w:rPr>
                <w:rFonts w:hint="eastAsia" w:ascii="宋体" w:hAnsi="宋体"/>
                <w:szCs w:val="21"/>
              </w:rPr>
              <w:t>21.14</w:t>
            </w:r>
          </w:p>
        </w:tc>
        <w:tc>
          <w:tcPr>
            <w:tcW w:w="2395" w:type="dxa"/>
            <w:vAlign w:val="center"/>
          </w:tcPr>
          <w:p>
            <w:pPr>
              <w:spacing w:line="360" w:lineRule="auto"/>
              <w:jc w:val="center"/>
              <w:rPr>
                <w:rFonts w:ascii="宋体" w:hAnsi="宋体"/>
                <w:szCs w:val="21"/>
              </w:rPr>
            </w:pPr>
            <w:r>
              <w:rPr>
                <w:rFonts w:hint="eastAsia" w:ascii="宋体" w:hAnsi="宋体"/>
                <w:szCs w:val="21"/>
              </w:rPr>
              <w:t>终点明显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2" w:type="dxa"/>
            <w:vMerge w:val="continue"/>
            <w:vAlign w:val="center"/>
          </w:tcPr>
          <w:p>
            <w:pPr>
              <w:spacing w:line="360" w:lineRule="auto"/>
              <w:jc w:val="center"/>
              <w:rPr>
                <w:rFonts w:ascii="宋体" w:hAnsi="宋体"/>
                <w:szCs w:val="21"/>
              </w:rPr>
            </w:pPr>
          </w:p>
        </w:tc>
        <w:tc>
          <w:tcPr>
            <w:tcW w:w="2127" w:type="dxa"/>
            <w:vAlign w:val="center"/>
          </w:tcPr>
          <w:p>
            <w:pPr>
              <w:spacing w:line="360" w:lineRule="auto"/>
              <w:jc w:val="center"/>
              <w:rPr>
                <w:rFonts w:ascii="宋体" w:hAnsi="宋体"/>
                <w:szCs w:val="21"/>
              </w:rPr>
            </w:pPr>
            <w:r>
              <w:rPr>
                <w:rFonts w:hint="eastAsia" w:ascii="宋体" w:hAnsi="宋体"/>
                <w:szCs w:val="21"/>
              </w:rPr>
              <w:t>1.0</w:t>
            </w:r>
          </w:p>
        </w:tc>
        <w:tc>
          <w:tcPr>
            <w:tcW w:w="2146" w:type="dxa"/>
          </w:tcPr>
          <w:p>
            <w:pPr>
              <w:spacing w:line="360" w:lineRule="auto"/>
              <w:jc w:val="center"/>
              <w:rPr>
                <w:rFonts w:ascii="宋体" w:hAnsi="宋体"/>
                <w:szCs w:val="21"/>
              </w:rPr>
            </w:pPr>
            <w:r>
              <w:rPr>
                <w:rFonts w:hint="eastAsia" w:ascii="宋体" w:hAnsi="宋体"/>
                <w:szCs w:val="21"/>
              </w:rPr>
              <w:t>21.18</w:t>
            </w:r>
          </w:p>
        </w:tc>
        <w:tc>
          <w:tcPr>
            <w:tcW w:w="2395" w:type="dxa"/>
            <w:vAlign w:val="center"/>
          </w:tcPr>
          <w:p>
            <w:pPr>
              <w:spacing w:line="360" w:lineRule="auto"/>
              <w:jc w:val="center"/>
              <w:rPr>
                <w:rFonts w:ascii="宋体" w:hAnsi="宋体"/>
                <w:szCs w:val="21"/>
              </w:rPr>
            </w:pPr>
            <w:r>
              <w:rPr>
                <w:rFonts w:hint="eastAsia" w:ascii="宋体" w:hAnsi="宋体"/>
                <w:szCs w:val="21"/>
              </w:rPr>
              <w:t>终点明显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2" w:type="dxa"/>
            <w:vMerge w:val="continue"/>
            <w:vAlign w:val="center"/>
          </w:tcPr>
          <w:p>
            <w:pPr>
              <w:spacing w:line="360" w:lineRule="auto"/>
              <w:rPr>
                <w:rFonts w:ascii="宋体" w:hAnsi="宋体"/>
                <w:szCs w:val="21"/>
              </w:rPr>
            </w:pPr>
          </w:p>
        </w:tc>
        <w:tc>
          <w:tcPr>
            <w:tcW w:w="2127" w:type="dxa"/>
            <w:vAlign w:val="center"/>
          </w:tcPr>
          <w:p>
            <w:pPr>
              <w:spacing w:line="360" w:lineRule="auto"/>
              <w:jc w:val="center"/>
              <w:rPr>
                <w:rFonts w:ascii="宋体" w:hAnsi="宋体"/>
                <w:szCs w:val="21"/>
              </w:rPr>
            </w:pPr>
            <w:r>
              <w:rPr>
                <w:rFonts w:hint="eastAsia" w:ascii="宋体" w:hAnsi="宋体"/>
                <w:szCs w:val="21"/>
              </w:rPr>
              <w:t>2.0</w:t>
            </w:r>
          </w:p>
        </w:tc>
        <w:tc>
          <w:tcPr>
            <w:tcW w:w="2146" w:type="dxa"/>
          </w:tcPr>
          <w:p>
            <w:pPr>
              <w:spacing w:line="360" w:lineRule="auto"/>
              <w:jc w:val="center"/>
              <w:rPr>
                <w:rFonts w:ascii="宋体" w:hAnsi="宋体"/>
                <w:szCs w:val="21"/>
              </w:rPr>
            </w:pPr>
            <w:r>
              <w:rPr>
                <w:rFonts w:hint="eastAsia" w:ascii="宋体" w:hAnsi="宋体"/>
                <w:szCs w:val="21"/>
              </w:rPr>
              <w:t>21.16</w:t>
            </w:r>
          </w:p>
        </w:tc>
        <w:tc>
          <w:tcPr>
            <w:tcW w:w="2395" w:type="dxa"/>
            <w:vAlign w:val="center"/>
          </w:tcPr>
          <w:p>
            <w:pPr>
              <w:spacing w:line="360" w:lineRule="auto"/>
              <w:jc w:val="center"/>
              <w:rPr>
                <w:rFonts w:ascii="宋体" w:hAnsi="宋体"/>
                <w:szCs w:val="21"/>
              </w:rPr>
            </w:pPr>
            <w:r>
              <w:rPr>
                <w:rFonts w:hint="eastAsia" w:ascii="宋体" w:hAnsi="宋体"/>
                <w:szCs w:val="21"/>
              </w:rPr>
              <w:t>终点明显</w:t>
            </w:r>
          </w:p>
        </w:tc>
      </w:tr>
    </w:tbl>
    <w:p>
      <w:pPr>
        <w:spacing w:line="360" w:lineRule="auto"/>
        <w:ind w:firstLine="420"/>
        <w:rPr>
          <w:rFonts w:ascii="宋体" w:hAnsi="宋体"/>
        </w:rPr>
      </w:pPr>
      <w:r>
        <w:rPr>
          <w:rFonts w:hint="eastAsia" w:ascii="宋体" w:hAnsi="宋体"/>
        </w:rPr>
        <w:t>从表6以看出，大量的基体铝不干扰测定。</w:t>
      </w:r>
    </w:p>
    <w:p>
      <w:pPr>
        <w:spacing w:line="360" w:lineRule="auto"/>
      </w:pPr>
      <w:r>
        <w:rPr>
          <w:rFonts w:hint="eastAsia" w:ascii="宋体" w:hAnsi="宋体" w:cs="宋体"/>
        </w:rPr>
        <w:t>3、</w:t>
      </w:r>
      <w:r>
        <w:rPr>
          <w:rFonts w:hint="eastAsia"/>
        </w:rPr>
        <w:t>共存</w:t>
      </w:r>
      <w:r>
        <w:rPr>
          <w:rFonts w:hint="eastAsia" w:ascii="宋体" w:hAnsi="宋体"/>
          <w:szCs w:val="21"/>
        </w:rPr>
        <w:t>干扰离子的影响</w:t>
      </w:r>
    </w:p>
    <w:p>
      <w:pPr>
        <w:spacing w:line="360" w:lineRule="auto"/>
        <w:ind w:firstLine="420" w:firstLineChars="200"/>
        <w:rPr>
          <w:rFonts w:ascii="宋体" w:hAnsi="宋体"/>
        </w:rPr>
      </w:pPr>
      <w:r>
        <w:rPr>
          <w:rFonts w:hint="eastAsia" w:ascii="宋体" w:hAnsi="宋体"/>
        </w:rPr>
        <w:t>参考铝锆合金产品标准，考虑那些共存元素含量的情况，同时也考虑试验过程中可能引入的干扰元素以及那些与EDTA有较大络合常数的元素，</w:t>
      </w:r>
      <w:r>
        <w:rPr>
          <w:rFonts w:hint="eastAsia" w:ascii="宋体" w:hAnsi="宋体"/>
          <w:szCs w:val="21"/>
        </w:rPr>
        <w:t>查阅了</w:t>
      </w:r>
      <w:r>
        <w:rPr>
          <w:rFonts w:ascii="宋体" w:hAnsi="宋体"/>
          <w:szCs w:val="21"/>
        </w:rPr>
        <w:t>GB/T 3190</w:t>
      </w:r>
      <w:r>
        <w:rPr>
          <w:rFonts w:hint="eastAsia" w:ascii="宋体" w:hAnsi="宋体"/>
          <w:szCs w:val="21"/>
        </w:rPr>
        <w:t>（草案稿）；</w:t>
      </w:r>
      <w:r>
        <w:rPr>
          <w:rFonts w:ascii="宋体" w:hAnsi="宋体"/>
          <w:szCs w:val="21"/>
        </w:rPr>
        <w:t>GB/T 8733-2016</w:t>
      </w:r>
      <w:r>
        <w:rPr>
          <w:rFonts w:hint="eastAsia" w:ascii="宋体" w:hAnsi="宋体"/>
          <w:szCs w:val="21"/>
        </w:rPr>
        <w:t>；</w:t>
      </w:r>
      <w:r>
        <w:rPr>
          <w:rFonts w:ascii="宋体" w:hAnsi="宋体"/>
          <w:szCs w:val="21"/>
        </w:rPr>
        <w:t>GB/T 27677-2017</w:t>
      </w:r>
      <w:r>
        <w:rPr>
          <w:rFonts w:hint="eastAsia" w:ascii="宋体" w:hAnsi="宋体"/>
          <w:szCs w:val="21"/>
        </w:rPr>
        <w:t>；</w:t>
      </w:r>
      <w:r>
        <w:rPr>
          <w:rFonts w:ascii="宋体" w:hAnsi="宋体"/>
          <w:szCs w:val="21"/>
        </w:rPr>
        <w:t>GB/T 1196-2017</w:t>
      </w:r>
      <w:r>
        <w:rPr>
          <w:rFonts w:hint="eastAsia" w:ascii="宋体" w:hAnsi="宋体"/>
          <w:szCs w:val="21"/>
        </w:rPr>
        <w:t>；</w:t>
      </w:r>
      <w:r>
        <w:rPr>
          <w:rFonts w:ascii="宋体" w:hAnsi="宋体"/>
          <w:szCs w:val="21"/>
        </w:rPr>
        <w:t>YS/T 665-2008</w:t>
      </w:r>
      <w:r>
        <w:rPr>
          <w:rFonts w:hint="eastAsia" w:ascii="宋体" w:hAnsi="宋体"/>
          <w:szCs w:val="21"/>
        </w:rPr>
        <w:t>；</w:t>
      </w:r>
      <w:r>
        <w:rPr>
          <w:rFonts w:ascii="宋体" w:hAnsi="宋体"/>
          <w:szCs w:val="21"/>
        </w:rPr>
        <w:t>YS/T 275-2009</w:t>
      </w:r>
      <w:r>
        <w:rPr>
          <w:rFonts w:hint="eastAsia" w:ascii="宋体" w:hAnsi="宋体"/>
          <w:szCs w:val="21"/>
        </w:rPr>
        <w:t>等</w:t>
      </w:r>
      <w:r>
        <w:rPr>
          <w:rFonts w:ascii="宋体" w:hAnsi="宋体"/>
          <w:szCs w:val="21"/>
        </w:rPr>
        <w:t>7</w:t>
      </w:r>
      <w:r>
        <w:rPr>
          <w:rFonts w:hint="eastAsia" w:ascii="宋体" w:hAnsi="宋体"/>
          <w:szCs w:val="21"/>
        </w:rPr>
        <w:t>个成分标准，及部分产品标准，确定了干扰元素的种类和含量。主要的共存元素</w:t>
      </w:r>
      <w:r>
        <w:rPr>
          <w:rFonts w:ascii="宋体" w:hAnsi="宋体"/>
          <w:szCs w:val="21"/>
        </w:rPr>
        <w:t>Fe</w:t>
      </w:r>
      <w:r>
        <w:rPr>
          <w:rFonts w:hint="eastAsia" w:ascii="宋体" w:hAnsi="宋体"/>
          <w:szCs w:val="21"/>
        </w:rPr>
        <w:t>、</w:t>
      </w:r>
      <w:r>
        <w:rPr>
          <w:rFonts w:ascii="宋体" w:hAnsi="宋体"/>
          <w:szCs w:val="21"/>
        </w:rPr>
        <w:t>Ti</w:t>
      </w:r>
      <w:r>
        <w:rPr>
          <w:rFonts w:hint="eastAsia" w:ascii="宋体" w:hAnsi="宋体"/>
          <w:szCs w:val="21"/>
        </w:rPr>
        <w:t>、</w:t>
      </w:r>
      <w:r>
        <w:rPr>
          <w:rFonts w:ascii="宋体" w:hAnsi="宋体"/>
          <w:szCs w:val="21"/>
        </w:rPr>
        <w:t>Ni</w:t>
      </w:r>
      <w:r>
        <w:rPr>
          <w:rFonts w:hint="eastAsia" w:ascii="宋体" w:hAnsi="宋体"/>
          <w:szCs w:val="21"/>
        </w:rPr>
        <w:t>、</w:t>
      </w:r>
      <w:r>
        <w:rPr>
          <w:rFonts w:ascii="宋体" w:hAnsi="宋体"/>
          <w:szCs w:val="21"/>
        </w:rPr>
        <w:t>Cu</w:t>
      </w:r>
      <w:r>
        <w:rPr>
          <w:rFonts w:hint="eastAsia" w:ascii="宋体" w:hAnsi="宋体"/>
          <w:szCs w:val="21"/>
        </w:rPr>
        <w:t>、</w:t>
      </w:r>
      <w:r>
        <w:rPr>
          <w:rFonts w:ascii="宋体" w:hAnsi="宋体"/>
          <w:szCs w:val="21"/>
        </w:rPr>
        <w:t>Mn</w:t>
      </w:r>
      <w:r>
        <w:rPr>
          <w:rFonts w:hint="eastAsia" w:ascii="宋体" w:hAnsi="宋体"/>
          <w:szCs w:val="21"/>
        </w:rPr>
        <w:t>、</w:t>
      </w:r>
      <w:r>
        <w:rPr>
          <w:rFonts w:ascii="宋体" w:hAnsi="宋体"/>
          <w:szCs w:val="21"/>
        </w:rPr>
        <w:t>Mg</w:t>
      </w:r>
      <w:r>
        <w:rPr>
          <w:rFonts w:hint="eastAsia" w:ascii="宋体" w:hAnsi="宋体"/>
          <w:szCs w:val="21"/>
        </w:rPr>
        <w:t>、</w:t>
      </w:r>
      <w:r>
        <w:rPr>
          <w:rFonts w:ascii="宋体" w:hAnsi="宋体"/>
          <w:szCs w:val="21"/>
        </w:rPr>
        <w:t>Cr</w:t>
      </w:r>
      <w:r>
        <w:rPr>
          <w:rFonts w:hint="eastAsia" w:ascii="宋体" w:hAnsi="宋体"/>
          <w:szCs w:val="21"/>
        </w:rPr>
        <w:t>、</w:t>
      </w:r>
      <w:r>
        <w:rPr>
          <w:rFonts w:ascii="宋体" w:hAnsi="宋体"/>
          <w:szCs w:val="21"/>
        </w:rPr>
        <w:t>Zn</w:t>
      </w:r>
      <w:r>
        <w:rPr>
          <w:rFonts w:hint="eastAsia" w:ascii="宋体" w:hAnsi="宋体"/>
          <w:szCs w:val="21"/>
        </w:rPr>
        <w:t>、</w:t>
      </w:r>
      <w:r>
        <w:rPr>
          <w:rFonts w:ascii="宋体" w:hAnsi="宋体"/>
          <w:szCs w:val="21"/>
        </w:rPr>
        <w:t>Ca</w:t>
      </w:r>
      <w:r>
        <w:rPr>
          <w:rFonts w:hint="eastAsia" w:ascii="宋体" w:hAnsi="宋体"/>
          <w:szCs w:val="21"/>
        </w:rPr>
        <w:t>、</w:t>
      </w:r>
      <w:r>
        <w:rPr>
          <w:rFonts w:ascii="宋体" w:hAnsi="宋体"/>
          <w:szCs w:val="21"/>
        </w:rPr>
        <w:t>V</w:t>
      </w:r>
      <w:r>
        <w:rPr>
          <w:rFonts w:hint="eastAsia" w:ascii="宋体" w:hAnsi="宋体"/>
          <w:szCs w:val="21"/>
        </w:rPr>
        <w:t>、</w:t>
      </w:r>
      <w:r>
        <w:rPr>
          <w:rFonts w:ascii="宋体" w:hAnsi="宋体"/>
          <w:szCs w:val="21"/>
        </w:rPr>
        <w:t>Ce</w:t>
      </w:r>
      <w:r>
        <w:rPr>
          <w:rFonts w:hint="eastAsia" w:ascii="宋体" w:hAnsi="宋体"/>
          <w:szCs w:val="21"/>
        </w:rPr>
        <w:t>、</w:t>
      </w:r>
      <w:r>
        <w:rPr>
          <w:rFonts w:ascii="宋体" w:hAnsi="宋体"/>
          <w:szCs w:val="21"/>
        </w:rPr>
        <w:t>Pb</w:t>
      </w:r>
      <w:r>
        <w:rPr>
          <w:rFonts w:hint="eastAsia" w:ascii="宋体" w:hAnsi="宋体"/>
          <w:szCs w:val="21"/>
        </w:rPr>
        <w:t>、</w:t>
      </w:r>
      <w:r>
        <w:rPr>
          <w:rFonts w:ascii="宋体" w:hAnsi="宋体"/>
          <w:szCs w:val="21"/>
        </w:rPr>
        <w:t>Sn</w:t>
      </w:r>
      <w:r>
        <w:rPr>
          <w:rFonts w:hint="eastAsia" w:ascii="宋体" w:hAnsi="宋体"/>
          <w:szCs w:val="21"/>
        </w:rPr>
        <w:t>等，本次修订主要对这些共存元素进行了干扰实验。</w:t>
      </w:r>
      <w:r>
        <w:rPr>
          <w:rFonts w:hint="eastAsia" w:ascii="宋体" w:hAnsi="宋体"/>
        </w:rPr>
        <w:t>按试验方法，移取</w:t>
      </w:r>
      <w:r>
        <w:rPr>
          <w:rFonts w:hint="eastAsia" w:ascii="宋体" w:hAnsi="宋体"/>
          <w:bCs/>
          <w:color w:val="000000"/>
          <w:szCs w:val="21"/>
        </w:rPr>
        <w:t>10.00mL锆标准溶液</w:t>
      </w:r>
      <w:r>
        <w:rPr>
          <w:rFonts w:hint="eastAsia" w:ascii="宋体" w:hAnsi="宋体"/>
        </w:rPr>
        <w:t>，比较加入以下量的共存离子前后锆测定值的变化情况，试验结果见表7。</w:t>
      </w:r>
    </w:p>
    <w:p>
      <w:pPr>
        <w:spacing w:line="360" w:lineRule="auto"/>
        <w:ind w:firstLine="420" w:firstLineChars="200"/>
        <w:jc w:val="center"/>
        <w:rPr>
          <w:rFonts w:ascii="宋体" w:hAnsi="宋体"/>
        </w:rPr>
      </w:pPr>
      <w:r>
        <w:rPr>
          <w:rFonts w:hint="eastAsia" w:ascii="宋体" w:hAnsi="宋体"/>
        </w:rPr>
        <w:t>表7：共存元素干扰试验</w:t>
      </w:r>
    </w:p>
    <w:tbl>
      <w:tblPr>
        <w:tblStyle w:val="20"/>
        <w:tblW w:w="8164" w:type="dxa"/>
        <w:jc w:val="center"/>
        <w:tblInd w:w="-20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90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rFonts w:hint="eastAsia" w:ascii="宋体" w:hAnsi="宋体"/>
                <w:szCs w:val="21"/>
              </w:rPr>
              <w:t>共存元素</w:t>
            </w:r>
          </w:p>
        </w:tc>
        <w:tc>
          <w:tcPr>
            <w:tcW w:w="2905" w:type="dxa"/>
          </w:tcPr>
          <w:p>
            <w:pPr>
              <w:spacing w:line="360" w:lineRule="auto"/>
              <w:jc w:val="center"/>
              <w:rPr>
                <w:rFonts w:ascii="宋体" w:hAnsi="宋体"/>
                <w:szCs w:val="21"/>
              </w:rPr>
            </w:pPr>
            <w:r>
              <w:rPr>
                <w:rFonts w:hint="eastAsia" w:ascii="宋体" w:hAnsi="宋体"/>
                <w:szCs w:val="21"/>
              </w:rPr>
              <w:t>共存元素加入量（mg）</w:t>
            </w:r>
          </w:p>
        </w:tc>
        <w:tc>
          <w:tcPr>
            <w:tcW w:w="2565" w:type="dxa"/>
          </w:tcPr>
          <w:p>
            <w:pPr>
              <w:spacing w:line="360" w:lineRule="auto"/>
              <w:jc w:val="center"/>
              <w:rPr>
                <w:rFonts w:ascii="宋体" w:hAnsi="宋体"/>
                <w:szCs w:val="21"/>
              </w:rPr>
            </w:pPr>
            <w:r>
              <w:rPr>
                <w:rFonts w:hint="eastAsia" w:ascii="宋体" w:hAnsi="宋体"/>
                <w:szCs w:val="21"/>
              </w:rPr>
              <w:t>滴定体积（mL）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rFonts w:hint="eastAsia" w:ascii="宋体" w:hAnsi="宋体"/>
                <w:szCs w:val="21"/>
              </w:rPr>
              <w:t>\</w:t>
            </w:r>
          </w:p>
        </w:tc>
        <w:tc>
          <w:tcPr>
            <w:tcW w:w="2905" w:type="dxa"/>
          </w:tcPr>
          <w:p>
            <w:pPr>
              <w:spacing w:line="360" w:lineRule="auto"/>
              <w:jc w:val="center"/>
              <w:rPr>
                <w:rFonts w:ascii="宋体" w:hAnsi="宋体"/>
                <w:szCs w:val="21"/>
              </w:rPr>
            </w:pPr>
            <w:r>
              <w:rPr>
                <w:rFonts w:hint="eastAsia" w:ascii="宋体" w:hAnsi="宋体"/>
                <w:szCs w:val="21"/>
              </w:rPr>
              <w:t>\</w:t>
            </w:r>
          </w:p>
        </w:tc>
        <w:tc>
          <w:tcPr>
            <w:tcW w:w="2565" w:type="dxa"/>
          </w:tcPr>
          <w:p>
            <w:pPr>
              <w:spacing w:line="360" w:lineRule="auto"/>
              <w:jc w:val="center"/>
              <w:rPr>
                <w:rFonts w:ascii="宋体" w:hAnsi="宋体"/>
                <w:szCs w:val="21"/>
              </w:rPr>
            </w:pPr>
            <w:r>
              <w:rPr>
                <w:rFonts w:hint="eastAsia" w:ascii="宋体" w:hAnsi="宋体"/>
                <w:szCs w:val="21"/>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Cu</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rFonts w:hint="eastAsia"/>
                <w:szCs w:val="21"/>
              </w:rPr>
              <w:t>Cr</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Pb</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Sn</w:t>
            </w:r>
          </w:p>
        </w:tc>
        <w:tc>
          <w:tcPr>
            <w:tcW w:w="2905" w:type="dxa"/>
          </w:tcPr>
          <w:p>
            <w:pPr>
              <w:spacing w:line="360" w:lineRule="auto"/>
              <w:jc w:val="center"/>
              <w:rPr>
                <w:rFonts w:ascii="宋体" w:hAnsi="宋体"/>
                <w:szCs w:val="21"/>
              </w:rPr>
            </w:pPr>
            <w:r>
              <w:rPr>
                <w:rFonts w:hint="eastAsia" w:ascii="宋体" w:hAnsi="宋体"/>
                <w:szCs w:val="21"/>
              </w:rPr>
              <w:t>100</w:t>
            </w:r>
          </w:p>
        </w:tc>
        <w:tc>
          <w:tcPr>
            <w:tcW w:w="2565" w:type="dxa"/>
          </w:tcPr>
          <w:p>
            <w:pPr>
              <w:spacing w:line="360" w:lineRule="auto"/>
              <w:jc w:val="center"/>
              <w:rPr>
                <w:rFonts w:ascii="宋体" w:hAnsi="宋体"/>
                <w:szCs w:val="21"/>
              </w:rPr>
            </w:pPr>
            <w:r>
              <w:rPr>
                <w:rFonts w:hint="eastAsia" w:ascii="宋体" w:hAnsi="宋体"/>
                <w:szCs w:val="21"/>
              </w:rPr>
              <w:t>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Zn</w:t>
            </w:r>
          </w:p>
        </w:tc>
        <w:tc>
          <w:tcPr>
            <w:tcW w:w="2905" w:type="dxa"/>
          </w:tcPr>
          <w:p>
            <w:pPr>
              <w:spacing w:line="360" w:lineRule="auto"/>
              <w:jc w:val="center"/>
              <w:rPr>
                <w:rFonts w:ascii="宋体" w:hAnsi="宋体"/>
                <w:szCs w:val="21"/>
              </w:rPr>
            </w:pPr>
            <w:r>
              <w:rPr>
                <w:rFonts w:hint="eastAsia" w:ascii="宋体" w:hAnsi="宋体"/>
                <w:szCs w:val="21"/>
              </w:rPr>
              <w:t>100</w:t>
            </w:r>
          </w:p>
        </w:tc>
        <w:tc>
          <w:tcPr>
            <w:tcW w:w="2565" w:type="dxa"/>
          </w:tcPr>
          <w:p>
            <w:pPr>
              <w:spacing w:line="360" w:lineRule="auto"/>
              <w:jc w:val="center"/>
              <w:rPr>
                <w:rFonts w:ascii="宋体" w:hAnsi="宋体"/>
                <w:szCs w:val="21"/>
              </w:rPr>
            </w:pPr>
            <w:r>
              <w:rPr>
                <w:rFonts w:hint="eastAsia" w:ascii="宋体" w:hAnsi="宋体"/>
                <w:szCs w:val="21"/>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Mg</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Mn</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Ti</w:t>
            </w:r>
          </w:p>
        </w:tc>
        <w:tc>
          <w:tcPr>
            <w:tcW w:w="2905" w:type="dxa"/>
          </w:tcPr>
          <w:p>
            <w:pPr>
              <w:spacing w:line="360" w:lineRule="auto"/>
              <w:jc w:val="center"/>
              <w:rPr>
                <w:rFonts w:ascii="宋体" w:hAnsi="宋体"/>
                <w:szCs w:val="21"/>
              </w:rPr>
            </w:pPr>
            <w:r>
              <w:rPr>
                <w:rFonts w:hint="eastAsia" w:ascii="宋体" w:hAnsi="宋体"/>
                <w:szCs w:val="21"/>
              </w:rPr>
              <w:t>100</w:t>
            </w:r>
          </w:p>
        </w:tc>
        <w:tc>
          <w:tcPr>
            <w:tcW w:w="2565" w:type="dxa"/>
          </w:tcPr>
          <w:p>
            <w:pPr>
              <w:spacing w:line="360" w:lineRule="auto"/>
              <w:jc w:val="center"/>
              <w:rPr>
                <w:rFonts w:ascii="宋体" w:hAnsi="宋体"/>
                <w:szCs w:val="21"/>
              </w:rPr>
            </w:pPr>
            <w:r>
              <w:rPr>
                <w:rFonts w:hint="eastAsia" w:ascii="宋体" w:hAnsi="宋体"/>
                <w:szCs w:val="21"/>
              </w:rPr>
              <w:t>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V</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Ni</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szCs w:val="21"/>
              </w:rPr>
              <w:t>Fe</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rFonts w:hint="eastAsia"/>
                <w:szCs w:val="21"/>
              </w:rPr>
              <w:t>Ce</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4" w:type="dxa"/>
          </w:tcPr>
          <w:p>
            <w:pPr>
              <w:spacing w:line="360" w:lineRule="auto"/>
              <w:jc w:val="center"/>
              <w:rPr>
                <w:rFonts w:ascii="宋体" w:hAnsi="宋体"/>
                <w:szCs w:val="21"/>
              </w:rPr>
            </w:pPr>
            <w:r>
              <w:rPr>
                <w:rFonts w:hint="eastAsia"/>
                <w:szCs w:val="21"/>
              </w:rPr>
              <w:t>Ca</w:t>
            </w:r>
          </w:p>
        </w:tc>
        <w:tc>
          <w:tcPr>
            <w:tcW w:w="2905" w:type="dxa"/>
          </w:tcPr>
          <w:p>
            <w:pPr>
              <w:spacing w:line="360" w:lineRule="auto"/>
              <w:jc w:val="center"/>
              <w:rPr>
                <w:rFonts w:ascii="宋体" w:hAnsi="宋体"/>
                <w:szCs w:val="21"/>
              </w:rPr>
            </w:pPr>
            <w:r>
              <w:rPr>
                <w:rFonts w:hint="eastAsia" w:ascii="宋体" w:hAnsi="宋体"/>
                <w:szCs w:val="21"/>
              </w:rPr>
              <w:t>50</w:t>
            </w:r>
          </w:p>
        </w:tc>
        <w:tc>
          <w:tcPr>
            <w:tcW w:w="2565" w:type="dxa"/>
          </w:tcPr>
          <w:p>
            <w:pPr>
              <w:spacing w:line="360" w:lineRule="auto"/>
              <w:jc w:val="center"/>
              <w:rPr>
                <w:rFonts w:ascii="宋体" w:hAnsi="宋体"/>
                <w:szCs w:val="21"/>
              </w:rPr>
            </w:pPr>
            <w:r>
              <w:rPr>
                <w:rFonts w:hint="eastAsia" w:ascii="宋体" w:hAnsi="宋体"/>
                <w:szCs w:val="21"/>
              </w:rPr>
              <w:t>21.18</w:t>
            </w:r>
          </w:p>
        </w:tc>
      </w:tr>
    </w:tbl>
    <w:p>
      <w:pPr>
        <w:spacing w:line="360" w:lineRule="auto"/>
        <w:ind w:firstLine="420"/>
        <w:rPr>
          <w:rFonts w:ascii="宋体" w:hAnsi="宋体"/>
          <w:szCs w:val="21"/>
        </w:rPr>
      </w:pPr>
      <w:r>
        <w:rPr>
          <w:rFonts w:hint="eastAsia" w:ascii="黑体" w:hAnsi="宋体" w:eastAsia="黑体"/>
        </w:rPr>
        <w:t>　</w:t>
      </w:r>
      <w:r>
        <w:rPr>
          <w:rFonts w:ascii="黑体" w:hAnsi="宋体" w:eastAsia="黑体"/>
        </w:rPr>
        <w:t>　</w:t>
      </w:r>
      <w:r>
        <w:rPr>
          <w:rFonts w:ascii="宋体" w:hAnsi="宋体"/>
          <w:szCs w:val="21"/>
        </w:rPr>
        <w:t>由表</w:t>
      </w:r>
      <w:r>
        <w:rPr>
          <w:rFonts w:hint="eastAsia" w:ascii="宋体" w:hAnsi="宋体"/>
          <w:szCs w:val="21"/>
        </w:rPr>
        <w:t>7可</w:t>
      </w:r>
      <w:r>
        <w:rPr>
          <w:rFonts w:ascii="宋体" w:hAnsi="宋体"/>
          <w:szCs w:val="21"/>
        </w:rPr>
        <w:t>知</w:t>
      </w:r>
      <w:r>
        <w:rPr>
          <w:rFonts w:hint="eastAsia" w:ascii="宋体" w:hAnsi="宋体"/>
          <w:szCs w:val="21"/>
        </w:rPr>
        <w:t>在</w:t>
      </w:r>
      <w:r>
        <w:rPr>
          <w:rFonts w:ascii="宋体" w:hAnsi="宋体"/>
          <w:szCs w:val="21"/>
        </w:rPr>
        <w:t>测定</w:t>
      </w:r>
      <w:r>
        <w:rPr>
          <w:rFonts w:hint="eastAsia" w:ascii="宋体" w:hAnsi="宋体"/>
          <w:szCs w:val="21"/>
        </w:rPr>
        <w:t>溶液中含有</w:t>
      </w:r>
      <w:r>
        <w:rPr>
          <w:rFonts w:ascii="宋体" w:hAnsi="宋体"/>
          <w:szCs w:val="21"/>
        </w:rPr>
        <w:t>表中浓度的共存元素不干扰</w:t>
      </w:r>
      <w:r>
        <w:rPr>
          <w:rFonts w:hint="eastAsia" w:ascii="宋体" w:hAnsi="宋体"/>
          <w:szCs w:val="21"/>
        </w:rPr>
        <w:t>锆</w:t>
      </w:r>
      <w:r>
        <w:rPr>
          <w:rFonts w:ascii="宋体" w:hAnsi="宋体"/>
          <w:szCs w:val="21"/>
        </w:rPr>
        <w:t>的测定。</w:t>
      </w:r>
    </w:p>
    <w:p>
      <w:pPr>
        <w:spacing w:line="360" w:lineRule="auto"/>
        <w:rPr>
          <w:rFonts w:ascii="宋体" w:hAnsi="宋体"/>
          <w:bCs/>
          <w:color w:val="000000"/>
          <w:szCs w:val="21"/>
        </w:rPr>
      </w:pPr>
      <w:r>
        <w:rPr>
          <w:rFonts w:hint="eastAsia" w:ascii="宋体" w:hAnsi="宋体"/>
          <w:szCs w:val="21"/>
        </w:rPr>
        <w:t>4、</w:t>
      </w:r>
      <w:r>
        <w:rPr>
          <w:rFonts w:hint="eastAsia" w:ascii="宋体" w:hAnsi="宋体"/>
          <w:bCs/>
          <w:color w:val="000000"/>
          <w:szCs w:val="21"/>
        </w:rPr>
        <w:t>铪对锆测定影响试验</w:t>
      </w:r>
    </w:p>
    <w:p>
      <w:pPr>
        <w:spacing w:line="360" w:lineRule="auto"/>
        <w:rPr>
          <w:rFonts w:ascii="宋体" w:hAnsi="宋体"/>
        </w:rPr>
      </w:pPr>
      <w:r>
        <w:rPr>
          <w:rFonts w:hint="eastAsia"/>
        </w:rPr>
        <w:t>　　</w:t>
      </w:r>
      <w:r>
        <w:rPr>
          <w:rFonts w:hint="eastAsia" w:ascii="宋体" w:hAnsi="宋体"/>
        </w:rPr>
        <w:t>由于铪与锆化学性质相似，在试验方法条件下铪和锆都1：1与EDTA络合，铪定量参与锆的滴定，若样品中含有铪应采用ICP-AES测定铪后从滴定结果中扣除，根据锆与铪的原子量计算，应在滴定结果中扣除0.51倍铪的测定结果。</w:t>
      </w:r>
    </w:p>
    <w:p>
      <w:pPr>
        <w:spacing w:line="360" w:lineRule="auto"/>
        <w:rPr>
          <w:szCs w:val="21"/>
        </w:rPr>
      </w:pPr>
      <w:r>
        <w:rPr>
          <w:rFonts w:hint="eastAsia" w:ascii="宋体" w:hAnsi="宋体"/>
          <w:szCs w:val="21"/>
        </w:rPr>
        <w:t>5、样</w:t>
      </w:r>
      <w:r>
        <w:rPr>
          <w:rFonts w:hint="eastAsia"/>
        </w:rPr>
        <w:t>品分析和</w:t>
      </w:r>
      <w:r>
        <w:rPr>
          <w:rFonts w:hint="eastAsia"/>
          <w:szCs w:val="21"/>
        </w:rPr>
        <w:t>精密度试验</w:t>
      </w:r>
    </w:p>
    <w:p>
      <w:pPr>
        <w:spacing w:line="360" w:lineRule="auto"/>
        <w:ind w:firstLine="420" w:firstLineChars="200"/>
        <w:rPr>
          <w:rFonts w:ascii="宋体" w:hAnsi="宋体"/>
          <w:szCs w:val="21"/>
        </w:rPr>
      </w:pPr>
      <w:r>
        <w:rPr>
          <w:rFonts w:hint="eastAsia" w:ascii="宋体" w:hAnsi="宋体"/>
          <w:szCs w:val="21"/>
        </w:rPr>
        <w:t>按照样品分析方法，对二个不同含量的样品GBS007和GBS008进行了11次平行测定，GBS007和GBS008</w:t>
      </w:r>
      <w:r>
        <w:rPr>
          <w:rFonts w:hint="eastAsia" w:ascii="宋体" w:hAnsi="宋体"/>
        </w:rPr>
        <w:t>icp-AES测定铪的结果分别是0.23%和0.34%,所以锆的滴定测定结果要分别减去0.12%和0.17%。</w:t>
      </w:r>
      <w:r>
        <w:rPr>
          <w:rFonts w:hint="eastAsia" w:ascii="宋体" w:hAnsi="宋体"/>
          <w:szCs w:val="21"/>
        </w:rPr>
        <w:t>由于生产单位提供的GBS033样品中不含锆铪，用此样作铝基体加入25㎎锆标准模拟AlZr5牌号样品，分析结果见表8。</w:t>
      </w:r>
    </w:p>
    <w:p>
      <w:pPr>
        <w:spacing w:line="360" w:lineRule="auto"/>
        <w:jc w:val="center"/>
        <w:rPr>
          <w:rFonts w:ascii="宋体" w:hAnsi="宋体"/>
          <w:szCs w:val="21"/>
        </w:rPr>
      </w:pPr>
      <w:r>
        <w:rPr>
          <w:rFonts w:hint="eastAsia" w:ascii="宋体" w:hAnsi="宋体"/>
          <w:szCs w:val="21"/>
        </w:rPr>
        <w:t>表8  分析结果</w:t>
      </w:r>
    </w:p>
    <w:tbl>
      <w:tblPr>
        <w:tblStyle w:val="20"/>
        <w:tblW w:w="7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93"/>
        <w:gridCol w:w="1276"/>
        <w:gridCol w:w="912"/>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ascii="宋体" w:hAnsi="宋体"/>
                <w:szCs w:val="21"/>
              </w:rPr>
            </w:pPr>
            <w:r>
              <w:rPr>
                <w:rFonts w:hint="eastAsia" w:ascii="宋体" w:hAnsi="宋体"/>
                <w:szCs w:val="21"/>
              </w:rPr>
              <w:t>样品编号</w:t>
            </w:r>
          </w:p>
        </w:tc>
        <w:tc>
          <w:tcPr>
            <w:tcW w:w="2693" w:type="dxa"/>
            <w:vAlign w:val="center"/>
          </w:tcPr>
          <w:p>
            <w:pPr>
              <w:jc w:val="center"/>
              <w:rPr>
                <w:rFonts w:ascii="宋体" w:hAnsi="宋体"/>
                <w:szCs w:val="21"/>
              </w:rPr>
            </w:pPr>
            <w:r>
              <w:rPr>
                <w:rFonts w:hint="eastAsia" w:ascii="宋体" w:hAnsi="宋体"/>
                <w:szCs w:val="21"/>
              </w:rPr>
              <w:t>测量值，%</w:t>
            </w:r>
          </w:p>
        </w:tc>
        <w:tc>
          <w:tcPr>
            <w:tcW w:w="1276" w:type="dxa"/>
            <w:vAlign w:val="center"/>
          </w:tcPr>
          <w:p>
            <w:pPr>
              <w:rPr>
                <w:rFonts w:ascii="宋体" w:hAnsi="宋体"/>
                <w:szCs w:val="21"/>
              </w:rPr>
            </w:pPr>
            <w:r>
              <w:rPr>
                <w:rFonts w:hint="eastAsia" w:ascii="宋体" w:hAnsi="宋体"/>
                <w:szCs w:val="21"/>
              </w:rPr>
              <w:t>平均值，%</w:t>
            </w:r>
          </w:p>
        </w:tc>
        <w:tc>
          <w:tcPr>
            <w:tcW w:w="912" w:type="dxa"/>
            <w:vAlign w:val="center"/>
          </w:tcPr>
          <w:p>
            <w:pPr>
              <w:jc w:val="center"/>
              <w:rPr>
                <w:rFonts w:ascii="宋体" w:hAnsi="宋体"/>
                <w:szCs w:val="21"/>
              </w:rPr>
            </w:pPr>
            <w:r>
              <w:rPr>
                <w:rFonts w:hint="eastAsia" w:ascii="宋体" w:hAnsi="宋体"/>
                <w:szCs w:val="21"/>
              </w:rPr>
              <w:t>标准</w:t>
            </w:r>
          </w:p>
          <w:p>
            <w:pPr>
              <w:jc w:val="center"/>
              <w:rPr>
                <w:rFonts w:ascii="宋体" w:hAnsi="宋体"/>
                <w:szCs w:val="21"/>
              </w:rPr>
            </w:pPr>
            <w:r>
              <w:rPr>
                <w:rFonts w:hint="eastAsia" w:ascii="宋体" w:hAnsi="宋体"/>
                <w:szCs w:val="21"/>
              </w:rPr>
              <w:t>偏差</w:t>
            </w:r>
          </w:p>
        </w:tc>
        <w:tc>
          <w:tcPr>
            <w:tcW w:w="986" w:type="dxa"/>
            <w:vAlign w:val="center"/>
          </w:tcPr>
          <w:p>
            <w:pPr>
              <w:jc w:val="center"/>
              <w:rPr>
                <w:rFonts w:ascii="宋体" w:hAnsi="宋体"/>
                <w:szCs w:val="21"/>
              </w:rPr>
            </w:pPr>
            <w:r>
              <w:rPr>
                <w:rFonts w:hint="eastAsia" w:ascii="宋体" w:hAnsi="宋体"/>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1668" w:type="dxa"/>
            <w:vAlign w:val="center"/>
          </w:tcPr>
          <w:p>
            <w:pPr>
              <w:jc w:val="center"/>
              <w:rPr>
                <w:rFonts w:ascii="宋体" w:hAnsi="宋体"/>
                <w:szCs w:val="21"/>
              </w:rPr>
            </w:pPr>
            <w:r>
              <w:rPr>
                <w:rFonts w:hint="eastAsia" w:ascii="宋体" w:hAnsi="宋体"/>
                <w:szCs w:val="21"/>
              </w:rPr>
              <w:t>GBS033</w:t>
            </w:r>
          </w:p>
          <w:p>
            <w:pPr>
              <w:jc w:val="center"/>
              <w:rPr>
                <w:rFonts w:ascii="宋体" w:hAnsi="宋体"/>
                <w:szCs w:val="21"/>
              </w:rPr>
            </w:pPr>
            <w:r>
              <w:rPr>
                <w:rFonts w:hint="eastAsia" w:ascii="宋体" w:hAnsi="宋体"/>
                <w:szCs w:val="21"/>
              </w:rPr>
              <w:t>加25mg锆标液</w:t>
            </w:r>
          </w:p>
        </w:tc>
        <w:tc>
          <w:tcPr>
            <w:tcW w:w="2693" w:type="dxa"/>
            <w:vAlign w:val="center"/>
          </w:tcPr>
          <w:tbl>
            <w:tblPr>
              <w:tblStyle w:val="20"/>
              <w:tblW w:w="3296" w:type="dxa"/>
              <w:tblInd w:w="0" w:type="dxa"/>
              <w:tblLayout w:type="fixed"/>
              <w:tblCellMar>
                <w:top w:w="0" w:type="dxa"/>
                <w:left w:w="108" w:type="dxa"/>
                <w:bottom w:w="0" w:type="dxa"/>
                <w:right w:w="108" w:type="dxa"/>
              </w:tblCellMar>
            </w:tblPr>
            <w:tblGrid>
              <w:gridCol w:w="3296"/>
            </w:tblGrid>
            <w:tr>
              <w:tblPrEx>
                <w:tblLayout w:type="fixed"/>
                <w:tblCellMar>
                  <w:top w:w="0" w:type="dxa"/>
                  <w:left w:w="108" w:type="dxa"/>
                  <w:bottom w:w="0" w:type="dxa"/>
                  <w:right w:w="108" w:type="dxa"/>
                </w:tblCellMar>
              </w:tblPrEx>
              <w:trPr>
                <w:trHeight w:val="1096" w:hRule="atLeast"/>
              </w:trPr>
              <w:tc>
                <w:tcPr>
                  <w:tcW w:w="3296" w:type="dxa"/>
                  <w:tcBorders>
                    <w:top w:val="nil"/>
                    <w:left w:val="nil"/>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4.98，5.04，4.92，4.96，</w:t>
                  </w:r>
                </w:p>
                <w:p>
                  <w:pPr>
                    <w:widowControl/>
                    <w:jc w:val="left"/>
                    <w:rPr>
                      <w:rFonts w:ascii="宋体" w:hAnsi="宋体" w:cs="宋体"/>
                      <w:color w:val="000000"/>
                      <w:kern w:val="0"/>
                      <w:szCs w:val="21"/>
                    </w:rPr>
                  </w:pPr>
                  <w:r>
                    <w:rPr>
                      <w:rFonts w:hint="eastAsia" w:ascii="宋体" w:hAnsi="宋体" w:cs="宋体"/>
                      <w:color w:val="000000"/>
                      <w:kern w:val="0"/>
                      <w:szCs w:val="21"/>
                    </w:rPr>
                    <w:t>4.97，5.01，4.98，4.96，</w:t>
                  </w:r>
                </w:p>
                <w:p>
                  <w:pPr>
                    <w:widowControl/>
                    <w:jc w:val="left"/>
                    <w:rPr>
                      <w:rFonts w:ascii="宋体" w:hAnsi="宋体" w:cs="宋体"/>
                      <w:color w:val="000000"/>
                      <w:kern w:val="0"/>
                      <w:szCs w:val="21"/>
                    </w:rPr>
                  </w:pPr>
                  <w:r>
                    <w:rPr>
                      <w:rFonts w:hint="eastAsia" w:ascii="宋体" w:hAnsi="宋体" w:cs="宋体"/>
                      <w:color w:val="000000"/>
                      <w:kern w:val="0"/>
                      <w:szCs w:val="21"/>
                    </w:rPr>
                    <w:t>4.97，4.98，4.98</w:t>
                  </w:r>
                </w:p>
              </w:tc>
            </w:tr>
          </w:tbl>
          <w:p>
            <w:pPr>
              <w:jc w:val="left"/>
              <w:rPr>
                <w:rFonts w:ascii="宋体" w:hAnsi="宋体"/>
                <w:szCs w:val="21"/>
              </w:rPr>
            </w:pPr>
          </w:p>
        </w:tc>
        <w:tc>
          <w:tcPr>
            <w:tcW w:w="1276" w:type="dxa"/>
            <w:vAlign w:val="center"/>
          </w:tcPr>
          <w:p>
            <w:pPr>
              <w:jc w:val="center"/>
              <w:rPr>
                <w:rFonts w:ascii="宋体" w:hAnsi="宋体"/>
                <w:szCs w:val="21"/>
              </w:rPr>
            </w:pPr>
            <w:r>
              <w:rPr>
                <w:rFonts w:hint="eastAsia" w:ascii="宋体" w:hAnsi="宋体"/>
                <w:szCs w:val="21"/>
              </w:rPr>
              <w:t>4.98</w:t>
            </w:r>
          </w:p>
        </w:tc>
        <w:tc>
          <w:tcPr>
            <w:tcW w:w="912" w:type="dxa"/>
            <w:vAlign w:val="center"/>
          </w:tcPr>
          <w:p>
            <w:pPr>
              <w:jc w:val="center"/>
              <w:rPr>
                <w:rFonts w:ascii="宋体" w:hAnsi="宋体"/>
                <w:szCs w:val="21"/>
              </w:rPr>
            </w:pPr>
            <w:r>
              <w:rPr>
                <w:rFonts w:hint="eastAsia" w:ascii="宋体" w:hAnsi="宋体"/>
                <w:szCs w:val="21"/>
              </w:rPr>
              <w:t>0.031</w:t>
            </w:r>
          </w:p>
        </w:tc>
        <w:tc>
          <w:tcPr>
            <w:tcW w:w="986" w:type="dxa"/>
            <w:vAlign w:val="center"/>
          </w:tcPr>
          <w:p>
            <w:pPr>
              <w:jc w:val="center"/>
              <w:rPr>
                <w:rFonts w:ascii="宋体" w:hAnsi="宋体"/>
                <w:szCs w:val="21"/>
              </w:rPr>
            </w:pPr>
            <w:r>
              <w:rPr>
                <w:rFonts w:hint="eastAsia" w:ascii="宋体" w:hAnsi="宋体"/>
                <w:szCs w:val="21"/>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668" w:type="dxa"/>
            <w:vAlign w:val="center"/>
          </w:tcPr>
          <w:p>
            <w:pPr>
              <w:jc w:val="center"/>
              <w:rPr>
                <w:rFonts w:ascii="宋体" w:hAnsi="宋体"/>
                <w:szCs w:val="21"/>
              </w:rPr>
            </w:pPr>
            <w:r>
              <w:rPr>
                <w:rFonts w:hint="eastAsia" w:ascii="宋体" w:hAnsi="宋体"/>
                <w:szCs w:val="21"/>
              </w:rPr>
              <w:t>GBS007</w:t>
            </w:r>
          </w:p>
        </w:tc>
        <w:tc>
          <w:tcPr>
            <w:tcW w:w="2693" w:type="dxa"/>
            <w:vAlign w:val="center"/>
          </w:tcPr>
          <w:tbl>
            <w:tblPr>
              <w:tblStyle w:val="20"/>
              <w:tblW w:w="3448" w:type="dxa"/>
              <w:tblInd w:w="0" w:type="dxa"/>
              <w:tblLayout w:type="fixed"/>
              <w:tblCellMar>
                <w:top w:w="0" w:type="dxa"/>
                <w:left w:w="108" w:type="dxa"/>
                <w:bottom w:w="0" w:type="dxa"/>
                <w:right w:w="108" w:type="dxa"/>
              </w:tblCellMar>
            </w:tblPr>
            <w:tblGrid>
              <w:gridCol w:w="3448"/>
            </w:tblGrid>
            <w:tr>
              <w:tblPrEx>
                <w:tblLayout w:type="fixed"/>
                <w:tblCellMar>
                  <w:top w:w="0" w:type="dxa"/>
                  <w:left w:w="108" w:type="dxa"/>
                  <w:bottom w:w="0" w:type="dxa"/>
                  <w:right w:w="108" w:type="dxa"/>
                </w:tblCellMar>
              </w:tblPrEx>
              <w:trPr>
                <w:trHeight w:val="1834" w:hRule="atLeast"/>
              </w:trPr>
              <w:tc>
                <w:tcPr>
                  <w:tcW w:w="3448" w:type="dxa"/>
                  <w:tcBorders>
                    <w:top w:val="nil"/>
                    <w:left w:val="nil"/>
                    <w:right w:val="nil"/>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10.49，10.32，10.26，</w:t>
                  </w:r>
                </w:p>
                <w:p>
                  <w:pPr>
                    <w:widowControl/>
                    <w:jc w:val="left"/>
                    <w:rPr>
                      <w:rFonts w:ascii="宋体" w:hAnsi="宋体" w:cs="宋体"/>
                      <w:color w:val="000000"/>
                      <w:kern w:val="0"/>
                      <w:szCs w:val="21"/>
                    </w:rPr>
                  </w:pPr>
                  <w:r>
                    <w:rPr>
                      <w:rFonts w:hint="eastAsia" w:ascii="宋体" w:hAnsi="宋体" w:cs="宋体"/>
                      <w:color w:val="000000"/>
                      <w:kern w:val="0"/>
                      <w:szCs w:val="21"/>
                    </w:rPr>
                    <w:t>10.53，10.46，10.60，</w:t>
                  </w:r>
                </w:p>
                <w:p>
                  <w:pPr>
                    <w:widowControl/>
                    <w:jc w:val="left"/>
                    <w:rPr>
                      <w:rFonts w:ascii="宋体" w:hAnsi="宋体" w:cs="宋体"/>
                      <w:color w:val="000000"/>
                      <w:kern w:val="0"/>
                      <w:szCs w:val="21"/>
                    </w:rPr>
                  </w:pPr>
                  <w:r>
                    <w:rPr>
                      <w:rFonts w:hint="eastAsia" w:ascii="宋体" w:hAnsi="宋体" w:cs="宋体"/>
                      <w:color w:val="000000"/>
                      <w:kern w:val="0"/>
                      <w:szCs w:val="21"/>
                    </w:rPr>
                    <w:t>10.40，10.47，10.44，</w:t>
                  </w:r>
                </w:p>
                <w:p>
                  <w:pPr>
                    <w:widowControl/>
                    <w:jc w:val="left"/>
                    <w:rPr>
                      <w:rFonts w:ascii="宋体" w:hAnsi="宋体" w:cs="宋体"/>
                      <w:color w:val="000000"/>
                      <w:kern w:val="0"/>
                      <w:szCs w:val="21"/>
                    </w:rPr>
                  </w:pPr>
                  <w:r>
                    <w:rPr>
                      <w:rFonts w:hint="eastAsia" w:ascii="宋体" w:hAnsi="宋体" w:cs="宋体"/>
                      <w:color w:val="000000"/>
                      <w:kern w:val="0"/>
                      <w:szCs w:val="21"/>
                    </w:rPr>
                    <w:t>10.06，10.44</w:t>
                  </w:r>
                </w:p>
              </w:tc>
            </w:tr>
          </w:tbl>
          <w:p>
            <w:pPr>
              <w:jc w:val="left"/>
              <w:rPr>
                <w:rFonts w:ascii="宋体" w:hAnsi="宋体"/>
                <w:szCs w:val="21"/>
              </w:rPr>
            </w:pPr>
          </w:p>
        </w:tc>
        <w:tc>
          <w:tcPr>
            <w:tcW w:w="1276" w:type="dxa"/>
            <w:vAlign w:val="center"/>
          </w:tcPr>
          <w:p>
            <w:pPr>
              <w:jc w:val="center"/>
              <w:rPr>
                <w:rFonts w:ascii="宋体" w:hAnsi="宋体"/>
                <w:szCs w:val="21"/>
              </w:rPr>
            </w:pPr>
            <w:r>
              <w:rPr>
                <w:rFonts w:hint="eastAsia" w:ascii="宋体" w:hAnsi="宋体"/>
                <w:szCs w:val="21"/>
              </w:rPr>
              <w:t>10.41</w:t>
            </w:r>
          </w:p>
        </w:tc>
        <w:tc>
          <w:tcPr>
            <w:tcW w:w="912" w:type="dxa"/>
            <w:vAlign w:val="center"/>
          </w:tcPr>
          <w:p>
            <w:pPr>
              <w:jc w:val="center"/>
              <w:rPr>
                <w:rFonts w:ascii="宋体" w:hAnsi="宋体"/>
                <w:szCs w:val="21"/>
              </w:rPr>
            </w:pPr>
            <w:r>
              <w:rPr>
                <w:rFonts w:hint="eastAsia" w:ascii="宋体" w:hAnsi="宋体"/>
                <w:szCs w:val="21"/>
              </w:rPr>
              <w:t>0.15</w:t>
            </w:r>
          </w:p>
        </w:tc>
        <w:tc>
          <w:tcPr>
            <w:tcW w:w="986" w:type="dxa"/>
            <w:vAlign w:val="center"/>
          </w:tcPr>
          <w:p>
            <w:pPr>
              <w:jc w:val="center"/>
              <w:rPr>
                <w:rFonts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ascii="宋体" w:hAnsi="宋体"/>
                <w:szCs w:val="21"/>
              </w:rPr>
            </w:pPr>
            <w:r>
              <w:rPr>
                <w:rFonts w:hint="eastAsia" w:ascii="宋体" w:hAnsi="宋体"/>
                <w:szCs w:val="21"/>
              </w:rPr>
              <w:t>GBS008</w:t>
            </w:r>
          </w:p>
        </w:tc>
        <w:tc>
          <w:tcPr>
            <w:tcW w:w="2693" w:type="dxa"/>
            <w:vAlign w:val="center"/>
          </w:tcPr>
          <w:tbl>
            <w:tblPr>
              <w:tblStyle w:val="20"/>
              <w:tblW w:w="3295" w:type="dxa"/>
              <w:tblInd w:w="0" w:type="dxa"/>
              <w:tblLayout w:type="fixed"/>
              <w:tblCellMar>
                <w:top w:w="0" w:type="dxa"/>
                <w:left w:w="108" w:type="dxa"/>
                <w:bottom w:w="0" w:type="dxa"/>
                <w:right w:w="108" w:type="dxa"/>
              </w:tblCellMar>
            </w:tblPr>
            <w:tblGrid>
              <w:gridCol w:w="3295"/>
            </w:tblGrid>
            <w:tr>
              <w:tblPrEx>
                <w:tblLayout w:type="fixed"/>
                <w:tblCellMar>
                  <w:top w:w="0" w:type="dxa"/>
                  <w:left w:w="108" w:type="dxa"/>
                  <w:bottom w:w="0" w:type="dxa"/>
                  <w:right w:w="108" w:type="dxa"/>
                </w:tblCellMar>
              </w:tblPrEx>
              <w:trPr>
                <w:trHeight w:val="778" w:hRule="atLeast"/>
              </w:trPr>
              <w:tc>
                <w:tcPr>
                  <w:tcW w:w="3295" w:type="dxa"/>
                  <w:tcBorders>
                    <w:top w:val="nil"/>
                    <w:left w:val="nil"/>
                    <w:right w:val="nil"/>
                  </w:tcBorders>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15.13，14.89，15.56，</w:t>
                  </w:r>
                </w:p>
                <w:p>
                  <w:pPr>
                    <w:widowControl/>
                    <w:jc w:val="left"/>
                    <w:rPr>
                      <w:rFonts w:ascii="宋体" w:hAnsi="宋体" w:cs="宋体"/>
                      <w:color w:val="000000"/>
                      <w:kern w:val="0"/>
                      <w:szCs w:val="21"/>
                    </w:rPr>
                  </w:pPr>
                  <w:r>
                    <w:rPr>
                      <w:rFonts w:hint="eastAsia" w:ascii="宋体" w:hAnsi="宋体" w:cs="宋体"/>
                      <w:color w:val="000000"/>
                      <w:kern w:val="0"/>
                      <w:szCs w:val="21"/>
                    </w:rPr>
                    <w:t>15.62，15.71，15.39，</w:t>
                  </w:r>
                </w:p>
                <w:p>
                  <w:pPr>
                    <w:widowControl/>
                    <w:jc w:val="left"/>
                    <w:rPr>
                      <w:rFonts w:ascii="宋体" w:hAnsi="宋体" w:cs="宋体"/>
                      <w:color w:val="000000"/>
                      <w:kern w:val="0"/>
                      <w:szCs w:val="21"/>
                    </w:rPr>
                  </w:pPr>
                  <w:r>
                    <w:rPr>
                      <w:rFonts w:hint="eastAsia" w:ascii="宋体" w:hAnsi="宋体" w:cs="宋体"/>
                      <w:color w:val="000000"/>
                      <w:kern w:val="0"/>
                      <w:szCs w:val="21"/>
                    </w:rPr>
                    <w:t>15.77，15.72，15.49，</w:t>
                  </w:r>
                </w:p>
                <w:p>
                  <w:pPr>
                    <w:widowControl/>
                    <w:jc w:val="left"/>
                    <w:rPr>
                      <w:rFonts w:ascii="宋体" w:hAnsi="宋体" w:cs="宋体"/>
                      <w:color w:val="000000"/>
                      <w:kern w:val="0"/>
                      <w:szCs w:val="21"/>
                    </w:rPr>
                  </w:pPr>
                  <w:r>
                    <w:rPr>
                      <w:rFonts w:hint="eastAsia" w:ascii="宋体" w:hAnsi="宋体" w:cs="宋体"/>
                      <w:color w:val="000000"/>
                      <w:kern w:val="0"/>
                      <w:szCs w:val="21"/>
                    </w:rPr>
                    <w:t>15.49，15.21</w:t>
                  </w:r>
                </w:p>
              </w:tc>
            </w:tr>
          </w:tbl>
          <w:p>
            <w:pPr>
              <w:jc w:val="left"/>
              <w:rPr>
                <w:rFonts w:ascii="宋体" w:hAnsi="宋体"/>
                <w:szCs w:val="21"/>
              </w:rPr>
            </w:pPr>
          </w:p>
        </w:tc>
        <w:tc>
          <w:tcPr>
            <w:tcW w:w="1276" w:type="dxa"/>
            <w:vAlign w:val="center"/>
          </w:tcPr>
          <w:p>
            <w:pPr>
              <w:jc w:val="center"/>
              <w:rPr>
                <w:rFonts w:ascii="宋体" w:hAnsi="宋体"/>
                <w:szCs w:val="21"/>
              </w:rPr>
            </w:pPr>
            <w:r>
              <w:rPr>
                <w:rFonts w:hint="eastAsia" w:ascii="宋体" w:hAnsi="宋体"/>
                <w:szCs w:val="21"/>
              </w:rPr>
              <w:t>15.45</w:t>
            </w:r>
          </w:p>
        </w:tc>
        <w:tc>
          <w:tcPr>
            <w:tcW w:w="912" w:type="dxa"/>
            <w:vAlign w:val="center"/>
          </w:tcPr>
          <w:p>
            <w:pPr>
              <w:jc w:val="center"/>
              <w:rPr>
                <w:rFonts w:ascii="宋体" w:hAnsi="宋体"/>
                <w:szCs w:val="21"/>
              </w:rPr>
            </w:pPr>
            <w:r>
              <w:rPr>
                <w:rFonts w:hint="eastAsia" w:ascii="宋体" w:hAnsi="宋体"/>
                <w:szCs w:val="21"/>
              </w:rPr>
              <w:t>0.28</w:t>
            </w:r>
          </w:p>
        </w:tc>
        <w:tc>
          <w:tcPr>
            <w:tcW w:w="986" w:type="dxa"/>
            <w:vAlign w:val="center"/>
          </w:tcPr>
          <w:p>
            <w:pPr>
              <w:jc w:val="center"/>
              <w:rPr>
                <w:rFonts w:ascii="宋体" w:hAnsi="宋体"/>
                <w:szCs w:val="21"/>
              </w:rPr>
            </w:pPr>
            <w:r>
              <w:rPr>
                <w:rFonts w:hint="eastAsia" w:ascii="宋体" w:hAnsi="宋体"/>
                <w:szCs w:val="21"/>
              </w:rPr>
              <w:t>1.81</w:t>
            </w: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在工作中，项目组将征求意见稿发送给尽可能多的分析实验室，收集对征求意见稿的反馈信息，汇总、分析意见和建议，与提出建议和意见的实验室充分沟通，完善补充修改征求意见稿。2018年10月标准编制小组与</w:t>
      </w:r>
      <w:r>
        <w:rPr>
          <w:rFonts w:hint="eastAsia" w:ascii="宋体" w:hAnsi="宋体"/>
        </w:rPr>
        <w:t>贵州省分析测试研究院、长沙矿冶研究院有限责任公司等</w:t>
      </w:r>
      <w:r>
        <w:rPr>
          <w:rFonts w:hint="eastAsia" w:ascii="宋体" w:hAnsi="宋体"/>
          <w:szCs w:val="21"/>
        </w:rPr>
        <w:t>联系，对标准进行复验和复核验证。</w:t>
      </w:r>
      <w:r>
        <w:rPr>
          <w:rFonts w:hint="eastAsia" w:ascii="宋体" w:hAnsi="宋体"/>
        </w:rPr>
        <w:t>参与单位对征求意见稿和试验报告提出了一些中肯的意见和建议。</w:t>
      </w:r>
    </w:p>
    <w:p>
      <w:pPr>
        <w:spacing w:beforeLines="50" w:afterLines="50" w:line="360" w:lineRule="auto"/>
        <w:ind w:left="353" w:hanging="352" w:hangingChars="147"/>
        <w:rPr>
          <w:rFonts w:ascii="黑体" w:hAnsi="黑体" w:eastAsia="黑体" w:cs="黑体"/>
          <w:bCs/>
          <w:sz w:val="24"/>
        </w:rPr>
      </w:pPr>
      <w:r>
        <w:rPr>
          <w:rFonts w:hint="eastAsia" w:ascii="黑体" w:hAnsi="黑体" w:eastAsia="黑体" w:cs="黑体"/>
          <w:bCs/>
          <w:sz w:val="24"/>
        </w:rPr>
        <w:t>五、标准的水平分析</w:t>
      </w:r>
    </w:p>
    <w:p>
      <w:pPr>
        <w:spacing w:beforeLines="50" w:afterLines="50" w:line="360" w:lineRule="auto"/>
        <w:rPr>
          <w:rFonts w:ascii="黑体" w:hAnsi="黑体" w:eastAsia="黑体" w:cs="黑体"/>
          <w:bCs/>
          <w:sz w:val="24"/>
        </w:rPr>
      </w:pPr>
      <w:r>
        <w:rPr>
          <w:rFonts w:hint="eastAsia" w:ascii="黑体" w:hAnsi="黑体" w:eastAsia="黑体" w:cs="黑体"/>
          <w:bCs/>
          <w:sz w:val="24"/>
        </w:rPr>
        <w:t>1、采用国际标准和国外先进标准的程度（IDT、MOD或NEQ）</w:t>
      </w:r>
    </w:p>
    <w:p>
      <w:pPr>
        <w:spacing w:line="360" w:lineRule="auto"/>
        <w:ind w:firstLine="420" w:firstLineChars="200"/>
        <w:rPr>
          <w:rFonts w:ascii="宋体" w:hAnsi="宋体" w:cs="宋体"/>
          <w:bCs/>
          <w:szCs w:val="21"/>
        </w:rPr>
      </w:pPr>
      <w:r>
        <w:rPr>
          <w:rFonts w:hint="eastAsia" w:ascii="宋体" w:hAnsi="宋体"/>
          <w:szCs w:val="21"/>
        </w:rPr>
        <w:t>GB/T 20975.19-201X《</w:t>
      </w:r>
      <w:r>
        <w:rPr>
          <w:rFonts w:hint="eastAsia" w:ascii="宋体" w:hAnsi="宋体"/>
        </w:rPr>
        <w:t>铝及铝合金化学分析方法</w:t>
      </w:r>
      <w:r>
        <w:rPr>
          <w:rFonts w:hint="eastAsia" w:ascii="宋体" w:hAnsi="宋体"/>
          <w:szCs w:val="21"/>
        </w:rPr>
        <w:t xml:space="preserve"> 第19部分：锆含量的测定》中</w:t>
      </w:r>
      <w:r>
        <w:rPr>
          <w:rFonts w:hint="eastAsia" w:ascii="宋体" w:hAnsi="宋体"/>
        </w:rPr>
        <w:t>方法一：</w:t>
      </w:r>
      <w:r>
        <w:rPr>
          <w:rFonts w:hint="eastAsia" w:ascii="宋体" w:hAnsi="宋体"/>
          <w:bCs/>
          <w:color w:val="000000"/>
          <w:szCs w:val="21"/>
        </w:rPr>
        <w:t>二甲酚橙分光光度法</w:t>
      </w:r>
      <w:r>
        <w:rPr>
          <w:rFonts w:hint="eastAsia" w:ascii="宋体" w:hAnsi="宋体"/>
          <w:szCs w:val="21"/>
        </w:rPr>
        <w:t>修改采用ASTM  E34-2002《铝及铝合金化学分析方法》中锆含量测定的部分。</w:t>
      </w:r>
    </w:p>
    <w:p>
      <w:pPr>
        <w:spacing w:beforeLines="50" w:afterLines="50" w:line="360" w:lineRule="auto"/>
        <w:rPr>
          <w:rFonts w:ascii="黑体" w:hAnsi="黑体" w:eastAsia="黑体" w:cs="黑体"/>
          <w:bCs/>
          <w:sz w:val="24"/>
        </w:rPr>
      </w:pPr>
      <w:r>
        <w:rPr>
          <w:rFonts w:hint="eastAsia" w:ascii="黑体" w:hAnsi="黑体" w:eastAsia="黑体" w:cs="黑体"/>
          <w:bCs/>
          <w:sz w:val="24"/>
        </w:rPr>
        <w:t>2、国际、国外同类标准水平的对比分析</w:t>
      </w:r>
    </w:p>
    <w:p>
      <w:pPr>
        <w:spacing w:line="360" w:lineRule="auto"/>
        <w:ind w:firstLine="420" w:firstLineChars="200"/>
        <w:rPr>
          <w:rFonts w:ascii="宋体" w:hAnsi="宋体"/>
          <w:szCs w:val="21"/>
        </w:rPr>
      </w:pPr>
      <w:r>
        <w:rPr>
          <w:rFonts w:hint="eastAsia" w:ascii="宋体" w:hAnsi="宋体"/>
          <w:szCs w:val="21"/>
        </w:rPr>
        <w:t>GB/T 20975.19-201X《</w:t>
      </w:r>
      <w:r>
        <w:rPr>
          <w:rFonts w:hint="eastAsia" w:ascii="宋体" w:hAnsi="宋体"/>
        </w:rPr>
        <w:t>铝及铝合金化学分析方法</w:t>
      </w:r>
      <w:r>
        <w:rPr>
          <w:rFonts w:hint="eastAsia" w:ascii="宋体" w:hAnsi="宋体"/>
          <w:szCs w:val="21"/>
        </w:rPr>
        <w:t xml:space="preserve"> 第19部分：锆含量的测定》中</w:t>
      </w:r>
      <w:r>
        <w:rPr>
          <w:rFonts w:hint="eastAsia" w:ascii="宋体" w:hAnsi="宋体"/>
        </w:rPr>
        <w:t>方法一：</w:t>
      </w:r>
      <w:r>
        <w:rPr>
          <w:rFonts w:hint="eastAsia" w:ascii="宋体" w:hAnsi="宋体"/>
          <w:bCs/>
          <w:color w:val="000000"/>
          <w:szCs w:val="21"/>
        </w:rPr>
        <w:t>二甲酚橙分光光度法</w:t>
      </w:r>
      <w:r>
        <w:rPr>
          <w:rFonts w:hint="eastAsia" w:ascii="宋体" w:hAnsi="宋体"/>
          <w:szCs w:val="21"/>
        </w:rPr>
        <w:t>修改采用ASTM  E34-2002《铝及铝合金化学分析方法》中锆含量测定的部分。</w:t>
      </w:r>
    </w:p>
    <w:p>
      <w:pPr>
        <w:spacing w:line="360" w:lineRule="auto"/>
        <w:ind w:firstLine="420" w:firstLineChars="200"/>
        <w:rPr>
          <w:rFonts w:ascii="宋体" w:hAnsi="宋体" w:cs="宋体"/>
          <w:szCs w:val="21"/>
        </w:rPr>
      </w:pPr>
      <w:r>
        <w:rPr>
          <w:rFonts w:hint="eastAsia" w:ascii="宋体" w:hAnsi="宋体" w:cs="宋体"/>
          <w:szCs w:val="21"/>
        </w:rPr>
        <w:t>本</w:t>
      </w:r>
      <w:r>
        <w:rPr>
          <w:rFonts w:hint="eastAsia"/>
          <w:szCs w:val="21"/>
        </w:rPr>
        <w:t>标准涉及内容全面、条款详细，在制定过程中吸纳了国内、外最新相关技术，</w:t>
      </w:r>
      <w:r>
        <w:rPr>
          <w:rFonts w:hint="eastAsia" w:ascii="宋体" w:hAnsi="宋体"/>
          <w:szCs w:val="21"/>
        </w:rPr>
        <w:t>达到了国际先进水平。</w:t>
      </w:r>
    </w:p>
    <w:p>
      <w:pPr>
        <w:spacing w:beforeLines="50" w:afterLines="50" w:line="360" w:lineRule="auto"/>
        <w:rPr>
          <w:rFonts w:ascii="黑体" w:hAnsi="黑体" w:eastAsia="黑体" w:cs="黑体"/>
          <w:bCs/>
          <w:sz w:val="24"/>
        </w:rPr>
      </w:pPr>
      <w:r>
        <w:rPr>
          <w:rFonts w:hint="eastAsia" w:ascii="黑体" w:hAnsi="黑体" w:eastAsia="黑体" w:cs="黑体"/>
          <w:bCs/>
          <w:sz w:val="24"/>
        </w:rPr>
        <w:t>3、与现有标准及制定中标准协调配套的情况</w:t>
      </w:r>
    </w:p>
    <w:p>
      <w:pPr>
        <w:spacing w:line="360" w:lineRule="auto"/>
        <w:ind w:firstLine="420" w:firstLineChars="200"/>
        <w:rPr>
          <w:rFonts w:ascii="宋体" w:hAnsi="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》系列国家标准中的一部分，与GB/T 1196-2017《重熔用铝锭》、GB/T 8733-2016《铸造铝合金锭》、GB/T 3190-2008《变形铝及铝合金化学成分》等标准相配套，主要应用于分析铝及铝合金产品中锆含量；同时又与GB/T 20975.25《</w:t>
      </w:r>
      <w:r>
        <w:rPr>
          <w:rFonts w:hint="eastAsia" w:ascii="宋体" w:hAnsi="宋体"/>
        </w:rPr>
        <w:t xml:space="preserve">铝及铝合金化学分析方法 </w:t>
      </w:r>
      <w:r>
        <w:rPr>
          <w:rFonts w:hint="eastAsia" w:ascii="宋体" w:hAnsi="宋体" w:cs="宋体"/>
          <w:szCs w:val="21"/>
        </w:rPr>
        <w:t>第25部分：电感耦合等离子体原子发射光谱法</w:t>
      </w:r>
      <w:r>
        <w:rPr>
          <w:rFonts w:hint="eastAsia" w:ascii="宋体" w:hAnsi="宋体"/>
          <w:szCs w:val="21"/>
        </w:rPr>
        <w:t>》和GB/T 7999-2015《</w:t>
      </w:r>
      <w:r>
        <w:rPr>
          <w:rFonts w:hint="eastAsia" w:ascii="宋体" w:hAnsi="宋体" w:cs="宋体"/>
          <w:szCs w:val="21"/>
        </w:rPr>
        <w:t>铝及铝合金光电直读发射光谱分析方法</w:t>
      </w:r>
      <w:r>
        <w:rPr>
          <w:rFonts w:hint="eastAsia" w:ascii="宋体" w:hAnsi="宋体"/>
          <w:szCs w:val="21"/>
        </w:rPr>
        <w:t>》互相配合，互为补充、衔接配套。</w:t>
      </w:r>
    </w:p>
    <w:p>
      <w:pPr>
        <w:spacing w:beforeLines="50" w:afterLines="50" w:line="360" w:lineRule="auto"/>
        <w:rPr>
          <w:rFonts w:ascii="黑体" w:hAnsi="黑体" w:eastAsia="黑体" w:cs="黑体"/>
          <w:bCs/>
          <w:sz w:val="24"/>
        </w:rPr>
      </w:pPr>
      <w:r>
        <w:rPr>
          <w:rFonts w:hint="eastAsia" w:ascii="黑体" w:hAnsi="黑体" w:eastAsia="黑体" w:cs="黑体"/>
          <w:bCs/>
          <w:sz w:val="24"/>
        </w:rPr>
        <w:t>六、与有关的现行法律、法规和强制性国家标准的关系</w:t>
      </w:r>
    </w:p>
    <w:p>
      <w:pPr>
        <w:spacing w:line="360" w:lineRule="auto"/>
        <w:ind w:firstLine="420" w:firstLineChars="200"/>
        <w:rPr>
          <w:rFonts w:hint="eastAsia" w:ascii="宋体" w:hAnsi="宋体"/>
          <w:szCs w:val="21"/>
        </w:rPr>
      </w:pPr>
      <w:r>
        <w:rPr>
          <w:rFonts w:hint="eastAsia" w:ascii="宋体" w:hAnsi="宋体"/>
          <w:szCs w:val="21"/>
        </w:rPr>
        <w:t>1、本标准与现行标准属于协调一致标准，锌含量的检测是满足现有产品标准的发展需求而制定，是属于为现有标准服务配套标准。</w:t>
      </w:r>
    </w:p>
    <w:p>
      <w:pPr>
        <w:spacing w:line="360" w:lineRule="auto"/>
        <w:ind w:firstLine="420" w:firstLineChars="200"/>
        <w:rPr>
          <w:rFonts w:ascii="宋体" w:hAnsi="宋体"/>
          <w:szCs w:val="21"/>
        </w:rPr>
      </w:pPr>
      <w:r>
        <w:rPr>
          <w:rFonts w:hint="eastAsia" w:ascii="宋体" w:hAnsi="宋体"/>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pPr>
        <w:tabs>
          <w:tab w:val="left" w:pos="525"/>
        </w:tabs>
        <w:spacing w:beforeLines="50" w:afterLines="50" w:line="360" w:lineRule="auto"/>
        <w:outlineLvl w:val="0"/>
        <w:rPr>
          <w:rFonts w:hint="eastAsia" w:ascii="黑体" w:hAnsi="宋体" w:eastAsia="黑体"/>
          <w:sz w:val="24"/>
        </w:rPr>
      </w:pPr>
      <w:r>
        <w:rPr>
          <w:rFonts w:hint="eastAsia" w:ascii="黑体" w:hAnsi="黑体" w:eastAsia="黑体" w:cs="黑体"/>
          <w:sz w:val="24"/>
        </w:rPr>
        <w:t>七、</w:t>
      </w:r>
      <w:r>
        <w:rPr>
          <w:rFonts w:hint="eastAsia" w:ascii="黑体" w:hAnsi="宋体" w:eastAsia="黑体"/>
          <w:sz w:val="24"/>
        </w:rPr>
        <w:t>标准中如涉及专利，应有明确的知识产权说明</w:t>
      </w:r>
    </w:p>
    <w:p>
      <w:pPr>
        <w:spacing w:line="360" w:lineRule="auto"/>
        <w:ind w:firstLine="420"/>
        <w:rPr>
          <w:rFonts w:ascii="宋体" w:hAnsi="宋体"/>
          <w:szCs w:val="21"/>
        </w:rPr>
      </w:pPr>
      <w:r>
        <w:rPr>
          <w:rFonts w:hint="eastAsia" w:ascii="宋体" w:hAnsi="宋体"/>
          <w:szCs w:val="21"/>
        </w:rPr>
        <w:t>本标准不涉及任何专利或知识产权。</w:t>
      </w:r>
    </w:p>
    <w:p>
      <w:pPr>
        <w:spacing w:beforeLines="50" w:afterLines="50" w:line="360" w:lineRule="auto"/>
        <w:rPr>
          <w:rFonts w:ascii="宋体" w:hAnsi="宋体"/>
          <w:b/>
          <w:sz w:val="24"/>
        </w:rPr>
      </w:pPr>
      <w:r>
        <w:rPr>
          <w:rFonts w:hint="eastAsia" w:ascii="黑体" w:hAnsi="黑体" w:eastAsia="黑体" w:cs="黑体"/>
          <w:bCs/>
          <w:sz w:val="24"/>
        </w:rPr>
        <w:t>八、重大分歧意见的处理经过和依据</w:t>
      </w:r>
    </w:p>
    <w:p>
      <w:pPr>
        <w:ind w:firstLine="420" w:firstLineChars="200"/>
        <w:rPr>
          <w:rFonts w:ascii="宋体" w:hAnsi="宋体"/>
          <w:szCs w:val="21"/>
        </w:rPr>
      </w:pPr>
      <w:r>
        <w:rPr>
          <w:rFonts w:hint="eastAsia" w:ascii="宋体" w:hAnsi="宋体" w:cs="宋体"/>
          <w:szCs w:val="21"/>
        </w:rPr>
        <w:t>无。</w:t>
      </w:r>
    </w:p>
    <w:p>
      <w:pPr>
        <w:spacing w:beforeLines="50" w:afterLines="50" w:line="360" w:lineRule="auto"/>
        <w:rPr>
          <w:rFonts w:ascii="黑体" w:hAnsi="黑体" w:eastAsia="黑体" w:cs="黑体"/>
          <w:bCs/>
          <w:sz w:val="24"/>
        </w:rPr>
      </w:pPr>
      <w:r>
        <w:rPr>
          <w:rFonts w:hint="eastAsia" w:ascii="黑体" w:hAnsi="黑体" w:eastAsia="黑体" w:cs="黑体"/>
          <w:bCs/>
          <w:sz w:val="24"/>
        </w:rPr>
        <w:t>九、标准作为强制性或推荐性的建议</w:t>
      </w:r>
    </w:p>
    <w:p>
      <w:pPr>
        <w:spacing w:line="360" w:lineRule="auto"/>
        <w:ind w:firstLine="420" w:firstLineChars="200"/>
        <w:rPr>
          <w:rFonts w:ascii="宋体" w:hAnsi="宋体" w:cs="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》系列国家标准中的一部分，建议本标准为推荐性</w:t>
      </w:r>
      <w:r>
        <w:rPr>
          <w:rFonts w:hint="eastAsia" w:ascii="宋体" w:hAnsi="宋体" w:cs="宋体"/>
          <w:szCs w:val="21"/>
        </w:rPr>
        <w:t>国家标准。</w:t>
      </w:r>
    </w:p>
    <w:p>
      <w:pPr>
        <w:tabs>
          <w:tab w:val="left" w:pos="525"/>
        </w:tabs>
        <w:spacing w:beforeLines="50" w:afterLines="50" w:line="360" w:lineRule="auto"/>
        <w:outlineLvl w:val="0"/>
        <w:rPr>
          <w:rFonts w:hint="eastAsia" w:ascii="黑体" w:hAnsi="宋体" w:eastAsia="黑体"/>
          <w:sz w:val="24"/>
        </w:rPr>
      </w:pPr>
      <w:r>
        <w:rPr>
          <w:rFonts w:hint="eastAsia" w:ascii="黑体" w:hAnsi="宋体" w:eastAsia="黑体"/>
          <w:sz w:val="24"/>
        </w:rPr>
        <w:t>十、贯彻标准的要求和措施建议</w:t>
      </w:r>
    </w:p>
    <w:p>
      <w:pPr>
        <w:tabs>
          <w:tab w:val="left" w:pos="525"/>
        </w:tabs>
        <w:spacing w:line="360" w:lineRule="auto"/>
        <w:ind w:firstLine="465"/>
        <w:outlineLvl w:val="0"/>
        <w:rPr>
          <w:rFonts w:hint="eastAsia" w:ascii="宋体" w:hAnsi="宋体"/>
          <w:szCs w:val="21"/>
        </w:rPr>
      </w:pPr>
      <w:r>
        <w:rPr>
          <w:rFonts w:hint="eastAsia" w:ascii="宋体" w:hAnsi="宋体"/>
          <w:szCs w:val="21"/>
        </w:rPr>
        <w:t>建议相关部门组织贯彻本标准的实施，采取有效措施向铝及铝合金产品的设计、生产、应用单位以及有关的检测机构宣贯本标准。建议本标准尽快发布，各相关单位及科研院所尽快开始执行本标准。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hint="eastAsia" w:ascii="宋体" w:hAnsi="宋体"/>
          <w:szCs w:val="21"/>
        </w:rPr>
      </w:pPr>
      <w:r>
        <w:rPr>
          <w:rFonts w:hint="eastAsia" w:ascii="宋体" w:hAnsi="宋体"/>
          <w:szCs w:val="21"/>
        </w:rPr>
        <w:t>组织措施：建议由国家标准化管理委员会轻金属标准化委员会组织贯彻本标准的相关活动，利用各种条件，如工作组活动、标委会管理及活动、标准化技术期刊刊登、相关官网网上发布等。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hint="eastAsia" w:ascii="宋体" w:hAnsi="宋体"/>
          <w:szCs w:val="21"/>
        </w:rPr>
      </w:pPr>
      <w:r>
        <w:rPr>
          <w:rFonts w:hint="eastAsia" w:ascii="宋体" w:hAnsi="宋体"/>
          <w:szCs w:val="21"/>
        </w:rPr>
        <w:t>技术措施：通过专家培训、技术交流等措施进行宣贯执行。</w:t>
      </w:r>
    </w:p>
    <w:p>
      <w:pPr>
        <w:tabs>
          <w:tab w:val="left" w:pos="525"/>
        </w:tabs>
        <w:spacing w:line="360" w:lineRule="auto"/>
        <w:ind w:firstLine="465"/>
        <w:outlineLvl w:val="0"/>
        <w:rPr>
          <w:rFonts w:hint="eastAsia" w:ascii="宋体" w:hAnsi="宋体"/>
          <w:szCs w:val="21"/>
        </w:rPr>
      </w:pPr>
      <w:r>
        <w:rPr>
          <w:rFonts w:hint="eastAsia" w:ascii="宋体" w:hAnsi="宋体"/>
          <w:szCs w:val="21"/>
        </w:rPr>
        <w:t>过渡办法：无。</w:t>
      </w:r>
    </w:p>
    <w:p>
      <w:pPr>
        <w:spacing w:beforeLines="50" w:afterLines="50" w:line="360" w:lineRule="auto"/>
        <w:rPr>
          <w:rFonts w:ascii="黑体" w:hAnsi="宋体" w:eastAsia="黑体"/>
          <w:sz w:val="24"/>
        </w:rPr>
      </w:pPr>
      <w:r>
        <w:rPr>
          <w:rFonts w:hint="eastAsia" w:ascii="黑体" w:hAnsi="黑体" w:eastAsia="黑体" w:cs="黑体"/>
          <w:bCs/>
          <w:sz w:val="24"/>
        </w:rPr>
        <w:t>十一、</w:t>
      </w:r>
      <w:r>
        <w:rPr>
          <w:rFonts w:hint="eastAsia" w:ascii="黑体" w:hAnsi="宋体" w:eastAsia="黑体"/>
          <w:sz w:val="24"/>
        </w:rPr>
        <w:t>废止现行有关标准的建议</w:t>
      </w:r>
    </w:p>
    <w:p>
      <w:pPr>
        <w:spacing w:line="360" w:lineRule="auto"/>
        <w:ind w:firstLine="420" w:firstLineChars="200"/>
        <w:rPr>
          <w:rFonts w:ascii="宋体" w:hAnsi="宋体" w:cs="宋体"/>
          <w:szCs w:val="21"/>
        </w:rPr>
      </w:pPr>
      <w:r>
        <w:rPr>
          <w:rFonts w:hint="eastAsia" w:ascii="宋体" w:hAnsi="宋体" w:cs="宋体"/>
          <w:szCs w:val="21"/>
        </w:rPr>
        <w:t>本标准颁布实施后，建议废止</w:t>
      </w:r>
      <w:r>
        <w:rPr>
          <w:rFonts w:hint="eastAsia" w:ascii="宋体" w:hAnsi="宋体"/>
          <w:szCs w:val="21"/>
        </w:rPr>
        <w:t>GB/T 20975.19-2008《</w:t>
      </w:r>
      <w:r>
        <w:rPr>
          <w:rFonts w:hint="eastAsia" w:ascii="宋体" w:hAnsi="宋体"/>
        </w:rPr>
        <w:t>铝及铝合金化学分析方法</w:t>
      </w:r>
      <w:r>
        <w:rPr>
          <w:rFonts w:hint="eastAsia" w:ascii="宋体" w:hAnsi="宋体"/>
          <w:szCs w:val="21"/>
        </w:rPr>
        <w:t xml:space="preserve"> 第19部分：锆含量的测定》</w:t>
      </w:r>
      <w:r>
        <w:rPr>
          <w:rFonts w:hint="eastAsia" w:ascii="宋体" w:hAnsi="宋体" w:cs="宋体"/>
          <w:szCs w:val="21"/>
        </w:rPr>
        <w:t>。</w:t>
      </w:r>
    </w:p>
    <w:p>
      <w:pPr>
        <w:spacing w:beforeLines="50" w:afterLines="50" w:line="360" w:lineRule="auto"/>
        <w:rPr>
          <w:rFonts w:hint="eastAsia" w:ascii="黑体" w:hAnsi="黑体" w:eastAsia="黑体" w:cs="黑体"/>
          <w:sz w:val="24"/>
        </w:rPr>
      </w:pPr>
      <w:r>
        <w:rPr>
          <w:rFonts w:hint="eastAsia" w:ascii="黑体" w:hAnsi="黑体" w:eastAsia="黑体" w:cs="黑体"/>
          <w:sz w:val="24"/>
        </w:rPr>
        <w:t>十二、其他应予说明的事项</w:t>
      </w:r>
    </w:p>
    <w:p>
      <w:pPr>
        <w:spacing w:line="360" w:lineRule="auto"/>
        <w:rPr>
          <w:rFonts w:hint="eastAsia" w:ascii="宋体" w:hAnsi="宋体"/>
          <w:szCs w:val="21"/>
        </w:rPr>
      </w:pPr>
      <w:r>
        <w:rPr>
          <w:rFonts w:hint="eastAsia" w:ascii="黑体" w:hAnsi="黑体" w:eastAsia="黑体" w:cs="黑体"/>
          <w:sz w:val="24"/>
        </w:rPr>
        <w:t xml:space="preserve">    </w:t>
      </w:r>
      <w:r>
        <w:rPr>
          <w:rFonts w:hint="eastAsia" w:ascii="宋体" w:hAnsi="宋体"/>
          <w:szCs w:val="21"/>
        </w:rPr>
        <w:t>本标准遵守下列基础标准：</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1.1-2009 </w:t>
      </w:r>
      <w:r>
        <w:rPr>
          <w:rFonts w:hint="eastAsia" w:ascii="宋体" w:hAnsi="宋体"/>
          <w:szCs w:val="21"/>
        </w:rPr>
        <w:t>标准化工作导则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部分：标准的结构和编写规则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20001.4-2015 </w:t>
      </w:r>
      <w:r>
        <w:rPr>
          <w:rFonts w:hint="eastAsia" w:ascii="宋体" w:hAnsi="宋体"/>
          <w:szCs w:val="21"/>
        </w:rPr>
        <w:t>标准编写规则</w:t>
      </w:r>
      <w:r>
        <w:rPr>
          <w:rFonts w:ascii="宋体" w:hAnsi="宋体"/>
          <w:szCs w:val="21"/>
        </w:rPr>
        <w:t xml:space="preserve"> </w:t>
      </w:r>
      <w:r>
        <w:rPr>
          <w:rFonts w:hint="eastAsia" w:ascii="宋体" w:hAnsi="宋体"/>
          <w:szCs w:val="21"/>
        </w:rPr>
        <w:t>第</w:t>
      </w:r>
      <w:r>
        <w:rPr>
          <w:rFonts w:ascii="宋体" w:hAnsi="宋体"/>
          <w:szCs w:val="21"/>
        </w:rPr>
        <w:t>4</w:t>
      </w:r>
      <w:r>
        <w:rPr>
          <w:rFonts w:hint="eastAsia" w:ascii="宋体" w:hAnsi="宋体"/>
          <w:szCs w:val="21"/>
        </w:rPr>
        <w:t>部分：试验方法标准</w:t>
      </w:r>
      <w:r>
        <w:rPr>
          <w:rFonts w:ascii="宋体" w:hAnsi="宋体"/>
          <w:szCs w:val="21"/>
        </w:rPr>
        <w:t xml:space="preserve"> </w:t>
      </w:r>
    </w:p>
    <w:p>
      <w:pPr>
        <w:autoSpaceDE w:val="0"/>
        <w:autoSpaceDN w:val="0"/>
        <w:adjustRightInd w:val="0"/>
        <w:spacing w:line="360" w:lineRule="auto"/>
        <w:jc w:val="left"/>
        <w:rPr>
          <w:rFonts w:hint="eastAsia" w:ascii="宋体" w:hAnsi="宋体"/>
          <w:szCs w:val="21"/>
        </w:rPr>
      </w:pPr>
      <w:r>
        <w:rPr>
          <w:rFonts w:hint="eastAsia" w:ascii="宋体" w:hAnsi="宋体"/>
          <w:szCs w:val="21"/>
        </w:rPr>
        <w:t xml:space="preserve">    </w:t>
      </w:r>
      <w:r>
        <w:rPr>
          <w:rFonts w:ascii="宋体" w:hAnsi="宋体"/>
          <w:szCs w:val="21"/>
        </w:rPr>
        <w:t xml:space="preserve">GB/T 17433 </w:t>
      </w:r>
      <w:r>
        <w:rPr>
          <w:rFonts w:hint="eastAsia" w:ascii="宋体" w:hAnsi="宋体"/>
          <w:szCs w:val="21"/>
        </w:rPr>
        <w:t>冶金产品化学分析基础术语</w:t>
      </w:r>
      <w:r>
        <w:rPr>
          <w:rFonts w:ascii="宋体" w:hAnsi="宋体"/>
          <w:szCs w:val="21"/>
        </w:rPr>
        <w:t xml:space="preserve"> 14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11792 </w:t>
      </w:r>
      <w:r>
        <w:rPr>
          <w:rFonts w:hint="eastAsia" w:ascii="宋体" w:hAnsi="宋体"/>
          <w:szCs w:val="21"/>
        </w:rPr>
        <w:t>测试方法的精密度在重现性或再现性条件下所得测试结果可接受的检查和最终测试结果的确定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3101 </w:t>
      </w:r>
      <w:r>
        <w:rPr>
          <w:rFonts w:hint="eastAsia" w:ascii="宋体" w:hAnsi="宋体"/>
          <w:szCs w:val="21"/>
        </w:rPr>
        <w:t>有关量、单位和符合的一般原则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3102.8 </w:t>
      </w:r>
      <w:r>
        <w:rPr>
          <w:rFonts w:hint="eastAsia" w:ascii="宋体" w:hAnsi="宋体"/>
          <w:szCs w:val="21"/>
        </w:rPr>
        <w:t>物理化学和分子物理学的量和单位</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1467 </w:t>
      </w:r>
      <w:r>
        <w:rPr>
          <w:rFonts w:hint="eastAsia" w:ascii="宋体" w:hAnsi="宋体"/>
          <w:szCs w:val="21"/>
        </w:rPr>
        <w:t>冶金产品化学分析方法标准的总则及一般规定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8170 </w:t>
      </w:r>
      <w:r>
        <w:rPr>
          <w:rFonts w:hint="eastAsia" w:ascii="宋体" w:hAnsi="宋体"/>
          <w:szCs w:val="21"/>
        </w:rPr>
        <w:t>数值修约规则与极限数值的表示和判定</w:t>
      </w:r>
      <w:r>
        <w:rPr>
          <w:rFonts w:ascii="宋体" w:hAnsi="宋体"/>
          <w:szCs w:val="21"/>
        </w:rPr>
        <w:t xml:space="preserve"> </w:t>
      </w:r>
    </w:p>
    <w:p>
      <w:pPr>
        <w:spacing w:beforeLines="50" w:afterLines="50" w:line="360" w:lineRule="auto"/>
        <w:rPr>
          <w:rFonts w:ascii="黑体" w:hAnsi="黑体" w:eastAsia="黑体" w:cs="黑体"/>
          <w:sz w:val="24"/>
        </w:rPr>
      </w:pPr>
      <w:r>
        <w:rPr>
          <w:rFonts w:hint="eastAsia" w:ascii="黑体" w:hAnsi="黑体" w:eastAsia="黑体" w:cs="黑体"/>
          <w:sz w:val="24"/>
        </w:rPr>
        <w:t>十三、预期效果</w:t>
      </w:r>
    </w:p>
    <w:p>
      <w:pPr>
        <w:spacing w:line="360" w:lineRule="auto"/>
        <w:ind w:firstLine="420" w:firstLineChars="200"/>
        <w:rPr>
          <w:rFonts w:hint="eastAsia" w:ascii="宋体" w:hAnsi="宋体"/>
          <w:szCs w:val="21"/>
        </w:rPr>
      </w:pPr>
      <w:r>
        <w:rPr>
          <w:rFonts w:hint="eastAsia" w:ascii="宋体" w:hAnsi="宋体"/>
          <w:szCs w:val="21"/>
        </w:rPr>
        <w:t>近些年来，我国有色金属的发展日新月异，产量和质量都得到了极大的提高，其中铝作为主要的有色金属占有及其重要的地位，电解铝的产量已突破</w:t>
      </w:r>
      <w:r>
        <w:rPr>
          <w:rFonts w:ascii="宋体" w:hAnsi="宋体"/>
          <w:szCs w:val="21"/>
        </w:rPr>
        <w:t>4000</w:t>
      </w:r>
      <w:r>
        <w:rPr>
          <w:rFonts w:hint="eastAsia" w:ascii="宋体" w:hAnsi="宋体"/>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GB/T 20975-201X</w:t>
      </w:r>
      <w:r>
        <w:rPr>
          <w:rFonts w:hint="eastAsia" w:ascii="宋体" w:hAnsi="宋体"/>
          <w:szCs w:val="21"/>
        </w:rPr>
        <w:t>《铝及铝合金化学分析方法》是我国铝及铝合金化学成分分析测定的仲裁标准，是我国铝行业基础标准之一，也是目前世界上检测项目最全、技术水平最高的分析方法标准。GB/T 20975.19-201X《</w:t>
      </w:r>
      <w:r>
        <w:rPr>
          <w:rFonts w:hint="eastAsia" w:ascii="宋体" w:hAnsi="宋体"/>
        </w:rPr>
        <w:t>铝及铝合金化学分析方法</w:t>
      </w:r>
      <w:r>
        <w:rPr>
          <w:rFonts w:hint="eastAsia" w:ascii="宋体" w:hAnsi="宋体"/>
          <w:szCs w:val="21"/>
        </w:rPr>
        <w:t xml:space="preserve"> 第19部分：锆含量的测定》是我国铝及铝合金中锆含量</w:t>
      </w:r>
      <w:r>
        <w:rPr>
          <w:rFonts w:hint="eastAsia" w:ascii="宋体" w:hAnsi="宋体"/>
          <w:bCs/>
          <w:color w:val="000000"/>
          <w:szCs w:val="21"/>
        </w:rPr>
        <w:t>测定</w:t>
      </w:r>
      <w:r>
        <w:rPr>
          <w:rFonts w:hint="eastAsia" w:ascii="宋体" w:hAnsi="宋体"/>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pPr>
        <w:pStyle w:val="9"/>
        <w:spacing w:line="360" w:lineRule="auto"/>
        <w:ind w:firstLine="420" w:firstLineChars="200"/>
        <w:rPr>
          <w:rFonts w:hAnsi="宋体"/>
          <w:szCs w:val="21"/>
        </w:rPr>
      </w:pPr>
      <w:r>
        <w:rPr>
          <w:rFonts w:hint="eastAsia" w:hAnsi="宋体"/>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int="eastAsia" w:hAnsi="宋体"/>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pPr>
        <w:spacing w:line="360" w:lineRule="auto"/>
        <w:jc w:val="center"/>
        <w:rPr>
          <w:rFonts w:hint="eastAsia" w:ascii="宋体" w:hAnsi="宋体"/>
          <w:szCs w:val="21"/>
        </w:rPr>
      </w:pPr>
      <w:r>
        <w:rPr>
          <w:rFonts w:hint="eastAsia" w:ascii="宋体" w:hAnsi="宋体"/>
          <w:szCs w:val="21"/>
        </w:rPr>
        <w:t xml:space="preserve">                                          </w:t>
      </w: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jc w:val="right"/>
        <w:rPr>
          <w:rFonts w:ascii="宋体" w:hAnsi="宋体"/>
          <w:szCs w:val="21"/>
        </w:rPr>
      </w:pPr>
      <w:r>
        <w:rPr>
          <w:rFonts w:hint="eastAsia" w:ascii="宋体" w:hAnsi="宋体"/>
          <w:szCs w:val="21"/>
        </w:rPr>
        <w:t xml:space="preserve">《铝及铝合金化学分析方法 </w:t>
      </w:r>
      <w:r>
        <w:rPr>
          <w:rFonts w:hint="eastAsia" w:ascii="宋体" w:hAnsi="宋体"/>
          <w:color w:val="000000"/>
          <w:szCs w:val="21"/>
        </w:rPr>
        <w:t>第19部分：锆含量的测定</w:t>
      </w:r>
      <w:r>
        <w:rPr>
          <w:rFonts w:hint="eastAsia" w:ascii="宋体" w:hAnsi="宋体"/>
          <w:szCs w:val="21"/>
        </w:rPr>
        <w:t>》编制组</w:t>
      </w:r>
    </w:p>
    <w:p>
      <w:pPr>
        <w:spacing w:line="360" w:lineRule="auto"/>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19年</w:t>
      </w:r>
      <w:r>
        <w:rPr>
          <w:rFonts w:hint="eastAsia" w:ascii="宋体" w:hAnsi="宋体"/>
          <w:szCs w:val="21"/>
          <w:lang w:val="en-US" w:eastAsia="zh-CN"/>
        </w:rPr>
        <w:t>9</w:t>
      </w:r>
      <w:bookmarkStart w:id="2" w:name="_GoBack"/>
      <w:bookmarkEnd w:id="2"/>
      <w:r>
        <w:rPr>
          <w:rFonts w:hint="eastAsia" w:ascii="宋体" w:hAnsi="宋体"/>
          <w:szCs w:val="21"/>
        </w:rPr>
        <w:t>月</w:t>
      </w:r>
    </w:p>
    <w:p>
      <w:pPr>
        <w:spacing w:line="360" w:lineRule="auto"/>
        <w:rPr>
          <w:rFonts w:ascii="宋体" w:hAnsi="宋体"/>
          <w:szCs w:val="21"/>
        </w:rPr>
      </w:pPr>
    </w:p>
    <w:p>
      <w:pPr>
        <w:spacing w:beforeLines="50" w:afterLines="50" w:line="36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宋体-方正超大字符集">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AC1"/>
    <w:rsid w:val="000139E9"/>
    <w:rsid w:val="00016859"/>
    <w:rsid w:val="0002265D"/>
    <w:rsid w:val="00023C42"/>
    <w:rsid w:val="0002404C"/>
    <w:rsid w:val="00035D32"/>
    <w:rsid w:val="000375F1"/>
    <w:rsid w:val="0004625A"/>
    <w:rsid w:val="00047B62"/>
    <w:rsid w:val="00050A11"/>
    <w:rsid w:val="00054EFF"/>
    <w:rsid w:val="00060870"/>
    <w:rsid w:val="000624D8"/>
    <w:rsid w:val="00062E6F"/>
    <w:rsid w:val="0006392B"/>
    <w:rsid w:val="000721C6"/>
    <w:rsid w:val="00082608"/>
    <w:rsid w:val="00090D00"/>
    <w:rsid w:val="00094B9E"/>
    <w:rsid w:val="000B4296"/>
    <w:rsid w:val="000B4BF7"/>
    <w:rsid w:val="000B7E4D"/>
    <w:rsid w:val="000C478E"/>
    <w:rsid w:val="000D04D2"/>
    <w:rsid w:val="000D73BA"/>
    <w:rsid w:val="000E1294"/>
    <w:rsid w:val="000F0F78"/>
    <w:rsid w:val="00100A90"/>
    <w:rsid w:val="0010388F"/>
    <w:rsid w:val="001046EF"/>
    <w:rsid w:val="00110F49"/>
    <w:rsid w:val="00116CFC"/>
    <w:rsid w:val="0012233F"/>
    <w:rsid w:val="001375F5"/>
    <w:rsid w:val="00146175"/>
    <w:rsid w:val="0016223B"/>
    <w:rsid w:val="001643C9"/>
    <w:rsid w:val="001716D6"/>
    <w:rsid w:val="0017379F"/>
    <w:rsid w:val="0017690B"/>
    <w:rsid w:val="00177E7A"/>
    <w:rsid w:val="001825F3"/>
    <w:rsid w:val="001828F0"/>
    <w:rsid w:val="00196789"/>
    <w:rsid w:val="00197170"/>
    <w:rsid w:val="001975D9"/>
    <w:rsid w:val="00197859"/>
    <w:rsid w:val="001B3667"/>
    <w:rsid w:val="001C156A"/>
    <w:rsid w:val="001C2607"/>
    <w:rsid w:val="001D0F66"/>
    <w:rsid w:val="001E12BC"/>
    <w:rsid w:val="001E6584"/>
    <w:rsid w:val="001E6934"/>
    <w:rsid w:val="001F6706"/>
    <w:rsid w:val="001F73C2"/>
    <w:rsid w:val="00207F38"/>
    <w:rsid w:val="00224D32"/>
    <w:rsid w:val="002265C0"/>
    <w:rsid w:val="00232940"/>
    <w:rsid w:val="00236B29"/>
    <w:rsid w:val="002376A5"/>
    <w:rsid w:val="00241348"/>
    <w:rsid w:val="00246805"/>
    <w:rsid w:val="00247BF1"/>
    <w:rsid w:val="002542F9"/>
    <w:rsid w:val="002561DB"/>
    <w:rsid w:val="00256AB2"/>
    <w:rsid w:val="00270668"/>
    <w:rsid w:val="00274BE3"/>
    <w:rsid w:val="00276342"/>
    <w:rsid w:val="00297280"/>
    <w:rsid w:val="002A08AF"/>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82BAD"/>
    <w:rsid w:val="00393F42"/>
    <w:rsid w:val="003A324E"/>
    <w:rsid w:val="003A5D8C"/>
    <w:rsid w:val="003A6C97"/>
    <w:rsid w:val="003B2C2A"/>
    <w:rsid w:val="003C77D0"/>
    <w:rsid w:val="003D4635"/>
    <w:rsid w:val="003D5760"/>
    <w:rsid w:val="003F2929"/>
    <w:rsid w:val="003F312B"/>
    <w:rsid w:val="003F787A"/>
    <w:rsid w:val="00400780"/>
    <w:rsid w:val="00417AF6"/>
    <w:rsid w:val="00425D4B"/>
    <w:rsid w:val="004271A9"/>
    <w:rsid w:val="00434902"/>
    <w:rsid w:val="00441093"/>
    <w:rsid w:val="00444A4F"/>
    <w:rsid w:val="004457BB"/>
    <w:rsid w:val="004540AF"/>
    <w:rsid w:val="004561A3"/>
    <w:rsid w:val="0046042B"/>
    <w:rsid w:val="0047022D"/>
    <w:rsid w:val="00470F59"/>
    <w:rsid w:val="00486C0C"/>
    <w:rsid w:val="00487915"/>
    <w:rsid w:val="00497AA1"/>
    <w:rsid w:val="004A05CE"/>
    <w:rsid w:val="004A3D77"/>
    <w:rsid w:val="004A60A0"/>
    <w:rsid w:val="004B1673"/>
    <w:rsid w:val="004C158C"/>
    <w:rsid w:val="004C2582"/>
    <w:rsid w:val="004C33ED"/>
    <w:rsid w:val="004D2FEA"/>
    <w:rsid w:val="004E08E1"/>
    <w:rsid w:val="004F0373"/>
    <w:rsid w:val="004F53D4"/>
    <w:rsid w:val="00501810"/>
    <w:rsid w:val="00511596"/>
    <w:rsid w:val="005137D2"/>
    <w:rsid w:val="00513A01"/>
    <w:rsid w:val="00515387"/>
    <w:rsid w:val="00524238"/>
    <w:rsid w:val="00525150"/>
    <w:rsid w:val="00530065"/>
    <w:rsid w:val="005410C6"/>
    <w:rsid w:val="00541DAE"/>
    <w:rsid w:val="00542AC1"/>
    <w:rsid w:val="005516DB"/>
    <w:rsid w:val="005544D8"/>
    <w:rsid w:val="005547C0"/>
    <w:rsid w:val="00557E33"/>
    <w:rsid w:val="00564A7D"/>
    <w:rsid w:val="00565759"/>
    <w:rsid w:val="00566882"/>
    <w:rsid w:val="005747EF"/>
    <w:rsid w:val="0057654E"/>
    <w:rsid w:val="005773EE"/>
    <w:rsid w:val="005911F0"/>
    <w:rsid w:val="0059348E"/>
    <w:rsid w:val="005A158B"/>
    <w:rsid w:val="005A6FC1"/>
    <w:rsid w:val="005B1417"/>
    <w:rsid w:val="005B2EBA"/>
    <w:rsid w:val="005B2EE5"/>
    <w:rsid w:val="005C4765"/>
    <w:rsid w:val="005D45C2"/>
    <w:rsid w:val="005D5D05"/>
    <w:rsid w:val="005E1964"/>
    <w:rsid w:val="005E602A"/>
    <w:rsid w:val="005F20E4"/>
    <w:rsid w:val="005F3812"/>
    <w:rsid w:val="006057FE"/>
    <w:rsid w:val="00615858"/>
    <w:rsid w:val="00622978"/>
    <w:rsid w:val="00623710"/>
    <w:rsid w:val="00624738"/>
    <w:rsid w:val="00634151"/>
    <w:rsid w:val="006422C6"/>
    <w:rsid w:val="00645DC0"/>
    <w:rsid w:val="00654522"/>
    <w:rsid w:val="0065521A"/>
    <w:rsid w:val="006573B7"/>
    <w:rsid w:val="00662FE7"/>
    <w:rsid w:val="0066686D"/>
    <w:rsid w:val="0066734B"/>
    <w:rsid w:val="00677770"/>
    <w:rsid w:val="00681A04"/>
    <w:rsid w:val="006B501B"/>
    <w:rsid w:val="006C5B25"/>
    <w:rsid w:val="006D0354"/>
    <w:rsid w:val="006D12B2"/>
    <w:rsid w:val="006D3154"/>
    <w:rsid w:val="006E5491"/>
    <w:rsid w:val="007100CB"/>
    <w:rsid w:val="00714D5E"/>
    <w:rsid w:val="007250E9"/>
    <w:rsid w:val="00733D1B"/>
    <w:rsid w:val="00746E03"/>
    <w:rsid w:val="00756C1C"/>
    <w:rsid w:val="00771AB5"/>
    <w:rsid w:val="007729F7"/>
    <w:rsid w:val="00786918"/>
    <w:rsid w:val="007900AC"/>
    <w:rsid w:val="007A04F8"/>
    <w:rsid w:val="007A0720"/>
    <w:rsid w:val="007A7464"/>
    <w:rsid w:val="007A79D7"/>
    <w:rsid w:val="007C1C5D"/>
    <w:rsid w:val="007C1FFD"/>
    <w:rsid w:val="007C753A"/>
    <w:rsid w:val="007E535E"/>
    <w:rsid w:val="007F793E"/>
    <w:rsid w:val="007F7B74"/>
    <w:rsid w:val="0081160B"/>
    <w:rsid w:val="00816614"/>
    <w:rsid w:val="00816616"/>
    <w:rsid w:val="0082438C"/>
    <w:rsid w:val="00852EC7"/>
    <w:rsid w:val="00871E2C"/>
    <w:rsid w:val="0087241D"/>
    <w:rsid w:val="008A09DB"/>
    <w:rsid w:val="008A41E5"/>
    <w:rsid w:val="008A5838"/>
    <w:rsid w:val="008C1527"/>
    <w:rsid w:val="008C74CD"/>
    <w:rsid w:val="008D3540"/>
    <w:rsid w:val="008E052A"/>
    <w:rsid w:val="008E0D3B"/>
    <w:rsid w:val="008E649A"/>
    <w:rsid w:val="008E7AC1"/>
    <w:rsid w:val="008F1A89"/>
    <w:rsid w:val="008F3CE4"/>
    <w:rsid w:val="008F57BB"/>
    <w:rsid w:val="008F6103"/>
    <w:rsid w:val="00900981"/>
    <w:rsid w:val="00904487"/>
    <w:rsid w:val="00910BC1"/>
    <w:rsid w:val="00911B81"/>
    <w:rsid w:val="00943762"/>
    <w:rsid w:val="00950DA8"/>
    <w:rsid w:val="0095638D"/>
    <w:rsid w:val="0095697F"/>
    <w:rsid w:val="00962B03"/>
    <w:rsid w:val="0096716B"/>
    <w:rsid w:val="00971670"/>
    <w:rsid w:val="00973F70"/>
    <w:rsid w:val="0097543E"/>
    <w:rsid w:val="00981EB1"/>
    <w:rsid w:val="009A31F0"/>
    <w:rsid w:val="009B7199"/>
    <w:rsid w:val="009C03AD"/>
    <w:rsid w:val="009C5B0B"/>
    <w:rsid w:val="009E0BF8"/>
    <w:rsid w:val="009E1908"/>
    <w:rsid w:val="009F0B0F"/>
    <w:rsid w:val="00A22E8D"/>
    <w:rsid w:val="00A23751"/>
    <w:rsid w:val="00A261DC"/>
    <w:rsid w:val="00A267A5"/>
    <w:rsid w:val="00A32453"/>
    <w:rsid w:val="00A325FF"/>
    <w:rsid w:val="00A37DE9"/>
    <w:rsid w:val="00A42A4E"/>
    <w:rsid w:val="00A45DEB"/>
    <w:rsid w:val="00A545CA"/>
    <w:rsid w:val="00A66D38"/>
    <w:rsid w:val="00A755DD"/>
    <w:rsid w:val="00A80BC1"/>
    <w:rsid w:val="00A93BA3"/>
    <w:rsid w:val="00A945B1"/>
    <w:rsid w:val="00AA049B"/>
    <w:rsid w:val="00AA5CA2"/>
    <w:rsid w:val="00AA77F5"/>
    <w:rsid w:val="00AC0117"/>
    <w:rsid w:val="00AC01DF"/>
    <w:rsid w:val="00AD09F4"/>
    <w:rsid w:val="00AD2AAF"/>
    <w:rsid w:val="00AD3E14"/>
    <w:rsid w:val="00AD6213"/>
    <w:rsid w:val="00AE6C83"/>
    <w:rsid w:val="00AF0BF6"/>
    <w:rsid w:val="00AF1E80"/>
    <w:rsid w:val="00AF363D"/>
    <w:rsid w:val="00AF3729"/>
    <w:rsid w:val="00AF3E4C"/>
    <w:rsid w:val="00B00E99"/>
    <w:rsid w:val="00B03413"/>
    <w:rsid w:val="00B042BF"/>
    <w:rsid w:val="00B05801"/>
    <w:rsid w:val="00B10373"/>
    <w:rsid w:val="00B159C6"/>
    <w:rsid w:val="00B224D5"/>
    <w:rsid w:val="00B27C93"/>
    <w:rsid w:val="00B34563"/>
    <w:rsid w:val="00B34ABE"/>
    <w:rsid w:val="00B35CA6"/>
    <w:rsid w:val="00B54D0A"/>
    <w:rsid w:val="00B63D8F"/>
    <w:rsid w:val="00B656BD"/>
    <w:rsid w:val="00B66714"/>
    <w:rsid w:val="00B70EE1"/>
    <w:rsid w:val="00B73A59"/>
    <w:rsid w:val="00B87CD8"/>
    <w:rsid w:val="00BB262A"/>
    <w:rsid w:val="00BB5878"/>
    <w:rsid w:val="00BC29A5"/>
    <w:rsid w:val="00BC79EC"/>
    <w:rsid w:val="00BF3136"/>
    <w:rsid w:val="00BF3947"/>
    <w:rsid w:val="00C043EC"/>
    <w:rsid w:val="00C10E8A"/>
    <w:rsid w:val="00C16C94"/>
    <w:rsid w:val="00C25978"/>
    <w:rsid w:val="00C2754A"/>
    <w:rsid w:val="00C3034B"/>
    <w:rsid w:val="00C36BEE"/>
    <w:rsid w:val="00C43FE8"/>
    <w:rsid w:val="00C616B3"/>
    <w:rsid w:val="00C62AC4"/>
    <w:rsid w:val="00C64E45"/>
    <w:rsid w:val="00C66B47"/>
    <w:rsid w:val="00C72121"/>
    <w:rsid w:val="00C72573"/>
    <w:rsid w:val="00C80E14"/>
    <w:rsid w:val="00C85C30"/>
    <w:rsid w:val="00C956C9"/>
    <w:rsid w:val="00CA1615"/>
    <w:rsid w:val="00CD4B0F"/>
    <w:rsid w:val="00CD61E8"/>
    <w:rsid w:val="00CE0AAE"/>
    <w:rsid w:val="00CE6238"/>
    <w:rsid w:val="00CE6DD6"/>
    <w:rsid w:val="00CF0FAD"/>
    <w:rsid w:val="00CF197C"/>
    <w:rsid w:val="00CF7CED"/>
    <w:rsid w:val="00D02A98"/>
    <w:rsid w:val="00D07330"/>
    <w:rsid w:val="00D07633"/>
    <w:rsid w:val="00D12B75"/>
    <w:rsid w:val="00D13FEB"/>
    <w:rsid w:val="00D15818"/>
    <w:rsid w:val="00D1659D"/>
    <w:rsid w:val="00D172D3"/>
    <w:rsid w:val="00D2134D"/>
    <w:rsid w:val="00D351B5"/>
    <w:rsid w:val="00D409F8"/>
    <w:rsid w:val="00D464AD"/>
    <w:rsid w:val="00D71C63"/>
    <w:rsid w:val="00D8200B"/>
    <w:rsid w:val="00D9103D"/>
    <w:rsid w:val="00D97D35"/>
    <w:rsid w:val="00DA257D"/>
    <w:rsid w:val="00DA42A9"/>
    <w:rsid w:val="00DB08FA"/>
    <w:rsid w:val="00DC24F6"/>
    <w:rsid w:val="00DC7E1F"/>
    <w:rsid w:val="00DD4763"/>
    <w:rsid w:val="00DD7F1A"/>
    <w:rsid w:val="00DE7B2D"/>
    <w:rsid w:val="00DF3865"/>
    <w:rsid w:val="00DF69D2"/>
    <w:rsid w:val="00E02DF2"/>
    <w:rsid w:val="00E06982"/>
    <w:rsid w:val="00E16DE1"/>
    <w:rsid w:val="00E246B1"/>
    <w:rsid w:val="00E25B22"/>
    <w:rsid w:val="00E312CF"/>
    <w:rsid w:val="00E34892"/>
    <w:rsid w:val="00E44DBC"/>
    <w:rsid w:val="00E53791"/>
    <w:rsid w:val="00E603F5"/>
    <w:rsid w:val="00E718C0"/>
    <w:rsid w:val="00E75E59"/>
    <w:rsid w:val="00E7625C"/>
    <w:rsid w:val="00E97BA1"/>
    <w:rsid w:val="00EA523E"/>
    <w:rsid w:val="00EC29A1"/>
    <w:rsid w:val="00EC78AE"/>
    <w:rsid w:val="00ED7AB8"/>
    <w:rsid w:val="00ED7D53"/>
    <w:rsid w:val="00EE36C2"/>
    <w:rsid w:val="00EF0CEB"/>
    <w:rsid w:val="00F011A0"/>
    <w:rsid w:val="00F0148F"/>
    <w:rsid w:val="00F0360D"/>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0F3F"/>
    <w:rsid w:val="00F9348F"/>
    <w:rsid w:val="00FA1CD9"/>
    <w:rsid w:val="00FA43B8"/>
    <w:rsid w:val="00FB6641"/>
    <w:rsid w:val="00FD2213"/>
    <w:rsid w:val="00FE2F56"/>
    <w:rsid w:val="00FE4002"/>
    <w:rsid w:val="00FE63B6"/>
    <w:rsid w:val="00FF0B24"/>
    <w:rsid w:val="00FF3EFC"/>
    <w:rsid w:val="00FF7D3B"/>
    <w:rsid w:val="04F2687D"/>
    <w:rsid w:val="133724DF"/>
    <w:rsid w:val="14244B4A"/>
    <w:rsid w:val="143F1847"/>
    <w:rsid w:val="149379FC"/>
    <w:rsid w:val="163F2801"/>
    <w:rsid w:val="166B531E"/>
    <w:rsid w:val="17EA708D"/>
    <w:rsid w:val="18792EE4"/>
    <w:rsid w:val="1AEB0B99"/>
    <w:rsid w:val="1B206F68"/>
    <w:rsid w:val="249A5370"/>
    <w:rsid w:val="24B26519"/>
    <w:rsid w:val="25726A45"/>
    <w:rsid w:val="272D26E6"/>
    <w:rsid w:val="292D7329"/>
    <w:rsid w:val="2B380978"/>
    <w:rsid w:val="2B925F44"/>
    <w:rsid w:val="2CF63270"/>
    <w:rsid w:val="2E4F5B11"/>
    <w:rsid w:val="30214B65"/>
    <w:rsid w:val="34411F12"/>
    <w:rsid w:val="351E65CE"/>
    <w:rsid w:val="370101F8"/>
    <w:rsid w:val="3A1D1C2E"/>
    <w:rsid w:val="3F0B1936"/>
    <w:rsid w:val="40A655CC"/>
    <w:rsid w:val="4121698E"/>
    <w:rsid w:val="44E96E87"/>
    <w:rsid w:val="468B50CB"/>
    <w:rsid w:val="478D0171"/>
    <w:rsid w:val="4C203B05"/>
    <w:rsid w:val="4C956CC3"/>
    <w:rsid w:val="500B685D"/>
    <w:rsid w:val="51B06F7A"/>
    <w:rsid w:val="5BBC7E6B"/>
    <w:rsid w:val="5C44483F"/>
    <w:rsid w:val="5D794C80"/>
    <w:rsid w:val="60603F1D"/>
    <w:rsid w:val="621223C3"/>
    <w:rsid w:val="6708487B"/>
    <w:rsid w:val="67FC3C0D"/>
    <w:rsid w:val="68025E0D"/>
    <w:rsid w:val="6D5A014F"/>
    <w:rsid w:val="6F3375FB"/>
    <w:rsid w:val="6FFC4FF8"/>
    <w:rsid w:val="70C1780D"/>
    <w:rsid w:val="74033B17"/>
    <w:rsid w:val="76244B74"/>
    <w:rsid w:val="7BC71BAB"/>
    <w:rsid w:val="7F2A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he-IL"/>
    </w:rPr>
  </w:style>
  <w:style w:type="paragraph" w:styleId="2">
    <w:name w:val="heading 1"/>
    <w:basedOn w:val="1"/>
    <w:next w:val="1"/>
    <w:qFormat/>
    <w:uiPriority w:val="0"/>
    <w:pPr>
      <w:keepNext/>
      <w:jc w:val="center"/>
      <w:outlineLvl w:val="0"/>
    </w:pPr>
    <w:rPr>
      <w:sz w:val="28"/>
      <w:lang w:bidi="ar-SA"/>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3">
    <w:name w:val="List 3"/>
    <w:basedOn w:val="1"/>
    <w:uiPriority w:val="0"/>
    <w:pPr>
      <w:ind w:left="100" w:leftChars="400" w:hanging="200" w:hangingChars="200"/>
    </w:pPr>
    <w:rPr>
      <w:lang w:bidi="ar-SA"/>
    </w:rPr>
  </w:style>
  <w:style w:type="paragraph" w:styleId="4">
    <w:name w:val="Normal Indent"/>
    <w:basedOn w:val="1"/>
    <w:uiPriority w:val="0"/>
    <w:pPr>
      <w:ind w:firstLine="420" w:firstLineChars="200"/>
    </w:pPr>
    <w:rPr>
      <w:lang w:bidi="ar-SA"/>
    </w:rPr>
  </w:style>
  <w:style w:type="paragraph" w:styleId="5">
    <w:name w:val="annotation text"/>
    <w:basedOn w:val="1"/>
    <w:semiHidden/>
    <w:uiPriority w:val="0"/>
    <w:pPr>
      <w:jc w:val="left"/>
    </w:pPr>
    <w:rPr>
      <w:lang w:bidi="ar-SA"/>
    </w:rPr>
  </w:style>
  <w:style w:type="paragraph" w:styleId="6">
    <w:name w:val="Body Text"/>
    <w:basedOn w:val="1"/>
    <w:link w:val="25"/>
    <w:uiPriority w:val="0"/>
    <w:pPr>
      <w:spacing w:after="120"/>
    </w:pPr>
    <w:rPr>
      <w:lang w:bidi="ar-SA"/>
    </w:rPr>
  </w:style>
  <w:style w:type="paragraph" w:styleId="7">
    <w:name w:val="Body Text Indent"/>
    <w:basedOn w:val="1"/>
    <w:link w:val="24"/>
    <w:qFormat/>
    <w:uiPriority w:val="0"/>
    <w:pPr>
      <w:spacing w:after="120"/>
      <w:ind w:left="420" w:leftChars="200"/>
    </w:pPr>
    <w:rPr>
      <w:lang w:bidi="ar-SA"/>
    </w:rPr>
  </w:style>
  <w:style w:type="paragraph" w:styleId="8">
    <w:name w:val="List 2"/>
    <w:basedOn w:val="1"/>
    <w:uiPriority w:val="0"/>
    <w:pPr>
      <w:ind w:left="100" w:leftChars="200" w:hanging="200" w:hangingChars="200"/>
    </w:pPr>
    <w:rPr>
      <w:lang w:bidi="ar-SA"/>
    </w:rPr>
  </w:style>
  <w:style w:type="paragraph" w:styleId="9">
    <w:name w:val="Plain Text"/>
    <w:basedOn w:val="1"/>
    <w:link w:val="27"/>
    <w:qFormat/>
    <w:uiPriority w:val="0"/>
    <w:rPr>
      <w:rFonts w:ascii="宋体" w:hAnsi="Courier New"/>
      <w:szCs w:val="20"/>
      <w:lang w:bidi="ar-SA"/>
    </w:rPr>
  </w:style>
  <w:style w:type="paragraph" w:styleId="10">
    <w:name w:val="Date"/>
    <w:basedOn w:val="1"/>
    <w:next w:val="1"/>
    <w:qFormat/>
    <w:uiPriority w:val="0"/>
    <w:pPr>
      <w:ind w:left="2500" w:leftChars="2500"/>
    </w:pPr>
    <w:rPr>
      <w:sz w:val="28"/>
      <w:lang w:bidi="ar-SA"/>
    </w:rPr>
  </w:style>
  <w:style w:type="paragraph" w:styleId="11">
    <w:name w:val="List Continue 5"/>
    <w:basedOn w:val="1"/>
    <w:uiPriority w:val="0"/>
    <w:pPr>
      <w:spacing w:after="120"/>
      <w:ind w:left="2100" w:leftChars="1000"/>
    </w:pPr>
    <w:rPr>
      <w:lang w:bidi="ar-SA"/>
    </w:rPr>
  </w:style>
  <w:style w:type="paragraph" w:styleId="12">
    <w:name w:val="footer"/>
    <w:basedOn w:val="1"/>
    <w:uiPriority w:val="0"/>
    <w:pPr>
      <w:tabs>
        <w:tab w:val="center" w:pos="4153"/>
        <w:tab w:val="right" w:pos="8306"/>
      </w:tabs>
      <w:snapToGrid w:val="0"/>
      <w:jc w:val="left"/>
    </w:pPr>
    <w:rPr>
      <w:sz w:val="18"/>
      <w:szCs w:val="18"/>
      <w:lang w:bidi="ar-SA"/>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lang w:bidi="ar-SA"/>
    </w:rPr>
  </w:style>
  <w:style w:type="paragraph" w:styleId="14">
    <w:name w:val="List"/>
    <w:basedOn w:val="1"/>
    <w:uiPriority w:val="0"/>
    <w:pPr>
      <w:ind w:left="200" w:hanging="200" w:hangingChars="200"/>
    </w:pPr>
    <w:rPr>
      <w:lang w:bidi="ar-SA"/>
    </w:rPr>
  </w:style>
  <w:style w:type="paragraph" w:styleId="15">
    <w:name w:val="List 5"/>
    <w:basedOn w:val="1"/>
    <w:qFormat/>
    <w:uiPriority w:val="0"/>
    <w:pPr>
      <w:ind w:left="100" w:leftChars="800" w:hanging="200" w:hangingChars="200"/>
    </w:pPr>
    <w:rPr>
      <w:lang w:bidi="ar-SA"/>
    </w:rPr>
  </w:style>
  <w:style w:type="paragraph" w:styleId="16">
    <w:name w:val="Body Text 2"/>
    <w:basedOn w:val="1"/>
    <w:uiPriority w:val="0"/>
    <w:pPr>
      <w:jc w:val="center"/>
    </w:pPr>
    <w:rPr>
      <w:rFonts w:ascii="黑体" w:eastAsia="黑体"/>
      <w:sz w:val="48"/>
      <w:szCs w:val="32"/>
      <w:lang w:bidi="ar-SA"/>
    </w:rPr>
  </w:style>
  <w:style w:type="paragraph" w:styleId="17">
    <w:name w:val="List 4"/>
    <w:basedOn w:val="1"/>
    <w:uiPriority w:val="0"/>
    <w:pPr>
      <w:ind w:left="100" w:leftChars="600" w:hanging="200" w:hangingChars="200"/>
    </w:pPr>
    <w:rPr>
      <w:lang w:bidi="ar-SA"/>
    </w:rPr>
  </w:style>
  <w:style w:type="paragraph" w:styleId="18">
    <w:name w:val="Normal (Web)"/>
    <w:basedOn w:val="1"/>
    <w:uiPriority w:val="0"/>
    <w:pPr>
      <w:spacing w:before="100" w:beforeAutospacing="1" w:after="100" w:afterAutospacing="1"/>
      <w:jc w:val="left"/>
    </w:pPr>
    <w:rPr>
      <w:rFonts w:ascii="Times New Roman" w:hAnsi="Times New Roman"/>
      <w:kern w:val="0"/>
      <w:sz w:val="24"/>
      <w:szCs w:val="20"/>
    </w:rPr>
  </w:style>
  <w:style w:type="paragraph" w:styleId="19">
    <w:name w:val="Body Text First Indent"/>
    <w:basedOn w:val="6"/>
    <w:link w:val="26"/>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HTML Code"/>
    <w:basedOn w:val="22"/>
    <w:uiPriority w:val="0"/>
    <w:rPr>
      <w:rFonts w:ascii="Courier New" w:hAnsi="Courier New"/>
      <w:sz w:val="20"/>
      <w:szCs w:val="20"/>
    </w:rPr>
  </w:style>
  <w:style w:type="character" w:customStyle="1" w:styleId="24">
    <w:name w:val="正文文本缩进 Char"/>
    <w:basedOn w:val="22"/>
    <w:link w:val="7"/>
    <w:uiPriority w:val="0"/>
    <w:rPr>
      <w:kern w:val="2"/>
      <w:sz w:val="21"/>
      <w:szCs w:val="24"/>
    </w:rPr>
  </w:style>
  <w:style w:type="character" w:customStyle="1" w:styleId="25">
    <w:name w:val="正文文本 Char"/>
    <w:basedOn w:val="22"/>
    <w:link w:val="6"/>
    <w:uiPriority w:val="0"/>
    <w:rPr>
      <w:kern w:val="2"/>
      <w:sz w:val="21"/>
      <w:szCs w:val="24"/>
    </w:rPr>
  </w:style>
  <w:style w:type="character" w:customStyle="1" w:styleId="26">
    <w:name w:val="正文首行缩进 Char"/>
    <w:basedOn w:val="25"/>
    <w:link w:val="19"/>
    <w:uiPriority w:val="0"/>
  </w:style>
  <w:style w:type="character" w:customStyle="1" w:styleId="27">
    <w:name w:val="纯文本 Char"/>
    <w:basedOn w:val="22"/>
    <w:link w:val="9"/>
    <w:locked/>
    <w:uiPriority w:val="0"/>
    <w:rPr>
      <w:rFonts w:ascii="宋体" w:hAnsi="Courier New" w:eastAsia="宋体"/>
      <w:kern w:val="2"/>
      <w:sz w:val="21"/>
      <w:lang w:val="en-US" w:eastAsia="zh-CN" w:bidi="ar-SA"/>
    </w:rPr>
  </w:style>
  <w:style w:type="character" w:customStyle="1" w:styleId="28">
    <w:name w:val="段 Char"/>
    <w:basedOn w:val="22"/>
    <w:link w:val="29"/>
    <w:uiPriority w:val="0"/>
    <w:rPr>
      <w:rFonts w:ascii="宋体"/>
      <w:sz w:val="21"/>
      <w:lang w:val="en-US" w:eastAsia="zh-CN" w:bidi="ar-SA"/>
    </w:rPr>
  </w:style>
  <w:style w:type="paragraph" w:customStyle="1" w:styleId="29">
    <w:name w:val="段"/>
    <w:link w:val="28"/>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31">
    <w:name w:val="目次、标准名称标题"/>
    <w:basedOn w:val="32"/>
    <w:next w:val="29"/>
    <w:qFormat/>
    <w:uiPriority w:val="0"/>
    <w:pPr>
      <w:spacing w:line="460" w:lineRule="exact"/>
    </w:pPr>
  </w:style>
  <w:style w:type="paragraph" w:customStyle="1" w:styleId="32">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33">
    <w:name w:val="四级条标题"/>
    <w:basedOn w:val="34"/>
    <w:next w:val="29"/>
    <w:uiPriority w:val="0"/>
    <w:pPr>
      <w:outlineLvl w:val="5"/>
    </w:pPr>
  </w:style>
  <w:style w:type="paragraph" w:customStyle="1" w:styleId="34">
    <w:name w:val="三级条标题"/>
    <w:basedOn w:val="35"/>
    <w:next w:val="29"/>
    <w:uiPriority w:val="0"/>
    <w:pPr>
      <w:outlineLvl w:val="4"/>
    </w:pPr>
  </w:style>
  <w:style w:type="paragraph" w:customStyle="1" w:styleId="35">
    <w:name w:val="二级条标题"/>
    <w:basedOn w:val="36"/>
    <w:next w:val="29"/>
    <w:uiPriority w:val="0"/>
    <w:pPr>
      <w:outlineLvl w:val="3"/>
    </w:pPr>
  </w:style>
  <w:style w:type="paragraph" w:customStyle="1" w:styleId="36">
    <w:name w:val="一级条标题"/>
    <w:basedOn w:val="37"/>
    <w:next w:val="29"/>
    <w:qFormat/>
    <w:uiPriority w:val="0"/>
    <w:pPr>
      <w:spacing w:beforeLines="0" w:afterLines="0"/>
      <w:outlineLvl w:val="2"/>
    </w:pPr>
  </w:style>
  <w:style w:type="paragraph" w:customStyle="1" w:styleId="37">
    <w:name w:val="章标题"/>
    <w:next w:val="29"/>
    <w:uiPriority w:val="0"/>
    <w:pPr>
      <w:spacing w:beforeLines="50" w:afterLines="50"/>
      <w:jc w:val="both"/>
      <w:outlineLvl w:val="1"/>
    </w:pPr>
    <w:rPr>
      <w:rFonts w:ascii="黑体" w:hAnsi="Calibri" w:eastAsia="黑体" w:cs="Times New Roman"/>
      <w:sz w:val="21"/>
      <w:lang w:val="en-US" w:eastAsia="zh-CN" w:bidi="ar-SA"/>
    </w:rPr>
  </w:style>
  <w:style w:type="paragraph" w:customStyle="1" w:styleId="38">
    <w:name w:val="Char"/>
    <w:basedOn w:val="1"/>
    <w:uiPriority w:val="0"/>
    <w:rPr>
      <w:lang w:bidi="ar-SA"/>
    </w:rPr>
  </w:style>
  <w:style w:type="paragraph" w:customStyle="1" w:styleId="39">
    <w:name w:val="数字编号列项（二级）"/>
    <w:uiPriority w:val="0"/>
    <w:pPr>
      <w:ind w:left="1260" w:leftChars="400" w:hanging="420" w:hangingChars="200"/>
      <w:jc w:val="both"/>
    </w:pPr>
    <w:rPr>
      <w:rFonts w:ascii="宋体" w:hAnsi="Calibri" w:eastAsia="宋体" w:cs="Times New Roman"/>
      <w:sz w:val="21"/>
      <w:lang w:val="en-US" w:eastAsia="zh-CN" w:bidi="ar-SA"/>
    </w:rPr>
  </w:style>
  <w:style w:type="paragraph" w:customStyle="1" w:styleId="40">
    <w:name w:val="Char1"/>
    <w:basedOn w:val="1"/>
    <w:uiPriority w:val="0"/>
    <w:pPr>
      <w:widowControl/>
      <w:spacing w:after="160" w:line="240" w:lineRule="exact"/>
      <w:jc w:val="left"/>
    </w:pPr>
    <w:rPr>
      <w:rFonts w:ascii="Verdana" w:hAnsi="Verdana"/>
      <w:kern w:val="0"/>
      <w:sz w:val="20"/>
      <w:szCs w:val="20"/>
      <w:lang w:eastAsia="en-US" w:bidi="ar-SA"/>
    </w:rPr>
  </w:style>
  <w:style w:type="paragraph" w:customStyle="1" w:styleId="41">
    <w:name w:val="五级条标题"/>
    <w:basedOn w:val="33"/>
    <w:next w:val="29"/>
    <w:qFormat/>
    <w:uiPriority w:val="0"/>
    <w:pPr>
      <w:outlineLvl w:val="6"/>
    </w:pPr>
  </w:style>
  <w:style w:type="paragraph" w:customStyle="1" w:styleId="42">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43">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山铝一小</Company>
  <Pages>18</Pages>
  <Words>2494</Words>
  <Characters>14221</Characters>
  <Lines>118</Lines>
  <Paragraphs>33</Paragraphs>
  <TotalTime>1</TotalTime>
  <ScaleCrop>false</ScaleCrop>
  <LinksUpToDate>false</LinksUpToDate>
  <CharactersWithSpaces>16682</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2019-06-20T00:40:00Z</dcterms:created>
  <dc:creator>shilei</dc:creator>
  <cp:lastModifiedBy>Administrator</cp:lastModifiedBy>
  <cp:lastPrinted>2004-08-01T09:33:00Z</cp:lastPrinted>
  <dcterms:modified xsi:type="dcterms:W3CDTF">2019-09-15T18:09:59Z</dcterms:modified>
  <dc:title>编 制 说 明</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