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第19部分：锆含量的测定</w:t>
      </w:r>
    </w:p>
    <w:p>
      <w:pPr>
        <w:spacing w:line="1000" w:lineRule="exact"/>
        <w:jc w:val="center"/>
        <w:rPr>
          <w:rFonts w:ascii="宋体" w:hAnsi="宋体"/>
          <w:b/>
          <w:bCs/>
          <w:color w:val="000000"/>
          <w:sz w:val="44"/>
          <w:szCs w:val="44"/>
        </w:rPr>
      </w:pP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lang w:eastAsia="zh-CN"/>
        </w:rPr>
        <w:t>送</w:t>
      </w:r>
      <w:r>
        <w:rPr>
          <w:rFonts w:hint="eastAsia" w:eastAsia="黑体"/>
          <w:bCs/>
          <w:sz w:val="52"/>
          <w:szCs w:val="52"/>
        </w:rPr>
        <w:t>审稿编制说明</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hint="eastAsia"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第19部分：锆含量的测定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ind w:left="0" w:leftChars="0"/>
        <w:jc w:val="center"/>
        <w:rPr>
          <w:rFonts w:hint="eastAsia"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第19部分：锆含量的测定</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ascii="宋体" w:hAnsi="宋体"/>
          <w:szCs w:val="21"/>
        </w:rPr>
      </w:pPr>
      <w:r>
        <w:rPr>
          <w:rFonts w:hint="eastAsia" w:ascii="宋体" w:hAnsi="宋体"/>
          <w:szCs w:val="21"/>
        </w:rPr>
        <w:t xml:space="preserve">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20975.19—201X《铝及铝合金化学分析方法 第19部分：锆含量的测定》进行了讨论，并进行了制修订任务落实，会上确定了《铝及铝合金化学分析方法 第19部分：锆含量的测定》的起草基本思路。根据会议讨论安排，由中国铝业郑州有色金属研究院有限公司负责起草GB/T 20975.19-201X《铝及铝合金化学分析方法 第19部分：锆含量的测定》，将GB/T 20975.19-2008《铝及铝合金化学分析方法  </w:t>
      </w:r>
      <w:r>
        <w:rPr>
          <w:rFonts w:hint="eastAsia" w:ascii="宋体" w:hAnsi="宋体"/>
          <w:bCs/>
          <w:color w:val="000000"/>
          <w:szCs w:val="21"/>
        </w:rPr>
        <w:t>第19部分：</w:t>
      </w:r>
      <w:r>
        <w:rPr>
          <w:rFonts w:hint="eastAsia" w:ascii="宋体" w:hAnsi="宋体"/>
          <w:szCs w:val="21"/>
        </w:rPr>
        <w:t>锆含量的测定》和YS/T 807.5-2012《铝中间合金化学分析方法 第5部分：锆含量的测定　EDTA络合滴定法》进行整合，将GB/T 20975.19-2008中“方法一：</w:t>
      </w:r>
      <w:r>
        <w:rPr>
          <w:rFonts w:hint="eastAsia"/>
          <w:szCs w:val="21"/>
        </w:rPr>
        <w:t>二甲酚橙分光光度法</w:t>
      </w:r>
      <w:r>
        <w:rPr>
          <w:rFonts w:hint="eastAsia" w:ascii="宋体" w:hAnsi="宋体"/>
          <w:szCs w:val="21"/>
        </w:rPr>
        <w:t>”作为新起草标准中“方法一：</w:t>
      </w:r>
      <w:r>
        <w:rPr>
          <w:rFonts w:hint="eastAsia"/>
          <w:szCs w:val="21"/>
        </w:rPr>
        <w:t>二甲酚橙分光光度法</w:t>
      </w:r>
      <w:r>
        <w:rPr>
          <w:rFonts w:hint="eastAsia" w:ascii="宋体" w:hAnsi="宋体"/>
          <w:szCs w:val="21"/>
        </w:rPr>
        <w:t>”，锆的测定范围为0.01%～1.0%，由中国铝业郑州有色金属研究院有限公司主起草；YS/T 807.5-2012作为新起草标准中“方法二：EDTA络合滴定法”，钒的测定范围为2.5%～18.0%，由</w:t>
      </w:r>
      <w:r>
        <w:rPr>
          <w:rFonts w:hint="eastAsia" w:ascii="宋体" w:hAnsi="宋体" w:cs="宋体"/>
          <w:bCs/>
        </w:rPr>
        <w:t>广东省工业分析检测中心</w:t>
      </w:r>
      <w:r>
        <w:rPr>
          <w:rFonts w:hint="eastAsia" w:ascii="宋体" w:hAnsi="宋体"/>
          <w:szCs w:val="21"/>
        </w:rPr>
        <w:t>主起草。</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全国有色金属标准化技术委员会2017年下达标准制（修）定计划（国标委综合〔2017〕128号），本标准项目计划编号为20173494-T-610，项目完成时间为2019年12月。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2019年6月24</w:t>
      </w:r>
      <w:r>
        <w:rPr>
          <w:rFonts w:ascii="宋体" w:hAnsi="宋体"/>
          <w:szCs w:val="21"/>
        </w:rPr>
        <w:t>日～</w:t>
      </w:r>
      <w:r>
        <w:rPr>
          <w:rFonts w:hint="eastAsia" w:ascii="宋体" w:hAnsi="宋体"/>
          <w:szCs w:val="21"/>
        </w:rPr>
        <w:t>26</w:t>
      </w:r>
      <w:r>
        <w:rPr>
          <w:rFonts w:ascii="宋体" w:hAnsi="宋体"/>
          <w:szCs w:val="21"/>
        </w:rPr>
        <w:t>日</w:t>
      </w:r>
      <w:r>
        <w:rPr>
          <w:rFonts w:hint="eastAsia" w:ascii="宋体" w:hAnsi="宋体"/>
          <w:szCs w:val="21"/>
        </w:rPr>
        <w:t>在山东省青岛市召开的GB/T 20975系列标准预审会上，为了与其他</w:t>
      </w:r>
      <w:r>
        <w:rPr>
          <w:rFonts w:hint="eastAsia" w:ascii="宋体" w:hAnsi="宋体"/>
          <w:szCs w:val="21"/>
          <w:lang w:eastAsia="zh-CN"/>
        </w:rPr>
        <w:t>部分</w:t>
      </w:r>
      <w:r>
        <w:rPr>
          <w:rFonts w:hint="eastAsia" w:ascii="宋体" w:hAnsi="宋体"/>
          <w:szCs w:val="21"/>
        </w:rPr>
        <w:t>名称保持一致，会议建议将本</w:t>
      </w:r>
      <w:r>
        <w:rPr>
          <w:rFonts w:hint="eastAsia" w:ascii="宋体" w:hAnsi="宋体"/>
          <w:szCs w:val="21"/>
          <w:lang w:eastAsia="zh-CN"/>
        </w:rPr>
        <w:t>部分</w:t>
      </w:r>
      <w:r>
        <w:rPr>
          <w:rFonts w:hint="eastAsia" w:ascii="宋体" w:hAnsi="宋体"/>
          <w:szCs w:val="21"/>
        </w:rPr>
        <w:t>名称修改为：GB/T 20975.</w:t>
      </w:r>
      <w:r>
        <w:rPr>
          <w:rFonts w:hint="eastAsia" w:ascii="宋体" w:hAnsi="宋体"/>
          <w:szCs w:val="21"/>
          <w:lang w:val="en-US" w:eastAsia="zh-CN"/>
        </w:rPr>
        <w:t>19</w:t>
      </w:r>
      <w:r>
        <w:rPr>
          <w:rFonts w:ascii="宋体" w:hAnsi="宋体"/>
          <w:szCs w:val="21"/>
        </w:rPr>
        <w:t>《</w:t>
      </w:r>
      <w:r>
        <w:rPr>
          <w:rFonts w:hint="eastAsia" w:ascii="宋体" w:hAnsi="宋体"/>
          <w:bCs/>
          <w:color w:val="000000"/>
          <w:szCs w:val="21"/>
        </w:rPr>
        <w:t>铝及铝合金化学分析方法 第</w:t>
      </w:r>
      <w:r>
        <w:rPr>
          <w:rFonts w:hint="eastAsia" w:ascii="宋体" w:hAnsi="宋体"/>
          <w:bCs/>
          <w:color w:val="000000"/>
          <w:szCs w:val="21"/>
          <w:lang w:val="en-US" w:eastAsia="zh-CN"/>
        </w:rPr>
        <w:t>19</w:t>
      </w:r>
      <w:r>
        <w:rPr>
          <w:rFonts w:hint="eastAsia" w:ascii="宋体" w:hAnsi="宋体"/>
          <w:bCs/>
          <w:color w:val="000000"/>
          <w:szCs w:val="21"/>
        </w:rPr>
        <w:t>部分：</w:t>
      </w:r>
      <w:r>
        <w:rPr>
          <w:rFonts w:hint="eastAsia" w:ascii="宋体" w:hAnsi="宋体"/>
          <w:bCs/>
          <w:color w:val="000000"/>
          <w:szCs w:val="21"/>
          <w:lang w:eastAsia="zh-CN"/>
        </w:rPr>
        <w:t>锆</w:t>
      </w:r>
      <w:r>
        <w:rPr>
          <w:rFonts w:hint="eastAsia" w:ascii="宋体" w:hAnsi="宋体"/>
          <w:bCs/>
          <w:color w:val="000000"/>
          <w:szCs w:val="21"/>
        </w:rPr>
        <w:t>含量的测定</w:t>
      </w:r>
      <w:r>
        <w:rPr>
          <w:rFonts w:ascii="宋体" w:hAnsi="宋体"/>
          <w:szCs w:val="21"/>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宋体" w:hAnsi="宋体"/>
          <w:lang w:eastAsia="zh-CN"/>
        </w:rPr>
      </w:pPr>
      <w:r>
        <w:rPr>
          <w:rFonts w:hint="eastAsia" w:ascii="宋体" w:hAnsi="宋体"/>
          <w:lang w:eastAsia="zh-CN"/>
        </w:rPr>
        <w:t>根据在云南省昆明市召开的任务落实会议确定情况，本部分方法一：</w:t>
      </w:r>
      <w:r>
        <w:rPr>
          <w:rFonts w:hint="eastAsia" w:ascii="宋体" w:hAnsi="宋体"/>
          <w:szCs w:val="21"/>
        </w:rPr>
        <w:t>二甲酚橙分光光度法</w:t>
      </w:r>
      <w:r>
        <w:rPr>
          <w:rFonts w:hint="eastAsia" w:ascii="宋体" w:hAnsi="宋体"/>
          <w:lang w:eastAsia="zh-CN"/>
        </w:rPr>
        <w:t>，由中铝郑州有色金属研究院有限公司负责起草，由</w:t>
      </w:r>
      <w:r>
        <w:rPr>
          <w:rFonts w:hint="eastAsia" w:ascii="宋体" w:hAnsi="宋体"/>
          <w:szCs w:val="21"/>
        </w:rPr>
        <w:t>长沙矿冶研究院有限责任公司、</w:t>
      </w:r>
      <w:r>
        <w:rPr>
          <w:rFonts w:hint="eastAsia" w:ascii="宋体" w:hAnsi="宋体"/>
        </w:rPr>
        <w:t>贵州省分析测试研究院、中铝矿业有限公司、辽宁忠旺集团有限公司</w:t>
      </w:r>
      <w:r>
        <w:rPr>
          <w:rFonts w:hint="eastAsia" w:ascii="宋体" w:hAnsi="宋体"/>
          <w:lang w:eastAsia="zh-CN"/>
        </w:rPr>
        <w:t>等</w:t>
      </w:r>
      <w:r>
        <w:rPr>
          <w:rFonts w:hint="eastAsia" w:ascii="宋体" w:hAnsi="宋体"/>
          <w:lang w:val="en-US" w:eastAsia="zh-CN"/>
        </w:rPr>
        <w:t>五</w:t>
      </w:r>
      <w:r>
        <w:rPr>
          <w:rFonts w:hint="eastAsia" w:ascii="宋体" w:hAnsi="宋体"/>
          <w:lang w:eastAsia="zh-CN"/>
        </w:rPr>
        <w:t>家单位共同编制。</w:t>
      </w:r>
    </w:p>
    <w:p>
      <w:pPr>
        <w:spacing w:line="360" w:lineRule="auto"/>
        <w:ind w:firstLine="420" w:firstLineChars="200"/>
        <w:rPr>
          <w:rFonts w:hint="eastAsia" w:ascii="黑体" w:hAnsi="宋体" w:eastAsia="黑体"/>
          <w:sz w:val="24"/>
        </w:rPr>
      </w:pPr>
      <w:r>
        <w:rPr>
          <w:rFonts w:hint="eastAsia" w:ascii="宋体" w:hAnsi="宋体"/>
          <w:lang w:eastAsia="zh-CN"/>
        </w:rPr>
        <w:t>根据在云南省昆明市召开的任务落实会议确定情况，</w:t>
      </w:r>
      <w:r>
        <w:rPr>
          <w:rFonts w:hint="eastAsia" w:ascii="宋体" w:hAnsi="宋体"/>
          <w:szCs w:val="21"/>
          <w:lang w:eastAsia="zh-CN"/>
        </w:rPr>
        <w:t>本部分</w:t>
      </w:r>
      <w:r>
        <w:rPr>
          <w:rFonts w:hint="eastAsia" w:ascii="宋体" w:hAnsi="宋体"/>
        </w:rPr>
        <w:t>方法二：EDTA滴定法</w:t>
      </w:r>
      <w:r>
        <w:rPr>
          <w:rFonts w:ascii="宋体" w:hAnsi="宋体"/>
          <w:kern w:val="1"/>
          <w:szCs w:val="21"/>
        </w:rPr>
        <w:t>由广东省工业分析检测中心</w:t>
      </w:r>
      <w:r>
        <w:rPr>
          <w:rFonts w:hint="eastAsia" w:ascii="宋体" w:hAnsi="宋体"/>
          <w:kern w:val="1"/>
          <w:szCs w:val="21"/>
        </w:rPr>
        <w:t>负责</w:t>
      </w:r>
      <w:r>
        <w:rPr>
          <w:rFonts w:ascii="宋体" w:hAnsi="宋体"/>
          <w:kern w:val="1"/>
          <w:szCs w:val="21"/>
        </w:rPr>
        <w:t>起草，</w:t>
      </w:r>
      <w:r>
        <w:rPr>
          <w:rFonts w:hint="eastAsia" w:ascii="宋体" w:hAnsi="宋体"/>
          <w:kern w:val="1"/>
          <w:szCs w:val="21"/>
          <w:lang w:eastAsia="zh-CN"/>
        </w:rPr>
        <w:t>由</w:t>
      </w:r>
      <w:r>
        <w:rPr>
          <w:rFonts w:hint="eastAsia" w:ascii="宋体" w:hAnsi="宋体"/>
        </w:rPr>
        <w:t>长沙矿冶研究院有限责任公司</w:t>
      </w:r>
      <w:r>
        <w:rPr>
          <w:rFonts w:hint="eastAsia" w:ascii="宋体" w:hAnsi="宋体" w:cs="楷体"/>
        </w:rPr>
        <w:t>、</w:t>
      </w:r>
      <w:r>
        <w:rPr>
          <w:rFonts w:hint="eastAsia" w:ascii="宋体" w:hAnsi="宋体"/>
        </w:rPr>
        <w:t>贵州省分析测试研究院</w:t>
      </w:r>
      <w:r>
        <w:rPr>
          <w:rFonts w:hint="eastAsia" w:ascii="宋体" w:hAnsi="宋体" w:cs="楷体"/>
        </w:rPr>
        <w:t>、</w:t>
      </w:r>
      <w:r>
        <w:rPr>
          <w:rFonts w:hint="eastAsia" w:ascii="宋体" w:hAnsi="宋体"/>
        </w:rPr>
        <w:t>辽宁忠旺集团有限公司</w:t>
      </w:r>
      <w:r>
        <w:rPr>
          <w:rFonts w:hint="eastAsia" w:ascii="宋体" w:hAnsi="宋体" w:cs="楷体"/>
        </w:rPr>
        <w:t>、</w:t>
      </w:r>
      <w:r>
        <w:rPr>
          <w:rFonts w:hint="eastAsia" w:ascii="宋体" w:hAnsi="宋体"/>
          <w:bCs/>
        </w:rPr>
        <w:t>河北四通新型金属材料股份有限公司</w:t>
      </w:r>
      <w:r>
        <w:rPr>
          <w:rFonts w:hint="eastAsia" w:ascii="宋体" w:hAnsi="宋体" w:cs="楷体"/>
        </w:rPr>
        <w:t>、</w:t>
      </w:r>
      <w:r>
        <w:rPr>
          <w:rFonts w:hint="eastAsia" w:ascii="宋体" w:hAnsi="宋体"/>
        </w:rPr>
        <w:t>中铝郑州有色金属研究院有限公司</w:t>
      </w:r>
      <w:r>
        <w:rPr>
          <w:rFonts w:hint="eastAsia" w:ascii="宋体" w:hAnsi="宋体" w:cs="楷体"/>
        </w:rPr>
        <w:t>、</w:t>
      </w:r>
      <w:r>
        <w:rPr>
          <w:rFonts w:hint="eastAsia" w:ascii="宋体" w:hAnsi="宋体"/>
        </w:rPr>
        <w:t>山东南山铝业股份有限公司</w:t>
      </w:r>
      <w:r>
        <w:rPr>
          <w:rFonts w:hint="eastAsia" w:ascii="宋体" w:hAnsi="宋体" w:cs="楷体"/>
        </w:rPr>
        <w:t>、</w:t>
      </w:r>
      <w:r>
        <w:rPr>
          <w:rFonts w:hint="eastAsia" w:ascii="宋体" w:hAnsi="宋体"/>
          <w:kern w:val="1"/>
          <w:szCs w:val="21"/>
        </w:rPr>
        <w:t>山东兖矿轻合金有限公司</w:t>
      </w:r>
      <w:r>
        <w:rPr>
          <w:rFonts w:hint="eastAsia" w:ascii="宋体" w:hAnsi="宋体" w:cs="楷体"/>
        </w:rPr>
        <w:t>、有研亿金新材料有限公司</w:t>
      </w:r>
      <w:r>
        <w:rPr>
          <w:rFonts w:hint="eastAsia" w:ascii="宋体" w:hAnsi="宋体"/>
          <w:lang w:eastAsia="zh-CN"/>
        </w:rPr>
        <w:t>等</w:t>
      </w:r>
      <w:r>
        <w:rPr>
          <w:rFonts w:hint="eastAsia" w:ascii="宋体" w:hAnsi="宋体"/>
          <w:lang w:val="en-US" w:eastAsia="zh-CN"/>
        </w:rPr>
        <w:t>九</w:t>
      </w:r>
      <w:r>
        <w:rPr>
          <w:rFonts w:hint="eastAsia" w:ascii="宋体" w:hAnsi="宋体"/>
          <w:lang w:eastAsia="zh-CN"/>
        </w:rPr>
        <w:t>家单位共同编制。</w:t>
      </w:r>
    </w:p>
    <w:p>
      <w:pPr>
        <w:widowControl/>
        <w:spacing w:line="360" w:lineRule="auto"/>
        <w:jc w:val="left"/>
        <w:rPr>
          <w:rFonts w:hint="eastAsia"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ascii="宋体" w:hAnsi="宋体"/>
          <w:bCs/>
          <w:szCs w:val="21"/>
        </w:rPr>
        <w:t>中铝郑州有色金属研究院有限公司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hint="eastAsia" w:ascii="宋体" w:hAnsi="宋体"/>
          <w:szCs w:val="21"/>
        </w:rPr>
        <w:t>具有完善的铝、镁冶炼基础理论研究技术平台，包括TEM、SEM、EDS、XRD、XRF、IC等在内的大型仪器设备80余套。</w:t>
      </w:r>
      <w:r>
        <w:rPr>
          <w:rFonts w:ascii="宋体" w:hAnsi="宋体"/>
          <w:szCs w:val="21"/>
        </w:rPr>
        <w:t>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spacing w:line="360" w:lineRule="auto"/>
        <w:rPr>
          <w:rFonts w:hint="eastAsia" w:ascii="宋体" w:hAnsi="宋体"/>
          <w:b/>
          <w:szCs w:val="21"/>
        </w:rPr>
      </w:pPr>
      <w:r>
        <w:rPr>
          <w:rFonts w:hint="eastAsia" w:ascii="宋体" w:hAnsi="宋体"/>
          <w:b/>
          <w:szCs w:val="21"/>
        </w:rPr>
        <w:t>2.2 广东省工业分析检测中心</w:t>
      </w:r>
    </w:p>
    <w:p>
      <w:pPr>
        <w:spacing w:line="360" w:lineRule="auto"/>
        <w:ind w:firstLine="435"/>
        <w:rPr>
          <w:rFonts w:hint="eastAsia" w:ascii="宋体" w:hAnsi="宋体"/>
          <w:szCs w:val="21"/>
        </w:rPr>
      </w:pPr>
      <w:r>
        <w:rPr>
          <w:rFonts w:hint="eastAsia" w:ascii="宋体" w:hAnsi="宋体"/>
          <w:szCs w:val="21"/>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w:t>
      </w:r>
      <w:r>
        <w:rPr>
          <w:rFonts w:ascii="宋体" w:hAnsi="宋体"/>
          <w:szCs w:val="21"/>
        </w:rPr>
        <w:t>3</w:t>
      </w:r>
      <w:r>
        <w:rPr>
          <w:rFonts w:hint="eastAsia" w:ascii="宋体" w:hAnsi="宋体"/>
          <w:szCs w:val="21"/>
        </w:rPr>
        <w:t>00余项，发表专著5部，发表论文300余篇。</w:t>
      </w:r>
    </w:p>
    <w:p>
      <w:pPr>
        <w:spacing w:line="360" w:lineRule="auto"/>
        <w:rPr>
          <w:rFonts w:ascii="宋体" w:hAnsi="宋体"/>
          <w:b/>
          <w:szCs w:val="21"/>
        </w:rPr>
      </w:pPr>
      <w:r>
        <w:rPr>
          <w:rFonts w:hint="eastAsia" w:ascii="宋体" w:hAnsi="宋体"/>
          <w:b/>
          <w:szCs w:val="21"/>
        </w:rPr>
        <w:t>2.3长沙矿冶研究院有限责任公司</w:t>
      </w:r>
    </w:p>
    <w:p>
      <w:pPr>
        <w:spacing w:line="360" w:lineRule="auto"/>
        <w:rPr>
          <w:rFonts w:ascii="宋体" w:hAnsi="宋体"/>
          <w:szCs w:val="21"/>
        </w:rPr>
      </w:pPr>
      <w:r>
        <w:rPr>
          <w:rFonts w:hint="eastAsia" w:ascii="宋体" w:hAnsi="宋体" w:cs="宋体"/>
          <w:szCs w:val="21"/>
        </w:rPr>
        <w:t xml:space="preserve">    长沙矿冶研究院有限责任公司2003年通过湖南省质量技术监督局计量认证，2011年通过国家实验室认可</w:t>
      </w:r>
      <w:r>
        <w:rPr>
          <w:rFonts w:hint="eastAsia" w:ascii="宋体" w:hAnsi="宋体" w:cs="宋体"/>
          <w:color w:val="000000"/>
          <w:szCs w:val="21"/>
        </w:rPr>
        <w:t>。</w:t>
      </w:r>
      <w:r>
        <w:rPr>
          <w:rFonts w:hint="eastAsia" w:ascii="宋体" w:hAnsi="宋体" w:cs="宋体"/>
          <w:szCs w:val="21"/>
        </w:rPr>
        <w:t>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力电池材料湖南省工程实验室、贵州省锰业工程技术研究中心等省级实验研发平台重要组成单元，是五矿矿产资源评价实验室的重要组成部分。中心设有化学物相分析实验室、大型仪器分析实验室、综合办公室。现有实验室1500平方米，仪器设备122台套，包括矿物参数自动分析仪、X-射线衍射仪、扫描电子显微镜、电感耦合等离子体发射光谱质谱联用仪、电感耦合等离子体发射光谱等先进大型精密分析仪器设备。</w:t>
      </w:r>
    </w:p>
    <w:p>
      <w:pPr>
        <w:spacing w:line="360" w:lineRule="auto"/>
        <w:rPr>
          <w:rFonts w:ascii="宋体" w:hAnsi="宋体"/>
          <w:b/>
        </w:rPr>
      </w:pPr>
      <w:r>
        <w:rPr>
          <w:rFonts w:hint="eastAsia" w:ascii="宋体" w:hAnsi="宋体"/>
          <w:b/>
        </w:rPr>
        <w:t>2.4 贵州省分析测试研究院</w:t>
      </w:r>
    </w:p>
    <w:p>
      <w:pPr>
        <w:widowControl/>
        <w:spacing w:line="360" w:lineRule="auto"/>
        <w:ind w:firstLine="420" w:firstLineChars="200"/>
        <w:jc w:val="left"/>
        <w:rPr>
          <w:rFonts w:ascii="宋体" w:hAnsi="宋体" w:cs="宋体"/>
          <w:szCs w:val="21"/>
        </w:rPr>
      </w:pPr>
      <w:r>
        <w:rPr>
          <w:rFonts w:hint="eastAsia" w:ascii="宋体" w:hAnsi="宋体" w:cs="宋体"/>
          <w:szCs w:val="21"/>
        </w:rPr>
        <w:t>贵州省分析测试研究院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spacing w:line="360" w:lineRule="auto"/>
        <w:rPr>
          <w:rFonts w:ascii="宋体" w:hAnsi="宋体"/>
          <w:b/>
        </w:rPr>
      </w:pPr>
      <w:r>
        <w:rPr>
          <w:rFonts w:hint="eastAsia" w:ascii="宋体" w:hAnsi="宋体"/>
          <w:b/>
        </w:rPr>
        <w:t>2.5 山东南山铝业股份有限公司</w:t>
      </w:r>
    </w:p>
    <w:p>
      <w:pPr>
        <w:pStyle w:val="43"/>
        <w:spacing w:line="360" w:lineRule="auto"/>
        <w:ind w:firstLine="420" w:firstLineChars="200"/>
        <w:rPr>
          <w:rFonts w:cs="Times New Roman"/>
          <w:color w:val="auto"/>
          <w:kern w:val="2"/>
          <w:sz w:val="21"/>
          <w:szCs w:val="21"/>
          <w:lang w:bidi="he-IL"/>
        </w:rPr>
      </w:pPr>
      <w:r>
        <w:rPr>
          <w:rFonts w:hint="eastAsia"/>
          <w:bCs/>
          <w:sz w:val="21"/>
          <w:szCs w:val="21"/>
        </w:rPr>
        <w:t>山东南山铝业股份有限公司</w:t>
      </w:r>
      <w:r>
        <w:rPr>
          <w:rFonts w:hint="eastAsia" w:cs="Times New Roman"/>
          <w:bCs/>
          <w:color w:val="auto"/>
          <w:kern w:val="2"/>
          <w:sz w:val="21"/>
          <w:szCs w:val="21"/>
          <w:lang w:bidi="he-IL"/>
        </w:rPr>
        <w:t>形成了</w:t>
      </w:r>
      <w:r>
        <w:rPr>
          <w:rFonts w:hint="eastAsia" w:cs="Times New Roman"/>
          <w:color w:val="auto"/>
          <w:kern w:val="2"/>
          <w:sz w:val="21"/>
          <w:szCs w:val="21"/>
          <w:lang w:bidi="he-IL"/>
        </w:rPr>
        <w:t>从能源-热电-氧化铝-电解铝-铝型材、熔铸-热轧-冷轧-箔轧的完整铝加工产业链，成为世界唯一一家短距离内拥有完整产业链的铝加工企业。 南山铝业中心实验室</w:t>
      </w:r>
      <w:r>
        <w:rPr>
          <w:rFonts w:cs="Times New Roman"/>
          <w:color w:val="auto"/>
          <w:kern w:val="2"/>
          <w:sz w:val="21"/>
          <w:szCs w:val="21"/>
          <w:lang w:bidi="he-IL"/>
        </w:rPr>
        <w:t>承担山东南山铝业股份有限公司氧化铝、氢氧化铝、铝及铝合金、高精度铝板带箔制品、铝型材、碳素制品、铝土矿、石灰石等产品、原材料的质量检测工作及水、大气、噪声等环境条件的监测。实验室作为氧化铝和铝锭生产控制过程及生产用原材料质量检测的专门机构。</w:t>
      </w:r>
    </w:p>
    <w:p>
      <w:pPr>
        <w:spacing w:line="360" w:lineRule="auto"/>
        <w:rPr>
          <w:rFonts w:ascii="宋体" w:hAnsi="宋体"/>
          <w:b/>
        </w:rPr>
      </w:pPr>
      <w:r>
        <w:rPr>
          <w:rFonts w:hint="eastAsia" w:ascii="宋体" w:hAnsi="宋体"/>
          <w:b/>
        </w:rPr>
        <w:t>2.6 山东兖矿轻合金有限公司</w:t>
      </w:r>
    </w:p>
    <w:p>
      <w:pPr>
        <w:spacing w:line="360" w:lineRule="auto"/>
        <w:ind w:firstLine="420" w:firstLineChars="200"/>
        <w:rPr>
          <w:rFonts w:ascii="宋体" w:hAnsi="宋体"/>
        </w:rPr>
      </w:pPr>
      <w:r>
        <w:rPr>
          <w:rFonts w:hint="eastAsia" w:ascii="宋体" w:hAnsi="宋体"/>
          <w:bCs/>
          <w:szCs w:val="21"/>
        </w:rPr>
        <w:t>山东兖矿轻合金有限公司配</w:t>
      </w:r>
      <w:r>
        <w:rPr>
          <w:rFonts w:hint="eastAsia" w:ascii="宋体" w:hAnsi="宋体"/>
          <w:szCs w:val="21"/>
        </w:rPr>
        <w:t>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外径达700mm的无缝管材，最大直径达450mm的挤压棒材等各种铝合金工业用管、棒、型材，满足不同客户对各类工业铝挤压材的需求。与国内外知名科研院所和公司企业合作，研发新型铝合金制品、探索研究新型工艺技术，不断开发铝合金挤压材的新工艺、新技术、新市场。主编过多项国家标准和行业标准，具有起草本国家标准的基础和条件。</w:t>
      </w:r>
    </w:p>
    <w:p>
      <w:pPr>
        <w:spacing w:line="360" w:lineRule="auto"/>
        <w:rPr>
          <w:rFonts w:ascii="宋体" w:hAnsi="宋体"/>
          <w:b/>
        </w:rPr>
      </w:pPr>
      <w:r>
        <w:rPr>
          <w:rFonts w:hint="eastAsia" w:ascii="宋体" w:hAnsi="宋体"/>
          <w:b/>
        </w:rPr>
        <w:t>2.7 辽宁忠旺集团有限公司</w:t>
      </w:r>
    </w:p>
    <w:p>
      <w:pPr>
        <w:spacing w:line="360" w:lineRule="auto"/>
        <w:ind w:firstLine="420" w:firstLineChars="200"/>
        <w:rPr>
          <w:rFonts w:ascii="宋体" w:hAnsi="宋体" w:cs="宋体"/>
          <w:szCs w:val="21"/>
        </w:rPr>
      </w:pPr>
      <w:r>
        <w:rPr>
          <w:rFonts w:hint="eastAsia" w:ascii="宋体" w:hAnsi="宋体" w:cs="宋体"/>
          <w:szCs w:val="21"/>
        </w:rPr>
        <w:t>辽宁忠旺集团有限公司始创于1993年，为全球领先的铝加工产品研发制造商，主要从事于多元化的优质工业铝加工产品的研发、生产及销售，形成了以工业铝挤压、深加工以及铝压延三大核心业务并举的发展格局，并获得挪威船级社认证、欧洲铁路行业协会的IRIS认证、汽车行业质量管理体系认证（TS16949）、航空航天质量管理体系认证（AS9100）、欧盟的CE认证等一系列国际权威认证。目前，集团拥有国家级企业技术中心、国家地方联合工程研究中心、国家级博士后工作站、省级工程技术研究中心及重点实验室等机构，先后投入资金1.5亿元，建筑面积16378m</w:t>
      </w:r>
      <w:r>
        <w:rPr>
          <w:rFonts w:hint="eastAsia" w:ascii="宋体" w:hAnsi="宋体" w:cs="宋体"/>
          <w:szCs w:val="21"/>
          <w:vertAlign w:val="superscript"/>
        </w:rPr>
        <w:t>2</w:t>
      </w:r>
      <w:r>
        <w:rPr>
          <w:rFonts w:hint="eastAsia" w:ascii="宋体" w:hAnsi="宋体" w:cs="宋体"/>
          <w:szCs w:val="21"/>
        </w:rPr>
        <w:t>，包括8个专业研究室、22个分析实验室，配有来自德、日、美、瑞士等国际先进科研设备和仪器200多台/套配备。先后承担了省部级以上科技计划项目40余项，获得科技成果40项，获得国家及省市各级科技奖励50余项，参与制修订标准60余项，获得国家专利467项，为“国家高新技术企业”。</w:t>
      </w:r>
    </w:p>
    <w:p>
      <w:pPr>
        <w:spacing w:line="360" w:lineRule="auto"/>
        <w:rPr>
          <w:rFonts w:ascii="宋体" w:hAnsi="宋体"/>
          <w:b/>
          <w:kern w:val="1"/>
          <w:szCs w:val="21"/>
        </w:rPr>
      </w:pPr>
      <w:r>
        <w:rPr>
          <w:rFonts w:hint="eastAsia" w:ascii="宋体" w:hAnsi="宋体"/>
          <w:b/>
          <w:kern w:val="1"/>
          <w:szCs w:val="21"/>
        </w:rPr>
        <w:t>2.8 有研亿金新材料有限公司</w:t>
      </w:r>
    </w:p>
    <w:p>
      <w:pPr>
        <w:spacing w:line="360" w:lineRule="auto"/>
        <w:rPr>
          <w:rFonts w:hint="eastAsia" w:ascii="宋体" w:hAnsi="宋体"/>
        </w:rPr>
      </w:pPr>
      <w:r>
        <w:rPr>
          <w:rFonts w:hint="eastAsia" w:ascii="宋体" w:hAnsi="宋体"/>
        </w:rPr>
        <w:t xml:space="preserve">    有研亿金新材料有限公司现为北京有研科技集团有限公司控股公司有研新材料股份有限公司全资子公司。</w:t>
      </w:r>
      <w:r>
        <w:rPr>
          <w:rFonts w:ascii="宋体" w:hAnsi="宋体"/>
        </w:rPr>
        <w:t>有研亿金主要研发、生产、销售微电子光电子用薄膜新材料、贵金属材料及制品，并开展稀有及贵金属材料信息咨询、技术服务和套期保值等业务。有研亿金是国内规模最大、门类最全、技术能力最强的高纯金属溅射靶材制造企业，也是国内唯一具备从超高纯原材料到溅射靶材、蒸发膜材垂直一体化研发和生产的产业化平台。有研亿金历年承担国家级、省部级科技开发项目近百项，获部级奖56项，国家专利81项，国家科技进步奖3项，国家发明奖9项，全国科学大会奖2项，国家科技进步奖特等奖子项奖1项。公司承担了国家02专项、国家国际重点合作项目、国家高技术产业化项目以及国家科技支撑项目，863项目等36项国家重点项目。</w:t>
      </w:r>
      <w:r>
        <w:rPr>
          <w:rFonts w:hint="eastAsia" w:ascii="宋体" w:hAnsi="宋体"/>
        </w:rPr>
        <w:t>测试中心通过CNAS认可，</w:t>
      </w:r>
      <w:r>
        <w:rPr>
          <w:rFonts w:hint="eastAsia" w:ascii="宋体"/>
        </w:rPr>
        <w:t>拥有各类检测设备1</w:t>
      </w:r>
      <w:r>
        <w:rPr>
          <w:rFonts w:ascii="宋体"/>
        </w:rPr>
        <w:t>8台套</w:t>
      </w:r>
      <w:r>
        <w:rPr>
          <w:rFonts w:hint="eastAsia" w:ascii="宋体"/>
        </w:rPr>
        <w:t>，涉及金属材料化学分析、金属材料机械性能及物理性能检测，</w:t>
      </w:r>
      <w:r>
        <w:rPr>
          <w:rFonts w:hint="eastAsia" w:ascii="宋体" w:hAnsi="宋体"/>
        </w:rPr>
        <w:t>认可涉及的检测能力包含17个检测对象，37个检测项目，可以开展金属材料的杂质含量、气体含量、微观组织形貌、金相组织分析、硬度及材料取向方面的检测业务，检测设备齐全，具备了按照国际认可准则开展检测服务的技术能力。</w:t>
      </w:r>
    </w:p>
    <w:p>
      <w:pPr>
        <w:widowControl/>
        <w:spacing w:line="360" w:lineRule="auto"/>
        <w:jc w:val="left"/>
        <w:rPr>
          <w:rFonts w:ascii="宋体" w:hAnsi="宋体"/>
          <w:b/>
          <w:szCs w:val="21"/>
        </w:rPr>
      </w:pPr>
      <w:bookmarkStart w:id="0" w:name="ref_[1]"/>
      <w:bookmarkEnd w:id="0"/>
      <w:r>
        <w:rPr>
          <w:rFonts w:hint="eastAsia" w:ascii="宋体" w:hAnsi="宋体"/>
          <w:b/>
          <w:szCs w:val="21"/>
        </w:rPr>
        <w:t>2.9 中铝矿业有限公司</w:t>
      </w:r>
    </w:p>
    <w:p>
      <w:pPr>
        <w:widowControl/>
        <w:spacing w:line="360" w:lineRule="auto"/>
        <w:jc w:val="left"/>
        <w:rPr>
          <w:rFonts w:ascii="宋体" w:hAnsi="宋体" w:cs="宋体"/>
          <w:b/>
          <w:szCs w:val="21"/>
        </w:rPr>
      </w:pPr>
      <w:r>
        <w:rPr>
          <w:rFonts w:hint="eastAsia" w:ascii="宋体" w:hAnsi="宋体"/>
          <w:b/>
          <w:szCs w:val="21"/>
        </w:rPr>
        <w:t xml:space="preserve">    </w:t>
      </w:r>
      <w:r>
        <w:rPr>
          <w:rFonts w:hint="eastAsia" w:ascii="宋体" w:hAnsi="宋体"/>
          <w:szCs w:val="21"/>
        </w:rPr>
        <w:t>中铝矿业有限公司</w:t>
      </w:r>
      <w:r>
        <w:rPr>
          <w:rFonts w:ascii="宋体" w:hAnsi="宋体"/>
          <w:szCs w:val="21"/>
        </w:rPr>
        <w:t>具有年供矿400万吨，年产氧化铝</w:t>
      </w:r>
      <w:r>
        <w:rPr>
          <w:rFonts w:hint="eastAsia" w:ascii="宋体" w:hAnsi="宋体"/>
          <w:szCs w:val="21"/>
        </w:rPr>
        <w:t>200</w:t>
      </w:r>
      <w:r>
        <w:rPr>
          <w:rFonts w:ascii="宋体" w:hAnsi="宋体"/>
          <w:szCs w:val="21"/>
        </w:rPr>
        <w:t>万吨、碳素制品12万吨、金属镓40吨，年自发电15亿千瓦时的生产能力。拥有铝土矿资源保有储量</w:t>
      </w:r>
      <w:r>
        <w:rPr>
          <w:rFonts w:hint="eastAsia" w:ascii="宋体" w:hAnsi="宋体"/>
          <w:szCs w:val="21"/>
        </w:rPr>
        <w:t>1.5</w:t>
      </w:r>
      <w:r>
        <w:rPr>
          <w:rFonts w:ascii="宋体" w:hAnsi="宋体"/>
          <w:szCs w:val="21"/>
        </w:rPr>
        <w:t>亿吨。</w:t>
      </w:r>
      <w:r>
        <w:rPr>
          <w:rFonts w:hint="eastAsia" w:ascii="宋体" w:hAnsi="宋体"/>
          <w:szCs w:val="21"/>
        </w:rPr>
        <w:t>生产指挥保障中心专职从事科技管理、技术开发、分析检测、高纯镓和超细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镓深加工及其衍生产品的开发及生产。</w:t>
      </w:r>
    </w:p>
    <w:p>
      <w:pPr>
        <w:spacing w:line="360" w:lineRule="auto"/>
        <w:rPr>
          <w:b/>
          <w:szCs w:val="21"/>
        </w:rPr>
      </w:pPr>
      <w:r>
        <w:rPr>
          <w:rFonts w:hint="eastAsia" w:ascii="宋体" w:hAnsi="宋体"/>
          <w:b/>
          <w:bCs/>
        </w:rPr>
        <w:t xml:space="preserve">2.10 </w:t>
      </w:r>
      <w:r>
        <w:rPr>
          <w:rFonts w:hint="eastAsia"/>
          <w:b/>
          <w:szCs w:val="21"/>
        </w:rPr>
        <w:t>河北四通新型金属材料股份有限公司</w:t>
      </w:r>
    </w:p>
    <w:p>
      <w:pPr>
        <w:spacing w:line="360" w:lineRule="auto"/>
        <w:rPr>
          <w:rFonts w:ascii="宋体" w:hAnsi="宋体"/>
        </w:rPr>
      </w:pPr>
      <w:r>
        <w:rPr>
          <w:rFonts w:hint="eastAsia"/>
          <w:b/>
          <w:szCs w:val="21"/>
        </w:rPr>
        <w:t xml:space="preserve">    </w:t>
      </w:r>
      <w:r>
        <w:rPr>
          <w:rFonts w:hint="eastAsia"/>
          <w:szCs w:val="21"/>
        </w:rPr>
        <w:t>河北四通新型金属材料股份有限公司</w:t>
      </w:r>
      <w:r>
        <w:rPr>
          <w:rFonts w:hint="eastAsia" w:ascii="宋体"/>
          <w:kern w:val="0"/>
          <w:szCs w:val="21"/>
        </w:rPr>
        <w:t>专业从事功能性中间合金新材料的研发、制造和销售，是国内最大的中间合金生产企业之一；是国家火炬计划重点高新技术企业、河北省高新技术企业、河北省创新型企业、科技型中小企业和河北省首批“专精特新”企业；通过了ISO9001质量管理体系认证、ISO/TS 16949汽车行业质量管理体系认证、ISO14001环境管理体系认证和CNAS 实验室认证；是中国有色金属工业协会理事单位、钛工业进展常务理事单位、中国材料进展常务理事单位；拥有国家国际科技合作基地、河北省企业技术中心、省级航空航天金属材料工程技术研究中心和省级院士工作站；是“十二五”国家高技术发展计划（863计划）新材料技术领域“新型轻质与高强韧耐蚀合金及其构件精密制备技术”主题项目的牵头单位；国家国际科技合作项目“航空航天用新型铝合金晶粒细化剂制备技术联合研发”的承担单位；国家标准《铝中间合金》（GB/T 27677-XXXX）的起草单位。共拥有6项国家发明专利，15项实用新型专利，14项非专利技术，多项储备和研发产品项目。</w:t>
      </w:r>
    </w:p>
    <w:p>
      <w:pPr>
        <w:spacing w:beforeLines="50" w:afterLines="50" w:line="360" w:lineRule="auto"/>
        <w:rPr>
          <w:rFonts w:ascii="黑体" w:hAnsi="宋体" w:eastAsia="黑体"/>
          <w:sz w:val="24"/>
        </w:rPr>
      </w:pPr>
      <w:r>
        <w:rPr>
          <w:rFonts w:hint="eastAsia" w:ascii="黑体" w:hAnsi="宋体" w:eastAsia="黑体"/>
          <w:sz w:val="24"/>
        </w:rPr>
        <w:t>二、主要工作过程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2.1 征求意见过程 </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w:t>
      </w:r>
      <w:r>
        <w:rPr>
          <w:rFonts w:hint="eastAsia" w:ascii="宋体" w:hAnsi="宋体"/>
          <w:bCs/>
          <w:color w:val="000000"/>
          <w:szCs w:val="21"/>
        </w:rPr>
        <w:t>GB/T 20975.19-201X《铝及铝合金化学分析方法 第19部分：锆含量的测定》方法一：</w:t>
      </w:r>
      <w:r>
        <w:rPr>
          <w:rFonts w:hint="eastAsia" w:ascii="宋体" w:hAnsi="宋体"/>
          <w:szCs w:val="21"/>
        </w:rPr>
        <w:t>二甲酚橙分光光度法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2.2  讨论会情况</w:t>
      </w:r>
    </w:p>
    <w:p>
      <w:pPr>
        <w:spacing w:line="360" w:lineRule="auto"/>
        <w:ind w:firstLine="420" w:firstLineChars="200"/>
        <w:rPr>
          <w:rFonts w:ascii="宋体" w:hAnsi="宋体"/>
          <w:bCs/>
          <w:color w:val="000000"/>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20975.19、GB/T 20975.25、GB/T 20975.33等10个部分进行了讨论，对各个标准测定范围、方法提要、测定步骤、精密度等部分进行了详细的论证，基本达成了统一。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hint="eastAsia"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t>.</w:t>
      </w: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19</w:t>
      </w:r>
      <w:r>
        <w:rPr>
          <w:rFonts w:hint="eastAsia" w:ascii="宋体" w:hAnsi="宋体"/>
          <w:szCs w:val="21"/>
        </w:rPr>
        <w:t>《铝及铝合金化学分析方法 第</w:t>
      </w:r>
      <w:r>
        <w:rPr>
          <w:rFonts w:hint="eastAsia" w:ascii="宋体" w:hAnsi="宋体"/>
          <w:szCs w:val="21"/>
          <w:lang w:val="en-US" w:eastAsia="zh-CN"/>
        </w:rPr>
        <w:t>19</w:t>
      </w:r>
      <w:r>
        <w:rPr>
          <w:rFonts w:hint="eastAsia" w:ascii="宋体" w:hAnsi="宋体"/>
          <w:szCs w:val="21"/>
        </w:rPr>
        <w:t>部分：</w:t>
      </w:r>
      <w:r>
        <w:rPr>
          <w:rFonts w:hint="eastAsia" w:ascii="宋体" w:hAnsi="宋体"/>
          <w:szCs w:val="21"/>
          <w:lang w:eastAsia="zh-CN"/>
        </w:rPr>
        <w:t>锆</w:t>
      </w:r>
      <w:r>
        <w:rPr>
          <w:rFonts w:hint="eastAsia" w:ascii="宋体" w:hAnsi="宋体"/>
          <w:szCs w:val="21"/>
        </w:rPr>
        <w:t>含量的测定》</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p>
    <w:p>
      <w:pPr>
        <w:spacing w:beforeLines="50" w:afterLines="50" w:line="360" w:lineRule="auto"/>
        <w:rPr>
          <w:rFonts w:ascii="黑体" w:hAnsi="宋体" w:eastAsia="黑体"/>
          <w:sz w:val="24"/>
        </w:rPr>
      </w:pPr>
      <w:r>
        <w:rPr>
          <w:rFonts w:hint="eastAsia" w:ascii="黑体" w:hAnsi="宋体" w:eastAsia="黑体"/>
          <w:sz w:val="24"/>
        </w:rPr>
        <w:t>2.</w:t>
      </w:r>
      <w:r>
        <w:rPr>
          <w:rFonts w:hint="eastAsia" w:ascii="黑体" w:hAnsi="宋体" w:eastAsia="黑体"/>
          <w:sz w:val="24"/>
          <w:lang w:val="en-US" w:eastAsia="zh-CN"/>
        </w:rPr>
        <w:t>4</w:t>
      </w:r>
      <w:r>
        <w:rPr>
          <w:rFonts w:hint="eastAsia" w:ascii="黑体" w:hAnsi="宋体" w:eastAsia="黑体"/>
          <w:sz w:val="24"/>
        </w:rPr>
        <w:t xml:space="preserve"> 主要工作内容</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w:t>
      </w:r>
      <w:r>
        <w:rPr>
          <w:rFonts w:hint="eastAsia" w:ascii="宋体" w:hAnsi="宋体"/>
          <w:bCs/>
          <w:color w:val="000000"/>
          <w:szCs w:val="21"/>
        </w:rPr>
        <w:t>GB/T 20975.19-201X《铝及铝合金化学分析方法 第19部分：锆含量的测定》方法一：</w:t>
      </w:r>
      <w:r>
        <w:rPr>
          <w:rFonts w:hint="eastAsia" w:ascii="宋体" w:hAnsi="宋体"/>
          <w:szCs w:val="21"/>
        </w:rPr>
        <w:t>二甲酚橙分光光度法起草项目组。项目组由长期负责标准制修订的教授级高工担任组长，高级工程师、工程师及硕士担任组员。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w:t>
      </w:r>
      <w:r>
        <w:rPr>
          <w:rFonts w:hint="eastAsia" w:ascii="宋体" w:hAnsi="宋体"/>
          <w:bCs/>
          <w:color w:val="000000"/>
          <w:szCs w:val="21"/>
        </w:rPr>
        <w:t>GB/T 20975.19-201X《铝及铝合金化学分析方法 第19部分：锆含量的测定》</w:t>
      </w:r>
      <w:r>
        <w:rPr>
          <w:rFonts w:hint="eastAsia" w:ascii="宋体" w:hAnsi="宋体"/>
          <w:szCs w:val="21"/>
        </w:rPr>
        <w:t>起草第一次工作会议，会上确定了GB/T 20975.19-201X的起草思路，中国铝业郑州有色金属研究院有限公司负责</w:t>
      </w:r>
      <w:r>
        <w:rPr>
          <w:rFonts w:hint="eastAsia" w:ascii="宋体" w:hAnsi="宋体"/>
          <w:bCs/>
          <w:color w:val="000000"/>
          <w:szCs w:val="21"/>
        </w:rPr>
        <w:t>起草GB/T 20975.19-201X《铝及铝合金化学分析方法 第19部分：锆含量的测定》，</w:t>
      </w:r>
      <w:r>
        <w:rPr>
          <w:rFonts w:hint="eastAsia" w:ascii="宋体" w:hAnsi="宋体"/>
          <w:szCs w:val="21"/>
        </w:rPr>
        <w:t xml:space="preserve">将GB/T 20975.19-2008《铝及铝合金化学分析方法  </w:t>
      </w:r>
      <w:r>
        <w:rPr>
          <w:rFonts w:hint="eastAsia" w:ascii="宋体" w:hAnsi="宋体"/>
          <w:bCs/>
          <w:color w:val="000000"/>
          <w:szCs w:val="21"/>
        </w:rPr>
        <w:t>第19部分：</w:t>
      </w:r>
      <w:r>
        <w:rPr>
          <w:rFonts w:hint="eastAsia" w:ascii="宋体" w:hAnsi="宋体"/>
          <w:szCs w:val="21"/>
        </w:rPr>
        <w:t>锆含量的测定》和YS/T 807.5-2012《铝中间合金化学分析方法 第5部分：锆含量的测定　EDTA络合滴定法》进行整合，将GB/T 20975.19-2008中“方法一：</w:t>
      </w:r>
      <w:r>
        <w:rPr>
          <w:rFonts w:hint="eastAsia"/>
          <w:szCs w:val="21"/>
        </w:rPr>
        <w:t>二甲酚橙分光光度法</w:t>
      </w:r>
      <w:r>
        <w:rPr>
          <w:rFonts w:hint="eastAsia" w:ascii="宋体" w:hAnsi="宋体"/>
          <w:szCs w:val="21"/>
        </w:rPr>
        <w:t>”作为新起草标准中“方法一：</w:t>
      </w:r>
      <w:r>
        <w:rPr>
          <w:rFonts w:hint="eastAsia"/>
          <w:szCs w:val="21"/>
        </w:rPr>
        <w:t>二甲酚橙分光光度法</w:t>
      </w:r>
      <w:r>
        <w:rPr>
          <w:rFonts w:hint="eastAsia" w:ascii="宋体" w:hAnsi="宋体"/>
          <w:szCs w:val="21"/>
        </w:rPr>
        <w:t>”，锆的测定范围为0.01%～1.0%，由中国铝业郑州有色金属研究院有限公司</w:t>
      </w:r>
      <w:r>
        <w:rPr>
          <w:rFonts w:hint="eastAsia" w:ascii="宋体" w:hAnsi="宋体"/>
          <w:bCs/>
          <w:color w:val="000000"/>
          <w:szCs w:val="21"/>
        </w:rPr>
        <w:t>继续负责</w:t>
      </w:r>
      <w:r>
        <w:rPr>
          <w:rFonts w:hint="eastAsia" w:ascii="宋体" w:hAnsi="宋体"/>
          <w:szCs w:val="21"/>
        </w:rPr>
        <w:t>；YS/T 807.5-2012作为新起草标准中“方法二：EDTA络合滴定法”，钒的测定范围为2.5%～18.0%，由广东省工业分析检测中心负责。</w:t>
      </w:r>
    </w:p>
    <w:p>
      <w:pPr>
        <w:spacing w:line="360" w:lineRule="auto"/>
        <w:ind w:firstLine="420"/>
        <w:rPr>
          <w:rFonts w:ascii="宋体" w:hAnsi="宋体"/>
          <w:szCs w:val="21"/>
        </w:rPr>
      </w:pPr>
      <w:r>
        <w:rPr>
          <w:rFonts w:hint="eastAsia" w:ascii="宋体" w:hAnsi="宋体"/>
          <w:szCs w:val="21"/>
        </w:rPr>
        <w:t>编制组对铝企业、用户进行了调研，征求对</w:t>
      </w:r>
      <w:r>
        <w:rPr>
          <w:rFonts w:hint="eastAsia" w:ascii="宋体" w:hAnsi="宋体" w:cs="Tahoma"/>
          <w:color w:val="444444"/>
          <w:szCs w:val="21"/>
        </w:rPr>
        <w:t>《</w:t>
      </w:r>
      <w:r>
        <w:rPr>
          <w:rFonts w:hint="eastAsia" w:ascii="宋体" w:hAnsi="宋体"/>
          <w:szCs w:val="21"/>
        </w:rPr>
        <w:t>铝及铝合金化学分析方法 第19部分：锆含量的测定</w:t>
      </w:r>
      <w:r>
        <w:rPr>
          <w:rFonts w:hint="eastAsia" w:ascii="宋体" w:hAnsi="宋体" w:cs="Tahoma"/>
          <w:color w:val="444444"/>
          <w:szCs w:val="21"/>
        </w:rPr>
        <w:t>》</w:t>
      </w:r>
      <w:r>
        <w:rPr>
          <w:rFonts w:hint="eastAsia" w:ascii="宋体" w:hAnsi="宋体"/>
          <w:szCs w:val="21"/>
        </w:rPr>
        <w:t>的意见，广泛收集国内外关于铝及铝合金中锆</w:t>
      </w:r>
      <w:r>
        <w:rPr>
          <w:rFonts w:ascii="宋体" w:hAnsi="宋体"/>
          <w:szCs w:val="21"/>
        </w:rPr>
        <w:t>的测定</w:t>
      </w:r>
      <w:r>
        <w:rPr>
          <w:rFonts w:hint="eastAsia" w:ascii="宋体" w:hAnsi="宋体"/>
          <w:szCs w:val="21"/>
        </w:rPr>
        <w:t>技术资料，进行汇总整理，经过认真分析、研究和讨论，于2018年</w:t>
      </w:r>
      <w:r>
        <w:rPr>
          <w:rFonts w:ascii="宋体" w:hAnsi="宋体"/>
          <w:szCs w:val="21"/>
        </w:rPr>
        <w:t>9</w:t>
      </w:r>
      <w:r>
        <w:rPr>
          <w:rFonts w:hint="eastAsia" w:ascii="宋体" w:hAnsi="宋体"/>
          <w:szCs w:val="21"/>
        </w:rPr>
        <w:t>月形成标准草案稿。</w:t>
      </w:r>
    </w:p>
    <w:p>
      <w:pPr>
        <w:spacing w:line="360" w:lineRule="auto"/>
        <w:ind w:firstLine="420" w:firstLineChars="200"/>
        <w:rPr>
          <w:rFonts w:ascii="宋体" w:hAnsi="宋体"/>
          <w:szCs w:val="21"/>
        </w:rPr>
      </w:pPr>
      <w:r>
        <w:rPr>
          <w:rFonts w:hint="eastAsia" w:ascii="宋体" w:hAnsi="宋体"/>
          <w:szCs w:val="21"/>
        </w:rPr>
        <w:t>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rFonts w:hint="eastAsia" w:ascii="宋体" w:hAnsi="宋体"/>
          <w:szCs w:val="21"/>
        </w:rPr>
      </w:pPr>
      <w:r>
        <w:rPr>
          <w:rFonts w:hint="eastAsia" w:ascii="宋体" w:hAnsi="宋体"/>
          <w:szCs w:val="21"/>
        </w:rPr>
        <w:t>2018年10月，项目组编制了</w:t>
      </w:r>
      <w:r>
        <w:rPr>
          <w:rFonts w:hint="eastAsia" w:ascii="宋体" w:hAnsi="宋体"/>
          <w:bCs/>
          <w:color w:val="000000"/>
          <w:szCs w:val="21"/>
        </w:rPr>
        <w:t>GB/T 20975.19-201X《铝及铝合金化学分析方法 第19部分：锆含量的测定》</w:t>
      </w:r>
      <w:r>
        <w:rPr>
          <w:rFonts w:hint="eastAsia" w:ascii="宋体" w:hAnsi="宋体"/>
          <w:szCs w:val="21"/>
        </w:rPr>
        <w:t>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等科研院所，还包括</w:t>
      </w:r>
      <w:r>
        <w:rPr>
          <w:rFonts w:hint="eastAsia" w:ascii="宋体" w:hAnsi="宋体"/>
          <w:szCs w:val="21"/>
        </w:rPr>
        <w:t>包头铝业有限公司、中铝矿业有限公司等企业，以及郑州大学、中南大学等高等院校，收集对征求意见稿的反馈信息，汇总、分析意见和建议，与提出建议和意见的实验室充分沟通，完善补充修改征求意见稿。收集到对征求意见稿的反馈信息，汇总、分析意见和建议见下表。</w:t>
      </w:r>
    </w:p>
    <w:tbl>
      <w:tblPr>
        <w:tblStyle w:val="20"/>
        <w:tblW w:w="8357" w:type="dxa"/>
        <w:jc w:val="center"/>
        <w:tblInd w:w="1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18"/>
        <w:gridCol w:w="3118"/>
        <w:gridCol w:w="1701"/>
        <w:gridCol w:w="70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35" w:type="dxa"/>
            <w:tcBorders>
              <w:top w:val="single" w:color="auto" w:sz="8" w:space="0"/>
              <w:left w:val="single" w:color="auto" w:sz="8" w:space="0"/>
              <w:bottom w:val="single" w:color="auto" w:sz="8" w:space="0"/>
            </w:tcBorders>
            <w:vAlign w:val="center"/>
          </w:tcPr>
          <w:p>
            <w:pPr>
              <w:jc w:val="center"/>
              <w:rPr>
                <w:rFonts w:hint="eastAsia"/>
                <w:sz w:val="18"/>
                <w:szCs w:val="18"/>
              </w:rPr>
            </w:pPr>
            <w:r>
              <w:rPr>
                <w:rFonts w:hint="eastAsia"/>
                <w:sz w:val="18"/>
                <w:szCs w:val="18"/>
              </w:rPr>
              <w:t>序号</w:t>
            </w:r>
          </w:p>
        </w:tc>
        <w:tc>
          <w:tcPr>
            <w:tcW w:w="1418"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标准章条编号</w:t>
            </w:r>
          </w:p>
        </w:tc>
        <w:tc>
          <w:tcPr>
            <w:tcW w:w="3118"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意见内容</w:t>
            </w:r>
          </w:p>
        </w:tc>
        <w:tc>
          <w:tcPr>
            <w:tcW w:w="1701"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提出单位</w:t>
            </w:r>
          </w:p>
        </w:tc>
        <w:tc>
          <w:tcPr>
            <w:tcW w:w="709"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处理</w:t>
            </w:r>
          </w:p>
          <w:p>
            <w:pPr>
              <w:jc w:val="center"/>
              <w:rPr>
                <w:rFonts w:hint="eastAsia"/>
                <w:sz w:val="18"/>
                <w:szCs w:val="18"/>
              </w:rPr>
            </w:pPr>
            <w:r>
              <w:rPr>
                <w:rFonts w:hint="eastAsia"/>
                <w:sz w:val="18"/>
                <w:szCs w:val="18"/>
              </w:rPr>
              <w:t>意见</w:t>
            </w:r>
          </w:p>
        </w:tc>
        <w:tc>
          <w:tcPr>
            <w:tcW w:w="676" w:type="dxa"/>
            <w:tcBorders>
              <w:top w:val="single" w:color="auto" w:sz="8" w:space="0"/>
              <w:bottom w:val="single" w:color="auto" w:sz="8" w:space="0"/>
            </w:tcBorders>
            <w:vAlign w:val="center"/>
          </w:tcPr>
          <w:p>
            <w:pPr>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封面</w:t>
            </w:r>
          </w:p>
        </w:tc>
        <w:tc>
          <w:tcPr>
            <w:tcW w:w="3118" w:type="dxa"/>
            <w:tcBorders>
              <w:top w:val="single" w:color="auto" w:sz="8"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2</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前言</w:t>
            </w:r>
          </w:p>
        </w:tc>
        <w:tc>
          <w:tcPr>
            <w:tcW w:w="3118" w:type="dxa"/>
            <w:tcBorders>
              <w:top w:val="single" w:color="auto" w:sz="8" w:space="0"/>
              <w:bottom w:val="single" w:color="auto" w:sz="4" w:space="0"/>
            </w:tcBorders>
            <w:vAlign w:val="center"/>
          </w:tcPr>
          <w:p>
            <w:pPr>
              <w:rPr>
                <w:rFonts w:hint="eastAsia"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部分：每个部分的名称进行重新确认修改。</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3</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前言</w:t>
            </w:r>
          </w:p>
        </w:tc>
        <w:tc>
          <w:tcPr>
            <w:tcW w:w="3118" w:type="dxa"/>
            <w:tcBorders>
              <w:top w:val="single" w:color="auto" w:sz="8"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增加：</w:t>
            </w:r>
          </w:p>
          <w:p>
            <w:pPr>
              <w:rPr>
                <w:rFonts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标准使用安全警告</w:t>
            </w:r>
            <w:r>
              <w:rPr>
                <w:rFonts w:ascii="宋体" w:hAnsi="宋体"/>
                <w:sz w:val="18"/>
                <w:szCs w:val="18"/>
              </w:rPr>
              <w:t>；</w:t>
            </w:r>
          </w:p>
          <w:p>
            <w:pPr>
              <w:rPr>
                <w:rFonts w:hint="eastAsia"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规范性引用文件（见2）；</w:t>
            </w:r>
          </w:p>
          <w:p>
            <w:pPr>
              <w:rPr>
                <w:rFonts w:hint="eastAsia" w:ascii="宋体" w:hAnsi="宋体" w:cs="宋体"/>
                <w:sz w:val="18"/>
                <w:szCs w:val="18"/>
              </w:rPr>
            </w:pPr>
            <w:r>
              <w:rPr>
                <w:rFonts w:hint="eastAsia" w:ascii="宋体" w:hAnsi="宋体"/>
                <w:sz w:val="18"/>
                <w:szCs w:val="18"/>
              </w:rPr>
              <w:t>——增加</w:t>
            </w:r>
            <w:r>
              <w:rPr>
                <w:rFonts w:ascii="宋体" w:hAnsi="宋体"/>
                <w:sz w:val="18"/>
                <w:szCs w:val="18"/>
              </w:rPr>
              <w:t>了</w:t>
            </w:r>
            <w:r>
              <w:rPr>
                <w:rFonts w:hint="eastAsia"/>
                <w:sz w:val="18"/>
                <w:szCs w:val="18"/>
              </w:rPr>
              <w:t>术语和定义</w:t>
            </w:r>
            <w:r>
              <w:rPr>
                <w:rFonts w:hint="eastAsia" w:ascii="宋体" w:hAnsi="宋体"/>
                <w:sz w:val="18"/>
                <w:szCs w:val="18"/>
              </w:rPr>
              <w:t>（见3）；</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 xml:space="preserve">1 </w:t>
            </w:r>
          </w:p>
        </w:tc>
        <w:tc>
          <w:tcPr>
            <w:tcW w:w="3118" w:type="dxa"/>
            <w:tcBorders>
              <w:top w:val="single" w:color="auto" w:sz="8" w:space="0"/>
              <w:bottom w:val="single" w:color="auto" w:sz="4" w:space="0"/>
            </w:tcBorders>
            <w:vAlign w:val="center"/>
          </w:tcPr>
          <w:p>
            <w:pPr>
              <w:pStyle w:val="4"/>
              <w:ind w:firstLine="360"/>
              <w:rPr>
                <w:rFonts w:hint="eastAsia" w:ascii="宋体" w:hAnsi="宋体" w:cs="宋体"/>
                <w:sz w:val="18"/>
                <w:szCs w:val="18"/>
              </w:rPr>
            </w:pPr>
            <w:r>
              <w:rPr>
                <w:rFonts w:hint="eastAsia" w:ascii="宋体" w:hAnsi="宋体" w:cs="宋体"/>
                <w:sz w:val="18"/>
                <w:szCs w:val="18"/>
              </w:rPr>
              <w:t>修改为“GB/T 20975的本部分规定了采用二甲酚橙分光光度法和EDTA滴定法测定铝及铝合金中锆含量的方法。”</w:t>
            </w:r>
          </w:p>
        </w:tc>
        <w:tc>
          <w:tcPr>
            <w:tcW w:w="1701" w:type="dxa"/>
            <w:tcBorders>
              <w:top w:val="single" w:color="auto" w:sz="8" w:space="0"/>
              <w:bottom w:val="single" w:color="auto" w:sz="4" w:space="0"/>
            </w:tcBorders>
            <w:vAlign w:val="center"/>
          </w:tcPr>
          <w:p>
            <w:pPr>
              <w:jc w:val="left"/>
              <w:rPr>
                <w:rFonts w:hint="eastAsia" w:ascii="宋体" w:hAnsi="宋体" w:cs="宋体"/>
                <w:bCs/>
                <w:sz w:val="18"/>
                <w:szCs w:val="18"/>
              </w:rPr>
            </w:pPr>
            <w:r>
              <w:rPr>
                <w:rFonts w:hint="eastAsia" w:ascii="宋体" w:hAnsi="宋体" w:cs="宋体"/>
                <w:sz w:val="18"/>
                <w:szCs w:val="18"/>
              </w:rPr>
              <w:t>中国有色金属工业标准计量质量研究所</w:t>
            </w:r>
          </w:p>
        </w:tc>
        <w:tc>
          <w:tcPr>
            <w:tcW w:w="709" w:type="dxa"/>
            <w:tcBorders>
              <w:top w:val="single" w:color="auto" w:sz="8" w:space="0"/>
              <w:bottom w:val="single" w:color="auto" w:sz="4" w:space="0"/>
            </w:tcBorders>
            <w:vAlign w:val="center"/>
          </w:tcPr>
          <w:p>
            <w:pPr>
              <w:jc w:val="center"/>
              <w:rPr>
                <w:rFonts w:hint="eastAsia" w:ascii="宋体" w:hAnsi="宋体" w:cs="宋体"/>
                <w:bCs/>
                <w:sz w:val="18"/>
                <w:szCs w:val="18"/>
              </w:rPr>
            </w:pPr>
            <w:r>
              <w:rPr>
                <w:rFonts w:hint="eastAsia" w:ascii="宋体" w:hAnsi="宋体" w:cs="宋体"/>
                <w:bCs/>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5</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bCs/>
                <w:sz w:val="18"/>
                <w:szCs w:val="18"/>
              </w:rPr>
              <w:t>3</w:t>
            </w:r>
          </w:p>
        </w:tc>
        <w:tc>
          <w:tcPr>
            <w:tcW w:w="3118" w:type="dxa"/>
            <w:tcBorders>
              <w:top w:val="single" w:color="auto" w:sz="8" w:space="0"/>
              <w:bottom w:val="single" w:color="auto" w:sz="4" w:space="0"/>
            </w:tcBorders>
            <w:vAlign w:val="center"/>
          </w:tcPr>
          <w:p>
            <w:pPr>
              <w:jc w:val="left"/>
              <w:rPr>
                <w:rFonts w:hint="eastAsia"/>
                <w:bCs/>
                <w:sz w:val="18"/>
                <w:szCs w:val="18"/>
              </w:rPr>
            </w:pPr>
            <w:r>
              <w:rPr>
                <w:rFonts w:hint="eastAsia"/>
                <w:bCs/>
                <w:sz w:val="18"/>
                <w:szCs w:val="18"/>
              </w:rPr>
              <w:t>新增加：</w:t>
            </w:r>
          </w:p>
          <w:p>
            <w:pPr>
              <w:jc w:val="left"/>
              <w:rPr>
                <w:rFonts w:hint="eastAsia"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hint="eastAsia" w:ascii="宋体" w:hAnsi="宋体" w:cs="黑体"/>
                <w:sz w:val="18"/>
                <w:szCs w:val="18"/>
              </w:rPr>
            </w:pPr>
            <w:r>
              <w:rPr>
                <w:rFonts w:hint="eastAsia" w:ascii="宋体" w:hAnsi="宋体" w:cs="黑体"/>
                <w:sz w:val="18"/>
                <w:szCs w:val="18"/>
              </w:rPr>
              <w:t>GB/T 20000.1界定的术语和定于适用于本文件。</w:t>
            </w:r>
          </w:p>
          <w:p>
            <w:pPr>
              <w:jc w:val="left"/>
              <w:rPr>
                <w:rFonts w:hint="eastAsia"/>
                <w:bCs/>
                <w:sz w:val="18"/>
                <w:szCs w:val="18"/>
              </w:rPr>
            </w:pPr>
            <w:r>
              <w:rPr>
                <w:rFonts w:hint="eastAsia" w:ascii="宋体" w:hAnsi="宋体" w:cs="黑体"/>
                <w:sz w:val="18"/>
                <w:szCs w:val="18"/>
              </w:rPr>
              <w:t>后面的</w:t>
            </w:r>
            <w:r>
              <w:rPr>
                <w:rFonts w:hint="eastAsia"/>
                <w:sz w:val="18"/>
                <w:szCs w:val="18"/>
              </w:rPr>
              <w:t>章条号依次增加。</w:t>
            </w:r>
          </w:p>
        </w:tc>
        <w:tc>
          <w:tcPr>
            <w:tcW w:w="1701" w:type="dxa"/>
            <w:tcBorders>
              <w:top w:val="single" w:color="auto" w:sz="8" w:space="0"/>
              <w:bottom w:val="single" w:color="auto" w:sz="4" w:space="0"/>
            </w:tcBorders>
            <w:vAlign w:val="center"/>
          </w:tcPr>
          <w:p>
            <w:pPr>
              <w:jc w:val="left"/>
              <w:rPr>
                <w:rFonts w:hint="eastAsia" w:ascii="宋体" w:hAnsi="宋体" w:cs="宋体"/>
                <w:bCs/>
                <w:sz w:val="18"/>
                <w:szCs w:val="18"/>
              </w:rPr>
            </w:pPr>
            <w:r>
              <w:rPr>
                <w:rFonts w:hint="eastAsia" w:ascii="宋体" w:hAnsi="宋体" w:cs="宋体"/>
                <w:sz w:val="18"/>
                <w:szCs w:val="18"/>
              </w:rPr>
              <w:t>中国有色金属工业标准计量质量研究所</w:t>
            </w:r>
          </w:p>
        </w:tc>
        <w:tc>
          <w:tcPr>
            <w:tcW w:w="709" w:type="dxa"/>
            <w:tcBorders>
              <w:top w:val="single" w:color="auto" w:sz="8" w:space="0"/>
              <w:bottom w:val="single" w:color="auto" w:sz="4" w:space="0"/>
            </w:tcBorders>
            <w:vAlign w:val="center"/>
          </w:tcPr>
          <w:p>
            <w:pPr>
              <w:jc w:val="center"/>
              <w:rPr>
                <w:rFonts w:hint="eastAsia" w:ascii="宋体" w:hAnsi="宋体" w:cs="宋体"/>
                <w:bCs/>
                <w:sz w:val="18"/>
                <w:szCs w:val="18"/>
              </w:rPr>
            </w:pPr>
            <w:r>
              <w:rPr>
                <w:rFonts w:hint="eastAsia" w:ascii="宋体" w:hAnsi="宋体" w:cs="宋体"/>
                <w:bCs/>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6</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sz w:val="18"/>
                <w:szCs w:val="18"/>
              </w:rPr>
              <w:t>4.2.9和5.2.8</w:t>
            </w:r>
          </w:p>
        </w:tc>
        <w:tc>
          <w:tcPr>
            <w:tcW w:w="3118" w:type="dxa"/>
            <w:tcBorders>
              <w:top w:val="single" w:color="auto" w:sz="8" w:space="0"/>
              <w:bottom w:val="single" w:color="auto" w:sz="4" w:space="0"/>
            </w:tcBorders>
            <w:vAlign w:val="center"/>
          </w:tcPr>
          <w:p>
            <w:pPr>
              <w:spacing w:line="400" w:lineRule="exact"/>
              <w:rPr>
                <w:rFonts w:hint="eastAsia" w:ascii="宋体" w:hAnsi="宋体" w:cs="宋体"/>
                <w:sz w:val="18"/>
                <w:szCs w:val="18"/>
              </w:rPr>
            </w:pPr>
            <w:r>
              <w:rPr>
                <w:rFonts w:hint="eastAsia"/>
                <w:sz w:val="18"/>
                <w:szCs w:val="18"/>
              </w:rPr>
              <w:t>增加“计算结果保留四位有效数字，</w:t>
            </w:r>
            <w:r>
              <w:rPr>
                <w:rFonts w:ascii="宋体" w:hAnsi="宋体"/>
                <w:sz w:val="18"/>
                <w:szCs w:val="18"/>
              </w:rPr>
              <w:t>数值修约执行GB/T 8170。</w:t>
            </w:r>
            <w:r>
              <w:rPr>
                <w:rFonts w:hint="eastAsia" w:ascii="宋体" w:hAnsi="宋体"/>
                <w:sz w:val="18"/>
                <w:szCs w:val="18"/>
              </w:rPr>
              <w:t>”</w:t>
            </w:r>
          </w:p>
        </w:tc>
        <w:tc>
          <w:tcPr>
            <w:tcW w:w="1701" w:type="dxa"/>
            <w:tcBorders>
              <w:top w:val="single" w:color="auto" w:sz="8" w:space="0"/>
              <w:bottom w:val="single" w:color="auto" w:sz="4" w:space="0"/>
            </w:tcBorders>
            <w:vAlign w:val="center"/>
          </w:tcPr>
          <w:p>
            <w:pPr>
              <w:spacing w:line="240" w:lineRule="atLeast"/>
              <w:jc w:val="left"/>
              <w:rPr>
                <w:rFonts w:hint="eastAsia" w:ascii="宋体" w:hAnsi="宋体" w:cs="宋体"/>
                <w:sz w:val="18"/>
                <w:szCs w:val="18"/>
              </w:rPr>
            </w:pPr>
            <w:r>
              <w:rPr>
                <w:rFonts w:hint="eastAsia" w:ascii="宋体" w:hAnsi="宋体" w:cs="宋体"/>
                <w:sz w:val="18"/>
                <w:szCs w:val="18"/>
              </w:rPr>
              <w:t>北矿检测技术有限公司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7</w:t>
            </w:r>
          </w:p>
        </w:tc>
        <w:tc>
          <w:tcPr>
            <w:tcW w:w="1418" w:type="dxa"/>
            <w:tcBorders>
              <w:top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4.5.2和5.4.2</w:t>
            </w:r>
          </w:p>
        </w:tc>
        <w:tc>
          <w:tcPr>
            <w:tcW w:w="3118" w:type="dxa"/>
            <w:tcBorders>
              <w:top w:val="single" w:color="auto" w:sz="8" w:space="0"/>
              <w:bottom w:val="single" w:color="auto" w:sz="4" w:space="0"/>
            </w:tcBorders>
            <w:vAlign w:val="center"/>
          </w:tcPr>
          <w:p>
            <w:pPr>
              <w:ind w:firstLine="420"/>
              <w:rPr>
                <w:rFonts w:hint="eastAsia" w:ascii="宋体" w:hAnsi="宋体" w:cs="宋体"/>
                <w:sz w:val="18"/>
                <w:szCs w:val="18"/>
              </w:rPr>
            </w:pPr>
            <w:r>
              <w:rPr>
                <w:rFonts w:hint="eastAsia" w:ascii="宋体" w:hAnsi="宋体"/>
                <w:sz w:val="18"/>
                <w:szCs w:val="18"/>
              </w:rPr>
              <w:t>平行试验修改为“平行做两份试验。”</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包头铝业有限公司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8</w:t>
            </w:r>
          </w:p>
        </w:tc>
        <w:tc>
          <w:tcPr>
            <w:tcW w:w="1418" w:type="dxa"/>
            <w:tcBorders>
              <w:top w:val="single" w:color="auto" w:sz="8" w:space="0"/>
              <w:bottom w:val="single" w:color="auto" w:sz="4" w:space="0"/>
            </w:tcBorders>
            <w:vAlign w:val="center"/>
          </w:tcPr>
          <w:p>
            <w:pPr>
              <w:spacing w:beforeLines="50" w:afterLines="50"/>
              <w:jc w:val="center"/>
              <w:rPr>
                <w:rFonts w:hint="eastAsia" w:ascii="宋体" w:hAnsi="宋体"/>
                <w:sz w:val="18"/>
                <w:szCs w:val="18"/>
              </w:rPr>
            </w:pPr>
            <w:r>
              <w:rPr>
                <w:rFonts w:hint="eastAsia" w:ascii="宋体" w:hAnsi="宋体"/>
                <w:sz w:val="18"/>
                <w:szCs w:val="18"/>
              </w:rPr>
              <w:t>4.6.2</w:t>
            </w:r>
          </w:p>
        </w:tc>
        <w:tc>
          <w:tcPr>
            <w:tcW w:w="3118" w:type="dxa"/>
            <w:tcBorders>
              <w:top w:val="single" w:color="auto" w:sz="8" w:space="0"/>
              <w:bottom w:val="single" w:color="auto" w:sz="4" w:space="0"/>
            </w:tcBorders>
            <w:vAlign w:val="center"/>
          </w:tcPr>
          <w:p>
            <w:pPr>
              <w:rPr>
                <w:rFonts w:hint="eastAsia"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ascii="宋体" w:hAnsi="宋体"/>
                <w:sz w:val="18"/>
                <w:szCs w:val="18"/>
              </w:rPr>
              <w:t>计算结果</w:t>
            </w:r>
            <w:r>
              <w:rPr>
                <w:rFonts w:hint="eastAsia" w:ascii="宋体" w:hAnsi="宋体"/>
                <w:sz w:val="18"/>
                <w:szCs w:val="18"/>
              </w:rPr>
              <w:t>保留两</w:t>
            </w:r>
            <w:r>
              <w:rPr>
                <w:rFonts w:ascii="宋体" w:hAnsi="宋体"/>
                <w:sz w:val="18"/>
                <w:szCs w:val="18"/>
              </w:rPr>
              <w:t>位</w:t>
            </w:r>
            <w:r>
              <w:rPr>
                <w:rFonts w:hint="eastAsia" w:ascii="宋体" w:hAnsi="宋体"/>
                <w:sz w:val="18"/>
                <w:szCs w:val="18"/>
              </w:rPr>
              <w:t>有效数字，</w:t>
            </w:r>
            <w:r>
              <w:rPr>
                <w:rFonts w:ascii="宋体" w:hAnsi="宋体"/>
                <w:sz w:val="18"/>
                <w:szCs w:val="18"/>
              </w:rPr>
              <w:t>数值修约执行GB/T 8170。</w:t>
            </w:r>
            <w:r>
              <w:rPr>
                <w:rFonts w:hint="eastAsia" w:ascii="宋体" w:hAnsi="宋体"/>
                <w:sz w:val="18"/>
                <w:szCs w:val="18"/>
              </w:rPr>
              <w:t>”</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sz w:val="18"/>
                <w:szCs w:val="18"/>
              </w:rPr>
              <w:t>中金岭南有色金属股份有限公司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9</w:t>
            </w:r>
          </w:p>
        </w:tc>
        <w:tc>
          <w:tcPr>
            <w:tcW w:w="1418" w:type="dxa"/>
            <w:tcBorders>
              <w:top w:val="single" w:color="auto" w:sz="8" w:space="0"/>
              <w:bottom w:val="single" w:color="auto" w:sz="4" w:space="0"/>
            </w:tcBorders>
            <w:vAlign w:val="center"/>
          </w:tcPr>
          <w:p>
            <w:pPr>
              <w:spacing w:beforeLines="50" w:afterLines="50"/>
              <w:jc w:val="center"/>
              <w:rPr>
                <w:rFonts w:hint="eastAsia" w:ascii="宋体" w:hAnsi="宋体"/>
                <w:sz w:val="18"/>
                <w:szCs w:val="18"/>
              </w:rPr>
            </w:pPr>
            <w:r>
              <w:rPr>
                <w:rFonts w:hint="eastAsia" w:ascii="宋体" w:hAnsi="宋体" w:cs="黑体"/>
                <w:sz w:val="18"/>
                <w:szCs w:val="18"/>
              </w:rPr>
              <w:t>4.6.3</w:t>
            </w:r>
          </w:p>
        </w:tc>
        <w:tc>
          <w:tcPr>
            <w:tcW w:w="3118" w:type="dxa"/>
            <w:tcBorders>
              <w:top w:val="single" w:color="auto" w:sz="8" w:space="0"/>
              <w:bottom w:val="single" w:color="auto" w:sz="4" w:space="0"/>
            </w:tcBorders>
            <w:vAlign w:val="center"/>
          </w:tcPr>
          <w:p>
            <w:pPr>
              <w:rPr>
                <w:rFonts w:hint="eastAsia" w:ascii="宋体" w:hAnsi="宋体"/>
                <w:sz w:val="18"/>
                <w:szCs w:val="18"/>
              </w:rPr>
            </w:pPr>
            <w:r>
              <w:rPr>
                <w:rFonts w:hint="eastAsia" w:ascii="宋体" w:hAnsi="宋体"/>
                <w:sz w:val="18"/>
                <w:szCs w:val="18"/>
              </w:rPr>
              <w:t>新增：</w:t>
            </w:r>
          </w:p>
          <w:p>
            <w:pPr>
              <w:rPr>
                <w:rFonts w:hint="eastAsia" w:ascii="宋体" w:hAnsi="宋体"/>
                <w:sz w:val="18"/>
                <w:szCs w:val="18"/>
              </w:rPr>
            </w:pPr>
            <w:r>
              <w:rPr>
                <w:rFonts w:hint="eastAsia" w:ascii="宋体" w:hAnsi="宋体" w:cs="黑体"/>
                <w:sz w:val="18"/>
                <w:szCs w:val="18"/>
              </w:rPr>
              <w:t xml:space="preserve"> 4.6.3 </w:t>
            </w:r>
            <w:r>
              <w:rPr>
                <w:rFonts w:hint="eastAsia" w:ascii="宋体" w:hAnsi="宋体"/>
                <w:sz w:val="18"/>
                <w:szCs w:val="18"/>
              </w:rPr>
              <w:t>取两次测试结果的平均值。</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sz w:val="18"/>
                <w:szCs w:val="18"/>
              </w:rPr>
              <w:t>中金岭南有色金属股份有限公司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10</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4.5.1、4.7.1、4.7.2、5.4.3.1、5.6.1、5.6.2</w:t>
            </w:r>
          </w:p>
        </w:tc>
        <w:tc>
          <w:tcPr>
            <w:tcW w:w="3118" w:type="dxa"/>
            <w:tcBorders>
              <w:top w:val="single" w:color="auto" w:sz="8" w:space="0"/>
              <w:bottom w:val="single" w:color="auto" w:sz="4" w:space="0"/>
            </w:tcBorders>
            <w:vAlign w:val="center"/>
          </w:tcPr>
          <w:p>
            <w:pPr>
              <w:rPr>
                <w:rFonts w:hint="eastAsia" w:ascii="宋体" w:hAnsi="宋体"/>
                <w:sz w:val="18"/>
                <w:szCs w:val="18"/>
              </w:rPr>
            </w:pPr>
            <w:r>
              <w:rPr>
                <w:rFonts w:hint="eastAsia" w:ascii="宋体" w:hAnsi="宋体"/>
                <w:sz w:val="18"/>
                <w:szCs w:val="18"/>
              </w:rPr>
              <w:t>表格均取消标题</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东北轻合金有限公司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8"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11</w:t>
            </w:r>
          </w:p>
        </w:tc>
        <w:tc>
          <w:tcPr>
            <w:tcW w:w="1418"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4.5.1和5.4.3.1</w:t>
            </w:r>
          </w:p>
        </w:tc>
        <w:tc>
          <w:tcPr>
            <w:tcW w:w="3118" w:type="dxa"/>
            <w:tcBorders>
              <w:top w:val="single" w:color="auto" w:sz="8" w:space="0"/>
              <w:bottom w:val="single" w:color="auto" w:sz="4" w:space="0"/>
            </w:tcBorders>
            <w:vAlign w:val="center"/>
          </w:tcPr>
          <w:p>
            <w:pPr>
              <w:rPr>
                <w:rFonts w:hint="eastAsia" w:ascii="宋体" w:hAnsi="宋体" w:cs="Arial"/>
                <w:color w:val="000000"/>
                <w:sz w:val="18"/>
                <w:szCs w:val="18"/>
              </w:rPr>
            </w:pPr>
            <w:r>
              <w:rPr>
                <w:rFonts w:hint="eastAsia" w:ascii="宋体" w:hAnsi="宋体" w:cs="Arial"/>
                <w:color w:val="000000"/>
                <w:sz w:val="18"/>
                <w:szCs w:val="18"/>
              </w:rPr>
              <w:t>表中“</w:t>
            </w:r>
            <w:r>
              <w:rPr>
                <w:rFonts w:hint="eastAsia" w:ascii="宋体" w:hAnsi="宋体"/>
                <w:sz w:val="18"/>
                <w:szCs w:val="18"/>
              </w:rPr>
              <w:t>≥</w:t>
            </w:r>
            <w:r>
              <w:rPr>
                <w:rFonts w:hint="eastAsia" w:ascii="宋体" w:hAnsi="宋体" w:cs="Arial"/>
                <w:color w:val="000000"/>
                <w:sz w:val="18"/>
                <w:szCs w:val="18"/>
              </w:rPr>
              <w:t>”修改为“</w:t>
            </w:r>
            <w:r>
              <w:rPr>
                <w:rFonts w:hint="eastAsia" w:ascii="宋体" w:hAnsi="宋体"/>
                <w:sz w:val="18"/>
                <w:szCs w:val="18"/>
              </w:rPr>
              <w:t>＞</w:t>
            </w:r>
            <w:r>
              <w:rPr>
                <w:rFonts w:hint="eastAsia" w:ascii="宋体" w:hAnsi="宋体" w:cs="Arial"/>
                <w:color w:val="000000"/>
                <w:sz w:val="18"/>
                <w:szCs w:val="18"/>
              </w:rPr>
              <w:t>”</w:t>
            </w:r>
          </w:p>
        </w:tc>
        <w:tc>
          <w:tcPr>
            <w:tcW w:w="1701" w:type="dxa"/>
            <w:tcBorders>
              <w:top w:val="single" w:color="auto" w:sz="8" w:space="0"/>
              <w:bottom w:val="single" w:color="auto" w:sz="4" w:space="0"/>
            </w:tcBorders>
            <w:vAlign w:val="center"/>
          </w:tcPr>
          <w:p>
            <w:pPr>
              <w:jc w:val="left"/>
              <w:rPr>
                <w:rFonts w:hint="eastAsia" w:ascii="宋体" w:hAnsi="宋体" w:cs="宋体"/>
                <w:sz w:val="18"/>
                <w:szCs w:val="18"/>
              </w:rPr>
            </w:pPr>
            <w:r>
              <w:rPr>
                <w:rFonts w:hint="eastAsia"/>
                <w:sz w:val="18"/>
                <w:szCs w:val="18"/>
              </w:rPr>
              <w:t>中国铝业连城分公司</w:t>
            </w:r>
          </w:p>
        </w:tc>
        <w:tc>
          <w:tcPr>
            <w:tcW w:w="709" w:type="dxa"/>
            <w:tcBorders>
              <w:top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8"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4"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12</w:t>
            </w:r>
          </w:p>
        </w:tc>
        <w:tc>
          <w:tcPr>
            <w:tcW w:w="1418" w:type="dxa"/>
            <w:tcBorders>
              <w:top w:val="single" w:color="auto" w:sz="4"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5.5</w:t>
            </w:r>
            <w:r>
              <w:rPr>
                <w:rFonts w:ascii="宋体" w:hAnsi="宋体"/>
                <w:sz w:val="18"/>
                <w:szCs w:val="18"/>
              </w:rPr>
              <w:t>.2</w:t>
            </w:r>
          </w:p>
        </w:tc>
        <w:tc>
          <w:tcPr>
            <w:tcW w:w="3118" w:type="dxa"/>
            <w:tcBorders>
              <w:top w:val="single" w:color="auto" w:sz="4" w:space="0"/>
              <w:bottom w:val="single" w:color="auto" w:sz="4" w:space="0"/>
            </w:tcBorders>
            <w:vAlign w:val="center"/>
          </w:tcPr>
          <w:p>
            <w:pPr>
              <w:jc w:val="left"/>
              <w:rPr>
                <w:rFonts w:hint="eastAsia" w:ascii="宋体" w:hAnsi="宋体"/>
                <w:sz w:val="18"/>
                <w:szCs w:val="18"/>
              </w:rPr>
            </w:pPr>
            <w:r>
              <w:rPr>
                <w:rFonts w:hint="eastAsia" w:ascii="宋体" w:hAnsi="宋体"/>
                <w:sz w:val="18"/>
                <w:szCs w:val="18"/>
              </w:rPr>
              <w:t>修改为“</w:t>
            </w:r>
            <w:r>
              <w:rPr>
                <w:rFonts w:hint="eastAsia"/>
                <w:sz w:val="18"/>
                <w:szCs w:val="18"/>
              </w:rPr>
              <w:t>计算结果保留小数点后两位</w:t>
            </w:r>
            <w:r>
              <w:rPr>
                <w:rFonts w:hint="eastAsia" w:ascii="宋体" w:hAnsi="宋体"/>
                <w:sz w:val="18"/>
                <w:szCs w:val="18"/>
              </w:rPr>
              <w:t>，</w:t>
            </w:r>
            <w:r>
              <w:rPr>
                <w:rFonts w:ascii="宋体" w:hAnsi="宋体"/>
                <w:sz w:val="18"/>
                <w:szCs w:val="18"/>
              </w:rPr>
              <w:t>数值修约执行GB/T 8170。</w:t>
            </w:r>
            <w:r>
              <w:rPr>
                <w:rFonts w:hint="eastAsia" w:ascii="宋体" w:hAnsi="宋体"/>
                <w:sz w:val="18"/>
                <w:szCs w:val="18"/>
              </w:rPr>
              <w:t>”</w:t>
            </w:r>
          </w:p>
        </w:tc>
        <w:tc>
          <w:tcPr>
            <w:tcW w:w="1701" w:type="dxa"/>
            <w:tcBorders>
              <w:top w:val="single" w:color="auto" w:sz="4" w:space="0"/>
              <w:bottom w:val="single" w:color="auto" w:sz="4" w:space="0"/>
            </w:tcBorders>
            <w:vAlign w:val="center"/>
          </w:tcPr>
          <w:p>
            <w:pPr>
              <w:jc w:val="left"/>
              <w:rPr>
                <w:rFonts w:hint="eastAsia" w:ascii="宋体" w:hAnsi="宋体" w:cs="宋体"/>
                <w:sz w:val="18"/>
                <w:szCs w:val="18"/>
              </w:rPr>
            </w:pPr>
            <w:r>
              <w:rPr>
                <w:rFonts w:hint="eastAsia"/>
                <w:sz w:val="18"/>
                <w:szCs w:val="18"/>
              </w:rPr>
              <w:t>焦作万方铝业有限公司</w:t>
            </w:r>
          </w:p>
        </w:tc>
        <w:tc>
          <w:tcPr>
            <w:tcW w:w="709"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4"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4"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13</w:t>
            </w:r>
          </w:p>
        </w:tc>
        <w:tc>
          <w:tcPr>
            <w:tcW w:w="1418" w:type="dxa"/>
            <w:tcBorders>
              <w:top w:val="single" w:color="auto" w:sz="4" w:space="0"/>
              <w:bottom w:val="single" w:color="auto" w:sz="4" w:space="0"/>
            </w:tcBorders>
            <w:vAlign w:val="center"/>
          </w:tcPr>
          <w:p>
            <w:pPr>
              <w:jc w:val="center"/>
              <w:rPr>
                <w:rFonts w:hint="eastAsia" w:ascii="宋体" w:hAnsi="宋体"/>
                <w:sz w:val="18"/>
                <w:szCs w:val="18"/>
              </w:rPr>
            </w:pPr>
            <w:r>
              <w:rPr>
                <w:rFonts w:hint="eastAsia" w:ascii="宋体" w:hAnsi="宋体"/>
                <w:sz w:val="18"/>
                <w:szCs w:val="18"/>
              </w:rPr>
              <w:t>5.5</w:t>
            </w:r>
            <w:r>
              <w:rPr>
                <w:rFonts w:ascii="宋体" w:hAnsi="宋体"/>
                <w:sz w:val="18"/>
                <w:szCs w:val="18"/>
              </w:rPr>
              <w:t>.</w:t>
            </w:r>
            <w:r>
              <w:rPr>
                <w:rFonts w:hint="eastAsia" w:ascii="宋体" w:hAnsi="宋体"/>
                <w:sz w:val="18"/>
                <w:szCs w:val="18"/>
              </w:rPr>
              <w:t>3</w:t>
            </w:r>
          </w:p>
        </w:tc>
        <w:tc>
          <w:tcPr>
            <w:tcW w:w="3118" w:type="dxa"/>
            <w:tcBorders>
              <w:top w:val="single" w:color="auto" w:sz="4" w:space="0"/>
              <w:bottom w:val="single" w:color="auto" w:sz="4" w:space="0"/>
            </w:tcBorders>
            <w:vAlign w:val="center"/>
          </w:tcPr>
          <w:p>
            <w:pPr>
              <w:rPr>
                <w:rFonts w:hint="eastAsia" w:ascii="宋体" w:hAnsi="宋体"/>
                <w:sz w:val="18"/>
                <w:szCs w:val="18"/>
              </w:rPr>
            </w:pPr>
            <w:r>
              <w:rPr>
                <w:rFonts w:hint="eastAsia" w:ascii="宋体" w:hAnsi="宋体"/>
                <w:sz w:val="18"/>
                <w:szCs w:val="18"/>
              </w:rPr>
              <w:t>新增：</w:t>
            </w:r>
          </w:p>
          <w:p>
            <w:pPr>
              <w:rPr>
                <w:rFonts w:hint="eastAsia" w:ascii="宋体" w:hAnsi="宋体"/>
                <w:sz w:val="18"/>
                <w:szCs w:val="18"/>
              </w:rPr>
            </w:pPr>
            <w:r>
              <w:rPr>
                <w:rFonts w:hint="eastAsia" w:ascii="宋体" w:hAnsi="宋体"/>
                <w:sz w:val="18"/>
                <w:szCs w:val="18"/>
              </w:rPr>
              <w:t xml:space="preserve">5.5.3 </w:t>
            </w:r>
            <w:r>
              <w:rPr>
                <w:rFonts w:ascii="宋体" w:hAnsi="宋体"/>
                <w:sz w:val="18"/>
                <w:szCs w:val="18"/>
              </w:rPr>
              <w:t xml:space="preserve"> </w:t>
            </w:r>
            <w:r>
              <w:rPr>
                <w:rFonts w:hint="eastAsia" w:ascii="宋体" w:hAnsi="宋体"/>
                <w:sz w:val="18"/>
                <w:szCs w:val="18"/>
              </w:rPr>
              <w:t>取两次测试结果的平均值。</w:t>
            </w:r>
          </w:p>
        </w:tc>
        <w:tc>
          <w:tcPr>
            <w:tcW w:w="1701" w:type="dxa"/>
            <w:tcBorders>
              <w:top w:val="single" w:color="auto" w:sz="4" w:space="0"/>
              <w:bottom w:val="single" w:color="auto" w:sz="4" w:space="0"/>
            </w:tcBorders>
            <w:vAlign w:val="center"/>
          </w:tcPr>
          <w:p>
            <w:pPr>
              <w:jc w:val="left"/>
              <w:rPr>
                <w:rFonts w:hint="eastAsia" w:ascii="宋体" w:hAnsi="宋体" w:cs="宋体"/>
                <w:sz w:val="18"/>
                <w:szCs w:val="18"/>
              </w:rPr>
            </w:pPr>
            <w:r>
              <w:rPr>
                <w:rFonts w:hint="eastAsia"/>
                <w:sz w:val="18"/>
                <w:szCs w:val="18"/>
              </w:rPr>
              <w:t>焦作万方铝业有限公司</w:t>
            </w:r>
          </w:p>
        </w:tc>
        <w:tc>
          <w:tcPr>
            <w:tcW w:w="709"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4" w:space="0"/>
              <w:bottom w:val="single" w:color="auto" w:sz="4" w:space="0"/>
            </w:tcBorders>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4"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14</w:t>
            </w:r>
          </w:p>
        </w:tc>
        <w:tc>
          <w:tcPr>
            <w:tcW w:w="1418"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5.6</w:t>
            </w:r>
          </w:p>
        </w:tc>
        <w:tc>
          <w:tcPr>
            <w:tcW w:w="3118" w:type="dxa"/>
            <w:tcBorders>
              <w:top w:val="single" w:color="auto" w:sz="4" w:space="0"/>
              <w:bottom w:val="single" w:color="auto" w:sz="4" w:space="0"/>
            </w:tcBorders>
            <w:vAlign w:val="center"/>
          </w:tcPr>
          <w:p>
            <w:pPr>
              <w:rPr>
                <w:rFonts w:hint="eastAsia" w:ascii="宋体" w:hAnsi="宋体" w:cs="宋体"/>
                <w:sz w:val="18"/>
                <w:szCs w:val="18"/>
              </w:rPr>
            </w:pPr>
            <w:r>
              <w:rPr>
                <w:rFonts w:hint="eastAsia" w:ascii="宋体" w:hAnsi="宋体" w:cs="宋体"/>
                <w:bCs/>
                <w:sz w:val="18"/>
                <w:szCs w:val="18"/>
              </w:rPr>
              <w:t>完善精密度数据，补充试验数据。</w:t>
            </w:r>
          </w:p>
        </w:tc>
        <w:tc>
          <w:tcPr>
            <w:tcW w:w="1701" w:type="dxa"/>
            <w:tcBorders>
              <w:top w:val="single" w:color="auto" w:sz="4" w:space="0"/>
              <w:bottom w:val="single" w:color="auto" w:sz="4" w:space="0"/>
            </w:tcBorders>
            <w:vAlign w:val="center"/>
          </w:tcPr>
          <w:p>
            <w:pPr>
              <w:spacing w:line="240" w:lineRule="atLeast"/>
              <w:jc w:val="left"/>
              <w:rPr>
                <w:rFonts w:hint="eastAsia" w:ascii="宋体" w:hAnsi="宋体" w:cs="宋体"/>
                <w:sz w:val="18"/>
                <w:szCs w:val="18"/>
              </w:rPr>
            </w:pPr>
            <w:r>
              <w:rPr>
                <w:rFonts w:hint="eastAsia" w:ascii="宋体" w:hAnsi="宋体"/>
                <w:sz w:val="18"/>
                <w:szCs w:val="18"/>
              </w:rPr>
              <w:t>中金岭南有色金属股份有限公司</w:t>
            </w:r>
          </w:p>
        </w:tc>
        <w:tc>
          <w:tcPr>
            <w:tcW w:w="709"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4" w:space="0"/>
              <w:bottom w:val="single" w:color="auto" w:sz="4" w:space="0"/>
            </w:tcBorders>
            <w:vAlign w:val="center"/>
          </w:tcPr>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5" w:type="dxa"/>
            <w:tcBorders>
              <w:top w:val="single" w:color="auto" w:sz="4" w:space="0"/>
              <w:left w:val="single" w:color="auto" w:sz="8"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15</w:t>
            </w:r>
          </w:p>
        </w:tc>
        <w:tc>
          <w:tcPr>
            <w:tcW w:w="1418"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文本格式</w:t>
            </w:r>
          </w:p>
        </w:tc>
        <w:tc>
          <w:tcPr>
            <w:tcW w:w="3118" w:type="dxa"/>
            <w:tcBorders>
              <w:top w:val="single" w:color="auto" w:sz="4" w:space="0"/>
              <w:bottom w:val="single" w:color="auto" w:sz="4" w:space="0"/>
            </w:tcBorders>
            <w:vAlign w:val="center"/>
          </w:tcPr>
          <w:p>
            <w:pPr>
              <w:rPr>
                <w:rFonts w:hint="eastAsia" w:ascii="宋体" w:hAnsi="宋体" w:cs="宋体"/>
                <w:sz w:val="18"/>
                <w:szCs w:val="18"/>
              </w:rPr>
            </w:pPr>
            <w:r>
              <w:rPr>
                <w:rFonts w:hint="eastAsia" w:ascii="宋体" w:hAnsi="宋体" w:cs="宋体"/>
                <w:sz w:val="18"/>
                <w:szCs w:val="18"/>
              </w:rPr>
              <w:t>严格按照最新国家标准编写规范撰写。</w:t>
            </w:r>
          </w:p>
        </w:tc>
        <w:tc>
          <w:tcPr>
            <w:tcW w:w="1701" w:type="dxa"/>
            <w:tcBorders>
              <w:top w:val="single" w:color="auto" w:sz="4" w:space="0"/>
              <w:bottom w:val="single" w:color="auto" w:sz="4" w:space="0"/>
            </w:tcBorders>
            <w:vAlign w:val="center"/>
          </w:tcPr>
          <w:p>
            <w:pPr>
              <w:jc w:val="left"/>
              <w:rPr>
                <w:rFonts w:hint="eastAsia" w:ascii="宋体" w:hAnsi="宋体" w:cs="宋体"/>
                <w:sz w:val="18"/>
                <w:szCs w:val="18"/>
              </w:rPr>
            </w:pPr>
            <w:r>
              <w:rPr>
                <w:rFonts w:hint="eastAsia" w:ascii="宋体" w:hAnsi="宋体" w:cs="宋体"/>
                <w:sz w:val="18"/>
                <w:szCs w:val="18"/>
              </w:rPr>
              <w:t>中国有色金属工业标准计量质量研究所</w:t>
            </w:r>
          </w:p>
        </w:tc>
        <w:tc>
          <w:tcPr>
            <w:tcW w:w="709" w:type="dxa"/>
            <w:tcBorders>
              <w:top w:val="single" w:color="auto" w:sz="4" w:space="0"/>
              <w:bottom w:val="single" w:color="auto" w:sz="4" w:space="0"/>
            </w:tcBorders>
            <w:vAlign w:val="center"/>
          </w:tcPr>
          <w:p>
            <w:pPr>
              <w:jc w:val="center"/>
              <w:rPr>
                <w:rFonts w:hint="eastAsia" w:ascii="宋体" w:hAnsi="宋体" w:cs="宋体"/>
                <w:sz w:val="18"/>
                <w:szCs w:val="18"/>
              </w:rPr>
            </w:pPr>
            <w:r>
              <w:rPr>
                <w:rFonts w:hint="eastAsia" w:ascii="宋体" w:hAnsi="宋体" w:cs="宋体"/>
                <w:sz w:val="18"/>
                <w:szCs w:val="18"/>
              </w:rPr>
              <w:t>采纳</w:t>
            </w:r>
          </w:p>
        </w:tc>
        <w:tc>
          <w:tcPr>
            <w:tcW w:w="676" w:type="dxa"/>
            <w:tcBorders>
              <w:top w:val="single" w:color="auto" w:sz="4" w:space="0"/>
              <w:bottom w:val="single" w:color="auto" w:sz="4" w:space="0"/>
            </w:tcBorders>
            <w:vAlign w:val="center"/>
          </w:tcPr>
          <w:p>
            <w:pPr>
              <w:jc w:val="center"/>
              <w:rPr>
                <w:rFonts w:hint="eastAsia"/>
                <w:sz w:val="18"/>
                <w:szCs w:val="18"/>
              </w:rPr>
            </w:pPr>
          </w:p>
        </w:tc>
      </w:tr>
    </w:tbl>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2018年10月至2019年6月，标准编制小组与</w:t>
      </w:r>
      <w:r>
        <w:rPr>
          <w:rFonts w:hint="eastAsia" w:ascii="宋体" w:hAnsi="宋体"/>
        </w:rPr>
        <w:t>贵州省分析测试研究院、长沙矿冶研究院有限责任公司等验证单位</w:t>
      </w:r>
      <w:r>
        <w:rPr>
          <w:rFonts w:hint="eastAsia" w:ascii="宋体" w:hAnsi="宋体"/>
          <w:szCs w:val="21"/>
        </w:rPr>
        <w:t>联系，对标准进行复验和复核验证，</w:t>
      </w:r>
      <w:r>
        <w:rPr>
          <w:rFonts w:hint="eastAsia" w:ascii="宋体" w:hAnsi="宋体"/>
        </w:rPr>
        <w:t>起草项目组汇总上述意见和建议，</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rPr>
        <w:t>贵州省分析测试研究院、长沙矿冶研究院有限责任公司</w:t>
      </w:r>
      <w:r>
        <w:rPr>
          <w:rFonts w:hint="eastAsia" w:hAnsi="宋体"/>
          <w:szCs w:val="21"/>
        </w:rPr>
        <w:t>等单位的复验、复核结果，以及征求意见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tabs>
          <w:tab w:val="left" w:pos="540"/>
        </w:tabs>
        <w:adjustRightInd w:val="0"/>
        <w:snapToGrid w:val="0"/>
        <w:spacing w:beforeLines="50" w:afterLines="50" w:line="360" w:lineRule="auto"/>
        <w:rPr>
          <w:rFonts w:ascii="黑体" w:hAnsi="黑体" w:eastAsia="黑体"/>
          <w:sz w:val="24"/>
        </w:rPr>
      </w:pPr>
      <w:r>
        <w:rPr>
          <w:rFonts w:hint="eastAsia" w:ascii="黑体" w:hAnsi="宋体" w:eastAsia="黑体"/>
          <w:sz w:val="24"/>
        </w:rPr>
        <w:t>三、</w:t>
      </w:r>
      <w:r>
        <w:rPr>
          <w:rFonts w:hint="eastAsia" w:ascii="黑体" w:hAnsi="黑体" w:eastAsia="黑体"/>
          <w:sz w:val="24"/>
        </w:rPr>
        <w:t>标准的编制原则</w:t>
      </w:r>
    </w:p>
    <w:p>
      <w:pPr>
        <w:spacing w:line="360" w:lineRule="auto"/>
        <w:rPr>
          <w:rFonts w:ascii="宋体" w:hAnsi="宋体" w:cs="宋体"/>
          <w:szCs w:val="21"/>
        </w:rPr>
      </w:pPr>
      <w:r>
        <w:rPr>
          <w:rFonts w:hint="eastAsia" w:ascii="黑体" w:hAnsi="黑体" w:eastAsia="黑体" w:cs="宋体"/>
          <w:szCs w:val="21"/>
        </w:rPr>
        <w:t>1、</w:t>
      </w:r>
      <w:r>
        <w:rPr>
          <w:rFonts w:hint="eastAsia" w:ascii="宋体" w:hAnsi="宋体" w:cs="宋体"/>
          <w:szCs w:val="21"/>
        </w:rPr>
        <w:t xml:space="preserve">符合性：该标准按照GB/T 1.1—2009《标准化工作导则 第1部分：标准的结构和编写》、GB/T </w:t>
      </w:r>
      <w:r>
        <w:rPr>
          <w:rFonts w:ascii="宋体" w:hAnsi="宋体" w:cs="宋体"/>
          <w:szCs w:val="21"/>
        </w:rPr>
        <w:t>20001.4-2015</w:t>
      </w:r>
      <w:r>
        <w:rPr>
          <w:rFonts w:hint="eastAsia" w:ascii="宋体" w:hAnsi="宋体" w:cs="宋体"/>
          <w:szCs w:val="21"/>
        </w:rPr>
        <w:t>《标准编写规则 第4部分：试验方法标准》的要求对本部分进行了编写。</w:t>
      </w:r>
    </w:p>
    <w:p>
      <w:pPr>
        <w:spacing w:line="360" w:lineRule="auto"/>
        <w:rPr>
          <w:rFonts w:ascii="宋体" w:hAnsi="宋体" w:cs="宋体"/>
          <w:szCs w:val="21"/>
        </w:rPr>
      </w:pPr>
      <w:r>
        <w:rPr>
          <w:rFonts w:hint="eastAsia" w:ascii="黑体" w:hAnsi="黑体" w:eastAsia="黑体" w:cs="宋体"/>
          <w:szCs w:val="21"/>
        </w:rPr>
        <w:t>2、</w:t>
      </w:r>
      <w:r>
        <w:rPr>
          <w:rFonts w:hint="eastAsia" w:ascii="宋体" w:hAnsi="宋体" w:cs="宋体"/>
          <w:szCs w:val="21"/>
        </w:rPr>
        <w:t>合理性：</w:t>
      </w:r>
      <w:r>
        <w:rPr>
          <w:rFonts w:ascii="宋体" w:hAnsi="宋体"/>
          <w:szCs w:val="21"/>
        </w:rPr>
        <w:t>以满足我国</w:t>
      </w:r>
      <w:r>
        <w:rPr>
          <w:rFonts w:hint="eastAsia" w:ascii="Times New Roman" w:hAnsi="宋体" w:cs="宋体"/>
        </w:rPr>
        <w:t>铝及铝合金产品</w:t>
      </w:r>
      <w:r>
        <w:rPr>
          <w:rFonts w:ascii="宋体" w:hAnsi="宋体"/>
          <w:szCs w:val="21"/>
        </w:rPr>
        <w:t>实际生产和使用的需要为原则</w:t>
      </w:r>
      <w:r>
        <w:rPr>
          <w:rFonts w:hint="eastAsia" w:ascii="宋体" w:hAnsi="宋体"/>
          <w:szCs w:val="21"/>
        </w:rPr>
        <w:t>，</w:t>
      </w:r>
      <w:r>
        <w:rPr>
          <w:rFonts w:ascii="宋体" w:hAnsi="宋体"/>
          <w:szCs w:val="21"/>
        </w:rPr>
        <w:t>与实际相结合</w:t>
      </w:r>
      <w:r>
        <w:rPr>
          <w:rFonts w:hint="eastAsia" w:ascii="宋体" w:hAnsi="宋体"/>
          <w:szCs w:val="21"/>
        </w:rPr>
        <w:t>，</w:t>
      </w:r>
      <w:r>
        <w:rPr>
          <w:rFonts w:ascii="宋体" w:hAnsi="宋体"/>
          <w:szCs w:val="21"/>
        </w:rPr>
        <w:t>提高标准的适用性。</w:t>
      </w:r>
      <w:r>
        <w:rPr>
          <w:rFonts w:hint="eastAsia" w:ascii="宋体" w:hAnsi="宋体" w:cs="宋体"/>
          <w:szCs w:val="21"/>
        </w:rPr>
        <w:t>反映当前国内各生产企业的技术水平，宜于应用，经济上合理，兼顾现有资源的合理配置，提高了标准的可操作性。</w:t>
      </w:r>
    </w:p>
    <w:p>
      <w:pPr>
        <w:spacing w:line="360" w:lineRule="auto"/>
        <w:rPr>
          <w:rFonts w:ascii="宋体" w:hAnsi="宋体" w:cs="宋体"/>
          <w:szCs w:val="21"/>
        </w:rPr>
      </w:pPr>
      <w:r>
        <w:rPr>
          <w:rFonts w:hint="eastAsia" w:ascii="黑体" w:hAnsi="黑体" w:eastAsia="黑体" w:cs="宋体"/>
          <w:szCs w:val="21"/>
        </w:rPr>
        <w:t>3、</w:t>
      </w:r>
      <w:r>
        <w:rPr>
          <w:rFonts w:hint="eastAsia" w:ascii="宋体" w:hAnsi="宋体" w:cs="宋体"/>
          <w:szCs w:val="21"/>
        </w:rPr>
        <w:t>先进性：该方法操作</w:t>
      </w:r>
      <w:r>
        <w:rPr>
          <w:rFonts w:ascii="宋体" w:hAnsi="宋体" w:cs="宋体"/>
          <w:szCs w:val="21"/>
        </w:rPr>
        <w:t>简</w:t>
      </w:r>
      <w:r>
        <w:rPr>
          <w:rFonts w:hint="eastAsia" w:ascii="宋体" w:hAnsi="宋体" w:cs="宋体"/>
          <w:szCs w:val="21"/>
        </w:rPr>
        <w:t>便</w:t>
      </w:r>
      <w:r>
        <w:rPr>
          <w:rFonts w:ascii="宋体" w:hAnsi="宋体" w:cs="宋体"/>
          <w:szCs w:val="21"/>
        </w:rPr>
        <w:t>，</w:t>
      </w:r>
      <w:r>
        <w:rPr>
          <w:rFonts w:hint="eastAsia" w:ascii="宋体" w:hAnsi="宋体" w:cs="宋体"/>
          <w:szCs w:val="21"/>
        </w:rPr>
        <w:t>系统稳定，工作效率高，精密度和准确度好，</w:t>
      </w:r>
      <w:r>
        <w:rPr>
          <w:rFonts w:ascii="宋体" w:hAnsi="宋体" w:cs="宋体"/>
          <w:szCs w:val="21"/>
        </w:rPr>
        <w:t>能很好</w:t>
      </w:r>
      <w:r>
        <w:rPr>
          <w:rFonts w:hint="eastAsia" w:ascii="宋体" w:hAnsi="宋体" w:cs="宋体"/>
          <w:szCs w:val="21"/>
        </w:rPr>
        <w:t>地满足产品的需要</w:t>
      </w:r>
      <w:r>
        <w:rPr>
          <w:rFonts w:hint="eastAsia" w:hAnsi="宋体"/>
          <w:kern w:val="1"/>
          <w:szCs w:val="21"/>
        </w:rPr>
        <w:t>。</w:t>
      </w:r>
    </w:p>
    <w:p>
      <w:pPr>
        <w:pStyle w:val="2"/>
        <w:keepNext w:val="0"/>
        <w:spacing w:beforeLines="50" w:afterLines="50" w:line="360" w:lineRule="auto"/>
        <w:jc w:val="left"/>
        <w:rPr>
          <w:rFonts w:ascii="黑体" w:hAnsi="黑体" w:eastAsia="黑体"/>
          <w:sz w:val="24"/>
        </w:rPr>
      </w:pPr>
      <w:r>
        <w:rPr>
          <w:rFonts w:hint="eastAsia" w:ascii="黑体" w:hAnsi="黑体" w:eastAsia="黑体"/>
          <w:sz w:val="24"/>
        </w:rPr>
        <w:t>四、确定标准主要内容的依据</w:t>
      </w:r>
    </w:p>
    <w:p>
      <w:pPr>
        <w:spacing w:beforeLines="50" w:afterLines="50" w:line="360" w:lineRule="auto"/>
        <w:rPr>
          <w:rFonts w:ascii="宋体" w:hAnsi="宋体" w:eastAsia="黑体"/>
          <w:sz w:val="24"/>
        </w:rPr>
      </w:pPr>
      <w:r>
        <w:rPr>
          <w:rFonts w:hint="eastAsia" w:ascii="黑体" w:hAnsi="黑体" w:eastAsia="黑体"/>
          <w:sz w:val="24"/>
        </w:rPr>
        <w:t>方法一：二甲酚橙分光光度法研究过程</w:t>
      </w:r>
    </w:p>
    <w:p>
      <w:pPr>
        <w:spacing w:line="360" w:lineRule="auto"/>
        <w:rPr>
          <w:rFonts w:ascii="黑体" w:hAnsi="宋体" w:eastAsia="黑体"/>
          <w:szCs w:val="21"/>
        </w:rPr>
      </w:pPr>
      <w:r>
        <w:rPr>
          <w:rFonts w:hint="eastAsia" w:ascii="黑体" w:hAnsi="宋体" w:eastAsia="黑体"/>
          <w:szCs w:val="21"/>
        </w:rPr>
        <w:t>3.1 测定范围的选择</w:t>
      </w:r>
    </w:p>
    <w:p>
      <w:pPr>
        <w:spacing w:line="360" w:lineRule="auto"/>
        <w:ind w:firstLine="420"/>
        <w:rPr>
          <w:rFonts w:ascii="宋体" w:hAnsi="宋体"/>
          <w:szCs w:val="21"/>
        </w:rPr>
      </w:pPr>
      <w:r>
        <w:rPr>
          <w:rFonts w:hint="eastAsia" w:ascii="宋体" w:hAnsi="宋体"/>
          <w:szCs w:val="21"/>
        </w:rPr>
        <w:t>GB/T 20975.19-2008《铝及铝合金化学分析方法 第19部分：锆含量的测定》中“方法一：</w:t>
      </w:r>
      <w:r>
        <w:rPr>
          <w:rFonts w:hint="eastAsia"/>
          <w:szCs w:val="21"/>
        </w:rPr>
        <w:t>二甲酚橙分光光度法</w:t>
      </w:r>
      <w:r>
        <w:rPr>
          <w:rFonts w:hint="eastAsia" w:ascii="宋体" w:hAnsi="宋体"/>
          <w:szCs w:val="21"/>
        </w:rPr>
        <w:t>”规定锆的测定范围为0.040%～0.50%，能够满足标准颁布实施当时各种牌号铝及铝合金中锆含量分析需求。此次标准起草中，项目小组经过查询GB/T 8733－2016《铸造铝合金锭》、GB/T 3190－201X《变形铝及铝合金化学成分》、GB/T 1196－2017《重熔用铝锭》、YS/T 275－2008《高纯铝》、YS/T 665－2009《重熔用精铝锭》等相关铝及铝合金产品标准，发现在GB/T 3190－201X《变形铝及铝合金化学成分》中“8A07” 规定锆的质量分数要求为0.01%～0.50%、“2004”规定锆的质量分数要求为0.30%～0.50%、“211Z.1”规定锆的质量分数要求为0.05%～0.50%、“8077”规定锆的质量分数要求为0.02%～0.08%，为了满足上述牌号中测定锆含量的要求，将锆的测定范围定为0.01%～1.0%。</w:t>
      </w:r>
    </w:p>
    <w:p>
      <w:pPr>
        <w:spacing w:line="360" w:lineRule="auto"/>
        <w:rPr>
          <w:rFonts w:ascii="黑体" w:hAnsi="宋体" w:eastAsia="黑体"/>
          <w:szCs w:val="21"/>
        </w:rPr>
      </w:pPr>
      <w:r>
        <w:rPr>
          <w:rFonts w:hint="eastAsia" w:ascii="黑体" w:hAnsi="宋体" w:eastAsia="黑体"/>
          <w:szCs w:val="21"/>
        </w:rPr>
        <w:t>3.2共存离子的影响</w:t>
      </w:r>
    </w:p>
    <w:p>
      <w:pPr>
        <w:spacing w:line="360" w:lineRule="auto"/>
        <w:ind w:firstLine="420" w:firstLineChars="200"/>
        <w:rPr>
          <w:rFonts w:ascii="宋体" w:hAnsi="宋体"/>
          <w:szCs w:val="21"/>
        </w:rPr>
      </w:pPr>
      <w:r>
        <w:rPr>
          <w:rFonts w:hint="eastAsia" w:ascii="宋体" w:hAnsi="宋体"/>
          <w:szCs w:val="21"/>
        </w:rPr>
        <w:t>标准起草项目组通过对GB/T 8733－2016《铸造铝合金锭》、GB/T 3190－201X《变形铝及铝合金化学成分》、GB/T 1196－2017《重熔用铝锭》、YS/T 275－2008《高纯铝》、YS/T 665－2009《重熔用精铝锭》等相关铝及铝合金产品标准中分析检测锆含量的牌号进行查对，在不考虑高含量Si对锆元素的干扰时，方法需要考虑的铝及铝合金牌号为：16%Ti（AlTi15）对Zr（0.20%）的影响；11%Mg（520Z.1）对Zr（0.20%）的影响；8.4%Zn（7255）对Zr（0.10%）的影响；7.5%Cu（211Z.1）对Zr（0.05%）的影响；5.0%RE（907Z.1）对Zr（0.15%）的影响；4.2%Li（8024）对Zr（0.08%）的影响；1.8%Mn（3009）对Zr（0.05%）的影响；1.4%Ni（2618A）对Zr（0.05%）的影响；1.5%Bi（6065）对Zr（0.15%）的影响；0.7%Ag（2016）对Zr（0.10%）的影响；0.5%Cd（211Z.1）对Zr（0.05%）的影响等11种情况。按照GB/T 20975.19-2008《铝及铝合金化学分析方法 第19部分：锆含量的测定》</w:t>
      </w:r>
      <w:r>
        <w:rPr>
          <w:rFonts w:hint="eastAsia" w:ascii="宋体" w:hAnsi="宋体"/>
          <w:bCs/>
          <w:color w:val="000000"/>
          <w:szCs w:val="21"/>
        </w:rPr>
        <w:t>中的规定，不同锆含量采取不同的称样量，见表1。</w:t>
      </w:r>
      <w:r>
        <w:rPr>
          <w:rFonts w:hint="eastAsia" w:ascii="宋体" w:hAnsi="宋体"/>
          <w:szCs w:val="21"/>
        </w:rPr>
        <w:t>按照表1计算的共存元素最大加入量见表2。</w:t>
      </w:r>
    </w:p>
    <w:p>
      <w:pPr>
        <w:jc w:val="center"/>
        <w:rPr>
          <w:rFonts w:ascii="宋体" w:hAnsi="宋体"/>
          <w:bCs/>
          <w:color w:val="000000"/>
          <w:szCs w:val="21"/>
        </w:rPr>
      </w:pPr>
      <w:r>
        <w:rPr>
          <w:rFonts w:hint="eastAsia" w:ascii="宋体" w:hAnsi="宋体"/>
          <w:bCs/>
          <w:color w:val="000000"/>
          <w:szCs w:val="21"/>
        </w:rPr>
        <w:t>表1</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锆的质量分数/%</w:t>
            </w:r>
          </w:p>
        </w:tc>
        <w:tc>
          <w:tcPr>
            <w:tcW w:w="4066" w:type="dxa"/>
          </w:tcPr>
          <w:p>
            <w:pPr>
              <w:jc w:val="center"/>
              <w:rPr>
                <w:rFonts w:ascii="宋体" w:hAnsi="宋体"/>
                <w:bCs/>
                <w:color w:val="000000"/>
                <w:szCs w:val="21"/>
              </w:rPr>
            </w:pPr>
            <w:r>
              <w:rPr>
                <w:rFonts w:hint="eastAsia" w:ascii="宋体" w:hAnsi="宋体"/>
                <w:bCs/>
                <w:color w:val="000000"/>
                <w:szCs w:val="21"/>
              </w:rPr>
              <w:t>试料量/g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0.010～0.050</w:t>
            </w:r>
          </w:p>
        </w:tc>
        <w:tc>
          <w:tcPr>
            <w:tcW w:w="4066" w:type="dxa"/>
          </w:tcPr>
          <w:p>
            <w:pPr>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＞0.050～0.50</w:t>
            </w:r>
          </w:p>
        </w:tc>
        <w:tc>
          <w:tcPr>
            <w:tcW w:w="4066" w:type="dxa"/>
          </w:tcPr>
          <w:p>
            <w:pPr>
              <w:jc w:val="center"/>
              <w:rPr>
                <w:rFonts w:ascii="宋体" w:hAnsi="宋体"/>
                <w:color w:val="000000"/>
                <w:szCs w:val="21"/>
              </w:rPr>
            </w:pPr>
            <w:r>
              <w:rPr>
                <w:rFonts w:hint="eastAsia" w:ascii="宋体" w:hAnsi="宋体"/>
                <w:color w:val="00000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vAlign w:val="center"/>
          </w:tcPr>
          <w:p>
            <w:pPr>
              <w:jc w:val="center"/>
              <w:rPr>
                <w:rFonts w:ascii="宋体" w:hAnsi="宋体"/>
                <w:szCs w:val="21"/>
              </w:rPr>
            </w:pPr>
            <w:r>
              <w:rPr>
                <w:rFonts w:hint="eastAsia" w:ascii="宋体" w:hAnsi="宋体"/>
                <w:szCs w:val="21"/>
              </w:rPr>
              <w:t>＞0.50～1.0</w:t>
            </w:r>
          </w:p>
        </w:tc>
        <w:tc>
          <w:tcPr>
            <w:tcW w:w="4066" w:type="dxa"/>
          </w:tcPr>
          <w:p>
            <w:pPr>
              <w:jc w:val="center"/>
              <w:rPr>
                <w:rFonts w:ascii="宋体" w:hAnsi="宋体"/>
                <w:color w:val="000000"/>
                <w:szCs w:val="21"/>
              </w:rPr>
            </w:pPr>
            <w:r>
              <w:rPr>
                <w:rFonts w:hint="eastAsia" w:ascii="宋体" w:hAnsi="宋体"/>
                <w:color w:val="000000"/>
                <w:szCs w:val="21"/>
              </w:rPr>
              <w:t>0.25</w:t>
            </w:r>
          </w:p>
        </w:tc>
      </w:tr>
    </w:tbl>
    <w:p>
      <w:pPr>
        <w:jc w:val="center"/>
        <w:rPr>
          <w:rFonts w:ascii="宋体" w:hAnsi="宋体"/>
          <w:bCs/>
          <w:color w:val="000000"/>
          <w:szCs w:val="21"/>
        </w:rPr>
      </w:pPr>
    </w:p>
    <w:p>
      <w:pPr>
        <w:jc w:val="center"/>
        <w:rPr>
          <w:rFonts w:ascii="宋体" w:hAnsi="宋体"/>
          <w:bCs/>
          <w:color w:val="000000"/>
          <w:szCs w:val="21"/>
        </w:rPr>
      </w:pPr>
      <w:r>
        <w:rPr>
          <w:rFonts w:hint="eastAsia" w:ascii="宋体" w:hAnsi="宋体"/>
          <w:bCs/>
          <w:color w:val="000000"/>
          <w:szCs w:val="21"/>
        </w:rPr>
        <w:t>表2</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bCs/>
                <w:color w:val="000000"/>
                <w:szCs w:val="21"/>
              </w:rPr>
              <w:t>最大量共存元素合金牌号</w:t>
            </w:r>
          </w:p>
        </w:tc>
        <w:tc>
          <w:tcPr>
            <w:tcW w:w="1984" w:type="dxa"/>
          </w:tcPr>
          <w:p>
            <w:pPr>
              <w:jc w:val="center"/>
              <w:rPr>
                <w:rFonts w:ascii="宋体" w:hAnsi="宋体"/>
                <w:bCs/>
                <w:color w:val="000000"/>
                <w:szCs w:val="21"/>
              </w:rPr>
            </w:pPr>
            <w:r>
              <w:rPr>
                <w:rFonts w:hint="eastAsia" w:ascii="宋体" w:hAnsi="宋体"/>
                <w:bCs/>
                <w:color w:val="000000"/>
                <w:szCs w:val="21"/>
              </w:rPr>
              <w:t>锆的质量分数/%</w:t>
            </w:r>
          </w:p>
        </w:tc>
        <w:tc>
          <w:tcPr>
            <w:tcW w:w="1418" w:type="dxa"/>
          </w:tcPr>
          <w:p>
            <w:pPr>
              <w:jc w:val="center"/>
              <w:rPr>
                <w:rFonts w:ascii="宋体" w:hAnsi="宋体"/>
                <w:bCs/>
                <w:color w:val="000000"/>
                <w:szCs w:val="21"/>
              </w:rPr>
            </w:pPr>
            <w:r>
              <w:rPr>
                <w:rFonts w:hint="eastAsia" w:ascii="宋体" w:hAnsi="宋体"/>
                <w:bCs/>
                <w:color w:val="000000"/>
                <w:szCs w:val="21"/>
              </w:rPr>
              <w:t>试料量/g</w:t>
            </w:r>
          </w:p>
        </w:tc>
        <w:tc>
          <w:tcPr>
            <w:tcW w:w="2126" w:type="dxa"/>
          </w:tcPr>
          <w:p>
            <w:pPr>
              <w:jc w:val="center"/>
              <w:rPr>
                <w:rFonts w:ascii="宋体" w:hAnsi="宋体"/>
                <w:bCs/>
                <w:color w:val="000000"/>
                <w:szCs w:val="21"/>
              </w:rPr>
            </w:pPr>
            <w:r>
              <w:rPr>
                <w:rFonts w:hint="eastAsia" w:ascii="宋体" w:hAnsi="宋体"/>
                <w:bCs/>
                <w:color w:val="000000"/>
                <w:szCs w:val="21"/>
              </w:rPr>
              <w:t>共存元素最大量/mg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16%Ti（AlTi15）</w:t>
            </w:r>
          </w:p>
        </w:tc>
        <w:tc>
          <w:tcPr>
            <w:tcW w:w="1984" w:type="dxa"/>
          </w:tcPr>
          <w:p>
            <w:pPr>
              <w:jc w:val="center"/>
              <w:rPr>
                <w:rFonts w:ascii="宋体" w:hAnsi="宋体"/>
                <w:bCs/>
                <w:color w:val="000000"/>
                <w:szCs w:val="21"/>
              </w:rPr>
            </w:pPr>
            <w:r>
              <w:rPr>
                <w:rFonts w:hint="eastAsia" w:ascii="宋体" w:hAnsi="宋体"/>
                <w:szCs w:val="21"/>
              </w:rPr>
              <w:t>0.20</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11%Mg（520Z.1）</w:t>
            </w:r>
          </w:p>
        </w:tc>
        <w:tc>
          <w:tcPr>
            <w:tcW w:w="1984" w:type="dxa"/>
          </w:tcPr>
          <w:p>
            <w:pPr>
              <w:jc w:val="center"/>
              <w:rPr>
                <w:rFonts w:ascii="宋体" w:hAnsi="宋体"/>
                <w:bCs/>
                <w:color w:val="000000"/>
                <w:szCs w:val="21"/>
              </w:rPr>
            </w:pPr>
            <w:r>
              <w:rPr>
                <w:rFonts w:hint="eastAsia" w:ascii="宋体" w:hAnsi="宋体"/>
                <w:szCs w:val="21"/>
              </w:rPr>
              <w:t>0.20</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8.4%Zn（7255）</w:t>
            </w:r>
          </w:p>
        </w:tc>
        <w:tc>
          <w:tcPr>
            <w:tcW w:w="1984" w:type="dxa"/>
          </w:tcPr>
          <w:p>
            <w:pPr>
              <w:jc w:val="center"/>
              <w:rPr>
                <w:rFonts w:ascii="宋体" w:hAnsi="宋体"/>
                <w:bCs/>
                <w:color w:val="000000"/>
                <w:szCs w:val="21"/>
              </w:rPr>
            </w:pPr>
            <w:r>
              <w:rPr>
                <w:rFonts w:hint="eastAsia" w:ascii="宋体" w:hAnsi="宋体"/>
                <w:szCs w:val="21"/>
              </w:rPr>
              <w:t>0.10</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7.5%Cu（211Z.1）</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5.0%RE（907Z.1）</w:t>
            </w:r>
          </w:p>
        </w:tc>
        <w:tc>
          <w:tcPr>
            <w:tcW w:w="1984" w:type="dxa"/>
          </w:tcPr>
          <w:p>
            <w:pPr>
              <w:jc w:val="center"/>
              <w:rPr>
                <w:rFonts w:ascii="宋体" w:hAnsi="宋体"/>
                <w:bCs/>
                <w:color w:val="000000"/>
                <w:szCs w:val="21"/>
              </w:rPr>
            </w:pPr>
            <w:r>
              <w:rPr>
                <w:rFonts w:hint="eastAsia" w:ascii="宋体" w:hAnsi="宋体"/>
                <w:szCs w:val="21"/>
              </w:rPr>
              <w:t>0.15</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4.2%Li（8024）</w:t>
            </w:r>
          </w:p>
        </w:tc>
        <w:tc>
          <w:tcPr>
            <w:tcW w:w="1984" w:type="dxa"/>
          </w:tcPr>
          <w:p>
            <w:pPr>
              <w:jc w:val="center"/>
              <w:rPr>
                <w:rFonts w:ascii="宋体" w:hAnsi="宋体"/>
                <w:bCs/>
                <w:color w:val="000000"/>
                <w:szCs w:val="21"/>
              </w:rPr>
            </w:pPr>
            <w:r>
              <w:rPr>
                <w:rFonts w:hint="eastAsia" w:ascii="宋体" w:hAnsi="宋体"/>
                <w:szCs w:val="21"/>
              </w:rPr>
              <w:t>0.08</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szCs w:val="21"/>
              </w:rPr>
            </w:pPr>
            <w:r>
              <w:rPr>
                <w:rFonts w:hint="eastAsia" w:ascii="宋体" w:hAnsi="宋体"/>
                <w:szCs w:val="21"/>
              </w:rPr>
              <w:t>1.8%Mn（3009）</w:t>
            </w:r>
          </w:p>
        </w:tc>
        <w:tc>
          <w:tcPr>
            <w:tcW w:w="1984" w:type="dxa"/>
          </w:tcPr>
          <w:p>
            <w:pPr>
              <w:jc w:val="center"/>
              <w:rPr>
                <w:rFonts w:ascii="宋体" w:hAnsi="宋体"/>
                <w:bCs/>
                <w:color w:val="000000"/>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1.4%Ni（2618A）</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1.5%Bi（6065）</w:t>
            </w:r>
          </w:p>
        </w:tc>
        <w:tc>
          <w:tcPr>
            <w:tcW w:w="1984" w:type="dxa"/>
          </w:tcPr>
          <w:p>
            <w:pPr>
              <w:jc w:val="center"/>
              <w:rPr>
                <w:rFonts w:ascii="宋体" w:hAnsi="宋体"/>
                <w:szCs w:val="21"/>
              </w:rPr>
            </w:pPr>
            <w:r>
              <w:rPr>
                <w:rFonts w:hint="eastAsia" w:ascii="宋体" w:hAnsi="宋体"/>
                <w:szCs w:val="21"/>
              </w:rPr>
              <w:t>0.15</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0.7%Ag（2016）</w:t>
            </w:r>
          </w:p>
        </w:tc>
        <w:tc>
          <w:tcPr>
            <w:tcW w:w="1984" w:type="dxa"/>
          </w:tcPr>
          <w:p>
            <w:pPr>
              <w:jc w:val="center"/>
              <w:rPr>
                <w:rFonts w:ascii="宋体" w:hAnsi="宋体"/>
                <w:szCs w:val="21"/>
              </w:rPr>
            </w:pPr>
            <w:r>
              <w:rPr>
                <w:rFonts w:hint="eastAsia" w:ascii="宋体" w:hAnsi="宋体"/>
                <w:szCs w:val="21"/>
              </w:rPr>
              <w:t>0.10</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0.5%Cd（211Z.1）</w:t>
            </w:r>
          </w:p>
        </w:tc>
        <w:tc>
          <w:tcPr>
            <w:tcW w:w="1984" w:type="dxa"/>
          </w:tcPr>
          <w:p>
            <w:pPr>
              <w:jc w:val="center"/>
              <w:rPr>
                <w:rFonts w:ascii="宋体" w:hAnsi="宋体"/>
                <w:szCs w:val="21"/>
              </w:rPr>
            </w:pPr>
            <w:r>
              <w:rPr>
                <w:rFonts w:hint="eastAsia" w:ascii="宋体" w:hAnsi="宋体"/>
                <w:szCs w:val="21"/>
              </w:rPr>
              <w:t>0.05</w:t>
            </w:r>
          </w:p>
        </w:tc>
        <w:tc>
          <w:tcPr>
            <w:tcW w:w="1418" w:type="dxa"/>
          </w:tcPr>
          <w:p>
            <w:pPr>
              <w:jc w:val="center"/>
              <w:rPr>
                <w:rFonts w:ascii="宋体" w:hAnsi="宋体"/>
                <w:bCs/>
                <w:color w:val="000000"/>
                <w:szCs w:val="21"/>
              </w:rPr>
            </w:pPr>
            <w:r>
              <w:rPr>
                <w:rFonts w:hint="eastAsia" w:ascii="宋体" w:hAnsi="宋体"/>
                <w:bCs/>
                <w:color w:val="000000"/>
                <w:szCs w:val="21"/>
              </w:rPr>
              <w:t>1.00</w:t>
            </w:r>
          </w:p>
        </w:tc>
        <w:tc>
          <w:tcPr>
            <w:tcW w:w="2126" w:type="dxa"/>
          </w:tcPr>
          <w:p>
            <w:pPr>
              <w:jc w:val="center"/>
              <w:rPr>
                <w:rFonts w:ascii="宋体" w:hAnsi="宋体"/>
                <w:bCs/>
                <w:color w:val="000000"/>
                <w:szCs w:val="21"/>
              </w:rPr>
            </w:pPr>
            <w:r>
              <w:rPr>
                <w:rFonts w:hint="eastAsia" w:ascii="宋体" w:hAnsi="宋体"/>
                <w:bCs/>
                <w:color w:val="000000"/>
                <w:szCs w:val="21"/>
              </w:rPr>
              <w:t>5</w:t>
            </w:r>
          </w:p>
        </w:tc>
      </w:tr>
    </w:tbl>
    <w:p>
      <w:pPr>
        <w:spacing w:line="360" w:lineRule="auto"/>
        <w:ind w:firstLine="420" w:firstLineChars="200"/>
        <w:rPr>
          <w:rFonts w:ascii="宋体" w:hAnsi="宋体"/>
          <w:szCs w:val="21"/>
        </w:rPr>
      </w:pPr>
      <w:r>
        <w:rPr>
          <w:rFonts w:hint="eastAsia" w:ascii="宋体" w:hAnsi="宋体"/>
          <w:szCs w:val="21"/>
        </w:rPr>
        <w:t>按照GB/T 20975.19-2008《铝及铝合金化学分析方法 第19部分：锆含量的测定》中“方法一：</w:t>
      </w:r>
      <w:r>
        <w:rPr>
          <w:rFonts w:hint="eastAsia"/>
          <w:szCs w:val="21"/>
        </w:rPr>
        <w:t>二甲酚橙分光光度法</w:t>
      </w:r>
      <w:r>
        <w:rPr>
          <w:rFonts w:hint="eastAsia" w:ascii="宋体" w:hAnsi="宋体"/>
          <w:szCs w:val="21"/>
        </w:rPr>
        <w:t>”</w:t>
      </w:r>
      <w:r>
        <w:rPr>
          <w:rFonts w:hint="eastAsia" w:ascii="宋体" w:hAnsi="宋体"/>
          <w:bCs/>
          <w:color w:val="000000"/>
          <w:szCs w:val="21"/>
        </w:rPr>
        <w:t>进行</w:t>
      </w:r>
      <w:r>
        <w:rPr>
          <w:rFonts w:hint="eastAsia" w:ascii="宋体" w:hAnsi="宋体"/>
          <w:szCs w:val="21"/>
        </w:rPr>
        <w:t>单元素干扰试验，结果见表3。</w:t>
      </w:r>
    </w:p>
    <w:p>
      <w:pPr>
        <w:jc w:val="center"/>
        <w:rPr>
          <w:rFonts w:ascii="宋体" w:hAnsi="宋体"/>
          <w:szCs w:val="21"/>
        </w:rPr>
      </w:pPr>
      <w:r>
        <w:rPr>
          <w:rFonts w:hint="eastAsia" w:ascii="宋体" w:hAnsi="宋体"/>
          <w:szCs w:val="21"/>
        </w:rPr>
        <w:t>表3  共存元素干扰试验（100μg锆）</w:t>
      </w:r>
    </w:p>
    <w:tbl>
      <w:tblPr>
        <w:tblStyle w:val="20"/>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37"/>
        <w:gridCol w:w="1386"/>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共存离子</w:t>
            </w:r>
          </w:p>
        </w:tc>
        <w:tc>
          <w:tcPr>
            <w:tcW w:w="2537" w:type="dxa"/>
          </w:tcPr>
          <w:p>
            <w:pPr>
              <w:jc w:val="center"/>
              <w:rPr>
                <w:rFonts w:ascii="宋体" w:hAnsi="宋体"/>
                <w:szCs w:val="21"/>
              </w:rPr>
            </w:pPr>
            <w:r>
              <w:rPr>
                <w:rFonts w:hint="eastAsia" w:ascii="宋体" w:hAnsi="宋体"/>
                <w:szCs w:val="21"/>
              </w:rPr>
              <w:t>共存离子加入量（mg）</w:t>
            </w:r>
          </w:p>
        </w:tc>
        <w:tc>
          <w:tcPr>
            <w:tcW w:w="1386" w:type="dxa"/>
          </w:tcPr>
          <w:p>
            <w:pPr>
              <w:jc w:val="center"/>
              <w:rPr>
                <w:rFonts w:ascii="宋体" w:hAnsi="宋体"/>
                <w:szCs w:val="21"/>
              </w:rPr>
            </w:pPr>
            <w:r>
              <w:rPr>
                <w:rFonts w:hint="eastAsia" w:ascii="宋体" w:hAnsi="宋体"/>
                <w:szCs w:val="21"/>
              </w:rPr>
              <w:t>加入形式</w:t>
            </w:r>
          </w:p>
        </w:tc>
        <w:tc>
          <w:tcPr>
            <w:tcW w:w="1791" w:type="dxa"/>
          </w:tcPr>
          <w:p>
            <w:pPr>
              <w:jc w:val="center"/>
              <w:rPr>
                <w:rFonts w:ascii="宋体" w:hAnsi="宋体"/>
                <w:szCs w:val="21"/>
              </w:rPr>
            </w:pPr>
            <w:r>
              <w:rPr>
                <w:rFonts w:hint="eastAsia" w:ascii="宋体" w:hAnsi="宋体"/>
                <w:szCs w:val="21"/>
              </w:rPr>
              <w:t>测得锆量（μg）</w:t>
            </w:r>
          </w:p>
        </w:tc>
        <w:tc>
          <w:tcPr>
            <w:tcW w:w="1265" w:type="dxa"/>
          </w:tcPr>
          <w:p>
            <w:pPr>
              <w:jc w:val="center"/>
              <w:rPr>
                <w:rFonts w:ascii="宋体" w:hAnsi="宋体"/>
                <w:szCs w:val="21"/>
              </w:rPr>
            </w:pPr>
            <w:r>
              <w:rPr>
                <w:rFonts w:hint="eastAsia" w:ascii="宋体" w:hAnsi="宋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Na</w:t>
            </w:r>
            <w:r>
              <w:rPr>
                <w:rFonts w:hint="eastAsia" w:ascii="宋体" w:hAnsi="宋体"/>
                <w:szCs w:val="21"/>
                <w:vertAlign w:val="subscript"/>
              </w:rPr>
              <w:t>2</w:t>
            </w:r>
            <w:r>
              <w:rPr>
                <w:rFonts w:hint="eastAsia" w:ascii="宋体" w:hAnsi="宋体"/>
                <w:szCs w:val="21"/>
              </w:rPr>
              <w:t>SiO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100.2</w:t>
            </w:r>
          </w:p>
        </w:tc>
        <w:tc>
          <w:tcPr>
            <w:tcW w:w="1265" w:type="dxa"/>
          </w:tcPr>
          <w:p>
            <w:pPr>
              <w:jc w:val="center"/>
              <w:rPr>
                <w:rFonts w:ascii="宋体" w:hAnsi="宋体"/>
                <w:szCs w:val="21"/>
              </w:rPr>
            </w:pPr>
            <w:r>
              <w:rPr>
                <w:rFonts w:hint="eastAsia" w:ascii="宋体" w:hAnsi="宋体"/>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Cu</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75</w:t>
            </w:r>
          </w:p>
        </w:tc>
        <w:tc>
          <w:tcPr>
            <w:tcW w:w="1386" w:type="dxa"/>
          </w:tcPr>
          <w:p>
            <w:pPr>
              <w:jc w:val="center"/>
              <w:rPr>
                <w:rFonts w:ascii="宋体" w:hAnsi="宋体"/>
                <w:szCs w:val="21"/>
              </w:rPr>
            </w:pPr>
            <w:r>
              <w:rPr>
                <w:rFonts w:hint="eastAsia" w:ascii="宋体" w:hAnsi="宋体"/>
                <w:szCs w:val="21"/>
              </w:rPr>
              <w:t>CuSO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99.5</w:t>
            </w:r>
          </w:p>
        </w:tc>
        <w:tc>
          <w:tcPr>
            <w:tcW w:w="1265" w:type="dxa"/>
          </w:tcPr>
          <w:p>
            <w:pPr>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Mg</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55</w:t>
            </w:r>
          </w:p>
        </w:tc>
        <w:tc>
          <w:tcPr>
            <w:tcW w:w="1386" w:type="dxa"/>
          </w:tcPr>
          <w:p>
            <w:pPr>
              <w:jc w:val="center"/>
              <w:rPr>
                <w:rFonts w:ascii="宋体" w:hAnsi="宋体"/>
                <w:szCs w:val="21"/>
              </w:rPr>
            </w:pPr>
            <w:r>
              <w:rPr>
                <w:rFonts w:hint="eastAsia" w:ascii="宋体" w:hAnsi="宋体"/>
                <w:szCs w:val="21"/>
              </w:rPr>
              <w:t>MgSO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99.8</w:t>
            </w:r>
          </w:p>
        </w:tc>
        <w:tc>
          <w:tcPr>
            <w:tcW w:w="1265" w:type="dxa"/>
          </w:tcPr>
          <w:p>
            <w:pPr>
              <w:jc w:val="center"/>
              <w:rPr>
                <w:rFonts w:ascii="宋体" w:hAnsi="宋体"/>
                <w:szCs w:val="21"/>
              </w:rPr>
            </w:pPr>
            <w:r>
              <w:rPr>
                <w:rFonts w:hint="eastAsia" w:ascii="宋体" w:hAnsi="宋体"/>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18</w:t>
            </w:r>
          </w:p>
        </w:tc>
        <w:tc>
          <w:tcPr>
            <w:tcW w:w="1386" w:type="dxa"/>
          </w:tcPr>
          <w:p>
            <w:pPr>
              <w:jc w:val="center"/>
              <w:rPr>
                <w:rFonts w:ascii="宋体" w:hAnsi="宋体"/>
                <w:szCs w:val="21"/>
              </w:rPr>
            </w:pPr>
            <w:r>
              <w:rPr>
                <w:rFonts w:hint="eastAsia" w:ascii="宋体" w:hAnsi="宋体"/>
                <w:szCs w:val="21"/>
              </w:rPr>
              <w:t>MnSO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42</w:t>
            </w:r>
          </w:p>
        </w:tc>
        <w:tc>
          <w:tcPr>
            <w:tcW w:w="1386" w:type="dxa"/>
          </w:tcPr>
          <w:p>
            <w:pPr>
              <w:jc w:val="center"/>
              <w:rPr>
                <w:rFonts w:ascii="宋体" w:hAnsi="宋体"/>
                <w:szCs w:val="21"/>
              </w:rPr>
            </w:pPr>
            <w:r>
              <w:rPr>
                <w:rFonts w:hint="eastAsia" w:ascii="宋体" w:hAnsi="宋体"/>
                <w:szCs w:val="21"/>
              </w:rPr>
              <w:t>ZnSO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Ni</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14</w:t>
            </w:r>
          </w:p>
        </w:tc>
        <w:tc>
          <w:tcPr>
            <w:tcW w:w="1386" w:type="dxa"/>
          </w:tcPr>
          <w:p>
            <w:pPr>
              <w:jc w:val="center"/>
              <w:rPr>
                <w:rFonts w:ascii="宋体" w:hAnsi="宋体"/>
                <w:szCs w:val="21"/>
              </w:rPr>
            </w:pPr>
            <w:r>
              <w:rPr>
                <w:rFonts w:hint="eastAsia" w:ascii="宋体" w:hAnsi="宋体"/>
                <w:szCs w:val="21"/>
              </w:rPr>
              <w:t>NiSO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99.2</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Cd</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5</w:t>
            </w:r>
          </w:p>
        </w:tc>
        <w:tc>
          <w:tcPr>
            <w:tcW w:w="1386" w:type="dxa"/>
          </w:tcPr>
          <w:p>
            <w:pPr>
              <w:jc w:val="center"/>
              <w:rPr>
                <w:rFonts w:ascii="宋体" w:hAnsi="宋体"/>
                <w:szCs w:val="21"/>
              </w:rPr>
            </w:pPr>
            <w:r>
              <w:rPr>
                <w:rFonts w:hint="eastAsia" w:ascii="宋体" w:hAnsi="宋体"/>
                <w:szCs w:val="21"/>
              </w:rPr>
              <w:t>CdSO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100.2</w:t>
            </w:r>
          </w:p>
        </w:tc>
        <w:tc>
          <w:tcPr>
            <w:tcW w:w="1265" w:type="dxa"/>
          </w:tcPr>
          <w:p>
            <w:pPr>
              <w:jc w:val="center"/>
              <w:rPr>
                <w:rFonts w:ascii="宋体" w:hAnsi="宋体"/>
                <w:szCs w:val="21"/>
              </w:rPr>
            </w:pPr>
            <w:r>
              <w:rPr>
                <w:rFonts w:hint="eastAsia" w:ascii="宋体" w:hAnsi="宋体"/>
                <w:szCs w:val="21"/>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Li</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21</w:t>
            </w:r>
          </w:p>
        </w:tc>
        <w:tc>
          <w:tcPr>
            <w:tcW w:w="1386" w:type="dxa"/>
          </w:tcPr>
          <w:p>
            <w:pPr>
              <w:jc w:val="center"/>
              <w:rPr>
                <w:rFonts w:ascii="宋体" w:hAnsi="宋体"/>
                <w:szCs w:val="21"/>
              </w:rPr>
            </w:pPr>
            <w:r>
              <w:rPr>
                <w:rFonts w:hint="eastAsia" w:ascii="宋体" w:hAnsi="宋体"/>
                <w:szCs w:val="21"/>
              </w:rPr>
              <w:t>Li</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Ti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80</w:t>
            </w:r>
          </w:p>
        </w:tc>
        <w:tc>
          <w:tcPr>
            <w:tcW w:w="1386" w:type="dxa"/>
          </w:tcPr>
          <w:p>
            <w:pPr>
              <w:jc w:val="center"/>
              <w:rPr>
                <w:rFonts w:ascii="宋体" w:hAnsi="宋体"/>
                <w:szCs w:val="21"/>
              </w:rPr>
            </w:pPr>
            <w:r>
              <w:rPr>
                <w:rFonts w:hint="eastAsia" w:ascii="宋体" w:hAnsi="宋体"/>
                <w:szCs w:val="21"/>
              </w:rPr>
              <w:t>TiOSO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99.2</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Ag</w:t>
            </w:r>
            <w:r>
              <w:rPr>
                <w:rFonts w:hint="eastAsia" w:ascii="宋体" w:hAnsi="宋体"/>
                <w:szCs w:val="21"/>
                <w:vertAlign w:val="superscript"/>
              </w:rPr>
              <w:t>+</w:t>
            </w:r>
          </w:p>
        </w:tc>
        <w:tc>
          <w:tcPr>
            <w:tcW w:w="2537" w:type="dxa"/>
          </w:tcPr>
          <w:p>
            <w:pPr>
              <w:jc w:val="center"/>
              <w:rPr>
                <w:rFonts w:ascii="宋体" w:hAnsi="宋体"/>
                <w:szCs w:val="21"/>
              </w:rPr>
            </w:pPr>
            <w:r>
              <w:rPr>
                <w:rFonts w:hint="eastAsia" w:ascii="宋体" w:hAnsi="宋体"/>
                <w:szCs w:val="21"/>
              </w:rPr>
              <w:t>3.5</w:t>
            </w:r>
          </w:p>
        </w:tc>
        <w:tc>
          <w:tcPr>
            <w:tcW w:w="1386" w:type="dxa"/>
          </w:tcPr>
          <w:p>
            <w:pPr>
              <w:jc w:val="center"/>
              <w:rPr>
                <w:rFonts w:ascii="宋体" w:hAnsi="宋体"/>
                <w:szCs w:val="21"/>
              </w:rPr>
            </w:pPr>
            <w:r>
              <w:rPr>
                <w:rFonts w:hint="eastAsia" w:ascii="宋体" w:hAnsi="宋体"/>
                <w:szCs w:val="21"/>
              </w:rPr>
              <w:t>AgNO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Bi</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7.5</w:t>
            </w:r>
          </w:p>
        </w:tc>
        <w:tc>
          <w:tcPr>
            <w:tcW w:w="1386" w:type="dxa"/>
          </w:tcPr>
          <w:p>
            <w:pPr>
              <w:jc w:val="center"/>
              <w:rPr>
                <w:rFonts w:ascii="宋体" w:hAnsi="宋体"/>
                <w:szCs w:val="21"/>
              </w:rPr>
            </w:pPr>
            <w:r>
              <w:rPr>
                <w:rFonts w:hint="eastAsia" w:ascii="宋体" w:hAnsi="宋体"/>
                <w:szCs w:val="21"/>
              </w:rPr>
              <w:t>Bi(NO</w:t>
            </w:r>
            <w:r>
              <w:rPr>
                <w:rFonts w:hint="eastAsia" w:ascii="宋体" w:hAnsi="宋体"/>
                <w:szCs w:val="21"/>
                <w:vertAlign w:val="subscript"/>
              </w:rPr>
              <w:t>3</w:t>
            </w:r>
            <w:r>
              <w:rPr>
                <w:rFonts w:hint="eastAsia" w:ascii="宋体" w:hAnsi="宋体"/>
                <w:szCs w:val="21"/>
              </w:rPr>
              <w:t>)</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Re</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Re(NO</w:t>
            </w:r>
            <w:r>
              <w:rPr>
                <w:rFonts w:hint="eastAsia" w:ascii="宋体" w:hAnsi="宋体"/>
                <w:szCs w:val="21"/>
                <w:vertAlign w:val="subscript"/>
              </w:rPr>
              <w:t>3</w:t>
            </w:r>
            <w:r>
              <w:rPr>
                <w:rFonts w:hint="eastAsia" w:ascii="宋体" w:hAnsi="宋体"/>
                <w:szCs w:val="21"/>
              </w:rPr>
              <w:t>)</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w:t>
            </w:r>
          </w:p>
        </w:tc>
      </w:tr>
    </w:tbl>
    <w:p>
      <w:pPr>
        <w:spacing w:line="360" w:lineRule="auto"/>
        <w:ind w:firstLine="420" w:firstLineChars="200"/>
        <w:rPr>
          <w:rFonts w:ascii="宋体" w:hAnsi="宋体"/>
          <w:szCs w:val="21"/>
        </w:rPr>
      </w:pPr>
      <w:r>
        <w:rPr>
          <w:rFonts w:hint="eastAsia" w:ascii="宋体" w:hAnsi="宋体"/>
          <w:szCs w:val="21"/>
        </w:rPr>
        <w:t>由表3可以看出：试液中10mg硅，75mg铜，18mg锰，21mg锂，80mg钛，55mg镁，14mg镍，5mg镉，3.5mg银，42mg锌，25mg稀土，7.5mg铋（以上非最大量），对100μg锆的测定无干扰。</w:t>
      </w:r>
    </w:p>
    <w:p>
      <w:pPr>
        <w:spacing w:line="360" w:lineRule="auto"/>
        <w:ind w:firstLine="420" w:firstLineChars="200"/>
        <w:rPr>
          <w:rFonts w:ascii="宋体" w:hAnsi="宋体"/>
          <w:szCs w:val="21"/>
        </w:rPr>
      </w:pPr>
      <w:r>
        <w:rPr>
          <w:rFonts w:hint="eastAsia" w:ascii="宋体" w:hAnsi="宋体"/>
          <w:szCs w:val="21"/>
        </w:rPr>
        <w:t>合金中共存的其他元素含量很低，基本都在微克量级，不干扰测定。</w:t>
      </w:r>
    </w:p>
    <w:p>
      <w:pPr>
        <w:spacing w:line="360" w:lineRule="auto"/>
        <w:rPr>
          <w:rFonts w:ascii="黑体" w:hAnsi="宋体" w:eastAsia="黑体"/>
          <w:szCs w:val="21"/>
        </w:rPr>
      </w:pPr>
      <w:r>
        <w:rPr>
          <w:rFonts w:hint="eastAsia" w:ascii="黑体" w:hAnsi="宋体" w:eastAsia="黑体"/>
          <w:szCs w:val="21"/>
        </w:rPr>
        <w:t>3.3  样品分析</w:t>
      </w:r>
    </w:p>
    <w:p>
      <w:pPr>
        <w:spacing w:line="360" w:lineRule="auto"/>
        <w:rPr>
          <w:rFonts w:ascii="黑体" w:hAnsi="黑体" w:eastAsia="黑体"/>
          <w:szCs w:val="21"/>
        </w:rPr>
      </w:pPr>
      <w:r>
        <w:rPr>
          <w:rFonts w:hint="eastAsia" w:ascii="黑体" w:hAnsi="黑体" w:eastAsia="黑体"/>
          <w:szCs w:val="21"/>
        </w:rPr>
        <w:t>3.3.1 分析步骤</w:t>
      </w:r>
    </w:p>
    <w:p>
      <w:pPr>
        <w:spacing w:line="360" w:lineRule="auto"/>
        <w:ind w:left="30" w:hanging="30"/>
        <w:rPr>
          <w:rFonts w:ascii="宋体" w:hAnsi="宋体"/>
          <w:color w:val="000000"/>
        </w:rPr>
      </w:pPr>
      <w:r>
        <w:rPr>
          <w:rFonts w:hint="eastAsia" w:ascii="宋体" w:hAnsi="宋体"/>
        </w:rPr>
        <w:t xml:space="preserve">3.3.1.1 </w:t>
      </w:r>
      <w:r>
        <w:rPr>
          <w:rFonts w:hint="eastAsia" w:ascii="宋体" w:hAnsi="宋体"/>
          <w:color w:val="000000"/>
        </w:rPr>
        <w:t>按表4称取试样置于250mL烧杯中，盖上表皿，分次加入总量为25mL盐酸(2.1.4)，待剧烈反应停止后，加入1mL过氧化氢(2.1.3)，缓慢加热至试样完全溶解，煮沸分解过量的过氧化氢，冷却。移入100mL容量瓶中，用水稀释至刻度，混匀。用中速滤纸干过滤。</w:t>
      </w:r>
    </w:p>
    <w:p>
      <w:pPr>
        <w:spacing w:line="360" w:lineRule="auto"/>
        <w:ind w:firstLine="180" w:firstLineChars="100"/>
        <w:rPr>
          <w:rFonts w:ascii="宋体" w:hAnsi="宋体"/>
          <w:color w:val="000000"/>
          <w:sz w:val="18"/>
          <w:szCs w:val="18"/>
        </w:rPr>
      </w:pPr>
      <w:r>
        <w:rPr>
          <w:rFonts w:hint="eastAsia" w:ascii="宋体" w:hAnsi="宋体"/>
          <w:color w:val="000000"/>
          <w:sz w:val="18"/>
          <w:szCs w:val="18"/>
        </w:rPr>
        <w:t xml:space="preserve">  注：对于试样中硅的质量分数大于1% 的铝合金试样，用下述方法进行：将试样置于300mL聚四氟乙烯烧杯中，盖上表皿，加入lOmL氢氧化钠溶液(400g/L)，待剧烈反应停止后，滴加lmL过氧化氢(2.1.3)，用少量水洗表皿和杯壁，加热蒸至浆状，取下冷却，用约30mL温水冲洗杯壁，缓慢加热使盐类溶解，取下稍冷。加入40mL盐酸(2.1.4)，摇匀后，加热至溶液清亮，取下冷却，移入100mL容量瓶中，以水稀释至刻度，混匀，用中速滤纸干过滤。</w:t>
      </w:r>
    </w:p>
    <w:p>
      <w:pPr>
        <w:jc w:val="center"/>
        <w:rPr>
          <w:rFonts w:ascii="黑体" w:hAnsi="宋体" w:eastAsia="黑体"/>
          <w:color w:val="000000"/>
          <w:szCs w:val="21"/>
        </w:rPr>
      </w:pPr>
      <w:r>
        <w:rPr>
          <w:rFonts w:hint="eastAsia" w:ascii="黑体" w:hAnsi="宋体" w:eastAsia="黑体"/>
          <w:color w:val="000000"/>
          <w:szCs w:val="21"/>
        </w:rPr>
        <w:t>表4</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8" w:type="dxa"/>
          </w:tcPr>
          <w:p>
            <w:pPr>
              <w:jc w:val="center"/>
              <w:rPr>
                <w:rFonts w:ascii="宋体" w:hAnsi="宋体"/>
                <w:color w:val="000000"/>
                <w:szCs w:val="21"/>
              </w:rPr>
            </w:pPr>
            <w:r>
              <w:rPr>
                <w:rFonts w:hint="eastAsia" w:ascii="宋体" w:hAnsi="宋体"/>
                <w:color w:val="000000"/>
                <w:szCs w:val="21"/>
              </w:rPr>
              <w:t>锆的质量分数/%</w:t>
            </w:r>
          </w:p>
        </w:tc>
        <w:tc>
          <w:tcPr>
            <w:tcW w:w="3994" w:type="dxa"/>
          </w:tcPr>
          <w:p>
            <w:pPr>
              <w:jc w:val="center"/>
              <w:rPr>
                <w:rFonts w:ascii="宋体" w:hAnsi="宋体"/>
                <w:color w:val="000000"/>
                <w:szCs w:val="21"/>
              </w:rPr>
            </w:pPr>
            <w:r>
              <w:rPr>
                <w:rFonts w:hint="eastAsia" w:ascii="宋体" w:hAnsi="宋体"/>
                <w:color w:val="000000"/>
                <w:szCs w:val="21"/>
              </w:rPr>
              <w:t>试料/g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8" w:type="dxa"/>
            <w:vAlign w:val="center"/>
          </w:tcPr>
          <w:p>
            <w:pPr>
              <w:jc w:val="center"/>
              <w:rPr>
                <w:rFonts w:ascii="宋体" w:hAnsi="宋体"/>
                <w:szCs w:val="21"/>
              </w:rPr>
            </w:pPr>
            <w:r>
              <w:rPr>
                <w:rFonts w:hint="eastAsia" w:ascii="宋体" w:hAnsi="宋体"/>
                <w:szCs w:val="21"/>
              </w:rPr>
              <w:t>0.010～0.050</w:t>
            </w:r>
          </w:p>
        </w:tc>
        <w:tc>
          <w:tcPr>
            <w:tcW w:w="3994" w:type="dxa"/>
          </w:tcPr>
          <w:p>
            <w:pPr>
              <w:jc w:val="center"/>
              <w:rPr>
                <w:rFonts w:ascii="宋体" w:hAnsi="宋体"/>
                <w:color w:val="000000"/>
                <w:szCs w:val="21"/>
              </w:rPr>
            </w:pPr>
            <w:r>
              <w:rPr>
                <w:rFonts w:hint="eastAsia" w:ascii="宋体" w:hAnsi="宋体"/>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28" w:type="dxa"/>
            <w:vAlign w:val="center"/>
          </w:tcPr>
          <w:p>
            <w:pPr>
              <w:jc w:val="center"/>
              <w:rPr>
                <w:rFonts w:ascii="宋体" w:hAnsi="宋体"/>
                <w:szCs w:val="21"/>
              </w:rPr>
            </w:pPr>
            <w:r>
              <w:rPr>
                <w:rFonts w:hint="eastAsia" w:ascii="宋体" w:hAnsi="宋体"/>
                <w:szCs w:val="21"/>
              </w:rPr>
              <w:t>＞0.050～0.50</w:t>
            </w:r>
          </w:p>
        </w:tc>
        <w:tc>
          <w:tcPr>
            <w:tcW w:w="3994" w:type="dxa"/>
          </w:tcPr>
          <w:p>
            <w:pPr>
              <w:jc w:val="center"/>
              <w:rPr>
                <w:rFonts w:ascii="宋体" w:hAnsi="宋体"/>
                <w:color w:val="000000"/>
                <w:szCs w:val="21"/>
              </w:rPr>
            </w:pPr>
            <w:r>
              <w:rPr>
                <w:rFonts w:hint="eastAsia" w:ascii="宋体" w:hAnsi="宋体"/>
                <w:color w:val="00000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28" w:type="dxa"/>
            <w:vAlign w:val="center"/>
          </w:tcPr>
          <w:p>
            <w:pPr>
              <w:jc w:val="center"/>
              <w:rPr>
                <w:rFonts w:ascii="宋体" w:hAnsi="宋体"/>
                <w:szCs w:val="21"/>
              </w:rPr>
            </w:pPr>
            <w:r>
              <w:rPr>
                <w:rFonts w:hint="eastAsia" w:ascii="宋体" w:hAnsi="宋体"/>
                <w:szCs w:val="21"/>
              </w:rPr>
              <w:t>＞0.50～1.0</w:t>
            </w:r>
          </w:p>
        </w:tc>
        <w:tc>
          <w:tcPr>
            <w:tcW w:w="3994" w:type="dxa"/>
          </w:tcPr>
          <w:p>
            <w:pPr>
              <w:jc w:val="center"/>
              <w:rPr>
                <w:rFonts w:ascii="宋体" w:hAnsi="宋体"/>
                <w:color w:val="000000"/>
                <w:szCs w:val="21"/>
              </w:rPr>
            </w:pPr>
            <w:r>
              <w:rPr>
                <w:rFonts w:hint="eastAsia" w:ascii="宋体" w:hAnsi="宋体"/>
                <w:color w:val="000000"/>
                <w:szCs w:val="21"/>
              </w:rPr>
              <w:t>0.25</w:t>
            </w:r>
          </w:p>
        </w:tc>
      </w:tr>
    </w:tbl>
    <w:p>
      <w:pPr>
        <w:spacing w:line="360" w:lineRule="auto"/>
        <w:rPr>
          <w:rFonts w:ascii="宋体" w:hAnsi="宋体"/>
          <w:color w:val="000000"/>
        </w:rPr>
      </w:pPr>
      <w:r>
        <w:rPr>
          <w:rFonts w:hint="eastAsia" w:ascii="宋体" w:hAnsi="宋体"/>
        </w:rPr>
        <w:t>3.3.1.2 移取5.00mL滤液于100mL容量瓶中，加入10.OmL高氯酸(2.1.5)，混匀。加入5.00mL二甲酚橙溶液(2.1.6)，以水稀释至刻度，混匀。在室温下放置30min。</w:t>
      </w:r>
      <w:r>
        <w:rPr>
          <w:rFonts w:hint="eastAsia" w:ascii="宋体" w:hAnsi="宋体"/>
          <w:color w:val="000000"/>
        </w:rPr>
        <w:t>将部分试液移入1cm吸收池中，以随同试料所做的空白试验溶液为参比，在分光光度计波长535nm处，测量其吸光度。从工作曲线上查出相应的锆量。</w:t>
      </w:r>
    </w:p>
    <w:p>
      <w:pPr>
        <w:spacing w:line="360" w:lineRule="auto"/>
        <w:rPr>
          <w:rFonts w:ascii="宋体" w:hAnsi="宋体"/>
          <w:color w:val="000000"/>
        </w:rPr>
      </w:pPr>
      <w:r>
        <w:rPr>
          <w:rFonts w:hint="eastAsia" w:ascii="黑体" w:hAnsi="宋体" w:eastAsia="黑体"/>
          <w:color w:val="000000"/>
        </w:rPr>
        <w:t>3.3.2 工作曲线的绘制</w:t>
      </w:r>
    </w:p>
    <w:p>
      <w:pPr>
        <w:spacing w:line="360" w:lineRule="auto"/>
        <w:rPr>
          <w:rFonts w:ascii="宋体" w:hAnsi="宋体"/>
          <w:color w:val="000000"/>
        </w:rPr>
      </w:pPr>
      <w:r>
        <w:rPr>
          <w:rFonts w:hint="eastAsia" w:ascii="黑体" w:hAnsi="宋体" w:eastAsia="黑体"/>
          <w:color w:val="000000"/>
        </w:rPr>
        <w:t>3.3.2.1</w:t>
      </w:r>
      <w:r>
        <w:rPr>
          <w:rFonts w:hint="eastAsia" w:ascii="宋体" w:hAnsi="宋体"/>
          <w:color w:val="000000"/>
        </w:rPr>
        <w:t xml:space="preserve"> 按表4称取铝(2.1.1)，按分析步骤制备铝基体溶液。</w:t>
      </w:r>
    </w:p>
    <w:p>
      <w:pPr>
        <w:spacing w:line="360" w:lineRule="auto"/>
        <w:rPr>
          <w:rFonts w:ascii="宋体" w:hAnsi="宋体"/>
          <w:szCs w:val="21"/>
        </w:rPr>
      </w:pPr>
      <w:r>
        <w:rPr>
          <w:rFonts w:hint="eastAsia" w:ascii="黑体" w:hAnsi="宋体" w:eastAsia="黑体"/>
          <w:color w:val="000000"/>
        </w:rPr>
        <w:t xml:space="preserve">3.3.2.2 </w:t>
      </w:r>
      <w:r>
        <w:rPr>
          <w:rFonts w:hint="eastAsia" w:ascii="宋体" w:hAnsi="宋体"/>
          <w:color w:val="000000"/>
        </w:rPr>
        <w:t>移取5.00mL铝基体溶液于一组100mL容量瓶中，分别加入0</w:t>
      </w:r>
      <w:r>
        <w:rPr>
          <w:rFonts w:hint="eastAsia" w:ascii="宋体" w:hAnsi="宋体"/>
        </w:rPr>
        <w:t>mL</w:t>
      </w:r>
      <w:r>
        <w:rPr>
          <w:rFonts w:hint="eastAsia" w:ascii="宋体" w:hAnsi="宋体"/>
          <w:color w:val="000000"/>
        </w:rPr>
        <w:t>、0.50</w:t>
      </w:r>
      <w:r>
        <w:rPr>
          <w:rFonts w:hint="eastAsia" w:ascii="宋体" w:hAnsi="宋体"/>
        </w:rPr>
        <w:t>mL</w:t>
      </w:r>
      <w:r>
        <w:rPr>
          <w:rFonts w:hint="eastAsia" w:ascii="宋体" w:hAnsi="宋体"/>
          <w:color w:val="000000"/>
        </w:rPr>
        <w:t>、1.00</w:t>
      </w:r>
      <w:r>
        <w:rPr>
          <w:rFonts w:hint="eastAsia" w:ascii="宋体" w:hAnsi="宋体"/>
        </w:rPr>
        <w:t>mL</w:t>
      </w:r>
      <w:r>
        <w:rPr>
          <w:rFonts w:hint="eastAsia" w:ascii="宋体" w:hAnsi="宋体"/>
          <w:color w:val="000000"/>
        </w:rPr>
        <w:t>、2.00</w:t>
      </w:r>
      <w:r>
        <w:rPr>
          <w:rFonts w:hint="eastAsia" w:ascii="宋体" w:hAnsi="宋体"/>
        </w:rPr>
        <w:t>mL</w:t>
      </w:r>
      <w:r>
        <w:rPr>
          <w:rFonts w:hint="eastAsia" w:ascii="宋体" w:hAnsi="宋体"/>
          <w:color w:val="000000"/>
        </w:rPr>
        <w:t>、3.00</w:t>
      </w:r>
      <w:r>
        <w:rPr>
          <w:rFonts w:hint="eastAsia" w:ascii="宋体" w:hAnsi="宋体"/>
        </w:rPr>
        <w:t>mL</w:t>
      </w:r>
      <w:r>
        <w:rPr>
          <w:rFonts w:hint="eastAsia" w:ascii="宋体" w:hAnsi="宋体"/>
          <w:color w:val="000000"/>
        </w:rPr>
        <w:t>、4.00</w:t>
      </w:r>
      <w:r>
        <w:rPr>
          <w:rFonts w:hint="eastAsia" w:ascii="宋体" w:hAnsi="宋体"/>
        </w:rPr>
        <w:t>mL</w:t>
      </w:r>
      <w:r>
        <w:rPr>
          <w:rFonts w:hint="eastAsia" w:ascii="宋体" w:hAnsi="宋体"/>
          <w:color w:val="000000"/>
        </w:rPr>
        <w:t>、5.00</w:t>
      </w:r>
      <w:r>
        <w:rPr>
          <w:rFonts w:hint="eastAsia" w:ascii="宋体" w:hAnsi="宋体"/>
        </w:rPr>
        <w:t>mL</w:t>
      </w:r>
      <w:r>
        <w:rPr>
          <w:rFonts w:hint="eastAsia" w:ascii="宋体" w:hAnsi="宋体"/>
          <w:color w:val="000000"/>
        </w:rPr>
        <w:t>、6.00</w:t>
      </w:r>
      <w:r>
        <w:rPr>
          <w:rFonts w:hint="eastAsia" w:ascii="宋体" w:hAnsi="宋体"/>
        </w:rPr>
        <w:t>mL</w:t>
      </w:r>
      <w:r>
        <w:rPr>
          <w:rFonts w:hint="eastAsia" w:ascii="宋体" w:hAnsi="宋体"/>
          <w:color w:val="000000"/>
        </w:rPr>
        <w:t>、7.00mL锆标准溶液(2.1.11)，加入10.OmL高氯酸(2.1.5)，混匀。加入5.00mL二甲酚橙溶液(2.1.6)，以水稀释至刻度，混匀。放置30min。将部分系列标准溶液移入lcm吸收池中，以试剂空白溶液为参比，于分光光度计波长535nm处，测量其吸光度。以锆量为横坐标，以吸光度为纵坐标，绘制工作曲线。</w:t>
      </w:r>
    </w:p>
    <w:p>
      <w:pPr>
        <w:spacing w:line="360" w:lineRule="auto"/>
        <w:rPr>
          <w:rFonts w:ascii="宋体" w:hAnsi="宋体"/>
          <w:szCs w:val="21"/>
        </w:rPr>
      </w:pPr>
      <w:r>
        <w:rPr>
          <w:rFonts w:hint="eastAsia" w:ascii="宋体" w:hAnsi="宋体"/>
          <w:szCs w:val="21"/>
        </w:rPr>
        <w:t xml:space="preserve">     对不同含锆量的5个铝及铝合金样品进行独立的11次分析，分析结果见表5。</w:t>
      </w:r>
    </w:p>
    <w:p>
      <w:pPr>
        <w:jc w:val="center"/>
        <w:rPr>
          <w:rFonts w:ascii="宋体" w:hAnsi="宋体"/>
          <w:szCs w:val="21"/>
        </w:rPr>
      </w:pPr>
      <w:r>
        <w:rPr>
          <w:rFonts w:hint="eastAsia" w:ascii="宋体" w:hAnsi="宋体"/>
          <w:szCs w:val="21"/>
        </w:rPr>
        <w:t>表5  样品分析及结果对照</w:t>
      </w:r>
    </w:p>
    <w:tbl>
      <w:tblPr>
        <w:tblStyle w:val="20"/>
        <w:tblW w:w="8532" w:type="dxa"/>
        <w:jc w:val="center"/>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34"/>
        <w:gridCol w:w="3162"/>
        <w:gridCol w:w="1080"/>
        <w:gridCol w:w="10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center"/>
              <w:rPr>
                <w:rFonts w:ascii="宋体" w:hAnsi="宋体"/>
                <w:szCs w:val="21"/>
              </w:rPr>
            </w:pPr>
            <w:r>
              <w:rPr>
                <w:rFonts w:hint="eastAsia" w:ascii="宋体" w:hAnsi="宋体"/>
                <w:szCs w:val="21"/>
              </w:rPr>
              <w:t>序号</w:t>
            </w:r>
          </w:p>
        </w:tc>
        <w:tc>
          <w:tcPr>
            <w:tcW w:w="1134" w:type="dxa"/>
            <w:vAlign w:val="center"/>
          </w:tcPr>
          <w:p>
            <w:pPr>
              <w:jc w:val="center"/>
              <w:rPr>
                <w:rFonts w:ascii="宋体" w:hAnsi="宋体"/>
                <w:szCs w:val="21"/>
              </w:rPr>
            </w:pPr>
            <w:r>
              <w:rPr>
                <w:rFonts w:hint="eastAsia" w:ascii="宋体" w:hAnsi="宋体"/>
                <w:szCs w:val="21"/>
              </w:rPr>
              <w:t>样品编号</w:t>
            </w:r>
          </w:p>
        </w:tc>
        <w:tc>
          <w:tcPr>
            <w:tcW w:w="3162"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035" w:type="dxa"/>
            <w:vAlign w:val="center"/>
          </w:tcPr>
          <w:p>
            <w:pPr>
              <w:jc w:val="center"/>
              <w:rPr>
                <w:rFonts w:ascii="宋体" w:hAnsi="宋体"/>
                <w:szCs w:val="21"/>
              </w:rPr>
            </w:pPr>
            <w:r>
              <w:rPr>
                <w:rFonts w:hint="eastAsia" w:ascii="宋体" w:hAnsi="宋体"/>
                <w:szCs w:val="21"/>
              </w:rPr>
              <w:t>SD</w:t>
            </w:r>
          </w:p>
        </w:tc>
        <w:tc>
          <w:tcPr>
            <w:tcW w:w="1418"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03" w:type="dxa"/>
            <w:vAlign w:val="center"/>
          </w:tcPr>
          <w:p>
            <w:pPr>
              <w:jc w:val="center"/>
              <w:rPr>
                <w:rFonts w:ascii="宋体" w:hAnsi="宋体"/>
                <w:szCs w:val="21"/>
              </w:rPr>
            </w:pPr>
            <w:r>
              <w:rPr>
                <w:rFonts w:hint="eastAsia" w:ascii="宋体" w:hAnsi="宋体"/>
                <w:szCs w:val="21"/>
              </w:rPr>
              <w:t>1</w:t>
            </w:r>
          </w:p>
        </w:tc>
        <w:tc>
          <w:tcPr>
            <w:tcW w:w="1134" w:type="dxa"/>
            <w:vAlign w:val="center"/>
          </w:tcPr>
          <w:p>
            <w:pPr>
              <w:jc w:val="center"/>
              <w:rPr>
                <w:rFonts w:ascii="宋体" w:hAnsi="宋体"/>
                <w:szCs w:val="21"/>
              </w:rPr>
            </w:pPr>
            <w:r>
              <w:rPr>
                <w:rFonts w:hint="eastAsia" w:ascii="宋体" w:hAnsi="宋体"/>
                <w:szCs w:val="21"/>
              </w:rPr>
              <w:t>E914</w:t>
            </w:r>
          </w:p>
        </w:tc>
        <w:tc>
          <w:tcPr>
            <w:tcW w:w="3162" w:type="dxa"/>
          </w:tcPr>
          <w:p>
            <w:pPr>
              <w:rPr>
                <w:rFonts w:ascii="宋体" w:hAnsi="宋体"/>
                <w:szCs w:val="21"/>
              </w:rPr>
            </w:pPr>
            <w:r>
              <w:rPr>
                <w:rFonts w:hint="eastAsia" w:ascii="宋体" w:hAnsi="宋体"/>
                <w:szCs w:val="21"/>
              </w:rPr>
              <w:t>0.0140、0.0135、0.0140、0.0131、0.0137、0.0135、0.0135、0.0136、0.0135、0.0133、0.0132</w:t>
            </w:r>
          </w:p>
        </w:tc>
        <w:tc>
          <w:tcPr>
            <w:tcW w:w="1080" w:type="dxa"/>
            <w:vAlign w:val="center"/>
          </w:tcPr>
          <w:p>
            <w:pPr>
              <w:jc w:val="center"/>
              <w:rPr>
                <w:rFonts w:ascii="宋体" w:hAnsi="宋体"/>
                <w:szCs w:val="21"/>
              </w:rPr>
            </w:pPr>
            <w:r>
              <w:rPr>
                <w:rFonts w:hint="eastAsia" w:ascii="宋体" w:hAnsi="宋体"/>
                <w:szCs w:val="21"/>
              </w:rPr>
              <w:t>0.0135</w:t>
            </w:r>
          </w:p>
        </w:tc>
        <w:tc>
          <w:tcPr>
            <w:tcW w:w="1035" w:type="dxa"/>
            <w:vAlign w:val="center"/>
          </w:tcPr>
          <w:p>
            <w:pPr>
              <w:jc w:val="center"/>
              <w:rPr>
                <w:rFonts w:ascii="宋体" w:hAnsi="宋体"/>
                <w:szCs w:val="21"/>
              </w:rPr>
            </w:pPr>
            <w:r>
              <w:rPr>
                <w:rFonts w:hint="eastAsia" w:ascii="宋体" w:hAnsi="宋体"/>
                <w:szCs w:val="21"/>
              </w:rPr>
              <w:t>0.0003</w:t>
            </w:r>
          </w:p>
        </w:tc>
        <w:tc>
          <w:tcPr>
            <w:tcW w:w="1418" w:type="dxa"/>
            <w:vAlign w:val="center"/>
          </w:tcPr>
          <w:p>
            <w:pPr>
              <w:jc w:val="left"/>
              <w:rPr>
                <w:rFonts w:ascii="宋体" w:hAnsi="宋体"/>
                <w:szCs w:val="21"/>
              </w:rPr>
            </w:pPr>
            <w:r>
              <w:rPr>
                <w:rFonts w:hint="eastAsia" w:ascii="宋体" w:hAnsi="宋体"/>
                <w:szCs w:val="21"/>
              </w:rPr>
              <w:t>0.0132、0.0135、0.0135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2</w:t>
            </w:r>
          </w:p>
        </w:tc>
        <w:tc>
          <w:tcPr>
            <w:tcW w:w="1134" w:type="dxa"/>
            <w:vAlign w:val="center"/>
          </w:tcPr>
          <w:p>
            <w:pPr>
              <w:jc w:val="center"/>
              <w:rPr>
                <w:rFonts w:ascii="宋体" w:hAnsi="宋体"/>
                <w:szCs w:val="21"/>
              </w:rPr>
            </w:pPr>
            <w:r>
              <w:rPr>
                <w:rFonts w:ascii="宋体" w:hAnsi="宋体"/>
                <w:szCs w:val="21"/>
              </w:rPr>
              <w:t>KZ104</w:t>
            </w:r>
          </w:p>
        </w:tc>
        <w:tc>
          <w:tcPr>
            <w:tcW w:w="3162" w:type="dxa"/>
          </w:tcPr>
          <w:p>
            <w:pPr>
              <w:rPr>
                <w:rFonts w:ascii="宋体" w:hAnsi="宋体"/>
                <w:szCs w:val="21"/>
              </w:rPr>
            </w:pPr>
            <w:r>
              <w:rPr>
                <w:rFonts w:hint="eastAsia" w:ascii="宋体" w:hAnsi="宋体"/>
                <w:szCs w:val="21"/>
              </w:rPr>
              <w:t>0.0400、0.0403、0.0408、0.0402、0.0398、0.0402、0.0402、0.0403、0.0403、0.0398、0.0402</w:t>
            </w:r>
          </w:p>
        </w:tc>
        <w:tc>
          <w:tcPr>
            <w:tcW w:w="1080" w:type="dxa"/>
            <w:vAlign w:val="center"/>
          </w:tcPr>
          <w:p>
            <w:pPr>
              <w:jc w:val="center"/>
              <w:rPr>
                <w:rFonts w:ascii="宋体" w:hAnsi="宋体"/>
                <w:szCs w:val="21"/>
              </w:rPr>
            </w:pPr>
            <w:r>
              <w:rPr>
                <w:rFonts w:hint="eastAsia" w:ascii="宋体" w:hAnsi="宋体"/>
                <w:szCs w:val="21"/>
              </w:rPr>
              <w:t>0.0402</w:t>
            </w:r>
          </w:p>
        </w:tc>
        <w:tc>
          <w:tcPr>
            <w:tcW w:w="1035" w:type="dxa"/>
            <w:vAlign w:val="center"/>
          </w:tcPr>
          <w:p>
            <w:pPr>
              <w:jc w:val="center"/>
              <w:rPr>
                <w:rFonts w:ascii="宋体" w:hAnsi="宋体"/>
                <w:szCs w:val="21"/>
              </w:rPr>
            </w:pPr>
            <w:r>
              <w:rPr>
                <w:rFonts w:hint="eastAsia" w:ascii="宋体" w:hAnsi="宋体"/>
                <w:szCs w:val="21"/>
              </w:rPr>
              <w:t>0.0013</w:t>
            </w:r>
          </w:p>
        </w:tc>
        <w:tc>
          <w:tcPr>
            <w:tcW w:w="1418" w:type="dxa"/>
            <w:vAlign w:val="center"/>
          </w:tcPr>
          <w:p>
            <w:pPr>
              <w:jc w:val="left"/>
              <w:rPr>
                <w:rFonts w:ascii="宋体" w:hAnsi="宋体"/>
                <w:szCs w:val="21"/>
              </w:rPr>
            </w:pPr>
            <w:r>
              <w:rPr>
                <w:rFonts w:hint="eastAsia" w:ascii="宋体" w:hAnsi="宋体"/>
                <w:szCs w:val="21"/>
              </w:rPr>
              <w:t>0.0402、0.0402、0.0404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3</w:t>
            </w:r>
          </w:p>
        </w:tc>
        <w:tc>
          <w:tcPr>
            <w:tcW w:w="1134" w:type="dxa"/>
            <w:vAlign w:val="center"/>
          </w:tcPr>
          <w:p>
            <w:pPr>
              <w:jc w:val="center"/>
              <w:rPr>
                <w:rFonts w:ascii="宋体" w:hAnsi="宋体"/>
                <w:szCs w:val="21"/>
              </w:rPr>
            </w:pPr>
            <w:r>
              <w:rPr>
                <w:rFonts w:hint="eastAsia" w:ascii="宋体" w:hAnsi="宋体"/>
                <w:szCs w:val="21"/>
              </w:rPr>
              <w:t>7964</w:t>
            </w:r>
          </w:p>
        </w:tc>
        <w:tc>
          <w:tcPr>
            <w:tcW w:w="3162" w:type="dxa"/>
          </w:tcPr>
          <w:p>
            <w:pPr>
              <w:rPr>
                <w:rFonts w:ascii="宋体" w:hAnsi="宋体"/>
                <w:szCs w:val="21"/>
              </w:rPr>
            </w:pPr>
            <w:r>
              <w:rPr>
                <w:rFonts w:hint="eastAsia" w:ascii="宋体" w:hAnsi="宋体"/>
                <w:szCs w:val="21"/>
              </w:rPr>
              <w:t>0.191、0.195、0.197、0.199、0.195、0.194、0.192、0.198、0.205、0.196、0.197</w:t>
            </w:r>
          </w:p>
        </w:tc>
        <w:tc>
          <w:tcPr>
            <w:tcW w:w="1080" w:type="dxa"/>
            <w:vAlign w:val="center"/>
          </w:tcPr>
          <w:p>
            <w:pPr>
              <w:jc w:val="center"/>
              <w:rPr>
                <w:rFonts w:ascii="宋体" w:hAnsi="宋体"/>
                <w:szCs w:val="21"/>
              </w:rPr>
            </w:pPr>
            <w:r>
              <w:rPr>
                <w:rFonts w:hint="eastAsia" w:ascii="宋体" w:hAnsi="宋体"/>
                <w:szCs w:val="21"/>
              </w:rPr>
              <w:t>0.196</w:t>
            </w:r>
          </w:p>
        </w:tc>
        <w:tc>
          <w:tcPr>
            <w:tcW w:w="1035" w:type="dxa"/>
            <w:vAlign w:val="center"/>
          </w:tcPr>
          <w:p>
            <w:pPr>
              <w:jc w:val="center"/>
              <w:rPr>
                <w:rFonts w:ascii="宋体" w:hAnsi="宋体"/>
                <w:szCs w:val="21"/>
              </w:rPr>
            </w:pPr>
            <w:r>
              <w:rPr>
                <w:rFonts w:hint="eastAsia" w:ascii="宋体" w:hAnsi="宋体"/>
                <w:szCs w:val="21"/>
              </w:rPr>
              <w:t>0.0038</w:t>
            </w:r>
          </w:p>
        </w:tc>
        <w:tc>
          <w:tcPr>
            <w:tcW w:w="1418" w:type="dxa"/>
            <w:vAlign w:val="center"/>
          </w:tcPr>
          <w:p>
            <w:pPr>
              <w:jc w:val="left"/>
              <w:rPr>
                <w:rFonts w:ascii="宋体" w:hAnsi="宋体"/>
                <w:szCs w:val="21"/>
              </w:rPr>
            </w:pPr>
            <w:r>
              <w:rPr>
                <w:rFonts w:hint="eastAsia" w:ascii="宋体" w:hAnsi="宋体"/>
                <w:szCs w:val="21"/>
              </w:rPr>
              <w:t>0.199、0.195、0.196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4</w:t>
            </w:r>
          </w:p>
        </w:tc>
        <w:tc>
          <w:tcPr>
            <w:tcW w:w="1134" w:type="dxa"/>
            <w:vAlign w:val="center"/>
          </w:tcPr>
          <w:p>
            <w:pPr>
              <w:jc w:val="center"/>
              <w:rPr>
                <w:rFonts w:ascii="宋体" w:hAnsi="宋体"/>
                <w:szCs w:val="21"/>
              </w:rPr>
            </w:pPr>
            <w:r>
              <w:rPr>
                <w:rFonts w:hint="eastAsia" w:ascii="宋体" w:hAnsi="宋体"/>
                <w:szCs w:val="21"/>
              </w:rPr>
              <w:t>104-1</w:t>
            </w:r>
          </w:p>
        </w:tc>
        <w:tc>
          <w:tcPr>
            <w:tcW w:w="3162" w:type="dxa"/>
          </w:tcPr>
          <w:p>
            <w:pPr>
              <w:rPr>
                <w:rFonts w:ascii="宋体" w:hAnsi="宋体"/>
                <w:szCs w:val="21"/>
              </w:rPr>
            </w:pPr>
            <w:r>
              <w:rPr>
                <w:rFonts w:hint="eastAsia" w:ascii="宋体" w:hAnsi="宋体" w:cs="宋体"/>
                <w:color w:val="000000"/>
                <w:kern w:val="0"/>
                <w:szCs w:val="21"/>
              </w:rPr>
              <w:t>0.428、0.427、0.418、0.418、0.419、0.418、0.417、0.418、0.426、0.419、0.427</w:t>
            </w:r>
          </w:p>
        </w:tc>
        <w:tc>
          <w:tcPr>
            <w:tcW w:w="1080" w:type="dxa"/>
            <w:vAlign w:val="center"/>
          </w:tcPr>
          <w:p>
            <w:pPr>
              <w:jc w:val="center"/>
              <w:rPr>
                <w:rFonts w:ascii="宋体" w:hAnsi="宋体"/>
                <w:szCs w:val="21"/>
              </w:rPr>
            </w:pPr>
            <w:r>
              <w:rPr>
                <w:rFonts w:hint="eastAsia" w:ascii="宋体" w:hAnsi="宋体"/>
                <w:szCs w:val="21"/>
              </w:rPr>
              <w:t>0.421</w:t>
            </w:r>
          </w:p>
        </w:tc>
        <w:tc>
          <w:tcPr>
            <w:tcW w:w="1035" w:type="dxa"/>
            <w:vAlign w:val="center"/>
          </w:tcPr>
          <w:p>
            <w:pPr>
              <w:jc w:val="center"/>
              <w:rPr>
                <w:rFonts w:ascii="宋体" w:hAnsi="宋体"/>
                <w:szCs w:val="21"/>
              </w:rPr>
            </w:pPr>
            <w:r>
              <w:rPr>
                <w:rFonts w:hint="eastAsia" w:ascii="宋体" w:hAnsi="宋体"/>
                <w:szCs w:val="21"/>
              </w:rPr>
              <w:t>0.0045</w:t>
            </w:r>
          </w:p>
        </w:tc>
        <w:tc>
          <w:tcPr>
            <w:tcW w:w="1418" w:type="dxa"/>
            <w:vAlign w:val="center"/>
          </w:tcPr>
          <w:p>
            <w:pPr>
              <w:jc w:val="left"/>
              <w:rPr>
                <w:rFonts w:ascii="宋体" w:hAnsi="宋体"/>
                <w:szCs w:val="21"/>
              </w:rPr>
            </w:pPr>
            <w:r>
              <w:rPr>
                <w:rFonts w:hint="eastAsia" w:ascii="宋体" w:hAnsi="宋体"/>
                <w:szCs w:val="21"/>
              </w:rPr>
              <w:t>0.421、0.425、0.421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03" w:type="dxa"/>
            <w:vAlign w:val="center"/>
          </w:tcPr>
          <w:p>
            <w:pPr>
              <w:jc w:val="center"/>
              <w:rPr>
                <w:rFonts w:ascii="宋体" w:hAnsi="宋体"/>
                <w:szCs w:val="21"/>
              </w:rPr>
            </w:pPr>
            <w:r>
              <w:rPr>
                <w:rFonts w:hint="eastAsia" w:ascii="宋体" w:hAnsi="宋体"/>
                <w:szCs w:val="21"/>
              </w:rPr>
              <w:t>5</w:t>
            </w:r>
          </w:p>
        </w:tc>
        <w:tc>
          <w:tcPr>
            <w:tcW w:w="1134" w:type="dxa"/>
            <w:vAlign w:val="center"/>
          </w:tcPr>
          <w:p>
            <w:pPr>
              <w:jc w:val="center"/>
              <w:rPr>
                <w:rFonts w:ascii="宋体" w:hAnsi="宋体"/>
                <w:szCs w:val="21"/>
              </w:rPr>
            </w:pPr>
            <w:r>
              <w:rPr>
                <w:rFonts w:hint="eastAsia" w:ascii="宋体" w:hAnsi="宋体"/>
                <w:szCs w:val="21"/>
              </w:rPr>
              <w:t>模拟样</w:t>
            </w:r>
          </w:p>
        </w:tc>
        <w:tc>
          <w:tcPr>
            <w:tcW w:w="3162" w:type="dxa"/>
          </w:tcPr>
          <w:p>
            <w:pPr>
              <w:rPr>
                <w:rFonts w:ascii="宋体" w:hAnsi="宋体"/>
                <w:szCs w:val="21"/>
              </w:rPr>
            </w:pPr>
            <w:r>
              <w:rPr>
                <w:rFonts w:hint="eastAsia" w:ascii="宋体" w:hAnsi="宋体"/>
                <w:szCs w:val="21"/>
              </w:rPr>
              <w:t>0.938、0.942、0.932、0.946、0.934、0.948、0.942、0.940、0.938、0.946、0.936</w:t>
            </w:r>
          </w:p>
        </w:tc>
        <w:tc>
          <w:tcPr>
            <w:tcW w:w="1080" w:type="dxa"/>
            <w:vAlign w:val="center"/>
          </w:tcPr>
          <w:p>
            <w:pPr>
              <w:jc w:val="center"/>
              <w:rPr>
                <w:rFonts w:ascii="宋体" w:hAnsi="宋体"/>
                <w:szCs w:val="21"/>
              </w:rPr>
            </w:pPr>
            <w:r>
              <w:rPr>
                <w:rFonts w:hint="eastAsia" w:ascii="宋体" w:hAnsi="宋体"/>
                <w:szCs w:val="21"/>
              </w:rPr>
              <w:t>0.940</w:t>
            </w:r>
          </w:p>
        </w:tc>
        <w:tc>
          <w:tcPr>
            <w:tcW w:w="1035" w:type="dxa"/>
            <w:vAlign w:val="center"/>
          </w:tcPr>
          <w:p>
            <w:pPr>
              <w:jc w:val="center"/>
              <w:rPr>
                <w:rFonts w:ascii="宋体" w:hAnsi="宋体"/>
                <w:szCs w:val="21"/>
              </w:rPr>
            </w:pPr>
            <w:r>
              <w:rPr>
                <w:rFonts w:hint="eastAsia" w:ascii="宋体" w:hAnsi="宋体"/>
                <w:szCs w:val="21"/>
              </w:rPr>
              <w:t>0.0052</w:t>
            </w:r>
          </w:p>
        </w:tc>
        <w:tc>
          <w:tcPr>
            <w:tcW w:w="1418" w:type="dxa"/>
            <w:vAlign w:val="center"/>
          </w:tcPr>
          <w:p>
            <w:pPr>
              <w:jc w:val="left"/>
              <w:rPr>
                <w:rFonts w:ascii="宋体" w:hAnsi="宋体"/>
                <w:szCs w:val="21"/>
              </w:rPr>
            </w:pPr>
            <w:r>
              <w:rPr>
                <w:rFonts w:hint="eastAsia" w:ascii="宋体" w:hAnsi="宋体"/>
                <w:szCs w:val="21"/>
              </w:rPr>
              <w:t>0.935、0.941、0.941</w:t>
            </w:r>
          </w:p>
        </w:tc>
      </w:tr>
    </w:tbl>
    <w:p>
      <w:pPr>
        <w:spacing w:line="360" w:lineRule="auto"/>
        <w:rPr>
          <w:rFonts w:ascii="宋体" w:hAnsi="宋体"/>
          <w:szCs w:val="21"/>
        </w:rPr>
      </w:pPr>
      <w:r>
        <w:rPr>
          <w:rFonts w:hint="eastAsia" w:ascii="宋体" w:hAnsi="宋体"/>
          <w:szCs w:val="21"/>
        </w:rPr>
        <w:t xml:space="preserve"> 备注：模拟样是样品（104-1）+1.3mg锆。</w:t>
      </w:r>
    </w:p>
    <w:p>
      <w:pPr>
        <w:spacing w:beforeLines="50" w:afterLines="50" w:line="360" w:lineRule="auto"/>
        <w:rPr>
          <w:rFonts w:ascii="黑体" w:hAnsi="黑体" w:eastAsia="黑体"/>
          <w:sz w:val="24"/>
        </w:rPr>
      </w:pPr>
      <w:r>
        <w:rPr>
          <w:rFonts w:hint="eastAsia" w:ascii="黑体" w:hAnsi="黑体" w:eastAsia="黑体"/>
          <w:sz w:val="24"/>
        </w:rPr>
        <w:t>方法二：EDTA滴定法研究过程</w:t>
      </w:r>
    </w:p>
    <w:p>
      <w:pPr>
        <w:spacing w:line="360" w:lineRule="auto"/>
        <w:ind w:firstLine="420" w:firstLineChars="200"/>
        <w:rPr>
          <w:rFonts w:ascii="宋体" w:hAnsi="宋体" w:cs="宋体"/>
          <w:szCs w:val="21"/>
        </w:rPr>
      </w:pPr>
      <w:bookmarkStart w:id="1" w:name="OLE_LINK1"/>
      <w:r>
        <w:rPr>
          <w:rFonts w:hint="eastAsia" w:ascii="宋体" w:hAnsi="宋体"/>
        </w:rPr>
        <w:t xml:space="preserve"> EDTA滴定法</w:t>
      </w:r>
      <w:r>
        <w:rPr>
          <w:rFonts w:hint="eastAsia" w:ascii="宋体" w:hAnsi="宋体" w:cs="宋体"/>
          <w:szCs w:val="21"/>
        </w:rPr>
        <w:t>具有测定结果准确度高、操作简便、无需昂贵的分析仪器等特点，目前仍被国内外实验室广泛采用。因此考虑采用</w:t>
      </w:r>
      <w:r>
        <w:rPr>
          <w:rFonts w:hint="eastAsia" w:ascii="宋体" w:hAnsi="宋体"/>
        </w:rPr>
        <w:t>EDTA滴定法</w:t>
      </w:r>
      <w:r>
        <w:rPr>
          <w:rFonts w:hint="eastAsia" w:ascii="宋体" w:hAnsi="宋体" w:cs="宋体"/>
          <w:szCs w:val="21"/>
        </w:rPr>
        <w:t>测定锆。对铝及铝中间合金中锆的</w:t>
      </w:r>
      <w:r>
        <w:rPr>
          <w:rFonts w:hint="eastAsia" w:ascii="宋体" w:hAnsi="宋体"/>
        </w:rPr>
        <w:t>EDTA滴定法</w:t>
      </w:r>
      <w:r>
        <w:rPr>
          <w:rFonts w:hint="eastAsia" w:ascii="宋体" w:hAnsi="宋体" w:cs="宋体"/>
          <w:szCs w:val="21"/>
        </w:rPr>
        <w:t>测定条件和测定方法进行系统研究，并确定方法的准确度及精密度，最终形成国家标准。主要</w:t>
      </w:r>
      <w:r>
        <w:rPr>
          <w:rFonts w:ascii="宋体" w:hAnsi="宋体" w:cs="宋体"/>
          <w:szCs w:val="21"/>
        </w:rPr>
        <w:t>内容</w:t>
      </w:r>
      <w:r>
        <w:rPr>
          <w:rFonts w:hint="eastAsia" w:ascii="宋体" w:hAnsi="宋体" w:cs="宋体"/>
          <w:szCs w:val="21"/>
        </w:rPr>
        <w:t>：</w:t>
      </w:r>
    </w:p>
    <w:bookmarkEnd w:id="1"/>
    <w:p>
      <w:pPr>
        <w:spacing w:line="360" w:lineRule="auto"/>
        <w:rPr>
          <w:rFonts w:ascii="宋体" w:hAnsi="宋体" w:cs="宋体"/>
          <w:szCs w:val="21"/>
        </w:rPr>
      </w:pPr>
      <w:r>
        <w:rPr>
          <w:rFonts w:hint="eastAsia" w:ascii="宋体" w:hAnsi="宋体" w:cs="宋体"/>
          <w:szCs w:val="21"/>
        </w:rPr>
        <w:t>1、测定范围的确定</w:t>
      </w:r>
    </w:p>
    <w:p>
      <w:pPr>
        <w:spacing w:line="360" w:lineRule="auto"/>
        <w:ind w:firstLine="420" w:firstLineChars="200"/>
        <w:rPr>
          <w:rFonts w:hAnsi="宋体"/>
        </w:rPr>
      </w:pPr>
      <w:r>
        <w:rPr>
          <w:rFonts w:ascii="宋体" w:hAnsi="宋体" w:cs="宋体"/>
          <w:szCs w:val="21"/>
        </w:rPr>
        <w:t>随着铝工业的不断发展，产品质量的提高，用户需求的要求水平提高，出现了许多新增的</w:t>
      </w:r>
      <w:r>
        <w:rPr>
          <w:rFonts w:hint="eastAsia" w:ascii="宋体" w:hAnsi="宋体" w:cs="宋体"/>
          <w:szCs w:val="21"/>
        </w:rPr>
        <w:t>铝合金广泛应用于航空航天、国防军事装备领域及汽车等民用产品中。铝锆合金做为重要的铝中间合金，广泛应用于熔炼含锆铝合金。在起草标准时，我们广泛调研了河北省、黑龙江、辽宁省、山东省、安徽省等企业，收集到的样品中锆含量均集中于5%，10%和15%左右，而其他含量的样品未能收集到。</w:t>
      </w:r>
    </w:p>
    <w:p>
      <w:pPr>
        <w:spacing w:line="360" w:lineRule="auto"/>
        <w:rPr>
          <w:rFonts w:ascii="宋体" w:hAnsi="宋体"/>
          <w:szCs w:val="21"/>
        </w:rPr>
      </w:pPr>
      <w:r>
        <w:rPr>
          <w:rFonts w:hint="eastAsia" w:ascii="宋体" w:hAnsi="宋体"/>
          <w:szCs w:val="21"/>
        </w:rPr>
        <w:t>2、试样溶解条件的</w:t>
      </w:r>
      <w:r>
        <w:rPr>
          <w:rFonts w:ascii="宋体" w:hAnsi="宋体"/>
          <w:szCs w:val="21"/>
        </w:rPr>
        <w:t>确定</w:t>
      </w:r>
    </w:p>
    <w:p>
      <w:pPr>
        <w:spacing w:line="360" w:lineRule="auto"/>
        <w:ind w:firstLine="420" w:firstLineChars="200"/>
        <w:rPr>
          <w:rFonts w:ascii="宋体" w:hAnsi="宋体" w:cs="宋体"/>
          <w:szCs w:val="21"/>
        </w:rPr>
      </w:pPr>
      <w:r>
        <w:rPr>
          <w:rFonts w:hint="eastAsia" w:ascii="宋体" w:hAnsi="宋体" w:cs="宋体"/>
          <w:szCs w:val="21"/>
        </w:rPr>
        <w:t>铝锆合金用盐酸和过氧化氢溶解，在强酸介质中，锆与EDTA作用生成稳定的络合物，反应定量进行。用甲基百里酚蓝作指示剂、在0.8～1.5mol/L盐酸酸度并在煮沸溶液中趁热进行滴定。参考铝锆合金产品标准，考虑那些共存元素含量的情况，同时也考虑试验过程中可能引入的干扰元素以及那些与EDTA有较大络合常数的元素，铝锆合金产品中的共存元素和大量的基体铝均不干扰测定，铁（Ⅲ）在盐酸介质中呈黄色干扰测定，可采用加入10 mL盐酸羟胺（100g/L）或用氯化亚锡溶液（100g/L）滴至三价铁的黄色褪去，再过量2滴的方式将铁（Ⅲ）还原成铁（Ⅱ）而消除其干扰。</w:t>
      </w:r>
    </w:p>
    <w:p>
      <w:pPr>
        <w:spacing w:line="360" w:lineRule="auto"/>
        <w:rPr>
          <w:rFonts w:ascii="宋体" w:hAnsi="宋体"/>
          <w:bCs/>
          <w:color w:val="000000"/>
          <w:szCs w:val="21"/>
        </w:rPr>
      </w:pPr>
      <w:r>
        <w:rPr>
          <w:rFonts w:hint="eastAsia" w:ascii="宋体" w:hAnsi="宋体"/>
          <w:szCs w:val="21"/>
        </w:rPr>
        <w:t>3、</w:t>
      </w:r>
      <w:r>
        <w:rPr>
          <w:rFonts w:hint="eastAsia" w:ascii="宋体" w:hAnsi="宋体"/>
          <w:bCs/>
          <w:color w:val="000000"/>
          <w:szCs w:val="21"/>
        </w:rPr>
        <w:t>铝基体的干扰试验</w:t>
      </w:r>
    </w:p>
    <w:p>
      <w:pPr>
        <w:spacing w:line="360" w:lineRule="auto"/>
        <w:ind w:firstLine="420"/>
        <w:rPr>
          <w:rFonts w:ascii="宋体" w:hAnsi="宋体"/>
          <w:bCs/>
          <w:color w:val="000000"/>
          <w:szCs w:val="21"/>
        </w:rPr>
      </w:pPr>
      <w:r>
        <w:rPr>
          <w:rFonts w:hint="eastAsia" w:ascii="宋体" w:hAnsi="宋体"/>
          <w:bCs/>
          <w:color w:val="000000"/>
          <w:szCs w:val="21"/>
        </w:rPr>
        <w:t>分别称取一定量的纯铝于250mL烧杯中，用盐酸溶解后，低温蒸至近干呈湿盐状。加入10.00mL锆标准溶液和10mL浓盐酸，加水至100mL，以下按试验方法操作。结果见表6。</w:t>
      </w:r>
    </w:p>
    <w:p>
      <w:pPr>
        <w:spacing w:line="360" w:lineRule="auto"/>
        <w:jc w:val="center"/>
        <w:rPr>
          <w:rFonts w:ascii="宋体" w:hAnsi="宋体"/>
          <w:szCs w:val="21"/>
        </w:rPr>
      </w:pPr>
      <w:r>
        <w:rPr>
          <w:rFonts w:hint="eastAsia" w:ascii="宋体" w:hAnsi="宋体"/>
          <w:szCs w:val="21"/>
        </w:rPr>
        <w:t xml:space="preserve">表6 </w:t>
      </w:r>
      <w:r>
        <w:rPr>
          <w:rFonts w:hint="eastAsia" w:ascii="宋体" w:hAnsi="宋体"/>
          <w:bCs/>
          <w:color w:val="000000"/>
          <w:szCs w:val="21"/>
        </w:rPr>
        <w:t>铝基体的干扰试验</w:t>
      </w:r>
    </w:p>
    <w:tbl>
      <w:tblPr>
        <w:tblStyle w:val="20"/>
        <w:tblW w:w="84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127"/>
        <w:gridCol w:w="214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Align w:val="center"/>
          </w:tcPr>
          <w:p>
            <w:pPr>
              <w:spacing w:line="360" w:lineRule="auto"/>
              <w:jc w:val="center"/>
              <w:rPr>
                <w:rFonts w:ascii="宋体" w:hAnsi="宋体"/>
                <w:szCs w:val="21"/>
              </w:rPr>
            </w:pPr>
            <w:r>
              <w:rPr>
                <w:rFonts w:hint="eastAsia" w:ascii="宋体" w:hAnsi="宋体"/>
                <w:szCs w:val="21"/>
              </w:rPr>
              <w:t>移取锆标准溶液的</w:t>
            </w:r>
            <w:r>
              <w:rPr>
                <w:rFonts w:hint="eastAsia" w:ascii="宋体" w:hAnsi="宋体" w:cs="宋体"/>
                <w:szCs w:val="21"/>
              </w:rPr>
              <w:t>体积</w:t>
            </w:r>
            <w:r>
              <w:rPr>
                <w:rFonts w:hint="eastAsia" w:ascii="宋体" w:hAnsi="宋体"/>
                <w:szCs w:val="21"/>
              </w:rPr>
              <w:t>/mL</w:t>
            </w:r>
          </w:p>
        </w:tc>
        <w:tc>
          <w:tcPr>
            <w:tcW w:w="2127" w:type="dxa"/>
            <w:vAlign w:val="center"/>
          </w:tcPr>
          <w:p>
            <w:pPr>
              <w:spacing w:line="360" w:lineRule="auto"/>
              <w:jc w:val="center"/>
              <w:rPr>
                <w:rFonts w:ascii="宋体" w:hAnsi="宋体"/>
                <w:szCs w:val="21"/>
              </w:rPr>
            </w:pPr>
            <w:r>
              <w:rPr>
                <w:rFonts w:hint="eastAsia" w:ascii="宋体" w:hAnsi="宋体"/>
                <w:bCs/>
                <w:color w:val="000000"/>
                <w:szCs w:val="21"/>
              </w:rPr>
              <w:t>称取纯铝的量</w:t>
            </w:r>
            <w:r>
              <w:rPr>
                <w:rFonts w:hint="eastAsia" w:ascii="宋体" w:hAnsi="宋体"/>
                <w:szCs w:val="21"/>
              </w:rPr>
              <w:t>/g</w:t>
            </w:r>
          </w:p>
        </w:tc>
        <w:tc>
          <w:tcPr>
            <w:tcW w:w="2146" w:type="dxa"/>
          </w:tcPr>
          <w:p>
            <w:pPr>
              <w:spacing w:line="360" w:lineRule="auto"/>
              <w:jc w:val="center"/>
              <w:rPr>
                <w:rFonts w:ascii="宋体" w:hAnsi="宋体" w:cs="宋体-方正超大字符集"/>
                <w:szCs w:val="21"/>
              </w:rPr>
            </w:pPr>
            <w:r>
              <w:rPr>
                <w:rFonts w:hint="eastAsia" w:ascii="宋体" w:hAnsi="宋体"/>
                <w:szCs w:val="21"/>
              </w:rPr>
              <w:t>EDTA标准滴定溶液的滴定体积/mL</w:t>
            </w:r>
          </w:p>
        </w:tc>
        <w:tc>
          <w:tcPr>
            <w:tcW w:w="2395" w:type="dxa"/>
            <w:vAlign w:val="center"/>
          </w:tcPr>
          <w:p>
            <w:pPr>
              <w:spacing w:line="360" w:lineRule="auto"/>
              <w:jc w:val="center"/>
              <w:rPr>
                <w:rFonts w:ascii="宋体" w:hAnsi="宋体"/>
                <w:szCs w:val="21"/>
              </w:rPr>
            </w:pPr>
            <w:r>
              <w:rPr>
                <w:rFonts w:hint="eastAsia" w:ascii="宋体" w:hAnsi="宋体"/>
                <w:szCs w:val="21"/>
              </w:rPr>
              <w:t>滴定终点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Merge w:val="restart"/>
            <w:vAlign w:val="center"/>
          </w:tcPr>
          <w:p>
            <w:pPr>
              <w:spacing w:line="360" w:lineRule="auto"/>
              <w:jc w:val="center"/>
              <w:rPr>
                <w:rFonts w:ascii="宋体" w:hAnsi="宋体"/>
                <w:szCs w:val="21"/>
              </w:rPr>
            </w:pPr>
            <w:r>
              <w:rPr>
                <w:rFonts w:hint="eastAsia" w:ascii="宋体" w:hAnsi="宋体"/>
                <w:szCs w:val="21"/>
              </w:rPr>
              <w:t>10</w:t>
            </w:r>
            <w:r>
              <w:rPr>
                <w:rFonts w:ascii="宋体" w:hAnsi="宋体"/>
                <w:szCs w:val="21"/>
              </w:rPr>
              <w:t>.00</w:t>
            </w:r>
          </w:p>
          <w:p>
            <w:pPr>
              <w:spacing w:line="360" w:lineRule="auto"/>
              <w:jc w:val="center"/>
              <w:rPr>
                <w:rFonts w:ascii="宋体" w:hAnsi="宋体"/>
                <w:szCs w:val="21"/>
              </w:rPr>
            </w:pPr>
            <w:r>
              <w:rPr>
                <w:rFonts w:hint="eastAsia" w:ascii="宋体" w:hAnsi="宋体"/>
                <w:szCs w:val="21"/>
              </w:rPr>
              <w:t>（约20</w:t>
            </w:r>
            <w:r>
              <w:rPr>
                <w:rFonts w:hint="eastAsia" w:ascii="宋体" w:hAnsi="宋体"/>
                <w:color w:val="000000"/>
                <w:szCs w:val="21"/>
              </w:rPr>
              <w:t xml:space="preserve"> mg）</w:t>
            </w:r>
          </w:p>
        </w:tc>
        <w:tc>
          <w:tcPr>
            <w:tcW w:w="2127" w:type="dxa"/>
            <w:vAlign w:val="center"/>
          </w:tcPr>
          <w:p>
            <w:pPr>
              <w:spacing w:line="360" w:lineRule="auto"/>
              <w:jc w:val="center"/>
              <w:rPr>
                <w:rFonts w:ascii="宋体" w:hAnsi="宋体"/>
                <w:szCs w:val="21"/>
              </w:rPr>
            </w:pPr>
            <w:r>
              <w:rPr>
                <w:rFonts w:hint="eastAsia" w:ascii="宋体" w:hAnsi="宋体"/>
                <w:szCs w:val="21"/>
              </w:rPr>
              <w:t>0.0</w:t>
            </w:r>
          </w:p>
        </w:tc>
        <w:tc>
          <w:tcPr>
            <w:tcW w:w="2146" w:type="dxa"/>
            <w:vAlign w:val="center"/>
          </w:tcPr>
          <w:p>
            <w:pPr>
              <w:spacing w:line="360" w:lineRule="auto"/>
              <w:jc w:val="center"/>
              <w:rPr>
                <w:rFonts w:ascii="宋体" w:hAnsi="宋体"/>
                <w:szCs w:val="21"/>
              </w:rPr>
            </w:pPr>
            <w:r>
              <w:rPr>
                <w:rFonts w:hint="eastAsia" w:ascii="宋体" w:hAnsi="宋体"/>
                <w:szCs w:val="21"/>
              </w:rPr>
              <w:t>21.16</w:t>
            </w:r>
          </w:p>
        </w:tc>
        <w:tc>
          <w:tcPr>
            <w:tcW w:w="2395" w:type="dxa"/>
            <w:vAlign w:val="center"/>
          </w:tcPr>
          <w:p>
            <w:pPr>
              <w:spacing w:line="360" w:lineRule="auto"/>
              <w:jc w:val="center"/>
              <w:rPr>
                <w:rFonts w:ascii="宋体" w:hAnsi="宋体"/>
                <w:szCs w:val="21"/>
              </w:rPr>
            </w:pPr>
            <w:r>
              <w:rPr>
                <w:rFonts w:hint="eastAsia" w:ascii="宋体" w:hAnsi="宋体"/>
                <w:szCs w:val="21"/>
              </w:rPr>
              <w:t>终点明显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Merge w:val="continue"/>
            <w:vAlign w:val="center"/>
          </w:tcPr>
          <w:p>
            <w:pPr>
              <w:spacing w:line="360" w:lineRule="auto"/>
              <w:jc w:val="center"/>
              <w:rPr>
                <w:rFonts w:ascii="宋体" w:hAnsi="宋体"/>
                <w:szCs w:val="21"/>
              </w:rPr>
            </w:pPr>
          </w:p>
        </w:tc>
        <w:tc>
          <w:tcPr>
            <w:tcW w:w="2127" w:type="dxa"/>
            <w:vAlign w:val="center"/>
          </w:tcPr>
          <w:p>
            <w:pPr>
              <w:spacing w:line="360" w:lineRule="auto"/>
              <w:jc w:val="center"/>
              <w:rPr>
                <w:rFonts w:ascii="宋体" w:hAnsi="宋体"/>
                <w:szCs w:val="21"/>
              </w:rPr>
            </w:pPr>
            <w:r>
              <w:rPr>
                <w:rFonts w:hint="eastAsia" w:ascii="宋体" w:hAnsi="宋体"/>
                <w:szCs w:val="21"/>
              </w:rPr>
              <w:t>0.5</w:t>
            </w:r>
          </w:p>
        </w:tc>
        <w:tc>
          <w:tcPr>
            <w:tcW w:w="2146" w:type="dxa"/>
          </w:tcPr>
          <w:p>
            <w:pPr>
              <w:spacing w:line="360" w:lineRule="auto"/>
              <w:jc w:val="center"/>
              <w:rPr>
                <w:rFonts w:ascii="宋体" w:hAnsi="宋体"/>
                <w:szCs w:val="21"/>
              </w:rPr>
            </w:pPr>
            <w:r>
              <w:rPr>
                <w:rFonts w:hint="eastAsia" w:ascii="宋体" w:hAnsi="宋体"/>
                <w:szCs w:val="21"/>
              </w:rPr>
              <w:t>21.14</w:t>
            </w:r>
          </w:p>
        </w:tc>
        <w:tc>
          <w:tcPr>
            <w:tcW w:w="2395" w:type="dxa"/>
            <w:vAlign w:val="center"/>
          </w:tcPr>
          <w:p>
            <w:pPr>
              <w:spacing w:line="360" w:lineRule="auto"/>
              <w:jc w:val="center"/>
              <w:rPr>
                <w:rFonts w:ascii="宋体" w:hAnsi="宋体"/>
                <w:szCs w:val="21"/>
              </w:rPr>
            </w:pPr>
            <w:r>
              <w:rPr>
                <w:rFonts w:hint="eastAsia" w:ascii="宋体" w:hAnsi="宋体"/>
                <w:szCs w:val="21"/>
              </w:rPr>
              <w:t>终点明显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Merge w:val="continue"/>
            <w:vAlign w:val="center"/>
          </w:tcPr>
          <w:p>
            <w:pPr>
              <w:spacing w:line="360" w:lineRule="auto"/>
              <w:jc w:val="center"/>
              <w:rPr>
                <w:rFonts w:ascii="宋体" w:hAnsi="宋体"/>
                <w:szCs w:val="21"/>
              </w:rPr>
            </w:pPr>
          </w:p>
        </w:tc>
        <w:tc>
          <w:tcPr>
            <w:tcW w:w="2127" w:type="dxa"/>
            <w:vAlign w:val="center"/>
          </w:tcPr>
          <w:p>
            <w:pPr>
              <w:spacing w:line="360" w:lineRule="auto"/>
              <w:jc w:val="center"/>
              <w:rPr>
                <w:rFonts w:ascii="宋体" w:hAnsi="宋体"/>
                <w:szCs w:val="21"/>
              </w:rPr>
            </w:pPr>
            <w:r>
              <w:rPr>
                <w:rFonts w:hint="eastAsia" w:ascii="宋体" w:hAnsi="宋体"/>
                <w:szCs w:val="21"/>
              </w:rPr>
              <w:t>1.0</w:t>
            </w:r>
          </w:p>
        </w:tc>
        <w:tc>
          <w:tcPr>
            <w:tcW w:w="2146" w:type="dxa"/>
          </w:tcPr>
          <w:p>
            <w:pPr>
              <w:spacing w:line="360" w:lineRule="auto"/>
              <w:jc w:val="center"/>
              <w:rPr>
                <w:rFonts w:ascii="宋体" w:hAnsi="宋体"/>
                <w:szCs w:val="21"/>
              </w:rPr>
            </w:pPr>
            <w:r>
              <w:rPr>
                <w:rFonts w:hint="eastAsia" w:ascii="宋体" w:hAnsi="宋体"/>
                <w:szCs w:val="21"/>
              </w:rPr>
              <w:t>21.18</w:t>
            </w:r>
          </w:p>
        </w:tc>
        <w:tc>
          <w:tcPr>
            <w:tcW w:w="2395" w:type="dxa"/>
            <w:vAlign w:val="center"/>
          </w:tcPr>
          <w:p>
            <w:pPr>
              <w:spacing w:line="360" w:lineRule="auto"/>
              <w:jc w:val="center"/>
              <w:rPr>
                <w:rFonts w:ascii="宋体" w:hAnsi="宋体"/>
                <w:szCs w:val="21"/>
              </w:rPr>
            </w:pPr>
            <w:r>
              <w:rPr>
                <w:rFonts w:hint="eastAsia" w:ascii="宋体" w:hAnsi="宋体"/>
                <w:szCs w:val="21"/>
              </w:rPr>
              <w:t>终点明显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vMerge w:val="continue"/>
            <w:vAlign w:val="center"/>
          </w:tcPr>
          <w:p>
            <w:pPr>
              <w:spacing w:line="360" w:lineRule="auto"/>
              <w:rPr>
                <w:rFonts w:ascii="宋体" w:hAnsi="宋体"/>
                <w:szCs w:val="21"/>
              </w:rPr>
            </w:pPr>
          </w:p>
        </w:tc>
        <w:tc>
          <w:tcPr>
            <w:tcW w:w="2127" w:type="dxa"/>
            <w:vAlign w:val="center"/>
          </w:tcPr>
          <w:p>
            <w:pPr>
              <w:spacing w:line="360" w:lineRule="auto"/>
              <w:jc w:val="center"/>
              <w:rPr>
                <w:rFonts w:ascii="宋体" w:hAnsi="宋体"/>
                <w:szCs w:val="21"/>
              </w:rPr>
            </w:pPr>
            <w:r>
              <w:rPr>
                <w:rFonts w:hint="eastAsia" w:ascii="宋体" w:hAnsi="宋体"/>
                <w:szCs w:val="21"/>
              </w:rPr>
              <w:t>2.0</w:t>
            </w:r>
          </w:p>
        </w:tc>
        <w:tc>
          <w:tcPr>
            <w:tcW w:w="2146" w:type="dxa"/>
          </w:tcPr>
          <w:p>
            <w:pPr>
              <w:spacing w:line="360" w:lineRule="auto"/>
              <w:jc w:val="center"/>
              <w:rPr>
                <w:rFonts w:ascii="宋体" w:hAnsi="宋体"/>
                <w:szCs w:val="21"/>
              </w:rPr>
            </w:pPr>
            <w:r>
              <w:rPr>
                <w:rFonts w:hint="eastAsia" w:ascii="宋体" w:hAnsi="宋体"/>
                <w:szCs w:val="21"/>
              </w:rPr>
              <w:t>21.16</w:t>
            </w:r>
          </w:p>
        </w:tc>
        <w:tc>
          <w:tcPr>
            <w:tcW w:w="2395" w:type="dxa"/>
            <w:vAlign w:val="center"/>
          </w:tcPr>
          <w:p>
            <w:pPr>
              <w:spacing w:line="360" w:lineRule="auto"/>
              <w:jc w:val="center"/>
              <w:rPr>
                <w:rFonts w:ascii="宋体" w:hAnsi="宋体"/>
                <w:szCs w:val="21"/>
              </w:rPr>
            </w:pPr>
            <w:r>
              <w:rPr>
                <w:rFonts w:hint="eastAsia" w:ascii="宋体" w:hAnsi="宋体"/>
                <w:szCs w:val="21"/>
              </w:rPr>
              <w:t>终点明显</w:t>
            </w:r>
          </w:p>
        </w:tc>
      </w:tr>
    </w:tbl>
    <w:p>
      <w:pPr>
        <w:spacing w:line="360" w:lineRule="auto"/>
        <w:ind w:firstLine="420"/>
        <w:rPr>
          <w:rFonts w:ascii="宋体" w:hAnsi="宋体"/>
        </w:rPr>
      </w:pPr>
      <w:r>
        <w:rPr>
          <w:rFonts w:hint="eastAsia" w:ascii="宋体" w:hAnsi="宋体"/>
        </w:rPr>
        <w:t>从表6以看出，大量的基体铝不干扰测定。</w:t>
      </w:r>
    </w:p>
    <w:p>
      <w:pPr>
        <w:spacing w:line="360" w:lineRule="auto"/>
      </w:pPr>
      <w:r>
        <w:rPr>
          <w:rFonts w:hint="eastAsia" w:ascii="宋体" w:hAnsi="宋体" w:cs="宋体"/>
        </w:rPr>
        <w:t>3、</w:t>
      </w:r>
      <w:r>
        <w:rPr>
          <w:rFonts w:hint="eastAsia"/>
        </w:rPr>
        <w:t>共存</w:t>
      </w:r>
      <w:r>
        <w:rPr>
          <w:rFonts w:hint="eastAsia" w:ascii="宋体" w:hAnsi="宋体"/>
          <w:szCs w:val="21"/>
        </w:rPr>
        <w:t>干扰离子的影响</w:t>
      </w:r>
    </w:p>
    <w:p>
      <w:pPr>
        <w:spacing w:line="360" w:lineRule="auto"/>
        <w:ind w:firstLine="420" w:firstLineChars="200"/>
        <w:rPr>
          <w:rFonts w:ascii="宋体" w:hAnsi="宋体"/>
        </w:rPr>
      </w:pPr>
      <w:r>
        <w:rPr>
          <w:rFonts w:hint="eastAsia" w:ascii="宋体" w:hAnsi="宋体"/>
        </w:rPr>
        <w:t>参考铝锆合金产品标准，考虑那些共存元素含量的情况，同时也考虑试验过程中可能引入的干扰元素以及那些与EDTA有较大络合常数的元素，</w:t>
      </w:r>
      <w:r>
        <w:rPr>
          <w:rFonts w:hint="eastAsia" w:ascii="宋体" w:hAnsi="宋体"/>
          <w:szCs w:val="21"/>
        </w:rPr>
        <w:t>查阅了</w:t>
      </w:r>
      <w:r>
        <w:rPr>
          <w:rFonts w:ascii="宋体" w:hAnsi="宋体"/>
          <w:szCs w:val="21"/>
        </w:rPr>
        <w:t>GB/T 3190</w:t>
      </w:r>
      <w:r>
        <w:rPr>
          <w:rFonts w:hint="eastAsia" w:ascii="宋体" w:hAnsi="宋体"/>
          <w:szCs w:val="21"/>
        </w:rPr>
        <w:t>（草案稿）；</w:t>
      </w:r>
      <w:r>
        <w:rPr>
          <w:rFonts w:ascii="宋体" w:hAnsi="宋体"/>
          <w:szCs w:val="21"/>
        </w:rPr>
        <w:t>GB/T 8733-2016</w:t>
      </w:r>
      <w:r>
        <w:rPr>
          <w:rFonts w:hint="eastAsia" w:ascii="宋体" w:hAnsi="宋体"/>
          <w:szCs w:val="21"/>
        </w:rPr>
        <w:t>；</w:t>
      </w:r>
      <w:r>
        <w:rPr>
          <w:rFonts w:ascii="宋体" w:hAnsi="宋体"/>
          <w:szCs w:val="21"/>
        </w:rPr>
        <w:t>GB/T 27677-2017</w:t>
      </w:r>
      <w:r>
        <w:rPr>
          <w:rFonts w:hint="eastAsia" w:ascii="宋体" w:hAnsi="宋体"/>
          <w:szCs w:val="21"/>
        </w:rPr>
        <w:t>；</w:t>
      </w:r>
      <w:r>
        <w:rPr>
          <w:rFonts w:ascii="宋体" w:hAnsi="宋体"/>
          <w:szCs w:val="21"/>
        </w:rPr>
        <w:t>GB/T 1196-2017</w:t>
      </w:r>
      <w:r>
        <w:rPr>
          <w:rFonts w:hint="eastAsia" w:ascii="宋体" w:hAnsi="宋体"/>
          <w:szCs w:val="21"/>
        </w:rPr>
        <w:t>；</w:t>
      </w:r>
      <w:r>
        <w:rPr>
          <w:rFonts w:ascii="宋体" w:hAnsi="宋体"/>
          <w:szCs w:val="21"/>
        </w:rPr>
        <w:t>YS/T 665-2008</w:t>
      </w:r>
      <w:r>
        <w:rPr>
          <w:rFonts w:hint="eastAsia" w:ascii="宋体" w:hAnsi="宋体"/>
          <w:szCs w:val="21"/>
        </w:rPr>
        <w:t>；</w:t>
      </w:r>
      <w:r>
        <w:rPr>
          <w:rFonts w:ascii="宋体" w:hAnsi="宋体"/>
          <w:szCs w:val="21"/>
        </w:rPr>
        <w:t>YS/T 275-2009</w:t>
      </w:r>
      <w:r>
        <w:rPr>
          <w:rFonts w:hint="eastAsia" w:ascii="宋体" w:hAnsi="宋体"/>
          <w:szCs w:val="21"/>
        </w:rPr>
        <w:t>等</w:t>
      </w:r>
      <w:r>
        <w:rPr>
          <w:rFonts w:ascii="宋体" w:hAnsi="宋体"/>
          <w:szCs w:val="21"/>
        </w:rPr>
        <w:t>7</w:t>
      </w:r>
      <w:r>
        <w:rPr>
          <w:rFonts w:hint="eastAsia" w:ascii="宋体" w:hAnsi="宋体"/>
          <w:szCs w:val="21"/>
        </w:rPr>
        <w:t>个成分标准，及部分产品标准，确定了干扰元素的种类和含量。主要的共存元素</w:t>
      </w:r>
      <w:r>
        <w:rPr>
          <w:rFonts w:ascii="宋体" w:hAnsi="宋体"/>
          <w:szCs w:val="21"/>
        </w:rPr>
        <w:t>Fe</w:t>
      </w:r>
      <w:r>
        <w:rPr>
          <w:rFonts w:hint="eastAsia" w:ascii="宋体" w:hAnsi="宋体"/>
          <w:szCs w:val="21"/>
        </w:rPr>
        <w:t>、</w:t>
      </w:r>
      <w:r>
        <w:rPr>
          <w:rFonts w:ascii="宋体" w:hAnsi="宋体"/>
          <w:szCs w:val="21"/>
        </w:rPr>
        <w:t>Ti</w:t>
      </w:r>
      <w:r>
        <w:rPr>
          <w:rFonts w:hint="eastAsia" w:ascii="宋体" w:hAnsi="宋体"/>
          <w:szCs w:val="21"/>
        </w:rPr>
        <w:t>、</w:t>
      </w:r>
      <w:r>
        <w:rPr>
          <w:rFonts w:ascii="宋体" w:hAnsi="宋体"/>
          <w:szCs w:val="21"/>
        </w:rPr>
        <w:t>Ni</w:t>
      </w:r>
      <w:r>
        <w:rPr>
          <w:rFonts w:hint="eastAsia" w:ascii="宋体" w:hAnsi="宋体"/>
          <w:szCs w:val="21"/>
        </w:rPr>
        <w:t>、</w:t>
      </w:r>
      <w:r>
        <w:rPr>
          <w:rFonts w:ascii="宋体" w:hAnsi="宋体"/>
          <w:szCs w:val="21"/>
        </w:rPr>
        <w:t>Cu</w:t>
      </w:r>
      <w:r>
        <w:rPr>
          <w:rFonts w:hint="eastAsia" w:ascii="宋体" w:hAnsi="宋体"/>
          <w:szCs w:val="21"/>
        </w:rPr>
        <w:t>、</w:t>
      </w:r>
      <w:r>
        <w:rPr>
          <w:rFonts w:ascii="宋体" w:hAnsi="宋体"/>
          <w:szCs w:val="21"/>
        </w:rPr>
        <w:t>Mn</w:t>
      </w:r>
      <w:r>
        <w:rPr>
          <w:rFonts w:hint="eastAsia" w:ascii="宋体" w:hAnsi="宋体"/>
          <w:szCs w:val="21"/>
        </w:rPr>
        <w:t>、</w:t>
      </w:r>
      <w:r>
        <w:rPr>
          <w:rFonts w:ascii="宋体" w:hAnsi="宋体"/>
          <w:szCs w:val="21"/>
        </w:rPr>
        <w:t>Mg</w:t>
      </w:r>
      <w:r>
        <w:rPr>
          <w:rFonts w:hint="eastAsia" w:ascii="宋体" w:hAnsi="宋体"/>
          <w:szCs w:val="21"/>
        </w:rPr>
        <w:t>、</w:t>
      </w:r>
      <w:r>
        <w:rPr>
          <w:rFonts w:ascii="宋体" w:hAnsi="宋体"/>
          <w:szCs w:val="21"/>
        </w:rPr>
        <w:t>Cr</w:t>
      </w:r>
      <w:r>
        <w:rPr>
          <w:rFonts w:hint="eastAsia" w:ascii="宋体" w:hAnsi="宋体"/>
          <w:szCs w:val="21"/>
        </w:rPr>
        <w:t>、</w:t>
      </w:r>
      <w:r>
        <w:rPr>
          <w:rFonts w:ascii="宋体" w:hAnsi="宋体"/>
          <w:szCs w:val="21"/>
        </w:rPr>
        <w:t>Zn</w:t>
      </w:r>
      <w:r>
        <w:rPr>
          <w:rFonts w:hint="eastAsia" w:ascii="宋体" w:hAnsi="宋体"/>
          <w:szCs w:val="21"/>
        </w:rPr>
        <w:t>、</w:t>
      </w:r>
      <w:r>
        <w:rPr>
          <w:rFonts w:ascii="宋体" w:hAnsi="宋体"/>
          <w:szCs w:val="21"/>
        </w:rPr>
        <w:t>Ca</w:t>
      </w:r>
      <w:r>
        <w:rPr>
          <w:rFonts w:hint="eastAsia" w:ascii="宋体" w:hAnsi="宋体"/>
          <w:szCs w:val="21"/>
        </w:rPr>
        <w:t>、</w:t>
      </w:r>
      <w:r>
        <w:rPr>
          <w:rFonts w:ascii="宋体" w:hAnsi="宋体"/>
          <w:szCs w:val="21"/>
        </w:rPr>
        <w:t>V</w:t>
      </w:r>
      <w:r>
        <w:rPr>
          <w:rFonts w:hint="eastAsia" w:ascii="宋体" w:hAnsi="宋体"/>
          <w:szCs w:val="21"/>
        </w:rPr>
        <w:t>、</w:t>
      </w:r>
      <w:r>
        <w:rPr>
          <w:rFonts w:ascii="宋体" w:hAnsi="宋体"/>
          <w:szCs w:val="21"/>
        </w:rPr>
        <w:t>Ce</w:t>
      </w:r>
      <w:r>
        <w:rPr>
          <w:rFonts w:hint="eastAsia" w:ascii="宋体" w:hAnsi="宋体"/>
          <w:szCs w:val="21"/>
        </w:rPr>
        <w:t>、</w:t>
      </w:r>
      <w:r>
        <w:rPr>
          <w:rFonts w:ascii="宋体" w:hAnsi="宋体"/>
          <w:szCs w:val="21"/>
        </w:rPr>
        <w:t>Pb</w:t>
      </w:r>
      <w:r>
        <w:rPr>
          <w:rFonts w:hint="eastAsia" w:ascii="宋体" w:hAnsi="宋体"/>
          <w:szCs w:val="21"/>
        </w:rPr>
        <w:t>、</w:t>
      </w:r>
      <w:r>
        <w:rPr>
          <w:rFonts w:ascii="宋体" w:hAnsi="宋体"/>
          <w:szCs w:val="21"/>
        </w:rPr>
        <w:t>Sn</w:t>
      </w:r>
      <w:r>
        <w:rPr>
          <w:rFonts w:hint="eastAsia" w:ascii="宋体" w:hAnsi="宋体"/>
          <w:szCs w:val="21"/>
        </w:rPr>
        <w:t>等，本次修订主要对这些共存元素进行了干扰实验。</w:t>
      </w:r>
      <w:r>
        <w:rPr>
          <w:rFonts w:hint="eastAsia" w:ascii="宋体" w:hAnsi="宋体"/>
        </w:rPr>
        <w:t>按试验方法，移取</w:t>
      </w:r>
      <w:r>
        <w:rPr>
          <w:rFonts w:hint="eastAsia" w:ascii="宋体" w:hAnsi="宋体"/>
          <w:bCs/>
          <w:color w:val="000000"/>
          <w:szCs w:val="21"/>
        </w:rPr>
        <w:t>10.00mL锆标准溶液</w:t>
      </w:r>
      <w:r>
        <w:rPr>
          <w:rFonts w:hint="eastAsia" w:ascii="宋体" w:hAnsi="宋体"/>
        </w:rPr>
        <w:t>，比较加入以下量的共存离子前后锆测定值的变化情况，试验结果见表7。</w:t>
      </w:r>
    </w:p>
    <w:p>
      <w:pPr>
        <w:spacing w:line="360" w:lineRule="auto"/>
        <w:ind w:firstLine="420" w:firstLineChars="200"/>
        <w:jc w:val="center"/>
        <w:rPr>
          <w:rFonts w:ascii="宋体" w:hAnsi="宋体"/>
        </w:rPr>
      </w:pPr>
      <w:r>
        <w:rPr>
          <w:rFonts w:hint="eastAsia" w:ascii="宋体" w:hAnsi="宋体"/>
        </w:rPr>
        <w:t>表7：共存元素干扰试验</w:t>
      </w:r>
    </w:p>
    <w:tbl>
      <w:tblPr>
        <w:tblStyle w:val="20"/>
        <w:tblW w:w="8164" w:type="dxa"/>
        <w:jc w:val="center"/>
        <w:tblInd w:w="-2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90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rFonts w:hint="eastAsia" w:ascii="宋体" w:hAnsi="宋体"/>
                <w:szCs w:val="21"/>
              </w:rPr>
              <w:t>共存元素</w:t>
            </w:r>
          </w:p>
        </w:tc>
        <w:tc>
          <w:tcPr>
            <w:tcW w:w="2905" w:type="dxa"/>
          </w:tcPr>
          <w:p>
            <w:pPr>
              <w:spacing w:line="360" w:lineRule="auto"/>
              <w:jc w:val="center"/>
              <w:rPr>
                <w:rFonts w:ascii="宋体" w:hAnsi="宋体"/>
                <w:szCs w:val="21"/>
              </w:rPr>
            </w:pPr>
            <w:r>
              <w:rPr>
                <w:rFonts w:hint="eastAsia" w:ascii="宋体" w:hAnsi="宋体"/>
                <w:szCs w:val="21"/>
              </w:rPr>
              <w:t>共存元素加入量（mg）</w:t>
            </w:r>
          </w:p>
        </w:tc>
        <w:tc>
          <w:tcPr>
            <w:tcW w:w="2565" w:type="dxa"/>
          </w:tcPr>
          <w:p>
            <w:pPr>
              <w:spacing w:line="360" w:lineRule="auto"/>
              <w:jc w:val="center"/>
              <w:rPr>
                <w:rFonts w:ascii="宋体" w:hAnsi="宋体"/>
                <w:szCs w:val="21"/>
              </w:rPr>
            </w:pPr>
            <w:r>
              <w:rPr>
                <w:rFonts w:hint="eastAsia" w:ascii="宋体" w:hAnsi="宋体"/>
                <w:szCs w:val="21"/>
              </w:rPr>
              <w:t>滴定体积（mL）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rFonts w:hint="eastAsia" w:ascii="宋体" w:hAnsi="宋体"/>
                <w:szCs w:val="21"/>
              </w:rPr>
              <w:t>\</w:t>
            </w:r>
          </w:p>
        </w:tc>
        <w:tc>
          <w:tcPr>
            <w:tcW w:w="2905" w:type="dxa"/>
          </w:tcPr>
          <w:p>
            <w:pPr>
              <w:spacing w:line="360" w:lineRule="auto"/>
              <w:jc w:val="center"/>
              <w:rPr>
                <w:rFonts w:ascii="宋体" w:hAnsi="宋体"/>
                <w:szCs w:val="21"/>
              </w:rPr>
            </w:pPr>
            <w:r>
              <w:rPr>
                <w:rFonts w:hint="eastAsia" w:ascii="宋体" w:hAnsi="宋体"/>
                <w:szCs w:val="21"/>
              </w:rPr>
              <w:t>\</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Cu</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rFonts w:hint="eastAsia"/>
                <w:szCs w:val="21"/>
              </w:rPr>
              <w:t>Cr</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Pb</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Sn</w:t>
            </w:r>
          </w:p>
        </w:tc>
        <w:tc>
          <w:tcPr>
            <w:tcW w:w="2905" w:type="dxa"/>
          </w:tcPr>
          <w:p>
            <w:pPr>
              <w:spacing w:line="360" w:lineRule="auto"/>
              <w:jc w:val="center"/>
              <w:rPr>
                <w:rFonts w:ascii="宋体" w:hAnsi="宋体"/>
                <w:szCs w:val="21"/>
              </w:rPr>
            </w:pPr>
            <w:r>
              <w:rPr>
                <w:rFonts w:hint="eastAsia" w:ascii="宋体" w:hAnsi="宋体"/>
                <w:szCs w:val="21"/>
              </w:rPr>
              <w:t>100</w:t>
            </w:r>
          </w:p>
        </w:tc>
        <w:tc>
          <w:tcPr>
            <w:tcW w:w="2565" w:type="dxa"/>
          </w:tcPr>
          <w:p>
            <w:pPr>
              <w:spacing w:line="360" w:lineRule="auto"/>
              <w:jc w:val="center"/>
              <w:rPr>
                <w:rFonts w:ascii="宋体" w:hAnsi="宋体"/>
                <w:szCs w:val="21"/>
              </w:rPr>
            </w:pPr>
            <w:r>
              <w:rPr>
                <w:rFonts w:hint="eastAsia" w:ascii="宋体" w:hAnsi="宋体"/>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Zn</w:t>
            </w:r>
          </w:p>
        </w:tc>
        <w:tc>
          <w:tcPr>
            <w:tcW w:w="2905" w:type="dxa"/>
          </w:tcPr>
          <w:p>
            <w:pPr>
              <w:spacing w:line="360" w:lineRule="auto"/>
              <w:jc w:val="center"/>
              <w:rPr>
                <w:rFonts w:ascii="宋体" w:hAnsi="宋体"/>
                <w:szCs w:val="21"/>
              </w:rPr>
            </w:pPr>
            <w:r>
              <w:rPr>
                <w:rFonts w:hint="eastAsia" w:ascii="宋体" w:hAnsi="宋体"/>
                <w:szCs w:val="21"/>
              </w:rPr>
              <w:t>100</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Mg</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Mn</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Ti</w:t>
            </w:r>
          </w:p>
        </w:tc>
        <w:tc>
          <w:tcPr>
            <w:tcW w:w="2905" w:type="dxa"/>
          </w:tcPr>
          <w:p>
            <w:pPr>
              <w:spacing w:line="360" w:lineRule="auto"/>
              <w:jc w:val="center"/>
              <w:rPr>
                <w:rFonts w:ascii="宋体" w:hAnsi="宋体"/>
                <w:szCs w:val="21"/>
              </w:rPr>
            </w:pPr>
            <w:r>
              <w:rPr>
                <w:rFonts w:hint="eastAsia" w:ascii="宋体" w:hAnsi="宋体"/>
                <w:szCs w:val="21"/>
              </w:rPr>
              <w:t>100</w:t>
            </w:r>
          </w:p>
        </w:tc>
        <w:tc>
          <w:tcPr>
            <w:tcW w:w="2565" w:type="dxa"/>
          </w:tcPr>
          <w:p>
            <w:pPr>
              <w:spacing w:line="360" w:lineRule="auto"/>
              <w:jc w:val="center"/>
              <w:rPr>
                <w:rFonts w:ascii="宋体" w:hAnsi="宋体"/>
                <w:szCs w:val="21"/>
              </w:rPr>
            </w:pPr>
            <w:r>
              <w:rPr>
                <w:rFonts w:hint="eastAsia" w:ascii="宋体" w:hAnsi="宋体"/>
                <w:szCs w:val="21"/>
              </w:rPr>
              <w:t>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V</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Ni</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szCs w:val="21"/>
              </w:rPr>
              <w:t>Fe</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rFonts w:hint="eastAsia"/>
                <w:szCs w:val="21"/>
              </w:rPr>
              <w:t>Ce</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4" w:type="dxa"/>
          </w:tcPr>
          <w:p>
            <w:pPr>
              <w:spacing w:line="360" w:lineRule="auto"/>
              <w:jc w:val="center"/>
              <w:rPr>
                <w:rFonts w:ascii="宋体" w:hAnsi="宋体"/>
                <w:szCs w:val="21"/>
              </w:rPr>
            </w:pPr>
            <w:r>
              <w:rPr>
                <w:rFonts w:hint="eastAsia"/>
                <w:szCs w:val="21"/>
              </w:rPr>
              <w:t>Ca</w:t>
            </w:r>
          </w:p>
        </w:tc>
        <w:tc>
          <w:tcPr>
            <w:tcW w:w="2905" w:type="dxa"/>
          </w:tcPr>
          <w:p>
            <w:pPr>
              <w:spacing w:line="360" w:lineRule="auto"/>
              <w:jc w:val="center"/>
              <w:rPr>
                <w:rFonts w:ascii="宋体" w:hAnsi="宋体"/>
                <w:szCs w:val="21"/>
              </w:rPr>
            </w:pPr>
            <w:r>
              <w:rPr>
                <w:rFonts w:hint="eastAsia" w:ascii="宋体" w:hAnsi="宋体"/>
                <w:szCs w:val="21"/>
              </w:rPr>
              <w:t>50</w:t>
            </w:r>
          </w:p>
        </w:tc>
        <w:tc>
          <w:tcPr>
            <w:tcW w:w="2565" w:type="dxa"/>
          </w:tcPr>
          <w:p>
            <w:pPr>
              <w:spacing w:line="360" w:lineRule="auto"/>
              <w:jc w:val="center"/>
              <w:rPr>
                <w:rFonts w:ascii="宋体" w:hAnsi="宋体"/>
                <w:szCs w:val="21"/>
              </w:rPr>
            </w:pPr>
            <w:r>
              <w:rPr>
                <w:rFonts w:hint="eastAsia" w:ascii="宋体" w:hAnsi="宋体"/>
                <w:szCs w:val="21"/>
              </w:rPr>
              <w:t>21.18</w:t>
            </w:r>
          </w:p>
        </w:tc>
      </w:tr>
    </w:tbl>
    <w:p>
      <w:pPr>
        <w:spacing w:line="360" w:lineRule="auto"/>
        <w:ind w:firstLine="420"/>
        <w:rPr>
          <w:rFonts w:ascii="宋体" w:hAnsi="宋体"/>
          <w:szCs w:val="21"/>
        </w:rPr>
      </w:pPr>
      <w:r>
        <w:rPr>
          <w:rFonts w:hint="eastAsia" w:ascii="黑体" w:hAnsi="宋体" w:eastAsia="黑体"/>
        </w:rPr>
        <w:t>　</w:t>
      </w:r>
      <w:r>
        <w:rPr>
          <w:rFonts w:ascii="黑体" w:hAnsi="宋体" w:eastAsia="黑体"/>
        </w:rPr>
        <w:t>　</w:t>
      </w:r>
      <w:r>
        <w:rPr>
          <w:rFonts w:ascii="宋体" w:hAnsi="宋体"/>
          <w:szCs w:val="21"/>
        </w:rPr>
        <w:t>由表</w:t>
      </w:r>
      <w:r>
        <w:rPr>
          <w:rFonts w:hint="eastAsia" w:ascii="宋体" w:hAnsi="宋体"/>
          <w:szCs w:val="21"/>
        </w:rPr>
        <w:t>7可</w:t>
      </w:r>
      <w:r>
        <w:rPr>
          <w:rFonts w:ascii="宋体" w:hAnsi="宋体"/>
          <w:szCs w:val="21"/>
        </w:rPr>
        <w:t>知</w:t>
      </w:r>
      <w:r>
        <w:rPr>
          <w:rFonts w:hint="eastAsia" w:ascii="宋体" w:hAnsi="宋体"/>
          <w:szCs w:val="21"/>
        </w:rPr>
        <w:t>在</w:t>
      </w:r>
      <w:r>
        <w:rPr>
          <w:rFonts w:ascii="宋体" w:hAnsi="宋体"/>
          <w:szCs w:val="21"/>
        </w:rPr>
        <w:t>测定</w:t>
      </w:r>
      <w:r>
        <w:rPr>
          <w:rFonts w:hint="eastAsia" w:ascii="宋体" w:hAnsi="宋体"/>
          <w:szCs w:val="21"/>
        </w:rPr>
        <w:t>溶液中含有</w:t>
      </w:r>
      <w:r>
        <w:rPr>
          <w:rFonts w:ascii="宋体" w:hAnsi="宋体"/>
          <w:szCs w:val="21"/>
        </w:rPr>
        <w:t>表中浓度的共存元素不干扰</w:t>
      </w:r>
      <w:r>
        <w:rPr>
          <w:rFonts w:hint="eastAsia" w:ascii="宋体" w:hAnsi="宋体"/>
          <w:szCs w:val="21"/>
        </w:rPr>
        <w:t>锆</w:t>
      </w:r>
      <w:r>
        <w:rPr>
          <w:rFonts w:ascii="宋体" w:hAnsi="宋体"/>
          <w:szCs w:val="21"/>
        </w:rPr>
        <w:t>的测定。</w:t>
      </w:r>
    </w:p>
    <w:p>
      <w:pPr>
        <w:spacing w:line="360" w:lineRule="auto"/>
        <w:rPr>
          <w:rFonts w:ascii="宋体" w:hAnsi="宋体"/>
          <w:bCs/>
          <w:color w:val="000000"/>
          <w:szCs w:val="21"/>
        </w:rPr>
      </w:pPr>
      <w:r>
        <w:rPr>
          <w:rFonts w:hint="eastAsia" w:ascii="宋体" w:hAnsi="宋体"/>
          <w:szCs w:val="21"/>
        </w:rPr>
        <w:t>4、</w:t>
      </w:r>
      <w:r>
        <w:rPr>
          <w:rFonts w:hint="eastAsia" w:ascii="宋体" w:hAnsi="宋体"/>
          <w:bCs/>
          <w:color w:val="000000"/>
          <w:szCs w:val="21"/>
        </w:rPr>
        <w:t>铪对锆测定影响试验</w:t>
      </w:r>
    </w:p>
    <w:p>
      <w:pPr>
        <w:spacing w:line="360" w:lineRule="auto"/>
        <w:rPr>
          <w:rFonts w:ascii="宋体" w:hAnsi="宋体"/>
        </w:rPr>
      </w:pPr>
      <w:r>
        <w:rPr>
          <w:rFonts w:hint="eastAsia"/>
        </w:rPr>
        <w:t>　　</w:t>
      </w:r>
      <w:r>
        <w:rPr>
          <w:rFonts w:hint="eastAsia" w:ascii="宋体" w:hAnsi="宋体"/>
        </w:rPr>
        <w:t>由于铪与锆化学性质相似，在试验方法条件下铪和锆都1：1与EDTA络合，铪定量参与锆的滴定，若样品中含有铪应采用ICP-AES测定铪后从滴定结果中扣除，根据锆与铪的原子量计算，应在滴定结果中扣除0.51倍铪的测定结果。</w:t>
      </w:r>
    </w:p>
    <w:p>
      <w:pPr>
        <w:spacing w:line="360" w:lineRule="auto"/>
        <w:rPr>
          <w:szCs w:val="21"/>
        </w:rPr>
      </w:pPr>
      <w:r>
        <w:rPr>
          <w:rFonts w:hint="eastAsia" w:ascii="宋体" w:hAnsi="宋体"/>
          <w:szCs w:val="21"/>
        </w:rPr>
        <w:t>5、样</w:t>
      </w:r>
      <w:r>
        <w:rPr>
          <w:rFonts w:hint="eastAsia"/>
        </w:rPr>
        <w:t>品分析和</w:t>
      </w:r>
      <w:r>
        <w:rPr>
          <w:rFonts w:hint="eastAsia"/>
          <w:szCs w:val="21"/>
        </w:rPr>
        <w:t>精密度试验</w:t>
      </w:r>
    </w:p>
    <w:p>
      <w:pPr>
        <w:spacing w:line="360" w:lineRule="auto"/>
        <w:ind w:firstLine="420" w:firstLineChars="200"/>
        <w:rPr>
          <w:rFonts w:ascii="宋体" w:hAnsi="宋体"/>
          <w:szCs w:val="21"/>
        </w:rPr>
      </w:pPr>
      <w:r>
        <w:rPr>
          <w:rFonts w:hint="eastAsia" w:ascii="宋体" w:hAnsi="宋体"/>
          <w:szCs w:val="21"/>
        </w:rPr>
        <w:t>按照样品分析方法，对二个不同含量的样品GBS007和GBS008进行了11次平行测定，GBS007和GBS008</w:t>
      </w:r>
      <w:r>
        <w:rPr>
          <w:rFonts w:hint="eastAsia" w:ascii="宋体" w:hAnsi="宋体"/>
        </w:rPr>
        <w:t>icp-AES测定铪的结果分别是0.23%和0.34%,所以锆的滴定测定结果要分别减去0.12%和0.17%。</w:t>
      </w:r>
      <w:r>
        <w:rPr>
          <w:rFonts w:hint="eastAsia" w:ascii="宋体" w:hAnsi="宋体"/>
          <w:szCs w:val="21"/>
        </w:rPr>
        <w:t>由于生产单位提供的GBS033样品中不含锆铪，用此样作铝基体加入25㎎锆标准模拟AlZr5牌号样品，分析结果见表8。</w:t>
      </w:r>
    </w:p>
    <w:p>
      <w:pPr>
        <w:spacing w:line="360" w:lineRule="auto"/>
        <w:jc w:val="center"/>
        <w:rPr>
          <w:rFonts w:ascii="宋体" w:hAnsi="宋体"/>
          <w:szCs w:val="21"/>
        </w:rPr>
      </w:pPr>
      <w:r>
        <w:rPr>
          <w:rFonts w:hint="eastAsia" w:ascii="宋体" w:hAnsi="宋体"/>
          <w:szCs w:val="21"/>
        </w:rPr>
        <w:t>表8  分析结果</w:t>
      </w:r>
    </w:p>
    <w:tbl>
      <w:tblPr>
        <w:tblStyle w:val="20"/>
        <w:tblW w:w="7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93"/>
        <w:gridCol w:w="1276"/>
        <w:gridCol w:w="91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宋体" w:hAnsi="宋体"/>
                <w:szCs w:val="21"/>
              </w:rPr>
            </w:pPr>
            <w:r>
              <w:rPr>
                <w:rFonts w:hint="eastAsia" w:ascii="宋体" w:hAnsi="宋体"/>
                <w:szCs w:val="21"/>
              </w:rPr>
              <w:t>样品编号</w:t>
            </w:r>
          </w:p>
        </w:tc>
        <w:tc>
          <w:tcPr>
            <w:tcW w:w="2693" w:type="dxa"/>
            <w:vAlign w:val="center"/>
          </w:tcPr>
          <w:p>
            <w:pPr>
              <w:jc w:val="center"/>
              <w:rPr>
                <w:rFonts w:ascii="宋体" w:hAnsi="宋体"/>
                <w:szCs w:val="21"/>
              </w:rPr>
            </w:pPr>
            <w:r>
              <w:rPr>
                <w:rFonts w:hint="eastAsia" w:ascii="宋体" w:hAnsi="宋体"/>
                <w:szCs w:val="21"/>
              </w:rPr>
              <w:t>测量值，%</w:t>
            </w:r>
          </w:p>
        </w:tc>
        <w:tc>
          <w:tcPr>
            <w:tcW w:w="1276" w:type="dxa"/>
            <w:vAlign w:val="center"/>
          </w:tcPr>
          <w:p>
            <w:pPr>
              <w:rPr>
                <w:rFonts w:ascii="宋体" w:hAnsi="宋体"/>
                <w:szCs w:val="21"/>
              </w:rPr>
            </w:pPr>
            <w:r>
              <w:rPr>
                <w:rFonts w:hint="eastAsia" w:ascii="宋体" w:hAnsi="宋体"/>
                <w:szCs w:val="21"/>
              </w:rPr>
              <w:t>平均值，%</w:t>
            </w:r>
          </w:p>
        </w:tc>
        <w:tc>
          <w:tcPr>
            <w:tcW w:w="912" w:type="dxa"/>
            <w:vAlign w:val="center"/>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偏差</w:t>
            </w:r>
          </w:p>
        </w:tc>
        <w:tc>
          <w:tcPr>
            <w:tcW w:w="986" w:type="dxa"/>
            <w:vAlign w:val="center"/>
          </w:tcPr>
          <w:p>
            <w:pPr>
              <w:jc w:val="center"/>
              <w:rPr>
                <w:rFonts w:ascii="宋体" w:hAnsi="宋体"/>
                <w:szCs w:val="21"/>
              </w:rPr>
            </w:pPr>
            <w:r>
              <w:rPr>
                <w:rFonts w:hint="eastAsia" w:ascii="宋体" w:hAnsi="宋体"/>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668" w:type="dxa"/>
            <w:vAlign w:val="center"/>
          </w:tcPr>
          <w:p>
            <w:pPr>
              <w:jc w:val="center"/>
              <w:rPr>
                <w:rFonts w:ascii="宋体" w:hAnsi="宋体"/>
                <w:szCs w:val="21"/>
              </w:rPr>
            </w:pPr>
            <w:r>
              <w:rPr>
                <w:rFonts w:hint="eastAsia" w:ascii="宋体" w:hAnsi="宋体"/>
                <w:szCs w:val="21"/>
              </w:rPr>
              <w:t>GBS033</w:t>
            </w:r>
          </w:p>
          <w:p>
            <w:pPr>
              <w:jc w:val="center"/>
              <w:rPr>
                <w:rFonts w:ascii="宋体" w:hAnsi="宋体"/>
                <w:szCs w:val="21"/>
              </w:rPr>
            </w:pPr>
            <w:r>
              <w:rPr>
                <w:rFonts w:hint="eastAsia" w:ascii="宋体" w:hAnsi="宋体"/>
                <w:szCs w:val="21"/>
              </w:rPr>
              <w:t>加25mg锆标液</w:t>
            </w:r>
          </w:p>
        </w:tc>
        <w:tc>
          <w:tcPr>
            <w:tcW w:w="2693" w:type="dxa"/>
            <w:vAlign w:val="center"/>
          </w:tcPr>
          <w:tbl>
            <w:tblPr>
              <w:tblStyle w:val="20"/>
              <w:tblW w:w="3296" w:type="dxa"/>
              <w:tblInd w:w="0" w:type="dxa"/>
              <w:tblLayout w:type="fixed"/>
              <w:tblCellMar>
                <w:top w:w="0" w:type="dxa"/>
                <w:left w:w="108" w:type="dxa"/>
                <w:bottom w:w="0" w:type="dxa"/>
                <w:right w:w="108" w:type="dxa"/>
              </w:tblCellMar>
            </w:tblPr>
            <w:tblGrid>
              <w:gridCol w:w="3296"/>
            </w:tblGrid>
            <w:tr>
              <w:tblPrEx>
                <w:tblLayout w:type="fixed"/>
                <w:tblCellMar>
                  <w:top w:w="0" w:type="dxa"/>
                  <w:left w:w="108" w:type="dxa"/>
                  <w:bottom w:w="0" w:type="dxa"/>
                  <w:right w:w="108" w:type="dxa"/>
                </w:tblCellMar>
              </w:tblPrEx>
              <w:trPr>
                <w:trHeight w:val="1096" w:hRule="atLeast"/>
              </w:trPr>
              <w:tc>
                <w:tcPr>
                  <w:tcW w:w="3296" w:type="dxa"/>
                  <w:tcBorders>
                    <w:top w:val="nil"/>
                    <w:left w:val="nil"/>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4.98，5.04，4.92，4.96，</w:t>
                  </w:r>
                </w:p>
                <w:p>
                  <w:pPr>
                    <w:widowControl/>
                    <w:jc w:val="left"/>
                    <w:rPr>
                      <w:rFonts w:ascii="宋体" w:hAnsi="宋体" w:cs="宋体"/>
                      <w:color w:val="000000"/>
                      <w:kern w:val="0"/>
                      <w:szCs w:val="21"/>
                    </w:rPr>
                  </w:pPr>
                  <w:r>
                    <w:rPr>
                      <w:rFonts w:hint="eastAsia" w:ascii="宋体" w:hAnsi="宋体" w:cs="宋体"/>
                      <w:color w:val="000000"/>
                      <w:kern w:val="0"/>
                      <w:szCs w:val="21"/>
                    </w:rPr>
                    <w:t>4.97，5.01，4.98，4.96，</w:t>
                  </w:r>
                </w:p>
                <w:p>
                  <w:pPr>
                    <w:widowControl/>
                    <w:jc w:val="left"/>
                    <w:rPr>
                      <w:rFonts w:ascii="宋体" w:hAnsi="宋体" w:cs="宋体"/>
                      <w:color w:val="000000"/>
                      <w:kern w:val="0"/>
                      <w:szCs w:val="21"/>
                    </w:rPr>
                  </w:pPr>
                  <w:r>
                    <w:rPr>
                      <w:rFonts w:hint="eastAsia" w:ascii="宋体" w:hAnsi="宋体" w:cs="宋体"/>
                      <w:color w:val="000000"/>
                      <w:kern w:val="0"/>
                      <w:szCs w:val="21"/>
                    </w:rPr>
                    <w:t>4.97，4.98，4.98</w:t>
                  </w:r>
                </w:p>
              </w:tc>
            </w:tr>
          </w:tbl>
          <w:p>
            <w:pPr>
              <w:jc w:val="left"/>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4.98</w:t>
            </w:r>
          </w:p>
        </w:tc>
        <w:tc>
          <w:tcPr>
            <w:tcW w:w="912" w:type="dxa"/>
            <w:vAlign w:val="center"/>
          </w:tcPr>
          <w:p>
            <w:pPr>
              <w:jc w:val="center"/>
              <w:rPr>
                <w:rFonts w:ascii="宋体" w:hAnsi="宋体"/>
                <w:szCs w:val="21"/>
              </w:rPr>
            </w:pPr>
            <w:r>
              <w:rPr>
                <w:rFonts w:hint="eastAsia" w:ascii="宋体" w:hAnsi="宋体"/>
                <w:szCs w:val="21"/>
              </w:rPr>
              <w:t>0.031</w:t>
            </w:r>
          </w:p>
        </w:tc>
        <w:tc>
          <w:tcPr>
            <w:tcW w:w="986" w:type="dxa"/>
            <w:vAlign w:val="center"/>
          </w:tcPr>
          <w:p>
            <w:pPr>
              <w:jc w:val="center"/>
              <w:rPr>
                <w:rFonts w:ascii="宋体" w:hAnsi="宋体"/>
                <w:szCs w:val="21"/>
              </w:rPr>
            </w:pPr>
            <w:r>
              <w:rPr>
                <w:rFonts w:hint="eastAsia" w:ascii="宋体" w:hAnsi="宋体"/>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668" w:type="dxa"/>
            <w:vAlign w:val="center"/>
          </w:tcPr>
          <w:p>
            <w:pPr>
              <w:jc w:val="center"/>
              <w:rPr>
                <w:rFonts w:ascii="宋体" w:hAnsi="宋体"/>
                <w:szCs w:val="21"/>
              </w:rPr>
            </w:pPr>
            <w:r>
              <w:rPr>
                <w:rFonts w:hint="eastAsia" w:ascii="宋体" w:hAnsi="宋体"/>
                <w:szCs w:val="21"/>
              </w:rPr>
              <w:t>GBS007</w:t>
            </w:r>
          </w:p>
        </w:tc>
        <w:tc>
          <w:tcPr>
            <w:tcW w:w="2693" w:type="dxa"/>
            <w:vAlign w:val="center"/>
          </w:tcPr>
          <w:tbl>
            <w:tblPr>
              <w:tblStyle w:val="20"/>
              <w:tblW w:w="3448" w:type="dxa"/>
              <w:tblInd w:w="0" w:type="dxa"/>
              <w:tblLayout w:type="fixed"/>
              <w:tblCellMar>
                <w:top w:w="0" w:type="dxa"/>
                <w:left w:w="108" w:type="dxa"/>
                <w:bottom w:w="0" w:type="dxa"/>
                <w:right w:w="108" w:type="dxa"/>
              </w:tblCellMar>
            </w:tblPr>
            <w:tblGrid>
              <w:gridCol w:w="3448"/>
            </w:tblGrid>
            <w:tr>
              <w:tblPrEx>
                <w:tblLayout w:type="fixed"/>
                <w:tblCellMar>
                  <w:top w:w="0" w:type="dxa"/>
                  <w:left w:w="108" w:type="dxa"/>
                  <w:bottom w:w="0" w:type="dxa"/>
                  <w:right w:w="108" w:type="dxa"/>
                </w:tblCellMar>
              </w:tblPrEx>
              <w:trPr>
                <w:trHeight w:val="1834" w:hRule="atLeast"/>
              </w:trPr>
              <w:tc>
                <w:tcPr>
                  <w:tcW w:w="3448" w:type="dxa"/>
                  <w:tcBorders>
                    <w:top w:val="nil"/>
                    <w:left w:val="nil"/>
                    <w:right w:val="nil"/>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10.49，10.32，10.26，</w:t>
                  </w:r>
                </w:p>
                <w:p>
                  <w:pPr>
                    <w:widowControl/>
                    <w:jc w:val="left"/>
                    <w:rPr>
                      <w:rFonts w:ascii="宋体" w:hAnsi="宋体" w:cs="宋体"/>
                      <w:color w:val="000000"/>
                      <w:kern w:val="0"/>
                      <w:szCs w:val="21"/>
                    </w:rPr>
                  </w:pPr>
                  <w:r>
                    <w:rPr>
                      <w:rFonts w:hint="eastAsia" w:ascii="宋体" w:hAnsi="宋体" w:cs="宋体"/>
                      <w:color w:val="000000"/>
                      <w:kern w:val="0"/>
                      <w:szCs w:val="21"/>
                    </w:rPr>
                    <w:t>10.53，10.46，10.60，</w:t>
                  </w:r>
                </w:p>
                <w:p>
                  <w:pPr>
                    <w:widowControl/>
                    <w:jc w:val="left"/>
                    <w:rPr>
                      <w:rFonts w:ascii="宋体" w:hAnsi="宋体" w:cs="宋体"/>
                      <w:color w:val="000000"/>
                      <w:kern w:val="0"/>
                      <w:szCs w:val="21"/>
                    </w:rPr>
                  </w:pPr>
                  <w:r>
                    <w:rPr>
                      <w:rFonts w:hint="eastAsia" w:ascii="宋体" w:hAnsi="宋体" w:cs="宋体"/>
                      <w:color w:val="000000"/>
                      <w:kern w:val="0"/>
                      <w:szCs w:val="21"/>
                    </w:rPr>
                    <w:t>10.40，10.47，10.44，</w:t>
                  </w:r>
                </w:p>
                <w:p>
                  <w:pPr>
                    <w:widowControl/>
                    <w:jc w:val="left"/>
                    <w:rPr>
                      <w:rFonts w:ascii="宋体" w:hAnsi="宋体" w:cs="宋体"/>
                      <w:color w:val="000000"/>
                      <w:kern w:val="0"/>
                      <w:szCs w:val="21"/>
                    </w:rPr>
                  </w:pPr>
                  <w:r>
                    <w:rPr>
                      <w:rFonts w:hint="eastAsia" w:ascii="宋体" w:hAnsi="宋体" w:cs="宋体"/>
                      <w:color w:val="000000"/>
                      <w:kern w:val="0"/>
                      <w:szCs w:val="21"/>
                    </w:rPr>
                    <w:t>10.06，10.44</w:t>
                  </w:r>
                </w:p>
              </w:tc>
            </w:tr>
          </w:tbl>
          <w:p>
            <w:pPr>
              <w:jc w:val="left"/>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10.41</w:t>
            </w:r>
          </w:p>
        </w:tc>
        <w:tc>
          <w:tcPr>
            <w:tcW w:w="912" w:type="dxa"/>
            <w:vAlign w:val="center"/>
          </w:tcPr>
          <w:p>
            <w:pPr>
              <w:jc w:val="center"/>
              <w:rPr>
                <w:rFonts w:ascii="宋体" w:hAnsi="宋体"/>
                <w:szCs w:val="21"/>
              </w:rPr>
            </w:pPr>
            <w:r>
              <w:rPr>
                <w:rFonts w:hint="eastAsia" w:ascii="宋体" w:hAnsi="宋体"/>
                <w:szCs w:val="21"/>
              </w:rPr>
              <w:t>0.15</w:t>
            </w:r>
          </w:p>
        </w:tc>
        <w:tc>
          <w:tcPr>
            <w:tcW w:w="986" w:type="dxa"/>
            <w:vAlign w:val="center"/>
          </w:tcPr>
          <w:p>
            <w:pPr>
              <w:jc w:val="center"/>
              <w:rPr>
                <w:rFonts w:ascii="宋体" w:hAnsi="宋体"/>
                <w:szCs w:val="21"/>
              </w:rPr>
            </w:pPr>
            <w:r>
              <w:rPr>
                <w:rFonts w:hint="eastAsia" w:ascii="宋体" w:hAnsi="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宋体" w:hAnsi="宋体"/>
                <w:szCs w:val="21"/>
              </w:rPr>
            </w:pPr>
            <w:r>
              <w:rPr>
                <w:rFonts w:hint="eastAsia" w:ascii="宋体" w:hAnsi="宋体"/>
                <w:szCs w:val="21"/>
              </w:rPr>
              <w:t>GBS008</w:t>
            </w:r>
          </w:p>
        </w:tc>
        <w:tc>
          <w:tcPr>
            <w:tcW w:w="2693" w:type="dxa"/>
            <w:vAlign w:val="center"/>
          </w:tcPr>
          <w:tbl>
            <w:tblPr>
              <w:tblStyle w:val="20"/>
              <w:tblW w:w="3295" w:type="dxa"/>
              <w:tblInd w:w="0" w:type="dxa"/>
              <w:tblLayout w:type="fixed"/>
              <w:tblCellMar>
                <w:top w:w="0" w:type="dxa"/>
                <w:left w:w="108" w:type="dxa"/>
                <w:bottom w:w="0" w:type="dxa"/>
                <w:right w:w="108" w:type="dxa"/>
              </w:tblCellMar>
            </w:tblPr>
            <w:tblGrid>
              <w:gridCol w:w="3295"/>
            </w:tblGrid>
            <w:tr>
              <w:tblPrEx>
                <w:tblLayout w:type="fixed"/>
                <w:tblCellMar>
                  <w:top w:w="0" w:type="dxa"/>
                  <w:left w:w="108" w:type="dxa"/>
                  <w:bottom w:w="0" w:type="dxa"/>
                  <w:right w:w="108" w:type="dxa"/>
                </w:tblCellMar>
              </w:tblPrEx>
              <w:trPr>
                <w:trHeight w:val="778" w:hRule="atLeast"/>
              </w:trPr>
              <w:tc>
                <w:tcPr>
                  <w:tcW w:w="3295" w:type="dxa"/>
                  <w:tcBorders>
                    <w:top w:val="nil"/>
                    <w:left w:val="nil"/>
                    <w:right w:val="nil"/>
                  </w:tcBorders>
                  <w:shd w:val="clear" w:color="auto" w:fill="auto"/>
                  <w:noWrap/>
                </w:tcPr>
                <w:p>
                  <w:pPr>
                    <w:widowControl/>
                    <w:jc w:val="left"/>
                    <w:rPr>
                      <w:rFonts w:ascii="宋体" w:hAnsi="宋体" w:cs="宋体"/>
                      <w:color w:val="000000"/>
                      <w:kern w:val="0"/>
                      <w:szCs w:val="21"/>
                    </w:rPr>
                  </w:pPr>
                  <w:r>
                    <w:rPr>
                      <w:rFonts w:hint="eastAsia" w:ascii="宋体" w:hAnsi="宋体" w:cs="宋体"/>
                      <w:color w:val="000000"/>
                      <w:kern w:val="0"/>
                      <w:szCs w:val="21"/>
                    </w:rPr>
                    <w:t>15.13，14.89，15.56，</w:t>
                  </w:r>
                </w:p>
                <w:p>
                  <w:pPr>
                    <w:widowControl/>
                    <w:jc w:val="left"/>
                    <w:rPr>
                      <w:rFonts w:ascii="宋体" w:hAnsi="宋体" w:cs="宋体"/>
                      <w:color w:val="000000"/>
                      <w:kern w:val="0"/>
                      <w:szCs w:val="21"/>
                    </w:rPr>
                  </w:pPr>
                  <w:r>
                    <w:rPr>
                      <w:rFonts w:hint="eastAsia" w:ascii="宋体" w:hAnsi="宋体" w:cs="宋体"/>
                      <w:color w:val="000000"/>
                      <w:kern w:val="0"/>
                      <w:szCs w:val="21"/>
                    </w:rPr>
                    <w:t>15.62，15.71，15.39，</w:t>
                  </w:r>
                </w:p>
                <w:p>
                  <w:pPr>
                    <w:widowControl/>
                    <w:jc w:val="left"/>
                    <w:rPr>
                      <w:rFonts w:ascii="宋体" w:hAnsi="宋体" w:cs="宋体"/>
                      <w:color w:val="000000"/>
                      <w:kern w:val="0"/>
                      <w:szCs w:val="21"/>
                    </w:rPr>
                  </w:pPr>
                  <w:r>
                    <w:rPr>
                      <w:rFonts w:hint="eastAsia" w:ascii="宋体" w:hAnsi="宋体" w:cs="宋体"/>
                      <w:color w:val="000000"/>
                      <w:kern w:val="0"/>
                      <w:szCs w:val="21"/>
                    </w:rPr>
                    <w:t>15.77，15.72，15.49，</w:t>
                  </w:r>
                </w:p>
                <w:p>
                  <w:pPr>
                    <w:widowControl/>
                    <w:jc w:val="left"/>
                    <w:rPr>
                      <w:rFonts w:ascii="宋体" w:hAnsi="宋体" w:cs="宋体"/>
                      <w:color w:val="000000"/>
                      <w:kern w:val="0"/>
                      <w:szCs w:val="21"/>
                    </w:rPr>
                  </w:pPr>
                  <w:r>
                    <w:rPr>
                      <w:rFonts w:hint="eastAsia" w:ascii="宋体" w:hAnsi="宋体" w:cs="宋体"/>
                      <w:color w:val="000000"/>
                      <w:kern w:val="0"/>
                      <w:szCs w:val="21"/>
                    </w:rPr>
                    <w:t>15.49，15.21</w:t>
                  </w:r>
                </w:p>
              </w:tc>
            </w:tr>
          </w:tbl>
          <w:p>
            <w:pPr>
              <w:jc w:val="left"/>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15.45</w:t>
            </w:r>
          </w:p>
        </w:tc>
        <w:tc>
          <w:tcPr>
            <w:tcW w:w="912" w:type="dxa"/>
            <w:vAlign w:val="center"/>
          </w:tcPr>
          <w:p>
            <w:pPr>
              <w:jc w:val="center"/>
              <w:rPr>
                <w:rFonts w:ascii="宋体" w:hAnsi="宋体"/>
                <w:szCs w:val="21"/>
              </w:rPr>
            </w:pPr>
            <w:r>
              <w:rPr>
                <w:rFonts w:hint="eastAsia" w:ascii="宋体" w:hAnsi="宋体"/>
                <w:szCs w:val="21"/>
              </w:rPr>
              <w:t>0.28</w:t>
            </w:r>
          </w:p>
        </w:tc>
        <w:tc>
          <w:tcPr>
            <w:tcW w:w="986" w:type="dxa"/>
            <w:vAlign w:val="center"/>
          </w:tcPr>
          <w:p>
            <w:pPr>
              <w:jc w:val="center"/>
              <w:rPr>
                <w:rFonts w:ascii="宋体" w:hAnsi="宋体"/>
                <w:szCs w:val="21"/>
              </w:rPr>
            </w:pPr>
            <w:r>
              <w:rPr>
                <w:rFonts w:hint="eastAsia" w:ascii="宋体" w:hAnsi="宋体"/>
                <w:szCs w:val="21"/>
              </w:rPr>
              <w:t>1.81</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在工作中，项目组将征求意见稿发送给尽可能多的分析实验室，收集对征求意见稿的反馈信息，汇总、分析意见和建议，与提出建议和意见的实验室充分沟通，完善补充修改征求意见稿。2018年10月标准编制小组与</w:t>
      </w:r>
      <w:r>
        <w:rPr>
          <w:rFonts w:hint="eastAsia" w:ascii="宋体" w:hAnsi="宋体"/>
        </w:rPr>
        <w:t>贵州省分析测试研究院、长沙矿冶研究院有限责任公司等</w:t>
      </w:r>
      <w:r>
        <w:rPr>
          <w:rFonts w:hint="eastAsia" w:ascii="宋体" w:hAnsi="宋体"/>
          <w:szCs w:val="21"/>
        </w:rPr>
        <w:t>联系，对标准进行复验和复核验证。</w:t>
      </w:r>
      <w:r>
        <w:rPr>
          <w:rFonts w:hint="eastAsia" w:ascii="宋体" w:hAnsi="宋体"/>
        </w:rPr>
        <w:t>参与单位对征求意见稿和试验报告提出了一些中肯的意见和建议。</w:t>
      </w: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五、标准的水平分析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 20975.19-201X《</w:t>
      </w:r>
      <w:r>
        <w:rPr>
          <w:rFonts w:hint="eastAsia" w:ascii="宋体" w:hAnsi="宋体"/>
        </w:rPr>
        <w:t>铝及铝合金化学分析方法</w:t>
      </w:r>
      <w:r>
        <w:rPr>
          <w:rFonts w:hint="eastAsia" w:ascii="宋体" w:hAnsi="宋体"/>
          <w:szCs w:val="21"/>
        </w:rPr>
        <w:t xml:space="preserve"> 第19部分：锆含量的测定》中</w:t>
      </w:r>
      <w:r>
        <w:rPr>
          <w:rFonts w:hint="eastAsia" w:ascii="宋体" w:hAnsi="宋体"/>
        </w:rPr>
        <w:t>方法一：</w:t>
      </w:r>
      <w:r>
        <w:rPr>
          <w:rFonts w:hint="eastAsia" w:ascii="宋体" w:hAnsi="宋体"/>
          <w:bCs/>
          <w:color w:val="000000"/>
          <w:szCs w:val="21"/>
        </w:rPr>
        <w:t>二甲酚橙分光光度法</w:t>
      </w:r>
      <w:r>
        <w:rPr>
          <w:rFonts w:hint="eastAsia" w:ascii="宋体" w:hAnsi="宋体"/>
          <w:szCs w:val="21"/>
        </w:rPr>
        <w:t>修改采用ASTM  E34-2002《铝及铝合金化学分析方法》中锆含量测定的部分。</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szCs w:val="21"/>
        </w:rPr>
      </w:pPr>
      <w:r>
        <w:rPr>
          <w:rFonts w:hint="eastAsia" w:ascii="宋体" w:hAnsi="宋体"/>
          <w:szCs w:val="21"/>
        </w:rPr>
        <w:t>GB/T 20975.19-201X《</w:t>
      </w:r>
      <w:r>
        <w:rPr>
          <w:rFonts w:hint="eastAsia" w:ascii="宋体" w:hAnsi="宋体"/>
        </w:rPr>
        <w:t>铝及铝合金化学分析方法</w:t>
      </w:r>
      <w:r>
        <w:rPr>
          <w:rFonts w:hint="eastAsia" w:ascii="宋体" w:hAnsi="宋体"/>
          <w:szCs w:val="21"/>
        </w:rPr>
        <w:t xml:space="preserve"> 第19部分：锆含量的测定》中</w:t>
      </w:r>
      <w:r>
        <w:rPr>
          <w:rFonts w:hint="eastAsia" w:ascii="宋体" w:hAnsi="宋体"/>
        </w:rPr>
        <w:t>方法一：</w:t>
      </w:r>
      <w:r>
        <w:rPr>
          <w:rFonts w:hint="eastAsia" w:ascii="宋体" w:hAnsi="宋体"/>
          <w:bCs/>
          <w:color w:val="000000"/>
          <w:szCs w:val="21"/>
        </w:rPr>
        <w:t>二甲酚橙分光光度法</w:t>
      </w:r>
      <w:r>
        <w:rPr>
          <w:rFonts w:hint="eastAsia" w:ascii="宋体" w:hAnsi="宋体"/>
          <w:szCs w:val="21"/>
        </w:rPr>
        <w:t>修改采用ASTM  E34-2002《铝及铝合金化学分析方法》中锆含量测定的部分。</w:t>
      </w:r>
    </w:p>
    <w:p>
      <w:pPr>
        <w:spacing w:line="360" w:lineRule="auto"/>
        <w:ind w:firstLine="420" w:firstLineChars="200"/>
        <w:rPr>
          <w:rFonts w:ascii="宋体" w:hAnsi="宋体" w:cs="宋体"/>
          <w:szCs w:val="21"/>
        </w:rPr>
      </w:pPr>
      <w:r>
        <w:rPr>
          <w:rFonts w:hint="eastAsia" w:ascii="宋体" w:hAnsi="宋体" w:cs="宋体"/>
          <w:szCs w:val="21"/>
        </w:rPr>
        <w:t>本</w:t>
      </w:r>
      <w:r>
        <w:rPr>
          <w:rFonts w:hint="eastAsia"/>
          <w:szCs w:val="21"/>
        </w:rPr>
        <w:t>标准涉及内容全面、条款详细，在制定过程中吸纳了国内、外最新相关技术，</w:t>
      </w:r>
      <w:r>
        <w:rPr>
          <w:rFonts w:hint="eastAsia" w:ascii="宋体" w:hAnsi="宋体"/>
          <w:szCs w:val="21"/>
        </w:rPr>
        <w:t>达到了国际先进水平。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3190-2008《变形铝及铝合金化学成分》等标准相配套，主要应用于分析铝及铝合金产品中锆含量；同时又与GB/T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六、与有关的现行法律、法规和强制性国家标准的关系</w:t>
      </w:r>
    </w:p>
    <w:p>
      <w:pPr>
        <w:spacing w:line="360" w:lineRule="auto"/>
        <w:ind w:firstLine="420" w:firstLineChars="200"/>
        <w:rPr>
          <w:rFonts w:hint="eastAsia"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hint="eastAsia" w:ascii="黑体" w:hAnsi="宋体" w:eastAsia="黑体"/>
          <w:sz w:val="24"/>
        </w:rPr>
      </w:pPr>
      <w:r>
        <w:rPr>
          <w:rFonts w:hint="eastAsia" w:ascii="黑体" w:hAnsi="黑体" w:eastAsia="黑体" w:cs="黑体"/>
          <w:sz w:val="24"/>
        </w:rPr>
        <w:t>七、</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八、重大分歧意见的处理经过和依据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九、标准作为强制性或推荐性的建议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hint="eastAsia" w:ascii="黑体" w:hAnsi="宋体" w:eastAsia="黑体"/>
          <w:sz w:val="24"/>
        </w:rPr>
      </w:pPr>
      <w:r>
        <w:rPr>
          <w:rFonts w:hint="eastAsia" w:ascii="黑体" w:hAnsi="宋体" w:eastAsia="黑体"/>
          <w:sz w:val="24"/>
        </w:rPr>
        <w:t>十、贯彻标准的要求和措施建议</w:t>
      </w:r>
    </w:p>
    <w:p>
      <w:pPr>
        <w:tabs>
          <w:tab w:val="left" w:pos="525"/>
        </w:tabs>
        <w:spacing w:line="360" w:lineRule="auto"/>
        <w:ind w:firstLine="465"/>
        <w:outlineLvl w:val="0"/>
        <w:rPr>
          <w:rFonts w:hint="eastAsia"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hint="eastAsia"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hint="eastAsia"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hint="eastAsia"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十一、</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GB/T 20975.19-2008《</w:t>
      </w:r>
      <w:r>
        <w:rPr>
          <w:rFonts w:hint="eastAsia" w:ascii="宋体" w:hAnsi="宋体"/>
        </w:rPr>
        <w:t>铝及铝合金化学分析方法</w:t>
      </w:r>
      <w:r>
        <w:rPr>
          <w:rFonts w:hint="eastAsia" w:ascii="宋体" w:hAnsi="宋体"/>
          <w:szCs w:val="21"/>
        </w:rPr>
        <w:t xml:space="preserve"> 第19部分：锆含量的测定》</w:t>
      </w:r>
      <w:r>
        <w:rPr>
          <w:rFonts w:hint="eastAsia" w:ascii="宋体" w:hAnsi="宋体" w:cs="宋体"/>
          <w:szCs w:val="21"/>
        </w:rPr>
        <w:t>。</w:t>
      </w:r>
    </w:p>
    <w:p>
      <w:pPr>
        <w:spacing w:beforeLines="50" w:afterLines="50" w:line="360" w:lineRule="auto"/>
        <w:rPr>
          <w:rFonts w:hint="eastAsia" w:ascii="黑体" w:hAnsi="黑体" w:eastAsia="黑体" w:cs="黑体"/>
          <w:sz w:val="24"/>
        </w:rPr>
      </w:pPr>
      <w:r>
        <w:rPr>
          <w:rFonts w:hint="eastAsia" w:ascii="黑体" w:hAnsi="黑体" w:eastAsia="黑体" w:cs="黑体"/>
          <w:sz w:val="24"/>
        </w:rPr>
        <w:t>十二、其他应予说明的事项</w:t>
      </w:r>
    </w:p>
    <w:p>
      <w:pPr>
        <w:spacing w:line="360" w:lineRule="auto"/>
        <w:rPr>
          <w:rFonts w:hint="eastAsia"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hint="eastAsia"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十三、预期效果</w:t>
      </w:r>
    </w:p>
    <w:p>
      <w:pPr>
        <w:spacing w:line="360" w:lineRule="auto"/>
        <w:ind w:firstLine="420" w:firstLineChars="200"/>
        <w:rPr>
          <w:rFonts w:hint="eastAsia"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20975.19-201X《</w:t>
      </w:r>
      <w:r>
        <w:rPr>
          <w:rFonts w:hint="eastAsia" w:ascii="宋体" w:hAnsi="宋体"/>
        </w:rPr>
        <w:t>铝及铝合金化学分析方法</w:t>
      </w:r>
      <w:r>
        <w:rPr>
          <w:rFonts w:hint="eastAsia" w:ascii="宋体" w:hAnsi="宋体"/>
          <w:szCs w:val="21"/>
        </w:rPr>
        <w:t xml:space="preserve"> 第19部分：锆含量的测定》是我国铝及铝合金中锆含量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hint="eastAsia" w:ascii="宋体" w:hAnsi="宋体"/>
          <w:szCs w:val="21"/>
        </w:rPr>
      </w:pPr>
      <w:r>
        <w:rPr>
          <w:rFonts w:hint="eastAsia" w:ascii="宋体" w:hAnsi="宋体"/>
          <w:szCs w:val="21"/>
        </w:rPr>
        <w:t xml:space="preserve">                                          </w:t>
      </w: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第19部分：锆含量的测定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bookmarkStart w:id="2" w:name="_GoBack"/>
      <w:bookmarkEnd w:id="2"/>
      <w:r>
        <w:rPr>
          <w:rFonts w:hint="eastAsia" w:ascii="宋体" w:hAnsi="宋体"/>
          <w:szCs w:val="21"/>
        </w:rPr>
        <w:t>月</w:t>
      </w:r>
    </w:p>
    <w:p>
      <w:pPr>
        <w:spacing w:line="360" w:lineRule="auto"/>
        <w:rPr>
          <w:rFonts w:ascii="宋体" w:hAnsi="宋体"/>
          <w:szCs w:val="21"/>
        </w:rPr>
      </w:pPr>
    </w:p>
    <w:p>
      <w:pPr>
        <w:spacing w:beforeLines="50" w:afterLines="50"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62E6F"/>
    <w:rsid w:val="0006392B"/>
    <w:rsid w:val="000721C6"/>
    <w:rsid w:val="00082608"/>
    <w:rsid w:val="00090D00"/>
    <w:rsid w:val="00094B9E"/>
    <w:rsid w:val="000B4296"/>
    <w:rsid w:val="000B4BF7"/>
    <w:rsid w:val="000B7E4D"/>
    <w:rsid w:val="000C478E"/>
    <w:rsid w:val="000D04D2"/>
    <w:rsid w:val="000D73BA"/>
    <w:rsid w:val="000E1294"/>
    <w:rsid w:val="000F0F78"/>
    <w:rsid w:val="00100A90"/>
    <w:rsid w:val="0010388F"/>
    <w:rsid w:val="001046EF"/>
    <w:rsid w:val="00110F49"/>
    <w:rsid w:val="00116CFC"/>
    <w:rsid w:val="0012233F"/>
    <w:rsid w:val="001375F5"/>
    <w:rsid w:val="00146175"/>
    <w:rsid w:val="0016223B"/>
    <w:rsid w:val="001643C9"/>
    <w:rsid w:val="001716D6"/>
    <w:rsid w:val="0017379F"/>
    <w:rsid w:val="0017690B"/>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24D32"/>
    <w:rsid w:val="002265C0"/>
    <w:rsid w:val="00232940"/>
    <w:rsid w:val="00236B29"/>
    <w:rsid w:val="002376A5"/>
    <w:rsid w:val="00241348"/>
    <w:rsid w:val="00246805"/>
    <w:rsid w:val="00247BF1"/>
    <w:rsid w:val="002542F9"/>
    <w:rsid w:val="002561DB"/>
    <w:rsid w:val="00256AB2"/>
    <w:rsid w:val="002706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82BAD"/>
    <w:rsid w:val="00393F42"/>
    <w:rsid w:val="003A324E"/>
    <w:rsid w:val="003A5D8C"/>
    <w:rsid w:val="003A6C97"/>
    <w:rsid w:val="003B2C2A"/>
    <w:rsid w:val="003C77D0"/>
    <w:rsid w:val="003D4635"/>
    <w:rsid w:val="003D5760"/>
    <w:rsid w:val="003F2929"/>
    <w:rsid w:val="003F312B"/>
    <w:rsid w:val="003F787A"/>
    <w:rsid w:val="00400780"/>
    <w:rsid w:val="00417AF6"/>
    <w:rsid w:val="00425D4B"/>
    <w:rsid w:val="004271A9"/>
    <w:rsid w:val="00434902"/>
    <w:rsid w:val="00441093"/>
    <w:rsid w:val="00444A4F"/>
    <w:rsid w:val="004457BB"/>
    <w:rsid w:val="004540AF"/>
    <w:rsid w:val="004561A3"/>
    <w:rsid w:val="0046042B"/>
    <w:rsid w:val="0047022D"/>
    <w:rsid w:val="00470F59"/>
    <w:rsid w:val="00486C0C"/>
    <w:rsid w:val="00487915"/>
    <w:rsid w:val="00497AA1"/>
    <w:rsid w:val="004A05CE"/>
    <w:rsid w:val="004A3D77"/>
    <w:rsid w:val="004A60A0"/>
    <w:rsid w:val="004B1673"/>
    <w:rsid w:val="004C158C"/>
    <w:rsid w:val="004C2582"/>
    <w:rsid w:val="004C33ED"/>
    <w:rsid w:val="004D2FEA"/>
    <w:rsid w:val="004E08E1"/>
    <w:rsid w:val="004F0373"/>
    <w:rsid w:val="004F53D4"/>
    <w:rsid w:val="00501810"/>
    <w:rsid w:val="00511596"/>
    <w:rsid w:val="005137D2"/>
    <w:rsid w:val="00513A01"/>
    <w:rsid w:val="00515387"/>
    <w:rsid w:val="00524238"/>
    <w:rsid w:val="00525150"/>
    <w:rsid w:val="00530065"/>
    <w:rsid w:val="005410C6"/>
    <w:rsid w:val="00541DAE"/>
    <w:rsid w:val="00542AC1"/>
    <w:rsid w:val="005516DB"/>
    <w:rsid w:val="005544D8"/>
    <w:rsid w:val="005547C0"/>
    <w:rsid w:val="00557E33"/>
    <w:rsid w:val="00564A7D"/>
    <w:rsid w:val="00565759"/>
    <w:rsid w:val="00566882"/>
    <w:rsid w:val="005747EF"/>
    <w:rsid w:val="0057654E"/>
    <w:rsid w:val="005773EE"/>
    <w:rsid w:val="005911F0"/>
    <w:rsid w:val="0059348E"/>
    <w:rsid w:val="005A158B"/>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4151"/>
    <w:rsid w:val="006422C6"/>
    <w:rsid w:val="00645DC0"/>
    <w:rsid w:val="00654522"/>
    <w:rsid w:val="0065521A"/>
    <w:rsid w:val="006573B7"/>
    <w:rsid w:val="00662FE7"/>
    <w:rsid w:val="0066686D"/>
    <w:rsid w:val="0066734B"/>
    <w:rsid w:val="00677770"/>
    <w:rsid w:val="00681A04"/>
    <w:rsid w:val="006B501B"/>
    <w:rsid w:val="006C5B25"/>
    <w:rsid w:val="006D0354"/>
    <w:rsid w:val="006D12B2"/>
    <w:rsid w:val="006D3154"/>
    <w:rsid w:val="006E5491"/>
    <w:rsid w:val="007100CB"/>
    <w:rsid w:val="00714D5E"/>
    <w:rsid w:val="007250E9"/>
    <w:rsid w:val="00733D1B"/>
    <w:rsid w:val="00746E03"/>
    <w:rsid w:val="00756C1C"/>
    <w:rsid w:val="00771AB5"/>
    <w:rsid w:val="007729F7"/>
    <w:rsid w:val="00786918"/>
    <w:rsid w:val="007900AC"/>
    <w:rsid w:val="007A04F8"/>
    <w:rsid w:val="007A0720"/>
    <w:rsid w:val="007A7464"/>
    <w:rsid w:val="007A79D7"/>
    <w:rsid w:val="007C1C5D"/>
    <w:rsid w:val="007C1FFD"/>
    <w:rsid w:val="007C753A"/>
    <w:rsid w:val="007E535E"/>
    <w:rsid w:val="007F793E"/>
    <w:rsid w:val="007F7B74"/>
    <w:rsid w:val="0081160B"/>
    <w:rsid w:val="00816614"/>
    <w:rsid w:val="00816616"/>
    <w:rsid w:val="0082438C"/>
    <w:rsid w:val="00852EC7"/>
    <w:rsid w:val="00871E2C"/>
    <w:rsid w:val="0087241D"/>
    <w:rsid w:val="008A09DB"/>
    <w:rsid w:val="008A41E5"/>
    <w:rsid w:val="008A5838"/>
    <w:rsid w:val="008C1527"/>
    <w:rsid w:val="008C74CD"/>
    <w:rsid w:val="008D3540"/>
    <w:rsid w:val="008E052A"/>
    <w:rsid w:val="008E0D3B"/>
    <w:rsid w:val="008E649A"/>
    <w:rsid w:val="008E7AC1"/>
    <w:rsid w:val="008F1A89"/>
    <w:rsid w:val="008F3CE4"/>
    <w:rsid w:val="008F57BB"/>
    <w:rsid w:val="008F6103"/>
    <w:rsid w:val="00900981"/>
    <w:rsid w:val="00904487"/>
    <w:rsid w:val="00910BC1"/>
    <w:rsid w:val="00911B81"/>
    <w:rsid w:val="00943762"/>
    <w:rsid w:val="00950DA8"/>
    <w:rsid w:val="0095638D"/>
    <w:rsid w:val="0095697F"/>
    <w:rsid w:val="00962B03"/>
    <w:rsid w:val="0096716B"/>
    <w:rsid w:val="00971670"/>
    <w:rsid w:val="00973F70"/>
    <w:rsid w:val="0097543E"/>
    <w:rsid w:val="00981EB1"/>
    <w:rsid w:val="009A31F0"/>
    <w:rsid w:val="009B7199"/>
    <w:rsid w:val="009C03AD"/>
    <w:rsid w:val="009C5B0B"/>
    <w:rsid w:val="009E0BF8"/>
    <w:rsid w:val="009E1908"/>
    <w:rsid w:val="009F0B0F"/>
    <w:rsid w:val="00A22E8D"/>
    <w:rsid w:val="00A23751"/>
    <w:rsid w:val="00A261DC"/>
    <w:rsid w:val="00A267A5"/>
    <w:rsid w:val="00A32453"/>
    <w:rsid w:val="00A325FF"/>
    <w:rsid w:val="00A37DE9"/>
    <w:rsid w:val="00A42A4E"/>
    <w:rsid w:val="00A45DEB"/>
    <w:rsid w:val="00A545CA"/>
    <w:rsid w:val="00A66D38"/>
    <w:rsid w:val="00A755DD"/>
    <w:rsid w:val="00A80BC1"/>
    <w:rsid w:val="00A93BA3"/>
    <w:rsid w:val="00A945B1"/>
    <w:rsid w:val="00AA049B"/>
    <w:rsid w:val="00AA5CA2"/>
    <w:rsid w:val="00AA77F5"/>
    <w:rsid w:val="00AC0117"/>
    <w:rsid w:val="00AC01DF"/>
    <w:rsid w:val="00AD09F4"/>
    <w:rsid w:val="00AD2AAF"/>
    <w:rsid w:val="00AD3E14"/>
    <w:rsid w:val="00AD6213"/>
    <w:rsid w:val="00AE6C83"/>
    <w:rsid w:val="00AF0BF6"/>
    <w:rsid w:val="00AF1E80"/>
    <w:rsid w:val="00AF363D"/>
    <w:rsid w:val="00AF3729"/>
    <w:rsid w:val="00AF3E4C"/>
    <w:rsid w:val="00B00E99"/>
    <w:rsid w:val="00B03413"/>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3A59"/>
    <w:rsid w:val="00B87CD8"/>
    <w:rsid w:val="00BB262A"/>
    <w:rsid w:val="00BB5878"/>
    <w:rsid w:val="00BC29A5"/>
    <w:rsid w:val="00BC79EC"/>
    <w:rsid w:val="00BF3136"/>
    <w:rsid w:val="00BF3947"/>
    <w:rsid w:val="00C043EC"/>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D4B0F"/>
    <w:rsid w:val="00CD61E8"/>
    <w:rsid w:val="00CE0AAE"/>
    <w:rsid w:val="00CE6238"/>
    <w:rsid w:val="00CE6DD6"/>
    <w:rsid w:val="00CF0FAD"/>
    <w:rsid w:val="00CF197C"/>
    <w:rsid w:val="00CF7CED"/>
    <w:rsid w:val="00D02A98"/>
    <w:rsid w:val="00D07330"/>
    <w:rsid w:val="00D07633"/>
    <w:rsid w:val="00D12B75"/>
    <w:rsid w:val="00D13FEB"/>
    <w:rsid w:val="00D15818"/>
    <w:rsid w:val="00D1659D"/>
    <w:rsid w:val="00D172D3"/>
    <w:rsid w:val="00D2134D"/>
    <w:rsid w:val="00D351B5"/>
    <w:rsid w:val="00D409F8"/>
    <w:rsid w:val="00D464AD"/>
    <w:rsid w:val="00D71C63"/>
    <w:rsid w:val="00D8200B"/>
    <w:rsid w:val="00D9103D"/>
    <w:rsid w:val="00D97D35"/>
    <w:rsid w:val="00DA257D"/>
    <w:rsid w:val="00DA42A9"/>
    <w:rsid w:val="00DB08FA"/>
    <w:rsid w:val="00DC24F6"/>
    <w:rsid w:val="00DC7E1F"/>
    <w:rsid w:val="00DD4763"/>
    <w:rsid w:val="00DD7F1A"/>
    <w:rsid w:val="00DE7B2D"/>
    <w:rsid w:val="00DF3865"/>
    <w:rsid w:val="00DF69D2"/>
    <w:rsid w:val="00E02DF2"/>
    <w:rsid w:val="00E06982"/>
    <w:rsid w:val="00E16DE1"/>
    <w:rsid w:val="00E246B1"/>
    <w:rsid w:val="00E25B22"/>
    <w:rsid w:val="00E312CF"/>
    <w:rsid w:val="00E34892"/>
    <w:rsid w:val="00E44DBC"/>
    <w:rsid w:val="00E53791"/>
    <w:rsid w:val="00E603F5"/>
    <w:rsid w:val="00E718C0"/>
    <w:rsid w:val="00E75E59"/>
    <w:rsid w:val="00E7625C"/>
    <w:rsid w:val="00E97BA1"/>
    <w:rsid w:val="00EA523E"/>
    <w:rsid w:val="00EC29A1"/>
    <w:rsid w:val="00EC78AE"/>
    <w:rsid w:val="00ED7AB8"/>
    <w:rsid w:val="00ED7D53"/>
    <w:rsid w:val="00EE36C2"/>
    <w:rsid w:val="00EF0CEB"/>
    <w:rsid w:val="00F011A0"/>
    <w:rsid w:val="00F0148F"/>
    <w:rsid w:val="00F0360D"/>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0F3F"/>
    <w:rsid w:val="00F9348F"/>
    <w:rsid w:val="00FA1CD9"/>
    <w:rsid w:val="00FA43B8"/>
    <w:rsid w:val="00FB6641"/>
    <w:rsid w:val="00FD2213"/>
    <w:rsid w:val="00FE2F56"/>
    <w:rsid w:val="00FE4002"/>
    <w:rsid w:val="00FE63B6"/>
    <w:rsid w:val="00FF0B24"/>
    <w:rsid w:val="00FF3EFC"/>
    <w:rsid w:val="00FF7D3B"/>
    <w:rsid w:val="04F2687D"/>
    <w:rsid w:val="133724DF"/>
    <w:rsid w:val="14244B4A"/>
    <w:rsid w:val="143F1847"/>
    <w:rsid w:val="149379FC"/>
    <w:rsid w:val="163F2801"/>
    <w:rsid w:val="166B531E"/>
    <w:rsid w:val="17EA708D"/>
    <w:rsid w:val="18792EE4"/>
    <w:rsid w:val="1AEB0B99"/>
    <w:rsid w:val="1B206F68"/>
    <w:rsid w:val="249A5370"/>
    <w:rsid w:val="24B26519"/>
    <w:rsid w:val="25726A45"/>
    <w:rsid w:val="272D26E6"/>
    <w:rsid w:val="292D7329"/>
    <w:rsid w:val="2B380978"/>
    <w:rsid w:val="2B925F44"/>
    <w:rsid w:val="2CF63270"/>
    <w:rsid w:val="2E4F5B11"/>
    <w:rsid w:val="30214B65"/>
    <w:rsid w:val="34411F12"/>
    <w:rsid w:val="351E65CE"/>
    <w:rsid w:val="370101F8"/>
    <w:rsid w:val="3A1D1C2E"/>
    <w:rsid w:val="3F0B1936"/>
    <w:rsid w:val="40A655CC"/>
    <w:rsid w:val="4121698E"/>
    <w:rsid w:val="44E96E87"/>
    <w:rsid w:val="468B50CB"/>
    <w:rsid w:val="478D0171"/>
    <w:rsid w:val="4C203B05"/>
    <w:rsid w:val="4C956CC3"/>
    <w:rsid w:val="500B685D"/>
    <w:rsid w:val="51B06F7A"/>
    <w:rsid w:val="5BBC7E6B"/>
    <w:rsid w:val="5C44483F"/>
    <w:rsid w:val="5D794C80"/>
    <w:rsid w:val="60603F1D"/>
    <w:rsid w:val="621223C3"/>
    <w:rsid w:val="6708487B"/>
    <w:rsid w:val="67FC3C0D"/>
    <w:rsid w:val="68025E0D"/>
    <w:rsid w:val="6D5A014F"/>
    <w:rsid w:val="6F3375FB"/>
    <w:rsid w:val="6FFC4FF8"/>
    <w:rsid w:val="70C1780D"/>
    <w:rsid w:val="74033B17"/>
    <w:rsid w:val="76244B74"/>
    <w:rsid w:val="7BC71BAB"/>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uiPriority w:val="0"/>
    <w:pPr>
      <w:ind w:left="100" w:leftChars="400" w:hanging="200" w:hangingChars="200"/>
    </w:pPr>
    <w:rPr>
      <w:lang w:bidi="ar-SA"/>
    </w:rPr>
  </w:style>
  <w:style w:type="paragraph" w:styleId="4">
    <w:name w:val="Normal Indent"/>
    <w:basedOn w:val="1"/>
    <w:uiPriority w:val="0"/>
    <w:pPr>
      <w:ind w:firstLine="420" w:firstLineChars="200"/>
    </w:pPr>
    <w:rPr>
      <w:lang w:bidi="ar-SA"/>
    </w:rPr>
  </w:style>
  <w:style w:type="paragraph" w:styleId="5">
    <w:name w:val="annotation text"/>
    <w:basedOn w:val="1"/>
    <w:semiHidden/>
    <w:uiPriority w:val="0"/>
    <w:pPr>
      <w:jc w:val="left"/>
    </w:pPr>
    <w:rPr>
      <w:lang w:bidi="ar-SA"/>
    </w:rPr>
  </w:style>
  <w:style w:type="paragraph" w:styleId="6">
    <w:name w:val="Body Text"/>
    <w:basedOn w:val="1"/>
    <w:link w:val="25"/>
    <w:uiPriority w:val="0"/>
    <w:pPr>
      <w:spacing w:after="120"/>
    </w:pPr>
    <w:rPr>
      <w:lang w:bidi="ar-SA"/>
    </w:rPr>
  </w:style>
  <w:style w:type="paragraph" w:styleId="7">
    <w:name w:val="Body Text Indent"/>
    <w:basedOn w:val="1"/>
    <w:link w:val="24"/>
    <w:qFormat/>
    <w:uiPriority w:val="0"/>
    <w:pPr>
      <w:spacing w:after="120"/>
      <w:ind w:left="420" w:leftChars="200"/>
    </w:pPr>
    <w:rPr>
      <w:lang w:bidi="ar-SA"/>
    </w:rPr>
  </w:style>
  <w:style w:type="paragraph" w:styleId="8">
    <w:name w:val="List 2"/>
    <w:basedOn w:val="1"/>
    <w:uiPriority w:val="0"/>
    <w:pPr>
      <w:ind w:left="100" w:leftChars="200" w:hanging="200" w:hangingChars="200"/>
    </w:pPr>
    <w:rPr>
      <w:lang w:bidi="ar-SA"/>
    </w:rPr>
  </w:style>
  <w:style w:type="paragraph" w:styleId="9">
    <w:name w:val="Plain Text"/>
    <w:basedOn w:val="1"/>
    <w:link w:val="27"/>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uiPriority w:val="0"/>
    <w:pPr>
      <w:spacing w:after="120"/>
      <w:ind w:left="2100" w:leftChars="1000"/>
    </w:pPr>
    <w:rPr>
      <w:lang w:bidi="ar-SA"/>
    </w:rPr>
  </w:style>
  <w:style w:type="paragraph" w:styleId="12">
    <w:name w:val="footer"/>
    <w:basedOn w:val="1"/>
    <w:uiPriority w:val="0"/>
    <w:pPr>
      <w:tabs>
        <w:tab w:val="center" w:pos="4153"/>
        <w:tab w:val="right" w:pos="8306"/>
      </w:tabs>
      <w:snapToGrid w:val="0"/>
      <w:jc w:val="left"/>
    </w:pPr>
    <w:rPr>
      <w:sz w:val="18"/>
      <w:szCs w:val="18"/>
      <w:lang w:bidi="ar-SA"/>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uiPriority w:val="0"/>
    <w:pPr>
      <w:ind w:left="200" w:hanging="200" w:hangingChars="200"/>
    </w:pPr>
    <w:rPr>
      <w:lang w:bidi="ar-SA"/>
    </w:rPr>
  </w:style>
  <w:style w:type="paragraph" w:styleId="15">
    <w:name w:val="List 5"/>
    <w:basedOn w:val="1"/>
    <w:qFormat/>
    <w:uiPriority w:val="0"/>
    <w:pPr>
      <w:ind w:left="100" w:leftChars="800" w:hanging="200" w:hangingChars="200"/>
    </w:pPr>
    <w:rPr>
      <w:lang w:bidi="ar-SA"/>
    </w:rPr>
  </w:style>
  <w:style w:type="paragraph" w:styleId="16">
    <w:name w:val="Body Text 2"/>
    <w:basedOn w:val="1"/>
    <w:uiPriority w:val="0"/>
    <w:pPr>
      <w:jc w:val="center"/>
    </w:pPr>
    <w:rPr>
      <w:rFonts w:ascii="黑体" w:eastAsia="黑体"/>
      <w:sz w:val="48"/>
      <w:szCs w:val="32"/>
      <w:lang w:bidi="ar-SA"/>
    </w:rPr>
  </w:style>
  <w:style w:type="paragraph" w:styleId="17">
    <w:name w:val="List 4"/>
    <w:basedOn w:val="1"/>
    <w:uiPriority w:val="0"/>
    <w:pPr>
      <w:ind w:left="100" w:leftChars="600" w:hanging="200" w:hangingChars="200"/>
    </w:pPr>
    <w:rPr>
      <w:lang w:bidi="ar-SA"/>
    </w:rPr>
  </w:style>
  <w:style w:type="paragraph" w:styleId="18">
    <w:name w:val="Normal (Web)"/>
    <w:basedOn w:val="1"/>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6"/>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uiPriority w:val="0"/>
    <w:rPr>
      <w:rFonts w:ascii="Courier New" w:hAnsi="Courier New"/>
      <w:sz w:val="20"/>
      <w:szCs w:val="20"/>
    </w:rPr>
  </w:style>
  <w:style w:type="character" w:customStyle="1" w:styleId="24">
    <w:name w:val="正文文本缩进 Char"/>
    <w:basedOn w:val="22"/>
    <w:link w:val="7"/>
    <w:uiPriority w:val="0"/>
    <w:rPr>
      <w:kern w:val="2"/>
      <w:sz w:val="21"/>
      <w:szCs w:val="24"/>
    </w:rPr>
  </w:style>
  <w:style w:type="character" w:customStyle="1" w:styleId="25">
    <w:name w:val="正文文本 Char"/>
    <w:basedOn w:val="22"/>
    <w:link w:val="6"/>
    <w:uiPriority w:val="0"/>
    <w:rPr>
      <w:kern w:val="2"/>
      <w:sz w:val="21"/>
      <w:szCs w:val="24"/>
    </w:rPr>
  </w:style>
  <w:style w:type="character" w:customStyle="1" w:styleId="26">
    <w:name w:val="正文首行缩进 Char"/>
    <w:basedOn w:val="25"/>
    <w:link w:val="19"/>
    <w:uiPriority w:val="0"/>
  </w:style>
  <w:style w:type="character" w:customStyle="1" w:styleId="27">
    <w:name w:val="纯文本 Char"/>
    <w:basedOn w:val="22"/>
    <w:link w:val="9"/>
    <w:locked/>
    <w:uiPriority w:val="0"/>
    <w:rPr>
      <w:rFonts w:ascii="宋体" w:hAnsi="Courier New" w:eastAsia="宋体"/>
      <w:kern w:val="2"/>
      <w:sz w:val="21"/>
      <w:lang w:val="en-US" w:eastAsia="zh-CN" w:bidi="ar-SA"/>
    </w:rPr>
  </w:style>
  <w:style w:type="character" w:customStyle="1" w:styleId="28">
    <w:name w:val="段 Char"/>
    <w:basedOn w:val="22"/>
    <w:link w:val="29"/>
    <w:uiPriority w:val="0"/>
    <w:rPr>
      <w:rFonts w:ascii="宋体"/>
      <w:sz w:val="21"/>
      <w:lang w:val="en-US" w:eastAsia="zh-CN" w:bidi="ar-SA"/>
    </w:rPr>
  </w:style>
  <w:style w:type="paragraph" w:customStyle="1" w:styleId="29">
    <w:name w:val="段"/>
    <w:link w:val="28"/>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1">
    <w:name w:val="目次、标准名称标题"/>
    <w:basedOn w:val="32"/>
    <w:next w:val="29"/>
    <w:qFormat/>
    <w:uiPriority w:val="0"/>
    <w:pPr>
      <w:spacing w:line="460" w:lineRule="exact"/>
    </w:pPr>
  </w:style>
  <w:style w:type="paragraph" w:customStyle="1" w:styleId="32">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33">
    <w:name w:val="四级条标题"/>
    <w:basedOn w:val="34"/>
    <w:next w:val="29"/>
    <w:uiPriority w:val="0"/>
    <w:pPr>
      <w:outlineLvl w:val="5"/>
    </w:pPr>
  </w:style>
  <w:style w:type="paragraph" w:customStyle="1" w:styleId="34">
    <w:name w:val="三级条标题"/>
    <w:basedOn w:val="35"/>
    <w:next w:val="29"/>
    <w:uiPriority w:val="0"/>
    <w:pPr>
      <w:outlineLvl w:val="4"/>
    </w:pPr>
  </w:style>
  <w:style w:type="paragraph" w:customStyle="1" w:styleId="35">
    <w:name w:val="二级条标题"/>
    <w:basedOn w:val="36"/>
    <w:next w:val="29"/>
    <w:uiPriority w:val="0"/>
    <w:pPr>
      <w:outlineLvl w:val="3"/>
    </w:pPr>
  </w:style>
  <w:style w:type="paragraph" w:customStyle="1" w:styleId="36">
    <w:name w:val="一级条标题"/>
    <w:basedOn w:val="37"/>
    <w:next w:val="29"/>
    <w:qFormat/>
    <w:uiPriority w:val="0"/>
    <w:pPr>
      <w:spacing w:beforeLines="0" w:afterLines="0"/>
      <w:outlineLvl w:val="2"/>
    </w:pPr>
  </w:style>
  <w:style w:type="paragraph" w:customStyle="1" w:styleId="37">
    <w:name w:val="章标题"/>
    <w:next w:val="29"/>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8">
    <w:name w:val="Char"/>
    <w:basedOn w:val="1"/>
    <w:uiPriority w:val="0"/>
    <w:rPr>
      <w:lang w:bidi="ar-SA"/>
    </w:rPr>
  </w:style>
  <w:style w:type="paragraph" w:customStyle="1" w:styleId="39">
    <w:name w:val="数字编号列项（二级）"/>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40">
    <w:name w:val="Char1"/>
    <w:basedOn w:val="1"/>
    <w:uiPriority w:val="0"/>
    <w:pPr>
      <w:widowControl/>
      <w:spacing w:after="160" w:line="240" w:lineRule="exact"/>
      <w:jc w:val="left"/>
    </w:pPr>
    <w:rPr>
      <w:rFonts w:ascii="Verdana" w:hAnsi="Verdana"/>
      <w:kern w:val="0"/>
      <w:sz w:val="20"/>
      <w:szCs w:val="20"/>
      <w:lang w:eastAsia="en-US" w:bidi="ar-SA"/>
    </w:rPr>
  </w:style>
  <w:style w:type="paragraph" w:customStyle="1" w:styleId="41">
    <w:name w:val="五级条标题"/>
    <w:basedOn w:val="33"/>
    <w:next w:val="29"/>
    <w:qFormat/>
    <w:uiPriority w:val="0"/>
    <w:pPr>
      <w:outlineLvl w:val="6"/>
    </w:pPr>
  </w:style>
  <w:style w:type="paragraph" w:customStyle="1" w:styleId="4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3">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18</Pages>
  <Words>2494</Words>
  <Characters>14221</Characters>
  <Lines>118</Lines>
  <Paragraphs>33</Paragraphs>
  <TotalTime>1</TotalTime>
  <ScaleCrop>false</ScaleCrop>
  <LinksUpToDate>false</LinksUpToDate>
  <CharactersWithSpaces>16682</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2019-06-20T00:40:00Z</dcterms:created>
  <dc:creator>shilei</dc:creator>
  <cp:lastModifiedBy>Administrator</cp:lastModifiedBy>
  <cp:lastPrinted>2004-08-01T09:33:00Z</cp:lastPrinted>
  <dcterms:modified xsi:type="dcterms:W3CDTF">2019-09-15T18:09:59Z</dcterms:modified>
  <dc:title>编 制 说 明</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