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p>
    <w:p>
      <w:pPr>
        <w:spacing w:line="1000" w:lineRule="exact"/>
        <w:jc w:val="center"/>
        <w:rPr>
          <w:rFonts w:ascii="宋体" w:hAnsi="宋体"/>
          <w:b/>
          <w:bCs/>
          <w:color w:val="000000"/>
          <w:sz w:val="44"/>
          <w:szCs w:val="44"/>
        </w:rPr>
      </w:pPr>
      <w:r>
        <w:rPr>
          <w:rFonts w:hint="eastAsia" w:ascii="宋体" w:hAnsi="宋体"/>
          <w:b/>
          <w:bCs/>
          <w:color w:val="000000"/>
          <w:sz w:val="44"/>
          <w:szCs w:val="44"/>
        </w:rPr>
        <w:t>铝及铝合金化学分析方法</w:t>
      </w:r>
    </w:p>
    <w:p>
      <w:pPr>
        <w:spacing w:line="1000" w:lineRule="exact"/>
        <w:jc w:val="center"/>
        <w:rPr>
          <w:rFonts w:ascii="宋体" w:hAnsi="宋体"/>
          <w:b/>
          <w:bCs/>
          <w:color w:val="000000"/>
          <w:sz w:val="44"/>
          <w:szCs w:val="44"/>
        </w:rPr>
      </w:pPr>
      <w:r>
        <w:rPr>
          <w:rFonts w:hint="eastAsia" w:ascii="宋体" w:hAnsi="宋体"/>
          <w:b/>
          <w:bCs/>
          <w:color w:val="000000"/>
          <w:sz w:val="44"/>
          <w:szCs w:val="44"/>
        </w:rPr>
        <w:t xml:space="preserve"> 第15部分：硼含量的测定</w:t>
      </w:r>
    </w:p>
    <w:p>
      <w:pPr>
        <w:spacing w:line="1000" w:lineRule="exact"/>
        <w:jc w:val="center"/>
        <w:rPr>
          <w:rFonts w:ascii="宋体" w:hAnsi="宋体"/>
          <w:b/>
          <w:bCs/>
          <w:color w:val="000000"/>
          <w:sz w:val="44"/>
          <w:szCs w:val="44"/>
        </w:rPr>
      </w:pPr>
    </w:p>
    <w:p>
      <w:pPr>
        <w:jc w:val="center"/>
        <w:rPr>
          <w:rFonts w:eastAsia="黑体"/>
          <w:b/>
          <w:bCs/>
          <w:sz w:val="32"/>
        </w:rPr>
      </w:pPr>
    </w:p>
    <w:p>
      <w:pPr>
        <w:jc w:val="center"/>
        <w:rPr>
          <w:rFonts w:eastAsia="黑体"/>
          <w:b/>
          <w:bCs/>
          <w:sz w:val="32"/>
        </w:rPr>
      </w:pPr>
    </w:p>
    <w:p>
      <w:pPr>
        <w:jc w:val="center"/>
        <w:rPr>
          <w:rFonts w:eastAsia="黑体"/>
          <w:bCs/>
          <w:sz w:val="52"/>
          <w:szCs w:val="52"/>
        </w:rPr>
      </w:pPr>
      <w:r>
        <w:rPr>
          <w:rFonts w:hint="eastAsia" w:eastAsia="黑体"/>
          <w:bCs/>
          <w:sz w:val="52"/>
          <w:szCs w:val="52"/>
        </w:rPr>
        <w:t>编制说明</w:t>
      </w:r>
    </w:p>
    <w:p>
      <w:pPr>
        <w:jc w:val="center"/>
        <w:rPr>
          <w:rFonts w:eastAsia="黑体"/>
          <w:bCs/>
          <w:sz w:val="52"/>
          <w:szCs w:val="52"/>
        </w:rPr>
      </w:pPr>
      <w:r>
        <w:rPr>
          <w:rFonts w:hint="eastAsia" w:eastAsia="黑体"/>
          <w:bCs/>
          <w:sz w:val="52"/>
          <w:szCs w:val="52"/>
        </w:rPr>
        <w:t>(</w:t>
      </w:r>
      <w:r>
        <w:rPr>
          <w:rFonts w:hint="eastAsia" w:eastAsia="黑体"/>
          <w:bCs/>
          <w:sz w:val="52"/>
          <w:szCs w:val="52"/>
          <w:lang w:eastAsia="zh-CN"/>
        </w:rPr>
        <w:t>送</w:t>
      </w:r>
      <w:r>
        <w:rPr>
          <w:rFonts w:hint="eastAsia" w:eastAsia="黑体"/>
          <w:bCs/>
          <w:sz w:val="52"/>
          <w:szCs w:val="52"/>
        </w:rPr>
        <w:t>审稿)</w:t>
      </w:r>
    </w:p>
    <w:p>
      <w:pPr>
        <w:jc w:val="center"/>
        <w:rPr>
          <w:rFonts w:eastAsia="黑体"/>
          <w:bCs/>
          <w:sz w:val="44"/>
        </w:rPr>
      </w:pPr>
    </w:p>
    <w:p>
      <w:pPr>
        <w:jc w:val="center"/>
        <w:rPr>
          <w:rFonts w:eastAsia="黑体"/>
          <w:b/>
          <w:bCs/>
          <w:sz w:val="44"/>
        </w:rPr>
      </w:pPr>
    </w:p>
    <w:p>
      <w:pPr>
        <w:jc w:val="center"/>
        <w:rPr>
          <w:rFonts w:eastAsia="黑体"/>
          <w:b/>
          <w:bCs/>
          <w:sz w:val="44"/>
        </w:rPr>
      </w:pPr>
    </w:p>
    <w:p>
      <w:pPr>
        <w:jc w:val="center"/>
        <w:rPr>
          <w:rFonts w:eastAsia="黑体"/>
          <w:b/>
          <w:bCs/>
          <w:sz w:val="44"/>
        </w:rPr>
      </w:pPr>
    </w:p>
    <w:p>
      <w:pPr>
        <w:jc w:val="center"/>
        <w:rPr>
          <w:rFonts w:eastAsia="黑体"/>
          <w:sz w:val="28"/>
          <w:szCs w:val="28"/>
        </w:rPr>
      </w:pPr>
      <w:r>
        <w:rPr>
          <w:rFonts w:hint="eastAsia" w:eastAsia="黑体"/>
          <w:sz w:val="28"/>
          <w:szCs w:val="28"/>
        </w:rPr>
        <w:t xml:space="preserve">《铝及铝合金化学分析方法 </w:t>
      </w:r>
      <w:r>
        <w:rPr>
          <w:rFonts w:hint="eastAsia" w:ascii="黑体" w:hAnsi="宋体" w:eastAsia="黑体"/>
          <w:color w:val="000000"/>
          <w:sz w:val="28"/>
          <w:szCs w:val="28"/>
        </w:rPr>
        <w:t>第15部分：硼含量的测定</w:t>
      </w:r>
      <w:r>
        <w:rPr>
          <w:rFonts w:hint="eastAsia" w:eastAsia="黑体"/>
          <w:sz w:val="28"/>
          <w:szCs w:val="28"/>
        </w:rPr>
        <w:t>》编制组</w:t>
      </w:r>
    </w:p>
    <w:p>
      <w:pPr>
        <w:jc w:val="center"/>
        <w:rPr>
          <w:rFonts w:ascii="黑体" w:eastAsia="黑体"/>
          <w:sz w:val="28"/>
          <w:szCs w:val="28"/>
        </w:rPr>
      </w:pPr>
      <w:r>
        <w:rPr>
          <w:rFonts w:hint="eastAsia" w:eastAsia="黑体"/>
          <w:sz w:val="28"/>
          <w:szCs w:val="28"/>
        </w:rPr>
        <w:t>主编单位：</w:t>
      </w:r>
      <w:r>
        <w:rPr>
          <w:rFonts w:hint="eastAsia" w:ascii="黑体" w:eastAsia="黑体"/>
          <w:sz w:val="28"/>
          <w:szCs w:val="28"/>
        </w:rPr>
        <w:t>中铝郑州有色金属研究院有限公司</w:t>
      </w:r>
    </w:p>
    <w:p>
      <w:pPr>
        <w:pStyle w:val="10"/>
        <w:spacing w:before="156" w:after="156"/>
        <w:ind w:left="0" w:leftChars="0"/>
        <w:jc w:val="center"/>
        <w:rPr>
          <w:rFonts w:ascii="黑体" w:eastAsia="黑体"/>
          <w:sz w:val="30"/>
          <w:szCs w:val="30"/>
        </w:rPr>
      </w:pPr>
      <w:r>
        <w:rPr>
          <w:rFonts w:hint="eastAsia" w:ascii="黑体" w:eastAsia="黑体"/>
          <w:sz w:val="30"/>
          <w:szCs w:val="30"/>
        </w:rPr>
        <w:t>2019年</w:t>
      </w:r>
      <w:r>
        <w:rPr>
          <w:rFonts w:hint="eastAsia" w:ascii="黑体" w:eastAsia="黑体"/>
          <w:sz w:val="30"/>
          <w:szCs w:val="30"/>
          <w:lang w:val="en-US" w:eastAsia="zh-CN"/>
        </w:rPr>
        <w:t>9</w:t>
      </w:r>
      <w:r>
        <w:rPr>
          <w:rFonts w:hint="eastAsia" w:ascii="黑体" w:eastAsia="黑体"/>
          <w:sz w:val="30"/>
          <w:szCs w:val="30"/>
        </w:rPr>
        <w:t>月</w:t>
      </w:r>
    </w:p>
    <w:p>
      <w:pPr>
        <w:rPr>
          <w:lang w:bidi="ar-SA"/>
        </w:rPr>
      </w:pPr>
    </w:p>
    <w:p>
      <w:pPr>
        <w:jc w:val="center"/>
        <w:rPr>
          <w:rFonts w:hint="eastAsia" w:ascii="黑体" w:hAnsi="宋体" w:eastAsia="黑体"/>
          <w:bCs/>
          <w:color w:val="000000"/>
          <w:sz w:val="32"/>
          <w:szCs w:val="32"/>
        </w:rPr>
      </w:pPr>
      <w:r>
        <w:rPr>
          <w:rFonts w:hint="eastAsia" w:ascii="黑体" w:hAnsi="宋体" w:eastAsia="黑体"/>
          <w:bCs/>
          <w:color w:val="000000"/>
          <w:sz w:val="32"/>
          <w:szCs w:val="32"/>
        </w:rPr>
        <w:t>铝及铝合金化学分析方法</w:t>
      </w:r>
    </w:p>
    <w:p>
      <w:pPr>
        <w:jc w:val="center"/>
        <w:rPr>
          <w:rFonts w:ascii="黑体" w:hAnsi="宋体" w:eastAsia="黑体"/>
          <w:bCs/>
          <w:color w:val="000000"/>
          <w:sz w:val="32"/>
          <w:szCs w:val="32"/>
        </w:rPr>
      </w:pPr>
      <w:r>
        <w:rPr>
          <w:rFonts w:hint="eastAsia" w:ascii="黑体" w:hAnsi="宋体" w:eastAsia="黑体"/>
          <w:bCs/>
          <w:color w:val="000000"/>
          <w:sz w:val="32"/>
          <w:szCs w:val="32"/>
        </w:rPr>
        <w:t>第15部分：硼含量的测定</w:t>
      </w:r>
    </w:p>
    <w:p>
      <w:pPr>
        <w:jc w:val="center"/>
        <w:rPr>
          <w:rFonts w:ascii="黑体" w:eastAsia="黑体"/>
          <w:sz w:val="32"/>
          <w:szCs w:val="32"/>
        </w:rPr>
      </w:pPr>
      <w:r>
        <w:rPr>
          <w:rFonts w:hint="eastAsia" w:ascii="黑体" w:eastAsia="黑体"/>
          <w:sz w:val="32"/>
          <w:szCs w:val="32"/>
          <w:lang w:eastAsia="zh-CN"/>
        </w:rPr>
        <w:t>送</w:t>
      </w:r>
      <w:r>
        <w:rPr>
          <w:rFonts w:hint="eastAsia" w:ascii="黑体" w:eastAsia="黑体"/>
          <w:sz w:val="32"/>
          <w:szCs w:val="32"/>
        </w:rPr>
        <w:t>审稿编制说明</w:t>
      </w:r>
    </w:p>
    <w:p>
      <w:pPr>
        <w:spacing w:line="360" w:lineRule="auto"/>
        <w:ind w:firstLine="420" w:firstLineChars="200"/>
        <w:rPr>
          <w:rFonts w:ascii="宋体" w:hAnsi="宋体"/>
          <w:szCs w:val="21"/>
        </w:rPr>
      </w:pPr>
    </w:p>
    <w:p>
      <w:pPr>
        <w:spacing w:line="360" w:lineRule="auto"/>
        <w:ind w:right="1176" w:rightChars="560"/>
        <w:rPr>
          <w:rFonts w:ascii="黑体" w:hAnsi="宋体" w:eastAsia="黑体"/>
          <w:sz w:val="24"/>
        </w:rPr>
      </w:pPr>
      <w:r>
        <w:rPr>
          <w:rFonts w:hint="eastAsia" w:ascii="黑体" w:hAnsi="宋体" w:eastAsia="黑体"/>
          <w:sz w:val="24"/>
        </w:rPr>
        <w:t>一、工作简况（包括任务来源、协作单位、主要工作过程）</w:t>
      </w:r>
    </w:p>
    <w:p>
      <w:pPr>
        <w:spacing w:beforeLines="50" w:afterLines="50" w:line="360" w:lineRule="auto"/>
        <w:rPr>
          <w:rFonts w:ascii="黑体" w:hAnsi="宋体" w:eastAsia="黑体"/>
          <w:sz w:val="24"/>
        </w:rPr>
      </w:pPr>
      <w:r>
        <w:rPr>
          <w:rFonts w:hint="eastAsia" w:ascii="黑体" w:hAnsi="宋体" w:eastAsia="黑体"/>
          <w:sz w:val="24"/>
        </w:rPr>
        <w:t>1  任务来源</w:t>
      </w:r>
    </w:p>
    <w:p>
      <w:pPr>
        <w:spacing w:line="360" w:lineRule="auto"/>
        <w:ind w:firstLine="420" w:firstLineChars="200"/>
        <w:rPr>
          <w:rFonts w:ascii="宋体" w:hAnsi="宋体"/>
          <w:szCs w:val="21"/>
        </w:rPr>
      </w:pPr>
      <w:r>
        <w:rPr>
          <w:rFonts w:hint="eastAsia" w:ascii="宋体" w:hAnsi="宋体"/>
          <w:szCs w:val="21"/>
        </w:rPr>
        <w:t>2015年全国有色金属标准化技术委员会年会会议精神（2015年11月）和2016年8月在河北省邯郸市召开的全国有色金属标准化技术委员会会议精神，确定将GB/T 20975《铝及铝合金化学分析方法》和YS/T 807《铝中间合金化学分析方法》等标准进行整合，补充完善GB/T 20975《铝及铝合金化学分析方法》标准体系。2016年11月全国有色金属标准化技术技术委员会会议精神，明确了GB/T 20975《铝及铝合金化学分析方法》标准体系中涵盖的测定元素及制修订项目原则。</w:t>
      </w:r>
    </w:p>
    <w:p>
      <w:pPr>
        <w:spacing w:line="360" w:lineRule="auto"/>
        <w:ind w:firstLine="420" w:firstLineChars="200"/>
        <w:rPr>
          <w:rFonts w:hint="eastAsia" w:ascii="宋体" w:hAnsi="宋体"/>
          <w:bCs/>
          <w:color w:val="000000"/>
          <w:szCs w:val="21"/>
          <w:lang w:eastAsia="zh-CN"/>
        </w:rPr>
      </w:pPr>
      <w:r>
        <w:rPr>
          <w:rFonts w:hint="eastAsia" w:ascii="宋体" w:hAnsi="宋体"/>
          <w:szCs w:val="21"/>
        </w:rPr>
        <w:t>根据全国有色金属标准化技术委员会</w:t>
      </w:r>
      <w:r>
        <w:rPr>
          <w:rFonts w:hint="eastAsia" w:ascii="宋体" w:hAnsi="宋体"/>
        </w:rPr>
        <w:t>于</w:t>
      </w:r>
      <w:r>
        <w:rPr>
          <w:rFonts w:hint="eastAsia" w:ascii="宋体" w:hAnsi="宋体"/>
          <w:bCs/>
          <w:color w:val="000000"/>
          <w:szCs w:val="21"/>
        </w:rPr>
        <w:t>2018年3月</w:t>
      </w:r>
      <w:r>
        <w:rPr>
          <w:rFonts w:hint="eastAsia" w:ascii="宋体" w:hAnsi="宋体"/>
          <w:szCs w:val="21"/>
        </w:rPr>
        <w:t>在</w:t>
      </w:r>
      <w:r>
        <w:rPr>
          <w:rFonts w:hint="eastAsia" w:ascii="宋体" w:hAnsi="宋体"/>
        </w:rPr>
        <w:t>云南省昆明市召开了《铝及铝合金化学分析方法》国家标准任务落实会，</w:t>
      </w:r>
      <w:r>
        <w:rPr>
          <w:rFonts w:hint="eastAsia" w:ascii="宋体" w:hAnsi="宋体"/>
          <w:szCs w:val="21"/>
        </w:rPr>
        <w:t>来自云南冶金研究院、广东省工业分析测试中心、</w:t>
      </w:r>
      <w:r>
        <w:rPr>
          <w:rFonts w:ascii="宋体" w:hAnsi="宋体"/>
          <w:szCs w:val="21"/>
        </w:rPr>
        <w:t>贵州</w:t>
      </w:r>
      <w:r>
        <w:rPr>
          <w:rFonts w:hint="eastAsia" w:ascii="宋体" w:hAnsi="宋体"/>
          <w:szCs w:val="21"/>
        </w:rPr>
        <w:t>测试</w:t>
      </w:r>
      <w:r>
        <w:rPr>
          <w:rFonts w:ascii="宋体" w:hAnsi="宋体"/>
          <w:szCs w:val="21"/>
        </w:rPr>
        <w:t>院</w:t>
      </w:r>
      <w:r>
        <w:rPr>
          <w:rFonts w:hint="eastAsia" w:ascii="宋体" w:hAnsi="宋体"/>
          <w:szCs w:val="21"/>
        </w:rPr>
        <w:t>、东北轻合金有限公司等30余家的50名代表对GB/T20975.15—201X《</w:t>
      </w:r>
      <w:r>
        <w:rPr>
          <w:rFonts w:hint="eastAsia" w:ascii="宋体" w:hAnsi="宋体"/>
        </w:rPr>
        <w:t>铝及铝合金化学分析方法</w:t>
      </w:r>
      <w:r>
        <w:rPr>
          <w:rFonts w:hint="eastAsia" w:ascii="宋体" w:hAnsi="宋体"/>
          <w:szCs w:val="21"/>
        </w:rPr>
        <w:t xml:space="preserve"> 第15部分：硼含量的测定》进行了讨论，并进行了制修订任务落实，会上确定了《</w:t>
      </w:r>
      <w:r>
        <w:rPr>
          <w:rFonts w:hint="eastAsia" w:ascii="宋体" w:hAnsi="宋体"/>
        </w:rPr>
        <w:t>铝及铝合金化学分析方法</w:t>
      </w:r>
      <w:r>
        <w:rPr>
          <w:rFonts w:hint="eastAsia" w:ascii="宋体" w:hAnsi="宋体"/>
          <w:szCs w:val="21"/>
        </w:rPr>
        <w:t xml:space="preserve"> 第15部分：硼含量的测定》的起草基本思路。根据会议讨论</w:t>
      </w:r>
      <w:r>
        <w:rPr>
          <w:rFonts w:hint="eastAsia" w:ascii="宋体" w:hAnsi="宋体"/>
        </w:rPr>
        <w:t>安排</w:t>
      </w:r>
      <w:r>
        <w:rPr>
          <w:rFonts w:hint="eastAsia" w:ascii="宋体" w:hAnsi="宋体"/>
          <w:bCs/>
          <w:color w:val="000000"/>
          <w:szCs w:val="21"/>
        </w:rPr>
        <w:t>，由中国铝业郑州有色金属研究院有限公司负责起草GB/T 20975.15-201X《铝及铝合金化学分析方法 第15部分：硼含量的测定》</w:t>
      </w:r>
      <w:r>
        <w:rPr>
          <w:rFonts w:hint="eastAsia" w:ascii="宋体" w:hAnsi="宋体"/>
          <w:bCs/>
          <w:color w:val="000000"/>
          <w:szCs w:val="21"/>
          <w:lang w:eastAsia="zh-CN"/>
        </w:rPr>
        <w:t>。</w:t>
      </w:r>
    </w:p>
    <w:p>
      <w:pPr>
        <w:spacing w:line="360" w:lineRule="auto"/>
        <w:ind w:firstLine="420" w:firstLineChars="200"/>
        <w:rPr>
          <w:rFonts w:hint="eastAsia" w:ascii="宋体" w:hAnsi="宋体"/>
          <w:szCs w:val="21"/>
        </w:rPr>
      </w:pPr>
      <w:r>
        <w:rPr>
          <w:rFonts w:hint="eastAsia" w:ascii="宋体" w:hAnsi="宋体"/>
          <w:szCs w:val="21"/>
        </w:rPr>
        <w:t>全国有色金属标准化技术委员会2017年下达标准制（修）定计划（国标委综合〔2017〕128号），本标准项目计划编号为20173490-T-610，项目完成时间为2019年12月。</w:t>
      </w:r>
    </w:p>
    <w:p>
      <w:pPr>
        <w:spacing w:line="360" w:lineRule="auto"/>
        <w:ind w:firstLine="420" w:firstLineChars="200"/>
        <w:jc w:val="left"/>
        <w:rPr>
          <w:rFonts w:hint="eastAsia" w:ascii="宋体" w:hAnsi="宋体"/>
          <w:szCs w:val="21"/>
        </w:rPr>
      </w:pPr>
      <w:r>
        <w:rPr>
          <w:rFonts w:hint="eastAsia" w:ascii="宋体" w:hAnsi="宋体"/>
          <w:szCs w:val="21"/>
        </w:rPr>
        <w:t>2019年6月24</w:t>
      </w:r>
      <w:r>
        <w:rPr>
          <w:rFonts w:ascii="宋体" w:hAnsi="宋体"/>
          <w:szCs w:val="21"/>
        </w:rPr>
        <w:t>日～</w:t>
      </w:r>
      <w:r>
        <w:rPr>
          <w:rFonts w:hint="eastAsia" w:ascii="宋体" w:hAnsi="宋体"/>
          <w:szCs w:val="21"/>
        </w:rPr>
        <w:t>26</w:t>
      </w:r>
      <w:r>
        <w:rPr>
          <w:rFonts w:ascii="宋体" w:hAnsi="宋体"/>
          <w:szCs w:val="21"/>
        </w:rPr>
        <w:t>日</w:t>
      </w:r>
      <w:r>
        <w:rPr>
          <w:rFonts w:hint="eastAsia" w:ascii="宋体" w:hAnsi="宋体"/>
          <w:szCs w:val="21"/>
        </w:rPr>
        <w:t>在山东省青岛市召开的GB/T 20975系列标准预审会上，为了与其他</w:t>
      </w:r>
      <w:r>
        <w:rPr>
          <w:rFonts w:hint="eastAsia" w:ascii="宋体" w:hAnsi="宋体"/>
          <w:szCs w:val="21"/>
          <w:lang w:eastAsia="zh-CN"/>
        </w:rPr>
        <w:t>部分</w:t>
      </w:r>
      <w:r>
        <w:rPr>
          <w:rFonts w:hint="eastAsia" w:ascii="宋体" w:hAnsi="宋体"/>
          <w:szCs w:val="21"/>
        </w:rPr>
        <w:t>名称保持一致，会议建议将本</w:t>
      </w:r>
      <w:r>
        <w:rPr>
          <w:rFonts w:hint="eastAsia" w:ascii="宋体" w:hAnsi="宋体"/>
          <w:szCs w:val="21"/>
          <w:lang w:eastAsia="zh-CN"/>
        </w:rPr>
        <w:t>部分</w:t>
      </w:r>
      <w:r>
        <w:rPr>
          <w:rFonts w:hint="eastAsia" w:ascii="宋体" w:hAnsi="宋体"/>
          <w:szCs w:val="21"/>
        </w:rPr>
        <w:t>名称修改为：GB/T 20975.</w:t>
      </w:r>
      <w:r>
        <w:rPr>
          <w:rFonts w:hint="eastAsia" w:ascii="宋体" w:hAnsi="宋体"/>
          <w:szCs w:val="21"/>
          <w:lang w:val="en-US" w:eastAsia="zh-CN"/>
        </w:rPr>
        <w:t>15</w:t>
      </w:r>
      <w:r>
        <w:rPr>
          <w:rFonts w:ascii="宋体" w:hAnsi="宋体"/>
          <w:szCs w:val="21"/>
        </w:rPr>
        <w:t>《</w:t>
      </w:r>
      <w:r>
        <w:rPr>
          <w:rFonts w:hint="eastAsia" w:ascii="宋体" w:hAnsi="宋体"/>
          <w:bCs/>
          <w:color w:val="000000"/>
          <w:szCs w:val="21"/>
        </w:rPr>
        <w:t>铝及铝合金化学分析方法 第</w:t>
      </w:r>
      <w:r>
        <w:rPr>
          <w:rFonts w:hint="eastAsia" w:ascii="宋体" w:hAnsi="宋体"/>
          <w:bCs/>
          <w:color w:val="000000"/>
          <w:szCs w:val="21"/>
          <w:lang w:val="en-US" w:eastAsia="zh-CN"/>
        </w:rPr>
        <w:t>15</w:t>
      </w:r>
      <w:r>
        <w:rPr>
          <w:rFonts w:hint="eastAsia" w:ascii="宋体" w:hAnsi="宋体"/>
          <w:bCs/>
          <w:color w:val="000000"/>
          <w:szCs w:val="21"/>
        </w:rPr>
        <w:t>部分：</w:t>
      </w:r>
      <w:r>
        <w:rPr>
          <w:rFonts w:hint="eastAsia" w:ascii="宋体" w:hAnsi="宋体"/>
          <w:bCs/>
          <w:color w:val="000000"/>
          <w:szCs w:val="21"/>
          <w:lang w:eastAsia="zh-CN"/>
        </w:rPr>
        <w:t>硼</w:t>
      </w:r>
      <w:r>
        <w:rPr>
          <w:rFonts w:hint="eastAsia" w:ascii="宋体" w:hAnsi="宋体"/>
          <w:bCs/>
          <w:color w:val="000000"/>
          <w:szCs w:val="21"/>
        </w:rPr>
        <w:t>含量的测定</w:t>
      </w:r>
      <w:r>
        <w:rPr>
          <w:rFonts w:ascii="宋体" w:hAnsi="宋体"/>
          <w:szCs w:val="21"/>
        </w:rPr>
        <w:t>》</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项目承担单位“中国铝业郑州有色金属研究院有限公司”名称于2019年6月10日变更为“中铝郑州有色金属研究院有限公司”，因此本</w:t>
      </w:r>
      <w:r>
        <w:rPr>
          <w:rFonts w:hint="eastAsia" w:ascii="宋体" w:hAnsi="宋体"/>
          <w:szCs w:val="21"/>
          <w:lang w:eastAsia="zh-CN"/>
        </w:rPr>
        <w:t>部分</w:t>
      </w:r>
      <w:r>
        <w:rPr>
          <w:rFonts w:hint="eastAsia" w:ascii="宋体" w:hAnsi="宋体"/>
          <w:szCs w:val="21"/>
        </w:rPr>
        <w:t>负责单位变更为：中铝郑州有色金属研究院有限公司。</w:t>
      </w:r>
    </w:p>
    <w:p>
      <w:pPr>
        <w:spacing w:beforeLines="50" w:afterLines="50" w:line="360" w:lineRule="auto"/>
        <w:rPr>
          <w:rFonts w:hint="eastAsia" w:ascii="黑体" w:hAnsi="宋体" w:eastAsia="黑体"/>
          <w:sz w:val="24"/>
        </w:rPr>
      </w:pPr>
      <w:r>
        <w:rPr>
          <w:rFonts w:hint="eastAsia" w:ascii="黑体" w:hAnsi="宋体" w:eastAsia="黑体"/>
          <w:sz w:val="24"/>
        </w:rPr>
        <w:t>2  项目编制工作组单位简介</w:t>
      </w:r>
    </w:p>
    <w:p>
      <w:pPr>
        <w:spacing w:line="360" w:lineRule="auto"/>
        <w:ind w:firstLine="420" w:firstLineChars="200"/>
        <w:rPr>
          <w:rFonts w:hint="eastAsia" w:ascii="宋体" w:hAnsi="宋体"/>
          <w:lang w:eastAsia="zh-CN"/>
        </w:rPr>
      </w:pPr>
      <w:r>
        <w:rPr>
          <w:rFonts w:hint="eastAsia" w:ascii="宋体" w:hAnsi="宋体"/>
          <w:lang w:eastAsia="zh-CN"/>
        </w:rPr>
        <w:t>根据在云南省昆明市召开的任务落实会议确定情况，本部分方法一</w:t>
      </w:r>
      <w:r>
        <w:rPr>
          <w:rFonts w:hint="eastAsia" w:ascii="宋体" w:hAnsi="宋体"/>
          <w:lang w:eastAsia="zh-CN"/>
        </w:rPr>
        <w:t>：氢氟酸溶样</w:t>
      </w:r>
      <w:r>
        <w:rPr>
          <w:rFonts w:hint="eastAsia" w:ascii="宋体" w:hAnsi="宋体"/>
          <w:lang w:val="en-US" w:eastAsia="zh-CN"/>
        </w:rPr>
        <w:t>-</w:t>
      </w:r>
      <w:r>
        <w:rPr>
          <w:rFonts w:hint="eastAsia" w:ascii="宋体" w:hAnsi="宋体"/>
          <w:lang w:eastAsia="zh-CN"/>
        </w:rPr>
        <w:t>离子选择电极法，由中铝郑州有色金属研究院有限公司负责起草，由贵州省分析测试研究院、中铝矿业有限公司、河北四通新型金属材料股份有限公司、中铝山西新材料有限公司等</w:t>
      </w:r>
      <w:r>
        <w:rPr>
          <w:rFonts w:hint="eastAsia" w:ascii="宋体" w:hAnsi="宋体"/>
          <w:lang w:val="en-US" w:eastAsia="zh-CN"/>
        </w:rPr>
        <w:t>五</w:t>
      </w:r>
      <w:r>
        <w:rPr>
          <w:rFonts w:hint="eastAsia" w:ascii="宋体" w:hAnsi="宋体"/>
          <w:lang w:eastAsia="zh-CN"/>
        </w:rPr>
        <w:t>家单位共同编制。</w:t>
      </w:r>
    </w:p>
    <w:p>
      <w:pPr>
        <w:spacing w:line="360" w:lineRule="auto"/>
        <w:ind w:firstLine="420" w:firstLineChars="200"/>
        <w:rPr>
          <w:rFonts w:hint="eastAsia" w:ascii="黑体" w:hAnsi="宋体" w:eastAsia="黑体"/>
          <w:sz w:val="24"/>
        </w:rPr>
      </w:pPr>
      <w:r>
        <w:rPr>
          <w:rFonts w:hint="eastAsia" w:ascii="宋体" w:hAnsi="宋体"/>
          <w:lang w:eastAsia="zh-CN"/>
        </w:rPr>
        <w:t>根据在云南省昆明市召开的任务落实会议确定情况，本部分方法二</w:t>
      </w:r>
      <w:r>
        <w:rPr>
          <w:rFonts w:hint="eastAsia" w:ascii="宋体" w:hAnsi="宋体"/>
          <w:lang w:eastAsia="zh-CN"/>
        </w:rPr>
        <w:t>：混合酸溶样</w:t>
      </w:r>
      <w:r>
        <w:rPr>
          <w:rFonts w:hint="eastAsia" w:ascii="宋体" w:hAnsi="宋体"/>
          <w:lang w:val="en-US" w:eastAsia="zh-CN"/>
        </w:rPr>
        <w:t>-</w:t>
      </w:r>
      <w:r>
        <w:rPr>
          <w:rFonts w:hint="eastAsia" w:ascii="宋体" w:hAnsi="宋体"/>
          <w:lang w:eastAsia="zh-CN"/>
        </w:rPr>
        <w:t>离子选择电极法，由中铝郑州有色金属研究院有限公司负责起草，由贵州省分析测试研究院、中铝矿业有限公司、河北四通新型金属材料股份有限公司、中铝山西新材料有限公司等</w:t>
      </w:r>
      <w:r>
        <w:rPr>
          <w:rFonts w:hint="eastAsia" w:ascii="宋体" w:hAnsi="宋体"/>
          <w:lang w:val="en-US" w:eastAsia="zh-CN"/>
        </w:rPr>
        <w:t>五</w:t>
      </w:r>
      <w:r>
        <w:rPr>
          <w:rFonts w:hint="eastAsia" w:ascii="宋体" w:hAnsi="宋体"/>
          <w:lang w:eastAsia="zh-CN"/>
        </w:rPr>
        <w:t>家单位共同编制。</w:t>
      </w:r>
    </w:p>
    <w:p>
      <w:pPr>
        <w:widowControl/>
        <w:spacing w:line="360" w:lineRule="auto"/>
        <w:jc w:val="left"/>
        <w:rPr>
          <w:rFonts w:ascii="宋体" w:hAnsi="宋体"/>
          <w:b/>
          <w:bCs/>
          <w:szCs w:val="21"/>
        </w:rPr>
      </w:pPr>
      <w:r>
        <w:rPr>
          <w:rFonts w:hint="eastAsia" w:ascii="宋体" w:hAnsi="宋体"/>
          <w:b/>
          <w:bCs/>
          <w:szCs w:val="21"/>
        </w:rPr>
        <w:t xml:space="preserve">2.1 </w:t>
      </w:r>
      <w:r>
        <w:rPr>
          <w:rFonts w:ascii="宋体" w:hAnsi="宋体"/>
          <w:b/>
          <w:bCs/>
          <w:szCs w:val="21"/>
        </w:rPr>
        <w:t>中铝郑州有色金属研究院有限公司</w:t>
      </w:r>
    </w:p>
    <w:p>
      <w:pPr>
        <w:widowControl/>
        <w:spacing w:line="360" w:lineRule="auto"/>
        <w:jc w:val="left"/>
        <w:rPr>
          <w:rFonts w:ascii="宋体" w:hAnsi="宋体"/>
          <w:szCs w:val="21"/>
        </w:rPr>
      </w:pPr>
      <w:r>
        <w:rPr>
          <w:rFonts w:hint="eastAsia" w:ascii="宋体" w:hAnsi="宋体"/>
          <w:b/>
          <w:bCs/>
          <w:szCs w:val="21"/>
        </w:rPr>
        <w:t xml:space="preserve">   </w:t>
      </w:r>
      <w:r>
        <w:rPr>
          <w:rFonts w:hint="eastAsia" w:ascii="宋体" w:hAnsi="宋体"/>
          <w:bCs/>
          <w:szCs w:val="21"/>
        </w:rPr>
        <w:t xml:space="preserve"> </w:t>
      </w:r>
      <w:r>
        <w:rPr>
          <w:rFonts w:ascii="宋体" w:hAnsi="宋体"/>
          <w:bCs/>
          <w:szCs w:val="21"/>
        </w:rPr>
        <w:t>中铝郑州有色金属研究院有限公司</w:t>
      </w:r>
      <w:r>
        <w:rPr>
          <w:rFonts w:ascii="宋体" w:hAnsi="宋体"/>
          <w:szCs w:val="21"/>
        </w:rPr>
        <w:t>（原中国铝业郑州</w:t>
      </w:r>
      <w:r>
        <w:rPr>
          <w:rFonts w:hint="eastAsia" w:ascii="宋体" w:hAnsi="宋体"/>
          <w:szCs w:val="21"/>
          <w:lang w:eastAsia="zh-CN"/>
        </w:rPr>
        <w:t>有色金属</w:t>
      </w:r>
      <w:r>
        <w:rPr>
          <w:rFonts w:ascii="宋体" w:hAnsi="宋体"/>
          <w:szCs w:val="21"/>
        </w:rPr>
        <w:t>研究院</w:t>
      </w:r>
      <w:r>
        <w:rPr>
          <w:rFonts w:hint="eastAsia" w:ascii="宋体" w:hAnsi="宋体"/>
          <w:szCs w:val="21"/>
          <w:lang w:eastAsia="zh-CN"/>
        </w:rPr>
        <w:t>有限公司</w:t>
      </w:r>
      <w:r>
        <w:rPr>
          <w:rFonts w:ascii="宋体" w:hAnsi="宋体"/>
          <w:szCs w:val="21"/>
        </w:rPr>
        <w:t>）是中国轻金属专业领域唯一的大型科研机构，是我国铝镁工业新技术、新工艺、新材料和新装备的重大、关键和前瞻技术的研发基地，基础研究及原创性技术成果的孵化与转化基地。拥有国内唯一的国家铝冶炼工程技术研究中心，中国铝业博士后科研工作站。</w:t>
      </w:r>
      <w:r>
        <w:rPr>
          <w:rFonts w:hint="eastAsia" w:ascii="宋体" w:hAnsi="宋体"/>
          <w:szCs w:val="21"/>
        </w:rPr>
        <w:t>具有完善的铝、镁冶炼基础理论研究技术平台，包括TEM、SEM、EDS、XRD、XRF、IC等在内的大型仪器设备80余套。</w:t>
      </w:r>
      <w:r>
        <w:rPr>
          <w:rFonts w:ascii="宋体" w:hAnsi="宋体"/>
          <w:szCs w:val="21"/>
        </w:rPr>
        <w:t>依托研究院设立的国家轻金属质量监督检验中心</w:t>
      </w:r>
      <w:r>
        <w:rPr>
          <w:rFonts w:hint="eastAsia" w:ascii="宋体" w:hAnsi="宋体"/>
          <w:szCs w:val="21"/>
        </w:rPr>
        <w:t>（郑州轻金属研究院检测实验室）</w:t>
      </w:r>
      <w:r>
        <w:rPr>
          <w:rFonts w:ascii="宋体" w:hAnsi="宋体"/>
          <w:szCs w:val="21"/>
        </w:rPr>
        <w:t>主要负责我国铝镁及其合金12类77种产品的质量监督检验、产品质量评价仲裁等工作，</w:t>
      </w:r>
      <w:r>
        <w:rPr>
          <w:rFonts w:hint="eastAsia" w:ascii="宋体" w:hAnsi="宋体"/>
          <w:szCs w:val="21"/>
        </w:rPr>
        <w:t>多年来一直为行业提供技术支持服务，承担了铝行业绝大部分分析检测等基础技术标准的具体起草工作，是国际标准化组织</w:t>
      </w:r>
      <w:r>
        <w:rPr>
          <w:rFonts w:ascii="宋体" w:hAnsi="宋体"/>
          <w:szCs w:val="21"/>
        </w:rPr>
        <w:t>ISO/TC226</w:t>
      </w:r>
      <w:r>
        <w:rPr>
          <w:rFonts w:hint="eastAsia" w:ascii="宋体" w:hAnsi="宋体"/>
          <w:szCs w:val="21"/>
        </w:rPr>
        <w:t>（铝用原材料技术委员会）</w:t>
      </w:r>
      <w:r>
        <w:rPr>
          <w:rFonts w:ascii="宋体" w:hAnsi="宋体"/>
          <w:szCs w:val="21"/>
        </w:rPr>
        <w:t>、ISO/TC79</w:t>
      </w:r>
      <w:r>
        <w:rPr>
          <w:rFonts w:hint="eastAsia" w:ascii="宋体" w:hAnsi="宋体"/>
          <w:szCs w:val="21"/>
        </w:rPr>
        <w:t>（轻金属及其合金）</w:t>
      </w:r>
      <w:r>
        <w:rPr>
          <w:rFonts w:ascii="宋体" w:hAnsi="宋体"/>
          <w:szCs w:val="21"/>
        </w:rPr>
        <w:t>在国内的技术支持单位</w:t>
      </w:r>
      <w:r>
        <w:rPr>
          <w:rFonts w:hint="eastAsia" w:ascii="宋体" w:hAnsi="宋体"/>
          <w:szCs w:val="21"/>
        </w:rPr>
        <w:t>，是ISO/TC79/SC5、ISO/TC79/SC12主席单位，是国家工业和信息化部确定的</w:t>
      </w:r>
      <w:r>
        <w:rPr>
          <w:rFonts w:ascii="宋体" w:hAnsi="宋体"/>
          <w:szCs w:val="21"/>
        </w:rPr>
        <w:t>有色金属标准样品</w:t>
      </w:r>
      <w:r>
        <w:rPr>
          <w:rFonts w:hint="eastAsia" w:ascii="宋体" w:hAnsi="宋体"/>
          <w:szCs w:val="21"/>
        </w:rPr>
        <w:t>定点研制单位，是全国有色金属标准化技术委员会铝用炭素材料工作组长单位。</w:t>
      </w:r>
    </w:p>
    <w:p>
      <w:pPr>
        <w:widowControl/>
        <w:spacing w:line="360" w:lineRule="auto"/>
        <w:jc w:val="left"/>
        <w:rPr>
          <w:rFonts w:ascii="宋体" w:hAnsi="宋体" w:cs="宋体"/>
          <w:b/>
          <w:bCs/>
          <w:szCs w:val="21"/>
        </w:rPr>
      </w:pPr>
      <w:bookmarkStart w:id="0" w:name="ref_[1]"/>
      <w:bookmarkEnd w:id="0"/>
      <w:r>
        <w:rPr>
          <w:rFonts w:hint="eastAsia" w:ascii="宋体" w:hAnsi="宋体" w:cs="宋体"/>
          <w:b/>
          <w:bCs/>
          <w:szCs w:val="21"/>
        </w:rPr>
        <w:t>2.2 贵州省分析测试研究院</w:t>
      </w:r>
    </w:p>
    <w:p>
      <w:pPr>
        <w:widowControl/>
        <w:spacing w:line="360" w:lineRule="auto"/>
        <w:jc w:val="left"/>
        <w:rPr>
          <w:rFonts w:ascii="宋体" w:hAnsi="宋体" w:cs="宋体"/>
          <w:szCs w:val="21"/>
        </w:rPr>
      </w:pPr>
      <w:r>
        <w:rPr>
          <w:rFonts w:hint="eastAsia" w:ascii="宋体" w:hAnsi="宋体" w:cs="宋体"/>
          <w:b/>
          <w:bCs/>
          <w:szCs w:val="21"/>
        </w:rPr>
        <w:t xml:space="preserve">   </w:t>
      </w:r>
      <w:r>
        <w:rPr>
          <w:rFonts w:hint="eastAsia" w:ascii="宋体" w:hAnsi="宋体" w:cs="宋体"/>
          <w:bCs/>
          <w:szCs w:val="21"/>
        </w:rPr>
        <w:t xml:space="preserve"> 贵州省分析测试研究院</w:t>
      </w:r>
      <w:r>
        <w:rPr>
          <w:rFonts w:hint="eastAsia" w:ascii="宋体" w:hAnsi="宋体" w:cs="宋体"/>
          <w:szCs w:val="21"/>
        </w:rPr>
        <w:t>是依法设立的为社会提供公正科学数据的第三方检测机构，是政府财政全额拨款的公益型科研事业单位。创建于1935年9月，是由一批留学德、日等国从海外归国的爱国知识分子在贵州省自然科学领域最早建立的工科研究机构。在1990年通过省级《计量资格认证》（CMA）2700余项省级计量认证，2009年通过了《国家实验室认可》（CNAS资格认可）400多项。拥有HPLC、HPLC-MS、GC、GC-MS、ICP-AES、GPC、TOC、DOC、FTIR等各类仪器设备共计400余台（件），价值近8000万元，实验室面积达20000余平方米。承担并完成国家支撑计划、863课题、国家自然基金等多项国家级、省级科研项目。现有分析测试新方法和新技术研究成果80多项，在国内外重要期刊发表相关研究论文300余篇，参与起草和修订国家标准十余项，获得发明专利15项，出版专著500多篇（部）。</w:t>
      </w:r>
    </w:p>
    <w:p>
      <w:pPr>
        <w:widowControl/>
        <w:spacing w:line="360" w:lineRule="auto"/>
        <w:jc w:val="left"/>
        <w:rPr>
          <w:rFonts w:ascii="宋体" w:hAnsi="宋体"/>
          <w:b/>
          <w:szCs w:val="21"/>
        </w:rPr>
      </w:pPr>
      <w:r>
        <w:rPr>
          <w:rFonts w:hint="eastAsia" w:ascii="宋体" w:hAnsi="宋体"/>
          <w:b/>
          <w:szCs w:val="21"/>
        </w:rPr>
        <w:t>2.3  中铝矿业有限公司</w:t>
      </w:r>
    </w:p>
    <w:p>
      <w:pPr>
        <w:widowControl/>
        <w:spacing w:line="360" w:lineRule="auto"/>
        <w:jc w:val="left"/>
        <w:rPr>
          <w:rFonts w:ascii="宋体" w:hAnsi="宋体" w:cs="宋体"/>
          <w:b/>
          <w:szCs w:val="21"/>
        </w:rPr>
      </w:pPr>
      <w:r>
        <w:rPr>
          <w:rFonts w:hint="eastAsia" w:ascii="宋体" w:hAnsi="宋体"/>
          <w:b/>
          <w:szCs w:val="21"/>
        </w:rPr>
        <w:t xml:space="preserve">    </w:t>
      </w:r>
      <w:r>
        <w:rPr>
          <w:rFonts w:hint="eastAsia" w:ascii="宋体" w:hAnsi="宋体"/>
          <w:szCs w:val="21"/>
        </w:rPr>
        <w:t>中铝矿业有限公司</w:t>
      </w:r>
      <w:r>
        <w:rPr>
          <w:rFonts w:ascii="宋体" w:hAnsi="宋体"/>
          <w:szCs w:val="21"/>
        </w:rPr>
        <w:t>具有年供矿400万吨，年产氧化铝</w:t>
      </w:r>
      <w:r>
        <w:rPr>
          <w:rFonts w:hint="eastAsia" w:ascii="宋体" w:hAnsi="宋体"/>
          <w:szCs w:val="21"/>
        </w:rPr>
        <w:t>200</w:t>
      </w:r>
      <w:r>
        <w:rPr>
          <w:rFonts w:ascii="宋体" w:hAnsi="宋体"/>
          <w:szCs w:val="21"/>
        </w:rPr>
        <w:t>万吨、碳素制品12万吨、金属镓40吨，年自发电15亿千瓦时的生产能力。拥有铝土矿资源保有储量</w:t>
      </w:r>
      <w:r>
        <w:rPr>
          <w:rFonts w:hint="eastAsia" w:ascii="宋体" w:hAnsi="宋体"/>
          <w:szCs w:val="21"/>
        </w:rPr>
        <w:t>1.5</w:t>
      </w:r>
      <w:r>
        <w:rPr>
          <w:rFonts w:ascii="宋体" w:hAnsi="宋体"/>
          <w:szCs w:val="21"/>
        </w:rPr>
        <w:t>亿吨。</w:t>
      </w:r>
      <w:r>
        <w:rPr>
          <w:rFonts w:hint="eastAsia" w:ascii="宋体" w:hAnsi="宋体"/>
          <w:szCs w:val="21"/>
        </w:rPr>
        <w:t>生产指挥保障中心专职从事科技管理、技术开发、分析检测、高纯镓和超细氢氧化铝系列产品开发及生产。主要任务是围绕公司生产经营和科技发展，研究开发新工艺、新技术、新产品，组织科技计划项目的实施，承担进厂原燃料、出厂产品和部分过程样品的质量检测，承担公司大型窑炉的热工测定，负责金属镓深加工及其衍生产品的开发及生产。</w:t>
      </w:r>
    </w:p>
    <w:p>
      <w:pPr>
        <w:spacing w:line="360" w:lineRule="auto"/>
        <w:rPr>
          <w:b/>
          <w:szCs w:val="21"/>
        </w:rPr>
      </w:pPr>
      <w:r>
        <w:rPr>
          <w:rFonts w:hint="eastAsia"/>
          <w:b/>
          <w:szCs w:val="21"/>
        </w:rPr>
        <w:t>2.4  河北四通新型金属材料股份有限公司</w:t>
      </w:r>
    </w:p>
    <w:p>
      <w:pPr>
        <w:spacing w:line="360" w:lineRule="auto"/>
        <w:rPr>
          <w:rFonts w:ascii="宋体" w:hAnsi="宋体"/>
          <w:b/>
          <w:bCs/>
          <w:szCs w:val="21"/>
        </w:rPr>
      </w:pPr>
      <w:r>
        <w:rPr>
          <w:rFonts w:hint="eastAsia"/>
          <w:b/>
          <w:szCs w:val="21"/>
        </w:rPr>
        <w:t xml:space="preserve">   </w:t>
      </w:r>
      <w:r>
        <w:rPr>
          <w:rFonts w:hint="eastAsia"/>
          <w:szCs w:val="21"/>
        </w:rPr>
        <w:t xml:space="preserve"> 河北四通新型金属材料股份有限公司</w:t>
      </w:r>
      <w:r>
        <w:rPr>
          <w:rFonts w:hint="eastAsia" w:ascii="宋体"/>
          <w:kern w:val="0"/>
          <w:szCs w:val="21"/>
        </w:rPr>
        <w:t>成立于1998年，专业从事功能性中间合金新材料的研发、制造和销售，是国内最大的中间合金生产企业之一；是国家火炬计划重点高新技术企业、河北省高新技术企业、河北省创新型企业、科技型中小企业和河北省首批“专精特新”企业；通过了ISO9001质量管理体系认证、ISO/TS 16949汽车行业质量管理体系认证、ISO14001环境管理体系认证和CNAS 实验室认证；是中国有色金属工业协会理事单位、钛工业进展常务理事单位、中国材料进展常务理事单位；拥有国家国际科技合作基地、河北省企业技术中心、省级航空航天金属材料工程技术研究中心和省级院士工作站；是“十二五”国家高技术发展计划（863计划）新材料技术领域“新型轻质与高强韧耐蚀合金及其构件精密制备技术”主题项目的牵头单位；国家国际科技合作项目“航空航天用新型铝合金晶粒细化剂制备技术联合研发”的承担单位；国家标准《铝中间合金》（GB/T 27677-XXXX）的起草单位。共拥有6项国家发明专利，15项实用新型专利，14项非专利技术，多项储备和研发产品项目。</w:t>
      </w:r>
    </w:p>
    <w:p>
      <w:pPr>
        <w:spacing w:line="360" w:lineRule="auto"/>
        <w:rPr>
          <w:rFonts w:ascii="宋体" w:hAnsi="宋体" w:cs="宋体"/>
          <w:b/>
          <w:kern w:val="0"/>
          <w:szCs w:val="21"/>
        </w:rPr>
      </w:pPr>
      <w:r>
        <w:rPr>
          <w:rFonts w:hint="eastAsia" w:ascii="宋体" w:hAnsi="宋体" w:cs="宋体"/>
          <w:b/>
          <w:kern w:val="0"/>
          <w:szCs w:val="21"/>
        </w:rPr>
        <w:t>2.5  中铝山西新材料有限公司</w:t>
      </w:r>
    </w:p>
    <w:p>
      <w:pPr>
        <w:spacing w:line="360" w:lineRule="auto"/>
        <w:rPr>
          <w:rFonts w:ascii="宋体" w:hAnsi="宋体" w:cs="宋体"/>
          <w:kern w:val="0"/>
          <w:szCs w:val="21"/>
        </w:rPr>
      </w:pPr>
      <w:r>
        <w:rPr>
          <w:rFonts w:hint="eastAsia" w:ascii="宋体" w:hAnsi="宋体" w:cs="宋体"/>
          <w:b/>
          <w:kern w:val="0"/>
          <w:szCs w:val="21"/>
        </w:rPr>
        <w:t xml:space="preserve">    </w:t>
      </w:r>
      <w:r>
        <w:rPr>
          <w:rFonts w:hint="eastAsia" w:ascii="宋体" w:hAnsi="宋体" w:cs="宋体"/>
          <w:kern w:val="0"/>
          <w:szCs w:val="21"/>
        </w:rPr>
        <w:t>中铝山西新材料有限公司是山西省第一家拥有“矿山-氧化铝-电解铝-铝加工”并配套自备发电机组的完整铝产业链的大型企业，技术研发中心是中铝山西新材料有限公司的技术研发机构。承担着公司新材料、新产品、新技术、新工艺的研发与推广应用工作，负责公司科技管理与知识产权的管理工作，负责研发过程分析检测工作以及分析方法及标准的研究，负责公司的原燃物料和过程样品的分析检测等工作。</w:t>
      </w:r>
    </w:p>
    <w:p>
      <w:pPr>
        <w:spacing w:beforeLines="50" w:afterLines="50" w:line="360" w:lineRule="auto"/>
        <w:rPr>
          <w:rFonts w:ascii="黑体" w:hAnsi="宋体" w:eastAsia="黑体"/>
          <w:sz w:val="24"/>
        </w:rPr>
      </w:pPr>
      <w:r>
        <w:rPr>
          <w:rFonts w:hint="eastAsia" w:ascii="黑体" w:hAnsi="宋体" w:eastAsia="黑体"/>
          <w:sz w:val="24"/>
        </w:rPr>
        <w:t>3  主要工作过程</w:t>
      </w:r>
      <w:r>
        <w:rPr>
          <w:rFonts w:hint="eastAsia" w:ascii="黑体" w:eastAsia="黑体"/>
          <w:sz w:val="24"/>
        </w:rPr>
        <w:t>（征求意见过程，讨论会情况）</w:t>
      </w:r>
      <w:r>
        <w:rPr>
          <w:rFonts w:hint="eastAsia" w:ascii="黑体" w:hAnsi="宋体" w:eastAsia="黑体"/>
          <w:sz w:val="24"/>
        </w:rPr>
        <w:t>和工作内容</w:t>
      </w:r>
    </w:p>
    <w:p>
      <w:pPr>
        <w:spacing w:line="360" w:lineRule="auto"/>
        <w:rPr>
          <w:rFonts w:ascii="黑体" w:eastAsia="黑体"/>
          <w:sz w:val="24"/>
        </w:rPr>
      </w:pPr>
      <w:r>
        <w:rPr>
          <w:rFonts w:hint="eastAsia" w:ascii="黑体" w:eastAsia="黑体"/>
          <w:sz w:val="24"/>
        </w:rPr>
        <w:t xml:space="preserve">3.1 征求意见过程 </w:t>
      </w:r>
    </w:p>
    <w:p>
      <w:pPr>
        <w:spacing w:line="360" w:lineRule="auto"/>
        <w:ind w:firstLine="420" w:firstLineChars="200"/>
        <w:rPr>
          <w:rFonts w:ascii="宋体" w:hAnsi="宋体"/>
          <w:szCs w:val="21"/>
        </w:rPr>
      </w:pPr>
      <w:r>
        <w:rPr>
          <w:rFonts w:hint="eastAsia" w:ascii="宋体" w:hAnsi="宋体"/>
          <w:szCs w:val="21"/>
        </w:rPr>
        <w:t>从项目申报开始，中国铝业郑州有色金属研究院有限公司（国家轻金属质量监督检验中心）就组建了</w:t>
      </w:r>
      <w:r>
        <w:rPr>
          <w:rFonts w:hint="eastAsia" w:ascii="宋体" w:hAnsi="宋体"/>
          <w:bCs/>
          <w:color w:val="000000"/>
          <w:szCs w:val="21"/>
        </w:rPr>
        <w:t>GB/T 20975.15-201X《铝及铝合金化学分析方法 第15部分：硼含量的测定》</w:t>
      </w:r>
      <w:r>
        <w:rPr>
          <w:rFonts w:hint="eastAsia" w:ascii="宋体" w:hAnsi="宋体"/>
          <w:szCs w:val="21"/>
        </w:rPr>
        <w:t>起草项目组。项目组由长期负责标准制修订的教授级高工担任组长，高级工程师、工程师及硕士担任组员。2018年3月全国有色金属标准化技术委员会在昆明市召开了任务落实会，根据会上的讨论，形成征求意见稿，之后广泛征求相关单位意见，再根据各单位意见形成预审稿。</w:t>
      </w:r>
    </w:p>
    <w:p>
      <w:pPr>
        <w:spacing w:line="360" w:lineRule="auto"/>
        <w:rPr>
          <w:rFonts w:ascii="黑体" w:eastAsia="黑体"/>
          <w:sz w:val="24"/>
        </w:rPr>
      </w:pPr>
      <w:r>
        <w:rPr>
          <w:rFonts w:hint="eastAsia" w:ascii="黑体" w:eastAsia="黑体"/>
          <w:sz w:val="24"/>
        </w:rPr>
        <w:t>3.2  讨论会情况</w:t>
      </w:r>
    </w:p>
    <w:p>
      <w:pPr>
        <w:spacing w:line="360" w:lineRule="auto"/>
        <w:ind w:firstLine="420" w:firstLineChars="200"/>
        <w:rPr>
          <w:rFonts w:ascii="宋体" w:hAnsi="宋体"/>
          <w:bCs/>
          <w:color w:val="000000"/>
          <w:szCs w:val="21"/>
        </w:rPr>
      </w:pPr>
      <w:r>
        <w:rPr>
          <w:rFonts w:hint="eastAsia" w:ascii="宋体" w:hAnsi="宋体"/>
          <w:szCs w:val="21"/>
        </w:rPr>
        <w:t>2017年12月郑州研究院在河南省郑州市组织召开专题会议，对郑州研究院负责制修订的</w:t>
      </w:r>
      <w:r>
        <w:rPr>
          <w:rFonts w:hint="eastAsia" w:ascii="宋体" w:hAnsi="宋体"/>
          <w:bCs/>
          <w:color w:val="000000"/>
          <w:szCs w:val="21"/>
        </w:rPr>
        <w:t>GB/T 20975.15、GB/T 20975.19、GB/T 20975.25等10个部分进行了讨论，对各个标准测定范围、方法提要、测定步骤、精密度等部分进行了详细的论证，基本达成了统一。</w:t>
      </w:r>
    </w:p>
    <w:p>
      <w:pPr>
        <w:spacing w:line="360" w:lineRule="auto"/>
        <w:ind w:firstLine="420" w:firstLineChars="200"/>
        <w:rPr>
          <w:rFonts w:ascii="宋体" w:hAnsi="宋体"/>
          <w:bCs/>
          <w:color w:val="000000"/>
          <w:szCs w:val="21"/>
        </w:rPr>
      </w:pPr>
      <w:r>
        <w:rPr>
          <w:rFonts w:hint="eastAsia" w:ascii="宋体" w:hAnsi="宋体"/>
          <w:bCs/>
          <w:color w:val="000000"/>
          <w:szCs w:val="21"/>
        </w:rPr>
        <w:t>2018年7月</w:t>
      </w:r>
      <w:r>
        <w:rPr>
          <w:rFonts w:hint="eastAsia" w:ascii="宋体" w:hAnsi="宋体"/>
          <w:szCs w:val="21"/>
        </w:rPr>
        <w:t>全国有色金属标准化技术委员会在</w:t>
      </w:r>
      <w:r>
        <w:rPr>
          <w:rFonts w:hint="eastAsia" w:ascii="宋体" w:hAnsi="宋体"/>
        </w:rPr>
        <w:t>内蒙古自治区省霍林郭勒市召开了</w:t>
      </w:r>
      <w:r>
        <w:rPr>
          <w:rFonts w:hint="eastAsia" w:ascii="宋体" w:hAnsi="宋体"/>
          <w:bCs/>
          <w:color w:val="000000"/>
          <w:szCs w:val="21"/>
        </w:rPr>
        <w:t>GB/T 20975</w:t>
      </w:r>
      <w:r>
        <w:rPr>
          <w:rFonts w:hint="eastAsia" w:ascii="宋体" w:hAnsi="宋体"/>
        </w:rPr>
        <w:t>《铝及铝合金化学分析方法》系列国家标准中</w:t>
      </w:r>
      <w:r>
        <w:rPr>
          <w:rFonts w:hint="eastAsia" w:ascii="宋体" w:hAnsi="宋体"/>
          <w:bCs/>
          <w:color w:val="000000"/>
          <w:szCs w:val="21"/>
        </w:rPr>
        <w:t>GB/T 20975.28、GB/T 20975.29、GB/T 20975.30、20975.31等4</w:t>
      </w:r>
      <w:r>
        <w:rPr>
          <w:rFonts w:hint="eastAsia" w:ascii="宋体" w:hAnsi="宋体"/>
        </w:rPr>
        <w:t>个部分的审定会议</w:t>
      </w:r>
      <w:r>
        <w:rPr>
          <w:rFonts w:hint="eastAsia" w:ascii="宋体" w:hAnsi="宋体"/>
          <w:bCs/>
          <w:color w:val="000000"/>
          <w:szCs w:val="21"/>
        </w:rPr>
        <w:t>，同时对其余部分进行了讨论。</w:t>
      </w:r>
    </w:p>
    <w:p>
      <w:pPr>
        <w:spacing w:line="360" w:lineRule="auto"/>
        <w:ind w:firstLine="420" w:firstLineChars="200"/>
        <w:rPr>
          <w:rFonts w:hint="eastAsia" w:ascii="宋体" w:hAnsi="宋体"/>
          <w:szCs w:val="21"/>
        </w:rPr>
      </w:pPr>
      <w:r>
        <w:rPr>
          <w:rFonts w:hint="eastAsia" w:ascii="宋体" w:hAnsi="宋体"/>
          <w:bCs/>
          <w:color w:val="000000"/>
          <w:szCs w:val="21"/>
        </w:rPr>
        <w:t>2019年1月，</w:t>
      </w:r>
      <w:r>
        <w:rPr>
          <w:rFonts w:hint="eastAsia" w:ascii="宋体" w:hAnsi="宋体"/>
          <w:szCs w:val="21"/>
        </w:rPr>
        <w:t>全国有色金属标准化技术委员会在黑龙江省哈尔滨市召开了GB/T 20975《铝及铝合金化学分析方法》讨论会议，对各个部分的测定范围、适用范围及制修订过程进行了再次讨论，根据国家标准制修订要求再次确定了制修订原则。</w:t>
      </w:r>
    </w:p>
    <w:p>
      <w:pPr>
        <w:spacing w:line="360" w:lineRule="auto"/>
        <w:rPr>
          <w:rFonts w:hint="eastAsia" w:ascii="黑体" w:hAnsi="黑体" w:eastAsia="黑体" w:cs="黑体"/>
          <w:b w:val="0"/>
          <w:bCs w:val="0"/>
          <w:sz w:val="24"/>
          <w:szCs w:val="24"/>
        </w:rPr>
      </w:pPr>
      <w:bookmarkStart w:id="1" w:name="_GoBack"/>
      <w:r>
        <w:rPr>
          <w:rFonts w:hint="eastAsia" w:ascii="黑体" w:hAnsi="黑体" w:eastAsia="黑体" w:cs="黑体"/>
          <w:b w:val="0"/>
          <w:bCs w:val="0"/>
          <w:sz w:val="24"/>
          <w:szCs w:val="24"/>
        </w:rPr>
        <w:t>3.</w:t>
      </w:r>
      <w:r>
        <w:rPr>
          <w:rFonts w:hint="eastAsia" w:ascii="黑体" w:hAnsi="黑体" w:eastAsia="黑体" w:cs="黑体"/>
          <w:b w:val="0"/>
          <w:bCs w:val="0"/>
          <w:sz w:val="24"/>
          <w:szCs w:val="24"/>
          <w:lang w:val="en-US" w:eastAsia="zh-CN"/>
        </w:rPr>
        <w:t xml:space="preserve">3  </w:t>
      </w:r>
      <w:r>
        <w:rPr>
          <w:rFonts w:hint="eastAsia" w:ascii="黑体" w:hAnsi="黑体" w:eastAsia="黑体" w:cs="黑体"/>
          <w:b w:val="0"/>
          <w:bCs w:val="0"/>
          <w:sz w:val="24"/>
          <w:szCs w:val="24"/>
        </w:rPr>
        <w:t>预审会议情况</w:t>
      </w:r>
    </w:p>
    <w:p>
      <w:pPr>
        <w:spacing w:line="360" w:lineRule="auto"/>
        <w:ind w:firstLine="420" w:firstLineChars="200"/>
        <w:rPr>
          <w:rFonts w:hint="eastAsia" w:ascii="宋体" w:hAnsi="宋体"/>
          <w:szCs w:val="21"/>
        </w:rPr>
      </w:pPr>
      <w:r>
        <w:rPr>
          <w:rFonts w:hint="eastAsia" w:ascii="宋体" w:hAnsi="宋体"/>
          <w:szCs w:val="21"/>
        </w:rPr>
        <w:t>2019年6月25日</w:t>
      </w:r>
      <w:r>
        <w:rPr>
          <w:rFonts w:ascii="宋体" w:hAnsi="宋体"/>
          <w:szCs w:val="21"/>
        </w:rPr>
        <w:t>～</w:t>
      </w:r>
      <w:r>
        <w:rPr>
          <w:rFonts w:hint="eastAsia" w:ascii="宋体" w:hAnsi="宋体"/>
          <w:szCs w:val="21"/>
        </w:rPr>
        <w:t>26日，全国有色金属标准化委员会在青岛召开标准预审会，来自东北轻合金有限责任公司、广州省工业分析检测中心、贵州省分析测试研究院、国标（北京）检验认证有限公司、中铝材料应用研究院有限公司、长沙矿冶研究院有限责任公司、昆明冶金研究院、河北四通新材料有限公司、中铝矿业有限公司等二十多家单位对GB/T 20975.</w:t>
      </w:r>
      <w:r>
        <w:rPr>
          <w:rFonts w:hint="eastAsia" w:ascii="宋体" w:hAnsi="宋体"/>
          <w:szCs w:val="21"/>
          <w:lang w:val="en-US" w:eastAsia="zh-CN"/>
        </w:rPr>
        <w:t>15</w:t>
      </w:r>
      <w:r>
        <w:rPr>
          <w:rFonts w:hint="eastAsia" w:ascii="宋体" w:hAnsi="宋体"/>
          <w:szCs w:val="21"/>
        </w:rPr>
        <w:t>《铝及铝合金化学分析方法 第</w:t>
      </w:r>
      <w:r>
        <w:rPr>
          <w:rFonts w:hint="eastAsia" w:ascii="宋体" w:hAnsi="宋体"/>
          <w:szCs w:val="21"/>
          <w:lang w:val="en-US" w:eastAsia="zh-CN"/>
        </w:rPr>
        <w:t>15</w:t>
      </w:r>
      <w:r>
        <w:rPr>
          <w:rFonts w:hint="eastAsia" w:ascii="宋体" w:hAnsi="宋体"/>
          <w:szCs w:val="21"/>
        </w:rPr>
        <w:t>部分：</w:t>
      </w:r>
      <w:r>
        <w:rPr>
          <w:rFonts w:hint="eastAsia" w:ascii="宋体" w:hAnsi="宋体"/>
          <w:szCs w:val="21"/>
          <w:lang w:eastAsia="zh-CN"/>
        </w:rPr>
        <w:t>硼</w:t>
      </w:r>
      <w:r>
        <w:rPr>
          <w:rFonts w:hint="eastAsia" w:ascii="宋体" w:hAnsi="宋体"/>
          <w:szCs w:val="21"/>
        </w:rPr>
        <w:t>含量的测定》</w:t>
      </w:r>
      <w:r>
        <w:rPr>
          <w:rFonts w:hint="eastAsia" w:ascii="宋体" w:hAnsi="宋体"/>
          <w:szCs w:val="21"/>
          <w:lang w:eastAsia="zh-CN"/>
        </w:rPr>
        <w:t>等</w:t>
      </w:r>
      <w:r>
        <w:rPr>
          <w:rFonts w:hint="eastAsia" w:ascii="宋体" w:hAnsi="宋体"/>
          <w:szCs w:val="21"/>
        </w:rPr>
        <w:t>标准进行了预审，经过与会专家认真仔细的讨论，针对标准名称一致性、标准文本格式、计算公式表达、重复性限与再现性限数据处理等内容提出了意见和建议。项目组根据意见和建议，结合国家标准委及全国有色金属标准化委员会对标准制修订的最新要求，编制了《送审稿》和《送审稿编制说明》。</w:t>
      </w:r>
      <w:bookmarkEnd w:id="1"/>
    </w:p>
    <w:p>
      <w:pPr>
        <w:spacing w:beforeLines="50" w:afterLines="50" w:line="360" w:lineRule="auto"/>
        <w:rPr>
          <w:rFonts w:ascii="黑体" w:hAnsi="宋体" w:eastAsia="黑体"/>
          <w:sz w:val="24"/>
        </w:rPr>
      </w:pPr>
      <w:r>
        <w:rPr>
          <w:rFonts w:hint="eastAsia" w:ascii="黑体" w:hAnsi="宋体" w:eastAsia="黑体"/>
          <w:sz w:val="24"/>
        </w:rPr>
        <w:t>3.</w:t>
      </w:r>
      <w:r>
        <w:rPr>
          <w:rFonts w:hint="eastAsia" w:ascii="黑体" w:hAnsi="宋体" w:eastAsia="黑体"/>
          <w:sz w:val="24"/>
          <w:lang w:val="en-US" w:eastAsia="zh-CN"/>
        </w:rPr>
        <w:t>4</w:t>
      </w:r>
      <w:r>
        <w:rPr>
          <w:rFonts w:hint="eastAsia" w:ascii="黑体" w:hAnsi="宋体" w:eastAsia="黑体"/>
          <w:sz w:val="24"/>
        </w:rPr>
        <w:t xml:space="preserve"> 主要工作过程</w:t>
      </w:r>
    </w:p>
    <w:p>
      <w:pPr>
        <w:spacing w:line="360" w:lineRule="auto"/>
        <w:ind w:firstLine="420" w:firstLineChars="200"/>
        <w:rPr>
          <w:rFonts w:ascii="宋体" w:hAnsi="宋体"/>
          <w:szCs w:val="21"/>
        </w:rPr>
      </w:pPr>
      <w:r>
        <w:rPr>
          <w:rFonts w:hint="eastAsia" w:ascii="宋体" w:hAnsi="宋体"/>
          <w:szCs w:val="21"/>
        </w:rPr>
        <w:t>从该标准起草项目申报开始，中国铝业郑州有色金属研究院有限公司（国家轻金属质量监督检验中心）就组建了</w:t>
      </w:r>
      <w:r>
        <w:rPr>
          <w:rFonts w:hint="eastAsia" w:ascii="宋体" w:hAnsi="宋体"/>
          <w:bCs/>
          <w:color w:val="000000"/>
          <w:szCs w:val="21"/>
        </w:rPr>
        <w:t>GB/T 20975.15-201X《铝及铝合金化学分析方法 第15部分：硼含量的测定》</w:t>
      </w:r>
      <w:r>
        <w:rPr>
          <w:rFonts w:hint="eastAsia" w:ascii="宋体" w:hAnsi="宋体"/>
          <w:szCs w:val="21"/>
        </w:rPr>
        <w:t>起草项目组。项目组由长期负责标准制修订的教授级高工担任组长，高级工程师、工程师及硕士担任组员。</w:t>
      </w:r>
    </w:p>
    <w:p>
      <w:pPr>
        <w:spacing w:line="360" w:lineRule="auto"/>
        <w:ind w:firstLine="420"/>
        <w:rPr>
          <w:rFonts w:ascii="宋体" w:hAnsi="宋体"/>
          <w:szCs w:val="21"/>
        </w:rPr>
      </w:pPr>
      <w:r>
        <w:rPr>
          <w:rFonts w:hint="eastAsia" w:ascii="宋体" w:hAnsi="宋体"/>
          <w:szCs w:val="21"/>
        </w:rPr>
        <w:t>2018年3月全国有色金属标准化技术委员会在云南省昆明市召开了</w:t>
      </w:r>
      <w:r>
        <w:rPr>
          <w:rFonts w:hint="eastAsia" w:ascii="宋体" w:hAnsi="宋体"/>
          <w:bCs/>
          <w:color w:val="000000"/>
          <w:szCs w:val="21"/>
        </w:rPr>
        <w:t>GB/T 20975.15-201X《铝及铝合金化学分析方法 第15部分：硼含量的测定》</w:t>
      </w:r>
      <w:r>
        <w:rPr>
          <w:rFonts w:hint="eastAsia" w:ascii="宋体" w:hAnsi="宋体"/>
          <w:szCs w:val="21"/>
        </w:rPr>
        <w:t xml:space="preserve">起草第一次工作会议，会上确定了GB/T 20975.15-201X的起草思路，将GB/T 20975.15-2008《铝及铝合金化学分析方法  </w:t>
      </w:r>
      <w:r>
        <w:rPr>
          <w:rFonts w:hint="eastAsia" w:ascii="宋体" w:hAnsi="宋体"/>
          <w:bCs/>
          <w:color w:val="000000"/>
          <w:szCs w:val="21"/>
        </w:rPr>
        <w:t>第15部分：</w:t>
      </w:r>
      <w:r>
        <w:rPr>
          <w:rFonts w:hint="eastAsia" w:ascii="宋体" w:hAnsi="宋体"/>
          <w:szCs w:val="21"/>
        </w:rPr>
        <w:t>硼含量的测定》和YS/T 807.6-2012《铝中间合金化学分析方法 第6部分：硼含量的测定 离子选择电极法》进行整合，将GB/T 20975.15-2008中“方法一：离子选择电极法”作为新起草标准中“方法一：氢氟酸溶样—离子选择电极法”，硼的测定范围为0.001%～5.0%；YS/T 807.6-2012作为新起草标准中“方法二：混合酸溶样—离子选择电极法”，硼的测定范围为5.0%～12.0%。本标准修改采用ASTM  E34-2002《铝及铝合金化学分析方法》中硼含量测定的部分。</w:t>
      </w:r>
    </w:p>
    <w:p>
      <w:pPr>
        <w:spacing w:line="360" w:lineRule="auto"/>
        <w:ind w:firstLine="420" w:firstLineChars="200"/>
        <w:rPr>
          <w:rFonts w:ascii="宋体" w:hAnsi="宋体"/>
          <w:szCs w:val="21"/>
        </w:rPr>
      </w:pPr>
      <w:r>
        <w:rPr>
          <w:rFonts w:hint="eastAsia" w:ascii="宋体" w:hAnsi="宋体"/>
          <w:szCs w:val="21"/>
        </w:rPr>
        <w:t>我们在总结过去工作经验的基础上，认真地进行了条件试验，对共存离子进行了干扰试验，对方法进行了样品分析，在此基础上我们编制完成了《实验报告》，并进行了充实完善。</w:t>
      </w:r>
    </w:p>
    <w:p>
      <w:pPr>
        <w:spacing w:line="360" w:lineRule="auto"/>
        <w:ind w:firstLine="420" w:firstLineChars="200"/>
        <w:rPr>
          <w:rFonts w:ascii="宋体" w:hAnsi="宋体"/>
          <w:szCs w:val="21"/>
        </w:rPr>
      </w:pPr>
      <w:r>
        <w:rPr>
          <w:rFonts w:hint="eastAsia" w:ascii="宋体" w:hAnsi="宋体"/>
          <w:szCs w:val="21"/>
        </w:rPr>
        <w:t>2018年10月，项目组编制了GB/T 20975.15-201X《</w:t>
      </w:r>
      <w:r>
        <w:rPr>
          <w:rFonts w:hint="eastAsia" w:ascii="宋体" w:hAnsi="宋体"/>
        </w:rPr>
        <w:t>铝及铝合金化学分析方法</w:t>
      </w:r>
      <w:r>
        <w:rPr>
          <w:rFonts w:hint="eastAsia" w:ascii="宋体" w:hAnsi="宋体"/>
          <w:szCs w:val="21"/>
        </w:rPr>
        <w:t xml:space="preserve"> 第15部分：硼含量的测定》征求意见稿，通过会议、发函征求了数十家单位对征求意见稿的意见和建议，单位包括</w:t>
      </w:r>
      <w:r>
        <w:rPr>
          <w:rFonts w:hint="eastAsia" w:ascii="宋体" w:hAnsi="宋体"/>
        </w:rPr>
        <w:t>长沙矿冶研究院有限责任公司、贵州省分析测试研究院、</w:t>
      </w:r>
      <w:r>
        <w:rPr>
          <w:rFonts w:hint="eastAsia" w:ascii="宋体" w:hAnsi="宋体"/>
          <w:szCs w:val="21"/>
        </w:rPr>
        <w:t>昆明冶金研究院、</w:t>
      </w:r>
      <w:r>
        <w:rPr>
          <w:rFonts w:hint="eastAsia" w:ascii="宋体" w:hAnsi="宋体" w:cs="宋体"/>
          <w:szCs w:val="21"/>
        </w:rPr>
        <w:t>苏州有色院等科研院所，还包括</w:t>
      </w:r>
      <w:r>
        <w:rPr>
          <w:rFonts w:hint="eastAsia" w:ascii="宋体" w:hAnsi="宋体"/>
          <w:szCs w:val="21"/>
        </w:rPr>
        <w:t>中铝洛阳铜业有限公司、包头铝业有限公司、中铝矿业有限公司等企业，以及郑州大学、中南大学等高等院校。</w:t>
      </w:r>
    </w:p>
    <w:p>
      <w:pPr>
        <w:spacing w:line="360" w:lineRule="auto"/>
        <w:ind w:firstLine="420" w:firstLineChars="200"/>
        <w:rPr>
          <w:rFonts w:ascii="宋体" w:hAnsi="宋体"/>
          <w:szCs w:val="21"/>
        </w:rPr>
      </w:pPr>
      <w:r>
        <w:rPr>
          <w:rFonts w:hint="eastAsia" w:ascii="宋体" w:hAnsi="宋体"/>
          <w:szCs w:val="21"/>
        </w:rPr>
        <w:t>收集对征求意见稿的反馈信息，汇总、分析意见和建议，与提出建议和意见的实验室充分沟通，完善补充修改征求意见稿。收集到对征求意见稿的反馈信息，汇总、分析意见和建议见下表。</w:t>
      </w:r>
    </w:p>
    <w:tbl>
      <w:tblPr>
        <w:tblStyle w:val="20"/>
        <w:tblW w:w="8232" w:type="dxa"/>
        <w:jc w:val="center"/>
        <w:tblInd w:w="1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81"/>
        <w:gridCol w:w="3118"/>
        <w:gridCol w:w="1321"/>
        <w:gridCol w:w="850"/>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709" w:type="dxa"/>
            <w:tcBorders>
              <w:top w:val="single" w:color="auto" w:sz="8" w:space="0"/>
              <w:left w:val="single" w:color="auto" w:sz="8" w:space="0"/>
              <w:bottom w:val="single" w:color="auto" w:sz="8" w:space="0"/>
            </w:tcBorders>
            <w:vAlign w:val="center"/>
          </w:tcPr>
          <w:p>
            <w:pPr>
              <w:jc w:val="center"/>
              <w:rPr>
                <w:sz w:val="18"/>
                <w:szCs w:val="18"/>
              </w:rPr>
            </w:pPr>
            <w:r>
              <w:rPr>
                <w:rFonts w:hint="eastAsia"/>
                <w:sz w:val="18"/>
                <w:szCs w:val="18"/>
              </w:rPr>
              <w:t>序号</w:t>
            </w:r>
          </w:p>
        </w:tc>
        <w:tc>
          <w:tcPr>
            <w:tcW w:w="1381" w:type="dxa"/>
            <w:tcBorders>
              <w:top w:val="single" w:color="auto" w:sz="8" w:space="0"/>
              <w:bottom w:val="single" w:color="auto" w:sz="8" w:space="0"/>
            </w:tcBorders>
            <w:vAlign w:val="center"/>
          </w:tcPr>
          <w:p>
            <w:pPr>
              <w:jc w:val="center"/>
              <w:rPr>
                <w:sz w:val="18"/>
                <w:szCs w:val="18"/>
              </w:rPr>
            </w:pPr>
            <w:r>
              <w:rPr>
                <w:rFonts w:hint="eastAsia"/>
                <w:sz w:val="18"/>
                <w:szCs w:val="18"/>
              </w:rPr>
              <w:t>标准章条编号</w:t>
            </w:r>
          </w:p>
        </w:tc>
        <w:tc>
          <w:tcPr>
            <w:tcW w:w="3118" w:type="dxa"/>
            <w:tcBorders>
              <w:top w:val="single" w:color="auto" w:sz="8" w:space="0"/>
              <w:bottom w:val="single" w:color="auto" w:sz="8" w:space="0"/>
            </w:tcBorders>
            <w:vAlign w:val="center"/>
          </w:tcPr>
          <w:p>
            <w:pPr>
              <w:jc w:val="center"/>
              <w:rPr>
                <w:sz w:val="18"/>
                <w:szCs w:val="18"/>
              </w:rPr>
            </w:pPr>
            <w:r>
              <w:rPr>
                <w:rFonts w:hint="eastAsia"/>
                <w:sz w:val="18"/>
                <w:szCs w:val="18"/>
              </w:rPr>
              <w:t>意见内容</w:t>
            </w:r>
          </w:p>
        </w:tc>
        <w:tc>
          <w:tcPr>
            <w:tcW w:w="1321" w:type="dxa"/>
            <w:tcBorders>
              <w:top w:val="single" w:color="auto" w:sz="8" w:space="0"/>
              <w:bottom w:val="single" w:color="auto" w:sz="8" w:space="0"/>
            </w:tcBorders>
            <w:vAlign w:val="center"/>
          </w:tcPr>
          <w:p>
            <w:pPr>
              <w:jc w:val="center"/>
              <w:rPr>
                <w:sz w:val="18"/>
                <w:szCs w:val="18"/>
              </w:rPr>
            </w:pPr>
            <w:r>
              <w:rPr>
                <w:rFonts w:hint="eastAsia"/>
                <w:sz w:val="18"/>
                <w:szCs w:val="18"/>
              </w:rPr>
              <w:t>提出单位</w:t>
            </w:r>
          </w:p>
        </w:tc>
        <w:tc>
          <w:tcPr>
            <w:tcW w:w="850" w:type="dxa"/>
            <w:tcBorders>
              <w:top w:val="single" w:color="auto" w:sz="8" w:space="0"/>
              <w:bottom w:val="single" w:color="auto" w:sz="8" w:space="0"/>
            </w:tcBorders>
            <w:vAlign w:val="center"/>
          </w:tcPr>
          <w:p>
            <w:pPr>
              <w:jc w:val="center"/>
              <w:rPr>
                <w:sz w:val="18"/>
                <w:szCs w:val="18"/>
              </w:rPr>
            </w:pPr>
            <w:r>
              <w:rPr>
                <w:rFonts w:hint="eastAsia"/>
                <w:sz w:val="18"/>
                <w:szCs w:val="18"/>
              </w:rPr>
              <w:t>处理</w:t>
            </w:r>
          </w:p>
          <w:p>
            <w:pPr>
              <w:jc w:val="center"/>
              <w:rPr>
                <w:sz w:val="18"/>
                <w:szCs w:val="18"/>
              </w:rPr>
            </w:pPr>
            <w:r>
              <w:rPr>
                <w:rFonts w:hint="eastAsia"/>
                <w:sz w:val="18"/>
                <w:szCs w:val="18"/>
              </w:rPr>
              <w:t>意见</w:t>
            </w:r>
          </w:p>
        </w:tc>
        <w:tc>
          <w:tcPr>
            <w:tcW w:w="853" w:type="dxa"/>
            <w:tcBorders>
              <w:top w:val="single" w:color="auto" w:sz="8" w:space="0"/>
              <w:bottom w:val="single" w:color="auto" w:sz="8" w:space="0"/>
            </w:tcBorders>
            <w:vAlign w:val="center"/>
          </w:tcPr>
          <w:p>
            <w:pPr>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jc w:val="center"/>
        </w:trPr>
        <w:tc>
          <w:tcPr>
            <w:tcW w:w="709"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1</w:t>
            </w:r>
          </w:p>
        </w:tc>
        <w:tc>
          <w:tcPr>
            <w:tcW w:w="1381"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封面</w:t>
            </w:r>
          </w:p>
        </w:tc>
        <w:tc>
          <w:tcPr>
            <w:tcW w:w="3118" w:type="dxa"/>
            <w:tcBorders>
              <w:top w:val="single" w:color="auto" w:sz="8" w:space="0"/>
              <w:bottom w:val="single" w:color="auto" w:sz="4" w:space="0"/>
            </w:tcBorders>
            <w:vAlign w:val="center"/>
          </w:tcPr>
          <w:p>
            <w:pPr>
              <w:rPr>
                <w:rFonts w:ascii="宋体" w:hAnsi="宋体" w:cs="宋体"/>
                <w:sz w:val="18"/>
                <w:szCs w:val="18"/>
              </w:rPr>
            </w:pPr>
            <w:r>
              <w:rPr>
                <w:rFonts w:hint="eastAsia" w:ascii="宋体" w:hAnsi="宋体" w:cs="宋体"/>
                <w:sz w:val="18"/>
                <w:szCs w:val="18"/>
              </w:rPr>
              <w:t>标准封面格式（包括标准分类号、英文名称和发布单位字体及格式等）按GB/T 1.1-2009进行修改。</w:t>
            </w:r>
          </w:p>
        </w:tc>
        <w:tc>
          <w:tcPr>
            <w:tcW w:w="132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中国有色金属工业标准计量质量研究所</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709"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2</w:t>
            </w:r>
          </w:p>
        </w:tc>
        <w:tc>
          <w:tcPr>
            <w:tcW w:w="1381"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bCs/>
                <w:sz w:val="18"/>
                <w:szCs w:val="18"/>
              </w:rPr>
              <w:t>前言</w:t>
            </w:r>
          </w:p>
        </w:tc>
        <w:tc>
          <w:tcPr>
            <w:tcW w:w="3118" w:type="dxa"/>
            <w:tcBorders>
              <w:top w:val="single" w:color="auto" w:sz="8" w:space="0"/>
              <w:bottom w:val="single" w:color="auto" w:sz="4" w:space="0"/>
            </w:tcBorders>
            <w:vAlign w:val="center"/>
          </w:tcPr>
          <w:p>
            <w:pPr>
              <w:rPr>
                <w:rFonts w:hAnsi="宋体"/>
                <w:sz w:val="18"/>
                <w:szCs w:val="18"/>
              </w:rPr>
            </w:pPr>
            <w:r>
              <w:rPr>
                <w:rFonts w:hint="eastAsia" w:ascii="宋体" w:hAnsi="宋体"/>
                <w:sz w:val="18"/>
                <w:szCs w:val="18"/>
              </w:rPr>
              <w:t>GB/T 20975《铝及铝合金化学分析方法》分为3</w:t>
            </w:r>
            <w:r>
              <w:rPr>
                <w:rFonts w:ascii="宋体" w:hAnsi="宋体"/>
                <w:sz w:val="18"/>
                <w:szCs w:val="18"/>
              </w:rPr>
              <w:t>7</w:t>
            </w:r>
            <w:r>
              <w:rPr>
                <w:rFonts w:hint="eastAsia" w:ascii="宋体" w:hAnsi="宋体"/>
                <w:sz w:val="18"/>
                <w:szCs w:val="18"/>
              </w:rPr>
              <w:t>部分：每个部分的名称进行重新确认修改。</w:t>
            </w:r>
          </w:p>
        </w:tc>
        <w:tc>
          <w:tcPr>
            <w:tcW w:w="132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东北轻合金有限公司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709"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3</w:t>
            </w:r>
          </w:p>
        </w:tc>
        <w:tc>
          <w:tcPr>
            <w:tcW w:w="1381"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bCs/>
                <w:sz w:val="18"/>
                <w:szCs w:val="18"/>
              </w:rPr>
              <w:t>前言</w:t>
            </w:r>
          </w:p>
        </w:tc>
        <w:tc>
          <w:tcPr>
            <w:tcW w:w="3118" w:type="dxa"/>
            <w:tcBorders>
              <w:top w:val="single" w:color="auto" w:sz="8" w:space="0"/>
              <w:bottom w:val="single" w:color="auto" w:sz="4" w:space="0"/>
            </w:tcBorders>
            <w:vAlign w:val="center"/>
          </w:tcPr>
          <w:p>
            <w:pPr>
              <w:rPr>
                <w:rFonts w:ascii="宋体" w:hAnsi="宋体" w:cs="宋体"/>
                <w:sz w:val="18"/>
                <w:szCs w:val="18"/>
              </w:rPr>
            </w:pPr>
            <w:r>
              <w:rPr>
                <w:rFonts w:hint="eastAsia" w:ascii="宋体" w:hAnsi="宋体" w:cs="宋体"/>
                <w:sz w:val="18"/>
                <w:szCs w:val="18"/>
              </w:rPr>
              <w:t>增加以下内容：</w:t>
            </w:r>
          </w:p>
          <w:p>
            <w:pPr>
              <w:rPr>
                <w:rFonts w:ascii="宋体" w:hAnsi="宋体"/>
                <w:sz w:val="18"/>
                <w:szCs w:val="18"/>
              </w:rPr>
            </w:pPr>
            <w:r>
              <w:rPr>
                <w:rFonts w:hint="eastAsia" w:ascii="宋体" w:hAnsi="宋体"/>
                <w:sz w:val="18"/>
                <w:szCs w:val="18"/>
              </w:rPr>
              <w:t>——增加</w:t>
            </w:r>
            <w:r>
              <w:rPr>
                <w:rFonts w:ascii="宋体" w:hAnsi="宋体"/>
                <w:sz w:val="18"/>
                <w:szCs w:val="18"/>
              </w:rPr>
              <w:t>了</w:t>
            </w:r>
            <w:r>
              <w:rPr>
                <w:rFonts w:hint="eastAsia" w:ascii="宋体" w:hAnsi="宋体"/>
                <w:sz w:val="18"/>
                <w:szCs w:val="18"/>
              </w:rPr>
              <w:t>标准使用安全警告</w:t>
            </w:r>
            <w:r>
              <w:rPr>
                <w:rFonts w:ascii="宋体" w:hAnsi="宋体"/>
                <w:sz w:val="18"/>
                <w:szCs w:val="18"/>
              </w:rPr>
              <w:t>；</w:t>
            </w:r>
          </w:p>
          <w:p>
            <w:pPr>
              <w:rPr>
                <w:rFonts w:ascii="宋体" w:hAnsi="宋体"/>
                <w:sz w:val="18"/>
                <w:szCs w:val="18"/>
              </w:rPr>
            </w:pPr>
            <w:r>
              <w:rPr>
                <w:rFonts w:hint="eastAsia" w:ascii="宋体" w:hAnsi="宋体"/>
                <w:sz w:val="18"/>
                <w:szCs w:val="18"/>
              </w:rPr>
              <w:t>——增加</w:t>
            </w:r>
            <w:r>
              <w:rPr>
                <w:rFonts w:ascii="宋体" w:hAnsi="宋体"/>
                <w:sz w:val="18"/>
                <w:szCs w:val="18"/>
              </w:rPr>
              <w:t>了</w:t>
            </w:r>
            <w:r>
              <w:rPr>
                <w:rFonts w:hint="eastAsia" w:ascii="宋体" w:hAnsi="宋体"/>
                <w:sz w:val="18"/>
                <w:szCs w:val="18"/>
              </w:rPr>
              <w:t>规范性引用文件（见2）；</w:t>
            </w:r>
          </w:p>
          <w:p>
            <w:pPr>
              <w:rPr>
                <w:rFonts w:ascii="宋体" w:hAnsi="宋体" w:cs="宋体"/>
                <w:sz w:val="18"/>
                <w:szCs w:val="18"/>
              </w:rPr>
            </w:pPr>
            <w:r>
              <w:rPr>
                <w:rFonts w:hint="eastAsia" w:ascii="宋体" w:hAnsi="宋体"/>
                <w:sz w:val="18"/>
                <w:szCs w:val="18"/>
              </w:rPr>
              <w:t>——增加</w:t>
            </w:r>
            <w:r>
              <w:rPr>
                <w:rFonts w:ascii="宋体" w:hAnsi="宋体"/>
                <w:sz w:val="18"/>
                <w:szCs w:val="18"/>
              </w:rPr>
              <w:t>了</w:t>
            </w:r>
            <w:r>
              <w:rPr>
                <w:rFonts w:hint="eastAsia"/>
                <w:sz w:val="18"/>
                <w:szCs w:val="18"/>
              </w:rPr>
              <w:t>术语和定义</w:t>
            </w:r>
            <w:r>
              <w:rPr>
                <w:rFonts w:hint="eastAsia" w:ascii="宋体" w:hAnsi="宋体"/>
                <w:sz w:val="18"/>
                <w:szCs w:val="18"/>
              </w:rPr>
              <w:t>（见3）；</w:t>
            </w:r>
          </w:p>
        </w:tc>
        <w:tc>
          <w:tcPr>
            <w:tcW w:w="132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北矿检测技术有限公司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709"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4</w:t>
            </w:r>
          </w:p>
        </w:tc>
        <w:tc>
          <w:tcPr>
            <w:tcW w:w="1381"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bCs/>
                <w:sz w:val="18"/>
                <w:szCs w:val="18"/>
              </w:rPr>
              <w:t xml:space="preserve">1 </w:t>
            </w:r>
          </w:p>
        </w:tc>
        <w:tc>
          <w:tcPr>
            <w:tcW w:w="3118" w:type="dxa"/>
            <w:tcBorders>
              <w:top w:val="single" w:color="auto" w:sz="8" w:space="0"/>
              <w:bottom w:val="single" w:color="auto" w:sz="4" w:space="0"/>
            </w:tcBorders>
            <w:vAlign w:val="center"/>
          </w:tcPr>
          <w:p>
            <w:pPr>
              <w:pStyle w:val="4"/>
              <w:ind w:firstLine="360"/>
              <w:rPr>
                <w:rFonts w:ascii="宋体" w:hAnsi="宋体" w:cs="宋体"/>
                <w:sz w:val="18"/>
                <w:szCs w:val="18"/>
              </w:rPr>
            </w:pPr>
            <w:r>
              <w:rPr>
                <w:rFonts w:hint="eastAsia" w:ascii="宋体" w:hAnsi="宋体" w:cs="宋体"/>
                <w:sz w:val="18"/>
                <w:szCs w:val="18"/>
              </w:rPr>
              <w:t>修改为“GB/T 20975的本部分规定了采用氢氟酸溶样—离子选择电极法和混合酸溶样—离子选择电极法测定铝及铝合金中硼含量的方法。”</w:t>
            </w:r>
          </w:p>
        </w:tc>
        <w:tc>
          <w:tcPr>
            <w:tcW w:w="1321" w:type="dxa"/>
            <w:tcBorders>
              <w:top w:val="single" w:color="auto" w:sz="8" w:space="0"/>
              <w:bottom w:val="single" w:color="auto" w:sz="4" w:space="0"/>
            </w:tcBorders>
            <w:vAlign w:val="center"/>
          </w:tcPr>
          <w:p>
            <w:pPr>
              <w:jc w:val="left"/>
              <w:rPr>
                <w:rFonts w:ascii="宋体" w:hAnsi="宋体" w:cs="宋体"/>
                <w:bCs/>
                <w:sz w:val="18"/>
                <w:szCs w:val="18"/>
              </w:rPr>
            </w:pPr>
            <w:r>
              <w:rPr>
                <w:rFonts w:hint="eastAsia" w:ascii="宋体" w:hAnsi="宋体" w:cs="宋体"/>
                <w:sz w:val="18"/>
                <w:szCs w:val="18"/>
              </w:rPr>
              <w:t>中国有色金属工业标准计量质量研究所</w:t>
            </w:r>
          </w:p>
        </w:tc>
        <w:tc>
          <w:tcPr>
            <w:tcW w:w="850" w:type="dxa"/>
            <w:tcBorders>
              <w:top w:val="single" w:color="auto" w:sz="8" w:space="0"/>
              <w:bottom w:val="single" w:color="auto" w:sz="4" w:space="0"/>
            </w:tcBorders>
            <w:vAlign w:val="center"/>
          </w:tcPr>
          <w:p>
            <w:pPr>
              <w:jc w:val="center"/>
              <w:rPr>
                <w:rFonts w:ascii="宋体" w:hAnsi="宋体" w:cs="宋体"/>
                <w:bCs/>
                <w:sz w:val="18"/>
                <w:szCs w:val="18"/>
              </w:rPr>
            </w:pPr>
            <w:r>
              <w:rPr>
                <w:rFonts w:hint="eastAsia" w:ascii="宋体" w:hAnsi="宋体" w:cs="宋体"/>
                <w:bCs/>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jc w:val="center"/>
        </w:trPr>
        <w:tc>
          <w:tcPr>
            <w:tcW w:w="709"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5</w:t>
            </w:r>
          </w:p>
        </w:tc>
        <w:tc>
          <w:tcPr>
            <w:tcW w:w="1381"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bCs/>
                <w:sz w:val="18"/>
                <w:szCs w:val="18"/>
              </w:rPr>
              <w:t>3</w:t>
            </w:r>
          </w:p>
        </w:tc>
        <w:tc>
          <w:tcPr>
            <w:tcW w:w="3118" w:type="dxa"/>
            <w:tcBorders>
              <w:top w:val="single" w:color="auto" w:sz="8" w:space="0"/>
              <w:bottom w:val="single" w:color="auto" w:sz="4" w:space="0"/>
            </w:tcBorders>
            <w:vAlign w:val="center"/>
          </w:tcPr>
          <w:p>
            <w:pPr>
              <w:jc w:val="left"/>
              <w:rPr>
                <w:bCs/>
                <w:sz w:val="18"/>
                <w:szCs w:val="18"/>
              </w:rPr>
            </w:pPr>
            <w:r>
              <w:rPr>
                <w:rFonts w:hint="eastAsia"/>
                <w:bCs/>
                <w:sz w:val="18"/>
                <w:szCs w:val="18"/>
              </w:rPr>
              <w:t>新增加：</w:t>
            </w:r>
          </w:p>
          <w:p>
            <w:pPr>
              <w:jc w:val="left"/>
              <w:rPr>
                <w:rFonts w:ascii="宋体" w:hAnsi="宋体"/>
                <w:bCs/>
                <w:sz w:val="18"/>
                <w:szCs w:val="18"/>
              </w:rPr>
            </w:pPr>
            <w:r>
              <w:rPr>
                <w:rFonts w:hint="eastAsia" w:ascii="宋体" w:hAnsi="宋体"/>
                <w:bCs/>
                <w:sz w:val="18"/>
                <w:szCs w:val="18"/>
              </w:rPr>
              <w:t xml:space="preserve">3 </w:t>
            </w:r>
            <w:r>
              <w:rPr>
                <w:rFonts w:hint="eastAsia" w:ascii="宋体" w:hAnsi="宋体" w:cs="宋体"/>
                <w:bCs/>
                <w:sz w:val="18"/>
                <w:szCs w:val="18"/>
              </w:rPr>
              <w:t>术语和定义</w:t>
            </w:r>
            <w:r>
              <w:rPr>
                <w:rFonts w:hint="eastAsia" w:ascii="宋体" w:hAnsi="宋体"/>
                <w:bCs/>
                <w:sz w:val="18"/>
                <w:szCs w:val="18"/>
              </w:rPr>
              <w:t xml:space="preserve"> </w:t>
            </w:r>
          </w:p>
          <w:p>
            <w:pPr>
              <w:jc w:val="left"/>
              <w:rPr>
                <w:rFonts w:ascii="宋体" w:hAnsi="宋体" w:cs="黑体"/>
                <w:sz w:val="18"/>
                <w:szCs w:val="18"/>
              </w:rPr>
            </w:pPr>
            <w:r>
              <w:rPr>
                <w:rFonts w:hint="eastAsia" w:ascii="宋体" w:hAnsi="宋体" w:cs="黑体"/>
                <w:sz w:val="18"/>
                <w:szCs w:val="18"/>
              </w:rPr>
              <w:t>GB/T 20000.1界定的术语和定于适用于本文件。</w:t>
            </w:r>
          </w:p>
          <w:p>
            <w:pPr>
              <w:jc w:val="left"/>
              <w:rPr>
                <w:bCs/>
                <w:sz w:val="18"/>
                <w:szCs w:val="18"/>
              </w:rPr>
            </w:pPr>
            <w:r>
              <w:rPr>
                <w:rFonts w:hint="eastAsia" w:ascii="宋体" w:hAnsi="宋体" w:cs="黑体"/>
                <w:sz w:val="18"/>
                <w:szCs w:val="18"/>
              </w:rPr>
              <w:t>后面的</w:t>
            </w:r>
            <w:r>
              <w:rPr>
                <w:rFonts w:hint="eastAsia"/>
                <w:sz w:val="18"/>
                <w:szCs w:val="18"/>
              </w:rPr>
              <w:t>章条号依次增加。</w:t>
            </w:r>
          </w:p>
        </w:tc>
        <w:tc>
          <w:tcPr>
            <w:tcW w:w="1321" w:type="dxa"/>
            <w:tcBorders>
              <w:top w:val="single" w:color="auto" w:sz="8" w:space="0"/>
              <w:bottom w:val="single" w:color="auto" w:sz="4" w:space="0"/>
            </w:tcBorders>
            <w:vAlign w:val="center"/>
          </w:tcPr>
          <w:p>
            <w:pPr>
              <w:jc w:val="left"/>
              <w:rPr>
                <w:rFonts w:ascii="宋体" w:hAnsi="宋体" w:cs="宋体"/>
                <w:bCs/>
                <w:sz w:val="18"/>
                <w:szCs w:val="18"/>
              </w:rPr>
            </w:pPr>
            <w:r>
              <w:rPr>
                <w:rFonts w:hint="eastAsia" w:ascii="宋体" w:hAnsi="宋体" w:cs="宋体"/>
                <w:sz w:val="18"/>
                <w:szCs w:val="18"/>
              </w:rPr>
              <w:t>中国有色金属工业标准计量质量研究所</w:t>
            </w:r>
          </w:p>
        </w:tc>
        <w:tc>
          <w:tcPr>
            <w:tcW w:w="850" w:type="dxa"/>
            <w:tcBorders>
              <w:top w:val="single" w:color="auto" w:sz="8" w:space="0"/>
              <w:bottom w:val="single" w:color="auto" w:sz="4" w:space="0"/>
            </w:tcBorders>
            <w:vAlign w:val="center"/>
          </w:tcPr>
          <w:p>
            <w:pPr>
              <w:jc w:val="center"/>
              <w:rPr>
                <w:rFonts w:ascii="宋体" w:hAnsi="宋体" w:cs="宋体"/>
                <w:bCs/>
                <w:sz w:val="18"/>
                <w:szCs w:val="18"/>
              </w:rPr>
            </w:pPr>
            <w:r>
              <w:rPr>
                <w:rFonts w:hint="eastAsia" w:ascii="宋体" w:hAnsi="宋体" w:cs="宋体"/>
                <w:bCs/>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09" w:type="dxa"/>
            <w:tcBorders>
              <w:top w:val="single" w:color="auto" w:sz="8" w:space="0"/>
              <w:left w:val="single" w:color="auto" w:sz="8" w:space="0"/>
              <w:bottom w:val="single" w:color="auto" w:sz="4" w:space="0"/>
            </w:tcBorders>
            <w:vAlign w:val="center"/>
          </w:tcPr>
          <w:p>
            <w:pPr>
              <w:jc w:val="center"/>
              <w:rPr>
                <w:rFonts w:ascii="宋体" w:hAnsi="宋体"/>
                <w:sz w:val="18"/>
                <w:szCs w:val="18"/>
              </w:rPr>
            </w:pPr>
            <w:r>
              <w:rPr>
                <w:rFonts w:hint="eastAsia" w:ascii="宋体" w:hAnsi="宋体"/>
                <w:sz w:val="18"/>
                <w:szCs w:val="18"/>
              </w:rPr>
              <w:t>6</w:t>
            </w:r>
          </w:p>
        </w:tc>
        <w:tc>
          <w:tcPr>
            <w:tcW w:w="1381" w:type="dxa"/>
            <w:tcBorders>
              <w:top w:val="single" w:color="auto" w:sz="8" w:space="0"/>
              <w:bottom w:val="single" w:color="auto" w:sz="4" w:space="0"/>
            </w:tcBorders>
            <w:vAlign w:val="center"/>
          </w:tcPr>
          <w:p>
            <w:pPr>
              <w:jc w:val="center"/>
              <w:rPr>
                <w:rFonts w:ascii="宋体" w:hAnsi="宋体"/>
                <w:sz w:val="18"/>
                <w:szCs w:val="18"/>
              </w:rPr>
            </w:pPr>
            <w:r>
              <w:rPr>
                <w:rFonts w:hint="eastAsia" w:ascii="宋体" w:hAnsi="宋体"/>
                <w:sz w:val="18"/>
                <w:szCs w:val="18"/>
              </w:rPr>
              <w:t>4.5.2和5.5.2</w:t>
            </w:r>
          </w:p>
        </w:tc>
        <w:tc>
          <w:tcPr>
            <w:tcW w:w="3118" w:type="dxa"/>
            <w:tcBorders>
              <w:top w:val="single" w:color="auto" w:sz="8" w:space="0"/>
              <w:bottom w:val="single" w:color="auto" w:sz="4" w:space="0"/>
            </w:tcBorders>
            <w:vAlign w:val="center"/>
          </w:tcPr>
          <w:p>
            <w:pPr>
              <w:rPr>
                <w:rFonts w:ascii="宋体" w:hAnsi="宋体"/>
                <w:sz w:val="18"/>
                <w:szCs w:val="18"/>
              </w:rPr>
            </w:pPr>
            <w:r>
              <w:rPr>
                <w:rFonts w:hint="eastAsia" w:ascii="宋体" w:hAnsi="宋体"/>
                <w:sz w:val="18"/>
                <w:szCs w:val="18"/>
              </w:rPr>
              <w:t>平行试验：</w:t>
            </w:r>
          </w:p>
          <w:p>
            <w:pPr>
              <w:ind w:firstLine="420"/>
              <w:rPr>
                <w:rFonts w:ascii="宋体" w:hAnsi="宋体" w:cs="宋体"/>
                <w:sz w:val="18"/>
                <w:szCs w:val="18"/>
              </w:rPr>
            </w:pPr>
            <w:r>
              <w:rPr>
                <w:rFonts w:hint="eastAsia" w:ascii="宋体" w:hAnsi="宋体"/>
                <w:sz w:val="18"/>
                <w:szCs w:val="18"/>
              </w:rPr>
              <w:t>平行做两份试验。</w:t>
            </w:r>
          </w:p>
        </w:tc>
        <w:tc>
          <w:tcPr>
            <w:tcW w:w="132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包头铝业有限公司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atLeast"/>
          <w:jc w:val="center"/>
        </w:trPr>
        <w:tc>
          <w:tcPr>
            <w:tcW w:w="709" w:type="dxa"/>
            <w:tcBorders>
              <w:top w:val="single" w:color="auto" w:sz="8" w:space="0"/>
              <w:left w:val="single" w:color="auto" w:sz="8" w:space="0"/>
              <w:bottom w:val="single" w:color="auto" w:sz="4" w:space="0"/>
            </w:tcBorders>
            <w:vAlign w:val="center"/>
          </w:tcPr>
          <w:p>
            <w:pPr>
              <w:jc w:val="center"/>
              <w:rPr>
                <w:rFonts w:ascii="宋体" w:hAnsi="宋体"/>
                <w:sz w:val="18"/>
                <w:szCs w:val="18"/>
              </w:rPr>
            </w:pPr>
            <w:r>
              <w:rPr>
                <w:rFonts w:hint="eastAsia" w:ascii="宋体" w:hAnsi="宋体"/>
                <w:sz w:val="18"/>
                <w:szCs w:val="18"/>
              </w:rPr>
              <w:t>7</w:t>
            </w:r>
          </w:p>
        </w:tc>
        <w:tc>
          <w:tcPr>
            <w:tcW w:w="1381" w:type="dxa"/>
            <w:tcBorders>
              <w:top w:val="single" w:color="auto" w:sz="8" w:space="0"/>
              <w:bottom w:val="single" w:color="auto" w:sz="4" w:space="0"/>
            </w:tcBorders>
            <w:vAlign w:val="center"/>
          </w:tcPr>
          <w:p>
            <w:pPr>
              <w:spacing w:beforeLines="50" w:afterLines="50"/>
              <w:jc w:val="center"/>
              <w:rPr>
                <w:rFonts w:ascii="宋体" w:hAnsi="宋体"/>
                <w:sz w:val="18"/>
                <w:szCs w:val="18"/>
              </w:rPr>
            </w:pPr>
            <w:r>
              <w:rPr>
                <w:rFonts w:hint="eastAsia" w:ascii="宋体" w:hAnsi="宋体"/>
                <w:sz w:val="18"/>
                <w:szCs w:val="18"/>
              </w:rPr>
              <w:t>4.6.2</w:t>
            </w:r>
          </w:p>
        </w:tc>
        <w:tc>
          <w:tcPr>
            <w:tcW w:w="3118" w:type="dxa"/>
            <w:tcBorders>
              <w:top w:val="single" w:color="auto" w:sz="8" w:space="0"/>
              <w:bottom w:val="single" w:color="auto" w:sz="4" w:space="0"/>
            </w:tcBorders>
            <w:vAlign w:val="center"/>
          </w:tcPr>
          <w:p>
            <w:pPr>
              <w:rPr>
                <w:rFonts w:ascii="宋体" w:hAnsi="宋体" w:cs="Arial"/>
                <w:color w:val="000000"/>
                <w:sz w:val="18"/>
                <w:szCs w:val="18"/>
              </w:rPr>
            </w:pPr>
            <w:r>
              <w:rPr>
                <w:rFonts w:hint="eastAsia" w:ascii="宋体" w:hAnsi="宋体"/>
                <w:sz w:val="18"/>
                <w:szCs w:val="18"/>
              </w:rPr>
              <w:t>修改为</w:t>
            </w:r>
            <w:r>
              <w:rPr>
                <w:rFonts w:hint="eastAsia" w:ascii="宋体" w:hAnsi="宋体" w:cs="黑体"/>
                <w:sz w:val="18"/>
                <w:szCs w:val="18"/>
              </w:rPr>
              <w:t>“</w:t>
            </w:r>
            <w:r>
              <w:rPr>
                <w:rFonts w:hint="eastAsia" w:ascii="宋体" w:hAnsi="宋体"/>
                <w:sz w:val="18"/>
                <w:szCs w:val="18"/>
              </w:rPr>
              <w:t>硼</w:t>
            </w:r>
            <w:r>
              <w:rPr>
                <w:rFonts w:ascii="宋体" w:hAnsi="宋体"/>
                <w:sz w:val="18"/>
                <w:szCs w:val="18"/>
              </w:rPr>
              <w:t>含量＜</w:t>
            </w:r>
            <w:r>
              <w:rPr>
                <w:rFonts w:hint="eastAsia" w:ascii="宋体" w:hAnsi="宋体"/>
                <w:sz w:val="18"/>
                <w:szCs w:val="18"/>
              </w:rPr>
              <w:t>1 %</w:t>
            </w:r>
            <w:r>
              <w:rPr>
                <w:rFonts w:ascii="宋体" w:hAnsi="宋体"/>
                <w:sz w:val="18"/>
                <w:szCs w:val="18"/>
              </w:rPr>
              <w:t>时，计算结果表示</w:t>
            </w:r>
            <w:r>
              <w:rPr>
                <w:rFonts w:hint="eastAsia" w:ascii="宋体" w:hAnsi="宋体"/>
                <w:sz w:val="18"/>
                <w:szCs w:val="18"/>
              </w:rPr>
              <w:t>保留两</w:t>
            </w:r>
            <w:r>
              <w:rPr>
                <w:rFonts w:ascii="宋体" w:hAnsi="宋体"/>
                <w:sz w:val="18"/>
                <w:szCs w:val="18"/>
              </w:rPr>
              <w:t>位</w:t>
            </w:r>
            <w:r>
              <w:rPr>
                <w:rFonts w:hint="eastAsia" w:ascii="宋体" w:hAnsi="宋体"/>
                <w:sz w:val="18"/>
                <w:szCs w:val="18"/>
              </w:rPr>
              <w:t>有效数字</w:t>
            </w:r>
            <w:r>
              <w:rPr>
                <w:rFonts w:ascii="宋体" w:hAnsi="宋体"/>
                <w:sz w:val="18"/>
                <w:szCs w:val="18"/>
              </w:rPr>
              <w:t>；</w:t>
            </w:r>
            <w:r>
              <w:rPr>
                <w:rFonts w:hint="eastAsia" w:ascii="宋体" w:hAnsi="宋体"/>
                <w:sz w:val="18"/>
                <w:szCs w:val="18"/>
              </w:rPr>
              <w:t>硼</w:t>
            </w:r>
            <w:r>
              <w:rPr>
                <w:rFonts w:ascii="宋体" w:hAnsi="宋体"/>
                <w:sz w:val="18"/>
                <w:szCs w:val="18"/>
              </w:rPr>
              <w:t>含量</w:t>
            </w:r>
            <w:r>
              <w:rPr>
                <w:rFonts w:hint="eastAsia" w:ascii="宋体" w:hAnsi="宋体"/>
                <w:sz w:val="18"/>
                <w:szCs w:val="18"/>
              </w:rPr>
              <w:t>≥1 %</w:t>
            </w:r>
            <w:r>
              <w:rPr>
                <w:rFonts w:ascii="宋体" w:hAnsi="宋体"/>
                <w:sz w:val="18"/>
                <w:szCs w:val="18"/>
              </w:rPr>
              <w:t>时，计算结果表示至小数点后</w:t>
            </w:r>
            <w:r>
              <w:rPr>
                <w:rFonts w:hint="eastAsia" w:ascii="宋体" w:hAnsi="宋体"/>
                <w:sz w:val="18"/>
                <w:szCs w:val="18"/>
              </w:rPr>
              <w:t>二</w:t>
            </w:r>
            <w:r>
              <w:rPr>
                <w:rFonts w:ascii="宋体" w:hAnsi="宋体"/>
                <w:sz w:val="18"/>
                <w:szCs w:val="18"/>
              </w:rPr>
              <w:t>位。数值修约执行GB/T 8170。</w:t>
            </w:r>
            <w:r>
              <w:rPr>
                <w:rFonts w:hint="eastAsia" w:ascii="宋体" w:hAnsi="宋体"/>
                <w:sz w:val="18"/>
                <w:szCs w:val="18"/>
              </w:rPr>
              <w:t>”</w:t>
            </w:r>
          </w:p>
        </w:tc>
        <w:tc>
          <w:tcPr>
            <w:tcW w:w="132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sz w:val="18"/>
                <w:szCs w:val="18"/>
              </w:rPr>
              <w:t>中金岭南有色金属股份有限公司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09" w:type="dxa"/>
            <w:tcBorders>
              <w:top w:val="single" w:color="auto" w:sz="8" w:space="0"/>
              <w:left w:val="single" w:color="auto" w:sz="8" w:space="0"/>
              <w:bottom w:val="single" w:color="auto" w:sz="4" w:space="0"/>
            </w:tcBorders>
            <w:vAlign w:val="center"/>
          </w:tcPr>
          <w:p>
            <w:pPr>
              <w:jc w:val="center"/>
              <w:rPr>
                <w:rFonts w:ascii="宋体" w:hAnsi="宋体"/>
                <w:sz w:val="18"/>
                <w:szCs w:val="18"/>
              </w:rPr>
            </w:pPr>
            <w:r>
              <w:rPr>
                <w:rFonts w:hint="eastAsia" w:ascii="宋体" w:hAnsi="宋体"/>
                <w:sz w:val="18"/>
                <w:szCs w:val="18"/>
              </w:rPr>
              <w:t>8</w:t>
            </w:r>
          </w:p>
        </w:tc>
        <w:tc>
          <w:tcPr>
            <w:tcW w:w="1381" w:type="dxa"/>
            <w:tcBorders>
              <w:top w:val="single" w:color="auto" w:sz="8" w:space="0"/>
              <w:bottom w:val="single" w:color="auto" w:sz="4" w:space="0"/>
            </w:tcBorders>
            <w:vAlign w:val="center"/>
          </w:tcPr>
          <w:p>
            <w:pPr>
              <w:spacing w:beforeLines="50" w:afterLines="50"/>
              <w:jc w:val="center"/>
              <w:rPr>
                <w:rFonts w:ascii="宋体" w:hAnsi="宋体"/>
                <w:sz w:val="18"/>
                <w:szCs w:val="18"/>
              </w:rPr>
            </w:pPr>
            <w:r>
              <w:rPr>
                <w:rFonts w:hint="eastAsia" w:ascii="宋体" w:hAnsi="宋体" w:cs="黑体"/>
                <w:sz w:val="18"/>
                <w:szCs w:val="18"/>
              </w:rPr>
              <w:t>4.6.3</w:t>
            </w:r>
          </w:p>
        </w:tc>
        <w:tc>
          <w:tcPr>
            <w:tcW w:w="3118" w:type="dxa"/>
            <w:tcBorders>
              <w:top w:val="single" w:color="auto" w:sz="8" w:space="0"/>
              <w:bottom w:val="single" w:color="auto" w:sz="4" w:space="0"/>
            </w:tcBorders>
            <w:vAlign w:val="center"/>
          </w:tcPr>
          <w:p>
            <w:pPr>
              <w:rPr>
                <w:rFonts w:ascii="宋体" w:hAnsi="宋体"/>
                <w:sz w:val="18"/>
                <w:szCs w:val="18"/>
              </w:rPr>
            </w:pPr>
            <w:r>
              <w:rPr>
                <w:rFonts w:hint="eastAsia" w:ascii="宋体" w:hAnsi="宋体"/>
                <w:sz w:val="18"/>
                <w:szCs w:val="18"/>
              </w:rPr>
              <w:t>新增：</w:t>
            </w:r>
          </w:p>
          <w:p>
            <w:pPr>
              <w:rPr>
                <w:rFonts w:ascii="宋体" w:hAnsi="宋体"/>
                <w:sz w:val="18"/>
                <w:szCs w:val="18"/>
              </w:rPr>
            </w:pPr>
            <w:r>
              <w:rPr>
                <w:rFonts w:hint="eastAsia" w:ascii="宋体" w:hAnsi="宋体" w:cs="黑体"/>
                <w:sz w:val="18"/>
                <w:szCs w:val="18"/>
              </w:rPr>
              <w:t xml:space="preserve"> 4.6.3 </w:t>
            </w:r>
            <w:r>
              <w:rPr>
                <w:rFonts w:hint="eastAsia" w:ascii="宋体" w:hAnsi="宋体"/>
                <w:sz w:val="18"/>
                <w:szCs w:val="18"/>
              </w:rPr>
              <w:t>取两次测试结果的平均值。</w:t>
            </w:r>
          </w:p>
        </w:tc>
        <w:tc>
          <w:tcPr>
            <w:tcW w:w="1321" w:type="dxa"/>
            <w:tcBorders>
              <w:top w:val="single" w:color="auto" w:sz="8" w:space="0"/>
              <w:bottom w:val="single" w:color="auto" w:sz="4" w:space="0"/>
            </w:tcBorders>
            <w:vAlign w:val="center"/>
          </w:tcPr>
          <w:p>
            <w:pPr>
              <w:jc w:val="left"/>
              <w:rPr>
                <w:rFonts w:ascii="宋体" w:hAnsi="宋体" w:cs="宋体"/>
                <w:sz w:val="18"/>
                <w:szCs w:val="18"/>
              </w:rPr>
            </w:pPr>
            <w:r>
              <w:rPr>
                <w:rFonts w:hint="eastAsia"/>
                <w:sz w:val="18"/>
                <w:szCs w:val="18"/>
              </w:rPr>
              <w:t>中国铝业连城分公司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709" w:type="dxa"/>
            <w:tcBorders>
              <w:top w:val="single" w:color="auto" w:sz="8"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9</w:t>
            </w:r>
          </w:p>
        </w:tc>
        <w:tc>
          <w:tcPr>
            <w:tcW w:w="138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4.5.1、4.7.1、4.7.2</w:t>
            </w:r>
          </w:p>
        </w:tc>
        <w:tc>
          <w:tcPr>
            <w:tcW w:w="3118" w:type="dxa"/>
            <w:tcBorders>
              <w:top w:val="single" w:color="auto" w:sz="8" w:space="0"/>
              <w:bottom w:val="single" w:color="auto" w:sz="4" w:space="0"/>
            </w:tcBorders>
            <w:vAlign w:val="center"/>
          </w:tcPr>
          <w:p>
            <w:pPr>
              <w:rPr>
                <w:rFonts w:ascii="宋体" w:hAnsi="宋体"/>
                <w:sz w:val="18"/>
                <w:szCs w:val="18"/>
              </w:rPr>
            </w:pPr>
            <w:r>
              <w:rPr>
                <w:rFonts w:hint="eastAsia" w:ascii="宋体" w:hAnsi="宋体"/>
                <w:sz w:val="18"/>
                <w:szCs w:val="18"/>
              </w:rPr>
              <w:t>表格均取消标题</w:t>
            </w:r>
          </w:p>
        </w:tc>
        <w:tc>
          <w:tcPr>
            <w:tcW w:w="1321" w:type="dxa"/>
            <w:tcBorders>
              <w:top w:val="single" w:color="auto" w:sz="8"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东北轻合金有限公司</w:t>
            </w:r>
          </w:p>
        </w:tc>
        <w:tc>
          <w:tcPr>
            <w:tcW w:w="850" w:type="dxa"/>
            <w:tcBorders>
              <w:top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8"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09" w:type="dxa"/>
            <w:tcBorders>
              <w:top w:val="single" w:color="auto" w:sz="4"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10</w:t>
            </w:r>
          </w:p>
        </w:tc>
        <w:tc>
          <w:tcPr>
            <w:tcW w:w="1381" w:type="dxa"/>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5.6</w:t>
            </w:r>
            <w:r>
              <w:rPr>
                <w:rFonts w:ascii="宋体" w:hAnsi="宋体"/>
                <w:sz w:val="18"/>
                <w:szCs w:val="18"/>
              </w:rPr>
              <w:t>.2</w:t>
            </w:r>
          </w:p>
        </w:tc>
        <w:tc>
          <w:tcPr>
            <w:tcW w:w="3118" w:type="dxa"/>
            <w:tcBorders>
              <w:top w:val="single" w:color="auto" w:sz="4" w:space="0"/>
              <w:bottom w:val="single" w:color="auto" w:sz="4" w:space="0"/>
            </w:tcBorders>
            <w:vAlign w:val="center"/>
          </w:tcPr>
          <w:p>
            <w:pPr>
              <w:jc w:val="left"/>
              <w:rPr>
                <w:rFonts w:ascii="宋体" w:hAnsi="宋体"/>
                <w:sz w:val="18"/>
                <w:szCs w:val="18"/>
              </w:rPr>
            </w:pPr>
            <w:r>
              <w:rPr>
                <w:rFonts w:hint="eastAsia" w:ascii="宋体" w:hAnsi="宋体"/>
                <w:sz w:val="18"/>
                <w:szCs w:val="18"/>
              </w:rPr>
              <w:t>修改为“</w:t>
            </w:r>
            <w:r>
              <w:rPr>
                <w:rFonts w:hint="eastAsia"/>
                <w:sz w:val="18"/>
                <w:szCs w:val="18"/>
              </w:rPr>
              <w:t>计算结果保留小数点后两位</w:t>
            </w:r>
            <w:r>
              <w:rPr>
                <w:rFonts w:hint="eastAsia" w:ascii="宋体" w:hAnsi="宋体"/>
                <w:sz w:val="18"/>
                <w:szCs w:val="18"/>
              </w:rPr>
              <w:t>，</w:t>
            </w:r>
            <w:r>
              <w:rPr>
                <w:rFonts w:ascii="宋体" w:hAnsi="宋体"/>
                <w:sz w:val="18"/>
                <w:szCs w:val="18"/>
              </w:rPr>
              <w:t>数值修约执行GB/T 8170。</w:t>
            </w:r>
            <w:r>
              <w:rPr>
                <w:rFonts w:hint="eastAsia" w:ascii="宋体" w:hAnsi="宋体"/>
                <w:sz w:val="18"/>
                <w:szCs w:val="18"/>
              </w:rPr>
              <w:t>”</w:t>
            </w:r>
          </w:p>
        </w:tc>
        <w:tc>
          <w:tcPr>
            <w:tcW w:w="1321" w:type="dxa"/>
            <w:tcBorders>
              <w:top w:val="single" w:color="auto" w:sz="4" w:space="0"/>
              <w:bottom w:val="single" w:color="auto" w:sz="4" w:space="0"/>
            </w:tcBorders>
            <w:vAlign w:val="center"/>
          </w:tcPr>
          <w:p>
            <w:pPr>
              <w:jc w:val="left"/>
              <w:rPr>
                <w:rFonts w:ascii="宋体" w:hAnsi="宋体" w:cs="宋体"/>
                <w:sz w:val="18"/>
                <w:szCs w:val="18"/>
              </w:rPr>
            </w:pPr>
            <w:r>
              <w:rPr>
                <w:rFonts w:hint="eastAsia"/>
                <w:sz w:val="18"/>
                <w:szCs w:val="18"/>
              </w:rPr>
              <w:t>焦作万方铝业有限公司</w:t>
            </w:r>
          </w:p>
        </w:tc>
        <w:tc>
          <w:tcPr>
            <w:tcW w:w="850"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4"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09" w:type="dxa"/>
            <w:tcBorders>
              <w:top w:val="single" w:color="auto" w:sz="4"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11</w:t>
            </w:r>
          </w:p>
        </w:tc>
        <w:tc>
          <w:tcPr>
            <w:tcW w:w="1381"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4.7、5.7</w:t>
            </w:r>
          </w:p>
        </w:tc>
        <w:tc>
          <w:tcPr>
            <w:tcW w:w="3118" w:type="dxa"/>
            <w:tcBorders>
              <w:top w:val="single" w:color="auto" w:sz="4" w:space="0"/>
              <w:bottom w:val="single" w:color="auto" w:sz="4" w:space="0"/>
            </w:tcBorders>
            <w:vAlign w:val="center"/>
          </w:tcPr>
          <w:p>
            <w:pPr>
              <w:rPr>
                <w:rFonts w:ascii="宋体" w:hAnsi="宋体" w:cs="宋体"/>
                <w:sz w:val="18"/>
                <w:szCs w:val="18"/>
              </w:rPr>
            </w:pPr>
            <w:r>
              <w:rPr>
                <w:rFonts w:hint="eastAsia" w:ascii="宋体" w:hAnsi="宋体" w:cs="宋体"/>
                <w:bCs/>
                <w:sz w:val="18"/>
                <w:szCs w:val="18"/>
              </w:rPr>
              <w:t>完善精密度数据，补充试验数据。</w:t>
            </w:r>
          </w:p>
        </w:tc>
        <w:tc>
          <w:tcPr>
            <w:tcW w:w="1321" w:type="dxa"/>
            <w:tcBorders>
              <w:top w:val="single" w:color="auto" w:sz="4" w:space="0"/>
              <w:bottom w:val="single" w:color="auto" w:sz="4" w:space="0"/>
            </w:tcBorders>
            <w:vAlign w:val="center"/>
          </w:tcPr>
          <w:p>
            <w:pPr>
              <w:spacing w:line="240" w:lineRule="atLeast"/>
              <w:jc w:val="left"/>
              <w:rPr>
                <w:rFonts w:ascii="宋体" w:hAnsi="宋体" w:cs="宋体"/>
                <w:sz w:val="18"/>
                <w:szCs w:val="18"/>
              </w:rPr>
            </w:pPr>
            <w:r>
              <w:rPr>
                <w:rFonts w:hint="eastAsia" w:ascii="宋体" w:hAnsi="宋体"/>
                <w:sz w:val="18"/>
                <w:szCs w:val="18"/>
              </w:rPr>
              <w:t>中金岭南有色金属股份有限公司</w:t>
            </w:r>
          </w:p>
        </w:tc>
        <w:tc>
          <w:tcPr>
            <w:tcW w:w="850"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不采纳</w:t>
            </w:r>
          </w:p>
        </w:tc>
        <w:tc>
          <w:tcPr>
            <w:tcW w:w="853" w:type="dxa"/>
            <w:tcBorders>
              <w:top w:val="single" w:color="auto" w:sz="4" w:space="0"/>
              <w:bottom w:val="single" w:color="auto" w:sz="4" w:space="0"/>
            </w:tcBorders>
            <w:vAlign w:val="center"/>
          </w:tcPr>
          <w:p>
            <w:pPr>
              <w:jc w:val="left"/>
              <w:rPr>
                <w:rFonts w:ascii="宋体" w:hAnsi="宋体"/>
                <w:sz w:val="18"/>
                <w:szCs w:val="18"/>
              </w:rPr>
            </w:pPr>
            <w:r>
              <w:rPr>
                <w:rFonts w:hint="eastAsia" w:ascii="宋体" w:hAnsi="宋体"/>
                <w:sz w:val="18"/>
                <w:szCs w:val="18"/>
              </w:rPr>
              <w:t>数据足够，无需要补充。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09" w:type="dxa"/>
            <w:tcBorders>
              <w:top w:val="single" w:color="auto" w:sz="4"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12</w:t>
            </w:r>
          </w:p>
        </w:tc>
        <w:tc>
          <w:tcPr>
            <w:tcW w:w="1381" w:type="dxa"/>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5.6</w:t>
            </w:r>
            <w:r>
              <w:rPr>
                <w:rFonts w:ascii="宋体" w:hAnsi="宋体"/>
                <w:sz w:val="18"/>
                <w:szCs w:val="18"/>
              </w:rPr>
              <w:t>.</w:t>
            </w:r>
            <w:r>
              <w:rPr>
                <w:rFonts w:hint="eastAsia" w:ascii="宋体" w:hAnsi="宋体"/>
                <w:sz w:val="18"/>
                <w:szCs w:val="18"/>
              </w:rPr>
              <w:t>3</w:t>
            </w:r>
          </w:p>
        </w:tc>
        <w:tc>
          <w:tcPr>
            <w:tcW w:w="3118" w:type="dxa"/>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新增：</w:t>
            </w:r>
          </w:p>
          <w:p>
            <w:pPr>
              <w:rPr>
                <w:rFonts w:ascii="宋体" w:hAnsi="宋体"/>
                <w:sz w:val="18"/>
                <w:szCs w:val="18"/>
              </w:rPr>
            </w:pPr>
            <w:r>
              <w:rPr>
                <w:rFonts w:hint="eastAsia" w:ascii="宋体" w:hAnsi="宋体"/>
                <w:sz w:val="18"/>
                <w:szCs w:val="18"/>
              </w:rPr>
              <w:t xml:space="preserve">5.6.3 </w:t>
            </w:r>
            <w:r>
              <w:rPr>
                <w:rFonts w:ascii="宋体" w:hAnsi="宋体"/>
                <w:sz w:val="18"/>
                <w:szCs w:val="18"/>
              </w:rPr>
              <w:t xml:space="preserve"> </w:t>
            </w:r>
            <w:r>
              <w:rPr>
                <w:rFonts w:hint="eastAsia" w:ascii="宋体" w:hAnsi="宋体"/>
                <w:sz w:val="18"/>
                <w:szCs w:val="18"/>
              </w:rPr>
              <w:t>取两次测试结果的平均值。</w:t>
            </w:r>
          </w:p>
        </w:tc>
        <w:tc>
          <w:tcPr>
            <w:tcW w:w="1321" w:type="dxa"/>
            <w:tcBorders>
              <w:top w:val="single" w:color="auto" w:sz="4" w:space="0"/>
              <w:bottom w:val="single" w:color="auto" w:sz="4" w:space="0"/>
            </w:tcBorders>
            <w:vAlign w:val="center"/>
          </w:tcPr>
          <w:p>
            <w:pPr>
              <w:jc w:val="left"/>
              <w:rPr>
                <w:rFonts w:ascii="宋体" w:hAnsi="宋体" w:cs="宋体"/>
                <w:sz w:val="18"/>
                <w:szCs w:val="18"/>
              </w:rPr>
            </w:pPr>
            <w:r>
              <w:rPr>
                <w:rFonts w:hint="eastAsia"/>
                <w:sz w:val="18"/>
                <w:szCs w:val="18"/>
              </w:rPr>
              <w:t>中国铝业连城分公司</w:t>
            </w:r>
          </w:p>
        </w:tc>
        <w:tc>
          <w:tcPr>
            <w:tcW w:w="850"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4" w:space="0"/>
              <w:bottom w:val="single" w:color="auto" w:sz="4" w:space="0"/>
            </w:tcBorders>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09" w:type="dxa"/>
            <w:tcBorders>
              <w:top w:val="single" w:color="auto" w:sz="4" w:space="0"/>
              <w:left w:val="single" w:color="auto" w:sz="8"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13</w:t>
            </w:r>
          </w:p>
        </w:tc>
        <w:tc>
          <w:tcPr>
            <w:tcW w:w="1381"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文本格式</w:t>
            </w:r>
          </w:p>
        </w:tc>
        <w:tc>
          <w:tcPr>
            <w:tcW w:w="3118" w:type="dxa"/>
            <w:tcBorders>
              <w:top w:val="single" w:color="auto" w:sz="4" w:space="0"/>
              <w:bottom w:val="single" w:color="auto" w:sz="4" w:space="0"/>
            </w:tcBorders>
            <w:vAlign w:val="center"/>
          </w:tcPr>
          <w:p>
            <w:pPr>
              <w:rPr>
                <w:rFonts w:ascii="宋体" w:hAnsi="宋体" w:cs="宋体"/>
                <w:sz w:val="18"/>
                <w:szCs w:val="18"/>
              </w:rPr>
            </w:pPr>
            <w:r>
              <w:rPr>
                <w:rFonts w:hint="eastAsia" w:ascii="宋体" w:hAnsi="宋体" w:cs="宋体"/>
                <w:sz w:val="18"/>
                <w:szCs w:val="18"/>
              </w:rPr>
              <w:t>严格按照最新国家标准编写规范撰写。</w:t>
            </w:r>
          </w:p>
        </w:tc>
        <w:tc>
          <w:tcPr>
            <w:tcW w:w="1321" w:type="dxa"/>
            <w:tcBorders>
              <w:top w:val="single" w:color="auto" w:sz="4" w:space="0"/>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中国有色金属工业标准计量质量研究所</w:t>
            </w:r>
          </w:p>
        </w:tc>
        <w:tc>
          <w:tcPr>
            <w:tcW w:w="850" w:type="dxa"/>
            <w:tcBorders>
              <w:top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采纳</w:t>
            </w:r>
          </w:p>
        </w:tc>
        <w:tc>
          <w:tcPr>
            <w:tcW w:w="853" w:type="dxa"/>
            <w:tcBorders>
              <w:top w:val="single" w:color="auto" w:sz="4" w:space="0"/>
              <w:bottom w:val="single" w:color="auto" w:sz="4" w:space="0"/>
            </w:tcBorders>
            <w:vAlign w:val="center"/>
          </w:tcPr>
          <w:p>
            <w:pPr>
              <w:jc w:val="center"/>
              <w:rPr>
                <w:sz w:val="18"/>
                <w:szCs w:val="18"/>
              </w:rPr>
            </w:pPr>
          </w:p>
        </w:tc>
      </w:tr>
    </w:tbl>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2018年10月至2019年6月，标准编制小组与</w:t>
      </w:r>
      <w:r>
        <w:rPr>
          <w:rFonts w:hint="eastAsia" w:ascii="宋体" w:hAnsi="宋体"/>
        </w:rPr>
        <w:t>贵州省分析测试研究院、中铝矿业有限公司、</w:t>
      </w:r>
      <w:r>
        <w:rPr>
          <w:rFonts w:hint="eastAsia" w:ascii="宋体" w:hAnsi="宋体"/>
          <w:szCs w:val="21"/>
        </w:rPr>
        <w:t>河北四通新型金属材料股份有限公司、中铝山西新材料有限公司等单位联系，对标准进行复验和复核验证，</w:t>
      </w:r>
      <w:r>
        <w:rPr>
          <w:rFonts w:hint="eastAsia" w:ascii="宋体" w:hAnsi="宋体"/>
        </w:rPr>
        <w:t>起草项目组汇总上述意见和建议，</w:t>
      </w:r>
      <w:r>
        <w:rPr>
          <w:rFonts w:hint="eastAsia" w:ascii="宋体" w:hAnsi="宋体"/>
          <w:szCs w:val="21"/>
        </w:rPr>
        <w:t>结合国家标准委及全国有色金属标准化委员会对标准制修订的最新要求，</w:t>
      </w:r>
      <w:r>
        <w:rPr>
          <w:rFonts w:hint="eastAsia" w:hAnsi="宋体"/>
          <w:szCs w:val="21"/>
        </w:rPr>
        <w:t>汇总统计了</w:t>
      </w:r>
      <w:r>
        <w:rPr>
          <w:rFonts w:hint="eastAsia" w:ascii="宋体" w:hAnsi="宋体"/>
        </w:rPr>
        <w:t>贵州省分析测试研究院、中铝矿业有限公司</w:t>
      </w:r>
      <w:r>
        <w:rPr>
          <w:rFonts w:hint="eastAsia" w:ascii="宋体" w:hAnsi="宋体"/>
          <w:szCs w:val="21"/>
        </w:rPr>
        <w:t>等单位</w:t>
      </w:r>
      <w:r>
        <w:rPr>
          <w:rFonts w:hint="eastAsia" w:hAnsi="宋体"/>
          <w:szCs w:val="21"/>
        </w:rPr>
        <w:t>的复验、复核结果，以及征求意见</w:t>
      </w:r>
      <w:r>
        <w:rPr>
          <w:rFonts w:hAnsi="宋体"/>
          <w:szCs w:val="21"/>
        </w:rPr>
        <w:t>并</w:t>
      </w:r>
      <w:r>
        <w:rPr>
          <w:rFonts w:hint="eastAsia" w:hAnsi="宋体"/>
          <w:szCs w:val="21"/>
        </w:rPr>
        <w:t>吸纳合理建议的基础上，形成了</w:t>
      </w:r>
      <w:r>
        <w:rPr>
          <w:rFonts w:hint="eastAsia" w:ascii="宋体" w:hAnsi="宋体"/>
          <w:szCs w:val="21"/>
        </w:rPr>
        <w:t>《预审稿》和《预审稿编制说明》。</w:t>
      </w:r>
    </w:p>
    <w:p>
      <w:pPr>
        <w:spacing w:beforeLines="50" w:afterLines="50" w:line="360" w:lineRule="auto"/>
        <w:rPr>
          <w:rFonts w:ascii="黑体" w:hAnsi="宋体" w:eastAsia="黑体"/>
          <w:sz w:val="24"/>
        </w:rPr>
      </w:pPr>
      <w:r>
        <w:rPr>
          <w:rFonts w:hint="eastAsia" w:ascii="黑体" w:hAnsi="宋体" w:eastAsia="黑体"/>
          <w:sz w:val="24"/>
        </w:rPr>
        <w:t>二、 标准编制原则</w:t>
      </w:r>
    </w:p>
    <w:p>
      <w:pPr>
        <w:spacing w:line="360" w:lineRule="auto"/>
        <w:ind w:firstLine="420" w:firstLineChars="200"/>
        <w:rPr>
          <w:rFonts w:ascii="宋体" w:hAnsi="宋体"/>
          <w:szCs w:val="21"/>
        </w:rPr>
      </w:pPr>
      <w:r>
        <w:rPr>
          <w:rFonts w:hint="eastAsia" w:ascii="宋体" w:hAnsi="宋体"/>
          <w:szCs w:val="21"/>
        </w:rPr>
        <w:t>项目组撰写开题报告，落实项目组长及参与组员的起草任务，确定标准编审原则如下：</w:t>
      </w:r>
    </w:p>
    <w:p>
      <w:pPr>
        <w:spacing w:line="360" w:lineRule="auto"/>
        <w:ind w:firstLine="420" w:firstLineChars="200"/>
        <w:rPr>
          <w:rFonts w:ascii="宋体" w:hAnsi="宋体"/>
          <w:szCs w:val="21"/>
        </w:rPr>
      </w:pPr>
      <w:r>
        <w:rPr>
          <w:rFonts w:hint="eastAsia" w:ascii="宋体" w:hAnsi="宋体"/>
          <w:szCs w:val="21"/>
        </w:rPr>
        <w:t>1）以满足我国铝行业的实际生产和使用的需要为原则，提高标准的适用性。</w:t>
      </w:r>
    </w:p>
    <w:p>
      <w:pPr>
        <w:spacing w:line="360" w:lineRule="auto"/>
        <w:ind w:firstLine="420" w:firstLineChars="200"/>
        <w:rPr>
          <w:rFonts w:ascii="宋体" w:hAnsi="宋体"/>
          <w:szCs w:val="21"/>
        </w:rPr>
      </w:pPr>
      <w:r>
        <w:rPr>
          <w:rFonts w:hint="eastAsia" w:ascii="宋体" w:hAnsi="宋体"/>
          <w:szCs w:val="21"/>
        </w:rPr>
        <w:t>2）以与实际相结合为原则，提高标准的可操作性。</w:t>
      </w:r>
    </w:p>
    <w:p>
      <w:pPr>
        <w:spacing w:line="360" w:lineRule="auto"/>
        <w:ind w:firstLine="420" w:firstLineChars="200"/>
        <w:rPr>
          <w:rFonts w:ascii="宋体" w:hAnsi="宋体"/>
          <w:szCs w:val="21"/>
        </w:rPr>
      </w:pPr>
      <w:r>
        <w:rPr>
          <w:rFonts w:hint="eastAsia" w:ascii="宋体" w:hAnsi="宋体"/>
          <w:szCs w:val="21"/>
        </w:rPr>
        <w:t>3）充分考虑国家法律、安全、卫生、环保法规的要求。</w:t>
      </w:r>
    </w:p>
    <w:p>
      <w:pPr>
        <w:spacing w:line="360" w:lineRule="auto"/>
        <w:ind w:firstLine="420" w:firstLineChars="200"/>
        <w:rPr>
          <w:rFonts w:ascii="宋体" w:hAnsi="宋体"/>
          <w:sz w:val="24"/>
        </w:rPr>
      </w:pPr>
      <w:r>
        <w:rPr>
          <w:rFonts w:hint="eastAsia" w:ascii="宋体" w:hAnsi="宋体"/>
          <w:szCs w:val="21"/>
        </w:rPr>
        <w:t>4）GB/T 1.1-</w:t>
      </w:r>
      <w:r>
        <w:rPr>
          <w:rFonts w:ascii="宋体" w:hAnsi="宋体"/>
          <w:szCs w:val="21"/>
        </w:rPr>
        <w:t xml:space="preserve">2009《标准化工作导则 第1部分：标准的结构和编写规则》、GB/T </w:t>
      </w:r>
      <w:r>
        <w:rPr>
          <w:rFonts w:hint="eastAsia" w:ascii="宋体" w:hAnsi="宋体"/>
          <w:szCs w:val="21"/>
        </w:rPr>
        <w:t>2000</w:t>
      </w:r>
      <w:r>
        <w:rPr>
          <w:rFonts w:ascii="宋体" w:hAnsi="宋体"/>
          <w:szCs w:val="21"/>
        </w:rPr>
        <w:t>1.4</w:t>
      </w:r>
      <w:r>
        <w:rPr>
          <w:rFonts w:hint="eastAsia" w:ascii="宋体" w:hAnsi="宋体"/>
          <w:szCs w:val="21"/>
        </w:rPr>
        <w:t>-</w:t>
      </w:r>
      <w:r>
        <w:rPr>
          <w:rFonts w:ascii="宋体" w:hAnsi="宋体"/>
          <w:szCs w:val="21"/>
        </w:rPr>
        <w:t>2015《标准编写规则 第4部分:</w:t>
      </w:r>
      <w:r>
        <w:rPr>
          <w:rFonts w:hint="eastAsia" w:ascii="宋体" w:hAnsi="宋体"/>
          <w:szCs w:val="21"/>
        </w:rPr>
        <w:t>试验</w:t>
      </w:r>
      <w:r>
        <w:rPr>
          <w:rFonts w:ascii="宋体" w:hAnsi="宋体"/>
          <w:szCs w:val="21"/>
        </w:rPr>
        <w:t>方法</w:t>
      </w:r>
      <w:r>
        <w:rPr>
          <w:rFonts w:hint="eastAsia" w:ascii="宋体" w:hAnsi="宋体"/>
          <w:szCs w:val="21"/>
        </w:rPr>
        <w:t>标准</w:t>
      </w:r>
      <w:r>
        <w:rPr>
          <w:rFonts w:ascii="宋体" w:hAnsi="宋体"/>
          <w:szCs w:val="21"/>
        </w:rPr>
        <w:t>》</w:t>
      </w:r>
      <w:r>
        <w:rPr>
          <w:rFonts w:hint="eastAsia" w:ascii="宋体" w:hAnsi="宋体"/>
          <w:szCs w:val="21"/>
        </w:rPr>
        <w:t>和有色加工产品标准和国家标准编写示例的要求进行格式和结构编写。</w:t>
      </w:r>
    </w:p>
    <w:p>
      <w:pPr>
        <w:spacing w:beforeLines="50" w:afterLines="50" w:line="360" w:lineRule="auto"/>
        <w:rPr>
          <w:rFonts w:ascii="黑体" w:hAnsi="宋体" w:eastAsia="黑体"/>
          <w:sz w:val="24"/>
        </w:rPr>
      </w:pPr>
      <w:r>
        <w:rPr>
          <w:rFonts w:hint="eastAsia" w:ascii="黑体" w:hAnsi="黑体" w:eastAsia="黑体"/>
          <w:sz w:val="24"/>
        </w:rPr>
        <w:t>三、</w:t>
      </w:r>
      <w:r>
        <w:rPr>
          <w:rFonts w:hint="eastAsia" w:ascii="黑体" w:hAnsi="宋体" w:eastAsia="黑体"/>
          <w:sz w:val="24"/>
        </w:rPr>
        <w:t>确定标准主要内容的依据</w:t>
      </w:r>
    </w:p>
    <w:p>
      <w:pPr>
        <w:spacing w:line="360" w:lineRule="auto"/>
        <w:rPr>
          <w:rFonts w:ascii="黑体" w:hAnsi="宋体" w:eastAsia="黑体"/>
          <w:szCs w:val="21"/>
        </w:rPr>
      </w:pPr>
      <w:r>
        <w:rPr>
          <w:rFonts w:hint="eastAsia" w:ascii="黑体" w:hAnsi="宋体" w:eastAsia="黑体"/>
          <w:szCs w:val="21"/>
        </w:rPr>
        <w:t>1 共存离子的影响</w:t>
      </w:r>
    </w:p>
    <w:p>
      <w:pPr>
        <w:spacing w:line="360" w:lineRule="auto"/>
        <w:rPr>
          <w:rFonts w:ascii="黑体" w:hAnsi="黑体" w:eastAsia="黑体"/>
          <w:szCs w:val="21"/>
        </w:rPr>
      </w:pPr>
      <w:r>
        <w:rPr>
          <w:rFonts w:hint="eastAsia" w:ascii="黑体" w:hAnsi="黑体" w:eastAsia="黑体"/>
          <w:szCs w:val="21"/>
        </w:rPr>
        <w:t>1.1 氢氟酸溶样—离子选择电极法</w:t>
      </w:r>
    </w:p>
    <w:p>
      <w:pPr>
        <w:spacing w:line="360" w:lineRule="auto"/>
        <w:ind w:firstLine="420" w:firstLineChars="200"/>
        <w:rPr>
          <w:rFonts w:ascii="宋体" w:hAnsi="宋体"/>
          <w:szCs w:val="21"/>
        </w:rPr>
      </w:pPr>
      <w:r>
        <w:rPr>
          <w:rFonts w:hint="eastAsia" w:ascii="宋体" w:hAnsi="宋体"/>
          <w:szCs w:val="21"/>
        </w:rPr>
        <w:t>按试验方法，我们做了铝合金（包括铝中间合金、铸造铝合金、变形铝合金）中需要分析硼含量的共存的铁（45%）、锰（10%）、钛（10%）、钙（11%）、铬（22%）、锶（10%）、钒（10%）、锆（5%）、铜（7.5%）、镉（0.5%）、镁（0.8%）、镍（1.3%）以及锌、铅等元素的干扰试验。</w:t>
      </w:r>
    </w:p>
    <w:p>
      <w:pPr>
        <w:spacing w:line="360" w:lineRule="auto"/>
        <w:ind w:firstLine="420" w:firstLineChars="200"/>
        <w:rPr>
          <w:rFonts w:ascii="宋体" w:hAnsi="宋体"/>
          <w:bCs/>
          <w:color w:val="000000"/>
          <w:szCs w:val="21"/>
        </w:rPr>
      </w:pPr>
      <w:r>
        <w:rPr>
          <w:rFonts w:hint="eastAsia" w:ascii="宋体" w:hAnsi="宋体"/>
          <w:szCs w:val="21"/>
        </w:rPr>
        <w:t>我们通过对GB/T 27677－2017《铝中间合金》、GB/T 8733－2016《铸造铝合金锭》、GB/T 3190－201X《变形铝及铝合金化学成分》、GB/T 1196－2017《重熔用铝锭》、YS/T 275－2008《高纯铝》、YS/T 665－2009《重熔用精铝锭》等相关铝及铝合金产品标准中分析检测硼含量的牌号进行查对，在不考虑高含量Si对硼元素的干扰时，方法一（氢氟酸溶样—离子选择电极法分析硼含量范围为0.001%～5.0%）需要考虑的铝及铝合金牌号为：45%Fe（AlFe45）对B（0.01%）的影响；10%Mn（AlMn10）对B（0.01%）的影响；10%Ti（AlTi10A）对B（0.004%）的影响；11%Ca（AlCa10）对B（0.01%）的影响；22%Cr（AlCr20）对B（0.01%）的影响；10%Sr（AlSr10Ti1B0.2）对B（0.15%）的影响；10%V（AlV10）对B（0.01%）的影响；5%Zr（AlZr5A）对B（0.01%）的影响；7.5%Cu（211Z.1）对B（0.005%）的影响；0.50%Cd（211Z.1）对B（0.005%）的影响；0.8%Mg（6101）对B（0.06%）的影响；1.3%Ni（8001）对B（0.001%）的影响等共12种情况。按照GB/T 20975.15-2008</w:t>
      </w:r>
      <w:r>
        <w:rPr>
          <w:rFonts w:hint="eastAsia" w:ascii="宋体" w:hAnsi="宋体"/>
          <w:bCs/>
          <w:color w:val="000000"/>
          <w:szCs w:val="21"/>
        </w:rPr>
        <w:t>《铝及铝合金化学分析方法 第15部分：硼含量的测定》中“</w:t>
      </w:r>
      <w:r>
        <w:rPr>
          <w:rFonts w:hint="eastAsia" w:ascii="宋体" w:hAnsi="宋体"/>
          <w:szCs w:val="21"/>
        </w:rPr>
        <w:t>方法一：离子选择电极法</w:t>
      </w:r>
      <w:r>
        <w:rPr>
          <w:rFonts w:hint="eastAsia" w:ascii="宋体" w:hAnsi="宋体"/>
          <w:bCs/>
          <w:color w:val="000000"/>
          <w:szCs w:val="21"/>
        </w:rPr>
        <w:t>”的规定，不同硼含量采取不同的称样量，见表1。</w:t>
      </w:r>
      <w:r>
        <w:rPr>
          <w:rFonts w:hint="eastAsia" w:ascii="宋体" w:hAnsi="宋体"/>
          <w:szCs w:val="21"/>
        </w:rPr>
        <w:t>按照表1计算的共存元素最大加入量见表2。</w:t>
      </w:r>
    </w:p>
    <w:p>
      <w:pPr>
        <w:jc w:val="center"/>
        <w:rPr>
          <w:rFonts w:ascii="宋体" w:hAnsi="宋体"/>
          <w:bCs/>
          <w:color w:val="000000"/>
          <w:szCs w:val="21"/>
        </w:rPr>
      </w:pPr>
      <w:r>
        <w:rPr>
          <w:rFonts w:hint="eastAsia" w:ascii="宋体" w:hAnsi="宋体"/>
          <w:bCs/>
          <w:color w:val="000000"/>
          <w:szCs w:val="21"/>
        </w:rPr>
        <w:t>表1</w:t>
      </w: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6"/>
        <w:gridCol w:w="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6" w:type="dxa"/>
          </w:tcPr>
          <w:p>
            <w:pPr>
              <w:jc w:val="center"/>
              <w:rPr>
                <w:rFonts w:ascii="宋体" w:hAnsi="宋体"/>
                <w:bCs/>
                <w:color w:val="000000"/>
                <w:szCs w:val="21"/>
              </w:rPr>
            </w:pPr>
            <w:r>
              <w:rPr>
                <w:rFonts w:hint="eastAsia" w:ascii="宋体" w:hAnsi="宋体"/>
                <w:bCs/>
                <w:color w:val="000000"/>
                <w:szCs w:val="21"/>
              </w:rPr>
              <w:t>硼的质量分数/%</w:t>
            </w:r>
          </w:p>
        </w:tc>
        <w:tc>
          <w:tcPr>
            <w:tcW w:w="4066" w:type="dxa"/>
          </w:tcPr>
          <w:p>
            <w:pPr>
              <w:jc w:val="center"/>
              <w:rPr>
                <w:rFonts w:ascii="宋体" w:hAnsi="宋体"/>
                <w:bCs/>
                <w:color w:val="000000"/>
                <w:szCs w:val="21"/>
              </w:rPr>
            </w:pPr>
            <w:r>
              <w:rPr>
                <w:rFonts w:hint="eastAsia" w:ascii="宋体" w:hAnsi="宋体"/>
                <w:bCs/>
                <w:color w:val="000000"/>
                <w:szCs w:val="21"/>
              </w:rPr>
              <w:t>试料量/g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6" w:type="dxa"/>
          </w:tcPr>
          <w:p>
            <w:pPr>
              <w:jc w:val="center"/>
              <w:rPr>
                <w:rFonts w:ascii="宋体" w:hAnsi="宋体"/>
                <w:bCs/>
                <w:color w:val="000000"/>
                <w:szCs w:val="21"/>
              </w:rPr>
            </w:pPr>
            <w:r>
              <w:rPr>
                <w:rFonts w:hint="eastAsia" w:ascii="宋体" w:hAnsi="宋体"/>
                <w:bCs/>
                <w:color w:val="000000"/>
                <w:szCs w:val="21"/>
              </w:rPr>
              <w:t>0.001</w:t>
            </w:r>
            <w:r>
              <w:rPr>
                <w:rFonts w:hint="eastAsia" w:ascii="宋体" w:hAnsi="宋体"/>
                <w:szCs w:val="21"/>
              </w:rPr>
              <w:t>～</w:t>
            </w:r>
            <w:r>
              <w:rPr>
                <w:rFonts w:hint="eastAsia" w:ascii="宋体" w:hAnsi="宋体"/>
                <w:bCs/>
                <w:color w:val="000000"/>
                <w:szCs w:val="21"/>
              </w:rPr>
              <w:t>0.010</w:t>
            </w:r>
          </w:p>
        </w:tc>
        <w:tc>
          <w:tcPr>
            <w:tcW w:w="4066" w:type="dxa"/>
          </w:tcPr>
          <w:p>
            <w:pPr>
              <w:jc w:val="center"/>
              <w:rPr>
                <w:rFonts w:ascii="宋体" w:hAnsi="宋体"/>
                <w:bCs/>
                <w:color w:val="000000"/>
                <w:szCs w:val="21"/>
              </w:rPr>
            </w:pPr>
            <w:r>
              <w:rPr>
                <w:rFonts w:hint="eastAsia" w:ascii="宋体" w:hAnsi="宋体"/>
                <w:bCs/>
                <w:color w:val="000000"/>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6" w:type="dxa"/>
          </w:tcPr>
          <w:p>
            <w:pPr>
              <w:jc w:val="center"/>
              <w:rPr>
                <w:rFonts w:ascii="宋体" w:hAnsi="宋体"/>
                <w:bCs/>
                <w:color w:val="000000"/>
                <w:szCs w:val="21"/>
              </w:rPr>
            </w:pPr>
            <w:r>
              <w:rPr>
                <w:rFonts w:hint="eastAsia" w:ascii="宋体" w:hAnsi="宋体"/>
                <w:bCs/>
                <w:color w:val="000000"/>
                <w:szCs w:val="21"/>
              </w:rPr>
              <w:t>＞0.010</w:t>
            </w:r>
            <w:r>
              <w:rPr>
                <w:rFonts w:hint="eastAsia" w:ascii="宋体" w:hAnsi="宋体"/>
                <w:szCs w:val="21"/>
              </w:rPr>
              <w:t>～</w:t>
            </w:r>
            <w:r>
              <w:rPr>
                <w:rFonts w:hint="eastAsia" w:ascii="宋体" w:hAnsi="宋体"/>
                <w:bCs/>
                <w:color w:val="000000"/>
                <w:szCs w:val="21"/>
              </w:rPr>
              <w:t>0.100</w:t>
            </w:r>
          </w:p>
        </w:tc>
        <w:tc>
          <w:tcPr>
            <w:tcW w:w="4066" w:type="dxa"/>
          </w:tcPr>
          <w:p>
            <w:pPr>
              <w:jc w:val="center"/>
              <w:rPr>
                <w:rFonts w:ascii="宋体" w:hAnsi="宋体"/>
                <w:bCs/>
                <w:color w:val="000000"/>
                <w:szCs w:val="21"/>
              </w:rPr>
            </w:pPr>
            <w:r>
              <w:rPr>
                <w:rFonts w:hint="eastAsia" w:ascii="宋体" w:hAnsi="宋体"/>
                <w:bCs/>
                <w:color w:val="000000"/>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6" w:type="dxa"/>
          </w:tcPr>
          <w:p>
            <w:pPr>
              <w:jc w:val="center"/>
              <w:rPr>
                <w:rFonts w:ascii="宋体" w:hAnsi="宋体"/>
                <w:bCs/>
                <w:color w:val="000000"/>
                <w:szCs w:val="21"/>
              </w:rPr>
            </w:pPr>
            <w:r>
              <w:rPr>
                <w:rFonts w:hint="eastAsia" w:ascii="宋体" w:hAnsi="宋体"/>
                <w:bCs/>
                <w:color w:val="000000"/>
                <w:szCs w:val="21"/>
              </w:rPr>
              <w:t>＞0.10</w:t>
            </w:r>
            <w:r>
              <w:rPr>
                <w:rFonts w:hint="eastAsia" w:ascii="宋体" w:hAnsi="宋体"/>
                <w:szCs w:val="21"/>
              </w:rPr>
              <w:t>～</w:t>
            </w:r>
            <w:r>
              <w:rPr>
                <w:rFonts w:hint="eastAsia" w:ascii="宋体" w:hAnsi="宋体"/>
                <w:bCs/>
                <w:color w:val="000000"/>
                <w:szCs w:val="21"/>
              </w:rPr>
              <w:t>0.50</w:t>
            </w:r>
          </w:p>
        </w:tc>
        <w:tc>
          <w:tcPr>
            <w:tcW w:w="4066" w:type="dxa"/>
          </w:tcPr>
          <w:p>
            <w:pPr>
              <w:jc w:val="center"/>
              <w:rPr>
                <w:rFonts w:ascii="宋体" w:hAnsi="宋体"/>
                <w:bCs/>
                <w:color w:val="000000"/>
                <w:szCs w:val="21"/>
              </w:rPr>
            </w:pPr>
            <w:r>
              <w:rPr>
                <w:rFonts w:hint="eastAsia" w:ascii="宋体" w:hAnsi="宋体"/>
                <w:bCs/>
                <w:color w:val="000000"/>
                <w:szCs w:val="21"/>
              </w:rPr>
              <w:t>0.10</w:t>
            </w:r>
          </w:p>
        </w:tc>
      </w:tr>
    </w:tbl>
    <w:p>
      <w:pPr>
        <w:jc w:val="center"/>
        <w:rPr>
          <w:rFonts w:ascii="宋体" w:hAnsi="宋体"/>
          <w:bCs/>
          <w:color w:val="000000"/>
          <w:szCs w:val="21"/>
        </w:rPr>
      </w:pPr>
    </w:p>
    <w:p>
      <w:pPr>
        <w:jc w:val="center"/>
        <w:rPr>
          <w:rFonts w:ascii="宋体" w:hAnsi="宋体"/>
          <w:bCs/>
          <w:color w:val="000000"/>
          <w:szCs w:val="21"/>
        </w:rPr>
      </w:pPr>
      <w:r>
        <w:rPr>
          <w:rFonts w:hint="eastAsia" w:ascii="宋体" w:hAnsi="宋体"/>
          <w:bCs/>
          <w:color w:val="000000"/>
          <w:szCs w:val="21"/>
        </w:rPr>
        <w:t>表2</w:t>
      </w: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4"/>
        <w:gridCol w:w="141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color w:val="000000"/>
                <w:szCs w:val="21"/>
              </w:rPr>
            </w:pPr>
            <w:r>
              <w:rPr>
                <w:rFonts w:hint="eastAsia" w:ascii="宋体" w:hAnsi="宋体"/>
                <w:bCs/>
                <w:color w:val="000000"/>
                <w:szCs w:val="21"/>
              </w:rPr>
              <w:t>最大量共存元素合金牌号</w:t>
            </w:r>
          </w:p>
        </w:tc>
        <w:tc>
          <w:tcPr>
            <w:tcW w:w="1984" w:type="dxa"/>
          </w:tcPr>
          <w:p>
            <w:pPr>
              <w:jc w:val="center"/>
              <w:rPr>
                <w:rFonts w:ascii="宋体" w:hAnsi="宋体"/>
                <w:bCs/>
                <w:color w:val="000000"/>
                <w:szCs w:val="21"/>
              </w:rPr>
            </w:pPr>
            <w:r>
              <w:rPr>
                <w:rFonts w:hint="eastAsia" w:ascii="宋体" w:hAnsi="宋体"/>
                <w:bCs/>
                <w:color w:val="000000"/>
                <w:szCs w:val="21"/>
              </w:rPr>
              <w:t>硼的质量分数/%</w:t>
            </w:r>
          </w:p>
        </w:tc>
        <w:tc>
          <w:tcPr>
            <w:tcW w:w="1418" w:type="dxa"/>
          </w:tcPr>
          <w:p>
            <w:pPr>
              <w:jc w:val="center"/>
              <w:rPr>
                <w:rFonts w:ascii="宋体" w:hAnsi="宋体"/>
                <w:bCs/>
                <w:color w:val="000000"/>
                <w:szCs w:val="21"/>
              </w:rPr>
            </w:pPr>
            <w:r>
              <w:rPr>
                <w:rFonts w:hint="eastAsia" w:ascii="宋体" w:hAnsi="宋体"/>
                <w:bCs/>
                <w:color w:val="000000"/>
                <w:szCs w:val="21"/>
              </w:rPr>
              <w:t>试料量/g</w:t>
            </w:r>
          </w:p>
        </w:tc>
        <w:tc>
          <w:tcPr>
            <w:tcW w:w="2126" w:type="dxa"/>
          </w:tcPr>
          <w:p>
            <w:pPr>
              <w:jc w:val="center"/>
              <w:rPr>
                <w:rFonts w:ascii="宋体" w:hAnsi="宋体"/>
                <w:bCs/>
                <w:color w:val="000000"/>
                <w:szCs w:val="21"/>
              </w:rPr>
            </w:pPr>
            <w:r>
              <w:rPr>
                <w:rFonts w:hint="eastAsia" w:ascii="宋体" w:hAnsi="宋体"/>
                <w:bCs/>
                <w:color w:val="000000"/>
                <w:szCs w:val="21"/>
              </w:rPr>
              <w:t>共存元素最大量/mg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color w:val="000000"/>
                <w:szCs w:val="21"/>
              </w:rPr>
            </w:pPr>
            <w:r>
              <w:rPr>
                <w:rFonts w:hint="eastAsia" w:ascii="宋体" w:hAnsi="宋体"/>
                <w:szCs w:val="21"/>
              </w:rPr>
              <w:t>45%Fe（AlFe45）</w:t>
            </w:r>
          </w:p>
        </w:tc>
        <w:tc>
          <w:tcPr>
            <w:tcW w:w="1984" w:type="dxa"/>
          </w:tcPr>
          <w:p>
            <w:pPr>
              <w:jc w:val="center"/>
              <w:rPr>
                <w:rFonts w:ascii="宋体" w:hAnsi="宋体"/>
                <w:bCs/>
                <w:color w:val="000000"/>
                <w:szCs w:val="21"/>
              </w:rPr>
            </w:pPr>
            <w:r>
              <w:rPr>
                <w:rFonts w:hint="eastAsia" w:ascii="宋体" w:hAnsi="宋体"/>
                <w:szCs w:val="21"/>
              </w:rPr>
              <w:t>0.01</w:t>
            </w:r>
          </w:p>
        </w:tc>
        <w:tc>
          <w:tcPr>
            <w:tcW w:w="1418" w:type="dxa"/>
          </w:tcPr>
          <w:p>
            <w:pPr>
              <w:jc w:val="center"/>
              <w:rPr>
                <w:rFonts w:ascii="宋体" w:hAnsi="宋体"/>
                <w:bCs/>
                <w:color w:val="000000"/>
                <w:szCs w:val="21"/>
              </w:rPr>
            </w:pPr>
            <w:r>
              <w:rPr>
                <w:rFonts w:hint="eastAsia" w:ascii="宋体" w:hAnsi="宋体"/>
                <w:bCs/>
                <w:color w:val="000000"/>
                <w:szCs w:val="21"/>
              </w:rPr>
              <w:t>0.50</w:t>
            </w:r>
          </w:p>
        </w:tc>
        <w:tc>
          <w:tcPr>
            <w:tcW w:w="2126" w:type="dxa"/>
          </w:tcPr>
          <w:p>
            <w:pPr>
              <w:jc w:val="center"/>
              <w:rPr>
                <w:rFonts w:ascii="宋体" w:hAnsi="宋体"/>
                <w:bCs/>
                <w:color w:val="000000"/>
                <w:szCs w:val="21"/>
              </w:rPr>
            </w:pPr>
            <w:r>
              <w:rPr>
                <w:rFonts w:hint="eastAsia" w:ascii="宋体" w:hAnsi="宋体"/>
                <w:bCs/>
                <w:color w:val="000000"/>
                <w:szCs w:val="21"/>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color w:val="000000"/>
                <w:szCs w:val="21"/>
              </w:rPr>
            </w:pPr>
            <w:r>
              <w:rPr>
                <w:rFonts w:hint="eastAsia" w:ascii="宋体" w:hAnsi="宋体"/>
                <w:szCs w:val="21"/>
              </w:rPr>
              <w:t>10%Mn（AlMn10）</w:t>
            </w:r>
          </w:p>
        </w:tc>
        <w:tc>
          <w:tcPr>
            <w:tcW w:w="1984" w:type="dxa"/>
          </w:tcPr>
          <w:p>
            <w:pPr>
              <w:jc w:val="center"/>
              <w:rPr>
                <w:rFonts w:ascii="宋体" w:hAnsi="宋体"/>
                <w:bCs/>
                <w:color w:val="000000"/>
                <w:szCs w:val="21"/>
              </w:rPr>
            </w:pPr>
            <w:r>
              <w:rPr>
                <w:rFonts w:hint="eastAsia" w:ascii="宋体" w:hAnsi="宋体"/>
                <w:szCs w:val="21"/>
              </w:rPr>
              <w:t>0.01</w:t>
            </w:r>
          </w:p>
        </w:tc>
        <w:tc>
          <w:tcPr>
            <w:tcW w:w="1418" w:type="dxa"/>
          </w:tcPr>
          <w:p>
            <w:pPr>
              <w:jc w:val="center"/>
              <w:rPr>
                <w:rFonts w:ascii="宋体" w:hAnsi="宋体"/>
                <w:bCs/>
                <w:color w:val="000000"/>
                <w:szCs w:val="21"/>
              </w:rPr>
            </w:pPr>
            <w:r>
              <w:rPr>
                <w:rFonts w:hint="eastAsia" w:ascii="宋体" w:hAnsi="宋体"/>
                <w:bCs/>
                <w:color w:val="000000"/>
                <w:szCs w:val="21"/>
              </w:rPr>
              <w:t>0.50</w:t>
            </w:r>
          </w:p>
        </w:tc>
        <w:tc>
          <w:tcPr>
            <w:tcW w:w="2126" w:type="dxa"/>
          </w:tcPr>
          <w:p>
            <w:pPr>
              <w:jc w:val="center"/>
              <w:rPr>
                <w:rFonts w:ascii="宋体" w:hAnsi="宋体"/>
                <w:bCs/>
                <w:color w:val="000000"/>
                <w:szCs w:val="21"/>
              </w:rPr>
            </w:pPr>
            <w:r>
              <w:rPr>
                <w:rFonts w:hint="eastAsia" w:ascii="宋体" w:hAnsi="宋体"/>
                <w:bCs/>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94" w:type="dxa"/>
          </w:tcPr>
          <w:p>
            <w:pPr>
              <w:jc w:val="center"/>
              <w:rPr>
                <w:rFonts w:ascii="宋体" w:hAnsi="宋体"/>
                <w:bCs/>
                <w:color w:val="000000"/>
                <w:szCs w:val="21"/>
              </w:rPr>
            </w:pPr>
            <w:r>
              <w:rPr>
                <w:rFonts w:hint="eastAsia" w:ascii="宋体" w:hAnsi="宋体"/>
                <w:szCs w:val="21"/>
              </w:rPr>
              <w:t>10%Ti（AlTi10A）</w:t>
            </w:r>
          </w:p>
        </w:tc>
        <w:tc>
          <w:tcPr>
            <w:tcW w:w="1984" w:type="dxa"/>
          </w:tcPr>
          <w:p>
            <w:pPr>
              <w:jc w:val="center"/>
              <w:rPr>
                <w:rFonts w:ascii="宋体" w:hAnsi="宋体"/>
                <w:bCs/>
                <w:color w:val="000000"/>
                <w:szCs w:val="21"/>
              </w:rPr>
            </w:pPr>
            <w:r>
              <w:rPr>
                <w:rFonts w:hint="eastAsia" w:ascii="宋体" w:hAnsi="宋体"/>
                <w:szCs w:val="21"/>
              </w:rPr>
              <w:t>0.004</w:t>
            </w:r>
          </w:p>
        </w:tc>
        <w:tc>
          <w:tcPr>
            <w:tcW w:w="1418" w:type="dxa"/>
          </w:tcPr>
          <w:p>
            <w:pPr>
              <w:jc w:val="center"/>
              <w:rPr>
                <w:rFonts w:ascii="宋体" w:hAnsi="宋体"/>
                <w:bCs/>
                <w:color w:val="000000"/>
                <w:szCs w:val="21"/>
              </w:rPr>
            </w:pPr>
            <w:r>
              <w:rPr>
                <w:rFonts w:hint="eastAsia" w:ascii="宋体" w:hAnsi="宋体"/>
                <w:bCs/>
                <w:color w:val="000000"/>
                <w:szCs w:val="21"/>
              </w:rPr>
              <w:t>0.50</w:t>
            </w:r>
          </w:p>
        </w:tc>
        <w:tc>
          <w:tcPr>
            <w:tcW w:w="2126" w:type="dxa"/>
          </w:tcPr>
          <w:p>
            <w:pPr>
              <w:jc w:val="center"/>
              <w:rPr>
                <w:rFonts w:ascii="宋体" w:hAnsi="宋体"/>
                <w:bCs/>
                <w:color w:val="000000"/>
                <w:szCs w:val="21"/>
              </w:rPr>
            </w:pPr>
            <w:r>
              <w:rPr>
                <w:rFonts w:hint="eastAsia" w:ascii="宋体" w:hAnsi="宋体"/>
                <w:bCs/>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color w:val="000000"/>
                <w:szCs w:val="21"/>
              </w:rPr>
            </w:pPr>
            <w:r>
              <w:rPr>
                <w:rFonts w:hint="eastAsia" w:ascii="宋体" w:hAnsi="宋体"/>
                <w:szCs w:val="21"/>
              </w:rPr>
              <w:t>11%Ca（AlCa10）</w:t>
            </w:r>
          </w:p>
        </w:tc>
        <w:tc>
          <w:tcPr>
            <w:tcW w:w="1984" w:type="dxa"/>
          </w:tcPr>
          <w:p>
            <w:pPr>
              <w:jc w:val="center"/>
              <w:rPr>
                <w:rFonts w:ascii="宋体" w:hAnsi="宋体"/>
                <w:bCs/>
                <w:color w:val="000000"/>
                <w:szCs w:val="21"/>
              </w:rPr>
            </w:pPr>
            <w:r>
              <w:rPr>
                <w:rFonts w:hint="eastAsia" w:ascii="宋体" w:hAnsi="宋体"/>
                <w:szCs w:val="21"/>
              </w:rPr>
              <w:t>0.01</w:t>
            </w:r>
          </w:p>
        </w:tc>
        <w:tc>
          <w:tcPr>
            <w:tcW w:w="1418" w:type="dxa"/>
          </w:tcPr>
          <w:p>
            <w:pPr>
              <w:jc w:val="center"/>
              <w:rPr>
                <w:rFonts w:ascii="宋体" w:hAnsi="宋体"/>
                <w:bCs/>
                <w:color w:val="000000"/>
                <w:szCs w:val="21"/>
              </w:rPr>
            </w:pPr>
            <w:r>
              <w:rPr>
                <w:rFonts w:hint="eastAsia" w:ascii="宋体" w:hAnsi="宋体"/>
                <w:bCs/>
                <w:color w:val="000000"/>
                <w:szCs w:val="21"/>
              </w:rPr>
              <w:t>0.50</w:t>
            </w:r>
          </w:p>
        </w:tc>
        <w:tc>
          <w:tcPr>
            <w:tcW w:w="2126" w:type="dxa"/>
          </w:tcPr>
          <w:p>
            <w:pPr>
              <w:jc w:val="center"/>
              <w:rPr>
                <w:rFonts w:ascii="宋体" w:hAnsi="宋体"/>
                <w:bCs/>
                <w:color w:val="000000"/>
                <w:szCs w:val="21"/>
              </w:rPr>
            </w:pPr>
            <w:r>
              <w:rPr>
                <w:rFonts w:hint="eastAsia" w:ascii="宋体" w:hAnsi="宋体"/>
                <w:bCs/>
                <w:color w:val="00000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color w:val="000000"/>
                <w:szCs w:val="21"/>
              </w:rPr>
            </w:pPr>
            <w:r>
              <w:rPr>
                <w:rFonts w:hint="eastAsia" w:ascii="宋体" w:hAnsi="宋体"/>
                <w:szCs w:val="21"/>
              </w:rPr>
              <w:t>22%Cr（AlCr20）</w:t>
            </w:r>
          </w:p>
        </w:tc>
        <w:tc>
          <w:tcPr>
            <w:tcW w:w="1984" w:type="dxa"/>
          </w:tcPr>
          <w:p>
            <w:pPr>
              <w:jc w:val="center"/>
              <w:rPr>
                <w:rFonts w:ascii="宋体" w:hAnsi="宋体"/>
                <w:bCs/>
                <w:color w:val="000000"/>
                <w:szCs w:val="21"/>
              </w:rPr>
            </w:pPr>
            <w:r>
              <w:rPr>
                <w:rFonts w:hint="eastAsia" w:ascii="宋体" w:hAnsi="宋体"/>
                <w:szCs w:val="21"/>
              </w:rPr>
              <w:t>0.01</w:t>
            </w:r>
          </w:p>
        </w:tc>
        <w:tc>
          <w:tcPr>
            <w:tcW w:w="1418" w:type="dxa"/>
          </w:tcPr>
          <w:p>
            <w:pPr>
              <w:jc w:val="center"/>
              <w:rPr>
                <w:rFonts w:ascii="宋体" w:hAnsi="宋体"/>
                <w:bCs/>
                <w:color w:val="000000"/>
                <w:szCs w:val="21"/>
              </w:rPr>
            </w:pPr>
            <w:r>
              <w:rPr>
                <w:rFonts w:hint="eastAsia" w:ascii="宋体" w:hAnsi="宋体"/>
                <w:bCs/>
                <w:color w:val="000000"/>
                <w:szCs w:val="21"/>
              </w:rPr>
              <w:t>0.50</w:t>
            </w:r>
          </w:p>
        </w:tc>
        <w:tc>
          <w:tcPr>
            <w:tcW w:w="2126" w:type="dxa"/>
          </w:tcPr>
          <w:p>
            <w:pPr>
              <w:jc w:val="center"/>
              <w:rPr>
                <w:rFonts w:ascii="宋体" w:hAnsi="宋体"/>
                <w:bCs/>
                <w:color w:val="000000"/>
                <w:szCs w:val="21"/>
              </w:rPr>
            </w:pPr>
            <w:r>
              <w:rPr>
                <w:rFonts w:hint="eastAsia" w:ascii="宋体" w:hAnsi="宋体"/>
                <w:bCs/>
                <w:color w:val="000000"/>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bCs/>
                <w:color w:val="000000"/>
                <w:szCs w:val="21"/>
              </w:rPr>
            </w:pPr>
            <w:r>
              <w:rPr>
                <w:rFonts w:hint="eastAsia" w:ascii="宋体" w:hAnsi="宋体"/>
                <w:szCs w:val="21"/>
              </w:rPr>
              <w:t>10%Sr（AlSr10Ti1B0.2）</w:t>
            </w:r>
          </w:p>
        </w:tc>
        <w:tc>
          <w:tcPr>
            <w:tcW w:w="1984" w:type="dxa"/>
          </w:tcPr>
          <w:p>
            <w:pPr>
              <w:jc w:val="center"/>
              <w:rPr>
                <w:rFonts w:ascii="宋体" w:hAnsi="宋体"/>
                <w:bCs/>
                <w:color w:val="000000"/>
                <w:szCs w:val="21"/>
              </w:rPr>
            </w:pPr>
            <w:r>
              <w:rPr>
                <w:rFonts w:hint="eastAsia" w:ascii="宋体" w:hAnsi="宋体"/>
                <w:szCs w:val="21"/>
              </w:rPr>
              <w:t>0.15</w:t>
            </w:r>
          </w:p>
        </w:tc>
        <w:tc>
          <w:tcPr>
            <w:tcW w:w="1418" w:type="dxa"/>
          </w:tcPr>
          <w:p>
            <w:pPr>
              <w:jc w:val="center"/>
              <w:rPr>
                <w:rFonts w:ascii="宋体" w:hAnsi="宋体"/>
                <w:bCs/>
                <w:color w:val="000000"/>
                <w:szCs w:val="21"/>
              </w:rPr>
            </w:pPr>
            <w:r>
              <w:rPr>
                <w:rFonts w:hint="eastAsia" w:ascii="宋体" w:hAnsi="宋体"/>
                <w:bCs/>
                <w:color w:val="000000"/>
                <w:szCs w:val="21"/>
              </w:rPr>
              <w:t>0.10</w:t>
            </w:r>
          </w:p>
        </w:tc>
        <w:tc>
          <w:tcPr>
            <w:tcW w:w="2126" w:type="dxa"/>
          </w:tcPr>
          <w:p>
            <w:pPr>
              <w:jc w:val="center"/>
              <w:rPr>
                <w:rFonts w:ascii="宋体" w:hAnsi="宋体"/>
                <w:bCs/>
                <w:color w:val="000000"/>
                <w:szCs w:val="21"/>
              </w:rPr>
            </w:pPr>
            <w:r>
              <w:rPr>
                <w:rFonts w:hint="eastAsia" w:ascii="宋体" w:hAnsi="宋体"/>
                <w:bCs/>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94" w:type="dxa"/>
          </w:tcPr>
          <w:p>
            <w:pPr>
              <w:jc w:val="center"/>
              <w:rPr>
                <w:rFonts w:ascii="宋体" w:hAnsi="宋体"/>
                <w:bCs/>
                <w:color w:val="000000"/>
                <w:szCs w:val="21"/>
              </w:rPr>
            </w:pPr>
            <w:r>
              <w:rPr>
                <w:rFonts w:hint="eastAsia" w:ascii="宋体" w:hAnsi="宋体"/>
                <w:szCs w:val="21"/>
              </w:rPr>
              <w:t>10%V（AlV10）</w:t>
            </w:r>
          </w:p>
        </w:tc>
        <w:tc>
          <w:tcPr>
            <w:tcW w:w="1984" w:type="dxa"/>
          </w:tcPr>
          <w:p>
            <w:pPr>
              <w:jc w:val="center"/>
              <w:rPr>
                <w:rFonts w:ascii="宋体" w:hAnsi="宋体"/>
                <w:bCs/>
                <w:color w:val="000000"/>
                <w:szCs w:val="21"/>
              </w:rPr>
            </w:pPr>
            <w:r>
              <w:rPr>
                <w:rFonts w:hint="eastAsia" w:ascii="宋体" w:hAnsi="宋体"/>
                <w:szCs w:val="21"/>
              </w:rPr>
              <w:t>0.01</w:t>
            </w:r>
          </w:p>
        </w:tc>
        <w:tc>
          <w:tcPr>
            <w:tcW w:w="1418" w:type="dxa"/>
          </w:tcPr>
          <w:p>
            <w:pPr>
              <w:jc w:val="center"/>
              <w:rPr>
                <w:rFonts w:ascii="宋体" w:hAnsi="宋体"/>
                <w:bCs/>
                <w:color w:val="000000"/>
                <w:szCs w:val="21"/>
              </w:rPr>
            </w:pPr>
            <w:r>
              <w:rPr>
                <w:rFonts w:hint="eastAsia" w:ascii="宋体" w:hAnsi="宋体"/>
                <w:bCs/>
                <w:color w:val="000000"/>
                <w:szCs w:val="21"/>
              </w:rPr>
              <w:t>0.50</w:t>
            </w:r>
          </w:p>
        </w:tc>
        <w:tc>
          <w:tcPr>
            <w:tcW w:w="2126" w:type="dxa"/>
          </w:tcPr>
          <w:p>
            <w:pPr>
              <w:jc w:val="center"/>
              <w:rPr>
                <w:rFonts w:ascii="宋体" w:hAnsi="宋体"/>
                <w:bCs/>
                <w:color w:val="000000"/>
                <w:szCs w:val="21"/>
              </w:rPr>
            </w:pPr>
            <w:r>
              <w:rPr>
                <w:rFonts w:hint="eastAsia" w:ascii="宋体" w:hAnsi="宋体"/>
                <w:bCs/>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szCs w:val="21"/>
              </w:rPr>
            </w:pPr>
            <w:r>
              <w:rPr>
                <w:rFonts w:hint="eastAsia" w:ascii="宋体" w:hAnsi="宋体"/>
                <w:szCs w:val="21"/>
              </w:rPr>
              <w:t>5%Zr（AlZr5A）</w:t>
            </w:r>
          </w:p>
        </w:tc>
        <w:tc>
          <w:tcPr>
            <w:tcW w:w="1984" w:type="dxa"/>
          </w:tcPr>
          <w:p>
            <w:pPr>
              <w:jc w:val="center"/>
              <w:rPr>
                <w:rFonts w:ascii="宋体" w:hAnsi="宋体"/>
                <w:szCs w:val="21"/>
              </w:rPr>
            </w:pPr>
            <w:r>
              <w:rPr>
                <w:rFonts w:hint="eastAsia" w:ascii="宋体" w:hAnsi="宋体"/>
                <w:szCs w:val="21"/>
              </w:rPr>
              <w:t>0.01</w:t>
            </w:r>
          </w:p>
        </w:tc>
        <w:tc>
          <w:tcPr>
            <w:tcW w:w="1418" w:type="dxa"/>
          </w:tcPr>
          <w:p>
            <w:pPr>
              <w:jc w:val="center"/>
              <w:rPr>
                <w:rFonts w:ascii="宋体" w:hAnsi="宋体"/>
                <w:bCs/>
                <w:color w:val="000000"/>
                <w:szCs w:val="21"/>
              </w:rPr>
            </w:pPr>
            <w:r>
              <w:rPr>
                <w:rFonts w:hint="eastAsia" w:ascii="宋体" w:hAnsi="宋体"/>
                <w:bCs/>
                <w:color w:val="000000"/>
                <w:szCs w:val="21"/>
              </w:rPr>
              <w:t>0.50</w:t>
            </w:r>
          </w:p>
        </w:tc>
        <w:tc>
          <w:tcPr>
            <w:tcW w:w="2126" w:type="dxa"/>
          </w:tcPr>
          <w:p>
            <w:pPr>
              <w:jc w:val="center"/>
              <w:rPr>
                <w:rFonts w:ascii="宋体" w:hAnsi="宋体"/>
                <w:bCs/>
                <w:color w:val="000000"/>
                <w:szCs w:val="21"/>
              </w:rPr>
            </w:pPr>
            <w:r>
              <w:rPr>
                <w:rFonts w:hint="eastAsia" w:ascii="宋体" w:hAnsi="宋体"/>
                <w:bCs/>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szCs w:val="21"/>
              </w:rPr>
            </w:pPr>
            <w:r>
              <w:rPr>
                <w:rFonts w:hint="eastAsia" w:ascii="宋体" w:hAnsi="宋体"/>
                <w:szCs w:val="21"/>
              </w:rPr>
              <w:t>7.5%Cu（211Z.1）</w:t>
            </w:r>
          </w:p>
        </w:tc>
        <w:tc>
          <w:tcPr>
            <w:tcW w:w="1984" w:type="dxa"/>
          </w:tcPr>
          <w:p>
            <w:pPr>
              <w:jc w:val="center"/>
              <w:rPr>
                <w:rFonts w:ascii="宋体" w:hAnsi="宋体"/>
                <w:szCs w:val="21"/>
              </w:rPr>
            </w:pPr>
            <w:r>
              <w:rPr>
                <w:rFonts w:hint="eastAsia" w:ascii="宋体" w:hAnsi="宋体"/>
                <w:szCs w:val="21"/>
              </w:rPr>
              <w:t>0.005</w:t>
            </w:r>
          </w:p>
        </w:tc>
        <w:tc>
          <w:tcPr>
            <w:tcW w:w="1418" w:type="dxa"/>
          </w:tcPr>
          <w:p>
            <w:pPr>
              <w:jc w:val="center"/>
              <w:rPr>
                <w:rFonts w:ascii="宋体" w:hAnsi="宋体"/>
                <w:bCs/>
                <w:color w:val="000000"/>
                <w:szCs w:val="21"/>
              </w:rPr>
            </w:pPr>
            <w:r>
              <w:rPr>
                <w:rFonts w:hint="eastAsia" w:ascii="宋体" w:hAnsi="宋体"/>
                <w:bCs/>
                <w:color w:val="000000"/>
                <w:szCs w:val="21"/>
              </w:rPr>
              <w:t>0.50</w:t>
            </w:r>
          </w:p>
        </w:tc>
        <w:tc>
          <w:tcPr>
            <w:tcW w:w="2126" w:type="dxa"/>
          </w:tcPr>
          <w:p>
            <w:pPr>
              <w:jc w:val="center"/>
              <w:rPr>
                <w:rFonts w:ascii="宋体" w:hAnsi="宋体"/>
                <w:bCs/>
                <w:color w:val="000000"/>
                <w:szCs w:val="21"/>
              </w:rPr>
            </w:pPr>
            <w:r>
              <w:rPr>
                <w:rFonts w:hint="eastAsia" w:ascii="宋体" w:hAnsi="宋体"/>
                <w:bCs/>
                <w:color w:val="000000"/>
                <w:szCs w:val="21"/>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szCs w:val="21"/>
              </w:rPr>
            </w:pPr>
            <w:r>
              <w:rPr>
                <w:rFonts w:hint="eastAsia" w:ascii="宋体" w:hAnsi="宋体"/>
                <w:szCs w:val="21"/>
              </w:rPr>
              <w:t>0.50%Cd（211Z.1）</w:t>
            </w:r>
          </w:p>
        </w:tc>
        <w:tc>
          <w:tcPr>
            <w:tcW w:w="1984" w:type="dxa"/>
          </w:tcPr>
          <w:p>
            <w:pPr>
              <w:jc w:val="center"/>
              <w:rPr>
                <w:rFonts w:ascii="宋体" w:hAnsi="宋体"/>
                <w:szCs w:val="21"/>
              </w:rPr>
            </w:pPr>
            <w:r>
              <w:rPr>
                <w:rFonts w:hint="eastAsia" w:ascii="宋体" w:hAnsi="宋体"/>
                <w:szCs w:val="21"/>
              </w:rPr>
              <w:t>0.005</w:t>
            </w:r>
          </w:p>
        </w:tc>
        <w:tc>
          <w:tcPr>
            <w:tcW w:w="1418" w:type="dxa"/>
          </w:tcPr>
          <w:p>
            <w:pPr>
              <w:jc w:val="center"/>
              <w:rPr>
                <w:rFonts w:ascii="宋体" w:hAnsi="宋体"/>
                <w:bCs/>
                <w:color w:val="000000"/>
                <w:szCs w:val="21"/>
              </w:rPr>
            </w:pPr>
            <w:r>
              <w:rPr>
                <w:rFonts w:hint="eastAsia" w:ascii="宋体" w:hAnsi="宋体"/>
                <w:bCs/>
                <w:color w:val="000000"/>
                <w:szCs w:val="21"/>
              </w:rPr>
              <w:t>0.50</w:t>
            </w:r>
          </w:p>
        </w:tc>
        <w:tc>
          <w:tcPr>
            <w:tcW w:w="2126" w:type="dxa"/>
          </w:tcPr>
          <w:p>
            <w:pPr>
              <w:jc w:val="center"/>
              <w:rPr>
                <w:rFonts w:ascii="宋体" w:hAnsi="宋体"/>
                <w:bCs/>
                <w:color w:val="000000"/>
                <w:szCs w:val="21"/>
              </w:rPr>
            </w:pPr>
            <w:r>
              <w:rPr>
                <w:rFonts w:hint="eastAsia" w:ascii="宋体" w:hAnsi="宋体"/>
                <w:bCs/>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94" w:type="dxa"/>
          </w:tcPr>
          <w:p>
            <w:pPr>
              <w:jc w:val="center"/>
              <w:rPr>
                <w:rFonts w:ascii="宋体" w:hAnsi="宋体"/>
                <w:szCs w:val="21"/>
              </w:rPr>
            </w:pPr>
            <w:r>
              <w:rPr>
                <w:rFonts w:hint="eastAsia" w:ascii="宋体" w:hAnsi="宋体"/>
                <w:szCs w:val="21"/>
              </w:rPr>
              <w:t>0.8%Mg（6101）</w:t>
            </w:r>
          </w:p>
        </w:tc>
        <w:tc>
          <w:tcPr>
            <w:tcW w:w="1984" w:type="dxa"/>
          </w:tcPr>
          <w:p>
            <w:pPr>
              <w:jc w:val="center"/>
              <w:rPr>
                <w:rFonts w:ascii="宋体" w:hAnsi="宋体"/>
                <w:szCs w:val="21"/>
              </w:rPr>
            </w:pPr>
            <w:r>
              <w:rPr>
                <w:rFonts w:hint="eastAsia" w:ascii="宋体" w:hAnsi="宋体"/>
                <w:szCs w:val="21"/>
              </w:rPr>
              <w:t>0.06</w:t>
            </w:r>
          </w:p>
        </w:tc>
        <w:tc>
          <w:tcPr>
            <w:tcW w:w="1418" w:type="dxa"/>
          </w:tcPr>
          <w:p>
            <w:pPr>
              <w:jc w:val="center"/>
              <w:rPr>
                <w:rFonts w:ascii="宋体" w:hAnsi="宋体"/>
                <w:bCs/>
                <w:color w:val="000000"/>
                <w:szCs w:val="21"/>
              </w:rPr>
            </w:pPr>
            <w:r>
              <w:rPr>
                <w:rFonts w:hint="eastAsia" w:ascii="宋体" w:hAnsi="宋体"/>
                <w:bCs/>
                <w:color w:val="000000"/>
                <w:szCs w:val="21"/>
              </w:rPr>
              <w:t>0.20</w:t>
            </w:r>
          </w:p>
        </w:tc>
        <w:tc>
          <w:tcPr>
            <w:tcW w:w="2126" w:type="dxa"/>
          </w:tcPr>
          <w:p>
            <w:pPr>
              <w:jc w:val="center"/>
              <w:rPr>
                <w:rFonts w:ascii="宋体" w:hAnsi="宋体"/>
                <w:bCs/>
                <w:color w:val="000000"/>
                <w:szCs w:val="21"/>
              </w:rPr>
            </w:pPr>
            <w:r>
              <w:rPr>
                <w:rFonts w:hint="eastAsia" w:ascii="宋体" w:hAnsi="宋体"/>
                <w:bCs/>
                <w:color w:val="00000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tcPr>
          <w:p>
            <w:pPr>
              <w:jc w:val="center"/>
              <w:rPr>
                <w:rFonts w:ascii="宋体" w:hAnsi="宋体"/>
                <w:szCs w:val="21"/>
              </w:rPr>
            </w:pPr>
            <w:r>
              <w:rPr>
                <w:rFonts w:hint="eastAsia" w:ascii="宋体" w:hAnsi="宋体"/>
                <w:szCs w:val="21"/>
              </w:rPr>
              <w:t>1.3%Ni（8001）</w:t>
            </w:r>
          </w:p>
        </w:tc>
        <w:tc>
          <w:tcPr>
            <w:tcW w:w="1984" w:type="dxa"/>
          </w:tcPr>
          <w:p>
            <w:pPr>
              <w:jc w:val="center"/>
              <w:rPr>
                <w:rFonts w:ascii="宋体" w:hAnsi="宋体"/>
                <w:szCs w:val="21"/>
              </w:rPr>
            </w:pPr>
            <w:r>
              <w:rPr>
                <w:rFonts w:hint="eastAsia" w:ascii="宋体" w:hAnsi="宋体"/>
                <w:szCs w:val="21"/>
              </w:rPr>
              <w:t>0.001</w:t>
            </w:r>
          </w:p>
        </w:tc>
        <w:tc>
          <w:tcPr>
            <w:tcW w:w="1418" w:type="dxa"/>
          </w:tcPr>
          <w:p>
            <w:pPr>
              <w:jc w:val="center"/>
              <w:rPr>
                <w:rFonts w:ascii="宋体" w:hAnsi="宋体"/>
                <w:bCs/>
                <w:color w:val="000000"/>
                <w:szCs w:val="21"/>
              </w:rPr>
            </w:pPr>
            <w:r>
              <w:rPr>
                <w:rFonts w:hint="eastAsia" w:ascii="宋体" w:hAnsi="宋体"/>
                <w:bCs/>
                <w:color w:val="000000"/>
                <w:szCs w:val="21"/>
              </w:rPr>
              <w:t>0.50</w:t>
            </w:r>
          </w:p>
        </w:tc>
        <w:tc>
          <w:tcPr>
            <w:tcW w:w="2126" w:type="dxa"/>
          </w:tcPr>
          <w:p>
            <w:pPr>
              <w:jc w:val="center"/>
              <w:rPr>
                <w:rFonts w:ascii="宋体" w:hAnsi="宋体"/>
                <w:bCs/>
                <w:color w:val="000000"/>
                <w:szCs w:val="21"/>
              </w:rPr>
            </w:pPr>
            <w:r>
              <w:rPr>
                <w:rFonts w:hint="eastAsia" w:ascii="宋体" w:hAnsi="宋体"/>
                <w:bCs/>
                <w:color w:val="000000"/>
                <w:szCs w:val="21"/>
              </w:rPr>
              <w:t>6.5</w:t>
            </w:r>
          </w:p>
        </w:tc>
      </w:tr>
    </w:tbl>
    <w:p>
      <w:pPr>
        <w:rPr>
          <w:rFonts w:ascii="宋体" w:hAnsi="宋体"/>
          <w:bCs/>
          <w:color w:val="000000"/>
          <w:szCs w:val="21"/>
        </w:rPr>
      </w:pPr>
    </w:p>
    <w:p>
      <w:pPr>
        <w:spacing w:line="360" w:lineRule="auto"/>
        <w:ind w:firstLine="420" w:firstLineChars="200"/>
        <w:rPr>
          <w:rFonts w:ascii="宋体" w:hAnsi="宋体"/>
          <w:szCs w:val="21"/>
        </w:rPr>
      </w:pPr>
      <w:r>
        <w:rPr>
          <w:rFonts w:hint="eastAsia" w:ascii="宋体" w:hAnsi="宋体"/>
          <w:szCs w:val="21"/>
        </w:rPr>
        <w:t>按照GB/T 20975.15-2008</w:t>
      </w:r>
      <w:r>
        <w:rPr>
          <w:rFonts w:hint="eastAsia" w:ascii="宋体" w:hAnsi="宋体"/>
          <w:bCs/>
          <w:color w:val="000000"/>
          <w:szCs w:val="21"/>
        </w:rPr>
        <w:t>《铝及铝合金化学分析方法 第15部分：硼含量的测定》中“</w:t>
      </w:r>
      <w:r>
        <w:rPr>
          <w:rFonts w:hint="eastAsia" w:ascii="宋体" w:hAnsi="宋体"/>
          <w:szCs w:val="21"/>
        </w:rPr>
        <w:t>方法一：离子选择电极法</w:t>
      </w:r>
      <w:r>
        <w:rPr>
          <w:rFonts w:hint="eastAsia" w:ascii="宋体" w:hAnsi="宋体"/>
          <w:bCs/>
          <w:color w:val="000000"/>
          <w:szCs w:val="21"/>
        </w:rPr>
        <w:t>”进行</w:t>
      </w:r>
      <w:r>
        <w:rPr>
          <w:rFonts w:hint="eastAsia" w:ascii="宋体" w:hAnsi="宋体"/>
          <w:szCs w:val="21"/>
        </w:rPr>
        <w:t>单元素干扰试验，结果见表3。</w:t>
      </w:r>
    </w:p>
    <w:p>
      <w:pPr>
        <w:jc w:val="center"/>
        <w:rPr>
          <w:rFonts w:ascii="宋体" w:hAnsi="宋体"/>
          <w:szCs w:val="21"/>
        </w:rPr>
      </w:pPr>
      <w:r>
        <w:rPr>
          <w:rFonts w:hint="eastAsia" w:ascii="宋体" w:hAnsi="宋体"/>
          <w:szCs w:val="21"/>
        </w:rPr>
        <w:t>表3  共存元素干扰试验（1000μg硼）</w:t>
      </w:r>
    </w:p>
    <w:tbl>
      <w:tblPr>
        <w:tblStyle w:val="20"/>
        <w:tblW w:w="82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2537"/>
        <w:gridCol w:w="1386"/>
        <w:gridCol w:w="1791"/>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共存离子</w:t>
            </w:r>
          </w:p>
        </w:tc>
        <w:tc>
          <w:tcPr>
            <w:tcW w:w="2537" w:type="dxa"/>
          </w:tcPr>
          <w:p>
            <w:pPr>
              <w:jc w:val="center"/>
              <w:rPr>
                <w:rFonts w:ascii="宋体" w:hAnsi="宋体"/>
                <w:szCs w:val="21"/>
              </w:rPr>
            </w:pPr>
            <w:r>
              <w:rPr>
                <w:rFonts w:hint="eastAsia" w:ascii="宋体" w:hAnsi="宋体"/>
                <w:szCs w:val="21"/>
              </w:rPr>
              <w:t>共存离子加入量（mg）</w:t>
            </w:r>
          </w:p>
        </w:tc>
        <w:tc>
          <w:tcPr>
            <w:tcW w:w="1386" w:type="dxa"/>
          </w:tcPr>
          <w:p>
            <w:pPr>
              <w:jc w:val="center"/>
              <w:rPr>
                <w:rFonts w:ascii="宋体" w:hAnsi="宋体"/>
                <w:szCs w:val="21"/>
              </w:rPr>
            </w:pPr>
            <w:r>
              <w:rPr>
                <w:rFonts w:hint="eastAsia" w:ascii="宋体" w:hAnsi="宋体"/>
                <w:szCs w:val="21"/>
              </w:rPr>
              <w:t>加入形式</w:t>
            </w:r>
          </w:p>
        </w:tc>
        <w:tc>
          <w:tcPr>
            <w:tcW w:w="1791" w:type="dxa"/>
          </w:tcPr>
          <w:p>
            <w:pPr>
              <w:jc w:val="center"/>
              <w:rPr>
                <w:rFonts w:ascii="宋体" w:hAnsi="宋体"/>
                <w:szCs w:val="21"/>
              </w:rPr>
            </w:pPr>
            <w:r>
              <w:rPr>
                <w:rFonts w:hint="eastAsia" w:ascii="宋体" w:hAnsi="宋体"/>
                <w:szCs w:val="21"/>
              </w:rPr>
              <w:t>测得硼量（μg）</w:t>
            </w:r>
          </w:p>
        </w:tc>
        <w:tc>
          <w:tcPr>
            <w:tcW w:w="1265" w:type="dxa"/>
          </w:tcPr>
          <w:p>
            <w:pPr>
              <w:jc w:val="center"/>
              <w:rPr>
                <w:rFonts w:ascii="宋体" w:hAnsi="宋体"/>
                <w:szCs w:val="21"/>
              </w:rPr>
            </w:pPr>
            <w:r>
              <w:rPr>
                <w:rFonts w:hint="eastAsia" w:ascii="宋体" w:hAnsi="宋体"/>
                <w:szCs w:val="21"/>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Si</w:t>
            </w:r>
            <w:r>
              <w:rPr>
                <w:rFonts w:hint="eastAsia" w:ascii="宋体" w:hAnsi="宋体"/>
                <w:szCs w:val="21"/>
                <w:vertAlign w:val="superscript"/>
              </w:rPr>
              <w:t>4+</w:t>
            </w:r>
          </w:p>
        </w:tc>
        <w:tc>
          <w:tcPr>
            <w:tcW w:w="2537" w:type="dxa"/>
          </w:tcPr>
          <w:p>
            <w:pPr>
              <w:jc w:val="center"/>
              <w:rPr>
                <w:rFonts w:ascii="宋体" w:hAnsi="宋体"/>
                <w:szCs w:val="21"/>
              </w:rPr>
            </w:pPr>
            <w:r>
              <w:rPr>
                <w:rFonts w:hint="eastAsia" w:ascii="宋体" w:hAnsi="宋体"/>
                <w:szCs w:val="21"/>
              </w:rPr>
              <w:t>10</w:t>
            </w:r>
          </w:p>
        </w:tc>
        <w:tc>
          <w:tcPr>
            <w:tcW w:w="1386" w:type="dxa"/>
          </w:tcPr>
          <w:p>
            <w:pPr>
              <w:jc w:val="center"/>
              <w:rPr>
                <w:rFonts w:ascii="宋体" w:hAnsi="宋体"/>
                <w:szCs w:val="21"/>
              </w:rPr>
            </w:pPr>
            <w:r>
              <w:rPr>
                <w:rFonts w:hint="eastAsia" w:ascii="宋体" w:hAnsi="宋体"/>
                <w:szCs w:val="21"/>
              </w:rPr>
              <w:t>Na</w:t>
            </w:r>
            <w:r>
              <w:rPr>
                <w:rFonts w:hint="eastAsia" w:ascii="宋体" w:hAnsi="宋体"/>
                <w:szCs w:val="21"/>
                <w:vertAlign w:val="subscript"/>
              </w:rPr>
              <w:t>2</w:t>
            </w:r>
            <w:r>
              <w:rPr>
                <w:rFonts w:hint="eastAsia" w:ascii="宋体" w:hAnsi="宋体"/>
                <w:szCs w:val="21"/>
              </w:rPr>
              <w:t>SiO</w:t>
            </w:r>
            <w:r>
              <w:rPr>
                <w:rFonts w:hint="eastAsia" w:ascii="宋体" w:hAnsi="宋体"/>
                <w:szCs w:val="21"/>
                <w:vertAlign w:val="subscript"/>
              </w:rPr>
              <w:t>3</w:t>
            </w:r>
          </w:p>
        </w:tc>
        <w:tc>
          <w:tcPr>
            <w:tcW w:w="1791" w:type="dxa"/>
          </w:tcPr>
          <w:p>
            <w:pPr>
              <w:jc w:val="center"/>
              <w:rPr>
                <w:rFonts w:ascii="宋体" w:hAnsi="宋体"/>
                <w:szCs w:val="21"/>
              </w:rPr>
            </w:pPr>
            <w:r>
              <w:rPr>
                <w:rFonts w:hint="eastAsia" w:ascii="宋体" w:hAnsi="宋体"/>
                <w:szCs w:val="21"/>
              </w:rPr>
              <w:t>1000</w:t>
            </w:r>
          </w:p>
        </w:tc>
        <w:tc>
          <w:tcPr>
            <w:tcW w:w="1265" w:type="dxa"/>
          </w:tcPr>
          <w:p>
            <w:pPr>
              <w:jc w:val="center"/>
              <w:rPr>
                <w:rFonts w:ascii="宋体" w:hAnsi="宋体"/>
                <w:szCs w:val="21"/>
              </w:rPr>
            </w:pPr>
            <w:r>
              <w:rPr>
                <w:rFonts w:hint="eastAsia" w:ascii="宋体" w:hAnsi="宋体"/>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Fe</w:t>
            </w:r>
            <w:r>
              <w:rPr>
                <w:rFonts w:hint="eastAsia" w:ascii="宋体" w:hAnsi="宋体"/>
                <w:szCs w:val="21"/>
                <w:vertAlign w:val="superscript"/>
              </w:rPr>
              <w:t>3+</w:t>
            </w:r>
          </w:p>
        </w:tc>
        <w:tc>
          <w:tcPr>
            <w:tcW w:w="2537" w:type="dxa"/>
          </w:tcPr>
          <w:p>
            <w:pPr>
              <w:jc w:val="center"/>
              <w:rPr>
                <w:rFonts w:ascii="宋体" w:hAnsi="宋体"/>
                <w:szCs w:val="21"/>
              </w:rPr>
            </w:pPr>
            <w:r>
              <w:rPr>
                <w:rFonts w:hint="eastAsia" w:ascii="宋体" w:hAnsi="宋体"/>
                <w:szCs w:val="21"/>
              </w:rPr>
              <w:t>225</w:t>
            </w:r>
          </w:p>
        </w:tc>
        <w:tc>
          <w:tcPr>
            <w:tcW w:w="1386" w:type="dxa"/>
          </w:tcPr>
          <w:p>
            <w:pPr>
              <w:jc w:val="center"/>
              <w:rPr>
                <w:rFonts w:ascii="宋体" w:hAnsi="宋体"/>
                <w:szCs w:val="21"/>
              </w:rPr>
            </w:pPr>
            <w:r>
              <w:rPr>
                <w:rFonts w:hint="eastAsia" w:ascii="宋体" w:hAnsi="宋体"/>
                <w:szCs w:val="21"/>
              </w:rPr>
              <w:t>FeCl</w:t>
            </w:r>
            <w:r>
              <w:rPr>
                <w:rFonts w:hint="eastAsia" w:ascii="宋体" w:hAnsi="宋体"/>
                <w:szCs w:val="21"/>
                <w:vertAlign w:val="subscript"/>
              </w:rPr>
              <w:t>3</w:t>
            </w:r>
          </w:p>
        </w:tc>
        <w:tc>
          <w:tcPr>
            <w:tcW w:w="1791" w:type="dxa"/>
          </w:tcPr>
          <w:p>
            <w:pPr>
              <w:jc w:val="center"/>
              <w:rPr>
                <w:rFonts w:ascii="宋体" w:hAnsi="宋体"/>
                <w:szCs w:val="21"/>
              </w:rPr>
            </w:pPr>
            <w:r>
              <w:rPr>
                <w:rFonts w:hint="eastAsia" w:ascii="宋体" w:hAnsi="宋体"/>
                <w:szCs w:val="21"/>
              </w:rPr>
              <w:t>990</w:t>
            </w:r>
          </w:p>
        </w:tc>
        <w:tc>
          <w:tcPr>
            <w:tcW w:w="1265" w:type="dxa"/>
          </w:tcPr>
          <w:p>
            <w:pPr>
              <w:jc w:val="center"/>
              <w:rPr>
                <w:rFonts w:ascii="宋体" w:hAnsi="宋体"/>
                <w:szCs w:val="21"/>
              </w:rPr>
            </w:pPr>
            <w:r>
              <w:rPr>
                <w:rFonts w:hint="eastAsia" w:ascii="宋体" w:hAnsi="宋体"/>
                <w:szCs w:val="21"/>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Cu</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37.5</w:t>
            </w:r>
          </w:p>
        </w:tc>
        <w:tc>
          <w:tcPr>
            <w:tcW w:w="1386" w:type="dxa"/>
          </w:tcPr>
          <w:p>
            <w:pPr>
              <w:jc w:val="center"/>
              <w:rPr>
                <w:rFonts w:ascii="宋体" w:hAnsi="宋体"/>
                <w:szCs w:val="21"/>
              </w:rPr>
            </w:pPr>
            <w:r>
              <w:rPr>
                <w:rFonts w:hint="eastAsia" w:ascii="宋体" w:hAnsi="宋体"/>
                <w:szCs w:val="21"/>
              </w:rPr>
              <w:t>CuSO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992</w:t>
            </w:r>
          </w:p>
        </w:tc>
        <w:tc>
          <w:tcPr>
            <w:tcW w:w="1265" w:type="dxa"/>
          </w:tcPr>
          <w:p>
            <w:pPr>
              <w:jc w:val="center"/>
              <w:rPr>
                <w:rFonts w:ascii="宋体" w:hAnsi="宋体"/>
                <w:szCs w:val="21"/>
              </w:rPr>
            </w:pPr>
            <w:r>
              <w:rPr>
                <w:rFonts w:hint="eastAsia" w:ascii="宋体" w:hAnsi="宋体"/>
                <w:szCs w:val="21"/>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Mg</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1.6</w:t>
            </w:r>
          </w:p>
        </w:tc>
        <w:tc>
          <w:tcPr>
            <w:tcW w:w="1386" w:type="dxa"/>
          </w:tcPr>
          <w:p>
            <w:pPr>
              <w:jc w:val="center"/>
              <w:rPr>
                <w:rFonts w:ascii="宋体" w:hAnsi="宋体"/>
                <w:szCs w:val="21"/>
              </w:rPr>
            </w:pPr>
            <w:r>
              <w:rPr>
                <w:rFonts w:hint="eastAsia" w:ascii="宋体" w:hAnsi="宋体"/>
                <w:szCs w:val="21"/>
              </w:rPr>
              <w:t>MgSO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1000</w:t>
            </w:r>
          </w:p>
        </w:tc>
        <w:tc>
          <w:tcPr>
            <w:tcW w:w="1265" w:type="dxa"/>
          </w:tcPr>
          <w:p>
            <w:pPr>
              <w:jc w:val="center"/>
              <w:rPr>
                <w:rFonts w:ascii="宋体" w:hAnsi="宋体"/>
                <w:szCs w:val="21"/>
              </w:rPr>
            </w:pPr>
            <w:r>
              <w:rPr>
                <w:rFonts w:hint="eastAsia" w:ascii="宋体" w:hAnsi="宋体"/>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Mn</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50</w:t>
            </w:r>
          </w:p>
        </w:tc>
        <w:tc>
          <w:tcPr>
            <w:tcW w:w="1386" w:type="dxa"/>
          </w:tcPr>
          <w:p>
            <w:pPr>
              <w:jc w:val="center"/>
              <w:rPr>
                <w:rFonts w:ascii="宋体" w:hAnsi="宋体"/>
                <w:szCs w:val="21"/>
              </w:rPr>
            </w:pPr>
            <w:r>
              <w:rPr>
                <w:rFonts w:hint="eastAsia" w:ascii="宋体" w:hAnsi="宋体"/>
                <w:szCs w:val="21"/>
              </w:rPr>
              <w:t>MnSO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1005</w:t>
            </w:r>
          </w:p>
        </w:tc>
        <w:tc>
          <w:tcPr>
            <w:tcW w:w="1265" w:type="dxa"/>
          </w:tcPr>
          <w:p>
            <w:pPr>
              <w:jc w:val="center"/>
              <w:rPr>
                <w:rFonts w:ascii="宋体" w:hAnsi="宋体"/>
                <w:szCs w:val="21"/>
              </w:rPr>
            </w:pPr>
            <w:r>
              <w:rPr>
                <w:rFonts w:hint="eastAsia" w:ascii="宋体" w:hAnsi="宋体"/>
                <w:szCs w:val="21"/>
              </w:rPr>
              <w:t>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Zn</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1.0</w:t>
            </w:r>
          </w:p>
        </w:tc>
        <w:tc>
          <w:tcPr>
            <w:tcW w:w="1386" w:type="dxa"/>
          </w:tcPr>
          <w:p>
            <w:pPr>
              <w:jc w:val="center"/>
              <w:rPr>
                <w:rFonts w:ascii="宋体" w:hAnsi="宋体"/>
                <w:szCs w:val="21"/>
              </w:rPr>
            </w:pPr>
            <w:r>
              <w:rPr>
                <w:rFonts w:hint="eastAsia" w:ascii="宋体" w:hAnsi="宋体"/>
                <w:szCs w:val="21"/>
              </w:rPr>
              <w:t>ZnSO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1000</w:t>
            </w:r>
          </w:p>
        </w:tc>
        <w:tc>
          <w:tcPr>
            <w:tcW w:w="1265" w:type="dxa"/>
          </w:tcPr>
          <w:p>
            <w:pPr>
              <w:jc w:val="center"/>
              <w:rPr>
                <w:rFonts w:ascii="宋体" w:hAnsi="宋体"/>
                <w:szCs w:val="21"/>
              </w:rPr>
            </w:pPr>
            <w:r>
              <w:rPr>
                <w:rFonts w:hint="eastAsia" w:ascii="宋体" w:hAnsi="宋体"/>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Ni</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6.5</w:t>
            </w:r>
          </w:p>
        </w:tc>
        <w:tc>
          <w:tcPr>
            <w:tcW w:w="1386" w:type="dxa"/>
          </w:tcPr>
          <w:p>
            <w:pPr>
              <w:jc w:val="center"/>
              <w:rPr>
                <w:rFonts w:ascii="宋体" w:hAnsi="宋体"/>
                <w:szCs w:val="21"/>
              </w:rPr>
            </w:pPr>
            <w:r>
              <w:rPr>
                <w:rFonts w:hint="eastAsia" w:ascii="宋体" w:hAnsi="宋体"/>
                <w:szCs w:val="21"/>
              </w:rPr>
              <w:t>NiSO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992</w:t>
            </w:r>
          </w:p>
        </w:tc>
        <w:tc>
          <w:tcPr>
            <w:tcW w:w="1265" w:type="dxa"/>
          </w:tcPr>
          <w:p>
            <w:pPr>
              <w:jc w:val="center"/>
              <w:rPr>
                <w:rFonts w:ascii="宋体" w:hAnsi="宋体"/>
                <w:szCs w:val="21"/>
              </w:rPr>
            </w:pPr>
            <w:r>
              <w:rPr>
                <w:rFonts w:hint="eastAsia" w:ascii="宋体" w:hAnsi="宋体"/>
                <w:szCs w:val="21"/>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Cd</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2.5</w:t>
            </w:r>
          </w:p>
        </w:tc>
        <w:tc>
          <w:tcPr>
            <w:tcW w:w="1386" w:type="dxa"/>
          </w:tcPr>
          <w:p>
            <w:pPr>
              <w:jc w:val="center"/>
              <w:rPr>
                <w:rFonts w:ascii="宋体" w:hAnsi="宋体"/>
                <w:szCs w:val="21"/>
              </w:rPr>
            </w:pPr>
            <w:r>
              <w:rPr>
                <w:rFonts w:hint="eastAsia" w:ascii="宋体" w:hAnsi="宋体"/>
                <w:szCs w:val="21"/>
              </w:rPr>
              <w:t>CdSO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995</w:t>
            </w:r>
          </w:p>
        </w:tc>
        <w:tc>
          <w:tcPr>
            <w:tcW w:w="1265" w:type="dxa"/>
          </w:tcPr>
          <w:p>
            <w:pPr>
              <w:jc w:val="center"/>
              <w:rPr>
                <w:rFonts w:ascii="宋体" w:hAnsi="宋体"/>
                <w:szCs w:val="21"/>
              </w:rPr>
            </w:pPr>
            <w:r>
              <w:rPr>
                <w:rFonts w:hint="eastAsia" w:ascii="宋体" w:hAnsi="宋体"/>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Zr</w:t>
            </w:r>
            <w:r>
              <w:rPr>
                <w:rFonts w:hint="eastAsia" w:ascii="宋体" w:hAnsi="宋体"/>
                <w:szCs w:val="21"/>
                <w:vertAlign w:val="superscript"/>
              </w:rPr>
              <w:t>4+</w:t>
            </w:r>
          </w:p>
        </w:tc>
        <w:tc>
          <w:tcPr>
            <w:tcW w:w="2537" w:type="dxa"/>
          </w:tcPr>
          <w:p>
            <w:pPr>
              <w:jc w:val="center"/>
              <w:rPr>
                <w:rFonts w:ascii="宋体" w:hAnsi="宋体"/>
                <w:szCs w:val="21"/>
              </w:rPr>
            </w:pPr>
            <w:r>
              <w:rPr>
                <w:rFonts w:hint="eastAsia" w:ascii="宋体" w:hAnsi="宋体"/>
                <w:szCs w:val="21"/>
              </w:rPr>
              <w:t>25</w:t>
            </w:r>
          </w:p>
        </w:tc>
        <w:tc>
          <w:tcPr>
            <w:tcW w:w="1386" w:type="dxa"/>
          </w:tcPr>
          <w:p>
            <w:pPr>
              <w:jc w:val="center"/>
              <w:rPr>
                <w:rFonts w:ascii="宋体" w:hAnsi="宋体"/>
                <w:szCs w:val="21"/>
              </w:rPr>
            </w:pPr>
            <w:r>
              <w:rPr>
                <w:rFonts w:hint="eastAsia" w:ascii="宋体" w:hAnsi="宋体"/>
                <w:szCs w:val="21"/>
              </w:rPr>
              <w:t>ZrOCl</w:t>
            </w:r>
            <w:r>
              <w:rPr>
                <w:rFonts w:hint="eastAsia" w:ascii="宋体" w:hAnsi="宋体"/>
                <w:szCs w:val="21"/>
                <w:vertAlign w:val="subscript"/>
              </w:rPr>
              <w:t>2</w:t>
            </w:r>
          </w:p>
        </w:tc>
        <w:tc>
          <w:tcPr>
            <w:tcW w:w="1791" w:type="dxa"/>
          </w:tcPr>
          <w:p>
            <w:pPr>
              <w:jc w:val="center"/>
              <w:rPr>
                <w:rFonts w:ascii="宋体" w:hAnsi="宋体"/>
                <w:szCs w:val="21"/>
              </w:rPr>
            </w:pPr>
            <w:r>
              <w:rPr>
                <w:rFonts w:hint="eastAsia" w:ascii="宋体" w:hAnsi="宋体"/>
                <w:szCs w:val="21"/>
              </w:rPr>
              <w:t>990</w:t>
            </w:r>
          </w:p>
        </w:tc>
        <w:tc>
          <w:tcPr>
            <w:tcW w:w="1265" w:type="dxa"/>
          </w:tcPr>
          <w:p>
            <w:pPr>
              <w:jc w:val="center"/>
              <w:rPr>
                <w:rFonts w:ascii="宋体" w:hAnsi="宋体"/>
                <w:szCs w:val="21"/>
              </w:rPr>
            </w:pPr>
            <w:r>
              <w:rPr>
                <w:rFonts w:hint="eastAsia" w:ascii="宋体" w:hAnsi="宋体"/>
                <w:szCs w:val="21"/>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V</w:t>
            </w:r>
            <w:r>
              <w:rPr>
                <w:rFonts w:hint="eastAsia" w:ascii="宋体" w:hAnsi="宋体"/>
                <w:szCs w:val="21"/>
                <w:vertAlign w:val="superscript"/>
              </w:rPr>
              <w:t>5+</w:t>
            </w:r>
          </w:p>
        </w:tc>
        <w:tc>
          <w:tcPr>
            <w:tcW w:w="2537" w:type="dxa"/>
          </w:tcPr>
          <w:p>
            <w:pPr>
              <w:jc w:val="center"/>
              <w:rPr>
                <w:rFonts w:ascii="宋体" w:hAnsi="宋体"/>
                <w:szCs w:val="21"/>
              </w:rPr>
            </w:pPr>
            <w:r>
              <w:rPr>
                <w:rFonts w:hint="eastAsia" w:ascii="宋体" w:hAnsi="宋体"/>
                <w:szCs w:val="21"/>
              </w:rPr>
              <w:t>50</w:t>
            </w:r>
          </w:p>
        </w:tc>
        <w:tc>
          <w:tcPr>
            <w:tcW w:w="1386" w:type="dxa"/>
          </w:tcPr>
          <w:p>
            <w:pPr>
              <w:jc w:val="center"/>
              <w:rPr>
                <w:rFonts w:ascii="宋体" w:hAnsi="宋体"/>
                <w:szCs w:val="21"/>
              </w:rPr>
            </w:pPr>
            <w:r>
              <w:rPr>
                <w:rFonts w:hint="eastAsia" w:ascii="宋体" w:hAnsi="宋体"/>
                <w:szCs w:val="21"/>
              </w:rPr>
              <w:t>NH</w:t>
            </w:r>
            <w:r>
              <w:rPr>
                <w:rFonts w:hint="eastAsia" w:ascii="宋体" w:hAnsi="宋体"/>
                <w:szCs w:val="21"/>
                <w:vertAlign w:val="subscript"/>
              </w:rPr>
              <w:t>4</w:t>
            </w:r>
            <w:r>
              <w:rPr>
                <w:rFonts w:hint="eastAsia" w:ascii="宋体" w:hAnsi="宋体"/>
                <w:szCs w:val="21"/>
              </w:rPr>
              <w:t>VO</w:t>
            </w:r>
            <w:r>
              <w:rPr>
                <w:rFonts w:hint="eastAsia" w:ascii="宋体" w:hAnsi="宋体"/>
                <w:szCs w:val="21"/>
                <w:vertAlign w:val="subscript"/>
              </w:rPr>
              <w:t>3</w:t>
            </w:r>
          </w:p>
        </w:tc>
        <w:tc>
          <w:tcPr>
            <w:tcW w:w="1791" w:type="dxa"/>
          </w:tcPr>
          <w:p>
            <w:pPr>
              <w:jc w:val="center"/>
              <w:rPr>
                <w:rFonts w:ascii="宋体" w:hAnsi="宋体"/>
                <w:szCs w:val="21"/>
              </w:rPr>
            </w:pPr>
            <w:r>
              <w:rPr>
                <w:rFonts w:hint="eastAsia" w:ascii="宋体" w:hAnsi="宋体"/>
                <w:szCs w:val="21"/>
              </w:rPr>
              <w:t>990</w:t>
            </w:r>
          </w:p>
        </w:tc>
        <w:tc>
          <w:tcPr>
            <w:tcW w:w="1265" w:type="dxa"/>
          </w:tcPr>
          <w:p>
            <w:pPr>
              <w:jc w:val="center"/>
              <w:rPr>
                <w:rFonts w:ascii="宋体" w:hAnsi="宋体"/>
                <w:szCs w:val="21"/>
              </w:rPr>
            </w:pPr>
            <w:r>
              <w:rPr>
                <w:rFonts w:hint="eastAsia" w:ascii="宋体" w:hAnsi="宋体"/>
                <w:szCs w:val="21"/>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Cr</w:t>
            </w:r>
            <w:r>
              <w:rPr>
                <w:rFonts w:hint="eastAsia" w:ascii="宋体" w:hAnsi="宋体"/>
                <w:szCs w:val="21"/>
                <w:vertAlign w:val="superscript"/>
              </w:rPr>
              <w:t>6+</w:t>
            </w:r>
          </w:p>
        </w:tc>
        <w:tc>
          <w:tcPr>
            <w:tcW w:w="2537" w:type="dxa"/>
          </w:tcPr>
          <w:p>
            <w:pPr>
              <w:jc w:val="center"/>
              <w:rPr>
                <w:rFonts w:ascii="宋体" w:hAnsi="宋体"/>
                <w:szCs w:val="21"/>
              </w:rPr>
            </w:pPr>
            <w:r>
              <w:rPr>
                <w:rFonts w:hint="eastAsia" w:ascii="宋体" w:hAnsi="宋体"/>
                <w:szCs w:val="21"/>
              </w:rPr>
              <w:t>110</w:t>
            </w:r>
          </w:p>
        </w:tc>
        <w:tc>
          <w:tcPr>
            <w:tcW w:w="1386" w:type="dxa"/>
          </w:tcPr>
          <w:p>
            <w:pPr>
              <w:jc w:val="center"/>
              <w:rPr>
                <w:rFonts w:ascii="宋体" w:hAnsi="宋体"/>
                <w:szCs w:val="21"/>
              </w:rPr>
            </w:pPr>
            <w:r>
              <w:rPr>
                <w:rFonts w:hint="eastAsia" w:ascii="宋体" w:hAnsi="宋体"/>
                <w:szCs w:val="21"/>
              </w:rPr>
              <w:t>K</w:t>
            </w:r>
            <w:r>
              <w:rPr>
                <w:rFonts w:hint="eastAsia" w:ascii="宋体" w:hAnsi="宋体"/>
                <w:szCs w:val="21"/>
                <w:vertAlign w:val="subscript"/>
              </w:rPr>
              <w:t>2</w:t>
            </w:r>
            <w:r>
              <w:rPr>
                <w:rFonts w:hint="eastAsia" w:ascii="宋体" w:hAnsi="宋体"/>
                <w:szCs w:val="21"/>
              </w:rPr>
              <w:t>Cr</w:t>
            </w:r>
            <w:r>
              <w:rPr>
                <w:rFonts w:hint="eastAsia" w:ascii="宋体" w:hAnsi="宋体"/>
                <w:szCs w:val="21"/>
                <w:vertAlign w:val="subscript"/>
              </w:rPr>
              <w:t>2</w:t>
            </w:r>
            <w:r>
              <w:rPr>
                <w:rFonts w:hint="eastAsia" w:ascii="宋体" w:hAnsi="宋体"/>
                <w:szCs w:val="21"/>
              </w:rPr>
              <w:t>O</w:t>
            </w:r>
            <w:r>
              <w:rPr>
                <w:rFonts w:hint="eastAsia" w:ascii="宋体" w:hAnsi="宋体"/>
                <w:szCs w:val="21"/>
                <w:vertAlign w:val="subscript"/>
              </w:rPr>
              <w:t>7</w:t>
            </w:r>
          </w:p>
        </w:tc>
        <w:tc>
          <w:tcPr>
            <w:tcW w:w="1791" w:type="dxa"/>
          </w:tcPr>
          <w:p>
            <w:pPr>
              <w:jc w:val="center"/>
              <w:rPr>
                <w:rFonts w:ascii="宋体" w:hAnsi="宋体"/>
                <w:szCs w:val="21"/>
              </w:rPr>
            </w:pPr>
            <w:r>
              <w:rPr>
                <w:rFonts w:hint="eastAsia" w:ascii="宋体" w:hAnsi="宋体"/>
                <w:szCs w:val="21"/>
              </w:rPr>
              <w:t>995</w:t>
            </w:r>
          </w:p>
        </w:tc>
        <w:tc>
          <w:tcPr>
            <w:tcW w:w="1265" w:type="dxa"/>
          </w:tcPr>
          <w:p>
            <w:pPr>
              <w:jc w:val="center"/>
              <w:rPr>
                <w:rFonts w:ascii="宋体" w:hAnsi="宋体"/>
                <w:szCs w:val="21"/>
              </w:rPr>
            </w:pPr>
            <w:r>
              <w:rPr>
                <w:rFonts w:hint="eastAsia" w:ascii="宋体" w:hAnsi="宋体"/>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Ti</w:t>
            </w:r>
            <w:r>
              <w:rPr>
                <w:rFonts w:hint="eastAsia" w:ascii="宋体" w:hAnsi="宋体"/>
                <w:szCs w:val="21"/>
                <w:vertAlign w:val="superscript"/>
              </w:rPr>
              <w:t>4+</w:t>
            </w:r>
          </w:p>
        </w:tc>
        <w:tc>
          <w:tcPr>
            <w:tcW w:w="2537" w:type="dxa"/>
          </w:tcPr>
          <w:p>
            <w:pPr>
              <w:jc w:val="center"/>
              <w:rPr>
                <w:rFonts w:ascii="宋体" w:hAnsi="宋体"/>
                <w:szCs w:val="21"/>
              </w:rPr>
            </w:pPr>
            <w:r>
              <w:rPr>
                <w:rFonts w:hint="eastAsia" w:ascii="宋体" w:hAnsi="宋体"/>
                <w:szCs w:val="21"/>
              </w:rPr>
              <w:t>50</w:t>
            </w:r>
          </w:p>
        </w:tc>
        <w:tc>
          <w:tcPr>
            <w:tcW w:w="1386" w:type="dxa"/>
          </w:tcPr>
          <w:p>
            <w:pPr>
              <w:jc w:val="center"/>
              <w:rPr>
                <w:rFonts w:ascii="宋体" w:hAnsi="宋体"/>
                <w:szCs w:val="21"/>
              </w:rPr>
            </w:pPr>
            <w:r>
              <w:rPr>
                <w:rFonts w:hint="eastAsia" w:ascii="宋体" w:hAnsi="宋体"/>
                <w:szCs w:val="21"/>
              </w:rPr>
              <w:t>TiOSO</w:t>
            </w:r>
            <w:r>
              <w:rPr>
                <w:rFonts w:hint="eastAsia" w:ascii="宋体" w:hAnsi="宋体"/>
                <w:szCs w:val="21"/>
                <w:vertAlign w:val="subscript"/>
              </w:rPr>
              <w:t>4</w:t>
            </w:r>
          </w:p>
        </w:tc>
        <w:tc>
          <w:tcPr>
            <w:tcW w:w="1791" w:type="dxa"/>
          </w:tcPr>
          <w:p>
            <w:pPr>
              <w:jc w:val="center"/>
              <w:rPr>
                <w:rFonts w:ascii="宋体" w:hAnsi="宋体"/>
                <w:szCs w:val="21"/>
              </w:rPr>
            </w:pPr>
            <w:r>
              <w:rPr>
                <w:rFonts w:hint="eastAsia" w:ascii="宋体" w:hAnsi="宋体"/>
                <w:szCs w:val="21"/>
              </w:rPr>
              <w:t>995</w:t>
            </w:r>
          </w:p>
        </w:tc>
        <w:tc>
          <w:tcPr>
            <w:tcW w:w="1265" w:type="dxa"/>
          </w:tcPr>
          <w:p>
            <w:pPr>
              <w:jc w:val="center"/>
              <w:rPr>
                <w:rFonts w:ascii="宋体" w:hAnsi="宋体"/>
                <w:szCs w:val="21"/>
              </w:rPr>
            </w:pPr>
            <w:r>
              <w:rPr>
                <w:rFonts w:hint="eastAsia" w:ascii="宋体" w:hAnsi="宋体"/>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Ca</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55</w:t>
            </w:r>
          </w:p>
        </w:tc>
        <w:tc>
          <w:tcPr>
            <w:tcW w:w="1386" w:type="dxa"/>
          </w:tcPr>
          <w:p>
            <w:pPr>
              <w:jc w:val="center"/>
              <w:rPr>
                <w:rFonts w:ascii="宋体" w:hAnsi="宋体"/>
                <w:szCs w:val="21"/>
              </w:rPr>
            </w:pPr>
            <w:r>
              <w:rPr>
                <w:rFonts w:hint="eastAsia" w:ascii="宋体" w:hAnsi="宋体"/>
                <w:szCs w:val="21"/>
              </w:rPr>
              <w:t>CaCl</w:t>
            </w:r>
            <w:r>
              <w:rPr>
                <w:rFonts w:hint="eastAsia" w:ascii="宋体" w:hAnsi="宋体"/>
                <w:szCs w:val="21"/>
                <w:vertAlign w:val="subscript"/>
              </w:rPr>
              <w:t>2</w:t>
            </w:r>
          </w:p>
        </w:tc>
        <w:tc>
          <w:tcPr>
            <w:tcW w:w="1791" w:type="dxa"/>
          </w:tcPr>
          <w:p>
            <w:pPr>
              <w:jc w:val="center"/>
              <w:rPr>
                <w:rFonts w:ascii="宋体" w:hAnsi="宋体"/>
                <w:szCs w:val="21"/>
              </w:rPr>
            </w:pPr>
            <w:r>
              <w:rPr>
                <w:rFonts w:hint="eastAsia" w:ascii="宋体" w:hAnsi="宋体"/>
                <w:szCs w:val="21"/>
              </w:rPr>
              <w:t>1000</w:t>
            </w:r>
          </w:p>
        </w:tc>
        <w:tc>
          <w:tcPr>
            <w:tcW w:w="1265" w:type="dxa"/>
          </w:tcPr>
          <w:p>
            <w:pPr>
              <w:jc w:val="center"/>
              <w:rPr>
                <w:rFonts w:ascii="宋体" w:hAnsi="宋体"/>
                <w:szCs w:val="21"/>
              </w:rPr>
            </w:pPr>
            <w:r>
              <w:rPr>
                <w:rFonts w:hint="eastAsia" w:ascii="宋体" w:hAnsi="宋体"/>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Sr</w:t>
            </w:r>
            <w:r>
              <w:rPr>
                <w:rFonts w:hint="eastAsia" w:ascii="宋体" w:hAnsi="宋体"/>
                <w:szCs w:val="21"/>
                <w:vertAlign w:val="superscript"/>
              </w:rPr>
              <w:t>2+</w:t>
            </w:r>
          </w:p>
        </w:tc>
        <w:tc>
          <w:tcPr>
            <w:tcW w:w="2537" w:type="dxa"/>
          </w:tcPr>
          <w:p>
            <w:pPr>
              <w:jc w:val="center"/>
              <w:rPr>
                <w:rFonts w:ascii="宋体" w:hAnsi="宋体"/>
                <w:szCs w:val="21"/>
              </w:rPr>
            </w:pPr>
            <w:r>
              <w:rPr>
                <w:rFonts w:hint="eastAsia" w:ascii="宋体" w:hAnsi="宋体"/>
                <w:szCs w:val="21"/>
              </w:rPr>
              <w:t>10</w:t>
            </w:r>
          </w:p>
        </w:tc>
        <w:tc>
          <w:tcPr>
            <w:tcW w:w="1386" w:type="dxa"/>
          </w:tcPr>
          <w:p>
            <w:pPr>
              <w:jc w:val="center"/>
              <w:rPr>
                <w:rFonts w:ascii="宋体" w:hAnsi="宋体"/>
                <w:szCs w:val="21"/>
              </w:rPr>
            </w:pPr>
            <w:r>
              <w:rPr>
                <w:rFonts w:hint="eastAsia" w:ascii="宋体" w:hAnsi="宋体"/>
                <w:szCs w:val="21"/>
              </w:rPr>
              <w:t>SrCl</w:t>
            </w:r>
            <w:r>
              <w:rPr>
                <w:rFonts w:hint="eastAsia" w:ascii="宋体" w:hAnsi="宋体"/>
                <w:szCs w:val="21"/>
                <w:vertAlign w:val="subscript"/>
              </w:rPr>
              <w:t>2</w:t>
            </w:r>
          </w:p>
        </w:tc>
        <w:tc>
          <w:tcPr>
            <w:tcW w:w="1791" w:type="dxa"/>
          </w:tcPr>
          <w:p>
            <w:pPr>
              <w:jc w:val="center"/>
              <w:rPr>
                <w:rFonts w:ascii="宋体" w:hAnsi="宋体"/>
                <w:szCs w:val="21"/>
              </w:rPr>
            </w:pPr>
            <w:r>
              <w:rPr>
                <w:rFonts w:hint="eastAsia" w:ascii="宋体" w:hAnsi="宋体"/>
                <w:szCs w:val="21"/>
              </w:rPr>
              <w:t>1000.0</w:t>
            </w:r>
          </w:p>
        </w:tc>
        <w:tc>
          <w:tcPr>
            <w:tcW w:w="1265" w:type="dxa"/>
          </w:tcPr>
          <w:p>
            <w:pPr>
              <w:jc w:val="center"/>
              <w:rPr>
                <w:rFonts w:ascii="宋体" w:hAnsi="宋体"/>
                <w:szCs w:val="21"/>
              </w:rPr>
            </w:pPr>
            <w:r>
              <w:rPr>
                <w:rFonts w:hint="eastAsia" w:ascii="宋体" w:hAnsi="宋体"/>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6" w:type="dxa"/>
          </w:tcPr>
          <w:p>
            <w:pPr>
              <w:jc w:val="center"/>
              <w:rPr>
                <w:rFonts w:ascii="宋体" w:hAnsi="宋体"/>
                <w:szCs w:val="21"/>
              </w:rPr>
            </w:pPr>
            <w:r>
              <w:rPr>
                <w:rFonts w:hint="eastAsia" w:ascii="宋体" w:hAnsi="宋体"/>
                <w:szCs w:val="21"/>
              </w:rPr>
              <w:t>H</w:t>
            </w:r>
            <w:r>
              <w:rPr>
                <w:rFonts w:hint="eastAsia" w:ascii="宋体" w:hAnsi="宋体"/>
                <w:szCs w:val="21"/>
                <w:vertAlign w:val="subscript"/>
              </w:rPr>
              <w:t>2</w:t>
            </w:r>
            <w:r>
              <w:rPr>
                <w:rFonts w:hint="eastAsia" w:ascii="宋体" w:hAnsi="宋体"/>
                <w:szCs w:val="21"/>
              </w:rPr>
              <w:t>O</w:t>
            </w:r>
            <w:r>
              <w:rPr>
                <w:rFonts w:hint="eastAsia" w:ascii="宋体" w:hAnsi="宋体"/>
                <w:szCs w:val="21"/>
                <w:vertAlign w:val="subscript"/>
              </w:rPr>
              <w:t>2</w:t>
            </w:r>
          </w:p>
        </w:tc>
        <w:tc>
          <w:tcPr>
            <w:tcW w:w="2537" w:type="dxa"/>
          </w:tcPr>
          <w:p>
            <w:pPr>
              <w:jc w:val="center"/>
              <w:rPr>
                <w:rFonts w:ascii="宋体" w:hAnsi="宋体"/>
                <w:szCs w:val="21"/>
              </w:rPr>
            </w:pPr>
            <w:r>
              <w:rPr>
                <w:rFonts w:hint="eastAsia" w:ascii="宋体" w:hAnsi="宋体"/>
                <w:szCs w:val="21"/>
              </w:rPr>
              <w:t>1.0mL</w:t>
            </w:r>
          </w:p>
        </w:tc>
        <w:tc>
          <w:tcPr>
            <w:tcW w:w="1386" w:type="dxa"/>
          </w:tcPr>
          <w:p>
            <w:pPr>
              <w:jc w:val="center"/>
              <w:rPr>
                <w:rFonts w:ascii="宋体" w:hAnsi="宋体"/>
                <w:szCs w:val="21"/>
              </w:rPr>
            </w:pPr>
            <w:r>
              <w:rPr>
                <w:rFonts w:hint="eastAsia" w:ascii="宋体" w:hAnsi="宋体"/>
                <w:szCs w:val="21"/>
              </w:rPr>
              <w:t>H</w:t>
            </w:r>
            <w:r>
              <w:rPr>
                <w:rFonts w:hint="eastAsia" w:ascii="宋体" w:hAnsi="宋体"/>
                <w:szCs w:val="21"/>
                <w:vertAlign w:val="subscript"/>
              </w:rPr>
              <w:t>2</w:t>
            </w:r>
            <w:r>
              <w:rPr>
                <w:rFonts w:hint="eastAsia" w:ascii="宋体" w:hAnsi="宋体"/>
                <w:szCs w:val="21"/>
              </w:rPr>
              <w:t>O</w:t>
            </w:r>
            <w:r>
              <w:rPr>
                <w:rFonts w:hint="eastAsia" w:ascii="宋体" w:hAnsi="宋体"/>
                <w:szCs w:val="21"/>
                <w:vertAlign w:val="subscript"/>
              </w:rPr>
              <w:t>2</w:t>
            </w:r>
          </w:p>
        </w:tc>
        <w:tc>
          <w:tcPr>
            <w:tcW w:w="1791" w:type="dxa"/>
          </w:tcPr>
          <w:p>
            <w:pPr>
              <w:jc w:val="center"/>
              <w:rPr>
                <w:rFonts w:ascii="宋体" w:hAnsi="宋体"/>
                <w:szCs w:val="21"/>
              </w:rPr>
            </w:pPr>
            <w:r>
              <w:rPr>
                <w:rFonts w:hint="eastAsia" w:ascii="宋体" w:hAnsi="宋体"/>
                <w:szCs w:val="21"/>
              </w:rPr>
              <w:t>1000</w:t>
            </w:r>
          </w:p>
        </w:tc>
        <w:tc>
          <w:tcPr>
            <w:tcW w:w="1265" w:type="dxa"/>
          </w:tcPr>
          <w:p>
            <w:pPr>
              <w:jc w:val="center"/>
              <w:rPr>
                <w:rFonts w:ascii="宋体" w:hAnsi="宋体"/>
                <w:szCs w:val="21"/>
              </w:rPr>
            </w:pPr>
            <w:r>
              <w:rPr>
                <w:rFonts w:hint="eastAsia" w:ascii="宋体" w:hAnsi="宋体"/>
                <w:szCs w:val="21"/>
              </w:rPr>
              <w:t>100.0</w:t>
            </w:r>
          </w:p>
        </w:tc>
      </w:tr>
    </w:tbl>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由表3可以看出：试液中10mg硅，225mg铁，110mg铬，55mg钙，50mg锰、钒、钛，37.5mg铜，25mg锆，10mg锶，6.5mg镍，2.5mg镉，1.6mg镁，1.0mg锌，1mL过氧化氢（以上非最大量），对1000μg硼的测定无干扰。</w:t>
      </w:r>
    </w:p>
    <w:p>
      <w:pPr>
        <w:spacing w:line="360" w:lineRule="auto"/>
        <w:ind w:firstLine="420" w:firstLineChars="200"/>
        <w:rPr>
          <w:rFonts w:ascii="宋体" w:hAnsi="宋体"/>
          <w:szCs w:val="21"/>
        </w:rPr>
      </w:pPr>
      <w:r>
        <w:rPr>
          <w:rFonts w:hint="eastAsia" w:ascii="宋体" w:hAnsi="宋体"/>
          <w:szCs w:val="21"/>
        </w:rPr>
        <w:t>大量铁、铜、锰等共存时，在用氢氧化钠调节试液酸度时容易出现沉淀，导致无法进行，严重干扰测定。在GB/T 20975.15-2008</w:t>
      </w:r>
      <w:r>
        <w:rPr>
          <w:rFonts w:hint="eastAsia" w:ascii="宋体" w:hAnsi="宋体"/>
          <w:bCs/>
          <w:color w:val="000000"/>
          <w:szCs w:val="21"/>
        </w:rPr>
        <w:t>《铝及铝合金化学分析方法 第15部分：硼含量的测定》中“</w:t>
      </w:r>
      <w:r>
        <w:rPr>
          <w:rFonts w:hint="eastAsia" w:ascii="宋体" w:hAnsi="宋体"/>
          <w:szCs w:val="21"/>
        </w:rPr>
        <w:t>方法一：离子选择电极法</w:t>
      </w:r>
      <w:r>
        <w:rPr>
          <w:rFonts w:hint="eastAsia" w:ascii="宋体" w:hAnsi="宋体"/>
          <w:bCs/>
          <w:color w:val="000000"/>
          <w:szCs w:val="21"/>
        </w:rPr>
        <w:t>”中采用加入EDTA的方法消除，EDTA与共存的大量</w:t>
      </w:r>
      <w:r>
        <w:rPr>
          <w:rFonts w:hint="eastAsia" w:ascii="宋体" w:hAnsi="宋体"/>
          <w:szCs w:val="21"/>
        </w:rPr>
        <w:t>铁、铜、锰等离子生产络合物，不再影响硼的测定。</w:t>
      </w:r>
    </w:p>
    <w:p>
      <w:pPr>
        <w:spacing w:line="360" w:lineRule="auto"/>
        <w:ind w:firstLine="420" w:firstLineChars="200"/>
        <w:rPr>
          <w:rFonts w:ascii="宋体" w:hAnsi="宋体"/>
          <w:szCs w:val="21"/>
        </w:rPr>
      </w:pPr>
      <w:r>
        <w:rPr>
          <w:rFonts w:hint="eastAsia" w:ascii="宋体" w:hAnsi="宋体"/>
          <w:szCs w:val="21"/>
        </w:rPr>
        <w:t>合金中共存的其他元素含量很低，基本都在微克量级，不干扰测定。</w:t>
      </w:r>
    </w:p>
    <w:p>
      <w:pPr>
        <w:spacing w:line="360" w:lineRule="auto"/>
        <w:ind w:firstLine="420" w:firstLineChars="200"/>
        <w:rPr>
          <w:rFonts w:ascii="宋体" w:hAnsi="宋体"/>
          <w:szCs w:val="21"/>
        </w:rPr>
      </w:pPr>
      <w:r>
        <w:rPr>
          <w:rFonts w:hint="eastAsia" w:ascii="宋体" w:hAnsi="宋体"/>
          <w:szCs w:val="21"/>
        </w:rPr>
        <w:t>氟硼酸根离子选择电极对硫酸根、氟离子、氯离子的抗干扰能力很强，选择系数K分别为：2.5×10</w:t>
      </w:r>
      <w:r>
        <w:rPr>
          <w:rFonts w:hint="eastAsia" w:ascii="宋体" w:hAnsi="宋体"/>
          <w:szCs w:val="21"/>
          <w:vertAlign w:val="superscript"/>
        </w:rPr>
        <w:t>-6</w:t>
      </w:r>
      <w:r>
        <w:rPr>
          <w:rFonts w:hint="eastAsia" w:ascii="宋体" w:hAnsi="宋体"/>
          <w:szCs w:val="21"/>
        </w:rPr>
        <w:t>、3×10</w:t>
      </w:r>
      <w:r>
        <w:rPr>
          <w:rFonts w:hint="eastAsia" w:ascii="宋体" w:hAnsi="宋体"/>
          <w:szCs w:val="21"/>
          <w:vertAlign w:val="superscript"/>
        </w:rPr>
        <w:t>-6</w:t>
      </w:r>
      <w:r>
        <w:rPr>
          <w:rFonts w:hint="eastAsia" w:ascii="宋体" w:hAnsi="宋体"/>
          <w:szCs w:val="21"/>
        </w:rPr>
        <w:t>、6×10</w:t>
      </w:r>
      <w:r>
        <w:rPr>
          <w:rFonts w:hint="eastAsia" w:ascii="宋体" w:hAnsi="宋体"/>
          <w:szCs w:val="21"/>
          <w:vertAlign w:val="superscript"/>
        </w:rPr>
        <w:t>-5</w:t>
      </w:r>
      <w:r>
        <w:rPr>
          <w:rFonts w:hint="eastAsia" w:ascii="宋体" w:hAnsi="宋体"/>
          <w:szCs w:val="21"/>
        </w:rPr>
        <w:t>，大量氟离子、硫酸根、氯离子不干扰硼的测定，磷酸对硼的测定也无影响。硝酸根、溴离子、碘离子、高氯酸根、硫氰酸根干扰较大，选择系数K分别是6.5×10</w:t>
      </w:r>
      <w:r>
        <w:rPr>
          <w:rFonts w:hint="eastAsia" w:ascii="宋体" w:hAnsi="宋体"/>
          <w:szCs w:val="21"/>
          <w:vertAlign w:val="superscript"/>
        </w:rPr>
        <w:t>-3</w:t>
      </w:r>
      <w:r>
        <w:rPr>
          <w:rFonts w:hint="eastAsia" w:ascii="宋体" w:hAnsi="宋体"/>
          <w:szCs w:val="21"/>
        </w:rPr>
        <w:t>、1×10</w:t>
      </w:r>
      <w:r>
        <w:rPr>
          <w:rFonts w:hint="eastAsia" w:ascii="宋体" w:hAnsi="宋体"/>
          <w:szCs w:val="21"/>
          <w:vertAlign w:val="superscript"/>
        </w:rPr>
        <w:t>-3</w:t>
      </w:r>
      <w:r>
        <w:rPr>
          <w:rFonts w:hint="eastAsia" w:ascii="宋体" w:hAnsi="宋体"/>
          <w:szCs w:val="21"/>
        </w:rPr>
        <w:t>、8×10</w:t>
      </w:r>
      <w:r>
        <w:rPr>
          <w:rFonts w:hint="eastAsia" w:ascii="宋体" w:hAnsi="宋体"/>
          <w:szCs w:val="21"/>
          <w:vertAlign w:val="superscript"/>
        </w:rPr>
        <w:t>-2</w:t>
      </w:r>
      <w:r>
        <w:rPr>
          <w:rFonts w:hint="eastAsia" w:ascii="宋体" w:hAnsi="宋体"/>
          <w:szCs w:val="21"/>
        </w:rPr>
        <w:t>、7.3、0.25，测定体系不含以上阴离子，可不考虑它们的影响。</w:t>
      </w:r>
    </w:p>
    <w:p>
      <w:pPr>
        <w:spacing w:line="360" w:lineRule="auto"/>
        <w:rPr>
          <w:rFonts w:ascii="黑体" w:hAnsi="黑体" w:eastAsia="黑体"/>
          <w:szCs w:val="21"/>
        </w:rPr>
      </w:pPr>
      <w:r>
        <w:rPr>
          <w:rFonts w:hint="eastAsia" w:ascii="黑体" w:hAnsi="黑体" w:eastAsia="黑体"/>
          <w:szCs w:val="21"/>
        </w:rPr>
        <w:t>1.2  混合酸溶样—离子选择电极法</w:t>
      </w:r>
    </w:p>
    <w:p>
      <w:pPr>
        <w:spacing w:line="360" w:lineRule="auto"/>
        <w:rPr>
          <w:rFonts w:ascii="宋体" w:hAnsi="宋体"/>
          <w:szCs w:val="21"/>
        </w:rPr>
      </w:pPr>
      <w:r>
        <w:rPr>
          <w:rFonts w:hint="eastAsia" w:ascii="宋体" w:hAnsi="宋体"/>
          <w:szCs w:val="21"/>
        </w:rPr>
        <w:t xml:space="preserve">   YS/T 807.6-2012作为新起草标准中“方法二：混合酸溶样—离子选择电极法”，硼的测定范围为5.0%～12.0%，方法仅仅用于AlB5、AlB8、AlB10等3个中间合金中硼含量的测定。三者含有共存元素较低，除硅、铁的量在数十微克外，其它共存元素都在微克量级，由1.1所做共存离子试验结果来看，共存离子均不干扰硼的测定。</w:t>
      </w:r>
    </w:p>
    <w:p>
      <w:pPr>
        <w:spacing w:line="360" w:lineRule="auto"/>
        <w:rPr>
          <w:rFonts w:ascii="黑体" w:hAnsi="宋体" w:eastAsia="黑体"/>
          <w:szCs w:val="21"/>
        </w:rPr>
      </w:pPr>
      <w:r>
        <w:rPr>
          <w:rFonts w:hint="eastAsia" w:ascii="黑体" w:hAnsi="宋体" w:eastAsia="黑体"/>
          <w:szCs w:val="21"/>
        </w:rPr>
        <w:t>2  样品分析</w:t>
      </w:r>
    </w:p>
    <w:p>
      <w:pPr>
        <w:spacing w:line="360" w:lineRule="auto"/>
        <w:rPr>
          <w:rFonts w:ascii="宋体" w:hAnsi="宋体"/>
          <w:szCs w:val="21"/>
        </w:rPr>
      </w:pPr>
      <w:r>
        <w:rPr>
          <w:rFonts w:hint="eastAsia" w:ascii="宋体" w:hAnsi="宋体"/>
          <w:szCs w:val="21"/>
        </w:rPr>
        <w:t>2.1  氢氟酸溶样—离子选择电极法</w:t>
      </w:r>
    </w:p>
    <w:p>
      <w:pPr>
        <w:spacing w:line="360" w:lineRule="auto"/>
        <w:ind w:firstLine="420"/>
        <w:rPr>
          <w:rFonts w:ascii="宋体" w:hAnsi="宋体"/>
          <w:szCs w:val="21"/>
        </w:rPr>
      </w:pPr>
      <w:r>
        <w:rPr>
          <w:rFonts w:hint="eastAsia" w:ascii="宋体" w:hAnsi="宋体"/>
          <w:szCs w:val="21"/>
        </w:rPr>
        <w:t>按照GB/T 20975.15-2008</w:t>
      </w:r>
      <w:r>
        <w:rPr>
          <w:rFonts w:hint="eastAsia" w:ascii="宋体" w:hAnsi="宋体"/>
          <w:bCs/>
          <w:color w:val="000000"/>
          <w:szCs w:val="21"/>
        </w:rPr>
        <w:t>《铝及铝合金化学分析方法 第15部分：硼含量的测定》中“</w:t>
      </w:r>
      <w:r>
        <w:rPr>
          <w:rFonts w:hint="eastAsia" w:ascii="宋体" w:hAnsi="宋体"/>
          <w:szCs w:val="21"/>
        </w:rPr>
        <w:t>方法一：离子选择电极法</w:t>
      </w:r>
      <w:r>
        <w:rPr>
          <w:rFonts w:hint="eastAsia" w:ascii="宋体" w:hAnsi="宋体"/>
          <w:bCs/>
          <w:color w:val="000000"/>
          <w:szCs w:val="21"/>
        </w:rPr>
        <w:t>”</w:t>
      </w:r>
      <w:r>
        <w:rPr>
          <w:rFonts w:hint="eastAsia" w:ascii="宋体" w:hAnsi="宋体"/>
          <w:szCs w:val="21"/>
        </w:rPr>
        <w:t>对不同含硼量的5个样品进行独立的11次分析，分析结果见表4。</w:t>
      </w:r>
    </w:p>
    <w:p>
      <w:pPr>
        <w:spacing w:line="360" w:lineRule="auto"/>
        <w:ind w:firstLine="420"/>
        <w:rPr>
          <w:rFonts w:ascii="宋体" w:hAnsi="宋体"/>
          <w:szCs w:val="21"/>
        </w:rPr>
      </w:pPr>
    </w:p>
    <w:p>
      <w:pPr>
        <w:spacing w:line="360" w:lineRule="auto"/>
        <w:ind w:firstLine="420"/>
        <w:rPr>
          <w:rFonts w:ascii="宋体" w:hAnsi="宋体"/>
          <w:szCs w:val="21"/>
        </w:rPr>
      </w:pPr>
    </w:p>
    <w:p>
      <w:pPr>
        <w:jc w:val="center"/>
        <w:rPr>
          <w:rFonts w:ascii="宋体" w:hAnsi="宋体"/>
          <w:szCs w:val="21"/>
        </w:rPr>
      </w:pPr>
      <w:r>
        <w:rPr>
          <w:rFonts w:hint="eastAsia" w:ascii="宋体" w:hAnsi="宋体"/>
          <w:szCs w:val="21"/>
        </w:rPr>
        <w:t>表4  样品分析及结果对照</w:t>
      </w:r>
    </w:p>
    <w:tbl>
      <w:tblPr>
        <w:tblStyle w:val="20"/>
        <w:tblW w:w="8389" w:type="dxa"/>
        <w:jc w:val="center"/>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126"/>
        <w:gridCol w:w="2976"/>
        <w:gridCol w:w="1134"/>
        <w:gridCol w:w="1134"/>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1" w:type="dxa"/>
            <w:vAlign w:val="center"/>
          </w:tcPr>
          <w:p>
            <w:pPr>
              <w:jc w:val="center"/>
              <w:rPr>
                <w:rFonts w:ascii="宋体" w:hAnsi="宋体"/>
                <w:szCs w:val="21"/>
              </w:rPr>
            </w:pPr>
            <w:r>
              <w:rPr>
                <w:rFonts w:hint="eastAsia" w:ascii="宋体" w:hAnsi="宋体"/>
                <w:szCs w:val="21"/>
              </w:rPr>
              <w:t>序号</w:t>
            </w:r>
          </w:p>
        </w:tc>
        <w:tc>
          <w:tcPr>
            <w:tcW w:w="1126" w:type="dxa"/>
            <w:vAlign w:val="center"/>
          </w:tcPr>
          <w:p>
            <w:pPr>
              <w:jc w:val="center"/>
              <w:rPr>
                <w:rFonts w:ascii="宋体" w:hAnsi="宋体"/>
                <w:szCs w:val="21"/>
              </w:rPr>
            </w:pPr>
            <w:r>
              <w:rPr>
                <w:rFonts w:hint="eastAsia" w:ascii="宋体" w:hAnsi="宋体"/>
                <w:szCs w:val="21"/>
              </w:rPr>
              <w:t>样品编号</w:t>
            </w:r>
          </w:p>
        </w:tc>
        <w:tc>
          <w:tcPr>
            <w:tcW w:w="2976" w:type="dxa"/>
            <w:vAlign w:val="center"/>
          </w:tcPr>
          <w:p>
            <w:pPr>
              <w:jc w:val="center"/>
              <w:rPr>
                <w:rFonts w:ascii="宋体" w:hAnsi="宋体"/>
                <w:szCs w:val="21"/>
              </w:rPr>
            </w:pPr>
            <w:r>
              <w:rPr>
                <w:rFonts w:hint="eastAsia" w:ascii="宋体" w:hAnsi="宋体"/>
                <w:szCs w:val="21"/>
              </w:rPr>
              <w:t xml:space="preserve">测定结果/% </w:t>
            </w:r>
          </w:p>
        </w:tc>
        <w:tc>
          <w:tcPr>
            <w:tcW w:w="1134" w:type="dxa"/>
            <w:vAlign w:val="center"/>
          </w:tcPr>
          <w:p>
            <w:pPr>
              <w:jc w:val="center"/>
              <w:rPr>
                <w:rFonts w:ascii="宋体" w:hAnsi="宋体"/>
                <w:szCs w:val="21"/>
              </w:rPr>
            </w:pPr>
            <w:r>
              <w:rPr>
                <w:rFonts w:hint="eastAsia" w:ascii="宋体" w:hAnsi="宋体"/>
                <w:szCs w:val="21"/>
              </w:rPr>
              <w:t>平均值/%</w:t>
            </w:r>
          </w:p>
        </w:tc>
        <w:tc>
          <w:tcPr>
            <w:tcW w:w="1134" w:type="dxa"/>
            <w:vAlign w:val="center"/>
          </w:tcPr>
          <w:p>
            <w:pPr>
              <w:jc w:val="center"/>
              <w:rPr>
                <w:rFonts w:ascii="宋体" w:hAnsi="宋体"/>
                <w:szCs w:val="21"/>
              </w:rPr>
            </w:pPr>
            <w:r>
              <w:rPr>
                <w:rFonts w:hint="eastAsia" w:ascii="宋体" w:hAnsi="宋体"/>
                <w:szCs w:val="21"/>
              </w:rPr>
              <w:t>SD</w:t>
            </w:r>
          </w:p>
        </w:tc>
        <w:tc>
          <w:tcPr>
            <w:tcW w:w="1268" w:type="dxa"/>
            <w:vAlign w:val="center"/>
          </w:tcPr>
          <w:p>
            <w:pPr>
              <w:jc w:val="center"/>
              <w:rPr>
                <w:rFonts w:ascii="宋体" w:hAnsi="宋体"/>
                <w:szCs w:val="21"/>
              </w:rPr>
            </w:pPr>
            <w:r>
              <w:rPr>
                <w:rFonts w:hint="eastAsia" w:ascii="宋体" w:hAnsi="宋体"/>
                <w:szCs w:val="21"/>
              </w:rPr>
              <w:t>ICP-AES</w:t>
            </w:r>
          </w:p>
          <w:p>
            <w:pPr>
              <w:jc w:val="center"/>
              <w:rPr>
                <w:rFonts w:ascii="宋体" w:hAnsi="宋体"/>
                <w:szCs w:val="21"/>
              </w:rPr>
            </w:pPr>
            <w:r>
              <w:rPr>
                <w:rFonts w:hint="eastAsia" w:ascii="宋体" w:hAnsi="宋体"/>
                <w:szCs w:val="21"/>
              </w:rPr>
              <w:t>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751" w:type="dxa"/>
            <w:vAlign w:val="center"/>
          </w:tcPr>
          <w:p>
            <w:pPr>
              <w:jc w:val="center"/>
              <w:rPr>
                <w:rFonts w:ascii="宋体" w:hAnsi="宋体"/>
                <w:szCs w:val="21"/>
              </w:rPr>
            </w:pPr>
            <w:r>
              <w:rPr>
                <w:rFonts w:hint="eastAsia" w:ascii="宋体" w:hAnsi="宋体"/>
                <w:szCs w:val="21"/>
              </w:rPr>
              <w:t>1</w:t>
            </w:r>
          </w:p>
        </w:tc>
        <w:tc>
          <w:tcPr>
            <w:tcW w:w="1126" w:type="dxa"/>
            <w:vAlign w:val="center"/>
          </w:tcPr>
          <w:p>
            <w:pPr>
              <w:jc w:val="center"/>
              <w:rPr>
                <w:rFonts w:ascii="宋体" w:hAnsi="宋体"/>
                <w:szCs w:val="21"/>
              </w:rPr>
            </w:pPr>
            <w:r>
              <w:rPr>
                <w:rFonts w:hint="eastAsia" w:ascii="宋体" w:hAnsi="宋体"/>
                <w:szCs w:val="21"/>
              </w:rPr>
              <w:t>4020</w:t>
            </w:r>
          </w:p>
        </w:tc>
        <w:tc>
          <w:tcPr>
            <w:tcW w:w="2976" w:type="dxa"/>
          </w:tcPr>
          <w:p>
            <w:pPr>
              <w:rPr>
                <w:rFonts w:ascii="宋体" w:hAnsi="宋体"/>
                <w:szCs w:val="21"/>
              </w:rPr>
            </w:pPr>
            <w:r>
              <w:rPr>
                <w:rFonts w:hint="eastAsia" w:ascii="宋体" w:hAnsi="宋体"/>
                <w:szCs w:val="21"/>
              </w:rPr>
              <w:t>0.00471、0.00492、0.00488、0.00498、0.00495、0.00486、0.00498、0.00498、0.00495、0.00465、0.00478</w:t>
            </w:r>
          </w:p>
        </w:tc>
        <w:tc>
          <w:tcPr>
            <w:tcW w:w="1134" w:type="dxa"/>
            <w:vAlign w:val="center"/>
          </w:tcPr>
          <w:p>
            <w:pPr>
              <w:jc w:val="center"/>
              <w:rPr>
                <w:rFonts w:ascii="宋体" w:hAnsi="宋体"/>
                <w:szCs w:val="21"/>
              </w:rPr>
            </w:pPr>
            <w:r>
              <w:rPr>
                <w:rFonts w:hint="eastAsia" w:ascii="宋体" w:hAnsi="宋体"/>
                <w:szCs w:val="21"/>
              </w:rPr>
              <w:t>0.00488</w:t>
            </w:r>
          </w:p>
        </w:tc>
        <w:tc>
          <w:tcPr>
            <w:tcW w:w="1134" w:type="dxa"/>
            <w:vAlign w:val="center"/>
          </w:tcPr>
          <w:p>
            <w:pPr>
              <w:jc w:val="center"/>
              <w:rPr>
                <w:rFonts w:ascii="宋体" w:hAnsi="宋体"/>
                <w:szCs w:val="21"/>
              </w:rPr>
            </w:pPr>
            <w:r>
              <w:rPr>
                <w:rFonts w:hint="eastAsia" w:ascii="宋体" w:hAnsi="宋体"/>
                <w:szCs w:val="21"/>
              </w:rPr>
              <w:t>0.00012</w:t>
            </w:r>
          </w:p>
        </w:tc>
        <w:tc>
          <w:tcPr>
            <w:tcW w:w="1268" w:type="dxa"/>
            <w:vAlign w:val="center"/>
          </w:tcPr>
          <w:p>
            <w:pPr>
              <w:jc w:val="left"/>
              <w:rPr>
                <w:rFonts w:ascii="宋体" w:hAnsi="宋体"/>
                <w:szCs w:val="21"/>
              </w:rPr>
            </w:pPr>
            <w:r>
              <w:rPr>
                <w:rFonts w:hint="eastAsia" w:ascii="宋体" w:hAnsi="宋体"/>
                <w:szCs w:val="21"/>
              </w:rPr>
              <w:t>0.00492、0.00485、0.00481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751" w:type="dxa"/>
            <w:vAlign w:val="center"/>
          </w:tcPr>
          <w:p>
            <w:pPr>
              <w:jc w:val="center"/>
              <w:rPr>
                <w:rFonts w:ascii="宋体" w:hAnsi="宋体"/>
                <w:szCs w:val="21"/>
              </w:rPr>
            </w:pPr>
            <w:r>
              <w:rPr>
                <w:rFonts w:hint="eastAsia" w:ascii="宋体" w:hAnsi="宋体"/>
                <w:szCs w:val="21"/>
              </w:rPr>
              <w:t>2</w:t>
            </w:r>
          </w:p>
        </w:tc>
        <w:tc>
          <w:tcPr>
            <w:tcW w:w="1126" w:type="dxa"/>
            <w:vAlign w:val="center"/>
          </w:tcPr>
          <w:p>
            <w:pPr>
              <w:jc w:val="center"/>
              <w:rPr>
                <w:rFonts w:ascii="宋体" w:hAnsi="宋体"/>
                <w:szCs w:val="21"/>
              </w:rPr>
            </w:pPr>
            <w:r>
              <w:rPr>
                <w:rFonts w:hint="eastAsia" w:ascii="宋体" w:hAnsi="宋体"/>
                <w:szCs w:val="21"/>
              </w:rPr>
              <w:t>211Z.1</w:t>
            </w:r>
          </w:p>
        </w:tc>
        <w:tc>
          <w:tcPr>
            <w:tcW w:w="2976" w:type="dxa"/>
          </w:tcPr>
          <w:p>
            <w:pPr>
              <w:rPr>
                <w:rFonts w:ascii="宋体" w:hAnsi="宋体"/>
                <w:szCs w:val="21"/>
              </w:rPr>
            </w:pPr>
            <w:r>
              <w:rPr>
                <w:rFonts w:hint="eastAsia" w:ascii="宋体" w:hAnsi="宋体"/>
                <w:szCs w:val="21"/>
              </w:rPr>
              <w:t>0.0185、0.0178、0.0182、0.0185、0.0188、0.0181、0.0170、0.0185、0.0189、0.0192、0.0178</w:t>
            </w:r>
          </w:p>
        </w:tc>
        <w:tc>
          <w:tcPr>
            <w:tcW w:w="1134" w:type="dxa"/>
            <w:vAlign w:val="center"/>
          </w:tcPr>
          <w:p>
            <w:pPr>
              <w:jc w:val="center"/>
              <w:rPr>
                <w:rFonts w:ascii="宋体" w:hAnsi="宋体"/>
                <w:szCs w:val="21"/>
              </w:rPr>
            </w:pPr>
            <w:r>
              <w:rPr>
                <w:rFonts w:hint="eastAsia" w:ascii="宋体" w:hAnsi="宋体"/>
                <w:szCs w:val="21"/>
              </w:rPr>
              <w:t>0.0183</w:t>
            </w:r>
          </w:p>
        </w:tc>
        <w:tc>
          <w:tcPr>
            <w:tcW w:w="1134" w:type="dxa"/>
            <w:vAlign w:val="center"/>
          </w:tcPr>
          <w:p>
            <w:pPr>
              <w:jc w:val="center"/>
              <w:rPr>
                <w:rFonts w:ascii="宋体" w:hAnsi="宋体"/>
                <w:szCs w:val="21"/>
              </w:rPr>
            </w:pPr>
            <w:r>
              <w:rPr>
                <w:rFonts w:hint="eastAsia" w:ascii="宋体" w:hAnsi="宋体"/>
                <w:szCs w:val="21"/>
              </w:rPr>
              <w:t>0.0006</w:t>
            </w:r>
          </w:p>
        </w:tc>
        <w:tc>
          <w:tcPr>
            <w:tcW w:w="1268" w:type="dxa"/>
            <w:vAlign w:val="center"/>
          </w:tcPr>
          <w:p>
            <w:pPr>
              <w:jc w:val="left"/>
              <w:rPr>
                <w:rFonts w:ascii="宋体" w:hAnsi="宋体"/>
                <w:szCs w:val="21"/>
              </w:rPr>
            </w:pPr>
            <w:r>
              <w:rPr>
                <w:rFonts w:hint="eastAsia" w:ascii="宋体" w:hAnsi="宋体"/>
                <w:szCs w:val="21"/>
              </w:rPr>
              <w:t>0.0181、0.0175、0.0184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751" w:type="dxa"/>
            <w:vAlign w:val="center"/>
          </w:tcPr>
          <w:p>
            <w:pPr>
              <w:jc w:val="center"/>
              <w:rPr>
                <w:rFonts w:ascii="宋体" w:hAnsi="宋体"/>
                <w:szCs w:val="21"/>
              </w:rPr>
            </w:pPr>
            <w:r>
              <w:rPr>
                <w:rFonts w:hint="eastAsia" w:ascii="宋体" w:hAnsi="宋体"/>
                <w:szCs w:val="21"/>
              </w:rPr>
              <w:t>3</w:t>
            </w:r>
          </w:p>
        </w:tc>
        <w:tc>
          <w:tcPr>
            <w:tcW w:w="1126" w:type="dxa"/>
            <w:vAlign w:val="center"/>
          </w:tcPr>
          <w:p>
            <w:pPr>
              <w:jc w:val="center"/>
              <w:rPr>
                <w:rFonts w:ascii="宋体" w:hAnsi="宋体"/>
                <w:szCs w:val="21"/>
              </w:rPr>
            </w:pPr>
            <w:r>
              <w:rPr>
                <w:rFonts w:hint="eastAsia" w:ascii="宋体" w:hAnsi="宋体"/>
                <w:szCs w:val="21"/>
              </w:rPr>
              <w:t>AlSr10Ti1B0.2</w:t>
            </w:r>
          </w:p>
        </w:tc>
        <w:tc>
          <w:tcPr>
            <w:tcW w:w="2976" w:type="dxa"/>
          </w:tcPr>
          <w:p>
            <w:pPr>
              <w:rPr>
                <w:rFonts w:ascii="宋体" w:hAnsi="宋体"/>
                <w:szCs w:val="21"/>
              </w:rPr>
            </w:pPr>
            <w:r>
              <w:rPr>
                <w:rFonts w:hint="eastAsia" w:ascii="宋体" w:hAnsi="宋体"/>
                <w:szCs w:val="21"/>
              </w:rPr>
              <w:t>0.168、0.174、0.174、0.176、0.168、0.165、0.174、0.174、0.168、0.175、0.175</w:t>
            </w:r>
          </w:p>
        </w:tc>
        <w:tc>
          <w:tcPr>
            <w:tcW w:w="1134" w:type="dxa"/>
            <w:vAlign w:val="center"/>
          </w:tcPr>
          <w:p>
            <w:pPr>
              <w:jc w:val="center"/>
              <w:rPr>
                <w:rFonts w:ascii="宋体" w:hAnsi="宋体"/>
                <w:szCs w:val="21"/>
              </w:rPr>
            </w:pPr>
            <w:r>
              <w:rPr>
                <w:rFonts w:hint="eastAsia" w:ascii="宋体" w:hAnsi="宋体"/>
                <w:szCs w:val="21"/>
              </w:rPr>
              <w:t>0.171</w:t>
            </w:r>
          </w:p>
        </w:tc>
        <w:tc>
          <w:tcPr>
            <w:tcW w:w="1134" w:type="dxa"/>
            <w:vAlign w:val="center"/>
          </w:tcPr>
          <w:p>
            <w:pPr>
              <w:jc w:val="center"/>
              <w:rPr>
                <w:rFonts w:ascii="宋体" w:hAnsi="宋体"/>
                <w:szCs w:val="21"/>
              </w:rPr>
            </w:pPr>
            <w:r>
              <w:rPr>
                <w:rFonts w:hint="eastAsia" w:ascii="宋体" w:hAnsi="宋体"/>
                <w:szCs w:val="21"/>
              </w:rPr>
              <w:t>0.0042</w:t>
            </w:r>
          </w:p>
        </w:tc>
        <w:tc>
          <w:tcPr>
            <w:tcW w:w="1268" w:type="dxa"/>
            <w:vAlign w:val="center"/>
          </w:tcPr>
          <w:p>
            <w:pPr>
              <w:jc w:val="left"/>
              <w:rPr>
                <w:rFonts w:ascii="宋体" w:hAnsi="宋体"/>
                <w:szCs w:val="21"/>
              </w:rPr>
            </w:pPr>
            <w:r>
              <w:rPr>
                <w:rFonts w:hint="eastAsia" w:ascii="宋体" w:hAnsi="宋体"/>
                <w:szCs w:val="21"/>
              </w:rPr>
              <w:t>0.170、0.174、0.167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751" w:type="dxa"/>
            <w:vAlign w:val="center"/>
          </w:tcPr>
          <w:p>
            <w:pPr>
              <w:jc w:val="center"/>
              <w:rPr>
                <w:rFonts w:ascii="宋体" w:hAnsi="宋体"/>
                <w:szCs w:val="21"/>
              </w:rPr>
            </w:pPr>
            <w:r>
              <w:rPr>
                <w:rFonts w:hint="eastAsia" w:ascii="宋体" w:hAnsi="宋体"/>
                <w:szCs w:val="21"/>
              </w:rPr>
              <w:t>4</w:t>
            </w:r>
          </w:p>
        </w:tc>
        <w:tc>
          <w:tcPr>
            <w:tcW w:w="1126" w:type="dxa"/>
            <w:vAlign w:val="center"/>
          </w:tcPr>
          <w:p>
            <w:pPr>
              <w:jc w:val="center"/>
              <w:rPr>
                <w:rFonts w:ascii="宋体" w:hAnsi="宋体"/>
                <w:szCs w:val="21"/>
              </w:rPr>
            </w:pPr>
            <w:r>
              <w:rPr>
                <w:rFonts w:hint="eastAsia" w:ascii="宋体" w:hAnsi="宋体"/>
                <w:szCs w:val="21"/>
              </w:rPr>
              <w:t>AlTi5B1</w:t>
            </w:r>
          </w:p>
        </w:tc>
        <w:tc>
          <w:tcPr>
            <w:tcW w:w="2976" w:type="dxa"/>
          </w:tcPr>
          <w:p>
            <w:pPr>
              <w:rPr>
                <w:rFonts w:ascii="宋体" w:hAnsi="宋体"/>
                <w:szCs w:val="21"/>
              </w:rPr>
            </w:pPr>
            <w:r>
              <w:rPr>
                <w:rFonts w:hint="eastAsia" w:ascii="宋体" w:hAnsi="宋体"/>
                <w:szCs w:val="21"/>
              </w:rPr>
              <w:t>1.145、1.148、1.165、1.166、1.148、1.150、1.145、1.160、1.160、1.150、1.160</w:t>
            </w:r>
          </w:p>
        </w:tc>
        <w:tc>
          <w:tcPr>
            <w:tcW w:w="1134" w:type="dxa"/>
            <w:vAlign w:val="center"/>
          </w:tcPr>
          <w:p>
            <w:pPr>
              <w:jc w:val="center"/>
              <w:rPr>
                <w:rFonts w:ascii="宋体" w:hAnsi="宋体"/>
                <w:szCs w:val="21"/>
              </w:rPr>
            </w:pPr>
            <w:r>
              <w:rPr>
                <w:rFonts w:hint="eastAsia" w:ascii="宋体" w:hAnsi="宋体"/>
                <w:szCs w:val="21"/>
              </w:rPr>
              <w:t>1.154</w:t>
            </w:r>
          </w:p>
        </w:tc>
        <w:tc>
          <w:tcPr>
            <w:tcW w:w="1134" w:type="dxa"/>
            <w:vAlign w:val="center"/>
          </w:tcPr>
          <w:p>
            <w:pPr>
              <w:jc w:val="center"/>
              <w:rPr>
                <w:rFonts w:ascii="宋体" w:hAnsi="宋体"/>
                <w:szCs w:val="21"/>
              </w:rPr>
            </w:pPr>
            <w:r>
              <w:rPr>
                <w:rFonts w:hint="eastAsia" w:ascii="宋体" w:hAnsi="宋体"/>
                <w:szCs w:val="21"/>
              </w:rPr>
              <w:t>0.0080</w:t>
            </w:r>
          </w:p>
        </w:tc>
        <w:tc>
          <w:tcPr>
            <w:tcW w:w="1268" w:type="dxa"/>
            <w:vAlign w:val="center"/>
          </w:tcPr>
          <w:p>
            <w:pPr>
              <w:jc w:val="left"/>
              <w:rPr>
                <w:rFonts w:ascii="宋体" w:hAnsi="宋体"/>
                <w:szCs w:val="21"/>
              </w:rPr>
            </w:pPr>
            <w:r>
              <w:rPr>
                <w:rFonts w:hint="eastAsia" w:ascii="宋体" w:hAnsi="宋体"/>
                <w:szCs w:val="21"/>
              </w:rPr>
              <w:t>1.152、1.148、1.160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751" w:type="dxa"/>
            <w:vAlign w:val="center"/>
          </w:tcPr>
          <w:p>
            <w:pPr>
              <w:jc w:val="center"/>
              <w:rPr>
                <w:rFonts w:ascii="宋体" w:hAnsi="宋体"/>
                <w:szCs w:val="21"/>
              </w:rPr>
            </w:pPr>
            <w:r>
              <w:rPr>
                <w:rFonts w:hint="eastAsia" w:ascii="宋体" w:hAnsi="宋体"/>
                <w:szCs w:val="21"/>
              </w:rPr>
              <w:t>5</w:t>
            </w:r>
          </w:p>
        </w:tc>
        <w:tc>
          <w:tcPr>
            <w:tcW w:w="1126" w:type="dxa"/>
            <w:vAlign w:val="center"/>
          </w:tcPr>
          <w:p>
            <w:pPr>
              <w:jc w:val="center"/>
              <w:rPr>
                <w:rFonts w:ascii="宋体" w:hAnsi="宋体"/>
                <w:szCs w:val="21"/>
              </w:rPr>
            </w:pPr>
            <w:r>
              <w:rPr>
                <w:rFonts w:hint="eastAsia" w:ascii="宋体" w:hAnsi="宋体"/>
                <w:szCs w:val="21"/>
              </w:rPr>
              <w:t>AlB3</w:t>
            </w:r>
          </w:p>
        </w:tc>
        <w:tc>
          <w:tcPr>
            <w:tcW w:w="2976" w:type="dxa"/>
          </w:tcPr>
          <w:p>
            <w:pPr>
              <w:rPr>
                <w:rFonts w:ascii="宋体" w:hAnsi="宋体"/>
                <w:szCs w:val="21"/>
              </w:rPr>
            </w:pPr>
            <w:r>
              <w:rPr>
                <w:rFonts w:hint="eastAsia" w:ascii="宋体" w:hAnsi="宋体"/>
                <w:szCs w:val="21"/>
              </w:rPr>
              <w:t>3.162、3.135、3.188、3.168、3.145、3.132、3.180、3.125、3.185、3.132、3.142</w:t>
            </w:r>
          </w:p>
        </w:tc>
        <w:tc>
          <w:tcPr>
            <w:tcW w:w="1134" w:type="dxa"/>
            <w:vAlign w:val="center"/>
          </w:tcPr>
          <w:p>
            <w:pPr>
              <w:jc w:val="center"/>
              <w:rPr>
                <w:rFonts w:ascii="宋体" w:hAnsi="宋体"/>
                <w:szCs w:val="21"/>
              </w:rPr>
            </w:pPr>
            <w:r>
              <w:rPr>
                <w:rFonts w:hint="eastAsia" w:ascii="宋体" w:hAnsi="宋体"/>
                <w:szCs w:val="21"/>
              </w:rPr>
              <w:t>3.154</w:t>
            </w:r>
          </w:p>
        </w:tc>
        <w:tc>
          <w:tcPr>
            <w:tcW w:w="1134" w:type="dxa"/>
            <w:vAlign w:val="center"/>
          </w:tcPr>
          <w:p>
            <w:pPr>
              <w:jc w:val="center"/>
              <w:rPr>
                <w:rFonts w:ascii="宋体" w:hAnsi="宋体"/>
                <w:szCs w:val="21"/>
              </w:rPr>
            </w:pPr>
            <w:r>
              <w:rPr>
                <w:rFonts w:hint="eastAsia" w:ascii="宋体" w:hAnsi="宋体"/>
                <w:szCs w:val="21"/>
              </w:rPr>
              <w:t>0.023</w:t>
            </w:r>
          </w:p>
        </w:tc>
        <w:tc>
          <w:tcPr>
            <w:tcW w:w="1268" w:type="dxa"/>
            <w:vAlign w:val="center"/>
          </w:tcPr>
          <w:p>
            <w:pPr>
              <w:jc w:val="left"/>
              <w:rPr>
                <w:rFonts w:ascii="宋体" w:hAnsi="宋体"/>
                <w:szCs w:val="21"/>
              </w:rPr>
            </w:pPr>
            <w:r>
              <w:rPr>
                <w:rFonts w:hint="eastAsia" w:ascii="宋体" w:hAnsi="宋体"/>
                <w:szCs w:val="21"/>
              </w:rPr>
              <w:t>3.147、3.135、3.175</w:t>
            </w:r>
          </w:p>
        </w:tc>
      </w:tr>
    </w:tbl>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2.2  混合酸溶样—离子选择电极法</w:t>
      </w:r>
    </w:p>
    <w:p>
      <w:pPr>
        <w:spacing w:line="360" w:lineRule="auto"/>
        <w:rPr>
          <w:rFonts w:ascii="宋体" w:hAnsi="宋体"/>
          <w:szCs w:val="21"/>
        </w:rPr>
      </w:pPr>
      <w:r>
        <w:rPr>
          <w:rFonts w:hint="eastAsia" w:ascii="宋体" w:hAnsi="宋体"/>
          <w:szCs w:val="21"/>
        </w:rPr>
        <w:t xml:space="preserve">    按照YS/T 807.6-2012《铝中间合金化学分析方法 第6部分：硼含量的测定 离子选择电极法》对不同含硼量的2个样品进行独立的11次分析，分析结果见表5。</w:t>
      </w:r>
    </w:p>
    <w:p>
      <w:pPr>
        <w:spacing w:line="360" w:lineRule="auto"/>
        <w:jc w:val="center"/>
        <w:rPr>
          <w:rFonts w:ascii="宋体" w:hAnsi="宋体"/>
          <w:szCs w:val="21"/>
        </w:rPr>
      </w:pPr>
      <w:r>
        <w:rPr>
          <w:rFonts w:hint="eastAsia" w:ascii="宋体" w:hAnsi="宋体"/>
          <w:szCs w:val="21"/>
        </w:rPr>
        <w:t>表5 样品分析及结果对照</w:t>
      </w:r>
    </w:p>
    <w:tbl>
      <w:tblPr>
        <w:tblStyle w:val="2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3260"/>
        <w:gridCol w:w="1134"/>
        <w:gridCol w:w="9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1"/>
              </w:rPr>
            </w:pPr>
            <w:r>
              <w:rPr>
                <w:rFonts w:hint="eastAsia" w:ascii="宋体" w:hAnsi="宋体"/>
                <w:szCs w:val="21"/>
              </w:rPr>
              <w:t>序号</w:t>
            </w:r>
          </w:p>
        </w:tc>
        <w:tc>
          <w:tcPr>
            <w:tcW w:w="1134" w:type="dxa"/>
            <w:vAlign w:val="center"/>
          </w:tcPr>
          <w:p>
            <w:pPr>
              <w:jc w:val="center"/>
              <w:rPr>
                <w:rFonts w:ascii="宋体" w:hAnsi="宋体"/>
                <w:szCs w:val="21"/>
              </w:rPr>
            </w:pPr>
            <w:r>
              <w:rPr>
                <w:rFonts w:hint="eastAsia" w:ascii="宋体" w:hAnsi="宋体"/>
                <w:szCs w:val="21"/>
              </w:rPr>
              <w:t>样品编号</w:t>
            </w:r>
          </w:p>
        </w:tc>
        <w:tc>
          <w:tcPr>
            <w:tcW w:w="3260" w:type="dxa"/>
            <w:vAlign w:val="center"/>
          </w:tcPr>
          <w:p>
            <w:pPr>
              <w:jc w:val="center"/>
              <w:rPr>
                <w:rFonts w:ascii="宋体" w:hAnsi="宋体"/>
                <w:szCs w:val="21"/>
              </w:rPr>
            </w:pPr>
            <w:r>
              <w:rPr>
                <w:rFonts w:hint="eastAsia" w:ascii="宋体" w:hAnsi="宋体"/>
                <w:szCs w:val="21"/>
              </w:rPr>
              <w:t>测定结果/%</w:t>
            </w:r>
          </w:p>
        </w:tc>
        <w:tc>
          <w:tcPr>
            <w:tcW w:w="1134" w:type="dxa"/>
            <w:vAlign w:val="center"/>
          </w:tcPr>
          <w:p>
            <w:pPr>
              <w:jc w:val="center"/>
              <w:rPr>
                <w:rFonts w:ascii="宋体" w:hAnsi="宋体"/>
                <w:szCs w:val="21"/>
              </w:rPr>
            </w:pPr>
            <w:r>
              <w:rPr>
                <w:rFonts w:hint="eastAsia" w:ascii="宋体" w:hAnsi="宋体"/>
                <w:szCs w:val="21"/>
              </w:rPr>
              <w:t>平均值/%</w:t>
            </w:r>
          </w:p>
        </w:tc>
        <w:tc>
          <w:tcPr>
            <w:tcW w:w="993" w:type="dxa"/>
            <w:vAlign w:val="center"/>
          </w:tcPr>
          <w:p>
            <w:pPr>
              <w:jc w:val="center"/>
              <w:rPr>
                <w:rFonts w:ascii="宋体" w:hAnsi="宋体"/>
                <w:szCs w:val="21"/>
              </w:rPr>
            </w:pPr>
            <w:r>
              <w:rPr>
                <w:rFonts w:hint="eastAsia" w:ascii="宋体" w:hAnsi="宋体"/>
                <w:szCs w:val="21"/>
              </w:rPr>
              <w:t>SD</w:t>
            </w:r>
          </w:p>
        </w:tc>
        <w:tc>
          <w:tcPr>
            <w:tcW w:w="1275" w:type="dxa"/>
            <w:vAlign w:val="center"/>
          </w:tcPr>
          <w:p>
            <w:pPr>
              <w:jc w:val="center"/>
              <w:rPr>
                <w:rFonts w:ascii="宋体" w:hAnsi="宋体"/>
                <w:szCs w:val="21"/>
              </w:rPr>
            </w:pPr>
            <w:r>
              <w:rPr>
                <w:rFonts w:hint="eastAsia" w:ascii="宋体" w:hAnsi="宋体"/>
                <w:szCs w:val="21"/>
              </w:rPr>
              <w:t>ICP-AES</w:t>
            </w:r>
          </w:p>
          <w:p>
            <w:pPr>
              <w:jc w:val="center"/>
              <w:rPr>
                <w:rFonts w:ascii="宋体" w:hAnsi="宋体"/>
                <w:szCs w:val="21"/>
              </w:rPr>
            </w:pPr>
            <w:r>
              <w:rPr>
                <w:rFonts w:hint="eastAsia" w:ascii="宋体" w:hAnsi="宋体"/>
                <w:szCs w:val="21"/>
              </w:rPr>
              <w:t>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1"/>
              </w:rPr>
            </w:pPr>
            <w:r>
              <w:rPr>
                <w:rFonts w:hint="eastAsia" w:ascii="宋体" w:hAnsi="宋体"/>
                <w:szCs w:val="21"/>
              </w:rPr>
              <w:t>6</w:t>
            </w:r>
          </w:p>
        </w:tc>
        <w:tc>
          <w:tcPr>
            <w:tcW w:w="1134" w:type="dxa"/>
            <w:vAlign w:val="center"/>
          </w:tcPr>
          <w:p>
            <w:pPr>
              <w:jc w:val="center"/>
              <w:rPr>
                <w:rFonts w:ascii="宋体" w:hAnsi="宋体"/>
                <w:szCs w:val="21"/>
              </w:rPr>
            </w:pPr>
            <w:r>
              <w:rPr>
                <w:rFonts w:hint="eastAsia" w:ascii="宋体" w:hAnsi="宋体"/>
                <w:szCs w:val="21"/>
              </w:rPr>
              <w:t>AlB5</w:t>
            </w:r>
          </w:p>
        </w:tc>
        <w:tc>
          <w:tcPr>
            <w:tcW w:w="3260" w:type="dxa"/>
            <w:vAlign w:val="center"/>
          </w:tcPr>
          <w:p>
            <w:pPr>
              <w:jc w:val="left"/>
              <w:rPr>
                <w:rFonts w:ascii="宋体" w:hAnsi="宋体"/>
                <w:szCs w:val="21"/>
              </w:rPr>
            </w:pPr>
            <w:r>
              <w:rPr>
                <w:rFonts w:hint="eastAsia" w:ascii="宋体" w:hAnsi="宋体"/>
                <w:szCs w:val="21"/>
              </w:rPr>
              <w:t>5.11、5.27、5.40、5.15、5.33、5.38、5.45、5.26、5.12、5.36、5.34</w:t>
            </w:r>
          </w:p>
        </w:tc>
        <w:tc>
          <w:tcPr>
            <w:tcW w:w="1134" w:type="dxa"/>
            <w:vAlign w:val="center"/>
          </w:tcPr>
          <w:p>
            <w:pPr>
              <w:jc w:val="center"/>
              <w:rPr>
                <w:rFonts w:ascii="宋体" w:hAnsi="宋体"/>
                <w:szCs w:val="21"/>
              </w:rPr>
            </w:pPr>
            <w:r>
              <w:rPr>
                <w:rFonts w:hint="eastAsia" w:ascii="宋体" w:hAnsi="宋体"/>
                <w:szCs w:val="21"/>
              </w:rPr>
              <w:t>5.29</w:t>
            </w:r>
          </w:p>
        </w:tc>
        <w:tc>
          <w:tcPr>
            <w:tcW w:w="993" w:type="dxa"/>
            <w:vAlign w:val="center"/>
          </w:tcPr>
          <w:p>
            <w:pPr>
              <w:jc w:val="center"/>
              <w:rPr>
                <w:rFonts w:ascii="宋体" w:hAnsi="宋体"/>
                <w:szCs w:val="21"/>
              </w:rPr>
            </w:pPr>
            <w:r>
              <w:rPr>
                <w:rFonts w:hint="eastAsia" w:ascii="宋体" w:hAnsi="宋体"/>
                <w:szCs w:val="21"/>
              </w:rPr>
              <w:t>0.12</w:t>
            </w:r>
          </w:p>
        </w:tc>
        <w:tc>
          <w:tcPr>
            <w:tcW w:w="1275" w:type="dxa"/>
            <w:vAlign w:val="center"/>
          </w:tcPr>
          <w:p>
            <w:pPr>
              <w:jc w:val="left"/>
              <w:rPr>
                <w:rFonts w:ascii="宋体" w:hAnsi="宋体"/>
                <w:szCs w:val="21"/>
              </w:rPr>
            </w:pPr>
            <w:r>
              <w:rPr>
                <w:rFonts w:hint="eastAsia" w:ascii="宋体" w:hAnsi="宋体"/>
                <w:szCs w:val="21"/>
              </w:rPr>
              <w:t>5.12、5.21、5.15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1"/>
              </w:rPr>
            </w:pPr>
            <w:r>
              <w:rPr>
                <w:rFonts w:hint="eastAsia" w:ascii="宋体" w:hAnsi="宋体"/>
                <w:szCs w:val="21"/>
              </w:rPr>
              <w:t>7</w:t>
            </w:r>
          </w:p>
        </w:tc>
        <w:tc>
          <w:tcPr>
            <w:tcW w:w="1134" w:type="dxa"/>
            <w:vAlign w:val="center"/>
          </w:tcPr>
          <w:p>
            <w:pPr>
              <w:jc w:val="center"/>
              <w:rPr>
                <w:rFonts w:ascii="宋体" w:hAnsi="宋体"/>
                <w:szCs w:val="21"/>
              </w:rPr>
            </w:pPr>
            <w:r>
              <w:rPr>
                <w:rFonts w:hint="eastAsia" w:ascii="宋体" w:hAnsi="宋体"/>
                <w:szCs w:val="21"/>
              </w:rPr>
              <w:t>AlB8</w:t>
            </w:r>
          </w:p>
        </w:tc>
        <w:tc>
          <w:tcPr>
            <w:tcW w:w="3260" w:type="dxa"/>
            <w:vAlign w:val="center"/>
          </w:tcPr>
          <w:p>
            <w:pPr>
              <w:jc w:val="left"/>
              <w:rPr>
                <w:rFonts w:ascii="宋体" w:hAnsi="宋体"/>
                <w:szCs w:val="21"/>
              </w:rPr>
            </w:pPr>
            <w:r>
              <w:rPr>
                <w:rFonts w:hint="eastAsia" w:ascii="宋体" w:hAnsi="宋体"/>
                <w:szCs w:val="21"/>
              </w:rPr>
              <w:t>8.55、8.45、8.52、8.47、8.62、8.51、8.64、8.67、8.42、8.59、8.55</w:t>
            </w:r>
          </w:p>
        </w:tc>
        <w:tc>
          <w:tcPr>
            <w:tcW w:w="1134" w:type="dxa"/>
            <w:vAlign w:val="center"/>
          </w:tcPr>
          <w:p>
            <w:pPr>
              <w:jc w:val="center"/>
              <w:rPr>
                <w:rFonts w:ascii="宋体" w:hAnsi="宋体"/>
                <w:szCs w:val="21"/>
              </w:rPr>
            </w:pPr>
            <w:r>
              <w:rPr>
                <w:rFonts w:hint="eastAsia" w:ascii="宋体" w:hAnsi="宋体"/>
                <w:szCs w:val="21"/>
              </w:rPr>
              <w:t>8.54</w:t>
            </w:r>
          </w:p>
        </w:tc>
        <w:tc>
          <w:tcPr>
            <w:tcW w:w="993" w:type="dxa"/>
            <w:vAlign w:val="center"/>
          </w:tcPr>
          <w:p>
            <w:pPr>
              <w:jc w:val="center"/>
              <w:rPr>
                <w:rFonts w:ascii="宋体" w:hAnsi="宋体"/>
                <w:szCs w:val="21"/>
              </w:rPr>
            </w:pPr>
            <w:r>
              <w:rPr>
                <w:rFonts w:hint="eastAsia" w:ascii="宋体" w:hAnsi="宋体"/>
                <w:szCs w:val="21"/>
              </w:rPr>
              <w:t>0.080</w:t>
            </w:r>
          </w:p>
        </w:tc>
        <w:tc>
          <w:tcPr>
            <w:tcW w:w="1275" w:type="dxa"/>
            <w:vAlign w:val="center"/>
          </w:tcPr>
          <w:p>
            <w:pPr>
              <w:jc w:val="left"/>
              <w:rPr>
                <w:rFonts w:ascii="宋体" w:hAnsi="宋体"/>
                <w:szCs w:val="21"/>
              </w:rPr>
            </w:pPr>
            <w:r>
              <w:rPr>
                <w:rFonts w:hint="eastAsia" w:ascii="宋体" w:hAnsi="宋体"/>
                <w:szCs w:val="21"/>
              </w:rPr>
              <w:t>8.64、8.58、8.55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宋体" w:hAnsi="宋体"/>
                <w:szCs w:val="21"/>
              </w:rPr>
            </w:pPr>
            <w:r>
              <w:rPr>
                <w:rFonts w:hint="eastAsia" w:ascii="宋体" w:hAnsi="宋体"/>
                <w:szCs w:val="21"/>
              </w:rPr>
              <w:t>8</w:t>
            </w:r>
          </w:p>
        </w:tc>
        <w:tc>
          <w:tcPr>
            <w:tcW w:w="1134" w:type="dxa"/>
            <w:vAlign w:val="center"/>
          </w:tcPr>
          <w:p>
            <w:pPr>
              <w:jc w:val="center"/>
              <w:rPr>
                <w:rFonts w:ascii="宋体" w:hAnsi="宋体"/>
                <w:szCs w:val="21"/>
              </w:rPr>
            </w:pPr>
            <w:r>
              <w:rPr>
                <w:rFonts w:hint="eastAsia" w:ascii="宋体" w:hAnsi="宋体"/>
                <w:szCs w:val="21"/>
              </w:rPr>
              <w:t>AlB10</w:t>
            </w:r>
          </w:p>
        </w:tc>
        <w:tc>
          <w:tcPr>
            <w:tcW w:w="3260" w:type="dxa"/>
            <w:vAlign w:val="center"/>
          </w:tcPr>
          <w:p>
            <w:pPr>
              <w:jc w:val="left"/>
              <w:rPr>
                <w:rFonts w:ascii="宋体" w:hAnsi="宋体"/>
                <w:szCs w:val="21"/>
              </w:rPr>
            </w:pPr>
            <w:r>
              <w:rPr>
                <w:rFonts w:hint="eastAsia" w:ascii="宋体" w:hAnsi="宋体"/>
                <w:szCs w:val="21"/>
              </w:rPr>
              <w:t>11.19、11.21、11.16、11.26、11.09、11.92、11.25、11.19、11.95、11.07、11.04</w:t>
            </w:r>
          </w:p>
        </w:tc>
        <w:tc>
          <w:tcPr>
            <w:tcW w:w="1134" w:type="dxa"/>
            <w:vAlign w:val="center"/>
          </w:tcPr>
          <w:p>
            <w:pPr>
              <w:jc w:val="center"/>
              <w:rPr>
                <w:rFonts w:ascii="宋体" w:hAnsi="宋体"/>
                <w:szCs w:val="21"/>
              </w:rPr>
            </w:pPr>
            <w:r>
              <w:rPr>
                <w:rFonts w:hint="eastAsia" w:ascii="宋体" w:hAnsi="宋体"/>
                <w:szCs w:val="21"/>
              </w:rPr>
              <w:t>11.30</w:t>
            </w:r>
          </w:p>
        </w:tc>
        <w:tc>
          <w:tcPr>
            <w:tcW w:w="993" w:type="dxa"/>
            <w:vAlign w:val="center"/>
          </w:tcPr>
          <w:p>
            <w:pPr>
              <w:jc w:val="center"/>
              <w:rPr>
                <w:rFonts w:ascii="宋体" w:hAnsi="宋体"/>
                <w:szCs w:val="21"/>
              </w:rPr>
            </w:pPr>
            <w:r>
              <w:rPr>
                <w:rFonts w:hint="eastAsia" w:ascii="宋体" w:hAnsi="宋体"/>
                <w:szCs w:val="21"/>
              </w:rPr>
              <w:t>0.32</w:t>
            </w:r>
          </w:p>
        </w:tc>
        <w:tc>
          <w:tcPr>
            <w:tcW w:w="1275" w:type="dxa"/>
            <w:vAlign w:val="center"/>
          </w:tcPr>
          <w:p>
            <w:pPr>
              <w:jc w:val="left"/>
              <w:rPr>
                <w:rFonts w:ascii="宋体" w:hAnsi="宋体"/>
                <w:szCs w:val="21"/>
              </w:rPr>
            </w:pPr>
            <w:r>
              <w:rPr>
                <w:rFonts w:hint="eastAsia" w:ascii="宋体" w:hAnsi="宋体"/>
                <w:szCs w:val="21"/>
              </w:rPr>
              <w:t>11.25、11.95、11.09</w:t>
            </w:r>
          </w:p>
        </w:tc>
      </w:tr>
    </w:tbl>
    <w:p>
      <w:pPr>
        <w:spacing w:beforeLines="50" w:afterLines="50"/>
        <w:rPr>
          <w:rFonts w:ascii="宋体" w:hAnsi="宋体"/>
          <w:b/>
          <w:sz w:val="24"/>
        </w:rPr>
      </w:pPr>
    </w:p>
    <w:p>
      <w:pPr>
        <w:spacing w:beforeLines="50" w:afterLines="50" w:line="360" w:lineRule="auto"/>
        <w:ind w:left="353" w:hanging="352" w:hangingChars="147"/>
        <w:rPr>
          <w:rFonts w:ascii="黑体" w:hAnsi="黑体" w:eastAsia="黑体" w:cs="黑体"/>
          <w:bCs/>
          <w:sz w:val="24"/>
        </w:rPr>
      </w:pPr>
      <w:r>
        <w:rPr>
          <w:rFonts w:hint="eastAsia" w:ascii="黑体" w:hAnsi="黑体" w:eastAsia="黑体" w:cs="黑体"/>
          <w:bCs/>
          <w:sz w:val="24"/>
        </w:rPr>
        <w:t>四、标准的水平分析</w:t>
      </w:r>
    </w:p>
    <w:p>
      <w:pPr>
        <w:spacing w:beforeLines="50" w:afterLines="50" w:line="360" w:lineRule="auto"/>
        <w:rPr>
          <w:rFonts w:ascii="黑体" w:hAnsi="黑体" w:eastAsia="黑体" w:cs="黑体"/>
          <w:bCs/>
          <w:sz w:val="24"/>
        </w:rPr>
      </w:pPr>
      <w:r>
        <w:rPr>
          <w:rFonts w:hint="eastAsia" w:ascii="黑体" w:hAnsi="黑体" w:eastAsia="黑体" w:cs="黑体"/>
          <w:bCs/>
          <w:sz w:val="24"/>
        </w:rPr>
        <w:t>1、采用国际标准和国外先进标准的程度（IDT、MOD或NEQ）</w:t>
      </w:r>
    </w:p>
    <w:p>
      <w:pPr>
        <w:spacing w:line="360" w:lineRule="auto"/>
        <w:ind w:firstLine="420" w:firstLineChars="200"/>
        <w:rPr>
          <w:rFonts w:ascii="宋体" w:hAnsi="宋体" w:cs="宋体"/>
          <w:bCs/>
          <w:szCs w:val="21"/>
        </w:rPr>
      </w:pPr>
      <w:r>
        <w:rPr>
          <w:rFonts w:hint="eastAsia" w:ascii="宋体" w:hAnsi="宋体"/>
          <w:szCs w:val="21"/>
        </w:rPr>
        <w:t>GB/T 20975.15-201X《</w:t>
      </w:r>
      <w:r>
        <w:rPr>
          <w:rFonts w:hint="eastAsia" w:ascii="宋体" w:hAnsi="宋体"/>
        </w:rPr>
        <w:t>铝及铝合金化学分析方法</w:t>
      </w:r>
      <w:r>
        <w:rPr>
          <w:rFonts w:hint="eastAsia" w:ascii="宋体" w:hAnsi="宋体"/>
          <w:szCs w:val="21"/>
        </w:rPr>
        <w:t xml:space="preserve"> 第15部分：硼含量的测定》修改采用ASTM  E34-2002《铝及铝合金化学分析方法》中硼含量测定的部分。</w:t>
      </w:r>
    </w:p>
    <w:p>
      <w:pPr>
        <w:spacing w:beforeLines="50" w:afterLines="50" w:line="360" w:lineRule="auto"/>
        <w:rPr>
          <w:rFonts w:ascii="黑体" w:hAnsi="黑体" w:eastAsia="黑体" w:cs="黑体"/>
          <w:bCs/>
          <w:sz w:val="24"/>
        </w:rPr>
      </w:pPr>
      <w:r>
        <w:rPr>
          <w:rFonts w:hint="eastAsia" w:ascii="黑体" w:hAnsi="黑体" w:eastAsia="黑体" w:cs="黑体"/>
          <w:bCs/>
          <w:sz w:val="24"/>
        </w:rPr>
        <w:t>2、国际、国外同类标准水平的对比分析</w:t>
      </w:r>
    </w:p>
    <w:p>
      <w:pPr>
        <w:spacing w:line="360" w:lineRule="auto"/>
        <w:ind w:firstLine="420" w:firstLineChars="200"/>
        <w:rPr>
          <w:rFonts w:ascii="宋体" w:hAnsi="宋体" w:cs="宋体"/>
          <w:bCs/>
          <w:szCs w:val="21"/>
        </w:rPr>
      </w:pPr>
      <w:r>
        <w:rPr>
          <w:rFonts w:hint="eastAsia" w:ascii="宋体" w:hAnsi="宋体"/>
          <w:szCs w:val="21"/>
        </w:rPr>
        <w:t>GB/T 20975.15-201X《</w:t>
      </w:r>
      <w:r>
        <w:rPr>
          <w:rFonts w:hint="eastAsia" w:ascii="宋体" w:hAnsi="宋体"/>
        </w:rPr>
        <w:t>铝及铝合金化学分析方法</w:t>
      </w:r>
      <w:r>
        <w:rPr>
          <w:rFonts w:hint="eastAsia" w:ascii="宋体" w:hAnsi="宋体"/>
          <w:szCs w:val="21"/>
        </w:rPr>
        <w:t xml:space="preserve"> 第15部分：硼含量的测定》修改采用ASTM  E34-2002《铝及铝合金化学分析方法》中硼含量测定的部分。</w:t>
      </w:r>
    </w:p>
    <w:p>
      <w:pPr>
        <w:spacing w:line="360" w:lineRule="auto"/>
        <w:ind w:firstLine="420" w:firstLineChars="200"/>
        <w:rPr>
          <w:rFonts w:ascii="宋体" w:hAnsi="宋体" w:cs="宋体"/>
          <w:szCs w:val="21"/>
        </w:rPr>
      </w:pPr>
      <w:r>
        <w:rPr>
          <w:rFonts w:hint="eastAsia" w:ascii="宋体" w:hAnsi="宋体" w:cs="宋体"/>
          <w:szCs w:val="21"/>
        </w:rPr>
        <w:t>本</w:t>
      </w:r>
      <w:r>
        <w:rPr>
          <w:rFonts w:hint="eastAsia"/>
          <w:szCs w:val="21"/>
        </w:rPr>
        <w:t>标准涉及内容全面、条款详细，在制定过程中吸纳了国内、外最新相关技术，</w:t>
      </w:r>
      <w:r>
        <w:rPr>
          <w:rFonts w:hint="eastAsia" w:ascii="宋体" w:hAnsi="宋体"/>
          <w:szCs w:val="21"/>
        </w:rPr>
        <w:t>达到了国际先进水平。</w:t>
      </w:r>
    </w:p>
    <w:p>
      <w:pPr>
        <w:spacing w:beforeLines="50" w:afterLines="50" w:line="360" w:lineRule="auto"/>
        <w:rPr>
          <w:rFonts w:ascii="黑体" w:hAnsi="黑体" w:eastAsia="黑体" w:cs="黑体"/>
          <w:bCs/>
          <w:sz w:val="24"/>
        </w:rPr>
      </w:pPr>
      <w:r>
        <w:rPr>
          <w:rFonts w:hint="eastAsia" w:ascii="黑体" w:hAnsi="黑体" w:eastAsia="黑体" w:cs="黑体"/>
          <w:bCs/>
          <w:sz w:val="24"/>
        </w:rPr>
        <w:t>3、与现有标准及制定中标准协调配套的情况</w:t>
      </w:r>
    </w:p>
    <w:p>
      <w:pPr>
        <w:spacing w:line="360" w:lineRule="auto"/>
        <w:ind w:firstLine="420" w:firstLineChars="200"/>
        <w:rPr>
          <w:rFonts w:ascii="宋体" w:hAnsi="宋体"/>
          <w:szCs w:val="21"/>
        </w:rPr>
      </w:pPr>
      <w:r>
        <w:rPr>
          <w:rFonts w:hint="eastAsia" w:ascii="宋体" w:hAnsi="宋体"/>
          <w:szCs w:val="21"/>
        </w:rPr>
        <w:t>本标准是GB/T 20975《</w:t>
      </w:r>
      <w:r>
        <w:rPr>
          <w:rFonts w:hint="eastAsia" w:ascii="宋体" w:hAnsi="宋体"/>
        </w:rPr>
        <w:t>铝及铝合金化学分析方法</w:t>
      </w:r>
      <w:r>
        <w:rPr>
          <w:rFonts w:hint="eastAsia" w:ascii="宋体" w:hAnsi="宋体"/>
          <w:szCs w:val="21"/>
        </w:rPr>
        <w:t>》系列国家标准中的一部分，与GB/T 1196-2017《重熔用铝锭》、GB/T 8733-2016《铸造铝合金锭》、GB/T 3190-2008《变形铝及铝合金化学成分》等标准相配套，主要应用于分析铝及铝合金产品中锌含量；同时又与GB/T 20975.25《</w:t>
      </w:r>
      <w:r>
        <w:rPr>
          <w:rFonts w:hint="eastAsia" w:ascii="宋体" w:hAnsi="宋体"/>
        </w:rPr>
        <w:t xml:space="preserve">铝及铝合金化学分析方法 </w:t>
      </w:r>
      <w:r>
        <w:rPr>
          <w:rFonts w:hint="eastAsia" w:ascii="宋体" w:hAnsi="宋体" w:cs="宋体"/>
          <w:szCs w:val="21"/>
        </w:rPr>
        <w:t>第25部分：电感耦合等离子体原子发射光谱法</w:t>
      </w:r>
      <w:r>
        <w:rPr>
          <w:rFonts w:hint="eastAsia" w:ascii="宋体" w:hAnsi="宋体"/>
          <w:szCs w:val="21"/>
        </w:rPr>
        <w:t>》和GB/T 7999-2015《</w:t>
      </w:r>
      <w:r>
        <w:rPr>
          <w:rFonts w:hint="eastAsia" w:ascii="宋体" w:hAnsi="宋体" w:cs="宋体"/>
          <w:szCs w:val="21"/>
        </w:rPr>
        <w:t>铝及铝合金光电直读发射光谱分析方法</w:t>
      </w:r>
      <w:r>
        <w:rPr>
          <w:rFonts w:hint="eastAsia" w:ascii="宋体" w:hAnsi="宋体"/>
          <w:szCs w:val="21"/>
        </w:rPr>
        <w:t>》互相配合，互为补充、衔接配套。</w:t>
      </w:r>
    </w:p>
    <w:p>
      <w:pPr>
        <w:spacing w:beforeLines="50" w:afterLines="50" w:line="360" w:lineRule="auto"/>
        <w:rPr>
          <w:rFonts w:ascii="黑体" w:hAnsi="黑体" w:eastAsia="黑体" w:cs="黑体"/>
          <w:bCs/>
          <w:sz w:val="24"/>
        </w:rPr>
      </w:pPr>
      <w:r>
        <w:rPr>
          <w:rFonts w:hint="eastAsia" w:ascii="黑体" w:hAnsi="黑体" w:eastAsia="黑体" w:cs="黑体"/>
          <w:bCs/>
          <w:sz w:val="24"/>
        </w:rPr>
        <w:t>五、与有关的现行法律、法规和强制性国家标准的关系</w:t>
      </w:r>
    </w:p>
    <w:p>
      <w:pPr>
        <w:spacing w:line="360" w:lineRule="auto"/>
        <w:ind w:firstLine="420" w:firstLineChars="200"/>
        <w:rPr>
          <w:rFonts w:ascii="宋体" w:hAnsi="宋体"/>
          <w:szCs w:val="21"/>
        </w:rPr>
      </w:pPr>
      <w:r>
        <w:rPr>
          <w:rFonts w:hint="eastAsia" w:ascii="宋体" w:hAnsi="宋体"/>
          <w:szCs w:val="21"/>
        </w:rPr>
        <w:t>1、本标准与现行标准属于协调一致标准，锌含量的检测是满足现有产品标准的发展需求而制定，是属于为现有标准服务配套标准。</w:t>
      </w:r>
    </w:p>
    <w:p>
      <w:pPr>
        <w:spacing w:line="360" w:lineRule="auto"/>
        <w:ind w:firstLine="420" w:firstLineChars="200"/>
        <w:rPr>
          <w:rFonts w:ascii="宋体" w:hAnsi="宋体"/>
          <w:szCs w:val="21"/>
        </w:rPr>
      </w:pPr>
      <w:r>
        <w:rPr>
          <w:rFonts w:hint="eastAsia" w:ascii="宋体" w:hAnsi="宋体"/>
          <w:szCs w:val="21"/>
        </w:rPr>
        <w:t>2、本标不涉及与任何国家法律、法规、规章及强制国家标准冲突问题，标准的制定符合国家相关法律、法规、规章的要求。本标准所引用的规范性文件全部是我国现行有效的国家标准或行业标准，是本标准的一部分，引用这些标准后，使本标准等要求与现行的相关法律、法规、规章及相关标准的关系不矛盾、不冲突，其相互关系非常协调。</w:t>
      </w:r>
    </w:p>
    <w:p>
      <w:pPr>
        <w:tabs>
          <w:tab w:val="left" w:pos="525"/>
        </w:tabs>
        <w:spacing w:beforeLines="50" w:afterLines="50" w:line="360" w:lineRule="auto"/>
        <w:outlineLvl w:val="0"/>
        <w:rPr>
          <w:rFonts w:ascii="黑体" w:hAnsi="宋体" w:eastAsia="黑体"/>
          <w:sz w:val="24"/>
        </w:rPr>
      </w:pPr>
      <w:r>
        <w:rPr>
          <w:rFonts w:hint="eastAsia" w:ascii="黑体" w:hAnsi="黑体" w:eastAsia="黑体" w:cs="黑体"/>
          <w:sz w:val="24"/>
        </w:rPr>
        <w:t>六、</w:t>
      </w:r>
      <w:r>
        <w:rPr>
          <w:rFonts w:hint="eastAsia" w:ascii="黑体" w:hAnsi="宋体" w:eastAsia="黑体"/>
          <w:sz w:val="24"/>
        </w:rPr>
        <w:t>标准中如涉及专利，应有明确的知识产权说明</w:t>
      </w:r>
    </w:p>
    <w:p>
      <w:pPr>
        <w:spacing w:line="360" w:lineRule="auto"/>
        <w:ind w:firstLine="420"/>
        <w:rPr>
          <w:rFonts w:ascii="宋体" w:hAnsi="宋体"/>
          <w:szCs w:val="21"/>
        </w:rPr>
      </w:pPr>
      <w:r>
        <w:rPr>
          <w:rFonts w:hint="eastAsia" w:ascii="宋体" w:hAnsi="宋体"/>
          <w:szCs w:val="21"/>
        </w:rPr>
        <w:t>本标准不涉及任何专利或知识产权。</w:t>
      </w:r>
    </w:p>
    <w:p>
      <w:pPr>
        <w:spacing w:beforeLines="50" w:afterLines="50" w:line="360" w:lineRule="auto"/>
        <w:rPr>
          <w:rFonts w:ascii="宋体" w:hAnsi="宋体"/>
          <w:b/>
          <w:sz w:val="24"/>
        </w:rPr>
      </w:pPr>
      <w:r>
        <w:rPr>
          <w:rFonts w:hint="eastAsia" w:ascii="黑体" w:hAnsi="黑体" w:eastAsia="黑体" w:cs="黑体"/>
          <w:bCs/>
          <w:sz w:val="24"/>
        </w:rPr>
        <w:t>七、重大分歧意见的处理经过和依据</w:t>
      </w:r>
    </w:p>
    <w:p>
      <w:pPr>
        <w:ind w:firstLine="420" w:firstLineChars="200"/>
        <w:rPr>
          <w:rFonts w:ascii="宋体" w:hAnsi="宋体"/>
          <w:szCs w:val="21"/>
        </w:rPr>
      </w:pPr>
      <w:r>
        <w:rPr>
          <w:rFonts w:hint="eastAsia" w:ascii="宋体" w:hAnsi="宋体" w:cs="宋体"/>
          <w:szCs w:val="21"/>
        </w:rPr>
        <w:t>无。</w:t>
      </w:r>
    </w:p>
    <w:p>
      <w:pPr>
        <w:spacing w:beforeLines="50" w:afterLines="50" w:line="360" w:lineRule="auto"/>
        <w:rPr>
          <w:rFonts w:ascii="黑体" w:hAnsi="黑体" w:eastAsia="黑体" w:cs="黑体"/>
          <w:bCs/>
          <w:sz w:val="24"/>
        </w:rPr>
      </w:pPr>
      <w:r>
        <w:rPr>
          <w:rFonts w:hint="eastAsia" w:ascii="黑体" w:hAnsi="黑体" w:eastAsia="黑体" w:cs="黑体"/>
          <w:bCs/>
          <w:sz w:val="24"/>
        </w:rPr>
        <w:t>八、标准作为强制性或推荐性的建议</w:t>
      </w:r>
    </w:p>
    <w:p>
      <w:pPr>
        <w:spacing w:line="360" w:lineRule="auto"/>
        <w:ind w:firstLine="420" w:firstLineChars="200"/>
        <w:rPr>
          <w:rFonts w:ascii="宋体" w:hAnsi="宋体" w:cs="宋体"/>
          <w:szCs w:val="21"/>
        </w:rPr>
      </w:pPr>
      <w:r>
        <w:rPr>
          <w:rFonts w:hint="eastAsia" w:ascii="宋体" w:hAnsi="宋体"/>
          <w:szCs w:val="21"/>
        </w:rPr>
        <w:t>本标准是GB/T 20975《</w:t>
      </w:r>
      <w:r>
        <w:rPr>
          <w:rFonts w:hint="eastAsia" w:ascii="宋体" w:hAnsi="宋体"/>
        </w:rPr>
        <w:t>铝及铝合金化学分析方法</w:t>
      </w:r>
      <w:r>
        <w:rPr>
          <w:rFonts w:hint="eastAsia" w:ascii="宋体" w:hAnsi="宋体"/>
          <w:szCs w:val="21"/>
        </w:rPr>
        <w:t>》系列国家标准中的一部分，建议本标准为推荐性</w:t>
      </w:r>
      <w:r>
        <w:rPr>
          <w:rFonts w:hint="eastAsia" w:ascii="宋体" w:hAnsi="宋体" w:cs="宋体"/>
          <w:szCs w:val="21"/>
        </w:rPr>
        <w:t>国家标准。</w:t>
      </w:r>
    </w:p>
    <w:p>
      <w:pPr>
        <w:tabs>
          <w:tab w:val="left" w:pos="525"/>
        </w:tabs>
        <w:spacing w:beforeLines="50" w:afterLines="50" w:line="360" w:lineRule="auto"/>
        <w:outlineLvl w:val="0"/>
        <w:rPr>
          <w:rFonts w:ascii="黑体" w:hAnsi="宋体" w:eastAsia="黑体"/>
          <w:sz w:val="24"/>
        </w:rPr>
      </w:pPr>
      <w:r>
        <w:rPr>
          <w:rFonts w:hint="eastAsia" w:ascii="黑体" w:hAnsi="宋体" w:eastAsia="黑体"/>
          <w:sz w:val="24"/>
        </w:rPr>
        <w:t>九、贯彻标准的要求和措施建议</w:t>
      </w:r>
    </w:p>
    <w:p>
      <w:pPr>
        <w:tabs>
          <w:tab w:val="left" w:pos="525"/>
        </w:tabs>
        <w:spacing w:line="360" w:lineRule="auto"/>
        <w:ind w:firstLine="465"/>
        <w:outlineLvl w:val="0"/>
        <w:rPr>
          <w:rFonts w:ascii="宋体" w:hAnsi="宋体"/>
          <w:szCs w:val="21"/>
        </w:rPr>
      </w:pPr>
      <w:r>
        <w:rPr>
          <w:rFonts w:hint="eastAsia" w:ascii="宋体" w:hAnsi="宋体"/>
          <w:szCs w:val="21"/>
        </w:rPr>
        <w:t>建议相关部门组织贯彻本标准的实施，采取有效措施向铝及铝合金产品的设计、生产、应用单位以及有关的检测机构宣贯本标准。建议本标准尽快发布，各相关单位及科研院所尽快开始执行本标准。</w:t>
      </w:r>
    </w:p>
    <w:p>
      <w:pPr>
        <w:tabs>
          <w:tab w:val="left" w:pos="525"/>
        </w:tabs>
        <w:spacing w:line="360" w:lineRule="auto"/>
        <w:ind w:firstLine="465"/>
        <w:outlineLvl w:val="0"/>
        <w:rPr>
          <w:rFonts w:ascii="宋体" w:hAnsi="宋体"/>
          <w:szCs w:val="21"/>
        </w:rPr>
      </w:pPr>
      <w:r>
        <w:rPr>
          <w:rFonts w:hint="eastAsia" w:ascii="宋体" w:hAnsi="宋体"/>
          <w:szCs w:val="21"/>
        </w:rPr>
        <w:t>组织措施：建议由国家标准化管理委员会轻金属标准化委员会组织贯彻本标准的相关活动，利用各种条件，如工作组活动、标委会管理及活动、标准化技术期刊刊登、相关官网网上发布等。</w:t>
      </w:r>
    </w:p>
    <w:p>
      <w:pPr>
        <w:tabs>
          <w:tab w:val="left" w:pos="525"/>
        </w:tabs>
        <w:spacing w:line="360" w:lineRule="auto"/>
        <w:ind w:firstLine="465"/>
        <w:outlineLvl w:val="0"/>
        <w:rPr>
          <w:rFonts w:ascii="宋体" w:hAnsi="宋体"/>
          <w:szCs w:val="21"/>
        </w:rPr>
      </w:pPr>
      <w:r>
        <w:rPr>
          <w:rFonts w:hint="eastAsia" w:ascii="宋体" w:hAnsi="宋体"/>
          <w:szCs w:val="21"/>
        </w:rPr>
        <w:t>技术措施：通过专家培训、技术交流等措施进行宣贯执行。</w:t>
      </w:r>
    </w:p>
    <w:p>
      <w:pPr>
        <w:tabs>
          <w:tab w:val="left" w:pos="525"/>
        </w:tabs>
        <w:spacing w:line="360" w:lineRule="auto"/>
        <w:ind w:firstLine="465"/>
        <w:outlineLvl w:val="0"/>
        <w:rPr>
          <w:rFonts w:ascii="宋体" w:hAnsi="宋体"/>
          <w:szCs w:val="21"/>
        </w:rPr>
      </w:pPr>
      <w:r>
        <w:rPr>
          <w:rFonts w:hint="eastAsia" w:ascii="宋体" w:hAnsi="宋体"/>
          <w:szCs w:val="21"/>
        </w:rPr>
        <w:t>过渡办法：无。</w:t>
      </w:r>
    </w:p>
    <w:p>
      <w:pPr>
        <w:spacing w:beforeLines="50" w:afterLines="50" w:line="360" w:lineRule="auto"/>
        <w:rPr>
          <w:rFonts w:ascii="黑体" w:hAnsi="宋体" w:eastAsia="黑体"/>
          <w:sz w:val="24"/>
        </w:rPr>
      </w:pPr>
      <w:r>
        <w:rPr>
          <w:rFonts w:hint="eastAsia" w:ascii="黑体" w:hAnsi="黑体" w:eastAsia="黑体" w:cs="黑体"/>
          <w:bCs/>
          <w:sz w:val="24"/>
        </w:rPr>
        <w:t>十、</w:t>
      </w:r>
      <w:r>
        <w:rPr>
          <w:rFonts w:hint="eastAsia" w:ascii="黑体" w:hAnsi="宋体" w:eastAsia="黑体"/>
          <w:sz w:val="24"/>
        </w:rPr>
        <w:t>废止现行有关标准的建议</w:t>
      </w:r>
    </w:p>
    <w:p>
      <w:pPr>
        <w:spacing w:line="360" w:lineRule="auto"/>
        <w:ind w:firstLine="420" w:firstLineChars="200"/>
        <w:rPr>
          <w:rFonts w:ascii="宋体" w:hAnsi="宋体" w:cs="宋体"/>
          <w:szCs w:val="21"/>
        </w:rPr>
      </w:pPr>
      <w:r>
        <w:rPr>
          <w:rFonts w:hint="eastAsia" w:ascii="宋体" w:hAnsi="宋体" w:cs="宋体"/>
          <w:szCs w:val="21"/>
        </w:rPr>
        <w:t>本标准颁布实施后，建议废止</w:t>
      </w:r>
      <w:r>
        <w:rPr>
          <w:rFonts w:hint="eastAsia" w:ascii="宋体" w:hAnsi="宋体"/>
          <w:szCs w:val="21"/>
        </w:rPr>
        <w:t>GB/T 20975.15-2008《</w:t>
      </w:r>
      <w:r>
        <w:rPr>
          <w:rFonts w:hint="eastAsia" w:ascii="宋体" w:hAnsi="宋体"/>
        </w:rPr>
        <w:t>铝及铝合金化学分析方法</w:t>
      </w:r>
      <w:r>
        <w:rPr>
          <w:rFonts w:hint="eastAsia" w:ascii="宋体" w:hAnsi="宋体"/>
          <w:szCs w:val="21"/>
        </w:rPr>
        <w:t xml:space="preserve"> 第15部分：硼含量的测定》</w:t>
      </w:r>
      <w:r>
        <w:rPr>
          <w:rFonts w:hint="eastAsia" w:ascii="宋体" w:hAnsi="宋体" w:cs="宋体"/>
          <w:szCs w:val="21"/>
        </w:rPr>
        <w:t>。</w:t>
      </w:r>
    </w:p>
    <w:p>
      <w:pPr>
        <w:spacing w:beforeLines="50" w:afterLines="50" w:line="360" w:lineRule="auto"/>
        <w:rPr>
          <w:rFonts w:ascii="黑体" w:hAnsi="黑体" w:eastAsia="黑体" w:cs="黑体"/>
          <w:sz w:val="24"/>
        </w:rPr>
      </w:pPr>
      <w:r>
        <w:rPr>
          <w:rFonts w:hint="eastAsia" w:ascii="黑体" w:hAnsi="黑体" w:eastAsia="黑体" w:cs="黑体"/>
          <w:sz w:val="24"/>
        </w:rPr>
        <w:t>十一、其他应予说明的事项</w:t>
      </w:r>
    </w:p>
    <w:p>
      <w:pPr>
        <w:spacing w:line="360" w:lineRule="auto"/>
        <w:rPr>
          <w:rFonts w:ascii="宋体" w:hAnsi="宋体"/>
          <w:szCs w:val="21"/>
        </w:rPr>
      </w:pPr>
      <w:r>
        <w:rPr>
          <w:rFonts w:hint="eastAsia" w:ascii="黑体" w:hAnsi="黑体" w:eastAsia="黑体" w:cs="黑体"/>
          <w:sz w:val="24"/>
        </w:rPr>
        <w:t xml:space="preserve">    </w:t>
      </w:r>
      <w:r>
        <w:rPr>
          <w:rFonts w:hint="eastAsia" w:ascii="宋体" w:hAnsi="宋体"/>
          <w:szCs w:val="21"/>
        </w:rPr>
        <w:t>本标准遵守下列基础标准：</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1.1-2009 </w:t>
      </w:r>
      <w:r>
        <w:rPr>
          <w:rFonts w:hint="eastAsia" w:ascii="宋体" w:hAnsi="宋体"/>
          <w:szCs w:val="21"/>
        </w:rPr>
        <w:t>标准化工作导则</w:t>
      </w:r>
      <w:r>
        <w:rPr>
          <w:rFonts w:ascii="宋体" w:hAnsi="宋体"/>
          <w:szCs w:val="21"/>
        </w:rPr>
        <w:t xml:space="preserve"> </w:t>
      </w:r>
      <w:r>
        <w:rPr>
          <w:rFonts w:hint="eastAsia" w:ascii="宋体" w:hAnsi="宋体"/>
          <w:szCs w:val="21"/>
        </w:rPr>
        <w:t>第</w:t>
      </w:r>
      <w:r>
        <w:rPr>
          <w:rFonts w:ascii="宋体" w:hAnsi="宋体"/>
          <w:szCs w:val="21"/>
        </w:rPr>
        <w:t>1</w:t>
      </w:r>
      <w:r>
        <w:rPr>
          <w:rFonts w:hint="eastAsia" w:ascii="宋体" w:hAnsi="宋体"/>
          <w:szCs w:val="21"/>
        </w:rPr>
        <w:t>部分：标准的结构和编写规则</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20001.4-2015 </w:t>
      </w:r>
      <w:r>
        <w:rPr>
          <w:rFonts w:hint="eastAsia" w:ascii="宋体" w:hAnsi="宋体"/>
          <w:szCs w:val="21"/>
        </w:rPr>
        <w:t>标准编写规则</w:t>
      </w:r>
      <w:r>
        <w:rPr>
          <w:rFonts w:ascii="宋体" w:hAnsi="宋体"/>
          <w:szCs w:val="21"/>
        </w:rPr>
        <w:t xml:space="preserve"> </w:t>
      </w:r>
      <w:r>
        <w:rPr>
          <w:rFonts w:hint="eastAsia" w:ascii="宋体" w:hAnsi="宋体"/>
          <w:szCs w:val="21"/>
        </w:rPr>
        <w:t>第</w:t>
      </w:r>
      <w:r>
        <w:rPr>
          <w:rFonts w:ascii="宋体" w:hAnsi="宋体"/>
          <w:szCs w:val="21"/>
        </w:rPr>
        <w:t>4</w:t>
      </w:r>
      <w:r>
        <w:rPr>
          <w:rFonts w:hint="eastAsia" w:ascii="宋体" w:hAnsi="宋体"/>
          <w:szCs w:val="21"/>
        </w:rPr>
        <w:t>部分：试验方法标准</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17433 </w:t>
      </w:r>
      <w:r>
        <w:rPr>
          <w:rFonts w:hint="eastAsia" w:ascii="宋体" w:hAnsi="宋体"/>
          <w:szCs w:val="21"/>
        </w:rPr>
        <w:t>冶金产品化学分析基础术语</w:t>
      </w:r>
      <w:r>
        <w:rPr>
          <w:rFonts w:ascii="宋体" w:hAnsi="宋体"/>
          <w:szCs w:val="21"/>
        </w:rPr>
        <w:t xml:space="preserve"> 14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11792 </w:t>
      </w:r>
      <w:r>
        <w:rPr>
          <w:rFonts w:hint="eastAsia" w:ascii="宋体" w:hAnsi="宋体"/>
          <w:szCs w:val="21"/>
        </w:rPr>
        <w:t>测试方法的精密度在重现性或再现性条件下所得测试结果可接受的检查和最终测试结果的确定</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3101 </w:t>
      </w:r>
      <w:r>
        <w:rPr>
          <w:rFonts w:hint="eastAsia" w:ascii="宋体" w:hAnsi="宋体"/>
          <w:szCs w:val="21"/>
        </w:rPr>
        <w:t>有关量、单位和符合的一般原则</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3102.8 </w:t>
      </w:r>
      <w:r>
        <w:rPr>
          <w:rFonts w:hint="eastAsia" w:ascii="宋体" w:hAnsi="宋体"/>
          <w:szCs w:val="21"/>
        </w:rPr>
        <w:t>物理化学和分子物理学的量和单位</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1467 </w:t>
      </w:r>
      <w:r>
        <w:rPr>
          <w:rFonts w:hint="eastAsia" w:ascii="宋体" w:hAnsi="宋体"/>
          <w:szCs w:val="21"/>
        </w:rPr>
        <w:t>冶金产品化学分析方法标准的总则及一般规定</w:t>
      </w:r>
      <w:r>
        <w:rPr>
          <w:rFonts w:ascii="宋体" w:hAnsi="宋体"/>
          <w:szCs w:val="21"/>
        </w:rPr>
        <w:t xml:space="preserve"> </w:t>
      </w:r>
    </w:p>
    <w:p>
      <w:pPr>
        <w:autoSpaceDE w:val="0"/>
        <w:autoSpaceDN w:val="0"/>
        <w:adjustRightInd w:val="0"/>
        <w:spacing w:line="360" w:lineRule="auto"/>
        <w:jc w:val="left"/>
        <w:rPr>
          <w:rFonts w:ascii="宋体" w:hAnsi="宋体"/>
          <w:szCs w:val="21"/>
        </w:rPr>
      </w:pPr>
      <w:r>
        <w:rPr>
          <w:rFonts w:hint="eastAsia" w:ascii="宋体" w:hAnsi="宋体"/>
          <w:szCs w:val="21"/>
        </w:rPr>
        <w:t xml:space="preserve">    </w:t>
      </w:r>
      <w:r>
        <w:rPr>
          <w:rFonts w:ascii="宋体" w:hAnsi="宋体"/>
          <w:szCs w:val="21"/>
        </w:rPr>
        <w:t xml:space="preserve">GB/T 8170 </w:t>
      </w:r>
      <w:r>
        <w:rPr>
          <w:rFonts w:hint="eastAsia" w:ascii="宋体" w:hAnsi="宋体"/>
          <w:szCs w:val="21"/>
        </w:rPr>
        <w:t>数值修约规则与极限数值的表示和判定</w:t>
      </w:r>
      <w:r>
        <w:rPr>
          <w:rFonts w:ascii="宋体" w:hAnsi="宋体"/>
          <w:szCs w:val="21"/>
        </w:rPr>
        <w:t xml:space="preserve"> </w:t>
      </w:r>
    </w:p>
    <w:p>
      <w:pPr>
        <w:spacing w:beforeLines="50" w:afterLines="50" w:line="360" w:lineRule="auto"/>
        <w:rPr>
          <w:rFonts w:ascii="黑体" w:hAnsi="黑体" w:eastAsia="黑体" w:cs="黑体"/>
          <w:sz w:val="24"/>
        </w:rPr>
      </w:pPr>
      <w:r>
        <w:rPr>
          <w:rFonts w:hint="eastAsia" w:ascii="黑体" w:hAnsi="黑体" w:eastAsia="黑体" w:cs="黑体"/>
          <w:sz w:val="24"/>
        </w:rPr>
        <w:t>十二、预期效果</w:t>
      </w:r>
    </w:p>
    <w:p>
      <w:pPr>
        <w:spacing w:line="360" w:lineRule="auto"/>
        <w:ind w:firstLine="420" w:firstLineChars="200"/>
        <w:rPr>
          <w:rFonts w:ascii="宋体" w:hAnsi="宋体"/>
          <w:szCs w:val="21"/>
        </w:rPr>
      </w:pPr>
      <w:r>
        <w:rPr>
          <w:rFonts w:hint="eastAsia" w:ascii="宋体" w:hAnsi="宋体"/>
          <w:szCs w:val="21"/>
        </w:rPr>
        <w:t>近些年来，我国有色金属的发展日新月异，产量和质量都得到了极大的提高，其中铝作为主要的有色金属占有及其重要的地位，电解铝的产量已突破</w:t>
      </w:r>
      <w:r>
        <w:rPr>
          <w:rFonts w:ascii="宋体" w:hAnsi="宋体"/>
          <w:szCs w:val="21"/>
        </w:rPr>
        <w:t>4000</w:t>
      </w:r>
      <w:r>
        <w:rPr>
          <w:rFonts w:hint="eastAsia" w:ascii="宋体" w:hAnsi="宋体"/>
          <w:szCs w:val="21"/>
        </w:rPr>
        <w:t>万吨，牢牢占据世界首位。随着我国经济的快速发展，各种牌号的铝合金产品不断涌现，铝合金的用途也日益广泛，广泛应用于建筑、食品、医药、航空航天、高铁轻轨等方方面面，其质量和分析检测方法也越来越受到多方面的关注。所以就必须有更加科学、准确、快速、更加适用的分析检测方法标准进行技术支撑，以满足各种产品化学成分分析检测。</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GB/T 20975-201X</w:t>
      </w:r>
      <w:r>
        <w:rPr>
          <w:rFonts w:hint="eastAsia" w:ascii="宋体" w:hAnsi="宋体"/>
          <w:szCs w:val="21"/>
        </w:rPr>
        <w:t>《铝及铝合金化学分析方法》是我国铝及铝合金化学成分分析测定的仲裁标准，是我国铝行业基础标准之一，也是目前世界上检测项目最全、技术水平最高的分析方法标准。GB/T 20975.15-201X《</w:t>
      </w:r>
      <w:r>
        <w:rPr>
          <w:rFonts w:hint="eastAsia" w:ascii="宋体" w:hAnsi="宋体"/>
        </w:rPr>
        <w:t>铝及铝合金化学分析方法</w:t>
      </w:r>
      <w:r>
        <w:rPr>
          <w:rFonts w:hint="eastAsia" w:ascii="宋体" w:hAnsi="宋体"/>
          <w:szCs w:val="21"/>
        </w:rPr>
        <w:t xml:space="preserve"> 第15部分：硼含量的测定》是我国铝及铝合金中硼含量</w:t>
      </w:r>
      <w:r>
        <w:rPr>
          <w:rFonts w:hint="eastAsia" w:ascii="宋体" w:hAnsi="宋体"/>
          <w:bCs/>
          <w:color w:val="000000"/>
          <w:szCs w:val="21"/>
        </w:rPr>
        <w:t>测定</w:t>
      </w:r>
      <w:r>
        <w:rPr>
          <w:rFonts w:hint="eastAsia" w:ascii="宋体" w:hAnsi="宋体"/>
          <w:szCs w:val="21"/>
        </w:rPr>
        <w:t>的主要标准，是我国铝工业中分析检测的基础标准之一。随着我国铝工业的发展，新技术、新工艺的应用，新产品的开发，必须有更加科学、准确、快速、更加适用的分析、检测方法的标准进行技术支撑，以满足各种产品的化学成分分析、检测。</w:t>
      </w:r>
    </w:p>
    <w:p>
      <w:pPr>
        <w:pStyle w:val="9"/>
        <w:spacing w:line="360" w:lineRule="auto"/>
        <w:ind w:firstLine="420" w:firstLineChars="200"/>
        <w:rPr>
          <w:rFonts w:hAnsi="宋体"/>
          <w:szCs w:val="21"/>
        </w:rPr>
      </w:pPr>
      <w:r>
        <w:rPr>
          <w:rFonts w:hint="eastAsia" w:hAnsi="宋体"/>
          <w:szCs w:val="21"/>
        </w:rPr>
        <w:t>本次修订对原标准做了系统的修改、补充和完善，无论是在分析方法准确性还是在方法的适用性、前瞻性、可操作性上都有了很大的提高和扩充，</w:t>
      </w:r>
      <w:r>
        <w:rPr>
          <w:rFonts w:hint="eastAsia"/>
          <w:szCs w:val="21"/>
        </w:rPr>
        <w:t>达到国际先进水平要求。</w:t>
      </w:r>
      <w:r>
        <w:rPr>
          <w:rFonts w:hint="eastAsia" w:hAnsi="宋体"/>
          <w:szCs w:val="21"/>
        </w:rPr>
        <w:t>新版标准全面反映了我国铝及铝合金化学检测技术水平，</w:t>
      </w:r>
      <w:r>
        <w:rPr>
          <w:rFonts w:hint="eastAsia"/>
          <w:szCs w:val="21"/>
        </w:rPr>
        <w:t>有利于促进国内铝生产企业进一步完善分析检测手段，进一步提升产品质量，提升我国在军工、航空航天、食品、医药等领域的技术水平。能够满足中国铝工业的实际使用和未来发展的需求，为中国铝工业的发展提供了基础性的技术支撑。</w:t>
      </w:r>
    </w:p>
    <w:p>
      <w:pPr>
        <w:spacing w:line="360" w:lineRule="auto"/>
        <w:jc w:val="center"/>
        <w:rPr>
          <w:rFonts w:ascii="宋体" w:hAnsi="宋体"/>
          <w:szCs w:val="21"/>
        </w:rPr>
      </w:pPr>
      <w:r>
        <w:rPr>
          <w:rFonts w:hint="eastAsia" w:ascii="宋体" w:hAnsi="宋体"/>
          <w:szCs w:val="21"/>
        </w:rPr>
        <w:t xml:space="preserve">                                          </w:t>
      </w: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jc w:val="right"/>
        <w:rPr>
          <w:rFonts w:ascii="宋体" w:hAnsi="宋体"/>
          <w:szCs w:val="21"/>
        </w:rPr>
      </w:pPr>
      <w:r>
        <w:rPr>
          <w:rFonts w:hint="eastAsia" w:ascii="宋体" w:hAnsi="宋体"/>
          <w:szCs w:val="21"/>
        </w:rPr>
        <w:t xml:space="preserve">《铝及铝合金化学分析方法 </w:t>
      </w:r>
      <w:r>
        <w:rPr>
          <w:rFonts w:hint="eastAsia" w:ascii="宋体" w:hAnsi="宋体"/>
          <w:color w:val="000000"/>
          <w:szCs w:val="21"/>
        </w:rPr>
        <w:t>第15部分：硼含量的测定</w:t>
      </w:r>
      <w:r>
        <w:rPr>
          <w:rFonts w:hint="eastAsia" w:ascii="宋体" w:hAnsi="宋体"/>
          <w:szCs w:val="21"/>
        </w:rPr>
        <w:t>》编制组</w:t>
      </w:r>
    </w:p>
    <w:p>
      <w:pPr>
        <w:spacing w:line="360" w:lineRule="auto"/>
        <w:jc w:val="center"/>
        <w:rPr>
          <w:rFonts w:ascii="宋体" w:hAnsi="宋体"/>
          <w:szCs w:val="21"/>
        </w:rPr>
      </w:pPr>
      <w:r>
        <w:rPr>
          <w:rFonts w:hint="eastAsia" w:ascii="宋体" w:hAnsi="宋体"/>
          <w:szCs w:val="21"/>
        </w:rPr>
        <w:t xml:space="preserve">                         </w:t>
      </w:r>
      <w:r>
        <w:rPr>
          <w:rFonts w:ascii="宋体" w:hAnsi="宋体"/>
          <w:szCs w:val="21"/>
        </w:rPr>
        <w:t>20</w:t>
      </w:r>
      <w:r>
        <w:rPr>
          <w:rFonts w:hint="eastAsia" w:ascii="宋体" w:hAnsi="宋体"/>
          <w:szCs w:val="21"/>
        </w:rPr>
        <w:t>19年</w:t>
      </w:r>
      <w:r>
        <w:rPr>
          <w:rFonts w:hint="eastAsia" w:ascii="宋体" w:hAnsi="宋体"/>
          <w:szCs w:val="21"/>
          <w:lang w:val="en-US" w:eastAsia="zh-CN"/>
        </w:rPr>
        <w:t>9</w:t>
      </w:r>
      <w:r>
        <w:rPr>
          <w:rFonts w:hint="eastAsia" w:ascii="宋体" w:hAnsi="宋体"/>
          <w:szCs w:val="21"/>
        </w:rPr>
        <w:t>月</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附件: </w:t>
      </w:r>
    </w:p>
    <w:p>
      <w:pPr>
        <w:spacing w:line="360" w:lineRule="auto"/>
        <w:rPr>
          <w:rFonts w:ascii="宋体" w:hAnsi="宋体"/>
          <w:szCs w:val="21"/>
        </w:rPr>
      </w:pPr>
      <w:r>
        <w:rPr>
          <w:rFonts w:hint="eastAsia" w:ascii="宋体" w:hAnsi="宋体"/>
          <w:szCs w:val="21"/>
        </w:rPr>
        <w:t>1、《实验报告》1份；</w:t>
      </w:r>
    </w:p>
    <w:p>
      <w:pPr>
        <w:spacing w:line="360" w:lineRule="auto"/>
        <w:rPr>
          <w:rFonts w:ascii="宋体" w:hAnsi="宋体"/>
          <w:szCs w:val="21"/>
        </w:rPr>
      </w:pPr>
      <w:r>
        <w:rPr>
          <w:rFonts w:hint="eastAsia" w:ascii="宋体" w:hAnsi="宋体"/>
          <w:szCs w:val="21"/>
        </w:rPr>
        <w:t>2、《复验报告》、《复核报告》、《验证报告》共4份。</w:t>
      </w: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rPr>
          <w:rFonts w:ascii="宋体" w:hAnsi="宋体"/>
          <w:b/>
          <w:bCs/>
          <w:sz w:val="28"/>
          <w:szCs w:val="28"/>
        </w:rPr>
      </w:pPr>
      <w:r>
        <w:rPr>
          <w:rFonts w:hint="eastAsia" w:ascii="宋体" w:hAnsi="宋体"/>
          <w:b/>
          <w:bCs/>
          <w:sz w:val="28"/>
          <w:szCs w:val="28"/>
        </w:rPr>
        <w:t>附录1：</w:t>
      </w:r>
    </w:p>
    <w:p>
      <w:pPr>
        <w:spacing w:line="360" w:lineRule="auto"/>
        <w:jc w:val="center"/>
        <w:rPr>
          <w:rFonts w:ascii="宋体" w:hAnsi="宋体"/>
          <w:b/>
          <w:bCs/>
          <w:sz w:val="28"/>
          <w:szCs w:val="28"/>
        </w:rPr>
      </w:pPr>
      <w:r>
        <w:rPr>
          <w:rFonts w:hint="eastAsia" w:ascii="宋体" w:hAnsi="宋体"/>
          <w:b/>
          <w:bCs/>
          <w:sz w:val="28"/>
          <w:szCs w:val="28"/>
        </w:rPr>
        <w:t>验证数据汇总</w:t>
      </w:r>
    </w:p>
    <w:p>
      <w:pPr>
        <w:spacing w:line="360" w:lineRule="auto"/>
        <w:ind w:firstLine="420" w:firstLineChars="200"/>
        <w:jc w:val="left"/>
        <w:rPr>
          <w:rFonts w:ascii="宋体" w:hAnsi="宋体"/>
          <w:szCs w:val="21"/>
        </w:rPr>
      </w:pPr>
      <w:r>
        <w:rPr>
          <w:rFonts w:hint="eastAsia" w:ascii="宋体" w:hAnsi="宋体"/>
        </w:rPr>
        <w:t>贵州省分析测试研究院</w:t>
      </w:r>
      <w:r>
        <w:rPr>
          <w:rFonts w:ascii="宋体" w:hAnsi="宋体"/>
          <w:szCs w:val="21"/>
        </w:rPr>
        <w:t>按照</w:t>
      </w:r>
      <w:r>
        <w:rPr>
          <w:rFonts w:hint="eastAsia" w:ascii="宋体" w:hAnsi="宋体"/>
          <w:szCs w:val="21"/>
        </w:rPr>
        <w:t>《试验报告》进行了复验，采用ICP-AES法进行了分析测定和结果比较，进行了标准加入回收试验。</w:t>
      </w:r>
    </w:p>
    <w:p>
      <w:pPr>
        <w:spacing w:line="360" w:lineRule="auto"/>
        <w:rPr>
          <w:rFonts w:ascii="宋体" w:hAnsi="宋体"/>
          <w:szCs w:val="21"/>
        </w:rPr>
      </w:pPr>
      <w:r>
        <w:rPr>
          <w:rFonts w:hint="eastAsia" w:ascii="宋体" w:hAnsi="宋体"/>
          <w:szCs w:val="21"/>
        </w:rPr>
        <w:t xml:space="preserve">    按照标准文本</w:t>
      </w:r>
      <w:r>
        <w:rPr>
          <w:rFonts w:hint="eastAsia" w:ascii="宋体" w:hAnsi="宋体"/>
          <w:bCs/>
          <w:color w:val="000000"/>
          <w:szCs w:val="21"/>
        </w:rPr>
        <w:t>中“</w:t>
      </w:r>
      <w:r>
        <w:rPr>
          <w:rFonts w:hint="eastAsia" w:ascii="宋体" w:hAnsi="宋体"/>
          <w:szCs w:val="21"/>
        </w:rPr>
        <w:t>方法一：离子选择电极法</w:t>
      </w:r>
      <w:r>
        <w:rPr>
          <w:rFonts w:hint="eastAsia" w:ascii="宋体" w:hAnsi="宋体"/>
          <w:bCs/>
          <w:color w:val="000000"/>
          <w:szCs w:val="21"/>
        </w:rPr>
        <w:t>”</w:t>
      </w:r>
      <w:r>
        <w:rPr>
          <w:rFonts w:hint="eastAsia" w:ascii="宋体" w:hAnsi="宋体"/>
          <w:szCs w:val="21"/>
        </w:rPr>
        <w:t>对不同含硼量的5个样品进行独立的11次分析，分析结果见表6。</w:t>
      </w:r>
    </w:p>
    <w:p>
      <w:pPr>
        <w:jc w:val="center"/>
        <w:rPr>
          <w:rFonts w:ascii="宋体" w:hAnsi="宋体"/>
          <w:szCs w:val="21"/>
        </w:rPr>
      </w:pPr>
      <w:r>
        <w:rPr>
          <w:rFonts w:hint="eastAsia" w:ascii="宋体" w:hAnsi="宋体"/>
          <w:szCs w:val="21"/>
        </w:rPr>
        <w:t>表6  样品分析及结果对照</w:t>
      </w:r>
    </w:p>
    <w:tbl>
      <w:tblPr>
        <w:tblStyle w:val="20"/>
        <w:tblW w:w="8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3164"/>
        <w:gridCol w:w="1080"/>
        <w:gridCol w:w="1284"/>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6" w:type="dxa"/>
            <w:vAlign w:val="center"/>
          </w:tcPr>
          <w:p>
            <w:pPr>
              <w:jc w:val="center"/>
              <w:rPr>
                <w:rFonts w:ascii="宋体" w:hAnsi="宋体"/>
                <w:szCs w:val="21"/>
              </w:rPr>
            </w:pPr>
            <w:r>
              <w:rPr>
                <w:rFonts w:hint="eastAsia" w:ascii="宋体" w:hAnsi="宋体"/>
                <w:szCs w:val="21"/>
              </w:rPr>
              <w:t>样品编号</w:t>
            </w:r>
          </w:p>
        </w:tc>
        <w:tc>
          <w:tcPr>
            <w:tcW w:w="3164" w:type="dxa"/>
            <w:vAlign w:val="center"/>
          </w:tcPr>
          <w:p>
            <w:pPr>
              <w:jc w:val="center"/>
              <w:rPr>
                <w:rFonts w:ascii="宋体" w:hAnsi="宋体"/>
                <w:szCs w:val="21"/>
              </w:rPr>
            </w:pPr>
            <w:r>
              <w:rPr>
                <w:rFonts w:hint="eastAsia" w:ascii="宋体" w:hAnsi="宋体"/>
                <w:szCs w:val="21"/>
              </w:rPr>
              <w:t xml:space="preserve">测定结果/% </w:t>
            </w:r>
          </w:p>
        </w:tc>
        <w:tc>
          <w:tcPr>
            <w:tcW w:w="1080" w:type="dxa"/>
            <w:vAlign w:val="center"/>
          </w:tcPr>
          <w:p>
            <w:pPr>
              <w:jc w:val="center"/>
              <w:rPr>
                <w:rFonts w:ascii="宋体" w:hAnsi="宋体"/>
                <w:szCs w:val="21"/>
              </w:rPr>
            </w:pPr>
            <w:r>
              <w:rPr>
                <w:rFonts w:hint="eastAsia" w:ascii="宋体" w:hAnsi="宋体"/>
                <w:szCs w:val="21"/>
              </w:rPr>
              <w:t>平均值/%</w:t>
            </w:r>
          </w:p>
        </w:tc>
        <w:tc>
          <w:tcPr>
            <w:tcW w:w="1284" w:type="dxa"/>
            <w:vAlign w:val="center"/>
          </w:tcPr>
          <w:p>
            <w:pPr>
              <w:jc w:val="center"/>
              <w:rPr>
                <w:rFonts w:ascii="宋体" w:hAnsi="宋体"/>
                <w:szCs w:val="21"/>
              </w:rPr>
            </w:pPr>
            <w:r>
              <w:rPr>
                <w:rFonts w:hint="eastAsia" w:ascii="宋体" w:hAnsi="宋体"/>
                <w:szCs w:val="21"/>
              </w:rPr>
              <w:t xml:space="preserve">SD </w:t>
            </w:r>
          </w:p>
        </w:tc>
        <w:tc>
          <w:tcPr>
            <w:tcW w:w="1497" w:type="dxa"/>
            <w:vAlign w:val="center"/>
          </w:tcPr>
          <w:p>
            <w:pPr>
              <w:jc w:val="center"/>
              <w:rPr>
                <w:rFonts w:ascii="宋体" w:hAnsi="宋体"/>
                <w:szCs w:val="21"/>
              </w:rPr>
            </w:pPr>
            <w:r>
              <w:rPr>
                <w:rFonts w:hint="eastAsia" w:ascii="宋体" w:hAnsi="宋体"/>
                <w:szCs w:val="21"/>
              </w:rPr>
              <w:t>ICP-AES</w:t>
            </w:r>
          </w:p>
          <w:p>
            <w:pPr>
              <w:jc w:val="center"/>
              <w:rPr>
                <w:rFonts w:ascii="宋体" w:hAnsi="宋体"/>
                <w:szCs w:val="21"/>
              </w:rPr>
            </w:pPr>
            <w:r>
              <w:rPr>
                <w:rFonts w:hint="eastAsia" w:ascii="宋体" w:hAnsi="宋体"/>
                <w:szCs w:val="21"/>
              </w:rPr>
              <w:t>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266" w:type="dxa"/>
            <w:vAlign w:val="center"/>
          </w:tcPr>
          <w:p>
            <w:pPr>
              <w:jc w:val="center"/>
              <w:rPr>
                <w:rFonts w:ascii="宋体" w:hAnsi="宋体"/>
                <w:szCs w:val="21"/>
              </w:rPr>
            </w:pPr>
            <w:r>
              <w:rPr>
                <w:rFonts w:hint="eastAsia" w:ascii="宋体" w:hAnsi="宋体"/>
                <w:szCs w:val="21"/>
              </w:rPr>
              <w:t>4020</w:t>
            </w:r>
          </w:p>
        </w:tc>
        <w:tc>
          <w:tcPr>
            <w:tcW w:w="3164" w:type="dxa"/>
          </w:tcPr>
          <w:p>
            <w:pPr>
              <w:rPr>
                <w:rFonts w:ascii="宋体" w:hAnsi="宋体"/>
                <w:szCs w:val="21"/>
              </w:rPr>
            </w:pPr>
            <w:r>
              <w:rPr>
                <w:rFonts w:hint="eastAsia" w:ascii="宋体" w:hAnsi="宋体"/>
                <w:szCs w:val="21"/>
              </w:rPr>
              <w:t>0.00485、0.00484、0.00486、0.00479、0.00478、0.00489、0.00482、0.00468、0.00484、0.00465、0.00473</w:t>
            </w:r>
          </w:p>
        </w:tc>
        <w:tc>
          <w:tcPr>
            <w:tcW w:w="1080" w:type="dxa"/>
            <w:vAlign w:val="center"/>
          </w:tcPr>
          <w:p>
            <w:pPr>
              <w:jc w:val="center"/>
              <w:rPr>
                <w:rFonts w:ascii="宋体" w:hAnsi="宋体"/>
                <w:szCs w:val="21"/>
              </w:rPr>
            </w:pPr>
            <w:r>
              <w:rPr>
                <w:rFonts w:hint="eastAsia" w:ascii="宋体" w:hAnsi="宋体"/>
                <w:szCs w:val="21"/>
              </w:rPr>
              <w:t>0.00479</w:t>
            </w:r>
          </w:p>
        </w:tc>
        <w:tc>
          <w:tcPr>
            <w:tcW w:w="1284" w:type="dxa"/>
            <w:vAlign w:val="center"/>
          </w:tcPr>
          <w:p>
            <w:pPr>
              <w:jc w:val="center"/>
              <w:rPr>
                <w:rFonts w:ascii="宋体" w:hAnsi="宋体"/>
                <w:szCs w:val="21"/>
              </w:rPr>
            </w:pPr>
            <w:r>
              <w:rPr>
                <w:rFonts w:hint="eastAsia" w:ascii="宋体" w:hAnsi="宋体"/>
                <w:szCs w:val="21"/>
              </w:rPr>
              <w:t>0.00007</w:t>
            </w:r>
          </w:p>
        </w:tc>
        <w:tc>
          <w:tcPr>
            <w:tcW w:w="1497" w:type="dxa"/>
            <w:vAlign w:val="center"/>
          </w:tcPr>
          <w:p>
            <w:pPr>
              <w:jc w:val="left"/>
              <w:rPr>
                <w:rFonts w:ascii="宋体" w:hAnsi="宋体"/>
                <w:szCs w:val="21"/>
              </w:rPr>
            </w:pPr>
            <w:r>
              <w:rPr>
                <w:rFonts w:hint="eastAsia" w:ascii="宋体" w:hAnsi="宋体"/>
                <w:szCs w:val="21"/>
              </w:rPr>
              <w:t>0.00484、0.00478、0.00482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211Z.1</w:t>
            </w:r>
          </w:p>
        </w:tc>
        <w:tc>
          <w:tcPr>
            <w:tcW w:w="3164" w:type="dxa"/>
          </w:tcPr>
          <w:p>
            <w:pPr>
              <w:rPr>
                <w:rFonts w:ascii="宋体" w:hAnsi="宋体"/>
                <w:szCs w:val="21"/>
              </w:rPr>
            </w:pPr>
            <w:r>
              <w:rPr>
                <w:rFonts w:hint="eastAsia" w:ascii="宋体" w:hAnsi="宋体"/>
                <w:szCs w:val="21"/>
              </w:rPr>
              <w:t>0.0175、0.0182、0.0174、0.0189、0.0179、0.0182、0.0184、0.0177、0.0188、0.0181、0.0173</w:t>
            </w:r>
          </w:p>
        </w:tc>
        <w:tc>
          <w:tcPr>
            <w:tcW w:w="1080" w:type="dxa"/>
            <w:vAlign w:val="center"/>
          </w:tcPr>
          <w:p>
            <w:pPr>
              <w:jc w:val="center"/>
              <w:rPr>
                <w:rFonts w:ascii="宋体" w:hAnsi="宋体"/>
                <w:szCs w:val="21"/>
              </w:rPr>
            </w:pPr>
            <w:r>
              <w:rPr>
                <w:rFonts w:hint="eastAsia" w:ascii="宋体" w:hAnsi="宋体"/>
                <w:szCs w:val="21"/>
              </w:rPr>
              <w:t>0.0180</w:t>
            </w:r>
          </w:p>
        </w:tc>
        <w:tc>
          <w:tcPr>
            <w:tcW w:w="1284" w:type="dxa"/>
            <w:vAlign w:val="center"/>
          </w:tcPr>
          <w:p>
            <w:pPr>
              <w:jc w:val="center"/>
              <w:rPr>
                <w:rFonts w:ascii="宋体" w:hAnsi="宋体"/>
                <w:szCs w:val="21"/>
              </w:rPr>
            </w:pPr>
            <w:r>
              <w:rPr>
                <w:rFonts w:hint="eastAsia" w:ascii="宋体" w:hAnsi="宋体"/>
                <w:szCs w:val="21"/>
              </w:rPr>
              <w:t>0.0005</w:t>
            </w:r>
          </w:p>
        </w:tc>
        <w:tc>
          <w:tcPr>
            <w:tcW w:w="1497" w:type="dxa"/>
            <w:vAlign w:val="center"/>
          </w:tcPr>
          <w:p>
            <w:pPr>
              <w:jc w:val="left"/>
              <w:rPr>
                <w:rFonts w:ascii="宋体" w:hAnsi="宋体"/>
                <w:szCs w:val="21"/>
              </w:rPr>
            </w:pPr>
            <w:r>
              <w:rPr>
                <w:rFonts w:hint="eastAsia" w:ascii="宋体" w:hAnsi="宋体"/>
                <w:szCs w:val="21"/>
              </w:rPr>
              <w:t>0.0179、0.0182、0.0181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AlSr10Ti1B0.2</w:t>
            </w:r>
          </w:p>
        </w:tc>
        <w:tc>
          <w:tcPr>
            <w:tcW w:w="3164" w:type="dxa"/>
          </w:tcPr>
          <w:p>
            <w:pPr>
              <w:rPr>
                <w:rFonts w:ascii="宋体" w:hAnsi="宋体"/>
                <w:szCs w:val="21"/>
              </w:rPr>
            </w:pPr>
            <w:r>
              <w:rPr>
                <w:rFonts w:hint="eastAsia" w:ascii="宋体" w:hAnsi="宋体"/>
                <w:szCs w:val="21"/>
              </w:rPr>
              <w:t>0.168、0.177、0.179、0.176、0.180、0.176、0.171、0.175、0.174、0.175、0.178</w:t>
            </w:r>
          </w:p>
        </w:tc>
        <w:tc>
          <w:tcPr>
            <w:tcW w:w="1080" w:type="dxa"/>
            <w:vAlign w:val="center"/>
          </w:tcPr>
          <w:p>
            <w:pPr>
              <w:jc w:val="center"/>
              <w:rPr>
                <w:rFonts w:ascii="宋体" w:hAnsi="宋体"/>
                <w:color w:val="0000FF"/>
                <w:szCs w:val="21"/>
              </w:rPr>
            </w:pPr>
            <w:r>
              <w:rPr>
                <w:rFonts w:hint="eastAsia" w:ascii="宋体" w:hAnsi="宋体"/>
                <w:szCs w:val="21"/>
              </w:rPr>
              <w:t>0.175</w:t>
            </w:r>
          </w:p>
        </w:tc>
        <w:tc>
          <w:tcPr>
            <w:tcW w:w="1284" w:type="dxa"/>
            <w:vAlign w:val="center"/>
          </w:tcPr>
          <w:p>
            <w:pPr>
              <w:jc w:val="center"/>
              <w:rPr>
                <w:rFonts w:ascii="宋体" w:hAnsi="宋体"/>
                <w:szCs w:val="21"/>
              </w:rPr>
            </w:pPr>
            <w:r>
              <w:rPr>
                <w:rFonts w:hint="eastAsia" w:ascii="宋体" w:hAnsi="宋体"/>
                <w:szCs w:val="21"/>
              </w:rPr>
              <w:t>0.0035</w:t>
            </w:r>
          </w:p>
        </w:tc>
        <w:tc>
          <w:tcPr>
            <w:tcW w:w="1497" w:type="dxa"/>
            <w:vAlign w:val="center"/>
          </w:tcPr>
          <w:p>
            <w:pPr>
              <w:jc w:val="left"/>
              <w:rPr>
                <w:rFonts w:ascii="宋体" w:hAnsi="宋体"/>
                <w:szCs w:val="21"/>
              </w:rPr>
            </w:pPr>
            <w:r>
              <w:rPr>
                <w:rFonts w:hint="eastAsia" w:ascii="宋体" w:hAnsi="宋体"/>
                <w:szCs w:val="21"/>
              </w:rPr>
              <w:t>0.177、0.176、0.180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AlTi5B1</w:t>
            </w:r>
          </w:p>
        </w:tc>
        <w:tc>
          <w:tcPr>
            <w:tcW w:w="3164" w:type="dxa"/>
          </w:tcPr>
          <w:p>
            <w:pPr>
              <w:rPr>
                <w:rFonts w:ascii="宋体" w:hAnsi="宋体"/>
                <w:szCs w:val="21"/>
              </w:rPr>
            </w:pPr>
            <w:r>
              <w:rPr>
                <w:rFonts w:hint="eastAsia" w:ascii="宋体" w:hAnsi="宋体"/>
                <w:szCs w:val="21"/>
              </w:rPr>
              <w:t>1.163、1.161、1.165、1.163、1.159、1.164、1.155、1.166、1.156、1.164、1.157</w:t>
            </w:r>
          </w:p>
        </w:tc>
        <w:tc>
          <w:tcPr>
            <w:tcW w:w="1080" w:type="dxa"/>
            <w:vAlign w:val="center"/>
          </w:tcPr>
          <w:p>
            <w:pPr>
              <w:jc w:val="center"/>
              <w:rPr>
                <w:rFonts w:ascii="宋体" w:hAnsi="宋体"/>
                <w:color w:val="0000FF"/>
                <w:szCs w:val="21"/>
              </w:rPr>
            </w:pPr>
            <w:r>
              <w:rPr>
                <w:rFonts w:hint="eastAsia" w:ascii="宋体" w:hAnsi="宋体"/>
                <w:szCs w:val="21"/>
              </w:rPr>
              <w:t>1.161</w:t>
            </w:r>
          </w:p>
        </w:tc>
        <w:tc>
          <w:tcPr>
            <w:tcW w:w="1284" w:type="dxa"/>
            <w:vAlign w:val="center"/>
          </w:tcPr>
          <w:p>
            <w:pPr>
              <w:jc w:val="center"/>
              <w:rPr>
                <w:rFonts w:ascii="宋体" w:hAnsi="宋体"/>
                <w:szCs w:val="21"/>
              </w:rPr>
            </w:pPr>
            <w:r>
              <w:rPr>
                <w:rFonts w:hint="eastAsia" w:ascii="宋体" w:hAnsi="宋体"/>
                <w:szCs w:val="21"/>
              </w:rPr>
              <w:t>0.0038</w:t>
            </w:r>
          </w:p>
        </w:tc>
        <w:tc>
          <w:tcPr>
            <w:tcW w:w="1497" w:type="dxa"/>
            <w:vAlign w:val="center"/>
          </w:tcPr>
          <w:p>
            <w:pPr>
              <w:jc w:val="left"/>
              <w:rPr>
                <w:rFonts w:ascii="宋体" w:hAnsi="宋体"/>
                <w:szCs w:val="21"/>
              </w:rPr>
            </w:pPr>
            <w:r>
              <w:rPr>
                <w:rFonts w:hint="eastAsia" w:ascii="宋体" w:hAnsi="宋体"/>
                <w:szCs w:val="21"/>
              </w:rPr>
              <w:t>1.163、1.166、1.157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66" w:type="dxa"/>
            <w:vAlign w:val="center"/>
          </w:tcPr>
          <w:p>
            <w:pPr>
              <w:jc w:val="center"/>
              <w:rPr>
                <w:rFonts w:ascii="宋体" w:hAnsi="宋体"/>
                <w:szCs w:val="21"/>
              </w:rPr>
            </w:pPr>
            <w:r>
              <w:rPr>
                <w:rFonts w:hint="eastAsia" w:ascii="宋体" w:hAnsi="宋体"/>
                <w:szCs w:val="21"/>
              </w:rPr>
              <w:t>AlB3</w:t>
            </w:r>
          </w:p>
        </w:tc>
        <w:tc>
          <w:tcPr>
            <w:tcW w:w="3164" w:type="dxa"/>
          </w:tcPr>
          <w:p>
            <w:pPr>
              <w:rPr>
                <w:rFonts w:ascii="宋体" w:hAnsi="宋体"/>
                <w:szCs w:val="21"/>
              </w:rPr>
            </w:pPr>
            <w:r>
              <w:rPr>
                <w:rFonts w:hint="eastAsia" w:ascii="宋体" w:hAnsi="宋体"/>
                <w:szCs w:val="21"/>
              </w:rPr>
              <w:t>3.164、3.157、3.179、3.166、3.182、3.148、3.158、3.147、3.169、3.147、3.167</w:t>
            </w:r>
          </w:p>
        </w:tc>
        <w:tc>
          <w:tcPr>
            <w:tcW w:w="1080" w:type="dxa"/>
            <w:vAlign w:val="center"/>
          </w:tcPr>
          <w:p>
            <w:pPr>
              <w:jc w:val="center"/>
              <w:rPr>
                <w:rFonts w:ascii="宋体" w:hAnsi="宋体"/>
                <w:color w:val="0000FF"/>
                <w:szCs w:val="21"/>
              </w:rPr>
            </w:pPr>
            <w:r>
              <w:rPr>
                <w:rFonts w:hint="eastAsia" w:ascii="宋体" w:hAnsi="宋体"/>
                <w:szCs w:val="21"/>
              </w:rPr>
              <w:t>3.162</w:t>
            </w:r>
          </w:p>
        </w:tc>
        <w:tc>
          <w:tcPr>
            <w:tcW w:w="1284" w:type="dxa"/>
            <w:vAlign w:val="center"/>
          </w:tcPr>
          <w:p>
            <w:pPr>
              <w:jc w:val="center"/>
              <w:rPr>
                <w:rFonts w:ascii="宋体" w:hAnsi="宋体"/>
                <w:szCs w:val="21"/>
              </w:rPr>
            </w:pPr>
            <w:r>
              <w:rPr>
                <w:rFonts w:hint="eastAsia" w:ascii="宋体" w:hAnsi="宋体"/>
                <w:szCs w:val="21"/>
              </w:rPr>
              <w:t>0.012</w:t>
            </w:r>
          </w:p>
        </w:tc>
        <w:tc>
          <w:tcPr>
            <w:tcW w:w="1497" w:type="dxa"/>
            <w:vAlign w:val="center"/>
          </w:tcPr>
          <w:p>
            <w:pPr>
              <w:jc w:val="left"/>
              <w:rPr>
                <w:rFonts w:ascii="宋体" w:hAnsi="宋体"/>
                <w:szCs w:val="21"/>
              </w:rPr>
            </w:pPr>
            <w:r>
              <w:rPr>
                <w:rFonts w:hint="eastAsia" w:ascii="宋体" w:hAnsi="宋体"/>
                <w:szCs w:val="21"/>
              </w:rPr>
              <w:t>3.157、3.166、3.167</w:t>
            </w:r>
          </w:p>
        </w:tc>
      </w:tr>
    </w:tbl>
    <w:p>
      <w:pPr>
        <w:ind w:firstLine="3255" w:firstLineChars="1550"/>
        <w:rPr>
          <w:rFonts w:ascii="宋体" w:hAnsi="宋体"/>
          <w:szCs w:val="21"/>
        </w:rPr>
      </w:pPr>
    </w:p>
    <w:p>
      <w:pPr>
        <w:ind w:firstLine="3255" w:firstLineChars="1550"/>
        <w:rPr>
          <w:rFonts w:ascii="宋体" w:hAnsi="宋体"/>
          <w:szCs w:val="21"/>
        </w:rPr>
      </w:pPr>
      <w:r>
        <w:rPr>
          <w:rFonts w:hint="eastAsia" w:ascii="宋体" w:hAnsi="宋体"/>
          <w:szCs w:val="21"/>
        </w:rPr>
        <w:t>表7  加标</w:t>
      </w:r>
      <w:r>
        <w:rPr>
          <w:rFonts w:ascii="宋体" w:hAnsi="宋体"/>
          <w:szCs w:val="21"/>
        </w:rPr>
        <w:t>回收率试验</w:t>
      </w:r>
    </w:p>
    <w:tbl>
      <w:tblPr>
        <w:tblStyle w:val="20"/>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vAlign w:val="center"/>
          </w:tcPr>
          <w:p>
            <w:pPr>
              <w:jc w:val="center"/>
              <w:rPr>
                <w:rFonts w:ascii="宋体" w:hAnsi="宋体"/>
                <w:szCs w:val="21"/>
              </w:rPr>
            </w:pPr>
            <w:r>
              <w:rPr>
                <w:rFonts w:hint="eastAsia" w:ascii="宋体" w:hAnsi="宋体"/>
                <w:szCs w:val="21"/>
              </w:rPr>
              <w:t>样品编号</w:t>
            </w:r>
          </w:p>
        </w:tc>
        <w:tc>
          <w:tcPr>
            <w:tcW w:w="1705" w:type="dxa"/>
            <w:vAlign w:val="center"/>
          </w:tcPr>
          <w:p>
            <w:pPr>
              <w:ind w:firstLine="105" w:firstLineChars="50"/>
              <w:jc w:val="center"/>
              <w:rPr>
                <w:rFonts w:ascii="宋体" w:hAnsi="宋体"/>
                <w:szCs w:val="21"/>
              </w:rPr>
            </w:pPr>
            <w:r>
              <w:rPr>
                <w:rFonts w:hint="eastAsia" w:ascii="宋体" w:hAnsi="宋体"/>
                <w:szCs w:val="21"/>
              </w:rPr>
              <w:t>硼</w:t>
            </w:r>
            <w:r>
              <w:rPr>
                <w:rFonts w:ascii="宋体" w:hAnsi="宋体"/>
                <w:szCs w:val="21"/>
              </w:rPr>
              <w:t>含量</w:t>
            </w:r>
            <w:r>
              <w:rPr>
                <w:rFonts w:hint="eastAsia" w:ascii="宋体" w:hAnsi="宋体"/>
                <w:szCs w:val="21"/>
              </w:rPr>
              <w:t>标准</w:t>
            </w:r>
            <w:r>
              <w:rPr>
                <w:rFonts w:ascii="宋体" w:hAnsi="宋体"/>
                <w:szCs w:val="21"/>
              </w:rPr>
              <w:t>值</w:t>
            </w:r>
          </w:p>
          <w:p>
            <w:pPr>
              <w:ind w:firstLine="105" w:firstLineChars="50"/>
              <w:jc w:val="center"/>
              <w:rPr>
                <w:rFonts w:ascii="宋体" w:hAnsi="宋体"/>
                <w:szCs w:val="21"/>
              </w:rPr>
            </w:pPr>
            <w:r>
              <w:rPr>
                <w:rFonts w:ascii="宋体" w:hAnsi="宋体"/>
                <w:szCs w:val="21"/>
              </w:rPr>
              <w:t>（</w:t>
            </w:r>
            <w:r>
              <w:rPr>
                <w:rFonts w:hint="eastAsia" w:ascii="宋体" w:hAnsi="宋体"/>
                <w:szCs w:val="21"/>
              </w:rPr>
              <w:t>%</w:t>
            </w:r>
            <w:r>
              <w:rPr>
                <w:rFonts w:ascii="宋体" w:hAnsi="宋体"/>
                <w:szCs w:val="21"/>
              </w:rPr>
              <w:t>）</w:t>
            </w:r>
          </w:p>
        </w:tc>
        <w:tc>
          <w:tcPr>
            <w:tcW w:w="1706" w:type="dxa"/>
            <w:vAlign w:val="center"/>
          </w:tcPr>
          <w:p>
            <w:pPr>
              <w:jc w:val="center"/>
              <w:rPr>
                <w:rFonts w:ascii="宋体" w:hAnsi="宋体"/>
                <w:szCs w:val="21"/>
              </w:rPr>
            </w:pPr>
            <w:r>
              <w:rPr>
                <w:rFonts w:hint="eastAsia" w:ascii="宋体" w:hAnsi="宋体"/>
                <w:szCs w:val="21"/>
              </w:rPr>
              <w:t>加入量</w:t>
            </w:r>
          </w:p>
          <w:p>
            <w:pPr>
              <w:jc w:val="center"/>
              <w:rPr>
                <w:rFonts w:ascii="宋体" w:hAnsi="宋体"/>
                <w:szCs w:val="21"/>
              </w:rPr>
            </w:pPr>
            <w:r>
              <w:rPr>
                <w:rFonts w:ascii="宋体" w:hAnsi="宋体"/>
                <w:szCs w:val="21"/>
              </w:rPr>
              <w:t>（</w:t>
            </w:r>
            <w:r>
              <w:rPr>
                <w:rFonts w:hint="eastAsia" w:ascii="宋体" w:hAnsi="宋体"/>
                <w:szCs w:val="21"/>
              </w:rPr>
              <w:t>%</w:t>
            </w:r>
            <w:r>
              <w:rPr>
                <w:rFonts w:ascii="宋体" w:hAnsi="宋体"/>
                <w:szCs w:val="21"/>
              </w:rPr>
              <w:t>）</w:t>
            </w:r>
          </w:p>
        </w:tc>
        <w:tc>
          <w:tcPr>
            <w:tcW w:w="1706" w:type="dxa"/>
            <w:vAlign w:val="center"/>
          </w:tcPr>
          <w:p>
            <w:pPr>
              <w:jc w:val="center"/>
              <w:rPr>
                <w:rFonts w:ascii="宋体" w:hAnsi="宋体"/>
                <w:szCs w:val="21"/>
              </w:rPr>
            </w:pPr>
            <w:r>
              <w:rPr>
                <w:rFonts w:hint="eastAsia" w:ascii="宋体" w:hAnsi="宋体"/>
                <w:szCs w:val="21"/>
              </w:rPr>
              <w:t>测定值</w:t>
            </w:r>
          </w:p>
          <w:p>
            <w:pPr>
              <w:jc w:val="center"/>
              <w:rPr>
                <w:rFonts w:ascii="宋体" w:hAnsi="宋体"/>
                <w:szCs w:val="21"/>
              </w:rPr>
            </w:pPr>
            <w:r>
              <w:rPr>
                <w:rFonts w:ascii="宋体" w:hAnsi="宋体"/>
                <w:szCs w:val="21"/>
              </w:rPr>
              <w:t>（</w:t>
            </w:r>
            <w:r>
              <w:rPr>
                <w:rFonts w:hint="eastAsia" w:ascii="宋体" w:hAnsi="宋体"/>
                <w:szCs w:val="21"/>
              </w:rPr>
              <w:t>%</w:t>
            </w:r>
            <w:r>
              <w:rPr>
                <w:rFonts w:ascii="宋体" w:hAnsi="宋体"/>
                <w:szCs w:val="21"/>
              </w:rPr>
              <w:t>）</w:t>
            </w:r>
          </w:p>
        </w:tc>
        <w:tc>
          <w:tcPr>
            <w:tcW w:w="1706" w:type="dxa"/>
            <w:vAlign w:val="center"/>
          </w:tcPr>
          <w:p>
            <w:pPr>
              <w:jc w:val="center"/>
              <w:rPr>
                <w:rFonts w:ascii="宋体" w:hAnsi="宋体"/>
                <w:szCs w:val="21"/>
              </w:rPr>
            </w:pPr>
            <w:r>
              <w:rPr>
                <w:rFonts w:hint="eastAsia" w:ascii="宋体" w:hAnsi="宋体"/>
                <w:szCs w:val="21"/>
              </w:rPr>
              <w:t>回收率</w:t>
            </w:r>
          </w:p>
          <w:p>
            <w:pPr>
              <w:jc w:val="center"/>
              <w:rPr>
                <w:rFonts w:ascii="宋体" w:hAnsi="宋体"/>
                <w:szCs w:val="21"/>
              </w:rPr>
            </w:pPr>
            <w:r>
              <w:rPr>
                <w:rFonts w:ascii="宋体" w:hAnsi="宋体"/>
                <w:szCs w:val="21"/>
              </w:rPr>
              <w:t>（</w:t>
            </w:r>
            <w:r>
              <w:rPr>
                <w:rFonts w:hint="eastAsia" w:ascii="宋体" w:hAnsi="宋体"/>
                <w:szCs w:val="21"/>
              </w:rPr>
              <w:t>%</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597" w:type="dxa"/>
            <w:vMerge w:val="restart"/>
            <w:vAlign w:val="center"/>
          </w:tcPr>
          <w:p>
            <w:pPr>
              <w:jc w:val="center"/>
              <w:rPr>
                <w:rFonts w:ascii="宋体" w:hAnsi="宋体"/>
                <w:szCs w:val="21"/>
              </w:rPr>
            </w:pPr>
            <w:r>
              <w:rPr>
                <w:rFonts w:hint="eastAsia" w:ascii="宋体" w:hAnsi="宋体"/>
                <w:szCs w:val="21"/>
              </w:rPr>
              <w:t>211Z.1</w:t>
            </w:r>
          </w:p>
        </w:tc>
        <w:tc>
          <w:tcPr>
            <w:tcW w:w="1705" w:type="dxa"/>
            <w:vMerge w:val="restart"/>
            <w:vAlign w:val="center"/>
          </w:tcPr>
          <w:p>
            <w:pPr>
              <w:jc w:val="center"/>
              <w:rPr>
                <w:rFonts w:ascii="宋体" w:hAnsi="宋体"/>
                <w:szCs w:val="21"/>
              </w:rPr>
            </w:pPr>
            <w:r>
              <w:rPr>
                <w:rFonts w:hint="eastAsia" w:ascii="宋体" w:hAnsi="宋体"/>
                <w:szCs w:val="21"/>
              </w:rPr>
              <w:t>0.0180</w:t>
            </w:r>
          </w:p>
        </w:tc>
        <w:tc>
          <w:tcPr>
            <w:tcW w:w="1706" w:type="dxa"/>
            <w:vAlign w:val="center"/>
          </w:tcPr>
          <w:p>
            <w:pPr>
              <w:jc w:val="center"/>
              <w:rPr>
                <w:rFonts w:ascii="宋体" w:hAnsi="宋体"/>
                <w:szCs w:val="21"/>
              </w:rPr>
            </w:pPr>
            <w:r>
              <w:rPr>
                <w:rFonts w:hint="eastAsia" w:ascii="宋体" w:hAnsi="宋体"/>
                <w:szCs w:val="21"/>
              </w:rPr>
              <w:t>0.5</w:t>
            </w:r>
          </w:p>
        </w:tc>
        <w:tc>
          <w:tcPr>
            <w:tcW w:w="1706" w:type="dxa"/>
            <w:vAlign w:val="center"/>
          </w:tcPr>
          <w:p>
            <w:pPr>
              <w:jc w:val="center"/>
              <w:rPr>
                <w:rFonts w:ascii="宋体" w:hAnsi="宋体"/>
                <w:szCs w:val="21"/>
              </w:rPr>
            </w:pPr>
            <w:r>
              <w:rPr>
                <w:rFonts w:hint="eastAsia" w:ascii="宋体" w:hAnsi="宋体"/>
                <w:szCs w:val="21"/>
              </w:rPr>
              <w:t>0.5214</w:t>
            </w:r>
          </w:p>
        </w:tc>
        <w:tc>
          <w:tcPr>
            <w:tcW w:w="1706" w:type="dxa"/>
            <w:vAlign w:val="center"/>
          </w:tcPr>
          <w:p>
            <w:pPr>
              <w:jc w:val="center"/>
              <w:rPr>
                <w:rFonts w:ascii="宋体" w:hAnsi="宋体"/>
                <w:szCs w:val="21"/>
              </w:rPr>
            </w:pPr>
            <w:r>
              <w:rPr>
                <w:rFonts w:hint="eastAsia" w:ascii="宋体" w:hAnsi="宋体"/>
                <w:szCs w:val="21"/>
              </w:rPr>
              <w:t>100.66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597" w:type="dxa"/>
            <w:vMerge w:val="continue"/>
            <w:vAlign w:val="center"/>
          </w:tcPr>
          <w:p>
            <w:pPr>
              <w:jc w:val="center"/>
              <w:rPr>
                <w:rFonts w:ascii="宋体" w:hAnsi="宋体"/>
                <w:szCs w:val="21"/>
              </w:rPr>
            </w:pPr>
          </w:p>
        </w:tc>
        <w:tc>
          <w:tcPr>
            <w:tcW w:w="1705" w:type="dxa"/>
            <w:vMerge w:val="continue"/>
            <w:vAlign w:val="center"/>
          </w:tcPr>
          <w:p>
            <w:pPr>
              <w:jc w:val="center"/>
              <w:rPr>
                <w:rFonts w:ascii="宋体" w:hAnsi="宋体"/>
                <w:szCs w:val="21"/>
              </w:rPr>
            </w:pPr>
          </w:p>
        </w:tc>
        <w:tc>
          <w:tcPr>
            <w:tcW w:w="1706" w:type="dxa"/>
            <w:vAlign w:val="center"/>
          </w:tcPr>
          <w:p>
            <w:pPr>
              <w:jc w:val="center"/>
              <w:rPr>
                <w:rFonts w:ascii="宋体" w:hAnsi="宋体"/>
                <w:szCs w:val="21"/>
              </w:rPr>
            </w:pPr>
            <w:r>
              <w:rPr>
                <w:rFonts w:hint="eastAsia" w:ascii="宋体" w:hAnsi="宋体"/>
                <w:szCs w:val="21"/>
              </w:rPr>
              <w:t>1.0</w:t>
            </w:r>
          </w:p>
        </w:tc>
        <w:tc>
          <w:tcPr>
            <w:tcW w:w="1706" w:type="dxa"/>
            <w:vAlign w:val="center"/>
          </w:tcPr>
          <w:p>
            <w:pPr>
              <w:jc w:val="center"/>
              <w:rPr>
                <w:rFonts w:ascii="宋体" w:hAnsi="宋体"/>
                <w:szCs w:val="21"/>
              </w:rPr>
            </w:pPr>
            <w:r>
              <w:rPr>
                <w:rFonts w:hint="eastAsia" w:ascii="宋体" w:hAnsi="宋体"/>
                <w:szCs w:val="21"/>
              </w:rPr>
              <w:t>1.0085</w:t>
            </w:r>
          </w:p>
        </w:tc>
        <w:tc>
          <w:tcPr>
            <w:tcW w:w="1706" w:type="dxa"/>
            <w:vAlign w:val="center"/>
          </w:tcPr>
          <w:p>
            <w:pPr>
              <w:jc w:val="center"/>
              <w:rPr>
                <w:rFonts w:ascii="宋体" w:hAnsi="宋体"/>
                <w:szCs w:val="21"/>
              </w:rPr>
            </w:pPr>
            <w:r>
              <w:rPr>
                <w:rFonts w:hint="eastAsia" w:ascii="宋体" w:hAnsi="宋体"/>
                <w:szCs w:val="21"/>
              </w:rPr>
              <w:t>99.07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597" w:type="dxa"/>
            <w:vMerge w:val="continue"/>
            <w:vAlign w:val="center"/>
          </w:tcPr>
          <w:p>
            <w:pPr>
              <w:jc w:val="center"/>
              <w:rPr>
                <w:rFonts w:ascii="宋体" w:hAnsi="宋体"/>
                <w:szCs w:val="21"/>
              </w:rPr>
            </w:pPr>
          </w:p>
        </w:tc>
        <w:tc>
          <w:tcPr>
            <w:tcW w:w="1705" w:type="dxa"/>
            <w:vMerge w:val="continue"/>
            <w:vAlign w:val="center"/>
          </w:tcPr>
          <w:p>
            <w:pPr>
              <w:jc w:val="center"/>
              <w:rPr>
                <w:rFonts w:ascii="宋体" w:hAnsi="宋体"/>
                <w:szCs w:val="21"/>
              </w:rPr>
            </w:pPr>
          </w:p>
        </w:tc>
        <w:tc>
          <w:tcPr>
            <w:tcW w:w="1706" w:type="dxa"/>
            <w:vAlign w:val="center"/>
          </w:tcPr>
          <w:p>
            <w:pPr>
              <w:jc w:val="center"/>
              <w:rPr>
                <w:rFonts w:ascii="宋体" w:hAnsi="宋体"/>
                <w:szCs w:val="21"/>
              </w:rPr>
            </w:pPr>
            <w:r>
              <w:rPr>
                <w:rFonts w:hint="eastAsia" w:ascii="宋体" w:hAnsi="宋体"/>
                <w:szCs w:val="21"/>
              </w:rPr>
              <w:t>1.5</w:t>
            </w:r>
          </w:p>
        </w:tc>
        <w:tc>
          <w:tcPr>
            <w:tcW w:w="1706" w:type="dxa"/>
            <w:vAlign w:val="center"/>
          </w:tcPr>
          <w:p>
            <w:pPr>
              <w:jc w:val="center"/>
              <w:rPr>
                <w:rFonts w:ascii="宋体" w:hAnsi="宋体"/>
                <w:szCs w:val="21"/>
              </w:rPr>
            </w:pPr>
            <w:r>
              <w:rPr>
                <w:rFonts w:hint="eastAsia" w:ascii="宋体" w:hAnsi="宋体"/>
                <w:szCs w:val="21"/>
              </w:rPr>
              <w:t>1.5350</w:t>
            </w:r>
          </w:p>
        </w:tc>
        <w:tc>
          <w:tcPr>
            <w:tcW w:w="1706" w:type="dxa"/>
            <w:vAlign w:val="center"/>
          </w:tcPr>
          <w:p>
            <w:pPr>
              <w:jc w:val="center"/>
              <w:rPr>
                <w:rFonts w:ascii="宋体" w:hAnsi="宋体"/>
                <w:szCs w:val="21"/>
              </w:rPr>
            </w:pPr>
            <w:r>
              <w:rPr>
                <w:rFonts w:hint="eastAsia" w:ascii="宋体" w:hAnsi="宋体"/>
                <w:szCs w:val="21"/>
              </w:rPr>
              <w:t>101.12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597" w:type="dxa"/>
            <w:vMerge w:val="restart"/>
            <w:vAlign w:val="center"/>
          </w:tcPr>
          <w:p>
            <w:pPr>
              <w:jc w:val="center"/>
              <w:rPr>
                <w:rFonts w:ascii="宋体" w:hAnsi="宋体"/>
                <w:szCs w:val="21"/>
              </w:rPr>
            </w:pPr>
            <w:r>
              <w:rPr>
                <w:rFonts w:hint="eastAsia" w:ascii="宋体" w:hAnsi="宋体"/>
                <w:szCs w:val="21"/>
              </w:rPr>
              <w:t>AlSr10Ti1B0.2</w:t>
            </w:r>
          </w:p>
        </w:tc>
        <w:tc>
          <w:tcPr>
            <w:tcW w:w="1705" w:type="dxa"/>
            <w:vMerge w:val="restart"/>
            <w:vAlign w:val="center"/>
          </w:tcPr>
          <w:p>
            <w:pPr>
              <w:jc w:val="center"/>
              <w:rPr>
                <w:rFonts w:ascii="宋体" w:hAnsi="宋体"/>
                <w:szCs w:val="21"/>
              </w:rPr>
            </w:pPr>
            <w:r>
              <w:rPr>
                <w:rFonts w:hint="eastAsia" w:ascii="宋体" w:hAnsi="宋体"/>
                <w:szCs w:val="21"/>
              </w:rPr>
              <w:t>0.175</w:t>
            </w:r>
          </w:p>
        </w:tc>
        <w:tc>
          <w:tcPr>
            <w:tcW w:w="1706" w:type="dxa"/>
            <w:vAlign w:val="center"/>
          </w:tcPr>
          <w:p>
            <w:pPr>
              <w:jc w:val="center"/>
              <w:rPr>
                <w:rFonts w:ascii="宋体" w:hAnsi="宋体"/>
                <w:szCs w:val="21"/>
              </w:rPr>
            </w:pPr>
            <w:r>
              <w:rPr>
                <w:rFonts w:hint="eastAsia" w:ascii="宋体" w:hAnsi="宋体"/>
                <w:szCs w:val="21"/>
              </w:rPr>
              <w:t>1.0</w:t>
            </w:r>
          </w:p>
        </w:tc>
        <w:tc>
          <w:tcPr>
            <w:tcW w:w="1706" w:type="dxa"/>
            <w:vAlign w:val="center"/>
          </w:tcPr>
          <w:p>
            <w:pPr>
              <w:jc w:val="center"/>
              <w:rPr>
                <w:rFonts w:ascii="宋体" w:hAnsi="宋体"/>
                <w:szCs w:val="21"/>
              </w:rPr>
            </w:pPr>
            <w:r>
              <w:rPr>
                <w:rFonts w:hint="eastAsia" w:ascii="宋体" w:hAnsi="宋体"/>
                <w:szCs w:val="21"/>
              </w:rPr>
              <w:t>1.155</w:t>
            </w:r>
          </w:p>
        </w:tc>
        <w:tc>
          <w:tcPr>
            <w:tcW w:w="1706" w:type="dxa"/>
            <w:vAlign w:val="center"/>
          </w:tcPr>
          <w:p>
            <w:pPr>
              <w:jc w:val="center"/>
              <w:rPr>
                <w:rFonts w:ascii="宋体" w:hAnsi="宋体"/>
                <w:szCs w:val="21"/>
              </w:rPr>
            </w:pPr>
            <w:r>
              <w:rPr>
                <w:rFonts w:hint="eastAsia" w:ascii="宋体" w:hAnsi="宋体"/>
                <w:szCs w:val="21"/>
              </w:rPr>
              <w:t>98.29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597" w:type="dxa"/>
            <w:vMerge w:val="continue"/>
          </w:tcPr>
          <w:p>
            <w:pPr>
              <w:rPr>
                <w:rFonts w:ascii="宋体" w:hAnsi="宋体"/>
                <w:szCs w:val="21"/>
              </w:rPr>
            </w:pPr>
          </w:p>
        </w:tc>
        <w:tc>
          <w:tcPr>
            <w:tcW w:w="1705" w:type="dxa"/>
            <w:vMerge w:val="continue"/>
          </w:tcPr>
          <w:p>
            <w:pPr>
              <w:rPr>
                <w:rFonts w:ascii="宋体" w:hAnsi="宋体"/>
                <w:szCs w:val="21"/>
              </w:rPr>
            </w:pPr>
          </w:p>
        </w:tc>
        <w:tc>
          <w:tcPr>
            <w:tcW w:w="1706" w:type="dxa"/>
            <w:vAlign w:val="center"/>
          </w:tcPr>
          <w:p>
            <w:pPr>
              <w:jc w:val="center"/>
              <w:rPr>
                <w:rFonts w:ascii="宋体" w:hAnsi="宋体"/>
                <w:szCs w:val="21"/>
              </w:rPr>
            </w:pPr>
            <w:r>
              <w:rPr>
                <w:rFonts w:hint="eastAsia" w:ascii="宋体" w:hAnsi="宋体"/>
                <w:szCs w:val="21"/>
              </w:rPr>
              <w:t>2.0</w:t>
            </w:r>
          </w:p>
        </w:tc>
        <w:tc>
          <w:tcPr>
            <w:tcW w:w="1706" w:type="dxa"/>
            <w:vAlign w:val="center"/>
          </w:tcPr>
          <w:p>
            <w:pPr>
              <w:jc w:val="center"/>
              <w:rPr>
                <w:rFonts w:ascii="宋体" w:hAnsi="宋体"/>
                <w:szCs w:val="21"/>
              </w:rPr>
            </w:pPr>
            <w:r>
              <w:rPr>
                <w:rFonts w:hint="eastAsia" w:ascii="宋体" w:hAnsi="宋体"/>
                <w:szCs w:val="21"/>
              </w:rPr>
              <w:t>2.210</w:t>
            </w:r>
          </w:p>
        </w:tc>
        <w:tc>
          <w:tcPr>
            <w:tcW w:w="1706" w:type="dxa"/>
            <w:vAlign w:val="center"/>
          </w:tcPr>
          <w:p>
            <w:pPr>
              <w:jc w:val="center"/>
              <w:rPr>
                <w:rFonts w:ascii="宋体" w:hAnsi="宋体"/>
                <w:szCs w:val="21"/>
              </w:rPr>
            </w:pPr>
            <w:r>
              <w:rPr>
                <w:rFonts w:hint="eastAsia" w:ascii="宋体" w:hAnsi="宋体"/>
                <w:szCs w:val="21"/>
              </w:rPr>
              <w:t>101.61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597" w:type="dxa"/>
            <w:vMerge w:val="restart"/>
            <w:vAlign w:val="center"/>
          </w:tcPr>
          <w:p>
            <w:pPr>
              <w:jc w:val="center"/>
              <w:rPr>
                <w:rFonts w:ascii="宋体" w:hAnsi="宋体"/>
                <w:szCs w:val="21"/>
              </w:rPr>
            </w:pPr>
            <w:r>
              <w:rPr>
                <w:rFonts w:hint="eastAsia" w:ascii="宋体" w:hAnsi="宋体"/>
                <w:szCs w:val="21"/>
              </w:rPr>
              <w:t>AlTi5B1</w:t>
            </w:r>
          </w:p>
        </w:tc>
        <w:tc>
          <w:tcPr>
            <w:tcW w:w="1705" w:type="dxa"/>
            <w:vMerge w:val="restart"/>
            <w:vAlign w:val="center"/>
          </w:tcPr>
          <w:p>
            <w:pPr>
              <w:jc w:val="center"/>
              <w:rPr>
                <w:rFonts w:ascii="宋体" w:hAnsi="宋体"/>
                <w:szCs w:val="21"/>
              </w:rPr>
            </w:pPr>
            <w:r>
              <w:rPr>
                <w:rFonts w:hint="eastAsia" w:ascii="宋体" w:hAnsi="宋体"/>
                <w:szCs w:val="21"/>
              </w:rPr>
              <w:t>1.161</w:t>
            </w:r>
          </w:p>
        </w:tc>
        <w:tc>
          <w:tcPr>
            <w:tcW w:w="1706" w:type="dxa"/>
            <w:vAlign w:val="center"/>
          </w:tcPr>
          <w:p>
            <w:pPr>
              <w:jc w:val="center"/>
              <w:rPr>
                <w:rFonts w:ascii="宋体" w:hAnsi="宋体"/>
                <w:szCs w:val="21"/>
              </w:rPr>
            </w:pPr>
            <w:r>
              <w:rPr>
                <w:rFonts w:hint="eastAsia" w:ascii="宋体" w:hAnsi="宋体"/>
                <w:szCs w:val="21"/>
              </w:rPr>
              <w:t>0.5</w:t>
            </w:r>
          </w:p>
        </w:tc>
        <w:tc>
          <w:tcPr>
            <w:tcW w:w="1706" w:type="dxa"/>
            <w:vAlign w:val="center"/>
          </w:tcPr>
          <w:p>
            <w:pPr>
              <w:jc w:val="center"/>
              <w:rPr>
                <w:rFonts w:ascii="宋体" w:hAnsi="宋体"/>
                <w:szCs w:val="21"/>
              </w:rPr>
            </w:pPr>
            <w:r>
              <w:rPr>
                <w:rFonts w:hint="eastAsia" w:ascii="宋体" w:hAnsi="宋体"/>
                <w:szCs w:val="21"/>
              </w:rPr>
              <w:t>1.621</w:t>
            </w:r>
          </w:p>
        </w:tc>
        <w:tc>
          <w:tcPr>
            <w:tcW w:w="1706" w:type="dxa"/>
            <w:vAlign w:val="center"/>
          </w:tcPr>
          <w:p>
            <w:pPr>
              <w:jc w:val="center"/>
              <w:rPr>
                <w:rFonts w:ascii="宋体" w:hAnsi="宋体"/>
                <w:szCs w:val="21"/>
              </w:rPr>
            </w:pPr>
            <w:r>
              <w:rPr>
                <w:rFonts w:hint="eastAsia" w:ascii="宋体" w:hAnsi="宋体"/>
                <w:szCs w:val="21"/>
              </w:rPr>
              <w:t>97.59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597" w:type="dxa"/>
            <w:vMerge w:val="continue"/>
          </w:tcPr>
          <w:p>
            <w:pPr>
              <w:rPr>
                <w:rFonts w:ascii="宋体" w:hAnsi="宋体"/>
                <w:szCs w:val="21"/>
              </w:rPr>
            </w:pPr>
          </w:p>
        </w:tc>
        <w:tc>
          <w:tcPr>
            <w:tcW w:w="1705" w:type="dxa"/>
            <w:vMerge w:val="continue"/>
          </w:tcPr>
          <w:p>
            <w:pPr>
              <w:rPr>
                <w:rFonts w:ascii="宋体" w:hAnsi="宋体"/>
                <w:szCs w:val="21"/>
              </w:rPr>
            </w:pPr>
          </w:p>
        </w:tc>
        <w:tc>
          <w:tcPr>
            <w:tcW w:w="1706" w:type="dxa"/>
            <w:vAlign w:val="center"/>
          </w:tcPr>
          <w:p>
            <w:pPr>
              <w:jc w:val="center"/>
              <w:rPr>
                <w:rFonts w:ascii="宋体" w:hAnsi="宋体"/>
                <w:szCs w:val="21"/>
              </w:rPr>
            </w:pPr>
            <w:r>
              <w:rPr>
                <w:rFonts w:hint="eastAsia" w:ascii="宋体" w:hAnsi="宋体"/>
                <w:szCs w:val="21"/>
              </w:rPr>
              <w:t>1.5</w:t>
            </w:r>
          </w:p>
        </w:tc>
        <w:tc>
          <w:tcPr>
            <w:tcW w:w="1706" w:type="dxa"/>
            <w:vAlign w:val="center"/>
          </w:tcPr>
          <w:p>
            <w:pPr>
              <w:jc w:val="center"/>
              <w:rPr>
                <w:rFonts w:ascii="宋体" w:hAnsi="宋体"/>
                <w:szCs w:val="21"/>
              </w:rPr>
            </w:pPr>
            <w:r>
              <w:rPr>
                <w:rFonts w:hint="eastAsia" w:ascii="宋体" w:hAnsi="宋体"/>
                <w:szCs w:val="21"/>
              </w:rPr>
              <w:t>2.589</w:t>
            </w:r>
          </w:p>
        </w:tc>
        <w:tc>
          <w:tcPr>
            <w:tcW w:w="1706" w:type="dxa"/>
            <w:vAlign w:val="center"/>
          </w:tcPr>
          <w:p>
            <w:pPr>
              <w:jc w:val="center"/>
              <w:rPr>
                <w:rFonts w:ascii="宋体" w:hAnsi="宋体"/>
                <w:szCs w:val="21"/>
              </w:rPr>
            </w:pPr>
            <w:r>
              <w:rPr>
                <w:rFonts w:hint="eastAsia" w:ascii="宋体" w:hAnsi="宋体"/>
                <w:szCs w:val="21"/>
              </w:rPr>
              <w:t>97.29</w:t>
            </w:r>
          </w:p>
        </w:tc>
      </w:tr>
    </w:tbl>
    <w:p>
      <w:pPr>
        <w:spacing w:line="360" w:lineRule="auto"/>
        <w:rPr>
          <w:rFonts w:ascii="宋体" w:hAnsi="宋体"/>
          <w:szCs w:val="21"/>
        </w:rPr>
      </w:pPr>
      <w:r>
        <w:rPr>
          <w:rFonts w:hint="eastAsia" w:ascii="宋体" w:hAnsi="宋体"/>
          <w:szCs w:val="21"/>
        </w:rPr>
        <w:t xml:space="preserve">    按照方法二采用“混合酸溶样—离子选择电极法”对不同含硼量的3个样品进行独立的11次分析，分析结果见表8。</w:t>
      </w:r>
    </w:p>
    <w:p>
      <w:pPr>
        <w:spacing w:line="360" w:lineRule="auto"/>
        <w:jc w:val="center"/>
        <w:rPr>
          <w:rFonts w:ascii="宋体" w:hAnsi="宋体"/>
          <w:szCs w:val="21"/>
        </w:rPr>
      </w:pPr>
      <w:r>
        <w:rPr>
          <w:rFonts w:hint="eastAsia" w:ascii="宋体" w:hAnsi="宋体"/>
          <w:szCs w:val="21"/>
        </w:rPr>
        <w:t>表8 样品分析及结果对照</w:t>
      </w: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3082"/>
        <w:gridCol w:w="1134"/>
        <w:gridCol w:w="1177"/>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3" w:type="dxa"/>
            <w:vAlign w:val="center"/>
          </w:tcPr>
          <w:p>
            <w:pPr>
              <w:jc w:val="center"/>
              <w:rPr>
                <w:rFonts w:ascii="宋体" w:hAnsi="宋体"/>
                <w:szCs w:val="21"/>
              </w:rPr>
            </w:pPr>
            <w:r>
              <w:rPr>
                <w:rFonts w:hint="eastAsia" w:ascii="宋体" w:hAnsi="宋体"/>
                <w:szCs w:val="21"/>
              </w:rPr>
              <w:t>样品编号</w:t>
            </w:r>
          </w:p>
        </w:tc>
        <w:tc>
          <w:tcPr>
            <w:tcW w:w="3082" w:type="dxa"/>
            <w:vAlign w:val="center"/>
          </w:tcPr>
          <w:p>
            <w:pPr>
              <w:jc w:val="center"/>
              <w:rPr>
                <w:rFonts w:ascii="宋体" w:hAnsi="宋体"/>
                <w:szCs w:val="21"/>
              </w:rPr>
            </w:pPr>
            <w:r>
              <w:rPr>
                <w:rFonts w:hint="eastAsia" w:ascii="宋体" w:hAnsi="宋体"/>
                <w:szCs w:val="21"/>
              </w:rPr>
              <w:t>测定结果/%</w:t>
            </w:r>
          </w:p>
        </w:tc>
        <w:tc>
          <w:tcPr>
            <w:tcW w:w="1134" w:type="dxa"/>
            <w:vAlign w:val="center"/>
          </w:tcPr>
          <w:p>
            <w:pPr>
              <w:jc w:val="center"/>
              <w:rPr>
                <w:rFonts w:ascii="宋体" w:hAnsi="宋体"/>
                <w:szCs w:val="21"/>
              </w:rPr>
            </w:pPr>
            <w:r>
              <w:rPr>
                <w:rFonts w:hint="eastAsia" w:ascii="宋体" w:hAnsi="宋体"/>
                <w:szCs w:val="21"/>
              </w:rPr>
              <w:t>平均值/%</w:t>
            </w:r>
          </w:p>
        </w:tc>
        <w:tc>
          <w:tcPr>
            <w:tcW w:w="1177" w:type="dxa"/>
            <w:vAlign w:val="center"/>
          </w:tcPr>
          <w:p>
            <w:pPr>
              <w:jc w:val="center"/>
              <w:rPr>
                <w:rFonts w:ascii="宋体" w:hAnsi="宋体"/>
                <w:szCs w:val="21"/>
              </w:rPr>
            </w:pPr>
            <w:r>
              <w:rPr>
                <w:rFonts w:hint="eastAsia" w:ascii="宋体" w:hAnsi="宋体"/>
                <w:szCs w:val="21"/>
              </w:rPr>
              <w:t>SD</w:t>
            </w:r>
          </w:p>
        </w:tc>
        <w:tc>
          <w:tcPr>
            <w:tcW w:w="1516" w:type="dxa"/>
            <w:vAlign w:val="center"/>
          </w:tcPr>
          <w:p>
            <w:pPr>
              <w:jc w:val="center"/>
              <w:rPr>
                <w:rFonts w:ascii="宋体" w:hAnsi="宋体"/>
                <w:szCs w:val="21"/>
              </w:rPr>
            </w:pPr>
            <w:r>
              <w:rPr>
                <w:rFonts w:hint="eastAsia" w:ascii="宋体" w:hAnsi="宋体"/>
                <w:szCs w:val="21"/>
              </w:rPr>
              <w:t>ICP-AES</w:t>
            </w:r>
          </w:p>
          <w:p>
            <w:pPr>
              <w:jc w:val="center"/>
              <w:rPr>
                <w:rFonts w:ascii="宋体" w:hAnsi="宋体"/>
                <w:szCs w:val="21"/>
              </w:rPr>
            </w:pPr>
            <w:r>
              <w:rPr>
                <w:rFonts w:hint="eastAsia" w:ascii="宋体" w:hAnsi="宋体"/>
                <w:szCs w:val="21"/>
              </w:rPr>
              <w:t>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3" w:type="dxa"/>
            <w:vAlign w:val="center"/>
          </w:tcPr>
          <w:p>
            <w:pPr>
              <w:jc w:val="center"/>
              <w:rPr>
                <w:rFonts w:ascii="宋体" w:hAnsi="宋体"/>
                <w:szCs w:val="21"/>
              </w:rPr>
            </w:pPr>
            <w:r>
              <w:rPr>
                <w:rFonts w:hint="eastAsia" w:ascii="宋体" w:hAnsi="宋体"/>
                <w:szCs w:val="21"/>
              </w:rPr>
              <w:t>AlB5</w:t>
            </w:r>
          </w:p>
        </w:tc>
        <w:tc>
          <w:tcPr>
            <w:tcW w:w="3082" w:type="dxa"/>
            <w:vAlign w:val="center"/>
          </w:tcPr>
          <w:p>
            <w:pPr>
              <w:jc w:val="left"/>
              <w:rPr>
                <w:rFonts w:ascii="宋体" w:hAnsi="宋体"/>
                <w:szCs w:val="21"/>
              </w:rPr>
            </w:pPr>
            <w:r>
              <w:rPr>
                <w:rFonts w:hint="eastAsia" w:ascii="宋体" w:hAnsi="宋体"/>
                <w:szCs w:val="21"/>
              </w:rPr>
              <w:t>5.18、5.23、5.34、5.22、5.30、5.38、5.45、5.36、5.35、5.36、5.24</w:t>
            </w:r>
          </w:p>
        </w:tc>
        <w:tc>
          <w:tcPr>
            <w:tcW w:w="1134" w:type="dxa"/>
            <w:vAlign w:val="center"/>
          </w:tcPr>
          <w:p>
            <w:pPr>
              <w:jc w:val="center"/>
              <w:rPr>
                <w:rFonts w:ascii="宋体" w:hAnsi="宋体"/>
                <w:szCs w:val="21"/>
              </w:rPr>
            </w:pPr>
            <w:r>
              <w:rPr>
                <w:rFonts w:hint="eastAsia" w:ascii="宋体" w:hAnsi="宋体"/>
                <w:szCs w:val="21"/>
              </w:rPr>
              <w:t>5.31</w:t>
            </w:r>
          </w:p>
        </w:tc>
        <w:tc>
          <w:tcPr>
            <w:tcW w:w="1177" w:type="dxa"/>
            <w:vAlign w:val="center"/>
          </w:tcPr>
          <w:p>
            <w:pPr>
              <w:jc w:val="center"/>
              <w:rPr>
                <w:rFonts w:ascii="宋体" w:hAnsi="宋体"/>
                <w:szCs w:val="21"/>
              </w:rPr>
            </w:pPr>
            <w:r>
              <w:rPr>
                <w:rFonts w:hint="eastAsia" w:ascii="宋体" w:hAnsi="宋体"/>
                <w:szCs w:val="21"/>
              </w:rPr>
              <w:t>0.083</w:t>
            </w:r>
          </w:p>
        </w:tc>
        <w:tc>
          <w:tcPr>
            <w:tcW w:w="1516" w:type="dxa"/>
            <w:vAlign w:val="center"/>
          </w:tcPr>
          <w:p>
            <w:pPr>
              <w:jc w:val="left"/>
              <w:rPr>
                <w:rFonts w:ascii="宋体" w:hAnsi="宋体"/>
                <w:szCs w:val="21"/>
              </w:rPr>
            </w:pPr>
            <w:r>
              <w:rPr>
                <w:rFonts w:hint="eastAsia" w:ascii="宋体" w:hAnsi="宋体"/>
                <w:szCs w:val="21"/>
              </w:rPr>
              <w:t>5.23、5.38、5.35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3" w:type="dxa"/>
            <w:vAlign w:val="center"/>
          </w:tcPr>
          <w:p>
            <w:pPr>
              <w:jc w:val="center"/>
              <w:rPr>
                <w:rFonts w:ascii="宋体" w:hAnsi="宋体"/>
                <w:szCs w:val="21"/>
              </w:rPr>
            </w:pPr>
            <w:r>
              <w:rPr>
                <w:rFonts w:hint="eastAsia" w:ascii="宋体" w:hAnsi="宋体"/>
                <w:szCs w:val="21"/>
              </w:rPr>
              <w:t>AlB8</w:t>
            </w:r>
          </w:p>
        </w:tc>
        <w:tc>
          <w:tcPr>
            <w:tcW w:w="3082" w:type="dxa"/>
            <w:vAlign w:val="center"/>
          </w:tcPr>
          <w:p>
            <w:pPr>
              <w:jc w:val="left"/>
              <w:rPr>
                <w:rFonts w:ascii="宋体" w:hAnsi="宋体"/>
                <w:szCs w:val="21"/>
              </w:rPr>
            </w:pPr>
            <w:r>
              <w:rPr>
                <w:rFonts w:hint="eastAsia" w:ascii="宋体" w:hAnsi="宋体"/>
                <w:szCs w:val="21"/>
              </w:rPr>
              <w:t>8.58、8.53、8.64、8.62、8.68、8.55、8.72、8.56、8.65、8.66、8.54</w:t>
            </w:r>
          </w:p>
        </w:tc>
        <w:tc>
          <w:tcPr>
            <w:tcW w:w="1134" w:type="dxa"/>
            <w:vAlign w:val="center"/>
          </w:tcPr>
          <w:p>
            <w:pPr>
              <w:jc w:val="center"/>
              <w:rPr>
                <w:rFonts w:ascii="宋体" w:hAnsi="宋体"/>
                <w:szCs w:val="21"/>
              </w:rPr>
            </w:pPr>
            <w:r>
              <w:rPr>
                <w:rFonts w:hint="eastAsia" w:ascii="宋体" w:hAnsi="宋体"/>
                <w:szCs w:val="21"/>
              </w:rPr>
              <w:t>8.61</w:t>
            </w:r>
          </w:p>
        </w:tc>
        <w:tc>
          <w:tcPr>
            <w:tcW w:w="1177" w:type="dxa"/>
            <w:vAlign w:val="center"/>
          </w:tcPr>
          <w:p>
            <w:pPr>
              <w:jc w:val="center"/>
              <w:rPr>
                <w:rFonts w:ascii="宋体" w:hAnsi="宋体"/>
                <w:szCs w:val="21"/>
              </w:rPr>
            </w:pPr>
            <w:r>
              <w:rPr>
                <w:rFonts w:hint="eastAsia" w:ascii="宋体" w:hAnsi="宋体"/>
                <w:szCs w:val="21"/>
              </w:rPr>
              <w:t>0.064</w:t>
            </w:r>
          </w:p>
        </w:tc>
        <w:tc>
          <w:tcPr>
            <w:tcW w:w="1516" w:type="dxa"/>
            <w:vAlign w:val="center"/>
          </w:tcPr>
          <w:p>
            <w:pPr>
              <w:jc w:val="left"/>
              <w:rPr>
                <w:rFonts w:ascii="宋体" w:hAnsi="宋体"/>
                <w:szCs w:val="21"/>
              </w:rPr>
            </w:pPr>
            <w:r>
              <w:rPr>
                <w:rFonts w:hint="eastAsia" w:ascii="宋体" w:hAnsi="宋体"/>
                <w:szCs w:val="21"/>
              </w:rPr>
              <w:t>8.54、8.64、8.72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3" w:type="dxa"/>
            <w:vAlign w:val="center"/>
          </w:tcPr>
          <w:p>
            <w:pPr>
              <w:jc w:val="center"/>
              <w:rPr>
                <w:rFonts w:ascii="宋体" w:hAnsi="宋体"/>
                <w:szCs w:val="21"/>
              </w:rPr>
            </w:pPr>
            <w:r>
              <w:rPr>
                <w:rFonts w:hint="eastAsia" w:ascii="宋体" w:hAnsi="宋体"/>
                <w:szCs w:val="21"/>
              </w:rPr>
              <w:t>AlB10</w:t>
            </w:r>
          </w:p>
        </w:tc>
        <w:tc>
          <w:tcPr>
            <w:tcW w:w="3082" w:type="dxa"/>
            <w:vAlign w:val="center"/>
          </w:tcPr>
          <w:p>
            <w:pPr>
              <w:jc w:val="left"/>
              <w:rPr>
                <w:rFonts w:ascii="宋体" w:hAnsi="宋体"/>
                <w:szCs w:val="21"/>
              </w:rPr>
            </w:pPr>
            <w:r>
              <w:rPr>
                <w:rFonts w:hint="eastAsia" w:ascii="宋体" w:hAnsi="宋体"/>
                <w:szCs w:val="21"/>
              </w:rPr>
              <w:t>11.58、11.63、11.74、11.62、11.75、11.88、11.72、11.56、11.65、11.76、11.79</w:t>
            </w:r>
          </w:p>
        </w:tc>
        <w:tc>
          <w:tcPr>
            <w:tcW w:w="1134" w:type="dxa"/>
            <w:vAlign w:val="center"/>
          </w:tcPr>
          <w:p>
            <w:pPr>
              <w:jc w:val="center"/>
              <w:rPr>
                <w:rFonts w:ascii="宋体" w:hAnsi="宋体"/>
                <w:szCs w:val="21"/>
              </w:rPr>
            </w:pPr>
            <w:r>
              <w:rPr>
                <w:rFonts w:hint="eastAsia" w:ascii="宋体" w:hAnsi="宋体"/>
                <w:szCs w:val="21"/>
              </w:rPr>
              <w:t>11.70</w:t>
            </w:r>
          </w:p>
        </w:tc>
        <w:tc>
          <w:tcPr>
            <w:tcW w:w="1177" w:type="dxa"/>
            <w:vAlign w:val="center"/>
          </w:tcPr>
          <w:p>
            <w:pPr>
              <w:jc w:val="center"/>
              <w:rPr>
                <w:rFonts w:ascii="宋体" w:hAnsi="宋体"/>
                <w:szCs w:val="21"/>
              </w:rPr>
            </w:pPr>
            <w:r>
              <w:rPr>
                <w:rFonts w:hint="eastAsia" w:ascii="宋体" w:hAnsi="宋体"/>
                <w:szCs w:val="21"/>
              </w:rPr>
              <w:t>0.098</w:t>
            </w:r>
          </w:p>
        </w:tc>
        <w:tc>
          <w:tcPr>
            <w:tcW w:w="1516" w:type="dxa"/>
            <w:vAlign w:val="center"/>
          </w:tcPr>
          <w:p>
            <w:pPr>
              <w:jc w:val="left"/>
              <w:rPr>
                <w:rFonts w:ascii="宋体" w:hAnsi="宋体"/>
                <w:szCs w:val="21"/>
              </w:rPr>
            </w:pPr>
            <w:r>
              <w:rPr>
                <w:rFonts w:hint="eastAsia" w:ascii="宋体" w:hAnsi="宋体"/>
                <w:szCs w:val="21"/>
              </w:rPr>
              <w:t>11.58、11.72、11.75</w:t>
            </w:r>
          </w:p>
        </w:tc>
      </w:tr>
    </w:tbl>
    <w:p>
      <w:pPr>
        <w:ind w:firstLine="3255" w:firstLineChars="1550"/>
        <w:rPr>
          <w:rFonts w:ascii="宋体" w:hAnsi="宋体"/>
          <w:szCs w:val="21"/>
        </w:rPr>
      </w:pPr>
    </w:p>
    <w:p>
      <w:pPr>
        <w:ind w:firstLine="3255" w:firstLineChars="1550"/>
        <w:rPr>
          <w:rFonts w:ascii="宋体" w:hAnsi="宋体"/>
          <w:szCs w:val="21"/>
        </w:rPr>
      </w:pPr>
      <w:r>
        <w:rPr>
          <w:rFonts w:hint="eastAsia" w:ascii="宋体" w:hAnsi="宋体"/>
          <w:szCs w:val="21"/>
        </w:rPr>
        <w:t>表9  加标</w:t>
      </w:r>
      <w:r>
        <w:rPr>
          <w:rFonts w:ascii="宋体" w:hAnsi="宋体"/>
          <w:szCs w:val="21"/>
        </w:rPr>
        <w:t>回收率试验</w:t>
      </w:r>
    </w:p>
    <w:tbl>
      <w:tblPr>
        <w:tblStyle w:val="20"/>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vAlign w:val="center"/>
          </w:tcPr>
          <w:p>
            <w:pPr>
              <w:jc w:val="center"/>
              <w:rPr>
                <w:rFonts w:ascii="宋体" w:hAnsi="宋体"/>
                <w:szCs w:val="21"/>
              </w:rPr>
            </w:pPr>
            <w:r>
              <w:rPr>
                <w:rFonts w:hint="eastAsia" w:ascii="宋体" w:hAnsi="宋体"/>
                <w:szCs w:val="21"/>
              </w:rPr>
              <w:t>样品编号</w:t>
            </w:r>
          </w:p>
        </w:tc>
        <w:tc>
          <w:tcPr>
            <w:tcW w:w="1705" w:type="dxa"/>
            <w:vAlign w:val="center"/>
          </w:tcPr>
          <w:p>
            <w:pPr>
              <w:ind w:firstLine="105" w:firstLineChars="50"/>
              <w:jc w:val="center"/>
              <w:rPr>
                <w:rFonts w:ascii="宋体" w:hAnsi="宋体"/>
                <w:szCs w:val="21"/>
              </w:rPr>
            </w:pPr>
            <w:r>
              <w:rPr>
                <w:rFonts w:hint="eastAsia" w:ascii="宋体" w:hAnsi="宋体"/>
                <w:szCs w:val="21"/>
              </w:rPr>
              <w:t>硼</w:t>
            </w:r>
            <w:r>
              <w:rPr>
                <w:rFonts w:ascii="宋体" w:hAnsi="宋体"/>
                <w:szCs w:val="21"/>
              </w:rPr>
              <w:t>含量</w:t>
            </w:r>
            <w:r>
              <w:rPr>
                <w:rFonts w:hint="eastAsia" w:ascii="宋体" w:hAnsi="宋体"/>
                <w:szCs w:val="21"/>
              </w:rPr>
              <w:t>标准</w:t>
            </w:r>
            <w:r>
              <w:rPr>
                <w:rFonts w:ascii="宋体" w:hAnsi="宋体"/>
                <w:szCs w:val="21"/>
              </w:rPr>
              <w:t>值</w:t>
            </w:r>
          </w:p>
          <w:p>
            <w:pPr>
              <w:ind w:firstLine="105" w:firstLineChars="50"/>
              <w:jc w:val="center"/>
              <w:rPr>
                <w:rFonts w:ascii="宋体" w:hAnsi="宋体"/>
                <w:szCs w:val="21"/>
              </w:rPr>
            </w:pPr>
            <w:r>
              <w:rPr>
                <w:rFonts w:ascii="宋体" w:hAnsi="宋体"/>
                <w:szCs w:val="21"/>
              </w:rPr>
              <w:t>（</w:t>
            </w:r>
            <w:r>
              <w:rPr>
                <w:rFonts w:hint="eastAsia" w:ascii="宋体" w:hAnsi="宋体"/>
                <w:szCs w:val="21"/>
              </w:rPr>
              <w:t>%</w:t>
            </w:r>
            <w:r>
              <w:rPr>
                <w:rFonts w:ascii="宋体" w:hAnsi="宋体"/>
                <w:szCs w:val="21"/>
              </w:rPr>
              <w:t>）</w:t>
            </w:r>
          </w:p>
        </w:tc>
        <w:tc>
          <w:tcPr>
            <w:tcW w:w="1706" w:type="dxa"/>
            <w:vAlign w:val="center"/>
          </w:tcPr>
          <w:p>
            <w:pPr>
              <w:jc w:val="center"/>
              <w:rPr>
                <w:rFonts w:ascii="宋体" w:hAnsi="宋体"/>
                <w:szCs w:val="21"/>
              </w:rPr>
            </w:pPr>
            <w:r>
              <w:rPr>
                <w:rFonts w:hint="eastAsia" w:ascii="宋体" w:hAnsi="宋体"/>
                <w:szCs w:val="21"/>
              </w:rPr>
              <w:t>加入量</w:t>
            </w:r>
          </w:p>
          <w:p>
            <w:pPr>
              <w:jc w:val="center"/>
              <w:rPr>
                <w:rFonts w:ascii="宋体" w:hAnsi="宋体"/>
                <w:szCs w:val="21"/>
              </w:rPr>
            </w:pPr>
            <w:r>
              <w:rPr>
                <w:rFonts w:ascii="宋体" w:hAnsi="宋体"/>
                <w:szCs w:val="21"/>
              </w:rPr>
              <w:t>（</w:t>
            </w:r>
            <w:r>
              <w:rPr>
                <w:rFonts w:hint="eastAsia" w:ascii="宋体" w:hAnsi="宋体"/>
                <w:szCs w:val="21"/>
              </w:rPr>
              <w:t>%</w:t>
            </w:r>
            <w:r>
              <w:rPr>
                <w:rFonts w:ascii="宋体" w:hAnsi="宋体"/>
                <w:szCs w:val="21"/>
              </w:rPr>
              <w:t>）</w:t>
            </w:r>
          </w:p>
        </w:tc>
        <w:tc>
          <w:tcPr>
            <w:tcW w:w="1706" w:type="dxa"/>
            <w:vAlign w:val="center"/>
          </w:tcPr>
          <w:p>
            <w:pPr>
              <w:jc w:val="center"/>
              <w:rPr>
                <w:rFonts w:ascii="宋体" w:hAnsi="宋体"/>
                <w:szCs w:val="21"/>
              </w:rPr>
            </w:pPr>
            <w:r>
              <w:rPr>
                <w:rFonts w:hint="eastAsia" w:ascii="宋体" w:hAnsi="宋体"/>
                <w:szCs w:val="21"/>
              </w:rPr>
              <w:t>测定值</w:t>
            </w:r>
          </w:p>
          <w:p>
            <w:pPr>
              <w:jc w:val="center"/>
              <w:rPr>
                <w:rFonts w:ascii="宋体" w:hAnsi="宋体"/>
                <w:szCs w:val="21"/>
              </w:rPr>
            </w:pPr>
            <w:r>
              <w:rPr>
                <w:rFonts w:ascii="宋体" w:hAnsi="宋体"/>
                <w:szCs w:val="21"/>
              </w:rPr>
              <w:t>（</w:t>
            </w:r>
            <w:r>
              <w:rPr>
                <w:rFonts w:hint="eastAsia" w:ascii="宋体" w:hAnsi="宋体"/>
                <w:szCs w:val="21"/>
              </w:rPr>
              <w:t>%</w:t>
            </w:r>
            <w:r>
              <w:rPr>
                <w:rFonts w:ascii="宋体" w:hAnsi="宋体"/>
                <w:szCs w:val="21"/>
              </w:rPr>
              <w:t>）</w:t>
            </w:r>
          </w:p>
        </w:tc>
        <w:tc>
          <w:tcPr>
            <w:tcW w:w="1706" w:type="dxa"/>
            <w:vAlign w:val="center"/>
          </w:tcPr>
          <w:p>
            <w:pPr>
              <w:jc w:val="center"/>
              <w:rPr>
                <w:rFonts w:ascii="宋体" w:hAnsi="宋体"/>
                <w:szCs w:val="21"/>
              </w:rPr>
            </w:pPr>
            <w:r>
              <w:rPr>
                <w:rFonts w:hint="eastAsia" w:ascii="宋体" w:hAnsi="宋体"/>
                <w:szCs w:val="21"/>
              </w:rPr>
              <w:t>回收率</w:t>
            </w:r>
          </w:p>
          <w:p>
            <w:pPr>
              <w:jc w:val="center"/>
              <w:rPr>
                <w:rFonts w:ascii="宋体" w:hAnsi="宋体"/>
                <w:szCs w:val="21"/>
              </w:rPr>
            </w:pPr>
            <w:r>
              <w:rPr>
                <w:rFonts w:ascii="宋体" w:hAnsi="宋体"/>
                <w:szCs w:val="21"/>
              </w:rPr>
              <w:t>（</w:t>
            </w:r>
            <w:r>
              <w:rPr>
                <w:rFonts w:hint="eastAsia" w:ascii="宋体" w:hAnsi="宋体"/>
                <w:szCs w:val="21"/>
              </w:rPr>
              <w:t>%</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597" w:type="dxa"/>
            <w:vMerge w:val="restart"/>
            <w:vAlign w:val="center"/>
          </w:tcPr>
          <w:p>
            <w:pPr>
              <w:jc w:val="center"/>
              <w:rPr>
                <w:rFonts w:ascii="宋体" w:hAnsi="宋体"/>
                <w:szCs w:val="21"/>
              </w:rPr>
            </w:pPr>
            <w:r>
              <w:rPr>
                <w:rFonts w:hint="eastAsia" w:ascii="宋体" w:hAnsi="宋体"/>
                <w:szCs w:val="21"/>
              </w:rPr>
              <w:t>AlB5</w:t>
            </w:r>
          </w:p>
        </w:tc>
        <w:tc>
          <w:tcPr>
            <w:tcW w:w="1705" w:type="dxa"/>
            <w:vMerge w:val="restart"/>
            <w:vAlign w:val="center"/>
          </w:tcPr>
          <w:p>
            <w:pPr>
              <w:jc w:val="center"/>
              <w:rPr>
                <w:rFonts w:ascii="宋体" w:hAnsi="宋体"/>
                <w:szCs w:val="21"/>
              </w:rPr>
            </w:pPr>
            <w:r>
              <w:rPr>
                <w:rFonts w:hint="eastAsia" w:ascii="宋体" w:hAnsi="宋体"/>
                <w:szCs w:val="21"/>
              </w:rPr>
              <w:t>5.31</w:t>
            </w:r>
          </w:p>
        </w:tc>
        <w:tc>
          <w:tcPr>
            <w:tcW w:w="1706" w:type="dxa"/>
            <w:vAlign w:val="center"/>
          </w:tcPr>
          <w:p>
            <w:pPr>
              <w:jc w:val="center"/>
              <w:rPr>
                <w:rFonts w:ascii="宋体" w:hAnsi="宋体"/>
                <w:szCs w:val="21"/>
              </w:rPr>
            </w:pPr>
            <w:r>
              <w:rPr>
                <w:rFonts w:hint="eastAsia" w:ascii="宋体" w:hAnsi="宋体"/>
                <w:szCs w:val="21"/>
              </w:rPr>
              <w:t>1.0</w:t>
            </w:r>
          </w:p>
        </w:tc>
        <w:tc>
          <w:tcPr>
            <w:tcW w:w="1706" w:type="dxa"/>
            <w:vAlign w:val="center"/>
          </w:tcPr>
          <w:p>
            <w:pPr>
              <w:jc w:val="center"/>
              <w:rPr>
                <w:rFonts w:ascii="宋体" w:hAnsi="宋体"/>
                <w:szCs w:val="21"/>
              </w:rPr>
            </w:pPr>
            <w:r>
              <w:rPr>
                <w:rFonts w:hint="eastAsia" w:ascii="宋体" w:hAnsi="宋体"/>
                <w:szCs w:val="21"/>
              </w:rPr>
              <w:t>6.20</w:t>
            </w:r>
          </w:p>
        </w:tc>
        <w:tc>
          <w:tcPr>
            <w:tcW w:w="1706" w:type="dxa"/>
            <w:vAlign w:val="center"/>
          </w:tcPr>
          <w:p>
            <w:pPr>
              <w:jc w:val="center"/>
              <w:rPr>
                <w:rFonts w:ascii="宋体" w:hAnsi="宋体"/>
                <w:szCs w:val="21"/>
              </w:rPr>
            </w:pPr>
            <w:r>
              <w:rPr>
                <w:rFonts w:hint="eastAsia" w:ascii="宋体" w:hAnsi="宋体"/>
                <w:szCs w:val="21"/>
              </w:rPr>
              <w:t>98.25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597" w:type="dxa"/>
            <w:vMerge w:val="continue"/>
            <w:vAlign w:val="center"/>
          </w:tcPr>
          <w:p>
            <w:pPr>
              <w:jc w:val="center"/>
              <w:rPr>
                <w:rFonts w:ascii="宋体" w:hAnsi="宋体"/>
                <w:szCs w:val="21"/>
              </w:rPr>
            </w:pPr>
          </w:p>
        </w:tc>
        <w:tc>
          <w:tcPr>
            <w:tcW w:w="1705" w:type="dxa"/>
            <w:vMerge w:val="continue"/>
            <w:vAlign w:val="center"/>
          </w:tcPr>
          <w:p>
            <w:pPr>
              <w:jc w:val="center"/>
              <w:rPr>
                <w:rFonts w:ascii="宋体" w:hAnsi="宋体"/>
                <w:szCs w:val="21"/>
              </w:rPr>
            </w:pPr>
          </w:p>
        </w:tc>
        <w:tc>
          <w:tcPr>
            <w:tcW w:w="1706" w:type="dxa"/>
            <w:vAlign w:val="center"/>
          </w:tcPr>
          <w:p>
            <w:pPr>
              <w:jc w:val="center"/>
              <w:rPr>
                <w:rFonts w:ascii="宋体" w:hAnsi="宋体"/>
                <w:szCs w:val="21"/>
              </w:rPr>
            </w:pPr>
            <w:r>
              <w:rPr>
                <w:rFonts w:hint="eastAsia" w:ascii="宋体" w:hAnsi="宋体"/>
                <w:szCs w:val="21"/>
              </w:rPr>
              <w:t>2.0</w:t>
            </w:r>
          </w:p>
        </w:tc>
        <w:tc>
          <w:tcPr>
            <w:tcW w:w="1706" w:type="dxa"/>
            <w:vAlign w:val="center"/>
          </w:tcPr>
          <w:p>
            <w:pPr>
              <w:jc w:val="center"/>
              <w:rPr>
                <w:rFonts w:ascii="宋体" w:hAnsi="宋体"/>
                <w:szCs w:val="21"/>
              </w:rPr>
            </w:pPr>
            <w:r>
              <w:rPr>
                <w:rFonts w:hint="eastAsia" w:ascii="宋体" w:hAnsi="宋体"/>
                <w:szCs w:val="21"/>
              </w:rPr>
              <w:t>7.42</w:t>
            </w:r>
          </w:p>
        </w:tc>
        <w:tc>
          <w:tcPr>
            <w:tcW w:w="1706" w:type="dxa"/>
            <w:vAlign w:val="center"/>
          </w:tcPr>
          <w:p>
            <w:pPr>
              <w:jc w:val="center"/>
              <w:rPr>
                <w:rFonts w:ascii="宋体" w:hAnsi="宋体"/>
                <w:szCs w:val="21"/>
              </w:rPr>
            </w:pPr>
            <w:r>
              <w:rPr>
                <w:rFonts w:hint="eastAsia" w:ascii="宋体" w:hAnsi="宋体"/>
                <w:szCs w:val="21"/>
              </w:rPr>
              <w:t>101.50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597" w:type="dxa"/>
            <w:vMerge w:val="continue"/>
            <w:vAlign w:val="center"/>
          </w:tcPr>
          <w:p>
            <w:pPr>
              <w:jc w:val="center"/>
              <w:rPr>
                <w:rFonts w:ascii="宋体" w:hAnsi="宋体"/>
                <w:szCs w:val="21"/>
              </w:rPr>
            </w:pPr>
          </w:p>
        </w:tc>
        <w:tc>
          <w:tcPr>
            <w:tcW w:w="1705" w:type="dxa"/>
            <w:vMerge w:val="continue"/>
            <w:vAlign w:val="center"/>
          </w:tcPr>
          <w:p>
            <w:pPr>
              <w:jc w:val="center"/>
              <w:rPr>
                <w:rFonts w:ascii="宋体" w:hAnsi="宋体"/>
                <w:szCs w:val="21"/>
              </w:rPr>
            </w:pPr>
          </w:p>
        </w:tc>
        <w:tc>
          <w:tcPr>
            <w:tcW w:w="1706" w:type="dxa"/>
            <w:vAlign w:val="center"/>
          </w:tcPr>
          <w:p>
            <w:pPr>
              <w:jc w:val="center"/>
              <w:rPr>
                <w:rFonts w:ascii="宋体" w:hAnsi="宋体"/>
                <w:szCs w:val="21"/>
              </w:rPr>
            </w:pPr>
            <w:r>
              <w:rPr>
                <w:rFonts w:hint="eastAsia" w:ascii="宋体" w:hAnsi="宋体"/>
                <w:szCs w:val="21"/>
              </w:rPr>
              <w:t>3.0</w:t>
            </w:r>
          </w:p>
        </w:tc>
        <w:tc>
          <w:tcPr>
            <w:tcW w:w="1706" w:type="dxa"/>
            <w:vAlign w:val="center"/>
          </w:tcPr>
          <w:p>
            <w:pPr>
              <w:jc w:val="center"/>
              <w:rPr>
                <w:rFonts w:ascii="宋体" w:hAnsi="宋体"/>
                <w:szCs w:val="21"/>
              </w:rPr>
            </w:pPr>
            <w:r>
              <w:rPr>
                <w:rFonts w:hint="eastAsia" w:ascii="宋体" w:hAnsi="宋体"/>
                <w:szCs w:val="21"/>
              </w:rPr>
              <w:t>8.18</w:t>
            </w:r>
          </w:p>
        </w:tc>
        <w:tc>
          <w:tcPr>
            <w:tcW w:w="1706" w:type="dxa"/>
            <w:vAlign w:val="center"/>
          </w:tcPr>
          <w:p>
            <w:pPr>
              <w:jc w:val="center"/>
              <w:rPr>
                <w:rFonts w:ascii="宋体" w:hAnsi="宋体"/>
                <w:szCs w:val="21"/>
              </w:rPr>
            </w:pPr>
            <w:r>
              <w:rPr>
                <w:rFonts w:hint="eastAsia" w:ascii="宋体" w:hAnsi="宋体"/>
                <w:szCs w:val="21"/>
              </w:rPr>
              <w:t>98.44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597" w:type="dxa"/>
            <w:vMerge w:val="restart"/>
            <w:vAlign w:val="center"/>
          </w:tcPr>
          <w:p>
            <w:pPr>
              <w:jc w:val="center"/>
              <w:rPr>
                <w:rFonts w:ascii="宋体" w:hAnsi="宋体"/>
                <w:szCs w:val="21"/>
              </w:rPr>
            </w:pPr>
            <w:r>
              <w:rPr>
                <w:rFonts w:hint="eastAsia" w:ascii="宋体" w:hAnsi="宋体"/>
                <w:szCs w:val="21"/>
              </w:rPr>
              <w:t>AlB8</w:t>
            </w:r>
          </w:p>
        </w:tc>
        <w:tc>
          <w:tcPr>
            <w:tcW w:w="1705" w:type="dxa"/>
            <w:vMerge w:val="restart"/>
            <w:vAlign w:val="center"/>
          </w:tcPr>
          <w:p>
            <w:pPr>
              <w:jc w:val="center"/>
              <w:rPr>
                <w:rFonts w:ascii="宋体" w:hAnsi="宋体"/>
                <w:szCs w:val="21"/>
              </w:rPr>
            </w:pPr>
            <w:r>
              <w:rPr>
                <w:rFonts w:hint="eastAsia" w:ascii="宋体" w:hAnsi="宋体"/>
                <w:szCs w:val="21"/>
              </w:rPr>
              <w:t>8.61</w:t>
            </w:r>
          </w:p>
        </w:tc>
        <w:tc>
          <w:tcPr>
            <w:tcW w:w="1706" w:type="dxa"/>
            <w:vAlign w:val="center"/>
          </w:tcPr>
          <w:p>
            <w:pPr>
              <w:jc w:val="center"/>
              <w:rPr>
                <w:rFonts w:ascii="宋体" w:hAnsi="宋体"/>
                <w:szCs w:val="21"/>
              </w:rPr>
            </w:pPr>
            <w:r>
              <w:rPr>
                <w:rFonts w:hint="eastAsia" w:ascii="宋体" w:hAnsi="宋体"/>
                <w:szCs w:val="21"/>
              </w:rPr>
              <w:t>1.0</w:t>
            </w:r>
          </w:p>
        </w:tc>
        <w:tc>
          <w:tcPr>
            <w:tcW w:w="1706" w:type="dxa"/>
            <w:vAlign w:val="center"/>
          </w:tcPr>
          <w:p>
            <w:pPr>
              <w:jc w:val="center"/>
              <w:rPr>
                <w:rFonts w:ascii="宋体" w:hAnsi="宋体"/>
                <w:szCs w:val="21"/>
              </w:rPr>
            </w:pPr>
            <w:r>
              <w:rPr>
                <w:rFonts w:hint="eastAsia" w:ascii="宋体" w:hAnsi="宋体"/>
                <w:szCs w:val="21"/>
              </w:rPr>
              <w:t>9.70</w:t>
            </w:r>
          </w:p>
        </w:tc>
        <w:tc>
          <w:tcPr>
            <w:tcW w:w="1706" w:type="dxa"/>
            <w:vAlign w:val="center"/>
          </w:tcPr>
          <w:p>
            <w:pPr>
              <w:jc w:val="center"/>
              <w:rPr>
                <w:rFonts w:ascii="宋体" w:hAnsi="宋体"/>
                <w:szCs w:val="21"/>
              </w:rPr>
            </w:pPr>
            <w:r>
              <w:rPr>
                <w:rFonts w:hint="eastAsia" w:ascii="宋体" w:hAnsi="宋体"/>
                <w:szCs w:val="21"/>
              </w:rPr>
              <w:t>100.94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597" w:type="dxa"/>
            <w:vMerge w:val="continue"/>
          </w:tcPr>
          <w:p>
            <w:pPr>
              <w:rPr>
                <w:rFonts w:ascii="宋体" w:hAnsi="宋体"/>
                <w:szCs w:val="21"/>
              </w:rPr>
            </w:pPr>
          </w:p>
        </w:tc>
        <w:tc>
          <w:tcPr>
            <w:tcW w:w="1705" w:type="dxa"/>
            <w:vMerge w:val="continue"/>
          </w:tcPr>
          <w:p>
            <w:pPr>
              <w:rPr>
                <w:rFonts w:ascii="宋体" w:hAnsi="宋体"/>
                <w:szCs w:val="21"/>
              </w:rPr>
            </w:pPr>
          </w:p>
        </w:tc>
        <w:tc>
          <w:tcPr>
            <w:tcW w:w="1706" w:type="dxa"/>
            <w:vAlign w:val="center"/>
          </w:tcPr>
          <w:p>
            <w:pPr>
              <w:jc w:val="center"/>
              <w:rPr>
                <w:rFonts w:ascii="宋体" w:hAnsi="宋体"/>
                <w:szCs w:val="21"/>
              </w:rPr>
            </w:pPr>
            <w:r>
              <w:rPr>
                <w:rFonts w:hint="eastAsia" w:ascii="宋体" w:hAnsi="宋体"/>
                <w:szCs w:val="21"/>
              </w:rPr>
              <w:t>2.0</w:t>
            </w:r>
          </w:p>
        </w:tc>
        <w:tc>
          <w:tcPr>
            <w:tcW w:w="1706" w:type="dxa"/>
            <w:vAlign w:val="center"/>
          </w:tcPr>
          <w:p>
            <w:pPr>
              <w:jc w:val="center"/>
              <w:rPr>
                <w:rFonts w:ascii="宋体" w:hAnsi="宋体"/>
                <w:szCs w:val="21"/>
              </w:rPr>
            </w:pPr>
            <w:r>
              <w:rPr>
                <w:rFonts w:hint="eastAsia" w:ascii="宋体" w:hAnsi="宋体"/>
                <w:szCs w:val="21"/>
              </w:rPr>
              <w:t>10.66</w:t>
            </w:r>
          </w:p>
        </w:tc>
        <w:tc>
          <w:tcPr>
            <w:tcW w:w="1706" w:type="dxa"/>
            <w:vAlign w:val="center"/>
          </w:tcPr>
          <w:p>
            <w:pPr>
              <w:jc w:val="center"/>
              <w:rPr>
                <w:rFonts w:ascii="宋体" w:hAnsi="宋体"/>
                <w:szCs w:val="21"/>
              </w:rPr>
            </w:pPr>
            <w:r>
              <w:rPr>
                <w:rFonts w:hint="eastAsia" w:ascii="宋体" w:hAnsi="宋体"/>
                <w:szCs w:val="21"/>
              </w:rPr>
              <w:t>100.47</w:t>
            </w:r>
          </w:p>
        </w:tc>
      </w:tr>
    </w:tbl>
    <w:p>
      <w:pPr>
        <w:spacing w:line="360" w:lineRule="auto"/>
        <w:ind w:firstLine="420" w:firstLineChars="200"/>
        <w:jc w:val="left"/>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中铝矿业有限公司GB/T 20975.15-2008</w:t>
      </w:r>
      <w:r>
        <w:rPr>
          <w:rFonts w:hint="eastAsia" w:ascii="宋体" w:hAnsi="宋体"/>
          <w:bCs/>
          <w:color w:val="000000"/>
          <w:szCs w:val="21"/>
        </w:rPr>
        <w:t>《铝及铝合金化学分析方法 第15部分：硼含量的测定》中“</w:t>
      </w:r>
      <w:r>
        <w:rPr>
          <w:rFonts w:hint="eastAsia" w:ascii="宋体" w:hAnsi="宋体"/>
          <w:szCs w:val="21"/>
        </w:rPr>
        <w:t>方法一：离子选择电极法</w:t>
      </w:r>
      <w:r>
        <w:rPr>
          <w:rFonts w:hint="eastAsia" w:ascii="宋体" w:hAnsi="宋体"/>
          <w:bCs/>
          <w:color w:val="000000"/>
          <w:szCs w:val="21"/>
        </w:rPr>
        <w:t>”</w:t>
      </w:r>
      <w:r>
        <w:rPr>
          <w:rFonts w:hint="eastAsia" w:ascii="宋体" w:hAnsi="宋体"/>
          <w:szCs w:val="21"/>
        </w:rPr>
        <w:t>对不同含硼量的5个样品进行独立的11次分析，分析结果见表10。</w:t>
      </w:r>
    </w:p>
    <w:p>
      <w:pPr>
        <w:jc w:val="center"/>
        <w:rPr>
          <w:rFonts w:ascii="宋体" w:hAnsi="宋体"/>
          <w:szCs w:val="21"/>
        </w:rPr>
      </w:pPr>
      <w:r>
        <w:rPr>
          <w:rFonts w:hint="eastAsia" w:ascii="宋体" w:hAnsi="宋体"/>
          <w:szCs w:val="21"/>
        </w:rPr>
        <w:t>表10  样品分析及结果对照</w:t>
      </w:r>
    </w:p>
    <w:tbl>
      <w:tblPr>
        <w:tblStyle w:val="20"/>
        <w:tblW w:w="8329" w:type="dxa"/>
        <w:jc w:val="center"/>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3956"/>
        <w:gridCol w:w="1080"/>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9" w:type="dxa"/>
            <w:vAlign w:val="center"/>
          </w:tcPr>
          <w:p>
            <w:pPr>
              <w:jc w:val="center"/>
              <w:rPr>
                <w:rFonts w:ascii="宋体" w:hAnsi="宋体"/>
                <w:szCs w:val="21"/>
              </w:rPr>
            </w:pPr>
            <w:r>
              <w:rPr>
                <w:rFonts w:hint="eastAsia" w:ascii="宋体" w:hAnsi="宋体"/>
                <w:szCs w:val="21"/>
              </w:rPr>
              <w:t>样品编号</w:t>
            </w:r>
          </w:p>
        </w:tc>
        <w:tc>
          <w:tcPr>
            <w:tcW w:w="3956" w:type="dxa"/>
            <w:vAlign w:val="center"/>
          </w:tcPr>
          <w:p>
            <w:pPr>
              <w:jc w:val="center"/>
              <w:rPr>
                <w:rFonts w:ascii="宋体" w:hAnsi="宋体"/>
                <w:szCs w:val="21"/>
              </w:rPr>
            </w:pPr>
            <w:r>
              <w:rPr>
                <w:rFonts w:hint="eastAsia" w:ascii="宋体" w:hAnsi="宋体"/>
                <w:szCs w:val="21"/>
              </w:rPr>
              <w:t xml:space="preserve">测定结果/% </w:t>
            </w:r>
          </w:p>
        </w:tc>
        <w:tc>
          <w:tcPr>
            <w:tcW w:w="1080" w:type="dxa"/>
            <w:vAlign w:val="center"/>
          </w:tcPr>
          <w:p>
            <w:pPr>
              <w:jc w:val="center"/>
              <w:rPr>
                <w:rFonts w:ascii="宋体" w:hAnsi="宋体"/>
                <w:szCs w:val="21"/>
              </w:rPr>
            </w:pPr>
            <w:r>
              <w:rPr>
                <w:rFonts w:hint="eastAsia" w:ascii="宋体" w:hAnsi="宋体"/>
                <w:szCs w:val="21"/>
              </w:rPr>
              <w:t>平均值/%</w:t>
            </w:r>
          </w:p>
        </w:tc>
        <w:tc>
          <w:tcPr>
            <w:tcW w:w="1414" w:type="dxa"/>
            <w:vAlign w:val="center"/>
          </w:tcPr>
          <w:p>
            <w:pPr>
              <w:jc w:val="center"/>
              <w:rPr>
                <w:rFonts w:ascii="宋体" w:hAnsi="宋体"/>
                <w:szCs w:val="21"/>
              </w:rPr>
            </w:pPr>
            <w:r>
              <w:rPr>
                <w:rFonts w:hint="eastAsia" w:ascii="宋体" w:hAnsi="宋体"/>
                <w:szCs w:val="21"/>
              </w:rPr>
              <w:t xml:space="preserve">SD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879" w:type="dxa"/>
            <w:vAlign w:val="center"/>
          </w:tcPr>
          <w:p>
            <w:pPr>
              <w:jc w:val="center"/>
              <w:rPr>
                <w:rFonts w:ascii="宋体" w:hAnsi="宋体"/>
                <w:szCs w:val="21"/>
              </w:rPr>
            </w:pPr>
            <w:r>
              <w:rPr>
                <w:rFonts w:hint="eastAsia" w:ascii="宋体" w:hAnsi="宋体"/>
                <w:szCs w:val="21"/>
              </w:rPr>
              <w:t>4020</w:t>
            </w:r>
          </w:p>
        </w:tc>
        <w:tc>
          <w:tcPr>
            <w:tcW w:w="3956" w:type="dxa"/>
          </w:tcPr>
          <w:p>
            <w:pPr>
              <w:rPr>
                <w:rFonts w:ascii="宋体" w:hAnsi="宋体"/>
                <w:szCs w:val="21"/>
              </w:rPr>
            </w:pPr>
            <w:r>
              <w:rPr>
                <w:rFonts w:hint="eastAsia" w:ascii="宋体" w:hAnsi="宋体"/>
                <w:szCs w:val="21"/>
              </w:rPr>
              <w:t>0.00471、0.00492、0.00488、0.00498、0.00495、0.00486、0.00498、0.00498、0.00495、0.00465、0.00478</w:t>
            </w:r>
          </w:p>
        </w:tc>
        <w:tc>
          <w:tcPr>
            <w:tcW w:w="1080" w:type="dxa"/>
            <w:vAlign w:val="center"/>
          </w:tcPr>
          <w:p>
            <w:pPr>
              <w:jc w:val="center"/>
              <w:rPr>
                <w:rFonts w:ascii="宋体" w:hAnsi="宋体"/>
                <w:szCs w:val="21"/>
              </w:rPr>
            </w:pPr>
            <w:r>
              <w:rPr>
                <w:rFonts w:hint="eastAsia" w:ascii="宋体" w:hAnsi="宋体"/>
                <w:szCs w:val="21"/>
              </w:rPr>
              <w:t>0.00487</w:t>
            </w:r>
          </w:p>
        </w:tc>
        <w:tc>
          <w:tcPr>
            <w:tcW w:w="1414" w:type="dxa"/>
            <w:vAlign w:val="center"/>
          </w:tcPr>
          <w:p>
            <w:pPr>
              <w:jc w:val="center"/>
              <w:rPr>
                <w:rFonts w:ascii="宋体" w:hAnsi="宋体"/>
                <w:szCs w:val="21"/>
              </w:rPr>
            </w:pPr>
            <w:r>
              <w:rPr>
                <w:rFonts w:hint="eastAsia" w:ascii="宋体" w:hAnsi="宋体"/>
                <w:szCs w:val="21"/>
              </w:rPr>
              <w:t>0.00013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879" w:type="dxa"/>
            <w:vAlign w:val="center"/>
          </w:tcPr>
          <w:p>
            <w:pPr>
              <w:jc w:val="center"/>
              <w:rPr>
                <w:rFonts w:ascii="宋体" w:hAnsi="宋体"/>
                <w:szCs w:val="21"/>
              </w:rPr>
            </w:pPr>
            <w:r>
              <w:rPr>
                <w:rFonts w:hint="eastAsia" w:ascii="宋体" w:hAnsi="宋体"/>
                <w:szCs w:val="21"/>
              </w:rPr>
              <w:t>211Z.1</w:t>
            </w:r>
          </w:p>
        </w:tc>
        <w:tc>
          <w:tcPr>
            <w:tcW w:w="3956" w:type="dxa"/>
          </w:tcPr>
          <w:p>
            <w:pPr>
              <w:rPr>
                <w:rFonts w:ascii="宋体" w:hAnsi="宋体"/>
                <w:szCs w:val="21"/>
              </w:rPr>
            </w:pPr>
            <w:r>
              <w:rPr>
                <w:rFonts w:hint="eastAsia" w:ascii="宋体" w:hAnsi="宋体"/>
                <w:szCs w:val="21"/>
              </w:rPr>
              <w:t>0.0182、0.0177、0.0183、0.0185、0.0189、0.0185、0.0171、0.0188、0.0185、0.0193、0.0179</w:t>
            </w:r>
          </w:p>
        </w:tc>
        <w:tc>
          <w:tcPr>
            <w:tcW w:w="1080" w:type="dxa"/>
            <w:vAlign w:val="center"/>
          </w:tcPr>
          <w:p>
            <w:pPr>
              <w:jc w:val="center"/>
              <w:rPr>
                <w:rFonts w:ascii="宋体" w:hAnsi="宋体"/>
                <w:szCs w:val="21"/>
              </w:rPr>
            </w:pPr>
            <w:r>
              <w:rPr>
                <w:rFonts w:hint="eastAsia" w:ascii="宋体" w:hAnsi="宋体"/>
                <w:szCs w:val="21"/>
              </w:rPr>
              <w:t>0.0183</w:t>
            </w:r>
          </w:p>
        </w:tc>
        <w:tc>
          <w:tcPr>
            <w:tcW w:w="1414" w:type="dxa"/>
            <w:vAlign w:val="center"/>
          </w:tcPr>
          <w:p>
            <w:pPr>
              <w:jc w:val="center"/>
              <w:rPr>
                <w:rFonts w:ascii="宋体" w:hAnsi="宋体"/>
                <w:szCs w:val="21"/>
              </w:rPr>
            </w:pPr>
            <w:r>
              <w:rPr>
                <w:rFonts w:hint="eastAsia" w:ascii="宋体" w:hAnsi="宋体"/>
                <w:szCs w:val="21"/>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879" w:type="dxa"/>
            <w:vAlign w:val="center"/>
          </w:tcPr>
          <w:p>
            <w:pPr>
              <w:jc w:val="center"/>
              <w:rPr>
                <w:rFonts w:ascii="宋体" w:hAnsi="宋体"/>
                <w:szCs w:val="21"/>
              </w:rPr>
            </w:pPr>
            <w:r>
              <w:rPr>
                <w:rFonts w:hint="eastAsia" w:ascii="宋体" w:hAnsi="宋体"/>
                <w:szCs w:val="21"/>
              </w:rPr>
              <w:t>AlSr10Ti1B0.2</w:t>
            </w:r>
          </w:p>
        </w:tc>
        <w:tc>
          <w:tcPr>
            <w:tcW w:w="3956" w:type="dxa"/>
          </w:tcPr>
          <w:p>
            <w:pPr>
              <w:rPr>
                <w:rFonts w:ascii="宋体" w:hAnsi="宋体"/>
                <w:szCs w:val="21"/>
              </w:rPr>
            </w:pPr>
            <w:r>
              <w:rPr>
                <w:rFonts w:hint="eastAsia" w:ascii="宋体" w:hAnsi="宋体"/>
                <w:szCs w:val="21"/>
              </w:rPr>
              <w:t>0.174、0.176、0.168、0.165、0.175、0.175、0.173、0.173、0.168、0.167、0.165</w:t>
            </w:r>
          </w:p>
        </w:tc>
        <w:tc>
          <w:tcPr>
            <w:tcW w:w="1080" w:type="dxa"/>
            <w:vAlign w:val="center"/>
          </w:tcPr>
          <w:p>
            <w:pPr>
              <w:jc w:val="center"/>
              <w:rPr>
                <w:rFonts w:ascii="宋体" w:hAnsi="宋体"/>
                <w:szCs w:val="21"/>
              </w:rPr>
            </w:pPr>
            <w:r>
              <w:rPr>
                <w:rFonts w:hint="eastAsia" w:ascii="宋体" w:hAnsi="宋体"/>
                <w:szCs w:val="21"/>
              </w:rPr>
              <w:t>0.171</w:t>
            </w:r>
          </w:p>
        </w:tc>
        <w:tc>
          <w:tcPr>
            <w:tcW w:w="1414" w:type="dxa"/>
            <w:vAlign w:val="center"/>
          </w:tcPr>
          <w:p>
            <w:pPr>
              <w:jc w:val="center"/>
              <w:rPr>
                <w:rFonts w:ascii="宋体" w:hAnsi="宋体"/>
                <w:szCs w:val="21"/>
              </w:rPr>
            </w:pPr>
            <w:r>
              <w:rPr>
                <w:rFonts w:hint="eastAsia" w:ascii="宋体" w:hAnsi="宋体"/>
                <w:szCs w:val="21"/>
              </w:rPr>
              <w:t>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879" w:type="dxa"/>
            <w:vAlign w:val="center"/>
          </w:tcPr>
          <w:p>
            <w:pPr>
              <w:jc w:val="center"/>
              <w:rPr>
                <w:rFonts w:ascii="宋体" w:hAnsi="宋体"/>
                <w:szCs w:val="21"/>
              </w:rPr>
            </w:pPr>
            <w:r>
              <w:rPr>
                <w:rFonts w:hint="eastAsia" w:ascii="宋体" w:hAnsi="宋体"/>
                <w:szCs w:val="21"/>
              </w:rPr>
              <w:t>AlTi5B1</w:t>
            </w:r>
          </w:p>
        </w:tc>
        <w:tc>
          <w:tcPr>
            <w:tcW w:w="3956" w:type="dxa"/>
          </w:tcPr>
          <w:p>
            <w:pPr>
              <w:rPr>
                <w:rFonts w:ascii="宋体" w:hAnsi="宋体"/>
                <w:szCs w:val="21"/>
              </w:rPr>
            </w:pPr>
            <w:r>
              <w:rPr>
                <w:rFonts w:hint="eastAsia" w:ascii="宋体" w:hAnsi="宋体"/>
                <w:szCs w:val="21"/>
              </w:rPr>
              <w:t>1.167、1.160、1.150、1.151、1.151、1.159、1.159、1.145、1.145、1.145、1.145</w:t>
            </w:r>
          </w:p>
        </w:tc>
        <w:tc>
          <w:tcPr>
            <w:tcW w:w="1080" w:type="dxa"/>
            <w:vAlign w:val="center"/>
          </w:tcPr>
          <w:p>
            <w:pPr>
              <w:jc w:val="center"/>
              <w:rPr>
                <w:rFonts w:ascii="宋体" w:hAnsi="宋体"/>
                <w:szCs w:val="21"/>
              </w:rPr>
            </w:pPr>
            <w:r>
              <w:rPr>
                <w:rFonts w:hint="eastAsia" w:ascii="宋体" w:hAnsi="宋体"/>
                <w:szCs w:val="21"/>
              </w:rPr>
              <w:t>1.152</w:t>
            </w:r>
          </w:p>
        </w:tc>
        <w:tc>
          <w:tcPr>
            <w:tcW w:w="1414" w:type="dxa"/>
            <w:vAlign w:val="center"/>
          </w:tcPr>
          <w:p>
            <w:pPr>
              <w:jc w:val="center"/>
              <w:rPr>
                <w:rFonts w:ascii="宋体" w:hAnsi="宋体"/>
                <w:szCs w:val="21"/>
              </w:rPr>
            </w:pPr>
            <w:r>
              <w:rPr>
                <w:rFonts w:hint="eastAsia" w:ascii="宋体" w:hAnsi="宋体"/>
                <w:szCs w:val="21"/>
              </w:rPr>
              <w:t>0.0077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879" w:type="dxa"/>
            <w:vAlign w:val="center"/>
          </w:tcPr>
          <w:p>
            <w:pPr>
              <w:jc w:val="center"/>
              <w:rPr>
                <w:rFonts w:ascii="宋体" w:hAnsi="宋体"/>
                <w:szCs w:val="21"/>
              </w:rPr>
            </w:pPr>
            <w:r>
              <w:rPr>
                <w:rFonts w:hint="eastAsia" w:ascii="宋体" w:hAnsi="宋体"/>
                <w:szCs w:val="21"/>
              </w:rPr>
              <w:t>AlB3</w:t>
            </w:r>
          </w:p>
        </w:tc>
        <w:tc>
          <w:tcPr>
            <w:tcW w:w="3956" w:type="dxa"/>
          </w:tcPr>
          <w:p>
            <w:pPr>
              <w:rPr>
                <w:rFonts w:ascii="宋体" w:hAnsi="宋体"/>
                <w:szCs w:val="21"/>
              </w:rPr>
            </w:pPr>
            <w:r>
              <w:rPr>
                <w:rFonts w:hint="eastAsia" w:ascii="宋体" w:hAnsi="宋体"/>
                <w:szCs w:val="21"/>
              </w:rPr>
              <w:t>3.162、3.186、3.132、3.131、3.122、3.142、3.187、3.185、3.182、3.142、3.162</w:t>
            </w:r>
          </w:p>
        </w:tc>
        <w:tc>
          <w:tcPr>
            <w:tcW w:w="1080" w:type="dxa"/>
            <w:vAlign w:val="center"/>
          </w:tcPr>
          <w:p>
            <w:pPr>
              <w:jc w:val="center"/>
              <w:rPr>
                <w:rFonts w:ascii="宋体" w:hAnsi="宋体"/>
                <w:szCs w:val="21"/>
              </w:rPr>
            </w:pPr>
            <w:r>
              <w:rPr>
                <w:rFonts w:hint="eastAsia" w:ascii="宋体" w:hAnsi="宋体"/>
                <w:szCs w:val="21"/>
              </w:rPr>
              <w:t>3.157</w:t>
            </w:r>
          </w:p>
        </w:tc>
        <w:tc>
          <w:tcPr>
            <w:tcW w:w="1414" w:type="dxa"/>
            <w:vAlign w:val="center"/>
          </w:tcPr>
          <w:p>
            <w:pPr>
              <w:jc w:val="center"/>
              <w:rPr>
                <w:rFonts w:ascii="宋体" w:hAnsi="宋体"/>
                <w:szCs w:val="21"/>
              </w:rPr>
            </w:pPr>
            <w:r>
              <w:rPr>
                <w:rFonts w:hint="eastAsia" w:ascii="宋体" w:hAnsi="宋体"/>
                <w:szCs w:val="21"/>
              </w:rPr>
              <w:t>0.025</w:t>
            </w:r>
          </w:p>
        </w:tc>
      </w:tr>
    </w:tbl>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按照YS/T 807.6-2012《铝中间合金化学分析方法 第6部分：硼含量的测定 离子选择电极法》对不同含硼量的2个样品进行独立的11次分析，分析结果见表11。</w:t>
      </w:r>
    </w:p>
    <w:p>
      <w:pPr>
        <w:spacing w:line="360" w:lineRule="auto"/>
        <w:jc w:val="center"/>
        <w:rPr>
          <w:rFonts w:ascii="宋体" w:hAnsi="宋体"/>
          <w:szCs w:val="21"/>
        </w:rPr>
      </w:pPr>
      <w:r>
        <w:rPr>
          <w:rFonts w:hint="eastAsia" w:ascii="宋体" w:hAnsi="宋体"/>
          <w:szCs w:val="21"/>
        </w:rPr>
        <w:t>表11 样品分析及结果对照</w:t>
      </w:r>
    </w:p>
    <w:tbl>
      <w:tblPr>
        <w:tblStyle w:val="20"/>
        <w:tblW w:w="8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3845"/>
        <w:gridCol w:w="163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3" w:type="dxa"/>
            <w:vAlign w:val="center"/>
          </w:tcPr>
          <w:p>
            <w:pPr>
              <w:jc w:val="center"/>
              <w:rPr>
                <w:rFonts w:ascii="宋体" w:hAnsi="宋体"/>
                <w:szCs w:val="21"/>
              </w:rPr>
            </w:pPr>
            <w:r>
              <w:rPr>
                <w:rFonts w:hint="eastAsia" w:ascii="宋体" w:hAnsi="宋体"/>
                <w:szCs w:val="21"/>
              </w:rPr>
              <w:t>样品编号</w:t>
            </w:r>
          </w:p>
        </w:tc>
        <w:tc>
          <w:tcPr>
            <w:tcW w:w="3845" w:type="dxa"/>
            <w:vAlign w:val="center"/>
          </w:tcPr>
          <w:p>
            <w:pPr>
              <w:jc w:val="center"/>
              <w:rPr>
                <w:rFonts w:ascii="宋体" w:hAnsi="宋体"/>
                <w:szCs w:val="21"/>
              </w:rPr>
            </w:pPr>
            <w:r>
              <w:rPr>
                <w:rFonts w:hint="eastAsia" w:ascii="宋体" w:hAnsi="宋体"/>
                <w:szCs w:val="21"/>
              </w:rPr>
              <w:t>测定结果/%</w:t>
            </w:r>
          </w:p>
        </w:tc>
        <w:tc>
          <w:tcPr>
            <w:tcW w:w="1635" w:type="dxa"/>
            <w:vAlign w:val="center"/>
          </w:tcPr>
          <w:p>
            <w:pPr>
              <w:jc w:val="center"/>
              <w:rPr>
                <w:rFonts w:ascii="宋体" w:hAnsi="宋体"/>
                <w:szCs w:val="21"/>
              </w:rPr>
            </w:pPr>
            <w:r>
              <w:rPr>
                <w:rFonts w:hint="eastAsia" w:ascii="宋体" w:hAnsi="宋体"/>
                <w:szCs w:val="21"/>
              </w:rPr>
              <w:t>平均值/%</w:t>
            </w:r>
          </w:p>
        </w:tc>
        <w:tc>
          <w:tcPr>
            <w:tcW w:w="1545" w:type="dxa"/>
            <w:vAlign w:val="center"/>
          </w:tcPr>
          <w:p>
            <w:pPr>
              <w:jc w:val="center"/>
              <w:rPr>
                <w:rFonts w:ascii="宋体" w:hAnsi="宋体"/>
                <w:szCs w:val="21"/>
              </w:rPr>
            </w:pPr>
            <w:r>
              <w:rPr>
                <w:rFonts w:hint="eastAsia" w:ascii="宋体" w:hAnsi="宋体"/>
                <w:szCs w:val="21"/>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3" w:type="dxa"/>
            <w:vAlign w:val="center"/>
          </w:tcPr>
          <w:p>
            <w:pPr>
              <w:jc w:val="center"/>
              <w:rPr>
                <w:rFonts w:ascii="宋体" w:hAnsi="宋体"/>
                <w:szCs w:val="21"/>
              </w:rPr>
            </w:pPr>
            <w:r>
              <w:rPr>
                <w:rFonts w:hint="eastAsia" w:ascii="宋体" w:hAnsi="宋体"/>
                <w:szCs w:val="21"/>
              </w:rPr>
              <w:t>AlB5</w:t>
            </w:r>
          </w:p>
        </w:tc>
        <w:tc>
          <w:tcPr>
            <w:tcW w:w="3845" w:type="dxa"/>
            <w:vAlign w:val="center"/>
          </w:tcPr>
          <w:p>
            <w:pPr>
              <w:jc w:val="left"/>
              <w:rPr>
                <w:rFonts w:ascii="宋体" w:hAnsi="宋体"/>
                <w:szCs w:val="21"/>
              </w:rPr>
            </w:pPr>
            <w:r>
              <w:rPr>
                <w:rFonts w:hint="eastAsia" w:ascii="宋体" w:hAnsi="宋体"/>
                <w:szCs w:val="21"/>
              </w:rPr>
              <w:t>5.12、5.28、5.14、5.32、5.33、5.31、5.41、5.44、5.34、5.37、5.13</w:t>
            </w:r>
          </w:p>
        </w:tc>
        <w:tc>
          <w:tcPr>
            <w:tcW w:w="1635" w:type="dxa"/>
            <w:vAlign w:val="center"/>
          </w:tcPr>
          <w:p>
            <w:pPr>
              <w:jc w:val="center"/>
              <w:rPr>
                <w:rFonts w:ascii="宋体" w:hAnsi="宋体"/>
                <w:szCs w:val="21"/>
              </w:rPr>
            </w:pPr>
            <w:r>
              <w:rPr>
                <w:rFonts w:hint="eastAsia" w:ascii="宋体" w:hAnsi="宋体"/>
                <w:szCs w:val="21"/>
              </w:rPr>
              <w:t>5.29</w:t>
            </w:r>
          </w:p>
        </w:tc>
        <w:tc>
          <w:tcPr>
            <w:tcW w:w="1545" w:type="dxa"/>
            <w:vAlign w:val="center"/>
          </w:tcPr>
          <w:p>
            <w:pPr>
              <w:jc w:val="center"/>
              <w:rPr>
                <w:rFonts w:ascii="宋体" w:hAnsi="宋体"/>
                <w:szCs w:val="21"/>
              </w:rPr>
            </w:pPr>
            <w:r>
              <w:rPr>
                <w:rFonts w:hint="eastAsia" w:ascii="宋体" w:hAnsi="宋体"/>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3" w:type="dxa"/>
            <w:vAlign w:val="center"/>
          </w:tcPr>
          <w:p>
            <w:pPr>
              <w:jc w:val="center"/>
              <w:rPr>
                <w:rFonts w:ascii="宋体" w:hAnsi="宋体"/>
                <w:szCs w:val="21"/>
              </w:rPr>
            </w:pPr>
            <w:r>
              <w:rPr>
                <w:rFonts w:hint="eastAsia" w:ascii="宋体" w:hAnsi="宋体"/>
                <w:szCs w:val="21"/>
              </w:rPr>
              <w:t>AlB8</w:t>
            </w:r>
          </w:p>
        </w:tc>
        <w:tc>
          <w:tcPr>
            <w:tcW w:w="3845" w:type="dxa"/>
            <w:vAlign w:val="center"/>
          </w:tcPr>
          <w:p>
            <w:pPr>
              <w:jc w:val="left"/>
              <w:rPr>
                <w:rFonts w:ascii="宋体" w:hAnsi="宋体"/>
                <w:szCs w:val="21"/>
              </w:rPr>
            </w:pPr>
            <w:r>
              <w:rPr>
                <w:rFonts w:hint="eastAsia" w:ascii="宋体" w:hAnsi="宋体"/>
                <w:szCs w:val="21"/>
              </w:rPr>
              <w:t>8.52、8.46、8.63、8.59、8.54、8.54、8.66、8.56、8.42、8.65、8.47</w:t>
            </w:r>
          </w:p>
        </w:tc>
        <w:tc>
          <w:tcPr>
            <w:tcW w:w="1635" w:type="dxa"/>
            <w:vAlign w:val="center"/>
          </w:tcPr>
          <w:p>
            <w:pPr>
              <w:jc w:val="center"/>
              <w:rPr>
                <w:rFonts w:ascii="宋体" w:hAnsi="宋体"/>
                <w:szCs w:val="21"/>
              </w:rPr>
            </w:pPr>
            <w:r>
              <w:rPr>
                <w:rFonts w:hint="eastAsia" w:ascii="宋体" w:hAnsi="宋体"/>
                <w:szCs w:val="21"/>
              </w:rPr>
              <w:t>8.55</w:t>
            </w:r>
          </w:p>
        </w:tc>
        <w:tc>
          <w:tcPr>
            <w:tcW w:w="1545" w:type="dxa"/>
            <w:vAlign w:val="center"/>
          </w:tcPr>
          <w:p>
            <w:pPr>
              <w:jc w:val="center"/>
              <w:rPr>
                <w:rFonts w:ascii="宋体" w:hAnsi="宋体"/>
                <w:szCs w:val="21"/>
              </w:rPr>
            </w:pPr>
            <w:r>
              <w:rPr>
                <w:rFonts w:hint="eastAsia" w:ascii="宋体" w:hAnsi="宋体"/>
                <w:szCs w:val="21"/>
              </w:rPr>
              <w:t>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3" w:type="dxa"/>
            <w:vAlign w:val="center"/>
          </w:tcPr>
          <w:p>
            <w:pPr>
              <w:jc w:val="center"/>
              <w:rPr>
                <w:rFonts w:ascii="宋体" w:hAnsi="宋体"/>
                <w:szCs w:val="21"/>
              </w:rPr>
            </w:pPr>
            <w:r>
              <w:rPr>
                <w:rFonts w:hint="eastAsia" w:ascii="宋体" w:hAnsi="宋体"/>
                <w:szCs w:val="21"/>
              </w:rPr>
              <w:t>AlB10</w:t>
            </w:r>
          </w:p>
        </w:tc>
        <w:tc>
          <w:tcPr>
            <w:tcW w:w="3845" w:type="dxa"/>
            <w:vAlign w:val="center"/>
          </w:tcPr>
          <w:p>
            <w:pPr>
              <w:jc w:val="left"/>
              <w:rPr>
                <w:rFonts w:ascii="宋体" w:hAnsi="宋体"/>
                <w:szCs w:val="21"/>
              </w:rPr>
            </w:pPr>
            <w:r>
              <w:rPr>
                <w:rFonts w:hint="eastAsia" w:ascii="宋体" w:hAnsi="宋体"/>
                <w:szCs w:val="21"/>
              </w:rPr>
              <w:t>11.20、11.21、11.14、11.25、11.03、11.06、11.20、11.94、11.20、11.21、11.26</w:t>
            </w:r>
          </w:p>
        </w:tc>
        <w:tc>
          <w:tcPr>
            <w:tcW w:w="1635" w:type="dxa"/>
            <w:vAlign w:val="center"/>
          </w:tcPr>
          <w:p>
            <w:pPr>
              <w:jc w:val="center"/>
              <w:rPr>
                <w:rFonts w:ascii="宋体" w:hAnsi="宋体"/>
                <w:szCs w:val="21"/>
              </w:rPr>
            </w:pPr>
            <w:r>
              <w:rPr>
                <w:rFonts w:hint="eastAsia" w:ascii="宋体" w:hAnsi="宋体"/>
                <w:szCs w:val="21"/>
              </w:rPr>
              <w:t>11.25</w:t>
            </w:r>
          </w:p>
        </w:tc>
        <w:tc>
          <w:tcPr>
            <w:tcW w:w="1545" w:type="dxa"/>
            <w:vAlign w:val="center"/>
          </w:tcPr>
          <w:p>
            <w:pPr>
              <w:jc w:val="center"/>
              <w:rPr>
                <w:rFonts w:ascii="宋体" w:hAnsi="宋体"/>
                <w:szCs w:val="21"/>
              </w:rPr>
            </w:pPr>
            <w:r>
              <w:rPr>
                <w:rFonts w:hint="eastAsia" w:ascii="宋体" w:hAnsi="宋体"/>
                <w:szCs w:val="21"/>
              </w:rPr>
              <w:t>0.24</w:t>
            </w:r>
          </w:p>
        </w:tc>
      </w:tr>
    </w:tbl>
    <w:p>
      <w:pPr>
        <w:spacing w:line="360" w:lineRule="auto"/>
        <w:ind w:firstLine="420"/>
        <w:rPr>
          <w:rFonts w:ascii="宋体" w:hAnsi="宋体"/>
          <w:szCs w:val="21"/>
        </w:rPr>
      </w:pPr>
    </w:p>
    <w:p>
      <w:pPr>
        <w:spacing w:line="360" w:lineRule="auto"/>
        <w:ind w:firstLine="420"/>
        <w:rPr>
          <w:rFonts w:ascii="宋体" w:hAnsi="宋体"/>
          <w:szCs w:val="21"/>
        </w:rPr>
      </w:pPr>
      <w:r>
        <w:rPr>
          <w:rFonts w:hint="eastAsia" w:ascii="宋体" w:hAnsi="宋体"/>
          <w:szCs w:val="21"/>
        </w:rPr>
        <w:t>河北四通新型金属材料股份有限公司根据中铝郑州研究院提供的《试验报告》，按照试验步骤，对提供的不同含硼量的4个铝及铝合金样品进行独立分析，各得到11个数据，分析结果见表12。</w:t>
      </w:r>
    </w:p>
    <w:p>
      <w:pPr>
        <w:spacing w:line="360" w:lineRule="auto"/>
        <w:ind w:firstLine="420"/>
        <w:jc w:val="center"/>
        <w:rPr>
          <w:rFonts w:ascii="宋体" w:hAnsi="宋体"/>
          <w:szCs w:val="21"/>
        </w:rPr>
      </w:pPr>
      <w:r>
        <w:rPr>
          <w:rFonts w:hint="eastAsia" w:ascii="宋体" w:hAnsi="宋体"/>
          <w:szCs w:val="21"/>
        </w:rPr>
        <w:t>表12 样品分析结果</w:t>
      </w:r>
    </w:p>
    <w:tbl>
      <w:tblPr>
        <w:tblStyle w:val="21"/>
        <w:tblW w:w="8273" w:type="dxa"/>
        <w:jc w:val="center"/>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692"/>
        <w:gridCol w:w="1692"/>
        <w:gridCol w:w="1692"/>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tcPr>
          <w:p>
            <w:pPr>
              <w:widowControl/>
              <w:jc w:val="center"/>
              <w:rPr>
                <w:rFonts w:ascii="宋体" w:hAnsi="宋体" w:cs="宋体"/>
                <w:szCs w:val="21"/>
              </w:rPr>
            </w:pPr>
            <w:r>
              <w:rPr>
                <w:rFonts w:hint="eastAsia" w:ascii="宋体" w:hAnsi="宋体" w:cs="宋体"/>
                <w:color w:val="000000"/>
                <w:kern w:val="0"/>
                <w:szCs w:val="21"/>
              </w:rPr>
              <w:t>样品名称</w:t>
            </w:r>
          </w:p>
        </w:tc>
        <w:tc>
          <w:tcPr>
            <w:tcW w:w="1692" w:type="dxa"/>
          </w:tcPr>
          <w:p>
            <w:pPr>
              <w:widowControl/>
              <w:jc w:val="center"/>
              <w:rPr>
                <w:rFonts w:ascii="宋体" w:hAnsi="宋体" w:cs="宋体"/>
                <w:szCs w:val="21"/>
              </w:rPr>
            </w:pPr>
            <w:r>
              <w:rPr>
                <w:rFonts w:hint="eastAsia" w:ascii="宋体" w:hAnsi="宋体" w:cs="宋体"/>
                <w:color w:val="000000"/>
                <w:kern w:val="0"/>
                <w:szCs w:val="21"/>
              </w:rPr>
              <w:t>AlTi5B1</w:t>
            </w:r>
          </w:p>
        </w:tc>
        <w:tc>
          <w:tcPr>
            <w:tcW w:w="1692" w:type="dxa"/>
          </w:tcPr>
          <w:p>
            <w:pPr>
              <w:widowControl/>
              <w:jc w:val="center"/>
              <w:rPr>
                <w:rFonts w:ascii="宋体" w:hAnsi="宋体" w:cs="宋体"/>
                <w:szCs w:val="21"/>
              </w:rPr>
            </w:pPr>
            <w:r>
              <w:rPr>
                <w:rFonts w:hint="eastAsia" w:ascii="宋体" w:hAnsi="宋体" w:cs="宋体"/>
                <w:color w:val="000000"/>
                <w:kern w:val="0"/>
                <w:szCs w:val="21"/>
              </w:rPr>
              <w:t>AlB5</w:t>
            </w:r>
          </w:p>
        </w:tc>
        <w:tc>
          <w:tcPr>
            <w:tcW w:w="1692" w:type="dxa"/>
          </w:tcPr>
          <w:p>
            <w:pPr>
              <w:widowControl/>
              <w:jc w:val="center"/>
              <w:rPr>
                <w:rFonts w:ascii="宋体" w:hAnsi="宋体" w:cs="宋体"/>
                <w:szCs w:val="21"/>
              </w:rPr>
            </w:pPr>
            <w:r>
              <w:rPr>
                <w:rFonts w:hint="eastAsia" w:ascii="宋体" w:hAnsi="宋体" w:cs="宋体"/>
                <w:color w:val="000000"/>
                <w:kern w:val="0"/>
                <w:szCs w:val="21"/>
              </w:rPr>
              <w:t>AlB8</w:t>
            </w:r>
          </w:p>
        </w:tc>
        <w:tc>
          <w:tcPr>
            <w:tcW w:w="1693" w:type="dxa"/>
          </w:tcPr>
          <w:p>
            <w:pPr>
              <w:widowControl/>
              <w:jc w:val="center"/>
              <w:rPr>
                <w:rFonts w:ascii="宋体" w:hAnsi="宋体" w:cs="宋体"/>
                <w:szCs w:val="21"/>
              </w:rPr>
            </w:pPr>
            <w:r>
              <w:rPr>
                <w:rFonts w:hint="eastAsia" w:ascii="宋体" w:hAnsi="宋体" w:cs="宋体"/>
                <w:color w:val="000000"/>
                <w:kern w:val="0"/>
                <w:szCs w:val="21"/>
              </w:rPr>
              <w:t>AlB10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tcPr>
          <w:p>
            <w:pPr>
              <w:widowControl/>
              <w:jc w:val="center"/>
              <w:rPr>
                <w:rFonts w:ascii="宋体" w:hAnsi="宋体" w:cs="宋体"/>
                <w:szCs w:val="21"/>
              </w:rPr>
            </w:pPr>
            <w:r>
              <w:rPr>
                <w:rFonts w:hint="eastAsia" w:ascii="宋体" w:hAnsi="宋体" w:cs="宋体"/>
                <w:szCs w:val="21"/>
              </w:rPr>
              <w:t>1</w:t>
            </w:r>
          </w:p>
        </w:tc>
        <w:tc>
          <w:tcPr>
            <w:tcW w:w="1692" w:type="dxa"/>
          </w:tcPr>
          <w:p>
            <w:pPr>
              <w:widowControl/>
              <w:jc w:val="center"/>
              <w:rPr>
                <w:rFonts w:ascii="宋体" w:hAnsi="宋体" w:cs="宋体"/>
                <w:szCs w:val="21"/>
              </w:rPr>
            </w:pPr>
            <w:r>
              <w:rPr>
                <w:rFonts w:hint="eastAsia" w:ascii="宋体" w:hAnsi="宋体" w:cs="宋体"/>
                <w:color w:val="000000"/>
                <w:kern w:val="0"/>
                <w:szCs w:val="21"/>
              </w:rPr>
              <w:t>1.18</w:t>
            </w:r>
          </w:p>
        </w:tc>
        <w:tc>
          <w:tcPr>
            <w:tcW w:w="1692" w:type="dxa"/>
          </w:tcPr>
          <w:p>
            <w:pPr>
              <w:widowControl/>
              <w:jc w:val="center"/>
              <w:rPr>
                <w:rFonts w:ascii="宋体" w:hAnsi="宋体" w:cs="宋体"/>
                <w:szCs w:val="21"/>
              </w:rPr>
            </w:pPr>
            <w:r>
              <w:rPr>
                <w:rFonts w:hint="eastAsia" w:ascii="宋体" w:hAnsi="宋体" w:cs="宋体"/>
                <w:color w:val="000000"/>
                <w:kern w:val="0"/>
                <w:szCs w:val="21"/>
              </w:rPr>
              <w:t>5.01</w:t>
            </w:r>
          </w:p>
        </w:tc>
        <w:tc>
          <w:tcPr>
            <w:tcW w:w="1692" w:type="dxa"/>
          </w:tcPr>
          <w:p>
            <w:pPr>
              <w:widowControl/>
              <w:jc w:val="center"/>
              <w:rPr>
                <w:rFonts w:ascii="宋体" w:hAnsi="宋体" w:cs="宋体"/>
                <w:szCs w:val="21"/>
              </w:rPr>
            </w:pPr>
            <w:r>
              <w:rPr>
                <w:rFonts w:hint="eastAsia" w:ascii="宋体" w:hAnsi="宋体" w:cs="宋体"/>
                <w:color w:val="000000"/>
                <w:kern w:val="0"/>
                <w:szCs w:val="21"/>
              </w:rPr>
              <w:t>8.23</w:t>
            </w:r>
          </w:p>
        </w:tc>
        <w:tc>
          <w:tcPr>
            <w:tcW w:w="1693" w:type="dxa"/>
          </w:tcPr>
          <w:p>
            <w:pPr>
              <w:widowControl/>
              <w:jc w:val="center"/>
              <w:rPr>
                <w:rFonts w:ascii="宋体" w:hAnsi="宋体" w:cs="宋体"/>
                <w:szCs w:val="21"/>
              </w:rPr>
            </w:pPr>
            <w:r>
              <w:rPr>
                <w:rFonts w:hint="eastAsia" w:ascii="宋体" w:hAnsi="宋体" w:cs="宋体"/>
                <w:color w:val="000000"/>
                <w:kern w:val="0"/>
                <w:szCs w:val="21"/>
              </w:rPr>
              <w:t>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tcPr>
          <w:p>
            <w:pPr>
              <w:widowControl/>
              <w:jc w:val="center"/>
              <w:rPr>
                <w:rFonts w:ascii="宋体" w:hAnsi="宋体" w:cs="宋体"/>
                <w:szCs w:val="21"/>
              </w:rPr>
            </w:pPr>
            <w:r>
              <w:rPr>
                <w:rFonts w:hint="eastAsia" w:ascii="宋体" w:hAnsi="宋体" w:cs="宋体"/>
                <w:szCs w:val="21"/>
              </w:rPr>
              <w:t>2</w:t>
            </w:r>
          </w:p>
        </w:tc>
        <w:tc>
          <w:tcPr>
            <w:tcW w:w="1692" w:type="dxa"/>
          </w:tcPr>
          <w:p>
            <w:pPr>
              <w:widowControl/>
              <w:jc w:val="center"/>
              <w:rPr>
                <w:rFonts w:ascii="宋体" w:hAnsi="宋体" w:cs="宋体"/>
                <w:szCs w:val="21"/>
              </w:rPr>
            </w:pPr>
            <w:r>
              <w:rPr>
                <w:rFonts w:hint="eastAsia" w:ascii="宋体" w:hAnsi="宋体" w:cs="宋体"/>
                <w:color w:val="000000"/>
                <w:kern w:val="0"/>
                <w:szCs w:val="21"/>
              </w:rPr>
              <w:t>1.16</w:t>
            </w:r>
          </w:p>
        </w:tc>
        <w:tc>
          <w:tcPr>
            <w:tcW w:w="1692" w:type="dxa"/>
          </w:tcPr>
          <w:p>
            <w:pPr>
              <w:widowControl/>
              <w:jc w:val="center"/>
              <w:rPr>
                <w:rFonts w:ascii="宋体" w:hAnsi="宋体" w:cs="宋体"/>
                <w:szCs w:val="21"/>
              </w:rPr>
            </w:pPr>
            <w:r>
              <w:rPr>
                <w:rFonts w:hint="eastAsia" w:ascii="宋体" w:hAnsi="宋体" w:cs="宋体"/>
                <w:color w:val="000000"/>
                <w:kern w:val="0"/>
                <w:szCs w:val="21"/>
              </w:rPr>
              <w:t>5.09</w:t>
            </w:r>
          </w:p>
        </w:tc>
        <w:tc>
          <w:tcPr>
            <w:tcW w:w="1692" w:type="dxa"/>
          </w:tcPr>
          <w:p>
            <w:pPr>
              <w:widowControl/>
              <w:jc w:val="center"/>
              <w:rPr>
                <w:rFonts w:ascii="宋体" w:hAnsi="宋体" w:cs="宋体"/>
                <w:szCs w:val="21"/>
              </w:rPr>
            </w:pPr>
            <w:r>
              <w:rPr>
                <w:rFonts w:hint="eastAsia" w:ascii="宋体" w:hAnsi="宋体" w:cs="宋体"/>
                <w:color w:val="000000"/>
                <w:kern w:val="0"/>
                <w:szCs w:val="21"/>
              </w:rPr>
              <w:t>8.19</w:t>
            </w:r>
          </w:p>
        </w:tc>
        <w:tc>
          <w:tcPr>
            <w:tcW w:w="1693" w:type="dxa"/>
          </w:tcPr>
          <w:p>
            <w:pPr>
              <w:widowControl/>
              <w:jc w:val="center"/>
              <w:rPr>
                <w:rFonts w:ascii="宋体" w:hAnsi="宋体" w:cs="宋体"/>
                <w:szCs w:val="21"/>
              </w:rPr>
            </w:pPr>
            <w:r>
              <w:rPr>
                <w:rFonts w:hint="eastAsia" w:ascii="宋体" w:hAnsi="宋体" w:cs="宋体"/>
                <w:color w:val="000000"/>
                <w:kern w:val="0"/>
                <w:szCs w:val="21"/>
              </w:rPr>
              <w:t>10.87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tcPr>
          <w:p>
            <w:pPr>
              <w:widowControl/>
              <w:jc w:val="center"/>
              <w:rPr>
                <w:rFonts w:ascii="宋体" w:hAnsi="宋体" w:cs="宋体"/>
                <w:szCs w:val="21"/>
              </w:rPr>
            </w:pPr>
            <w:r>
              <w:rPr>
                <w:rFonts w:hint="eastAsia" w:ascii="宋体" w:hAnsi="宋体" w:cs="宋体"/>
                <w:szCs w:val="21"/>
              </w:rPr>
              <w:t>3</w:t>
            </w:r>
          </w:p>
        </w:tc>
        <w:tc>
          <w:tcPr>
            <w:tcW w:w="1692" w:type="dxa"/>
          </w:tcPr>
          <w:p>
            <w:pPr>
              <w:widowControl/>
              <w:jc w:val="center"/>
              <w:rPr>
                <w:rFonts w:ascii="宋体" w:hAnsi="宋体" w:cs="宋体"/>
                <w:szCs w:val="21"/>
              </w:rPr>
            </w:pPr>
            <w:r>
              <w:rPr>
                <w:rFonts w:hint="eastAsia" w:ascii="宋体" w:hAnsi="宋体" w:cs="宋体"/>
                <w:color w:val="000000"/>
                <w:kern w:val="0"/>
                <w:szCs w:val="21"/>
              </w:rPr>
              <w:t>1.20</w:t>
            </w:r>
          </w:p>
        </w:tc>
        <w:tc>
          <w:tcPr>
            <w:tcW w:w="1692" w:type="dxa"/>
          </w:tcPr>
          <w:p>
            <w:pPr>
              <w:widowControl/>
              <w:jc w:val="center"/>
              <w:rPr>
                <w:rFonts w:ascii="宋体" w:hAnsi="宋体" w:cs="宋体"/>
                <w:szCs w:val="21"/>
              </w:rPr>
            </w:pPr>
            <w:r>
              <w:rPr>
                <w:rFonts w:hint="eastAsia" w:ascii="宋体" w:hAnsi="宋体" w:cs="宋体"/>
                <w:color w:val="000000"/>
                <w:kern w:val="0"/>
                <w:szCs w:val="21"/>
              </w:rPr>
              <w:t>4.98</w:t>
            </w:r>
          </w:p>
        </w:tc>
        <w:tc>
          <w:tcPr>
            <w:tcW w:w="1692" w:type="dxa"/>
          </w:tcPr>
          <w:p>
            <w:pPr>
              <w:widowControl/>
              <w:jc w:val="center"/>
              <w:rPr>
                <w:rFonts w:ascii="宋体" w:hAnsi="宋体" w:cs="宋体"/>
                <w:szCs w:val="21"/>
              </w:rPr>
            </w:pPr>
            <w:r>
              <w:rPr>
                <w:rFonts w:hint="eastAsia" w:ascii="宋体" w:hAnsi="宋体" w:cs="宋体"/>
                <w:color w:val="000000"/>
                <w:kern w:val="0"/>
                <w:szCs w:val="21"/>
              </w:rPr>
              <w:t>7.99</w:t>
            </w:r>
          </w:p>
        </w:tc>
        <w:tc>
          <w:tcPr>
            <w:tcW w:w="1693" w:type="dxa"/>
          </w:tcPr>
          <w:p>
            <w:pPr>
              <w:widowControl/>
              <w:jc w:val="center"/>
              <w:rPr>
                <w:rFonts w:ascii="宋体" w:hAnsi="宋体" w:cs="宋体"/>
                <w:szCs w:val="21"/>
              </w:rPr>
            </w:pPr>
            <w:r>
              <w:rPr>
                <w:rFonts w:hint="eastAsia" w:ascii="宋体" w:hAnsi="宋体" w:cs="宋体"/>
                <w:color w:val="000000"/>
                <w:kern w:val="0"/>
                <w:szCs w:val="21"/>
              </w:rPr>
              <w:t>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tcPr>
          <w:p>
            <w:pPr>
              <w:widowControl/>
              <w:jc w:val="center"/>
              <w:rPr>
                <w:rFonts w:ascii="宋体" w:hAnsi="宋体" w:cs="宋体"/>
                <w:szCs w:val="21"/>
              </w:rPr>
            </w:pPr>
            <w:r>
              <w:rPr>
                <w:rFonts w:hint="eastAsia" w:ascii="宋体" w:hAnsi="宋体" w:cs="宋体"/>
                <w:szCs w:val="21"/>
              </w:rPr>
              <w:t>4</w:t>
            </w:r>
          </w:p>
        </w:tc>
        <w:tc>
          <w:tcPr>
            <w:tcW w:w="1692" w:type="dxa"/>
          </w:tcPr>
          <w:p>
            <w:pPr>
              <w:widowControl/>
              <w:jc w:val="center"/>
              <w:rPr>
                <w:rFonts w:ascii="宋体" w:hAnsi="宋体" w:cs="宋体"/>
                <w:szCs w:val="21"/>
              </w:rPr>
            </w:pPr>
            <w:r>
              <w:rPr>
                <w:rFonts w:hint="eastAsia" w:ascii="宋体" w:hAnsi="宋体" w:cs="宋体"/>
                <w:color w:val="000000"/>
                <w:kern w:val="0"/>
                <w:szCs w:val="21"/>
              </w:rPr>
              <w:t>1.17</w:t>
            </w:r>
          </w:p>
        </w:tc>
        <w:tc>
          <w:tcPr>
            <w:tcW w:w="1692" w:type="dxa"/>
          </w:tcPr>
          <w:p>
            <w:pPr>
              <w:widowControl/>
              <w:jc w:val="center"/>
              <w:rPr>
                <w:rFonts w:ascii="宋体" w:hAnsi="宋体" w:cs="宋体"/>
                <w:szCs w:val="21"/>
              </w:rPr>
            </w:pPr>
            <w:r>
              <w:rPr>
                <w:rFonts w:hint="eastAsia" w:ascii="宋体" w:hAnsi="宋体" w:cs="宋体"/>
                <w:color w:val="000000"/>
                <w:kern w:val="0"/>
                <w:szCs w:val="21"/>
              </w:rPr>
              <w:t>5.12</w:t>
            </w:r>
          </w:p>
        </w:tc>
        <w:tc>
          <w:tcPr>
            <w:tcW w:w="1692" w:type="dxa"/>
          </w:tcPr>
          <w:p>
            <w:pPr>
              <w:widowControl/>
              <w:jc w:val="center"/>
              <w:rPr>
                <w:rFonts w:ascii="宋体" w:hAnsi="宋体" w:cs="宋体"/>
                <w:szCs w:val="21"/>
              </w:rPr>
            </w:pPr>
            <w:r>
              <w:rPr>
                <w:rFonts w:hint="eastAsia" w:ascii="宋体" w:hAnsi="宋体" w:cs="宋体"/>
                <w:color w:val="000000"/>
                <w:kern w:val="0"/>
                <w:szCs w:val="21"/>
              </w:rPr>
              <w:t>8.18</w:t>
            </w:r>
          </w:p>
        </w:tc>
        <w:tc>
          <w:tcPr>
            <w:tcW w:w="1693" w:type="dxa"/>
            <w:vAlign w:val="bottom"/>
          </w:tcPr>
          <w:p>
            <w:pPr>
              <w:widowControl/>
              <w:jc w:val="center"/>
              <w:rPr>
                <w:rFonts w:ascii="宋体" w:hAnsi="宋体" w:cs="宋体"/>
                <w:szCs w:val="21"/>
              </w:rPr>
            </w:pPr>
            <w:r>
              <w:rPr>
                <w:rFonts w:hint="eastAsia" w:ascii="宋体" w:hAnsi="宋体" w:cs="宋体"/>
                <w:color w:val="000000"/>
                <w:kern w:val="0"/>
                <w:szCs w:val="21"/>
              </w:rPr>
              <w:t>10.89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tcPr>
          <w:p>
            <w:pPr>
              <w:widowControl/>
              <w:jc w:val="center"/>
              <w:rPr>
                <w:rFonts w:ascii="宋体" w:hAnsi="宋体" w:cs="宋体"/>
                <w:szCs w:val="21"/>
              </w:rPr>
            </w:pPr>
            <w:r>
              <w:rPr>
                <w:rFonts w:hint="eastAsia" w:ascii="宋体" w:hAnsi="宋体" w:cs="宋体"/>
                <w:szCs w:val="21"/>
              </w:rPr>
              <w:t>5</w:t>
            </w:r>
          </w:p>
        </w:tc>
        <w:tc>
          <w:tcPr>
            <w:tcW w:w="1692" w:type="dxa"/>
          </w:tcPr>
          <w:p>
            <w:pPr>
              <w:widowControl/>
              <w:jc w:val="center"/>
              <w:rPr>
                <w:rFonts w:ascii="宋体" w:hAnsi="宋体" w:cs="宋体"/>
                <w:szCs w:val="21"/>
              </w:rPr>
            </w:pPr>
            <w:r>
              <w:rPr>
                <w:rFonts w:hint="eastAsia" w:ascii="宋体" w:hAnsi="宋体" w:cs="宋体"/>
                <w:color w:val="000000"/>
                <w:kern w:val="0"/>
                <w:szCs w:val="21"/>
              </w:rPr>
              <w:t>1.18</w:t>
            </w:r>
          </w:p>
        </w:tc>
        <w:tc>
          <w:tcPr>
            <w:tcW w:w="1692" w:type="dxa"/>
          </w:tcPr>
          <w:p>
            <w:pPr>
              <w:widowControl/>
              <w:jc w:val="center"/>
              <w:rPr>
                <w:rFonts w:ascii="宋体" w:hAnsi="宋体" w:cs="宋体"/>
                <w:szCs w:val="21"/>
              </w:rPr>
            </w:pPr>
            <w:r>
              <w:rPr>
                <w:rFonts w:hint="eastAsia" w:ascii="宋体" w:hAnsi="宋体" w:cs="宋体"/>
                <w:color w:val="000000"/>
                <w:kern w:val="0"/>
                <w:szCs w:val="21"/>
              </w:rPr>
              <w:t>5.19</w:t>
            </w:r>
          </w:p>
        </w:tc>
        <w:tc>
          <w:tcPr>
            <w:tcW w:w="1692" w:type="dxa"/>
          </w:tcPr>
          <w:p>
            <w:pPr>
              <w:widowControl/>
              <w:jc w:val="center"/>
              <w:rPr>
                <w:rFonts w:ascii="宋体" w:hAnsi="宋体" w:cs="宋体"/>
                <w:szCs w:val="21"/>
              </w:rPr>
            </w:pPr>
            <w:r>
              <w:rPr>
                <w:rFonts w:hint="eastAsia" w:ascii="宋体" w:hAnsi="宋体" w:cs="宋体"/>
                <w:color w:val="000000"/>
                <w:kern w:val="0"/>
                <w:szCs w:val="21"/>
              </w:rPr>
              <w:t>8.21</w:t>
            </w:r>
          </w:p>
        </w:tc>
        <w:tc>
          <w:tcPr>
            <w:tcW w:w="1693" w:type="dxa"/>
            <w:vAlign w:val="bottom"/>
          </w:tcPr>
          <w:p>
            <w:pPr>
              <w:widowControl/>
              <w:jc w:val="center"/>
              <w:rPr>
                <w:rFonts w:ascii="宋体" w:hAnsi="宋体" w:cs="宋体"/>
                <w:szCs w:val="21"/>
              </w:rPr>
            </w:pPr>
            <w:r>
              <w:rPr>
                <w:rFonts w:hint="eastAsia" w:ascii="宋体" w:hAnsi="宋体" w:cs="宋体"/>
                <w:color w:val="000000"/>
                <w:kern w:val="0"/>
                <w:szCs w:val="21"/>
              </w:rPr>
              <w:t>10.79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tcPr>
          <w:p>
            <w:pPr>
              <w:widowControl/>
              <w:jc w:val="center"/>
              <w:rPr>
                <w:rFonts w:ascii="宋体" w:hAnsi="宋体" w:cs="宋体"/>
                <w:szCs w:val="21"/>
              </w:rPr>
            </w:pPr>
            <w:r>
              <w:rPr>
                <w:rFonts w:hint="eastAsia" w:ascii="宋体" w:hAnsi="宋体" w:cs="宋体"/>
                <w:szCs w:val="21"/>
              </w:rPr>
              <w:t>6</w:t>
            </w:r>
          </w:p>
        </w:tc>
        <w:tc>
          <w:tcPr>
            <w:tcW w:w="1692" w:type="dxa"/>
          </w:tcPr>
          <w:p>
            <w:pPr>
              <w:widowControl/>
              <w:jc w:val="center"/>
              <w:rPr>
                <w:rFonts w:ascii="宋体" w:hAnsi="宋体" w:cs="宋体"/>
                <w:szCs w:val="21"/>
              </w:rPr>
            </w:pPr>
            <w:r>
              <w:rPr>
                <w:rFonts w:hint="eastAsia" w:ascii="宋体" w:hAnsi="宋体" w:cs="宋体"/>
                <w:color w:val="000000"/>
                <w:kern w:val="0"/>
                <w:szCs w:val="21"/>
              </w:rPr>
              <w:t>1.20</w:t>
            </w:r>
          </w:p>
        </w:tc>
        <w:tc>
          <w:tcPr>
            <w:tcW w:w="1692" w:type="dxa"/>
          </w:tcPr>
          <w:p>
            <w:pPr>
              <w:widowControl/>
              <w:jc w:val="center"/>
              <w:rPr>
                <w:rFonts w:ascii="宋体" w:hAnsi="宋体" w:cs="宋体"/>
                <w:szCs w:val="21"/>
              </w:rPr>
            </w:pPr>
            <w:r>
              <w:rPr>
                <w:rFonts w:hint="eastAsia" w:ascii="宋体" w:hAnsi="宋体" w:cs="宋体"/>
                <w:color w:val="000000"/>
                <w:kern w:val="0"/>
                <w:szCs w:val="21"/>
              </w:rPr>
              <w:t>5.21</w:t>
            </w:r>
          </w:p>
        </w:tc>
        <w:tc>
          <w:tcPr>
            <w:tcW w:w="1692" w:type="dxa"/>
          </w:tcPr>
          <w:p>
            <w:pPr>
              <w:widowControl/>
              <w:jc w:val="center"/>
              <w:rPr>
                <w:rFonts w:ascii="宋体" w:hAnsi="宋体" w:cs="宋体"/>
                <w:szCs w:val="21"/>
              </w:rPr>
            </w:pPr>
            <w:r>
              <w:rPr>
                <w:rFonts w:hint="eastAsia" w:ascii="宋体" w:hAnsi="宋体" w:cs="宋体"/>
                <w:color w:val="000000"/>
                <w:kern w:val="0"/>
                <w:szCs w:val="21"/>
              </w:rPr>
              <w:t>8.15</w:t>
            </w:r>
          </w:p>
        </w:tc>
        <w:tc>
          <w:tcPr>
            <w:tcW w:w="1693" w:type="dxa"/>
          </w:tcPr>
          <w:p>
            <w:pPr>
              <w:widowControl/>
              <w:jc w:val="center"/>
              <w:rPr>
                <w:rFonts w:ascii="宋体" w:hAnsi="宋体" w:cs="宋体"/>
                <w:szCs w:val="21"/>
              </w:rPr>
            </w:pPr>
            <w:r>
              <w:rPr>
                <w:rFonts w:hint="eastAsia" w:ascii="宋体" w:hAnsi="宋体" w:cs="宋体"/>
                <w:color w:val="000000"/>
                <w:kern w:val="0"/>
                <w:szCs w:val="21"/>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tcPr>
          <w:p>
            <w:pPr>
              <w:widowControl/>
              <w:jc w:val="center"/>
              <w:rPr>
                <w:rFonts w:ascii="宋体" w:hAnsi="宋体" w:cs="宋体"/>
                <w:szCs w:val="21"/>
              </w:rPr>
            </w:pPr>
            <w:r>
              <w:rPr>
                <w:rFonts w:hint="eastAsia" w:ascii="宋体" w:hAnsi="宋体" w:cs="宋体"/>
                <w:szCs w:val="21"/>
              </w:rPr>
              <w:t>7</w:t>
            </w:r>
          </w:p>
        </w:tc>
        <w:tc>
          <w:tcPr>
            <w:tcW w:w="1692" w:type="dxa"/>
          </w:tcPr>
          <w:p>
            <w:pPr>
              <w:widowControl/>
              <w:jc w:val="center"/>
              <w:rPr>
                <w:rFonts w:ascii="宋体" w:hAnsi="宋体" w:cs="宋体"/>
                <w:szCs w:val="21"/>
              </w:rPr>
            </w:pPr>
            <w:r>
              <w:rPr>
                <w:rFonts w:hint="eastAsia" w:ascii="宋体" w:hAnsi="宋体" w:cs="宋体"/>
                <w:color w:val="000000"/>
                <w:kern w:val="0"/>
                <w:szCs w:val="21"/>
              </w:rPr>
              <w:t>1.19</w:t>
            </w:r>
          </w:p>
        </w:tc>
        <w:tc>
          <w:tcPr>
            <w:tcW w:w="1692" w:type="dxa"/>
          </w:tcPr>
          <w:p>
            <w:pPr>
              <w:widowControl/>
              <w:jc w:val="center"/>
              <w:rPr>
                <w:rFonts w:ascii="宋体" w:hAnsi="宋体" w:cs="宋体"/>
                <w:szCs w:val="21"/>
              </w:rPr>
            </w:pPr>
            <w:r>
              <w:rPr>
                <w:rFonts w:hint="eastAsia" w:ascii="宋体" w:hAnsi="宋体" w:cs="宋体"/>
                <w:color w:val="000000"/>
                <w:kern w:val="0"/>
                <w:szCs w:val="21"/>
              </w:rPr>
              <w:t>4.95</w:t>
            </w:r>
          </w:p>
        </w:tc>
        <w:tc>
          <w:tcPr>
            <w:tcW w:w="1692" w:type="dxa"/>
          </w:tcPr>
          <w:p>
            <w:pPr>
              <w:widowControl/>
              <w:jc w:val="center"/>
              <w:rPr>
                <w:rFonts w:ascii="宋体" w:hAnsi="宋体" w:cs="宋体"/>
                <w:szCs w:val="21"/>
              </w:rPr>
            </w:pPr>
            <w:r>
              <w:rPr>
                <w:rFonts w:hint="eastAsia" w:ascii="宋体" w:hAnsi="宋体" w:cs="宋体"/>
                <w:color w:val="000000"/>
                <w:kern w:val="0"/>
                <w:szCs w:val="21"/>
              </w:rPr>
              <w:t>7.88</w:t>
            </w:r>
          </w:p>
        </w:tc>
        <w:tc>
          <w:tcPr>
            <w:tcW w:w="1693" w:type="dxa"/>
          </w:tcPr>
          <w:p>
            <w:pPr>
              <w:widowControl/>
              <w:jc w:val="center"/>
              <w:rPr>
                <w:rFonts w:ascii="宋体" w:hAnsi="宋体" w:cs="宋体"/>
                <w:szCs w:val="21"/>
              </w:rPr>
            </w:pPr>
            <w:r>
              <w:rPr>
                <w:rFonts w:hint="eastAsia" w:ascii="宋体" w:hAnsi="宋体" w:cs="宋体"/>
                <w:color w:val="000000"/>
                <w:kern w:val="0"/>
                <w:szCs w:val="21"/>
              </w:rPr>
              <w:t>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tcPr>
          <w:p>
            <w:pPr>
              <w:widowControl/>
              <w:jc w:val="center"/>
              <w:rPr>
                <w:rFonts w:ascii="宋体" w:hAnsi="宋体" w:cs="宋体"/>
                <w:szCs w:val="21"/>
              </w:rPr>
            </w:pPr>
            <w:r>
              <w:rPr>
                <w:rFonts w:hint="eastAsia" w:ascii="宋体" w:hAnsi="宋体" w:cs="宋体"/>
                <w:szCs w:val="21"/>
              </w:rPr>
              <w:t>8</w:t>
            </w:r>
          </w:p>
        </w:tc>
        <w:tc>
          <w:tcPr>
            <w:tcW w:w="1692" w:type="dxa"/>
          </w:tcPr>
          <w:p>
            <w:pPr>
              <w:widowControl/>
              <w:jc w:val="center"/>
              <w:rPr>
                <w:rFonts w:ascii="宋体" w:hAnsi="宋体" w:cs="宋体"/>
                <w:szCs w:val="21"/>
              </w:rPr>
            </w:pPr>
            <w:r>
              <w:rPr>
                <w:rFonts w:hint="eastAsia" w:ascii="宋体" w:hAnsi="宋体" w:cs="宋体"/>
                <w:color w:val="000000"/>
                <w:kern w:val="0"/>
                <w:szCs w:val="21"/>
              </w:rPr>
              <w:t>1.16</w:t>
            </w:r>
          </w:p>
        </w:tc>
        <w:tc>
          <w:tcPr>
            <w:tcW w:w="1692" w:type="dxa"/>
          </w:tcPr>
          <w:p>
            <w:pPr>
              <w:widowControl/>
              <w:jc w:val="center"/>
              <w:rPr>
                <w:rFonts w:ascii="宋体" w:hAnsi="宋体" w:cs="宋体"/>
                <w:szCs w:val="21"/>
              </w:rPr>
            </w:pPr>
            <w:r>
              <w:rPr>
                <w:rFonts w:hint="eastAsia" w:ascii="宋体" w:hAnsi="宋体" w:cs="宋体"/>
                <w:color w:val="000000"/>
                <w:kern w:val="0"/>
                <w:szCs w:val="21"/>
              </w:rPr>
              <w:t>5.12</w:t>
            </w:r>
          </w:p>
        </w:tc>
        <w:tc>
          <w:tcPr>
            <w:tcW w:w="1692" w:type="dxa"/>
          </w:tcPr>
          <w:p>
            <w:pPr>
              <w:widowControl/>
              <w:jc w:val="center"/>
              <w:rPr>
                <w:rFonts w:ascii="宋体" w:hAnsi="宋体" w:cs="宋体"/>
                <w:szCs w:val="21"/>
              </w:rPr>
            </w:pPr>
            <w:r>
              <w:rPr>
                <w:rFonts w:hint="eastAsia" w:ascii="宋体" w:hAnsi="宋体" w:cs="宋体"/>
                <w:color w:val="000000"/>
                <w:kern w:val="0"/>
                <w:szCs w:val="21"/>
              </w:rPr>
              <w:t>8.21</w:t>
            </w:r>
          </w:p>
        </w:tc>
        <w:tc>
          <w:tcPr>
            <w:tcW w:w="1693" w:type="dxa"/>
          </w:tcPr>
          <w:p>
            <w:pPr>
              <w:widowControl/>
              <w:jc w:val="center"/>
              <w:rPr>
                <w:rFonts w:ascii="宋体" w:hAnsi="宋体" w:cs="宋体"/>
                <w:szCs w:val="21"/>
              </w:rPr>
            </w:pPr>
            <w:r>
              <w:rPr>
                <w:rFonts w:hint="eastAsia" w:ascii="宋体" w:hAnsi="宋体" w:cs="宋体"/>
                <w:color w:val="000000"/>
                <w:kern w:val="0"/>
                <w:szCs w:val="21"/>
              </w:rPr>
              <w:t>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tcPr>
          <w:p>
            <w:pPr>
              <w:widowControl/>
              <w:jc w:val="center"/>
              <w:rPr>
                <w:rFonts w:ascii="宋体" w:hAnsi="宋体" w:cs="宋体"/>
                <w:szCs w:val="21"/>
              </w:rPr>
            </w:pPr>
            <w:r>
              <w:rPr>
                <w:rFonts w:hint="eastAsia" w:ascii="宋体" w:hAnsi="宋体" w:cs="宋体"/>
                <w:szCs w:val="21"/>
              </w:rPr>
              <w:t>9</w:t>
            </w:r>
          </w:p>
        </w:tc>
        <w:tc>
          <w:tcPr>
            <w:tcW w:w="1692" w:type="dxa"/>
          </w:tcPr>
          <w:p>
            <w:pPr>
              <w:widowControl/>
              <w:jc w:val="center"/>
              <w:rPr>
                <w:rFonts w:ascii="宋体" w:hAnsi="宋体" w:cs="宋体"/>
                <w:szCs w:val="21"/>
              </w:rPr>
            </w:pPr>
            <w:r>
              <w:rPr>
                <w:rFonts w:hint="eastAsia" w:ascii="宋体" w:hAnsi="宋体" w:cs="宋体"/>
                <w:color w:val="000000"/>
                <w:kern w:val="0"/>
                <w:szCs w:val="21"/>
              </w:rPr>
              <w:t>1.18</w:t>
            </w:r>
          </w:p>
        </w:tc>
        <w:tc>
          <w:tcPr>
            <w:tcW w:w="1692" w:type="dxa"/>
          </w:tcPr>
          <w:p>
            <w:pPr>
              <w:widowControl/>
              <w:jc w:val="center"/>
              <w:rPr>
                <w:rFonts w:ascii="宋体" w:hAnsi="宋体" w:cs="宋体"/>
                <w:szCs w:val="21"/>
              </w:rPr>
            </w:pPr>
            <w:r>
              <w:rPr>
                <w:rFonts w:hint="eastAsia" w:ascii="宋体" w:hAnsi="宋体" w:cs="宋体"/>
                <w:color w:val="000000"/>
                <w:kern w:val="0"/>
                <w:szCs w:val="21"/>
              </w:rPr>
              <w:t>5.16</w:t>
            </w:r>
          </w:p>
        </w:tc>
        <w:tc>
          <w:tcPr>
            <w:tcW w:w="1692" w:type="dxa"/>
          </w:tcPr>
          <w:p>
            <w:pPr>
              <w:widowControl/>
              <w:jc w:val="center"/>
              <w:rPr>
                <w:rFonts w:ascii="宋体" w:hAnsi="宋体" w:cs="宋体"/>
                <w:szCs w:val="21"/>
              </w:rPr>
            </w:pPr>
            <w:r>
              <w:rPr>
                <w:rFonts w:hint="eastAsia" w:ascii="宋体" w:hAnsi="宋体" w:cs="宋体"/>
                <w:color w:val="000000"/>
                <w:kern w:val="0"/>
                <w:szCs w:val="21"/>
              </w:rPr>
              <w:t>8.17</w:t>
            </w:r>
          </w:p>
        </w:tc>
        <w:tc>
          <w:tcPr>
            <w:tcW w:w="1693" w:type="dxa"/>
          </w:tcPr>
          <w:p>
            <w:pPr>
              <w:widowControl/>
              <w:jc w:val="center"/>
              <w:rPr>
                <w:rFonts w:ascii="宋体" w:hAnsi="宋体" w:cs="宋体"/>
                <w:szCs w:val="21"/>
              </w:rPr>
            </w:pPr>
            <w:r>
              <w:rPr>
                <w:rFonts w:hint="eastAsia" w:ascii="宋体" w:hAnsi="宋体" w:cs="宋体"/>
                <w:color w:val="000000"/>
                <w:kern w:val="0"/>
                <w:szCs w:val="21"/>
              </w:rPr>
              <w:t>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tcPr>
          <w:p>
            <w:pPr>
              <w:widowControl/>
              <w:jc w:val="center"/>
              <w:rPr>
                <w:rFonts w:ascii="宋体" w:hAnsi="宋体" w:cs="宋体"/>
                <w:szCs w:val="21"/>
              </w:rPr>
            </w:pPr>
            <w:r>
              <w:rPr>
                <w:rFonts w:hint="eastAsia" w:ascii="宋体" w:hAnsi="宋体" w:cs="宋体"/>
                <w:szCs w:val="21"/>
              </w:rPr>
              <w:t>10</w:t>
            </w:r>
          </w:p>
        </w:tc>
        <w:tc>
          <w:tcPr>
            <w:tcW w:w="1692" w:type="dxa"/>
          </w:tcPr>
          <w:p>
            <w:pPr>
              <w:widowControl/>
              <w:jc w:val="center"/>
              <w:rPr>
                <w:rFonts w:ascii="宋体" w:hAnsi="宋体" w:cs="宋体"/>
                <w:szCs w:val="21"/>
              </w:rPr>
            </w:pPr>
            <w:r>
              <w:rPr>
                <w:rFonts w:hint="eastAsia" w:ascii="宋体" w:hAnsi="宋体" w:cs="宋体"/>
                <w:color w:val="000000"/>
                <w:kern w:val="0"/>
                <w:szCs w:val="21"/>
              </w:rPr>
              <w:t>1.19</w:t>
            </w:r>
          </w:p>
        </w:tc>
        <w:tc>
          <w:tcPr>
            <w:tcW w:w="1692" w:type="dxa"/>
          </w:tcPr>
          <w:p>
            <w:pPr>
              <w:widowControl/>
              <w:jc w:val="center"/>
              <w:rPr>
                <w:rFonts w:ascii="宋体" w:hAnsi="宋体" w:cs="宋体"/>
                <w:szCs w:val="21"/>
              </w:rPr>
            </w:pPr>
            <w:r>
              <w:rPr>
                <w:rFonts w:hint="eastAsia" w:ascii="宋体" w:hAnsi="宋体" w:cs="宋体"/>
                <w:color w:val="000000"/>
                <w:kern w:val="0"/>
                <w:szCs w:val="21"/>
              </w:rPr>
              <w:t>4.97</w:t>
            </w:r>
          </w:p>
        </w:tc>
        <w:tc>
          <w:tcPr>
            <w:tcW w:w="1692" w:type="dxa"/>
          </w:tcPr>
          <w:p>
            <w:pPr>
              <w:widowControl/>
              <w:jc w:val="center"/>
              <w:rPr>
                <w:rFonts w:ascii="宋体" w:hAnsi="宋体" w:cs="宋体"/>
                <w:szCs w:val="21"/>
              </w:rPr>
            </w:pPr>
            <w:r>
              <w:rPr>
                <w:rFonts w:hint="eastAsia" w:ascii="宋体" w:hAnsi="宋体" w:cs="宋体"/>
                <w:color w:val="000000"/>
                <w:kern w:val="0"/>
                <w:szCs w:val="21"/>
              </w:rPr>
              <w:t>8.17</w:t>
            </w:r>
          </w:p>
        </w:tc>
        <w:tc>
          <w:tcPr>
            <w:tcW w:w="1693" w:type="dxa"/>
          </w:tcPr>
          <w:p>
            <w:pPr>
              <w:widowControl/>
              <w:jc w:val="center"/>
              <w:rPr>
                <w:rFonts w:ascii="宋体" w:hAnsi="宋体" w:cs="宋体"/>
                <w:szCs w:val="21"/>
              </w:rPr>
            </w:pPr>
            <w:r>
              <w:rPr>
                <w:rFonts w:hint="eastAsia" w:ascii="宋体" w:hAnsi="宋体" w:cs="宋体"/>
                <w:color w:val="000000"/>
                <w:kern w:val="0"/>
                <w:szCs w:val="21"/>
              </w:rPr>
              <w:t>10.97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tcPr>
          <w:p>
            <w:pPr>
              <w:widowControl/>
              <w:jc w:val="center"/>
              <w:rPr>
                <w:rFonts w:ascii="宋体" w:hAnsi="宋体" w:cs="宋体"/>
                <w:szCs w:val="21"/>
              </w:rPr>
            </w:pPr>
            <w:r>
              <w:rPr>
                <w:rFonts w:hint="eastAsia" w:ascii="宋体" w:hAnsi="宋体" w:cs="宋体"/>
                <w:szCs w:val="21"/>
              </w:rPr>
              <w:t>11</w:t>
            </w:r>
          </w:p>
        </w:tc>
        <w:tc>
          <w:tcPr>
            <w:tcW w:w="1692" w:type="dxa"/>
          </w:tcPr>
          <w:p>
            <w:pPr>
              <w:widowControl/>
              <w:jc w:val="center"/>
              <w:rPr>
                <w:rFonts w:ascii="宋体" w:hAnsi="宋体" w:cs="宋体"/>
                <w:szCs w:val="21"/>
              </w:rPr>
            </w:pPr>
            <w:r>
              <w:rPr>
                <w:rFonts w:hint="eastAsia" w:ascii="宋体" w:hAnsi="宋体" w:cs="宋体"/>
                <w:color w:val="000000"/>
                <w:kern w:val="0"/>
                <w:szCs w:val="21"/>
              </w:rPr>
              <w:t>1.16</w:t>
            </w:r>
          </w:p>
        </w:tc>
        <w:tc>
          <w:tcPr>
            <w:tcW w:w="1692" w:type="dxa"/>
          </w:tcPr>
          <w:p>
            <w:pPr>
              <w:widowControl/>
              <w:jc w:val="center"/>
              <w:rPr>
                <w:rFonts w:ascii="宋体" w:hAnsi="宋体" w:cs="宋体"/>
                <w:szCs w:val="21"/>
              </w:rPr>
            </w:pPr>
            <w:r>
              <w:rPr>
                <w:rFonts w:hint="eastAsia" w:ascii="宋体" w:hAnsi="宋体" w:cs="宋体"/>
                <w:color w:val="000000"/>
                <w:kern w:val="0"/>
                <w:szCs w:val="21"/>
              </w:rPr>
              <w:t>4.89</w:t>
            </w:r>
          </w:p>
        </w:tc>
        <w:tc>
          <w:tcPr>
            <w:tcW w:w="1692" w:type="dxa"/>
          </w:tcPr>
          <w:p>
            <w:pPr>
              <w:widowControl/>
              <w:jc w:val="center"/>
              <w:rPr>
                <w:rFonts w:ascii="宋体" w:hAnsi="宋体" w:cs="宋体"/>
                <w:szCs w:val="21"/>
              </w:rPr>
            </w:pPr>
            <w:r>
              <w:rPr>
                <w:rFonts w:hint="eastAsia" w:ascii="宋体" w:hAnsi="宋体" w:cs="宋体"/>
                <w:color w:val="000000"/>
                <w:kern w:val="0"/>
                <w:szCs w:val="21"/>
              </w:rPr>
              <w:t>8.34</w:t>
            </w:r>
          </w:p>
        </w:tc>
        <w:tc>
          <w:tcPr>
            <w:tcW w:w="1693" w:type="dxa"/>
          </w:tcPr>
          <w:p>
            <w:pPr>
              <w:widowControl/>
              <w:jc w:val="center"/>
              <w:rPr>
                <w:rFonts w:ascii="宋体" w:hAnsi="宋体" w:cs="宋体"/>
                <w:szCs w:val="21"/>
              </w:rPr>
            </w:pPr>
            <w:r>
              <w:rPr>
                <w:rFonts w:hint="eastAsia" w:ascii="宋体" w:hAnsi="宋体" w:cs="宋体"/>
                <w:color w:val="000000"/>
                <w:kern w:val="0"/>
                <w:szCs w:val="21"/>
              </w:rPr>
              <w:t>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tcPr>
          <w:p>
            <w:pPr>
              <w:widowControl/>
              <w:jc w:val="center"/>
              <w:rPr>
                <w:rFonts w:ascii="宋体" w:hAnsi="宋体" w:cs="宋体"/>
                <w:szCs w:val="21"/>
              </w:rPr>
            </w:pPr>
            <w:r>
              <w:rPr>
                <w:rFonts w:hint="eastAsia" w:ascii="宋体" w:hAnsi="宋体" w:cs="宋体"/>
                <w:color w:val="000000"/>
                <w:kern w:val="0"/>
                <w:szCs w:val="21"/>
              </w:rPr>
              <w:t>平均值</w:t>
            </w:r>
          </w:p>
        </w:tc>
        <w:tc>
          <w:tcPr>
            <w:tcW w:w="1692" w:type="dxa"/>
          </w:tcPr>
          <w:p>
            <w:pPr>
              <w:widowControl/>
              <w:jc w:val="center"/>
              <w:rPr>
                <w:rFonts w:ascii="宋体" w:hAnsi="宋体" w:cs="宋体"/>
                <w:szCs w:val="21"/>
              </w:rPr>
            </w:pPr>
            <w:r>
              <w:rPr>
                <w:rFonts w:hint="eastAsia" w:ascii="宋体" w:hAnsi="宋体" w:cs="宋体"/>
                <w:color w:val="000000"/>
                <w:kern w:val="0"/>
                <w:szCs w:val="21"/>
              </w:rPr>
              <w:t>1.18</w:t>
            </w:r>
          </w:p>
        </w:tc>
        <w:tc>
          <w:tcPr>
            <w:tcW w:w="1692" w:type="dxa"/>
          </w:tcPr>
          <w:p>
            <w:pPr>
              <w:widowControl/>
              <w:jc w:val="center"/>
              <w:rPr>
                <w:rFonts w:ascii="宋体" w:hAnsi="宋体" w:cs="宋体"/>
                <w:szCs w:val="21"/>
              </w:rPr>
            </w:pPr>
            <w:r>
              <w:rPr>
                <w:rFonts w:hint="eastAsia" w:ascii="宋体" w:hAnsi="宋体" w:cs="宋体"/>
                <w:color w:val="000000"/>
                <w:kern w:val="0"/>
                <w:szCs w:val="21"/>
              </w:rPr>
              <w:t>5.06</w:t>
            </w:r>
          </w:p>
        </w:tc>
        <w:tc>
          <w:tcPr>
            <w:tcW w:w="1692" w:type="dxa"/>
          </w:tcPr>
          <w:p>
            <w:pPr>
              <w:widowControl/>
              <w:jc w:val="center"/>
              <w:rPr>
                <w:rFonts w:ascii="宋体" w:hAnsi="宋体" w:cs="宋体"/>
                <w:szCs w:val="21"/>
              </w:rPr>
            </w:pPr>
            <w:r>
              <w:rPr>
                <w:rFonts w:hint="eastAsia" w:ascii="宋体" w:hAnsi="宋体" w:cs="宋体"/>
                <w:color w:val="000000"/>
                <w:kern w:val="0"/>
                <w:szCs w:val="21"/>
              </w:rPr>
              <w:t>8.16</w:t>
            </w:r>
          </w:p>
        </w:tc>
        <w:tc>
          <w:tcPr>
            <w:tcW w:w="1693" w:type="dxa"/>
          </w:tcPr>
          <w:p>
            <w:pPr>
              <w:widowControl/>
              <w:jc w:val="center"/>
              <w:rPr>
                <w:rFonts w:ascii="宋体" w:hAnsi="宋体" w:cs="宋体"/>
                <w:szCs w:val="21"/>
              </w:rPr>
            </w:pPr>
            <w:r>
              <w:rPr>
                <w:rFonts w:hint="eastAsia" w:ascii="宋体" w:hAnsi="宋体" w:cs="宋体"/>
                <w:color w:val="000000"/>
                <w:kern w:val="0"/>
                <w:szCs w:val="21"/>
              </w:rPr>
              <w:t>10.93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tcPr>
          <w:p>
            <w:pPr>
              <w:widowControl/>
              <w:jc w:val="center"/>
              <w:rPr>
                <w:rFonts w:ascii="宋体" w:hAnsi="宋体" w:cs="宋体"/>
                <w:szCs w:val="21"/>
              </w:rPr>
            </w:pPr>
            <w:r>
              <w:rPr>
                <w:rFonts w:hint="eastAsia" w:ascii="宋体" w:hAnsi="宋体" w:cs="宋体"/>
                <w:color w:val="000000"/>
                <w:kern w:val="0"/>
                <w:szCs w:val="21"/>
              </w:rPr>
              <w:t>标准偏差</w:t>
            </w:r>
          </w:p>
        </w:tc>
        <w:tc>
          <w:tcPr>
            <w:tcW w:w="1692" w:type="dxa"/>
          </w:tcPr>
          <w:p>
            <w:pPr>
              <w:widowControl/>
              <w:jc w:val="center"/>
              <w:rPr>
                <w:rFonts w:ascii="宋体" w:hAnsi="宋体" w:cs="宋体"/>
                <w:szCs w:val="21"/>
              </w:rPr>
            </w:pPr>
            <w:r>
              <w:rPr>
                <w:rFonts w:hint="eastAsia" w:ascii="宋体" w:hAnsi="宋体" w:cs="宋体"/>
                <w:color w:val="000000"/>
                <w:kern w:val="0"/>
                <w:szCs w:val="21"/>
              </w:rPr>
              <w:t>0.015</w:t>
            </w:r>
          </w:p>
        </w:tc>
        <w:tc>
          <w:tcPr>
            <w:tcW w:w="1692" w:type="dxa"/>
          </w:tcPr>
          <w:p>
            <w:pPr>
              <w:widowControl/>
              <w:jc w:val="center"/>
              <w:rPr>
                <w:rFonts w:ascii="宋体" w:hAnsi="宋体" w:cs="宋体"/>
                <w:szCs w:val="21"/>
              </w:rPr>
            </w:pPr>
            <w:r>
              <w:rPr>
                <w:rFonts w:hint="eastAsia" w:ascii="宋体" w:hAnsi="宋体" w:cs="宋体"/>
                <w:color w:val="000000"/>
                <w:kern w:val="0"/>
                <w:szCs w:val="21"/>
              </w:rPr>
              <w:t>0.11</w:t>
            </w:r>
          </w:p>
        </w:tc>
        <w:tc>
          <w:tcPr>
            <w:tcW w:w="1692" w:type="dxa"/>
          </w:tcPr>
          <w:p>
            <w:pPr>
              <w:widowControl/>
              <w:jc w:val="center"/>
              <w:rPr>
                <w:rFonts w:ascii="宋体" w:hAnsi="宋体" w:cs="宋体"/>
                <w:szCs w:val="21"/>
              </w:rPr>
            </w:pPr>
            <w:r>
              <w:rPr>
                <w:rFonts w:hint="eastAsia" w:ascii="宋体" w:hAnsi="宋体" w:cs="宋体"/>
                <w:color w:val="000000"/>
                <w:kern w:val="0"/>
                <w:szCs w:val="21"/>
              </w:rPr>
              <w:t>0.12</w:t>
            </w:r>
          </w:p>
        </w:tc>
        <w:tc>
          <w:tcPr>
            <w:tcW w:w="1693" w:type="dxa"/>
          </w:tcPr>
          <w:p>
            <w:pPr>
              <w:widowControl/>
              <w:jc w:val="center"/>
              <w:rPr>
                <w:rFonts w:ascii="宋体" w:hAnsi="宋体" w:cs="宋体"/>
                <w:szCs w:val="21"/>
              </w:rPr>
            </w:pPr>
            <w:r>
              <w:rPr>
                <w:rFonts w:hint="eastAsia" w:ascii="宋体" w:hAnsi="宋体" w:cs="宋体"/>
                <w:color w:val="000000"/>
                <w:kern w:val="0"/>
                <w:szCs w:val="21"/>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tcPr>
          <w:p>
            <w:pPr>
              <w:widowControl/>
              <w:jc w:val="center"/>
              <w:rPr>
                <w:rFonts w:ascii="宋体" w:hAnsi="宋体" w:cs="宋体"/>
                <w:szCs w:val="21"/>
              </w:rPr>
            </w:pPr>
            <w:r>
              <w:rPr>
                <w:rFonts w:hint="eastAsia" w:ascii="宋体" w:hAnsi="宋体" w:cs="宋体"/>
                <w:color w:val="000000"/>
                <w:kern w:val="0"/>
                <w:szCs w:val="21"/>
              </w:rPr>
              <w:t>RSD/%</w:t>
            </w:r>
          </w:p>
        </w:tc>
        <w:tc>
          <w:tcPr>
            <w:tcW w:w="1692" w:type="dxa"/>
          </w:tcPr>
          <w:p>
            <w:pPr>
              <w:widowControl/>
              <w:jc w:val="center"/>
              <w:rPr>
                <w:rFonts w:ascii="宋体" w:hAnsi="宋体" w:cs="宋体"/>
                <w:szCs w:val="21"/>
              </w:rPr>
            </w:pPr>
            <w:r>
              <w:rPr>
                <w:rFonts w:hint="eastAsia" w:ascii="宋体" w:hAnsi="宋体" w:cs="宋体"/>
                <w:color w:val="000000"/>
                <w:kern w:val="0"/>
                <w:szCs w:val="21"/>
              </w:rPr>
              <w:t>1.28</w:t>
            </w:r>
          </w:p>
        </w:tc>
        <w:tc>
          <w:tcPr>
            <w:tcW w:w="1692" w:type="dxa"/>
          </w:tcPr>
          <w:p>
            <w:pPr>
              <w:widowControl/>
              <w:jc w:val="center"/>
              <w:rPr>
                <w:rFonts w:ascii="宋体" w:hAnsi="宋体" w:cs="宋体"/>
                <w:szCs w:val="21"/>
              </w:rPr>
            </w:pPr>
            <w:r>
              <w:rPr>
                <w:rFonts w:hint="eastAsia" w:ascii="宋体" w:hAnsi="宋体" w:cs="宋体"/>
                <w:color w:val="000000"/>
                <w:kern w:val="0"/>
                <w:szCs w:val="21"/>
              </w:rPr>
              <w:t>2.12</w:t>
            </w:r>
          </w:p>
        </w:tc>
        <w:tc>
          <w:tcPr>
            <w:tcW w:w="1692" w:type="dxa"/>
          </w:tcPr>
          <w:p>
            <w:pPr>
              <w:widowControl/>
              <w:jc w:val="center"/>
              <w:rPr>
                <w:rFonts w:ascii="宋体" w:hAnsi="宋体" w:cs="宋体"/>
                <w:szCs w:val="21"/>
              </w:rPr>
            </w:pPr>
            <w:r>
              <w:rPr>
                <w:rFonts w:hint="eastAsia" w:ascii="宋体" w:hAnsi="宋体" w:cs="宋体"/>
                <w:color w:val="000000"/>
                <w:kern w:val="0"/>
                <w:szCs w:val="21"/>
              </w:rPr>
              <w:t>1.51</w:t>
            </w:r>
          </w:p>
        </w:tc>
        <w:tc>
          <w:tcPr>
            <w:tcW w:w="1693" w:type="dxa"/>
          </w:tcPr>
          <w:p>
            <w:pPr>
              <w:widowControl/>
              <w:jc w:val="center"/>
              <w:rPr>
                <w:rFonts w:ascii="宋体" w:hAnsi="宋体" w:cs="宋体"/>
                <w:szCs w:val="21"/>
              </w:rPr>
            </w:pPr>
            <w:r>
              <w:rPr>
                <w:rFonts w:hint="eastAsia" w:ascii="宋体" w:hAnsi="宋体" w:cs="宋体"/>
                <w:color w:val="000000"/>
                <w:kern w:val="0"/>
                <w:szCs w:val="21"/>
              </w:rPr>
              <w:t>1.15</w:t>
            </w:r>
          </w:p>
        </w:tc>
      </w:tr>
    </w:tbl>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中铝山西新材料有限公司按照GB/T 20975.15-2008</w:t>
      </w:r>
      <w:r>
        <w:rPr>
          <w:rFonts w:hint="eastAsia" w:ascii="宋体" w:hAnsi="宋体"/>
          <w:bCs/>
          <w:color w:val="000000"/>
          <w:szCs w:val="21"/>
        </w:rPr>
        <w:t>《铝及铝合金化学分析方法 第15部分：硼含量的测定》中“</w:t>
      </w:r>
      <w:r>
        <w:rPr>
          <w:rFonts w:hint="eastAsia" w:ascii="宋体" w:hAnsi="宋体"/>
          <w:szCs w:val="21"/>
        </w:rPr>
        <w:t>方法一：离子选择电极法</w:t>
      </w:r>
      <w:r>
        <w:rPr>
          <w:rFonts w:hint="eastAsia" w:ascii="宋体" w:hAnsi="宋体"/>
          <w:bCs/>
          <w:color w:val="000000"/>
          <w:szCs w:val="21"/>
        </w:rPr>
        <w:t>”</w:t>
      </w:r>
      <w:r>
        <w:rPr>
          <w:rFonts w:hint="eastAsia" w:ascii="宋体" w:hAnsi="宋体"/>
          <w:szCs w:val="21"/>
        </w:rPr>
        <w:t>对不同含硼量的5个样品进行独立的11次分析，分析结果见表13。</w:t>
      </w:r>
    </w:p>
    <w:p>
      <w:pPr>
        <w:jc w:val="center"/>
        <w:rPr>
          <w:rFonts w:ascii="宋体" w:hAnsi="宋体"/>
          <w:szCs w:val="21"/>
        </w:rPr>
      </w:pPr>
      <w:r>
        <w:rPr>
          <w:rFonts w:hint="eastAsia" w:ascii="宋体" w:hAnsi="宋体"/>
          <w:szCs w:val="21"/>
        </w:rPr>
        <w:t>表13  样品分析及结果对照</w:t>
      </w:r>
    </w:p>
    <w:tbl>
      <w:tblPr>
        <w:tblStyle w:val="20"/>
        <w:tblW w:w="8520" w:type="dxa"/>
        <w:tblInd w:w="93" w:type="dxa"/>
        <w:tblLayout w:type="fixed"/>
        <w:tblCellMar>
          <w:top w:w="0" w:type="dxa"/>
          <w:left w:w="108" w:type="dxa"/>
          <w:bottom w:w="0" w:type="dxa"/>
          <w:right w:w="108" w:type="dxa"/>
        </w:tblCellMar>
      </w:tblPr>
      <w:tblGrid>
        <w:gridCol w:w="1291"/>
        <w:gridCol w:w="1276"/>
        <w:gridCol w:w="1559"/>
        <w:gridCol w:w="1701"/>
        <w:gridCol w:w="1276"/>
        <w:gridCol w:w="1417"/>
      </w:tblGrid>
      <w:tr>
        <w:tblPrEx>
          <w:tblLayout w:type="fixed"/>
          <w:tblCellMar>
            <w:top w:w="0" w:type="dxa"/>
            <w:left w:w="108" w:type="dxa"/>
            <w:bottom w:w="0" w:type="dxa"/>
            <w:right w:w="108" w:type="dxa"/>
          </w:tblCellMar>
        </w:tblPrEx>
        <w:trPr>
          <w:trHeight w:val="510"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样品编号</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4020</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211Z.1</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AlSr10Ti1B0.2</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AlTi5B1</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AlB3</w:t>
            </w:r>
          </w:p>
        </w:tc>
      </w:tr>
      <w:tr>
        <w:tblPrEx>
          <w:tblLayout w:type="fixed"/>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0.00498</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0.0181</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0.172</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1.154</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3.149</w:t>
            </w:r>
          </w:p>
        </w:tc>
      </w:tr>
      <w:tr>
        <w:tblPrEx>
          <w:tblLayout w:type="fixed"/>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0.00489</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0.0182</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0.17</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1.153</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3.139</w:t>
            </w:r>
          </w:p>
        </w:tc>
      </w:tr>
      <w:tr>
        <w:tblPrEx>
          <w:tblLayout w:type="fixed"/>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0.00469</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0.0182</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0.165</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1.156</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3.142</w:t>
            </w:r>
          </w:p>
        </w:tc>
      </w:tr>
      <w:tr>
        <w:tblPrEx>
          <w:tblLayout w:type="fixed"/>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0.00498</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0.018</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0.178</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1.154</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3.147</w:t>
            </w:r>
          </w:p>
        </w:tc>
      </w:tr>
      <w:tr>
        <w:tblPrEx>
          <w:tblLayout w:type="fixed"/>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0.00489</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0.0181</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0.172</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1.153</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3.156</w:t>
            </w:r>
          </w:p>
        </w:tc>
      </w:tr>
      <w:tr>
        <w:tblPrEx>
          <w:tblLayout w:type="fixed"/>
          <w:tblCellMar>
            <w:top w:w="0" w:type="dxa"/>
            <w:left w:w="108" w:type="dxa"/>
            <w:bottom w:w="0" w:type="dxa"/>
            <w:right w:w="108" w:type="dxa"/>
          </w:tblCellMar>
        </w:tblPrEx>
        <w:trPr>
          <w:trHeight w:val="270" w:hRule="atLeast"/>
        </w:trPr>
        <w:tc>
          <w:tcPr>
            <w:tcW w:w="129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0.00486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0.0183</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0.173</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1.146</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3.16</w:t>
            </w:r>
          </w:p>
        </w:tc>
      </w:tr>
      <w:tr>
        <w:tblPrEx>
          <w:tblLayout w:type="fixed"/>
          <w:tblCellMar>
            <w:top w:w="0" w:type="dxa"/>
            <w:left w:w="108" w:type="dxa"/>
            <w:bottom w:w="0" w:type="dxa"/>
            <w:right w:w="108" w:type="dxa"/>
          </w:tblCellMar>
        </w:tblPrEx>
        <w:trPr>
          <w:trHeight w:val="270" w:hRule="atLeast"/>
        </w:trPr>
        <w:tc>
          <w:tcPr>
            <w:tcW w:w="129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0.00498</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0.0185</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0.178</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1.152</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3.162</w:t>
            </w:r>
          </w:p>
        </w:tc>
      </w:tr>
      <w:tr>
        <w:tblPrEx>
          <w:tblLayout w:type="fixed"/>
          <w:tblCellMar>
            <w:top w:w="0" w:type="dxa"/>
            <w:left w:w="108" w:type="dxa"/>
            <w:bottom w:w="0" w:type="dxa"/>
            <w:right w:w="108" w:type="dxa"/>
          </w:tblCellMar>
        </w:tblPrEx>
        <w:trPr>
          <w:trHeight w:val="270" w:hRule="atLeast"/>
        </w:trPr>
        <w:tc>
          <w:tcPr>
            <w:tcW w:w="129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0.00493</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0.0182</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0.164</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3.167</w:t>
            </w:r>
          </w:p>
        </w:tc>
      </w:tr>
      <w:tr>
        <w:tblPrEx>
          <w:tblLayout w:type="fixed"/>
          <w:tblCellMar>
            <w:top w:w="0" w:type="dxa"/>
            <w:left w:w="108" w:type="dxa"/>
            <w:bottom w:w="0" w:type="dxa"/>
            <w:right w:w="108" w:type="dxa"/>
          </w:tblCellMar>
        </w:tblPrEx>
        <w:trPr>
          <w:trHeight w:val="270" w:hRule="atLeast"/>
        </w:trPr>
        <w:tc>
          <w:tcPr>
            <w:tcW w:w="129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0.00498</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0.0189</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0.175</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1.142</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3.148</w:t>
            </w:r>
          </w:p>
        </w:tc>
      </w:tr>
      <w:tr>
        <w:tblPrEx>
          <w:tblLayout w:type="fixed"/>
          <w:tblCellMar>
            <w:top w:w="0" w:type="dxa"/>
            <w:left w:w="108" w:type="dxa"/>
            <w:bottom w:w="0" w:type="dxa"/>
            <w:right w:w="108" w:type="dxa"/>
          </w:tblCellMar>
        </w:tblPrEx>
        <w:trPr>
          <w:trHeight w:val="270" w:hRule="atLeast"/>
        </w:trPr>
        <w:tc>
          <w:tcPr>
            <w:tcW w:w="129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0.00476</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0.0182</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0.172</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1.145</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3.146</w:t>
            </w:r>
          </w:p>
        </w:tc>
      </w:tr>
      <w:tr>
        <w:tblPrEx>
          <w:tblLayout w:type="fixed"/>
          <w:tblCellMar>
            <w:top w:w="0" w:type="dxa"/>
            <w:left w:w="108" w:type="dxa"/>
            <w:bottom w:w="0" w:type="dxa"/>
            <w:right w:w="108" w:type="dxa"/>
          </w:tblCellMar>
        </w:tblPrEx>
        <w:trPr>
          <w:trHeight w:val="270" w:hRule="atLeast"/>
        </w:trPr>
        <w:tc>
          <w:tcPr>
            <w:tcW w:w="129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0.00471</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0.0189</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0.165</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1.145</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3.167</w:t>
            </w:r>
          </w:p>
        </w:tc>
      </w:tr>
      <w:tr>
        <w:tblPrEx>
          <w:tblLayout w:type="fixed"/>
          <w:tblCellMar>
            <w:top w:w="0" w:type="dxa"/>
            <w:left w:w="108" w:type="dxa"/>
            <w:bottom w:w="0" w:type="dxa"/>
            <w:right w:w="108" w:type="dxa"/>
          </w:tblCellMar>
        </w:tblPrEx>
        <w:trPr>
          <w:trHeight w:val="270" w:hRule="atLeast"/>
        </w:trPr>
        <w:tc>
          <w:tcPr>
            <w:tcW w:w="129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平均值/%</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0.00488</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0.0183</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0.171</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1.151</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3.153</w:t>
            </w:r>
          </w:p>
        </w:tc>
      </w:tr>
      <w:tr>
        <w:tblPrEx>
          <w:tblLayout w:type="fixed"/>
          <w:tblCellMar>
            <w:top w:w="0" w:type="dxa"/>
            <w:left w:w="108" w:type="dxa"/>
            <w:bottom w:w="0" w:type="dxa"/>
            <w:right w:w="108" w:type="dxa"/>
          </w:tblCellMar>
        </w:tblPrEx>
        <w:trPr>
          <w:trHeight w:val="270" w:hRule="atLeast"/>
        </w:trPr>
        <w:tc>
          <w:tcPr>
            <w:tcW w:w="129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SD </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0.00011</w:t>
            </w:r>
          </w:p>
        </w:tc>
        <w:tc>
          <w:tcPr>
            <w:tcW w:w="155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0.0003</w:t>
            </w: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0.0047</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0.0053</w:t>
            </w:r>
          </w:p>
        </w:tc>
        <w:tc>
          <w:tcPr>
            <w:tcW w:w="141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0.0094</w:t>
            </w:r>
          </w:p>
        </w:tc>
      </w:tr>
    </w:tbl>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 xml:space="preserve">   按照YS/T 807.6-2012《铝中间合金化学分析方法 第6部分：硼含量的测定 离子选择电极法》对不同含硼量的2个样品进行独立的11次分析，分析结果见表14。</w:t>
      </w:r>
    </w:p>
    <w:p>
      <w:pPr>
        <w:spacing w:line="360" w:lineRule="auto"/>
        <w:jc w:val="center"/>
        <w:rPr>
          <w:rFonts w:ascii="宋体" w:hAnsi="宋体"/>
          <w:szCs w:val="21"/>
        </w:rPr>
      </w:pPr>
      <w:r>
        <w:rPr>
          <w:rFonts w:hint="eastAsia" w:ascii="宋体" w:hAnsi="宋体"/>
          <w:szCs w:val="21"/>
        </w:rPr>
        <w:t>表14 样品分析及结果对照</w:t>
      </w:r>
    </w:p>
    <w:tbl>
      <w:tblPr>
        <w:tblStyle w:val="20"/>
        <w:tblW w:w="8368" w:type="dxa"/>
        <w:tblInd w:w="93" w:type="dxa"/>
        <w:tblLayout w:type="fixed"/>
        <w:tblCellMar>
          <w:top w:w="0" w:type="dxa"/>
          <w:left w:w="108" w:type="dxa"/>
          <w:bottom w:w="0" w:type="dxa"/>
          <w:right w:w="108" w:type="dxa"/>
        </w:tblCellMar>
      </w:tblPr>
      <w:tblGrid>
        <w:gridCol w:w="2092"/>
        <w:gridCol w:w="2092"/>
        <w:gridCol w:w="2092"/>
        <w:gridCol w:w="2092"/>
      </w:tblGrid>
      <w:tr>
        <w:tblPrEx>
          <w:tblLayout w:type="fixed"/>
          <w:tblCellMar>
            <w:top w:w="0" w:type="dxa"/>
            <w:left w:w="108" w:type="dxa"/>
            <w:bottom w:w="0" w:type="dxa"/>
            <w:right w:w="108" w:type="dxa"/>
          </w:tblCellMar>
        </w:tblPrEx>
        <w:trPr>
          <w:trHeight w:val="285" w:hRule="atLeast"/>
        </w:trPr>
        <w:tc>
          <w:tcPr>
            <w:tcW w:w="20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样品编号</w:t>
            </w:r>
          </w:p>
        </w:tc>
        <w:tc>
          <w:tcPr>
            <w:tcW w:w="20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AlB5</w:t>
            </w:r>
          </w:p>
        </w:tc>
        <w:tc>
          <w:tcPr>
            <w:tcW w:w="20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AlB8</w:t>
            </w:r>
          </w:p>
        </w:tc>
        <w:tc>
          <w:tcPr>
            <w:tcW w:w="209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AlB10</w:t>
            </w:r>
          </w:p>
        </w:tc>
      </w:tr>
      <w:tr>
        <w:tblPrEx>
          <w:tblLayout w:type="fixed"/>
          <w:tblCellMar>
            <w:top w:w="0" w:type="dxa"/>
            <w:left w:w="108" w:type="dxa"/>
            <w:bottom w:w="0" w:type="dxa"/>
            <w:right w:w="108" w:type="dxa"/>
          </w:tblCellMar>
        </w:tblPrEx>
        <w:trPr>
          <w:trHeight w:val="255" w:hRule="atLeast"/>
        </w:trPr>
        <w:tc>
          <w:tcPr>
            <w:tcW w:w="209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5.11</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8.55</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11.19</w:t>
            </w:r>
          </w:p>
        </w:tc>
      </w:tr>
      <w:tr>
        <w:tblPrEx>
          <w:tblLayout w:type="fixed"/>
          <w:tblCellMar>
            <w:top w:w="0" w:type="dxa"/>
            <w:left w:w="108" w:type="dxa"/>
            <w:bottom w:w="0" w:type="dxa"/>
            <w:right w:w="108" w:type="dxa"/>
          </w:tblCellMar>
        </w:tblPrEx>
        <w:trPr>
          <w:trHeight w:val="255" w:hRule="atLeast"/>
        </w:trPr>
        <w:tc>
          <w:tcPr>
            <w:tcW w:w="209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5.27</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8.62</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11.52</w:t>
            </w:r>
          </w:p>
        </w:tc>
      </w:tr>
      <w:tr>
        <w:tblPrEx>
          <w:tblLayout w:type="fixed"/>
          <w:tblCellMar>
            <w:top w:w="0" w:type="dxa"/>
            <w:left w:w="108" w:type="dxa"/>
            <w:bottom w:w="0" w:type="dxa"/>
            <w:right w:w="108" w:type="dxa"/>
          </w:tblCellMar>
        </w:tblPrEx>
        <w:trPr>
          <w:trHeight w:val="255" w:hRule="atLeast"/>
        </w:trPr>
        <w:tc>
          <w:tcPr>
            <w:tcW w:w="209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5.26</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8.67</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11.09</w:t>
            </w:r>
          </w:p>
        </w:tc>
      </w:tr>
      <w:tr>
        <w:tblPrEx>
          <w:tblLayout w:type="fixed"/>
          <w:tblCellMar>
            <w:top w:w="0" w:type="dxa"/>
            <w:left w:w="108" w:type="dxa"/>
            <w:bottom w:w="0" w:type="dxa"/>
            <w:right w:w="108" w:type="dxa"/>
          </w:tblCellMar>
        </w:tblPrEx>
        <w:trPr>
          <w:trHeight w:val="255" w:hRule="atLeast"/>
        </w:trPr>
        <w:tc>
          <w:tcPr>
            <w:tcW w:w="209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5.45</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8.45</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11.25</w:t>
            </w:r>
          </w:p>
        </w:tc>
      </w:tr>
      <w:tr>
        <w:tblPrEx>
          <w:tblLayout w:type="fixed"/>
          <w:tblCellMar>
            <w:top w:w="0" w:type="dxa"/>
            <w:left w:w="108" w:type="dxa"/>
            <w:bottom w:w="0" w:type="dxa"/>
            <w:right w:w="108" w:type="dxa"/>
          </w:tblCellMar>
        </w:tblPrEx>
        <w:trPr>
          <w:trHeight w:val="255" w:hRule="atLeast"/>
        </w:trPr>
        <w:tc>
          <w:tcPr>
            <w:tcW w:w="209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5.38</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8.51</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11.26</w:t>
            </w:r>
          </w:p>
        </w:tc>
      </w:tr>
      <w:tr>
        <w:tblPrEx>
          <w:tblLayout w:type="fixed"/>
          <w:tblCellMar>
            <w:top w:w="0" w:type="dxa"/>
            <w:left w:w="108" w:type="dxa"/>
            <w:bottom w:w="0" w:type="dxa"/>
            <w:right w:w="108" w:type="dxa"/>
          </w:tblCellMar>
        </w:tblPrEx>
        <w:trPr>
          <w:trHeight w:val="255" w:hRule="atLeast"/>
        </w:trPr>
        <w:tc>
          <w:tcPr>
            <w:tcW w:w="209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5.33</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8.52</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w:t>
            </w:r>
          </w:p>
        </w:tc>
      </w:tr>
      <w:tr>
        <w:tblPrEx>
          <w:tblLayout w:type="fixed"/>
          <w:tblCellMar>
            <w:top w:w="0" w:type="dxa"/>
            <w:left w:w="108" w:type="dxa"/>
            <w:bottom w:w="0" w:type="dxa"/>
            <w:right w:w="108" w:type="dxa"/>
          </w:tblCellMar>
        </w:tblPrEx>
        <w:trPr>
          <w:trHeight w:val="255" w:hRule="atLeast"/>
        </w:trPr>
        <w:tc>
          <w:tcPr>
            <w:tcW w:w="209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5.15</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8.64</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11.16</w:t>
            </w:r>
          </w:p>
        </w:tc>
      </w:tr>
      <w:tr>
        <w:tblPrEx>
          <w:tblLayout w:type="fixed"/>
          <w:tblCellMar>
            <w:top w:w="0" w:type="dxa"/>
            <w:left w:w="108" w:type="dxa"/>
            <w:bottom w:w="0" w:type="dxa"/>
            <w:right w:w="108" w:type="dxa"/>
          </w:tblCellMar>
        </w:tblPrEx>
        <w:trPr>
          <w:trHeight w:val="255" w:hRule="atLeast"/>
        </w:trPr>
        <w:tc>
          <w:tcPr>
            <w:tcW w:w="209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8.47</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11.21</w:t>
            </w:r>
          </w:p>
        </w:tc>
      </w:tr>
      <w:tr>
        <w:tblPrEx>
          <w:tblLayout w:type="fixed"/>
          <w:tblCellMar>
            <w:top w:w="0" w:type="dxa"/>
            <w:left w:w="108" w:type="dxa"/>
            <w:bottom w:w="0" w:type="dxa"/>
            <w:right w:w="108" w:type="dxa"/>
          </w:tblCellMar>
        </w:tblPrEx>
        <w:trPr>
          <w:trHeight w:val="255" w:hRule="atLeast"/>
        </w:trPr>
        <w:tc>
          <w:tcPr>
            <w:tcW w:w="209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5.23</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8.54</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11.23</w:t>
            </w:r>
          </w:p>
        </w:tc>
      </w:tr>
      <w:tr>
        <w:tblPrEx>
          <w:tblLayout w:type="fixed"/>
          <w:tblCellMar>
            <w:top w:w="0" w:type="dxa"/>
            <w:left w:w="108" w:type="dxa"/>
            <w:bottom w:w="0" w:type="dxa"/>
            <w:right w:w="108" w:type="dxa"/>
          </w:tblCellMar>
        </w:tblPrEx>
        <w:trPr>
          <w:trHeight w:val="255" w:hRule="atLeast"/>
        </w:trPr>
        <w:tc>
          <w:tcPr>
            <w:tcW w:w="209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11.29</w:t>
            </w:r>
          </w:p>
        </w:tc>
      </w:tr>
      <w:tr>
        <w:tblPrEx>
          <w:tblLayout w:type="fixed"/>
          <w:tblCellMar>
            <w:top w:w="0" w:type="dxa"/>
            <w:left w:w="108" w:type="dxa"/>
            <w:bottom w:w="0" w:type="dxa"/>
            <w:right w:w="108" w:type="dxa"/>
          </w:tblCellMar>
        </w:tblPrEx>
        <w:trPr>
          <w:trHeight w:val="255" w:hRule="atLeast"/>
        </w:trPr>
        <w:tc>
          <w:tcPr>
            <w:tcW w:w="209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5.36</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8.49</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w:t>
            </w:r>
          </w:p>
        </w:tc>
      </w:tr>
      <w:tr>
        <w:tblPrEx>
          <w:tblLayout w:type="fixed"/>
          <w:tblCellMar>
            <w:top w:w="0" w:type="dxa"/>
            <w:left w:w="108" w:type="dxa"/>
            <w:bottom w:w="0" w:type="dxa"/>
            <w:right w:w="108" w:type="dxa"/>
          </w:tblCellMar>
        </w:tblPrEx>
        <w:trPr>
          <w:trHeight w:val="255" w:hRule="atLeast"/>
        </w:trPr>
        <w:tc>
          <w:tcPr>
            <w:tcW w:w="20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平均值/%</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5.29</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8.55</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11.23</w:t>
            </w:r>
          </w:p>
        </w:tc>
      </w:tr>
      <w:tr>
        <w:tblPrEx>
          <w:tblLayout w:type="fixed"/>
          <w:tblCellMar>
            <w:top w:w="0" w:type="dxa"/>
            <w:left w:w="108" w:type="dxa"/>
            <w:bottom w:w="0" w:type="dxa"/>
            <w:right w:w="108" w:type="dxa"/>
          </w:tblCellMar>
        </w:tblPrEx>
        <w:trPr>
          <w:trHeight w:val="255" w:hRule="atLeast"/>
        </w:trPr>
        <w:tc>
          <w:tcPr>
            <w:tcW w:w="20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SD </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0.100 </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0.069</w:t>
            </w:r>
          </w:p>
        </w:tc>
        <w:tc>
          <w:tcPr>
            <w:tcW w:w="20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0.112</w:t>
            </w:r>
          </w:p>
        </w:tc>
      </w:tr>
    </w:tbl>
    <w:p>
      <w:pPr>
        <w:pStyle w:val="44"/>
        <w:spacing w:beforeLines="50" w:afterLines="50"/>
        <w:ind w:left="0" w:right="420" w:firstLine="2520" w:firstLineChars="1200"/>
        <w:jc w:val="both"/>
        <w:rPr>
          <w:rFonts w:ascii="宋体" w:hAnsi="宋体" w:eastAsia="宋体"/>
          <w:color w:val="000000"/>
          <w:szCs w:val="21"/>
        </w:rPr>
      </w:pPr>
    </w:p>
    <w:p>
      <w:pPr>
        <w:pStyle w:val="44"/>
        <w:spacing w:beforeLines="50" w:afterLines="50"/>
        <w:ind w:left="0" w:right="420" w:firstLine="2520" w:firstLineChars="1200"/>
        <w:jc w:val="both"/>
        <w:rPr>
          <w:rFonts w:ascii="宋体" w:hAnsi="宋体" w:eastAsia="宋体"/>
          <w:color w:val="000000"/>
          <w:szCs w:val="21"/>
        </w:rPr>
      </w:pPr>
    </w:p>
    <w:p>
      <w:pPr>
        <w:pStyle w:val="44"/>
        <w:spacing w:beforeLines="50" w:afterLines="50"/>
        <w:ind w:left="0" w:right="420" w:firstLine="2520" w:firstLineChars="1200"/>
        <w:jc w:val="both"/>
        <w:rPr>
          <w:rFonts w:ascii="宋体" w:hAnsi="宋体" w:eastAsia="宋体"/>
        </w:rPr>
      </w:pPr>
      <w:r>
        <w:rPr>
          <w:rFonts w:hint="eastAsia" w:ascii="宋体" w:hAnsi="宋体" w:eastAsia="宋体"/>
          <w:color w:val="000000"/>
          <w:szCs w:val="21"/>
        </w:rPr>
        <w:t>表15重复性限、再现性限计算结果</w:t>
      </w:r>
      <w:r>
        <w:rPr>
          <w:rFonts w:ascii="宋体" w:hAnsi="宋体" w:eastAsia="宋体"/>
          <w:color w:val="000000"/>
          <w:szCs w:val="21"/>
        </w:rPr>
        <w:t xml:space="preserve">             </w:t>
      </w:r>
    </w:p>
    <w:tbl>
      <w:tblPr>
        <w:tblStyle w:val="20"/>
        <w:tblW w:w="8870" w:type="dxa"/>
        <w:tblInd w:w="-176" w:type="dxa"/>
        <w:tblLayout w:type="fixed"/>
        <w:tblCellMar>
          <w:top w:w="0" w:type="dxa"/>
          <w:left w:w="108" w:type="dxa"/>
          <w:bottom w:w="0" w:type="dxa"/>
          <w:right w:w="108" w:type="dxa"/>
        </w:tblCellMar>
      </w:tblPr>
      <w:tblGrid>
        <w:gridCol w:w="1532"/>
        <w:gridCol w:w="986"/>
        <w:gridCol w:w="986"/>
        <w:gridCol w:w="986"/>
        <w:gridCol w:w="986"/>
        <w:gridCol w:w="876"/>
        <w:gridCol w:w="766"/>
        <w:gridCol w:w="907"/>
        <w:gridCol w:w="845"/>
      </w:tblGrid>
      <w:tr>
        <w:tblPrEx>
          <w:tblLayout w:type="fixed"/>
          <w:tblCellMar>
            <w:top w:w="0" w:type="dxa"/>
            <w:left w:w="108" w:type="dxa"/>
            <w:bottom w:w="0" w:type="dxa"/>
            <w:right w:w="108" w:type="dxa"/>
          </w:tblCellMar>
        </w:tblPrEx>
        <w:trPr>
          <w:trHeight w:val="261" w:hRule="atLeast"/>
        </w:trPr>
        <w:tc>
          <w:tcPr>
            <w:tcW w:w="15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序号</w:t>
            </w:r>
          </w:p>
        </w:tc>
        <w:tc>
          <w:tcPr>
            <w:tcW w:w="9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1</w:t>
            </w:r>
          </w:p>
        </w:tc>
        <w:tc>
          <w:tcPr>
            <w:tcW w:w="9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2</w:t>
            </w:r>
          </w:p>
        </w:tc>
        <w:tc>
          <w:tcPr>
            <w:tcW w:w="9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3</w:t>
            </w:r>
          </w:p>
        </w:tc>
        <w:tc>
          <w:tcPr>
            <w:tcW w:w="9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4</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5</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6</w:t>
            </w:r>
          </w:p>
        </w:tc>
        <w:tc>
          <w:tcPr>
            <w:tcW w:w="9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7</w:t>
            </w:r>
          </w:p>
        </w:tc>
        <w:tc>
          <w:tcPr>
            <w:tcW w:w="8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8</w:t>
            </w:r>
          </w:p>
        </w:tc>
      </w:tr>
      <w:tr>
        <w:tblPrEx>
          <w:tblLayout w:type="fixed"/>
          <w:tblCellMar>
            <w:top w:w="0" w:type="dxa"/>
            <w:left w:w="108" w:type="dxa"/>
            <w:bottom w:w="0" w:type="dxa"/>
            <w:right w:w="108" w:type="dxa"/>
          </w:tblCellMar>
        </w:tblPrEx>
        <w:trPr>
          <w:trHeight w:val="261" w:hRule="atLeast"/>
        </w:trPr>
        <w:tc>
          <w:tcPr>
            <w:tcW w:w="15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重复性</w:t>
            </w:r>
          </w:p>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标准差Sr</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0.00010</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0.00051</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0.00417</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0.00884</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0.0186</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0.105</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0.156</w:t>
            </w:r>
          </w:p>
        </w:tc>
        <w:tc>
          <w:tcPr>
            <w:tcW w:w="8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0.199</w:t>
            </w:r>
          </w:p>
        </w:tc>
      </w:tr>
      <w:tr>
        <w:tblPrEx>
          <w:tblLayout w:type="fixed"/>
          <w:tblCellMar>
            <w:top w:w="0" w:type="dxa"/>
            <w:left w:w="108" w:type="dxa"/>
            <w:bottom w:w="0" w:type="dxa"/>
            <w:right w:w="108" w:type="dxa"/>
          </w:tblCellMar>
        </w:tblPrEx>
        <w:trPr>
          <w:trHeight w:val="261" w:hRule="atLeast"/>
        </w:trPr>
        <w:tc>
          <w:tcPr>
            <w:tcW w:w="15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再现性</w:t>
            </w:r>
          </w:p>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标准差SR</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0.00013</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0.00080</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0.00976</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0.0147</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0.0349</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0.146</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0.199</w:t>
            </w:r>
          </w:p>
        </w:tc>
        <w:tc>
          <w:tcPr>
            <w:tcW w:w="8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0.334</w:t>
            </w:r>
          </w:p>
        </w:tc>
      </w:tr>
      <w:tr>
        <w:tblPrEx>
          <w:tblLayout w:type="fixed"/>
          <w:tblCellMar>
            <w:top w:w="0" w:type="dxa"/>
            <w:left w:w="108" w:type="dxa"/>
            <w:bottom w:w="0" w:type="dxa"/>
            <w:right w:w="108" w:type="dxa"/>
          </w:tblCellMar>
        </w:tblPrEx>
        <w:trPr>
          <w:trHeight w:val="261" w:hRule="atLeast"/>
        </w:trPr>
        <w:tc>
          <w:tcPr>
            <w:tcW w:w="15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重复性限</w:t>
            </w:r>
          </w:p>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r</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0.00028</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0.00146</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0.0118</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0.0250</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0.0527</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0.298</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0.441</w:t>
            </w:r>
          </w:p>
        </w:tc>
        <w:tc>
          <w:tcPr>
            <w:tcW w:w="8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0.564</w:t>
            </w:r>
          </w:p>
        </w:tc>
      </w:tr>
      <w:tr>
        <w:tblPrEx>
          <w:tblLayout w:type="fixed"/>
          <w:tblCellMar>
            <w:top w:w="0" w:type="dxa"/>
            <w:left w:w="108" w:type="dxa"/>
            <w:bottom w:w="0" w:type="dxa"/>
            <w:right w:w="108" w:type="dxa"/>
          </w:tblCellMar>
        </w:tblPrEx>
        <w:trPr>
          <w:trHeight w:val="261" w:hRule="atLeast"/>
        </w:trPr>
        <w:tc>
          <w:tcPr>
            <w:tcW w:w="15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再现性限</w:t>
            </w:r>
          </w:p>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R</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0.00037</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0.00226</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0.0276</w:t>
            </w:r>
          </w:p>
        </w:tc>
        <w:tc>
          <w:tcPr>
            <w:tcW w:w="9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0.0416</w:t>
            </w:r>
          </w:p>
        </w:tc>
        <w:tc>
          <w:tcPr>
            <w:tcW w:w="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0.0987</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0.412</w:t>
            </w:r>
          </w:p>
        </w:tc>
        <w:tc>
          <w:tcPr>
            <w:tcW w:w="9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0.564</w:t>
            </w:r>
          </w:p>
        </w:tc>
        <w:tc>
          <w:tcPr>
            <w:tcW w:w="8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lang w:bidi="ar-SA"/>
              </w:rPr>
            </w:pPr>
            <w:r>
              <w:rPr>
                <w:rFonts w:hint="eastAsia" w:ascii="宋体" w:hAnsi="宋体" w:cs="宋体"/>
                <w:color w:val="000000"/>
                <w:kern w:val="0"/>
                <w:sz w:val="22"/>
                <w:szCs w:val="22"/>
                <w:lang w:bidi="ar-SA"/>
              </w:rPr>
              <w:t>0.946</w:t>
            </w:r>
          </w:p>
        </w:tc>
      </w:tr>
    </w:tbl>
    <w:p>
      <w:pPr>
        <w:spacing w:line="360" w:lineRule="auto"/>
        <w:jc w:val="center"/>
        <w:rPr>
          <w:rFonts w:ascii="宋体" w:hAnsi="宋体"/>
          <w:szCs w:val="21"/>
        </w:rPr>
      </w:pPr>
    </w:p>
    <w:p>
      <w:pPr>
        <w:spacing w:line="360" w:lineRule="auto"/>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2AC1"/>
    <w:rsid w:val="000139E9"/>
    <w:rsid w:val="00016859"/>
    <w:rsid w:val="0002265D"/>
    <w:rsid w:val="00023C42"/>
    <w:rsid w:val="0002404C"/>
    <w:rsid w:val="00035D32"/>
    <w:rsid w:val="000375F1"/>
    <w:rsid w:val="0004625A"/>
    <w:rsid w:val="00047B62"/>
    <w:rsid w:val="00050A11"/>
    <w:rsid w:val="00054EFF"/>
    <w:rsid w:val="00060870"/>
    <w:rsid w:val="000624D8"/>
    <w:rsid w:val="000721C6"/>
    <w:rsid w:val="00082608"/>
    <w:rsid w:val="00090D00"/>
    <w:rsid w:val="00094B9E"/>
    <w:rsid w:val="000B4296"/>
    <w:rsid w:val="000B4BF7"/>
    <w:rsid w:val="000B7E4D"/>
    <w:rsid w:val="000C478E"/>
    <w:rsid w:val="000D04D2"/>
    <w:rsid w:val="000D73BA"/>
    <w:rsid w:val="000D79D0"/>
    <w:rsid w:val="000F0F78"/>
    <w:rsid w:val="00100A90"/>
    <w:rsid w:val="001034FA"/>
    <w:rsid w:val="0010388F"/>
    <w:rsid w:val="001046EF"/>
    <w:rsid w:val="00110F49"/>
    <w:rsid w:val="00116CFC"/>
    <w:rsid w:val="0012233F"/>
    <w:rsid w:val="001375F5"/>
    <w:rsid w:val="00146175"/>
    <w:rsid w:val="00147C1E"/>
    <w:rsid w:val="00154A65"/>
    <w:rsid w:val="0016223B"/>
    <w:rsid w:val="001643C9"/>
    <w:rsid w:val="001716D6"/>
    <w:rsid w:val="0017379F"/>
    <w:rsid w:val="00177E7A"/>
    <w:rsid w:val="001825F3"/>
    <w:rsid w:val="001828F0"/>
    <w:rsid w:val="00196789"/>
    <w:rsid w:val="00197170"/>
    <w:rsid w:val="001975D9"/>
    <w:rsid w:val="00197859"/>
    <w:rsid w:val="001B3667"/>
    <w:rsid w:val="001C156A"/>
    <w:rsid w:val="001C2607"/>
    <w:rsid w:val="001D0F66"/>
    <w:rsid w:val="001E12BC"/>
    <w:rsid w:val="001E6584"/>
    <w:rsid w:val="001E6934"/>
    <w:rsid w:val="001F6706"/>
    <w:rsid w:val="001F73C2"/>
    <w:rsid w:val="00207F38"/>
    <w:rsid w:val="00224D32"/>
    <w:rsid w:val="002265C0"/>
    <w:rsid w:val="00232940"/>
    <w:rsid w:val="00236B29"/>
    <w:rsid w:val="00241348"/>
    <w:rsid w:val="00246805"/>
    <w:rsid w:val="00247BF1"/>
    <w:rsid w:val="00253B92"/>
    <w:rsid w:val="002542F9"/>
    <w:rsid w:val="00256AB2"/>
    <w:rsid w:val="00270668"/>
    <w:rsid w:val="00274BE3"/>
    <w:rsid w:val="00276342"/>
    <w:rsid w:val="00297280"/>
    <w:rsid w:val="002A08AF"/>
    <w:rsid w:val="002A5382"/>
    <w:rsid w:val="002B575B"/>
    <w:rsid w:val="002B62E6"/>
    <w:rsid w:val="002C3D2B"/>
    <w:rsid w:val="002D03E1"/>
    <w:rsid w:val="002E28DB"/>
    <w:rsid w:val="002F2800"/>
    <w:rsid w:val="003026D9"/>
    <w:rsid w:val="00302D52"/>
    <w:rsid w:val="003118C9"/>
    <w:rsid w:val="0031436B"/>
    <w:rsid w:val="003168EA"/>
    <w:rsid w:val="003173F8"/>
    <w:rsid w:val="003176B1"/>
    <w:rsid w:val="00320A08"/>
    <w:rsid w:val="00323C98"/>
    <w:rsid w:val="00334201"/>
    <w:rsid w:val="003368E9"/>
    <w:rsid w:val="003409F2"/>
    <w:rsid w:val="003413AA"/>
    <w:rsid w:val="00345BBE"/>
    <w:rsid w:val="003521FF"/>
    <w:rsid w:val="00354AE8"/>
    <w:rsid w:val="00356BE5"/>
    <w:rsid w:val="00371E92"/>
    <w:rsid w:val="00382BAD"/>
    <w:rsid w:val="00393F42"/>
    <w:rsid w:val="003A324E"/>
    <w:rsid w:val="003A5D8C"/>
    <w:rsid w:val="003A6C97"/>
    <w:rsid w:val="003B2C2A"/>
    <w:rsid w:val="003C77D0"/>
    <w:rsid w:val="003D1B34"/>
    <w:rsid w:val="003D4635"/>
    <w:rsid w:val="003D5760"/>
    <w:rsid w:val="003F2929"/>
    <w:rsid w:val="003F312B"/>
    <w:rsid w:val="003F787A"/>
    <w:rsid w:val="00400780"/>
    <w:rsid w:val="00407C66"/>
    <w:rsid w:val="00417AF6"/>
    <w:rsid w:val="00425D4B"/>
    <w:rsid w:val="004271A9"/>
    <w:rsid w:val="00434902"/>
    <w:rsid w:val="00441093"/>
    <w:rsid w:val="00444A4F"/>
    <w:rsid w:val="004457BB"/>
    <w:rsid w:val="004561A3"/>
    <w:rsid w:val="0045668B"/>
    <w:rsid w:val="0046042B"/>
    <w:rsid w:val="0047022D"/>
    <w:rsid w:val="00470F59"/>
    <w:rsid w:val="00486C0C"/>
    <w:rsid w:val="00497AA1"/>
    <w:rsid w:val="004A05CE"/>
    <w:rsid w:val="004A3D77"/>
    <w:rsid w:val="004A60A0"/>
    <w:rsid w:val="004B1673"/>
    <w:rsid w:val="004C158C"/>
    <w:rsid w:val="004C2582"/>
    <w:rsid w:val="004C33ED"/>
    <w:rsid w:val="004D2FEA"/>
    <w:rsid w:val="004E08E1"/>
    <w:rsid w:val="004F0373"/>
    <w:rsid w:val="00501810"/>
    <w:rsid w:val="00511596"/>
    <w:rsid w:val="00511C6C"/>
    <w:rsid w:val="00513A01"/>
    <w:rsid w:val="00514C1A"/>
    <w:rsid w:val="00515387"/>
    <w:rsid w:val="00524238"/>
    <w:rsid w:val="00525150"/>
    <w:rsid w:val="00530065"/>
    <w:rsid w:val="005410C6"/>
    <w:rsid w:val="00541DAE"/>
    <w:rsid w:val="00542AC1"/>
    <w:rsid w:val="005544D8"/>
    <w:rsid w:val="005547C0"/>
    <w:rsid w:val="00564A7D"/>
    <w:rsid w:val="00566882"/>
    <w:rsid w:val="005670FE"/>
    <w:rsid w:val="005747EF"/>
    <w:rsid w:val="0057654E"/>
    <w:rsid w:val="005773EE"/>
    <w:rsid w:val="005911F0"/>
    <w:rsid w:val="0059348E"/>
    <w:rsid w:val="005A6FC1"/>
    <w:rsid w:val="005B1417"/>
    <w:rsid w:val="005B2EBA"/>
    <w:rsid w:val="005B2EE5"/>
    <w:rsid w:val="005B631D"/>
    <w:rsid w:val="005C4765"/>
    <w:rsid w:val="005D1DF3"/>
    <w:rsid w:val="005D45C2"/>
    <w:rsid w:val="005D5D05"/>
    <w:rsid w:val="005E1964"/>
    <w:rsid w:val="005E602A"/>
    <w:rsid w:val="005F20E4"/>
    <w:rsid w:val="005F3812"/>
    <w:rsid w:val="006057FE"/>
    <w:rsid w:val="00615858"/>
    <w:rsid w:val="00622978"/>
    <w:rsid w:val="00623710"/>
    <w:rsid w:val="00624738"/>
    <w:rsid w:val="00631C31"/>
    <w:rsid w:val="00634151"/>
    <w:rsid w:val="006422C6"/>
    <w:rsid w:val="00645DC0"/>
    <w:rsid w:val="00654522"/>
    <w:rsid w:val="0065521A"/>
    <w:rsid w:val="006573B7"/>
    <w:rsid w:val="00662FE7"/>
    <w:rsid w:val="0066686D"/>
    <w:rsid w:val="0066734B"/>
    <w:rsid w:val="00670F41"/>
    <w:rsid w:val="00677770"/>
    <w:rsid w:val="00681A04"/>
    <w:rsid w:val="006B3A93"/>
    <w:rsid w:val="006B501B"/>
    <w:rsid w:val="006C5B25"/>
    <w:rsid w:val="006D0354"/>
    <w:rsid w:val="006D3154"/>
    <w:rsid w:val="006E5491"/>
    <w:rsid w:val="007100CB"/>
    <w:rsid w:val="00714D5E"/>
    <w:rsid w:val="007250E9"/>
    <w:rsid w:val="00733D1B"/>
    <w:rsid w:val="00734338"/>
    <w:rsid w:val="00746E03"/>
    <w:rsid w:val="00756C1C"/>
    <w:rsid w:val="00771AB5"/>
    <w:rsid w:val="007729F7"/>
    <w:rsid w:val="00786918"/>
    <w:rsid w:val="007900AC"/>
    <w:rsid w:val="007A04F8"/>
    <w:rsid w:val="007A0720"/>
    <w:rsid w:val="007A7464"/>
    <w:rsid w:val="007A79D7"/>
    <w:rsid w:val="007C1C5D"/>
    <w:rsid w:val="007C1FFD"/>
    <w:rsid w:val="007C753A"/>
    <w:rsid w:val="007E535E"/>
    <w:rsid w:val="007F7B74"/>
    <w:rsid w:val="0081160B"/>
    <w:rsid w:val="00816614"/>
    <w:rsid w:val="0082438C"/>
    <w:rsid w:val="00852EC7"/>
    <w:rsid w:val="00871E2C"/>
    <w:rsid w:val="008A41E5"/>
    <w:rsid w:val="008A5838"/>
    <w:rsid w:val="008C1527"/>
    <w:rsid w:val="008C74CD"/>
    <w:rsid w:val="008D3540"/>
    <w:rsid w:val="008E0D3B"/>
    <w:rsid w:val="008E649A"/>
    <w:rsid w:val="008E7AC1"/>
    <w:rsid w:val="008F1A89"/>
    <w:rsid w:val="008F3CE4"/>
    <w:rsid w:val="008F57BB"/>
    <w:rsid w:val="008F6103"/>
    <w:rsid w:val="00900981"/>
    <w:rsid w:val="00904487"/>
    <w:rsid w:val="0090469C"/>
    <w:rsid w:val="00910BC1"/>
    <w:rsid w:val="00911B81"/>
    <w:rsid w:val="00943762"/>
    <w:rsid w:val="0095638D"/>
    <w:rsid w:val="0095697F"/>
    <w:rsid w:val="00962B03"/>
    <w:rsid w:val="0096716B"/>
    <w:rsid w:val="00971670"/>
    <w:rsid w:val="00973F70"/>
    <w:rsid w:val="0097543E"/>
    <w:rsid w:val="00981EB1"/>
    <w:rsid w:val="00994021"/>
    <w:rsid w:val="009A31F0"/>
    <w:rsid w:val="009B7199"/>
    <w:rsid w:val="009C03AD"/>
    <w:rsid w:val="009C5B0B"/>
    <w:rsid w:val="009E0BF8"/>
    <w:rsid w:val="009E1908"/>
    <w:rsid w:val="009F0B0F"/>
    <w:rsid w:val="00A11B5A"/>
    <w:rsid w:val="00A22E8D"/>
    <w:rsid w:val="00A23751"/>
    <w:rsid w:val="00A261DC"/>
    <w:rsid w:val="00A267A5"/>
    <w:rsid w:val="00A32453"/>
    <w:rsid w:val="00A325FF"/>
    <w:rsid w:val="00A37DE9"/>
    <w:rsid w:val="00A42A4E"/>
    <w:rsid w:val="00A45DEB"/>
    <w:rsid w:val="00A66D38"/>
    <w:rsid w:val="00A755DD"/>
    <w:rsid w:val="00A80BC1"/>
    <w:rsid w:val="00A93BA3"/>
    <w:rsid w:val="00A945B1"/>
    <w:rsid w:val="00AA049B"/>
    <w:rsid w:val="00AA5CA2"/>
    <w:rsid w:val="00AA77F5"/>
    <w:rsid w:val="00AC0117"/>
    <w:rsid w:val="00AD2AAF"/>
    <w:rsid w:val="00AD3E14"/>
    <w:rsid w:val="00AD6213"/>
    <w:rsid w:val="00AE6C83"/>
    <w:rsid w:val="00AF0BF6"/>
    <w:rsid w:val="00AF1E80"/>
    <w:rsid w:val="00AF363D"/>
    <w:rsid w:val="00AF3729"/>
    <w:rsid w:val="00B00E99"/>
    <w:rsid w:val="00B03413"/>
    <w:rsid w:val="00B042BF"/>
    <w:rsid w:val="00B05801"/>
    <w:rsid w:val="00B10373"/>
    <w:rsid w:val="00B159C6"/>
    <w:rsid w:val="00B224D5"/>
    <w:rsid w:val="00B27C93"/>
    <w:rsid w:val="00B34563"/>
    <w:rsid w:val="00B34ABE"/>
    <w:rsid w:val="00B35CA6"/>
    <w:rsid w:val="00B54D0A"/>
    <w:rsid w:val="00B63D8F"/>
    <w:rsid w:val="00B656BD"/>
    <w:rsid w:val="00B66714"/>
    <w:rsid w:val="00B70EE1"/>
    <w:rsid w:val="00B73A59"/>
    <w:rsid w:val="00B87CD8"/>
    <w:rsid w:val="00BB262A"/>
    <w:rsid w:val="00BB5878"/>
    <w:rsid w:val="00BC29A5"/>
    <w:rsid w:val="00BC79EC"/>
    <w:rsid w:val="00BF3947"/>
    <w:rsid w:val="00C043EC"/>
    <w:rsid w:val="00C10E8A"/>
    <w:rsid w:val="00C16C94"/>
    <w:rsid w:val="00C25978"/>
    <w:rsid w:val="00C2754A"/>
    <w:rsid w:val="00C3034B"/>
    <w:rsid w:val="00C36BEE"/>
    <w:rsid w:val="00C43FE8"/>
    <w:rsid w:val="00C616B3"/>
    <w:rsid w:val="00C62AC4"/>
    <w:rsid w:val="00C64E45"/>
    <w:rsid w:val="00C66B47"/>
    <w:rsid w:val="00C72121"/>
    <w:rsid w:val="00C72573"/>
    <w:rsid w:val="00C80E14"/>
    <w:rsid w:val="00C85C30"/>
    <w:rsid w:val="00C956C9"/>
    <w:rsid w:val="00CA1615"/>
    <w:rsid w:val="00CD1FD7"/>
    <w:rsid w:val="00CD4B0F"/>
    <w:rsid w:val="00CE0AAE"/>
    <w:rsid w:val="00CE6238"/>
    <w:rsid w:val="00CE6DD6"/>
    <w:rsid w:val="00CF0FAD"/>
    <w:rsid w:val="00CF197C"/>
    <w:rsid w:val="00CF7CED"/>
    <w:rsid w:val="00D02A98"/>
    <w:rsid w:val="00D07330"/>
    <w:rsid w:val="00D07633"/>
    <w:rsid w:val="00D12B75"/>
    <w:rsid w:val="00D13FEB"/>
    <w:rsid w:val="00D1659D"/>
    <w:rsid w:val="00D2134D"/>
    <w:rsid w:val="00D351B5"/>
    <w:rsid w:val="00D409F8"/>
    <w:rsid w:val="00D464AD"/>
    <w:rsid w:val="00D71C63"/>
    <w:rsid w:val="00D776C3"/>
    <w:rsid w:val="00D8200B"/>
    <w:rsid w:val="00D9103D"/>
    <w:rsid w:val="00D97D35"/>
    <w:rsid w:val="00DA257D"/>
    <w:rsid w:val="00DA42A9"/>
    <w:rsid w:val="00DB08FA"/>
    <w:rsid w:val="00DC24F6"/>
    <w:rsid w:val="00DC7E1F"/>
    <w:rsid w:val="00DD7F1A"/>
    <w:rsid w:val="00DE7B2D"/>
    <w:rsid w:val="00DF3865"/>
    <w:rsid w:val="00DF69D2"/>
    <w:rsid w:val="00E02DF2"/>
    <w:rsid w:val="00E06982"/>
    <w:rsid w:val="00E16DE1"/>
    <w:rsid w:val="00E25B22"/>
    <w:rsid w:val="00E312CF"/>
    <w:rsid w:val="00E34892"/>
    <w:rsid w:val="00E53791"/>
    <w:rsid w:val="00E603F5"/>
    <w:rsid w:val="00E718C0"/>
    <w:rsid w:val="00E7244A"/>
    <w:rsid w:val="00E75E59"/>
    <w:rsid w:val="00E7625C"/>
    <w:rsid w:val="00E77377"/>
    <w:rsid w:val="00E97BA1"/>
    <w:rsid w:val="00EA523E"/>
    <w:rsid w:val="00EC02F7"/>
    <w:rsid w:val="00EC29A1"/>
    <w:rsid w:val="00EC78AE"/>
    <w:rsid w:val="00ED7AB8"/>
    <w:rsid w:val="00ED7D53"/>
    <w:rsid w:val="00EE36C2"/>
    <w:rsid w:val="00F011A0"/>
    <w:rsid w:val="00F0148F"/>
    <w:rsid w:val="00F03F58"/>
    <w:rsid w:val="00F06F87"/>
    <w:rsid w:val="00F14CF1"/>
    <w:rsid w:val="00F15A68"/>
    <w:rsid w:val="00F42BB4"/>
    <w:rsid w:val="00F45A73"/>
    <w:rsid w:val="00F519BA"/>
    <w:rsid w:val="00F57AE9"/>
    <w:rsid w:val="00F6177E"/>
    <w:rsid w:val="00F74E08"/>
    <w:rsid w:val="00F76AD2"/>
    <w:rsid w:val="00F828AE"/>
    <w:rsid w:val="00F83C89"/>
    <w:rsid w:val="00F860BD"/>
    <w:rsid w:val="00F9348F"/>
    <w:rsid w:val="00FA1CD9"/>
    <w:rsid w:val="00FB6641"/>
    <w:rsid w:val="00FD2213"/>
    <w:rsid w:val="00FE1F3C"/>
    <w:rsid w:val="00FE2F56"/>
    <w:rsid w:val="00FE4002"/>
    <w:rsid w:val="00FE63B6"/>
    <w:rsid w:val="00FF0B24"/>
    <w:rsid w:val="00FF3EFC"/>
    <w:rsid w:val="00FF7D3B"/>
    <w:rsid w:val="04F2687D"/>
    <w:rsid w:val="14244B4A"/>
    <w:rsid w:val="143F1847"/>
    <w:rsid w:val="149379FC"/>
    <w:rsid w:val="163F2801"/>
    <w:rsid w:val="17EA708D"/>
    <w:rsid w:val="18792EE4"/>
    <w:rsid w:val="1AEB0B99"/>
    <w:rsid w:val="1B206F68"/>
    <w:rsid w:val="1DCA261F"/>
    <w:rsid w:val="249A5370"/>
    <w:rsid w:val="24B26519"/>
    <w:rsid w:val="25726A45"/>
    <w:rsid w:val="272D26E6"/>
    <w:rsid w:val="292D7329"/>
    <w:rsid w:val="2B925F44"/>
    <w:rsid w:val="2E4F5B11"/>
    <w:rsid w:val="30214B65"/>
    <w:rsid w:val="34411F12"/>
    <w:rsid w:val="351E65CE"/>
    <w:rsid w:val="35F9624E"/>
    <w:rsid w:val="370101F8"/>
    <w:rsid w:val="3A1D1C2E"/>
    <w:rsid w:val="3F0B1936"/>
    <w:rsid w:val="4121698E"/>
    <w:rsid w:val="44E96E87"/>
    <w:rsid w:val="468B50CB"/>
    <w:rsid w:val="478D0171"/>
    <w:rsid w:val="500B685D"/>
    <w:rsid w:val="60603F1D"/>
    <w:rsid w:val="6708487B"/>
    <w:rsid w:val="67FC3C0D"/>
    <w:rsid w:val="68025E0D"/>
    <w:rsid w:val="6F3375FB"/>
    <w:rsid w:val="70950AE9"/>
    <w:rsid w:val="70C1780D"/>
    <w:rsid w:val="76244B74"/>
    <w:rsid w:val="7B3C1E04"/>
    <w:rsid w:val="7BC71BAB"/>
    <w:rsid w:val="7F2A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he-IL"/>
    </w:rPr>
  </w:style>
  <w:style w:type="paragraph" w:styleId="2">
    <w:name w:val="heading 1"/>
    <w:basedOn w:val="1"/>
    <w:next w:val="1"/>
    <w:qFormat/>
    <w:uiPriority w:val="0"/>
    <w:pPr>
      <w:keepNext/>
      <w:jc w:val="center"/>
      <w:outlineLvl w:val="0"/>
    </w:pPr>
    <w:rPr>
      <w:sz w:val="28"/>
      <w:lang w:bidi="ar-SA"/>
    </w:rPr>
  </w:style>
  <w:style w:type="character" w:default="1" w:styleId="22">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3">
    <w:name w:val="List 3"/>
    <w:basedOn w:val="1"/>
    <w:qFormat/>
    <w:uiPriority w:val="0"/>
    <w:pPr>
      <w:ind w:left="100" w:leftChars="400" w:hanging="200" w:hangingChars="200"/>
    </w:pPr>
    <w:rPr>
      <w:lang w:bidi="ar-SA"/>
    </w:rPr>
  </w:style>
  <w:style w:type="paragraph" w:styleId="4">
    <w:name w:val="Normal Indent"/>
    <w:basedOn w:val="1"/>
    <w:qFormat/>
    <w:uiPriority w:val="0"/>
    <w:pPr>
      <w:ind w:firstLine="420" w:firstLineChars="200"/>
    </w:pPr>
    <w:rPr>
      <w:lang w:bidi="ar-SA"/>
    </w:rPr>
  </w:style>
  <w:style w:type="paragraph" w:styleId="5">
    <w:name w:val="annotation text"/>
    <w:basedOn w:val="1"/>
    <w:semiHidden/>
    <w:uiPriority w:val="0"/>
    <w:pPr>
      <w:jc w:val="left"/>
    </w:pPr>
    <w:rPr>
      <w:lang w:bidi="ar-SA"/>
    </w:rPr>
  </w:style>
  <w:style w:type="paragraph" w:styleId="6">
    <w:name w:val="Body Text"/>
    <w:basedOn w:val="1"/>
    <w:link w:val="28"/>
    <w:qFormat/>
    <w:uiPriority w:val="0"/>
    <w:pPr>
      <w:spacing w:after="120"/>
    </w:pPr>
    <w:rPr>
      <w:lang w:bidi="ar-SA"/>
    </w:rPr>
  </w:style>
  <w:style w:type="paragraph" w:styleId="7">
    <w:name w:val="Body Text Indent"/>
    <w:basedOn w:val="1"/>
    <w:link w:val="27"/>
    <w:qFormat/>
    <w:uiPriority w:val="0"/>
    <w:pPr>
      <w:spacing w:after="120"/>
      <w:ind w:left="420" w:leftChars="200"/>
    </w:pPr>
    <w:rPr>
      <w:lang w:bidi="ar-SA"/>
    </w:rPr>
  </w:style>
  <w:style w:type="paragraph" w:styleId="8">
    <w:name w:val="List 2"/>
    <w:basedOn w:val="1"/>
    <w:qFormat/>
    <w:uiPriority w:val="0"/>
    <w:pPr>
      <w:ind w:left="100" w:leftChars="200" w:hanging="200" w:hangingChars="200"/>
    </w:pPr>
    <w:rPr>
      <w:lang w:bidi="ar-SA"/>
    </w:rPr>
  </w:style>
  <w:style w:type="paragraph" w:styleId="9">
    <w:name w:val="Plain Text"/>
    <w:basedOn w:val="1"/>
    <w:link w:val="26"/>
    <w:qFormat/>
    <w:uiPriority w:val="0"/>
    <w:rPr>
      <w:rFonts w:ascii="宋体" w:hAnsi="Courier New"/>
      <w:szCs w:val="20"/>
      <w:lang w:bidi="ar-SA"/>
    </w:rPr>
  </w:style>
  <w:style w:type="paragraph" w:styleId="10">
    <w:name w:val="Date"/>
    <w:basedOn w:val="1"/>
    <w:next w:val="1"/>
    <w:qFormat/>
    <w:uiPriority w:val="0"/>
    <w:pPr>
      <w:ind w:left="2500" w:leftChars="2500"/>
    </w:pPr>
    <w:rPr>
      <w:sz w:val="28"/>
      <w:lang w:bidi="ar-SA"/>
    </w:rPr>
  </w:style>
  <w:style w:type="paragraph" w:styleId="11">
    <w:name w:val="List Continue 5"/>
    <w:basedOn w:val="1"/>
    <w:qFormat/>
    <w:uiPriority w:val="0"/>
    <w:pPr>
      <w:spacing w:after="120"/>
      <w:ind w:left="2100" w:leftChars="1000"/>
    </w:pPr>
    <w:rPr>
      <w:lang w:bidi="ar-SA"/>
    </w:rPr>
  </w:style>
  <w:style w:type="paragraph" w:styleId="12">
    <w:name w:val="footer"/>
    <w:basedOn w:val="1"/>
    <w:qFormat/>
    <w:uiPriority w:val="0"/>
    <w:pPr>
      <w:tabs>
        <w:tab w:val="center" w:pos="4153"/>
        <w:tab w:val="right" w:pos="8306"/>
      </w:tabs>
      <w:snapToGrid w:val="0"/>
      <w:jc w:val="left"/>
    </w:pPr>
    <w:rPr>
      <w:sz w:val="18"/>
      <w:szCs w:val="18"/>
      <w:lang w:bidi="ar-SA"/>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lang w:bidi="ar-SA"/>
    </w:rPr>
  </w:style>
  <w:style w:type="paragraph" w:styleId="14">
    <w:name w:val="List"/>
    <w:basedOn w:val="1"/>
    <w:qFormat/>
    <w:uiPriority w:val="0"/>
    <w:pPr>
      <w:ind w:left="200" w:hanging="200" w:hangingChars="200"/>
    </w:pPr>
    <w:rPr>
      <w:lang w:bidi="ar-SA"/>
    </w:rPr>
  </w:style>
  <w:style w:type="paragraph" w:styleId="15">
    <w:name w:val="List 5"/>
    <w:basedOn w:val="1"/>
    <w:uiPriority w:val="0"/>
    <w:pPr>
      <w:ind w:left="100" w:leftChars="800" w:hanging="200" w:hangingChars="200"/>
    </w:pPr>
    <w:rPr>
      <w:lang w:bidi="ar-SA"/>
    </w:rPr>
  </w:style>
  <w:style w:type="paragraph" w:styleId="16">
    <w:name w:val="Body Text 2"/>
    <w:basedOn w:val="1"/>
    <w:qFormat/>
    <w:uiPriority w:val="0"/>
    <w:pPr>
      <w:jc w:val="center"/>
    </w:pPr>
    <w:rPr>
      <w:rFonts w:ascii="黑体" w:eastAsia="黑体"/>
      <w:sz w:val="48"/>
      <w:szCs w:val="32"/>
      <w:lang w:bidi="ar-SA"/>
    </w:rPr>
  </w:style>
  <w:style w:type="paragraph" w:styleId="17">
    <w:name w:val="List 4"/>
    <w:basedOn w:val="1"/>
    <w:qFormat/>
    <w:uiPriority w:val="0"/>
    <w:pPr>
      <w:ind w:left="100" w:leftChars="600" w:hanging="200" w:hangingChars="200"/>
    </w:pPr>
    <w:rPr>
      <w:lang w:bidi="ar-SA"/>
    </w:rPr>
  </w:style>
  <w:style w:type="paragraph" w:styleId="18">
    <w:name w:val="Normal (Web)"/>
    <w:basedOn w:val="1"/>
    <w:qFormat/>
    <w:uiPriority w:val="0"/>
    <w:pPr>
      <w:spacing w:before="100" w:beforeAutospacing="1" w:after="100" w:afterAutospacing="1"/>
      <w:jc w:val="left"/>
    </w:pPr>
    <w:rPr>
      <w:rFonts w:ascii="Times New Roman" w:hAnsi="Times New Roman"/>
      <w:kern w:val="0"/>
      <w:sz w:val="24"/>
      <w:szCs w:val="20"/>
    </w:rPr>
  </w:style>
  <w:style w:type="paragraph" w:styleId="19">
    <w:name w:val="Body Text First Indent"/>
    <w:basedOn w:val="6"/>
    <w:link w:val="29"/>
    <w:qFormat/>
    <w:uiPriority w:val="0"/>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HTML Code"/>
    <w:basedOn w:val="22"/>
    <w:qFormat/>
    <w:uiPriority w:val="0"/>
    <w:rPr>
      <w:rFonts w:ascii="Courier New" w:hAnsi="Courier New"/>
      <w:sz w:val="20"/>
      <w:szCs w:val="20"/>
    </w:rPr>
  </w:style>
  <w:style w:type="character" w:customStyle="1" w:styleId="24">
    <w:name w:val="段 Char"/>
    <w:basedOn w:val="22"/>
    <w:link w:val="25"/>
    <w:qFormat/>
    <w:uiPriority w:val="0"/>
    <w:rPr>
      <w:rFonts w:ascii="宋体"/>
      <w:sz w:val="21"/>
      <w:lang w:val="en-US" w:eastAsia="zh-CN" w:bidi="ar-SA"/>
    </w:rPr>
  </w:style>
  <w:style w:type="paragraph" w:customStyle="1" w:styleId="25">
    <w:name w:val="段"/>
    <w:link w:val="24"/>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6">
    <w:name w:val="纯文本 Char"/>
    <w:basedOn w:val="22"/>
    <w:link w:val="9"/>
    <w:qFormat/>
    <w:locked/>
    <w:uiPriority w:val="0"/>
    <w:rPr>
      <w:rFonts w:ascii="宋体" w:hAnsi="Courier New" w:eastAsia="宋体"/>
      <w:kern w:val="2"/>
      <w:sz w:val="21"/>
      <w:lang w:val="en-US" w:eastAsia="zh-CN" w:bidi="ar-SA"/>
    </w:rPr>
  </w:style>
  <w:style w:type="character" w:customStyle="1" w:styleId="27">
    <w:name w:val="正文文本缩进 Char"/>
    <w:basedOn w:val="22"/>
    <w:link w:val="7"/>
    <w:qFormat/>
    <w:uiPriority w:val="0"/>
    <w:rPr>
      <w:kern w:val="2"/>
      <w:sz w:val="21"/>
      <w:szCs w:val="24"/>
    </w:rPr>
  </w:style>
  <w:style w:type="character" w:customStyle="1" w:styleId="28">
    <w:name w:val="正文文本 Char"/>
    <w:basedOn w:val="22"/>
    <w:link w:val="6"/>
    <w:qFormat/>
    <w:uiPriority w:val="0"/>
    <w:rPr>
      <w:kern w:val="2"/>
      <w:sz w:val="21"/>
      <w:szCs w:val="24"/>
    </w:rPr>
  </w:style>
  <w:style w:type="character" w:customStyle="1" w:styleId="29">
    <w:name w:val="正文首行缩进 Char"/>
    <w:basedOn w:val="28"/>
    <w:link w:val="19"/>
    <w:qFormat/>
    <w:uiPriority w:val="0"/>
  </w:style>
  <w:style w:type="paragraph" w:customStyle="1" w:styleId="30">
    <w:name w:val="五级条标题"/>
    <w:basedOn w:val="31"/>
    <w:next w:val="25"/>
    <w:qFormat/>
    <w:uiPriority w:val="0"/>
    <w:pPr>
      <w:outlineLvl w:val="6"/>
    </w:pPr>
  </w:style>
  <w:style w:type="paragraph" w:customStyle="1" w:styleId="31">
    <w:name w:val="四级条标题"/>
    <w:basedOn w:val="32"/>
    <w:next w:val="25"/>
    <w:qFormat/>
    <w:uiPriority w:val="0"/>
    <w:pPr>
      <w:outlineLvl w:val="5"/>
    </w:pPr>
  </w:style>
  <w:style w:type="paragraph" w:customStyle="1" w:styleId="32">
    <w:name w:val="三级条标题"/>
    <w:basedOn w:val="33"/>
    <w:next w:val="25"/>
    <w:qFormat/>
    <w:uiPriority w:val="0"/>
    <w:pPr>
      <w:outlineLvl w:val="4"/>
    </w:pPr>
  </w:style>
  <w:style w:type="paragraph" w:customStyle="1" w:styleId="33">
    <w:name w:val="二级条标题"/>
    <w:basedOn w:val="34"/>
    <w:next w:val="25"/>
    <w:qFormat/>
    <w:uiPriority w:val="0"/>
    <w:pPr>
      <w:outlineLvl w:val="3"/>
    </w:pPr>
  </w:style>
  <w:style w:type="paragraph" w:customStyle="1" w:styleId="34">
    <w:name w:val="一级条标题"/>
    <w:basedOn w:val="35"/>
    <w:next w:val="25"/>
    <w:qFormat/>
    <w:uiPriority w:val="0"/>
    <w:pPr>
      <w:spacing w:beforeLines="0" w:afterLines="0"/>
      <w:outlineLvl w:val="2"/>
    </w:pPr>
  </w:style>
  <w:style w:type="paragraph" w:customStyle="1" w:styleId="35">
    <w:name w:val="章标题"/>
    <w:next w:val="25"/>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36">
    <w:name w:val="数字编号列项（二级）"/>
    <w:qFormat/>
    <w:uiPriority w:val="0"/>
    <w:pPr>
      <w:ind w:left="1260" w:leftChars="400" w:hanging="420" w:hangingChars="200"/>
      <w:jc w:val="both"/>
    </w:pPr>
    <w:rPr>
      <w:rFonts w:ascii="宋体" w:hAnsi="Calibri" w:eastAsia="宋体" w:cs="Times New Roman"/>
      <w:sz w:val="21"/>
      <w:lang w:val="en-US" w:eastAsia="zh-CN" w:bidi="ar-SA"/>
    </w:rPr>
  </w:style>
  <w:style w:type="paragraph" w:customStyle="1" w:styleId="3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8">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39">
    <w:name w:val="Char"/>
    <w:basedOn w:val="1"/>
    <w:qFormat/>
    <w:uiPriority w:val="0"/>
    <w:pPr>
      <w:widowControl/>
      <w:spacing w:after="160" w:line="240" w:lineRule="exact"/>
      <w:jc w:val="left"/>
    </w:pPr>
    <w:rPr>
      <w:rFonts w:ascii="Verdana" w:hAnsi="Verdana"/>
      <w:kern w:val="0"/>
      <w:sz w:val="20"/>
      <w:szCs w:val="20"/>
      <w:lang w:eastAsia="en-US" w:bidi="ar-SA"/>
    </w:rPr>
  </w:style>
  <w:style w:type="paragraph" w:customStyle="1" w:styleId="40">
    <w:name w:val="Char1"/>
    <w:basedOn w:val="1"/>
    <w:qFormat/>
    <w:uiPriority w:val="0"/>
    <w:rPr>
      <w:lang w:bidi="ar-SA"/>
    </w:rPr>
  </w:style>
  <w:style w:type="paragraph" w:customStyle="1" w:styleId="41">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42">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szCs w:val="20"/>
      <w:lang w:bidi="ar-SA"/>
    </w:rPr>
  </w:style>
  <w:style w:type="paragraph" w:customStyle="1" w:styleId="4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44">
    <w:name w:val="正文表标题"/>
    <w:next w:val="25"/>
    <w:qFormat/>
    <w:uiPriority w:val="0"/>
    <w:pPr>
      <w:ind w:left="2978"/>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山铝一小</Company>
  <Pages>18</Pages>
  <Words>2399</Words>
  <Characters>13678</Characters>
  <Lines>113</Lines>
  <Paragraphs>32</Paragraphs>
  <TotalTime>2</TotalTime>
  <ScaleCrop>false</ScaleCrop>
  <LinksUpToDate>false</LinksUpToDate>
  <CharactersWithSpaces>16045</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2019-06-19T00:35:00Z</dcterms:created>
  <dc:creator>shilei</dc:creator>
  <cp:lastModifiedBy>Administrator</cp:lastModifiedBy>
  <cp:lastPrinted>2004-08-01T09:33:00Z</cp:lastPrinted>
  <dcterms:modified xsi:type="dcterms:W3CDTF">2019-09-15T18:32:27Z</dcterms:modified>
  <dc:title>编 制 说 明</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